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BC085" w14:textId="161F200E" w:rsidR="00966AEE" w:rsidRPr="00966AEE" w:rsidRDefault="00966AEE" w:rsidP="00966AEE">
      <w:pPr>
        <w:spacing w:line="276" w:lineRule="auto"/>
        <w:jc w:val="both"/>
        <w:rPr>
          <w:rFonts w:ascii="Verdana" w:eastAsia="Calibri" w:hAnsi="Verdana" w:cs="Arial"/>
          <w:b/>
          <w:lang w:val="es-ES"/>
        </w:rPr>
      </w:pPr>
      <w:bookmarkStart w:id="0" w:name="_Hlk178051562"/>
      <w:bookmarkStart w:id="1" w:name="_Hlk143780582"/>
      <w:r w:rsidRPr="00966AEE">
        <w:rPr>
          <w:rFonts w:ascii="Verdana" w:eastAsia="Calibri" w:hAnsi="Verdana" w:cs="Arial"/>
          <w:b/>
          <w:lang w:val="es-ES"/>
        </w:rPr>
        <w:t>SECOP – Publicidad</w:t>
      </w:r>
    </w:p>
    <w:p w14:paraId="4F261601" w14:textId="56C59F36" w:rsidR="00966AEE" w:rsidRPr="00966AEE" w:rsidRDefault="00966AEE" w:rsidP="00966AEE">
      <w:pPr>
        <w:spacing w:after="120"/>
        <w:jc w:val="both"/>
        <w:rPr>
          <w:rFonts w:ascii="Verdana" w:eastAsia="Calibri" w:hAnsi="Verdana" w:cs="Arial"/>
          <w:lang w:val="es-ES"/>
        </w:rPr>
      </w:pPr>
      <w:r w:rsidRPr="00966AEE">
        <w:rPr>
          <w:rFonts w:ascii="Verdana" w:eastAsia="Calibri" w:hAnsi="Verdana" w:cs="Arial"/>
          <w:lang w:val="es-ES"/>
        </w:rPr>
        <w:t xml:space="preserve">El debate sobre la obligatoriedad o no de publicar en el SECOP, para las entidades con régimen especial de contratación, fue definido, al menos de manera preliminar, por el Consejo de Estado. La Sección Tercera, Subsección C, en el Auto del 14 de agosto de 2017, </w:t>
      </w:r>
      <w:proofErr w:type="gramStart"/>
      <w:r w:rsidRPr="00966AEE">
        <w:rPr>
          <w:rFonts w:ascii="Verdana" w:eastAsia="Calibri" w:hAnsi="Verdana" w:cs="Arial"/>
          <w:lang w:val="es-ES"/>
        </w:rPr>
        <w:t>Consejero</w:t>
      </w:r>
      <w:proofErr w:type="gramEnd"/>
      <w:r w:rsidRPr="00966AEE">
        <w:rPr>
          <w:rFonts w:ascii="Verdana" w:eastAsia="Calibri" w:hAnsi="Verdana" w:cs="Arial"/>
          <w:lang w:val="es-ES"/>
        </w:rPr>
        <w:t xml:space="preserve"> Ponente Jaime Orlando Santofimio Gamboa, expresó que la obligación prevista en la Circular Externa </w:t>
      </w:r>
      <w:r w:rsidR="009E0459">
        <w:rPr>
          <w:rFonts w:ascii="Verdana" w:eastAsia="Calibri" w:hAnsi="Verdana" w:cs="Arial"/>
          <w:lang w:val="es-ES"/>
        </w:rPr>
        <w:t xml:space="preserve">Única </w:t>
      </w:r>
      <w:r w:rsidRPr="00966AEE">
        <w:rPr>
          <w:rFonts w:ascii="Verdana" w:eastAsia="Calibri" w:hAnsi="Verdana" w:cs="Arial"/>
          <w:lang w:val="es-ES"/>
        </w:rPr>
        <w:t>No. 1</w:t>
      </w:r>
      <w:r w:rsidR="009E0459">
        <w:rPr>
          <w:rFonts w:ascii="Verdana" w:eastAsia="Calibri" w:hAnsi="Verdana" w:cs="Arial"/>
          <w:lang w:val="es-ES"/>
        </w:rPr>
        <w:t xml:space="preserve"> del 21 de junio de 2013</w:t>
      </w:r>
      <w:r w:rsidR="003338C8">
        <w:rPr>
          <w:rStyle w:val="Refdenotaalpie"/>
          <w:rFonts w:ascii="Verdana" w:eastAsia="Calibri" w:hAnsi="Verdana" w:cs="Arial"/>
          <w:lang w:val="es-ES"/>
        </w:rPr>
        <w:footnoteReference w:id="1"/>
      </w:r>
      <w:r w:rsidRPr="00966AEE">
        <w:rPr>
          <w:rFonts w:ascii="Verdana" w:eastAsia="Calibri" w:hAnsi="Verdana" w:cs="Arial"/>
          <w:lang w:val="es-ES"/>
        </w:rPr>
        <w:t xml:space="preserve"> se ajusta a la normativa superior.</w:t>
      </w:r>
    </w:p>
    <w:p w14:paraId="0327046D" w14:textId="77777777" w:rsidR="00966AEE" w:rsidRPr="00966AEE" w:rsidRDefault="00966AEE" w:rsidP="00966AEE">
      <w:pPr>
        <w:jc w:val="both"/>
        <w:rPr>
          <w:rFonts w:ascii="Verdana" w:eastAsia="Calibri" w:hAnsi="Verdana" w:cs="Arial"/>
          <w:lang w:val="es-ES"/>
        </w:rPr>
      </w:pPr>
      <w:r w:rsidRPr="00966AEE">
        <w:rPr>
          <w:rFonts w:ascii="Verdana" w:eastAsia="Calibri" w:hAnsi="Verdana" w:cs="Arial"/>
          <w:lang w:val="es-ES"/>
        </w:rPr>
        <w:t>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w:t>
      </w:r>
    </w:p>
    <w:p w14:paraId="06BEDCA2" w14:textId="4E86A168" w:rsidR="00966AEE" w:rsidRPr="00966AEE" w:rsidRDefault="00966AEE" w:rsidP="00966AEE">
      <w:pPr>
        <w:jc w:val="both"/>
        <w:rPr>
          <w:rFonts w:ascii="Verdana" w:eastAsia="Calibri" w:hAnsi="Verdana" w:cs="Arial"/>
          <w:b/>
          <w:bCs/>
        </w:rPr>
      </w:pPr>
      <w:r w:rsidRPr="00966AEE">
        <w:rPr>
          <w:rFonts w:ascii="Verdana" w:eastAsia="Calibri" w:hAnsi="Verdana" w:cs="Arial"/>
          <w:b/>
          <w:bCs/>
        </w:rPr>
        <w:t xml:space="preserve">CONTRATACIÓN CON RECURSOS DE ORGANISMOS INTERNACIONALES – Artículo 20 </w:t>
      </w:r>
      <w:r w:rsidRPr="00966AEE">
        <w:rPr>
          <w:rFonts w:ascii="Verdana" w:eastAsia="Arial" w:hAnsi="Verdana" w:cs="Arial"/>
          <w:b/>
          <w:bCs/>
          <w:lang w:val="es-MX"/>
        </w:rPr>
        <w:t>–</w:t>
      </w:r>
      <w:r w:rsidRPr="00966AEE">
        <w:rPr>
          <w:rFonts w:ascii="Verdana" w:eastAsia="Calibri" w:hAnsi="Verdana" w:cs="Arial"/>
          <w:b/>
          <w:bCs/>
        </w:rPr>
        <w:t xml:space="preserve"> Ley 1150 de 2007 – Múltiples supuestos – Régimen aplicable – Libertad de elección</w:t>
      </w:r>
      <w:r>
        <w:rPr>
          <w:rFonts w:ascii="Verdana" w:eastAsia="Calibri" w:hAnsi="Verdana" w:cs="Arial"/>
          <w:b/>
          <w:bCs/>
        </w:rPr>
        <w:t xml:space="preserve"> – obligatoriedad de publicar en SECOP</w:t>
      </w:r>
    </w:p>
    <w:p w14:paraId="4D88B317" w14:textId="77777777" w:rsidR="00966AEE" w:rsidRPr="00966AEE" w:rsidRDefault="00966AEE" w:rsidP="00966AEE">
      <w:pPr>
        <w:jc w:val="both"/>
        <w:rPr>
          <w:rFonts w:ascii="Verdana" w:eastAsia="Calibri" w:hAnsi="Verdana" w:cs="Arial"/>
          <w:lang w:val="es-ES"/>
        </w:rPr>
      </w:pPr>
      <w:r w:rsidRPr="00966AEE">
        <w:rPr>
          <w:rFonts w:ascii="Verdana" w:hAnsi="Verdana" w:cs="Arial"/>
          <w:lang w:val="es-ES"/>
        </w:rPr>
        <w:t>Como se advierte de lo anterior, existen dos tipos de supuestos regulados en el artículo 20 de la Ley 1150 de 2007 bajo los cuales es posible someter el régimen contractual aplicable a los reglamentos de los organismos internacionales: el primer tipo, regulado en el inciso primero, donde dicha posibilidad se condiciona a que los contratos o convenios  se financien en el 50% o más con fondos de dichos organismos de cooperación, asistencia o ayudas internacionales y, el segundo tipo, regulado en el inciso segundo, donde dicha posibilidad se condiciona a que se configure alguno de los 6 supuestos enlistados previamente, sin que resulte exigible algún porcentaje de incorporación de recursos. En todo caso, frente a ambos tipos de supuestos, la aplicación de los reglamentos de tales entidades internacionales es una posibilidad por la que pueden optar o no las partes; es decir, configurados los requisitos indicados las partes pueden decir si someten los contratos a los reglamentos de las entidades internacionales o si se rigen por el Estatuto General de Contratación de la Administración Pública.</w:t>
      </w:r>
    </w:p>
    <w:p w14:paraId="104B5B97" w14:textId="2AFD10D5" w:rsidR="00966AEE" w:rsidRPr="00966AEE" w:rsidRDefault="00966AEE" w:rsidP="00966AEE">
      <w:pPr>
        <w:pStyle w:val="Default"/>
        <w:jc w:val="both"/>
        <w:rPr>
          <w:rFonts w:ascii="Verdana" w:hAnsi="Verdana"/>
          <w:color w:val="auto"/>
          <w:sz w:val="22"/>
          <w:szCs w:val="22"/>
          <w:lang w:val="es-ES"/>
        </w:rPr>
      </w:pPr>
      <w:r>
        <w:rPr>
          <w:rFonts w:ascii="Verdana" w:hAnsi="Verdana"/>
          <w:color w:val="auto"/>
          <w:sz w:val="22"/>
          <w:szCs w:val="22"/>
          <w:lang w:val="es-ES"/>
        </w:rPr>
        <w:t xml:space="preserve">Por su parte, </w:t>
      </w:r>
      <w:r w:rsidRPr="00966AEE">
        <w:rPr>
          <w:rFonts w:ascii="Verdana" w:hAnsi="Verdana"/>
          <w:color w:val="auto"/>
          <w:sz w:val="22"/>
          <w:szCs w:val="22"/>
          <w:lang w:val="es-ES"/>
        </w:rPr>
        <w:t xml:space="preserve">de conformidad con lo establecido en el parágrafo 2 del </w:t>
      </w:r>
      <w:r>
        <w:rPr>
          <w:rFonts w:ascii="Verdana" w:hAnsi="Verdana"/>
          <w:color w:val="auto"/>
          <w:sz w:val="22"/>
          <w:szCs w:val="22"/>
          <w:lang w:val="es-ES"/>
        </w:rPr>
        <w:t xml:space="preserve">mencionado </w:t>
      </w:r>
      <w:r w:rsidRPr="00966AEE">
        <w:rPr>
          <w:rFonts w:ascii="Verdana" w:hAnsi="Verdana"/>
          <w:color w:val="auto"/>
          <w:sz w:val="22"/>
          <w:szCs w:val="22"/>
          <w:lang w:val="es-ES"/>
        </w:rPr>
        <w:t>artículo 20, las Entidades Estatales que celebren contratos con recursos de Organismos Internacionales tendrán la obligación de reportar dicha información en el SECOP II.</w:t>
      </w:r>
    </w:p>
    <w:p w14:paraId="3605685A" w14:textId="77777777" w:rsidR="00966AEE" w:rsidRPr="00DA6CB8" w:rsidRDefault="00966AEE" w:rsidP="00966AEE">
      <w:pPr>
        <w:pStyle w:val="Default"/>
        <w:jc w:val="both"/>
        <w:rPr>
          <w:color w:val="auto"/>
          <w:sz w:val="22"/>
          <w:szCs w:val="22"/>
          <w:lang w:val="es-ES"/>
        </w:rPr>
      </w:pPr>
    </w:p>
    <w:p w14:paraId="22183A4B" w14:textId="77777777" w:rsidR="003338C8" w:rsidRDefault="003338C8" w:rsidP="00E245AB">
      <w:pPr>
        <w:spacing w:after="0"/>
        <w:rPr>
          <w:rFonts w:ascii="Verdana" w:hAnsi="Verdana"/>
        </w:rPr>
      </w:pPr>
    </w:p>
    <w:bookmarkEnd w:id="0"/>
    <w:p w14:paraId="61B7AFE9" w14:textId="27D9B83E" w:rsidR="007E4284" w:rsidRDefault="00E245AB" w:rsidP="00E245AB">
      <w:pPr>
        <w:spacing w:after="0"/>
        <w:rPr>
          <w:rFonts w:ascii="Verdana" w:hAnsi="Verdana"/>
        </w:rPr>
      </w:pPr>
      <w:r w:rsidRPr="0044528D">
        <w:rPr>
          <w:rFonts w:ascii="Verdana" w:hAnsi="Verdana"/>
        </w:rPr>
        <w:lastRenderedPageBreak/>
        <w:t xml:space="preserve">Bogotá D.C., </w:t>
      </w:r>
      <w:r w:rsidR="00AC5B41">
        <w:rPr>
          <w:rFonts w:ascii="Verdana" w:hAnsi="Verdana"/>
        </w:rPr>
        <w:t>27 de septiembre de 2024.</w:t>
      </w:r>
    </w:p>
    <w:p w14:paraId="79BAB92E" w14:textId="77777777" w:rsidR="007E4284" w:rsidRDefault="007E4284" w:rsidP="00E245AB">
      <w:pPr>
        <w:spacing w:after="0"/>
        <w:rPr>
          <w:rFonts w:ascii="Verdana" w:hAnsi="Verdana"/>
        </w:rPr>
      </w:pPr>
    </w:p>
    <w:p w14:paraId="59DC7E7A" w14:textId="77777777" w:rsidR="007E4284" w:rsidRDefault="007E4284" w:rsidP="00E245AB">
      <w:pPr>
        <w:spacing w:after="0"/>
        <w:rPr>
          <w:rFonts w:ascii="Verdana" w:hAnsi="Verdana"/>
        </w:rPr>
      </w:pPr>
      <w:bookmarkStart w:id="2" w:name="_Hlk178051586"/>
    </w:p>
    <w:p w14:paraId="7AED0527" w14:textId="77777777" w:rsidR="007E4284" w:rsidRDefault="007E4284" w:rsidP="007E4284">
      <w:pPr>
        <w:spacing w:after="0" w:line="240" w:lineRule="auto"/>
        <w:jc w:val="both"/>
        <w:rPr>
          <w:rFonts w:ascii="Verdana" w:eastAsia="Calibri" w:hAnsi="Verdana" w:cs="Arial"/>
          <w:lang w:eastAsia="es-ES"/>
        </w:rPr>
      </w:pPr>
      <w:r w:rsidRPr="00560511">
        <w:rPr>
          <w:rFonts w:ascii="Verdana" w:eastAsia="Calibri" w:hAnsi="Verdana" w:cs="Arial"/>
          <w:lang w:eastAsia="es-ES"/>
        </w:rPr>
        <w:t>Señor</w:t>
      </w:r>
    </w:p>
    <w:p w14:paraId="1C693452" w14:textId="00823C7A" w:rsidR="00426977" w:rsidRPr="00560511" w:rsidRDefault="00426977" w:rsidP="007E4284">
      <w:pPr>
        <w:spacing w:after="0" w:line="240" w:lineRule="auto"/>
        <w:jc w:val="both"/>
        <w:rPr>
          <w:rFonts w:ascii="Verdana" w:eastAsia="Calibri" w:hAnsi="Verdana" w:cs="Arial"/>
          <w:lang w:eastAsia="es-ES"/>
        </w:rPr>
      </w:pPr>
      <w:hyperlink r:id="rId11" w:history="1">
        <w:r w:rsidRPr="00A514B2">
          <w:rPr>
            <w:rStyle w:val="Hipervnculo"/>
            <w:rFonts w:ascii="Verdana" w:eastAsia="Calibri" w:hAnsi="Verdana" w:cs="Arial"/>
            <w:lang w:eastAsia="es-ES"/>
          </w:rPr>
          <w:t>ppzp49@hotmail.com</w:t>
        </w:r>
      </w:hyperlink>
      <w:r>
        <w:rPr>
          <w:rFonts w:ascii="Verdana" w:eastAsia="Calibri" w:hAnsi="Verdana" w:cs="Arial"/>
          <w:lang w:eastAsia="es-ES"/>
        </w:rPr>
        <w:t xml:space="preserve"> </w:t>
      </w:r>
    </w:p>
    <w:p w14:paraId="1458EAD2" w14:textId="7BAA3345" w:rsidR="007E4284" w:rsidRDefault="007E4284" w:rsidP="007E4284">
      <w:pPr>
        <w:spacing w:after="0" w:line="240" w:lineRule="auto"/>
        <w:rPr>
          <w:rFonts w:ascii="Verdana" w:eastAsia="Calibri" w:hAnsi="Verdana" w:cs="Arial"/>
          <w:b/>
          <w:bCs/>
          <w:lang w:val="es-ES" w:eastAsia="es-ES"/>
        </w:rPr>
      </w:pPr>
    </w:p>
    <w:p w14:paraId="131F0CAF" w14:textId="060515E2" w:rsidR="00AC5B41" w:rsidRDefault="00AC5B41" w:rsidP="00AC5B41">
      <w:pPr>
        <w:spacing w:after="0" w:line="240" w:lineRule="auto"/>
        <w:jc w:val="right"/>
        <w:rPr>
          <w:rFonts w:ascii="Verdana" w:eastAsia="Calibri" w:hAnsi="Verdana" w:cs="Arial"/>
          <w:b/>
          <w:bCs/>
          <w:lang w:val="es-ES" w:eastAsia="es-ES"/>
        </w:rPr>
      </w:pPr>
      <w:r>
        <w:rPr>
          <w:rFonts w:ascii="Verdana" w:eastAsia="Calibri" w:hAnsi="Verdana" w:cs="Arial"/>
          <w:b/>
          <w:bCs/>
          <w:noProof/>
          <w:lang w:val="es-ES" w:eastAsia="es-ES"/>
        </w:rPr>
        <w:drawing>
          <wp:inline distT="0" distB="0" distL="0" distR="0" wp14:anchorId="183EB155" wp14:editId="7E1851BF">
            <wp:extent cx="2781300" cy="866775"/>
            <wp:effectExtent l="0" t="0" r="0" b="9525"/>
            <wp:docPr id="19134921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866775"/>
                    </a:xfrm>
                    <a:prstGeom prst="rect">
                      <a:avLst/>
                    </a:prstGeom>
                    <a:noFill/>
                    <a:ln>
                      <a:noFill/>
                    </a:ln>
                  </pic:spPr>
                </pic:pic>
              </a:graphicData>
            </a:graphic>
          </wp:inline>
        </w:drawing>
      </w:r>
    </w:p>
    <w:p w14:paraId="12E84E32" w14:textId="77777777" w:rsidR="00AC5B41" w:rsidRDefault="00AC5B41" w:rsidP="007E4284">
      <w:pPr>
        <w:spacing w:after="0" w:line="240" w:lineRule="auto"/>
        <w:rPr>
          <w:rFonts w:ascii="Verdana" w:eastAsia="Calibri" w:hAnsi="Verdana" w:cs="Arial"/>
          <w:b/>
          <w:bCs/>
          <w:lang w:val="es-ES" w:eastAsia="es-ES"/>
        </w:rPr>
      </w:pPr>
    </w:p>
    <w:p w14:paraId="7C74937B" w14:textId="77777777" w:rsidR="00AC5B41" w:rsidRPr="00B96799" w:rsidRDefault="00AC5B41" w:rsidP="007E4284">
      <w:pPr>
        <w:spacing w:after="0" w:line="240" w:lineRule="auto"/>
        <w:rPr>
          <w:rFonts w:ascii="Verdana" w:eastAsia="Calibri" w:hAnsi="Verdana" w:cs="Arial"/>
          <w:b/>
          <w:bCs/>
          <w:lang w:val="es-ES" w:eastAsia="es-ES"/>
        </w:rPr>
      </w:pPr>
    </w:p>
    <w:p w14:paraId="323534CF" w14:textId="77777777" w:rsidR="007E4284" w:rsidRPr="00593A5F" w:rsidRDefault="007E4284" w:rsidP="007E4284">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804"/>
      </w:tblGrid>
      <w:tr w:rsidR="007E4284" w:rsidRPr="00593A5F" w14:paraId="7B89B37C" w14:textId="77777777" w:rsidTr="00730488">
        <w:trPr>
          <w:trHeight w:val="884"/>
        </w:trPr>
        <w:tc>
          <w:tcPr>
            <w:tcW w:w="2410" w:type="dxa"/>
          </w:tcPr>
          <w:p w14:paraId="3E37BDB8" w14:textId="77777777" w:rsidR="007E4284" w:rsidRPr="00E5644F" w:rsidRDefault="007E4284" w:rsidP="00730488">
            <w:pPr>
              <w:jc w:val="both"/>
              <w:rPr>
                <w:rFonts w:ascii="Verdana" w:eastAsia="Calibri" w:hAnsi="Verdana" w:cs="Arial"/>
                <w:b/>
                <w:bCs/>
                <w:color w:val="7030A0"/>
                <w:lang w:val="es-ES_tradnl" w:eastAsia="es-ES_tradnl"/>
              </w:rPr>
            </w:pPr>
          </w:p>
        </w:tc>
        <w:tc>
          <w:tcPr>
            <w:tcW w:w="6804" w:type="dxa"/>
          </w:tcPr>
          <w:p w14:paraId="7B76117C" w14:textId="61A26631" w:rsidR="007E4284" w:rsidRPr="00E5644F" w:rsidRDefault="007E4284" w:rsidP="00730488">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Pr>
                <w:rFonts w:ascii="Verdana" w:eastAsia="Calibri" w:hAnsi="Verdana" w:cs="Arial"/>
                <w:b/>
                <w:bCs/>
                <w:lang w:val="es-ES" w:eastAsia="es-ES"/>
              </w:rPr>
              <w:t>4</w:t>
            </w:r>
            <w:r w:rsidR="00426977">
              <w:rPr>
                <w:rFonts w:ascii="Verdana" w:eastAsia="Calibri" w:hAnsi="Verdana" w:cs="Arial"/>
                <w:b/>
                <w:bCs/>
                <w:lang w:val="es-ES" w:eastAsia="es-ES"/>
              </w:rPr>
              <w:t>97</w:t>
            </w:r>
            <w:r>
              <w:rPr>
                <w:rFonts w:ascii="Verdana" w:eastAsia="Calibri" w:hAnsi="Verdana" w:cs="Arial"/>
                <w:b/>
                <w:bCs/>
                <w:lang w:val="es-ES" w:eastAsia="es-ES"/>
              </w:rPr>
              <w:t xml:space="preserve"> </w:t>
            </w:r>
            <w:r w:rsidRPr="00E5644F">
              <w:rPr>
                <w:rFonts w:ascii="Verdana" w:eastAsia="Calibri" w:hAnsi="Verdana" w:cs="Arial"/>
                <w:b/>
                <w:bCs/>
                <w:lang w:val="es-ES" w:eastAsia="es-ES"/>
              </w:rPr>
              <w:t>de 2024</w:t>
            </w:r>
          </w:p>
        </w:tc>
      </w:tr>
      <w:tr w:rsidR="007E4284" w:rsidRPr="00593A5F" w14:paraId="2C0FD36D" w14:textId="77777777" w:rsidTr="00730488">
        <w:trPr>
          <w:trHeight w:val="884"/>
        </w:trPr>
        <w:tc>
          <w:tcPr>
            <w:tcW w:w="2410" w:type="dxa"/>
          </w:tcPr>
          <w:p w14:paraId="6CB79C8C" w14:textId="77777777" w:rsidR="007E4284" w:rsidRPr="00593A5F" w:rsidRDefault="007E4284" w:rsidP="00730488">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tcPr>
          <w:p w14:paraId="31CD3F71" w14:textId="4B1D95C1" w:rsidR="000F546E" w:rsidRPr="000F546E" w:rsidRDefault="000F546E" w:rsidP="000F546E">
            <w:pPr>
              <w:jc w:val="both"/>
              <w:rPr>
                <w:rFonts w:ascii="Verdana" w:eastAsia="Calibri" w:hAnsi="Verdana" w:cs="Arial"/>
                <w:bCs/>
                <w:color w:val="000000" w:themeColor="text1"/>
              </w:rPr>
            </w:pPr>
            <w:r w:rsidRPr="000F546E">
              <w:rPr>
                <w:rFonts w:ascii="Verdana" w:eastAsia="Calibri" w:hAnsi="Verdana" w:cs="Arial"/>
                <w:lang w:val="es-ES" w:eastAsia="es-ES"/>
              </w:rPr>
              <w:t>SECOP – Publicidad – Entidades de régimen especial / SECOP – Publicidad –</w:t>
            </w:r>
            <w:r w:rsidRPr="000F546E">
              <w:rPr>
                <w:rFonts w:ascii="Verdana" w:eastAsia="Calibri" w:hAnsi="Verdana" w:cs="Arial"/>
                <w:bCs/>
                <w:lang w:val="es-ES"/>
              </w:rPr>
              <w:t xml:space="preserve">CONTRATACIÓN CON RECURSOS DE ORGANISMOS INTERNACIONALES – Artículo 20 de la Ley 1150 de 2007 – </w:t>
            </w:r>
            <w:r w:rsidR="007C4C8B">
              <w:rPr>
                <w:rFonts w:ascii="Verdana" w:eastAsia="Calibri" w:hAnsi="Verdana" w:cs="Arial"/>
                <w:bCs/>
                <w:lang w:val="es-ES"/>
              </w:rPr>
              <w:t>obligatoriedad de publicar en el SECOP</w:t>
            </w:r>
            <w:r w:rsidRPr="000F546E">
              <w:rPr>
                <w:rFonts w:ascii="Verdana" w:eastAsia="Calibri" w:hAnsi="Verdana" w:cs="Arial"/>
                <w:bCs/>
                <w:lang w:val="es-ES"/>
              </w:rPr>
              <w:t>.</w:t>
            </w:r>
          </w:p>
          <w:p w14:paraId="4D3602A2" w14:textId="2A07909E" w:rsidR="00423F30" w:rsidRPr="00E6165F" w:rsidRDefault="00423F30" w:rsidP="00730488">
            <w:pPr>
              <w:spacing w:line="276" w:lineRule="auto"/>
              <w:jc w:val="both"/>
              <w:rPr>
                <w:rFonts w:ascii="Verdana" w:eastAsia="Calibri" w:hAnsi="Verdana" w:cs="Arial"/>
                <w:lang w:val="es-ES" w:eastAsia="es-ES"/>
              </w:rPr>
            </w:pPr>
          </w:p>
        </w:tc>
      </w:tr>
      <w:tr w:rsidR="007E4284" w:rsidRPr="00593A5F" w14:paraId="614F6563" w14:textId="77777777" w:rsidTr="00730488">
        <w:tc>
          <w:tcPr>
            <w:tcW w:w="2410" w:type="dxa"/>
          </w:tcPr>
          <w:p w14:paraId="762EB684" w14:textId="77777777" w:rsidR="007E4284" w:rsidRPr="006730E9" w:rsidRDefault="007E4284" w:rsidP="00730488">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tcPr>
          <w:p w14:paraId="791CCF73" w14:textId="0E1B78AF" w:rsidR="007E4284" w:rsidRPr="006730E9" w:rsidRDefault="007E4284" w:rsidP="00730488">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00426977" w:rsidRPr="00426977">
              <w:rPr>
                <w:rFonts w:ascii="Verdana" w:eastAsia="Calibri" w:hAnsi="Verdana" w:cs="Arial"/>
                <w:lang w:val="es-ES_tradnl" w:eastAsia="es-ES_tradnl"/>
              </w:rPr>
              <w:t>P20240815008375</w:t>
            </w:r>
          </w:p>
        </w:tc>
      </w:tr>
    </w:tbl>
    <w:p w14:paraId="3DF1757C" w14:textId="77777777" w:rsidR="007E4284" w:rsidRPr="00593A5F" w:rsidRDefault="007E4284" w:rsidP="007E4284">
      <w:pPr>
        <w:spacing w:after="0" w:line="240" w:lineRule="auto"/>
        <w:jc w:val="both"/>
        <w:rPr>
          <w:rFonts w:ascii="Verdana" w:eastAsia="Calibri" w:hAnsi="Verdana" w:cs="Arial"/>
          <w:color w:val="000000"/>
          <w:lang w:val="es-ES_tradnl" w:eastAsia="es-ES_tradnl"/>
        </w:rPr>
      </w:pPr>
    </w:p>
    <w:p w14:paraId="7334ECD0" w14:textId="77777777" w:rsidR="007E4284" w:rsidRPr="00593A5F" w:rsidRDefault="007E4284" w:rsidP="007E4284">
      <w:pPr>
        <w:spacing w:after="0" w:line="240" w:lineRule="auto"/>
        <w:jc w:val="both"/>
        <w:rPr>
          <w:rFonts w:ascii="Verdana" w:eastAsia="Calibri" w:hAnsi="Verdana" w:cs="Arial"/>
          <w:color w:val="000000"/>
          <w:lang w:val="es-ES_tradnl" w:eastAsia="es-ES_tradnl"/>
        </w:rPr>
      </w:pPr>
    </w:p>
    <w:p w14:paraId="46824A97" w14:textId="04EB7CB1" w:rsidR="007E4284" w:rsidRPr="006730E9" w:rsidRDefault="00426977" w:rsidP="007E4284">
      <w:pPr>
        <w:spacing w:after="0" w:line="276" w:lineRule="auto"/>
        <w:jc w:val="both"/>
        <w:rPr>
          <w:rFonts w:ascii="Verdana" w:eastAsia="Calibri" w:hAnsi="Verdana" w:cs="Arial"/>
          <w:lang w:val="es-ES" w:eastAsia="es-ES"/>
        </w:rPr>
      </w:pPr>
      <w:r>
        <w:rPr>
          <w:rFonts w:ascii="Verdana" w:eastAsia="Calibri" w:hAnsi="Verdana" w:cs="Arial"/>
          <w:lang w:val="es-ES" w:eastAsia="es-ES"/>
        </w:rPr>
        <w:t>E</w:t>
      </w:r>
      <w:r w:rsidR="007E4284" w:rsidRPr="006730E9">
        <w:rPr>
          <w:rFonts w:ascii="Verdana" w:eastAsia="Calibri" w:hAnsi="Verdana" w:cs="Arial"/>
          <w:lang w:val="es-ES" w:eastAsia="es-ES"/>
        </w:rPr>
        <w:t>n ejercicio de la competencia otorgada por los artículos 3, numeral 5º, y 11, numeral 8º, del Decreto Ley 4170 de 2011,</w:t>
      </w:r>
      <w:r w:rsidR="007E4284" w:rsidRPr="006730E9">
        <w:rPr>
          <w:rFonts w:ascii="Verdana" w:eastAsia="Arial MT" w:hAnsi="Verdana" w:cs="Arial MT"/>
          <w:lang w:val="es-ES" w:eastAsia="es-ES"/>
        </w:rPr>
        <w:t xml:space="preserve"> </w:t>
      </w:r>
      <w:r w:rsidR="007E4284" w:rsidRPr="006730E9">
        <w:rPr>
          <w:rFonts w:ascii="Verdana" w:hAnsi="Verdana" w:cs="Arial"/>
        </w:rPr>
        <w:t xml:space="preserve">así como lo establecido en el artículo 4 de la Resolución 1707 de 2018 expedida por esta Entidad, </w:t>
      </w:r>
      <w:r w:rsidR="007E4284" w:rsidRPr="006730E9">
        <w:rPr>
          <w:rFonts w:ascii="Verdana" w:eastAsia="Calibri" w:hAnsi="Verdana" w:cs="Arial"/>
          <w:lang w:val="es-ES" w:eastAsia="es-ES"/>
        </w:rPr>
        <w:t xml:space="preserve">la Agencia Nacional de Contratación Pública – Colombia Compra Eficiente– responde su solicitud </w:t>
      </w:r>
      <w:r w:rsidR="007E4284">
        <w:rPr>
          <w:rFonts w:ascii="Verdana" w:eastAsia="Calibri" w:hAnsi="Verdana" w:cs="Arial"/>
          <w:lang w:val="es-ES" w:eastAsia="es-ES"/>
        </w:rPr>
        <w:t xml:space="preserve">radicada en esta entidad </w:t>
      </w:r>
      <w:r w:rsidR="007E4284" w:rsidRPr="00E5644F">
        <w:rPr>
          <w:rFonts w:ascii="Verdana" w:eastAsia="Calibri" w:hAnsi="Verdana" w:cs="Arial"/>
          <w:lang w:val="es-ES" w:eastAsia="es-ES"/>
        </w:rPr>
        <w:t xml:space="preserve">el </w:t>
      </w:r>
      <w:r>
        <w:rPr>
          <w:rFonts w:ascii="Verdana" w:eastAsia="Calibri" w:hAnsi="Verdana" w:cs="Arial"/>
          <w:lang w:val="es-ES" w:eastAsia="es-ES"/>
        </w:rPr>
        <w:t>15</w:t>
      </w:r>
      <w:r w:rsidR="007E4284" w:rsidRPr="00E5644F">
        <w:rPr>
          <w:rFonts w:ascii="Verdana" w:eastAsia="Calibri" w:hAnsi="Verdana" w:cs="Arial"/>
          <w:lang w:val="es-ES" w:eastAsia="es-ES"/>
        </w:rPr>
        <w:t xml:space="preserve"> de </w:t>
      </w:r>
      <w:r w:rsidR="009917B5">
        <w:rPr>
          <w:rFonts w:ascii="Verdana" w:eastAsia="Calibri" w:hAnsi="Verdana" w:cs="Arial"/>
          <w:lang w:val="es-ES" w:eastAsia="es-ES"/>
        </w:rPr>
        <w:t>agosto</w:t>
      </w:r>
      <w:r w:rsidR="007E4284" w:rsidRPr="00E5644F">
        <w:rPr>
          <w:rFonts w:ascii="Verdana" w:eastAsia="Calibri" w:hAnsi="Verdana" w:cs="Arial"/>
          <w:lang w:val="es-ES" w:eastAsia="es-ES"/>
        </w:rPr>
        <w:t xml:space="preserve"> de 2024, en</w:t>
      </w:r>
      <w:r w:rsidR="007E4284" w:rsidRPr="006730E9">
        <w:rPr>
          <w:rFonts w:ascii="Verdana" w:eastAsia="Calibri" w:hAnsi="Verdana" w:cs="Arial"/>
          <w:lang w:val="es-ES" w:eastAsia="es-ES"/>
        </w:rPr>
        <w:t xml:space="preserve"> la cual manifiesta lo siguiente: </w:t>
      </w:r>
    </w:p>
    <w:p w14:paraId="0F7467CA" w14:textId="77777777" w:rsidR="007E4284" w:rsidRPr="00326382" w:rsidRDefault="007E4284" w:rsidP="007E4284">
      <w:pPr>
        <w:spacing w:after="0" w:line="240" w:lineRule="auto"/>
        <w:ind w:left="709" w:right="709"/>
        <w:jc w:val="both"/>
        <w:rPr>
          <w:rFonts w:ascii="Verdana" w:hAnsi="Verdana" w:cs="Arial"/>
          <w:sz w:val="20"/>
          <w:szCs w:val="20"/>
          <w:shd w:val="clear" w:color="auto" w:fill="FFFFFF"/>
        </w:rPr>
      </w:pPr>
      <w:bookmarkStart w:id="3" w:name="_Hlk95313578"/>
    </w:p>
    <w:bookmarkEnd w:id="3"/>
    <w:p w14:paraId="153D629D" w14:textId="1A87637D" w:rsidR="00B47D12" w:rsidRDefault="007E4284" w:rsidP="002650C3">
      <w:pPr>
        <w:tabs>
          <w:tab w:val="left" w:pos="142"/>
          <w:tab w:val="left" w:pos="284"/>
        </w:tabs>
        <w:spacing w:after="0" w:line="240" w:lineRule="auto"/>
        <w:ind w:left="993" w:right="900"/>
        <w:jc w:val="both"/>
        <w:rPr>
          <w:rFonts w:ascii="Verdana" w:eastAsia="Century Gothic" w:hAnsi="Verdana" w:cs="Century Gothic"/>
          <w:i/>
          <w:iCs/>
        </w:rPr>
      </w:pPr>
      <w:r w:rsidRPr="00B47D12">
        <w:rPr>
          <w:rFonts w:ascii="Verdana" w:eastAsia="Century Gothic" w:hAnsi="Verdana" w:cs="Century Gothic"/>
          <w:i/>
          <w:iCs/>
        </w:rPr>
        <w:t xml:space="preserve">(…) </w:t>
      </w:r>
      <w:r w:rsidR="002650C3" w:rsidRPr="002650C3">
        <w:rPr>
          <w:rFonts w:ascii="Verdana" w:eastAsia="Century Gothic" w:hAnsi="Verdana" w:cs="Century Gothic"/>
          <w:i/>
          <w:iCs/>
        </w:rPr>
        <w:t>Se deben publicar en SECOP II los contratos</w:t>
      </w:r>
      <w:r w:rsidR="002650C3">
        <w:rPr>
          <w:rFonts w:ascii="Verdana" w:eastAsia="Century Gothic" w:hAnsi="Verdana" w:cs="Century Gothic"/>
          <w:i/>
          <w:iCs/>
        </w:rPr>
        <w:t xml:space="preserve"> </w:t>
      </w:r>
      <w:r w:rsidR="002650C3" w:rsidRPr="002650C3">
        <w:rPr>
          <w:rFonts w:ascii="Verdana" w:eastAsia="Century Gothic" w:hAnsi="Verdana" w:cs="Century Gothic"/>
          <w:i/>
          <w:iCs/>
        </w:rPr>
        <w:t>celebrados con recursos del Banco Interamericano de Desarrollo - BID como tipo de</w:t>
      </w:r>
      <w:r w:rsidR="002650C3">
        <w:rPr>
          <w:rFonts w:ascii="Verdana" w:eastAsia="Century Gothic" w:hAnsi="Verdana" w:cs="Century Gothic"/>
          <w:i/>
          <w:iCs/>
        </w:rPr>
        <w:t xml:space="preserve"> </w:t>
      </w:r>
      <w:r w:rsidR="002650C3" w:rsidRPr="002650C3">
        <w:rPr>
          <w:rFonts w:ascii="Verdana" w:eastAsia="Century Gothic" w:hAnsi="Verdana" w:cs="Century Gothic"/>
          <w:i/>
          <w:iCs/>
        </w:rPr>
        <w:t>proceso Contratación Régimen Especial ?:</w:t>
      </w:r>
      <w:r w:rsidR="00B47D12" w:rsidRPr="00B47D12">
        <w:rPr>
          <w:rFonts w:ascii="Verdana" w:eastAsia="Century Gothic" w:hAnsi="Verdana" w:cs="Century Gothic"/>
          <w:i/>
          <w:iCs/>
        </w:rPr>
        <w:t>(…)</w:t>
      </w:r>
    </w:p>
    <w:p w14:paraId="671C8CC4" w14:textId="77777777" w:rsidR="00C5144C" w:rsidRDefault="00C5144C" w:rsidP="002650C3">
      <w:pPr>
        <w:tabs>
          <w:tab w:val="left" w:pos="142"/>
          <w:tab w:val="left" w:pos="284"/>
        </w:tabs>
        <w:spacing w:after="0" w:line="240" w:lineRule="auto"/>
        <w:ind w:left="993" w:right="900"/>
        <w:jc w:val="both"/>
        <w:rPr>
          <w:rFonts w:ascii="Verdana" w:eastAsia="Century Gothic" w:hAnsi="Verdana" w:cs="Century Gothic"/>
          <w:i/>
          <w:iCs/>
        </w:rPr>
      </w:pPr>
    </w:p>
    <w:p w14:paraId="3EE709DE" w14:textId="77777777" w:rsidR="00C5144C" w:rsidRPr="005F06C2" w:rsidRDefault="00C5144C" w:rsidP="00C5144C">
      <w:pPr>
        <w:spacing w:after="120" w:line="276" w:lineRule="auto"/>
        <w:ind w:firstLine="709"/>
        <w:jc w:val="both"/>
        <w:rPr>
          <w:rFonts w:ascii="Verdana" w:eastAsia="Calibri" w:hAnsi="Verdana" w:cs="Arial"/>
          <w:color w:val="000000"/>
          <w:lang w:val="es-ES_tradnl" w:eastAsia="es-ES_tradnl"/>
        </w:rPr>
      </w:pPr>
      <w:r w:rsidRPr="00542ED3">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542ED3">
        <w:rPr>
          <w:rFonts w:ascii="Verdana" w:eastAsia="Calibri" w:hAnsi="Verdana" w:cs="Arial"/>
          <w:color w:val="000000"/>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F06C2">
        <w:rPr>
          <w:rFonts w:ascii="Verdana" w:eastAsia="Calibri" w:hAnsi="Verdana" w:cs="Arial"/>
          <w:color w:val="000000"/>
          <w:lang w:val="es-ES_tradnl" w:eastAsia="es-ES_tradnl"/>
        </w:rPr>
        <w:tab/>
      </w:r>
    </w:p>
    <w:p w14:paraId="40725EEB" w14:textId="77777777" w:rsidR="00C5144C" w:rsidRPr="00542ED3" w:rsidRDefault="00C5144C" w:rsidP="00C5144C">
      <w:pPr>
        <w:spacing w:after="0" w:line="276" w:lineRule="auto"/>
        <w:ind w:firstLine="709"/>
        <w:jc w:val="both"/>
        <w:rPr>
          <w:rFonts w:ascii="Verdana" w:eastAsia="Calibri" w:hAnsi="Verdana" w:cs="Arial"/>
          <w:color w:val="000000"/>
          <w:lang w:val="es-ES" w:eastAsia="es-ES"/>
        </w:rPr>
      </w:pPr>
      <w:r w:rsidRPr="00542ED3">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542ED3">
        <w:rPr>
          <w:rFonts w:ascii="Verdana" w:eastAsia="Calibri" w:hAnsi="Verdana" w:cs="Arial"/>
          <w:color w:val="7030A0"/>
          <w:lang w:val="es-ES" w:eastAsia="es-ES"/>
        </w:rPr>
        <w:t xml:space="preserve"> </w:t>
      </w:r>
      <w:r w:rsidRPr="00542ED3">
        <w:rPr>
          <w:rFonts w:ascii="Verdana" w:eastAsia="Calibri" w:hAnsi="Verdana" w:cs="Arial"/>
          <w:color w:val="000000"/>
          <w:lang w:val="es-ES" w:eastAsia="es-ES"/>
        </w:rPr>
        <w:t>jurídico</w:t>
      </w:r>
      <w:r w:rsidRPr="00542ED3">
        <w:rPr>
          <w:rFonts w:ascii="Verdana" w:eastAsia="Calibri" w:hAnsi="Verdana" w:cs="Arial"/>
          <w:color w:val="7030A0"/>
          <w:lang w:val="es-ES" w:eastAsia="es-ES"/>
        </w:rPr>
        <w:t xml:space="preserve"> </w:t>
      </w:r>
      <w:r w:rsidRPr="00542ED3">
        <w:rPr>
          <w:rFonts w:ascii="Verdana" w:eastAsia="Calibri" w:hAnsi="Verdana" w:cs="Arial"/>
          <w:color w:val="000000"/>
          <w:lang w:val="es-ES" w:eastAsia="es-ES"/>
        </w:rPr>
        <w:t xml:space="preserve">de su consulta. </w:t>
      </w:r>
    </w:p>
    <w:p w14:paraId="3E4A2E82" w14:textId="77777777" w:rsidR="00C5144C" w:rsidRPr="00B47D12" w:rsidRDefault="00C5144C" w:rsidP="002650C3">
      <w:pPr>
        <w:tabs>
          <w:tab w:val="left" w:pos="142"/>
          <w:tab w:val="left" w:pos="284"/>
        </w:tabs>
        <w:spacing w:after="0" w:line="240" w:lineRule="auto"/>
        <w:ind w:left="993" w:right="900"/>
        <w:jc w:val="both"/>
        <w:rPr>
          <w:rFonts w:ascii="Verdana" w:eastAsia="Century Gothic" w:hAnsi="Verdana" w:cs="Century Gothic"/>
          <w:i/>
          <w:iCs/>
        </w:rPr>
      </w:pPr>
    </w:p>
    <w:p w14:paraId="2A463E1B"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3C967C0" w14:textId="77777777" w:rsidR="007E4284" w:rsidRPr="00593A5F" w:rsidRDefault="007E4284" w:rsidP="007E4284">
      <w:pPr>
        <w:tabs>
          <w:tab w:val="left" w:pos="426"/>
        </w:tabs>
        <w:spacing w:after="0" w:line="276" w:lineRule="auto"/>
        <w:jc w:val="both"/>
        <w:rPr>
          <w:rFonts w:ascii="Verdana" w:eastAsia="Century Gothic" w:hAnsi="Verdana" w:cs="Century Gothic"/>
          <w:lang w:val="es-ES"/>
        </w:rPr>
      </w:pPr>
    </w:p>
    <w:p w14:paraId="409E17B4" w14:textId="77777777" w:rsidR="007E4284" w:rsidRDefault="007E4284" w:rsidP="007E4284">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w:t>
      </w:r>
      <w:r>
        <w:rPr>
          <w:rFonts w:ascii="Verdana" w:eastAsia="Century Gothic" w:hAnsi="Verdana" w:cs="Century Gothic"/>
        </w:rPr>
        <w:t xml:space="preserve"> </w:t>
      </w:r>
      <w:r w:rsidRPr="00593A5F">
        <w:rPr>
          <w:rFonts w:ascii="Verdana" w:eastAsia="Century Gothic" w:hAnsi="Verdana" w:cs="Century Gothic"/>
        </w:rPr>
        <w:t xml:space="preserve">problema jurídico: </w:t>
      </w:r>
    </w:p>
    <w:p w14:paraId="0C001DE6" w14:textId="77777777" w:rsidR="007E4284" w:rsidRDefault="007E4284" w:rsidP="007E4284">
      <w:pPr>
        <w:spacing w:after="0" w:line="276" w:lineRule="auto"/>
        <w:jc w:val="both"/>
        <w:rPr>
          <w:rFonts w:ascii="Verdana" w:eastAsia="Century Gothic" w:hAnsi="Verdana" w:cs="Century Gothic"/>
        </w:rPr>
      </w:pPr>
    </w:p>
    <w:p w14:paraId="7B87BB4C" w14:textId="50175004" w:rsidR="007E4284" w:rsidRDefault="00426977" w:rsidP="00B47D12">
      <w:pPr>
        <w:pStyle w:val="Prrafodelista"/>
        <w:spacing w:after="0" w:line="276" w:lineRule="auto"/>
        <w:ind w:left="993" w:right="1041"/>
        <w:jc w:val="both"/>
        <w:rPr>
          <w:rFonts w:ascii="Verdana" w:eastAsia="Century Gothic" w:hAnsi="Verdana" w:cs="Century Gothic"/>
          <w:i/>
          <w:iCs/>
          <w:lang w:val="es-CO"/>
        </w:rPr>
      </w:pPr>
      <w:r w:rsidRPr="00426977">
        <w:rPr>
          <w:rFonts w:ascii="Verdana" w:eastAsia="Century Gothic" w:hAnsi="Verdana" w:cs="Century Gothic"/>
          <w:i/>
          <w:iCs/>
          <w:lang w:val="es-CO"/>
        </w:rPr>
        <w:t>¿</w:t>
      </w:r>
      <w:r w:rsidR="00C621FD">
        <w:rPr>
          <w:rFonts w:ascii="Verdana" w:eastAsia="Century Gothic" w:hAnsi="Verdana" w:cs="Century Gothic"/>
          <w:i/>
          <w:iCs/>
          <w:lang w:val="es-CO"/>
        </w:rPr>
        <w:t xml:space="preserve">Las entidades públicas con régimen especial deben publicar en </w:t>
      </w:r>
      <w:r w:rsidRPr="00426977">
        <w:rPr>
          <w:rFonts w:ascii="Verdana" w:eastAsia="Century Gothic" w:hAnsi="Verdana" w:cs="Century Gothic"/>
          <w:i/>
          <w:iCs/>
          <w:lang w:val="es-CO"/>
        </w:rPr>
        <w:t>el SECO</w:t>
      </w:r>
      <w:r w:rsidR="00C5144C">
        <w:rPr>
          <w:rFonts w:ascii="Verdana" w:eastAsia="Century Gothic" w:hAnsi="Verdana" w:cs="Century Gothic"/>
          <w:i/>
          <w:iCs/>
          <w:lang w:val="es-CO"/>
        </w:rPr>
        <w:t>P</w:t>
      </w:r>
      <w:r w:rsidRPr="00426977">
        <w:rPr>
          <w:rFonts w:ascii="Verdana" w:eastAsia="Century Gothic" w:hAnsi="Verdana" w:cs="Century Gothic"/>
          <w:i/>
          <w:iCs/>
          <w:lang w:val="es-CO"/>
        </w:rPr>
        <w:t xml:space="preserve"> II</w:t>
      </w:r>
      <w:r w:rsidR="00C621FD">
        <w:rPr>
          <w:rFonts w:ascii="Verdana" w:eastAsia="Century Gothic" w:hAnsi="Verdana" w:cs="Century Gothic"/>
          <w:i/>
          <w:iCs/>
          <w:lang w:val="es-CO"/>
        </w:rPr>
        <w:t xml:space="preserve"> l</w:t>
      </w:r>
      <w:r w:rsidR="00C621FD" w:rsidRPr="00426977">
        <w:rPr>
          <w:rFonts w:ascii="Verdana" w:eastAsia="Century Gothic" w:hAnsi="Verdana" w:cs="Century Gothic"/>
          <w:i/>
          <w:iCs/>
          <w:lang w:val="es-CO"/>
        </w:rPr>
        <w:t>os contratos celebrados con organismos internacionales</w:t>
      </w:r>
      <w:r w:rsidR="00C621FD">
        <w:rPr>
          <w:rFonts w:ascii="Verdana" w:eastAsia="Century Gothic" w:hAnsi="Verdana" w:cs="Century Gothic"/>
          <w:i/>
          <w:iCs/>
          <w:lang w:val="es-CO"/>
        </w:rPr>
        <w:t xml:space="preserve"> </w:t>
      </w:r>
      <w:r w:rsidR="007E4284" w:rsidRPr="00426977">
        <w:rPr>
          <w:rFonts w:ascii="Verdana" w:eastAsia="Century Gothic" w:hAnsi="Verdana" w:cs="Century Gothic"/>
          <w:i/>
          <w:iCs/>
          <w:lang w:val="es-CO"/>
        </w:rPr>
        <w:t>?</w:t>
      </w:r>
    </w:p>
    <w:p w14:paraId="21293C09" w14:textId="77777777" w:rsidR="007E4284" w:rsidRDefault="007E4284" w:rsidP="00B47D12">
      <w:pPr>
        <w:pStyle w:val="Prrafodelista"/>
        <w:spacing w:after="0" w:line="276" w:lineRule="auto"/>
        <w:ind w:left="993" w:right="1041"/>
        <w:jc w:val="both"/>
        <w:rPr>
          <w:rFonts w:ascii="Verdana" w:eastAsia="Century Gothic" w:hAnsi="Verdana" w:cs="Century Gothic"/>
          <w:i/>
          <w:iCs/>
          <w:lang w:val="es-CO"/>
        </w:rPr>
      </w:pPr>
    </w:p>
    <w:p w14:paraId="45F0EEA0" w14:textId="77777777" w:rsidR="007E4284" w:rsidRPr="001B53B7" w:rsidRDefault="007E4284" w:rsidP="007E4284">
      <w:pPr>
        <w:pStyle w:val="Prrafodelista"/>
        <w:spacing w:after="0" w:line="276" w:lineRule="auto"/>
        <w:ind w:left="426" w:right="1041"/>
        <w:jc w:val="both"/>
        <w:rPr>
          <w:rFonts w:ascii="Verdana" w:eastAsia="Calibri" w:hAnsi="Verdana" w:cs="Arial"/>
          <w:color w:val="7030A0"/>
        </w:rPr>
      </w:pPr>
    </w:p>
    <w:p w14:paraId="46FF434C"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9C585E9" w14:textId="77777777" w:rsidR="007E4284" w:rsidRPr="00593A5F" w:rsidRDefault="007E4284" w:rsidP="007E428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E4284" w:rsidRPr="00593A5F" w14:paraId="17A28E7E" w14:textId="77777777" w:rsidTr="00730488">
        <w:tc>
          <w:tcPr>
            <w:tcW w:w="8828" w:type="dxa"/>
            <w:shd w:val="clear" w:color="auto" w:fill="auto"/>
          </w:tcPr>
          <w:p w14:paraId="512BD916" w14:textId="2C0265A1" w:rsidR="00190F7D" w:rsidRPr="001775F7" w:rsidRDefault="00071B14" w:rsidP="005F0E98">
            <w:pPr>
              <w:spacing w:after="120" w:line="276" w:lineRule="auto"/>
              <w:jc w:val="both"/>
              <w:rPr>
                <w:rFonts w:ascii="Verdana" w:eastAsia="Calibri" w:hAnsi="Verdana" w:cs="Arial"/>
                <w:lang w:val="es-ES"/>
              </w:rPr>
            </w:pPr>
            <w:r w:rsidRPr="001775F7">
              <w:rPr>
                <w:rFonts w:ascii="Verdana" w:eastAsia="Calibri" w:hAnsi="Verdana" w:cs="Arial"/>
                <w:lang w:val="es-ES"/>
              </w:rPr>
              <w:t>En los términos del literal c) del artículo 3 de la Ley 1150 de 2007, el literal g) del artículo 11 de la Ley 1712 de 2014 y el artículo 2.1.1.2.1.7 del Decreto 1081 de 2015, las entidades estatales se encuentran obligadas a publicar su gestión contractual en el Sistema Electrónico de Contratación Pública SECOP II, incluso las entidades estatales con régimen de contratación exceptuado del Estatuto General de Contratación de la Administración Pública.</w:t>
            </w:r>
          </w:p>
          <w:p w14:paraId="71B93DB1" w14:textId="77777777" w:rsidR="00071B14" w:rsidRDefault="00071B14" w:rsidP="001775F7">
            <w:pPr>
              <w:spacing w:after="120" w:line="276" w:lineRule="auto"/>
              <w:jc w:val="both"/>
              <w:rPr>
                <w:rFonts w:ascii="Verdana" w:eastAsia="Calibri" w:hAnsi="Verdana" w:cs="Arial"/>
              </w:rPr>
            </w:pPr>
            <w:r w:rsidRPr="001775F7">
              <w:rPr>
                <w:rFonts w:ascii="Verdana" w:eastAsia="Calibri" w:hAnsi="Verdana" w:cs="Arial"/>
              </w:rPr>
              <w:t xml:space="preserve">De igual manera, de conformidad con lo establecido en el parágrafo 2 del artículo 20 </w:t>
            </w:r>
            <w:r w:rsidR="00966AEE">
              <w:rPr>
                <w:rFonts w:ascii="Verdana" w:eastAsia="Calibri" w:hAnsi="Verdana" w:cs="Arial"/>
              </w:rPr>
              <w:t xml:space="preserve">de </w:t>
            </w:r>
            <w:r w:rsidRPr="001775F7">
              <w:rPr>
                <w:rFonts w:ascii="Verdana" w:eastAsia="Calibri" w:hAnsi="Verdana" w:cs="Arial"/>
              </w:rPr>
              <w:t>la Ley 1150 de 2007, las Entidades Estatales que celebren contratos con recursos de Organismos Internacionales tendrán la obligación de reportar dicha información en el SECOP II.</w:t>
            </w:r>
          </w:p>
          <w:p w14:paraId="1B25E3D8" w14:textId="254BF84A" w:rsidR="003338C8" w:rsidRPr="00593A5F" w:rsidRDefault="00401240" w:rsidP="001775F7">
            <w:pPr>
              <w:spacing w:after="120" w:line="276" w:lineRule="auto"/>
              <w:jc w:val="both"/>
              <w:rPr>
                <w:rFonts w:ascii="Verdana" w:eastAsia="Calibri" w:hAnsi="Verdana" w:cs="Arial"/>
                <w:color w:val="7030A0"/>
                <w:lang w:val="es-ES"/>
              </w:rPr>
            </w:pPr>
            <w:r>
              <w:rPr>
                <w:rFonts w:ascii="Verdana" w:eastAsia="Calibri" w:hAnsi="Verdana" w:cs="Arial"/>
                <w:lang w:val="es-ES"/>
              </w:rPr>
              <w:t>Por su parte,</w:t>
            </w:r>
            <w:r w:rsidR="003338C8" w:rsidRPr="003338C8">
              <w:rPr>
                <w:rFonts w:ascii="Verdana" w:eastAsia="Calibri" w:hAnsi="Verdana" w:cs="Arial"/>
                <w:lang w:val="es-ES"/>
              </w:rPr>
              <w:t xml:space="preserve"> la Circular </w:t>
            </w:r>
            <w:r w:rsidR="004A5BE2">
              <w:rPr>
                <w:rFonts w:ascii="Verdana" w:eastAsia="Calibri" w:hAnsi="Verdana" w:cs="Arial"/>
                <w:lang w:val="es-ES"/>
              </w:rPr>
              <w:t>Externa Única del 27 de diciembre de 2023 de la ANCP-CCE establece que l</w:t>
            </w:r>
            <w:r w:rsidR="004A5BE2" w:rsidRPr="004A5BE2">
              <w:rPr>
                <w:rFonts w:ascii="Verdana" w:eastAsia="Calibri" w:hAnsi="Verdana" w:cs="Arial"/>
                <w:lang w:val="es-ES"/>
              </w:rPr>
              <w:t xml:space="preserve">as Entidades Estatales que celebren contratos o convenios </w:t>
            </w:r>
            <w:r w:rsidR="004A5BE2" w:rsidRPr="004A5BE2">
              <w:rPr>
                <w:rFonts w:ascii="Verdana" w:eastAsia="Calibri" w:hAnsi="Verdana" w:cs="Arial"/>
                <w:lang w:val="es-ES"/>
              </w:rPr>
              <w:lastRenderedPageBreak/>
              <w:t>de los que trata el artículo 20 de la Ley 1150 de 2007, sin importar el régimen jurídico aplicable, deben reportar la información al SECOP. En este caso, si de acuerdo con el artículo 20 de la Ley 1150 de 2007, la contratación se rige por una normativa diferente a la colombiana, la publicación deberá realizarse mediante el módulo “Régimen Especial”, el cual permitirá adaptar el Proceso de Contratación a lo exigido en los reglamentos del organismo internacional. Los restantes módulos corresponden a las modalidades de selección que contempla la Ley 80 de 1993 y la Ley 1150 de 2007. El procedimiento para publicar a través del módulo “Régimen Especial” se encuentra disponible en: https://www.colombiacompra.gov.co/perfilcompradores-secop/perfil-compradores-secop</w:t>
            </w:r>
            <w:r>
              <w:rPr>
                <w:rFonts w:ascii="Verdana" w:eastAsia="Calibri" w:hAnsi="Verdana" w:cs="Arial"/>
                <w:lang w:val="es-ES"/>
              </w:rPr>
              <w:t>.</w:t>
            </w:r>
            <w:r w:rsidR="004A5BE2" w:rsidRPr="004A5BE2">
              <w:rPr>
                <w:rFonts w:ascii="Verdana" w:eastAsia="Calibri" w:hAnsi="Verdana" w:cs="Arial"/>
                <w:lang w:val="es-ES"/>
              </w:rPr>
              <w:t xml:space="preserve">  </w:t>
            </w:r>
            <w:r w:rsidR="004A5BE2">
              <w:rPr>
                <w:rFonts w:ascii="Verdana" w:eastAsia="Calibri" w:hAnsi="Verdana" w:cs="Arial"/>
                <w:lang w:val="es-ES"/>
              </w:rPr>
              <w:t xml:space="preserve"> </w:t>
            </w:r>
          </w:p>
        </w:tc>
      </w:tr>
      <w:tr w:rsidR="007E4284" w:rsidRPr="00593A5F" w14:paraId="2A7558CB" w14:textId="77777777" w:rsidTr="00730488">
        <w:tc>
          <w:tcPr>
            <w:tcW w:w="8828" w:type="dxa"/>
            <w:shd w:val="clear" w:color="auto" w:fill="auto"/>
          </w:tcPr>
          <w:p w14:paraId="52413404" w14:textId="77777777" w:rsidR="007E4284" w:rsidRPr="002973E9" w:rsidRDefault="007E4284" w:rsidP="00730488">
            <w:pPr>
              <w:spacing w:line="276" w:lineRule="auto"/>
              <w:jc w:val="both"/>
              <w:rPr>
                <w:rFonts w:ascii="Verdana" w:eastAsia="Calibri" w:hAnsi="Verdana" w:cs="Arial"/>
                <w:lang w:val="es-ES"/>
              </w:rPr>
            </w:pPr>
          </w:p>
        </w:tc>
      </w:tr>
    </w:tbl>
    <w:p w14:paraId="72DC2754" w14:textId="77777777" w:rsidR="007E4284" w:rsidRDefault="007E4284" w:rsidP="007E4284">
      <w:pPr>
        <w:tabs>
          <w:tab w:val="left" w:pos="142"/>
          <w:tab w:val="left" w:pos="284"/>
        </w:tabs>
        <w:spacing w:after="0" w:line="276" w:lineRule="auto"/>
        <w:jc w:val="both"/>
        <w:rPr>
          <w:rFonts w:ascii="Verdana" w:eastAsia="Century Gothic" w:hAnsi="Verdana" w:cs="Century Gothic"/>
          <w:b/>
          <w:bCs/>
          <w:lang w:val="es-ES"/>
        </w:rPr>
      </w:pPr>
    </w:p>
    <w:p w14:paraId="02DDBB94"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F71CC33" w14:textId="77777777" w:rsidR="007E4284" w:rsidRPr="00593A5F" w:rsidRDefault="007E4284" w:rsidP="007E4284">
      <w:pPr>
        <w:spacing w:after="0" w:line="276" w:lineRule="auto"/>
        <w:jc w:val="both"/>
        <w:rPr>
          <w:rFonts w:ascii="Verdana" w:eastAsia="Calibri" w:hAnsi="Verdana" w:cs="Arial"/>
          <w:color w:val="7030A0"/>
          <w:lang w:val="es-ES"/>
        </w:rPr>
      </w:pPr>
    </w:p>
    <w:p w14:paraId="56931201" w14:textId="0D6818A8" w:rsidR="008768AB" w:rsidRPr="008768AB" w:rsidRDefault="008768AB" w:rsidP="008768AB">
      <w:pPr>
        <w:spacing w:after="120" w:line="276" w:lineRule="auto"/>
        <w:jc w:val="both"/>
        <w:rPr>
          <w:rFonts w:ascii="Verdana" w:eastAsia="Calibri" w:hAnsi="Verdana" w:cs="Arial"/>
          <w:lang w:val="es-ES"/>
        </w:rPr>
      </w:pPr>
      <w:r w:rsidRPr="008768AB">
        <w:rPr>
          <w:rFonts w:ascii="Verdana" w:eastAsia="Calibri" w:hAnsi="Verdana" w:cs="Arial"/>
          <w:lang w:val="es-ES"/>
        </w:rPr>
        <w:t>El principio de publicidad impone a las autoridades administrativas el deber de dar a conocer sus actos, contratos y decisiones, para que se divulguen y eventualmente se controlen las actuaciones</w:t>
      </w:r>
      <w:r w:rsidRPr="008768AB">
        <w:rPr>
          <w:rStyle w:val="Refdenotaalpie"/>
          <w:rFonts w:ascii="Verdana" w:eastAsia="Calibri" w:hAnsi="Verdana" w:cs="Arial"/>
          <w:lang w:val="es-ES"/>
        </w:rPr>
        <w:footnoteReference w:id="2"/>
      </w:r>
      <w:r w:rsidRPr="008768AB">
        <w:rPr>
          <w:rFonts w:ascii="Verdana" w:eastAsia="Calibri" w:hAnsi="Verdana" w:cs="Arial"/>
          <w:lang w:val="es-ES"/>
        </w:rPr>
        <w:t xml:space="preserve">. Para estos efectos, el literal c) del artículo 3 de la Ley 1150 de 2007 establece que el Sistema Electrónico para la Contratación Pública </w:t>
      </w:r>
      <w:r w:rsidR="007C4C8B">
        <w:rPr>
          <w:rFonts w:ascii="Verdana" w:eastAsia="Calibri" w:hAnsi="Verdana" w:cs="Arial"/>
          <w:lang w:val="es-ES"/>
        </w:rPr>
        <w:t>“</w:t>
      </w:r>
      <w:r w:rsidRPr="008768AB">
        <w:rPr>
          <w:rFonts w:ascii="Verdana" w:eastAsia="Calibri" w:hAnsi="Verdana" w:cs="Arial"/>
          <w:lang w:val="es-ES"/>
        </w:rPr>
        <w:t>contará con la información oficial de la contratación realizada con dineros públicos, para lo cual establecerá los patrones a que haya lugar y se encargará de su difusión a través de canales electrónicos</w:t>
      </w:r>
      <w:r w:rsidR="000F546E">
        <w:rPr>
          <w:rFonts w:ascii="Verdana" w:eastAsia="Calibri" w:hAnsi="Verdana" w:cs="Arial"/>
          <w:lang w:val="es-ES"/>
        </w:rPr>
        <w:t>”</w:t>
      </w:r>
      <w:r w:rsidRPr="008768AB">
        <w:rPr>
          <w:rStyle w:val="Refdenotaalpie"/>
          <w:rFonts w:ascii="Verdana" w:eastAsia="Calibri" w:hAnsi="Verdana" w:cs="Arial"/>
          <w:lang w:val="es-ES"/>
        </w:rPr>
        <w:footnoteReference w:id="3"/>
      </w:r>
      <w:r w:rsidRPr="008768AB">
        <w:rPr>
          <w:rFonts w:ascii="Verdana" w:eastAsia="Calibri" w:hAnsi="Verdana" w:cs="Arial"/>
          <w:lang w:val="es-ES"/>
        </w:rPr>
        <w:t xml:space="preserve">. </w:t>
      </w:r>
    </w:p>
    <w:p w14:paraId="6326A660" w14:textId="5BC176F5" w:rsidR="008768AB" w:rsidRPr="008768AB" w:rsidRDefault="008768AB" w:rsidP="008768AB">
      <w:pPr>
        <w:spacing w:after="120" w:line="276" w:lineRule="auto"/>
        <w:ind w:firstLine="709"/>
        <w:jc w:val="both"/>
        <w:rPr>
          <w:rFonts w:ascii="Verdana" w:eastAsia="Calibri" w:hAnsi="Verdana" w:cs="Arial"/>
          <w:lang w:val="es-ES"/>
        </w:rPr>
      </w:pPr>
      <w:r w:rsidRPr="008768AB">
        <w:rPr>
          <w:rFonts w:ascii="Verdana" w:hAnsi="Verdana" w:cs="Arial"/>
          <w:lang w:val="es-ES"/>
        </w:rPr>
        <w:t xml:space="preserve">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w:t>
      </w:r>
      <w:r w:rsidRPr="008768AB">
        <w:rPr>
          <w:rFonts w:ascii="Verdana" w:hAnsi="Verdana" w:cs="Arial"/>
          <w:lang w:val="es-ES"/>
        </w:rPr>
        <w:lastRenderedPageBreak/>
        <w:t xml:space="preserve">información y buena fe. El principio de máxima publicidad establece que </w:t>
      </w:r>
      <w:r>
        <w:rPr>
          <w:rFonts w:ascii="Verdana" w:hAnsi="Verdana" w:cs="Arial"/>
          <w:lang w:val="es-ES"/>
        </w:rPr>
        <w:t>“</w:t>
      </w:r>
      <w:r w:rsidRPr="008768AB">
        <w:rPr>
          <w:rFonts w:ascii="Verdana" w:hAnsi="Verdana" w:cs="Arial"/>
          <w:lang w:val="es-ES"/>
        </w:rPr>
        <w:t>toda información en posesión, bajo control o custodia de un sujeto obligado es pública y no podrá ser reservada o limitada sino por disposición constitucional o legal</w:t>
      </w:r>
      <w:r>
        <w:rPr>
          <w:rFonts w:ascii="Verdana" w:hAnsi="Verdana" w:cs="Arial"/>
          <w:lang w:val="es-ES"/>
        </w:rPr>
        <w:t>”</w:t>
      </w:r>
      <w:r w:rsidRPr="008768AB">
        <w:rPr>
          <w:rStyle w:val="Refdenotaalpie"/>
          <w:rFonts w:ascii="Verdana" w:hAnsi="Verdana" w:cs="Arial"/>
          <w:lang w:val="es-ES"/>
        </w:rPr>
        <w:footnoteReference w:id="4"/>
      </w:r>
      <w:r w:rsidRPr="008768AB">
        <w:rPr>
          <w:rFonts w:ascii="Verdana" w:hAnsi="Verdana" w:cs="Arial"/>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690E54F4" w14:textId="77777777" w:rsidR="008768AB" w:rsidRDefault="008768AB" w:rsidP="008768AB">
      <w:pPr>
        <w:pStyle w:val="NormalWeb"/>
        <w:spacing w:before="0" w:beforeAutospacing="0" w:after="120" w:afterAutospacing="0" w:line="276" w:lineRule="auto"/>
        <w:ind w:firstLine="709"/>
        <w:jc w:val="both"/>
        <w:rPr>
          <w:rFonts w:ascii="Verdana" w:eastAsiaTheme="minorHAnsi" w:hAnsi="Verdana" w:cs="Arial"/>
          <w:sz w:val="22"/>
          <w:szCs w:val="22"/>
          <w:lang w:eastAsia="en-US"/>
        </w:rPr>
      </w:pPr>
      <w:r w:rsidRPr="008768AB">
        <w:rPr>
          <w:rFonts w:ascii="Verdana" w:eastAsiaTheme="minorHAnsi" w:hAnsi="Verdana" w:cs="Arial"/>
          <w:sz w:val="22"/>
          <w:szCs w:val="22"/>
          <w:lang w:eastAsia="en-US"/>
        </w:rPr>
        <w:t>La ley citada establece, en el literal e) del artículo 9, que los sujetos obligados, que son todas las entidades públicas</w:t>
      </w:r>
      <w:r w:rsidRPr="008768AB">
        <w:rPr>
          <w:rStyle w:val="Refdenotaalpie"/>
          <w:rFonts w:ascii="Verdana" w:eastAsiaTheme="minorHAnsi" w:hAnsi="Verdana" w:cs="Arial"/>
          <w:sz w:val="22"/>
          <w:szCs w:val="22"/>
          <w:lang w:eastAsia="en-US"/>
        </w:rPr>
        <w:footnoteReference w:id="5"/>
      </w:r>
      <w:r w:rsidRPr="008768AB">
        <w:rPr>
          <w:rFonts w:ascii="Verdana" w:eastAsiaTheme="minorHAnsi" w:hAnsi="Verdana" w:cs="Arial"/>
          <w:sz w:val="22"/>
          <w:szCs w:val="22"/>
          <w:lang w:eastAsia="en-US"/>
        </w:rPr>
        <w:t>, deben publicar la información relativa a su contratación. Esta obligación fue desarrollada por el Decreto Único Reglamentario 1081 de 2015</w:t>
      </w:r>
      <w:r w:rsidRPr="008768AB">
        <w:rPr>
          <w:rStyle w:val="Refdenotaalpie"/>
          <w:rFonts w:ascii="Verdana" w:eastAsiaTheme="minorHAnsi" w:hAnsi="Verdana" w:cs="Arial"/>
          <w:sz w:val="22"/>
          <w:szCs w:val="22"/>
          <w:lang w:eastAsia="en-US"/>
        </w:rPr>
        <w:footnoteReference w:id="6"/>
      </w:r>
      <w:r w:rsidRPr="008768AB">
        <w:rPr>
          <w:rFonts w:ascii="Verdana" w:eastAsiaTheme="minorHAnsi" w:hAnsi="Verdana" w:cs="Arial"/>
          <w:sz w:val="22"/>
          <w:szCs w:val="22"/>
          <w:lang w:eastAsia="en-US"/>
        </w:rPr>
        <w:t>, el cual dispuso que la publicación de la información contractual de los sujetos obligados, que contratan con cargo a recursos públicos, debe hacerse en el Sistema Electrónico de Contratación Pública –</w:t>
      </w:r>
      <w:r w:rsidRPr="008768AB">
        <w:rPr>
          <w:rFonts w:ascii="Verdana" w:eastAsiaTheme="minorHAnsi" w:hAnsi="Verdana" w:cs="Arial"/>
          <w:sz w:val="22"/>
          <w:szCs w:val="22"/>
          <w:lang w:eastAsia="en-US"/>
        </w:rPr>
        <w:softHyphen/>
        <w:t xml:space="preserve"> </w:t>
      </w:r>
      <w:r w:rsidRPr="008768AB">
        <w:rPr>
          <w:rFonts w:ascii="Verdana" w:eastAsiaTheme="minorHAnsi" w:hAnsi="Verdana" w:cs="Arial"/>
          <w:sz w:val="22"/>
          <w:szCs w:val="22"/>
          <w:lang w:eastAsia="en-US"/>
        </w:rPr>
        <w:softHyphen/>
        <w:t>SECOP.</w:t>
      </w:r>
    </w:p>
    <w:p w14:paraId="0C3AD6E6" w14:textId="77777777" w:rsidR="008768AB" w:rsidRDefault="008768AB" w:rsidP="008768AB">
      <w:pPr>
        <w:pStyle w:val="NormalWeb"/>
        <w:spacing w:before="0" w:beforeAutospacing="0" w:after="120" w:afterAutospacing="0" w:line="276" w:lineRule="auto"/>
        <w:ind w:firstLine="709"/>
        <w:jc w:val="both"/>
        <w:rPr>
          <w:rFonts w:ascii="Verdana" w:hAnsi="Verdana" w:cs="Arial"/>
          <w:sz w:val="22"/>
          <w:szCs w:val="22"/>
          <w:lang w:val="es-ES"/>
        </w:rPr>
      </w:pPr>
      <w:r w:rsidRPr="008768AB">
        <w:rPr>
          <w:rFonts w:ascii="Verdana" w:hAnsi="Verdana" w:cs="Arial"/>
          <w:sz w:val="22"/>
          <w:szCs w:val="22"/>
          <w:lang w:val="es-ES"/>
        </w:rPr>
        <w:t xml:space="preserve">Asimismo, de acuerdo con el literal g) del artículo 11 de la misma ley, todos los destinatarios de la ley de transparencia deben garantizar la publicidad de </w:t>
      </w:r>
      <w:r>
        <w:rPr>
          <w:rFonts w:ascii="Verdana" w:hAnsi="Verdana" w:cs="Arial"/>
          <w:lang w:val="es-ES"/>
        </w:rPr>
        <w:t>“</w:t>
      </w:r>
      <w:r w:rsidRPr="008768AB">
        <w:rPr>
          <w:rFonts w:ascii="Verdana" w:hAnsi="Verdana" w:cs="Arial"/>
          <w:sz w:val="22"/>
          <w:szCs w:val="22"/>
          <w:lang w:val="es-ES"/>
        </w:rPr>
        <w:t>sus procedimientos, lineamientos, políticas en materia de adquisiciones y compras, así como todos los datos de adjudicación y ejecución de contratos, incluidos concursos y licitaciones</w:t>
      </w:r>
      <w:r>
        <w:rPr>
          <w:rFonts w:ascii="Verdana" w:hAnsi="Verdana" w:cs="Arial"/>
          <w:lang w:val="es-ES"/>
        </w:rPr>
        <w:t>”</w:t>
      </w:r>
      <w:r w:rsidRPr="008768AB">
        <w:rPr>
          <w:rFonts w:ascii="Verdana" w:hAnsi="Verdana" w:cs="Arial"/>
          <w:sz w:val="22"/>
          <w:szCs w:val="22"/>
          <w:lang w:val="es-ES"/>
        </w:rPr>
        <w:t xml:space="preserve">, y esta información también debe estar en el SECOP. </w:t>
      </w:r>
    </w:p>
    <w:p w14:paraId="3E37ED4D" w14:textId="77777777" w:rsidR="008768AB" w:rsidRDefault="008768AB" w:rsidP="008768AB">
      <w:pPr>
        <w:pStyle w:val="NormalWeb"/>
        <w:spacing w:before="0" w:beforeAutospacing="0" w:after="120" w:afterAutospacing="0" w:line="276" w:lineRule="auto"/>
        <w:ind w:firstLine="709"/>
        <w:jc w:val="both"/>
        <w:rPr>
          <w:rFonts w:ascii="Verdana" w:eastAsia="Calibri" w:hAnsi="Verdana" w:cs="Arial"/>
          <w:sz w:val="22"/>
          <w:szCs w:val="22"/>
          <w:lang w:val="es-ES"/>
        </w:rPr>
      </w:pPr>
      <w:r w:rsidRPr="008768AB">
        <w:rPr>
          <w:rFonts w:ascii="Verdana" w:eastAsia="Calibri" w:hAnsi="Verdana" w:cs="Arial"/>
          <w:sz w:val="22"/>
          <w:szCs w:val="22"/>
          <w:lang w:val="es-ES"/>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8768AB">
        <w:rPr>
          <w:rStyle w:val="Refdenotaalpie"/>
          <w:rFonts w:ascii="Verdana" w:eastAsia="Calibri" w:hAnsi="Verdana" w:cs="Arial"/>
          <w:sz w:val="22"/>
          <w:szCs w:val="22"/>
          <w:lang w:val="es-ES"/>
        </w:rPr>
        <w:footnoteReference w:id="7"/>
      </w:r>
      <w:r w:rsidRPr="008768AB">
        <w:rPr>
          <w:rFonts w:ascii="Verdana" w:eastAsia="Calibri" w:hAnsi="Verdana" w:cs="Arial"/>
          <w:sz w:val="22"/>
          <w:szCs w:val="22"/>
          <w:lang w:val="es-ES"/>
        </w:rPr>
        <w:t>.</w:t>
      </w:r>
    </w:p>
    <w:p w14:paraId="112261E6" w14:textId="0E67FEB2" w:rsidR="008768AB" w:rsidRPr="008768AB" w:rsidRDefault="008768AB" w:rsidP="008768AB">
      <w:pPr>
        <w:pStyle w:val="NormalWeb"/>
        <w:spacing w:before="0" w:beforeAutospacing="0" w:after="120" w:afterAutospacing="0" w:line="276" w:lineRule="auto"/>
        <w:ind w:firstLine="709"/>
        <w:jc w:val="both"/>
        <w:rPr>
          <w:rFonts w:ascii="Verdana" w:eastAsiaTheme="minorHAnsi" w:hAnsi="Verdana" w:cs="Arial"/>
          <w:sz w:val="22"/>
          <w:szCs w:val="22"/>
          <w:lang w:eastAsia="en-US"/>
        </w:rPr>
      </w:pPr>
      <w:r w:rsidRPr="008768AB">
        <w:rPr>
          <w:rFonts w:ascii="Verdana" w:hAnsi="Verdana" w:cs="Arial"/>
          <w:sz w:val="22"/>
          <w:szCs w:val="22"/>
          <w:lang w:val="es-ES"/>
        </w:rPr>
        <w:t>En el año 2013, la Agencia Nacional de Contratación Pública – Colombia Compra Eficiente, mediante la Circular Externa No 1 del</w:t>
      </w:r>
      <w:r w:rsidRPr="008768AB">
        <w:rPr>
          <w:rFonts w:ascii="Verdana" w:hAnsi="Verdana"/>
          <w:sz w:val="22"/>
          <w:szCs w:val="22"/>
          <w:lang w:val="es-ES"/>
        </w:rPr>
        <w:t xml:space="preserve"> </w:t>
      </w:r>
      <w:r w:rsidRPr="008768AB">
        <w:rPr>
          <w:rFonts w:ascii="Verdana" w:hAnsi="Verdana" w:cs="Arial"/>
          <w:sz w:val="22"/>
          <w:szCs w:val="22"/>
          <w:lang w:val="es-ES"/>
        </w:rPr>
        <w:t>21 de junio de 2013</w:t>
      </w:r>
      <w:r w:rsidR="009E0459">
        <w:rPr>
          <w:rStyle w:val="Refdenotaalpie"/>
          <w:rFonts w:ascii="Verdana" w:hAnsi="Verdana" w:cs="Arial"/>
          <w:sz w:val="22"/>
          <w:szCs w:val="22"/>
          <w:lang w:val="es-ES"/>
        </w:rPr>
        <w:footnoteReference w:id="8"/>
      </w:r>
      <w:r w:rsidRPr="008768AB">
        <w:rPr>
          <w:rFonts w:ascii="Verdana" w:hAnsi="Verdana" w:cs="Arial"/>
          <w:sz w:val="22"/>
          <w:szCs w:val="22"/>
          <w:lang w:val="es-ES"/>
        </w:rPr>
        <w:t xml:space="preserve">, recopilada en la Circular Externa Única, recordó a todas las entidades del Estado el deber de publicar oportunamente su actividad contractual en el SECOP, sin </w:t>
      </w:r>
      <w:r w:rsidRPr="008768AB">
        <w:rPr>
          <w:rFonts w:ascii="Verdana" w:hAnsi="Verdana" w:cs="Arial"/>
          <w:sz w:val="22"/>
          <w:szCs w:val="22"/>
          <w:lang w:val="es-ES"/>
        </w:rPr>
        <w:lastRenderedPageBreak/>
        <w:t>distinción de su régimen jurídico, naturaleza jurídica o la pertenencia a una u otra rama del poder público</w:t>
      </w:r>
      <w:r w:rsidRPr="008768AB">
        <w:rPr>
          <w:rStyle w:val="Refdenotaalpie"/>
          <w:rFonts w:ascii="Verdana" w:hAnsi="Verdana" w:cs="Arial"/>
          <w:sz w:val="22"/>
          <w:szCs w:val="22"/>
          <w:lang w:val="es-ES"/>
        </w:rPr>
        <w:footnoteReference w:id="9"/>
      </w:r>
      <w:r w:rsidRPr="008768AB">
        <w:rPr>
          <w:rFonts w:ascii="Verdana" w:hAnsi="Verdana" w:cs="Arial"/>
          <w:sz w:val="22"/>
          <w:szCs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6F125BF7" w14:textId="77777777" w:rsidR="008768AB" w:rsidRPr="008768AB" w:rsidRDefault="008768AB" w:rsidP="008768AB">
      <w:pPr>
        <w:spacing w:line="276" w:lineRule="auto"/>
        <w:ind w:firstLine="709"/>
        <w:jc w:val="both"/>
        <w:rPr>
          <w:rFonts w:ascii="Verdana" w:hAnsi="Verdana" w:cs="Arial"/>
          <w:lang w:val="es-ES"/>
        </w:rPr>
      </w:pPr>
      <w:r w:rsidRPr="008768AB">
        <w:rPr>
          <w:rFonts w:ascii="Verdana" w:hAnsi="Verdana" w:cs="Arial"/>
          <w:lang w:val="es-ES"/>
        </w:rPr>
        <w:t xml:space="preserve">El debate sobre la obligatoriedad o no de publicar en el SECOP, para las entidades con régimen especial de contratación, fue definido, al menos de manera preliminar, por el Consejo de Estado. La Sección Tercera, Subsección C, en el Auto del 14 de agosto de 2017, </w:t>
      </w:r>
      <w:proofErr w:type="gramStart"/>
      <w:r w:rsidRPr="008768AB">
        <w:rPr>
          <w:rFonts w:ascii="Verdana" w:hAnsi="Verdana" w:cs="Arial"/>
          <w:lang w:val="es-ES"/>
        </w:rPr>
        <w:t>Consejero</w:t>
      </w:r>
      <w:proofErr w:type="gramEnd"/>
      <w:r w:rsidRPr="008768AB">
        <w:rPr>
          <w:rFonts w:ascii="Verdana" w:hAnsi="Verdana" w:cs="Arial"/>
          <w:lang w:val="es-ES"/>
        </w:rPr>
        <w:t xml:space="preserve"> Ponente Jaime Orlando Santofimio Gamboa, expresó que la obligación prevista en la Circular Externa No. 1 se ajusta a la normativa superior:</w:t>
      </w:r>
    </w:p>
    <w:p w14:paraId="0DC58AD6" w14:textId="77777777" w:rsidR="008768AB" w:rsidRPr="00192C7F" w:rsidRDefault="008768AB" w:rsidP="008768AB">
      <w:pPr>
        <w:tabs>
          <w:tab w:val="left" w:pos="3885"/>
        </w:tabs>
        <w:ind w:left="709" w:right="709"/>
        <w:jc w:val="both"/>
        <w:rPr>
          <w:rFonts w:ascii="Verdana" w:hAnsi="Verdana" w:cs="Arial"/>
          <w:sz w:val="21"/>
          <w:szCs w:val="21"/>
          <w:lang w:val="es-ES"/>
        </w:rPr>
      </w:pPr>
      <w:r w:rsidRPr="00192C7F">
        <w:rPr>
          <w:rFonts w:ascii="Verdana" w:hAnsi="Verdana"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E556CB6" w14:textId="77777777" w:rsidR="008768AB" w:rsidRPr="00192C7F" w:rsidRDefault="008768AB" w:rsidP="008768AB">
      <w:pPr>
        <w:tabs>
          <w:tab w:val="left" w:pos="3885"/>
        </w:tabs>
        <w:ind w:left="709" w:right="709"/>
        <w:jc w:val="both"/>
        <w:rPr>
          <w:rFonts w:ascii="Verdana" w:hAnsi="Verdana" w:cs="Arial"/>
          <w:sz w:val="21"/>
          <w:szCs w:val="21"/>
          <w:lang w:val="es-ES"/>
        </w:rPr>
      </w:pPr>
      <w:r w:rsidRPr="00192C7F">
        <w:rPr>
          <w:rFonts w:ascii="Verdana" w:hAnsi="Verdana" w:cs="Arial"/>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192C7F">
        <w:rPr>
          <w:rFonts w:ascii="Verdana" w:hAnsi="Verdana" w:cs="Arial"/>
          <w:sz w:val="21"/>
          <w:szCs w:val="21"/>
          <w:lang w:val="es-ES"/>
        </w:rPr>
        <w:t>en razón de</w:t>
      </w:r>
      <w:proofErr w:type="gramEnd"/>
      <w:r w:rsidRPr="00192C7F">
        <w:rPr>
          <w:rFonts w:ascii="Verdana" w:hAnsi="Verdana" w:cs="Arial"/>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6E3860C0" w14:textId="77777777" w:rsidR="008768AB" w:rsidRPr="00192C7F" w:rsidRDefault="008768AB" w:rsidP="008768AB">
      <w:pPr>
        <w:tabs>
          <w:tab w:val="left" w:pos="3885"/>
        </w:tabs>
        <w:ind w:left="709" w:right="709"/>
        <w:jc w:val="both"/>
        <w:rPr>
          <w:rFonts w:ascii="Verdana" w:hAnsi="Verdana" w:cs="Arial"/>
          <w:sz w:val="21"/>
          <w:szCs w:val="21"/>
          <w:lang w:val="es-ES"/>
        </w:rPr>
      </w:pPr>
      <w:r w:rsidRPr="00192C7F">
        <w:rPr>
          <w:rFonts w:ascii="Verdana" w:hAnsi="Verdana" w:cs="Arial"/>
          <w:sz w:val="21"/>
          <w:szCs w:val="21"/>
          <w:lang w:val="es-ES"/>
        </w:rPr>
        <w:t>[…]</w:t>
      </w:r>
    </w:p>
    <w:p w14:paraId="725E1A63" w14:textId="77777777" w:rsidR="008768AB" w:rsidRPr="00192C7F" w:rsidRDefault="008768AB" w:rsidP="008768AB">
      <w:pPr>
        <w:tabs>
          <w:tab w:val="left" w:pos="3885"/>
        </w:tabs>
        <w:ind w:left="709" w:right="709"/>
        <w:jc w:val="both"/>
        <w:rPr>
          <w:rFonts w:ascii="Verdana" w:hAnsi="Verdana" w:cs="Arial"/>
          <w:sz w:val="21"/>
          <w:szCs w:val="21"/>
          <w:lang w:val="es-ES"/>
        </w:rPr>
      </w:pPr>
      <w:r w:rsidRPr="00192C7F">
        <w:rPr>
          <w:rFonts w:ascii="Verdana" w:hAnsi="Verdana" w:cs="Arial"/>
          <w:sz w:val="21"/>
          <w:szCs w:val="21"/>
          <w:lang w:val="es-ES"/>
        </w:rPr>
        <w:t xml:space="preserve">Así, lo que resulta también razonable afirmar es que el aludido deber de informar ya se encontraba bien dispuesto y definido desde el precepto legal de 2007, pues del texto del inciso de marras se sabe </w:t>
      </w:r>
      <w:r w:rsidRPr="00192C7F">
        <w:rPr>
          <w:rFonts w:ascii="Verdana" w:hAnsi="Verdana" w:cs="Arial"/>
          <w:sz w:val="21"/>
          <w:szCs w:val="21"/>
          <w:lang w:val="es-ES"/>
        </w:rPr>
        <w:lastRenderedPageBreak/>
        <w:t>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192C7F">
        <w:rPr>
          <w:rStyle w:val="Refdenotaalpie"/>
          <w:rFonts w:ascii="Verdana" w:hAnsi="Verdana" w:cs="Arial"/>
          <w:sz w:val="21"/>
          <w:szCs w:val="21"/>
          <w:lang w:val="es-ES"/>
        </w:rPr>
        <w:footnoteReference w:id="10"/>
      </w:r>
      <w:r w:rsidRPr="00192C7F">
        <w:rPr>
          <w:rStyle w:val="Refdenotaalpie"/>
          <w:rFonts w:ascii="Verdana" w:hAnsi="Verdana" w:cs="Arial"/>
          <w:sz w:val="21"/>
          <w:szCs w:val="21"/>
          <w:lang w:val="es-ES"/>
        </w:rPr>
        <w:t>.</w:t>
      </w:r>
    </w:p>
    <w:p w14:paraId="3F39A044" w14:textId="77777777" w:rsidR="008768AB" w:rsidRPr="008768AB" w:rsidRDefault="008768AB" w:rsidP="008768AB">
      <w:pPr>
        <w:spacing w:line="276" w:lineRule="auto"/>
        <w:ind w:firstLine="708"/>
        <w:jc w:val="both"/>
        <w:rPr>
          <w:rFonts w:ascii="Verdana" w:hAnsi="Verdana" w:cs="Arial"/>
          <w:lang w:val="es-ES"/>
        </w:rPr>
      </w:pPr>
      <w:r w:rsidRPr="008768AB">
        <w:rPr>
          <w:rFonts w:ascii="Verdana" w:hAnsi="Verdana" w:cs="Arial"/>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en relación con el deber de publicidad de estos, el Consejo de Estado sostuvo: </w:t>
      </w:r>
    </w:p>
    <w:p w14:paraId="6B529F93" w14:textId="77777777" w:rsidR="008768AB" w:rsidRPr="00192C7F" w:rsidRDefault="008768AB" w:rsidP="008768AB">
      <w:pPr>
        <w:ind w:left="709" w:right="709"/>
        <w:jc w:val="both"/>
        <w:rPr>
          <w:rFonts w:ascii="Verdana" w:hAnsi="Verdana" w:cs="Arial"/>
          <w:sz w:val="21"/>
          <w:szCs w:val="21"/>
          <w:lang w:val="es-ES"/>
        </w:rPr>
      </w:pPr>
      <w:r w:rsidRPr="00192C7F">
        <w:rPr>
          <w:rFonts w:ascii="Verdana" w:hAnsi="Verdana"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0AE4F39E" w14:textId="4C6957B8" w:rsidR="008768AB" w:rsidRDefault="008768AB" w:rsidP="008768AB">
      <w:pPr>
        <w:spacing w:after="120" w:line="276" w:lineRule="auto"/>
        <w:ind w:firstLine="709"/>
        <w:jc w:val="both"/>
        <w:rPr>
          <w:rFonts w:ascii="Verdana" w:hAnsi="Verdana" w:cs="Arial"/>
          <w:lang w:val="es-ES"/>
        </w:rPr>
      </w:pPr>
      <w:r w:rsidRPr="008768AB">
        <w:rPr>
          <w:rFonts w:ascii="Verdana" w:hAnsi="Verdana" w:cs="Arial"/>
          <w:lang w:val="es-ES"/>
        </w:rPr>
        <w:t xml:space="preserve">Nótese, entonces, que el Consejo de Estado asumió como criterio para determinar la obligatoriedad de publicar en el SECOP que la contratación se haga con recursos públicos, conclusión que la extrajo del literal c) del artículo 3 de la Ley 1150 de 2007. </w:t>
      </w:r>
      <w:r w:rsidRPr="008768AB">
        <w:rPr>
          <w:rFonts w:ascii="Verdana" w:hAnsi="Verdana" w:cs="Arial"/>
          <w:b/>
          <w:bCs/>
          <w:lang w:val="es-ES"/>
        </w:rPr>
        <w:t>Así pues, a partir de la anterior decisión, la obligación de publicar en el SECOP, por parte de las entidades con régimen especial, no se deriva sólo de las Leyes 1150 de 2007, 1712 de 2014 y la Circular Externa Única</w:t>
      </w:r>
      <w:r w:rsidR="004A5BE2">
        <w:rPr>
          <w:rFonts w:ascii="Verdana" w:hAnsi="Verdana" w:cs="Arial"/>
          <w:b/>
          <w:bCs/>
          <w:lang w:val="es-ES"/>
        </w:rPr>
        <w:t xml:space="preserve"> </w:t>
      </w:r>
      <w:r w:rsidR="00D3159A" w:rsidRPr="00D3159A">
        <w:rPr>
          <w:rFonts w:ascii="Verdana" w:hAnsi="Verdana" w:cs="Arial"/>
          <w:b/>
          <w:bCs/>
          <w:lang w:val="es-ES"/>
        </w:rPr>
        <w:t>del 27 de diciembre de 2023.</w:t>
      </w:r>
      <w:r w:rsidR="004A5BE2">
        <w:rPr>
          <w:rFonts w:ascii="Verdana" w:hAnsi="Verdana" w:cs="Arial"/>
          <w:b/>
          <w:bCs/>
          <w:lang w:val="es-ES"/>
        </w:rPr>
        <w:t xml:space="preserve"> </w:t>
      </w:r>
      <w:r w:rsidRPr="008768AB">
        <w:rPr>
          <w:rFonts w:ascii="Verdana" w:hAnsi="Verdana" w:cs="Arial"/>
          <w:b/>
          <w:bCs/>
          <w:lang w:val="es-ES"/>
        </w:rPr>
        <w:t>, sino también de la jurisprudencia del Consejo de Estado</w:t>
      </w:r>
      <w:r w:rsidR="007C4C8B">
        <w:rPr>
          <w:rStyle w:val="Refdenotaalpie"/>
          <w:rFonts w:ascii="Verdana" w:hAnsi="Verdana" w:cs="Arial"/>
          <w:b/>
          <w:bCs/>
          <w:lang w:val="es-ES"/>
        </w:rPr>
        <w:footnoteReference w:id="11"/>
      </w:r>
      <w:r w:rsidRPr="008768AB">
        <w:rPr>
          <w:rFonts w:ascii="Verdana" w:hAnsi="Verdana" w:cs="Arial"/>
          <w:lang w:val="es-ES"/>
        </w:rPr>
        <w:t xml:space="preserve">. </w:t>
      </w:r>
    </w:p>
    <w:p w14:paraId="6109740A" w14:textId="170ECBB8" w:rsidR="00C5144C" w:rsidRDefault="007C4C8B" w:rsidP="003338C8">
      <w:pPr>
        <w:spacing w:before="120" w:line="276" w:lineRule="auto"/>
        <w:ind w:firstLine="708"/>
        <w:jc w:val="both"/>
        <w:rPr>
          <w:rFonts w:ascii="Verdana" w:hAnsi="Verdana" w:cs="Arial"/>
          <w:color w:val="000000" w:themeColor="text1"/>
        </w:rPr>
      </w:pPr>
      <w:r>
        <w:rPr>
          <w:rFonts w:ascii="Verdana" w:hAnsi="Verdana" w:cs="Arial"/>
          <w:color w:val="000000" w:themeColor="text1"/>
        </w:rPr>
        <w:lastRenderedPageBreak/>
        <w:t xml:space="preserve">Ahora bien, frente al deber de publicación </w:t>
      </w:r>
      <w:r w:rsidRPr="007C4C8B">
        <w:rPr>
          <w:rFonts w:ascii="Verdana" w:hAnsi="Verdana" w:cs="Arial"/>
          <w:color w:val="000000" w:themeColor="text1"/>
        </w:rPr>
        <w:t xml:space="preserve">en el SECOP II </w:t>
      </w:r>
      <w:r>
        <w:rPr>
          <w:rFonts w:ascii="Verdana" w:hAnsi="Verdana" w:cs="Arial"/>
          <w:color w:val="000000" w:themeColor="text1"/>
        </w:rPr>
        <w:t xml:space="preserve">de </w:t>
      </w:r>
      <w:r w:rsidRPr="007C4C8B">
        <w:rPr>
          <w:rFonts w:ascii="Verdana" w:hAnsi="Verdana" w:cs="Arial"/>
          <w:color w:val="000000" w:themeColor="text1"/>
        </w:rPr>
        <w:t>los contratos celebrados con organismos internacionales</w:t>
      </w:r>
      <w:r w:rsidR="00192C7F">
        <w:rPr>
          <w:rFonts w:ascii="Verdana" w:hAnsi="Verdana" w:cs="Arial"/>
          <w:color w:val="000000" w:themeColor="text1"/>
        </w:rPr>
        <w:t xml:space="preserve">, el parágrafo 2 del </w:t>
      </w:r>
      <w:proofErr w:type="spellStart"/>
      <w:r w:rsidR="00192C7F">
        <w:rPr>
          <w:rFonts w:ascii="Verdana" w:hAnsi="Verdana" w:cs="Arial"/>
          <w:color w:val="000000" w:themeColor="text1"/>
        </w:rPr>
        <w:t>articulo</w:t>
      </w:r>
      <w:proofErr w:type="spellEnd"/>
      <w:r w:rsidR="00192C7F">
        <w:rPr>
          <w:rFonts w:ascii="Verdana" w:hAnsi="Verdana" w:cs="Arial"/>
          <w:color w:val="000000" w:themeColor="text1"/>
        </w:rPr>
        <w:t xml:space="preserve"> 20 de la Ley 1150 de 2007 establece:</w:t>
      </w:r>
    </w:p>
    <w:p w14:paraId="7842F464" w14:textId="16A2E890" w:rsidR="00192C7F" w:rsidRPr="00192C7F" w:rsidRDefault="00192C7F" w:rsidP="00192C7F">
      <w:pPr>
        <w:ind w:left="851" w:right="760"/>
        <w:jc w:val="both"/>
        <w:rPr>
          <w:rFonts w:ascii="Verdana" w:hAnsi="Verdana" w:cs="Arial"/>
          <w:color w:val="000000" w:themeColor="text1"/>
          <w:sz w:val="21"/>
          <w:szCs w:val="21"/>
        </w:rPr>
      </w:pPr>
      <w:r w:rsidRPr="00192C7F">
        <w:rPr>
          <w:rFonts w:ascii="Verdana" w:hAnsi="Verdana" w:cs="Arial"/>
          <w:b/>
          <w:bCs/>
          <w:color w:val="000000" w:themeColor="text1"/>
          <w:sz w:val="21"/>
          <w:szCs w:val="21"/>
        </w:rPr>
        <w:t>Artículo</w:t>
      </w:r>
      <w:r w:rsidRPr="00FF55C6">
        <w:rPr>
          <w:rFonts w:ascii="Verdana" w:hAnsi="Verdana" w:cs="Arial"/>
          <w:b/>
          <w:bCs/>
          <w:color w:val="000000" w:themeColor="text1"/>
          <w:sz w:val="21"/>
          <w:szCs w:val="21"/>
        </w:rPr>
        <w:t xml:space="preserve"> </w:t>
      </w:r>
      <w:r w:rsidRPr="00192C7F">
        <w:rPr>
          <w:rFonts w:ascii="Verdana" w:hAnsi="Verdana" w:cs="Arial"/>
          <w:b/>
          <w:bCs/>
          <w:color w:val="000000" w:themeColor="text1"/>
          <w:sz w:val="21"/>
          <w:szCs w:val="21"/>
        </w:rPr>
        <w:t>20.</w:t>
      </w:r>
      <w:r w:rsidRPr="00FF55C6">
        <w:rPr>
          <w:rFonts w:ascii="Verdana" w:hAnsi="Verdana" w:cs="Arial"/>
          <w:b/>
          <w:bCs/>
          <w:color w:val="000000" w:themeColor="text1"/>
          <w:sz w:val="21"/>
          <w:szCs w:val="21"/>
        </w:rPr>
        <w:t xml:space="preserve"> </w:t>
      </w:r>
      <w:r w:rsidRPr="00192C7F">
        <w:rPr>
          <w:rFonts w:ascii="Verdana" w:hAnsi="Verdana" w:cs="Arial"/>
          <w:i/>
          <w:iCs/>
          <w:color w:val="000000" w:themeColor="text1"/>
          <w:sz w:val="21"/>
          <w:szCs w:val="21"/>
        </w:rPr>
        <w:t>De la contratación con organismos internacionales. </w:t>
      </w:r>
      <w:r w:rsidRPr="00192C7F">
        <w:rPr>
          <w:rFonts w:ascii="Verdana" w:hAnsi="Verdana" w:cs="Arial"/>
          <w:color w:val="000000" w:themeColor="text1"/>
          <w:sz w:val="21"/>
          <w:szCs w:val="21"/>
        </w:rPr>
        <w:t>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80 de 1993. Los recursos de contrapartida vinculados a estas operaciones podrán tener el mismo tratamiento. </w:t>
      </w:r>
    </w:p>
    <w:p w14:paraId="00278D3A" w14:textId="215490EA" w:rsidR="00192C7F" w:rsidRPr="00192C7F" w:rsidRDefault="00192C7F" w:rsidP="00192C7F">
      <w:pPr>
        <w:ind w:left="851" w:right="760"/>
        <w:jc w:val="both"/>
        <w:rPr>
          <w:rFonts w:ascii="Verdana" w:hAnsi="Verdana" w:cs="Arial"/>
          <w:color w:val="000000" w:themeColor="text1"/>
          <w:sz w:val="21"/>
          <w:szCs w:val="21"/>
        </w:rPr>
      </w:pPr>
      <w:r w:rsidRPr="00192C7F">
        <w:rPr>
          <w:rFonts w:ascii="Verdana" w:hAnsi="Verdana" w:cs="Arial"/>
          <w:color w:val="000000" w:themeColor="text1"/>
          <w:sz w:val="21"/>
          <w:szCs w:val="21"/>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 </w:t>
      </w:r>
    </w:p>
    <w:p w14:paraId="23927949" w14:textId="77777777" w:rsidR="00192C7F" w:rsidRPr="00192C7F" w:rsidRDefault="00192C7F" w:rsidP="00192C7F">
      <w:pPr>
        <w:ind w:left="851" w:right="760"/>
        <w:jc w:val="both"/>
        <w:rPr>
          <w:rFonts w:ascii="Verdana" w:hAnsi="Verdana" w:cs="Arial"/>
          <w:color w:val="000000" w:themeColor="text1"/>
          <w:sz w:val="21"/>
          <w:szCs w:val="21"/>
        </w:rPr>
      </w:pPr>
      <w:r w:rsidRPr="00192C7F">
        <w:rPr>
          <w:rFonts w:ascii="Verdana" w:hAnsi="Verdana" w:cs="Arial"/>
          <w:color w:val="000000" w:themeColor="text1"/>
          <w:sz w:val="21"/>
          <w:szCs w:val="21"/>
        </w:rPr>
        <w:t>Las entidades estatales no podrán celebrar contratos o convenios para la administración o gerencia de sus recursos propios o de aquellos que les asignen los presupuestos públicos, con organismos de cooperación, asistencia o ayuda internacional. </w:t>
      </w:r>
    </w:p>
    <w:p w14:paraId="2CDB1CB4" w14:textId="15ABD2CE" w:rsidR="00FF55C6" w:rsidRPr="00FF55C6" w:rsidRDefault="00FF55C6" w:rsidP="00FF55C6">
      <w:pPr>
        <w:tabs>
          <w:tab w:val="left" w:pos="3885"/>
        </w:tabs>
        <w:ind w:left="709" w:right="709"/>
        <w:jc w:val="both"/>
        <w:rPr>
          <w:rFonts w:ascii="Verdana" w:hAnsi="Verdana" w:cs="Arial"/>
          <w:sz w:val="21"/>
          <w:szCs w:val="21"/>
          <w:lang w:val="es-ES"/>
        </w:rPr>
      </w:pPr>
      <w:r w:rsidRPr="00FF55C6">
        <w:rPr>
          <w:rFonts w:ascii="Verdana" w:hAnsi="Verdana" w:cs="Arial"/>
          <w:color w:val="000000" w:themeColor="text1"/>
          <w:sz w:val="21"/>
          <w:szCs w:val="21"/>
        </w:rPr>
        <w:t xml:space="preserve">  </w:t>
      </w:r>
      <w:r w:rsidRPr="00FF55C6">
        <w:rPr>
          <w:rFonts w:ascii="Verdana" w:hAnsi="Verdana" w:cs="Arial"/>
          <w:sz w:val="21"/>
          <w:szCs w:val="21"/>
          <w:lang w:val="es-ES"/>
        </w:rPr>
        <w:t>[…]</w:t>
      </w:r>
    </w:p>
    <w:p w14:paraId="728BDF11" w14:textId="13906237" w:rsidR="00192C7F" w:rsidRPr="00FF55C6" w:rsidRDefault="00FF55C6" w:rsidP="00FF55C6">
      <w:pPr>
        <w:ind w:left="851" w:right="758"/>
        <w:jc w:val="both"/>
        <w:rPr>
          <w:rFonts w:ascii="Verdana" w:hAnsi="Verdana" w:cs="Arial"/>
          <w:color w:val="000000" w:themeColor="text1"/>
          <w:sz w:val="21"/>
          <w:szCs w:val="21"/>
        </w:rPr>
      </w:pPr>
      <w:r w:rsidRPr="00FF55C6">
        <w:rPr>
          <w:rFonts w:ascii="Verdana" w:hAnsi="Verdana" w:cs="Arial"/>
          <w:b/>
          <w:bCs/>
          <w:color w:val="000000" w:themeColor="text1"/>
          <w:sz w:val="21"/>
          <w:szCs w:val="21"/>
        </w:rPr>
        <w:t>Parágrafo 2°</w:t>
      </w:r>
      <w:r w:rsidRPr="00FF55C6">
        <w:rPr>
          <w:rFonts w:ascii="Verdana" w:hAnsi="Verdana" w:cs="Arial"/>
          <w:color w:val="000000" w:themeColor="text1"/>
          <w:sz w:val="21"/>
          <w:szCs w:val="21"/>
        </w:rPr>
        <w:t xml:space="preserve">. Las entidades estatales tendrán la obligación de reportar la información a los organismos de control y al </w:t>
      </w:r>
      <w:proofErr w:type="spellStart"/>
      <w:r w:rsidRPr="00FF55C6">
        <w:rPr>
          <w:rFonts w:ascii="Verdana" w:hAnsi="Verdana" w:cs="Arial"/>
          <w:color w:val="000000" w:themeColor="text1"/>
          <w:sz w:val="21"/>
          <w:szCs w:val="21"/>
        </w:rPr>
        <w:t>Secop</w:t>
      </w:r>
      <w:proofErr w:type="spellEnd"/>
      <w:r w:rsidRPr="00FF55C6">
        <w:rPr>
          <w:rFonts w:ascii="Verdana" w:hAnsi="Verdana" w:cs="Arial"/>
          <w:color w:val="000000" w:themeColor="text1"/>
          <w:sz w:val="21"/>
          <w:szCs w:val="21"/>
        </w:rPr>
        <w:t xml:space="preserve"> relativa a la ejecución de los contratos a los que se refiere el presente artículo.</w:t>
      </w:r>
    </w:p>
    <w:p w14:paraId="54C9AB92" w14:textId="77777777" w:rsidR="00FF55C6" w:rsidRPr="00FF55C6" w:rsidRDefault="00FF55C6" w:rsidP="00FF55C6">
      <w:pPr>
        <w:tabs>
          <w:tab w:val="left" w:pos="3885"/>
        </w:tabs>
        <w:ind w:left="709" w:right="709"/>
        <w:jc w:val="both"/>
        <w:rPr>
          <w:rFonts w:ascii="Verdana" w:hAnsi="Verdana" w:cs="Arial"/>
          <w:sz w:val="21"/>
          <w:szCs w:val="21"/>
          <w:lang w:val="es-ES"/>
        </w:rPr>
      </w:pPr>
      <w:r w:rsidRPr="00FF55C6">
        <w:rPr>
          <w:rFonts w:ascii="Verdana" w:hAnsi="Verdana" w:cs="Arial"/>
          <w:color w:val="000000" w:themeColor="text1"/>
          <w:sz w:val="21"/>
          <w:szCs w:val="21"/>
        </w:rPr>
        <w:lastRenderedPageBreak/>
        <w:t xml:space="preserve">  </w:t>
      </w:r>
      <w:r w:rsidRPr="00FF55C6">
        <w:rPr>
          <w:rFonts w:ascii="Verdana" w:hAnsi="Verdana" w:cs="Arial"/>
          <w:sz w:val="21"/>
          <w:szCs w:val="21"/>
          <w:lang w:val="es-ES"/>
        </w:rPr>
        <w:t>[…]</w:t>
      </w:r>
    </w:p>
    <w:p w14:paraId="68645BC5" w14:textId="2A5F6CDF" w:rsidR="003338C8" w:rsidRDefault="0096026B" w:rsidP="003338C8">
      <w:pPr>
        <w:spacing w:after="120" w:line="276" w:lineRule="auto"/>
        <w:ind w:firstLine="709"/>
        <w:jc w:val="both"/>
        <w:rPr>
          <w:rFonts w:ascii="Verdana" w:hAnsi="Verdana" w:cs="Arial"/>
          <w:lang w:val="es-ES"/>
        </w:rPr>
      </w:pPr>
      <w:r>
        <w:rPr>
          <w:rFonts w:ascii="Verdana" w:hAnsi="Verdana" w:cs="Arial"/>
          <w:lang w:val="es-ES"/>
        </w:rPr>
        <w:t>De esta manera</w:t>
      </w:r>
      <w:r w:rsidR="000C7F87">
        <w:rPr>
          <w:rFonts w:ascii="Verdana" w:hAnsi="Verdana" w:cs="Arial"/>
          <w:lang w:val="es-ES"/>
        </w:rPr>
        <w:t>,</w:t>
      </w:r>
      <w:r>
        <w:rPr>
          <w:rFonts w:ascii="Verdana" w:hAnsi="Verdana" w:cs="Arial"/>
          <w:lang w:val="es-ES"/>
        </w:rPr>
        <w:t xml:space="preserve"> l</w:t>
      </w:r>
      <w:r w:rsidR="003338C8" w:rsidRPr="003338C8">
        <w:rPr>
          <w:rFonts w:ascii="Verdana" w:hAnsi="Verdana" w:cs="Arial"/>
          <w:lang w:val="es-ES"/>
        </w:rPr>
        <w:t xml:space="preserve">as Entidades Estatales que celebren contratos o convenios de los que trata el artículo 20 de la Ley 1150 de 2007, sin importar el régimen jurídico aplicable, deben reportar la información al SECOP. En este caso, si de acuerdo con el artículo 20 de la Ley 1150 de 2007, la contratación se rige por una normativa diferente a la colombiana, la publicación deberá realizarse mediante el módulo “Régimen Especial”, el cual permitirá adaptar el Proceso de Contratación a lo exigido en los reglamentos del organismo internacional. Los restantes módulos corresponden a las modalidades de selección que contempla la Ley 80 de 1993 y la Ley 1150 de 2007. El procedimiento para publicar a través del módulo “Régimen Especial” se encuentra disponible en:   </w:t>
      </w:r>
      <w:hyperlink r:id="rId13" w:history="1">
        <w:r w:rsidR="000C7F87" w:rsidRPr="000E2D8D">
          <w:rPr>
            <w:rStyle w:val="Hipervnculo"/>
            <w:rFonts w:ascii="Verdana" w:hAnsi="Verdana" w:cs="Arial"/>
            <w:lang w:val="es-ES"/>
          </w:rPr>
          <w:t>https://www.colombiacompra.gov.co/perfilcompradores-secop/perfil-comprad</w:t>
        </w:r>
      </w:hyperlink>
      <w:r w:rsidR="000C7F87">
        <w:rPr>
          <w:rFonts w:ascii="Verdana" w:hAnsi="Verdana" w:cs="Arial"/>
          <w:lang w:val="es-ES"/>
        </w:rPr>
        <w:t xml:space="preserve"> </w:t>
      </w:r>
      <w:r w:rsidR="003338C8" w:rsidRPr="003338C8">
        <w:rPr>
          <w:rFonts w:ascii="Verdana" w:hAnsi="Verdana" w:cs="Arial"/>
          <w:lang w:val="es-ES"/>
        </w:rPr>
        <w:t>ores-</w:t>
      </w:r>
      <w:proofErr w:type="spellStart"/>
      <w:r w:rsidR="003338C8" w:rsidRPr="003338C8">
        <w:rPr>
          <w:rFonts w:ascii="Verdana" w:hAnsi="Verdana" w:cs="Arial"/>
          <w:lang w:val="es-ES"/>
        </w:rPr>
        <w:t>secop</w:t>
      </w:r>
      <w:proofErr w:type="spellEnd"/>
      <w:r w:rsidR="003338C8" w:rsidRPr="003338C8">
        <w:rPr>
          <w:rFonts w:ascii="Verdana" w:hAnsi="Verdana" w:cs="Arial"/>
          <w:lang w:val="es-ES"/>
        </w:rPr>
        <w:t xml:space="preserve">    </w:t>
      </w:r>
    </w:p>
    <w:p w14:paraId="11A01B40" w14:textId="31AFFAD5" w:rsidR="00EA0C0D" w:rsidRPr="00EA0C0D" w:rsidRDefault="00EA0C0D" w:rsidP="00EA0C0D">
      <w:pPr>
        <w:spacing w:before="120" w:line="276" w:lineRule="auto"/>
        <w:jc w:val="both"/>
        <w:rPr>
          <w:rFonts w:ascii="Verdana" w:hAnsi="Verdana" w:cs="Arial"/>
          <w:color w:val="000000" w:themeColor="text1"/>
        </w:rPr>
      </w:pPr>
    </w:p>
    <w:p w14:paraId="27355FBD" w14:textId="6BFD4222" w:rsidR="007E4284" w:rsidRPr="00593A5F" w:rsidRDefault="00356BE2"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R</w:t>
      </w:r>
      <w:r w:rsidR="007E4284" w:rsidRPr="00593A5F">
        <w:rPr>
          <w:rFonts w:ascii="Verdana" w:eastAsia="Century Gothic" w:hAnsi="Verdana" w:cs="Century Gothic"/>
          <w:b/>
          <w:bCs/>
        </w:rPr>
        <w:t>eferencias normativas, jurisprudenciales y otras fuentes:</w:t>
      </w:r>
    </w:p>
    <w:p w14:paraId="45A6AF20" w14:textId="77777777" w:rsidR="007E4284" w:rsidRPr="00593A5F" w:rsidRDefault="007E4284" w:rsidP="007E4284">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E4284" w:rsidRPr="00593A5F" w14:paraId="5A2D1EE2" w14:textId="77777777" w:rsidTr="00730488">
        <w:trPr>
          <w:trHeight w:val="870"/>
        </w:trPr>
        <w:tc>
          <w:tcPr>
            <w:tcW w:w="8647" w:type="dxa"/>
          </w:tcPr>
          <w:p w14:paraId="5FDBD68D" w14:textId="385D37D7" w:rsidR="00062D51" w:rsidRPr="000C7F87" w:rsidRDefault="00062D51" w:rsidP="007E4284">
            <w:pPr>
              <w:pStyle w:val="Prrafodelista"/>
              <w:numPr>
                <w:ilvl w:val="0"/>
                <w:numId w:val="18"/>
              </w:numPr>
              <w:spacing w:after="120" w:line="276" w:lineRule="auto"/>
              <w:ind w:right="709"/>
              <w:jc w:val="both"/>
              <w:rPr>
                <w:rFonts w:ascii="Verdana" w:hAnsi="Verdana" w:cs="Arial"/>
                <w:noProof/>
                <w:lang w:val="es-ES_tradnl"/>
              </w:rPr>
            </w:pPr>
            <w:r w:rsidRPr="000C7F87">
              <w:rPr>
                <w:rFonts w:ascii="Verdana" w:hAnsi="Verdana" w:cs="Arial"/>
                <w:noProof/>
                <w:lang w:val="es-ES_tradnl"/>
              </w:rPr>
              <w:t xml:space="preserve">Ley 80 de 1993 </w:t>
            </w:r>
          </w:p>
          <w:p w14:paraId="14E0EAAE" w14:textId="39F18E98" w:rsidR="000C7F87" w:rsidRPr="000C7F87" w:rsidRDefault="000C7F87" w:rsidP="007E4284">
            <w:pPr>
              <w:pStyle w:val="Prrafodelista"/>
              <w:numPr>
                <w:ilvl w:val="0"/>
                <w:numId w:val="18"/>
              </w:numPr>
              <w:spacing w:after="120" w:line="276" w:lineRule="auto"/>
              <w:ind w:right="709"/>
              <w:jc w:val="both"/>
              <w:rPr>
                <w:rFonts w:ascii="Verdana" w:hAnsi="Verdana" w:cs="Arial"/>
                <w:noProof/>
                <w:lang w:val="es-ES_tradnl"/>
              </w:rPr>
            </w:pPr>
            <w:r w:rsidRPr="000C7F87">
              <w:rPr>
                <w:rFonts w:ascii="Verdana" w:hAnsi="Verdana" w:cs="Arial"/>
                <w:noProof/>
                <w:lang w:val="es-ES_tradnl"/>
              </w:rPr>
              <w:t>Ley 1150 de 2007</w:t>
            </w:r>
          </w:p>
          <w:p w14:paraId="01C0CF80" w14:textId="480BABE3" w:rsidR="000C7F87" w:rsidRPr="000C7F87" w:rsidRDefault="000C7F87" w:rsidP="00DD313F">
            <w:pPr>
              <w:pStyle w:val="Prrafodelista"/>
              <w:numPr>
                <w:ilvl w:val="0"/>
                <w:numId w:val="18"/>
              </w:numPr>
              <w:spacing w:after="120" w:line="276" w:lineRule="auto"/>
              <w:ind w:right="709"/>
              <w:jc w:val="both"/>
              <w:rPr>
                <w:rFonts w:ascii="Verdana" w:hAnsi="Verdana" w:cs="Arial"/>
              </w:rPr>
            </w:pPr>
            <w:r w:rsidRPr="000C7F87">
              <w:rPr>
                <w:rFonts w:ascii="Verdana" w:hAnsi="Verdana" w:cs="Arial"/>
              </w:rPr>
              <w:t xml:space="preserve">Ley 1712 de 2014 </w:t>
            </w:r>
          </w:p>
          <w:p w14:paraId="08DB2528" w14:textId="11122FCF" w:rsidR="007E4284" w:rsidRPr="000D446F" w:rsidRDefault="000C7F87" w:rsidP="00DD313F">
            <w:pPr>
              <w:pStyle w:val="Prrafodelista"/>
              <w:numPr>
                <w:ilvl w:val="0"/>
                <w:numId w:val="18"/>
              </w:numPr>
              <w:spacing w:after="120" w:line="276" w:lineRule="auto"/>
              <w:ind w:right="709"/>
              <w:jc w:val="both"/>
              <w:rPr>
                <w:rFonts w:ascii="Verdana" w:hAnsi="Verdana" w:cs="Arial"/>
              </w:rPr>
            </w:pPr>
            <w:r w:rsidRPr="000C7F87">
              <w:rPr>
                <w:rFonts w:ascii="Verdana" w:hAnsi="Verdana" w:cs="Arial"/>
              </w:rPr>
              <w:t>Circular Externa Única del 27 de diciembre de 2023</w:t>
            </w:r>
          </w:p>
        </w:tc>
      </w:tr>
    </w:tbl>
    <w:p w14:paraId="1006BC84" w14:textId="77777777" w:rsidR="007E4284" w:rsidRPr="00593A5F" w:rsidRDefault="007E4284" w:rsidP="007E4284">
      <w:pPr>
        <w:widowControl w:val="0"/>
        <w:autoSpaceDE w:val="0"/>
        <w:autoSpaceDN w:val="0"/>
        <w:spacing w:after="0" w:line="276" w:lineRule="auto"/>
        <w:jc w:val="both"/>
        <w:rPr>
          <w:rFonts w:ascii="Verdana" w:hAnsi="Verdana" w:cs="Arial"/>
        </w:rPr>
      </w:pPr>
    </w:p>
    <w:p w14:paraId="6D7AC375"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19A93F7D" w14:textId="77777777" w:rsidR="007E4284" w:rsidRDefault="007E4284" w:rsidP="007E4284">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235B335F" w14:textId="08A6C3AF" w:rsidR="00C621FD" w:rsidRPr="00C621FD" w:rsidRDefault="00C621FD" w:rsidP="00BB5B33">
      <w:pPr>
        <w:spacing w:before="120" w:line="276" w:lineRule="auto"/>
        <w:jc w:val="both"/>
        <w:rPr>
          <w:rStyle w:val="normaltextrun"/>
          <w:rFonts w:ascii="Verdana" w:hAnsi="Verdana" w:cs="Arial"/>
          <w:shd w:val="clear" w:color="auto" w:fill="FFFFFF"/>
          <w:lang w:val="es-ES"/>
        </w:rPr>
      </w:pPr>
      <w:r>
        <w:rPr>
          <w:rFonts w:ascii="Verdana" w:eastAsia="Calibri" w:hAnsi="Verdana" w:cs="Arial"/>
          <w:bCs/>
          <w:lang w:val="es-ES"/>
        </w:rPr>
        <w:t>L</w:t>
      </w:r>
      <w:r w:rsidRPr="00C621FD">
        <w:rPr>
          <w:rFonts w:ascii="Verdana" w:eastAsia="Calibri" w:hAnsi="Verdana" w:cs="Arial"/>
          <w:bCs/>
          <w:lang w:val="es-ES"/>
        </w:rPr>
        <w:t xml:space="preserve">a Agencia Nacional de Contratación Pública </w:t>
      </w:r>
      <w:r w:rsidRPr="00C621FD">
        <w:rPr>
          <w:rFonts w:ascii="Verdana" w:eastAsia="Calibri" w:hAnsi="Verdana" w:cs="Arial"/>
          <w:bCs/>
        </w:rPr>
        <w:t xml:space="preserve">estudió el deber de publicidad de las actuaciones contractuales de las entidades con régimen especial de contratación, en el concepto con radicado No. 4201913000005397 del 9 de agosto de 2019, posición que reiteró y desarrolló en los siguientes conceptos: 4201912000006611 del 25 de septiembre de 2019, </w:t>
      </w:r>
      <w:r w:rsidRPr="00C621FD">
        <w:rPr>
          <w:rFonts w:ascii="Verdana" w:eastAsia="Calibri" w:hAnsi="Verdana" w:cs="Arial"/>
        </w:rPr>
        <w:t xml:space="preserve">4201913000006847 del 4 de octubre de 2019, </w:t>
      </w:r>
      <w:r w:rsidRPr="00C621FD">
        <w:rPr>
          <w:rFonts w:ascii="Verdana" w:eastAsia="Calibri" w:hAnsi="Verdana" w:cs="Arial"/>
          <w:bCs/>
        </w:rPr>
        <w:t>4201912000007828 del 13 de noviembre de 2019,</w:t>
      </w:r>
      <w:r w:rsidRPr="00C621FD">
        <w:rPr>
          <w:rFonts w:ascii="Verdana" w:eastAsia="Calibri" w:hAnsi="Verdana" w:cs="Arial"/>
        </w:rPr>
        <w:t xml:space="preserve"> </w:t>
      </w:r>
      <w:r w:rsidRPr="00C621FD">
        <w:rPr>
          <w:rFonts w:ascii="Verdana" w:eastAsia="Calibri" w:hAnsi="Verdana" w:cs="Arial"/>
          <w:bCs/>
        </w:rPr>
        <w:t xml:space="preserve">4201912000007762 del 18 de noviembre de 2019. Las posturas expuestas por la Subdirección en relación con la materia, </w:t>
      </w:r>
      <w:r w:rsidRPr="00C621FD">
        <w:rPr>
          <w:rFonts w:ascii="Verdana" w:eastAsia="Calibri" w:hAnsi="Verdana" w:cs="Arial"/>
        </w:rPr>
        <w:t xml:space="preserve">fueron unificadas en el concepto CU–003 de 3 de enero de 2020, confirmado en los conceptos C–061 de 21 de enero de 2020, C–115 de 11 de febrero de 2020, C–149 de 14 de febrero de 2020, C–312 del 6 de mayo de 2020, C–346 del 26 de mayo de 2020, C-369 del 4 de junio de 2020, C-399 del 23 de junio de 2020, C-372 del 30 de junio de 2020, C-437 del 6 de julio de 2020, C-468 del 24 de julio de 2020, C-494 del 4 de </w:t>
      </w:r>
      <w:r w:rsidRPr="00C621FD">
        <w:rPr>
          <w:rFonts w:ascii="Verdana" w:eastAsia="Calibri" w:hAnsi="Verdana" w:cs="Arial"/>
        </w:rPr>
        <w:lastRenderedPageBreak/>
        <w:t>agosto de 2020, C-449 del 5 de agosto de 2020, C-559  del 25 de agosto de 2020, C-562 del 25 de agosto de 2020 y C-574 del 27 de agosto de 2020</w:t>
      </w:r>
      <w:r w:rsidRPr="00C621FD">
        <w:rPr>
          <w:rFonts w:ascii="Verdana" w:eastAsia="Calibri" w:hAnsi="Verdana" w:cs="Arial"/>
          <w:bCs/>
        </w:rPr>
        <w:t xml:space="preserve">. De otra parte, en </w:t>
      </w:r>
      <w:r>
        <w:rPr>
          <w:rFonts w:ascii="Verdana" w:eastAsia="Calibri" w:hAnsi="Verdana" w:cs="Arial"/>
          <w:bCs/>
        </w:rPr>
        <w:t>los</w:t>
      </w:r>
      <w:r w:rsidRPr="00C621FD">
        <w:rPr>
          <w:rFonts w:ascii="Verdana" w:eastAsia="Calibri" w:hAnsi="Verdana" w:cs="Arial"/>
          <w:bCs/>
        </w:rPr>
        <w:t xml:space="preserve"> </w:t>
      </w:r>
      <w:r w:rsidRPr="00C621FD">
        <w:rPr>
          <w:rFonts w:ascii="Verdana" w:eastAsia="Calibri" w:hAnsi="Verdana" w:cs="Arial"/>
          <w:lang w:val="es-ES"/>
        </w:rPr>
        <w:t>concepto</w:t>
      </w:r>
      <w:r>
        <w:rPr>
          <w:rFonts w:ascii="Verdana" w:eastAsia="Calibri" w:hAnsi="Verdana" w:cs="Arial"/>
          <w:lang w:val="es-ES"/>
        </w:rPr>
        <w:t>s</w:t>
      </w:r>
      <w:r w:rsidRPr="00C621FD">
        <w:rPr>
          <w:rFonts w:ascii="Verdana" w:eastAsia="Calibri" w:hAnsi="Verdana" w:cs="Arial"/>
          <w:lang w:val="es-ES"/>
        </w:rPr>
        <w:t xml:space="preserve"> C-374 del 27 de julio de 2020</w:t>
      </w:r>
      <w:r>
        <w:rPr>
          <w:rFonts w:ascii="Verdana" w:eastAsia="Calibri" w:hAnsi="Verdana" w:cs="Arial"/>
          <w:lang w:val="es-ES"/>
        </w:rPr>
        <w:t xml:space="preserve"> y C-680 del 18 de noviembre de 2020</w:t>
      </w:r>
      <w:r w:rsidRPr="00C621FD">
        <w:rPr>
          <w:rFonts w:ascii="Verdana" w:eastAsia="Calibri" w:hAnsi="Verdana" w:cs="Arial"/>
          <w:lang w:val="es-ES"/>
        </w:rPr>
        <w:t>, se estudió el ámbito de aplicación del artículo 20 de la Ley 1150 de 2007, referente al régimen aplicable a los contratos financiados con recursos de organismos internacionales</w:t>
      </w:r>
      <w:r w:rsidR="00295AEE">
        <w:rPr>
          <w:rFonts w:ascii="Verdana" w:eastAsia="Calibri" w:hAnsi="Verdana" w:cs="Arial"/>
          <w:lang w:val="es-ES"/>
        </w:rPr>
        <w:t>.</w:t>
      </w:r>
    </w:p>
    <w:p w14:paraId="6B8834D6" w14:textId="77777777" w:rsidR="007E4284" w:rsidRDefault="007E4284" w:rsidP="007E4284">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635FD400" w14:textId="77777777" w:rsidR="007E4284" w:rsidRDefault="007E4284" w:rsidP="007E428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E54F151" w14:textId="77777777" w:rsidR="007E4284" w:rsidRDefault="007E4284" w:rsidP="007E4284">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6"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4BBAB127" w14:textId="77777777" w:rsidR="007E4284" w:rsidRDefault="007E4284" w:rsidP="007E4284">
      <w:pPr>
        <w:spacing w:after="0" w:line="240" w:lineRule="auto"/>
        <w:jc w:val="both"/>
        <w:rPr>
          <w:rFonts w:ascii="Verdana" w:hAnsi="Verdana"/>
        </w:rPr>
      </w:pPr>
    </w:p>
    <w:p w14:paraId="542B0167"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10E1BD43" w14:textId="77777777" w:rsidR="007E4284" w:rsidRPr="003E2460" w:rsidRDefault="007E4284" w:rsidP="007E4284">
      <w:pPr>
        <w:spacing w:after="0" w:line="240" w:lineRule="auto"/>
        <w:jc w:val="both"/>
        <w:rPr>
          <w:rFonts w:ascii="Verdana" w:hAnsi="Verdana"/>
        </w:rPr>
      </w:pPr>
    </w:p>
    <w:p w14:paraId="3F267BF2"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426DCD21"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09633924"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E93DEDD" w14:textId="77777777" w:rsidR="007E4284" w:rsidRPr="00593A5F" w:rsidRDefault="007E4284" w:rsidP="007E4284">
      <w:pPr>
        <w:widowControl w:val="0"/>
        <w:autoSpaceDE w:val="0"/>
        <w:autoSpaceDN w:val="0"/>
        <w:spacing w:after="0" w:line="276" w:lineRule="auto"/>
        <w:jc w:val="both"/>
        <w:rPr>
          <w:rFonts w:ascii="Verdana" w:hAnsi="Verdana" w:cs="Arial"/>
        </w:rPr>
      </w:pPr>
    </w:p>
    <w:p w14:paraId="49D99462" w14:textId="77777777" w:rsidR="007E4284" w:rsidRPr="00593A5F" w:rsidRDefault="007E4284" w:rsidP="007E4284">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B1E541C" w14:textId="77777777" w:rsidR="007E4284" w:rsidRPr="00593A5F" w:rsidRDefault="007E4284" w:rsidP="007E4284">
      <w:pPr>
        <w:widowControl w:val="0"/>
        <w:autoSpaceDE w:val="0"/>
        <w:autoSpaceDN w:val="0"/>
        <w:spacing w:after="0" w:line="276" w:lineRule="auto"/>
        <w:jc w:val="both"/>
        <w:rPr>
          <w:rFonts w:ascii="Verdana" w:hAnsi="Verdana" w:cs="Arial"/>
        </w:rPr>
      </w:pPr>
    </w:p>
    <w:p w14:paraId="158D8E37" w14:textId="77777777" w:rsidR="007E4284" w:rsidRPr="00593A5F" w:rsidRDefault="007E4284" w:rsidP="007E4284">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47D1D90" w14:textId="34E0D91F" w:rsidR="00AC5B41" w:rsidRPr="00AC5B41" w:rsidRDefault="00AC5B41" w:rsidP="00AC5B41">
      <w:pPr>
        <w:spacing w:line="276" w:lineRule="auto"/>
        <w:jc w:val="center"/>
        <w:rPr>
          <w:rFonts w:ascii="Verdana" w:hAnsi="Verdana" w:cs="Arial"/>
          <w:color w:val="000000"/>
          <w:lang w:eastAsia="es-CO"/>
        </w:rPr>
      </w:pPr>
      <w:r w:rsidRPr="00AC5B41">
        <w:rPr>
          <w:rFonts w:ascii="Verdana" w:hAnsi="Verdana" w:cs="Arial"/>
          <w:color w:val="000000"/>
          <w:lang w:eastAsia="es-CO"/>
        </w:rPr>
        <w:lastRenderedPageBreak/>
        <w:drawing>
          <wp:inline distT="0" distB="0" distL="0" distR="0" wp14:anchorId="42B0D235" wp14:editId="74E59850">
            <wp:extent cx="2228850" cy="956807"/>
            <wp:effectExtent l="0" t="0" r="0" b="0"/>
            <wp:docPr id="8556331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5765" cy="959776"/>
                    </a:xfrm>
                    <a:prstGeom prst="rect">
                      <a:avLst/>
                    </a:prstGeom>
                    <a:noFill/>
                    <a:ln>
                      <a:noFill/>
                    </a:ln>
                  </pic:spPr>
                </pic:pic>
              </a:graphicData>
            </a:graphic>
          </wp:inline>
        </w:drawing>
      </w:r>
    </w:p>
    <w:p w14:paraId="729597DD" w14:textId="667DF518" w:rsidR="007E4284" w:rsidRPr="00593A5F" w:rsidRDefault="007E4284" w:rsidP="007E4284">
      <w:pPr>
        <w:spacing w:line="276" w:lineRule="auto"/>
        <w:jc w:val="center"/>
        <w:rPr>
          <w:rFonts w:ascii="Verdana"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E4284" w:rsidRPr="00593A5F" w14:paraId="10E97FCB" w14:textId="77777777" w:rsidTr="00730488">
        <w:trPr>
          <w:trHeight w:val="315"/>
        </w:trPr>
        <w:tc>
          <w:tcPr>
            <w:tcW w:w="893" w:type="dxa"/>
            <w:vAlign w:val="center"/>
            <w:hideMark/>
          </w:tcPr>
          <w:p w14:paraId="6FEFE8DA" w14:textId="77777777" w:rsidR="007E4284" w:rsidRPr="003751C7" w:rsidRDefault="007E4284" w:rsidP="00730488">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1C4DEDE" w14:textId="77777777" w:rsidR="007E4284" w:rsidRPr="00BE4B85" w:rsidRDefault="007E4284" w:rsidP="00730488">
            <w:pPr>
              <w:contextualSpacing/>
              <w:rPr>
                <w:rFonts w:ascii="Verdana" w:eastAsia="Arial" w:hAnsi="Verdana" w:cs="Arial"/>
                <w:color w:val="7030A0"/>
                <w:sz w:val="16"/>
                <w:szCs w:val="16"/>
              </w:rPr>
            </w:pPr>
            <w:r w:rsidRPr="00BE4B85">
              <w:rPr>
                <w:rStyle w:val="normaltextrun"/>
                <w:rFonts w:ascii="Verdana" w:hAnsi="Verdana"/>
                <w:sz w:val="16"/>
                <w:szCs w:val="16"/>
              </w:rPr>
              <w:t>Christian Camilo Orjuela Galeano</w:t>
            </w:r>
          </w:p>
          <w:p w14:paraId="58A6C53C" w14:textId="77777777" w:rsidR="007E4284" w:rsidRPr="00BE4B85" w:rsidRDefault="007E4284" w:rsidP="00730488">
            <w:pPr>
              <w:contextualSpacing/>
              <w:rPr>
                <w:rFonts w:ascii="Verdana" w:eastAsia="Arial" w:hAnsi="Verdana" w:cs="Arial"/>
                <w:sz w:val="16"/>
                <w:szCs w:val="16"/>
              </w:rPr>
            </w:pPr>
            <w:r w:rsidRPr="00BE4B85">
              <w:rPr>
                <w:rStyle w:val="normaltextrun"/>
                <w:rFonts w:ascii="Verdana" w:eastAsia="Arial" w:hAnsi="Verdana" w:cs="Arial"/>
                <w:sz w:val="16"/>
                <w:szCs w:val="16"/>
              </w:rPr>
              <w:t>Contratista de la Subdirección de Gestión Contractual</w:t>
            </w:r>
          </w:p>
        </w:tc>
      </w:tr>
      <w:tr w:rsidR="007E4284" w:rsidRPr="00593A5F" w14:paraId="060045CC" w14:textId="77777777" w:rsidTr="00730488">
        <w:trPr>
          <w:trHeight w:val="330"/>
        </w:trPr>
        <w:tc>
          <w:tcPr>
            <w:tcW w:w="893" w:type="dxa"/>
            <w:vAlign w:val="center"/>
            <w:hideMark/>
          </w:tcPr>
          <w:p w14:paraId="68D83EEC" w14:textId="77777777" w:rsidR="007E4284" w:rsidRPr="003751C7" w:rsidRDefault="007E4284" w:rsidP="00730488">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AF2DC12" w14:textId="37D98CE1" w:rsidR="007E4284" w:rsidRPr="000C7F87" w:rsidRDefault="000C7F87" w:rsidP="00730488">
            <w:pPr>
              <w:pStyle w:val="paragraph"/>
              <w:spacing w:before="0" w:beforeAutospacing="0" w:after="0" w:afterAutospacing="0"/>
              <w:contextualSpacing/>
              <w:textAlignment w:val="baseline"/>
              <w:rPr>
                <w:rStyle w:val="normaltextrun"/>
                <w:rFonts w:ascii="Verdana" w:hAnsi="Verdana" w:cstheme="minorHAnsi"/>
                <w:sz w:val="16"/>
                <w:szCs w:val="16"/>
              </w:rPr>
            </w:pPr>
            <w:r w:rsidRPr="000C7F87">
              <w:rPr>
                <w:rStyle w:val="normaltextrun"/>
                <w:rFonts w:ascii="Verdana" w:hAnsi="Verdana" w:cstheme="minorHAnsi"/>
                <w:sz w:val="16"/>
                <w:szCs w:val="16"/>
              </w:rPr>
              <w:t xml:space="preserve">Juan David Cardenas </w:t>
            </w:r>
          </w:p>
          <w:p w14:paraId="61F16D70" w14:textId="77777777" w:rsidR="007E4284" w:rsidRPr="00BE4B85" w:rsidRDefault="007E4284" w:rsidP="00730488">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eastAsia="Arial" w:hAnsi="Verdana" w:cs="Arial"/>
                <w:sz w:val="16"/>
                <w:szCs w:val="16"/>
              </w:rPr>
              <w:t>Contratista de la Subdirección de Gestión Contractual</w:t>
            </w:r>
          </w:p>
        </w:tc>
      </w:tr>
      <w:tr w:rsidR="007E4284" w:rsidRPr="00593A5F" w14:paraId="06EB7A78" w14:textId="77777777" w:rsidTr="00730488">
        <w:trPr>
          <w:trHeight w:val="300"/>
        </w:trPr>
        <w:tc>
          <w:tcPr>
            <w:tcW w:w="893" w:type="dxa"/>
            <w:vAlign w:val="center"/>
          </w:tcPr>
          <w:p w14:paraId="538249FF" w14:textId="77777777" w:rsidR="007E4284" w:rsidRPr="003751C7" w:rsidRDefault="007E4284" w:rsidP="00730488">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85D9FE4" w14:textId="77777777" w:rsidR="007E4284" w:rsidRPr="00BE4B85" w:rsidRDefault="007E4284" w:rsidP="00730488">
            <w:pPr>
              <w:contextualSpacing/>
              <w:rPr>
                <w:rFonts w:ascii="Verdana" w:eastAsia="Calibri" w:hAnsi="Verdana" w:cs="Arial"/>
                <w:sz w:val="16"/>
                <w:szCs w:val="16"/>
                <w:lang w:val="pt-BR" w:eastAsia="es-ES"/>
              </w:rPr>
            </w:pPr>
            <w:r w:rsidRPr="00BE4B85">
              <w:rPr>
                <w:rFonts w:ascii="Verdana" w:eastAsia="Calibri" w:hAnsi="Verdana" w:cs="Arial"/>
                <w:sz w:val="16"/>
                <w:szCs w:val="16"/>
                <w:lang w:val="pt-BR" w:eastAsia="es-ES"/>
              </w:rPr>
              <w:t xml:space="preserve">Carolina Quintero </w:t>
            </w:r>
            <w:proofErr w:type="spellStart"/>
            <w:r w:rsidRPr="00BE4B85">
              <w:rPr>
                <w:rFonts w:ascii="Verdana" w:eastAsia="Calibri" w:hAnsi="Verdana" w:cs="Arial"/>
                <w:sz w:val="16"/>
                <w:szCs w:val="16"/>
                <w:lang w:val="pt-BR" w:eastAsia="es-ES"/>
              </w:rPr>
              <w:t>Gacharná</w:t>
            </w:r>
            <w:proofErr w:type="spellEnd"/>
          </w:p>
          <w:p w14:paraId="4ACBC904" w14:textId="77777777" w:rsidR="007E4284" w:rsidRPr="00BE4B85" w:rsidRDefault="007E4284" w:rsidP="00730488">
            <w:pPr>
              <w:contextualSpacing/>
              <w:rPr>
                <w:rFonts w:ascii="Verdana" w:eastAsia="Calibri" w:hAnsi="Verdana" w:cs="Arial"/>
                <w:sz w:val="16"/>
                <w:szCs w:val="16"/>
                <w:lang w:val="pt-BR" w:eastAsia="es-ES"/>
              </w:rPr>
            </w:pPr>
            <w:r w:rsidRPr="00BE4B85">
              <w:rPr>
                <w:rFonts w:ascii="Verdana" w:eastAsia="Calibri" w:hAnsi="Verdana" w:cs="Arial"/>
                <w:sz w:val="16"/>
                <w:szCs w:val="16"/>
                <w:lang w:eastAsia="es-ES"/>
              </w:rPr>
              <w:t>Subdirectora</w:t>
            </w:r>
            <w:r w:rsidRPr="00BE4B85">
              <w:rPr>
                <w:rFonts w:ascii="Verdana" w:eastAsia="Calibri" w:hAnsi="Verdana" w:cs="Arial"/>
                <w:sz w:val="16"/>
                <w:szCs w:val="16"/>
                <w:lang w:val="pt-BR" w:eastAsia="es-ES"/>
              </w:rPr>
              <w:t xml:space="preserve"> de Gestión </w:t>
            </w:r>
            <w:proofErr w:type="spellStart"/>
            <w:r w:rsidRPr="00BE4B85">
              <w:rPr>
                <w:rFonts w:ascii="Verdana" w:eastAsia="Calibri" w:hAnsi="Verdana" w:cs="Arial"/>
                <w:sz w:val="16"/>
                <w:szCs w:val="16"/>
                <w:lang w:val="pt-BR" w:eastAsia="es-ES"/>
              </w:rPr>
              <w:t>Contractual</w:t>
            </w:r>
            <w:proofErr w:type="spellEnd"/>
            <w:r w:rsidRPr="00BE4B85">
              <w:rPr>
                <w:rFonts w:ascii="Verdana" w:eastAsia="Calibri" w:hAnsi="Verdana" w:cs="Arial"/>
                <w:sz w:val="16"/>
                <w:szCs w:val="16"/>
                <w:lang w:val="pt-BR" w:eastAsia="es-ES"/>
              </w:rPr>
              <w:t xml:space="preserve"> ANCP – CCE</w:t>
            </w:r>
          </w:p>
        </w:tc>
      </w:tr>
    </w:tbl>
    <w:p w14:paraId="12C6032C" w14:textId="77777777" w:rsidR="007E4284" w:rsidRPr="00593A5F" w:rsidRDefault="007E4284" w:rsidP="007E4284">
      <w:pPr>
        <w:spacing w:after="0" w:line="240" w:lineRule="auto"/>
        <w:rPr>
          <w:rFonts w:ascii="Verdana" w:eastAsia="Times New Roman" w:hAnsi="Verdana" w:cs="Arial"/>
          <w:sz w:val="24"/>
          <w:szCs w:val="24"/>
          <w:lang w:eastAsia="es-ES"/>
        </w:rPr>
      </w:pPr>
    </w:p>
    <w:p w14:paraId="51745D97" w14:textId="77777777" w:rsidR="007E4284" w:rsidRPr="00871B59" w:rsidRDefault="007E4284" w:rsidP="007E4284"/>
    <w:p w14:paraId="783742F1" w14:textId="77777777" w:rsidR="007E4284" w:rsidRPr="00A65B93" w:rsidRDefault="007E4284" w:rsidP="007E4284">
      <w:pPr>
        <w:spacing w:after="0"/>
        <w:rPr>
          <w:rFonts w:ascii="Verdana" w:hAnsi="Verdana"/>
          <w:lang w:val="es-ES"/>
        </w:rPr>
      </w:pPr>
    </w:p>
    <w:p w14:paraId="7B1016A0" w14:textId="77777777" w:rsidR="007E4284" w:rsidRPr="00C86D1D" w:rsidRDefault="007E4284" w:rsidP="007E4284"/>
    <w:p w14:paraId="3FE2184B" w14:textId="0B5F1605" w:rsidR="00E245AB" w:rsidRPr="0044528D" w:rsidRDefault="00891928" w:rsidP="00E245AB">
      <w:pPr>
        <w:spacing w:after="0"/>
        <w:rPr>
          <w:rFonts w:ascii="Verdana" w:hAnsi="Verdana"/>
        </w:rPr>
      </w:pPr>
      <w:r w:rsidRPr="0044528D">
        <w:rPr>
          <w:rFonts w:ascii="Verdana" w:hAnsi="Verdana"/>
        </w:rPr>
        <w:tab/>
      </w:r>
    </w:p>
    <w:p w14:paraId="5FCADBF9" w14:textId="77777777" w:rsidR="00E245AB" w:rsidRPr="0044528D" w:rsidRDefault="00E245AB" w:rsidP="00E245AB">
      <w:pPr>
        <w:spacing w:after="0"/>
        <w:rPr>
          <w:rFonts w:ascii="Verdana" w:hAnsi="Verdana"/>
        </w:rPr>
      </w:pPr>
    </w:p>
    <w:bookmarkEnd w:id="1"/>
    <w:bookmarkEnd w:id="2"/>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887F5" w14:textId="77777777" w:rsidR="00994FA0" w:rsidRDefault="00994FA0" w:rsidP="004A1847">
      <w:pPr>
        <w:spacing w:after="0" w:line="240" w:lineRule="auto"/>
      </w:pPr>
      <w:r>
        <w:separator/>
      </w:r>
    </w:p>
  </w:endnote>
  <w:endnote w:type="continuationSeparator" w:id="0">
    <w:p w14:paraId="13031FEC" w14:textId="77777777" w:rsidR="00994FA0" w:rsidRDefault="00994FA0"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78E61" w14:textId="77777777" w:rsidR="00994FA0" w:rsidRDefault="00994FA0" w:rsidP="004A1847">
      <w:pPr>
        <w:spacing w:after="0" w:line="240" w:lineRule="auto"/>
      </w:pPr>
      <w:r>
        <w:separator/>
      </w:r>
    </w:p>
  </w:footnote>
  <w:footnote w:type="continuationSeparator" w:id="0">
    <w:p w14:paraId="12ED6949" w14:textId="77777777" w:rsidR="00994FA0" w:rsidRDefault="00994FA0" w:rsidP="004A1847">
      <w:pPr>
        <w:spacing w:after="0" w:line="240" w:lineRule="auto"/>
      </w:pPr>
      <w:r>
        <w:continuationSeparator/>
      </w:r>
    </w:p>
  </w:footnote>
  <w:footnote w:id="1">
    <w:p w14:paraId="3C271D4F" w14:textId="242411C5" w:rsidR="003338C8" w:rsidRPr="003338C8" w:rsidRDefault="003338C8">
      <w:pPr>
        <w:pStyle w:val="Textonotapie"/>
        <w:rPr>
          <w:rFonts w:ascii="Verdana" w:hAnsi="Verdana"/>
          <w:sz w:val="14"/>
          <w:szCs w:val="14"/>
          <w:lang w:val="es-ES"/>
        </w:rPr>
      </w:pPr>
      <w:r w:rsidRPr="003338C8">
        <w:rPr>
          <w:rStyle w:val="Refdenotaalpie"/>
          <w:rFonts w:ascii="Verdana" w:hAnsi="Verdana"/>
          <w:sz w:val="14"/>
          <w:szCs w:val="14"/>
        </w:rPr>
        <w:footnoteRef/>
      </w:r>
      <w:r w:rsidRPr="003338C8">
        <w:rPr>
          <w:rFonts w:ascii="Verdana" w:hAnsi="Verdana"/>
          <w:sz w:val="14"/>
          <w:szCs w:val="14"/>
        </w:rPr>
        <w:t xml:space="preserve"> </w:t>
      </w:r>
      <w:r w:rsidR="00B43A2C">
        <w:rPr>
          <w:rFonts w:ascii="Verdana" w:hAnsi="Verdana"/>
          <w:sz w:val="14"/>
          <w:szCs w:val="14"/>
          <w:lang w:val="es-ES"/>
        </w:rPr>
        <w:t>Actualizada</w:t>
      </w:r>
      <w:r w:rsidRPr="003338C8">
        <w:rPr>
          <w:rFonts w:ascii="Verdana" w:hAnsi="Verdana"/>
          <w:sz w:val="14"/>
          <w:szCs w:val="14"/>
          <w:lang w:val="es-ES"/>
        </w:rPr>
        <w:t xml:space="preserve"> por la Circular Externa Única del 27 de diciembre de 2023.</w:t>
      </w:r>
      <w:r w:rsidR="00B43A2C" w:rsidRPr="00B43A2C">
        <w:t xml:space="preserve"> </w:t>
      </w:r>
    </w:p>
  </w:footnote>
  <w:footnote w:id="2">
    <w:p w14:paraId="24355470" w14:textId="77777777" w:rsidR="008768AB" w:rsidRPr="00723483" w:rsidRDefault="008768AB" w:rsidP="00723483">
      <w:pPr>
        <w:pStyle w:val="Textonotapie"/>
        <w:jc w:val="both"/>
        <w:rPr>
          <w:rFonts w:ascii="Arial" w:hAnsi="Arial" w:cs="Arial"/>
          <w:sz w:val="14"/>
          <w:szCs w:val="14"/>
          <w:lang w:val="es-CO"/>
        </w:rPr>
      </w:pPr>
      <w:r w:rsidRPr="00723483">
        <w:rPr>
          <w:rStyle w:val="Refdenotaalpie"/>
          <w:rFonts w:ascii="Arial" w:hAnsi="Arial" w:cs="Arial"/>
          <w:sz w:val="14"/>
          <w:szCs w:val="14"/>
        </w:rPr>
        <w:footnoteRef/>
      </w:r>
      <w:r w:rsidRPr="00723483">
        <w:rPr>
          <w:rFonts w:ascii="Arial" w:hAnsi="Arial" w:cs="Arial"/>
          <w:sz w:val="14"/>
          <w:szCs w:val="14"/>
        </w:rPr>
        <w:t xml:space="preserve"> Para la Corte Constitucional, el principio de publicidad es la garantía que tienen las personas de conocer las actuaciones judiciales y administrativas y con base en ese conocimiento tener la posibilidad de exigir que se surtan conforme a la ley: «El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 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723483">
        <w:rPr>
          <w:rFonts w:ascii="Arial" w:hAnsi="Arial" w:cs="Arial"/>
          <w:sz w:val="14"/>
          <w:szCs w:val="14"/>
        </w:rPr>
        <w:t>autoridades públicas</w:t>
      </w:r>
      <w:proofErr w:type="gramEnd"/>
      <w:r w:rsidRPr="00723483">
        <w:rPr>
          <w:rFonts w:ascii="Arial" w:hAnsi="Arial" w:cs="Arial"/>
          <w:sz w:val="14"/>
          <w:szCs w:val="14"/>
        </w:rPr>
        <w:t xml:space="preserve"> y, a través de ese conocimiento, a exigir que ellas se surtan conforme a la ley». Corte Constitucional. Sentencia C- 341 del 4 de junio de 2014. M. P. Mauricio González Cuervo.</w:t>
      </w:r>
    </w:p>
  </w:footnote>
  <w:footnote w:id="3">
    <w:p w14:paraId="2CF51080" w14:textId="77777777" w:rsidR="008768AB" w:rsidRPr="00723483" w:rsidRDefault="008768AB" w:rsidP="00723483">
      <w:pPr>
        <w:pStyle w:val="Textonotapie"/>
        <w:jc w:val="both"/>
        <w:rPr>
          <w:rFonts w:ascii="Arial" w:hAnsi="Arial" w:cs="Arial"/>
          <w:color w:val="000000" w:themeColor="text1"/>
          <w:sz w:val="14"/>
          <w:szCs w:val="14"/>
        </w:rPr>
      </w:pPr>
      <w:r w:rsidRPr="00723483">
        <w:rPr>
          <w:rStyle w:val="Refdenotaalpie"/>
          <w:rFonts w:ascii="Arial" w:hAnsi="Arial" w:cs="Arial"/>
          <w:color w:val="000000" w:themeColor="text1"/>
          <w:sz w:val="14"/>
          <w:szCs w:val="14"/>
        </w:rPr>
        <w:footnoteRef/>
      </w:r>
      <w:r w:rsidRPr="00723483">
        <w:rPr>
          <w:rFonts w:ascii="Arial" w:hAnsi="Arial" w:cs="Arial"/>
          <w:color w:val="000000" w:themeColor="text1"/>
          <w:sz w:val="14"/>
          <w:szCs w:val="14"/>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086C0BC" w14:textId="77777777" w:rsidR="008768AB" w:rsidRPr="00723483" w:rsidRDefault="008768AB" w:rsidP="00723483">
      <w:pPr>
        <w:pStyle w:val="Textonotapie"/>
        <w:jc w:val="both"/>
        <w:rPr>
          <w:rFonts w:ascii="Arial" w:hAnsi="Arial" w:cs="Arial"/>
          <w:color w:val="000000" w:themeColor="text1"/>
          <w:sz w:val="14"/>
          <w:szCs w:val="14"/>
        </w:rPr>
      </w:pPr>
      <w:r w:rsidRPr="00723483">
        <w:rPr>
          <w:rFonts w:ascii="Arial" w:hAnsi="Arial" w:cs="Arial"/>
          <w:color w:val="000000" w:themeColor="text1"/>
          <w:sz w:val="14"/>
          <w:szCs w:val="14"/>
        </w:rPr>
        <w:t>»Lo anterior, sin perjuicio de las publicaciones previstas en el numeral 3 del artículo 30 de la Ley 80 de 1993.</w:t>
      </w:r>
    </w:p>
    <w:p w14:paraId="5C9CDC03" w14:textId="77777777" w:rsidR="008768AB" w:rsidRPr="00723483" w:rsidRDefault="008768AB" w:rsidP="00723483">
      <w:pPr>
        <w:pStyle w:val="Textonotapie"/>
        <w:jc w:val="both"/>
        <w:rPr>
          <w:rFonts w:ascii="Arial" w:hAnsi="Arial" w:cs="Arial"/>
          <w:color w:val="000000" w:themeColor="text1"/>
          <w:sz w:val="14"/>
          <w:szCs w:val="14"/>
        </w:rPr>
      </w:pPr>
      <w:r w:rsidRPr="00723483">
        <w:rPr>
          <w:rFonts w:ascii="Arial" w:hAnsi="Arial" w:cs="Arial"/>
          <w:color w:val="000000" w:themeColor="text1"/>
          <w:sz w:val="14"/>
          <w:szCs w:val="14"/>
        </w:rPr>
        <w:t xml:space="preserve">»Con el fin de materializar los objetivos a que se refiere el inciso anterior, el Gobierno Nacional desarrollará el Sistema Electrónico para la Contratación Pública, </w:t>
      </w:r>
      <w:proofErr w:type="spellStart"/>
      <w:r w:rsidRPr="00723483">
        <w:rPr>
          <w:rFonts w:ascii="Arial" w:hAnsi="Arial" w:cs="Arial"/>
          <w:color w:val="000000" w:themeColor="text1"/>
          <w:sz w:val="14"/>
          <w:szCs w:val="14"/>
        </w:rPr>
        <w:t>Secop</w:t>
      </w:r>
      <w:proofErr w:type="spellEnd"/>
      <w:r w:rsidRPr="00723483">
        <w:rPr>
          <w:rFonts w:ascii="Arial" w:hAnsi="Arial" w:cs="Arial"/>
          <w:color w:val="000000" w:themeColor="text1"/>
          <w:sz w:val="14"/>
          <w:szCs w:val="14"/>
        </w:rPr>
        <w:t xml:space="preserve">, el cual: </w:t>
      </w:r>
    </w:p>
    <w:p w14:paraId="08B158A1" w14:textId="77777777" w:rsidR="008768AB" w:rsidRPr="00723483" w:rsidRDefault="008768AB" w:rsidP="00723483">
      <w:pPr>
        <w:pStyle w:val="Textonotapie"/>
        <w:jc w:val="both"/>
        <w:rPr>
          <w:rFonts w:ascii="Arial" w:hAnsi="Arial" w:cs="Arial"/>
          <w:color w:val="000000" w:themeColor="text1"/>
          <w:sz w:val="14"/>
          <w:szCs w:val="14"/>
        </w:rPr>
      </w:pPr>
      <w:r w:rsidRPr="00723483">
        <w:rPr>
          <w:rFonts w:ascii="Arial" w:hAnsi="Arial" w:cs="Arial"/>
          <w:color w:val="000000" w:themeColor="text1"/>
          <w:sz w:val="14"/>
          <w:szCs w:val="14"/>
        </w:rPr>
        <w:t>[…]</w:t>
      </w:r>
    </w:p>
    <w:p w14:paraId="16A1BD6E" w14:textId="77777777" w:rsidR="008768AB" w:rsidRPr="00723483" w:rsidRDefault="008768AB" w:rsidP="00723483">
      <w:pPr>
        <w:pStyle w:val="Textonotapie"/>
        <w:jc w:val="both"/>
        <w:rPr>
          <w:rFonts w:ascii="Arial" w:hAnsi="Arial" w:cs="Arial"/>
          <w:color w:val="000000" w:themeColor="text1"/>
          <w:sz w:val="14"/>
          <w:szCs w:val="14"/>
        </w:rPr>
      </w:pPr>
      <w:r w:rsidRPr="00723483">
        <w:rPr>
          <w:rFonts w:ascii="Arial" w:hAnsi="Arial" w:cs="Arial"/>
          <w:color w:val="000000" w:themeColor="text1"/>
          <w:sz w:val="14"/>
          <w:szCs w:val="14"/>
        </w:rPr>
        <w:t>»c) Contará con la información oficial de la contratación realizada con dineros públicos, para lo cual establecerá los patrones a que haya lugar y se encargará de su difusión a través de canales electrónico».</w:t>
      </w:r>
    </w:p>
    <w:p w14:paraId="55ECED7E" w14:textId="77777777" w:rsidR="008768AB" w:rsidRPr="00723483" w:rsidRDefault="008768AB" w:rsidP="00723483">
      <w:pPr>
        <w:pStyle w:val="Textonotapie"/>
        <w:jc w:val="both"/>
        <w:rPr>
          <w:rFonts w:ascii="Arial" w:hAnsi="Arial" w:cs="Arial"/>
          <w:color w:val="000000" w:themeColor="text1"/>
          <w:sz w:val="14"/>
          <w:szCs w:val="14"/>
        </w:rPr>
      </w:pPr>
    </w:p>
  </w:footnote>
  <w:footnote w:id="4">
    <w:p w14:paraId="7D5FCE04" w14:textId="3D5014CE" w:rsidR="008768AB" w:rsidRPr="00723483" w:rsidRDefault="008768AB" w:rsidP="00723483">
      <w:pPr>
        <w:pStyle w:val="Textonotapie"/>
        <w:jc w:val="both"/>
        <w:rPr>
          <w:rFonts w:ascii="Arial" w:hAnsi="Arial" w:cs="Arial"/>
          <w:color w:val="000000" w:themeColor="text1"/>
          <w:sz w:val="14"/>
          <w:szCs w:val="14"/>
        </w:rPr>
      </w:pPr>
      <w:r w:rsidRPr="00723483">
        <w:rPr>
          <w:rStyle w:val="Refdenotaalpie"/>
          <w:rFonts w:ascii="Arial" w:hAnsi="Arial" w:cs="Arial"/>
          <w:color w:val="000000" w:themeColor="text1"/>
          <w:sz w:val="14"/>
          <w:szCs w:val="14"/>
        </w:rPr>
        <w:footnoteRef/>
      </w:r>
      <w:r w:rsidRPr="00723483">
        <w:rPr>
          <w:rFonts w:ascii="Arial" w:hAnsi="Arial" w:cs="Arial"/>
          <w:color w:val="000000" w:themeColor="text1"/>
          <w:sz w:val="14"/>
          <w:szCs w:val="14"/>
        </w:rPr>
        <w:t xml:space="preserve"> Ley 1712 de 2014: Artículo 2. Toda información en posesión, bajo control o custodia de un sujeto obligado es pública y no podrá ser reservada o limitada sino por disposición constitucional o legal, de conformidad con la presente ley</w:t>
      </w:r>
      <w:r w:rsidR="00723483" w:rsidRPr="00723483">
        <w:rPr>
          <w:rFonts w:ascii="Arial" w:hAnsi="Arial" w:cs="Arial"/>
          <w:color w:val="000000" w:themeColor="text1"/>
          <w:sz w:val="14"/>
          <w:szCs w:val="14"/>
        </w:rPr>
        <w:t>”</w:t>
      </w:r>
      <w:r w:rsidRPr="00723483">
        <w:rPr>
          <w:rFonts w:ascii="Arial" w:hAnsi="Arial" w:cs="Arial"/>
          <w:color w:val="000000" w:themeColor="text1"/>
          <w:sz w:val="14"/>
          <w:szCs w:val="14"/>
        </w:rPr>
        <w:t>.</w:t>
      </w:r>
    </w:p>
    <w:p w14:paraId="5F6F6816" w14:textId="77777777" w:rsidR="008768AB" w:rsidRPr="00723483" w:rsidRDefault="008768AB" w:rsidP="008768AB">
      <w:pPr>
        <w:pStyle w:val="Textonotapie"/>
        <w:ind w:firstLine="708"/>
        <w:jc w:val="both"/>
        <w:rPr>
          <w:rFonts w:ascii="Arial" w:hAnsi="Arial" w:cs="Arial"/>
          <w:color w:val="000000" w:themeColor="text1"/>
          <w:sz w:val="14"/>
          <w:szCs w:val="14"/>
        </w:rPr>
      </w:pPr>
    </w:p>
  </w:footnote>
  <w:footnote w:id="5">
    <w:p w14:paraId="4FF8FEEA" w14:textId="6AED2693" w:rsidR="008768AB" w:rsidRPr="00723483" w:rsidRDefault="008768AB" w:rsidP="008768AB">
      <w:pPr>
        <w:pStyle w:val="Textonotapie"/>
        <w:jc w:val="both"/>
        <w:rPr>
          <w:rFonts w:ascii="Arial" w:hAnsi="Arial" w:cs="Arial"/>
          <w:color w:val="000000" w:themeColor="text1"/>
          <w:sz w:val="14"/>
          <w:szCs w:val="14"/>
        </w:rPr>
      </w:pPr>
      <w:r w:rsidRPr="00723483">
        <w:rPr>
          <w:rStyle w:val="Refdenotaalpie"/>
          <w:rFonts w:ascii="Arial" w:hAnsi="Arial" w:cs="Arial"/>
          <w:color w:val="000000" w:themeColor="text1"/>
          <w:sz w:val="14"/>
          <w:szCs w:val="14"/>
        </w:rPr>
        <w:footnoteRef/>
      </w:r>
      <w:r w:rsidRPr="00723483">
        <w:rPr>
          <w:rFonts w:ascii="Arial" w:hAnsi="Arial" w:cs="Arial"/>
          <w:color w:val="000000" w:themeColor="text1"/>
          <w:sz w:val="14"/>
          <w:szCs w:val="14"/>
        </w:rPr>
        <w:t xml:space="preserve"> Ley 1712 de 2014: “Artículo 5. Ámbito de aplicación. Las disposiciones de esta ley serán aplicables a las siguientes personas en calidad de sujetos obligados: </w:t>
      </w:r>
    </w:p>
    <w:p w14:paraId="397ED92F" w14:textId="26EDD1DC" w:rsidR="008768AB" w:rsidRPr="00723483" w:rsidRDefault="008768AB" w:rsidP="008768AB">
      <w:pPr>
        <w:pStyle w:val="Textonotapie"/>
        <w:jc w:val="both"/>
        <w:rPr>
          <w:rFonts w:ascii="Arial" w:hAnsi="Arial" w:cs="Arial"/>
          <w:color w:val="000000" w:themeColor="text1"/>
          <w:sz w:val="14"/>
          <w:szCs w:val="14"/>
        </w:rPr>
      </w:pPr>
      <w:r w:rsidRPr="00723483">
        <w:rPr>
          <w:rFonts w:ascii="Arial" w:hAnsi="Arial" w:cs="Arial"/>
          <w:color w:val="000000" w:themeColor="text1"/>
          <w:sz w:val="14"/>
          <w:szCs w:val="14"/>
        </w:rPr>
        <w:t>“a) Toda entidad pública, incluyendo las pertenecientes a todas las Ramas del Poder Público, en todos los niveles de la estructura estatal, central o descentralizada por servicios o territorialmente, en los órdenes nacional, departamental, municipal y distrital”.</w:t>
      </w:r>
    </w:p>
  </w:footnote>
  <w:footnote w:id="6">
    <w:p w14:paraId="525EB6FE" w14:textId="5A334EFE" w:rsidR="008768AB" w:rsidRPr="00723483" w:rsidRDefault="008768AB" w:rsidP="008768AB">
      <w:pPr>
        <w:pStyle w:val="Textonotapie"/>
        <w:jc w:val="both"/>
        <w:rPr>
          <w:rFonts w:ascii="Arial" w:hAnsi="Arial" w:cs="Arial"/>
          <w:color w:val="000000" w:themeColor="text1"/>
          <w:sz w:val="14"/>
          <w:szCs w:val="14"/>
        </w:rPr>
      </w:pPr>
      <w:r w:rsidRPr="00723483">
        <w:rPr>
          <w:rFonts w:ascii="Arial" w:hAnsi="Arial" w:cs="Arial"/>
          <w:color w:val="000000" w:themeColor="text1"/>
          <w:sz w:val="14"/>
          <w:szCs w:val="14"/>
          <w:vertAlign w:val="superscript"/>
          <w:lang w:eastAsia="es-ES"/>
        </w:rPr>
        <w:footnoteRef/>
      </w:r>
      <w:r w:rsidRPr="00723483">
        <w:rPr>
          <w:rFonts w:ascii="Arial" w:hAnsi="Arial" w:cs="Arial"/>
          <w:color w:val="000000" w:themeColor="text1"/>
          <w:sz w:val="14"/>
          <w:szCs w:val="14"/>
          <w:vertAlign w:val="superscript"/>
          <w:lang w:eastAsia="es-ES"/>
        </w:rPr>
        <w:t xml:space="preserve"> </w:t>
      </w:r>
      <w:r w:rsidRPr="00723483">
        <w:rPr>
          <w:rFonts w:ascii="Arial" w:hAnsi="Arial" w:cs="Arial"/>
          <w:color w:val="000000" w:themeColor="text1"/>
          <w:sz w:val="14"/>
          <w:szCs w:val="14"/>
          <w:lang w:eastAsia="es-ES"/>
        </w:rPr>
        <w:t>“</w:t>
      </w:r>
      <w:r w:rsidRPr="00723483">
        <w:rPr>
          <w:rFonts w:ascii="Arial" w:hAnsi="Arial" w:cs="Arial"/>
          <w:color w:val="000000" w:themeColor="text1"/>
          <w:sz w:val="14"/>
          <w:szCs w:val="14"/>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69EFCBA" w14:textId="77777777" w:rsidR="008768AB" w:rsidRPr="00723483" w:rsidRDefault="008768AB" w:rsidP="008768AB">
      <w:pPr>
        <w:pStyle w:val="Textonotapie"/>
        <w:jc w:val="both"/>
        <w:rPr>
          <w:rFonts w:ascii="Arial" w:hAnsi="Arial" w:cs="Arial"/>
          <w:color w:val="000000" w:themeColor="text1"/>
          <w:sz w:val="14"/>
          <w:szCs w:val="14"/>
          <w:lang w:eastAsia="es-ES"/>
        </w:rPr>
      </w:pPr>
      <w:r w:rsidRPr="00723483">
        <w:rPr>
          <w:rFonts w:ascii="Arial" w:hAnsi="Arial" w:cs="Arial"/>
          <w:color w:val="000000" w:themeColor="text1"/>
          <w:sz w:val="14"/>
          <w:szCs w:val="14"/>
        </w:rPr>
        <w:t>[…].</w:t>
      </w:r>
    </w:p>
    <w:p w14:paraId="26837544" w14:textId="61F9F002" w:rsidR="008768AB" w:rsidRPr="00723483" w:rsidRDefault="008768AB" w:rsidP="008768AB">
      <w:pPr>
        <w:pStyle w:val="Textonotapie"/>
        <w:jc w:val="both"/>
        <w:rPr>
          <w:rFonts w:ascii="Arial" w:hAnsi="Arial" w:cs="Arial"/>
          <w:color w:val="000000" w:themeColor="text1"/>
          <w:sz w:val="14"/>
          <w:szCs w:val="14"/>
          <w:lang w:eastAsia="es-ES"/>
        </w:rPr>
      </w:pPr>
      <w:r w:rsidRPr="00723483">
        <w:rPr>
          <w:rFonts w:ascii="Arial" w:hAnsi="Arial" w:cs="Arial"/>
          <w:color w:val="000000" w:themeColor="text1"/>
          <w:sz w:val="14"/>
          <w:szCs w:val="14"/>
          <w:lang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 w:id="7">
    <w:p w14:paraId="6F109928" w14:textId="4C796F97" w:rsidR="008768AB" w:rsidRPr="00723483" w:rsidRDefault="008768AB" w:rsidP="008768AB">
      <w:pPr>
        <w:pStyle w:val="Textonotapie"/>
        <w:jc w:val="both"/>
        <w:rPr>
          <w:rFonts w:ascii="Arial" w:hAnsi="Arial" w:cs="Arial"/>
          <w:color w:val="000000" w:themeColor="text1"/>
          <w:sz w:val="14"/>
          <w:szCs w:val="14"/>
        </w:rPr>
      </w:pPr>
      <w:r w:rsidRPr="00723483">
        <w:rPr>
          <w:rStyle w:val="Refdenotaalpie"/>
          <w:rFonts w:ascii="Arial" w:hAnsi="Arial" w:cs="Arial"/>
          <w:color w:val="000000" w:themeColor="text1"/>
          <w:sz w:val="14"/>
          <w:szCs w:val="14"/>
        </w:rPr>
        <w:footnoteRef/>
      </w:r>
      <w:r w:rsidRPr="00723483">
        <w:rPr>
          <w:rFonts w:ascii="Arial" w:hAnsi="Arial" w:cs="Arial"/>
          <w:color w:val="000000" w:themeColor="text1"/>
          <w:sz w:val="14"/>
          <w:szCs w:val="14"/>
        </w:rPr>
        <w:t xml:space="preserve"> C</w:t>
      </w:r>
      <w:r w:rsidRPr="00723483">
        <w:rPr>
          <w:rFonts w:ascii="Arial" w:hAnsi="Arial" w:cs="Arial"/>
          <w:color w:val="000000" w:themeColor="text1"/>
          <w:sz w:val="14"/>
          <w:szCs w:val="14"/>
          <w:lang w:eastAsia="es-ES"/>
        </w:rPr>
        <w:t xml:space="preserve">orte Constitucional. Sentencia C─274 de 9 de mayo de 2013. M.P. María Victoria Calle Correa. </w:t>
      </w:r>
    </w:p>
  </w:footnote>
  <w:footnote w:id="8">
    <w:p w14:paraId="46A29F79" w14:textId="671A30D0" w:rsidR="009E0459" w:rsidRPr="009E0459" w:rsidRDefault="009E0459">
      <w:pPr>
        <w:pStyle w:val="Textonotapie"/>
        <w:rPr>
          <w:lang w:val="es-ES"/>
        </w:rPr>
      </w:pPr>
      <w:r>
        <w:rPr>
          <w:rStyle w:val="Refdenotaalpie"/>
        </w:rPr>
        <w:footnoteRef/>
      </w:r>
      <w:r>
        <w:t xml:space="preserve"> </w:t>
      </w:r>
      <w:r>
        <w:rPr>
          <w:rFonts w:ascii="Verdana" w:hAnsi="Verdana"/>
          <w:sz w:val="14"/>
          <w:szCs w:val="14"/>
          <w:lang w:val="es-ES"/>
        </w:rPr>
        <w:t>Actualizada</w:t>
      </w:r>
      <w:r w:rsidRPr="003338C8">
        <w:rPr>
          <w:rFonts w:ascii="Verdana" w:hAnsi="Verdana"/>
          <w:sz w:val="14"/>
          <w:szCs w:val="14"/>
          <w:lang w:val="es-ES"/>
        </w:rPr>
        <w:t xml:space="preserve"> por la Circular Externa Única del 27 de diciembre de 2023.</w:t>
      </w:r>
    </w:p>
  </w:footnote>
  <w:footnote w:id="9">
    <w:p w14:paraId="6AD073F6" w14:textId="69BADF27" w:rsidR="008768AB" w:rsidRPr="00723483" w:rsidRDefault="008768AB" w:rsidP="008768AB">
      <w:pPr>
        <w:pStyle w:val="Textonotapie"/>
        <w:jc w:val="both"/>
        <w:rPr>
          <w:rFonts w:ascii="Arial" w:hAnsi="Arial" w:cs="Arial"/>
          <w:color w:val="000000" w:themeColor="text1"/>
          <w:sz w:val="14"/>
          <w:szCs w:val="14"/>
          <w:lang w:val="es-CO"/>
        </w:rPr>
      </w:pPr>
      <w:r w:rsidRPr="00723483">
        <w:rPr>
          <w:rStyle w:val="Refdenotaalpie"/>
          <w:rFonts w:ascii="Arial" w:hAnsi="Arial" w:cs="Arial"/>
          <w:color w:val="000000" w:themeColor="text1"/>
          <w:sz w:val="14"/>
          <w:szCs w:val="14"/>
        </w:rPr>
        <w:footnoteRef/>
      </w:r>
      <w:r w:rsidRPr="00723483">
        <w:rPr>
          <w:rFonts w:ascii="Arial" w:hAnsi="Arial" w:cs="Arial"/>
          <w:color w:val="000000" w:themeColor="text1"/>
          <w:sz w:val="14"/>
          <w:szCs w:val="14"/>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10">
    <w:p w14:paraId="59FD9BE0" w14:textId="77777777" w:rsidR="008768AB" w:rsidRPr="007C4C8B" w:rsidRDefault="008768AB" w:rsidP="008768AB">
      <w:pPr>
        <w:pStyle w:val="Textonotapie"/>
        <w:jc w:val="both"/>
        <w:rPr>
          <w:rFonts w:ascii="Verdana" w:hAnsi="Verdana" w:cs="Arial"/>
          <w:color w:val="000000" w:themeColor="text1"/>
          <w:sz w:val="14"/>
          <w:szCs w:val="14"/>
        </w:rPr>
      </w:pPr>
      <w:r w:rsidRPr="007C4C8B">
        <w:rPr>
          <w:rStyle w:val="Refdenotaalpie"/>
          <w:rFonts w:ascii="Verdana" w:hAnsi="Verdana" w:cs="Arial"/>
          <w:color w:val="000000" w:themeColor="text1"/>
          <w:sz w:val="14"/>
          <w:szCs w:val="14"/>
        </w:rPr>
        <w:footnoteRef/>
      </w:r>
      <w:r w:rsidRPr="007C4C8B">
        <w:rPr>
          <w:rFonts w:ascii="Verdana" w:hAnsi="Verdana" w:cs="Arial"/>
          <w:color w:val="000000" w:themeColor="text1"/>
          <w:sz w:val="14"/>
          <w:szCs w:val="14"/>
        </w:rPr>
        <w:t xml:space="preserve"> Consejo de Estado. Sección Tercera. Subsección C. Auto del 14 de agosto de 2017. </w:t>
      </w:r>
      <w:proofErr w:type="spellStart"/>
      <w:r w:rsidRPr="007C4C8B">
        <w:rPr>
          <w:rFonts w:ascii="Verdana" w:hAnsi="Verdana" w:cs="Arial"/>
          <w:color w:val="000000" w:themeColor="text1"/>
          <w:sz w:val="14"/>
          <w:szCs w:val="14"/>
        </w:rPr>
        <w:t>Exp</w:t>
      </w:r>
      <w:proofErr w:type="spellEnd"/>
      <w:r w:rsidRPr="007C4C8B">
        <w:rPr>
          <w:rFonts w:ascii="Verdana" w:hAnsi="Verdana" w:cs="Arial"/>
          <w:color w:val="000000" w:themeColor="text1"/>
          <w:sz w:val="14"/>
          <w:szCs w:val="14"/>
        </w:rPr>
        <w:t xml:space="preserve">. 58.820. C.P. Jaime Orlando Santofimio Gamboa. </w:t>
      </w:r>
    </w:p>
    <w:p w14:paraId="7151D5C9" w14:textId="77777777" w:rsidR="008768AB" w:rsidRPr="0021766E" w:rsidRDefault="008768AB" w:rsidP="008768AB">
      <w:pPr>
        <w:pStyle w:val="Textonotapie"/>
        <w:ind w:firstLine="708"/>
        <w:jc w:val="both"/>
        <w:rPr>
          <w:rFonts w:ascii="Arial" w:hAnsi="Arial" w:cs="Arial"/>
          <w:color w:val="000000" w:themeColor="text1"/>
          <w:sz w:val="18"/>
          <w:szCs w:val="18"/>
          <w:lang w:val="es-CO"/>
        </w:rPr>
      </w:pPr>
    </w:p>
  </w:footnote>
  <w:footnote w:id="11">
    <w:p w14:paraId="712778D4" w14:textId="77777777" w:rsidR="007C4C8B" w:rsidRPr="007C4C8B" w:rsidRDefault="007C4C8B" w:rsidP="009E0459">
      <w:pPr>
        <w:spacing w:after="0" w:line="240" w:lineRule="auto"/>
        <w:jc w:val="both"/>
        <w:rPr>
          <w:rFonts w:ascii="Verdana" w:hAnsi="Verdana" w:cs="Arial"/>
          <w:sz w:val="14"/>
          <w:szCs w:val="14"/>
          <w:lang w:val="es-ES"/>
        </w:rPr>
      </w:pPr>
      <w:r>
        <w:rPr>
          <w:rStyle w:val="Refdenotaalpie"/>
        </w:rPr>
        <w:footnoteRef/>
      </w:r>
      <w:r>
        <w:t xml:space="preserve"> </w:t>
      </w:r>
      <w:r w:rsidRPr="007C4C8B">
        <w:rPr>
          <w:rFonts w:ascii="Verdana" w:hAnsi="Verdana" w:cs="Arial"/>
          <w:sz w:val="14"/>
          <w:szCs w:val="14"/>
          <w:lang w:val="es-ES"/>
        </w:rPr>
        <w:t xml:space="preserve">Dentro de las razones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12534385" w14:textId="77777777" w:rsidR="007C4C8B" w:rsidRPr="007C4C8B" w:rsidRDefault="007C4C8B" w:rsidP="009E0459">
      <w:pPr>
        <w:spacing w:after="0" w:line="240" w:lineRule="auto"/>
        <w:jc w:val="both"/>
        <w:rPr>
          <w:rFonts w:ascii="Verdana" w:hAnsi="Verdana" w:cs="Arial"/>
          <w:sz w:val="14"/>
          <w:szCs w:val="14"/>
          <w:lang w:val="es-ES"/>
        </w:rPr>
      </w:pPr>
      <w:r w:rsidRPr="007C4C8B">
        <w:rPr>
          <w:rFonts w:ascii="Verdana" w:hAnsi="Verdana" w:cs="Arial"/>
          <w:sz w:val="14"/>
          <w:szCs w:val="14"/>
          <w:lang w:val="es-ES"/>
        </w:rPr>
        <w:t>No obstante, esta Agencia ha precisado que la ejecución de recursos públicos, conforme indica el literal c) del artículo 3 de la Ley 1150 de 2007, no es el único fundamento jurídico de la obligación de las entidades estatales de publicar en el SECOP, comoquiera que tal obligación también surge con ocasión de la calidad de sujeto obligado en el marco de la Ley 1712 de 2014</w:t>
      </w:r>
      <w:r w:rsidRPr="007C4C8B">
        <w:rPr>
          <w:rStyle w:val="Refdenotaalpie"/>
          <w:rFonts w:ascii="Verdana" w:hAnsi="Verdana" w:cs="Arial"/>
          <w:sz w:val="14"/>
          <w:szCs w:val="14"/>
          <w:lang w:val="es-ES"/>
        </w:rPr>
        <w:footnoteRef/>
      </w:r>
      <w:r w:rsidRPr="007C4C8B">
        <w:rPr>
          <w:rFonts w:ascii="Verdana" w:hAnsi="Verdana" w:cs="Arial"/>
          <w:sz w:val="14"/>
          <w:szCs w:val="14"/>
          <w:lang w:val="es-ES"/>
        </w:rPr>
        <w:t>.</w:t>
      </w:r>
    </w:p>
    <w:p w14:paraId="1F520B60" w14:textId="77777777" w:rsidR="007C4C8B" w:rsidRPr="007C4C8B" w:rsidRDefault="007C4C8B" w:rsidP="009E0459">
      <w:pPr>
        <w:spacing w:after="0" w:line="240" w:lineRule="auto"/>
        <w:jc w:val="both"/>
        <w:rPr>
          <w:rFonts w:ascii="Verdana" w:eastAsia="Calibri" w:hAnsi="Verdana" w:cs="Arial"/>
          <w:sz w:val="14"/>
          <w:szCs w:val="14"/>
          <w:lang w:val="es-ES"/>
        </w:rPr>
      </w:pPr>
      <w:r w:rsidRPr="007C4C8B">
        <w:rPr>
          <w:rFonts w:ascii="Verdana" w:eastAsia="Calibri" w:hAnsi="Verdana" w:cs="Arial"/>
          <w:sz w:val="14"/>
          <w:szCs w:val="14"/>
          <w:lang w:val="es-ES"/>
        </w:rPr>
        <w:t xml:space="preserve"> 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5DE6584C" w14:textId="2F35B739" w:rsidR="007C4C8B" w:rsidRPr="0096026B" w:rsidRDefault="007C4C8B" w:rsidP="0096026B">
      <w:pPr>
        <w:spacing w:after="0" w:line="240" w:lineRule="auto"/>
        <w:jc w:val="both"/>
        <w:rPr>
          <w:rFonts w:ascii="Verdana" w:eastAsia="Calibri" w:hAnsi="Verdana" w:cs="Arial"/>
          <w:sz w:val="14"/>
          <w:szCs w:val="14"/>
          <w:lang w:val="es-ES"/>
        </w:rPr>
      </w:pPr>
      <w:r w:rsidRPr="007C4C8B">
        <w:rPr>
          <w:rFonts w:ascii="Verdana" w:eastAsia="Calibri" w:hAnsi="Verdana" w:cs="Arial"/>
          <w:sz w:val="14"/>
          <w:szCs w:val="14"/>
          <w:lang w:val="es-ES"/>
        </w:rPr>
        <w:t>Posteriormente, el Decreto reglamentario 103 de 2015, “Por el cual se reglamenta parcialmente la Ley 1712 de 2014 y se dictan otras disposiciones”</w:t>
      </w:r>
      <w:r w:rsidRPr="007C4C8B">
        <w:rPr>
          <w:rStyle w:val="Refdenotaalpie"/>
          <w:rFonts w:ascii="Verdana" w:eastAsia="Calibri" w:hAnsi="Verdana" w:cs="Arial"/>
          <w:sz w:val="14"/>
          <w:szCs w:val="14"/>
          <w:lang w:val="es-ES"/>
        </w:rPr>
        <w:footnoteRef/>
      </w:r>
      <w:r w:rsidRPr="007C4C8B">
        <w:rPr>
          <w:rFonts w:ascii="Verdana" w:eastAsia="Calibri" w:hAnsi="Verdana" w:cs="Arial"/>
          <w:sz w:val="14"/>
          <w:szCs w:val="14"/>
          <w:lang w:val="es-ES"/>
        </w:rPr>
        <w:t>, en el artículo 8, señala, de forma enunciativa, que se debe publicar la información relativa a la ejecución del contrato, como las aprobaciones, autorizaciones, requerimientos o informes del supervisor o interventor, que aprueben la ejecución del contrato</w:t>
      </w:r>
      <w:r w:rsidRPr="007C4C8B">
        <w:rPr>
          <w:rFonts w:ascii="Verdana" w:eastAsia="Calibri" w:hAnsi="Verdana" w:cs="Arial"/>
          <w:sz w:val="14"/>
          <w:szCs w:val="14"/>
          <w:vertAlign w:val="superscript"/>
          <w:lang w:val="es-ES"/>
        </w:rPr>
        <w:footnoteRef/>
      </w:r>
      <w:r w:rsidRPr="007C4C8B">
        <w:rPr>
          <w:rFonts w:ascii="Verdana" w:eastAsia="Calibri" w:hAnsi="Verdana" w:cs="Arial"/>
          <w:sz w:val="14"/>
          <w:szCs w:val="14"/>
          <w:lang w:val="es-ES"/>
        </w:rPr>
        <w:t xml:space="preserve">.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B77C31"/>
    <w:multiLevelType w:val="hybridMultilevel"/>
    <w:tmpl w:val="34283982"/>
    <w:lvl w:ilvl="0" w:tplc="2AF43E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A27F2"/>
    <w:multiLevelType w:val="hybridMultilevel"/>
    <w:tmpl w:val="AD32F7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A81D68"/>
    <w:multiLevelType w:val="multilevel"/>
    <w:tmpl w:val="BE00B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2900F5"/>
    <w:multiLevelType w:val="hybridMultilevel"/>
    <w:tmpl w:val="AD32F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1380713882">
    <w:abstractNumId w:val="0"/>
  </w:num>
  <w:num w:numId="17" w16cid:durableId="1132214699">
    <w:abstractNumId w:val="3"/>
  </w:num>
  <w:num w:numId="18" w16cid:durableId="784039179">
    <w:abstractNumId w:val="18"/>
  </w:num>
  <w:num w:numId="19" w16cid:durableId="1000695600">
    <w:abstractNumId w:val="11"/>
  </w:num>
  <w:num w:numId="20" w16cid:durableId="985088026">
    <w:abstractNumId w:val="10"/>
  </w:num>
  <w:num w:numId="21" w16cid:durableId="1951354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29E4"/>
    <w:rsid w:val="00057703"/>
    <w:rsid w:val="00061B2A"/>
    <w:rsid w:val="00062D51"/>
    <w:rsid w:val="00071B14"/>
    <w:rsid w:val="00082362"/>
    <w:rsid w:val="000A683E"/>
    <w:rsid w:val="000B19B9"/>
    <w:rsid w:val="000C7F87"/>
    <w:rsid w:val="000D0334"/>
    <w:rsid w:val="000F546E"/>
    <w:rsid w:val="000F57DE"/>
    <w:rsid w:val="000F6486"/>
    <w:rsid w:val="00125105"/>
    <w:rsid w:val="00127233"/>
    <w:rsid w:val="0015768A"/>
    <w:rsid w:val="00176AD1"/>
    <w:rsid w:val="001775F7"/>
    <w:rsid w:val="00184991"/>
    <w:rsid w:val="00184D7D"/>
    <w:rsid w:val="00190F7D"/>
    <w:rsid w:val="00192C7F"/>
    <w:rsid w:val="001A3A8A"/>
    <w:rsid w:val="001B48A8"/>
    <w:rsid w:val="001E4177"/>
    <w:rsid w:val="001F7DC6"/>
    <w:rsid w:val="002121F1"/>
    <w:rsid w:val="002421BB"/>
    <w:rsid w:val="0025796E"/>
    <w:rsid w:val="002650C3"/>
    <w:rsid w:val="002707A2"/>
    <w:rsid w:val="0028005C"/>
    <w:rsid w:val="002951A0"/>
    <w:rsid w:val="00295AEE"/>
    <w:rsid w:val="002962BC"/>
    <w:rsid w:val="002A093D"/>
    <w:rsid w:val="002A0DD0"/>
    <w:rsid w:val="002A49AC"/>
    <w:rsid w:val="002A64FD"/>
    <w:rsid w:val="002C7A84"/>
    <w:rsid w:val="002E4FD9"/>
    <w:rsid w:val="00322A85"/>
    <w:rsid w:val="00324168"/>
    <w:rsid w:val="003338C8"/>
    <w:rsid w:val="003448F4"/>
    <w:rsid w:val="00356BE2"/>
    <w:rsid w:val="00374F5E"/>
    <w:rsid w:val="00377E3E"/>
    <w:rsid w:val="003910C3"/>
    <w:rsid w:val="003A26D1"/>
    <w:rsid w:val="003A779E"/>
    <w:rsid w:val="003C6C4F"/>
    <w:rsid w:val="003D0F4D"/>
    <w:rsid w:val="003D5B0D"/>
    <w:rsid w:val="003E0499"/>
    <w:rsid w:val="003E76ED"/>
    <w:rsid w:val="003F3941"/>
    <w:rsid w:val="00401240"/>
    <w:rsid w:val="00406575"/>
    <w:rsid w:val="00423F30"/>
    <w:rsid w:val="004268E4"/>
    <w:rsid w:val="00426977"/>
    <w:rsid w:val="0042722E"/>
    <w:rsid w:val="00441752"/>
    <w:rsid w:val="0044528D"/>
    <w:rsid w:val="004455B8"/>
    <w:rsid w:val="004A11AD"/>
    <w:rsid w:val="004A1847"/>
    <w:rsid w:val="004A305D"/>
    <w:rsid w:val="004A5BE2"/>
    <w:rsid w:val="004C054E"/>
    <w:rsid w:val="004F17E7"/>
    <w:rsid w:val="004F21C4"/>
    <w:rsid w:val="004F5CBC"/>
    <w:rsid w:val="004F685F"/>
    <w:rsid w:val="00530F24"/>
    <w:rsid w:val="00553F37"/>
    <w:rsid w:val="005566E8"/>
    <w:rsid w:val="00574867"/>
    <w:rsid w:val="00591460"/>
    <w:rsid w:val="00592628"/>
    <w:rsid w:val="005A4341"/>
    <w:rsid w:val="005A7ADE"/>
    <w:rsid w:val="005C3777"/>
    <w:rsid w:val="005C5CDC"/>
    <w:rsid w:val="005D476C"/>
    <w:rsid w:val="005E3E8A"/>
    <w:rsid w:val="005F0E98"/>
    <w:rsid w:val="006107D7"/>
    <w:rsid w:val="00610812"/>
    <w:rsid w:val="006219F8"/>
    <w:rsid w:val="00621FF8"/>
    <w:rsid w:val="00650FF7"/>
    <w:rsid w:val="00665D70"/>
    <w:rsid w:val="00671DAC"/>
    <w:rsid w:val="006900D9"/>
    <w:rsid w:val="006C3C62"/>
    <w:rsid w:val="006D12F8"/>
    <w:rsid w:val="00706C16"/>
    <w:rsid w:val="00723483"/>
    <w:rsid w:val="00756841"/>
    <w:rsid w:val="007649AB"/>
    <w:rsid w:val="00771D0C"/>
    <w:rsid w:val="007777B7"/>
    <w:rsid w:val="007833AC"/>
    <w:rsid w:val="007B268C"/>
    <w:rsid w:val="007B7171"/>
    <w:rsid w:val="007C0C0F"/>
    <w:rsid w:val="007C3DC2"/>
    <w:rsid w:val="007C4C8B"/>
    <w:rsid w:val="007E4284"/>
    <w:rsid w:val="007E5497"/>
    <w:rsid w:val="007F39F3"/>
    <w:rsid w:val="00806F5F"/>
    <w:rsid w:val="00820278"/>
    <w:rsid w:val="00843C98"/>
    <w:rsid w:val="008768AB"/>
    <w:rsid w:val="008843B6"/>
    <w:rsid w:val="00891928"/>
    <w:rsid w:val="008A446D"/>
    <w:rsid w:val="008B7258"/>
    <w:rsid w:val="008C394A"/>
    <w:rsid w:val="008D180B"/>
    <w:rsid w:val="008D793C"/>
    <w:rsid w:val="008F0EA7"/>
    <w:rsid w:val="0090156A"/>
    <w:rsid w:val="00923EEF"/>
    <w:rsid w:val="009270DA"/>
    <w:rsid w:val="00934B46"/>
    <w:rsid w:val="009419F9"/>
    <w:rsid w:val="0095685E"/>
    <w:rsid w:val="0096026B"/>
    <w:rsid w:val="00961B09"/>
    <w:rsid w:val="00961C58"/>
    <w:rsid w:val="00965334"/>
    <w:rsid w:val="00966AEE"/>
    <w:rsid w:val="0097093E"/>
    <w:rsid w:val="009917B5"/>
    <w:rsid w:val="009940B4"/>
    <w:rsid w:val="00994FA0"/>
    <w:rsid w:val="009A0DFA"/>
    <w:rsid w:val="009A6DEA"/>
    <w:rsid w:val="009B11D2"/>
    <w:rsid w:val="009B2D26"/>
    <w:rsid w:val="009C71FA"/>
    <w:rsid w:val="009C72E7"/>
    <w:rsid w:val="009D3058"/>
    <w:rsid w:val="009D3D7B"/>
    <w:rsid w:val="009E0459"/>
    <w:rsid w:val="009F3A13"/>
    <w:rsid w:val="00A122D3"/>
    <w:rsid w:val="00A17F13"/>
    <w:rsid w:val="00A20739"/>
    <w:rsid w:val="00A33C78"/>
    <w:rsid w:val="00A37774"/>
    <w:rsid w:val="00A70A3A"/>
    <w:rsid w:val="00AB0ADB"/>
    <w:rsid w:val="00AC5B41"/>
    <w:rsid w:val="00AD059F"/>
    <w:rsid w:val="00B01B1A"/>
    <w:rsid w:val="00B3063B"/>
    <w:rsid w:val="00B43A2C"/>
    <w:rsid w:val="00B47D12"/>
    <w:rsid w:val="00B61DC6"/>
    <w:rsid w:val="00B72CD3"/>
    <w:rsid w:val="00B72FFF"/>
    <w:rsid w:val="00B804FB"/>
    <w:rsid w:val="00B839D9"/>
    <w:rsid w:val="00BA5844"/>
    <w:rsid w:val="00BB5B33"/>
    <w:rsid w:val="00BC3D36"/>
    <w:rsid w:val="00BC5684"/>
    <w:rsid w:val="00BD7F72"/>
    <w:rsid w:val="00BF35DB"/>
    <w:rsid w:val="00BF42BF"/>
    <w:rsid w:val="00C04A9C"/>
    <w:rsid w:val="00C04FB3"/>
    <w:rsid w:val="00C13B97"/>
    <w:rsid w:val="00C330EB"/>
    <w:rsid w:val="00C4091E"/>
    <w:rsid w:val="00C5144C"/>
    <w:rsid w:val="00C621FD"/>
    <w:rsid w:val="00C723FD"/>
    <w:rsid w:val="00C754BE"/>
    <w:rsid w:val="00C76B1C"/>
    <w:rsid w:val="00C91D59"/>
    <w:rsid w:val="00CA4CAE"/>
    <w:rsid w:val="00CB0535"/>
    <w:rsid w:val="00CB6357"/>
    <w:rsid w:val="00CC1B26"/>
    <w:rsid w:val="00CE54C6"/>
    <w:rsid w:val="00D06C88"/>
    <w:rsid w:val="00D3159A"/>
    <w:rsid w:val="00D3408D"/>
    <w:rsid w:val="00D423A2"/>
    <w:rsid w:val="00D520D8"/>
    <w:rsid w:val="00D63AC2"/>
    <w:rsid w:val="00D66BA9"/>
    <w:rsid w:val="00D7383B"/>
    <w:rsid w:val="00D829A3"/>
    <w:rsid w:val="00DA231B"/>
    <w:rsid w:val="00DA23A0"/>
    <w:rsid w:val="00DA2589"/>
    <w:rsid w:val="00DC39FC"/>
    <w:rsid w:val="00DD313F"/>
    <w:rsid w:val="00DF5254"/>
    <w:rsid w:val="00E06A33"/>
    <w:rsid w:val="00E1351F"/>
    <w:rsid w:val="00E16408"/>
    <w:rsid w:val="00E20894"/>
    <w:rsid w:val="00E245AB"/>
    <w:rsid w:val="00E2573D"/>
    <w:rsid w:val="00E2764C"/>
    <w:rsid w:val="00E27F2E"/>
    <w:rsid w:val="00E413EA"/>
    <w:rsid w:val="00E50AFE"/>
    <w:rsid w:val="00E75C92"/>
    <w:rsid w:val="00E771DC"/>
    <w:rsid w:val="00E859C1"/>
    <w:rsid w:val="00E8772A"/>
    <w:rsid w:val="00E90F6B"/>
    <w:rsid w:val="00E92C27"/>
    <w:rsid w:val="00EA0C0D"/>
    <w:rsid w:val="00EA0E3D"/>
    <w:rsid w:val="00EC38A7"/>
    <w:rsid w:val="00EE1AA8"/>
    <w:rsid w:val="00F31EDC"/>
    <w:rsid w:val="00F462B3"/>
    <w:rsid w:val="00F5664F"/>
    <w:rsid w:val="00F666C4"/>
    <w:rsid w:val="00F70B84"/>
    <w:rsid w:val="00F76AFC"/>
    <w:rsid w:val="00FA47C0"/>
    <w:rsid w:val="00FB5DD1"/>
    <w:rsid w:val="00FC2B5D"/>
    <w:rsid w:val="00FD5FA6"/>
    <w:rsid w:val="00FE2CF7"/>
    <w:rsid w:val="00FF1449"/>
    <w:rsid w:val="00FF19F3"/>
    <w:rsid w:val="00FF55C6"/>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429E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E4284"/>
    <w:rPr>
      <w:rFonts w:ascii="Geomanist Light" w:hAnsi="Geomanist Light"/>
      <w:lang w:val="es-ES"/>
    </w:rPr>
  </w:style>
  <w:style w:type="character" w:customStyle="1" w:styleId="superscript">
    <w:name w:val="superscript"/>
    <w:basedOn w:val="Fuentedeprrafopredeter"/>
    <w:rsid w:val="007E4284"/>
  </w:style>
  <w:style w:type="character" w:styleId="Refdecomentario">
    <w:name w:val="annotation reference"/>
    <w:basedOn w:val="Fuentedeprrafopredeter"/>
    <w:uiPriority w:val="99"/>
    <w:semiHidden/>
    <w:unhideWhenUsed/>
    <w:rsid w:val="00FE2CF7"/>
    <w:rPr>
      <w:sz w:val="16"/>
      <w:szCs w:val="16"/>
    </w:rPr>
  </w:style>
  <w:style w:type="paragraph" w:styleId="Textocomentario">
    <w:name w:val="annotation text"/>
    <w:basedOn w:val="Normal"/>
    <w:link w:val="TextocomentarioCar"/>
    <w:uiPriority w:val="99"/>
    <w:unhideWhenUsed/>
    <w:rsid w:val="00FE2CF7"/>
    <w:pPr>
      <w:spacing w:line="240" w:lineRule="auto"/>
    </w:pPr>
    <w:rPr>
      <w:sz w:val="20"/>
      <w:szCs w:val="20"/>
    </w:rPr>
  </w:style>
  <w:style w:type="character" w:customStyle="1" w:styleId="TextocomentarioCar">
    <w:name w:val="Texto comentario Car"/>
    <w:basedOn w:val="Fuentedeprrafopredeter"/>
    <w:link w:val="Textocomentario"/>
    <w:uiPriority w:val="99"/>
    <w:rsid w:val="00FE2CF7"/>
    <w:rPr>
      <w:sz w:val="20"/>
      <w:szCs w:val="20"/>
    </w:rPr>
  </w:style>
  <w:style w:type="paragraph" w:styleId="Asuntodelcomentario">
    <w:name w:val="annotation subject"/>
    <w:basedOn w:val="Textocomentario"/>
    <w:next w:val="Textocomentario"/>
    <w:link w:val="AsuntodelcomentarioCar"/>
    <w:uiPriority w:val="99"/>
    <w:semiHidden/>
    <w:unhideWhenUsed/>
    <w:rsid w:val="00FE2CF7"/>
    <w:rPr>
      <w:b/>
      <w:bCs/>
    </w:rPr>
  </w:style>
  <w:style w:type="character" w:customStyle="1" w:styleId="AsuntodelcomentarioCar">
    <w:name w:val="Asunto del comentario Car"/>
    <w:basedOn w:val="TextocomentarioCar"/>
    <w:link w:val="Asuntodelcomentario"/>
    <w:uiPriority w:val="99"/>
    <w:semiHidden/>
    <w:rsid w:val="00FE2CF7"/>
    <w:rPr>
      <w:b/>
      <w:bCs/>
      <w:sz w:val="20"/>
      <w:szCs w:val="20"/>
    </w:rPr>
  </w:style>
  <w:style w:type="character" w:customStyle="1" w:styleId="NormalWebCar">
    <w:name w:val="Normal (Web) Car"/>
    <w:link w:val="NormalWeb"/>
    <w:uiPriority w:val="99"/>
    <w:rsid w:val="008768AB"/>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56799121">
      <w:bodyDiv w:val="1"/>
      <w:marLeft w:val="0"/>
      <w:marRight w:val="0"/>
      <w:marTop w:val="0"/>
      <w:marBottom w:val="0"/>
      <w:divBdr>
        <w:top w:val="none" w:sz="0" w:space="0" w:color="auto"/>
        <w:left w:val="none" w:sz="0" w:space="0" w:color="auto"/>
        <w:bottom w:val="none" w:sz="0" w:space="0" w:color="auto"/>
        <w:right w:val="none" w:sz="0" w:space="0" w:color="auto"/>
      </w:divBdr>
    </w:div>
    <w:div w:id="58683978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30829428">
      <w:bodyDiv w:val="1"/>
      <w:marLeft w:val="0"/>
      <w:marRight w:val="0"/>
      <w:marTop w:val="0"/>
      <w:marBottom w:val="0"/>
      <w:divBdr>
        <w:top w:val="none" w:sz="0" w:space="0" w:color="auto"/>
        <w:left w:val="none" w:sz="0" w:space="0" w:color="auto"/>
        <w:bottom w:val="none" w:sz="0" w:space="0" w:color="auto"/>
        <w:right w:val="none" w:sz="0" w:space="0" w:color="auto"/>
      </w:divBdr>
    </w:div>
    <w:div w:id="866062612">
      <w:bodyDiv w:val="1"/>
      <w:marLeft w:val="0"/>
      <w:marRight w:val="0"/>
      <w:marTop w:val="0"/>
      <w:marBottom w:val="0"/>
      <w:divBdr>
        <w:top w:val="none" w:sz="0" w:space="0" w:color="auto"/>
        <w:left w:val="none" w:sz="0" w:space="0" w:color="auto"/>
        <w:bottom w:val="none" w:sz="0" w:space="0" w:color="auto"/>
        <w:right w:val="none" w:sz="0" w:space="0" w:color="auto"/>
      </w:divBdr>
    </w:div>
    <w:div w:id="1068773425">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619487975">
      <w:bodyDiv w:val="1"/>
      <w:marLeft w:val="0"/>
      <w:marRight w:val="0"/>
      <w:marTop w:val="0"/>
      <w:marBottom w:val="0"/>
      <w:divBdr>
        <w:top w:val="none" w:sz="0" w:space="0" w:color="auto"/>
        <w:left w:val="none" w:sz="0" w:space="0" w:color="auto"/>
        <w:bottom w:val="none" w:sz="0" w:space="0" w:color="auto"/>
        <w:right w:val="none" w:sz="0" w:space="0" w:color="auto"/>
      </w:divBdr>
    </w:div>
    <w:div w:id="1830364934">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perfilcompradores-secop/perfil-compra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zp49@hotmail.com"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3535B94E-4885-4C1D-90B5-A01545B4A5CA}"/>
</file>

<file path=customXml/itemProps4.xml><?xml version="1.0" encoding="utf-8"?>
<ds:datastoreItem xmlns:ds="http://schemas.openxmlformats.org/officeDocument/2006/customXml" ds:itemID="{ACA4D09B-7E2C-4C77-9D3E-BC0A6CDC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11</Pages>
  <Words>3299</Words>
  <Characters>18148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Christian Camilo Orjuela Galeano</cp:lastModifiedBy>
  <cp:revision>14</cp:revision>
  <cp:lastPrinted>2023-01-10T21:18:00Z</cp:lastPrinted>
  <dcterms:created xsi:type="dcterms:W3CDTF">2024-09-13T16:42:00Z</dcterms:created>
  <dcterms:modified xsi:type="dcterms:W3CDTF">2024-10-11T19:15:00Z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