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758F" w14:textId="44B2BE70" w:rsidR="00905070" w:rsidRPr="00905070" w:rsidRDefault="00905070" w:rsidP="00905070">
      <w:pPr>
        <w:spacing w:after="0"/>
        <w:jc w:val="both"/>
        <w:rPr>
          <w:rFonts w:ascii="Verdana" w:hAnsi="Verdana"/>
        </w:rPr>
      </w:pPr>
      <w:bookmarkStart w:id="0" w:name="_Hlk143780582"/>
      <w:r w:rsidRPr="00905070">
        <w:rPr>
          <w:rFonts w:ascii="Verdana" w:eastAsia="Aptos" w:hAnsi="Verdana" w:cs="Arial"/>
          <w:b/>
          <w:bCs/>
          <w:kern w:val="2"/>
          <w:lang w:val="es-MX"/>
          <w14:ligatures w14:val="standardContextual"/>
        </w:rPr>
        <w:t>EXPERIENCIA – Concepto – Documentos Tipo – Infraestructura de transporte – RUP</w:t>
      </w:r>
    </w:p>
    <w:p w14:paraId="37D3A1D4" w14:textId="77777777" w:rsidR="00905070" w:rsidRPr="00905070" w:rsidRDefault="00905070" w:rsidP="00905070">
      <w:pPr>
        <w:snapToGrid w:val="0"/>
        <w:spacing w:after="0" w:line="276" w:lineRule="auto"/>
        <w:jc w:val="both"/>
        <w:rPr>
          <w:rFonts w:ascii="Verdana" w:eastAsia="Aptos" w:hAnsi="Verdana" w:cs="Arial"/>
          <w:b/>
          <w:bCs/>
          <w:kern w:val="2"/>
          <w:lang w:val="es-MX"/>
          <w14:ligatures w14:val="standardContextual"/>
        </w:rPr>
      </w:pPr>
    </w:p>
    <w:p w14:paraId="4CF4024E" w14:textId="33A5876B" w:rsidR="00905070" w:rsidRPr="00905070" w:rsidRDefault="00063B0A" w:rsidP="00905070">
      <w:pPr>
        <w:snapToGrid w:val="0"/>
        <w:spacing w:after="0" w:line="240" w:lineRule="auto"/>
        <w:jc w:val="both"/>
        <w:rPr>
          <w:rFonts w:ascii="Verdana" w:eastAsia="Aptos" w:hAnsi="Verdana" w:cs="Times New Roman"/>
          <w:kern w:val="2"/>
          <w:sz w:val="20"/>
          <w:szCs w:val="20"/>
          <w:lang w:val="es-ES"/>
          <w14:ligatures w14:val="standardContextual"/>
        </w:rPr>
      </w:pPr>
      <w:r w:rsidRPr="00063B0A">
        <w:rPr>
          <w:rFonts w:ascii="Verdana" w:eastAsia="Aptos" w:hAnsi="Verdana" w:cs="Times New Roman"/>
          <w:kern w:val="2"/>
          <w:sz w:val="20"/>
          <w:szCs w:val="20"/>
          <w:lang w:val="es-ES"/>
          <w14:ligatures w14:val="standardContextual"/>
        </w:rPr>
        <w:t>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w:t>
      </w:r>
    </w:p>
    <w:p w14:paraId="48093E55" w14:textId="77777777" w:rsidR="00905070" w:rsidRPr="00905070" w:rsidRDefault="00905070" w:rsidP="00905070">
      <w:pPr>
        <w:snapToGrid w:val="0"/>
        <w:spacing w:after="0" w:line="276" w:lineRule="auto"/>
        <w:jc w:val="both"/>
        <w:rPr>
          <w:rFonts w:ascii="Verdana" w:eastAsia="Aptos" w:hAnsi="Verdana" w:cs="Arial"/>
          <w:b/>
          <w:bCs/>
          <w:kern w:val="2"/>
          <w:lang w:val="es-MX"/>
          <w14:ligatures w14:val="standardContextual"/>
        </w:rPr>
      </w:pPr>
    </w:p>
    <w:p w14:paraId="25A90E1C" w14:textId="77777777" w:rsidR="00905070" w:rsidRPr="00905070" w:rsidRDefault="00905070" w:rsidP="00905070">
      <w:pPr>
        <w:snapToGrid w:val="0"/>
        <w:spacing w:after="0" w:line="276" w:lineRule="auto"/>
        <w:jc w:val="both"/>
        <w:rPr>
          <w:rFonts w:ascii="Verdana" w:eastAsia="Aptos" w:hAnsi="Verdana" w:cs="Arial"/>
          <w:b/>
          <w:bCs/>
          <w:kern w:val="2"/>
          <w:lang w:val="es-MX"/>
          <w14:ligatures w14:val="standardContextual"/>
        </w:rPr>
      </w:pPr>
      <w:r w:rsidRPr="00905070">
        <w:rPr>
          <w:rFonts w:ascii="Verdana" w:eastAsia="Aptos" w:hAnsi="Verdana" w:cs="Arial"/>
          <w:b/>
          <w:bCs/>
          <w:kern w:val="2"/>
          <w:lang w:val="es-MX"/>
          <w14:ligatures w14:val="standardContextual"/>
        </w:rPr>
        <w:t>CAPACIDAD RESIDUAL – Documentos Tipo – Infraestructura de transporte – Causales de rechazo</w:t>
      </w:r>
    </w:p>
    <w:p w14:paraId="618F09BB" w14:textId="77777777" w:rsidR="00905070" w:rsidRPr="00905070" w:rsidRDefault="00905070" w:rsidP="00905070">
      <w:pPr>
        <w:snapToGrid w:val="0"/>
        <w:spacing w:after="0" w:line="276" w:lineRule="auto"/>
        <w:jc w:val="both"/>
        <w:rPr>
          <w:rFonts w:ascii="Verdana" w:eastAsia="Aptos" w:hAnsi="Verdana" w:cs="Arial"/>
          <w:b/>
          <w:bCs/>
          <w:kern w:val="2"/>
          <w:lang w:val="es-MX"/>
          <w14:ligatures w14:val="standardContextual"/>
        </w:rPr>
      </w:pPr>
    </w:p>
    <w:p w14:paraId="0D226D36" w14:textId="2C981C2F" w:rsidR="006E44FD" w:rsidRPr="006E44FD" w:rsidRDefault="006E44FD" w:rsidP="006E44FD">
      <w:pPr>
        <w:snapToGrid w:val="0"/>
        <w:spacing w:after="0" w:line="240" w:lineRule="auto"/>
        <w:jc w:val="both"/>
        <w:rPr>
          <w:rFonts w:ascii="Verdana" w:eastAsia="Calibri" w:hAnsi="Verdana" w:cs="Arial"/>
          <w:sz w:val="20"/>
          <w:szCs w:val="20"/>
          <w:lang w:val="es-ES"/>
        </w:rPr>
      </w:pPr>
      <w:r w:rsidRPr="006E44FD">
        <w:rPr>
          <w:rFonts w:ascii="Verdana" w:eastAsia="Calibri" w:hAnsi="Verdana" w:cs="Arial"/>
          <w:sz w:val="20"/>
          <w:szCs w:val="20"/>
          <w:lang w:val="es-ES"/>
        </w:rPr>
        <w:t xml:space="preserve">La Capacidad Residual es un requisito habilitante que está sujeto a la posibilidad de solicitarle aclaración, con el fin de esclarecer dudas sobre aspectos de la información presentada por el proponente y, de igual forma, está sujeto a la posibilidad de subsanar la ausencia de requisitos, siempre que se cumpla con los límites temporales y materiales establecidos al respecto, es decir, que lo omitido no sea un factor que afecte la asignación de puntaje, que sea la prueba de una circunstancia o hecho que ocurrió con anterioridad al cierre del proceso y que no exista disposición legal o en el pliego de condiciones que prohíba su subsanación. </w:t>
      </w:r>
    </w:p>
    <w:p w14:paraId="0D3361BA" w14:textId="77777777" w:rsidR="006E44FD" w:rsidRDefault="006E44FD" w:rsidP="006E44FD">
      <w:pPr>
        <w:snapToGrid w:val="0"/>
        <w:spacing w:after="0" w:line="240" w:lineRule="auto"/>
        <w:jc w:val="both"/>
        <w:rPr>
          <w:rFonts w:ascii="Verdana" w:eastAsia="Calibri" w:hAnsi="Verdana" w:cs="Arial"/>
          <w:sz w:val="20"/>
          <w:szCs w:val="20"/>
          <w:lang w:val="es-ES"/>
        </w:rPr>
      </w:pPr>
    </w:p>
    <w:p w14:paraId="106EBBF7" w14:textId="73473118" w:rsidR="00905070" w:rsidRPr="00905070" w:rsidRDefault="006E44FD" w:rsidP="006E44FD">
      <w:pPr>
        <w:snapToGrid w:val="0"/>
        <w:spacing w:after="0" w:line="240" w:lineRule="auto"/>
        <w:jc w:val="both"/>
        <w:rPr>
          <w:rFonts w:ascii="Verdana" w:eastAsia="Calibri" w:hAnsi="Verdana" w:cs="Arial"/>
          <w:sz w:val="20"/>
          <w:szCs w:val="20"/>
          <w:lang w:val="es-ES"/>
        </w:rPr>
      </w:pPr>
      <w:r w:rsidRPr="006E44FD">
        <w:rPr>
          <w:rFonts w:ascii="Verdana" w:eastAsia="Calibri" w:hAnsi="Verdana" w:cs="Arial"/>
          <w:sz w:val="20"/>
          <w:szCs w:val="20"/>
          <w:lang w:val="es-ES"/>
        </w:rPr>
        <w:t>El numeral 3.10 del documento base de los documentos tipo de selección abreviada de menor cuantía de obra de infraestructura de transporte – Versión 2, establece como requisito habilitante la capacidad residual. En este documento tipo, al menos tres causales de rechazo del numeral 1.15 se relacionan con la capacidad residual como requisito habilitante, esto es, los literales E, H y AA.</w:t>
      </w:r>
    </w:p>
    <w:p w14:paraId="032DB499" w14:textId="77777777" w:rsidR="00905070" w:rsidRPr="00905070" w:rsidRDefault="00905070" w:rsidP="00905070">
      <w:pPr>
        <w:snapToGrid w:val="0"/>
        <w:spacing w:after="0" w:line="276" w:lineRule="auto"/>
        <w:jc w:val="both"/>
        <w:rPr>
          <w:rFonts w:ascii="Verdana" w:eastAsia="Aptos" w:hAnsi="Verdana" w:cs="Arial"/>
          <w:b/>
          <w:bCs/>
          <w:kern w:val="2"/>
          <w:lang w:val="es-MX"/>
          <w14:ligatures w14:val="standardContextual"/>
        </w:rPr>
      </w:pPr>
    </w:p>
    <w:p w14:paraId="0B75F819" w14:textId="77777777" w:rsidR="00905070" w:rsidRPr="00905070" w:rsidRDefault="00905070" w:rsidP="00905070">
      <w:pPr>
        <w:snapToGrid w:val="0"/>
        <w:spacing w:after="0" w:line="276" w:lineRule="auto"/>
        <w:jc w:val="both"/>
        <w:rPr>
          <w:rFonts w:ascii="Verdana" w:eastAsia="Aptos" w:hAnsi="Verdana" w:cs="Arial"/>
          <w:b/>
          <w:bCs/>
          <w:kern w:val="2"/>
          <w:lang w:val="es-MX"/>
          <w14:ligatures w14:val="standardContextual"/>
        </w:rPr>
      </w:pPr>
      <w:r w:rsidRPr="00905070">
        <w:rPr>
          <w:rFonts w:ascii="Verdana" w:eastAsia="Aptos" w:hAnsi="Verdana" w:cs="Arial"/>
          <w:b/>
          <w:bCs/>
          <w:kern w:val="2"/>
          <w:lang w:val="es-MX"/>
          <w14:ligatures w14:val="standardContextual"/>
        </w:rPr>
        <w:t xml:space="preserve">SUBSANABILIDAD – Aplicación – Regla general </w:t>
      </w:r>
    </w:p>
    <w:p w14:paraId="47BB987F" w14:textId="77777777" w:rsidR="00905070" w:rsidRPr="00905070" w:rsidRDefault="00905070" w:rsidP="00905070">
      <w:pPr>
        <w:snapToGrid w:val="0"/>
        <w:spacing w:after="0" w:line="276" w:lineRule="auto"/>
        <w:jc w:val="both"/>
        <w:rPr>
          <w:rFonts w:ascii="Verdana" w:eastAsia="Calibri" w:hAnsi="Verdana" w:cs="Times New Roman"/>
        </w:rPr>
      </w:pPr>
    </w:p>
    <w:p w14:paraId="3CD5C37B" w14:textId="72BF1CE2" w:rsidR="006E44FD" w:rsidRPr="006E44FD" w:rsidRDefault="006E44FD" w:rsidP="006E44FD">
      <w:pPr>
        <w:snapToGrid w:val="0"/>
        <w:spacing w:after="0" w:line="240" w:lineRule="auto"/>
        <w:jc w:val="both"/>
        <w:rPr>
          <w:rFonts w:ascii="Verdana" w:eastAsia="Aptos" w:hAnsi="Verdana" w:cs="Arial"/>
          <w:noProof/>
          <w:kern w:val="2"/>
          <w:sz w:val="20"/>
          <w:szCs w:val="20"/>
          <w:lang w:val="es-ES_tradnl"/>
          <w14:ligatures w14:val="standardContextual"/>
        </w:rPr>
      </w:pPr>
      <w:r w:rsidRPr="006E44FD">
        <w:rPr>
          <w:rFonts w:ascii="Verdana" w:eastAsia="Aptos" w:hAnsi="Verdana" w:cs="Arial"/>
          <w:noProof/>
          <w:kern w:val="2"/>
          <w:sz w:val="20"/>
          <w:szCs w:val="20"/>
          <w:lang w:val="es-ES_tradnl"/>
          <w14:ligatures w14:val="standardContextual"/>
        </w:rPr>
        <w:t>En conclusion, los requisitos o documentos que no sean necesarios para la comparación de las ofertas pueden subsanarse y todo lo que no sea necesario para la comparación de propuestas no es título suficiente para su rechazo.</w:t>
      </w:r>
    </w:p>
    <w:p w14:paraId="6FB90FDC" w14:textId="77777777" w:rsidR="006E44FD" w:rsidRPr="006E44FD" w:rsidRDefault="006E44FD" w:rsidP="006E44FD">
      <w:pPr>
        <w:snapToGrid w:val="0"/>
        <w:spacing w:after="0" w:line="240" w:lineRule="auto"/>
        <w:jc w:val="both"/>
        <w:rPr>
          <w:rFonts w:ascii="Verdana" w:eastAsia="Aptos" w:hAnsi="Verdana" w:cs="Arial"/>
          <w:noProof/>
          <w:kern w:val="2"/>
          <w:sz w:val="20"/>
          <w:szCs w:val="20"/>
          <w:lang w:val="es-ES_tradnl"/>
          <w14:ligatures w14:val="standardContextual"/>
        </w:rPr>
      </w:pPr>
    </w:p>
    <w:p w14:paraId="3F0D095B" w14:textId="023937B7" w:rsidR="00905070" w:rsidRPr="00905070" w:rsidRDefault="006E44FD" w:rsidP="006E44FD">
      <w:pPr>
        <w:snapToGrid w:val="0"/>
        <w:spacing w:after="0" w:line="240" w:lineRule="auto"/>
        <w:jc w:val="both"/>
        <w:rPr>
          <w:rFonts w:ascii="Verdana" w:eastAsia="Aptos" w:hAnsi="Verdana" w:cs="Arial"/>
          <w:noProof/>
          <w:kern w:val="2"/>
          <w:sz w:val="20"/>
          <w:szCs w:val="20"/>
          <w:lang w:val="es-ES_tradnl"/>
          <w14:ligatures w14:val="standardContextual"/>
        </w:rPr>
      </w:pPr>
      <w:r w:rsidRPr="006E44FD">
        <w:rPr>
          <w:rFonts w:ascii="Verdana" w:eastAsia="Aptos" w:hAnsi="Verdana" w:cs="Arial"/>
          <w:noProof/>
          <w:kern w:val="2"/>
          <w:sz w:val="20"/>
          <w:szCs w:val="20"/>
          <w:lang w:val="es-ES_tradnl"/>
          <w14:ligatures w14:val="standardContextua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14:paraId="3A7EE192" w14:textId="77777777" w:rsidR="00905070" w:rsidRDefault="00905070" w:rsidP="00905070">
      <w:pPr>
        <w:spacing w:after="0" w:line="240" w:lineRule="auto"/>
        <w:jc w:val="both"/>
        <w:rPr>
          <w:rFonts w:ascii="Verdana" w:eastAsia="Calibri" w:hAnsi="Verdana" w:cs="Times New Roman"/>
        </w:rPr>
      </w:pPr>
    </w:p>
    <w:p w14:paraId="1F096931" w14:textId="77777777" w:rsidR="006E44FD" w:rsidRPr="00905070" w:rsidRDefault="006E44FD" w:rsidP="00905070">
      <w:pPr>
        <w:spacing w:after="0" w:line="240" w:lineRule="auto"/>
        <w:jc w:val="both"/>
        <w:rPr>
          <w:rFonts w:ascii="Verdana" w:eastAsia="Calibri" w:hAnsi="Verdana" w:cs="Times New Roman"/>
        </w:rPr>
      </w:pPr>
    </w:p>
    <w:p w14:paraId="30A07CAD" w14:textId="77777777" w:rsidR="00905070" w:rsidRPr="00905070" w:rsidRDefault="00905070" w:rsidP="00905070">
      <w:pPr>
        <w:spacing w:after="0" w:line="240" w:lineRule="auto"/>
        <w:jc w:val="both"/>
        <w:rPr>
          <w:rFonts w:ascii="Verdana" w:eastAsia="Calibri" w:hAnsi="Verdana" w:cs="Times New Roman"/>
        </w:rPr>
      </w:pPr>
    </w:p>
    <w:p w14:paraId="63CD4289" w14:textId="45F9B6D2" w:rsidR="00905070" w:rsidRDefault="00905070" w:rsidP="00905070">
      <w:pPr>
        <w:spacing w:after="0" w:line="240" w:lineRule="auto"/>
        <w:jc w:val="both"/>
        <w:rPr>
          <w:rFonts w:ascii="Verdana" w:hAnsi="Verdana"/>
        </w:rPr>
      </w:pPr>
      <w:r w:rsidRPr="0044528D">
        <w:rPr>
          <w:rFonts w:ascii="Verdana" w:hAnsi="Verdana"/>
        </w:rPr>
        <w:lastRenderedPageBreak/>
        <w:t>Bogotá D.C.</w:t>
      </w:r>
    </w:p>
    <w:p w14:paraId="212A60DE" w14:textId="77777777" w:rsidR="00905070" w:rsidRPr="00905070" w:rsidRDefault="00905070" w:rsidP="00905070">
      <w:pPr>
        <w:spacing w:after="0" w:line="240" w:lineRule="auto"/>
        <w:jc w:val="both"/>
        <w:rPr>
          <w:rFonts w:ascii="Verdana" w:eastAsia="Calibri" w:hAnsi="Verdana" w:cs="Arial"/>
          <w:lang w:val="es-ES"/>
        </w:rPr>
      </w:pPr>
    </w:p>
    <w:p w14:paraId="547E67F9" w14:textId="5E7EA2D6" w:rsidR="00905070" w:rsidRPr="00905070" w:rsidRDefault="00136C10" w:rsidP="00136C10">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3B39DA7D" wp14:editId="49E9C902">
            <wp:extent cx="3625324" cy="1069913"/>
            <wp:effectExtent l="0" t="0" r="0" b="0"/>
            <wp:docPr id="671792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92832" name="Imagen 671792832"/>
                    <pic:cNvPicPr/>
                  </pic:nvPicPr>
                  <pic:blipFill>
                    <a:blip r:embed="rId10">
                      <a:extLst>
                        <a:ext uri="{28A0092B-C50C-407E-A947-70E740481C1C}">
                          <a14:useLocalDpi xmlns:a14="http://schemas.microsoft.com/office/drawing/2010/main" val="0"/>
                        </a:ext>
                      </a:extLst>
                    </a:blip>
                    <a:stretch>
                      <a:fillRect/>
                    </a:stretch>
                  </pic:blipFill>
                  <pic:spPr>
                    <a:xfrm>
                      <a:off x="0" y="0"/>
                      <a:ext cx="3648286" cy="1076690"/>
                    </a:xfrm>
                    <a:prstGeom prst="rect">
                      <a:avLst/>
                    </a:prstGeom>
                  </pic:spPr>
                </pic:pic>
              </a:graphicData>
            </a:graphic>
          </wp:inline>
        </w:drawing>
      </w:r>
    </w:p>
    <w:p w14:paraId="10678C02" w14:textId="77777777" w:rsidR="00905070" w:rsidRPr="00905070" w:rsidRDefault="00905070" w:rsidP="00905070">
      <w:pPr>
        <w:spacing w:after="0" w:line="240" w:lineRule="auto"/>
        <w:jc w:val="both"/>
        <w:rPr>
          <w:rFonts w:ascii="Verdana" w:eastAsia="Calibri" w:hAnsi="Verdana" w:cs="Arial"/>
          <w:lang w:val="es-ES" w:eastAsia="es-ES"/>
        </w:rPr>
      </w:pPr>
      <w:r w:rsidRPr="00905070">
        <w:rPr>
          <w:rFonts w:ascii="Verdana" w:eastAsia="Calibri" w:hAnsi="Verdana" w:cs="Arial"/>
          <w:lang w:val="es-ES" w:eastAsia="es-ES"/>
        </w:rPr>
        <w:t>Señor</w:t>
      </w:r>
    </w:p>
    <w:p w14:paraId="6F72E651" w14:textId="77777777" w:rsidR="00905070" w:rsidRPr="00905070" w:rsidRDefault="00905070" w:rsidP="00905070">
      <w:pPr>
        <w:spacing w:after="0" w:line="240" w:lineRule="auto"/>
        <w:rPr>
          <w:rFonts w:ascii="Verdana" w:eastAsia="Calibri" w:hAnsi="Verdana" w:cs="Arial"/>
          <w:b/>
          <w:lang w:val="es-ES_tradnl" w:eastAsia="es-ES_tradnl"/>
        </w:rPr>
      </w:pPr>
      <w:r w:rsidRPr="00905070">
        <w:rPr>
          <w:rFonts w:ascii="Verdana" w:eastAsia="Calibri" w:hAnsi="Verdana" w:cs="Arial"/>
          <w:b/>
          <w:lang w:val="es-ES_tradnl" w:eastAsia="es-ES_tradnl"/>
        </w:rPr>
        <w:t>Miguel Ángel Osorio Gómez</w:t>
      </w:r>
    </w:p>
    <w:p w14:paraId="25FA971B" w14:textId="77777777" w:rsidR="00905070" w:rsidRPr="00905070" w:rsidRDefault="00905070" w:rsidP="00905070">
      <w:pPr>
        <w:spacing w:after="0" w:line="240" w:lineRule="auto"/>
        <w:rPr>
          <w:rFonts w:ascii="Verdana" w:eastAsia="Calibri" w:hAnsi="Verdana" w:cs="Arial"/>
          <w:b/>
          <w:bCs/>
          <w:lang w:val="es-ES_tradnl" w:eastAsia="es-ES_tradnl"/>
        </w:rPr>
      </w:pPr>
      <w:r w:rsidRPr="00905070">
        <w:rPr>
          <w:rFonts w:ascii="Verdana" w:eastAsia="Calibri" w:hAnsi="Verdana" w:cs="Arial"/>
          <w:bCs/>
          <w:lang w:val="es-ES_tradnl" w:eastAsia="es-ES_tradnl"/>
        </w:rPr>
        <w:t>Floridablanca, Santander</w:t>
      </w:r>
    </w:p>
    <w:p w14:paraId="1983AD05" w14:textId="77777777" w:rsidR="00905070" w:rsidRPr="00905070" w:rsidRDefault="00905070" w:rsidP="0090507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05070" w:rsidRPr="00905070" w14:paraId="74F999CA" w14:textId="77777777">
        <w:trPr>
          <w:trHeight w:val="884"/>
        </w:trPr>
        <w:tc>
          <w:tcPr>
            <w:tcW w:w="2689" w:type="dxa"/>
          </w:tcPr>
          <w:p w14:paraId="6B9153DC" w14:textId="77777777" w:rsidR="00905070" w:rsidRPr="00905070" w:rsidRDefault="00905070" w:rsidP="00905070">
            <w:pPr>
              <w:jc w:val="both"/>
              <w:rPr>
                <w:rFonts w:ascii="Verdana" w:eastAsia="Calibri" w:hAnsi="Verdana" w:cs="Arial"/>
                <w:b/>
                <w:bCs/>
                <w:lang w:val="es-ES_tradnl" w:eastAsia="es-ES_tradnl"/>
              </w:rPr>
            </w:pPr>
          </w:p>
        </w:tc>
        <w:tc>
          <w:tcPr>
            <w:tcW w:w="6100" w:type="dxa"/>
          </w:tcPr>
          <w:p w14:paraId="414AFDDB" w14:textId="77777777" w:rsidR="00905070" w:rsidRPr="00905070" w:rsidRDefault="00905070" w:rsidP="00905070">
            <w:pPr>
              <w:jc w:val="both"/>
              <w:rPr>
                <w:rFonts w:ascii="Verdana" w:eastAsia="Calibri" w:hAnsi="Verdana" w:cs="Arial"/>
                <w:b/>
                <w:bCs/>
                <w:lang w:val="es-ES" w:eastAsia="es-ES"/>
              </w:rPr>
            </w:pPr>
            <w:r w:rsidRPr="00905070">
              <w:rPr>
                <w:rFonts w:ascii="Verdana" w:eastAsia="Calibri" w:hAnsi="Verdana" w:cs="Arial"/>
                <w:b/>
                <w:bCs/>
                <w:lang w:val="es-ES" w:eastAsia="es-ES"/>
              </w:rPr>
              <w:t>Concepto C – 528 de 2024</w:t>
            </w:r>
          </w:p>
        </w:tc>
      </w:tr>
      <w:tr w:rsidR="00905070" w:rsidRPr="00905070" w14:paraId="1454E653" w14:textId="77777777">
        <w:trPr>
          <w:trHeight w:val="884"/>
        </w:trPr>
        <w:tc>
          <w:tcPr>
            <w:tcW w:w="2689" w:type="dxa"/>
          </w:tcPr>
          <w:p w14:paraId="268DD56B" w14:textId="77777777" w:rsidR="00905070" w:rsidRPr="00905070" w:rsidRDefault="00905070" w:rsidP="00905070">
            <w:pPr>
              <w:jc w:val="both"/>
              <w:rPr>
                <w:rFonts w:ascii="Verdana" w:eastAsia="Calibri" w:hAnsi="Verdana" w:cs="Arial"/>
                <w:lang w:val="es-ES_tradnl" w:eastAsia="es-ES_tradnl"/>
              </w:rPr>
            </w:pPr>
            <w:r w:rsidRPr="00905070">
              <w:rPr>
                <w:rFonts w:ascii="Verdana" w:eastAsia="Calibri" w:hAnsi="Verdana" w:cs="Arial"/>
                <w:b/>
                <w:lang w:val="es-ES_tradnl" w:eastAsia="es-ES_tradnl"/>
              </w:rPr>
              <w:t>Temas:</w:t>
            </w:r>
            <w:r w:rsidRPr="00905070">
              <w:rPr>
                <w:rFonts w:ascii="Verdana" w:eastAsia="Calibri" w:hAnsi="Verdana" w:cs="Arial"/>
                <w:lang w:val="es-ES_tradnl" w:eastAsia="es-ES_tradnl"/>
              </w:rPr>
              <w:t xml:space="preserve">                   </w:t>
            </w:r>
          </w:p>
        </w:tc>
        <w:tc>
          <w:tcPr>
            <w:tcW w:w="6100" w:type="dxa"/>
          </w:tcPr>
          <w:p w14:paraId="2A41273D" w14:textId="77777777" w:rsidR="00905070" w:rsidRPr="00905070" w:rsidRDefault="00905070" w:rsidP="00905070">
            <w:pPr>
              <w:snapToGrid w:val="0"/>
              <w:spacing w:line="276" w:lineRule="auto"/>
              <w:jc w:val="both"/>
              <w:rPr>
                <w:rFonts w:ascii="Verdana" w:eastAsia="Aptos" w:hAnsi="Verdana" w:cs="Arial"/>
                <w:lang w:val="es-MX"/>
              </w:rPr>
            </w:pPr>
            <w:r w:rsidRPr="00905070">
              <w:rPr>
                <w:rFonts w:ascii="Verdana" w:eastAsia="Aptos" w:hAnsi="Verdana" w:cs="Arial"/>
                <w:lang w:val="es-MX"/>
              </w:rPr>
              <w:t>EXPERIENCIA – Concepto – Documentos Tipo – Infraestructura de transporte – RUP / CAPACIDAD RESIDUAL – Documentos Tipo – Infraestructura de transporte – Causales de rechazo / SUBSANABILIDAD – Aplicación – Regla general</w:t>
            </w:r>
          </w:p>
          <w:p w14:paraId="208B1FEF" w14:textId="77777777" w:rsidR="00905070" w:rsidRPr="00905070" w:rsidRDefault="00905070" w:rsidP="00905070">
            <w:pPr>
              <w:spacing w:line="276" w:lineRule="auto"/>
              <w:jc w:val="both"/>
              <w:rPr>
                <w:rFonts w:ascii="Verdana" w:eastAsia="Aptos" w:hAnsi="Verdana" w:cs="Arial"/>
                <w:b/>
                <w:bCs/>
                <w:lang w:val="es-MX"/>
              </w:rPr>
            </w:pPr>
          </w:p>
        </w:tc>
      </w:tr>
      <w:tr w:rsidR="00905070" w:rsidRPr="00905070" w14:paraId="2D69FC0D" w14:textId="77777777">
        <w:tc>
          <w:tcPr>
            <w:tcW w:w="2689" w:type="dxa"/>
          </w:tcPr>
          <w:p w14:paraId="1814B11B" w14:textId="77777777" w:rsidR="00905070" w:rsidRPr="00905070" w:rsidRDefault="00905070" w:rsidP="00905070">
            <w:pPr>
              <w:jc w:val="both"/>
              <w:rPr>
                <w:rFonts w:ascii="Verdana" w:eastAsia="Calibri" w:hAnsi="Verdana" w:cs="Arial"/>
                <w:b/>
                <w:lang w:val="es-ES_tradnl" w:eastAsia="es-ES_tradnl"/>
              </w:rPr>
            </w:pPr>
            <w:r w:rsidRPr="00905070">
              <w:rPr>
                <w:rFonts w:ascii="Verdana" w:eastAsia="Calibri" w:hAnsi="Verdana" w:cs="Arial"/>
                <w:b/>
                <w:lang w:val="es-ES_tradnl" w:eastAsia="es-ES_tradnl"/>
              </w:rPr>
              <w:t>Radicación:</w:t>
            </w:r>
            <w:r w:rsidRPr="00905070">
              <w:rPr>
                <w:rFonts w:ascii="Verdana" w:eastAsia="Calibri" w:hAnsi="Verdana" w:cs="Arial"/>
                <w:lang w:val="es-ES_tradnl" w:eastAsia="es-ES_tradnl"/>
              </w:rPr>
              <w:t xml:space="preserve">               </w:t>
            </w:r>
          </w:p>
        </w:tc>
        <w:tc>
          <w:tcPr>
            <w:tcW w:w="6100" w:type="dxa"/>
          </w:tcPr>
          <w:p w14:paraId="6CDB2010" w14:textId="77777777" w:rsidR="00905070" w:rsidRPr="00905070" w:rsidRDefault="00905070" w:rsidP="00905070">
            <w:pPr>
              <w:jc w:val="both"/>
              <w:rPr>
                <w:rFonts w:ascii="Verdana" w:eastAsia="Calibri" w:hAnsi="Verdana" w:cs="Arial"/>
                <w:lang w:val="es-ES_tradnl" w:eastAsia="es-ES_tradnl"/>
              </w:rPr>
            </w:pPr>
            <w:r w:rsidRPr="00905070">
              <w:rPr>
                <w:rFonts w:ascii="Verdana" w:eastAsia="Calibri" w:hAnsi="Verdana" w:cs="Arial"/>
                <w:lang w:val="es-ES_tradnl" w:eastAsia="es-ES_tradnl"/>
              </w:rPr>
              <w:t>Respuesta a consulta con radicado No. P20240828008770</w:t>
            </w:r>
          </w:p>
        </w:tc>
      </w:tr>
    </w:tbl>
    <w:p w14:paraId="55F74A79" w14:textId="77777777" w:rsidR="00905070" w:rsidRPr="00905070" w:rsidRDefault="00905070" w:rsidP="00905070">
      <w:pPr>
        <w:spacing w:after="0" w:line="240" w:lineRule="auto"/>
        <w:jc w:val="both"/>
        <w:rPr>
          <w:rFonts w:ascii="Verdana" w:eastAsia="Calibri" w:hAnsi="Verdana" w:cs="Arial"/>
          <w:lang w:val="es-ES_tradnl" w:eastAsia="es-ES_tradnl"/>
        </w:rPr>
      </w:pPr>
    </w:p>
    <w:p w14:paraId="0AF0F64D" w14:textId="77777777" w:rsidR="00905070" w:rsidRPr="00905070" w:rsidRDefault="00905070" w:rsidP="00905070">
      <w:pPr>
        <w:spacing w:after="0" w:line="240" w:lineRule="auto"/>
        <w:jc w:val="both"/>
        <w:rPr>
          <w:rFonts w:ascii="Verdana" w:eastAsia="Calibri" w:hAnsi="Verdana" w:cs="Arial"/>
          <w:lang w:val="es-ES_tradnl" w:eastAsia="es-ES_tradnl"/>
        </w:rPr>
      </w:pPr>
    </w:p>
    <w:p w14:paraId="5925A27E" w14:textId="77777777" w:rsidR="00905070" w:rsidRPr="00905070" w:rsidRDefault="00905070" w:rsidP="00905070">
      <w:pPr>
        <w:spacing w:after="0" w:line="276" w:lineRule="auto"/>
        <w:jc w:val="both"/>
        <w:rPr>
          <w:rFonts w:ascii="Verdana" w:eastAsia="Calibri" w:hAnsi="Verdana" w:cs="Arial"/>
          <w:lang w:val="es-ES" w:eastAsia="es-ES"/>
        </w:rPr>
      </w:pPr>
      <w:r w:rsidRPr="00905070">
        <w:rPr>
          <w:rFonts w:ascii="Verdana" w:eastAsia="Calibri" w:hAnsi="Verdana" w:cs="Arial"/>
          <w:lang w:val="es-ES" w:eastAsia="es-ES"/>
        </w:rPr>
        <w:t xml:space="preserve">Estimado señor Osorio Gómez: </w:t>
      </w:r>
    </w:p>
    <w:p w14:paraId="13D7904C" w14:textId="77777777" w:rsidR="00905070" w:rsidRPr="00905070" w:rsidRDefault="00905070" w:rsidP="00905070">
      <w:pPr>
        <w:tabs>
          <w:tab w:val="left" w:pos="3768"/>
        </w:tabs>
        <w:spacing w:after="0" w:line="276" w:lineRule="auto"/>
        <w:jc w:val="both"/>
        <w:rPr>
          <w:rFonts w:ascii="Verdana" w:eastAsia="Calibri" w:hAnsi="Verdana" w:cs="Arial"/>
          <w:lang w:val="es-ES" w:eastAsia="es-ES"/>
        </w:rPr>
      </w:pPr>
      <w:r w:rsidRPr="00905070">
        <w:rPr>
          <w:rFonts w:ascii="Verdana" w:eastAsia="Calibri" w:hAnsi="Verdana" w:cs="Arial"/>
          <w:lang w:val="es-ES" w:eastAsia="es-ES"/>
        </w:rPr>
        <w:tab/>
      </w:r>
    </w:p>
    <w:p w14:paraId="4FC762E3" w14:textId="77777777" w:rsidR="00905070" w:rsidRPr="00905070" w:rsidRDefault="00905070" w:rsidP="00905070">
      <w:pPr>
        <w:spacing w:after="0" w:line="276" w:lineRule="auto"/>
        <w:jc w:val="both"/>
        <w:rPr>
          <w:rFonts w:ascii="Verdana" w:eastAsia="Calibri" w:hAnsi="Verdana" w:cs="Arial"/>
          <w:lang w:val="es-ES" w:eastAsia="es-ES"/>
        </w:rPr>
      </w:pPr>
      <w:r w:rsidRPr="00905070">
        <w:rPr>
          <w:rFonts w:ascii="Verdana" w:eastAsia="Calibri" w:hAnsi="Verdana" w:cs="Arial"/>
          <w:lang w:val="es-ES" w:eastAsia="es-ES"/>
        </w:rPr>
        <w:t>En ejercicio de la competencia otorgada por los artículos 3, numeral 5º, y 11, numeral 8º, del Decreto Ley 4170 de 2011,</w:t>
      </w:r>
      <w:r w:rsidRPr="00905070">
        <w:rPr>
          <w:rFonts w:ascii="Verdana" w:eastAsia="Arial MT" w:hAnsi="Verdana" w:cs="Arial MT"/>
          <w:lang w:val="es-ES" w:eastAsia="es-ES"/>
        </w:rPr>
        <w:t xml:space="preserve"> </w:t>
      </w:r>
      <w:r w:rsidRPr="00905070">
        <w:rPr>
          <w:rFonts w:ascii="Verdana" w:eastAsia="Calibri" w:hAnsi="Verdana" w:cs="Arial"/>
        </w:rPr>
        <w:t xml:space="preserve">así como lo establecido en el artículo 4 de la Resolución 1707 de 2018 expedida por esta Entidad, </w:t>
      </w:r>
      <w:r w:rsidRPr="00905070">
        <w:rPr>
          <w:rFonts w:ascii="Verdana" w:eastAsia="Calibri" w:hAnsi="Verdana" w:cs="Arial"/>
          <w:lang w:val="es-ES" w:eastAsia="es-ES"/>
        </w:rPr>
        <w:t>la Agencia Nacional de Contratación Pública – Colombia Compra Eficiente– responde su solicitud de consulta de fecha 28 de agosto de 2024. En relación con los documentos tipo de selección abreviada de menor cuantía de obra pública de infraestructura de transporte –Versión 2–, usted manifiesta lo siguiente:</w:t>
      </w:r>
    </w:p>
    <w:p w14:paraId="2F298FE8" w14:textId="77777777" w:rsidR="00905070" w:rsidRPr="00905070" w:rsidRDefault="00905070" w:rsidP="00905070">
      <w:pPr>
        <w:tabs>
          <w:tab w:val="left" w:pos="142"/>
          <w:tab w:val="left" w:pos="284"/>
        </w:tabs>
        <w:spacing w:line="276" w:lineRule="auto"/>
        <w:contextualSpacing/>
        <w:jc w:val="both"/>
        <w:rPr>
          <w:rFonts w:ascii="Verdana" w:eastAsia="Century Gothic" w:hAnsi="Verdana" w:cs="Century Gothic"/>
          <w:b/>
          <w:bCs/>
          <w:lang w:val="es-ES"/>
        </w:rPr>
      </w:pPr>
    </w:p>
    <w:p w14:paraId="68829145"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w:t>
      </w:r>
      <w:r w:rsidRPr="00905070">
        <w:rPr>
          <w:rFonts w:ascii="Verdana" w:eastAsia="Century Gothic" w:hAnsi="Verdana" w:cs="Century Gothic"/>
          <w:b/>
          <w:bCs/>
          <w:sz w:val="21"/>
          <w:szCs w:val="21"/>
          <w:lang w:val="es-ES"/>
        </w:rPr>
        <w:t>PREGUNTAS DE LA EXPERIENCIA DE LA CAPACIDAD RESIDUAL DEL PROPONENTE:</w:t>
      </w:r>
    </w:p>
    <w:p w14:paraId="740BE3AC"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072A3500"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 xml:space="preserve">1. ¿Es posible en un proceso de selección abreviada menor cuantía bajo pliego tipo acreditar la Experiencia (E) del oferente para propósitos de la Capacidad Residual mediante contratos de suministro, </w:t>
      </w:r>
      <w:r w:rsidRPr="00905070">
        <w:rPr>
          <w:rFonts w:ascii="Verdana" w:eastAsia="Century Gothic" w:hAnsi="Verdana" w:cs="Century Gothic"/>
          <w:sz w:val="21"/>
          <w:szCs w:val="21"/>
          <w:lang w:val="es-ES"/>
        </w:rPr>
        <w:lastRenderedPageBreak/>
        <w:t>prestación de servicios profesionales, consultoría e interventoría que estén clasificados bajo el segmento 72 pero no correspondan a obra civil propiamente?</w:t>
      </w:r>
    </w:p>
    <w:p w14:paraId="793FE9AF"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23F4D09E"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2. ¿Si un proponente se da cuenta durante la evaluación de un proceso de contratación bajo Selección Abreviada Menor Cuantía que dos o más contratos acreditados en su experiencia de capacidad residual están clasificados en el RUP bajo el segmento 72 pero revisando a detalle estos contratos corresponde a Contratos de Suministro, Interventoría y Consultoría y no contratos propiamente de obra civil como lo señala la GUÍA PARA DETERMINAR Y VERIFICAR LA CAPACIDAD RESIDUAL DEL PROPONENTE EN LOS PROCESOS DE CONTRATACIÓN DE OBRA PÚBLICA, es viable subsanar este requisito de experiencia residual retirando de esta lista los contratos diferentes a obra civil?.</w:t>
      </w:r>
    </w:p>
    <w:p w14:paraId="01F40290"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0912F488"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3. ¿En el listado de Experiencia de la Capacidad Residual es viable incluir contratos diferentes a los de obra civil, solo teniendo en cuenta la clasificación del segmento 72 de estos en el RUP, es decir si se tiene contratos de suministro o consultoría o</w:t>
      </w:r>
      <w:r w:rsidRPr="00905070">
        <w:rPr>
          <w:rFonts w:ascii="Aptos" w:eastAsia="Aptos" w:hAnsi="Aptos" w:cs="Times New Roman"/>
          <w:kern w:val="2"/>
          <w:sz w:val="21"/>
          <w:szCs w:val="21"/>
          <w14:ligatures w14:val="standardContextual"/>
        </w:rPr>
        <w:t xml:space="preserve"> </w:t>
      </w:r>
      <w:r w:rsidRPr="00905070">
        <w:rPr>
          <w:rFonts w:ascii="Verdana" w:eastAsia="Century Gothic" w:hAnsi="Verdana" w:cs="Century Gothic"/>
          <w:sz w:val="21"/>
          <w:szCs w:val="21"/>
          <w:lang w:val="es-ES"/>
        </w:rPr>
        <w:t>interventoría clasificados en el segmento 72 pero que estos no son propiamente de contratos de obra civil, sería viable acreditarlos en la experiencia residual del proponente en un proceso de bajo los lineamientos contenidos en los Documentos tipo para selección abreviada de menor cuantía de infraestructura de transporte – Versión 02 − con las modificaciones de la Resolución 275 de 2022 - versión vigente a partir del 29/08/2022? .</w:t>
      </w:r>
    </w:p>
    <w:p w14:paraId="373BAAF3"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0719F6D3"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4. El acreditar contratos diferentes a los de obra civil en el listado de la experiencia de la capacidad residual podría hacer incurrir al proponente en causal de rechazo, teniendo en cuenta que estaría maximizando su CAPASIDAD RESIDUAL con otro tipos o modalidades de contratos diferente a lo requerido en este requisito el cual corresponde a Obras Civiles.</w:t>
      </w:r>
    </w:p>
    <w:p w14:paraId="0A1EBCF2"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58433D8B"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5. ¿Los contratos de interventoría, prestación de servicios profesionales, consultoría y suministro podrían legalmente clasificarse en el segmento 72 o hay otros tipos de segmentos más relacionados y competentes a estos tipos de contratos?</w:t>
      </w:r>
    </w:p>
    <w:p w14:paraId="269CEF17"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6D8D06EA"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 xml:space="preserve">6. Es viable técnicamente rechazar una propuesta si un proponente cumple satisfactoriamente la capacidad residual de contratación de un proceso bajo los lineamientos contenidos en los Documentos tipo para selección abreviada de menor cuantía de infraestructura de transporte – Versión 02 − con las modificaciones de la Resolución 275 de 2022 - versión vigente a partir del 29/08/2022, por no incluir en la lista de contratos para la experiencia residual algunos de sus contratos </w:t>
      </w:r>
      <w:r w:rsidRPr="00905070">
        <w:rPr>
          <w:rFonts w:ascii="Verdana" w:eastAsia="Century Gothic" w:hAnsi="Verdana" w:cs="Century Gothic"/>
          <w:sz w:val="21"/>
          <w:szCs w:val="21"/>
          <w:lang w:val="es-ES"/>
        </w:rPr>
        <w:lastRenderedPageBreak/>
        <w:t>registrados en el RUP bajo el segmento 72 máxime que con lo ya aportado se cumplía la capacidad residual?</w:t>
      </w:r>
    </w:p>
    <w:p w14:paraId="564F3CBD"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38D9F0B5" w14:textId="77777777" w:rsidR="00905070" w:rsidRPr="00905070" w:rsidRDefault="00905070" w:rsidP="00905070">
      <w:pPr>
        <w:spacing w:after="0" w:line="240" w:lineRule="auto"/>
        <w:ind w:left="709" w:right="709"/>
        <w:jc w:val="both"/>
        <w:rPr>
          <w:rFonts w:ascii="Verdana" w:eastAsia="Century Gothic" w:hAnsi="Verdana" w:cs="Century Gothic"/>
          <w:b/>
          <w:bCs/>
          <w:sz w:val="21"/>
          <w:szCs w:val="21"/>
          <w:lang w:val="es-ES"/>
        </w:rPr>
      </w:pPr>
      <w:r w:rsidRPr="00905070">
        <w:rPr>
          <w:rFonts w:ascii="Verdana" w:eastAsia="Century Gothic" w:hAnsi="Verdana" w:cs="Century Gothic"/>
          <w:b/>
          <w:bCs/>
          <w:sz w:val="21"/>
          <w:szCs w:val="21"/>
          <w:lang w:val="es-ES"/>
        </w:rPr>
        <w:t>PREGUNTA DE EXPERIENCIA DEL PROPONENTE:</w:t>
      </w:r>
    </w:p>
    <w:p w14:paraId="1BF425A0"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p>
    <w:p w14:paraId="005424C0" w14:textId="77777777" w:rsidR="00905070" w:rsidRPr="00905070" w:rsidRDefault="00905070" w:rsidP="00905070">
      <w:pPr>
        <w:spacing w:after="0" w:line="240" w:lineRule="auto"/>
        <w:ind w:left="709" w:right="709"/>
        <w:jc w:val="both"/>
        <w:rPr>
          <w:rFonts w:ascii="Verdana" w:eastAsia="Century Gothic" w:hAnsi="Verdana" w:cs="Century Gothic"/>
          <w:sz w:val="21"/>
          <w:szCs w:val="21"/>
          <w:lang w:val="es-ES"/>
        </w:rPr>
      </w:pPr>
      <w:r w:rsidRPr="00905070">
        <w:rPr>
          <w:rFonts w:ascii="Verdana" w:eastAsia="Century Gothic" w:hAnsi="Verdana" w:cs="Century Gothic"/>
          <w:sz w:val="21"/>
          <w:szCs w:val="21"/>
          <w:lang w:val="es-ES"/>
        </w:rPr>
        <w:t xml:space="preserve">7. ¿Es viable </w:t>
      </w:r>
      <w:proofErr w:type="gramStart"/>
      <w:r w:rsidRPr="00905070">
        <w:rPr>
          <w:rFonts w:ascii="Verdana" w:eastAsia="Century Gothic" w:hAnsi="Verdana" w:cs="Century Gothic"/>
          <w:sz w:val="21"/>
          <w:szCs w:val="21"/>
          <w:lang w:val="es-ES"/>
        </w:rPr>
        <w:t>técnicamente y jurídicamente</w:t>
      </w:r>
      <w:proofErr w:type="gramEnd"/>
      <w:r w:rsidRPr="00905070">
        <w:rPr>
          <w:rFonts w:ascii="Verdana" w:eastAsia="Century Gothic" w:hAnsi="Verdana" w:cs="Century Gothic"/>
          <w:sz w:val="21"/>
          <w:szCs w:val="21"/>
          <w:lang w:val="es-ES"/>
        </w:rPr>
        <w:t xml:space="preserve"> si se acredita una certificación de experiencia del proponente de un contrato de obra ejecutado con fecha anterior al cierre del proceso pero esta certificación tiene una fecha posterior al cierre del proceso de selección bajo lineamientos de pliego tipo?”</w:t>
      </w:r>
    </w:p>
    <w:p w14:paraId="37128103" w14:textId="77777777" w:rsidR="00905070" w:rsidRPr="00905070" w:rsidRDefault="00905070" w:rsidP="00905070">
      <w:pPr>
        <w:spacing w:after="0" w:line="240" w:lineRule="auto"/>
        <w:ind w:right="709"/>
        <w:jc w:val="both"/>
        <w:rPr>
          <w:rFonts w:ascii="Verdana" w:eastAsia="Century Gothic" w:hAnsi="Verdana" w:cs="Century Gothic"/>
          <w:lang w:val="es-ES"/>
        </w:rPr>
      </w:pPr>
    </w:p>
    <w:p w14:paraId="5BEC30D3" w14:textId="77777777" w:rsidR="00905070" w:rsidRPr="00905070" w:rsidRDefault="00905070" w:rsidP="00905070">
      <w:pPr>
        <w:spacing w:after="120" w:line="276" w:lineRule="auto"/>
        <w:ind w:firstLine="709"/>
        <w:jc w:val="both"/>
        <w:rPr>
          <w:rFonts w:ascii="Verdana" w:eastAsia="Calibri" w:hAnsi="Verdana" w:cs="Arial"/>
          <w:szCs w:val="24"/>
          <w:lang w:val="es-ES_tradnl" w:eastAsia="es-ES_tradnl"/>
        </w:rPr>
      </w:pPr>
      <w:r w:rsidRPr="0090507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05070">
        <w:rPr>
          <w:rFonts w:ascii="Verdana" w:eastAsia="Calibri" w:hAnsi="Verdana" w:cs="Arial"/>
          <w:szCs w:val="24"/>
          <w:lang w:val="es-ES_tradnl" w:eastAsia="es-ES_tradnl"/>
        </w:rPr>
        <w:tab/>
      </w:r>
    </w:p>
    <w:p w14:paraId="0F19E3A0" w14:textId="77777777" w:rsidR="00905070" w:rsidRPr="00905070" w:rsidRDefault="00905070" w:rsidP="00905070">
      <w:pPr>
        <w:spacing w:after="0" w:line="276" w:lineRule="auto"/>
        <w:ind w:firstLine="709"/>
        <w:jc w:val="both"/>
        <w:rPr>
          <w:rFonts w:ascii="Verdana" w:eastAsia="Calibri" w:hAnsi="Verdana" w:cs="Arial"/>
          <w:lang w:val="es-ES" w:eastAsia="es-ES"/>
        </w:rPr>
      </w:pPr>
      <w:r w:rsidRPr="00905070">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F3E23D9" w14:textId="77777777" w:rsidR="00905070" w:rsidRPr="00905070" w:rsidRDefault="00905070" w:rsidP="00905070">
      <w:pPr>
        <w:spacing w:after="0" w:line="276" w:lineRule="auto"/>
        <w:ind w:firstLine="709"/>
        <w:jc w:val="both"/>
        <w:rPr>
          <w:rFonts w:ascii="Verdana" w:eastAsia="Calibri" w:hAnsi="Verdana" w:cs="Arial"/>
          <w:lang w:val="es-ES" w:eastAsia="es-ES"/>
        </w:rPr>
      </w:pPr>
    </w:p>
    <w:p w14:paraId="3DF23AE9" w14:textId="77777777" w:rsidR="00905070" w:rsidRPr="00905070" w:rsidRDefault="00905070" w:rsidP="00905070">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905070">
        <w:rPr>
          <w:rFonts w:ascii="Verdana" w:eastAsia="Century Gothic" w:hAnsi="Verdana" w:cs="Century Gothic"/>
          <w:b/>
          <w:bCs/>
          <w:lang w:val="es-ES"/>
        </w:rPr>
        <w:t>Problema planteado:</w:t>
      </w:r>
    </w:p>
    <w:p w14:paraId="10CAD8E2" w14:textId="77777777" w:rsidR="00905070" w:rsidRPr="00905070" w:rsidRDefault="00905070" w:rsidP="00905070">
      <w:pPr>
        <w:tabs>
          <w:tab w:val="left" w:pos="426"/>
        </w:tabs>
        <w:spacing w:after="0" w:line="276" w:lineRule="auto"/>
        <w:jc w:val="both"/>
        <w:rPr>
          <w:rFonts w:ascii="Verdana" w:eastAsia="Century Gothic" w:hAnsi="Verdana" w:cs="Century Gothic"/>
          <w:lang w:val="es-ES"/>
        </w:rPr>
      </w:pPr>
    </w:p>
    <w:p w14:paraId="50EF2094" w14:textId="77777777" w:rsidR="00905070" w:rsidRPr="00905070" w:rsidRDefault="00905070" w:rsidP="00905070">
      <w:pPr>
        <w:snapToGrid w:val="0"/>
        <w:spacing w:after="0" w:line="276" w:lineRule="auto"/>
        <w:jc w:val="both"/>
        <w:rPr>
          <w:rFonts w:ascii="Verdana" w:eastAsia="Century Gothic" w:hAnsi="Verdana" w:cs="Century Gothic"/>
        </w:rPr>
      </w:pPr>
      <w:r w:rsidRPr="00905070">
        <w:rPr>
          <w:rFonts w:ascii="Verdana" w:eastAsia="Century Gothic" w:hAnsi="Verdana" w:cs="Century Gothic"/>
        </w:rPr>
        <w:t>De acuerdo con el contenido de su solicitud, esta Agencia resolverá los siguientes problemas jurídicos relacionados con los documentos tipo de selección abreviada de menor cuantía de infraestructura de transporte –Versión 2–:</w:t>
      </w:r>
    </w:p>
    <w:p w14:paraId="00C1BCBD" w14:textId="77777777" w:rsidR="00905070" w:rsidRPr="00905070" w:rsidRDefault="00905070" w:rsidP="00905070">
      <w:pPr>
        <w:snapToGrid w:val="0"/>
        <w:spacing w:after="0" w:line="276" w:lineRule="auto"/>
        <w:jc w:val="both"/>
        <w:rPr>
          <w:rFonts w:ascii="Verdana" w:eastAsia="Century Gothic" w:hAnsi="Verdana" w:cs="Century Gothic"/>
        </w:rPr>
      </w:pPr>
    </w:p>
    <w:p w14:paraId="23725283" w14:textId="415646C3" w:rsidR="00905070" w:rsidRPr="00905070" w:rsidRDefault="00905070" w:rsidP="00905070">
      <w:pPr>
        <w:numPr>
          <w:ilvl w:val="0"/>
          <w:numId w:val="23"/>
        </w:numPr>
        <w:snapToGrid w:val="0"/>
        <w:spacing w:after="0" w:line="276" w:lineRule="auto"/>
        <w:contextualSpacing/>
        <w:jc w:val="both"/>
        <w:rPr>
          <w:rFonts w:ascii="Verdana" w:eastAsia="Century Gothic" w:hAnsi="Verdana" w:cs="Century Gothic"/>
        </w:rPr>
      </w:pPr>
      <w:r w:rsidRPr="00905070">
        <w:rPr>
          <w:rFonts w:ascii="Verdana" w:eastAsia="Century Gothic" w:hAnsi="Verdana" w:cs="Century Gothic"/>
        </w:rPr>
        <w:t>Tratándose de los requisitos habilitantes y su verificación, ¿cómo opera la acreditación de la experiencia y la capacidad residual, así como las reglas de subsanación al respecto?</w:t>
      </w:r>
      <w:r w:rsidR="00976A77">
        <w:rPr>
          <w:rFonts w:ascii="Verdana" w:eastAsia="Century Gothic" w:hAnsi="Verdana" w:cs="Century Gothic"/>
        </w:rPr>
        <w:t xml:space="preserve"> </w:t>
      </w:r>
    </w:p>
    <w:p w14:paraId="73D439BD" w14:textId="77777777" w:rsidR="00905070" w:rsidRPr="00905070" w:rsidRDefault="00905070" w:rsidP="00905070">
      <w:pPr>
        <w:snapToGrid w:val="0"/>
        <w:spacing w:after="0" w:line="276" w:lineRule="auto"/>
        <w:ind w:left="720"/>
        <w:contextualSpacing/>
        <w:jc w:val="both"/>
        <w:rPr>
          <w:rFonts w:ascii="Verdana" w:eastAsia="Century Gothic" w:hAnsi="Verdana" w:cs="Century Gothic"/>
        </w:rPr>
      </w:pPr>
    </w:p>
    <w:p w14:paraId="2FB7FE4F" w14:textId="77777777" w:rsidR="00905070" w:rsidRPr="00905070" w:rsidRDefault="00905070" w:rsidP="00905070">
      <w:pPr>
        <w:numPr>
          <w:ilvl w:val="0"/>
          <w:numId w:val="23"/>
        </w:numPr>
        <w:snapToGrid w:val="0"/>
        <w:spacing w:after="0" w:line="276" w:lineRule="auto"/>
        <w:contextualSpacing/>
        <w:jc w:val="both"/>
        <w:rPr>
          <w:rFonts w:ascii="Verdana" w:eastAsia="Century Gothic" w:hAnsi="Verdana" w:cs="Century Gothic"/>
        </w:rPr>
      </w:pPr>
      <w:r w:rsidRPr="00905070">
        <w:rPr>
          <w:rFonts w:ascii="Verdana" w:eastAsia="Century Gothic" w:hAnsi="Verdana" w:cs="Century Gothic"/>
        </w:rPr>
        <w:lastRenderedPageBreak/>
        <w:t>¿Cuándo procede el rechazo de las ofertas por aspectos relacionados con la capacidad residual, a propósito, por ejemplo, del segmento 72 “Servicios de Edificación, Construcción de Instalaciones y Mantenimiento” del Clasificador de Bienes y Servicios de Naciones Unidas –UNSPSC–?</w:t>
      </w:r>
    </w:p>
    <w:p w14:paraId="40A3FB7C" w14:textId="77777777" w:rsidR="00905070" w:rsidRPr="00905070" w:rsidRDefault="00905070" w:rsidP="00905070">
      <w:pPr>
        <w:snapToGrid w:val="0"/>
        <w:spacing w:after="0" w:line="276" w:lineRule="auto"/>
        <w:jc w:val="both"/>
        <w:rPr>
          <w:rFonts w:ascii="Verdana" w:eastAsia="Calibri" w:hAnsi="Verdana" w:cs="Arial"/>
          <w:lang w:val="es-ES"/>
        </w:rPr>
      </w:pPr>
    </w:p>
    <w:p w14:paraId="6DF39544" w14:textId="77777777" w:rsidR="00905070" w:rsidRPr="00905070" w:rsidRDefault="00905070" w:rsidP="0090507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905070">
        <w:rPr>
          <w:rFonts w:ascii="Verdana" w:eastAsia="Century Gothic" w:hAnsi="Verdana" w:cs="Century Gothic"/>
          <w:b/>
          <w:bCs/>
          <w:lang w:val="es-ES"/>
        </w:rPr>
        <w:t>Respuesta:</w:t>
      </w:r>
    </w:p>
    <w:p w14:paraId="34B24E03" w14:textId="77777777" w:rsidR="00905070" w:rsidRPr="00905070" w:rsidRDefault="00905070" w:rsidP="00905070">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05070" w:rsidRPr="00905070" w14:paraId="59AEF3B4" w14:textId="77777777">
        <w:tc>
          <w:tcPr>
            <w:tcW w:w="8828" w:type="dxa"/>
            <w:shd w:val="clear" w:color="auto" w:fill="auto"/>
          </w:tcPr>
          <w:p w14:paraId="376789C1" w14:textId="77777777" w:rsidR="00905070" w:rsidRPr="00905070" w:rsidRDefault="00905070" w:rsidP="00905070">
            <w:pPr>
              <w:spacing w:line="276" w:lineRule="auto"/>
              <w:contextualSpacing/>
              <w:jc w:val="both"/>
              <w:rPr>
                <w:rFonts w:ascii="Verdana" w:eastAsia="Calibri" w:hAnsi="Verdana" w:cs="Arial"/>
                <w:lang w:val="es-ES"/>
              </w:rPr>
            </w:pPr>
            <w:r w:rsidRPr="00905070">
              <w:rPr>
                <w:rFonts w:ascii="Verdana" w:eastAsia="Calibri" w:hAnsi="Verdana" w:cs="Arial"/>
                <w:lang w:val="es-ES"/>
              </w:rPr>
              <w:t>El numeral 3.10 del documento base de los documentos tipo de selección abreviada de menor cuantía de obra de infraestructura de transporte – Versión 2, establece como requisito habilitante la capacidad residual. En este documento tipo, al menos tres causales de rechazo del numeral 1.15 se relacionan con la capacidad residual como requisito habilitante, esto es, los literales E, H y AA.</w:t>
            </w:r>
          </w:p>
          <w:p w14:paraId="1A1C8197" w14:textId="77777777" w:rsidR="00905070" w:rsidRPr="00905070" w:rsidRDefault="00905070" w:rsidP="00905070">
            <w:pPr>
              <w:spacing w:line="276" w:lineRule="auto"/>
              <w:contextualSpacing/>
              <w:jc w:val="both"/>
              <w:rPr>
                <w:rFonts w:ascii="Verdana" w:eastAsia="Calibri" w:hAnsi="Verdana" w:cs="Arial"/>
                <w:lang w:val="es-ES"/>
              </w:rPr>
            </w:pPr>
          </w:p>
          <w:p w14:paraId="52A4347A" w14:textId="77777777" w:rsidR="00905070" w:rsidRPr="00905070" w:rsidRDefault="00905070" w:rsidP="00905070">
            <w:pPr>
              <w:spacing w:line="276" w:lineRule="auto"/>
              <w:jc w:val="both"/>
              <w:rPr>
                <w:rFonts w:ascii="Verdana" w:eastAsia="Calibri" w:hAnsi="Verdana" w:cs="Arial"/>
                <w:lang w:val="es-ES"/>
              </w:rPr>
            </w:pPr>
            <w:r w:rsidRPr="00905070">
              <w:rPr>
                <w:rFonts w:ascii="Verdana" w:eastAsia="Calibri" w:hAnsi="Verdana" w:cs="Arial"/>
                <w:lang w:val="es-ES"/>
              </w:rPr>
              <w:t>i) La causal del literal AA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AA es objetiva, pues solo aplica ante la omisión del proponente de informar el número total de contratos en ejecución antes del cierre.</w:t>
            </w:r>
          </w:p>
          <w:p w14:paraId="007E1620" w14:textId="77777777" w:rsidR="00905070" w:rsidRPr="00905070" w:rsidRDefault="00905070" w:rsidP="00905070">
            <w:pPr>
              <w:spacing w:line="276" w:lineRule="auto"/>
              <w:ind w:left="720"/>
              <w:contextualSpacing/>
              <w:jc w:val="both"/>
              <w:rPr>
                <w:rFonts w:ascii="Verdana" w:eastAsia="Calibri" w:hAnsi="Verdana" w:cs="Arial"/>
                <w:lang w:val="es-ES"/>
              </w:rPr>
            </w:pPr>
          </w:p>
          <w:p w14:paraId="00236906" w14:textId="77777777" w:rsidR="00905070" w:rsidRPr="00905070" w:rsidRDefault="00905070" w:rsidP="00905070">
            <w:pPr>
              <w:spacing w:line="276" w:lineRule="auto"/>
              <w:jc w:val="both"/>
              <w:rPr>
                <w:rFonts w:ascii="Verdana" w:eastAsia="Calibri" w:hAnsi="Verdana" w:cs="Arial"/>
                <w:lang w:val="es-ES"/>
              </w:rPr>
            </w:pPr>
            <w:r w:rsidRPr="00905070">
              <w:rPr>
                <w:rFonts w:ascii="Verdana" w:eastAsia="Calibri" w:hAnsi="Verdana" w:cs="Arial"/>
                <w:lang w:val="es-ES"/>
              </w:rPr>
              <w:t xml:space="preserve">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6980C2C7" w14:textId="77777777" w:rsidR="00905070" w:rsidRPr="00905070" w:rsidRDefault="00905070" w:rsidP="00905070">
            <w:pPr>
              <w:spacing w:line="276" w:lineRule="auto"/>
              <w:ind w:left="720"/>
              <w:contextualSpacing/>
              <w:jc w:val="both"/>
              <w:rPr>
                <w:rFonts w:ascii="Verdana" w:eastAsia="Calibri" w:hAnsi="Verdana" w:cs="Arial"/>
                <w:lang w:val="es-ES"/>
              </w:rPr>
            </w:pPr>
          </w:p>
          <w:p w14:paraId="0BBD2918" w14:textId="77777777" w:rsidR="00905070" w:rsidRPr="00905070" w:rsidRDefault="00905070" w:rsidP="00905070">
            <w:pPr>
              <w:spacing w:line="276" w:lineRule="auto"/>
              <w:jc w:val="both"/>
              <w:rPr>
                <w:rFonts w:ascii="Verdana" w:eastAsia="Calibri" w:hAnsi="Verdana" w:cs="Arial"/>
                <w:lang w:val="es-ES"/>
              </w:rPr>
            </w:pPr>
            <w:r w:rsidRPr="00905070">
              <w:rPr>
                <w:rFonts w:ascii="Verdana" w:eastAsia="Calibri" w:hAnsi="Verdana" w:cs="Arial"/>
                <w:lang w:val="es-ES"/>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72DE2ECB" w14:textId="77777777" w:rsidR="00905070" w:rsidRPr="00905070" w:rsidRDefault="00905070" w:rsidP="00905070">
            <w:pPr>
              <w:spacing w:line="276" w:lineRule="auto"/>
              <w:ind w:left="720"/>
              <w:contextualSpacing/>
              <w:jc w:val="both"/>
              <w:rPr>
                <w:rFonts w:ascii="Verdana" w:eastAsia="Calibri" w:hAnsi="Verdana" w:cs="Arial"/>
                <w:lang w:val="es-ES"/>
              </w:rPr>
            </w:pPr>
          </w:p>
          <w:p w14:paraId="50B620F9" w14:textId="77777777" w:rsidR="00905070" w:rsidRPr="00905070" w:rsidRDefault="00905070" w:rsidP="00905070">
            <w:pPr>
              <w:spacing w:line="276" w:lineRule="auto"/>
              <w:jc w:val="both"/>
              <w:rPr>
                <w:rFonts w:ascii="Verdana" w:eastAsia="Calibri" w:hAnsi="Verdana" w:cs="Arial"/>
                <w:lang w:val="es-ES"/>
              </w:rPr>
            </w:pPr>
            <w:r w:rsidRPr="00905070">
              <w:rPr>
                <w:rFonts w:ascii="Verdana" w:eastAsia="Calibri" w:hAnsi="Verdana" w:cs="Arial"/>
                <w:lang w:val="es-ES"/>
              </w:rPr>
              <w:lastRenderedPageBreak/>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AA,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761BDAC7" w14:textId="77777777" w:rsidR="00905070" w:rsidRPr="00905070" w:rsidRDefault="00905070" w:rsidP="00905070">
            <w:pPr>
              <w:spacing w:line="276" w:lineRule="auto"/>
              <w:jc w:val="both"/>
              <w:rPr>
                <w:rFonts w:ascii="Verdana" w:eastAsia="Aptos" w:hAnsi="Verdana" w:cs="Times New Roman"/>
                <w:lang w:val="es-ES_tradnl"/>
              </w:rPr>
            </w:pPr>
          </w:p>
          <w:p w14:paraId="25A4FAD5" w14:textId="77777777" w:rsidR="00905070" w:rsidRPr="00905070" w:rsidRDefault="00905070" w:rsidP="00905070">
            <w:pPr>
              <w:spacing w:line="276" w:lineRule="auto"/>
              <w:jc w:val="both"/>
              <w:rPr>
                <w:rFonts w:ascii="Verdana" w:eastAsia="Aptos" w:hAnsi="Verdana" w:cs="Arial"/>
                <w:noProof/>
                <w:lang w:val="es-ES_tradnl"/>
              </w:rPr>
            </w:pPr>
            <w:r w:rsidRPr="00905070">
              <w:rPr>
                <w:rFonts w:ascii="Verdana" w:eastAsia="Aptos" w:hAnsi="Verdana" w:cs="Times New Roman"/>
                <w:lang w:val="es-ES_tradnl"/>
              </w:rPr>
              <w:t xml:space="preserve">Finalmente, es importante señalar que, de manera general, </w:t>
            </w:r>
            <w:r w:rsidRPr="00905070">
              <w:rPr>
                <w:rFonts w:ascii="Verdana" w:eastAsia="Aptos" w:hAnsi="Verdana" w:cs="Arial"/>
                <w:noProof/>
                <w:lang w:val="es-ES_tradnl"/>
              </w:rPr>
              <w:t>los requisitos o documentos que no sean necesarios para la comparación de las ofertas pueden subsanarse y todo lo que no sea necesario para la comparación de propuestas no es título suficiente para su rechazo.</w:t>
            </w:r>
          </w:p>
          <w:p w14:paraId="45377EA4" w14:textId="77777777" w:rsidR="00905070" w:rsidRPr="00905070" w:rsidRDefault="00905070" w:rsidP="00905070">
            <w:pPr>
              <w:spacing w:line="276" w:lineRule="auto"/>
              <w:ind w:left="720"/>
              <w:jc w:val="both"/>
              <w:rPr>
                <w:rFonts w:ascii="Verdana" w:eastAsia="Aptos" w:hAnsi="Verdana" w:cs="Arial"/>
                <w:noProof/>
                <w:lang w:val="es-ES_tradnl"/>
              </w:rPr>
            </w:pPr>
          </w:p>
          <w:p w14:paraId="7D023B6E" w14:textId="77777777" w:rsidR="00905070" w:rsidRPr="00905070" w:rsidRDefault="00905070" w:rsidP="00905070">
            <w:pPr>
              <w:spacing w:line="276" w:lineRule="auto"/>
              <w:jc w:val="both"/>
              <w:rPr>
                <w:rFonts w:ascii="Verdana" w:eastAsia="Aptos" w:hAnsi="Verdana" w:cs="Arial"/>
                <w:noProof/>
                <w:lang w:val="es-ES_tradnl"/>
              </w:rPr>
            </w:pPr>
            <w:r w:rsidRPr="00905070">
              <w:rPr>
                <w:rFonts w:ascii="Verdana" w:eastAsia="Aptos" w:hAnsi="Verdana" w:cs="Arial"/>
                <w:noProof/>
                <w:lang w:val="es-ES_tradn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tc>
      </w:tr>
    </w:tbl>
    <w:p w14:paraId="27C82D43" w14:textId="77777777" w:rsidR="00905070" w:rsidRPr="00905070" w:rsidRDefault="00905070" w:rsidP="00905070">
      <w:pPr>
        <w:tabs>
          <w:tab w:val="left" w:pos="142"/>
          <w:tab w:val="left" w:pos="284"/>
        </w:tabs>
        <w:snapToGrid w:val="0"/>
        <w:spacing w:after="0" w:line="276" w:lineRule="auto"/>
        <w:jc w:val="both"/>
        <w:rPr>
          <w:rFonts w:ascii="Verdana" w:eastAsia="Century Gothic" w:hAnsi="Verdana" w:cs="Century Gothic"/>
          <w:b/>
          <w:bCs/>
          <w:lang w:val="es-ES"/>
        </w:rPr>
      </w:pPr>
    </w:p>
    <w:p w14:paraId="457D3A42" w14:textId="77777777" w:rsidR="00905070" w:rsidRPr="00905070" w:rsidRDefault="00905070" w:rsidP="0090507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905070">
        <w:rPr>
          <w:rFonts w:ascii="Verdana" w:eastAsia="Century Gothic" w:hAnsi="Verdana" w:cs="Century Gothic"/>
          <w:b/>
          <w:bCs/>
          <w:lang w:val="es-ES"/>
        </w:rPr>
        <w:t>Razones de la respuesta:</w:t>
      </w:r>
    </w:p>
    <w:p w14:paraId="7030C46D" w14:textId="77777777" w:rsidR="00905070" w:rsidRPr="00905070" w:rsidRDefault="00905070" w:rsidP="00905070">
      <w:pPr>
        <w:tabs>
          <w:tab w:val="left" w:pos="142"/>
          <w:tab w:val="left" w:pos="284"/>
        </w:tabs>
        <w:snapToGrid w:val="0"/>
        <w:spacing w:after="0" w:line="276" w:lineRule="auto"/>
        <w:ind w:left="357"/>
        <w:jc w:val="both"/>
        <w:rPr>
          <w:rFonts w:ascii="Verdana" w:eastAsia="Century Gothic" w:hAnsi="Verdana" w:cs="Century Gothic"/>
          <w:b/>
          <w:bCs/>
          <w:lang w:val="es-ES"/>
        </w:rPr>
      </w:pPr>
    </w:p>
    <w:p w14:paraId="19EC6A42" w14:textId="77777777" w:rsidR="00905070" w:rsidRPr="00905070" w:rsidRDefault="00905070" w:rsidP="00905070">
      <w:pPr>
        <w:snapToGrid w:val="0"/>
        <w:spacing w:after="0" w:line="276" w:lineRule="auto"/>
        <w:jc w:val="both"/>
        <w:rPr>
          <w:rFonts w:ascii="Verdana" w:eastAsia="Calibri" w:hAnsi="Verdana" w:cs="Arial"/>
          <w:lang w:val="es-ES"/>
        </w:rPr>
      </w:pPr>
      <w:r w:rsidRPr="00905070">
        <w:rPr>
          <w:rFonts w:ascii="Verdana" w:eastAsia="Calibri" w:hAnsi="Verdana" w:cs="Arial"/>
          <w:lang w:val="es-ES"/>
        </w:rPr>
        <w:t>Lo anterior se sustenta en las siguientes consideraciones:</w:t>
      </w:r>
    </w:p>
    <w:p w14:paraId="1DB525BE" w14:textId="77777777" w:rsidR="00905070" w:rsidRPr="00905070" w:rsidRDefault="00905070" w:rsidP="00905070">
      <w:pPr>
        <w:snapToGrid w:val="0"/>
        <w:spacing w:after="0" w:line="276" w:lineRule="auto"/>
        <w:jc w:val="both"/>
        <w:rPr>
          <w:rFonts w:ascii="Verdana" w:eastAsia="Calibri" w:hAnsi="Verdana" w:cs="Arial"/>
          <w:lang w:val="es-ES"/>
        </w:rPr>
      </w:pPr>
    </w:p>
    <w:p w14:paraId="4975B39A" w14:textId="77777777" w:rsidR="00905070" w:rsidRPr="00905070" w:rsidRDefault="00905070" w:rsidP="00905070">
      <w:pPr>
        <w:numPr>
          <w:ilvl w:val="0"/>
          <w:numId w:val="19"/>
        </w:numPr>
        <w:snapToGrid w:val="0"/>
        <w:spacing w:after="0" w:line="276" w:lineRule="auto"/>
        <w:contextualSpacing/>
        <w:jc w:val="both"/>
        <w:rPr>
          <w:rFonts w:ascii="Verdana" w:eastAsia="Calibri" w:hAnsi="Verdana" w:cs="Arial"/>
          <w:lang w:val="es-ES"/>
        </w:rPr>
      </w:pPr>
      <w:r w:rsidRPr="00905070">
        <w:rPr>
          <w:rFonts w:ascii="Verdana" w:eastAsia="Calibri" w:hAnsi="Verdana" w:cs="Arial"/>
          <w:kern w:val="2"/>
          <w:lang w:val="es-ES_tradnl"/>
          <w14:ligatures w14:val="standardContextu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905070">
        <w:rPr>
          <w:rFonts w:ascii="Aptos" w:eastAsia="Aptos" w:hAnsi="Aptos" w:cs="Times New Roman"/>
          <w:kern w:val="2"/>
          <w:sz w:val="24"/>
          <w:szCs w:val="24"/>
          <w:vertAlign w:val="superscript"/>
          <w:lang w:val="es-ES_tradnl"/>
          <w14:ligatures w14:val="standardContextual"/>
        </w:rPr>
        <w:footnoteReference w:id="2"/>
      </w:r>
      <w:r w:rsidRPr="00905070">
        <w:rPr>
          <w:rFonts w:ascii="Verdana" w:eastAsia="Calibri" w:hAnsi="Verdana" w:cs="Arial"/>
          <w:kern w:val="2"/>
          <w:lang w:val="es-ES_tradnl"/>
          <w14:ligatures w14:val="standardContextual"/>
        </w:rPr>
        <w:t xml:space="preserve">. En ese </w:t>
      </w:r>
      <w:r w:rsidRPr="00905070">
        <w:rPr>
          <w:rFonts w:ascii="Verdana" w:eastAsia="Calibri" w:hAnsi="Verdana" w:cs="Arial"/>
          <w:kern w:val="2"/>
          <w:lang w:val="es-ES_tradnl"/>
          <w14:ligatures w14:val="standardContextual"/>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así como el mercado y precio del bien, obra o servicio a contratar</w:t>
      </w:r>
      <w:r w:rsidRPr="00905070">
        <w:rPr>
          <w:rFonts w:ascii="Aptos" w:eastAsia="Aptos" w:hAnsi="Aptos" w:cs="Times New Roman"/>
          <w:kern w:val="2"/>
          <w:sz w:val="24"/>
          <w:szCs w:val="24"/>
          <w:vertAlign w:val="superscript"/>
          <w:lang w:val="es-ES_tradnl"/>
          <w14:ligatures w14:val="standardContextual"/>
        </w:rPr>
        <w:footnoteReference w:id="3"/>
      </w:r>
      <w:r w:rsidRPr="00905070">
        <w:rPr>
          <w:rFonts w:ascii="Verdana" w:eastAsia="Calibri" w:hAnsi="Verdana" w:cs="Arial"/>
          <w:kern w:val="2"/>
          <w:lang w:val="es-ES_tradnl"/>
          <w14:ligatures w14:val="standardContextual"/>
        </w:rPr>
        <w:t>.</w:t>
      </w:r>
    </w:p>
    <w:p w14:paraId="43780305" w14:textId="77777777" w:rsidR="00905070" w:rsidRPr="00905070" w:rsidRDefault="00905070" w:rsidP="00905070">
      <w:pPr>
        <w:snapToGrid w:val="0"/>
        <w:spacing w:after="0" w:line="276" w:lineRule="auto"/>
        <w:ind w:left="720"/>
        <w:contextualSpacing/>
        <w:jc w:val="both"/>
        <w:rPr>
          <w:rFonts w:ascii="Verdana" w:eastAsia="Calibri" w:hAnsi="Verdana" w:cs="Arial"/>
          <w:lang w:val="es-ES"/>
        </w:rPr>
      </w:pPr>
    </w:p>
    <w:p w14:paraId="6E18BC1E" w14:textId="77777777" w:rsidR="00905070" w:rsidRPr="00905070" w:rsidRDefault="00905070" w:rsidP="00905070">
      <w:pPr>
        <w:numPr>
          <w:ilvl w:val="0"/>
          <w:numId w:val="19"/>
        </w:numPr>
        <w:snapToGrid w:val="0"/>
        <w:spacing w:after="0" w:line="276" w:lineRule="auto"/>
        <w:contextualSpacing/>
        <w:jc w:val="both"/>
        <w:rPr>
          <w:rFonts w:ascii="Verdana" w:eastAsia="Calibri" w:hAnsi="Verdana" w:cs="Arial"/>
          <w:lang w:val="es-ES"/>
        </w:rPr>
      </w:pPr>
      <w:r w:rsidRPr="00905070">
        <w:rPr>
          <w:rFonts w:ascii="Verdana" w:eastAsia="Calibri" w:hAnsi="Verdana" w:cs="Arial"/>
          <w:kern w:val="2"/>
          <w:lang w:val="es-ES_tradnl"/>
          <w14:ligatures w14:val="standardContextual"/>
        </w:rPr>
        <w:t>La experiencia que se deriva de los contratos que el proponente ha celebrado y ejecutado con diferentes contratantes, sin importar la naturaleza de estos, se verifica con el Registro Único de Proponentes – RUP</w:t>
      </w:r>
      <w:r w:rsidRPr="00905070">
        <w:rPr>
          <w:rFonts w:ascii="Aptos" w:eastAsia="Aptos" w:hAnsi="Aptos" w:cs="Times New Roman"/>
          <w:kern w:val="2"/>
          <w:sz w:val="24"/>
          <w:szCs w:val="24"/>
          <w:vertAlign w:val="superscript"/>
          <w:lang w:val="es-ES_tradnl"/>
          <w14:ligatures w14:val="standardContextual"/>
        </w:rPr>
        <w:footnoteReference w:id="4"/>
      </w:r>
      <w:r w:rsidRPr="00905070">
        <w:rPr>
          <w:rFonts w:ascii="Verdana" w:eastAsia="Calibri" w:hAnsi="Verdana" w:cs="Arial"/>
          <w:kern w:val="2"/>
          <w:lang w:val="es-ES_tradnl"/>
          <w14:ligatures w14:val="standardContextua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905070">
        <w:rPr>
          <w:rFonts w:ascii="Aptos" w:eastAsia="Aptos" w:hAnsi="Aptos" w:cs="Times New Roman"/>
          <w:kern w:val="2"/>
          <w:sz w:val="24"/>
          <w:szCs w:val="24"/>
          <w:vertAlign w:val="superscript"/>
          <w:lang w:val="es-ES_tradnl"/>
          <w14:ligatures w14:val="standardContextual"/>
        </w:rPr>
        <w:footnoteReference w:id="5"/>
      </w:r>
      <w:r w:rsidRPr="00905070">
        <w:rPr>
          <w:rFonts w:ascii="Verdana" w:eastAsia="Calibri" w:hAnsi="Verdana" w:cs="Arial"/>
          <w:kern w:val="2"/>
          <w:lang w:val="es-ES_tradnl"/>
          <w14:ligatures w14:val="standardContextual"/>
        </w:rPr>
        <w:t>.</w:t>
      </w:r>
    </w:p>
    <w:p w14:paraId="45F5BAEB" w14:textId="77777777" w:rsidR="00905070" w:rsidRPr="00905070" w:rsidRDefault="00905070" w:rsidP="00905070">
      <w:pPr>
        <w:snapToGrid w:val="0"/>
        <w:spacing w:after="0" w:line="276" w:lineRule="auto"/>
        <w:jc w:val="both"/>
        <w:rPr>
          <w:rFonts w:ascii="Verdana" w:eastAsia="Calibri" w:hAnsi="Verdana" w:cs="Arial"/>
          <w:lang w:val="es-ES"/>
        </w:rPr>
      </w:pPr>
      <w:r w:rsidRPr="00905070">
        <w:rPr>
          <w:rFonts w:ascii="Verdana" w:eastAsia="Calibri" w:hAnsi="Verdana" w:cs="Arial"/>
          <w:lang w:val="es-ES"/>
        </w:rPr>
        <w:lastRenderedPageBreak/>
        <w:t xml:space="preserve"> </w:t>
      </w:r>
    </w:p>
    <w:p w14:paraId="7F10921F"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
          <w14:ligatures w14:val="standardContextual"/>
        </w:rPr>
      </w:pPr>
      <w:r w:rsidRPr="68E825D2">
        <w:rPr>
          <w:rFonts w:ascii="Verdana" w:eastAsia="Aptos" w:hAnsi="Verdana" w:cs="Times New Roman"/>
          <w:kern w:val="2"/>
          <w:lang w:val="es-ES"/>
          <w14:ligatures w14:val="standardContextual"/>
        </w:rPr>
        <w:t>Por otra parte, es importante señalar que, el artículo 1 de la Ley 2022 de 2020 otorgó a la Agencia Nacional de Contratación Pública – Colombia Compra Eficiente la competencia para adoptar los documentos tipo. Asimismo, reiteró la obligatoriedad de su uso por parte de todas las entidades estatales sometidas al Estatuto General de Contratación de la Administración Pública ‒EGCAP‒. Esto implica que las autoridades deben implementar los documentos tipo que tengan por objeto las actividades contempladas en la “Matriz 1 ‒ Experiencia”. Además, estos documentos son inalterables, lo cual significa que no pueden ser modificados, salvo aquellos aspectos entre corchetes y resaltados en gris o cuya modificación sea permitida por los mismos documentos tipo, de acuerdo con las indicaciones que allí se establezcan.</w:t>
      </w:r>
    </w:p>
    <w:p w14:paraId="39C2BDC7" w14:textId="77777777" w:rsidR="00905070" w:rsidRPr="00905070" w:rsidRDefault="00905070" w:rsidP="00905070">
      <w:pPr>
        <w:spacing w:after="0" w:line="276" w:lineRule="auto"/>
        <w:ind w:left="720"/>
        <w:contextualSpacing/>
        <w:jc w:val="both"/>
        <w:rPr>
          <w:rFonts w:ascii="Verdana" w:eastAsia="Aptos" w:hAnsi="Verdana" w:cs="Times New Roman"/>
          <w:kern w:val="2"/>
          <w:lang w:val="es-ES_tradnl"/>
          <w14:ligatures w14:val="standardContextual"/>
        </w:rPr>
      </w:pPr>
    </w:p>
    <w:p w14:paraId="7EF74159"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905070">
        <w:rPr>
          <w:rFonts w:ascii="Verdana" w:eastAsia="Aptos" w:hAnsi="Verdana" w:cs="Times New Roman"/>
          <w:kern w:val="2"/>
          <w:lang w:val="es-ES_tradnl"/>
          <w14:ligatures w14:val="standardContextual"/>
        </w:rPr>
        <w:t xml:space="preserve">En desarrollo del artículo 1 de la Ley 2022 de 2020, esta Agencia expidió los documentos tipo de selección abreviada de menor cuantía de obra pública de infraestructura de transporte –Versión 2–, adoptados mediante la Resolución 241 de 2020. En estos documentos se establecen los requisitos habilitantes y los factores técnicos y económicos que son de obligatorio cumplimiento por parte de las entidades estatales sometidas al Estatuto General de Contratación de la Administración Pública, cuando adelanten procesos de contratación cobijados por documentos tipo.   </w:t>
      </w:r>
    </w:p>
    <w:p w14:paraId="6E92ED2A" w14:textId="77777777" w:rsidR="00905070" w:rsidRPr="00905070" w:rsidRDefault="00905070" w:rsidP="00905070">
      <w:pPr>
        <w:spacing w:after="0" w:line="276" w:lineRule="auto"/>
        <w:jc w:val="both"/>
        <w:rPr>
          <w:rFonts w:ascii="Verdana" w:eastAsia="Aptos" w:hAnsi="Verdana" w:cs="Times New Roman"/>
          <w:kern w:val="2"/>
          <w:lang w:val="es-ES_tradnl"/>
          <w14:ligatures w14:val="standardContextual"/>
        </w:rPr>
      </w:pPr>
    </w:p>
    <w:p w14:paraId="15A14B96"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905070">
        <w:rPr>
          <w:rFonts w:ascii="Verdana" w:eastAsia="Aptos" w:hAnsi="Verdana" w:cs="Times New Roman"/>
          <w:kern w:val="2"/>
          <w:lang w:val="es-ES_tradnl"/>
          <w14:ligatures w14:val="standardContextual"/>
        </w:rPr>
        <w:t xml:space="preserve">Para la determinación de los requisitos mínimos de experiencia según la “Matriz 1 – Experiencia”, el numeral 3.5.1 del documento base de los documentos tipo en comento, prescribe que la entidad debe indicar la forma de análisis y establecimiento de las condiciones de experiencia, tanto general como específica. Además, deberá indicar el número de la </w:t>
      </w:r>
      <w:r w:rsidRPr="00905070">
        <w:rPr>
          <w:rFonts w:ascii="Verdana" w:eastAsia="Aptos" w:hAnsi="Verdana" w:cs="Times New Roman"/>
          <w:kern w:val="2"/>
          <w:lang w:val="es-ES_tradnl"/>
          <w14:ligatures w14:val="standardContextual"/>
        </w:rPr>
        <w:lastRenderedPageBreak/>
        <w:t xml:space="preserve">actividad a contratar, y transcribir textualmente lo señalado en la “Matriz 1 – Experiencia”. </w:t>
      </w:r>
    </w:p>
    <w:p w14:paraId="67DD7F8C" w14:textId="77777777" w:rsidR="00905070" w:rsidRPr="00905070" w:rsidRDefault="00905070" w:rsidP="00905070">
      <w:pPr>
        <w:spacing w:after="0" w:line="276" w:lineRule="auto"/>
        <w:ind w:left="720"/>
        <w:contextualSpacing/>
        <w:jc w:val="both"/>
        <w:rPr>
          <w:rFonts w:ascii="Verdana" w:eastAsia="Aptos" w:hAnsi="Verdana" w:cs="Times New Roman"/>
          <w:kern w:val="2"/>
          <w:lang w:val="es-ES_tradnl"/>
          <w14:ligatures w14:val="standardContextual"/>
        </w:rPr>
      </w:pPr>
    </w:p>
    <w:p w14:paraId="377317B2"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
          <w14:ligatures w14:val="standardContextual"/>
        </w:rPr>
      </w:pPr>
      <w:r w:rsidRPr="68E825D2">
        <w:rPr>
          <w:rFonts w:ascii="Verdana" w:eastAsia="Aptos" w:hAnsi="Verdana" w:cs="Times New Roman"/>
          <w:kern w:val="2"/>
          <w:lang w:val="es-ES"/>
          <w14:ligatures w14:val="standardContextual"/>
        </w:rPr>
        <w:t>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w:t>
      </w:r>
    </w:p>
    <w:p w14:paraId="5560C87A" w14:textId="77777777" w:rsidR="00905070" w:rsidRPr="00905070" w:rsidRDefault="00905070" w:rsidP="00905070">
      <w:pPr>
        <w:spacing w:after="0" w:line="276" w:lineRule="auto"/>
        <w:jc w:val="both"/>
        <w:rPr>
          <w:rFonts w:ascii="Verdana" w:eastAsia="Aptos" w:hAnsi="Verdana" w:cs="Times New Roman"/>
          <w:kern w:val="2"/>
          <w:lang w:val="es-ES_tradnl"/>
          <w14:ligatures w14:val="standardContextual"/>
        </w:rPr>
      </w:pPr>
    </w:p>
    <w:p w14:paraId="7CF7CEBA"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905070">
        <w:rPr>
          <w:rFonts w:ascii="Verdana" w:eastAsia="Aptos" w:hAnsi="Verdana" w:cs="Times New Roman"/>
          <w:kern w:val="2"/>
          <w:lang w:val="es-ES_tradnl"/>
          <w14:ligatures w14:val="standardContextual"/>
        </w:rPr>
        <w:t xml:space="preserve">De acuerdo con las condiciones fijadas en el documento base, la acreditación del requisito habilitante de experiencia se aborda desde distintos criterios. </w:t>
      </w:r>
      <w:r w:rsidRPr="00905070">
        <w:rPr>
          <w:rFonts w:ascii="Verdana" w:eastAsia="Aptos" w:hAnsi="Verdana" w:cs="Times New Roman"/>
          <w:i/>
          <w:iCs/>
          <w:kern w:val="2"/>
          <w:lang w:val="es-ES_tradnl"/>
          <w14:ligatures w14:val="standardContextual"/>
        </w:rPr>
        <w:t>En primer lugar,</w:t>
      </w:r>
      <w:r w:rsidRPr="00905070">
        <w:rPr>
          <w:rFonts w:ascii="Verdana" w:eastAsia="Aptos" w:hAnsi="Verdana" w:cs="Times New Roman"/>
          <w:kern w:val="2"/>
          <w:lang w:val="es-ES_tradnl"/>
          <w14:ligatures w14:val="standardContextual"/>
        </w:rPr>
        <w:t xml:space="preserve">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w:t>
      </w:r>
    </w:p>
    <w:p w14:paraId="49C2B0AD" w14:textId="77777777" w:rsidR="00905070" w:rsidRPr="00905070" w:rsidRDefault="00905070" w:rsidP="00905070">
      <w:pPr>
        <w:spacing w:after="0" w:line="276" w:lineRule="auto"/>
        <w:jc w:val="both"/>
        <w:rPr>
          <w:rFonts w:ascii="Verdana" w:eastAsia="Aptos" w:hAnsi="Verdana" w:cs="Times New Roman"/>
          <w:kern w:val="2"/>
          <w:lang w:val="es-ES_tradnl"/>
          <w14:ligatures w14:val="standardContextual"/>
        </w:rPr>
      </w:pPr>
    </w:p>
    <w:p w14:paraId="4D00C778"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
          <w14:ligatures w14:val="standardContextual"/>
        </w:rPr>
      </w:pPr>
      <w:r w:rsidRPr="68E825D2">
        <w:rPr>
          <w:rFonts w:ascii="Verdana" w:eastAsia="Aptos" w:hAnsi="Verdana" w:cs="Times New Roman"/>
          <w:i/>
          <w:kern w:val="2"/>
          <w:lang w:val="es-ES"/>
          <w14:ligatures w14:val="standardContextual"/>
        </w:rPr>
        <w:t>En segundo lugar,</w:t>
      </w:r>
      <w:r w:rsidRPr="68E825D2">
        <w:rPr>
          <w:rFonts w:ascii="Verdana" w:eastAsia="Aptos" w:hAnsi="Verdana" w:cs="Times New Roman"/>
          <w:kern w:val="2"/>
          <w:lang w:val="es-ES"/>
          <w14:ligatures w14:val="standardContextual"/>
        </w:rPr>
        <w:t xml:space="preserve"> sin perjuicio de las modificaciones realizadas por la Resolución 275 del 24 de junio de 2022 sobre los incentivos para Mipymes y empresas y emprendimientos de mujeres, los proponentes deben acreditar el cumplimiento de las condiciones fijadas con mínimo uno (1) y máximo cinco (5) contratos, que debieron terminar antes de la fecha de cierre del proceso de contratación. </w:t>
      </w:r>
    </w:p>
    <w:p w14:paraId="31F132A4" w14:textId="77777777" w:rsidR="00905070" w:rsidRPr="00905070" w:rsidRDefault="00905070" w:rsidP="00905070">
      <w:pPr>
        <w:spacing w:after="0" w:line="276" w:lineRule="auto"/>
        <w:jc w:val="both"/>
        <w:rPr>
          <w:rFonts w:ascii="Verdana" w:eastAsia="Aptos" w:hAnsi="Verdana" w:cs="Times New Roman"/>
          <w:kern w:val="2"/>
          <w:lang w:val="es-ES_tradnl"/>
          <w14:ligatures w14:val="standardContextual"/>
        </w:rPr>
      </w:pPr>
    </w:p>
    <w:p w14:paraId="0D309493" w14:textId="77777777" w:rsidR="00905070" w:rsidRPr="00905070" w:rsidRDefault="00905070" w:rsidP="00905070">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905070">
        <w:rPr>
          <w:rFonts w:ascii="Verdana" w:eastAsia="Aptos" w:hAnsi="Verdana" w:cs="Times New Roman"/>
          <w:i/>
          <w:iCs/>
          <w:kern w:val="2"/>
          <w:lang w:val="es-ES_tradnl"/>
          <w14:ligatures w14:val="standardContextual"/>
        </w:rPr>
        <w:t>Por último,</w:t>
      </w:r>
      <w:r w:rsidRPr="00905070">
        <w:rPr>
          <w:rFonts w:ascii="Verdana" w:eastAsia="Aptos" w:hAnsi="Verdana" w:cs="Times New Roman"/>
          <w:kern w:val="2"/>
          <w:lang w:val="es-ES_tradnl"/>
          <w14:ligatures w14:val="standardContextual"/>
        </w:rPr>
        <w:t xml:space="preserve">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1BC07A76" w14:textId="77777777" w:rsidR="00905070" w:rsidRPr="00905070" w:rsidRDefault="00905070" w:rsidP="00905070">
      <w:pPr>
        <w:spacing w:after="0" w:line="276" w:lineRule="auto"/>
        <w:jc w:val="both"/>
        <w:rPr>
          <w:rFonts w:ascii="Verdana" w:eastAsia="Aptos" w:hAnsi="Verdana" w:cs="Times New Roman"/>
          <w:kern w:val="2"/>
          <w:lang w:val="es-ES_tradnl"/>
          <w14:ligatures w14:val="standardContextual"/>
        </w:rPr>
      </w:pPr>
    </w:p>
    <w:p w14:paraId="4226B70A" w14:textId="77777777" w:rsidR="00905070" w:rsidRPr="00905070" w:rsidRDefault="00905070" w:rsidP="00905070">
      <w:pPr>
        <w:numPr>
          <w:ilvl w:val="0"/>
          <w:numId w:val="18"/>
        </w:numPr>
        <w:spacing w:after="0" w:line="276" w:lineRule="auto"/>
        <w:jc w:val="both"/>
        <w:rPr>
          <w:rFonts w:ascii="Verdana" w:eastAsia="Aptos" w:hAnsi="Verdana" w:cs="Times New Roman"/>
          <w:kern w:val="2"/>
          <w:lang w:val="es-ES"/>
          <w14:ligatures w14:val="standardContextual"/>
        </w:rPr>
      </w:pPr>
      <w:r w:rsidRPr="68E825D2">
        <w:rPr>
          <w:rFonts w:ascii="Verdana" w:eastAsia="Aptos" w:hAnsi="Verdana" w:cs="Times New Roman"/>
          <w:kern w:val="2"/>
          <w:lang w:val="es-ES"/>
          <w14:ligatures w14:val="standardContextual"/>
        </w:rPr>
        <w:t xml:space="preserve">Para fijar las condiciones que deben cumplir los contratos aportados, en términos de actividades ejecutadas, las entidades deben emplear la “Matriz 1 – Experiencia”. Este documento estandariza las condiciones de experiencia general y/o específica que deben requerir las entidades estatales a los proponentes para acreditar el requisito habilitante de </w:t>
      </w:r>
      <w:r w:rsidRPr="68E825D2">
        <w:rPr>
          <w:rFonts w:ascii="Verdana" w:eastAsia="Aptos" w:hAnsi="Verdana" w:cs="Times New Roman"/>
          <w:kern w:val="2"/>
          <w:lang w:val="es-ES"/>
          <w14:ligatures w14:val="standardContextual"/>
        </w:rPr>
        <w:lastRenderedPageBreak/>
        <w:t>experiencia, de acuerdo con: i) el tipo de obra de infraestructura de transporte; ii) la actividad a contratar, y iii) la cuantía del proceso de contratación.</w:t>
      </w:r>
    </w:p>
    <w:p w14:paraId="6248E0FC" w14:textId="77777777" w:rsidR="00905070" w:rsidRPr="00905070" w:rsidRDefault="00905070" w:rsidP="00905070">
      <w:pPr>
        <w:spacing w:after="0" w:line="276" w:lineRule="auto"/>
        <w:ind w:left="720"/>
        <w:rPr>
          <w:rFonts w:ascii="Verdana" w:eastAsia="Aptos" w:hAnsi="Verdana" w:cs="Times New Roman"/>
          <w:kern w:val="2"/>
          <w:lang w:val="es-ES_tradnl"/>
          <w14:ligatures w14:val="standardContextual"/>
        </w:rPr>
      </w:pPr>
    </w:p>
    <w:p w14:paraId="20EC0209" w14:textId="77777777" w:rsidR="00905070" w:rsidRPr="00905070" w:rsidRDefault="00905070" w:rsidP="00905070">
      <w:pPr>
        <w:widowControl w:val="0"/>
        <w:numPr>
          <w:ilvl w:val="0"/>
          <w:numId w:val="22"/>
        </w:numPr>
        <w:autoSpaceDE w:val="0"/>
        <w:autoSpaceDN w:val="0"/>
        <w:spacing w:after="0" w:line="276" w:lineRule="auto"/>
        <w:ind w:right="102"/>
        <w:contextualSpacing/>
        <w:jc w:val="both"/>
        <w:rPr>
          <w:rFonts w:ascii="Verdana" w:eastAsia="Arial" w:hAnsi="Verdana" w:cs="Arial"/>
          <w:kern w:val="2"/>
          <w:lang w:val="es-ES_tradnl"/>
          <w14:ligatures w14:val="standardContextual"/>
        </w:rPr>
      </w:pPr>
      <w:bookmarkStart w:id="1" w:name="_Hlk101793419"/>
      <w:r w:rsidRPr="00905070">
        <w:rPr>
          <w:rFonts w:ascii="Verdana" w:eastAsia="Arial" w:hAnsi="Verdana" w:cs="Arial"/>
          <w:kern w:val="2"/>
          <w:lang w:val="es-ES_tradnl"/>
          <w14:ligatures w14:val="standardContextual"/>
        </w:rPr>
        <w:t>Por otra parte, las normas de contratación estatal establecen que las personas naturales o jurídicas nacionales o extranjeras que deseen celebrar contratos estatales deberán estar inscritos en el RUP</w:t>
      </w:r>
      <w:r w:rsidRPr="00905070">
        <w:rPr>
          <w:rFonts w:ascii="Aptos" w:eastAsia="Aptos" w:hAnsi="Aptos" w:cs="Times New Roman"/>
          <w:kern w:val="2"/>
          <w:sz w:val="24"/>
          <w:szCs w:val="24"/>
          <w:vertAlign w:val="superscript"/>
          <w:lang w:val="es-ES_tradnl"/>
          <w14:ligatures w14:val="standardContextual"/>
        </w:rPr>
        <w:footnoteReference w:id="6"/>
      </w:r>
      <w:r w:rsidRPr="00905070">
        <w:rPr>
          <w:rFonts w:ascii="Verdana" w:eastAsia="Arial" w:hAnsi="Verdana" w:cs="Arial"/>
          <w:kern w:val="2"/>
          <w:lang w:val="es-ES_tradnl"/>
          <w14:ligatures w14:val="standardContextual"/>
        </w:rPr>
        <w:t>.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r w:rsidRPr="00905070">
        <w:rPr>
          <w:rFonts w:ascii="Aptos" w:eastAsia="Aptos" w:hAnsi="Aptos" w:cs="Times New Roman"/>
          <w:kern w:val="2"/>
          <w:sz w:val="24"/>
          <w:szCs w:val="24"/>
          <w:vertAlign w:val="superscript"/>
          <w:lang w:val="es-ES_tradnl"/>
          <w14:ligatures w14:val="standardContextual"/>
        </w:rPr>
        <w:footnoteReference w:id="7"/>
      </w:r>
      <w:r w:rsidRPr="00905070">
        <w:rPr>
          <w:rFonts w:ascii="Verdana" w:eastAsia="Arial" w:hAnsi="Verdana" w:cs="Arial"/>
          <w:kern w:val="2"/>
          <w:lang w:val="es-ES_tradnl"/>
          <w14:ligatures w14:val="standardContextual"/>
        </w:rPr>
        <w:t>.</w:t>
      </w:r>
    </w:p>
    <w:p w14:paraId="1916C89F" w14:textId="77777777" w:rsidR="00905070" w:rsidRPr="00905070" w:rsidRDefault="00905070" w:rsidP="00905070">
      <w:pPr>
        <w:widowControl w:val="0"/>
        <w:autoSpaceDE w:val="0"/>
        <w:autoSpaceDN w:val="0"/>
        <w:spacing w:after="0" w:line="276" w:lineRule="auto"/>
        <w:ind w:left="720" w:right="102"/>
        <w:contextualSpacing/>
        <w:jc w:val="both"/>
        <w:rPr>
          <w:rFonts w:ascii="Verdana" w:eastAsia="Arial" w:hAnsi="Verdana" w:cs="Arial"/>
          <w:kern w:val="2"/>
          <w:lang w:val="es-ES_tradnl"/>
          <w14:ligatures w14:val="standardContextual"/>
        </w:rPr>
      </w:pPr>
    </w:p>
    <w:p w14:paraId="1A1B3BD4" w14:textId="77777777" w:rsidR="00905070" w:rsidRPr="00905070" w:rsidRDefault="00905070" w:rsidP="00905070">
      <w:pPr>
        <w:widowControl w:val="0"/>
        <w:numPr>
          <w:ilvl w:val="0"/>
          <w:numId w:val="22"/>
        </w:numPr>
        <w:autoSpaceDE w:val="0"/>
        <w:autoSpaceDN w:val="0"/>
        <w:spacing w:after="0" w:line="276" w:lineRule="auto"/>
        <w:ind w:right="102"/>
        <w:contextualSpacing/>
        <w:jc w:val="both"/>
        <w:rPr>
          <w:rFonts w:ascii="Verdana" w:eastAsia="Arial" w:hAnsi="Verdana" w:cs="Arial"/>
          <w:kern w:val="2"/>
          <w:lang w:val="es-ES_tradnl"/>
          <w14:ligatures w14:val="standardContextual"/>
        </w:rPr>
      </w:pPr>
      <w:r w:rsidRPr="00905070">
        <w:rPr>
          <w:rFonts w:ascii="Verdana" w:eastAsia="Arial" w:hAnsi="Verdana" w:cs="Arial"/>
          <w:kern w:val="2"/>
          <w:lang w:val="es-ES_tradnl"/>
          <w14:ligatures w14:val="standardContextual"/>
        </w:rPr>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w:t>
      </w:r>
      <w:r w:rsidRPr="00905070">
        <w:rPr>
          <w:rFonts w:ascii="Verdana" w:eastAsia="Arial" w:hAnsi="Verdana" w:cs="Arial"/>
          <w:kern w:val="2"/>
          <w:lang w:val="es-ES_tradnl"/>
          <w14:ligatures w14:val="standardContextual"/>
        </w:rPr>
        <w:lastRenderedPageBreak/>
        <w:t xml:space="preserve">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21D2F31B" w14:textId="77777777" w:rsidR="00905070" w:rsidRPr="00905070" w:rsidRDefault="00905070" w:rsidP="00905070">
      <w:pPr>
        <w:widowControl w:val="0"/>
        <w:autoSpaceDE w:val="0"/>
        <w:autoSpaceDN w:val="0"/>
        <w:spacing w:after="0" w:line="276" w:lineRule="auto"/>
        <w:ind w:right="102"/>
        <w:jc w:val="both"/>
        <w:rPr>
          <w:rFonts w:ascii="Verdana" w:eastAsia="Arial" w:hAnsi="Verdana" w:cs="Arial"/>
          <w:kern w:val="2"/>
          <w:lang w:val="es-ES_tradnl"/>
          <w14:ligatures w14:val="standardContextual"/>
        </w:rPr>
      </w:pPr>
    </w:p>
    <w:p w14:paraId="34C52A67" w14:textId="77777777" w:rsidR="00905070" w:rsidRPr="00905070" w:rsidRDefault="00905070" w:rsidP="68E825D2">
      <w:pPr>
        <w:numPr>
          <w:ilvl w:val="0"/>
          <w:numId w:val="22"/>
        </w:numPr>
        <w:shd w:val="clear" w:color="auto" w:fill="FFFFFF" w:themeFill="background1"/>
        <w:spacing w:after="0" w:line="276" w:lineRule="auto"/>
        <w:contextualSpacing/>
        <w:jc w:val="both"/>
        <w:textAlignment w:val="baseline"/>
        <w:rPr>
          <w:rFonts w:ascii="Verdana" w:eastAsia="Times New Roman" w:hAnsi="Verdana" w:cs="Arial"/>
          <w:kern w:val="2"/>
          <w:bdr w:val="none" w:sz="0" w:space="0" w:color="auto" w:frame="1"/>
          <w:lang w:val="es-ES" w:eastAsia="es-CO"/>
          <w14:ligatures w14:val="standardContextual"/>
        </w:rPr>
      </w:pPr>
      <w:bookmarkStart w:id="2" w:name="_Hlk101793468"/>
      <w:bookmarkEnd w:id="1"/>
      <w:r w:rsidRPr="68E825D2">
        <w:rPr>
          <w:rFonts w:ascii="Verdana" w:eastAsia="Times New Roman" w:hAnsi="Verdana" w:cs="Arial"/>
          <w:kern w:val="2"/>
          <w:bdr w:val="none" w:sz="0" w:space="0" w:color="auto" w:frame="1"/>
          <w:lang w:val="es-ES" w:eastAsia="es-CO"/>
          <w14:ligatures w14:val="standardContextual"/>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68E825D2">
        <w:rPr>
          <w:rFonts w:ascii="Verdana" w:eastAsia="Times New Roman" w:hAnsi="Verdana" w:cs="Arial"/>
          <w:kern w:val="2"/>
          <w:bdr w:val="none" w:sz="0" w:space="0" w:color="auto" w:frame="1"/>
          <w:lang w:val="es-ES" w:eastAsia="es-CO"/>
          <w14:ligatures w14:val="standardContextual"/>
        </w:rPr>
        <w:t>The</w:t>
      </w:r>
      <w:proofErr w:type="spellEnd"/>
      <w:r w:rsidRPr="68E825D2">
        <w:rPr>
          <w:rFonts w:ascii="Verdana" w:eastAsia="Times New Roman" w:hAnsi="Verdana" w:cs="Arial"/>
          <w:kern w:val="2"/>
          <w:bdr w:val="none" w:sz="0" w:space="0" w:color="auto" w:frame="1"/>
          <w:lang w:val="es-ES" w:eastAsia="es-CO"/>
          <w14:ligatures w14:val="standardContextual"/>
        </w:rPr>
        <w:t xml:space="preserve"> </w:t>
      </w:r>
      <w:proofErr w:type="spellStart"/>
      <w:r w:rsidRPr="68E825D2">
        <w:rPr>
          <w:rFonts w:ascii="Verdana" w:eastAsia="Times New Roman" w:hAnsi="Verdana" w:cs="Arial"/>
          <w:kern w:val="2"/>
          <w:bdr w:val="none" w:sz="0" w:space="0" w:color="auto" w:frame="1"/>
          <w:lang w:val="es-ES" w:eastAsia="es-CO"/>
          <w14:ligatures w14:val="standardContextual"/>
        </w:rPr>
        <w:t>United</w:t>
      </w:r>
      <w:proofErr w:type="spellEnd"/>
      <w:r w:rsidRPr="68E825D2">
        <w:rPr>
          <w:rFonts w:ascii="Verdana" w:eastAsia="Times New Roman" w:hAnsi="Verdana" w:cs="Arial"/>
          <w:kern w:val="2"/>
          <w:bdr w:val="none" w:sz="0" w:space="0" w:color="auto" w:frame="1"/>
          <w:lang w:val="es-ES" w:eastAsia="es-CO"/>
          <w14:ligatures w14:val="standardContextual"/>
        </w:rPr>
        <w:t xml:space="preserve"> </w:t>
      </w:r>
      <w:proofErr w:type="spellStart"/>
      <w:r w:rsidRPr="68E825D2">
        <w:rPr>
          <w:rFonts w:ascii="Verdana" w:eastAsia="Times New Roman" w:hAnsi="Verdana" w:cs="Arial"/>
          <w:kern w:val="2"/>
          <w:bdr w:val="none" w:sz="0" w:space="0" w:color="auto" w:frame="1"/>
          <w:lang w:val="es-ES" w:eastAsia="es-CO"/>
          <w14:ligatures w14:val="standardContextual"/>
        </w:rPr>
        <w:t>Nations</w:t>
      </w:r>
      <w:proofErr w:type="spellEnd"/>
      <w:r w:rsidRPr="68E825D2">
        <w:rPr>
          <w:rFonts w:ascii="Verdana" w:eastAsia="Times New Roman" w:hAnsi="Verdana" w:cs="Arial"/>
          <w:kern w:val="2"/>
          <w:bdr w:val="none" w:sz="0" w:space="0" w:color="auto" w:frame="1"/>
          <w:lang w:val="es-ES" w:eastAsia="es-CO"/>
          <w14:ligatures w14:val="standardContextual"/>
        </w:rPr>
        <w:t xml:space="preserve"> Standard </w:t>
      </w:r>
      <w:proofErr w:type="spellStart"/>
      <w:r w:rsidRPr="68E825D2">
        <w:rPr>
          <w:rFonts w:ascii="Verdana" w:eastAsia="Times New Roman" w:hAnsi="Verdana" w:cs="Arial"/>
          <w:kern w:val="2"/>
          <w:bdr w:val="none" w:sz="0" w:space="0" w:color="auto" w:frame="1"/>
          <w:lang w:val="es-ES" w:eastAsia="es-CO"/>
          <w14:ligatures w14:val="standardContextual"/>
        </w:rPr>
        <w:t>Products</w:t>
      </w:r>
      <w:proofErr w:type="spellEnd"/>
      <w:r w:rsidRPr="68E825D2">
        <w:rPr>
          <w:rFonts w:ascii="Verdana" w:eastAsia="Times New Roman" w:hAnsi="Verdana" w:cs="Arial"/>
          <w:kern w:val="2"/>
          <w:bdr w:val="none" w:sz="0" w:space="0" w:color="auto" w:frame="1"/>
          <w:lang w:val="es-ES" w:eastAsia="es-CO"/>
          <w14:ligatures w14:val="standardContextual"/>
        </w:rPr>
        <w:t xml:space="preserve"> and </w:t>
      </w:r>
      <w:proofErr w:type="spellStart"/>
      <w:r w:rsidRPr="68E825D2">
        <w:rPr>
          <w:rFonts w:ascii="Verdana" w:eastAsia="Times New Roman" w:hAnsi="Verdana" w:cs="Arial"/>
          <w:kern w:val="2"/>
          <w:bdr w:val="none" w:sz="0" w:space="0" w:color="auto" w:frame="1"/>
          <w:lang w:val="es-ES" w:eastAsia="es-CO"/>
          <w14:ligatures w14:val="standardContextual"/>
        </w:rPr>
        <w:t>Services</w:t>
      </w:r>
      <w:proofErr w:type="spellEnd"/>
      <w:r w:rsidRPr="68E825D2">
        <w:rPr>
          <w:rFonts w:ascii="Verdana" w:eastAsia="Times New Roman" w:hAnsi="Verdana" w:cs="Arial"/>
          <w:kern w:val="2"/>
          <w:bdr w:val="none" w:sz="0" w:space="0" w:color="auto" w:frame="1"/>
          <w:lang w:val="es-ES" w:eastAsia="es-CO"/>
          <w14:ligatures w14:val="standardContextual"/>
        </w:rPr>
        <w:t xml:space="preserve"> </w:t>
      </w:r>
      <w:proofErr w:type="spellStart"/>
      <w:r w:rsidRPr="68E825D2">
        <w:rPr>
          <w:rFonts w:ascii="Verdana" w:eastAsia="Times New Roman" w:hAnsi="Verdana" w:cs="Arial"/>
          <w:kern w:val="2"/>
          <w:bdr w:val="none" w:sz="0" w:space="0" w:color="auto" w:frame="1"/>
          <w:lang w:val="es-ES" w:eastAsia="es-CO"/>
          <w14:ligatures w14:val="standardContextual"/>
        </w:rPr>
        <w:t>Code</w:t>
      </w:r>
      <w:proofErr w:type="spellEnd"/>
      <w:r w:rsidRPr="68E825D2">
        <w:rPr>
          <w:rFonts w:ascii="Verdana" w:eastAsia="Times New Roman" w:hAnsi="Verdana" w:cs="Arial"/>
          <w:kern w:val="2"/>
          <w:bdr w:val="none" w:sz="0" w:space="0" w:color="auto" w:frame="1"/>
          <w:lang w:val="es-ES" w:eastAsia="es-CO"/>
          <w14:ligatures w14:val="standardContextual"/>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bookmarkEnd w:id="2"/>
      <w:r w:rsidRPr="68E825D2">
        <w:rPr>
          <w:rFonts w:ascii="Verdana" w:eastAsia="Times New Roman" w:hAnsi="Verdana" w:cs="Arial"/>
          <w:kern w:val="2"/>
          <w:bdr w:val="none" w:sz="0" w:space="0" w:color="auto" w:frame="1"/>
          <w:lang w:val="es-ES" w:eastAsia="es-CO"/>
          <w14:ligatures w14:val="standardContextual"/>
        </w:rPr>
        <w:t>”</w:t>
      </w:r>
      <w:r w:rsidRPr="68E825D2">
        <w:rPr>
          <w:rFonts w:ascii="Aptos" w:eastAsia="Aptos" w:hAnsi="Aptos" w:cs="Times New Roman"/>
          <w:kern w:val="2"/>
          <w:sz w:val="24"/>
          <w:szCs w:val="24"/>
          <w:bdr w:val="none" w:sz="0" w:space="0" w:color="auto" w:frame="1"/>
          <w:vertAlign w:val="superscript"/>
          <w:lang w:val="es-ES" w:eastAsia="es-CO"/>
          <w14:ligatures w14:val="standardContextual"/>
        </w:rPr>
        <w:footnoteReference w:id="8"/>
      </w:r>
      <w:r w:rsidRPr="68E825D2">
        <w:rPr>
          <w:rFonts w:ascii="Verdana" w:eastAsia="Times New Roman" w:hAnsi="Verdana" w:cs="Arial"/>
          <w:kern w:val="2"/>
          <w:bdr w:val="none" w:sz="0" w:space="0" w:color="auto" w:frame="1"/>
          <w:lang w:val="es-ES" w:eastAsia="es-CO"/>
          <w14:ligatures w14:val="standardContextual"/>
        </w:rPr>
        <w:t>.</w:t>
      </w:r>
    </w:p>
    <w:p w14:paraId="0AF871DC" w14:textId="77777777" w:rsidR="00905070" w:rsidRPr="00905070" w:rsidRDefault="00905070" w:rsidP="00905070">
      <w:pPr>
        <w:shd w:val="clear" w:color="auto" w:fill="FFFFFF"/>
        <w:spacing w:after="0" w:line="276" w:lineRule="auto"/>
        <w:jc w:val="both"/>
        <w:textAlignment w:val="baseline"/>
        <w:rPr>
          <w:rFonts w:ascii="Verdana" w:eastAsia="Times New Roman" w:hAnsi="Verdana" w:cs="Arial"/>
          <w:kern w:val="2"/>
          <w:bdr w:val="none" w:sz="0" w:space="0" w:color="auto" w:frame="1"/>
          <w:lang w:val="es-ES_tradnl" w:eastAsia="es-CO"/>
          <w14:ligatures w14:val="standardContextual"/>
        </w:rPr>
      </w:pPr>
    </w:p>
    <w:p w14:paraId="7834C07D" w14:textId="77777777" w:rsidR="00905070" w:rsidRPr="00905070" w:rsidRDefault="00905070" w:rsidP="00905070">
      <w:pPr>
        <w:widowControl w:val="0"/>
        <w:numPr>
          <w:ilvl w:val="0"/>
          <w:numId w:val="22"/>
        </w:numPr>
        <w:autoSpaceDE w:val="0"/>
        <w:autoSpaceDN w:val="0"/>
        <w:spacing w:after="0" w:line="276" w:lineRule="auto"/>
        <w:ind w:right="102"/>
        <w:contextualSpacing/>
        <w:jc w:val="both"/>
        <w:rPr>
          <w:rFonts w:ascii="Verdana" w:eastAsia="Arial" w:hAnsi="Verdana" w:cs="Arial"/>
          <w:kern w:val="2"/>
          <w:lang w:val="es-ES_tradnl"/>
          <w14:ligatures w14:val="standardContextual"/>
        </w:rPr>
      </w:pPr>
      <w:r w:rsidRPr="00905070">
        <w:rPr>
          <w:rFonts w:ascii="Verdana" w:eastAsia="Times New Roman" w:hAnsi="Verdana" w:cs="Arial"/>
          <w:kern w:val="2"/>
          <w:bdr w:val="none" w:sz="0" w:space="0" w:color="auto" w:frame="1"/>
          <w:lang w:val="es-ES_tradnl"/>
          <w14:ligatures w14:val="standardContextual"/>
        </w:rPr>
        <w:t xml:space="preserve">Por otro lado, </w:t>
      </w:r>
      <w:bookmarkStart w:id="3" w:name="_Hlk101793509"/>
      <w:r w:rsidRPr="00905070">
        <w:rPr>
          <w:rFonts w:ascii="Verdana" w:eastAsia="Arial" w:hAnsi="Verdana" w:cs="Arial"/>
          <w:kern w:val="2"/>
          <w:lang w:val="es-ES_tradnl"/>
          <w14:ligatures w14:val="standardContextual"/>
        </w:rPr>
        <w:t xml:space="preserve">el artículo 2.2.1.1.1.5.2 del Decreto 1082 de 2015, al desarrollar la información requerida para la inscripción, actualización y renovación del RUP, establece que los proponentes deben establecer los bienes y servicios que ofrecerán identificados con el Clasificador de Bienes y Servicios en el tercer nivel. Asimismo, los numerales 1.2 y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w:t>
      </w:r>
      <w:r w:rsidRPr="00905070">
        <w:rPr>
          <w:rFonts w:ascii="Verdana" w:eastAsia="Arial" w:hAnsi="Verdana" w:cs="Arial"/>
          <w:kern w:val="2"/>
          <w:lang w:val="es-ES_tradnl"/>
          <w14:ligatures w14:val="standardContextual"/>
        </w:rPr>
        <w:lastRenderedPageBreak/>
        <w:t>Servicios en el tercer nivel”</w:t>
      </w:r>
      <w:r w:rsidRPr="00905070">
        <w:rPr>
          <w:rFonts w:ascii="Aptos" w:eastAsia="Aptos" w:hAnsi="Aptos" w:cs="Times New Roman"/>
          <w:kern w:val="2"/>
          <w:sz w:val="24"/>
          <w:szCs w:val="24"/>
          <w:vertAlign w:val="superscript"/>
          <w:lang w:val="es-ES_tradnl"/>
          <w14:ligatures w14:val="standardContextual"/>
        </w:rPr>
        <w:footnoteReference w:id="9"/>
      </w:r>
      <w:r w:rsidRPr="00905070">
        <w:rPr>
          <w:rFonts w:ascii="Verdana" w:eastAsia="Arial" w:hAnsi="Verdana" w:cs="Arial"/>
          <w:kern w:val="2"/>
          <w:lang w:val="es-ES_tradnl"/>
          <w14:ligatures w14:val="standardContextual"/>
        </w:rPr>
        <w:t xml:space="preserve">. </w:t>
      </w:r>
    </w:p>
    <w:p w14:paraId="1AC964C3" w14:textId="77777777" w:rsidR="00905070" w:rsidRPr="00905070" w:rsidRDefault="00905070" w:rsidP="00905070">
      <w:pPr>
        <w:widowControl w:val="0"/>
        <w:autoSpaceDE w:val="0"/>
        <w:autoSpaceDN w:val="0"/>
        <w:spacing w:after="0" w:line="276" w:lineRule="auto"/>
        <w:ind w:right="102"/>
        <w:jc w:val="both"/>
        <w:rPr>
          <w:rFonts w:ascii="Verdana" w:eastAsia="Arial" w:hAnsi="Verdana" w:cs="Arial"/>
          <w:kern w:val="2"/>
          <w:lang w:val="es-ES_tradnl"/>
          <w14:ligatures w14:val="standardContextual"/>
        </w:rPr>
      </w:pPr>
    </w:p>
    <w:bookmarkEnd w:id="3"/>
    <w:p w14:paraId="3B2B4F4D" w14:textId="77777777" w:rsidR="00905070" w:rsidRPr="00905070" w:rsidRDefault="00905070" w:rsidP="00905070">
      <w:pPr>
        <w:widowControl w:val="0"/>
        <w:numPr>
          <w:ilvl w:val="0"/>
          <w:numId w:val="22"/>
        </w:numPr>
        <w:autoSpaceDE w:val="0"/>
        <w:autoSpaceDN w:val="0"/>
        <w:spacing w:after="0" w:line="276" w:lineRule="auto"/>
        <w:ind w:right="104"/>
        <w:contextualSpacing/>
        <w:jc w:val="both"/>
        <w:rPr>
          <w:rFonts w:ascii="Verdana" w:eastAsia="Times New Roman" w:hAnsi="Verdana" w:cs="Arial"/>
          <w:kern w:val="2"/>
          <w:bdr w:val="none" w:sz="0" w:space="0" w:color="auto" w:frame="1"/>
          <w:lang w:val="es-ES_tradnl"/>
          <w14:ligatures w14:val="standardContextual"/>
        </w:rPr>
      </w:pPr>
      <w:r w:rsidRPr="00905070">
        <w:rPr>
          <w:rFonts w:ascii="Verdana" w:eastAsia="Times New Roman" w:hAnsi="Verdana" w:cs="Arial"/>
          <w:kern w:val="2"/>
          <w:bdr w:val="none" w:sz="0" w:space="0" w:color="auto" w:frame="1"/>
          <w:lang w:val="es-ES_tradnl"/>
          <w14:ligatures w14:val="standardContextual"/>
        </w:rPr>
        <w:t>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Clasificador de Bienes y Servicios, de ser posible o de lo contrario con el tercer nivel del mismo”</w:t>
      </w:r>
      <w:r w:rsidRPr="00905070">
        <w:rPr>
          <w:rFonts w:ascii="Aptos" w:eastAsia="Aptos" w:hAnsi="Aptos" w:cs="Times New Roman"/>
          <w:kern w:val="2"/>
          <w:sz w:val="24"/>
          <w:szCs w:val="24"/>
          <w:bdr w:val="none" w:sz="0" w:space="0" w:color="auto" w:frame="1"/>
          <w:vertAlign w:val="superscript"/>
          <w:lang w:val="es-ES_tradnl"/>
          <w14:ligatures w14:val="standardContextual"/>
        </w:rPr>
        <w:footnoteReference w:id="10"/>
      </w:r>
      <w:r w:rsidRPr="00905070">
        <w:rPr>
          <w:rFonts w:ascii="Verdana" w:eastAsia="Times New Roman" w:hAnsi="Verdana" w:cs="Arial"/>
          <w:kern w:val="2"/>
          <w:bdr w:val="none" w:sz="0" w:space="0" w:color="auto" w:frame="1"/>
          <w:lang w:val="es-ES_tradnl"/>
          <w14:ligatures w14:val="standardContextual"/>
        </w:rPr>
        <w:t>. </w:t>
      </w:r>
    </w:p>
    <w:p w14:paraId="078E1B3C" w14:textId="77777777" w:rsidR="00905070" w:rsidRPr="00905070" w:rsidRDefault="00905070" w:rsidP="00905070">
      <w:pPr>
        <w:widowControl w:val="0"/>
        <w:autoSpaceDE w:val="0"/>
        <w:autoSpaceDN w:val="0"/>
        <w:spacing w:after="0" w:line="276" w:lineRule="auto"/>
        <w:ind w:right="104"/>
        <w:jc w:val="both"/>
        <w:rPr>
          <w:rFonts w:ascii="Verdana" w:eastAsia="Times New Roman" w:hAnsi="Verdana" w:cs="Arial"/>
          <w:kern w:val="2"/>
          <w:bdr w:val="none" w:sz="0" w:space="0" w:color="auto" w:frame="1"/>
          <w:lang w:val="es-ES_tradnl"/>
          <w14:ligatures w14:val="standardContextual"/>
        </w:rPr>
      </w:pPr>
    </w:p>
    <w:p w14:paraId="71B7939A" w14:textId="77777777" w:rsidR="00905070" w:rsidRPr="00905070" w:rsidRDefault="00905070" w:rsidP="00905070">
      <w:pPr>
        <w:widowControl w:val="0"/>
        <w:numPr>
          <w:ilvl w:val="0"/>
          <w:numId w:val="22"/>
        </w:numPr>
        <w:autoSpaceDE w:val="0"/>
        <w:autoSpaceDN w:val="0"/>
        <w:spacing w:after="0" w:line="276" w:lineRule="auto"/>
        <w:contextualSpacing/>
        <w:jc w:val="both"/>
        <w:rPr>
          <w:rFonts w:ascii="Verdana" w:eastAsia="Times New Roman" w:hAnsi="Verdana" w:cs="Arial"/>
          <w:kern w:val="2"/>
          <w:bdr w:val="none" w:sz="0" w:space="0" w:color="auto" w:frame="1"/>
          <w:lang w:val="es-ES_tradnl"/>
          <w14:ligatures w14:val="standardContextual"/>
        </w:rPr>
      </w:pPr>
      <w:r w:rsidRPr="00905070">
        <w:rPr>
          <w:rFonts w:ascii="Verdana" w:eastAsia="Times New Roman" w:hAnsi="Verdana" w:cs="Arial"/>
          <w:kern w:val="2"/>
          <w:bdr w:val="none" w:sz="0" w:space="0" w:color="auto" w:frame="1"/>
          <w:lang w:val="es-ES_tradnl"/>
          <w14:ligatures w14:val="standardContextual"/>
        </w:rPr>
        <w:t xml:space="preserve">Conforme a lo anterior,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w:t>
      </w:r>
      <w:r w:rsidRPr="00905070">
        <w:rPr>
          <w:rFonts w:ascii="Verdana" w:eastAsia="Times New Roman" w:hAnsi="Verdana" w:cs="Arial"/>
          <w:kern w:val="2"/>
          <w:bdr w:val="none" w:sz="0" w:space="0" w:color="auto" w:frame="1"/>
          <w:lang w:val="es-ES_tradnl"/>
          <w14:ligatures w14:val="standardContextual"/>
        </w:rPr>
        <w:lastRenderedPageBreak/>
        <w:t>amplia difusión y de generalizada aceptación, que permite a proveedores y compradores “hablar el mismo lenguaje” al integrar en un solo número el flujo total del proceso de adquisición</w:t>
      </w:r>
      <w:r w:rsidRPr="00905070">
        <w:rPr>
          <w:rFonts w:ascii="Aptos" w:eastAsia="Aptos" w:hAnsi="Aptos" w:cs="Times New Roman"/>
          <w:kern w:val="2"/>
          <w:sz w:val="24"/>
          <w:szCs w:val="24"/>
          <w:bdr w:val="none" w:sz="0" w:space="0" w:color="auto" w:frame="1"/>
          <w:vertAlign w:val="superscript"/>
          <w:lang w:val="es-ES_tradnl"/>
          <w14:ligatures w14:val="standardContextual"/>
        </w:rPr>
        <w:footnoteReference w:id="11"/>
      </w:r>
      <w:r w:rsidRPr="00905070">
        <w:rPr>
          <w:rFonts w:ascii="Verdana" w:eastAsia="Times New Roman" w:hAnsi="Verdana" w:cs="Arial"/>
          <w:kern w:val="2"/>
          <w:bdr w:val="none" w:sz="0" w:space="0" w:color="auto" w:frame="1"/>
          <w:lang w:val="es-ES_tradnl"/>
          <w14:ligatures w14:val="standardContextual"/>
        </w:rPr>
        <w:t>. </w:t>
      </w:r>
    </w:p>
    <w:p w14:paraId="2AA66DBD" w14:textId="77777777" w:rsidR="00905070" w:rsidRPr="00905070" w:rsidRDefault="00905070" w:rsidP="00905070">
      <w:pPr>
        <w:spacing w:after="0" w:line="276" w:lineRule="auto"/>
        <w:ind w:left="720"/>
        <w:rPr>
          <w:rFonts w:ascii="Verdana" w:eastAsia="Times New Roman" w:hAnsi="Verdana" w:cs="Arial"/>
          <w:kern w:val="2"/>
          <w:bdr w:val="none" w:sz="0" w:space="0" w:color="auto" w:frame="1"/>
          <w:lang w:val="es-ES_tradnl" w:eastAsia="es-CO"/>
          <w14:ligatures w14:val="standardContextual"/>
        </w:rPr>
      </w:pPr>
    </w:p>
    <w:p w14:paraId="4DCCA9A0" w14:textId="77777777" w:rsidR="00905070" w:rsidRPr="00905070" w:rsidRDefault="00905070" w:rsidP="00905070">
      <w:pPr>
        <w:numPr>
          <w:ilvl w:val="0"/>
          <w:numId w:val="18"/>
        </w:numPr>
        <w:shd w:val="clear" w:color="auto" w:fill="FFFFFF"/>
        <w:spacing w:after="0" w:line="276" w:lineRule="auto"/>
        <w:jc w:val="both"/>
        <w:textAlignment w:val="baseline"/>
        <w:rPr>
          <w:rFonts w:ascii="Verdana" w:eastAsia="Times New Roman" w:hAnsi="Verdana" w:cs="Arial"/>
          <w:kern w:val="2"/>
          <w:bdr w:val="none" w:sz="0" w:space="0" w:color="auto" w:frame="1"/>
          <w:lang w:val="es-ES_tradnl" w:eastAsia="es-CO"/>
          <w14:ligatures w14:val="standardContextual"/>
        </w:rPr>
      </w:pPr>
      <w:r w:rsidRPr="00905070">
        <w:rPr>
          <w:rFonts w:ascii="Verdana" w:eastAsia="Times New Roman" w:hAnsi="Verdana" w:cs="Arial"/>
          <w:kern w:val="2"/>
          <w:bdr w:val="none" w:sz="0" w:space="0" w:color="auto" w:frame="1"/>
          <w:lang w:val="es-ES_tradnl" w:eastAsia="es-CO"/>
          <w14:ligatures w14:val="standardContextual"/>
        </w:rPr>
        <w:t xml:space="preserve">Por ejemplo, el segmento 72 corresponde a </w:t>
      </w:r>
      <w:r w:rsidRPr="00905070">
        <w:rPr>
          <w:rFonts w:ascii="Verdana" w:eastAsia="Times New Roman" w:hAnsi="Verdana" w:cs="Arial"/>
          <w:i/>
          <w:iCs/>
          <w:kern w:val="2"/>
          <w:bdr w:val="none" w:sz="0" w:space="0" w:color="auto" w:frame="1"/>
          <w:lang w:val="es-ES_tradnl" w:eastAsia="es-CO"/>
          <w14:ligatures w14:val="standardContextual"/>
        </w:rPr>
        <w:t>servicios de edificación, construcción de instalaciones y mantenimiento</w:t>
      </w:r>
      <w:r w:rsidRPr="00905070">
        <w:rPr>
          <w:rFonts w:ascii="Verdana" w:eastAsia="Times New Roman" w:hAnsi="Verdana" w:cs="Arial"/>
          <w:kern w:val="2"/>
          <w:bdr w:val="none" w:sz="0" w:space="0" w:color="auto" w:frame="1"/>
          <w:lang w:val="es-ES_tradnl" w:eastAsia="es-CO"/>
          <w14:ligatures w14:val="standardContextual"/>
        </w:rPr>
        <w:t xml:space="preserve">, conforme al Clasificador de Bienes y Servicios. Por lo tanto, la experiencia que se registre en el RUP bajo este segmento deberá corresponder a </w:t>
      </w:r>
      <w:r w:rsidRPr="00905070">
        <w:rPr>
          <w:rFonts w:ascii="Verdana" w:eastAsia="Times New Roman" w:hAnsi="Verdana" w:cs="Arial"/>
          <w:i/>
          <w:iCs/>
          <w:kern w:val="2"/>
          <w:bdr w:val="none" w:sz="0" w:space="0" w:color="auto" w:frame="1"/>
          <w:lang w:val="es-ES_tradnl" w:eastAsia="es-CO"/>
          <w14:ligatures w14:val="standardContextual"/>
        </w:rPr>
        <w:t>servicios de edificación, construcción de instalaciones y mantenimiento</w:t>
      </w:r>
      <w:r w:rsidRPr="00905070">
        <w:rPr>
          <w:rFonts w:ascii="Verdana" w:eastAsia="Times New Roman" w:hAnsi="Verdana" w:cs="Arial"/>
          <w:kern w:val="2"/>
          <w:bdr w:val="none" w:sz="0" w:space="0" w:color="auto" w:frame="1"/>
          <w:lang w:val="es-ES_tradnl" w:eastAsia="es-CO"/>
          <w14:ligatures w14:val="standardContextual"/>
        </w:rPr>
        <w:t xml:space="preserve">, y no a otro tipo de servicios o bienes. </w:t>
      </w:r>
    </w:p>
    <w:p w14:paraId="3F944148" w14:textId="77777777" w:rsidR="00905070" w:rsidRPr="00905070" w:rsidRDefault="00905070" w:rsidP="00905070">
      <w:pPr>
        <w:spacing w:after="0" w:line="276" w:lineRule="auto"/>
        <w:ind w:left="720"/>
        <w:contextualSpacing/>
        <w:rPr>
          <w:rFonts w:ascii="Verdana" w:eastAsia="Times New Roman" w:hAnsi="Verdana" w:cs="Arial"/>
          <w:kern w:val="2"/>
          <w:bdr w:val="none" w:sz="0" w:space="0" w:color="auto" w:frame="1"/>
          <w:lang w:val="es-ES_tradnl" w:eastAsia="es-CO"/>
          <w14:ligatures w14:val="standardContextual"/>
        </w:rPr>
      </w:pPr>
    </w:p>
    <w:p w14:paraId="35993F0C" w14:textId="77777777" w:rsidR="00905070" w:rsidRPr="00905070" w:rsidRDefault="00905070" w:rsidP="68E825D2">
      <w:pPr>
        <w:numPr>
          <w:ilvl w:val="0"/>
          <w:numId w:val="18"/>
        </w:numPr>
        <w:shd w:val="clear" w:color="auto" w:fill="FFFFFF" w:themeFill="background1"/>
        <w:spacing w:after="0" w:line="276" w:lineRule="auto"/>
        <w:contextualSpacing/>
        <w:jc w:val="both"/>
        <w:textAlignment w:val="baseline"/>
        <w:rPr>
          <w:rFonts w:ascii="Verdana" w:eastAsia="Times New Roman" w:hAnsi="Verdana" w:cs="Arial"/>
          <w:kern w:val="2"/>
          <w:bdr w:val="none" w:sz="0" w:space="0" w:color="auto" w:frame="1"/>
          <w:lang w:val="es-ES" w:eastAsia="es-CO"/>
          <w14:ligatures w14:val="standardContextual"/>
        </w:rPr>
      </w:pPr>
      <w:r w:rsidRPr="68E825D2">
        <w:rPr>
          <w:rFonts w:ascii="Verdana" w:eastAsia="Times New Roman" w:hAnsi="Verdana" w:cs="Arial"/>
          <w:kern w:val="2"/>
          <w:bdr w:val="none" w:sz="0" w:space="0" w:color="auto" w:frame="1"/>
          <w:lang w:val="es-ES" w:eastAsia="es-CO"/>
          <w14:ligatures w14:val="standardContextual"/>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en sus procesos de contratación. Esta se encuentra disponible para consulta en: </w:t>
      </w:r>
      <w:hyperlink r:id="rId11" w:history="1">
        <w:r w:rsidRPr="68E825D2">
          <w:rPr>
            <w:rFonts w:ascii="Verdana" w:eastAsia="Times New Roman" w:hAnsi="Verdana" w:cs="Arial"/>
            <w:color w:val="156082"/>
            <w:kern w:val="2"/>
            <w:u w:val="single"/>
            <w:lang w:val="es-ES" w:eastAsia="es-MX"/>
            <w14:ligatures w14:val="standardContextual"/>
          </w:rPr>
          <w:t>https://www.colombiacompra.gov.co/sites/cce_public/files/cce_documents/cce_guia_codificacion_bienes.pdf</w:t>
        </w:r>
      </w:hyperlink>
      <w:r w:rsidRPr="68E825D2">
        <w:rPr>
          <w:rFonts w:ascii="Verdana" w:eastAsia="Times New Roman" w:hAnsi="Verdana" w:cs="Arial"/>
          <w:color w:val="156082"/>
          <w:kern w:val="2"/>
          <w:u w:val="single"/>
          <w:lang w:val="es-ES" w:eastAsia="es-MX"/>
          <w14:ligatures w14:val="standardContextual"/>
        </w:rPr>
        <w:t xml:space="preserve"> </w:t>
      </w:r>
    </w:p>
    <w:p w14:paraId="53148BAC" w14:textId="77777777" w:rsidR="00905070" w:rsidRPr="00905070" w:rsidRDefault="00905070" w:rsidP="00905070">
      <w:pPr>
        <w:spacing w:after="0" w:line="276" w:lineRule="auto"/>
        <w:ind w:left="720"/>
        <w:contextualSpacing/>
        <w:rPr>
          <w:rFonts w:ascii="Verdana" w:eastAsia="Times New Roman" w:hAnsi="Verdana" w:cs="Arial"/>
          <w:kern w:val="2"/>
          <w:bdr w:val="none" w:sz="0" w:space="0" w:color="auto" w:frame="1"/>
          <w:lang w:val="es-ES_tradnl" w:eastAsia="es-CO"/>
          <w14:ligatures w14:val="standardContextual"/>
        </w:rPr>
      </w:pPr>
    </w:p>
    <w:p w14:paraId="563F16EE" w14:textId="77777777" w:rsidR="00905070" w:rsidRPr="00905070" w:rsidRDefault="00905070" w:rsidP="00905070">
      <w:pPr>
        <w:numPr>
          <w:ilvl w:val="0"/>
          <w:numId w:val="18"/>
        </w:numPr>
        <w:shd w:val="clear" w:color="auto" w:fill="FFFFFF"/>
        <w:spacing w:after="0" w:line="276" w:lineRule="auto"/>
        <w:contextualSpacing/>
        <w:jc w:val="both"/>
        <w:textAlignment w:val="baseline"/>
        <w:rPr>
          <w:rFonts w:ascii="Verdana" w:eastAsia="Times New Roman" w:hAnsi="Verdana" w:cs="Arial"/>
          <w:color w:val="156082"/>
          <w:kern w:val="2"/>
          <w:u w:val="single"/>
          <w:bdr w:val="none" w:sz="0" w:space="0" w:color="auto" w:frame="1"/>
          <w:lang w:val="es-ES_tradnl" w:eastAsia="es-CO"/>
          <w14:ligatures w14:val="standardContextual"/>
        </w:rPr>
      </w:pPr>
      <w:r w:rsidRPr="00905070">
        <w:rPr>
          <w:rFonts w:ascii="Verdana" w:eastAsia="Times New Roman" w:hAnsi="Verdana" w:cs="Arial"/>
          <w:kern w:val="2"/>
          <w:bdr w:val="none" w:sz="0" w:space="0" w:color="auto" w:frame="1"/>
          <w:lang w:val="es-ES_tradnl" w:eastAsia="es-CO"/>
          <w14:ligatures w14:val="standardContextual"/>
        </w:rPr>
        <w:t xml:space="preserve">Así mismo, la Agencia Nacional de Contratación Pública – Colombia Compra Eficiente ha puesto a disposición de las entidades y la ciudadanía una herramienta web en la que se encuentran cada uno de los componentes de los distintos niveles de los que consta el clasificador, traducidos al español. Esta facilita la conformación de los correspondientes códigos, y puede consultarse en la página web: </w:t>
      </w:r>
      <w:hyperlink r:id="rId12" w:history="1">
        <w:r w:rsidRPr="00905070">
          <w:rPr>
            <w:rFonts w:ascii="Verdana" w:eastAsia="Times New Roman" w:hAnsi="Verdana" w:cs="Arial"/>
            <w:color w:val="156082"/>
            <w:kern w:val="2"/>
            <w:u w:val="single"/>
            <w:bdr w:val="none" w:sz="0" w:space="0" w:color="auto" w:frame="1"/>
            <w:lang w:val="es-ES_tradnl" w:eastAsia="es-CO"/>
            <w14:ligatures w14:val="standardContextual"/>
          </w:rPr>
          <w:t>https://www.colombiacompra.gov.co/clasificador-de-bienes-y-Servicios</w:t>
        </w:r>
      </w:hyperlink>
    </w:p>
    <w:p w14:paraId="4D5F934F" w14:textId="77777777" w:rsidR="00905070" w:rsidRPr="00905070" w:rsidRDefault="00905070" w:rsidP="00905070">
      <w:pPr>
        <w:spacing w:after="0" w:line="276" w:lineRule="auto"/>
        <w:contextualSpacing/>
        <w:jc w:val="both"/>
        <w:rPr>
          <w:rFonts w:ascii="Verdana" w:eastAsia="Calibri" w:hAnsi="Verdana" w:cs="Arial"/>
          <w:lang w:val="es-ES"/>
        </w:rPr>
      </w:pPr>
    </w:p>
    <w:p w14:paraId="66A31849" w14:textId="77777777" w:rsidR="00905070" w:rsidRPr="00905070" w:rsidRDefault="00905070" w:rsidP="00905070">
      <w:pPr>
        <w:numPr>
          <w:ilvl w:val="0"/>
          <w:numId w:val="20"/>
        </w:numPr>
        <w:spacing w:after="0" w:line="276" w:lineRule="auto"/>
        <w:contextualSpacing/>
        <w:jc w:val="both"/>
        <w:rPr>
          <w:rFonts w:ascii="Verdana" w:eastAsia="Calibri" w:hAnsi="Verdana" w:cs="Arial"/>
          <w:lang w:val="es-ES"/>
        </w:rPr>
      </w:pPr>
      <w:r w:rsidRPr="00905070">
        <w:rPr>
          <w:rFonts w:ascii="Verdana" w:eastAsia="Calibri" w:hAnsi="Verdana" w:cs="Arial"/>
          <w:lang w:val="es-ES"/>
        </w:rPr>
        <w:t xml:space="preserve">Adicionalmente, es importante señalar que, las causales de rechazo son las establecidas en la Ley y las fijadas por la Entidad Estatal en los pliegos de condiciones. Sin embargo, en ejercicio de dicha facultad, a las </w:t>
      </w:r>
      <w:r w:rsidRPr="00905070">
        <w:rPr>
          <w:rFonts w:ascii="Verdana" w:eastAsia="Calibri" w:hAnsi="Verdana" w:cs="Arial"/>
          <w:lang w:val="es-ES"/>
        </w:rPr>
        <w:lastRenderedPageBreak/>
        <w:t>entidades no les es dable fijar causales de rechazo que soslayen o afecten la selección objetiva en la contratación. Sobre el particular, el Consejo de Estado</w:t>
      </w:r>
      <w:r w:rsidRPr="00905070">
        <w:rPr>
          <w:rFonts w:ascii="Verdana" w:eastAsia="Calibri" w:hAnsi="Verdana" w:cs="Arial"/>
          <w:vertAlign w:val="superscript"/>
          <w:lang w:val="es-ES"/>
        </w:rPr>
        <w:footnoteReference w:id="12"/>
      </w:r>
      <w:r w:rsidRPr="00905070">
        <w:rPr>
          <w:rFonts w:ascii="Verdana" w:eastAsia="Calibri" w:hAnsi="Verdana" w:cs="Arial"/>
          <w:lang w:val="es-ES"/>
        </w:rPr>
        <w:t xml:space="preserve"> señala:</w:t>
      </w:r>
    </w:p>
    <w:p w14:paraId="19E79984" w14:textId="77777777" w:rsidR="00905070" w:rsidRPr="00905070" w:rsidRDefault="00905070" w:rsidP="00905070">
      <w:pPr>
        <w:spacing w:after="0" w:line="276" w:lineRule="auto"/>
        <w:ind w:left="720"/>
        <w:contextualSpacing/>
        <w:jc w:val="both"/>
        <w:rPr>
          <w:rFonts w:ascii="Verdana" w:eastAsia="Calibri" w:hAnsi="Verdana" w:cs="Arial"/>
          <w:lang w:val="es-ES"/>
        </w:rPr>
      </w:pPr>
    </w:p>
    <w:p w14:paraId="64F90D21" w14:textId="77777777" w:rsidR="00905070" w:rsidRPr="00905070" w:rsidRDefault="00905070" w:rsidP="00905070">
      <w:pPr>
        <w:spacing w:after="0" w:line="240" w:lineRule="auto"/>
        <w:ind w:left="720" w:right="709"/>
        <w:jc w:val="both"/>
        <w:rPr>
          <w:rFonts w:ascii="Verdana" w:eastAsia="Calibri" w:hAnsi="Verdana" w:cs="Arial"/>
          <w:sz w:val="21"/>
          <w:szCs w:val="21"/>
          <w:lang w:val="es-ES"/>
        </w:rPr>
      </w:pPr>
      <w:r w:rsidRPr="00905070">
        <w:rPr>
          <w:rFonts w:ascii="Verdana" w:eastAsia="Calibri" w:hAnsi="Verdana" w:cs="Arial"/>
          <w:sz w:val="21"/>
          <w:szCs w:val="21"/>
          <w:lang w:val="es-ES"/>
        </w:rPr>
        <w:t xml:space="preserve">“Quiere con esto destacar la Sala que las causales de rechazo de las propuestas pueden ser legales y por lo mismo generan el efecto del descarte o exclusión de la oferta </w:t>
      </w:r>
      <w:proofErr w:type="spellStart"/>
      <w:r w:rsidRPr="00905070">
        <w:rPr>
          <w:rFonts w:ascii="Verdana" w:eastAsia="Calibri" w:hAnsi="Verdana" w:cs="Arial"/>
          <w:sz w:val="21"/>
          <w:szCs w:val="21"/>
          <w:lang w:val="es-ES"/>
        </w:rPr>
        <w:t>ope</w:t>
      </w:r>
      <w:proofErr w:type="spellEnd"/>
      <w:r w:rsidRPr="00905070">
        <w:rPr>
          <w:rFonts w:ascii="Verdana" w:eastAsia="Calibri" w:hAnsi="Verdana" w:cs="Arial"/>
          <w:sz w:val="21"/>
          <w:szCs w:val="21"/>
          <w:lang w:val="es-ES"/>
        </w:rPr>
        <w:t xml:space="preserve"> </w:t>
      </w:r>
      <w:proofErr w:type="spellStart"/>
      <w:r w:rsidRPr="00905070">
        <w:rPr>
          <w:rFonts w:ascii="Verdana" w:eastAsia="Calibri" w:hAnsi="Verdana" w:cs="Arial"/>
          <w:sz w:val="21"/>
          <w:szCs w:val="21"/>
          <w:lang w:val="es-ES"/>
        </w:rPr>
        <w:t>legis</w:t>
      </w:r>
      <w:proofErr w:type="spellEnd"/>
      <w:r w:rsidRPr="00905070">
        <w:rPr>
          <w:rFonts w:ascii="Verdana" w:eastAsia="Calibri" w:hAnsi="Verdana" w:cs="Arial"/>
          <w:sz w:val="21"/>
          <w:szCs w:val="21"/>
          <w:lang w:val="es-ES"/>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4179A353" w14:textId="77777777" w:rsidR="00905070" w:rsidRPr="00905070" w:rsidRDefault="00905070" w:rsidP="00905070">
      <w:pPr>
        <w:spacing w:line="276" w:lineRule="auto"/>
        <w:ind w:left="720"/>
        <w:contextualSpacing/>
        <w:jc w:val="both"/>
        <w:rPr>
          <w:rFonts w:ascii="Verdana" w:eastAsia="Calibri" w:hAnsi="Verdana" w:cs="Arial"/>
          <w:lang w:val="es-ES"/>
        </w:rPr>
      </w:pPr>
    </w:p>
    <w:p w14:paraId="727B760D" w14:textId="77777777" w:rsidR="00905070" w:rsidRPr="00905070" w:rsidRDefault="00905070" w:rsidP="00905070">
      <w:pPr>
        <w:numPr>
          <w:ilvl w:val="0"/>
          <w:numId w:val="21"/>
        </w:numPr>
        <w:spacing w:line="276" w:lineRule="auto"/>
        <w:contextualSpacing/>
        <w:jc w:val="both"/>
        <w:rPr>
          <w:rFonts w:ascii="Verdana" w:eastAsia="Calibri" w:hAnsi="Verdana" w:cs="Arial"/>
          <w:lang w:val="es-ES"/>
        </w:rPr>
      </w:pPr>
      <w:r w:rsidRPr="00905070">
        <w:rPr>
          <w:rFonts w:ascii="Verdana" w:eastAsia="Calibri" w:hAnsi="Verdana" w:cs="Arial"/>
          <w:lang w:val="es-ES"/>
        </w:rPr>
        <w:t>De igual forma, esta Agencia ha reiterado la postura del Consejo de Estado, según la cual, por la naturaleza propia de las causales de rechazo, su aplicación es estricta y restrictiva, lo que significa que su interpretación gramatical prevalece sobre una interpretación extensiva o de otra índole, mediante la cual se pretenda ampliar su alcance. Al respecto, el Consejo de Estado</w:t>
      </w:r>
      <w:r w:rsidRPr="00905070">
        <w:rPr>
          <w:rFonts w:ascii="Verdana" w:eastAsia="Calibri" w:hAnsi="Verdana" w:cs="Arial"/>
          <w:vertAlign w:val="superscript"/>
          <w:lang w:val="es-ES"/>
        </w:rPr>
        <w:footnoteReference w:id="13"/>
      </w:r>
      <w:r w:rsidRPr="00905070">
        <w:rPr>
          <w:rFonts w:ascii="Verdana" w:eastAsia="Calibri" w:hAnsi="Verdana" w:cs="Arial"/>
          <w:lang w:val="es-ES"/>
        </w:rPr>
        <w:t xml:space="preserve"> sostuvo: </w:t>
      </w:r>
    </w:p>
    <w:p w14:paraId="056CB4D5" w14:textId="77777777" w:rsidR="00905070" w:rsidRPr="00905070" w:rsidRDefault="00905070" w:rsidP="00905070">
      <w:pPr>
        <w:spacing w:line="276" w:lineRule="auto"/>
        <w:ind w:left="720"/>
        <w:contextualSpacing/>
        <w:jc w:val="both"/>
        <w:rPr>
          <w:rFonts w:ascii="Verdana" w:eastAsia="Calibri" w:hAnsi="Verdana" w:cs="Arial"/>
          <w:lang w:val="es-ES"/>
        </w:rPr>
      </w:pPr>
    </w:p>
    <w:p w14:paraId="3661F645" w14:textId="77777777" w:rsidR="00905070" w:rsidRPr="00905070" w:rsidRDefault="00905070" w:rsidP="00905070">
      <w:pPr>
        <w:spacing w:after="0" w:line="240" w:lineRule="auto"/>
        <w:ind w:left="720" w:right="709"/>
        <w:jc w:val="both"/>
        <w:rPr>
          <w:rFonts w:ascii="Verdana" w:eastAsia="Calibri" w:hAnsi="Verdana" w:cs="Arial"/>
          <w:sz w:val="21"/>
          <w:szCs w:val="21"/>
          <w:lang w:val="es-ES"/>
        </w:rPr>
      </w:pPr>
      <w:r w:rsidRPr="00905070">
        <w:rPr>
          <w:rFonts w:ascii="Verdana" w:eastAsia="Calibri" w:hAnsi="Verdana" w:cs="Arial"/>
          <w:sz w:val="21"/>
          <w:szCs w:val="21"/>
          <w:lang w:val="es-ES"/>
        </w:rPr>
        <w:t xml:space="preserve">“En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w:t>
      </w:r>
      <w:r w:rsidRPr="00905070">
        <w:rPr>
          <w:rFonts w:ascii="Verdana" w:eastAsia="Calibri" w:hAnsi="Verdana" w:cs="Arial"/>
          <w:sz w:val="21"/>
          <w:szCs w:val="21"/>
          <w:lang w:val="es-ES"/>
        </w:rPr>
        <w:lastRenderedPageBreak/>
        <w:t>puesto que la causa excluyente debe ser razonable, esencial y proporcionada, toda vez que no tendría justificación excluir una propuesta por una deficiencia que no tenga incidencia alguna en la contratación.”</w:t>
      </w:r>
    </w:p>
    <w:p w14:paraId="673172F5" w14:textId="77777777" w:rsidR="00905070" w:rsidRPr="00905070" w:rsidRDefault="00905070" w:rsidP="00905070">
      <w:pPr>
        <w:spacing w:after="0" w:line="240" w:lineRule="auto"/>
        <w:ind w:left="720" w:right="709"/>
        <w:jc w:val="both"/>
        <w:rPr>
          <w:rFonts w:ascii="Verdana" w:eastAsia="Calibri" w:hAnsi="Verdana" w:cs="Arial"/>
          <w:lang w:val="es-ES"/>
        </w:rPr>
      </w:pPr>
    </w:p>
    <w:p w14:paraId="6F13FC30" w14:textId="77777777" w:rsidR="00905070" w:rsidRPr="00905070" w:rsidRDefault="00905070" w:rsidP="00905070">
      <w:pPr>
        <w:numPr>
          <w:ilvl w:val="0"/>
          <w:numId w:val="21"/>
        </w:numPr>
        <w:spacing w:after="0" w:line="276" w:lineRule="auto"/>
        <w:ind w:left="714" w:hanging="357"/>
        <w:jc w:val="both"/>
        <w:rPr>
          <w:rFonts w:ascii="Verdana" w:eastAsia="Aptos" w:hAnsi="Verdana" w:cs="Arial"/>
          <w:color w:val="000000"/>
          <w:kern w:val="2"/>
          <w:lang w:val="es-MX" w:eastAsia="en-GB"/>
          <w14:ligatures w14:val="standardContextual"/>
        </w:rPr>
      </w:pPr>
      <w:r w:rsidRPr="00905070">
        <w:rPr>
          <w:rFonts w:ascii="Verdana" w:eastAsia="Aptos" w:hAnsi="Verdana" w:cs="Arial"/>
          <w:color w:val="000000"/>
          <w:kern w:val="2"/>
          <w:lang w:val="es-MX" w:eastAsia="en-GB"/>
          <w14:ligatures w14:val="standardContextual"/>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905070">
        <w:rPr>
          <w:rFonts w:ascii="Aptos" w:eastAsia="Aptos" w:hAnsi="Aptos" w:cs="Times New Roman"/>
          <w:kern w:val="2"/>
          <w:sz w:val="24"/>
          <w:szCs w:val="24"/>
          <w:vertAlign w:val="superscript"/>
          <w:lang w:val="es-MX" w:eastAsia="en-GB"/>
          <w14:ligatures w14:val="standardContextual"/>
        </w:rPr>
        <w:footnoteReference w:id="14"/>
      </w:r>
      <w:r w:rsidRPr="00905070">
        <w:rPr>
          <w:rFonts w:ascii="Verdana" w:eastAsia="Aptos" w:hAnsi="Verdana" w:cs="Arial"/>
          <w:color w:val="000000"/>
          <w:kern w:val="2"/>
          <w:lang w:val="es-MX" w:eastAsia="en-GB"/>
          <w14:ligatures w14:val="standardContextual"/>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905070">
        <w:rPr>
          <w:rFonts w:ascii="Aptos" w:eastAsia="Calibri" w:hAnsi="Aptos" w:cs="Times New Roman"/>
          <w:kern w:val="2"/>
          <w:sz w:val="24"/>
          <w:szCs w:val="24"/>
          <w:vertAlign w:val="superscript"/>
          <w:lang w:val="es-MX" w:eastAsia="en-GB"/>
          <w14:ligatures w14:val="standardContextual"/>
        </w:rPr>
        <w:footnoteReference w:id="15"/>
      </w:r>
      <w:r w:rsidRPr="00905070">
        <w:rPr>
          <w:rFonts w:ascii="Verdana" w:eastAsia="Aptos" w:hAnsi="Verdana" w:cs="Arial"/>
          <w:color w:val="000000"/>
          <w:kern w:val="2"/>
          <w:lang w:val="es-MX" w:eastAsia="en-GB"/>
          <w14:ligatures w14:val="standardContextual"/>
        </w:rPr>
        <w:t>.</w:t>
      </w:r>
    </w:p>
    <w:p w14:paraId="6CBEBFCF" w14:textId="77777777" w:rsidR="00905070" w:rsidRPr="00905070" w:rsidRDefault="00905070" w:rsidP="00905070">
      <w:pPr>
        <w:spacing w:after="0" w:line="276" w:lineRule="auto"/>
        <w:ind w:left="714"/>
        <w:jc w:val="both"/>
        <w:rPr>
          <w:rFonts w:ascii="Verdana" w:eastAsia="Aptos" w:hAnsi="Verdana" w:cs="Arial"/>
          <w:color w:val="000000"/>
          <w:kern w:val="2"/>
          <w:lang w:val="es-MX" w:eastAsia="en-GB"/>
          <w14:ligatures w14:val="standardContextual"/>
        </w:rPr>
      </w:pPr>
    </w:p>
    <w:p w14:paraId="6CD16A7F" w14:textId="77777777" w:rsidR="00905070" w:rsidRPr="00905070" w:rsidRDefault="00905070" w:rsidP="00905070">
      <w:pPr>
        <w:numPr>
          <w:ilvl w:val="0"/>
          <w:numId w:val="21"/>
        </w:numPr>
        <w:spacing w:after="0" w:line="276" w:lineRule="auto"/>
        <w:contextualSpacing/>
        <w:jc w:val="both"/>
        <w:rPr>
          <w:rFonts w:ascii="Verdana" w:eastAsia="Calibri" w:hAnsi="Verdana" w:cs="Arial"/>
          <w:lang w:val="es-ES"/>
        </w:rPr>
      </w:pPr>
      <w:r w:rsidRPr="00905070">
        <w:rPr>
          <w:rFonts w:ascii="Verdana" w:eastAsia="Aptos" w:hAnsi="Verdana" w:cs="Arial"/>
          <w:color w:val="000000"/>
          <w:kern w:val="2"/>
          <w:lang w:val="es-MX" w:eastAsia="en-GB"/>
          <w14:ligatures w14:val="standardContextual"/>
        </w:rPr>
        <w:t>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w:t>
      </w:r>
    </w:p>
    <w:p w14:paraId="38EF858B" w14:textId="77777777" w:rsidR="00905070" w:rsidRPr="00905070" w:rsidRDefault="00905070" w:rsidP="00905070">
      <w:pPr>
        <w:spacing w:line="276" w:lineRule="auto"/>
        <w:ind w:left="720"/>
        <w:contextualSpacing/>
        <w:jc w:val="both"/>
        <w:rPr>
          <w:rFonts w:ascii="Verdana" w:eastAsia="Calibri" w:hAnsi="Verdana" w:cs="Arial"/>
          <w:lang w:val="es-ES"/>
        </w:rPr>
      </w:pPr>
    </w:p>
    <w:p w14:paraId="57E305A1" w14:textId="77777777" w:rsidR="00905070" w:rsidRPr="00905070" w:rsidRDefault="00905070" w:rsidP="00905070">
      <w:pPr>
        <w:numPr>
          <w:ilvl w:val="0"/>
          <w:numId w:val="21"/>
        </w:numPr>
        <w:spacing w:line="276" w:lineRule="auto"/>
        <w:contextualSpacing/>
        <w:jc w:val="both"/>
        <w:rPr>
          <w:rFonts w:ascii="Verdana" w:eastAsia="Calibri" w:hAnsi="Verdana" w:cs="Arial"/>
          <w:lang w:val="es-ES"/>
        </w:rPr>
      </w:pPr>
      <w:r w:rsidRPr="00905070">
        <w:rPr>
          <w:rFonts w:ascii="Verdana" w:eastAsia="Calibri" w:hAnsi="Verdana" w:cs="Arial"/>
          <w:lang w:val="es-ES"/>
        </w:rPr>
        <w:t xml:space="preserve">La Capacidad Residual es un requisito habilitante que está sujeto a la posibilidad de solicitarle aclaración, con el fin de esclarecer dudas sobre aspectos de la información presentada por el proponente y, de igual forma, está sujeto a la posibilidad de subsanar la ausencia de requisitos, siempre que se cumpla con los límites temporales y materiales </w:t>
      </w:r>
      <w:r w:rsidRPr="00905070">
        <w:rPr>
          <w:rFonts w:ascii="Verdana" w:eastAsia="Calibri" w:hAnsi="Verdana" w:cs="Arial"/>
          <w:lang w:val="es-ES"/>
        </w:rPr>
        <w:lastRenderedPageBreak/>
        <w:t xml:space="preserve">establecidos al respecto, es decir, que lo omitido no sea un factor que afecte la asignación de puntaje, que sea la prueba de una circunstancia o hecho que ocurrió con anterioridad al cierre del proceso y que no exista disposición legal o en el pliego de condiciones que prohíba su subsanación. </w:t>
      </w:r>
    </w:p>
    <w:p w14:paraId="3B5BCD0D" w14:textId="77777777" w:rsidR="00905070" w:rsidRPr="00905070" w:rsidRDefault="00905070" w:rsidP="00905070">
      <w:pPr>
        <w:spacing w:line="276" w:lineRule="auto"/>
        <w:ind w:left="720"/>
        <w:contextualSpacing/>
        <w:jc w:val="both"/>
        <w:rPr>
          <w:rFonts w:ascii="Verdana" w:eastAsia="Calibri" w:hAnsi="Verdana" w:cs="Arial"/>
          <w:lang w:val="es-ES"/>
        </w:rPr>
      </w:pPr>
    </w:p>
    <w:p w14:paraId="4BD64436" w14:textId="77777777" w:rsidR="00905070" w:rsidRPr="00905070" w:rsidRDefault="00905070" w:rsidP="00905070">
      <w:pPr>
        <w:numPr>
          <w:ilvl w:val="0"/>
          <w:numId w:val="21"/>
        </w:numPr>
        <w:spacing w:line="276" w:lineRule="auto"/>
        <w:contextualSpacing/>
        <w:jc w:val="both"/>
        <w:rPr>
          <w:rFonts w:ascii="Verdana" w:eastAsia="Calibri" w:hAnsi="Verdana" w:cs="Arial"/>
          <w:lang w:val="es-ES"/>
        </w:rPr>
      </w:pPr>
      <w:r w:rsidRPr="00905070">
        <w:rPr>
          <w:rFonts w:ascii="Verdana" w:eastAsia="Calibri" w:hAnsi="Verdana" w:cs="Arial"/>
          <w:lang w:val="es-ES"/>
        </w:rPr>
        <w:t>El numeral 3.10 del documento base de los documentos tipo de selección abreviada de menor cuantía de obra de infraestructura de transporte – Versión 2, establece como requisito habilitante la capacidad residual. En este documento tipo, al menos tres causales de rechazo del numeral 1.15 se relacionan con la capacidad residual como requisito habilitante, esto es, los literales E, H y AA.</w:t>
      </w:r>
    </w:p>
    <w:p w14:paraId="7603B94F" w14:textId="77777777" w:rsidR="00905070" w:rsidRPr="00905070" w:rsidRDefault="00905070" w:rsidP="00905070">
      <w:pPr>
        <w:ind w:left="720"/>
        <w:contextualSpacing/>
        <w:rPr>
          <w:rFonts w:ascii="Verdana" w:eastAsia="Calibri" w:hAnsi="Verdana" w:cs="Arial"/>
          <w:lang w:val="es-ES"/>
        </w:rPr>
      </w:pPr>
    </w:p>
    <w:p w14:paraId="07E908E8" w14:textId="77777777" w:rsidR="00905070" w:rsidRPr="00905070" w:rsidRDefault="00905070" w:rsidP="00905070">
      <w:pPr>
        <w:numPr>
          <w:ilvl w:val="0"/>
          <w:numId w:val="21"/>
        </w:numPr>
        <w:spacing w:after="0" w:line="276" w:lineRule="auto"/>
        <w:contextualSpacing/>
        <w:jc w:val="both"/>
        <w:rPr>
          <w:rFonts w:ascii="Verdana" w:eastAsia="Calibri" w:hAnsi="Verdana" w:cs="Arial"/>
          <w:lang w:val="es-ES"/>
        </w:rPr>
      </w:pPr>
      <w:r w:rsidRPr="00905070">
        <w:rPr>
          <w:rFonts w:ascii="Verdana" w:eastAsia="Calibri" w:hAnsi="Verdana" w:cs="Arial"/>
          <w:lang w:val="es-ES"/>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120773D7" w14:textId="77777777" w:rsidR="00905070" w:rsidRPr="00905070" w:rsidRDefault="00905070" w:rsidP="00905070">
      <w:pPr>
        <w:spacing w:after="0" w:line="276" w:lineRule="auto"/>
        <w:ind w:left="720"/>
        <w:contextualSpacing/>
        <w:jc w:val="both"/>
        <w:rPr>
          <w:rFonts w:ascii="Verdana" w:eastAsia="Calibri" w:hAnsi="Verdana" w:cs="Arial"/>
          <w:lang w:val="es-ES"/>
        </w:rPr>
      </w:pPr>
    </w:p>
    <w:p w14:paraId="42F3C47D" w14:textId="77777777" w:rsidR="00905070" w:rsidRPr="00905070" w:rsidRDefault="00905070" w:rsidP="00905070">
      <w:pPr>
        <w:numPr>
          <w:ilvl w:val="0"/>
          <w:numId w:val="21"/>
        </w:numPr>
        <w:spacing w:after="0" w:line="276" w:lineRule="auto"/>
        <w:contextualSpacing/>
        <w:jc w:val="both"/>
        <w:rPr>
          <w:rFonts w:ascii="Verdana" w:eastAsia="Calibri" w:hAnsi="Verdana" w:cs="Arial"/>
          <w:lang w:val="es-ES"/>
        </w:rPr>
      </w:pPr>
      <w:r w:rsidRPr="00905070">
        <w:rPr>
          <w:rFonts w:ascii="Verdana" w:eastAsia="Calibri" w:hAnsi="Verdana" w:cs="Arial"/>
          <w:lang w:val="es-ES"/>
        </w:rPr>
        <w:t>i) La causal del literal AA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AA es objetiva, pues solo aplica ante la omisión del proponente de informar el número total de contratos en ejecución antes del cierre.</w:t>
      </w:r>
    </w:p>
    <w:p w14:paraId="1CC5D0E5" w14:textId="77777777" w:rsidR="00905070" w:rsidRPr="00905070" w:rsidRDefault="00905070" w:rsidP="00905070">
      <w:pPr>
        <w:spacing w:after="0" w:line="276" w:lineRule="auto"/>
        <w:ind w:left="720"/>
        <w:contextualSpacing/>
        <w:jc w:val="both"/>
        <w:rPr>
          <w:rFonts w:ascii="Verdana" w:eastAsia="Calibri" w:hAnsi="Verdana" w:cs="Arial"/>
          <w:lang w:val="es-ES"/>
        </w:rPr>
      </w:pPr>
    </w:p>
    <w:p w14:paraId="6BEBA0BA" w14:textId="77777777" w:rsidR="00905070" w:rsidRPr="00905070" w:rsidRDefault="00905070" w:rsidP="00905070">
      <w:pPr>
        <w:numPr>
          <w:ilvl w:val="0"/>
          <w:numId w:val="21"/>
        </w:numPr>
        <w:spacing w:after="0" w:line="276" w:lineRule="auto"/>
        <w:contextualSpacing/>
        <w:jc w:val="both"/>
        <w:rPr>
          <w:rFonts w:ascii="Verdana" w:eastAsia="Calibri" w:hAnsi="Verdana" w:cs="Arial"/>
          <w:lang w:val="es-ES"/>
        </w:rPr>
      </w:pPr>
      <w:r w:rsidRPr="00905070">
        <w:rPr>
          <w:rFonts w:ascii="Verdana" w:eastAsia="Calibri" w:hAnsi="Verdana" w:cs="Arial"/>
          <w:lang w:val="es-ES"/>
        </w:rPr>
        <w:t xml:space="preserve">ii) Lo anterior, sin perjuicio de que para el proponente tenga consecuencias omitir o errar en la información específica de cada contrato </w:t>
      </w:r>
      <w:r w:rsidRPr="00905070">
        <w:rPr>
          <w:rFonts w:ascii="Verdana" w:eastAsia="Calibri" w:hAnsi="Verdana" w:cs="Arial"/>
          <w:lang w:val="es-ES"/>
        </w:rPr>
        <w:lastRenderedPageBreak/>
        <w:t xml:space="preserve">–esto es, la cuantía o el plazo, entre otros–, pues la entidad podrá requerirlo para que aclare la información y, en caso de no responder, rechazar la propuesta por la causal que consagra el literal E del numeral 1.15. </w:t>
      </w:r>
    </w:p>
    <w:p w14:paraId="498200F9" w14:textId="77777777" w:rsidR="00905070" w:rsidRPr="00905070" w:rsidRDefault="00905070" w:rsidP="00905070">
      <w:pPr>
        <w:spacing w:after="0" w:line="276" w:lineRule="auto"/>
        <w:ind w:left="720"/>
        <w:contextualSpacing/>
        <w:jc w:val="both"/>
        <w:rPr>
          <w:rFonts w:ascii="Verdana" w:eastAsia="Calibri" w:hAnsi="Verdana" w:cs="Arial"/>
          <w:lang w:val="es-ES"/>
        </w:rPr>
      </w:pPr>
    </w:p>
    <w:p w14:paraId="1B6C1E9C" w14:textId="77777777" w:rsidR="00905070" w:rsidRPr="00905070" w:rsidRDefault="00905070" w:rsidP="00905070">
      <w:pPr>
        <w:numPr>
          <w:ilvl w:val="0"/>
          <w:numId w:val="21"/>
        </w:numPr>
        <w:spacing w:after="0" w:line="276" w:lineRule="auto"/>
        <w:contextualSpacing/>
        <w:jc w:val="both"/>
        <w:rPr>
          <w:rFonts w:ascii="Verdana" w:eastAsia="Calibri" w:hAnsi="Verdana" w:cs="Arial"/>
          <w:lang w:val="es-ES"/>
        </w:rPr>
      </w:pPr>
      <w:r w:rsidRPr="00905070">
        <w:rPr>
          <w:rFonts w:ascii="Verdana" w:eastAsia="Calibri" w:hAnsi="Verdana" w:cs="Arial"/>
          <w:lang w:val="es-ES"/>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1DDF0B75" w14:textId="77777777" w:rsidR="00905070" w:rsidRPr="00905070" w:rsidRDefault="00905070" w:rsidP="00905070">
      <w:pPr>
        <w:spacing w:after="0" w:line="276" w:lineRule="auto"/>
        <w:ind w:left="720"/>
        <w:contextualSpacing/>
        <w:jc w:val="both"/>
        <w:rPr>
          <w:rFonts w:ascii="Verdana" w:eastAsia="Calibri" w:hAnsi="Verdana" w:cs="Arial"/>
          <w:lang w:val="es-ES"/>
        </w:rPr>
      </w:pPr>
    </w:p>
    <w:p w14:paraId="10C7579B"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AA,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4A788F74" w14:textId="77777777" w:rsidR="00905070" w:rsidRPr="00905070" w:rsidRDefault="00905070" w:rsidP="00905070">
      <w:pPr>
        <w:spacing w:after="0" w:line="276" w:lineRule="auto"/>
        <w:ind w:left="720"/>
        <w:jc w:val="both"/>
        <w:rPr>
          <w:rFonts w:ascii="Verdana" w:eastAsia="Calibri" w:hAnsi="Verdana" w:cs="Arial"/>
          <w:lang w:val="es-ES"/>
        </w:rPr>
      </w:pPr>
    </w:p>
    <w:p w14:paraId="0E242D2F"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Ahora bien, es importante precisar que lo expresado en el párrafo precedente no contradice lo dispuesto en el artículo 5, parágrafo 1, de la Ley 1150 de 2007, adicionado por el artículo 5 de la Ley 1882 de 2018, norma que dispone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w:t>
      </w:r>
    </w:p>
    <w:p w14:paraId="1CE627F6" w14:textId="77777777" w:rsidR="00905070" w:rsidRPr="00905070" w:rsidRDefault="00905070" w:rsidP="00905070">
      <w:pPr>
        <w:spacing w:after="0" w:line="276" w:lineRule="auto"/>
        <w:ind w:left="720"/>
        <w:jc w:val="both"/>
        <w:rPr>
          <w:rFonts w:ascii="Verdana" w:eastAsia="Calibri" w:hAnsi="Verdana" w:cs="Arial"/>
          <w:lang w:val="es-ES"/>
        </w:rPr>
      </w:pPr>
    </w:p>
    <w:p w14:paraId="4497D192"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lastRenderedPageBreak/>
        <w:t>Por lo anterior, aunque la causal de rechazo del literal AA del numeral 1.15 de los documentos tipo se relacionan con la capacidad residual como requisito habilitante, esta se aplica cuando el proponente deja de informar la totalidad de los contratos que tiene en ejecución antes del cierre o no reporta la información de los contratos exigida en el documento base, es decir en el formato, y efectivamente tiene contratos en ejecución omitiendo su información.</w:t>
      </w:r>
    </w:p>
    <w:p w14:paraId="0F4FB9A4" w14:textId="77777777" w:rsidR="00905070" w:rsidRPr="00905070" w:rsidRDefault="00905070" w:rsidP="00905070">
      <w:pPr>
        <w:spacing w:after="0" w:line="276" w:lineRule="auto"/>
        <w:ind w:left="720"/>
        <w:jc w:val="both"/>
        <w:rPr>
          <w:rFonts w:ascii="Verdana" w:eastAsia="Calibri" w:hAnsi="Verdana" w:cs="Arial"/>
          <w:lang w:val="es-ES"/>
        </w:rPr>
      </w:pPr>
      <w:r w:rsidRPr="00905070">
        <w:rPr>
          <w:rFonts w:ascii="Verdana" w:eastAsia="Calibri" w:hAnsi="Verdana" w:cs="Arial"/>
          <w:lang w:val="es-ES"/>
        </w:rPr>
        <w:t xml:space="preserve"> </w:t>
      </w:r>
    </w:p>
    <w:p w14:paraId="009175C4"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w:t>
      </w:r>
      <w:proofErr w:type="spellStart"/>
      <w:r w:rsidRPr="00905070">
        <w:rPr>
          <w:rFonts w:ascii="Verdana" w:eastAsia="Calibri" w:hAnsi="Verdana" w:cs="Arial"/>
          <w:lang w:val="es-ES"/>
        </w:rPr>
        <w:t>causal</w:t>
      </w:r>
      <w:proofErr w:type="spellEnd"/>
      <w:r w:rsidRPr="00905070">
        <w:rPr>
          <w:rFonts w:ascii="Verdana" w:eastAsia="Calibri" w:hAnsi="Verdana" w:cs="Arial"/>
          <w:lang w:val="es-ES"/>
        </w:rPr>
        <w:t xml:space="preserve">. Por ello, si el proponente omite o se equivoca en la información específica de un contrato incluido en el formato respectivo, la entidad podrá requerirlo para que aclare la información y, en caso de no responder, rechazar la propuesta por la causal que consagra el literal E del numeral 1.15. </w:t>
      </w:r>
    </w:p>
    <w:p w14:paraId="675F819E" w14:textId="77777777" w:rsidR="00905070" w:rsidRPr="00905070" w:rsidRDefault="00905070" w:rsidP="00905070">
      <w:pPr>
        <w:spacing w:after="0" w:line="276" w:lineRule="auto"/>
        <w:ind w:left="720"/>
        <w:jc w:val="both"/>
        <w:rPr>
          <w:rFonts w:ascii="Verdana" w:eastAsia="Calibri" w:hAnsi="Verdana" w:cs="Arial"/>
          <w:lang w:val="es-ES"/>
        </w:rPr>
      </w:pPr>
    </w:p>
    <w:p w14:paraId="55FC8B0D"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546F524E" w14:textId="77777777" w:rsidR="00905070" w:rsidRPr="00905070" w:rsidRDefault="00905070" w:rsidP="00905070">
      <w:pPr>
        <w:spacing w:after="0"/>
        <w:ind w:left="720"/>
        <w:rPr>
          <w:rFonts w:ascii="Verdana" w:eastAsia="Calibri" w:hAnsi="Verdana" w:cs="Arial"/>
          <w:lang w:val="es-ES"/>
        </w:rPr>
      </w:pPr>
    </w:p>
    <w:p w14:paraId="4DB55958"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 xml:space="preserve">En relación con la información contractual no incluida que pueda afectar la capacidad residual del proponente, el pliego de condiciones del </w:t>
      </w:r>
      <w:r w:rsidRPr="00905070">
        <w:rPr>
          <w:rFonts w:ascii="Verdana" w:eastAsia="Calibri" w:hAnsi="Verdana" w:cs="Arial"/>
          <w:lang w:val="es-ES"/>
        </w:rPr>
        <w:lastRenderedPageBreak/>
        <w:t>“Documento Tipo – Versión 2” de selección abreviada de menor cuantía de infraestructura de transporte estableció una regla especial en el numeral 3.10.</w:t>
      </w:r>
    </w:p>
    <w:p w14:paraId="41316B19" w14:textId="77777777" w:rsidR="00905070" w:rsidRPr="00905070" w:rsidRDefault="00905070" w:rsidP="00905070">
      <w:pPr>
        <w:spacing w:after="0" w:line="276" w:lineRule="auto"/>
        <w:ind w:left="720"/>
        <w:jc w:val="both"/>
        <w:rPr>
          <w:rFonts w:ascii="Verdana" w:eastAsia="Calibri" w:hAnsi="Verdana" w:cs="Arial"/>
          <w:lang w:val="es-ES"/>
        </w:rPr>
      </w:pPr>
    </w:p>
    <w:p w14:paraId="1FE667AA"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De conformidad con esta regla, el rechazo de la oferta procede cuando en ejercicio de la potestad verificadora se advierta que luego de agotar la posibilidad de subsanación o aclaración el proponente dejó de incluir información que afecta la capacidad,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“Que el Proponente aporte información inexacta sobre la cual pueda existir una posible falsedad en los términos de la sección 1.11”.</w:t>
      </w:r>
    </w:p>
    <w:p w14:paraId="6523A678" w14:textId="77777777" w:rsidR="00905070" w:rsidRPr="00905070" w:rsidRDefault="00905070" w:rsidP="00905070">
      <w:pPr>
        <w:spacing w:after="0" w:line="276" w:lineRule="auto"/>
        <w:ind w:left="720"/>
        <w:jc w:val="both"/>
        <w:rPr>
          <w:rFonts w:ascii="Verdana" w:eastAsia="Calibri" w:hAnsi="Verdana" w:cs="Arial"/>
          <w:lang w:val="es-ES"/>
        </w:rPr>
      </w:pPr>
    </w:p>
    <w:p w14:paraId="23B62EE6" w14:textId="77777777" w:rsidR="00905070" w:rsidRPr="00905070" w:rsidRDefault="00905070" w:rsidP="00905070">
      <w:pPr>
        <w:numPr>
          <w:ilvl w:val="0"/>
          <w:numId w:val="21"/>
        </w:numPr>
        <w:spacing w:after="0" w:line="276" w:lineRule="auto"/>
        <w:jc w:val="both"/>
        <w:rPr>
          <w:rFonts w:ascii="Verdana" w:eastAsia="Calibri" w:hAnsi="Verdana" w:cs="Arial"/>
          <w:lang w:val="es-ES"/>
        </w:rPr>
      </w:pPr>
      <w:r w:rsidRPr="00905070">
        <w:rPr>
          <w:rFonts w:ascii="Verdana" w:eastAsia="Calibri" w:hAnsi="Verdana" w:cs="Arial"/>
          <w:lang w:val="es-ES"/>
        </w:rPr>
        <w:t>En todo caso, resulta pertinente mencionar que, debe ser la Entidad Estatal quien determine si alguno de los supuestos de hecho contenidos en las causales de rechazo contenidas del numeral 1.15 del Documento Base de los “Documentos Tipo – Versión 2”, aplican frente a cada situación particular.</w:t>
      </w:r>
    </w:p>
    <w:p w14:paraId="1F31F736" w14:textId="77777777" w:rsidR="00905070" w:rsidRPr="00905070" w:rsidRDefault="00905070" w:rsidP="00905070">
      <w:pPr>
        <w:spacing w:after="0" w:line="278" w:lineRule="auto"/>
        <w:ind w:left="720"/>
        <w:rPr>
          <w:rFonts w:ascii="Verdana" w:eastAsia="Calibri" w:hAnsi="Verdana" w:cs="Arial"/>
          <w:lang w:val="es-ES"/>
        </w:rPr>
      </w:pPr>
    </w:p>
    <w:p w14:paraId="5AE59B4C" w14:textId="77777777" w:rsidR="00905070" w:rsidRPr="00905070" w:rsidRDefault="00905070" w:rsidP="00905070">
      <w:pPr>
        <w:numPr>
          <w:ilvl w:val="0"/>
          <w:numId w:val="21"/>
        </w:numPr>
        <w:spacing w:after="0" w:line="276" w:lineRule="auto"/>
        <w:jc w:val="both"/>
        <w:rPr>
          <w:rFonts w:ascii="Verdana" w:eastAsia="Times New Roman" w:hAnsi="Verdana" w:cs="Arial"/>
          <w:kern w:val="2"/>
          <w:lang w:val="es-ES_tradnl" w:eastAsia="es-ES_tradnl"/>
          <w14:ligatures w14:val="standardContextual"/>
        </w:rPr>
      </w:pPr>
      <w:r w:rsidRPr="00905070">
        <w:rPr>
          <w:rFonts w:ascii="Verdana" w:eastAsia="Times New Roman" w:hAnsi="Verdana" w:cs="Arial"/>
          <w:kern w:val="2"/>
          <w:lang w:val="es-ES_tradnl" w:eastAsia="es-ES_tradnl"/>
          <w14:ligatures w14:val="standardContextual"/>
        </w:rPr>
        <w:t xml:space="preserve">Finalmente, es importante señalar que, 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58393CB" w14:textId="77777777" w:rsidR="00905070" w:rsidRPr="00905070" w:rsidRDefault="00905070" w:rsidP="00905070">
      <w:pPr>
        <w:spacing w:after="0" w:line="276" w:lineRule="auto"/>
        <w:jc w:val="both"/>
        <w:rPr>
          <w:rFonts w:ascii="Verdana" w:eastAsia="Times New Roman" w:hAnsi="Verdana" w:cs="Arial"/>
          <w:kern w:val="2"/>
          <w:lang w:val="es-ES_tradnl" w:eastAsia="es-ES_tradnl"/>
          <w14:ligatures w14:val="standardContextual"/>
        </w:rPr>
      </w:pPr>
    </w:p>
    <w:p w14:paraId="13C99CC7" w14:textId="77777777" w:rsidR="00905070" w:rsidRPr="00905070" w:rsidRDefault="00905070" w:rsidP="00905070">
      <w:pPr>
        <w:numPr>
          <w:ilvl w:val="0"/>
          <w:numId w:val="21"/>
        </w:numPr>
        <w:spacing w:after="0" w:line="276" w:lineRule="auto"/>
        <w:jc w:val="both"/>
        <w:rPr>
          <w:rFonts w:ascii="Verdana" w:eastAsia="Times New Roman" w:hAnsi="Verdana" w:cs="Arial"/>
          <w:kern w:val="2"/>
          <w:lang w:val="es-ES" w:eastAsia="es-ES"/>
          <w14:ligatures w14:val="standardContextual"/>
        </w:rPr>
      </w:pPr>
      <w:r w:rsidRPr="00905070">
        <w:rPr>
          <w:rFonts w:ascii="Verdana" w:eastAsia="Times New Roman" w:hAnsi="Verdana" w:cs="Arial"/>
          <w:kern w:val="2"/>
          <w:lang w:val="es-ES" w:eastAsia="es-ES"/>
          <w14:ligatures w14:val="standardContextual"/>
        </w:rPr>
        <w:t xml:space="preserve">Un mejor entendimiento del significado de la expresión </w:t>
      </w:r>
      <w:r w:rsidRPr="00905070">
        <w:rPr>
          <w:rFonts w:ascii="Verdana" w:eastAsia="Times New Roman" w:hAnsi="Verdana" w:cs="Arial"/>
          <w:i/>
          <w:kern w:val="2"/>
          <w:lang w:val="es-ES" w:eastAsia="es-ES"/>
          <w14:ligatures w14:val="standardContextual"/>
        </w:rPr>
        <w:t>“circunstancias ocurridas con posterioridad al cierre del proceso”</w:t>
      </w:r>
      <w:r w:rsidRPr="00905070">
        <w:rPr>
          <w:rFonts w:ascii="Verdana" w:eastAsia="Times New Roman" w:hAnsi="Verdana" w:cs="Arial"/>
          <w:kern w:val="2"/>
          <w:lang w:val="es-ES" w:eastAsia="es-ES"/>
          <w14:ligatures w14:val="standardContextual"/>
        </w:rPr>
        <w:t xml:space="preserve"> implica distinguir entre la prueba de un hecho y el hecho mismo. En el caso de la subsanabilidad </w:t>
      </w:r>
      <w:r w:rsidRPr="00905070">
        <w:rPr>
          <w:rFonts w:ascii="Verdana" w:eastAsia="Times New Roman" w:hAnsi="Verdana" w:cs="Arial"/>
          <w:kern w:val="2"/>
          <w:lang w:val="es-ES" w:eastAsia="es-ES"/>
          <w14:ligatures w14:val="standardContextual"/>
        </w:rPr>
        <w:lastRenderedPageBreak/>
        <w:t>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905070">
        <w:rPr>
          <w:rFonts w:ascii="Verdana" w:eastAsia="Aptos" w:hAnsi="Verdana" w:cs="Times New Roman"/>
          <w:kern w:val="2"/>
          <w:vertAlign w:val="superscript"/>
          <w:lang w:val="es-ES" w:eastAsia="es-ES"/>
          <w14:ligatures w14:val="standardContextual"/>
        </w:rPr>
        <w:footnoteReference w:id="16"/>
      </w:r>
      <w:r w:rsidRPr="00905070">
        <w:rPr>
          <w:rFonts w:ascii="Verdana" w:eastAsia="Times New Roman" w:hAnsi="Verdana" w:cs="Arial"/>
          <w:kern w:val="2"/>
          <w:lang w:val="es-ES" w:eastAsia="es-ES"/>
          <w14:ligatures w14:val="standardContextual"/>
        </w:rPr>
        <w:t xml:space="preserve">. </w:t>
      </w:r>
    </w:p>
    <w:p w14:paraId="38904374" w14:textId="77777777" w:rsidR="00905070" w:rsidRPr="00905070" w:rsidRDefault="00905070" w:rsidP="00905070">
      <w:pPr>
        <w:spacing w:after="0" w:line="276" w:lineRule="auto"/>
        <w:jc w:val="both"/>
        <w:rPr>
          <w:rFonts w:ascii="Verdana" w:eastAsia="Times New Roman" w:hAnsi="Verdana" w:cs="Arial"/>
          <w:kern w:val="2"/>
          <w:lang w:val="es-ES" w:eastAsia="es-ES"/>
          <w14:ligatures w14:val="standardContextual"/>
        </w:rPr>
      </w:pPr>
    </w:p>
    <w:p w14:paraId="117885B8" w14:textId="77777777" w:rsidR="00905070" w:rsidRPr="00905070" w:rsidRDefault="00905070" w:rsidP="00905070">
      <w:pPr>
        <w:numPr>
          <w:ilvl w:val="0"/>
          <w:numId w:val="21"/>
        </w:numPr>
        <w:spacing w:after="0" w:line="276" w:lineRule="auto"/>
        <w:jc w:val="both"/>
        <w:rPr>
          <w:rFonts w:ascii="Verdana" w:eastAsia="Times New Roman" w:hAnsi="Verdana" w:cs="Arial"/>
          <w:kern w:val="2"/>
          <w:lang w:val="es-ES" w:eastAsia="es-ES"/>
          <w14:ligatures w14:val="standardContextual"/>
        </w:rPr>
      </w:pPr>
      <w:r w:rsidRPr="00905070">
        <w:rPr>
          <w:rFonts w:ascii="Verdana" w:eastAsia="Times New Roman" w:hAnsi="Verdana" w:cs="Arial"/>
          <w:kern w:val="2"/>
          <w:lang w:val="es-ES" w:eastAsia="es-ES"/>
          <w14:ligatures w14:val="standardContextua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w:t>
      </w:r>
      <w:proofErr w:type="spellStart"/>
      <w:r w:rsidRPr="00905070">
        <w:rPr>
          <w:rFonts w:ascii="Verdana" w:eastAsia="Times New Roman" w:hAnsi="Verdana" w:cs="Arial"/>
          <w:kern w:val="2"/>
          <w:lang w:val="es-ES" w:eastAsia="es-ES"/>
          <w14:ligatures w14:val="standardContextual"/>
        </w:rPr>
        <w:t>esta</w:t>
      </w:r>
      <w:proofErr w:type="spellEnd"/>
      <w:r w:rsidRPr="00905070">
        <w:rPr>
          <w:rFonts w:ascii="Verdana" w:eastAsia="Times New Roman" w:hAnsi="Verdana" w:cs="Arial"/>
          <w:kern w:val="2"/>
          <w:lang w:val="es-ES" w:eastAsia="es-ES"/>
          <w14:ligatures w14:val="standardContextual"/>
        </w:rPr>
        <w:t xml:space="preserve">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905070">
        <w:rPr>
          <w:rFonts w:ascii="Verdana" w:eastAsia="Aptos" w:hAnsi="Verdana" w:cs="Times New Roman"/>
          <w:kern w:val="2"/>
          <w:vertAlign w:val="superscript"/>
          <w:lang w:val="es-ES" w:eastAsia="es-ES"/>
          <w14:ligatures w14:val="standardContextual"/>
        </w:rPr>
        <w:footnoteReference w:id="17"/>
      </w:r>
      <w:r w:rsidRPr="00905070">
        <w:rPr>
          <w:rFonts w:ascii="Verdana" w:eastAsia="Times New Roman" w:hAnsi="Verdana" w:cs="Arial"/>
          <w:kern w:val="2"/>
          <w:lang w:val="es-ES" w:eastAsia="es-ES"/>
          <w14:ligatures w14:val="standardContextual"/>
        </w:rPr>
        <w:t>; iii) si un oferente no anexó el certificado de existencia y representación legal, el documento aportado con posterioridad debe dar cuenta de que la sociedad existía antes del cierre del proceso</w:t>
      </w:r>
      <w:r w:rsidRPr="00905070">
        <w:rPr>
          <w:rFonts w:ascii="Verdana" w:eastAsia="Aptos" w:hAnsi="Verdana" w:cs="Times New Roman"/>
          <w:kern w:val="2"/>
          <w:vertAlign w:val="superscript"/>
          <w:lang w:val="es-ES" w:eastAsia="es-ES"/>
          <w14:ligatures w14:val="standardContextual"/>
        </w:rPr>
        <w:footnoteReference w:id="18"/>
      </w:r>
      <w:r w:rsidRPr="00905070">
        <w:rPr>
          <w:rFonts w:ascii="Verdana" w:eastAsia="Times New Roman" w:hAnsi="Verdana" w:cs="Arial"/>
          <w:kern w:val="2"/>
          <w:lang w:val="es-ES" w:eastAsia="es-ES"/>
          <w14:ligatures w14:val="standardContextual"/>
        </w:rPr>
        <w:t xml:space="preserve">; </w:t>
      </w:r>
      <w:proofErr w:type="spellStart"/>
      <w:r w:rsidRPr="00905070">
        <w:rPr>
          <w:rFonts w:ascii="Verdana" w:eastAsia="Times New Roman" w:hAnsi="Verdana" w:cs="Arial"/>
          <w:kern w:val="2"/>
          <w:lang w:val="es-ES" w:eastAsia="es-ES"/>
          <w14:ligatures w14:val="standardContextual"/>
        </w:rPr>
        <w:t>iv</w:t>
      </w:r>
      <w:proofErr w:type="spellEnd"/>
      <w:r w:rsidRPr="00905070">
        <w:rPr>
          <w:rFonts w:ascii="Verdana" w:eastAsia="Times New Roman" w:hAnsi="Verdana" w:cs="Arial"/>
          <w:kern w:val="2"/>
          <w:lang w:val="es-ES" w:eastAsia="es-ES"/>
          <w14:ligatures w14:val="standardContextual"/>
        </w:rPr>
        <w:t xml:space="preserve">) si un oferente olvidó adjuntar un certificado que demuestra un título universitario, el documento, aunque tenga fecha posterior al cierre del </w:t>
      </w:r>
      <w:r w:rsidRPr="00905070">
        <w:rPr>
          <w:rFonts w:ascii="Verdana" w:eastAsia="Times New Roman" w:hAnsi="Verdana" w:cs="Arial"/>
          <w:kern w:val="2"/>
          <w:lang w:val="es-ES" w:eastAsia="es-ES"/>
          <w14:ligatures w14:val="standardContextual"/>
        </w:rPr>
        <w:lastRenderedPageBreak/>
        <w:t xml:space="preserve">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57AEAFBF" w14:textId="77777777" w:rsidR="00905070" w:rsidRPr="00905070" w:rsidRDefault="00905070" w:rsidP="00905070">
      <w:pPr>
        <w:spacing w:after="0" w:line="276" w:lineRule="auto"/>
        <w:ind w:left="720"/>
        <w:jc w:val="both"/>
        <w:rPr>
          <w:rFonts w:ascii="Verdana" w:eastAsia="Times New Roman" w:hAnsi="Verdana" w:cs="Arial"/>
          <w:kern w:val="2"/>
          <w:lang w:val="es-ES" w:eastAsia="es-ES"/>
          <w14:ligatures w14:val="standardContextual"/>
        </w:rPr>
      </w:pPr>
    </w:p>
    <w:p w14:paraId="63990C4C" w14:textId="77777777" w:rsidR="00905070" w:rsidRPr="00905070" w:rsidRDefault="00905070" w:rsidP="00905070">
      <w:pPr>
        <w:numPr>
          <w:ilvl w:val="0"/>
          <w:numId w:val="21"/>
        </w:numPr>
        <w:spacing w:after="0" w:line="276" w:lineRule="auto"/>
        <w:jc w:val="both"/>
        <w:rPr>
          <w:rFonts w:ascii="Verdana" w:eastAsia="Times New Roman" w:hAnsi="Verdana" w:cs="Arial"/>
          <w:i/>
          <w:kern w:val="2"/>
          <w:lang w:val="es-ES" w:eastAsia="es-ES"/>
          <w14:ligatures w14:val="standardContextual"/>
        </w:rPr>
      </w:pPr>
      <w:r w:rsidRPr="00905070">
        <w:rPr>
          <w:rFonts w:ascii="Verdana" w:eastAsia="Times New Roman" w:hAnsi="Verdana" w:cs="Arial"/>
          <w:kern w:val="2"/>
          <w:lang w:val="es-ES" w:eastAsia="es-ES"/>
          <w14:ligatures w14:val="standardContextua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w:t>
      </w:r>
      <w:proofErr w:type="spellStart"/>
      <w:proofErr w:type="gramStart"/>
      <w:r w:rsidRPr="00905070">
        <w:rPr>
          <w:rFonts w:ascii="Verdana" w:eastAsia="Times New Roman" w:hAnsi="Verdana" w:cs="Arial"/>
          <w:kern w:val="2"/>
          <w:lang w:val="es-ES" w:eastAsia="es-ES"/>
          <w14:ligatures w14:val="standardContextual"/>
        </w:rPr>
        <w:t>que”lo</w:t>
      </w:r>
      <w:proofErr w:type="spellEnd"/>
      <w:proofErr w:type="gramEnd"/>
      <w:r w:rsidRPr="00905070">
        <w:rPr>
          <w:rFonts w:ascii="Verdana" w:eastAsia="Times New Roman" w:hAnsi="Verdana" w:cs="Arial"/>
          <w:kern w:val="2"/>
          <w:lang w:val="es-ES" w:eastAsia="es-ES"/>
          <w14:ligatures w14:val="standardContextual"/>
        </w:rPr>
        <w:t xml:space="preserve">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905070">
        <w:rPr>
          <w:rFonts w:ascii="Verdana" w:eastAsia="Aptos" w:hAnsi="Verdana" w:cs="Times New Roman"/>
          <w:kern w:val="2"/>
          <w:vertAlign w:val="superscript"/>
          <w:lang w:val="es-ES" w:eastAsia="es-ES"/>
          <w14:ligatures w14:val="standardContextual"/>
        </w:rPr>
        <w:footnoteReference w:id="19"/>
      </w:r>
      <w:r w:rsidRPr="00905070">
        <w:rPr>
          <w:rFonts w:ascii="Verdana" w:eastAsia="Times New Roman" w:hAnsi="Verdana" w:cs="Arial"/>
          <w:kern w:val="2"/>
          <w:lang w:val="es-ES" w:eastAsia="es-ES"/>
          <w14:ligatures w14:val="standardContextual"/>
        </w:rPr>
        <w:t>.</w:t>
      </w:r>
    </w:p>
    <w:p w14:paraId="0179BE9E" w14:textId="77777777" w:rsidR="00905070" w:rsidRPr="00905070" w:rsidRDefault="00905070" w:rsidP="00905070">
      <w:pPr>
        <w:spacing w:after="0" w:line="276" w:lineRule="auto"/>
        <w:jc w:val="both"/>
        <w:rPr>
          <w:rFonts w:ascii="Verdana" w:eastAsia="Times New Roman" w:hAnsi="Verdana" w:cs="Arial"/>
          <w:i/>
          <w:kern w:val="2"/>
          <w:lang w:val="es-ES" w:eastAsia="es-ES"/>
          <w14:ligatures w14:val="standardContextual"/>
        </w:rPr>
      </w:pPr>
    </w:p>
    <w:p w14:paraId="3692624E" w14:textId="77777777" w:rsidR="00905070" w:rsidRPr="00905070" w:rsidRDefault="00905070" w:rsidP="00905070">
      <w:pPr>
        <w:numPr>
          <w:ilvl w:val="0"/>
          <w:numId w:val="21"/>
        </w:numPr>
        <w:spacing w:after="0" w:line="276" w:lineRule="auto"/>
        <w:jc w:val="both"/>
        <w:rPr>
          <w:rFonts w:ascii="Verdana" w:eastAsia="Aptos" w:hAnsi="Verdana" w:cs="Arial"/>
          <w:color w:val="000000"/>
          <w:kern w:val="2"/>
          <w14:ligatures w14:val="standardContextual"/>
        </w:rPr>
      </w:pPr>
      <w:r w:rsidRPr="00905070">
        <w:rPr>
          <w:rFonts w:ascii="Verdana" w:eastAsia="Times New Roman" w:hAnsi="Verdana" w:cs="Arial"/>
          <w:iCs/>
          <w:kern w:val="2"/>
          <w:lang w:val="es-ES" w:eastAsia="es-ES"/>
          <w14:ligatures w14:val="standardContextual"/>
        </w:rPr>
        <w:t>Ahora bien,</w:t>
      </w:r>
      <w:r w:rsidRPr="00905070">
        <w:rPr>
          <w:rFonts w:ascii="Verdana" w:eastAsia="Times New Roman" w:hAnsi="Verdana" w:cs="Arial"/>
          <w:i/>
          <w:kern w:val="2"/>
          <w:lang w:val="es-ES" w:eastAsia="es-ES"/>
          <w14:ligatures w14:val="standardContextual"/>
        </w:rPr>
        <w:t xml:space="preserve"> e</w:t>
      </w:r>
      <w:r w:rsidRPr="00905070">
        <w:rPr>
          <w:rFonts w:ascii="Verdana" w:eastAsia="Aptos" w:hAnsi="Verdana" w:cs="Arial"/>
          <w:color w:val="000000"/>
          <w:kern w:val="2"/>
          <w:lang w:val="es-ES"/>
          <w14:ligatures w14:val="standardContextual"/>
        </w:rPr>
        <w:t>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r w:rsidRPr="00905070">
        <w:rPr>
          <w:rFonts w:ascii="Verdana" w:eastAsia="Aptos" w:hAnsi="Verdana" w:cs="Arial"/>
          <w:color w:val="000000"/>
          <w:kern w:val="2"/>
          <w14:ligatures w14:val="standardContextual"/>
        </w:rPr>
        <w:t> </w:t>
      </w:r>
    </w:p>
    <w:p w14:paraId="28D218F0" w14:textId="77777777" w:rsidR="00905070" w:rsidRPr="00905070" w:rsidRDefault="00905070" w:rsidP="00905070">
      <w:pPr>
        <w:spacing w:after="0" w:line="276" w:lineRule="auto"/>
        <w:jc w:val="both"/>
        <w:rPr>
          <w:rFonts w:ascii="Verdana" w:eastAsia="Aptos" w:hAnsi="Verdana" w:cs="Arial"/>
          <w:color w:val="000000"/>
          <w:kern w:val="2"/>
          <w14:ligatures w14:val="standardContextual"/>
        </w:rPr>
      </w:pPr>
    </w:p>
    <w:p w14:paraId="1F1382E2" w14:textId="77777777" w:rsidR="00905070" w:rsidRPr="00905070" w:rsidRDefault="00905070" w:rsidP="00905070">
      <w:pPr>
        <w:numPr>
          <w:ilvl w:val="0"/>
          <w:numId w:val="21"/>
        </w:numPr>
        <w:spacing w:after="0" w:line="276" w:lineRule="auto"/>
        <w:jc w:val="both"/>
        <w:rPr>
          <w:rFonts w:ascii="Verdana" w:eastAsia="Times New Roman" w:hAnsi="Verdana" w:cs="Arial"/>
          <w:kern w:val="2"/>
          <w:lang w:val="es-ES" w:eastAsia="es-ES"/>
          <w14:ligatures w14:val="standardContextual"/>
        </w:rPr>
      </w:pPr>
      <w:r w:rsidRPr="00905070">
        <w:rPr>
          <w:rFonts w:ascii="Verdana" w:eastAsia="Times New Roman" w:hAnsi="Verdana" w:cs="Arial"/>
          <w:kern w:val="2"/>
          <w:lang w:val="es-ES" w:eastAsia="es-ES"/>
          <w14:ligatures w14:val="standardContextual"/>
        </w:rPr>
        <w:t xml:space="preserve">Visto lo anterior, debe decirse que,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w:t>
      </w:r>
      <w:r w:rsidRPr="00905070">
        <w:rPr>
          <w:rFonts w:ascii="Verdana" w:eastAsia="Times New Roman" w:hAnsi="Verdana" w:cs="Arial"/>
          <w:kern w:val="2"/>
          <w:lang w:val="es-ES" w:eastAsia="es-ES"/>
          <w14:ligatures w14:val="standardContextual"/>
        </w:rPr>
        <w:lastRenderedPageBreak/>
        <w:t>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4A90EDD2" w14:textId="77777777" w:rsidR="00905070" w:rsidRPr="00905070" w:rsidRDefault="00905070" w:rsidP="00905070">
      <w:pPr>
        <w:spacing w:after="0" w:line="276" w:lineRule="auto"/>
        <w:jc w:val="both"/>
        <w:rPr>
          <w:rFonts w:ascii="Verdana" w:eastAsia="Times New Roman" w:hAnsi="Verdana" w:cs="Arial"/>
          <w:kern w:val="2"/>
          <w:lang w:val="es-ES" w:eastAsia="es-ES"/>
          <w14:ligatures w14:val="standardContextual"/>
        </w:rPr>
      </w:pPr>
    </w:p>
    <w:p w14:paraId="35006356" w14:textId="77777777" w:rsidR="00905070" w:rsidRPr="00905070" w:rsidRDefault="00905070" w:rsidP="00905070">
      <w:pPr>
        <w:numPr>
          <w:ilvl w:val="0"/>
          <w:numId w:val="21"/>
        </w:numPr>
        <w:spacing w:after="0" w:line="276" w:lineRule="auto"/>
        <w:jc w:val="both"/>
        <w:rPr>
          <w:rFonts w:ascii="Verdana" w:eastAsia="Aptos" w:hAnsi="Verdana" w:cs="Arial"/>
          <w:noProof/>
          <w:kern w:val="2"/>
          <w:lang w:val="es-ES_tradnl"/>
          <w14:ligatures w14:val="standardContextual"/>
        </w:rPr>
      </w:pPr>
      <w:r w:rsidRPr="00905070">
        <w:rPr>
          <w:rFonts w:ascii="Verdana" w:eastAsia="Aptos" w:hAnsi="Verdana" w:cs="Arial"/>
          <w:noProof/>
          <w:kern w:val="2"/>
          <w:lang w:val="es-ES_tradnl"/>
          <w14:ligatures w14:val="standardContextual"/>
        </w:rPr>
        <w:t>En conclusion, los requisitos o documentos que no sean necesarios para la comparación de las ofertas pueden subsanarse y todo lo que no sea necesario para la comparación de propuestas no es título suficiente para su rechazo.</w:t>
      </w:r>
    </w:p>
    <w:p w14:paraId="6AEFB01C" w14:textId="77777777" w:rsidR="00905070" w:rsidRPr="00905070" w:rsidRDefault="00905070" w:rsidP="00905070">
      <w:pPr>
        <w:spacing w:after="0" w:line="276" w:lineRule="auto"/>
        <w:ind w:left="720"/>
        <w:jc w:val="both"/>
        <w:rPr>
          <w:rFonts w:ascii="Verdana" w:eastAsia="Aptos" w:hAnsi="Verdana" w:cs="Arial"/>
          <w:noProof/>
          <w:kern w:val="2"/>
          <w:lang w:val="es-ES_tradnl"/>
          <w14:ligatures w14:val="standardContextual"/>
        </w:rPr>
      </w:pPr>
    </w:p>
    <w:p w14:paraId="08440229" w14:textId="77777777" w:rsidR="00905070" w:rsidRPr="00905070" w:rsidRDefault="00905070" w:rsidP="00905070">
      <w:pPr>
        <w:numPr>
          <w:ilvl w:val="0"/>
          <w:numId w:val="21"/>
        </w:numPr>
        <w:spacing w:after="0" w:line="276" w:lineRule="auto"/>
        <w:ind w:left="714" w:hanging="357"/>
        <w:jc w:val="both"/>
        <w:rPr>
          <w:rFonts w:ascii="Verdana" w:eastAsia="Aptos" w:hAnsi="Verdana" w:cs="Arial"/>
          <w:noProof/>
          <w:kern w:val="2"/>
          <w:lang w:val="es-ES_tradnl"/>
          <w14:ligatures w14:val="standardContextual"/>
        </w:rPr>
      </w:pPr>
      <w:r w:rsidRPr="00905070">
        <w:rPr>
          <w:rFonts w:ascii="Verdana" w:eastAsia="Aptos" w:hAnsi="Verdana" w:cs="Arial"/>
          <w:noProof/>
          <w:kern w:val="2"/>
          <w:lang w:val="es-ES_tradnl"/>
          <w14:ligatures w14:val="standardContextua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14:paraId="3413863C" w14:textId="77777777" w:rsidR="00905070" w:rsidRPr="00905070" w:rsidRDefault="00905070" w:rsidP="00905070">
      <w:pPr>
        <w:spacing w:after="0" w:line="276" w:lineRule="auto"/>
        <w:ind w:left="714"/>
        <w:jc w:val="both"/>
        <w:rPr>
          <w:rFonts w:ascii="Verdana" w:eastAsia="Aptos" w:hAnsi="Verdana" w:cs="Arial"/>
          <w:noProof/>
          <w:kern w:val="2"/>
          <w:lang w:val="es-ES_tradnl"/>
          <w14:ligatures w14:val="standardContextual"/>
        </w:rPr>
      </w:pPr>
    </w:p>
    <w:p w14:paraId="6C116D22" w14:textId="77777777" w:rsidR="00905070" w:rsidRPr="00905070" w:rsidRDefault="00905070" w:rsidP="00905070">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05070">
        <w:rPr>
          <w:rFonts w:ascii="Verdana" w:eastAsia="Century Gothic" w:hAnsi="Verdana" w:cs="Century Gothic"/>
          <w:b/>
          <w:bCs/>
          <w:lang w:val="es-ES"/>
        </w:rPr>
        <w:t>Referencias normativas, jurisprudenciales y otras fuentes:</w:t>
      </w:r>
    </w:p>
    <w:p w14:paraId="73949A2C" w14:textId="77777777" w:rsidR="00905070" w:rsidRPr="00905070" w:rsidRDefault="00905070" w:rsidP="00905070">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905070" w:rsidRPr="00905070" w14:paraId="00507526" w14:textId="77777777">
        <w:trPr>
          <w:trHeight w:val="870"/>
        </w:trPr>
        <w:tc>
          <w:tcPr>
            <w:tcW w:w="8647" w:type="dxa"/>
          </w:tcPr>
          <w:p w14:paraId="26EB8EAF"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Ley 2022 de 2020, artículo 1.</w:t>
            </w:r>
          </w:p>
          <w:p w14:paraId="35CD9D6D"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Ley 1150 de 2007, artículos 5 y 6.</w:t>
            </w:r>
          </w:p>
          <w:p w14:paraId="2C1D2DE0"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Ley 1882 de 2015, artículo 5.</w:t>
            </w:r>
          </w:p>
          <w:p w14:paraId="7675A497"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 xml:space="preserve">Decreto 1082 de 2015, artículos </w:t>
            </w:r>
            <w:r w:rsidRPr="00905070">
              <w:rPr>
                <w:rFonts w:ascii="Verdana" w:eastAsia="Aptos" w:hAnsi="Verdana" w:cs="Arial"/>
                <w:lang w:val="es-ES_tradnl"/>
              </w:rPr>
              <w:t>2.2.1.1.1.6.2, 2.2.1.1.1.5.3., 2.2.1.1.1.3.1, 2.2.1.1.1.5.2 y 2.2.1.1.2.1.3.</w:t>
            </w:r>
          </w:p>
          <w:p w14:paraId="1A383A3B"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 xml:space="preserve">Documentos tipo de selección abreviada de menor cuantía de obra pública de infraestructura de transporte – Versión 2. Disponibles en: </w:t>
            </w:r>
            <w:hyperlink r:id="rId13" w:history="1">
              <w:r w:rsidRPr="00905070">
                <w:rPr>
                  <w:rFonts w:ascii="Verdana" w:eastAsia="Calibri" w:hAnsi="Verdana" w:cs="Arial"/>
                  <w:color w:val="0000FF"/>
                  <w:u w:val="single"/>
                </w:rPr>
                <w:t>https://www.colombiacompra.gov.co/content/04-documentos-tipo-para-seleccion-abreviada-de-menor-cuantia-de-infraestructura-de</w:t>
              </w:r>
            </w:hyperlink>
            <w:r w:rsidRPr="00905070">
              <w:rPr>
                <w:rFonts w:ascii="Verdana" w:eastAsia="Calibri" w:hAnsi="Verdana" w:cs="Arial"/>
              </w:rPr>
              <w:t xml:space="preserve">. </w:t>
            </w:r>
          </w:p>
          <w:p w14:paraId="7A1EA932"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 xml:space="preserve">Guía para la codificación de bienes y servicios de acuerdo con el código estándar de productos y servicios de Naciones Unidas, V.14.080. Disponible en: </w:t>
            </w:r>
            <w:hyperlink r:id="rId14" w:history="1">
              <w:r w:rsidRPr="00905070">
                <w:rPr>
                  <w:rFonts w:ascii="Verdana" w:eastAsia="Times New Roman" w:hAnsi="Verdana" w:cs="Arial"/>
                  <w:color w:val="156082"/>
                  <w:u w:val="single"/>
                  <w:lang w:val="es-ES_tradnl" w:eastAsia="es-MX"/>
                </w:rPr>
                <w:t>https://www.colombiacompra.gov.co/sites/cce_public/files/cce_documents/cce_guia_codificacion_bienes.pdf</w:t>
              </w:r>
            </w:hyperlink>
            <w:r w:rsidRPr="00905070">
              <w:rPr>
                <w:rFonts w:ascii="Verdana" w:eastAsia="Times New Roman" w:hAnsi="Verdana" w:cs="Arial"/>
                <w:color w:val="156082"/>
                <w:u w:val="single"/>
                <w:lang w:val="es-ES_tradnl" w:eastAsia="es-MX"/>
              </w:rPr>
              <w:t>.</w:t>
            </w:r>
          </w:p>
          <w:p w14:paraId="054DD31C"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Consejo de Estado. Sección Tercera. Sentencia del 27 de abril de 2011. Exp. 18.293. C.P. Ruth Stella Correa Palacio.</w:t>
            </w:r>
          </w:p>
          <w:p w14:paraId="15A89B09" w14:textId="77777777" w:rsidR="00905070" w:rsidRPr="00905070" w:rsidRDefault="00905070" w:rsidP="00905070">
            <w:pPr>
              <w:widowControl w:val="0"/>
              <w:numPr>
                <w:ilvl w:val="0"/>
                <w:numId w:val="17"/>
              </w:numPr>
              <w:autoSpaceDE w:val="0"/>
              <w:autoSpaceDN w:val="0"/>
              <w:spacing w:after="120" w:line="276" w:lineRule="auto"/>
              <w:jc w:val="both"/>
              <w:rPr>
                <w:rFonts w:ascii="Verdana" w:eastAsia="Calibri" w:hAnsi="Verdana" w:cs="Arial"/>
              </w:rPr>
            </w:pPr>
            <w:r w:rsidRPr="00905070">
              <w:rPr>
                <w:rFonts w:ascii="Verdana" w:eastAsia="Calibri" w:hAnsi="Verdana" w:cs="Arial"/>
              </w:rPr>
              <w:t>Consejo de Estado. Sección Tercera. Sentencia del 21 de noviembre de 2013 Exp. 25397. C.P. Carlos Alberto Zambrano Barrera.</w:t>
            </w:r>
          </w:p>
        </w:tc>
      </w:tr>
    </w:tbl>
    <w:p w14:paraId="29AAF438" w14:textId="77777777" w:rsidR="00905070" w:rsidRPr="00905070" w:rsidRDefault="00905070" w:rsidP="00905070">
      <w:pPr>
        <w:widowControl w:val="0"/>
        <w:autoSpaceDE w:val="0"/>
        <w:autoSpaceDN w:val="0"/>
        <w:spacing w:after="0" w:line="276" w:lineRule="auto"/>
        <w:jc w:val="both"/>
        <w:rPr>
          <w:rFonts w:ascii="Verdana" w:eastAsia="Calibri" w:hAnsi="Verdana" w:cs="Arial"/>
        </w:rPr>
      </w:pPr>
    </w:p>
    <w:p w14:paraId="1E67D1C7" w14:textId="77777777" w:rsidR="00905070" w:rsidRPr="00905070" w:rsidRDefault="00905070" w:rsidP="00905070">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05070">
        <w:rPr>
          <w:rFonts w:ascii="Verdana" w:eastAsia="Century Gothic" w:hAnsi="Verdana" w:cs="Century Gothic"/>
          <w:b/>
          <w:bCs/>
          <w:lang w:val="es-ES"/>
        </w:rPr>
        <w:t>Doctrina de la Agencia Nacional de Contratación Pública:</w:t>
      </w:r>
    </w:p>
    <w:p w14:paraId="0FE78175" w14:textId="77777777" w:rsidR="00905070" w:rsidRPr="00905070" w:rsidRDefault="00905070" w:rsidP="00905070">
      <w:pPr>
        <w:widowControl w:val="0"/>
        <w:autoSpaceDE w:val="0"/>
        <w:autoSpaceDN w:val="0"/>
        <w:spacing w:after="0" w:line="276" w:lineRule="auto"/>
        <w:jc w:val="both"/>
        <w:rPr>
          <w:rFonts w:ascii="Verdana" w:eastAsia="Calibri" w:hAnsi="Verdana" w:cs="Arial"/>
        </w:rPr>
      </w:pPr>
    </w:p>
    <w:p w14:paraId="3F5E27E4" w14:textId="77777777" w:rsidR="00905070" w:rsidRPr="00905070" w:rsidRDefault="00905070" w:rsidP="00905070">
      <w:pPr>
        <w:widowControl w:val="0"/>
        <w:autoSpaceDE w:val="0"/>
        <w:autoSpaceDN w:val="0"/>
        <w:spacing w:after="0" w:line="276" w:lineRule="auto"/>
        <w:jc w:val="both"/>
        <w:rPr>
          <w:rFonts w:ascii="Verdana" w:eastAsia="Calibri" w:hAnsi="Verdana" w:cs="Arial"/>
          <w:shd w:val="clear" w:color="auto" w:fill="FFFFFF"/>
          <w:lang w:val="es-ES"/>
        </w:rPr>
      </w:pPr>
      <w:r w:rsidRPr="00905070">
        <w:rPr>
          <w:rFonts w:ascii="Verdana" w:eastAsia="Calibri" w:hAnsi="Verdana" w:cs="Arial"/>
          <w:shd w:val="clear" w:color="auto" w:fill="FFFFFF"/>
          <w:lang w:val="es-ES"/>
        </w:rPr>
        <w:t>La Agencia Nacional de Contratación Pública − Colombia Compra Eficiente se pronunció</w:t>
      </w:r>
      <w:r w:rsidRPr="00905070">
        <w:rPr>
          <w:rFonts w:ascii="Aptos" w:eastAsia="Aptos" w:hAnsi="Aptos" w:cs="Times New Roman"/>
          <w:kern w:val="2"/>
          <w:sz w:val="24"/>
          <w:szCs w:val="24"/>
          <w:lang w:val="es-ES_tradnl"/>
          <w14:ligatures w14:val="standardContextual"/>
        </w:rPr>
        <w:t xml:space="preserve"> </w:t>
      </w:r>
      <w:r w:rsidRPr="00905070">
        <w:rPr>
          <w:rFonts w:ascii="Verdana" w:eastAsia="Calibri" w:hAnsi="Verdana" w:cs="Arial"/>
          <w:shd w:val="clear" w:color="auto" w:fill="FFFFFF"/>
          <w:lang w:val="es-ES"/>
        </w:rPr>
        <w:t xml:space="preserve">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 C-665 del 23 de diciembre de 2021, C-735 del 28 de enero de 2022, C-437 del  6 de septiembre de 2022, entre otros. </w:t>
      </w:r>
    </w:p>
    <w:p w14:paraId="1A2D2D1F" w14:textId="77777777" w:rsidR="00905070" w:rsidRPr="00905070" w:rsidRDefault="00905070" w:rsidP="00905070">
      <w:pPr>
        <w:widowControl w:val="0"/>
        <w:autoSpaceDE w:val="0"/>
        <w:autoSpaceDN w:val="0"/>
        <w:spacing w:after="0" w:line="276" w:lineRule="auto"/>
        <w:jc w:val="both"/>
        <w:rPr>
          <w:rFonts w:ascii="Verdana" w:eastAsia="Calibri" w:hAnsi="Verdana" w:cs="Arial"/>
          <w:shd w:val="clear" w:color="auto" w:fill="FFFFFF"/>
          <w:lang w:val="es-ES"/>
        </w:rPr>
      </w:pPr>
    </w:p>
    <w:p w14:paraId="5228C930" w14:textId="77777777" w:rsidR="00905070" w:rsidRPr="00905070" w:rsidRDefault="00905070" w:rsidP="00905070">
      <w:pPr>
        <w:widowControl w:val="0"/>
        <w:autoSpaceDE w:val="0"/>
        <w:autoSpaceDN w:val="0"/>
        <w:spacing w:after="0" w:line="276" w:lineRule="auto"/>
        <w:jc w:val="both"/>
        <w:rPr>
          <w:rFonts w:ascii="Verdana" w:eastAsia="Calibri" w:hAnsi="Verdana" w:cs="Arial"/>
          <w:shd w:val="clear" w:color="auto" w:fill="FFFFFF"/>
          <w:lang w:val="es-ES"/>
        </w:rPr>
      </w:pPr>
      <w:r w:rsidRPr="00905070">
        <w:rPr>
          <w:rFonts w:ascii="Verdana" w:eastAsia="Calibri" w:hAnsi="Verdana" w:cs="Arial"/>
          <w:shd w:val="clear" w:color="auto" w:fill="FFFFFF"/>
          <w:lang w:val="es-ES"/>
        </w:rPr>
        <w:t xml:space="preserve">Además, esta Agencia se ha pronunciado sobre la capacidad residual, y la forma como esta se debe acreditar, en los conceptos 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w:t>
      </w:r>
      <w:r w:rsidRPr="00905070">
        <w:rPr>
          <w:rFonts w:ascii="Verdana" w:eastAsia="Calibri" w:hAnsi="Verdana" w:cs="Arial"/>
          <w:shd w:val="clear" w:color="auto" w:fill="FFFFFF"/>
          <w:lang w:val="es-ES"/>
        </w:rPr>
        <w:lastRenderedPageBreak/>
        <w:t xml:space="preserve">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C-068 del 9 de marzo de 2022, C-220 del 22 de abril de 2022, C-351 del 23 de mayo de 2022 y C-392 del 16 de junio de 2022. </w:t>
      </w:r>
    </w:p>
    <w:p w14:paraId="01BB28DB" w14:textId="77777777" w:rsidR="00905070" w:rsidRPr="00905070" w:rsidRDefault="00905070" w:rsidP="00905070">
      <w:pPr>
        <w:widowControl w:val="0"/>
        <w:autoSpaceDE w:val="0"/>
        <w:autoSpaceDN w:val="0"/>
        <w:spacing w:after="0" w:line="276" w:lineRule="auto"/>
        <w:jc w:val="both"/>
        <w:rPr>
          <w:rFonts w:ascii="Verdana" w:eastAsia="Calibri" w:hAnsi="Verdana" w:cs="Arial"/>
          <w:shd w:val="clear" w:color="auto" w:fill="FFFFFF"/>
          <w:lang w:val="es-ES"/>
        </w:rPr>
      </w:pPr>
    </w:p>
    <w:p w14:paraId="041B1B0D" w14:textId="77777777" w:rsidR="00905070" w:rsidRPr="00905070" w:rsidRDefault="00905070" w:rsidP="00905070">
      <w:pPr>
        <w:widowControl w:val="0"/>
        <w:autoSpaceDE w:val="0"/>
        <w:autoSpaceDN w:val="0"/>
        <w:spacing w:after="0" w:line="276" w:lineRule="auto"/>
        <w:jc w:val="both"/>
        <w:rPr>
          <w:rFonts w:ascii="Verdana" w:eastAsia="Calibri" w:hAnsi="Verdana" w:cs="Arial"/>
          <w:kern w:val="2"/>
          <w:sz w:val="24"/>
          <w:szCs w:val="24"/>
          <w:shd w:val="clear" w:color="auto" w:fill="FFFFFF"/>
          <w:lang w:val="es-ES"/>
          <w14:ligatures w14:val="standardContextual"/>
        </w:rPr>
      </w:pPr>
      <w:r w:rsidRPr="00905070">
        <w:rPr>
          <w:rFonts w:ascii="Verdana" w:eastAsia="Calibri" w:hAnsi="Verdana" w:cs="Arial"/>
          <w:shd w:val="clear" w:color="auto" w:fill="FFFFFF"/>
          <w:lang w:val="es-ES"/>
        </w:rPr>
        <w:t>Así mismo, en los conceptos C-033 del 13 de marzo de 2020, C-133 del 30 de marzo de 2020, C-196 del 8 de abril de 2020, C-297 del 4 de junio de 2020, C-489 del 23 de julio de 2020, C-522 del 6 de agosto de 2020, C-547 del 21 de agosto de 2020, C-642 de 30 de octubre de 2020, C-668 del 20 de noviembre de 2020, C-720 del 11 de diciembre de 2020, C-789 del 19 de enero de 2021, C-042 del 3 de marzo de 2021, C-173 del 07 de abril de 2022, C-219 del 19 de mayo de 2022, C-546 del 30 de agosto de 2022, esta Agencia se pronunció sobre aspectos referentes al rechazo de propuestas por falta de acreditación del requisito de Capacidad Residual en los Documentos Tipo.</w:t>
      </w:r>
      <w:r w:rsidRPr="00905070">
        <w:rPr>
          <w:rFonts w:ascii="Verdana" w:eastAsia="Calibri" w:hAnsi="Verdana" w:cs="Arial"/>
          <w:kern w:val="2"/>
          <w:shd w:val="clear" w:color="auto" w:fill="FFFFFF"/>
          <w:lang w:val="es-ES"/>
          <w14:ligatures w14:val="standardContextual"/>
        </w:rPr>
        <w:t xml:space="preserve"> Y,</w:t>
      </w:r>
      <w:r w:rsidRPr="00905070">
        <w:rPr>
          <w:rFonts w:ascii="Aptos" w:eastAsia="Aptos" w:hAnsi="Aptos" w:cs="Times New Roman"/>
          <w:kern w:val="2"/>
          <w:sz w:val="24"/>
          <w:szCs w:val="24"/>
          <w14:ligatures w14:val="standardContextual"/>
        </w:rPr>
        <w:t xml:space="preserve"> </w:t>
      </w:r>
      <w:r w:rsidRPr="00905070">
        <w:rPr>
          <w:rFonts w:ascii="Verdana" w:eastAsia="Calibri" w:hAnsi="Verdana" w:cs="Arial"/>
          <w:kern w:val="2"/>
          <w:shd w:val="clear" w:color="auto" w:fill="FFFFFF"/>
          <w:lang w:val="es-ES"/>
          <w14:ligatures w14:val="standardContextual"/>
        </w:rPr>
        <w:t>sobre la regla de subsanabilidad en los procesos de selección, se pronunció esta Subdirección en los conceptos 4201913000007643 del 26 de diciembre de 2019, C-343 del 17 de junio de 2020, C-518 del 9 de septiembre de 2020, C-614 del 5 de octubre de 2022, C-882 del 21 de diciembre de 2022 y C-172 del 6 de junio de 2023.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r w:rsidRPr="00905070">
        <w:rPr>
          <w:rFonts w:ascii="Verdana" w:eastAsia="Calibri" w:hAnsi="Verdana" w:cs="Arial"/>
          <w:kern w:val="2"/>
          <w:sz w:val="24"/>
          <w:szCs w:val="24"/>
          <w:shd w:val="clear" w:color="auto" w:fill="FFFFFF"/>
          <w:lang w:val="es-ES"/>
          <w14:ligatures w14:val="standardContextual"/>
        </w:rPr>
        <w:t xml:space="preserve">  </w:t>
      </w:r>
    </w:p>
    <w:p w14:paraId="1EE96BC3" w14:textId="77777777" w:rsidR="00905070" w:rsidRPr="00905070" w:rsidRDefault="00905070" w:rsidP="00905070">
      <w:pPr>
        <w:widowControl w:val="0"/>
        <w:autoSpaceDE w:val="0"/>
        <w:autoSpaceDN w:val="0"/>
        <w:spacing w:after="0" w:line="276" w:lineRule="auto"/>
        <w:jc w:val="both"/>
        <w:rPr>
          <w:rFonts w:ascii="Verdana" w:eastAsia="Calibri" w:hAnsi="Verdana" w:cs="Arial"/>
          <w:shd w:val="clear" w:color="auto" w:fill="FFFFFF"/>
          <w:lang w:val="es-ES"/>
        </w:rPr>
      </w:pPr>
    </w:p>
    <w:p w14:paraId="505F9485" w14:textId="77777777" w:rsidR="00BA40D0" w:rsidRPr="001807CA" w:rsidRDefault="00BA40D0" w:rsidP="00BA40D0">
      <w:pPr>
        <w:widowControl w:val="0"/>
        <w:autoSpaceDE w:val="0"/>
        <w:autoSpaceDN w:val="0"/>
        <w:spacing w:after="0" w:line="276" w:lineRule="auto"/>
        <w:jc w:val="both"/>
        <w:rPr>
          <w:rFonts w:ascii="Verdana" w:eastAsia="Calibri" w:hAnsi="Verdana" w:cs="Times New Roman"/>
        </w:rPr>
      </w:pPr>
      <w:r w:rsidRPr="001807CA">
        <w:rPr>
          <w:rFonts w:ascii="Verdana" w:eastAsia="Calibri" w:hAnsi="Verdana" w:cs="Times New Roman"/>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p>
    <w:p w14:paraId="51B7C96E" w14:textId="77777777" w:rsidR="00BA40D0" w:rsidRPr="001807CA" w:rsidRDefault="00BA40D0" w:rsidP="00BA40D0">
      <w:pPr>
        <w:widowControl w:val="0"/>
        <w:autoSpaceDE w:val="0"/>
        <w:autoSpaceDN w:val="0"/>
        <w:spacing w:after="0" w:line="276" w:lineRule="auto"/>
        <w:jc w:val="both"/>
        <w:rPr>
          <w:rFonts w:ascii="Verdana" w:eastAsia="Calibri" w:hAnsi="Verdana" w:cs="Times New Roman"/>
        </w:rPr>
      </w:pPr>
    </w:p>
    <w:p w14:paraId="3657D60E" w14:textId="77777777" w:rsidR="00BA40D0" w:rsidRPr="001807CA" w:rsidRDefault="00BA40D0" w:rsidP="00BA40D0">
      <w:pPr>
        <w:widowControl w:val="0"/>
        <w:autoSpaceDE w:val="0"/>
        <w:autoSpaceDN w:val="0"/>
        <w:spacing w:after="0" w:line="276" w:lineRule="auto"/>
        <w:jc w:val="both"/>
        <w:rPr>
          <w:rFonts w:ascii="Verdana" w:eastAsia="Calibri" w:hAnsi="Verdana" w:cs="Times New Roman"/>
        </w:rPr>
      </w:pPr>
      <w:hyperlink r:id="rId15" w:history="1">
        <w:r w:rsidRPr="001807CA">
          <w:rPr>
            <w:rFonts w:ascii="Verdana" w:hAnsi="Verdana" w:cs="Times New Roman"/>
          </w:rPr>
          <w:t>https://www.colombiacompra.gov.co/content/borrador-de-documentos-tipo-de-consultoria-de-obra-publica-de-infraestructura-de-transporte</w:t>
        </w:r>
      </w:hyperlink>
      <w:r w:rsidRPr="001807CA">
        <w:rPr>
          <w:rFonts w:ascii="Verdana" w:eastAsia="Calibri" w:hAnsi="Verdana" w:cs="Times New Roman"/>
        </w:rPr>
        <w:t> </w:t>
      </w:r>
    </w:p>
    <w:p w14:paraId="68CB5E1D" w14:textId="77777777" w:rsidR="00BA40D0" w:rsidRPr="001807CA" w:rsidRDefault="00BA40D0" w:rsidP="00BA40D0">
      <w:pPr>
        <w:widowControl w:val="0"/>
        <w:autoSpaceDE w:val="0"/>
        <w:autoSpaceDN w:val="0"/>
        <w:spacing w:after="0" w:line="276" w:lineRule="auto"/>
        <w:jc w:val="both"/>
        <w:rPr>
          <w:rFonts w:ascii="Verdana" w:eastAsia="Calibri" w:hAnsi="Verdana" w:cs="Times New Roman"/>
        </w:rPr>
      </w:pPr>
    </w:p>
    <w:p w14:paraId="6E037D0D" w14:textId="7468E063" w:rsidR="00BA40D0" w:rsidRPr="001807CA" w:rsidRDefault="00BA40D0" w:rsidP="00BA40D0">
      <w:pPr>
        <w:widowControl w:val="0"/>
        <w:autoSpaceDE w:val="0"/>
        <w:autoSpaceDN w:val="0"/>
        <w:spacing w:after="0" w:line="276" w:lineRule="auto"/>
        <w:jc w:val="both"/>
        <w:rPr>
          <w:rFonts w:ascii="Verdana" w:eastAsia="Calibri" w:hAnsi="Verdana" w:cs="Times New Roman"/>
        </w:rPr>
      </w:pPr>
      <w:hyperlink r:id="rId16" w:tgtFrame="_blank" w:tooltip="Dirección URL original: https://www.colombiacompra.gov.co/content/borrador-de-documentos-tipo-de-interventoria-de-obra-publica-de-infraestructura-de. Haga clic o pulse si confía en este vínculo." w:history="1">
        <w:r w:rsidRPr="001807CA">
          <w:rPr>
            <w:rFonts w:ascii="Verdana" w:hAnsi="Verdana" w:cs="Times New Roman"/>
          </w:rPr>
          <w:t>https://www.colombiacompra.gov.co/content/borrador-de-documentos-tipo-de-interventoria-de-obra-publica-de-infraestructura-de</w:t>
        </w:r>
      </w:hyperlink>
    </w:p>
    <w:p w14:paraId="03546D92" w14:textId="77777777" w:rsidR="00BA40D0" w:rsidRPr="001807CA" w:rsidRDefault="00BA40D0" w:rsidP="00BA40D0">
      <w:pPr>
        <w:widowControl w:val="0"/>
        <w:autoSpaceDE w:val="0"/>
        <w:autoSpaceDN w:val="0"/>
        <w:spacing w:after="0" w:line="276" w:lineRule="auto"/>
        <w:jc w:val="both"/>
        <w:rPr>
          <w:rFonts w:ascii="Verdana" w:eastAsia="Calibri" w:hAnsi="Verdana" w:cs="Times New Roman"/>
        </w:rPr>
      </w:pPr>
    </w:p>
    <w:p w14:paraId="16E14CA4" w14:textId="2813313B" w:rsidR="00BA40D0" w:rsidRPr="008C7E5A" w:rsidRDefault="00BA40D0" w:rsidP="00BA40D0">
      <w:pPr>
        <w:widowControl w:val="0"/>
        <w:autoSpaceDE w:val="0"/>
        <w:autoSpaceDN w:val="0"/>
        <w:spacing w:after="0" w:line="276" w:lineRule="auto"/>
        <w:jc w:val="both"/>
        <w:rPr>
          <w:rFonts w:ascii="Verdana" w:eastAsia="Calibri" w:hAnsi="Verdana" w:cs="Times New Roman"/>
        </w:rPr>
      </w:pPr>
      <w:r w:rsidRPr="001807CA">
        <w:rPr>
          <w:rFonts w:ascii="Verdana" w:eastAsia="Calibri" w:hAnsi="Verdana" w:cs="Times New Roman"/>
        </w:rPr>
        <w:lastRenderedPageBreak/>
        <w:t xml:space="preserve">De otra parte, te contamos que ya publicamos el borrador de la nueva Guía de Contratación Pública Sostenible y Socialmente Responsable. Conoce el documento y realiza tus comentarios hasta el 14 de noviembre de 2024 a través del siguiente </w:t>
      </w:r>
      <w:r w:rsidRPr="008C7E5A">
        <w:rPr>
          <w:rFonts w:ascii="Verdana" w:eastAsia="Calibri" w:hAnsi="Verdana" w:cs="Times New Roman"/>
        </w:rPr>
        <w:t>enlace: </w:t>
      </w:r>
      <w:hyperlink r:id="rId17" w:tgtFrame="_blank" w:tooltip="Dirección URL original: https://www.sucop.gov.co/entidades/colombiacompra/Normativa?IDNorma=18320. Haga clic o pulse si confía en este vínculo." w:history="1">
        <w:r w:rsidRPr="001807CA">
          <w:rPr>
            <w:rFonts w:cs="Times New Roman"/>
          </w:rPr>
          <w:t>https://www.sucop.gov.co/entidades/colombiacompra/Normativa?IDNorma=18320</w:t>
        </w:r>
      </w:hyperlink>
      <w:r w:rsidRPr="001807CA">
        <w:rPr>
          <w:rFonts w:ascii="Verdana" w:eastAsia="Calibri" w:hAnsi="Verdana" w:cs="Times New Roman"/>
        </w:rPr>
        <w:t>  </w:t>
      </w:r>
    </w:p>
    <w:p w14:paraId="314CD18C" w14:textId="77777777" w:rsidR="00BA40D0" w:rsidRPr="001807CA" w:rsidRDefault="00BA40D0" w:rsidP="00BA40D0">
      <w:pPr>
        <w:widowControl w:val="0"/>
        <w:autoSpaceDE w:val="0"/>
        <w:autoSpaceDN w:val="0"/>
        <w:spacing w:after="0" w:line="276" w:lineRule="auto"/>
        <w:jc w:val="both"/>
        <w:rPr>
          <w:rFonts w:ascii="Verdana" w:eastAsia="Calibri" w:hAnsi="Verdana" w:cs="Times New Roman"/>
        </w:rPr>
      </w:pPr>
    </w:p>
    <w:p w14:paraId="5C45FF3A" w14:textId="25FDF084" w:rsidR="00BA40D0" w:rsidRPr="001807CA" w:rsidRDefault="00BA40D0" w:rsidP="00BA40D0">
      <w:pPr>
        <w:widowControl w:val="0"/>
        <w:autoSpaceDE w:val="0"/>
        <w:autoSpaceDN w:val="0"/>
        <w:spacing w:after="0" w:line="276" w:lineRule="auto"/>
        <w:jc w:val="both"/>
        <w:rPr>
          <w:rFonts w:ascii="Verdana" w:eastAsia="Calibri" w:hAnsi="Verdana" w:cs="Times New Roman"/>
        </w:rPr>
      </w:pPr>
      <w:r w:rsidRPr="001807CA">
        <w:rPr>
          <w:rFonts w:ascii="Verdana" w:eastAsia="Calibri" w:hAnsi="Verdana" w:cs="Times New Roman"/>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8" w:tgtFrame="_blank" w:tooltip="Dirección URL original: https://www.colombiacompra.gov.co/sala-de-prensa/boletin-digital. Haga clic o pulse si confía en este vínculo." w:history="1">
        <w:r w:rsidRPr="001807CA">
          <w:rPr>
            <w:rFonts w:ascii="Verdana" w:hAnsi="Verdana" w:cs="Times New Roman"/>
          </w:rPr>
          <w:t>https://www.colombiacompra.gov.co/sala-de-prensa/boletin-digital</w:t>
        </w:r>
      </w:hyperlink>
      <w:r w:rsidRPr="001807CA">
        <w:rPr>
          <w:rFonts w:ascii="Verdana" w:eastAsia="Calibri" w:hAnsi="Verdana" w:cs="Times New Roman"/>
        </w:rPr>
        <w:t>.</w:t>
      </w:r>
    </w:p>
    <w:p w14:paraId="237F3705" w14:textId="77777777" w:rsidR="00905070" w:rsidRPr="00905070" w:rsidRDefault="00905070" w:rsidP="00905070">
      <w:pPr>
        <w:widowControl w:val="0"/>
        <w:autoSpaceDE w:val="0"/>
        <w:autoSpaceDN w:val="0"/>
        <w:spacing w:after="0" w:line="276" w:lineRule="auto"/>
        <w:jc w:val="both"/>
        <w:rPr>
          <w:rFonts w:ascii="Verdana" w:eastAsia="Calibri" w:hAnsi="Verdana" w:cs="Arial"/>
          <w:shd w:val="clear" w:color="auto" w:fill="FFFFFF"/>
          <w:lang w:val="es-ES"/>
        </w:rPr>
      </w:pPr>
    </w:p>
    <w:p w14:paraId="626E6F57" w14:textId="77777777" w:rsidR="00905070" w:rsidRPr="00905070" w:rsidRDefault="00905070" w:rsidP="00905070">
      <w:pPr>
        <w:spacing w:after="0" w:line="240" w:lineRule="auto"/>
        <w:jc w:val="both"/>
        <w:rPr>
          <w:rFonts w:ascii="Verdana" w:eastAsia="Calibri" w:hAnsi="Verdana" w:cs="Times New Roman"/>
        </w:rPr>
      </w:pPr>
      <w:r w:rsidRPr="00905070">
        <w:rPr>
          <w:rFonts w:ascii="Verdana" w:eastAsia="Calibri" w:hAnsi="Verdana" w:cs="Times New Roman"/>
        </w:rPr>
        <w:t xml:space="preserve">Por último, los invitamos a seguirnos en las redes sociales, en las cuales se difunde información institucional: </w:t>
      </w:r>
    </w:p>
    <w:p w14:paraId="41B2431C" w14:textId="77777777" w:rsidR="00905070" w:rsidRPr="00905070" w:rsidRDefault="00905070" w:rsidP="00905070">
      <w:pPr>
        <w:spacing w:after="0" w:line="240" w:lineRule="auto"/>
        <w:jc w:val="both"/>
        <w:rPr>
          <w:rFonts w:ascii="Verdana" w:eastAsia="Calibri" w:hAnsi="Verdana" w:cs="Times New Roman"/>
        </w:rPr>
      </w:pPr>
    </w:p>
    <w:p w14:paraId="6EC54F3A" w14:textId="77777777" w:rsidR="00905070" w:rsidRPr="00905070" w:rsidRDefault="00905070" w:rsidP="00905070">
      <w:pPr>
        <w:spacing w:after="0" w:line="240" w:lineRule="auto"/>
        <w:jc w:val="both"/>
        <w:rPr>
          <w:rFonts w:ascii="Verdana" w:eastAsia="Calibri" w:hAnsi="Verdana" w:cs="Times New Roman"/>
        </w:rPr>
      </w:pPr>
      <w:r w:rsidRPr="00905070">
        <w:rPr>
          <w:rFonts w:ascii="Verdana" w:eastAsia="Calibri" w:hAnsi="Verdana" w:cs="Times New Roman"/>
        </w:rPr>
        <w:t xml:space="preserve">Twitter: </w:t>
      </w:r>
      <w:r w:rsidRPr="00905070">
        <w:rPr>
          <w:rFonts w:ascii="Verdana" w:eastAsia="Calibri" w:hAnsi="Verdana" w:cs="Times New Roman"/>
          <w:u w:val="single"/>
        </w:rPr>
        <w:t>@colombiacompra</w:t>
      </w:r>
      <w:r w:rsidRPr="00905070">
        <w:rPr>
          <w:rFonts w:ascii="Verdana" w:eastAsia="Calibri" w:hAnsi="Verdana" w:cs="Times New Roman"/>
        </w:rPr>
        <w:t xml:space="preserve"> </w:t>
      </w:r>
    </w:p>
    <w:p w14:paraId="227D5DE8" w14:textId="77777777" w:rsidR="00905070" w:rsidRPr="00905070" w:rsidRDefault="00905070" w:rsidP="00905070">
      <w:pPr>
        <w:spacing w:after="0" w:line="240" w:lineRule="auto"/>
        <w:jc w:val="both"/>
        <w:rPr>
          <w:rFonts w:ascii="Verdana" w:eastAsia="Calibri" w:hAnsi="Verdana" w:cs="Times New Roman"/>
        </w:rPr>
      </w:pPr>
      <w:r w:rsidRPr="00905070">
        <w:rPr>
          <w:rFonts w:ascii="Verdana" w:eastAsia="Calibri" w:hAnsi="Verdana" w:cs="Times New Roman"/>
        </w:rPr>
        <w:t xml:space="preserve">Facebook: </w:t>
      </w:r>
      <w:r w:rsidRPr="00905070">
        <w:rPr>
          <w:rFonts w:ascii="Verdana" w:eastAsia="Calibri" w:hAnsi="Verdana" w:cs="Times New Roman"/>
          <w:u w:val="single"/>
        </w:rPr>
        <w:t>ColombiaCompraEficiente</w:t>
      </w:r>
    </w:p>
    <w:p w14:paraId="3E884E3F" w14:textId="77777777" w:rsidR="00905070" w:rsidRPr="00905070" w:rsidRDefault="00905070" w:rsidP="00905070">
      <w:pPr>
        <w:spacing w:after="0" w:line="240" w:lineRule="auto"/>
        <w:jc w:val="both"/>
        <w:rPr>
          <w:rFonts w:ascii="Verdana" w:eastAsia="Calibri" w:hAnsi="Verdana" w:cs="Times New Roman"/>
        </w:rPr>
      </w:pPr>
      <w:r w:rsidRPr="00905070">
        <w:rPr>
          <w:rFonts w:ascii="Verdana" w:eastAsia="Calibri" w:hAnsi="Verdana" w:cs="Times New Roman"/>
        </w:rPr>
        <w:t xml:space="preserve">LinkedIn: </w:t>
      </w:r>
      <w:r w:rsidRPr="00905070">
        <w:rPr>
          <w:rFonts w:ascii="Verdana" w:eastAsia="Calibri" w:hAnsi="Verdana" w:cs="Times New Roman"/>
          <w:u w:val="single"/>
        </w:rPr>
        <w:t>Agencia Nacional de Contratación Pública - Colombia Compra Eficiente</w:t>
      </w:r>
      <w:r w:rsidRPr="00905070">
        <w:rPr>
          <w:rFonts w:ascii="Verdana" w:eastAsia="Calibri" w:hAnsi="Verdana" w:cs="Times New Roman"/>
        </w:rPr>
        <w:t xml:space="preserve"> Instagram: </w:t>
      </w:r>
      <w:r w:rsidRPr="00905070">
        <w:rPr>
          <w:rFonts w:ascii="Verdana" w:eastAsia="Calibri" w:hAnsi="Verdana" w:cs="Times New Roman"/>
          <w:u w:val="single"/>
        </w:rPr>
        <w:t>@colombiacompraeficiente_cce</w:t>
      </w:r>
    </w:p>
    <w:p w14:paraId="0E2E8CE0" w14:textId="77777777" w:rsidR="00905070" w:rsidRPr="00905070" w:rsidRDefault="00905070" w:rsidP="00905070">
      <w:pPr>
        <w:widowControl w:val="0"/>
        <w:autoSpaceDE w:val="0"/>
        <w:autoSpaceDN w:val="0"/>
        <w:spacing w:after="0" w:line="276" w:lineRule="auto"/>
        <w:jc w:val="both"/>
        <w:rPr>
          <w:rFonts w:ascii="Verdana" w:eastAsia="Calibri" w:hAnsi="Verdana" w:cs="Arial"/>
        </w:rPr>
      </w:pPr>
    </w:p>
    <w:p w14:paraId="2ADF1384" w14:textId="77777777" w:rsidR="00905070" w:rsidRPr="00905070" w:rsidRDefault="00905070" w:rsidP="00905070">
      <w:pPr>
        <w:widowControl w:val="0"/>
        <w:autoSpaceDE w:val="0"/>
        <w:autoSpaceDN w:val="0"/>
        <w:spacing w:after="0" w:line="276" w:lineRule="auto"/>
        <w:jc w:val="both"/>
        <w:rPr>
          <w:rFonts w:ascii="Verdana" w:eastAsia="Calibri" w:hAnsi="Verdana" w:cs="Arial"/>
          <w:lang w:val="es-ES_tradnl"/>
        </w:rPr>
      </w:pPr>
      <w:r w:rsidRPr="00905070">
        <w:rPr>
          <w:rFonts w:ascii="Verdana" w:eastAsia="Calibri" w:hAnsi="Verdana" w:cs="Arial"/>
        </w:rPr>
        <w:t xml:space="preserve">Este concepto tiene el alcance previsto en el artículo 28 del Código de Procedimiento Administrativo y de lo Contencioso Administrativo </w:t>
      </w:r>
      <w:r w:rsidRPr="00905070">
        <w:rPr>
          <w:rFonts w:ascii="Verdana" w:eastAsia="Calibri" w:hAnsi="Verdana" w:cs="Arial"/>
          <w:lang w:val="es-ES_tradnl"/>
        </w:rPr>
        <w:t>y las expresiones aquí utilizadas con mayúscula inicial deben ser entendidas con el significado que les otorga el artículo 2.2.1.1.1.3.1. del Decreto 1082 de 2015.</w:t>
      </w:r>
    </w:p>
    <w:p w14:paraId="4AFC73E3" w14:textId="77777777" w:rsidR="00905070" w:rsidRPr="00905070" w:rsidRDefault="00905070" w:rsidP="00905070">
      <w:pPr>
        <w:widowControl w:val="0"/>
        <w:autoSpaceDE w:val="0"/>
        <w:autoSpaceDN w:val="0"/>
        <w:spacing w:after="0" w:line="276" w:lineRule="auto"/>
        <w:jc w:val="both"/>
        <w:rPr>
          <w:rFonts w:ascii="Verdana" w:eastAsia="Calibri" w:hAnsi="Verdana" w:cs="Arial"/>
        </w:rPr>
      </w:pPr>
    </w:p>
    <w:p w14:paraId="51F6A980" w14:textId="77777777" w:rsidR="00905070" w:rsidRPr="00905070" w:rsidRDefault="00905070" w:rsidP="00905070">
      <w:pPr>
        <w:spacing w:after="0" w:line="240" w:lineRule="auto"/>
        <w:rPr>
          <w:rFonts w:ascii="Verdana" w:eastAsia="Calibri" w:hAnsi="Verdana" w:cs="Arial"/>
          <w:lang w:eastAsia="es-CO"/>
        </w:rPr>
      </w:pPr>
      <w:r w:rsidRPr="00905070">
        <w:rPr>
          <w:rFonts w:ascii="Verdana" w:eastAsia="Times New Roman" w:hAnsi="Verdana" w:cs="Arial"/>
          <w:lang w:eastAsia="es-CO"/>
        </w:rPr>
        <w:t>Atentamente,</w:t>
      </w:r>
      <w:r w:rsidRPr="00905070">
        <w:rPr>
          <w:rFonts w:ascii="Verdana" w:eastAsia="Calibri" w:hAnsi="Verdana" w:cs="Arial"/>
          <w:lang w:eastAsia="es-CO"/>
        </w:rPr>
        <w:t xml:space="preserve"> </w:t>
      </w:r>
    </w:p>
    <w:p w14:paraId="7ED16BC3" w14:textId="4453E1B0" w:rsidR="00905070" w:rsidRPr="00905070" w:rsidRDefault="000848DD" w:rsidP="00905070">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6105F93F" wp14:editId="3D37DDB3">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05070" w:rsidRPr="00905070" w14:paraId="4DC152DE" w14:textId="77777777">
        <w:trPr>
          <w:trHeight w:val="315"/>
        </w:trPr>
        <w:tc>
          <w:tcPr>
            <w:tcW w:w="893" w:type="dxa"/>
            <w:vAlign w:val="center"/>
            <w:hideMark/>
          </w:tcPr>
          <w:p w14:paraId="432016FE" w14:textId="77777777" w:rsidR="00905070" w:rsidRPr="00905070" w:rsidRDefault="00905070" w:rsidP="00905070">
            <w:pPr>
              <w:rPr>
                <w:rFonts w:ascii="Verdana" w:eastAsia="Calibri" w:hAnsi="Verdana" w:cs="Arial"/>
                <w:sz w:val="16"/>
                <w:szCs w:val="16"/>
                <w:lang w:val="es-ES" w:eastAsia="es-ES"/>
              </w:rPr>
            </w:pPr>
            <w:r w:rsidRPr="00905070">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411EF18E" w14:textId="77777777" w:rsidR="00905070" w:rsidRPr="00905070" w:rsidRDefault="00905070" w:rsidP="00905070">
            <w:pPr>
              <w:rPr>
                <w:rFonts w:ascii="Verdana" w:eastAsia="Arial" w:hAnsi="Verdana" w:cs="Arial"/>
                <w:sz w:val="16"/>
                <w:szCs w:val="16"/>
              </w:rPr>
            </w:pPr>
            <w:r w:rsidRPr="00905070">
              <w:rPr>
                <w:rFonts w:ascii="Verdana" w:eastAsia="Arial" w:hAnsi="Verdana" w:cs="Arial"/>
                <w:sz w:val="16"/>
                <w:szCs w:val="16"/>
              </w:rPr>
              <w:t>Kevin Arlid Herrera Santa</w:t>
            </w:r>
          </w:p>
          <w:p w14:paraId="5B25A1E9" w14:textId="77777777" w:rsidR="00905070" w:rsidRPr="00905070" w:rsidRDefault="00905070" w:rsidP="00905070">
            <w:pPr>
              <w:rPr>
                <w:rFonts w:ascii="Verdana" w:eastAsia="Arial" w:hAnsi="Verdana" w:cs="Arial"/>
                <w:sz w:val="16"/>
                <w:szCs w:val="16"/>
              </w:rPr>
            </w:pPr>
            <w:r w:rsidRPr="00905070">
              <w:rPr>
                <w:rFonts w:ascii="Verdana" w:eastAsia="Arial" w:hAnsi="Verdana" w:cs="Arial"/>
                <w:sz w:val="16"/>
                <w:szCs w:val="16"/>
              </w:rPr>
              <w:t>Contratista de la Subdirección de Gestión Contractual</w:t>
            </w:r>
          </w:p>
        </w:tc>
      </w:tr>
      <w:tr w:rsidR="00905070" w:rsidRPr="00905070" w14:paraId="6BB6D689" w14:textId="77777777">
        <w:trPr>
          <w:trHeight w:val="330"/>
        </w:trPr>
        <w:tc>
          <w:tcPr>
            <w:tcW w:w="893" w:type="dxa"/>
            <w:vAlign w:val="center"/>
            <w:hideMark/>
          </w:tcPr>
          <w:p w14:paraId="0C94E5B8" w14:textId="77777777" w:rsidR="00905070" w:rsidRPr="00905070" w:rsidRDefault="00905070" w:rsidP="00905070">
            <w:pPr>
              <w:rPr>
                <w:rFonts w:ascii="Verdana" w:eastAsia="Calibri" w:hAnsi="Verdana" w:cs="Arial"/>
                <w:sz w:val="16"/>
                <w:szCs w:val="16"/>
                <w:lang w:val="es-ES" w:eastAsia="es-ES"/>
              </w:rPr>
            </w:pPr>
            <w:r w:rsidRPr="00905070">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73D79DE" w14:textId="77777777" w:rsidR="00905070" w:rsidRPr="00905070" w:rsidRDefault="00905070" w:rsidP="00905070">
            <w:pPr>
              <w:textAlignment w:val="baseline"/>
              <w:rPr>
                <w:rFonts w:ascii="Verdana" w:eastAsia="Times New Roman" w:hAnsi="Verdana" w:cs="Arial"/>
                <w:sz w:val="16"/>
                <w:szCs w:val="16"/>
                <w:lang w:val="es-ES" w:eastAsia="es-ES_tradnl"/>
              </w:rPr>
            </w:pPr>
            <w:r w:rsidRPr="00905070">
              <w:rPr>
                <w:rFonts w:ascii="Verdana" w:eastAsia="Times New Roman" w:hAnsi="Verdana" w:cs="Arial"/>
                <w:sz w:val="16"/>
                <w:szCs w:val="16"/>
                <w:lang w:val="es-ES" w:eastAsia="es-ES_tradnl"/>
              </w:rPr>
              <w:t>Martha Alicia Romero Vargas</w:t>
            </w:r>
          </w:p>
          <w:p w14:paraId="1C791211" w14:textId="77777777" w:rsidR="00905070" w:rsidRPr="00905070" w:rsidRDefault="00905070" w:rsidP="00905070">
            <w:pPr>
              <w:textAlignment w:val="baseline"/>
              <w:rPr>
                <w:rFonts w:ascii="Verdana" w:eastAsia="Times New Roman" w:hAnsi="Verdana" w:cs="Segoe UI"/>
                <w:sz w:val="16"/>
                <w:szCs w:val="16"/>
                <w:lang w:eastAsia="es-ES_tradnl"/>
              </w:rPr>
            </w:pPr>
            <w:r w:rsidRPr="00905070">
              <w:rPr>
                <w:rFonts w:ascii="Verdana" w:eastAsia="Times New Roman" w:hAnsi="Verdana" w:cs="Arial"/>
                <w:sz w:val="16"/>
                <w:szCs w:val="16"/>
                <w:lang w:val="es-ES" w:eastAsia="es-ES_tradnl"/>
              </w:rPr>
              <w:t>Gestor T1-15 de la Subdirección de Gestión Contractual</w:t>
            </w:r>
            <w:r w:rsidRPr="00905070">
              <w:rPr>
                <w:rFonts w:ascii="Verdana" w:eastAsia="Times New Roman" w:hAnsi="Verdana" w:cs="Arial"/>
                <w:sz w:val="16"/>
                <w:szCs w:val="16"/>
                <w:lang w:eastAsia="es-ES_tradnl"/>
              </w:rPr>
              <w:t> </w:t>
            </w:r>
          </w:p>
        </w:tc>
      </w:tr>
      <w:tr w:rsidR="00905070" w:rsidRPr="00905070" w14:paraId="1CAEA84A" w14:textId="77777777">
        <w:trPr>
          <w:trHeight w:val="300"/>
        </w:trPr>
        <w:tc>
          <w:tcPr>
            <w:tcW w:w="893" w:type="dxa"/>
            <w:vAlign w:val="center"/>
          </w:tcPr>
          <w:p w14:paraId="60514718" w14:textId="77777777" w:rsidR="00905070" w:rsidRPr="00905070" w:rsidRDefault="00905070" w:rsidP="00905070">
            <w:pPr>
              <w:rPr>
                <w:rFonts w:ascii="Verdana" w:eastAsia="Calibri" w:hAnsi="Verdana" w:cs="Arial"/>
                <w:sz w:val="16"/>
                <w:szCs w:val="16"/>
                <w:lang w:val="es-ES" w:eastAsia="es-ES"/>
              </w:rPr>
            </w:pPr>
            <w:r w:rsidRPr="00905070">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29215157" w14:textId="77777777" w:rsidR="00905070" w:rsidRPr="00905070" w:rsidRDefault="00905070" w:rsidP="00905070">
            <w:pPr>
              <w:rPr>
                <w:rFonts w:ascii="Verdana" w:eastAsia="Calibri" w:hAnsi="Verdana" w:cs="Arial"/>
                <w:sz w:val="16"/>
                <w:szCs w:val="16"/>
                <w:lang w:val="pt-BR" w:eastAsia="es-ES"/>
              </w:rPr>
            </w:pPr>
            <w:r w:rsidRPr="00905070">
              <w:rPr>
                <w:rFonts w:ascii="Verdana" w:eastAsia="Calibri" w:hAnsi="Verdana" w:cs="Arial"/>
                <w:sz w:val="16"/>
                <w:szCs w:val="16"/>
                <w:lang w:val="pt-BR" w:eastAsia="es-ES"/>
              </w:rPr>
              <w:t>Carolina Quintero Gacharná</w:t>
            </w:r>
          </w:p>
          <w:p w14:paraId="7E3A467A" w14:textId="77777777" w:rsidR="00905070" w:rsidRPr="00905070" w:rsidRDefault="00905070" w:rsidP="00905070">
            <w:pPr>
              <w:rPr>
                <w:rFonts w:ascii="Verdana" w:eastAsia="Calibri" w:hAnsi="Verdana" w:cs="Arial"/>
                <w:sz w:val="16"/>
                <w:szCs w:val="16"/>
                <w:lang w:val="pt-BR" w:eastAsia="es-ES"/>
              </w:rPr>
            </w:pPr>
            <w:r w:rsidRPr="00905070">
              <w:rPr>
                <w:rFonts w:ascii="Verdana" w:eastAsia="Calibri" w:hAnsi="Verdana" w:cs="Arial"/>
                <w:sz w:val="16"/>
                <w:szCs w:val="16"/>
                <w:lang w:eastAsia="es-ES"/>
              </w:rPr>
              <w:t>Subdirectora</w:t>
            </w:r>
            <w:r w:rsidRPr="00905070">
              <w:rPr>
                <w:rFonts w:ascii="Verdana" w:eastAsia="Calibri" w:hAnsi="Verdana" w:cs="Arial"/>
                <w:sz w:val="16"/>
                <w:szCs w:val="16"/>
                <w:lang w:val="pt-BR" w:eastAsia="es-ES"/>
              </w:rPr>
              <w:t xml:space="preserve"> de Gestión </w:t>
            </w:r>
            <w:proofErr w:type="spellStart"/>
            <w:r w:rsidRPr="00905070">
              <w:rPr>
                <w:rFonts w:ascii="Verdana" w:eastAsia="Calibri" w:hAnsi="Verdana" w:cs="Arial"/>
                <w:sz w:val="16"/>
                <w:szCs w:val="16"/>
                <w:lang w:val="pt-BR" w:eastAsia="es-ES"/>
              </w:rPr>
              <w:t>Contractual</w:t>
            </w:r>
            <w:proofErr w:type="spellEnd"/>
            <w:r w:rsidRPr="00905070">
              <w:rPr>
                <w:rFonts w:ascii="Verdana" w:eastAsia="Calibri" w:hAnsi="Verdana" w:cs="Arial"/>
                <w:sz w:val="16"/>
                <w:szCs w:val="16"/>
                <w:lang w:val="pt-BR" w:eastAsia="es-ES"/>
              </w:rPr>
              <w:t xml:space="preserve">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0AF1" w14:textId="77777777" w:rsidR="00143A44" w:rsidRDefault="00143A44" w:rsidP="004A1847">
      <w:pPr>
        <w:spacing w:after="0" w:line="240" w:lineRule="auto"/>
      </w:pPr>
      <w:r>
        <w:separator/>
      </w:r>
    </w:p>
  </w:endnote>
  <w:endnote w:type="continuationSeparator" w:id="0">
    <w:p w14:paraId="56C5BE28" w14:textId="77777777" w:rsidR="00143A44" w:rsidRDefault="00143A44" w:rsidP="004A1847">
      <w:pPr>
        <w:spacing w:after="0" w:line="240" w:lineRule="auto"/>
      </w:pPr>
      <w:r>
        <w:continuationSeparator/>
      </w:r>
    </w:p>
  </w:endnote>
  <w:endnote w:type="continuationNotice" w:id="1">
    <w:p w14:paraId="20B08FF9" w14:textId="77777777" w:rsidR="00143A44" w:rsidRDefault="0014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69AE" w14:textId="77777777" w:rsidR="00143A44" w:rsidRDefault="00143A44" w:rsidP="004A1847">
      <w:pPr>
        <w:spacing w:after="0" w:line="240" w:lineRule="auto"/>
      </w:pPr>
      <w:r>
        <w:separator/>
      </w:r>
    </w:p>
  </w:footnote>
  <w:footnote w:type="continuationSeparator" w:id="0">
    <w:p w14:paraId="093CE17B" w14:textId="77777777" w:rsidR="00143A44" w:rsidRDefault="00143A44" w:rsidP="004A1847">
      <w:pPr>
        <w:spacing w:after="0" w:line="240" w:lineRule="auto"/>
      </w:pPr>
      <w:r>
        <w:continuationSeparator/>
      </w:r>
    </w:p>
  </w:footnote>
  <w:footnote w:type="continuationNotice" w:id="1">
    <w:p w14:paraId="28C4DDA2" w14:textId="77777777" w:rsidR="00143A44" w:rsidRDefault="00143A44">
      <w:pPr>
        <w:spacing w:after="0" w:line="240" w:lineRule="auto"/>
      </w:pPr>
    </w:p>
  </w:footnote>
  <w:footnote w:id="2">
    <w:p w14:paraId="469FBE1C" w14:textId="77777777" w:rsidR="00905070" w:rsidRPr="005226E9" w:rsidRDefault="00905070" w:rsidP="00905070">
      <w:pPr>
        <w:pStyle w:val="Textonotapie"/>
        <w:ind w:firstLine="708"/>
        <w:jc w:val="both"/>
        <w:rPr>
          <w:rFonts w:ascii="Verdana" w:hAnsi="Verdana" w:cs="Arial"/>
          <w:sz w:val="18"/>
          <w:szCs w:val="18"/>
        </w:rPr>
      </w:pPr>
      <w:r w:rsidRPr="005226E9">
        <w:rPr>
          <w:rStyle w:val="Refdenotaalpie"/>
          <w:rFonts w:ascii="Verdana" w:hAnsi="Verdana" w:cs="Arial"/>
          <w:sz w:val="18"/>
          <w:szCs w:val="18"/>
        </w:rPr>
        <w:footnoteRef/>
      </w:r>
      <w:r w:rsidRPr="005226E9">
        <w:rPr>
          <w:rFonts w:ascii="Verdana" w:hAnsi="Verdana"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94D0771" w14:textId="77777777" w:rsidR="00905070" w:rsidRPr="005226E9" w:rsidRDefault="00905070" w:rsidP="00905070">
      <w:pPr>
        <w:pStyle w:val="Textonotapie"/>
        <w:ind w:firstLine="708"/>
        <w:jc w:val="both"/>
        <w:rPr>
          <w:rFonts w:ascii="Verdana" w:hAnsi="Verdana" w:cs="Arial"/>
          <w:sz w:val="18"/>
          <w:szCs w:val="18"/>
        </w:rPr>
      </w:pPr>
      <w:r w:rsidRPr="005226E9">
        <w:rPr>
          <w:rFonts w:ascii="Verdana" w:hAnsi="Verdana"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3">
    <w:p w14:paraId="1B238100" w14:textId="77777777" w:rsidR="00905070" w:rsidRPr="005226E9" w:rsidRDefault="00905070" w:rsidP="00905070">
      <w:pPr>
        <w:pStyle w:val="Textonotapie"/>
        <w:ind w:firstLine="708"/>
        <w:jc w:val="both"/>
        <w:rPr>
          <w:rFonts w:ascii="Verdana" w:hAnsi="Verdana" w:cs="Arial"/>
          <w:sz w:val="18"/>
          <w:szCs w:val="18"/>
          <w:lang w:val="es-ES_tradnl"/>
        </w:rPr>
      </w:pPr>
      <w:r w:rsidRPr="005226E9">
        <w:rPr>
          <w:rStyle w:val="Refdenotaalpie"/>
          <w:rFonts w:ascii="Verdana" w:hAnsi="Verdana" w:cs="Arial"/>
          <w:sz w:val="18"/>
          <w:szCs w:val="18"/>
        </w:rPr>
        <w:footnoteRef/>
      </w:r>
      <w:r w:rsidRPr="005226E9">
        <w:rPr>
          <w:rFonts w:ascii="Verdana" w:hAnsi="Verdana"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4">
    <w:p w14:paraId="3C1895B9" w14:textId="77777777" w:rsidR="00905070" w:rsidRPr="005226E9" w:rsidRDefault="00905070" w:rsidP="00905070">
      <w:pPr>
        <w:pStyle w:val="Textonotapie"/>
        <w:ind w:firstLine="708"/>
        <w:jc w:val="both"/>
        <w:rPr>
          <w:rFonts w:ascii="Verdana" w:hAnsi="Verdana" w:cs="Arial"/>
          <w:sz w:val="18"/>
          <w:szCs w:val="18"/>
        </w:rPr>
      </w:pPr>
      <w:r w:rsidRPr="005226E9">
        <w:rPr>
          <w:rStyle w:val="Refdenotaalpie"/>
          <w:rFonts w:ascii="Verdana" w:hAnsi="Verdana" w:cs="Arial"/>
          <w:sz w:val="18"/>
          <w:szCs w:val="18"/>
        </w:rPr>
        <w:footnoteRef/>
      </w:r>
      <w:r w:rsidRPr="005226E9">
        <w:rPr>
          <w:rFonts w:ascii="Verdana" w:hAnsi="Verdana"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1634A0F1" w14:textId="77777777" w:rsidR="00905070" w:rsidRPr="005226E9" w:rsidRDefault="00905070" w:rsidP="00905070">
      <w:pPr>
        <w:pStyle w:val="Textonotapie"/>
        <w:ind w:firstLine="708"/>
        <w:jc w:val="both"/>
        <w:rPr>
          <w:rFonts w:ascii="Verdana" w:hAnsi="Verdana" w:cs="Arial"/>
          <w:sz w:val="18"/>
          <w:szCs w:val="18"/>
        </w:rPr>
      </w:pPr>
      <w:r w:rsidRPr="005226E9">
        <w:rPr>
          <w:rFonts w:ascii="Verdana" w:hAnsi="Verdana"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7C0F0302" w14:textId="77777777" w:rsidR="00905070" w:rsidRPr="005226E9" w:rsidRDefault="00905070" w:rsidP="00905070">
      <w:pPr>
        <w:pStyle w:val="Textonotapie"/>
        <w:ind w:firstLine="708"/>
        <w:jc w:val="both"/>
        <w:rPr>
          <w:rFonts w:ascii="Verdana" w:hAnsi="Verdana" w:cs="Arial"/>
          <w:sz w:val="18"/>
          <w:szCs w:val="18"/>
          <w:lang w:val="es-ES_tradnl"/>
        </w:rPr>
      </w:pPr>
      <w:r w:rsidRPr="005226E9">
        <w:rPr>
          <w:rFonts w:ascii="Verdana" w:hAnsi="Verdana" w:cs="Arial"/>
          <w:sz w:val="18"/>
          <w:szCs w:val="18"/>
        </w:rPr>
        <w:t>[...]”.</w:t>
      </w:r>
    </w:p>
  </w:footnote>
  <w:footnote w:id="5">
    <w:p w14:paraId="66F34C2D" w14:textId="77777777" w:rsidR="00905070" w:rsidRPr="005226E9" w:rsidRDefault="00905070" w:rsidP="00905070">
      <w:pPr>
        <w:pStyle w:val="Textonotapie"/>
        <w:ind w:firstLine="708"/>
        <w:jc w:val="both"/>
        <w:rPr>
          <w:rFonts w:ascii="Verdana" w:hAnsi="Verdana" w:cs="Arial"/>
          <w:sz w:val="18"/>
          <w:szCs w:val="18"/>
        </w:rPr>
      </w:pPr>
      <w:r w:rsidRPr="005226E9">
        <w:rPr>
          <w:rStyle w:val="Refdenotaalpie"/>
          <w:rFonts w:ascii="Verdana" w:hAnsi="Verdana" w:cs="Arial"/>
          <w:sz w:val="18"/>
          <w:szCs w:val="18"/>
        </w:rPr>
        <w:footnoteRef/>
      </w:r>
      <w:r w:rsidRPr="005226E9">
        <w:rPr>
          <w:rFonts w:ascii="Verdana" w:hAnsi="Verdana"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EBE3C48" w14:textId="77777777" w:rsidR="00905070" w:rsidRPr="005226E9" w:rsidRDefault="00905070" w:rsidP="00905070">
      <w:pPr>
        <w:pStyle w:val="Textonotapie"/>
        <w:ind w:firstLine="708"/>
        <w:jc w:val="both"/>
        <w:rPr>
          <w:rFonts w:ascii="Verdana" w:hAnsi="Verdana" w:cs="Arial"/>
          <w:sz w:val="18"/>
          <w:szCs w:val="18"/>
        </w:rPr>
      </w:pPr>
      <w:r w:rsidRPr="005226E9">
        <w:rPr>
          <w:rFonts w:ascii="Verdana" w:hAnsi="Verdana" w:cs="Arial"/>
          <w:sz w:val="18"/>
          <w:szCs w:val="18"/>
        </w:rPr>
        <w:t>[...]</w:t>
      </w:r>
    </w:p>
    <w:p w14:paraId="031B5925" w14:textId="77777777" w:rsidR="00905070" w:rsidRPr="005226E9" w:rsidRDefault="00905070" w:rsidP="00905070">
      <w:pPr>
        <w:pStyle w:val="Textonotapie"/>
        <w:ind w:firstLine="708"/>
        <w:jc w:val="both"/>
        <w:rPr>
          <w:rFonts w:ascii="Verdana" w:hAnsi="Verdana" w:cs="Arial"/>
          <w:sz w:val="18"/>
          <w:szCs w:val="18"/>
        </w:rPr>
      </w:pPr>
      <w:r w:rsidRPr="005226E9">
        <w:rPr>
          <w:rFonts w:ascii="Verdana" w:hAnsi="Verdana"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B37A2C1" w14:textId="77777777" w:rsidR="00905070" w:rsidRPr="005226E9" w:rsidRDefault="00905070" w:rsidP="00905070">
      <w:pPr>
        <w:pStyle w:val="Textonotapie"/>
        <w:ind w:firstLine="708"/>
        <w:jc w:val="both"/>
        <w:rPr>
          <w:rFonts w:ascii="Verdana" w:hAnsi="Verdana" w:cs="Arial"/>
          <w:sz w:val="18"/>
          <w:szCs w:val="18"/>
          <w:lang w:val="es-ES_tradnl"/>
        </w:rPr>
      </w:pPr>
      <w:r w:rsidRPr="005226E9">
        <w:rPr>
          <w:rFonts w:ascii="Verdana" w:hAnsi="Verdana"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6">
    <w:p w14:paraId="306B9671" w14:textId="77777777" w:rsidR="00905070" w:rsidRPr="005226E9" w:rsidRDefault="00905070" w:rsidP="00905070">
      <w:pPr>
        <w:pStyle w:val="NormalWeb"/>
        <w:spacing w:before="0" w:beforeAutospacing="0" w:after="0" w:afterAutospacing="0"/>
        <w:ind w:firstLine="709"/>
        <w:jc w:val="both"/>
        <w:rPr>
          <w:rFonts w:ascii="Verdana" w:hAnsi="Verdana" w:cs="Arial"/>
          <w:sz w:val="18"/>
          <w:szCs w:val="18"/>
        </w:rPr>
      </w:pPr>
      <w:r w:rsidRPr="00905070">
        <w:rPr>
          <w:rStyle w:val="Refdenotaalpie"/>
          <w:rFonts w:ascii="Verdana" w:hAnsi="Verdana" w:cs="Arial"/>
          <w:sz w:val="18"/>
          <w:szCs w:val="18"/>
        </w:rPr>
        <w:footnoteRef/>
      </w:r>
      <w:r w:rsidRPr="005226E9">
        <w:rPr>
          <w:rFonts w:ascii="Verdana" w:hAnsi="Verdana"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Unico de Proponentes del Registro Único Empresarial de la Cámara de Comercio con jurisdicción en su domicilio principal.  </w:t>
      </w:r>
    </w:p>
    <w:p w14:paraId="2A772CBE" w14:textId="77777777" w:rsidR="00905070" w:rsidRPr="005226E9" w:rsidRDefault="00905070" w:rsidP="00905070">
      <w:pPr>
        <w:spacing w:after="0" w:line="240" w:lineRule="auto"/>
        <w:ind w:firstLine="709"/>
        <w:jc w:val="both"/>
        <w:rPr>
          <w:rFonts w:ascii="Verdana" w:hAnsi="Verdana" w:cs="Arial"/>
          <w:sz w:val="18"/>
          <w:szCs w:val="18"/>
          <w:lang w:eastAsia="es-CO"/>
        </w:rPr>
      </w:pPr>
      <w:r w:rsidRPr="005226E9">
        <w:rPr>
          <w:rFonts w:ascii="Verdana" w:hAnsi="Verdana" w:cs="Arial"/>
          <w:sz w:val="18"/>
          <w:szCs w:val="18"/>
          <w:lang w:eastAsia="es-CO"/>
        </w:rPr>
        <w:t>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38FC37A3" w14:textId="77777777" w:rsidR="00905070" w:rsidRPr="005226E9" w:rsidRDefault="00905070" w:rsidP="00905070">
      <w:pPr>
        <w:spacing w:after="0" w:line="240" w:lineRule="auto"/>
        <w:ind w:firstLine="709"/>
        <w:jc w:val="both"/>
        <w:rPr>
          <w:rFonts w:ascii="Verdana" w:hAnsi="Verdana" w:cs="Arial"/>
          <w:sz w:val="18"/>
          <w:szCs w:val="18"/>
          <w:lang w:eastAsia="es-CO"/>
        </w:rPr>
      </w:pPr>
      <w:r w:rsidRPr="005226E9">
        <w:rPr>
          <w:rFonts w:ascii="Verdana" w:hAnsi="Verdana" w:cs="Arial"/>
          <w:sz w:val="18"/>
          <w:szCs w:val="18"/>
          <w:u w:val="single"/>
          <w:lang w:eastAsia="es-CO"/>
        </w:rPr>
        <w:t xml:space="preserve">En dicho registro constará la información relacionada con la experiencia, capacidad jurídica, financiera y de organización del proponente y su clasificación </w:t>
      </w:r>
      <w:r w:rsidRPr="005226E9">
        <w:rPr>
          <w:rFonts w:ascii="Verdana" w:hAnsi="Verdana" w:cs="Arial"/>
          <w:sz w:val="18"/>
          <w:szCs w:val="18"/>
          <w:lang w:eastAsia="es-CO"/>
        </w:rPr>
        <w:t>[…]”. (Subrayas fuera del texto).</w:t>
      </w:r>
    </w:p>
  </w:footnote>
  <w:footnote w:id="7">
    <w:p w14:paraId="3EEF2E0C" w14:textId="77777777" w:rsidR="00905070" w:rsidRPr="005226E9" w:rsidRDefault="00905070" w:rsidP="00905070">
      <w:pPr>
        <w:pStyle w:val="Textonotapie"/>
        <w:ind w:firstLine="709"/>
        <w:jc w:val="both"/>
        <w:rPr>
          <w:rFonts w:ascii="Verdana" w:hAnsi="Verdana" w:cs="Arial"/>
          <w:sz w:val="18"/>
          <w:szCs w:val="18"/>
        </w:rPr>
      </w:pPr>
      <w:r w:rsidRPr="005226E9">
        <w:rPr>
          <w:rStyle w:val="Refdenotaalpie"/>
          <w:rFonts w:ascii="Verdana" w:hAnsi="Verdana" w:cs="Arial"/>
          <w:sz w:val="18"/>
          <w:szCs w:val="18"/>
        </w:rPr>
        <w:footnoteRef/>
      </w:r>
      <w:r w:rsidRPr="005226E9">
        <w:rPr>
          <w:rFonts w:ascii="Verdana" w:hAnsi="Verdana" w:cs="Arial"/>
          <w:sz w:val="18"/>
          <w:szCs w:val="18"/>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p w14:paraId="78C66749" w14:textId="77777777" w:rsidR="00905070" w:rsidRPr="005226E9" w:rsidRDefault="00905070" w:rsidP="00905070">
      <w:pPr>
        <w:pStyle w:val="Textonotapie"/>
        <w:ind w:firstLine="709"/>
        <w:jc w:val="both"/>
        <w:rPr>
          <w:rFonts w:ascii="Verdana" w:hAnsi="Verdana" w:cs="Arial"/>
          <w:sz w:val="18"/>
          <w:szCs w:val="18"/>
        </w:rPr>
      </w:pPr>
    </w:p>
  </w:footnote>
  <w:footnote w:id="8">
    <w:p w14:paraId="6E754F0E" w14:textId="77777777" w:rsidR="00905070" w:rsidRPr="005226E9" w:rsidRDefault="00905070" w:rsidP="00905070">
      <w:pPr>
        <w:pStyle w:val="Textonotapie"/>
        <w:ind w:firstLine="709"/>
        <w:jc w:val="both"/>
        <w:rPr>
          <w:rFonts w:ascii="Verdana" w:hAnsi="Verdana" w:cs="Arial"/>
          <w:sz w:val="18"/>
          <w:szCs w:val="18"/>
          <w:u w:val="single"/>
        </w:rPr>
      </w:pPr>
      <w:r w:rsidRPr="005226E9">
        <w:rPr>
          <w:rStyle w:val="Refdenotaalpie"/>
          <w:rFonts w:ascii="Verdana" w:hAnsi="Verdana" w:cs="Arial"/>
          <w:sz w:val="18"/>
          <w:szCs w:val="18"/>
        </w:rPr>
        <w:footnoteRef/>
      </w:r>
      <w:r w:rsidRPr="005226E9">
        <w:rPr>
          <w:rFonts w:ascii="Verdana" w:hAnsi="Verdana" w:cs="Arial"/>
          <w:sz w:val="18"/>
          <w:szCs w:val="18"/>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5226E9">
          <w:rPr>
            <w:rStyle w:val="Hipervnculo"/>
            <w:rFonts w:ascii="Verdana" w:hAnsi="Verdana" w:cs="Arial"/>
            <w:sz w:val="18"/>
            <w:szCs w:val="18"/>
          </w:rPr>
          <w:t>https://www.colombiacompra.gov.co/sites/cce_public/files/cce_documents/cce_guia_codificacion_bienes.pdf</w:t>
        </w:r>
      </w:hyperlink>
    </w:p>
  </w:footnote>
  <w:footnote w:id="9">
    <w:p w14:paraId="2566CFE3" w14:textId="77777777" w:rsidR="00905070" w:rsidRPr="005226E9" w:rsidRDefault="00905070" w:rsidP="00905070">
      <w:pPr>
        <w:pStyle w:val="NormalWeb"/>
        <w:spacing w:before="0" w:beforeAutospacing="0" w:after="0" w:afterAutospacing="0"/>
        <w:ind w:firstLine="709"/>
        <w:jc w:val="both"/>
        <w:rPr>
          <w:rFonts w:ascii="Verdana" w:hAnsi="Verdana" w:cs="Arial"/>
          <w:color w:val="000000"/>
          <w:sz w:val="18"/>
          <w:szCs w:val="18"/>
        </w:rPr>
      </w:pPr>
      <w:r w:rsidRPr="00905070">
        <w:rPr>
          <w:rStyle w:val="Refdenotaalpie"/>
          <w:rFonts w:ascii="Verdana" w:hAnsi="Verdana" w:cs="Arial"/>
          <w:sz w:val="18"/>
          <w:szCs w:val="18"/>
        </w:rPr>
        <w:footnoteRef/>
      </w:r>
      <w:r w:rsidRPr="005226E9">
        <w:rPr>
          <w:rFonts w:ascii="Verdana" w:hAnsi="Verdana" w:cs="Arial"/>
          <w:sz w:val="18"/>
          <w:szCs w:val="18"/>
        </w:rPr>
        <w:t xml:space="preserve"> Decreto 1082 de 2015: “</w:t>
      </w:r>
      <w:r w:rsidRPr="005226E9">
        <w:rPr>
          <w:rFonts w:ascii="Verdana" w:hAnsi="Verdana" w:cs="Arial"/>
          <w:color w:val="000000"/>
          <w:sz w:val="18"/>
          <w:szCs w:val="18"/>
        </w:rPr>
        <w:t>Artículo 2.2.1.1.1.5.2. Información para inscripción, renovación o actualización</w:t>
      </w:r>
      <w:r w:rsidRPr="005226E9">
        <w:rPr>
          <w:rFonts w:ascii="Verdana" w:hAnsi="Verdana" w:cs="Arial"/>
          <w:b/>
          <w:bCs/>
          <w:color w:val="000000"/>
          <w:sz w:val="18"/>
          <w:szCs w:val="18"/>
        </w:rPr>
        <w:t>.</w:t>
      </w:r>
      <w:r w:rsidRPr="005226E9">
        <w:rPr>
          <w:rFonts w:ascii="Verdana" w:hAnsi="Verdana" w:cs="Arial"/>
          <w:b/>
          <w:bCs/>
          <w:i/>
          <w:iCs/>
          <w:color w:val="000000"/>
          <w:sz w:val="18"/>
          <w:szCs w:val="18"/>
        </w:rPr>
        <w:t> </w:t>
      </w:r>
      <w:r w:rsidRPr="005226E9">
        <w:rPr>
          <w:rFonts w:ascii="Verdana" w:hAnsi="Verdana" w:cs="Arial"/>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7441FE6B" w14:textId="77777777" w:rsidR="00905070" w:rsidRPr="005226E9" w:rsidRDefault="00905070" w:rsidP="00905070">
      <w:pPr>
        <w:spacing w:after="0" w:line="240" w:lineRule="auto"/>
        <w:ind w:firstLine="709"/>
        <w:jc w:val="both"/>
        <w:rPr>
          <w:rFonts w:ascii="Verdana" w:hAnsi="Verdana" w:cs="Arial"/>
          <w:color w:val="000000"/>
          <w:sz w:val="18"/>
          <w:szCs w:val="18"/>
          <w:lang w:eastAsia="es-CO"/>
        </w:rPr>
      </w:pPr>
      <w:r w:rsidRPr="005226E9">
        <w:rPr>
          <w:rFonts w:ascii="Verdana" w:hAnsi="Verdana" w:cs="Arial"/>
          <w:color w:val="000000"/>
          <w:sz w:val="18"/>
          <w:szCs w:val="18"/>
          <w:lang w:eastAsia="es-CO"/>
        </w:rPr>
        <w:t>  1. Si es una persona natural: </w:t>
      </w:r>
    </w:p>
    <w:p w14:paraId="22CA4F9A" w14:textId="77777777" w:rsidR="00905070" w:rsidRPr="005226E9" w:rsidRDefault="00905070" w:rsidP="00905070">
      <w:pPr>
        <w:spacing w:after="0" w:line="240" w:lineRule="auto"/>
        <w:ind w:firstLine="709"/>
        <w:jc w:val="both"/>
        <w:rPr>
          <w:rFonts w:ascii="Verdana" w:hAnsi="Verdana" w:cs="Arial"/>
          <w:color w:val="000000"/>
          <w:sz w:val="18"/>
          <w:szCs w:val="18"/>
          <w:lang w:eastAsia="es-CO"/>
        </w:rPr>
      </w:pPr>
      <w:r w:rsidRPr="005226E9">
        <w:rPr>
          <w:rFonts w:ascii="Verdana" w:hAnsi="Verdana" w:cs="Arial"/>
          <w:color w:val="000000"/>
          <w:sz w:val="18"/>
          <w:szCs w:val="18"/>
          <w:lang w:eastAsia="es-CO"/>
        </w:rPr>
        <w:t>  1.1. Bienes, obras y servicios que ofrecerá a las Entidades Estatales, identificados con el Clasificador de Bienes y Servicios en el tercer nivel. </w:t>
      </w:r>
    </w:p>
    <w:p w14:paraId="465C7CD2" w14:textId="77777777" w:rsidR="00905070" w:rsidRPr="005226E9" w:rsidRDefault="00905070" w:rsidP="00905070">
      <w:pPr>
        <w:spacing w:after="0" w:line="240" w:lineRule="auto"/>
        <w:ind w:firstLine="709"/>
        <w:jc w:val="both"/>
        <w:rPr>
          <w:rFonts w:ascii="Verdana" w:hAnsi="Verdana" w:cs="Arial"/>
          <w:color w:val="000000"/>
          <w:sz w:val="18"/>
          <w:szCs w:val="18"/>
          <w:lang w:eastAsia="es-CO"/>
        </w:rPr>
      </w:pPr>
      <w:r w:rsidRPr="005226E9">
        <w:rPr>
          <w:rFonts w:ascii="Verdana" w:hAnsi="Verdana" w:cs="Arial"/>
          <w:color w:val="000000"/>
          <w:sz w:val="18"/>
          <w:szCs w:val="18"/>
          <w:lang w:eastAsia="es-CO"/>
        </w:rPr>
        <w:t>  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652D4EC4" w14:textId="77777777" w:rsidR="00905070" w:rsidRPr="005226E9" w:rsidRDefault="00905070" w:rsidP="00905070">
      <w:pPr>
        <w:pStyle w:val="Textonotapie"/>
        <w:ind w:firstLine="709"/>
        <w:jc w:val="both"/>
        <w:rPr>
          <w:rFonts w:ascii="Verdana" w:hAnsi="Verdana" w:cs="Arial"/>
          <w:sz w:val="18"/>
          <w:szCs w:val="18"/>
        </w:rPr>
      </w:pPr>
      <w:r w:rsidRPr="005226E9">
        <w:rPr>
          <w:rFonts w:ascii="Verdana" w:hAnsi="Verdana" w:cs="Arial"/>
          <w:sz w:val="18"/>
          <w:szCs w:val="18"/>
        </w:rPr>
        <w:t xml:space="preserve"> […]</w:t>
      </w:r>
    </w:p>
    <w:p w14:paraId="1633A42D" w14:textId="77777777" w:rsidR="00905070" w:rsidRPr="005226E9" w:rsidRDefault="00905070" w:rsidP="00905070">
      <w:pPr>
        <w:pStyle w:val="Textonotapie"/>
        <w:ind w:firstLine="709"/>
        <w:jc w:val="both"/>
        <w:rPr>
          <w:rFonts w:ascii="Verdana" w:hAnsi="Verdana" w:cs="Arial"/>
          <w:color w:val="000000"/>
          <w:sz w:val="18"/>
          <w:szCs w:val="18"/>
        </w:rPr>
      </w:pPr>
      <w:r w:rsidRPr="005226E9">
        <w:rPr>
          <w:rFonts w:ascii="Verdana" w:hAnsi="Verdana" w:cs="Arial"/>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10">
    <w:p w14:paraId="562E0632" w14:textId="77777777" w:rsidR="00905070" w:rsidRPr="005226E9" w:rsidRDefault="00905070" w:rsidP="00905070">
      <w:pPr>
        <w:pStyle w:val="Textonotapie"/>
        <w:ind w:firstLine="709"/>
        <w:jc w:val="both"/>
        <w:rPr>
          <w:rFonts w:ascii="Verdana" w:hAnsi="Verdana" w:cs="Arial"/>
          <w:sz w:val="18"/>
          <w:szCs w:val="18"/>
        </w:rPr>
      </w:pPr>
      <w:r w:rsidRPr="005226E9">
        <w:rPr>
          <w:rStyle w:val="Refdenotaalpie"/>
          <w:rFonts w:ascii="Verdana" w:hAnsi="Verdana" w:cs="Arial"/>
          <w:sz w:val="18"/>
          <w:szCs w:val="18"/>
        </w:rPr>
        <w:footnoteRef/>
      </w:r>
      <w:r w:rsidRPr="005226E9">
        <w:rPr>
          <w:rFonts w:ascii="Verdana" w:hAnsi="Verdana" w:cs="Arial"/>
          <w:sz w:val="18"/>
          <w:szCs w:val="18"/>
        </w:rPr>
        <w:t xml:space="preserve"> Decreto 1082 de 2015: “Artículo 2.2.1.1.2.1.3. Pliegos de condiciones. Los pliegos de condiciones deben contener por lo menos la siguiente información:  </w:t>
      </w:r>
    </w:p>
    <w:p w14:paraId="3EB0A0AE" w14:textId="77777777" w:rsidR="00905070" w:rsidRPr="005226E9" w:rsidRDefault="00905070" w:rsidP="00905070">
      <w:pPr>
        <w:pStyle w:val="Textonotapie"/>
        <w:ind w:firstLine="709"/>
        <w:jc w:val="both"/>
        <w:rPr>
          <w:rFonts w:ascii="Verdana" w:hAnsi="Verdana" w:cs="Arial"/>
          <w:sz w:val="18"/>
          <w:szCs w:val="18"/>
        </w:rPr>
      </w:pPr>
      <w:r w:rsidRPr="005226E9">
        <w:rPr>
          <w:rFonts w:ascii="Verdana" w:hAnsi="Verdana" w:cs="Arial"/>
          <w:sz w:val="18"/>
          <w:szCs w:val="18"/>
        </w:rPr>
        <w:t>1. La descripción técnica, detallada y completa del bien o servicio objeto del contrato, identificado con el cuarto nivel del Clasificador de Bienes y Servicios, de ser posible o de lo contrario con el tercer nivel del mismo […]”.</w:t>
      </w:r>
    </w:p>
  </w:footnote>
  <w:footnote w:id="11">
    <w:p w14:paraId="1910F7FF" w14:textId="77777777" w:rsidR="00905070" w:rsidRPr="005226E9" w:rsidRDefault="00905070" w:rsidP="00905070">
      <w:pPr>
        <w:pStyle w:val="Textonotapie"/>
        <w:ind w:firstLine="709"/>
        <w:jc w:val="both"/>
        <w:rPr>
          <w:rFonts w:ascii="Verdana" w:hAnsi="Verdana" w:cs="Arial"/>
          <w:sz w:val="18"/>
          <w:szCs w:val="18"/>
          <w:u w:val="single"/>
        </w:rPr>
      </w:pPr>
      <w:r w:rsidRPr="005226E9">
        <w:rPr>
          <w:rStyle w:val="Refdenotaalpie"/>
          <w:rFonts w:ascii="Verdana" w:hAnsi="Verdana" w:cs="Arial"/>
          <w:sz w:val="18"/>
          <w:szCs w:val="18"/>
        </w:rPr>
        <w:footnoteRef/>
      </w:r>
      <w:r w:rsidRPr="005226E9">
        <w:rPr>
          <w:rFonts w:ascii="Verdana" w:hAnsi="Verdana" w:cs="Arial"/>
          <w:sz w:val="18"/>
          <w:szCs w:val="18"/>
        </w:rPr>
        <w:t xml:space="preserve"> Agencia Nacional de Contratación Pública – Colombia Compra Eficiente. Guía para la codificación de bienes y servicios de acuerdo con el código estándar de productos y servicios de Naciones Unidas, V.14.080. Disponible en: </w:t>
      </w:r>
      <w:hyperlink r:id="rId2" w:history="1">
        <w:r w:rsidRPr="005226E9">
          <w:rPr>
            <w:rStyle w:val="Hipervnculo"/>
            <w:rFonts w:ascii="Verdana" w:hAnsi="Verdana" w:cs="Arial"/>
            <w:sz w:val="18"/>
            <w:szCs w:val="18"/>
          </w:rPr>
          <w:t>https://www.colombiacompra.gov.co/sites/cce_public/files/cce_documents/cce_guia_codificacion_bienes.pdf</w:t>
        </w:r>
      </w:hyperlink>
    </w:p>
  </w:footnote>
  <w:footnote w:id="12">
    <w:p w14:paraId="3B06C1BC" w14:textId="77777777" w:rsidR="00905070" w:rsidRPr="005226E9" w:rsidRDefault="00905070" w:rsidP="00905070">
      <w:pPr>
        <w:pStyle w:val="Textonotapie"/>
        <w:ind w:firstLine="709"/>
        <w:rPr>
          <w:rFonts w:ascii="Verdana" w:hAnsi="Verdana"/>
          <w:sz w:val="18"/>
          <w:szCs w:val="18"/>
          <w:lang w:val="es-CO"/>
        </w:rPr>
      </w:pPr>
      <w:r w:rsidRPr="005226E9">
        <w:rPr>
          <w:rStyle w:val="Refdenotaalpie"/>
          <w:rFonts w:ascii="Verdana" w:hAnsi="Verdana"/>
          <w:sz w:val="18"/>
          <w:szCs w:val="18"/>
        </w:rPr>
        <w:footnoteRef/>
      </w:r>
      <w:r w:rsidRPr="005226E9">
        <w:rPr>
          <w:rFonts w:ascii="Verdana" w:hAnsi="Verdana"/>
          <w:sz w:val="18"/>
          <w:szCs w:val="18"/>
        </w:rPr>
        <w:t xml:space="preserve"> Consejo de Estado. Sección Tercera. Sentencia del 27 de abril de 2011. Exp. 18.293. C.P. Ruth Stella Correa Palacio.</w:t>
      </w:r>
    </w:p>
  </w:footnote>
  <w:footnote w:id="13">
    <w:p w14:paraId="0D4329CF" w14:textId="77777777" w:rsidR="00905070" w:rsidRPr="005226E9" w:rsidRDefault="00905070" w:rsidP="00905070">
      <w:pPr>
        <w:pStyle w:val="Textonotapie"/>
        <w:ind w:firstLine="709"/>
        <w:rPr>
          <w:rFonts w:ascii="Verdana" w:hAnsi="Verdana"/>
          <w:sz w:val="18"/>
          <w:szCs w:val="18"/>
        </w:rPr>
      </w:pPr>
      <w:r w:rsidRPr="005226E9">
        <w:rPr>
          <w:rStyle w:val="Refdenotaalpie"/>
          <w:rFonts w:ascii="Verdana" w:hAnsi="Verdana"/>
          <w:sz w:val="18"/>
          <w:szCs w:val="18"/>
        </w:rPr>
        <w:footnoteRef/>
      </w:r>
      <w:r w:rsidRPr="005226E9">
        <w:rPr>
          <w:rFonts w:ascii="Verdana" w:hAnsi="Verdana"/>
          <w:sz w:val="18"/>
          <w:szCs w:val="18"/>
        </w:rPr>
        <w:t xml:space="preserve"> Consejo de Estado. Sección Tercera. Sentencia del 21 de noviembre de 2013 Exp. 25397. C.P. Carlos Alberto Zambrano Barrera.</w:t>
      </w:r>
    </w:p>
  </w:footnote>
  <w:footnote w:id="14">
    <w:p w14:paraId="64A79BE0" w14:textId="77777777" w:rsidR="00905070" w:rsidRPr="005226E9" w:rsidRDefault="00905070" w:rsidP="00905070">
      <w:pPr>
        <w:pStyle w:val="Textonotapie"/>
        <w:ind w:firstLine="709"/>
        <w:jc w:val="both"/>
        <w:rPr>
          <w:rFonts w:ascii="Verdana" w:eastAsia="Calibri" w:hAnsi="Verdana" w:cs="Arial"/>
          <w:color w:val="000000"/>
          <w:sz w:val="18"/>
          <w:szCs w:val="18"/>
        </w:rPr>
      </w:pPr>
      <w:r w:rsidRPr="005226E9">
        <w:rPr>
          <w:rStyle w:val="Refdenotaalpie"/>
          <w:rFonts w:ascii="Verdana" w:hAnsi="Verdana" w:cs="Arial"/>
          <w:color w:val="000000"/>
          <w:sz w:val="18"/>
          <w:szCs w:val="18"/>
        </w:rPr>
        <w:footnoteRef/>
      </w:r>
      <w:r w:rsidRPr="005226E9">
        <w:rPr>
          <w:rFonts w:ascii="Verdana" w:hAnsi="Verdana" w:cs="Arial"/>
          <w:color w:val="000000"/>
          <w:sz w:val="18"/>
          <w:szCs w:val="18"/>
        </w:rPr>
        <w:t xml:space="preserve"> </w:t>
      </w:r>
      <w:r w:rsidRPr="005226E9">
        <w:rPr>
          <w:rFonts w:ascii="Verdana" w:eastAsia="Calibri" w:hAnsi="Verdana" w:cs="Arial"/>
          <w:color w:val="000000"/>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0D13CAA0" w14:textId="77777777" w:rsidR="00905070" w:rsidRPr="005226E9" w:rsidRDefault="00905070" w:rsidP="00905070">
      <w:pPr>
        <w:pStyle w:val="Textonotapie"/>
        <w:ind w:firstLine="709"/>
        <w:jc w:val="both"/>
        <w:rPr>
          <w:rFonts w:ascii="Verdana" w:eastAsia="Calibri" w:hAnsi="Verdana" w:cs="Arial"/>
          <w:color w:val="000000"/>
          <w:sz w:val="18"/>
          <w:szCs w:val="18"/>
        </w:rPr>
      </w:pPr>
      <w:r w:rsidRPr="005226E9">
        <w:rPr>
          <w:rFonts w:ascii="Verdana" w:eastAsia="Calibri" w:hAnsi="Verdana" w:cs="Arial"/>
          <w:color w:val="000000"/>
          <w:sz w:val="18"/>
          <w:szCs w:val="18"/>
        </w:rPr>
        <w:t>[…]</w:t>
      </w:r>
    </w:p>
    <w:p w14:paraId="4B512554" w14:textId="77777777" w:rsidR="00905070" w:rsidRPr="005226E9" w:rsidRDefault="00905070" w:rsidP="00905070">
      <w:pPr>
        <w:pStyle w:val="Textonotapie"/>
        <w:ind w:firstLine="709"/>
        <w:jc w:val="both"/>
        <w:rPr>
          <w:rFonts w:ascii="Verdana" w:hAnsi="Verdana" w:cs="Arial"/>
          <w:color w:val="000000"/>
          <w:sz w:val="18"/>
          <w:szCs w:val="18"/>
          <w:lang w:val="es-CO"/>
        </w:rPr>
      </w:pPr>
      <w:r w:rsidRPr="005226E9">
        <w:rPr>
          <w:rFonts w:ascii="Verdana" w:eastAsia="Calibri" w:hAnsi="Verdana" w:cs="Arial"/>
          <w:color w:val="000000"/>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5226E9">
        <w:rPr>
          <w:rFonts w:ascii="Verdana" w:hAnsi="Verdana" w:cs="Arial"/>
          <w:color w:val="000000"/>
          <w:sz w:val="18"/>
          <w:szCs w:val="18"/>
          <w:lang w:val="es-CO"/>
        </w:rPr>
        <w:t xml:space="preserve"> </w:t>
      </w:r>
    </w:p>
  </w:footnote>
  <w:footnote w:id="15">
    <w:p w14:paraId="0311F31E" w14:textId="77777777" w:rsidR="00905070" w:rsidRPr="005226E9" w:rsidRDefault="00905070" w:rsidP="00905070">
      <w:pPr>
        <w:pStyle w:val="Textonotapie"/>
        <w:ind w:firstLine="709"/>
        <w:jc w:val="both"/>
        <w:rPr>
          <w:rFonts w:ascii="Verdana" w:hAnsi="Verdana" w:cs="Arial"/>
          <w:color w:val="000000"/>
          <w:sz w:val="18"/>
          <w:szCs w:val="18"/>
          <w:lang w:val="es-CO"/>
        </w:rPr>
      </w:pPr>
      <w:r w:rsidRPr="005226E9">
        <w:rPr>
          <w:rFonts w:ascii="Verdana" w:eastAsia="Calibri" w:hAnsi="Verdana" w:cs="Arial"/>
          <w:color w:val="000000"/>
          <w:sz w:val="18"/>
          <w:szCs w:val="18"/>
          <w:vertAlign w:val="superscript"/>
        </w:rPr>
        <w:footnoteRef/>
      </w:r>
      <w:r w:rsidRPr="005226E9">
        <w:rPr>
          <w:rFonts w:ascii="Verdana" w:eastAsia="Calibri" w:hAnsi="Verdana" w:cs="Arial"/>
          <w:color w:val="000000"/>
          <w:sz w:val="18"/>
          <w:szCs w:val="18"/>
          <w:vertAlign w:val="superscript"/>
        </w:rPr>
        <w:t xml:space="preserve"> </w:t>
      </w:r>
      <w:r w:rsidRPr="005226E9">
        <w:rPr>
          <w:rFonts w:ascii="Verdana" w:eastAsia="Calibri" w:hAnsi="Verdana" w:cs="Arial"/>
          <w:color w:val="000000"/>
          <w:sz w:val="18"/>
          <w:szCs w:val="18"/>
        </w:rPr>
        <w:t xml:space="preserve">Consejo de Estado. Sección Tercera. Sentencia del 26 de junio de 2003. Rad. 13.354. C.P: María Elena Giraldo Gómez. </w:t>
      </w:r>
    </w:p>
  </w:footnote>
  <w:footnote w:id="16">
    <w:p w14:paraId="62A87314" w14:textId="77777777" w:rsidR="00905070" w:rsidRPr="00542986" w:rsidRDefault="00905070" w:rsidP="00905070">
      <w:pPr>
        <w:pStyle w:val="Textonotapie"/>
        <w:ind w:firstLine="709"/>
        <w:jc w:val="both"/>
        <w:rPr>
          <w:rFonts w:ascii="Verdana" w:hAnsi="Verdana" w:cs="Arial"/>
          <w:color w:val="000000"/>
          <w:sz w:val="18"/>
          <w:szCs w:val="18"/>
        </w:rPr>
      </w:pPr>
      <w:r w:rsidRPr="00542986">
        <w:rPr>
          <w:rStyle w:val="Refdenotaalpie"/>
          <w:rFonts w:ascii="Verdana" w:hAnsi="Verdana" w:cs="Arial"/>
          <w:sz w:val="18"/>
          <w:szCs w:val="18"/>
        </w:rPr>
        <w:footnoteRef/>
      </w:r>
      <w:r w:rsidRPr="00542986">
        <w:rPr>
          <w:rFonts w:ascii="Verdana" w:hAnsi="Verdana" w:cs="Arial"/>
          <w:sz w:val="18"/>
          <w:szCs w:val="18"/>
        </w:rPr>
        <w:t xml:space="preserve"> </w:t>
      </w:r>
      <w:r w:rsidRPr="00542986">
        <w:rPr>
          <w:rFonts w:ascii="Verdana" w:hAnsi="Verdana" w:cs="Arial"/>
          <w:color w:val="000000"/>
          <w:sz w:val="18"/>
          <w:szCs w:val="18"/>
        </w:rPr>
        <w:t>En armonía con lo anterior, actualmente la Circular Única</w:t>
      </w:r>
      <w:r>
        <w:rPr>
          <w:rFonts w:ascii="Verdana" w:hAnsi="Verdana" w:cs="Arial"/>
          <w:color w:val="000000"/>
          <w:sz w:val="18"/>
          <w:szCs w:val="18"/>
        </w:rPr>
        <w:t xml:space="preserve"> Externa</w:t>
      </w:r>
      <w:r w:rsidRPr="00542986">
        <w:rPr>
          <w:rFonts w:ascii="Verdana" w:hAnsi="Verdana" w:cs="Arial"/>
          <w:color w:val="000000"/>
          <w:sz w:val="18"/>
          <w:szCs w:val="18"/>
        </w:rPr>
        <w:t xml:space="preserve">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7353B469" w14:textId="77777777" w:rsidR="00905070" w:rsidRPr="00542986" w:rsidRDefault="00905070" w:rsidP="00905070">
      <w:pPr>
        <w:pStyle w:val="Textonotapie"/>
        <w:ind w:firstLine="709"/>
        <w:jc w:val="both"/>
        <w:rPr>
          <w:rFonts w:ascii="Verdana" w:hAnsi="Verdana" w:cs="Arial"/>
          <w:color w:val="000000"/>
          <w:sz w:val="18"/>
          <w:szCs w:val="18"/>
        </w:rPr>
      </w:pPr>
      <w:r w:rsidRPr="00542986">
        <w:rPr>
          <w:rFonts w:ascii="Verdana" w:hAnsi="Verdana" w:cs="Arial"/>
          <w:color w:val="000000"/>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w:t>
      </w:r>
      <w:r>
        <w:rPr>
          <w:rFonts w:ascii="Verdana" w:hAnsi="Verdana" w:cs="Arial"/>
          <w:color w:val="000000"/>
          <w:sz w:val="18"/>
          <w:szCs w:val="18"/>
        </w:rPr>
        <w:t>«</w:t>
      </w:r>
      <w:r w:rsidRPr="00542986">
        <w:rPr>
          <w:rFonts w:ascii="Verdana" w:hAnsi="Verdana" w:cs="Arial"/>
          <w:color w:val="000000"/>
          <w:sz w:val="18"/>
          <w:szCs w:val="18"/>
        </w:rPr>
        <w:t>circunstancias ocurridas con posterioridad al cierre del proceso</w:t>
      </w:r>
      <w:r>
        <w:rPr>
          <w:rFonts w:ascii="Verdana" w:hAnsi="Verdana" w:cs="Arial"/>
          <w:color w:val="000000"/>
          <w:sz w:val="18"/>
          <w:szCs w:val="18"/>
        </w:rPr>
        <w:t>»</w:t>
      </w:r>
      <w:r w:rsidRPr="00542986">
        <w:rPr>
          <w:rFonts w:ascii="Verdana" w:hAnsi="Verdana" w:cs="Arial"/>
          <w:color w:val="000000"/>
          <w:sz w:val="18"/>
          <w:szCs w:val="18"/>
        </w:rPr>
        <w:t xml:space="preserve">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w:t>
      </w:r>
      <w:r>
        <w:rPr>
          <w:rFonts w:ascii="Verdana" w:hAnsi="Verdana" w:cs="Arial"/>
          <w:color w:val="000000"/>
          <w:sz w:val="18"/>
          <w:szCs w:val="18"/>
        </w:rPr>
        <w:t xml:space="preserve">: </w:t>
      </w:r>
      <w:hyperlink r:id="rId3" w:history="1">
        <w:r w:rsidRPr="0019699B">
          <w:rPr>
            <w:rStyle w:val="Hipervnculo"/>
            <w:rFonts w:ascii="Verdana" w:hAnsi="Verdana" w:cs="Arial"/>
            <w:sz w:val="18"/>
            <w:szCs w:val="18"/>
          </w:rPr>
          <w:t>https://www.colombiacompra.gov.co/circulares</w:t>
        </w:r>
      </w:hyperlink>
      <w:r>
        <w:rPr>
          <w:rFonts w:ascii="Verdana" w:hAnsi="Verdana" w:cs="Arial"/>
          <w:color w:val="000000"/>
          <w:sz w:val="18"/>
          <w:szCs w:val="18"/>
        </w:rPr>
        <w:t xml:space="preserve">. </w:t>
      </w:r>
    </w:p>
  </w:footnote>
  <w:footnote w:id="17">
    <w:p w14:paraId="6D3D116F" w14:textId="77777777" w:rsidR="00905070" w:rsidRPr="00542986" w:rsidRDefault="00905070" w:rsidP="00905070">
      <w:pPr>
        <w:pStyle w:val="Textonotapie"/>
        <w:ind w:firstLine="709"/>
        <w:jc w:val="both"/>
        <w:rPr>
          <w:rFonts w:ascii="Verdana" w:hAnsi="Verdana" w:cs="Arial"/>
          <w:color w:val="000000"/>
          <w:sz w:val="18"/>
          <w:szCs w:val="18"/>
        </w:rPr>
      </w:pPr>
      <w:r w:rsidRPr="00542986">
        <w:rPr>
          <w:rStyle w:val="Refdenotaalpie"/>
          <w:rFonts w:ascii="Verdana" w:hAnsi="Verdana" w:cs="Arial"/>
          <w:color w:val="000000"/>
          <w:sz w:val="18"/>
          <w:szCs w:val="18"/>
        </w:rPr>
        <w:footnoteRef/>
      </w:r>
      <w:r w:rsidRPr="00542986">
        <w:rPr>
          <w:rFonts w:ascii="Verdana" w:hAnsi="Verdana" w:cs="Arial"/>
          <w:color w:val="000000"/>
          <w:sz w:val="18"/>
          <w:szCs w:val="18"/>
        </w:rPr>
        <w:t xml:space="preserve"> Ver CONSEJO DE ESTADO, Sección Tercera, Subsección C. Sentencia del 26 de febrero de 2011. C.P. Jaime Orlando Santofimio. Rad. 36.408. </w:t>
      </w:r>
    </w:p>
  </w:footnote>
  <w:footnote w:id="18">
    <w:p w14:paraId="5AD2C1BD" w14:textId="77777777" w:rsidR="00905070" w:rsidRPr="00542986" w:rsidRDefault="00905070" w:rsidP="00905070">
      <w:pPr>
        <w:pStyle w:val="Textonotapie"/>
        <w:tabs>
          <w:tab w:val="left" w:pos="3585"/>
        </w:tabs>
        <w:jc w:val="both"/>
        <w:rPr>
          <w:rFonts w:ascii="Verdana" w:hAnsi="Verdana" w:cs="Arial"/>
          <w:color w:val="000000"/>
          <w:sz w:val="18"/>
          <w:szCs w:val="18"/>
        </w:rPr>
      </w:pPr>
    </w:p>
    <w:p w14:paraId="625F5795" w14:textId="77777777" w:rsidR="00905070" w:rsidRPr="00542986" w:rsidRDefault="00905070" w:rsidP="00905070">
      <w:pPr>
        <w:pStyle w:val="Textonotapie"/>
        <w:ind w:firstLine="709"/>
        <w:jc w:val="both"/>
        <w:rPr>
          <w:rFonts w:ascii="Verdana" w:hAnsi="Verdana" w:cs="Arial"/>
          <w:color w:val="000000"/>
          <w:sz w:val="18"/>
          <w:szCs w:val="18"/>
        </w:rPr>
      </w:pPr>
      <w:r w:rsidRPr="00542986">
        <w:rPr>
          <w:rStyle w:val="Refdenotaalpie"/>
          <w:rFonts w:ascii="Verdana" w:hAnsi="Verdana" w:cs="Arial"/>
          <w:color w:val="000000"/>
          <w:sz w:val="18"/>
          <w:szCs w:val="18"/>
        </w:rPr>
        <w:footnoteRef/>
      </w:r>
      <w:r w:rsidRPr="00542986">
        <w:rPr>
          <w:rFonts w:ascii="Verdana" w:hAnsi="Verdana" w:cs="Arial"/>
          <w:color w:val="000000"/>
          <w:sz w:val="18"/>
          <w:szCs w:val="18"/>
        </w:rPr>
        <w:t xml:space="preserve"> Ver CONSEJO DE ESTADO, Sección Tercera, Subsección C. Sentencia del 26 de febrero de 2014. C.P. Enrique Gil Botero. Rad. 25.804. </w:t>
      </w:r>
    </w:p>
  </w:footnote>
  <w:footnote w:id="19">
    <w:p w14:paraId="7EAFECDB" w14:textId="77777777" w:rsidR="00905070" w:rsidRPr="00B74530" w:rsidRDefault="00905070" w:rsidP="00905070">
      <w:pPr>
        <w:pStyle w:val="Textonotapie"/>
        <w:ind w:firstLine="708"/>
        <w:jc w:val="both"/>
        <w:rPr>
          <w:rFonts w:ascii="Verdana" w:hAnsi="Verdana" w:cs="Arial"/>
          <w:color w:val="000000"/>
          <w:sz w:val="16"/>
          <w:szCs w:val="16"/>
        </w:rPr>
      </w:pPr>
      <w:r w:rsidRPr="00542986">
        <w:rPr>
          <w:rStyle w:val="Refdenotaalpie"/>
          <w:rFonts w:ascii="Verdana" w:hAnsi="Verdana" w:cs="Arial"/>
          <w:color w:val="000000"/>
          <w:sz w:val="18"/>
          <w:szCs w:val="18"/>
        </w:rPr>
        <w:footnoteRef/>
      </w:r>
      <w:r w:rsidRPr="00542986">
        <w:rPr>
          <w:rFonts w:ascii="Verdana" w:hAnsi="Verdana" w:cs="Arial"/>
          <w:color w:val="000000"/>
          <w:sz w:val="18"/>
          <w:szCs w:val="18"/>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8" type="#_x0000_t75" style="width:7.65pt;height:7.6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D50B84"/>
    <w:multiLevelType w:val="hybridMultilevel"/>
    <w:tmpl w:val="3FEC8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101569"/>
    <w:multiLevelType w:val="hybridMultilevel"/>
    <w:tmpl w:val="09A8C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5AF195D"/>
    <w:multiLevelType w:val="hybridMultilevel"/>
    <w:tmpl w:val="AEB84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847D0"/>
    <w:multiLevelType w:val="hybridMultilevel"/>
    <w:tmpl w:val="7942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8323B"/>
    <w:multiLevelType w:val="hybridMultilevel"/>
    <w:tmpl w:val="89E6B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8"/>
  </w:num>
  <w:num w:numId="8" w16cid:durableId="152644682">
    <w:abstractNumId w:val="17"/>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5"/>
  </w:num>
  <w:num w:numId="14" w16cid:durableId="895897244">
    <w:abstractNumId w:val="19"/>
  </w:num>
  <w:num w:numId="15" w16cid:durableId="390349800">
    <w:abstractNumId w:val="14"/>
  </w:num>
  <w:num w:numId="16" w16cid:durableId="341274352">
    <w:abstractNumId w:val="0"/>
  </w:num>
  <w:num w:numId="17" w16cid:durableId="679089576">
    <w:abstractNumId w:val="12"/>
  </w:num>
  <w:num w:numId="18" w16cid:durableId="23948561">
    <w:abstractNumId w:val="20"/>
  </w:num>
  <w:num w:numId="19" w16cid:durableId="1290863605">
    <w:abstractNumId w:val="16"/>
  </w:num>
  <w:num w:numId="20" w16cid:durableId="1492209491">
    <w:abstractNumId w:val="7"/>
  </w:num>
  <w:num w:numId="21" w16cid:durableId="866874951">
    <w:abstractNumId w:val="13"/>
  </w:num>
  <w:num w:numId="22" w16cid:durableId="146944323">
    <w:abstractNumId w:val="3"/>
  </w:num>
  <w:num w:numId="23" w16cid:durableId="742719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5DE2"/>
    <w:rsid w:val="00061B2A"/>
    <w:rsid w:val="00063B0A"/>
    <w:rsid w:val="00082362"/>
    <w:rsid w:val="000848DD"/>
    <w:rsid w:val="000A683E"/>
    <w:rsid w:val="000B19B9"/>
    <w:rsid w:val="000D0334"/>
    <w:rsid w:val="000F6486"/>
    <w:rsid w:val="00125105"/>
    <w:rsid w:val="00127233"/>
    <w:rsid w:val="00136C10"/>
    <w:rsid w:val="00143A44"/>
    <w:rsid w:val="001807CA"/>
    <w:rsid w:val="001E4177"/>
    <w:rsid w:val="001F7DC6"/>
    <w:rsid w:val="002421BB"/>
    <w:rsid w:val="0025796E"/>
    <w:rsid w:val="002707A2"/>
    <w:rsid w:val="00284406"/>
    <w:rsid w:val="00294775"/>
    <w:rsid w:val="002951A0"/>
    <w:rsid w:val="002962BC"/>
    <w:rsid w:val="002A093D"/>
    <w:rsid w:val="002A0DD0"/>
    <w:rsid w:val="002A49AC"/>
    <w:rsid w:val="002A64FD"/>
    <w:rsid w:val="002C7A84"/>
    <w:rsid w:val="002E4FD9"/>
    <w:rsid w:val="00317DBD"/>
    <w:rsid w:val="00322A85"/>
    <w:rsid w:val="00324168"/>
    <w:rsid w:val="003448F4"/>
    <w:rsid w:val="00374F5E"/>
    <w:rsid w:val="00377E3E"/>
    <w:rsid w:val="003977C0"/>
    <w:rsid w:val="003A26D1"/>
    <w:rsid w:val="003A779E"/>
    <w:rsid w:val="003D085B"/>
    <w:rsid w:val="003D0F4D"/>
    <w:rsid w:val="003D5B0D"/>
    <w:rsid w:val="003E0499"/>
    <w:rsid w:val="003F3941"/>
    <w:rsid w:val="00406575"/>
    <w:rsid w:val="00426DE3"/>
    <w:rsid w:val="0042722E"/>
    <w:rsid w:val="0044528D"/>
    <w:rsid w:val="004536C4"/>
    <w:rsid w:val="004A1847"/>
    <w:rsid w:val="004A305D"/>
    <w:rsid w:val="004F21C4"/>
    <w:rsid w:val="004F685F"/>
    <w:rsid w:val="005566E8"/>
    <w:rsid w:val="00574867"/>
    <w:rsid w:val="0058040F"/>
    <w:rsid w:val="00580B00"/>
    <w:rsid w:val="00591460"/>
    <w:rsid w:val="00592628"/>
    <w:rsid w:val="005C3777"/>
    <w:rsid w:val="005C5CDC"/>
    <w:rsid w:val="005D476C"/>
    <w:rsid w:val="00610812"/>
    <w:rsid w:val="006219F8"/>
    <w:rsid w:val="00650FF7"/>
    <w:rsid w:val="00665D70"/>
    <w:rsid w:val="00671DAC"/>
    <w:rsid w:val="00676A5C"/>
    <w:rsid w:val="006900D9"/>
    <w:rsid w:val="006D12F8"/>
    <w:rsid w:val="006E44FD"/>
    <w:rsid w:val="00706C16"/>
    <w:rsid w:val="00756841"/>
    <w:rsid w:val="007649AB"/>
    <w:rsid w:val="00771D0C"/>
    <w:rsid w:val="007833AC"/>
    <w:rsid w:val="007B268C"/>
    <w:rsid w:val="007B7171"/>
    <w:rsid w:val="007C0C0F"/>
    <w:rsid w:val="007C3DC2"/>
    <w:rsid w:val="007E5497"/>
    <w:rsid w:val="00806F5F"/>
    <w:rsid w:val="00820278"/>
    <w:rsid w:val="008301E3"/>
    <w:rsid w:val="00842BFE"/>
    <w:rsid w:val="0088399D"/>
    <w:rsid w:val="008843B6"/>
    <w:rsid w:val="00891928"/>
    <w:rsid w:val="008A446D"/>
    <w:rsid w:val="008A7FE1"/>
    <w:rsid w:val="008C7E5A"/>
    <w:rsid w:val="008D180B"/>
    <w:rsid w:val="008E4C32"/>
    <w:rsid w:val="008F0C7C"/>
    <w:rsid w:val="008F0EA7"/>
    <w:rsid w:val="00905070"/>
    <w:rsid w:val="00923EEF"/>
    <w:rsid w:val="009419F9"/>
    <w:rsid w:val="0095685E"/>
    <w:rsid w:val="00961B09"/>
    <w:rsid w:val="00965334"/>
    <w:rsid w:val="0097093E"/>
    <w:rsid w:val="00976A77"/>
    <w:rsid w:val="009A0DFA"/>
    <w:rsid w:val="009B2D26"/>
    <w:rsid w:val="009C71FA"/>
    <w:rsid w:val="009C72E7"/>
    <w:rsid w:val="009D26BB"/>
    <w:rsid w:val="009D3058"/>
    <w:rsid w:val="009F3A13"/>
    <w:rsid w:val="00A122D3"/>
    <w:rsid w:val="00A17F13"/>
    <w:rsid w:val="00A20739"/>
    <w:rsid w:val="00A33C78"/>
    <w:rsid w:val="00A55C93"/>
    <w:rsid w:val="00A82452"/>
    <w:rsid w:val="00AB0ADB"/>
    <w:rsid w:val="00AE485C"/>
    <w:rsid w:val="00AF2532"/>
    <w:rsid w:val="00B01B1A"/>
    <w:rsid w:val="00B472B8"/>
    <w:rsid w:val="00B72CD3"/>
    <w:rsid w:val="00B72FFF"/>
    <w:rsid w:val="00BA40D0"/>
    <w:rsid w:val="00BB0205"/>
    <w:rsid w:val="00BC3D36"/>
    <w:rsid w:val="00BD7F72"/>
    <w:rsid w:val="00C04FB3"/>
    <w:rsid w:val="00C330EB"/>
    <w:rsid w:val="00C754BE"/>
    <w:rsid w:val="00C76B1C"/>
    <w:rsid w:val="00C87F37"/>
    <w:rsid w:val="00CB6357"/>
    <w:rsid w:val="00CC1B26"/>
    <w:rsid w:val="00D423A2"/>
    <w:rsid w:val="00D520D8"/>
    <w:rsid w:val="00D63AC2"/>
    <w:rsid w:val="00D7383B"/>
    <w:rsid w:val="00DA231B"/>
    <w:rsid w:val="00DA23A0"/>
    <w:rsid w:val="00DC39FC"/>
    <w:rsid w:val="00DD3133"/>
    <w:rsid w:val="00DF5254"/>
    <w:rsid w:val="00E16408"/>
    <w:rsid w:val="00E20894"/>
    <w:rsid w:val="00E245AB"/>
    <w:rsid w:val="00E2764C"/>
    <w:rsid w:val="00E27F2E"/>
    <w:rsid w:val="00E413EA"/>
    <w:rsid w:val="00E50AFE"/>
    <w:rsid w:val="00E65080"/>
    <w:rsid w:val="00E75C92"/>
    <w:rsid w:val="00E771DC"/>
    <w:rsid w:val="00E8772A"/>
    <w:rsid w:val="00E90F6B"/>
    <w:rsid w:val="00E92C27"/>
    <w:rsid w:val="00EA0E3D"/>
    <w:rsid w:val="00EC38A7"/>
    <w:rsid w:val="00ED278D"/>
    <w:rsid w:val="00EE1AA8"/>
    <w:rsid w:val="00EE2D55"/>
    <w:rsid w:val="00F31EDC"/>
    <w:rsid w:val="00F462B3"/>
    <w:rsid w:val="00F5664F"/>
    <w:rsid w:val="00F666C4"/>
    <w:rsid w:val="00F76AFC"/>
    <w:rsid w:val="00FA1BA8"/>
    <w:rsid w:val="00FA44C1"/>
    <w:rsid w:val="00FA47C0"/>
    <w:rsid w:val="00FB5DD1"/>
    <w:rsid w:val="00FC2B5D"/>
    <w:rsid w:val="00FF1449"/>
    <w:rsid w:val="3FEB7173"/>
    <w:rsid w:val="5CEADB7B"/>
    <w:rsid w:val="68E825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FEAC7608-4F2F-EB4A-A03F-BB5DE678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05070"/>
    <w:pPr>
      <w:spacing w:after="0" w:line="240" w:lineRule="exact"/>
    </w:pPr>
    <w:rPr>
      <w:vertAlign w:val="superscript"/>
    </w:rPr>
  </w:style>
  <w:style w:type="character" w:customStyle="1" w:styleId="NormalWebCar">
    <w:name w:val="Normal (Web) Car"/>
    <w:link w:val="NormalWeb"/>
    <w:uiPriority w:val="99"/>
    <w:rsid w:val="0090507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650">
      <w:bodyDiv w:val="1"/>
      <w:marLeft w:val="0"/>
      <w:marRight w:val="0"/>
      <w:marTop w:val="0"/>
      <w:marBottom w:val="0"/>
      <w:divBdr>
        <w:top w:val="none" w:sz="0" w:space="0" w:color="auto"/>
        <w:left w:val="none" w:sz="0" w:space="0" w:color="auto"/>
        <w:bottom w:val="none" w:sz="0" w:space="0" w:color="auto"/>
        <w:right w:val="none" w:sz="0" w:space="0" w:color="auto"/>
      </w:divBdr>
      <w:divsChild>
        <w:div w:id="237255160">
          <w:marLeft w:val="0"/>
          <w:marRight w:val="0"/>
          <w:marTop w:val="0"/>
          <w:marBottom w:val="160"/>
          <w:divBdr>
            <w:top w:val="none" w:sz="0" w:space="0" w:color="auto"/>
            <w:left w:val="none" w:sz="0" w:space="0" w:color="auto"/>
            <w:bottom w:val="none" w:sz="0" w:space="0" w:color="auto"/>
            <w:right w:val="none" w:sz="0" w:space="0" w:color="auto"/>
          </w:divBdr>
        </w:div>
        <w:div w:id="401637261">
          <w:marLeft w:val="0"/>
          <w:marRight w:val="0"/>
          <w:marTop w:val="0"/>
          <w:marBottom w:val="160"/>
          <w:divBdr>
            <w:top w:val="none" w:sz="0" w:space="0" w:color="auto"/>
            <w:left w:val="none" w:sz="0" w:space="0" w:color="auto"/>
            <w:bottom w:val="none" w:sz="0" w:space="0" w:color="auto"/>
            <w:right w:val="none" w:sz="0" w:space="0" w:color="auto"/>
          </w:divBdr>
        </w:div>
        <w:div w:id="1881739769">
          <w:marLeft w:val="0"/>
          <w:marRight w:val="0"/>
          <w:marTop w:val="0"/>
          <w:marBottom w:val="16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18128839">
      <w:bodyDiv w:val="1"/>
      <w:marLeft w:val="0"/>
      <w:marRight w:val="0"/>
      <w:marTop w:val="0"/>
      <w:marBottom w:val="0"/>
      <w:divBdr>
        <w:top w:val="none" w:sz="0" w:space="0" w:color="auto"/>
        <w:left w:val="none" w:sz="0" w:space="0" w:color="auto"/>
        <w:bottom w:val="none" w:sz="0" w:space="0" w:color="auto"/>
        <w:right w:val="none" w:sz="0" w:space="0" w:color="auto"/>
      </w:divBdr>
      <w:divsChild>
        <w:div w:id="137115611">
          <w:marLeft w:val="0"/>
          <w:marRight w:val="0"/>
          <w:marTop w:val="0"/>
          <w:marBottom w:val="160"/>
          <w:divBdr>
            <w:top w:val="none" w:sz="0" w:space="0" w:color="auto"/>
            <w:left w:val="none" w:sz="0" w:space="0" w:color="auto"/>
            <w:bottom w:val="none" w:sz="0" w:space="0" w:color="auto"/>
            <w:right w:val="none" w:sz="0" w:space="0" w:color="auto"/>
          </w:divBdr>
        </w:div>
        <w:div w:id="1389380023">
          <w:marLeft w:val="0"/>
          <w:marRight w:val="0"/>
          <w:marTop w:val="0"/>
          <w:marBottom w:val="160"/>
          <w:divBdr>
            <w:top w:val="none" w:sz="0" w:space="0" w:color="auto"/>
            <w:left w:val="none" w:sz="0" w:space="0" w:color="auto"/>
            <w:bottom w:val="none" w:sz="0" w:space="0" w:color="auto"/>
            <w:right w:val="none" w:sz="0" w:space="0" w:color="auto"/>
          </w:divBdr>
        </w:div>
        <w:div w:id="1646661923">
          <w:marLeft w:val="0"/>
          <w:marRight w:val="0"/>
          <w:marTop w:val="0"/>
          <w:marBottom w:val="16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04-documentos-tipo-para-seleccion-abreviada-de-menor-cuantia-de-infraestructura-de" TargetMode="External"/><Relationship Id="rId18" Type="http://schemas.openxmlformats.org/officeDocument/2006/relationships/hyperlink" Target="https://nam02.safelinks.protection.outlook.com/?url=https%3A%2F%2Fwww.colombiacompra.gov.co%2Fsala-de-prensa%2Fboletin-digital&amp;data=05%7C02%7Cmartha.romero%40colombiacompra.gov.co%7C096eca3fdcca424ff1c708dcf932f947%7C7b09041e245149d08cb179d5e3d8c1be%7C0%7C0%7C638659244552928106%7CUnknown%7CTWFpbGZsb3d8eyJWIjoiMC4wLjAwMDAiLCJQIjoiV2luMzIiLCJBTiI6Ik1haWwiLCJXVCI6Mn0%3D%7C0%7C%7C%7C&amp;sdata=%2FsXxOGDtcuPd7cHSkJ9E8SOdCUfyYCL5bGgneYks0p0%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lombiacompra.gov.co/clasificador-de-bienes-y-Servicios" TargetMode="External"/><Relationship Id="rId17" Type="http://schemas.openxmlformats.org/officeDocument/2006/relationships/hyperlink" Target="https://nam02.safelinks.protection.outlook.com/?url=https%3A%2F%2Fwww.sucop.gov.co%2Fentidades%2Fcolombiacompra%2FNormativa%3FIDNorma%3D18320&amp;data=05%7C02%7Cmartha.romero%40colombiacompra.gov.co%7C096eca3fdcca424ff1c708dcf932f947%7C7b09041e245149d08cb179d5e3d8c1be%7C0%7C0%7C638659244552906912%7CUnknown%7CTWFpbGZsb3d8eyJWIjoiMC4wLjAwMDAiLCJQIjoiV2luMzIiLCJBTiI6Ik1haWwiLCJXVCI6Mn0%3D%7C0%7C%7C%7C&amp;sdata=OYyVv2pRNcn2%2F%2FyhAJINqYnPZZqzX1CN6ocXUiHsWac%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interventoria-de-obra-publica-de-infraestructura-de&amp;data=05%7C02%7Cmartha.romero%40colombiacompra.gov.co%7C096eca3fdcca424ff1c708dcf932f947%7C7b09041e245149d08cb179d5e3d8c1be%7C0%7C0%7C638659244552884080%7CUnknown%7CTWFpbGZsb3d8eyJWIjoiMC4wLjAwMDAiLCJQIjoiV2luMzIiLCJBTiI6Ik1haWwiLCJXVCI6Mn0%3D%7C0%7C%7C%7C&amp;sdata=XsNka7krIuxgBudwfgufynfg9HyP4uW8mEt%2FO4dyJ%2FE%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documents/cce_guia_codificacion_bienes.pdf" TargetMode="External"/><Relationship Id="rId5" Type="http://schemas.openxmlformats.org/officeDocument/2006/relationships/styles" Target="styles.xml"/><Relationship Id="rId15" Type="http://schemas.openxmlformats.org/officeDocument/2006/relationships/hyperlink" Target="https://www.colombiacompra.gov.co/content/borrador-de-documentos-tipo-de-consultoria-de-obra-publica-de-infraestructura-de-transport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cce_documents/cce_guia_codificacion_bien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irculares"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9d85dbaf-23eb-4e57-a637-93dcacc8b1a1"/>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920BB5B8-79A3-4DCD-B1C2-20E898791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8011</Words>
  <Characters>43101</Characters>
  <Application>Microsoft Office Word</Application>
  <DocSecurity>0</DocSecurity>
  <Lines>2873</Lines>
  <Paragraphs>1503</Paragraphs>
  <ScaleCrop>false</ScaleCrop>
  <Company/>
  <LinksUpToDate>false</LinksUpToDate>
  <CharactersWithSpaces>49609</CharactersWithSpaces>
  <SharedDoc>false</SharedDoc>
  <HLinks>
    <vt:vector size="48" baseType="variant">
      <vt:variant>
        <vt:i4>8060976</vt:i4>
      </vt:variant>
      <vt:variant>
        <vt:i4>12</vt:i4>
      </vt:variant>
      <vt:variant>
        <vt:i4>0</vt:i4>
      </vt:variant>
      <vt:variant>
        <vt:i4>5</vt:i4>
      </vt:variant>
      <vt:variant>
        <vt:lpwstr>https://nam02.safelinks.protection.outlook.com/?url=https%3A%2F%2Fwww.colombiacompra.gov.co%2Fsala-de-prensa%2Fboletin-digital%2Fboletin-de-relatoria-2024-iv&amp;data=05%7C02%7Ckevin.herrera%40colombiacompra.gov.co%7C37e4eb22782844861f2008dce4b3f5e8%7C7b09041e245149d08cb179d5e3d8c1be%7C0%7C0%7C638636708794708234%7CUnknown%7CTWFpbGZsb3d8eyJWIjoiMC4wLjAwMDAiLCJQIjoiV2luMzIiLCJBTiI6Ik1haWwiLCJXVCI6Mn0%3D%7C0%7C%7C%7C&amp;sdata=53%2FcEVB0TvCag7RJ2WBLpiw2%2B1cazMPSjfT9hleYjKo%3D&amp;reserved=0</vt:lpwstr>
      </vt:variant>
      <vt:variant>
        <vt:lpwstr/>
      </vt:variant>
      <vt:variant>
        <vt:i4>7536727</vt:i4>
      </vt:variant>
      <vt:variant>
        <vt:i4>9</vt:i4>
      </vt:variant>
      <vt:variant>
        <vt:i4>0</vt:i4>
      </vt:variant>
      <vt:variant>
        <vt:i4>5</vt:i4>
      </vt:variant>
      <vt:variant>
        <vt:lpwstr>https://www.colombiacompra.gov.co/sites/cce_public/files/cce_documents/cce_guia_codificacion_bienes.pdf</vt:lpwstr>
      </vt:variant>
      <vt:variant>
        <vt:lpwstr/>
      </vt:variant>
      <vt:variant>
        <vt:i4>1245265</vt:i4>
      </vt:variant>
      <vt:variant>
        <vt:i4>6</vt:i4>
      </vt:variant>
      <vt:variant>
        <vt:i4>0</vt:i4>
      </vt:variant>
      <vt:variant>
        <vt:i4>5</vt:i4>
      </vt:variant>
      <vt:variant>
        <vt:lpwstr>https://www.colombiacompra.gov.co/content/04-documentos-tipo-para-seleccion-abreviada-de-menor-cuantia-de-infraestructura-de</vt:lpwstr>
      </vt:variant>
      <vt:variant>
        <vt:lpwstr/>
      </vt:variant>
      <vt:variant>
        <vt:i4>5373966</vt:i4>
      </vt:variant>
      <vt:variant>
        <vt:i4>3</vt:i4>
      </vt:variant>
      <vt:variant>
        <vt:i4>0</vt:i4>
      </vt:variant>
      <vt:variant>
        <vt:i4>5</vt:i4>
      </vt:variant>
      <vt:variant>
        <vt:lpwstr>https://www.colombiacompra.gov.co/clasificador-de-bienes-y-Servicios</vt:lpwstr>
      </vt:variant>
      <vt:variant>
        <vt:lpwstr/>
      </vt:variant>
      <vt:variant>
        <vt:i4>7536727</vt:i4>
      </vt:variant>
      <vt:variant>
        <vt:i4>0</vt:i4>
      </vt:variant>
      <vt:variant>
        <vt:i4>0</vt:i4>
      </vt:variant>
      <vt:variant>
        <vt:i4>5</vt:i4>
      </vt:variant>
      <vt:variant>
        <vt:lpwstr>https://www.colombiacompra.gov.co/sites/cce_public/files/cce_documents/cce_guia_codificacion_bienes.pdf</vt:lpwstr>
      </vt:variant>
      <vt:variant>
        <vt:lpwstr/>
      </vt:variant>
      <vt:variant>
        <vt:i4>983127</vt:i4>
      </vt:variant>
      <vt:variant>
        <vt:i4>6</vt:i4>
      </vt:variant>
      <vt:variant>
        <vt:i4>0</vt:i4>
      </vt:variant>
      <vt:variant>
        <vt:i4>5</vt:i4>
      </vt:variant>
      <vt:variant>
        <vt:lpwstr>https://www.colombiacompra.gov.co/circulares</vt:lpwstr>
      </vt:variant>
      <vt:variant>
        <vt:lpwstr/>
      </vt:variant>
      <vt:variant>
        <vt:i4>7536727</vt:i4>
      </vt:variant>
      <vt:variant>
        <vt:i4>3</vt:i4>
      </vt:variant>
      <vt:variant>
        <vt:i4>0</vt:i4>
      </vt:variant>
      <vt:variant>
        <vt:i4>5</vt:i4>
      </vt:variant>
      <vt:variant>
        <vt:lpwstr>https://www.colombiacompra.gov.co/sites/cce_public/files/cce_documents/cce_guia_codificacion_bienes.pdf</vt:lpwstr>
      </vt:variant>
      <vt:variant>
        <vt:lpwstr/>
      </vt:variant>
      <vt:variant>
        <vt:i4>7536727</vt:i4>
      </vt:variant>
      <vt:variant>
        <vt:i4>0</vt:i4>
      </vt:variant>
      <vt:variant>
        <vt:i4>0</vt:i4>
      </vt:variant>
      <vt:variant>
        <vt:i4>5</vt:i4>
      </vt:variant>
      <vt:variant>
        <vt:lpwstr>https://www.colombiacompra.gov.co/sites/cce_public/files/cce_documents/cce_guia_codificacion_bienes.pdf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2024-11-05T16:02:00Z</dcterms:created>
  <dcterms:modified xsi:type="dcterms:W3CDTF">2024-11-05T16:02:00Z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