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D27B" w14:textId="77777777" w:rsidR="003675AB" w:rsidRPr="00F16E24" w:rsidRDefault="003675AB" w:rsidP="003675AB">
      <w:pPr>
        <w:spacing w:after="0" w:line="276" w:lineRule="auto"/>
        <w:jc w:val="both"/>
        <w:rPr>
          <w:rFonts w:ascii="Arial" w:eastAsia="Calibri" w:hAnsi="Arial" w:cs="Arial"/>
          <w:b/>
          <w:bCs/>
          <w:color w:val="000000" w:themeColor="text1"/>
          <w:sz w:val="24"/>
          <w:szCs w:val="24"/>
          <w:lang w:val="es-ES" w:eastAsia="es-ES"/>
        </w:rPr>
      </w:pPr>
      <w:r w:rsidRPr="00F16E24">
        <w:rPr>
          <w:rFonts w:ascii="Arial" w:eastAsia="Calibri" w:hAnsi="Arial" w:cs="Arial"/>
          <w:b/>
          <w:bCs/>
          <w:color w:val="000000" w:themeColor="text1"/>
          <w:sz w:val="24"/>
          <w:szCs w:val="24"/>
          <w:lang w:val="es-ES" w:eastAsia="es-ES"/>
        </w:rPr>
        <w:t>REQUISITOS HABILITANTES – Capacidad financiera – Autonomía</w:t>
      </w:r>
    </w:p>
    <w:p w14:paraId="77F8B164" w14:textId="77777777" w:rsidR="003675AB" w:rsidRPr="00F16E24" w:rsidRDefault="003675AB" w:rsidP="003675AB">
      <w:pPr>
        <w:spacing w:after="0" w:line="276" w:lineRule="auto"/>
        <w:jc w:val="both"/>
        <w:rPr>
          <w:rFonts w:ascii="Arial" w:eastAsia="Calibri" w:hAnsi="Arial" w:cs="Arial"/>
          <w:color w:val="000000" w:themeColor="text1"/>
          <w:sz w:val="24"/>
          <w:szCs w:val="24"/>
          <w:lang w:val="es-ES" w:eastAsia="es-ES"/>
        </w:rPr>
      </w:pPr>
    </w:p>
    <w:p w14:paraId="1ABA3B26" w14:textId="77777777" w:rsidR="003675AB" w:rsidRPr="00F16E24" w:rsidRDefault="003675AB" w:rsidP="003675AB">
      <w:pPr>
        <w:spacing w:after="0" w:line="240" w:lineRule="auto"/>
        <w:jc w:val="both"/>
        <w:rPr>
          <w:rFonts w:ascii="Arial" w:eastAsia="Calibri" w:hAnsi="Arial" w:cs="Arial"/>
          <w:color w:val="000000" w:themeColor="text1"/>
          <w:sz w:val="24"/>
          <w:szCs w:val="24"/>
          <w:lang w:val="es-ES" w:eastAsia="es-ES"/>
        </w:rPr>
      </w:pPr>
      <w:r w:rsidRPr="00F16E24">
        <w:rPr>
          <w:rFonts w:ascii="Arial" w:eastAsia="Calibri" w:hAnsi="Arial" w:cs="Arial"/>
          <w:color w:val="000000" w:themeColor="text1"/>
          <w:sz w:val="24"/>
          <w:szCs w:val="24"/>
          <w:lang w:val="es-ES" w:eastAsia="es-ES"/>
        </w:rPr>
        <w:t>Los requisitos habilitantes se definen como exigencias de participación en los procedimientos de selección, establecidos en disposiciones normativas, de carácter legal o reglamentario, o contenidas en el acto administrativo que regula las reglas de la convocatoria, es decir, en el pliego de condiciones o el documento equivalente a este. Se diferencian de los criterios de evaluación –también conocidos como criterios de calificación– en que estos son los factores definidos por la Entidad Estatal para la asignación de puntaje en el momento de la comparación de las ofertas, y que, a partir de su ponderación, permiten establecer el orden de elegibilidad y, por ende, la propuesta ganadora.</w:t>
      </w:r>
    </w:p>
    <w:p w14:paraId="28BE3FE0" w14:textId="77777777" w:rsidR="003675AB" w:rsidRPr="00F16E24" w:rsidRDefault="003675AB" w:rsidP="003675AB">
      <w:pPr>
        <w:spacing w:after="0" w:line="240" w:lineRule="auto"/>
        <w:jc w:val="both"/>
        <w:rPr>
          <w:rFonts w:ascii="Arial" w:eastAsia="Calibri" w:hAnsi="Arial" w:cs="Arial"/>
          <w:color w:val="000000" w:themeColor="text1"/>
          <w:sz w:val="24"/>
          <w:szCs w:val="24"/>
          <w:lang w:val="es-ES" w:eastAsia="es-ES"/>
        </w:rPr>
      </w:pPr>
    </w:p>
    <w:p w14:paraId="757BD0FB" w14:textId="77777777" w:rsidR="003675AB" w:rsidRPr="00F16E24" w:rsidRDefault="003675AB" w:rsidP="003675AB">
      <w:pPr>
        <w:spacing w:after="0" w:line="240" w:lineRule="auto"/>
        <w:jc w:val="both"/>
        <w:rPr>
          <w:rFonts w:ascii="Arial" w:eastAsia="Calibri" w:hAnsi="Arial" w:cs="Arial"/>
          <w:color w:val="000000" w:themeColor="text1"/>
          <w:sz w:val="24"/>
          <w:szCs w:val="24"/>
          <w:lang w:val="es-ES" w:eastAsia="es-ES"/>
        </w:rPr>
      </w:pPr>
      <w:r w:rsidRPr="00F16E24">
        <w:rPr>
          <w:rFonts w:ascii="Arial" w:eastAsia="Calibri" w:hAnsi="Arial" w:cs="Arial"/>
          <w:color w:val="000000" w:themeColor="text1"/>
          <w:sz w:val="24"/>
          <w:szCs w:val="24"/>
          <w:lang w:val="es-ES" w:eastAsia="es-ES"/>
        </w:rPr>
        <w:t>[…]</w:t>
      </w:r>
    </w:p>
    <w:p w14:paraId="51602988" w14:textId="77777777" w:rsidR="003675AB" w:rsidRPr="00F16E24" w:rsidRDefault="003675AB" w:rsidP="003675AB">
      <w:pPr>
        <w:spacing w:after="0" w:line="240" w:lineRule="auto"/>
        <w:jc w:val="both"/>
        <w:rPr>
          <w:rFonts w:ascii="Arial" w:eastAsia="Calibri" w:hAnsi="Arial" w:cs="Arial"/>
          <w:color w:val="000000" w:themeColor="text1"/>
          <w:sz w:val="24"/>
          <w:szCs w:val="24"/>
          <w:lang w:val="es-ES" w:eastAsia="es-ES"/>
        </w:rPr>
      </w:pPr>
    </w:p>
    <w:p w14:paraId="2A0D2585" w14:textId="77777777" w:rsidR="003675AB" w:rsidRDefault="003675AB" w:rsidP="003675AB">
      <w:pPr>
        <w:spacing w:after="0" w:line="240" w:lineRule="auto"/>
        <w:jc w:val="both"/>
        <w:rPr>
          <w:rFonts w:ascii="Arial" w:eastAsia="Calibri" w:hAnsi="Arial" w:cs="Arial"/>
          <w:color w:val="000000" w:themeColor="text1"/>
          <w:sz w:val="24"/>
          <w:szCs w:val="24"/>
          <w:lang w:val="es-ES" w:eastAsia="es-ES"/>
        </w:rPr>
      </w:pPr>
      <w:r w:rsidRPr="00F16E24">
        <w:rPr>
          <w:rFonts w:ascii="Arial" w:eastAsia="Calibri" w:hAnsi="Arial" w:cs="Arial"/>
          <w:color w:val="000000" w:themeColor="text1"/>
          <w:sz w:val="24"/>
          <w:szCs w:val="24"/>
          <w:lang w:val="es-ES" w:eastAsia="es-ES"/>
        </w:rPr>
        <w:t xml:space="preserve">Ahora bien, dentro de los requisitos habilitantes se destaca la capacidad financiera, la cual se deriva del comportamiento contable de la empresa, su liquidez y endeudamiento, para determinar que sus recursos y solidez financiera le permita cumplir los compromisos que adquiera. Como explica esta Agencia en el Manual para determinar y verificar los requisitos habilitantes en los procesos de contratación: </w:t>
      </w:r>
      <w:r w:rsidRPr="00F16E24">
        <w:rPr>
          <w:rFonts w:ascii="Arial" w:eastAsia="Calibri" w:hAnsi="Arial" w:cs="Arial"/>
          <w:i/>
          <w:iCs/>
          <w:color w:val="000000" w:themeColor="text1"/>
          <w:sz w:val="24"/>
          <w:szCs w:val="24"/>
          <w:lang w:val="es-ES" w:eastAsia="es-ES"/>
        </w:rPr>
        <w:t>“Los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w:t>
      </w:r>
      <w:r w:rsidRPr="00F16E24">
        <w:rPr>
          <w:rFonts w:ascii="Arial" w:eastAsia="Calibri" w:hAnsi="Arial" w:cs="Arial"/>
          <w:color w:val="000000" w:themeColor="text1"/>
          <w:sz w:val="24"/>
          <w:szCs w:val="24"/>
          <w:lang w:val="es-ES" w:eastAsia="es-ES"/>
        </w:rPr>
        <w:t>”. La Entidad Estatal, como responsable de la estructuración de su procedimiento de selección, es autónoma para determinar la capacidad financiera necesaria de acuerdo con el objeto contractual que se pretende satisfacer, no obstante, en atención a lo dispuesto en el artículo 2.2.1.1.1.6.2 del Decreto 1082 de 2015, debe ser establecida con sustento en el estudio del sector y sus componentes como la identificación de riesgos, el mercado y precio del bien, obra o servicio a contratar.</w:t>
      </w:r>
    </w:p>
    <w:p w14:paraId="45D90F30" w14:textId="77777777" w:rsidR="00F16E24" w:rsidRDefault="00F16E24" w:rsidP="003675AB">
      <w:pPr>
        <w:spacing w:after="0" w:line="240" w:lineRule="auto"/>
        <w:jc w:val="both"/>
        <w:rPr>
          <w:rFonts w:ascii="Arial" w:eastAsia="Calibri" w:hAnsi="Arial" w:cs="Arial"/>
          <w:color w:val="000000" w:themeColor="text1"/>
          <w:sz w:val="24"/>
          <w:szCs w:val="24"/>
          <w:lang w:val="es-ES" w:eastAsia="es-ES"/>
        </w:rPr>
      </w:pPr>
    </w:p>
    <w:p w14:paraId="333818FE" w14:textId="77777777" w:rsidR="00F16E24" w:rsidRPr="00FB657A" w:rsidRDefault="00F16E24" w:rsidP="00F16E24">
      <w:pPr>
        <w:spacing w:line="276" w:lineRule="auto"/>
        <w:contextualSpacing/>
        <w:jc w:val="both"/>
        <w:rPr>
          <w:rFonts w:ascii="Arial" w:eastAsia="Century Gothic" w:hAnsi="Arial" w:cs="Arial"/>
          <w:b/>
          <w:bCs/>
          <w:sz w:val="24"/>
          <w:szCs w:val="24"/>
          <w:lang w:val="es-ES"/>
        </w:rPr>
      </w:pPr>
      <w:r w:rsidRPr="00FB657A">
        <w:rPr>
          <w:rFonts w:ascii="Arial" w:eastAsia="Century Gothic" w:hAnsi="Arial" w:cs="Arial"/>
          <w:b/>
          <w:bCs/>
          <w:sz w:val="24"/>
          <w:szCs w:val="24"/>
          <w:lang w:val="es-ES"/>
        </w:rPr>
        <w:t>CAPACIDAD FINANCIERA Y ORGANIZACIONAL – Definición</w:t>
      </w:r>
    </w:p>
    <w:p w14:paraId="0A2395E7" w14:textId="77777777" w:rsidR="00F16E24" w:rsidRPr="00FB657A" w:rsidRDefault="00F16E24" w:rsidP="00F16E24">
      <w:pPr>
        <w:spacing w:line="276" w:lineRule="auto"/>
        <w:contextualSpacing/>
        <w:jc w:val="both"/>
        <w:rPr>
          <w:rFonts w:ascii="Arial" w:eastAsia="Century Gothic" w:hAnsi="Arial" w:cs="Arial"/>
          <w:sz w:val="24"/>
          <w:szCs w:val="24"/>
          <w:lang w:val="es-ES"/>
        </w:rPr>
      </w:pPr>
      <w:r w:rsidRPr="00FB657A">
        <w:rPr>
          <w:rFonts w:ascii="Arial" w:eastAsia="Century Gothic" w:hAnsi="Arial" w:cs="Arial"/>
          <w:sz w:val="24"/>
          <w:szCs w:val="24"/>
          <w:lang w:val="es-ES"/>
        </w:rPr>
        <w:t xml:space="preserve"> </w:t>
      </w:r>
    </w:p>
    <w:p w14:paraId="123A794A" w14:textId="77777777" w:rsidR="00F16E24" w:rsidRPr="00FB657A" w:rsidRDefault="00F16E24" w:rsidP="00F16E24">
      <w:pPr>
        <w:spacing w:line="276" w:lineRule="auto"/>
        <w:contextualSpacing/>
        <w:jc w:val="both"/>
        <w:rPr>
          <w:rFonts w:ascii="Arial" w:eastAsia="Century Gothic" w:hAnsi="Arial" w:cs="Arial"/>
          <w:sz w:val="24"/>
          <w:szCs w:val="24"/>
          <w:lang w:val="es-ES"/>
        </w:rPr>
      </w:pPr>
      <w:r w:rsidRPr="00FB657A">
        <w:rPr>
          <w:rFonts w:ascii="Arial" w:eastAsia="Century Gothic" w:hAnsi="Arial" w:cs="Arial"/>
          <w:sz w:val="24"/>
          <w:szCs w:val="24"/>
          <w:lang w:val="es-ES"/>
        </w:rPr>
        <w:t xml:space="preserve">La capacidad financiera se deriva del comportamiento contable de la empresa, su liquidez y endeudamiento, para determinar que sus recursos y solidez financiera le permita cumplir los compromisos que adquiera. Como explica esta Agencia en el “Manual para determinar y verificar los requisitos habilitantes en los procesos de contratación”, “Los indicadores de capacidad financiera buscan establecer unas </w:t>
      </w:r>
      <w:r w:rsidRPr="00FB657A">
        <w:rPr>
          <w:rFonts w:ascii="Arial" w:eastAsia="Century Gothic" w:hAnsi="Arial" w:cs="Arial"/>
          <w:sz w:val="24"/>
          <w:szCs w:val="24"/>
          <w:lang w:val="es-ES"/>
        </w:rPr>
        <w:lastRenderedPageBreak/>
        <w:t>condiciones mínimas que reflejan la salud financiera de los proponentes a través de su liquidez y endeudamiento. Estas condiciones muestran la aptitud del proponente para cumplir oportuna y cabalmente el objeto del contrato”. La capacidad organizacional, por su parte, “[…]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 es rentable”.</w:t>
      </w:r>
    </w:p>
    <w:p w14:paraId="325648EA" w14:textId="77777777" w:rsidR="00F16E24" w:rsidRPr="00FB657A" w:rsidRDefault="00F16E24" w:rsidP="003675AB">
      <w:pPr>
        <w:spacing w:after="0" w:line="240" w:lineRule="auto"/>
        <w:jc w:val="both"/>
        <w:rPr>
          <w:rFonts w:ascii="Arial" w:eastAsia="Calibri" w:hAnsi="Arial" w:cs="Arial"/>
          <w:color w:val="000000" w:themeColor="text1"/>
          <w:sz w:val="24"/>
          <w:szCs w:val="24"/>
          <w:lang w:val="es-ES" w:eastAsia="es-ES"/>
        </w:rPr>
      </w:pPr>
    </w:p>
    <w:p w14:paraId="55652E5D" w14:textId="77777777" w:rsidR="003675AB" w:rsidRPr="00FB657A" w:rsidRDefault="003675AB" w:rsidP="003675AB">
      <w:pPr>
        <w:spacing w:after="0" w:line="240" w:lineRule="auto"/>
        <w:jc w:val="both"/>
        <w:rPr>
          <w:rFonts w:ascii="Arial" w:eastAsia="Calibri" w:hAnsi="Arial" w:cs="Arial"/>
          <w:sz w:val="24"/>
          <w:szCs w:val="24"/>
          <w:lang w:val="es-MX"/>
        </w:rPr>
      </w:pPr>
    </w:p>
    <w:p w14:paraId="2A9FF7FE" w14:textId="77777777" w:rsidR="00FB05D1" w:rsidRPr="00FB657A" w:rsidRDefault="00FB05D1">
      <w:pPr>
        <w:rPr>
          <w:rFonts w:ascii="Arial" w:eastAsia="Calibri" w:hAnsi="Arial" w:cs="Arial"/>
          <w:color w:val="000000" w:themeColor="text1"/>
          <w:sz w:val="24"/>
          <w:szCs w:val="24"/>
          <w:lang w:val="es-ES" w:eastAsia="es-ES"/>
        </w:rPr>
      </w:pPr>
      <w:r w:rsidRPr="00FB657A">
        <w:rPr>
          <w:rFonts w:ascii="Arial" w:eastAsia="Calibri" w:hAnsi="Arial" w:cs="Arial"/>
          <w:color w:val="000000" w:themeColor="text1"/>
          <w:sz w:val="24"/>
          <w:szCs w:val="24"/>
          <w:lang w:val="es-ES" w:eastAsia="es-ES"/>
        </w:rPr>
        <w:br w:type="page"/>
      </w:r>
    </w:p>
    <w:p w14:paraId="6700D6DA" w14:textId="5A091CBA" w:rsidR="00871B59" w:rsidRPr="00F16E24" w:rsidRDefault="00871B59" w:rsidP="00871B59">
      <w:pPr>
        <w:spacing w:after="0" w:line="240" w:lineRule="auto"/>
        <w:rPr>
          <w:rFonts w:ascii="Arial" w:eastAsia="Geomanist Light" w:hAnsi="Arial" w:cs="Arial"/>
          <w:color w:val="201F1E"/>
          <w:sz w:val="24"/>
          <w:szCs w:val="24"/>
          <w:lang w:val="es-MX"/>
        </w:rPr>
      </w:pPr>
      <w:r w:rsidRPr="00F16E24">
        <w:rPr>
          <w:rFonts w:ascii="Arial" w:eastAsia="Geomanist Light" w:hAnsi="Arial" w:cs="Arial"/>
          <w:color w:val="000000" w:themeColor="text1"/>
          <w:sz w:val="24"/>
          <w:szCs w:val="24"/>
          <w:lang w:val="es-MX"/>
        </w:rPr>
        <w:lastRenderedPageBreak/>
        <w:t>Bogotá D.C., </w:t>
      </w:r>
      <w:r w:rsidRPr="00F16E24">
        <w:rPr>
          <w:rFonts w:ascii="Arial" w:eastAsia="Geomanist Light" w:hAnsi="Arial" w:cs="Arial"/>
          <w:color w:val="201F1E"/>
          <w:sz w:val="24"/>
          <w:szCs w:val="24"/>
          <w:lang w:val="es-MX"/>
        </w:rPr>
        <w:t>[Día] de [Mes.NombreCapitalizado] de [Año]</w:t>
      </w:r>
    </w:p>
    <w:p w14:paraId="263F56BE" w14:textId="77777777" w:rsidR="00871B59" w:rsidRPr="00F16E24" w:rsidRDefault="00871B59" w:rsidP="00871B59">
      <w:pPr>
        <w:spacing w:after="0" w:line="240" w:lineRule="auto"/>
        <w:jc w:val="both"/>
        <w:rPr>
          <w:rFonts w:ascii="Arial" w:eastAsia="Calibri" w:hAnsi="Arial" w:cs="Arial"/>
          <w:color w:val="000000"/>
          <w:sz w:val="24"/>
          <w:szCs w:val="24"/>
          <w:lang w:val="es-ES"/>
        </w:rPr>
      </w:pPr>
    </w:p>
    <w:p w14:paraId="0C81C424" w14:textId="5FAA7AC6" w:rsidR="00F16E24" w:rsidRPr="00F16E24" w:rsidRDefault="00F16E24" w:rsidP="330CE3FD">
      <w:pPr>
        <w:spacing w:line="276" w:lineRule="auto"/>
        <w:jc w:val="center"/>
        <w:rPr>
          <w:rFonts w:ascii="Arial" w:hAnsi="Arial" w:cs="Arial"/>
          <w:sz w:val="24"/>
          <w:szCs w:val="24"/>
        </w:rPr>
      </w:pPr>
    </w:p>
    <w:p w14:paraId="1AAB5234" w14:textId="77777777" w:rsidR="00EC4C18" w:rsidRPr="00EC4C18" w:rsidRDefault="00EC4C18" w:rsidP="00EC4C18">
      <w:pPr>
        <w:spacing w:after="0" w:line="240" w:lineRule="auto"/>
        <w:jc w:val="both"/>
        <w:rPr>
          <w:rFonts w:ascii="Arial" w:eastAsia="Calibri" w:hAnsi="Arial" w:cs="Arial"/>
          <w:bCs/>
          <w:sz w:val="24"/>
          <w:szCs w:val="24"/>
          <w:lang w:eastAsia="es-ES_tradnl"/>
        </w:rPr>
      </w:pPr>
      <w:r w:rsidRPr="00EC4C18">
        <w:rPr>
          <w:rFonts w:ascii="Arial" w:eastAsia="Calibri" w:hAnsi="Arial" w:cs="Arial"/>
          <w:bCs/>
          <w:sz w:val="24"/>
          <w:szCs w:val="24"/>
          <w:lang w:eastAsia="es-ES_tradnl"/>
        </w:rPr>
        <w:t>Señor</w:t>
      </w:r>
    </w:p>
    <w:p w14:paraId="397D4751" w14:textId="77777777" w:rsidR="00EC4C18" w:rsidRPr="00EC4C18" w:rsidRDefault="00EC4C18" w:rsidP="00EC4C18">
      <w:pPr>
        <w:spacing w:after="0" w:line="240" w:lineRule="auto"/>
        <w:rPr>
          <w:rFonts w:ascii="Arial" w:eastAsia="Calibri" w:hAnsi="Arial" w:cs="Arial"/>
          <w:b/>
          <w:sz w:val="24"/>
          <w:szCs w:val="24"/>
          <w:lang w:eastAsia="es-ES_tradnl"/>
        </w:rPr>
      </w:pPr>
      <w:r w:rsidRPr="00EC4C18">
        <w:rPr>
          <w:rFonts w:ascii="Arial" w:eastAsia="Calibri" w:hAnsi="Arial" w:cs="Arial"/>
          <w:b/>
          <w:sz w:val="24"/>
          <w:szCs w:val="24"/>
          <w:lang w:eastAsia="es-ES_tradnl"/>
        </w:rPr>
        <w:t>Dagoberto Beltrán Silvestre</w:t>
      </w:r>
    </w:p>
    <w:p w14:paraId="1625D1A2" w14:textId="77777777" w:rsidR="00EC4C18" w:rsidRPr="00EC4C18" w:rsidRDefault="00EC4C18" w:rsidP="00EC4C18">
      <w:pPr>
        <w:spacing w:after="0" w:line="240" w:lineRule="auto"/>
        <w:rPr>
          <w:rFonts w:ascii="Arial" w:eastAsia="Calibri" w:hAnsi="Arial" w:cs="Arial"/>
          <w:bCs/>
          <w:sz w:val="24"/>
          <w:szCs w:val="24"/>
          <w:u w:val="single"/>
          <w:lang w:eastAsia="es-ES_tradnl"/>
        </w:rPr>
      </w:pPr>
      <w:hyperlink r:id="rId11" w:history="1">
        <w:r w:rsidRPr="00EC4C18">
          <w:rPr>
            <w:rFonts w:ascii="Arial" w:eastAsia="Calibri" w:hAnsi="Arial" w:cs="Arial"/>
            <w:bCs/>
            <w:color w:val="0563C1" w:themeColor="hyperlink"/>
            <w:sz w:val="24"/>
            <w:szCs w:val="24"/>
            <w:u w:val="single"/>
            <w:lang w:eastAsia="es-ES_tradnl"/>
          </w:rPr>
          <w:t>dagoberto.beltran@medicinalegal.gov.co</w:t>
        </w:r>
      </w:hyperlink>
    </w:p>
    <w:p w14:paraId="43E7FA36" w14:textId="77777777" w:rsidR="00EC4C18" w:rsidRPr="00EC4C18" w:rsidRDefault="00EC4C18" w:rsidP="00EC4C18">
      <w:pPr>
        <w:spacing w:after="0" w:line="240" w:lineRule="auto"/>
        <w:rPr>
          <w:rFonts w:ascii="Arial" w:eastAsia="Calibri" w:hAnsi="Arial" w:cs="Arial"/>
          <w:bCs/>
          <w:sz w:val="24"/>
          <w:szCs w:val="24"/>
          <w:lang w:val="es-MX" w:eastAsia="es-ES_tradnl"/>
        </w:rPr>
      </w:pPr>
      <w:r w:rsidRPr="00EC4C18">
        <w:rPr>
          <w:rFonts w:ascii="Arial" w:eastAsia="Calibri" w:hAnsi="Arial" w:cs="Arial"/>
          <w:bCs/>
          <w:sz w:val="24"/>
          <w:szCs w:val="24"/>
          <w:lang w:val="es-MX" w:eastAsia="es-ES_tradnl"/>
        </w:rPr>
        <w:t xml:space="preserve">Bogotá D.C. </w:t>
      </w:r>
    </w:p>
    <w:p w14:paraId="3576B299" w14:textId="77777777" w:rsidR="00EC4C18" w:rsidRPr="00EC4C18" w:rsidRDefault="00EC4C18" w:rsidP="00EC4C18">
      <w:pPr>
        <w:spacing w:after="0" w:line="240" w:lineRule="auto"/>
        <w:rPr>
          <w:rFonts w:ascii="Arial" w:eastAsia="Calibri" w:hAnsi="Arial" w:cs="Arial"/>
          <w:b/>
          <w:bCs/>
          <w:color w:val="000000"/>
          <w:sz w:val="24"/>
          <w:szCs w:val="24"/>
          <w:lang w:val="es-ES_tradnl" w:eastAsia="es-ES_tradnl"/>
        </w:rPr>
      </w:pPr>
    </w:p>
    <w:p w14:paraId="25AE6E47" w14:textId="74B20100" w:rsidR="00EC4C18" w:rsidRPr="00EC4C18" w:rsidRDefault="00C76707" w:rsidP="00EC4C18">
      <w:pPr>
        <w:spacing w:after="0" w:line="240" w:lineRule="auto"/>
        <w:jc w:val="right"/>
        <w:rPr>
          <w:rFonts w:ascii="Arial" w:eastAsia="Calibri" w:hAnsi="Arial" w:cs="Arial"/>
          <w:b/>
          <w:bCs/>
          <w:noProof/>
          <w:color w:val="000000"/>
          <w:sz w:val="24"/>
          <w:szCs w:val="24"/>
          <w:lang w:val="es-ES_tradnl" w:eastAsia="es-ES_tradnl"/>
        </w:rPr>
      </w:pPr>
      <w:r w:rsidRPr="00C76707">
        <w:rPr>
          <w:rFonts w:ascii="Arial" w:eastAsia="Calibri" w:hAnsi="Arial" w:cs="Arial"/>
          <w:b/>
          <w:bCs/>
          <w:noProof/>
          <w:color w:val="000000"/>
          <w:sz w:val="24"/>
          <w:szCs w:val="24"/>
          <w:lang w:val="es-ES_tradnl" w:eastAsia="es-ES_tradnl"/>
        </w:rPr>
        <w:drawing>
          <wp:inline distT="0" distB="0" distL="0" distR="0" wp14:anchorId="6BDD4A18" wp14:editId="2370668B">
            <wp:extent cx="3467400" cy="967824"/>
            <wp:effectExtent l="0" t="0" r="0" b="3810"/>
            <wp:docPr id="9956140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614001" name=""/>
                    <pic:cNvPicPr/>
                  </pic:nvPicPr>
                  <pic:blipFill>
                    <a:blip r:embed="rId12"/>
                    <a:stretch>
                      <a:fillRect/>
                    </a:stretch>
                  </pic:blipFill>
                  <pic:spPr>
                    <a:xfrm>
                      <a:off x="0" y="0"/>
                      <a:ext cx="3467400" cy="967824"/>
                    </a:xfrm>
                    <a:prstGeom prst="rect">
                      <a:avLst/>
                    </a:prstGeom>
                  </pic:spPr>
                </pic:pic>
              </a:graphicData>
            </a:graphic>
          </wp:inline>
        </w:drawing>
      </w:r>
    </w:p>
    <w:p w14:paraId="2FC95357" w14:textId="77777777" w:rsidR="00EC4C18" w:rsidRPr="00EC4C18" w:rsidRDefault="00EC4C18" w:rsidP="00EC4C18">
      <w:pPr>
        <w:spacing w:after="0" w:line="240" w:lineRule="auto"/>
        <w:jc w:val="right"/>
        <w:rPr>
          <w:rFonts w:ascii="Arial" w:eastAsia="Calibri" w:hAnsi="Arial" w:cs="Arial"/>
          <w:b/>
          <w:bCs/>
          <w:color w:val="000000"/>
          <w:sz w:val="24"/>
          <w:szCs w:val="24"/>
          <w:lang w:val="es-ES_tradnl" w:eastAsia="es-ES_tradnl"/>
        </w:rPr>
      </w:pPr>
    </w:p>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42"/>
      </w:tblGrid>
      <w:tr w:rsidR="00EC4C18" w:rsidRPr="00EC4C18" w14:paraId="007E0660" w14:textId="77777777" w:rsidTr="00E3556E">
        <w:trPr>
          <w:trHeight w:val="884"/>
        </w:trPr>
        <w:tc>
          <w:tcPr>
            <w:tcW w:w="2689" w:type="dxa"/>
          </w:tcPr>
          <w:p w14:paraId="598EF743" w14:textId="77777777" w:rsidR="00EC4C18" w:rsidRPr="00EC4C18" w:rsidRDefault="00EC4C18" w:rsidP="00EC4C18">
            <w:pPr>
              <w:jc w:val="both"/>
              <w:rPr>
                <w:rFonts w:ascii="Arial" w:eastAsia="Calibri" w:hAnsi="Arial" w:cs="Arial"/>
                <w:b/>
                <w:bCs/>
                <w:color w:val="7030A0"/>
                <w:sz w:val="24"/>
                <w:szCs w:val="24"/>
                <w:lang w:val="es-ES_tradnl" w:eastAsia="es-ES_tradnl"/>
              </w:rPr>
            </w:pPr>
          </w:p>
        </w:tc>
        <w:tc>
          <w:tcPr>
            <w:tcW w:w="6242" w:type="dxa"/>
          </w:tcPr>
          <w:p w14:paraId="5CB0AA31" w14:textId="77777777" w:rsidR="00EC4C18" w:rsidRPr="00EC4C18" w:rsidRDefault="00EC4C18" w:rsidP="00EC4C18">
            <w:pPr>
              <w:jc w:val="both"/>
              <w:rPr>
                <w:rFonts w:ascii="Arial" w:eastAsia="Calibri" w:hAnsi="Arial" w:cs="Arial"/>
                <w:b/>
                <w:sz w:val="24"/>
                <w:szCs w:val="24"/>
                <w:lang w:val="es-MX" w:eastAsia="es-ES_tradnl"/>
              </w:rPr>
            </w:pPr>
            <w:r w:rsidRPr="00EC4C18">
              <w:rPr>
                <w:rFonts w:ascii="Arial" w:eastAsia="Calibri" w:hAnsi="Arial" w:cs="Arial"/>
                <w:b/>
                <w:sz w:val="24"/>
                <w:szCs w:val="24"/>
                <w:lang w:val="es-MX" w:eastAsia="es-ES_tradnl"/>
              </w:rPr>
              <w:t>Concepto C- 530 de 2024</w:t>
            </w:r>
          </w:p>
        </w:tc>
      </w:tr>
      <w:tr w:rsidR="00EC4C18" w:rsidRPr="00EC4C18" w14:paraId="06DA6780" w14:textId="77777777" w:rsidTr="00E3556E">
        <w:trPr>
          <w:trHeight w:val="884"/>
        </w:trPr>
        <w:tc>
          <w:tcPr>
            <w:tcW w:w="2689" w:type="dxa"/>
          </w:tcPr>
          <w:p w14:paraId="7DC74BEA" w14:textId="77777777" w:rsidR="00EC4C18" w:rsidRPr="00EC4C18" w:rsidRDefault="00EC4C18" w:rsidP="00EC4C18">
            <w:pPr>
              <w:jc w:val="both"/>
              <w:rPr>
                <w:rFonts w:ascii="Arial" w:eastAsia="Calibri" w:hAnsi="Arial" w:cs="Arial"/>
                <w:bCs/>
                <w:sz w:val="24"/>
                <w:szCs w:val="24"/>
                <w:lang w:val="es-MX" w:eastAsia="es-ES_tradnl"/>
              </w:rPr>
            </w:pPr>
            <w:r w:rsidRPr="00EC4C18">
              <w:rPr>
                <w:rFonts w:ascii="Arial" w:eastAsia="Calibri" w:hAnsi="Arial" w:cs="Arial"/>
                <w:bCs/>
                <w:sz w:val="24"/>
                <w:szCs w:val="24"/>
                <w:lang w:val="es-MX" w:eastAsia="es-ES_tradnl"/>
              </w:rPr>
              <w:t xml:space="preserve">Temas:                   </w:t>
            </w:r>
          </w:p>
        </w:tc>
        <w:tc>
          <w:tcPr>
            <w:tcW w:w="6242" w:type="dxa"/>
          </w:tcPr>
          <w:p w14:paraId="61B8554E" w14:textId="77777777" w:rsidR="00EC4C18" w:rsidRPr="00EC4C18" w:rsidRDefault="00EC4C18" w:rsidP="00EC4C18">
            <w:pPr>
              <w:jc w:val="both"/>
              <w:rPr>
                <w:rFonts w:ascii="Verdana" w:eastAsia="Century Gothic" w:hAnsi="Verdana" w:cs="Century Gothic"/>
                <w:b/>
                <w:bCs/>
                <w:lang w:val="es-ES"/>
              </w:rPr>
            </w:pPr>
            <w:r w:rsidRPr="00EC4C18">
              <w:rPr>
                <w:rFonts w:ascii="Arial" w:eastAsia="Calibri" w:hAnsi="Arial" w:cs="Arial"/>
                <w:bCs/>
                <w:sz w:val="24"/>
                <w:szCs w:val="24"/>
                <w:lang w:val="es-MX" w:eastAsia="es-ES_tradnl"/>
              </w:rPr>
              <w:t>REQUISITOS HABILITANTES – Capacidad financiera – Autonomía / CAPACIDAD FINANCIERA proponente plural– Definición.</w:t>
            </w:r>
          </w:p>
          <w:p w14:paraId="77AD7C1B" w14:textId="77777777" w:rsidR="00EC4C18" w:rsidRPr="00EC4C18" w:rsidRDefault="00EC4C18" w:rsidP="00EC4C18">
            <w:pPr>
              <w:spacing w:line="276" w:lineRule="auto"/>
              <w:jc w:val="both"/>
              <w:rPr>
                <w:rFonts w:ascii="Arial" w:eastAsia="Calibri" w:hAnsi="Arial" w:cs="Arial"/>
                <w:bCs/>
                <w:sz w:val="24"/>
                <w:szCs w:val="24"/>
                <w:lang w:val="es-MX" w:eastAsia="es-ES_tradnl"/>
              </w:rPr>
            </w:pPr>
          </w:p>
          <w:p w14:paraId="557F11CA" w14:textId="77777777" w:rsidR="00EC4C18" w:rsidRPr="00EC4C18" w:rsidRDefault="00EC4C18" w:rsidP="00EC4C18">
            <w:pPr>
              <w:spacing w:line="276" w:lineRule="auto"/>
              <w:jc w:val="both"/>
              <w:rPr>
                <w:rFonts w:ascii="Arial" w:eastAsia="Calibri" w:hAnsi="Arial" w:cs="Arial"/>
                <w:bCs/>
                <w:sz w:val="24"/>
                <w:szCs w:val="24"/>
                <w:lang w:val="es-MX" w:eastAsia="es-ES_tradnl"/>
              </w:rPr>
            </w:pPr>
          </w:p>
        </w:tc>
      </w:tr>
      <w:tr w:rsidR="00EC4C18" w:rsidRPr="00EC4C18" w14:paraId="337A4A86" w14:textId="77777777" w:rsidTr="00E3556E">
        <w:tc>
          <w:tcPr>
            <w:tcW w:w="2689" w:type="dxa"/>
          </w:tcPr>
          <w:p w14:paraId="03C1494F" w14:textId="77777777" w:rsidR="00EC4C18" w:rsidRPr="00EC4C18" w:rsidRDefault="00EC4C18" w:rsidP="00EC4C18">
            <w:pPr>
              <w:jc w:val="both"/>
              <w:rPr>
                <w:rFonts w:ascii="Arial" w:eastAsia="Calibri" w:hAnsi="Arial" w:cs="Arial"/>
                <w:bCs/>
                <w:sz w:val="24"/>
                <w:szCs w:val="24"/>
                <w:lang w:val="es-MX" w:eastAsia="es-ES_tradnl"/>
              </w:rPr>
            </w:pPr>
            <w:r w:rsidRPr="00EC4C18">
              <w:rPr>
                <w:rFonts w:ascii="Arial" w:eastAsia="Calibri" w:hAnsi="Arial" w:cs="Arial"/>
                <w:bCs/>
                <w:sz w:val="24"/>
                <w:szCs w:val="24"/>
                <w:lang w:val="es-MX" w:eastAsia="es-ES_tradnl"/>
              </w:rPr>
              <w:t xml:space="preserve">Radicación:               </w:t>
            </w:r>
          </w:p>
        </w:tc>
        <w:tc>
          <w:tcPr>
            <w:tcW w:w="6242" w:type="dxa"/>
          </w:tcPr>
          <w:p w14:paraId="29260AD5" w14:textId="77777777" w:rsidR="00EC4C18" w:rsidRPr="00EC4C18" w:rsidRDefault="00EC4C18" w:rsidP="00EC4C18">
            <w:pPr>
              <w:jc w:val="both"/>
              <w:rPr>
                <w:rFonts w:ascii="Arial" w:eastAsia="Calibri" w:hAnsi="Arial" w:cs="Arial"/>
                <w:bCs/>
                <w:sz w:val="24"/>
                <w:szCs w:val="24"/>
                <w:lang w:val="es-MX" w:eastAsia="es-ES_tradnl"/>
              </w:rPr>
            </w:pPr>
            <w:r w:rsidRPr="00EC4C18">
              <w:rPr>
                <w:rFonts w:ascii="Arial" w:eastAsia="Calibri" w:hAnsi="Arial" w:cs="Arial"/>
                <w:bCs/>
                <w:sz w:val="24"/>
                <w:szCs w:val="24"/>
                <w:lang w:val="es-MX" w:eastAsia="es-ES_tradnl"/>
              </w:rPr>
              <w:t xml:space="preserve">Respuesta a consulta con radicado No. </w:t>
            </w:r>
            <w:r w:rsidRPr="00EC4C18">
              <w:rPr>
                <w:rFonts w:ascii="Arial" w:eastAsia="Calibri" w:hAnsi="Arial" w:cs="Arial"/>
                <w:bCs/>
                <w:sz w:val="24"/>
                <w:szCs w:val="24"/>
                <w:lang w:eastAsia="es-ES_tradnl"/>
              </w:rPr>
              <w:t>P20240829008782</w:t>
            </w:r>
          </w:p>
        </w:tc>
      </w:tr>
    </w:tbl>
    <w:p w14:paraId="7589B28B" w14:textId="77777777" w:rsidR="00EC4C18" w:rsidRPr="00EC4C18" w:rsidRDefault="00EC4C18" w:rsidP="00EC4C18">
      <w:pPr>
        <w:spacing w:after="0" w:line="240" w:lineRule="auto"/>
        <w:jc w:val="both"/>
        <w:rPr>
          <w:rFonts w:ascii="Arial" w:eastAsia="Calibri" w:hAnsi="Arial" w:cs="Arial"/>
          <w:color w:val="000000"/>
          <w:sz w:val="24"/>
          <w:szCs w:val="24"/>
          <w:lang w:val="es-ES_tradnl" w:eastAsia="es-ES_tradnl"/>
        </w:rPr>
      </w:pPr>
    </w:p>
    <w:p w14:paraId="3E9383B8" w14:textId="77777777" w:rsidR="00EC4C18" w:rsidRPr="00EC4C18" w:rsidRDefault="00EC4C18" w:rsidP="00EC4C18">
      <w:pPr>
        <w:spacing w:after="0" w:line="240" w:lineRule="auto"/>
        <w:jc w:val="both"/>
        <w:rPr>
          <w:rFonts w:ascii="Arial" w:eastAsia="Calibri" w:hAnsi="Arial" w:cs="Arial"/>
          <w:color w:val="000000"/>
          <w:sz w:val="24"/>
          <w:szCs w:val="24"/>
          <w:lang w:val="es-ES_tradnl" w:eastAsia="es-ES_tradnl"/>
        </w:rPr>
      </w:pPr>
    </w:p>
    <w:p w14:paraId="3C31022F" w14:textId="77777777" w:rsidR="00EC4C18" w:rsidRPr="00EC4C18" w:rsidRDefault="00EC4C18" w:rsidP="00EC4C18">
      <w:pPr>
        <w:spacing w:after="0" w:line="276" w:lineRule="auto"/>
        <w:jc w:val="both"/>
        <w:rPr>
          <w:rFonts w:ascii="Arial" w:eastAsia="Calibri" w:hAnsi="Arial" w:cs="Arial"/>
          <w:bCs/>
          <w:sz w:val="24"/>
          <w:szCs w:val="24"/>
          <w:lang w:val="es-MX" w:eastAsia="es-ES_tradnl"/>
        </w:rPr>
      </w:pPr>
      <w:r w:rsidRPr="00EC4C18">
        <w:rPr>
          <w:rFonts w:ascii="Arial" w:eastAsia="Calibri" w:hAnsi="Arial" w:cs="Arial"/>
          <w:bCs/>
          <w:sz w:val="24"/>
          <w:szCs w:val="24"/>
          <w:lang w:val="es-MX" w:eastAsia="es-ES_tradnl"/>
        </w:rPr>
        <w:t xml:space="preserve">Estimado señor Beltrán: </w:t>
      </w:r>
    </w:p>
    <w:p w14:paraId="3F2DA4D5" w14:textId="77777777" w:rsidR="00EC4C18" w:rsidRPr="00EC4C18" w:rsidRDefault="00EC4C18" w:rsidP="00EC4C18">
      <w:pPr>
        <w:tabs>
          <w:tab w:val="left" w:pos="3768"/>
        </w:tabs>
        <w:spacing w:after="0" w:line="276" w:lineRule="auto"/>
        <w:jc w:val="both"/>
        <w:rPr>
          <w:rFonts w:ascii="Arial" w:eastAsia="Calibri" w:hAnsi="Arial" w:cs="Arial"/>
          <w:color w:val="000000" w:themeColor="text1"/>
          <w:sz w:val="24"/>
          <w:szCs w:val="24"/>
          <w:lang w:val="es-ES" w:eastAsia="es-ES"/>
        </w:rPr>
      </w:pPr>
      <w:r w:rsidRPr="00EC4C18">
        <w:rPr>
          <w:rFonts w:ascii="Arial" w:eastAsia="Calibri" w:hAnsi="Arial" w:cs="Arial"/>
          <w:color w:val="000000" w:themeColor="text1"/>
          <w:sz w:val="24"/>
          <w:szCs w:val="24"/>
          <w:lang w:val="es-ES" w:eastAsia="es-ES"/>
        </w:rPr>
        <w:tab/>
      </w:r>
    </w:p>
    <w:p w14:paraId="55195E76" w14:textId="77777777" w:rsidR="00EC4C18" w:rsidRPr="00EC4C18" w:rsidRDefault="00EC4C18" w:rsidP="00EC4C18">
      <w:pPr>
        <w:spacing w:after="0" w:line="276" w:lineRule="auto"/>
        <w:jc w:val="both"/>
        <w:rPr>
          <w:rFonts w:ascii="Arial" w:eastAsia="Calibri" w:hAnsi="Arial" w:cs="Arial"/>
          <w:sz w:val="24"/>
          <w:szCs w:val="24"/>
          <w:lang w:val="es-ES" w:eastAsia="es-ES"/>
        </w:rPr>
      </w:pPr>
      <w:r w:rsidRPr="00EC4C18">
        <w:rPr>
          <w:rFonts w:ascii="Arial" w:eastAsia="Calibri" w:hAnsi="Arial" w:cs="Arial"/>
          <w:color w:val="000000" w:themeColor="text1"/>
          <w:sz w:val="24"/>
          <w:szCs w:val="24"/>
          <w:lang w:val="es-ES" w:eastAsia="es-ES"/>
        </w:rPr>
        <w:t>En ejercicio de la competencia otorgada por los artículos 3, numeral 5º, y 11, numeral 8º, del Decreto Ley 4170 de 2011,</w:t>
      </w:r>
      <w:r w:rsidRPr="00EC4C18">
        <w:rPr>
          <w:rFonts w:ascii="Arial" w:eastAsia="Arial MT" w:hAnsi="Arial" w:cs="Arial"/>
          <w:sz w:val="24"/>
          <w:szCs w:val="24"/>
          <w:lang w:val="es-ES" w:eastAsia="es-ES"/>
        </w:rPr>
        <w:t xml:space="preserve"> </w:t>
      </w:r>
      <w:r w:rsidRPr="00EC4C18">
        <w:rPr>
          <w:rFonts w:ascii="Arial" w:hAnsi="Arial" w:cs="Arial"/>
          <w:sz w:val="24"/>
          <w:szCs w:val="24"/>
        </w:rPr>
        <w:t xml:space="preserve">así como lo establecido en el artículo 4 de la Resolución 1707 de 2018 expedida por esta Entidad, </w:t>
      </w:r>
      <w:r w:rsidRPr="00EC4C18">
        <w:rPr>
          <w:rFonts w:ascii="Arial" w:eastAsia="Calibri" w:hAnsi="Arial" w:cs="Arial"/>
          <w:sz w:val="24"/>
          <w:szCs w:val="24"/>
          <w:lang w:val="es-ES" w:eastAsia="es-ES"/>
        </w:rPr>
        <w:t xml:space="preserve">la Agencia Nacional de Contratación Pública – Colombia Compra Eficiente– responde su solicitud de consulta de fecha 29 de agosto de 2024, en la cual manifiesta lo siguiente: </w:t>
      </w:r>
    </w:p>
    <w:p w14:paraId="4949C1F6" w14:textId="77777777" w:rsidR="00EC4C18" w:rsidRPr="00EC4C18" w:rsidRDefault="00EC4C18" w:rsidP="00EC4C18">
      <w:pPr>
        <w:tabs>
          <w:tab w:val="left" w:pos="142"/>
          <w:tab w:val="left" w:pos="284"/>
        </w:tabs>
        <w:spacing w:line="276" w:lineRule="auto"/>
        <w:contextualSpacing/>
        <w:jc w:val="both"/>
        <w:rPr>
          <w:rFonts w:ascii="Arial" w:eastAsia="Century Gothic" w:hAnsi="Arial" w:cs="Arial"/>
          <w:b/>
          <w:bCs/>
          <w:sz w:val="20"/>
          <w:szCs w:val="20"/>
          <w:lang w:val="es-ES"/>
        </w:rPr>
      </w:pPr>
    </w:p>
    <w:p w14:paraId="2DA2E631" w14:textId="77777777" w:rsidR="00EC4C18" w:rsidRPr="00EC4C18" w:rsidRDefault="00EC4C18" w:rsidP="00EC4C18">
      <w:pPr>
        <w:ind w:left="709" w:right="616"/>
        <w:jc w:val="both"/>
        <w:rPr>
          <w:rFonts w:ascii="Arial" w:eastAsia="Century Gothic" w:hAnsi="Arial" w:cs="Arial"/>
          <w:sz w:val="20"/>
          <w:szCs w:val="20"/>
        </w:rPr>
      </w:pPr>
      <w:bookmarkStart w:id="0" w:name="_Hlk95313578"/>
      <w:r w:rsidRPr="00EC4C18">
        <w:rPr>
          <w:rFonts w:ascii="Arial" w:eastAsia="Century Gothic" w:hAnsi="Arial" w:cs="Arial"/>
          <w:sz w:val="20"/>
          <w:szCs w:val="20"/>
          <w:lang w:val="es-ES"/>
        </w:rPr>
        <w:t>“</w:t>
      </w:r>
      <w:bookmarkEnd w:id="0"/>
      <w:r w:rsidRPr="00EC4C18">
        <w:rPr>
          <w:rFonts w:ascii="Arial" w:eastAsia="Century Gothic" w:hAnsi="Arial" w:cs="Arial"/>
          <w:sz w:val="20"/>
          <w:szCs w:val="20"/>
        </w:rPr>
        <w:t xml:space="preserve">[…]Agradezco su colaboración para que se sirvan expedir concepto sobre la forma de realizar la verificación de aspectos financieros de los proponentes que presentan </w:t>
      </w:r>
      <w:r w:rsidRPr="00EC4C18">
        <w:rPr>
          <w:rFonts w:ascii="Arial" w:eastAsia="Century Gothic" w:hAnsi="Arial" w:cs="Arial"/>
          <w:sz w:val="20"/>
          <w:szCs w:val="20"/>
        </w:rPr>
        <w:lastRenderedPageBreak/>
        <w:t>ofertas a los diferentes procesos contractuales de una entidad pública del Orden Nacional y que acorde a la normatividad vigente, especificamente el Decreto 1082 de 2015, en la actual vigencia un oferente plural llamese Consorcio o Unión Temporal que tiene dos o más integrantes de los cuales uno tiene información financiera vigente y en firme del primer o segundo semestre de esta vigencia y los otros con información a diciembre 31 de la vigencia anterior, puede ser evaluado financieramente?...Agradecemos nos precisen el punto de vista desde Colombia Compra Eficiente.:</w:t>
      </w:r>
      <w:r w:rsidRPr="00EC4C18">
        <w:rPr>
          <w:rFonts w:ascii="Arial" w:eastAsia="Century Gothic" w:hAnsi="Arial" w:cs="Arial"/>
          <w:sz w:val="20"/>
          <w:szCs w:val="20"/>
          <w:lang w:val="es-ES"/>
        </w:rPr>
        <w:t>” [sic]</w:t>
      </w:r>
    </w:p>
    <w:p w14:paraId="5D65A7E3" w14:textId="77777777" w:rsidR="00EC4C18" w:rsidRPr="00EC4C18" w:rsidRDefault="00EC4C18" w:rsidP="00EC4C18">
      <w:pPr>
        <w:tabs>
          <w:tab w:val="left" w:pos="142"/>
          <w:tab w:val="left" w:pos="284"/>
        </w:tabs>
        <w:spacing w:line="276" w:lineRule="auto"/>
        <w:contextualSpacing/>
        <w:jc w:val="both"/>
        <w:rPr>
          <w:rFonts w:ascii="Arial" w:eastAsia="Century Gothic" w:hAnsi="Arial" w:cs="Arial"/>
          <w:b/>
          <w:bCs/>
          <w:sz w:val="24"/>
          <w:szCs w:val="24"/>
          <w:lang w:val="es-ES"/>
        </w:rPr>
      </w:pPr>
    </w:p>
    <w:p w14:paraId="1FE69140" w14:textId="77777777" w:rsidR="00EC4C18" w:rsidRPr="00EC4C18" w:rsidRDefault="00EC4C18" w:rsidP="00EC4C18">
      <w:pPr>
        <w:spacing w:after="120" w:line="276" w:lineRule="auto"/>
        <w:ind w:firstLine="709"/>
        <w:jc w:val="both"/>
        <w:rPr>
          <w:rFonts w:ascii="Arial" w:eastAsia="Calibri" w:hAnsi="Arial" w:cs="Arial"/>
          <w:color w:val="000000"/>
          <w:sz w:val="24"/>
          <w:szCs w:val="24"/>
          <w:lang w:val="es-ES_tradnl" w:eastAsia="es-ES_tradnl"/>
        </w:rPr>
      </w:pPr>
      <w:r w:rsidRPr="00EC4C18">
        <w:rPr>
          <w:rFonts w:ascii="Arial" w:eastAsia="Calibri" w:hAnsi="Arial" w:cs="Arial"/>
          <w:color w:val="000000"/>
          <w:sz w:val="24"/>
          <w:szCs w:val="24"/>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EC4C18">
        <w:rPr>
          <w:rFonts w:ascii="Arial" w:eastAsia="Calibri" w:hAnsi="Arial" w:cs="Arial"/>
          <w:color w:val="000000"/>
          <w:sz w:val="24"/>
          <w:szCs w:val="24"/>
          <w:lang w:val="es-ES_tradnl" w:eastAsia="es-ES_tradnl"/>
        </w:rPr>
        <w:tab/>
      </w:r>
    </w:p>
    <w:p w14:paraId="6B5EF94C" w14:textId="77777777" w:rsidR="00EC4C18" w:rsidRPr="00EC4C18" w:rsidRDefault="00EC4C18" w:rsidP="00EC4C18">
      <w:pPr>
        <w:spacing w:after="0" w:line="276" w:lineRule="auto"/>
        <w:ind w:firstLine="709"/>
        <w:jc w:val="both"/>
        <w:rPr>
          <w:rFonts w:ascii="Arial" w:eastAsia="Calibri" w:hAnsi="Arial" w:cs="Arial"/>
          <w:color w:val="000000"/>
          <w:sz w:val="24"/>
          <w:szCs w:val="24"/>
          <w:lang w:val="es-ES" w:eastAsia="es-ES"/>
        </w:rPr>
      </w:pPr>
      <w:r w:rsidRPr="00EC4C18">
        <w:rPr>
          <w:rFonts w:ascii="Arial" w:eastAsia="Calibri" w:hAnsi="Arial" w:cs="Arial"/>
          <w:color w:val="000000"/>
          <w:sz w:val="24"/>
          <w:szCs w:val="24"/>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w:t>
      </w:r>
      <w:r w:rsidRPr="00EC4C18">
        <w:rPr>
          <w:rFonts w:ascii="Arial" w:eastAsia="Calibri" w:hAnsi="Arial" w:cs="Arial"/>
          <w:color w:val="7030A0"/>
          <w:sz w:val="24"/>
          <w:szCs w:val="24"/>
          <w:lang w:val="es-ES" w:eastAsia="es-ES"/>
        </w:rPr>
        <w:t xml:space="preserve"> </w:t>
      </w:r>
      <w:r w:rsidRPr="00EC4C18">
        <w:rPr>
          <w:rFonts w:ascii="Arial" w:eastAsia="Calibri" w:hAnsi="Arial" w:cs="Arial"/>
          <w:color w:val="000000"/>
          <w:sz w:val="24"/>
          <w:szCs w:val="24"/>
          <w:lang w:val="es-ES" w:eastAsia="es-ES"/>
        </w:rPr>
        <w:t>problema</w:t>
      </w:r>
      <w:r w:rsidRPr="00EC4C18">
        <w:rPr>
          <w:rFonts w:ascii="Arial" w:eastAsia="Calibri" w:hAnsi="Arial" w:cs="Arial"/>
          <w:color w:val="7030A0"/>
          <w:sz w:val="24"/>
          <w:szCs w:val="24"/>
          <w:lang w:val="es-ES" w:eastAsia="es-ES"/>
        </w:rPr>
        <w:t xml:space="preserve"> </w:t>
      </w:r>
      <w:r w:rsidRPr="00EC4C18">
        <w:rPr>
          <w:rFonts w:ascii="Arial" w:eastAsia="Calibri" w:hAnsi="Arial" w:cs="Arial"/>
          <w:color w:val="000000"/>
          <w:sz w:val="24"/>
          <w:szCs w:val="24"/>
          <w:lang w:val="es-ES" w:eastAsia="es-ES"/>
        </w:rPr>
        <w:t>jurídico</w:t>
      </w:r>
      <w:r w:rsidRPr="00EC4C18">
        <w:rPr>
          <w:rFonts w:ascii="Arial" w:eastAsia="Calibri" w:hAnsi="Arial" w:cs="Arial"/>
          <w:color w:val="7030A0"/>
          <w:sz w:val="24"/>
          <w:szCs w:val="24"/>
          <w:lang w:val="es-ES" w:eastAsia="es-ES"/>
        </w:rPr>
        <w:t xml:space="preserve"> </w:t>
      </w:r>
      <w:r w:rsidRPr="00EC4C18">
        <w:rPr>
          <w:rFonts w:ascii="Arial" w:eastAsia="Calibri" w:hAnsi="Arial" w:cs="Arial"/>
          <w:color w:val="000000"/>
          <w:sz w:val="24"/>
          <w:szCs w:val="24"/>
          <w:lang w:val="es-ES" w:eastAsia="es-ES"/>
        </w:rPr>
        <w:t xml:space="preserve">de su consulta. </w:t>
      </w:r>
    </w:p>
    <w:p w14:paraId="358EC987" w14:textId="77777777" w:rsidR="00EC4C18" w:rsidRPr="00EC4C18" w:rsidRDefault="00EC4C18" w:rsidP="00EC4C18">
      <w:pPr>
        <w:spacing w:after="0" w:line="276" w:lineRule="auto"/>
        <w:ind w:firstLine="709"/>
        <w:jc w:val="both"/>
        <w:rPr>
          <w:rFonts w:ascii="Arial" w:eastAsia="Calibri" w:hAnsi="Arial" w:cs="Arial"/>
          <w:color w:val="000000"/>
          <w:sz w:val="24"/>
          <w:szCs w:val="24"/>
          <w:lang w:val="es-ES" w:eastAsia="es-ES"/>
        </w:rPr>
      </w:pPr>
    </w:p>
    <w:p w14:paraId="41D60FB1" w14:textId="77777777" w:rsidR="00EC4C18" w:rsidRPr="00EC4C18" w:rsidRDefault="00EC4C18" w:rsidP="00EC4C18">
      <w:pPr>
        <w:numPr>
          <w:ilvl w:val="0"/>
          <w:numId w:val="4"/>
        </w:numPr>
        <w:tabs>
          <w:tab w:val="left" w:pos="142"/>
          <w:tab w:val="left" w:pos="284"/>
        </w:tabs>
        <w:spacing w:after="0" w:line="276" w:lineRule="auto"/>
        <w:ind w:left="0" w:firstLine="0"/>
        <w:contextualSpacing/>
        <w:jc w:val="both"/>
        <w:rPr>
          <w:rFonts w:ascii="Arial" w:eastAsia="Century Gothic" w:hAnsi="Arial" w:cs="Arial"/>
          <w:b/>
          <w:bCs/>
          <w:sz w:val="24"/>
          <w:szCs w:val="24"/>
          <w:lang w:val="es-ES"/>
        </w:rPr>
      </w:pPr>
      <w:r w:rsidRPr="00EC4C18">
        <w:rPr>
          <w:rFonts w:ascii="Arial" w:eastAsia="Century Gothic" w:hAnsi="Arial" w:cs="Arial"/>
          <w:b/>
          <w:bCs/>
          <w:sz w:val="24"/>
          <w:szCs w:val="24"/>
          <w:lang w:val="es-ES"/>
        </w:rPr>
        <w:t>Problema planteado:</w:t>
      </w:r>
    </w:p>
    <w:p w14:paraId="4C24D65C" w14:textId="77777777" w:rsidR="00EC4C18" w:rsidRPr="00EC4C18" w:rsidRDefault="00EC4C18" w:rsidP="00EC4C18">
      <w:pPr>
        <w:tabs>
          <w:tab w:val="left" w:pos="426"/>
        </w:tabs>
        <w:spacing w:after="0" w:line="276" w:lineRule="auto"/>
        <w:jc w:val="both"/>
        <w:rPr>
          <w:rFonts w:ascii="Arial" w:eastAsia="Century Gothic" w:hAnsi="Arial" w:cs="Arial"/>
          <w:sz w:val="24"/>
          <w:szCs w:val="24"/>
          <w:lang w:val="es-ES"/>
        </w:rPr>
      </w:pPr>
    </w:p>
    <w:p w14:paraId="3C407831" w14:textId="77777777" w:rsidR="00EC4C18" w:rsidRPr="00EC4C18" w:rsidRDefault="00EC4C18" w:rsidP="00EC4C18">
      <w:pPr>
        <w:spacing w:before="1" w:after="120" w:line="276" w:lineRule="auto"/>
        <w:ind w:right="306"/>
        <w:jc w:val="both"/>
        <w:rPr>
          <w:rFonts w:ascii="Arial" w:hAnsi="Arial" w:cs="Arial"/>
          <w:sz w:val="24"/>
          <w:szCs w:val="24"/>
        </w:rPr>
      </w:pPr>
      <w:r w:rsidRPr="00EC4C18">
        <w:rPr>
          <w:rFonts w:ascii="Arial" w:eastAsia="Century Gothic" w:hAnsi="Arial" w:cs="Arial"/>
          <w:sz w:val="24"/>
          <w:szCs w:val="24"/>
        </w:rPr>
        <w:t xml:space="preserve">De acuerdo con el contenido de su solicitud, esta Agencia resolverá el siguiente problema jurídico: ¿Cómo verificar la capacidad financiera como requisito habilitante en un Proceso de Contratación en los casos en donde el proponente sea plural? </w:t>
      </w:r>
    </w:p>
    <w:p w14:paraId="104FB171" w14:textId="77777777" w:rsidR="00EC4C18" w:rsidRPr="00EC4C18" w:rsidRDefault="00EC4C18" w:rsidP="00EC4C18">
      <w:pPr>
        <w:spacing w:after="0" w:line="276" w:lineRule="auto"/>
        <w:jc w:val="both"/>
        <w:rPr>
          <w:rFonts w:ascii="Arial" w:eastAsia="Century Gothic" w:hAnsi="Arial" w:cs="Arial"/>
          <w:sz w:val="24"/>
          <w:szCs w:val="24"/>
        </w:rPr>
      </w:pPr>
      <w:r w:rsidRPr="00EC4C18">
        <w:rPr>
          <w:rFonts w:ascii="Arial" w:eastAsia="Century Gothic" w:hAnsi="Arial" w:cs="Arial"/>
          <w:sz w:val="24"/>
          <w:szCs w:val="24"/>
        </w:rPr>
        <w:lastRenderedPageBreak/>
        <w:t xml:space="preserve"> </w:t>
      </w:r>
    </w:p>
    <w:p w14:paraId="5C56F405" w14:textId="77777777" w:rsidR="00EC4C18" w:rsidRPr="00EC4C18" w:rsidRDefault="00EC4C18" w:rsidP="00EC4C18">
      <w:pPr>
        <w:numPr>
          <w:ilvl w:val="0"/>
          <w:numId w:val="4"/>
        </w:numPr>
        <w:tabs>
          <w:tab w:val="left" w:pos="142"/>
          <w:tab w:val="left" w:pos="284"/>
        </w:tabs>
        <w:spacing w:after="0" w:line="276" w:lineRule="auto"/>
        <w:ind w:left="0" w:firstLine="0"/>
        <w:jc w:val="both"/>
        <w:rPr>
          <w:rFonts w:ascii="Arial" w:eastAsia="Century Gothic" w:hAnsi="Arial" w:cs="Arial"/>
          <w:b/>
          <w:bCs/>
          <w:sz w:val="24"/>
          <w:szCs w:val="24"/>
          <w:lang w:val="es-ES"/>
        </w:rPr>
      </w:pPr>
      <w:r w:rsidRPr="00EC4C18">
        <w:rPr>
          <w:rFonts w:ascii="Arial" w:eastAsia="Century Gothic" w:hAnsi="Arial" w:cs="Arial"/>
          <w:b/>
          <w:bCs/>
          <w:sz w:val="24"/>
          <w:szCs w:val="24"/>
          <w:lang w:val="es-ES"/>
        </w:rPr>
        <w:t>Respuesta:</w:t>
      </w:r>
    </w:p>
    <w:p w14:paraId="0EDC57F5" w14:textId="77777777" w:rsidR="00EC4C18" w:rsidRPr="00EC4C18" w:rsidRDefault="00EC4C18" w:rsidP="00EC4C18">
      <w:pPr>
        <w:tabs>
          <w:tab w:val="left" w:pos="142"/>
          <w:tab w:val="left" w:pos="284"/>
        </w:tabs>
        <w:spacing w:after="0" w:line="276" w:lineRule="auto"/>
        <w:jc w:val="both"/>
        <w:rPr>
          <w:rFonts w:ascii="Arial" w:eastAsia="Century Gothic" w:hAnsi="Arial" w:cs="Arial"/>
          <w:b/>
          <w:bCs/>
          <w:sz w:val="24"/>
          <w:szCs w:val="24"/>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EC4C18" w:rsidRPr="00EC4C18" w14:paraId="3E78875F" w14:textId="77777777" w:rsidTr="00E3556E">
        <w:tc>
          <w:tcPr>
            <w:tcW w:w="8828" w:type="dxa"/>
            <w:shd w:val="clear" w:color="auto" w:fill="auto"/>
          </w:tcPr>
          <w:p w14:paraId="36271A50" w14:textId="77777777" w:rsidR="00EC4C18" w:rsidRPr="00EC4C18" w:rsidRDefault="00EC4C18" w:rsidP="00EC4C18">
            <w:pPr>
              <w:spacing w:before="120" w:after="120" w:line="276" w:lineRule="auto"/>
              <w:jc w:val="both"/>
              <w:rPr>
                <w:rFonts w:ascii="Arial" w:eastAsia="Calibri" w:hAnsi="Arial" w:cs="Arial"/>
                <w:color w:val="000000" w:themeColor="text1"/>
                <w:sz w:val="24"/>
                <w:szCs w:val="24"/>
              </w:rPr>
            </w:pPr>
            <w:r w:rsidRPr="00EC4C18">
              <w:rPr>
                <w:rFonts w:ascii="Arial" w:eastAsia="Calibri" w:hAnsi="Arial" w:cs="Arial"/>
                <w:color w:val="000000" w:themeColor="text1"/>
                <w:sz w:val="24"/>
                <w:szCs w:val="24"/>
                <w:lang w:val="es-ES"/>
              </w:rPr>
              <w:t xml:space="preserve">Para evaluar la capacidad financiera, la entidad contratante deberá </w:t>
            </w:r>
            <w:r w:rsidRPr="00EC4C18">
              <w:rPr>
                <w:rFonts w:ascii="Arial" w:eastAsia="Calibri" w:hAnsi="Arial" w:cs="Arial"/>
                <w:color w:val="000000" w:themeColor="text1"/>
                <w:sz w:val="24"/>
                <w:szCs w:val="24"/>
              </w:rPr>
              <w:t>verificar los requisitos del pliego de condiciones, conforme a lo señalado en el artículo 5 de la Ley 1150 de 2007 y el artículo 2.2.1.1.1.5.3 del Decreto 1082 de 2015. Es decir, a través del RUP con los estados financieros del proponente, suscritos por el representante legal y el revisor fiscal, cuando aplique, de este modo, lo que se verifica con el registro es que el proponente tenga los indicadores financieros solicitados por la Entidad, que le permitan satisfacer la necesidad que se contratará una vez desarrollado el procedimiento de selección.</w:t>
            </w:r>
          </w:p>
          <w:p w14:paraId="15292D68" w14:textId="77777777" w:rsidR="00EC4C18" w:rsidRPr="00EC4C18" w:rsidRDefault="00EC4C18" w:rsidP="00EC4C18">
            <w:pPr>
              <w:spacing w:line="276" w:lineRule="auto"/>
              <w:jc w:val="both"/>
              <w:rPr>
                <w:rFonts w:ascii="Arial" w:eastAsia="Calibri" w:hAnsi="Arial" w:cs="Arial"/>
                <w:sz w:val="24"/>
                <w:szCs w:val="24"/>
                <w:lang w:eastAsia="es-MX"/>
              </w:rPr>
            </w:pPr>
            <w:r w:rsidRPr="00EC4C18">
              <w:rPr>
                <w:rFonts w:ascii="Arial" w:eastAsia="Calibri" w:hAnsi="Arial" w:cs="Arial"/>
                <w:color w:val="000000" w:themeColor="text1"/>
                <w:sz w:val="24"/>
                <w:szCs w:val="24"/>
                <w:lang w:val="es-ES"/>
              </w:rPr>
              <w:t>Ahora bien, para el caso de proponentes plurales, cada uno deberá cumplir los requisitos de información para inscripción, renovación o actualización de los estados financieros de acuerdo con lo establecido en el artículo </w:t>
            </w:r>
            <w:bookmarkStart w:id="1" w:name="2.2.1.1.1.5.2"/>
            <w:bookmarkEnd w:id="1"/>
            <w:r w:rsidRPr="00EC4C18">
              <w:rPr>
                <w:rFonts w:ascii="Arial" w:eastAsia="Calibri" w:hAnsi="Arial" w:cs="Arial"/>
                <w:color w:val="000000" w:themeColor="text1"/>
                <w:sz w:val="24"/>
                <w:szCs w:val="24"/>
                <w:lang w:val="es-ES"/>
              </w:rPr>
              <w:t xml:space="preserve">2.2.1.1.1.5.2 del Decreto 1082 de 2015. Sin embargo, la Entidad Estatal debe determinar y justificar en los Documentos del Proceso la metodología para calcular los indicadores de los proponentes plurales a partir de la información de cada uno de sus integrantes. En todo caso, </w:t>
            </w:r>
            <w:r w:rsidRPr="00EC4C18">
              <w:rPr>
                <w:rFonts w:ascii="Arial" w:eastAsia="Calibri" w:hAnsi="Arial" w:cs="Arial"/>
                <w:sz w:val="24"/>
                <w:szCs w:val="24"/>
                <w:lang w:eastAsia="es-MX"/>
              </w:rPr>
              <w:t>esta Agencia puso a disposición de los interesados el “</w:t>
            </w:r>
            <w:r w:rsidRPr="00EC4C18">
              <w:rPr>
                <w:rFonts w:ascii="Arial" w:eastAsia="Calibri" w:hAnsi="Arial" w:cs="Arial"/>
                <w:i/>
                <w:iCs/>
                <w:sz w:val="24"/>
                <w:szCs w:val="24"/>
                <w:lang w:eastAsia="es-MX"/>
              </w:rPr>
              <w:t>Manual para determinar y verificar los requisitos habilitantes en los procesos de contratación</w:t>
            </w:r>
            <w:r w:rsidRPr="00EC4C18">
              <w:rPr>
                <w:rFonts w:ascii="Arial" w:eastAsia="Calibri" w:hAnsi="Arial" w:cs="Arial"/>
                <w:sz w:val="24"/>
                <w:szCs w:val="24"/>
                <w:lang w:eastAsia="es-MX"/>
              </w:rPr>
              <w:t>”</w:t>
            </w:r>
            <w:r w:rsidRPr="00EC4C18">
              <w:rPr>
                <w:rFonts w:ascii="Arial" w:eastAsia="Calibri" w:hAnsi="Arial" w:cs="Arial"/>
                <w:sz w:val="24"/>
                <w:szCs w:val="24"/>
                <w:vertAlign w:val="superscript"/>
                <w:lang w:eastAsia="es-MX"/>
              </w:rPr>
              <w:footnoteReference w:id="2"/>
            </w:r>
            <w:r w:rsidRPr="00EC4C18">
              <w:rPr>
                <w:rFonts w:ascii="Arial" w:eastAsia="Calibri" w:hAnsi="Arial" w:cs="Arial"/>
                <w:sz w:val="24"/>
                <w:szCs w:val="24"/>
                <w:lang w:eastAsia="es-MX"/>
              </w:rPr>
              <w:t>, donde propone alternativas para que las entidades calculen los indicadores de proponentes plurales.</w:t>
            </w:r>
          </w:p>
          <w:p w14:paraId="67BFA70D" w14:textId="77777777" w:rsidR="00EC4C18" w:rsidRPr="00EC4C18" w:rsidRDefault="00EC4C18" w:rsidP="00EC4C18">
            <w:pPr>
              <w:spacing w:after="120" w:line="276" w:lineRule="auto"/>
              <w:jc w:val="both"/>
              <w:rPr>
                <w:rFonts w:ascii="Arial" w:eastAsia="Calibri" w:hAnsi="Arial" w:cs="Arial"/>
                <w:sz w:val="24"/>
                <w:szCs w:val="24"/>
                <w:lang w:val="es-ES_tradnl" w:eastAsia="es-MX"/>
              </w:rPr>
            </w:pPr>
          </w:p>
        </w:tc>
      </w:tr>
    </w:tbl>
    <w:p w14:paraId="30EE25B3" w14:textId="77777777" w:rsidR="00EC4C18" w:rsidRPr="00EC4C18" w:rsidRDefault="00EC4C18" w:rsidP="00EC4C18">
      <w:pPr>
        <w:tabs>
          <w:tab w:val="left" w:pos="142"/>
          <w:tab w:val="left" w:pos="284"/>
        </w:tabs>
        <w:spacing w:after="0" w:line="276" w:lineRule="auto"/>
        <w:jc w:val="both"/>
        <w:rPr>
          <w:rFonts w:ascii="Arial" w:eastAsia="Century Gothic" w:hAnsi="Arial" w:cs="Arial"/>
          <w:b/>
          <w:bCs/>
          <w:sz w:val="24"/>
          <w:szCs w:val="24"/>
          <w:lang w:val="es-ES"/>
        </w:rPr>
      </w:pPr>
    </w:p>
    <w:p w14:paraId="3B2903DE" w14:textId="77777777" w:rsidR="00EC4C18" w:rsidRPr="00EC4C18" w:rsidRDefault="00EC4C18" w:rsidP="00EC4C18">
      <w:pPr>
        <w:numPr>
          <w:ilvl w:val="0"/>
          <w:numId w:val="4"/>
        </w:numPr>
        <w:tabs>
          <w:tab w:val="left" w:pos="142"/>
          <w:tab w:val="left" w:pos="284"/>
        </w:tabs>
        <w:spacing w:after="0" w:line="276" w:lineRule="auto"/>
        <w:ind w:left="0" w:firstLine="0"/>
        <w:jc w:val="both"/>
        <w:rPr>
          <w:rFonts w:ascii="Arial" w:eastAsia="Century Gothic" w:hAnsi="Arial" w:cs="Arial"/>
          <w:b/>
          <w:bCs/>
          <w:sz w:val="24"/>
          <w:szCs w:val="24"/>
          <w:lang w:val="es-ES"/>
        </w:rPr>
      </w:pPr>
      <w:r w:rsidRPr="00EC4C18">
        <w:rPr>
          <w:rFonts w:ascii="Arial" w:eastAsia="Century Gothic" w:hAnsi="Arial" w:cs="Arial"/>
          <w:b/>
          <w:bCs/>
          <w:sz w:val="24"/>
          <w:szCs w:val="24"/>
          <w:lang w:val="es-ES"/>
        </w:rPr>
        <w:t>Razones de la respuesta:</w:t>
      </w:r>
    </w:p>
    <w:p w14:paraId="2F862C33" w14:textId="77777777" w:rsidR="00EC4C18" w:rsidRPr="00EC4C18" w:rsidRDefault="00EC4C18" w:rsidP="00EC4C18">
      <w:pPr>
        <w:spacing w:after="0" w:line="276" w:lineRule="auto"/>
        <w:jc w:val="both"/>
        <w:rPr>
          <w:rFonts w:ascii="Arial" w:eastAsia="Calibri" w:hAnsi="Arial" w:cs="Arial"/>
          <w:color w:val="7030A0"/>
          <w:sz w:val="24"/>
          <w:szCs w:val="24"/>
          <w:lang w:val="es-ES"/>
        </w:rPr>
      </w:pPr>
    </w:p>
    <w:p w14:paraId="495A5E1E" w14:textId="77777777" w:rsidR="00EC4C18" w:rsidRPr="00EC4C18" w:rsidRDefault="00EC4C18" w:rsidP="00EC4C18">
      <w:pPr>
        <w:spacing w:after="0" w:line="276" w:lineRule="auto"/>
        <w:jc w:val="both"/>
        <w:rPr>
          <w:rFonts w:ascii="Arial" w:eastAsia="Calibri" w:hAnsi="Arial" w:cs="Arial"/>
          <w:sz w:val="24"/>
          <w:szCs w:val="24"/>
          <w:lang w:val="es-ES"/>
        </w:rPr>
      </w:pPr>
      <w:r w:rsidRPr="00EC4C18">
        <w:rPr>
          <w:rFonts w:ascii="Arial" w:eastAsia="Calibri" w:hAnsi="Arial" w:cs="Arial"/>
          <w:sz w:val="24"/>
          <w:szCs w:val="24"/>
          <w:lang w:val="es-ES"/>
        </w:rPr>
        <w:t xml:space="preserve">Lo anterior se sustenta en las siguientes consideraciones: </w:t>
      </w:r>
    </w:p>
    <w:p w14:paraId="2AD98A94" w14:textId="77777777" w:rsidR="00EC4C18" w:rsidRPr="00EC4C18" w:rsidRDefault="00EC4C18" w:rsidP="00EC4C18">
      <w:pPr>
        <w:spacing w:after="0" w:line="276" w:lineRule="auto"/>
        <w:jc w:val="both"/>
        <w:rPr>
          <w:rFonts w:ascii="Arial" w:eastAsia="Calibri" w:hAnsi="Arial" w:cs="Arial"/>
          <w:sz w:val="24"/>
          <w:szCs w:val="24"/>
          <w:lang w:val="es-ES"/>
        </w:rPr>
      </w:pPr>
    </w:p>
    <w:p w14:paraId="76A615E5" w14:textId="77777777" w:rsidR="00EC4C18" w:rsidRPr="00EC4C18" w:rsidRDefault="00EC4C18" w:rsidP="00EC4C18">
      <w:pPr>
        <w:numPr>
          <w:ilvl w:val="0"/>
          <w:numId w:val="19"/>
        </w:numPr>
        <w:spacing w:after="120" w:line="276" w:lineRule="auto"/>
        <w:contextualSpacing/>
        <w:jc w:val="both"/>
        <w:rPr>
          <w:rFonts w:ascii="Arial" w:eastAsia="Calibri" w:hAnsi="Arial" w:cs="Arial"/>
          <w:color w:val="000000" w:themeColor="text1"/>
          <w:sz w:val="24"/>
          <w:szCs w:val="24"/>
          <w:lang w:val="es-ES_tradnl" w:eastAsia="es-ES_tradnl"/>
        </w:rPr>
      </w:pPr>
      <w:r w:rsidRPr="00EC4C18">
        <w:rPr>
          <w:rFonts w:ascii="Arial" w:eastAsia="Calibri" w:hAnsi="Arial" w:cs="Arial"/>
          <w:color w:val="000000" w:themeColor="text1"/>
          <w:sz w:val="24"/>
          <w:szCs w:val="24"/>
          <w:lang w:val="es-ES_tradnl" w:eastAsia="es-ES_tradnl"/>
        </w:rPr>
        <w:t xml:space="preserve">Los </w:t>
      </w:r>
      <w:r w:rsidRPr="00EC4C18">
        <w:rPr>
          <w:rFonts w:ascii="Arial" w:eastAsia="Calibri" w:hAnsi="Arial" w:cs="Arial"/>
          <w:i/>
          <w:iCs/>
          <w:color w:val="000000" w:themeColor="text1"/>
          <w:sz w:val="24"/>
          <w:szCs w:val="24"/>
          <w:lang w:val="es-ES_tradnl" w:eastAsia="es-ES_tradnl"/>
        </w:rPr>
        <w:t>requisitos habilitantes</w:t>
      </w:r>
      <w:r w:rsidRPr="00EC4C18">
        <w:rPr>
          <w:rFonts w:ascii="Arial" w:eastAsia="Calibri" w:hAnsi="Arial" w:cs="Arial"/>
          <w:color w:val="000000" w:themeColor="text1"/>
          <w:sz w:val="24"/>
          <w:szCs w:val="24"/>
          <w:lang w:val="es-ES_tradnl" w:eastAsia="es-ES_tradnl"/>
        </w:rPr>
        <w:t xml:space="preserve"> se definen como exigencias de participación en los procedimientos de selección, establecidos en disposiciones normativas, de </w:t>
      </w:r>
      <w:r w:rsidRPr="00EC4C18">
        <w:rPr>
          <w:rFonts w:ascii="Arial" w:eastAsia="Calibri" w:hAnsi="Arial" w:cs="Arial"/>
          <w:color w:val="000000" w:themeColor="text1"/>
          <w:sz w:val="24"/>
          <w:szCs w:val="24"/>
          <w:lang w:val="es-ES_tradnl" w:eastAsia="es-ES_tradnl"/>
        </w:rPr>
        <w:lastRenderedPageBreak/>
        <w:t xml:space="preserve">carácter legal o reglamentario, o contenidas en el acto administrativo que regula las reglas de la convocatoria, es decir, en el pliego de condiciones o el documento equivalente a este. Se diferencian de los </w:t>
      </w:r>
      <w:r w:rsidRPr="00EC4C18">
        <w:rPr>
          <w:rFonts w:ascii="Arial" w:eastAsia="Calibri" w:hAnsi="Arial" w:cs="Arial"/>
          <w:i/>
          <w:iCs/>
          <w:color w:val="000000" w:themeColor="text1"/>
          <w:sz w:val="24"/>
          <w:szCs w:val="24"/>
          <w:lang w:val="es-ES_tradnl" w:eastAsia="es-ES_tradnl"/>
        </w:rPr>
        <w:t>criterios de evaluación</w:t>
      </w:r>
      <w:r w:rsidRPr="00EC4C18">
        <w:rPr>
          <w:rFonts w:ascii="Arial" w:eastAsia="Calibri" w:hAnsi="Arial" w:cs="Arial"/>
          <w:color w:val="000000" w:themeColor="text1"/>
          <w:sz w:val="24"/>
          <w:szCs w:val="24"/>
          <w:lang w:val="es-ES_tradnl" w:eastAsia="es-ES_tradnl"/>
        </w:rPr>
        <w:t xml:space="preserve"> –también conocidos como </w:t>
      </w:r>
      <w:r w:rsidRPr="00EC4C18">
        <w:rPr>
          <w:rFonts w:ascii="Arial" w:eastAsia="Calibri" w:hAnsi="Arial" w:cs="Arial"/>
          <w:i/>
          <w:iCs/>
          <w:color w:val="000000" w:themeColor="text1"/>
          <w:sz w:val="24"/>
          <w:szCs w:val="24"/>
          <w:lang w:val="es-ES_tradnl" w:eastAsia="es-ES_tradnl"/>
        </w:rPr>
        <w:t>criterios de calificación</w:t>
      </w:r>
      <w:r w:rsidRPr="00EC4C18">
        <w:rPr>
          <w:rFonts w:ascii="Arial" w:eastAsia="Calibri" w:hAnsi="Arial" w:cs="Arial"/>
          <w:color w:val="000000" w:themeColor="text1"/>
          <w:sz w:val="24"/>
          <w:szCs w:val="24"/>
          <w:lang w:val="es-ES_tradnl" w:eastAsia="es-ES_tradnl"/>
        </w:rPr>
        <w:t xml:space="preserve">– en que estos son los factores definidos por la Entidad Estatal para la asignación de puntaje en el momento de la comparación de las ofertas, y que, a partir de su ponderación, permiten establecer el orden de elegibilidad y, por ende, la propuesta ganadora. </w:t>
      </w:r>
    </w:p>
    <w:p w14:paraId="5CA2F2FE" w14:textId="77777777" w:rsidR="00EC4C18" w:rsidRPr="00EC4C18" w:rsidRDefault="00EC4C18" w:rsidP="00EC4C18">
      <w:pPr>
        <w:numPr>
          <w:ilvl w:val="0"/>
          <w:numId w:val="19"/>
        </w:numPr>
        <w:spacing w:after="120" w:line="276" w:lineRule="auto"/>
        <w:contextualSpacing/>
        <w:jc w:val="both"/>
        <w:rPr>
          <w:rFonts w:ascii="Arial" w:eastAsia="Calibri" w:hAnsi="Arial" w:cs="Arial"/>
          <w:color w:val="000000" w:themeColor="text1"/>
          <w:sz w:val="24"/>
          <w:szCs w:val="24"/>
          <w:lang w:val="es-ES" w:eastAsia="es-ES"/>
        </w:rPr>
      </w:pPr>
      <w:r w:rsidRPr="00EC4C18">
        <w:rPr>
          <w:rFonts w:ascii="Arial" w:eastAsia="Calibri" w:hAnsi="Arial" w:cs="Arial"/>
          <w:color w:val="000000" w:themeColor="text1"/>
          <w:sz w:val="24"/>
          <w:szCs w:val="24"/>
          <w:lang w:val="es-ES" w:eastAsia="es-ES"/>
        </w:rPr>
        <w:t>A partir de lo dicho se deduce que los requisitos habilitantes, si bien constituyen obligaciones que los proponentes deben cumplir y acreditar para participar en el procedimiento de selección, no se valoran con un puntaje que determine el orden de escogencia, sino que se analizan como criterios previos a la evaluación en sentido estricto, de manera que quienes no los reúnan no pueden continuar en el procedimiento de selección, o sea, incurren en causal de rechazo. Esto sin perjuicio del derecho que tienen los oferentes de subsanar los defectos que se presenten en la prueba de tales requisitos, de conformidad con el artículo 5, parágrafos 1º al 4º, de la Ley 1150 de 2007.</w:t>
      </w:r>
    </w:p>
    <w:p w14:paraId="7250DD67" w14:textId="77777777" w:rsidR="00EC4C18" w:rsidRPr="00EC4C18" w:rsidRDefault="00EC4C18" w:rsidP="00EC4C18">
      <w:pPr>
        <w:numPr>
          <w:ilvl w:val="0"/>
          <w:numId w:val="19"/>
        </w:numPr>
        <w:spacing w:after="0" w:line="276" w:lineRule="auto"/>
        <w:contextualSpacing/>
        <w:jc w:val="both"/>
        <w:rPr>
          <w:rFonts w:ascii="Arial" w:eastAsia="Calibri" w:hAnsi="Arial" w:cs="Arial"/>
          <w:color w:val="000000" w:themeColor="text1"/>
          <w:sz w:val="24"/>
          <w:szCs w:val="24"/>
          <w:lang w:val="es-ES" w:eastAsia="es-ES"/>
        </w:rPr>
      </w:pPr>
      <w:r w:rsidRPr="00EC4C18">
        <w:rPr>
          <w:rFonts w:ascii="Arial" w:eastAsia="Calibri" w:hAnsi="Arial" w:cs="Arial"/>
          <w:color w:val="000000" w:themeColor="text1"/>
          <w:sz w:val="24"/>
          <w:szCs w:val="24"/>
          <w:lang w:val="es-ES" w:eastAsia="es-ES"/>
        </w:rPr>
        <w:t xml:space="preserve">El mencionado artículo dispone que se considera </w:t>
      </w:r>
      <w:r w:rsidRPr="00EC4C18">
        <w:rPr>
          <w:rFonts w:ascii="Arial" w:eastAsia="Calibri" w:hAnsi="Arial" w:cs="Arial"/>
          <w:i/>
          <w:iCs/>
          <w:color w:val="000000" w:themeColor="text1"/>
          <w:sz w:val="24"/>
          <w:szCs w:val="24"/>
          <w:lang w:val="es-ES" w:eastAsia="es-ES"/>
        </w:rPr>
        <w:t>“objetiva la selección en la cual la escogencia se haga al ofrecimiento más favorable a la entidad y a los fines que ella busca, sin tener en consideración factores de afecto o de interés y, en general, cualquier clase de motivación subjetiva”.</w:t>
      </w:r>
      <w:r w:rsidRPr="00EC4C18">
        <w:rPr>
          <w:rFonts w:ascii="Arial" w:eastAsia="Calibri" w:hAnsi="Arial" w:cs="Arial"/>
          <w:color w:val="000000" w:themeColor="text1"/>
          <w:sz w:val="24"/>
          <w:szCs w:val="24"/>
          <w:lang w:val="es-ES" w:eastAsia="es-ES"/>
        </w:rPr>
        <w:t xml:space="preserve"> En ese contexto, los factores de escogencia y calificación que establezcan las entidades en los pliegos de condiciones o sus documentos equivalentes deberán tener en cuenta, entre otras cuestiones, los criterios establecidos en dicha disposición. Específicamente, el numeral 1º del artículo referido establece que en los procesos de selección de contratistas serán objeto de verificación, como requisitos habilitantes, </w:t>
      </w:r>
      <w:r w:rsidRPr="00EC4C18">
        <w:rPr>
          <w:rFonts w:ascii="Arial" w:eastAsia="Calibri" w:hAnsi="Arial" w:cs="Arial"/>
          <w:i/>
          <w:iCs/>
          <w:color w:val="000000" w:themeColor="text1"/>
          <w:sz w:val="24"/>
          <w:szCs w:val="24"/>
          <w:lang w:val="es-ES" w:eastAsia="es-ES"/>
        </w:rPr>
        <w:t>entre otros</w:t>
      </w:r>
      <w:r w:rsidRPr="00EC4C18">
        <w:rPr>
          <w:rFonts w:ascii="Arial" w:eastAsia="Calibri" w:hAnsi="Arial" w:cs="Arial"/>
          <w:color w:val="000000" w:themeColor="text1"/>
          <w:sz w:val="24"/>
          <w:szCs w:val="24"/>
          <w:lang w:val="es-ES" w:eastAsia="es-ES"/>
        </w:rPr>
        <w:t>, los siguientes: i) la capacidad jurídica; ii) la experiencia; iii) la capacidad financiera y iv) la capacidad de organización. En efecto, la normativa citada prescribe lo siguiente:</w:t>
      </w:r>
    </w:p>
    <w:p w14:paraId="234A9E2C" w14:textId="77777777" w:rsidR="00EC4C18" w:rsidRPr="00EC4C18" w:rsidRDefault="00EC4C18" w:rsidP="00EC4C18">
      <w:pPr>
        <w:spacing w:after="0" w:line="276" w:lineRule="auto"/>
        <w:ind w:firstLine="709"/>
        <w:jc w:val="both"/>
        <w:rPr>
          <w:rFonts w:ascii="Arial" w:eastAsia="Calibri" w:hAnsi="Arial" w:cs="Arial"/>
          <w:color w:val="000000" w:themeColor="text1"/>
          <w:sz w:val="24"/>
          <w:szCs w:val="24"/>
          <w:lang w:val="es-ES_tradnl" w:eastAsia="es-ES_tradnl"/>
        </w:rPr>
      </w:pPr>
      <w:r w:rsidRPr="00EC4C18">
        <w:rPr>
          <w:rFonts w:ascii="Arial" w:eastAsia="Calibri" w:hAnsi="Arial" w:cs="Arial"/>
          <w:color w:val="000000" w:themeColor="text1"/>
          <w:sz w:val="24"/>
          <w:szCs w:val="24"/>
          <w:lang w:val="es-ES_tradnl" w:eastAsia="es-ES_tradnl"/>
        </w:rPr>
        <w:t xml:space="preserve"> </w:t>
      </w:r>
    </w:p>
    <w:p w14:paraId="00A2CB3D" w14:textId="77777777" w:rsidR="00EC4C18" w:rsidRPr="00EC4C18" w:rsidRDefault="00EC4C18" w:rsidP="00EC4C18">
      <w:pPr>
        <w:spacing w:after="0" w:line="240" w:lineRule="auto"/>
        <w:ind w:left="1134" w:right="709"/>
        <w:jc w:val="both"/>
        <w:rPr>
          <w:rFonts w:ascii="Arial" w:eastAsia="Calibri" w:hAnsi="Arial" w:cs="Arial"/>
          <w:color w:val="000000" w:themeColor="text1"/>
          <w:sz w:val="20"/>
          <w:szCs w:val="20"/>
          <w:lang w:val="es-ES_tradnl" w:eastAsia="es-ES_tradnl"/>
        </w:rPr>
      </w:pPr>
      <w:r w:rsidRPr="00EC4C18">
        <w:rPr>
          <w:rFonts w:ascii="Arial" w:eastAsia="Calibri" w:hAnsi="Arial" w:cs="Arial"/>
          <w:i/>
          <w:iCs/>
          <w:color w:val="000000" w:themeColor="text1"/>
          <w:sz w:val="20"/>
          <w:szCs w:val="20"/>
          <w:lang w:val="es-ES_tradnl" w:eastAsia="es-ES_tradnl"/>
        </w:rPr>
        <w:t>“</w:t>
      </w:r>
      <w:r w:rsidRPr="00EC4C18">
        <w:rPr>
          <w:rFonts w:ascii="Arial" w:eastAsia="Calibri" w:hAnsi="Arial" w:cs="Arial"/>
          <w:color w:val="000000" w:themeColor="text1"/>
          <w:sz w:val="20"/>
          <w:szCs w:val="20"/>
          <w:lang w:val="es-ES_tradnl" w:eastAsia="es-ES_tradnl"/>
        </w:rPr>
        <w:t xml:space="preserve">Artículo 5. De la Selección Objetiva. </w:t>
      </w:r>
    </w:p>
    <w:p w14:paraId="005BA10E" w14:textId="77777777" w:rsidR="00EC4C18" w:rsidRPr="00EC4C18" w:rsidRDefault="00EC4C18" w:rsidP="00EC4C18">
      <w:pPr>
        <w:spacing w:after="0" w:line="240" w:lineRule="auto"/>
        <w:ind w:left="1134" w:right="709"/>
        <w:jc w:val="both"/>
        <w:rPr>
          <w:rFonts w:ascii="Arial" w:eastAsia="Calibri" w:hAnsi="Arial" w:cs="Arial"/>
          <w:color w:val="000000" w:themeColor="text1"/>
          <w:sz w:val="20"/>
          <w:szCs w:val="20"/>
          <w:lang w:val="es-ES_tradnl" w:eastAsia="es-ES_tradnl"/>
        </w:rPr>
      </w:pPr>
      <w:r w:rsidRPr="00EC4C18">
        <w:rPr>
          <w:rFonts w:ascii="Arial" w:eastAsia="Calibri" w:hAnsi="Arial" w:cs="Arial"/>
          <w:color w:val="000000" w:themeColor="text1"/>
          <w:sz w:val="20"/>
          <w:szCs w:val="20"/>
          <w:lang w:val="es-ES_tradnl" w:eastAsia="es-ES_tradnl"/>
        </w:rPr>
        <w:t>[…]</w:t>
      </w:r>
    </w:p>
    <w:p w14:paraId="563E4AE9" w14:textId="77777777" w:rsidR="00EC4C18" w:rsidRPr="00EC4C18" w:rsidRDefault="00EC4C18" w:rsidP="00EC4C18">
      <w:pPr>
        <w:numPr>
          <w:ilvl w:val="0"/>
          <w:numId w:val="22"/>
        </w:numPr>
        <w:spacing w:after="0" w:line="240" w:lineRule="auto"/>
        <w:ind w:right="709"/>
        <w:contextualSpacing/>
        <w:jc w:val="both"/>
        <w:rPr>
          <w:rFonts w:ascii="Arial" w:eastAsia="Calibri" w:hAnsi="Arial" w:cs="Arial"/>
          <w:color w:val="000000" w:themeColor="text1"/>
          <w:sz w:val="20"/>
          <w:szCs w:val="20"/>
          <w:lang w:val="es-ES"/>
        </w:rPr>
      </w:pPr>
      <w:r w:rsidRPr="00EC4C18">
        <w:rPr>
          <w:rFonts w:ascii="Arial" w:eastAsia="Calibri" w:hAnsi="Arial" w:cs="Arial"/>
          <w:color w:val="000000" w:themeColor="text1"/>
          <w:sz w:val="20"/>
          <w:szCs w:val="20"/>
          <w:lang w:val="es-ES"/>
        </w:rPr>
        <w:lastRenderedPageBreak/>
        <w:t>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w:t>
      </w:r>
    </w:p>
    <w:p w14:paraId="2ECCB428" w14:textId="77777777" w:rsidR="00EC4C18" w:rsidRPr="00EC4C18" w:rsidRDefault="00EC4C18" w:rsidP="00EC4C18">
      <w:pPr>
        <w:spacing w:after="0" w:line="240" w:lineRule="auto"/>
        <w:ind w:left="1494" w:right="709"/>
        <w:contextualSpacing/>
        <w:jc w:val="both"/>
        <w:rPr>
          <w:rFonts w:ascii="Arial" w:eastAsia="Calibri" w:hAnsi="Arial" w:cs="Arial"/>
          <w:color w:val="000000" w:themeColor="text1"/>
          <w:sz w:val="24"/>
          <w:szCs w:val="24"/>
          <w:lang w:val="es-ES_tradnl"/>
        </w:rPr>
      </w:pPr>
    </w:p>
    <w:p w14:paraId="7E2838FF" w14:textId="77777777" w:rsidR="00EC4C18" w:rsidRPr="00EC4C18" w:rsidRDefault="00EC4C18" w:rsidP="00EC4C18">
      <w:pPr>
        <w:numPr>
          <w:ilvl w:val="0"/>
          <w:numId w:val="21"/>
        </w:numPr>
        <w:spacing w:after="120" w:line="276" w:lineRule="auto"/>
        <w:contextualSpacing/>
        <w:jc w:val="both"/>
        <w:rPr>
          <w:rFonts w:ascii="Arial" w:eastAsia="Calibri" w:hAnsi="Arial" w:cs="Arial"/>
          <w:sz w:val="24"/>
          <w:szCs w:val="24"/>
          <w:lang w:val="es-MX"/>
        </w:rPr>
      </w:pPr>
      <w:r w:rsidRPr="00EC4C18">
        <w:rPr>
          <w:rFonts w:ascii="Arial" w:eastAsia="Calibri" w:hAnsi="Arial" w:cs="Arial"/>
          <w:sz w:val="24"/>
          <w:szCs w:val="24"/>
          <w:lang w:val="es-MX"/>
        </w:rPr>
        <w:t>Una vez fijados los requisitos habilitantes por la Entidad Estatal, quienes presenten ofertas deben acreditar que cumplen con los mismos, pues, en el evento contrario, las propuestas deberán ser rechazadas. El ente encargado de verificar el cumplimiento por parte de los proponentes sobre los requisitos que haya considerado la entidad como habilitantes será la Cámara de Comercio, esto en la medida en que, mediante el Registro Único de Proponentes –RUP</w:t>
      </w:r>
      <w:r w:rsidRPr="00EC4C18">
        <w:rPr>
          <w:rFonts w:ascii="Arial" w:hAnsi="Arial" w:cs="Arial"/>
          <w:color w:val="000000" w:themeColor="text1"/>
          <w:sz w:val="24"/>
          <w:szCs w:val="24"/>
          <w:vertAlign w:val="superscript"/>
          <w:lang w:val="es-ES_tradnl" w:eastAsia="es-ES_tradnl"/>
        </w:rPr>
        <w:footnoteReference w:id="3"/>
      </w:r>
      <w:r w:rsidRPr="00EC4C18">
        <w:rPr>
          <w:rFonts w:ascii="Arial" w:eastAsia="Calibri" w:hAnsi="Arial" w:cs="Arial"/>
          <w:sz w:val="24"/>
          <w:szCs w:val="24"/>
          <w:lang w:val="es-MX"/>
        </w:rPr>
        <w:t xml:space="preserve">–, se pondrá de presente toda la información relacionada con la experiencia, capacidad jurídica, capacidad financiera y organizacional, así como la clasificación del proponente. </w:t>
      </w:r>
    </w:p>
    <w:p w14:paraId="681F8000" w14:textId="77777777" w:rsidR="00EC4C18" w:rsidRPr="00EC4C18" w:rsidRDefault="00EC4C18" w:rsidP="00EC4C18">
      <w:pPr>
        <w:numPr>
          <w:ilvl w:val="0"/>
          <w:numId w:val="21"/>
        </w:numPr>
        <w:spacing w:after="120" w:line="276" w:lineRule="auto"/>
        <w:contextualSpacing/>
        <w:jc w:val="both"/>
        <w:rPr>
          <w:rFonts w:ascii="Arial" w:eastAsia="Calibri" w:hAnsi="Arial" w:cs="Arial"/>
          <w:sz w:val="24"/>
          <w:szCs w:val="24"/>
          <w:lang w:val="es-MX"/>
        </w:rPr>
      </w:pPr>
      <w:r w:rsidRPr="00EC4C18">
        <w:rPr>
          <w:rFonts w:ascii="Arial" w:eastAsia="Calibri" w:hAnsi="Arial" w:cs="Arial"/>
          <w:sz w:val="24"/>
          <w:szCs w:val="24"/>
          <w:lang w:val="es-MX"/>
        </w:rPr>
        <w:t xml:space="preserve">El artículo 6 de la Ley 1150 de 2007, que regula los sujetos que deben inscribirse en el RUP, señaló que deben hacerlo las personas naturales o jurídicas, nacionales o extranjeras que tengan domicilio o sucursal en el país. Estas personas tienen la obligación de registrarse en el RUP, en dos casos: a) cuando pretendan celebrar contratos estatales y b) si el procedimiento de contratación es de aquellos en los cuales no se exceptúa el RUP, de acuerdo con el inciso segundo del artículo 6 de la Ley 1150 de 2007 –contratación </w:t>
      </w:r>
      <w:r w:rsidRPr="00EC4C18">
        <w:rPr>
          <w:rFonts w:ascii="Arial" w:eastAsia="Calibri" w:hAnsi="Arial" w:cs="Arial"/>
          <w:sz w:val="24"/>
          <w:szCs w:val="24"/>
          <w:lang w:val="es-MX"/>
        </w:rPr>
        <w:lastRenderedPageBreak/>
        <w:t>directa, contratos para la prestación de servicios de salud, contratos de mínima cuantía, entre otros puestos de presente por la norma–. De esto se desprende que las personas extranjeras sin domicilio o sucursal en Colombia que pretendan celebrar contratos con el Estado colombiano no están obligadas a inscribirse en el RUP, puesto que, tratándose de proponentes extranjeros la norma únicamente señala como obligados a quienes tengan domicilio o sucursal en el país. En consecuencia, este tipo de proponentes extranjeros deberán acreditar la experiencia y los demás requisitos habilitantes exigidos en los procesos de selección de contratación pública en los que participen mediante la presentación de los documentos que cumplan con los requisitos de validez dispuestos por la ley y el pliego de condiciones que haya determinado previamente la Entidad Estatal, para que sirvan de prueba, y la Entidad Estatal deberá realizar una verificación directa del cumplimiento de los requisitos habilitantes.</w:t>
      </w:r>
    </w:p>
    <w:p w14:paraId="1B7E7976" w14:textId="77777777" w:rsidR="00EC4C18" w:rsidRPr="00EC4C18" w:rsidRDefault="00EC4C18" w:rsidP="00EC4C18">
      <w:pPr>
        <w:numPr>
          <w:ilvl w:val="0"/>
          <w:numId w:val="21"/>
        </w:numPr>
        <w:spacing w:after="120" w:line="276" w:lineRule="auto"/>
        <w:contextualSpacing/>
        <w:jc w:val="both"/>
        <w:rPr>
          <w:rFonts w:ascii="Arial" w:eastAsia="Calibri" w:hAnsi="Arial" w:cs="Arial"/>
          <w:sz w:val="24"/>
          <w:szCs w:val="24"/>
          <w:lang w:val="es-MX"/>
        </w:rPr>
      </w:pPr>
      <w:r w:rsidRPr="00EC4C18">
        <w:rPr>
          <w:rFonts w:ascii="Arial" w:eastAsia="Calibri" w:hAnsi="Arial" w:cs="Arial"/>
          <w:color w:val="000000"/>
          <w:sz w:val="24"/>
          <w:szCs w:val="24"/>
          <w:lang w:val="es-MX" w:eastAsia="es-ES_tradnl"/>
        </w:rPr>
        <w:t xml:space="preserve">Ahora bien, dentro de los requisitos habilitantes se destaca la capacidad financiera, la cual </w:t>
      </w:r>
      <w:r w:rsidRPr="00EC4C18">
        <w:rPr>
          <w:rFonts w:ascii="Arial" w:eastAsia="Calibri" w:hAnsi="Arial" w:cs="Arial"/>
          <w:sz w:val="24"/>
          <w:szCs w:val="24"/>
          <w:lang w:val="es-MX"/>
        </w:rPr>
        <w:t xml:space="preserve">se deriva del comportamiento contable de la empresa, su liquidez y endeudamiento, para determinar que sus recursos y solidez financiera le permita cumplir los compromisos que adquiera. Como explica esta Agencia en el </w:t>
      </w:r>
      <w:r w:rsidRPr="00EC4C18">
        <w:rPr>
          <w:rFonts w:ascii="Arial" w:eastAsia="Calibri" w:hAnsi="Arial" w:cs="Arial"/>
          <w:i/>
          <w:iCs/>
          <w:sz w:val="24"/>
          <w:szCs w:val="24"/>
          <w:lang w:val="es-MX"/>
        </w:rPr>
        <w:t>Manual para determinar y verificar los requisitos habilitantes en los procesos de contratación</w:t>
      </w:r>
      <w:r w:rsidRPr="00EC4C18">
        <w:rPr>
          <w:rFonts w:ascii="Arial" w:eastAsia="Calibri" w:hAnsi="Arial" w:cs="Arial"/>
          <w:sz w:val="24"/>
          <w:szCs w:val="24"/>
          <w:lang w:val="es-MX"/>
        </w:rPr>
        <w:t xml:space="preserve">: </w:t>
      </w:r>
      <w:r w:rsidRPr="00EC4C18">
        <w:rPr>
          <w:rFonts w:ascii="Arial" w:eastAsia="Calibri" w:hAnsi="Arial" w:cs="Arial"/>
          <w:i/>
          <w:iCs/>
          <w:sz w:val="24"/>
          <w:szCs w:val="24"/>
          <w:lang w:val="es-MX"/>
        </w:rPr>
        <w:t>“Los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w:t>
      </w:r>
      <w:r w:rsidRPr="00EC4C18">
        <w:rPr>
          <w:rFonts w:ascii="Arial" w:hAnsi="Arial" w:cs="Arial"/>
          <w:i/>
          <w:iCs/>
          <w:color w:val="000000"/>
          <w:sz w:val="24"/>
          <w:szCs w:val="24"/>
          <w:vertAlign w:val="superscript"/>
          <w:lang w:val="es-ES_tradnl" w:eastAsia="es-ES_tradnl"/>
        </w:rPr>
        <w:footnoteReference w:id="4"/>
      </w:r>
      <w:r w:rsidRPr="00EC4C18">
        <w:rPr>
          <w:rFonts w:ascii="Arial" w:eastAsia="Calibri" w:hAnsi="Arial" w:cs="Arial"/>
          <w:i/>
          <w:iCs/>
          <w:color w:val="000000"/>
          <w:sz w:val="24"/>
          <w:szCs w:val="24"/>
          <w:lang w:val="es-ES_tradnl" w:eastAsia="es-ES_tradnl"/>
        </w:rPr>
        <w:t>.</w:t>
      </w:r>
      <w:r w:rsidRPr="00EC4C18">
        <w:rPr>
          <w:rFonts w:ascii="Arial" w:eastAsia="Calibri" w:hAnsi="Arial" w:cs="Arial"/>
          <w:color w:val="000000"/>
          <w:sz w:val="24"/>
          <w:szCs w:val="24"/>
          <w:lang w:val="es-MX" w:eastAsia="es-ES_tradnl"/>
        </w:rPr>
        <w:t xml:space="preserve"> </w:t>
      </w:r>
    </w:p>
    <w:p w14:paraId="5E066833" w14:textId="77777777" w:rsidR="00EC4C18" w:rsidRPr="00EC4C18" w:rsidRDefault="00EC4C18" w:rsidP="00EC4C18">
      <w:pPr>
        <w:numPr>
          <w:ilvl w:val="0"/>
          <w:numId w:val="21"/>
        </w:numPr>
        <w:spacing w:after="120" w:line="276" w:lineRule="auto"/>
        <w:contextualSpacing/>
        <w:jc w:val="both"/>
        <w:rPr>
          <w:rFonts w:ascii="Arial" w:eastAsia="Calibri" w:hAnsi="Arial" w:cs="Arial"/>
          <w:sz w:val="24"/>
          <w:szCs w:val="24"/>
          <w:lang w:val="es-MX"/>
        </w:rPr>
      </w:pPr>
      <w:r w:rsidRPr="00EC4C18">
        <w:rPr>
          <w:rFonts w:ascii="Arial" w:eastAsia="Calibri" w:hAnsi="Arial" w:cs="Arial"/>
          <w:color w:val="000000"/>
          <w:sz w:val="24"/>
          <w:szCs w:val="24"/>
          <w:lang w:val="es-MX" w:eastAsia="es-ES_tradnl"/>
        </w:rPr>
        <w:t xml:space="preserve">La Entidad Estatal, como responsable de la estructuración de su procedimiento de selección, es autónoma para determinar la capacidad financiera necesaria de acuerdo con el objeto contractual que se pretende satisfacer, no obstante, en atención a lo dispuesto en el artículo 2.2.1.1.1.6.2 del Decreto 1082 de 2015, debe ser establecida con sustento en el estudio </w:t>
      </w:r>
      <w:r w:rsidRPr="00EC4C18">
        <w:rPr>
          <w:rFonts w:ascii="Arial" w:eastAsia="Calibri" w:hAnsi="Arial" w:cs="Arial"/>
          <w:color w:val="000000"/>
          <w:sz w:val="24"/>
          <w:szCs w:val="24"/>
          <w:lang w:val="es-MX" w:eastAsia="es-ES_tradnl"/>
        </w:rPr>
        <w:lastRenderedPageBreak/>
        <w:t>del sector</w:t>
      </w:r>
      <w:r w:rsidRPr="00EC4C18">
        <w:rPr>
          <w:rFonts w:ascii="Arial" w:hAnsi="Arial" w:cs="Arial"/>
          <w:color w:val="000000"/>
          <w:sz w:val="24"/>
          <w:szCs w:val="24"/>
          <w:vertAlign w:val="superscript"/>
          <w:lang w:val="es-MX" w:eastAsia="es-ES_tradnl"/>
        </w:rPr>
        <w:footnoteReference w:id="5"/>
      </w:r>
      <w:r w:rsidRPr="00EC4C18">
        <w:rPr>
          <w:rFonts w:ascii="Arial" w:eastAsia="Calibri" w:hAnsi="Arial" w:cs="Arial"/>
          <w:color w:val="000000"/>
          <w:sz w:val="24"/>
          <w:szCs w:val="24"/>
          <w:lang w:val="es-MX" w:eastAsia="es-ES_tradnl"/>
        </w:rPr>
        <w:t xml:space="preserve"> y sus componentes como la identificación de riesgos, el mercado y precio del bien, obra o servicio a contratar</w:t>
      </w:r>
      <w:r w:rsidRPr="00EC4C18">
        <w:rPr>
          <w:rFonts w:ascii="Arial" w:hAnsi="Arial" w:cs="Arial"/>
          <w:color w:val="000000"/>
          <w:sz w:val="24"/>
          <w:szCs w:val="24"/>
          <w:vertAlign w:val="superscript"/>
          <w:lang w:val="es-MX" w:eastAsia="es-ES_tradnl"/>
        </w:rPr>
        <w:footnoteReference w:id="6"/>
      </w:r>
      <w:r w:rsidRPr="00EC4C18">
        <w:rPr>
          <w:rFonts w:ascii="Arial" w:eastAsia="Calibri" w:hAnsi="Arial" w:cs="Arial"/>
          <w:color w:val="000000"/>
          <w:sz w:val="24"/>
          <w:szCs w:val="24"/>
          <w:lang w:val="es-MX" w:eastAsia="es-ES_tradnl"/>
        </w:rPr>
        <w:t>.</w:t>
      </w:r>
    </w:p>
    <w:p w14:paraId="36D85F8B" w14:textId="77777777" w:rsidR="00EC4C18" w:rsidRPr="00EC4C18" w:rsidRDefault="00EC4C18" w:rsidP="00EC4C18">
      <w:pPr>
        <w:numPr>
          <w:ilvl w:val="0"/>
          <w:numId w:val="21"/>
        </w:numPr>
        <w:spacing w:before="120" w:after="120" w:line="276" w:lineRule="auto"/>
        <w:contextualSpacing/>
        <w:jc w:val="both"/>
        <w:rPr>
          <w:rFonts w:ascii="Arial" w:eastAsia="Calibri" w:hAnsi="Arial" w:cs="Arial"/>
          <w:color w:val="000000"/>
          <w:sz w:val="24"/>
          <w:szCs w:val="24"/>
          <w:lang w:val="es-ES_tradnl" w:eastAsia="es-ES_tradnl"/>
        </w:rPr>
      </w:pPr>
      <w:r w:rsidRPr="00EC4C18">
        <w:rPr>
          <w:rFonts w:ascii="Arial" w:eastAsia="Calibri" w:hAnsi="Arial" w:cs="Arial"/>
          <w:color w:val="000000"/>
          <w:sz w:val="24"/>
          <w:szCs w:val="24"/>
          <w:lang w:val="es-ES_tradnl" w:eastAsia="es-ES_tradnl"/>
        </w:rPr>
        <w:t xml:space="preserve">De conformidad con lo dispuesto en los artículos 5, numeral 1 de la Ley 1150 de 2007 y 2.2.1.1.1.5.3 del Decreto 1082 de 2015, por regla general, la acreditación del requisito habilitante de capacidad financiera se realiza a través del RUP. En atención a esto, para los tramites de inscripción, renovación y actualización el numeral 2.3 del artículo 2.2.1.1.1.5.2 del Decreto 1082 de 2015 exige la presentación de los </w:t>
      </w:r>
      <w:r w:rsidRPr="00EC4C18">
        <w:rPr>
          <w:rFonts w:ascii="Arial" w:eastAsia="Calibri" w:hAnsi="Arial" w:cs="Arial"/>
          <w:i/>
          <w:iCs/>
          <w:color w:val="000000"/>
          <w:sz w:val="24"/>
          <w:szCs w:val="24"/>
          <w:lang w:val="es-ES_tradnl" w:eastAsia="es-ES_tradnl"/>
        </w:rPr>
        <w:t>“</w:t>
      </w:r>
      <w:r w:rsidRPr="00EC4C18">
        <w:rPr>
          <w:rFonts w:ascii="Arial" w:hAnsi="Arial" w:cs="Arial"/>
          <w:i/>
          <w:iCs/>
          <w:color w:val="000000"/>
          <w:sz w:val="24"/>
          <w:szCs w:val="24"/>
        </w:rPr>
        <w:t>Estados financieros de la sociedad y los estados financieros consolidados del grupo empresarial, cuando la norma aplicable lo exige, auditados con sus notas […]”</w:t>
      </w:r>
      <w:r w:rsidRPr="00EC4C18">
        <w:rPr>
          <w:rFonts w:ascii="Arial" w:eastAsia="Calibri" w:hAnsi="Arial" w:cs="Arial"/>
          <w:color w:val="000000"/>
          <w:sz w:val="24"/>
          <w:szCs w:val="24"/>
          <w:lang w:val="es-ES_tradnl" w:eastAsia="es-ES_tradnl"/>
        </w:rPr>
        <w:t>, además de unos anexos dirigidos a servir de medio de verificación de la salud financiera de los proponentes</w:t>
      </w:r>
      <w:r w:rsidRPr="00EC4C18">
        <w:rPr>
          <w:rFonts w:ascii="Arial" w:eastAsia="Calibri" w:hAnsi="Arial" w:cs="Arial"/>
          <w:color w:val="000000"/>
          <w:sz w:val="24"/>
          <w:szCs w:val="24"/>
          <w:vertAlign w:val="superscript"/>
          <w:lang w:val="es-ES_tradnl" w:eastAsia="es-ES_tradnl"/>
        </w:rPr>
        <w:footnoteReference w:id="7"/>
      </w:r>
      <w:r w:rsidRPr="00EC4C18">
        <w:rPr>
          <w:rFonts w:ascii="Arial" w:eastAsia="Calibri" w:hAnsi="Arial" w:cs="Arial"/>
          <w:color w:val="000000"/>
          <w:sz w:val="24"/>
          <w:szCs w:val="24"/>
          <w:lang w:val="es-ES_tradnl" w:eastAsia="es-ES_tradnl"/>
        </w:rPr>
        <w:t xml:space="preserve">.  De este modo, lo que se verifica con el registro es que el proponente cumpla con los indicadores financieros solicitados por la entidad para medir la capacidad financiera requerida para el procedimiento de selección. </w:t>
      </w:r>
    </w:p>
    <w:p w14:paraId="25D62A5E" w14:textId="77777777" w:rsidR="00EC4C18" w:rsidRPr="00EC4C18" w:rsidRDefault="00EC4C18" w:rsidP="00EC4C18">
      <w:pPr>
        <w:numPr>
          <w:ilvl w:val="0"/>
          <w:numId w:val="21"/>
        </w:numPr>
        <w:spacing w:before="120" w:after="120" w:line="276" w:lineRule="auto"/>
        <w:contextualSpacing/>
        <w:jc w:val="both"/>
        <w:rPr>
          <w:rFonts w:ascii="Arial" w:eastAsia="Calibri" w:hAnsi="Arial" w:cs="Arial"/>
          <w:color w:val="000000"/>
          <w:sz w:val="24"/>
          <w:szCs w:val="24"/>
          <w:lang w:val="es-ES" w:eastAsia="es-ES"/>
        </w:rPr>
      </w:pPr>
      <w:r w:rsidRPr="00EC4C18">
        <w:rPr>
          <w:rFonts w:ascii="Arial" w:eastAsia="Calibri" w:hAnsi="Arial" w:cs="Arial"/>
          <w:color w:val="000000"/>
          <w:sz w:val="24"/>
          <w:szCs w:val="24"/>
          <w:lang w:val="es-ES" w:eastAsia="es-ES"/>
        </w:rPr>
        <w:t xml:space="preserve">Según el artículo 2.2.1.1.1.5.3. del Decreto 1082 de 2015, el RUP contempla como indicadores de capacidad financiera los siguientes: i) el </w:t>
      </w:r>
      <w:r w:rsidRPr="00EC4C18">
        <w:rPr>
          <w:rFonts w:ascii="Arial" w:eastAsia="Calibri" w:hAnsi="Arial" w:cs="Arial"/>
          <w:i/>
          <w:iCs/>
          <w:color w:val="000000"/>
          <w:sz w:val="24"/>
          <w:szCs w:val="24"/>
          <w:lang w:val="es-ES" w:eastAsia="es-ES"/>
        </w:rPr>
        <w:t xml:space="preserve">índice de </w:t>
      </w:r>
      <w:r w:rsidRPr="00EC4C18">
        <w:rPr>
          <w:rFonts w:ascii="Arial" w:eastAsia="Calibri" w:hAnsi="Arial" w:cs="Arial"/>
          <w:i/>
          <w:iCs/>
          <w:color w:val="000000"/>
          <w:sz w:val="24"/>
          <w:szCs w:val="24"/>
          <w:lang w:val="es-ES" w:eastAsia="es-ES"/>
        </w:rPr>
        <w:lastRenderedPageBreak/>
        <w:t>liquidez</w:t>
      </w:r>
      <w:r w:rsidRPr="00EC4C18">
        <w:rPr>
          <w:rFonts w:ascii="Arial" w:eastAsia="Calibri" w:hAnsi="Arial" w:cs="Arial"/>
          <w:color w:val="000000"/>
          <w:sz w:val="24"/>
          <w:szCs w:val="24"/>
          <w:lang w:val="es-ES" w:eastAsia="es-ES"/>
        </w:rPr>
        <w:t xml:space="preserve">, que corresponde a la división entre el activo corriente y el pasivo corriente, y que determina la capacidad que tiene el proponente para cumplir con sus obligaciones de corto plazo; ii) el </w:t>
      </w:r>
      <w:r w:rsidRPr="00EC4C18">
        <w:rPr>
          <w:rFonts w:ascii="Arial" w:eastAsia="Calibri" w:hAnsi="Arial" w:cs="Arial"/>
          <w:i/>
          <w:iCs/>
          <w:color w:val="000000"/>
          <w:sz w:val="24"/>
          <w:szCs w:val="24"/>
          <w:lang w:val="es-ES" w:eastAsia="es-ES"/>
        </w:rPr>
        <w:t>índice de endeudamiento</w:t>
      </w:r>
      <w:r w:rsidRPr="00EC4C18">
        <w:rPr>
          <w:rFonts w:ascii="Arial" w:eastAsia="Calibri" w:hAnsi="Arial" w:cs="Arial"/>
          <w:color w:val="000000"/>
          <w:sz w:val="24"/>
          <w:szCs w:val="24"/>
          <w:lang w:val="es-ES" w:eastAsia="es-ES"/>
        </w:rPr>
        <w:t xml:space="preserve">, que se calcula dividiendo el pasivo total por el activo total, el cual determina el grado de endeudamiento en la estructura de financiación del proponente; y iii) la </w:t>
      </w:r>
      <w:r w:rsidRPr="00EC4C18">
        <w:rPr>
          <w:rFonts w:ascii="Arial" w:eastAsia="Calibri" w:hAnsi="Arial" w:cs="Arial"/>
          <w:i/>
          <w:iCs/>
          <w:color w:val="000000"/>
          <w:sz w:val="24"/>
          <w:szCs w:val="24"/>
          <w:lang w:val="es-ES" w:eastAsia="es-ES"/>
        </w:rPr>
        <w:t>razón de cobertura de intereses</w:t>
      </w:r>
      <w:r w:rsidRPr="00EC4C18">
        <w:rPr>
          <w:rFonts w:ascii="Arial" w:eastAsia="Calibri" w:hAnsi="Arial" w:cs="Arial"/>
          <w:color w:val="000000"/>
          <w:sz w:val="24"/>
          <w:szCs w:val="24"/>
          <w:lang w:val="es-ES" w:eastAsia="es-ES"/>
        </w:rPr>
        <w:t xml:space="preserve">, que es igual a la utilidad operacional, sobre los gastos de intereses, y que refleja la capacidad del proponente para cumplir con sus obligaciones financieras. Adicionalmente, la Agencia Nacional de Contratación Pública – Colombia Compra Eficiente recomienda valorar otro tipo de indicadores como el </w:t>
      </w:r>
      <w:r w:rsidRPr="00EC4C18">
        <w:rPr>
          <w:rFonts w:ascii="Arial" w:eastAsia="Calibri" w:hAnsi="Arial" w:cs="Arial"/>
          <w:i/>
          <w:iCs/>
          <w:color w:val="000000"/>
          <w:sz w:val="24"/>
          <w:szCs w:val="24"/>
          <w:lang w:val="es-ES" w:eastAsia="es-ES"/>
        </w:rPr>
        <w:t>capital de trabajo</w:t>
      </w:r>
      <w:r w:rsidRPr="00EC4C18">
        <w:rPr>
          <w:rFonts w:ascii="Arial" w:eastAsia="Calibri" w:hAnsi="Arial" w:cs="Arial"/>
          <w:color w:val="000000"/>
          <w:sz w:val="24"/>
          <w:szCs w:val="24"/>
          <w:lang w:val="es-ES" w:eastAsia="es-ES"/>
        </w:rPr>
        <w:t xml:space="preserve">, la </w:t>
      </w:r>
      <w:r w:rsidRPr="00EC4C18">
        <w:rPr>
          <w:rFonts w:ascii="Arial" w:eastAsia="Calibri" w:hAnsi="Arial" w:cs="Arial"/>
          <w:i/>
          <w:iCs/>
          <w:color w:val="000000"/>
          <w:sz w:val="24"/>
          <w:szCs w:val="24"/>
          <w:lang w:val="es-ES" w:eastAsia="es-ES"/>
        </w:rPr>
        <w:t>razón de efectivo</w:t>
      </w:r>
      <w:r w:rsidRPr="00EC4C18">
        <w:rPr>
          <w:rFonts w:ascii="Arial" w:eastAsia="Calibri" w:hAnsi="Arial" w:cs="Arial"/>
          <w:color w:val="000000"/>
          <w:sz w:val="24"/>
          <w:szCs w:val="24"/>
          <w:lang w:val="es-ES" w:eastAsia="es-ES"/>
        </w:rPr>
        <w:t xml:space="preserve">, la denominada </w:t>
      </w:r>
      <w:r w:rsidRPr="00EC4C18">
        <w:rPr>
          <w:rFonts w:ascii="Arial" w:eastAsia="Calibri" w:hAnsi="Arial" w:cs="Arial"/>
          <w:i/>
          <w:iCs/>
          <w:color w:val="000000"/>
          <w:sz w:val="24"/>
          <w:szCs w:val="24"/>
          <w:lang w:val="es-ES" w:eastAsia="es-ES"/>
        </w:rPr>
        <w:t>prueba ácida</w:t>
      </w:r>
      <w:r w:rsidRPr="00EC4C18">
        <w:rPr>
          <w:rFonts w:ascii="Arial" w:hAnsi="Arial" w:cs="Arial"/>
          <w:sz w:val="24"/>
          <w:szCs w:val="24"/>
          <w:vertAlign w:val="superscript"/>
          <w:lang w:val="es-ES" w:eastAsia="es-ES"/>
        </w:rPr>
        <w:footnoteReference w:id="8"/>
      </w:r>
      <w:r w:rsidRPr="00EC4C18">
        <w:rPr>
          <w:rFonts w:ascii="Arial" w:eastAsia="Calibri" w:hAnsi="Arial" w:cs="Arial"/>
          <w:color w:val="000000"/>
          <w:sz w:val="24"/>
          <w:szCs w:val="24"/>
          <w:lang w:val="es-ES" w:eastAsia="es-ES"/>
        </w:rPr>
        <w:t xml:space="preserve">, la </w:t>
      </w:r>
      <w:r w:rsidRPr="00EC4C18">
        <w:rPr>
          <w:rFonts w:ascii="Arial" w:eastAsia="Calibri" w:hAnsi="Arial" w:cs="Arial"/>
          <w:i/>
          <w:iCs/>
          <w:color w:val="000000"/>
          <w:sz w:val="24"/>
          <w:szCs w:val="24"/>
          <w:lang w:val="es-ES" w:eastAsia="es-ES"/>
        </w:rPr>
        <w:t xml:space="preserve">concentración de endeudamiento a corto </w:t>
      </w:r>
      <w:r w:rsidRPr="00EC4C18">
        <w:rPr>
          <w:rFonts w:ascii="Arial" w:eastAsia="Calibri" w:hAnsi="Arial" w:cs="Arial"/>
          <w:color w:val="000000"/>
          <w:sz w:val="24"/>
          <w:szCs w:val="24"/>
          <w:lang w:val="es-ES" w:eastAsia="es-ES"/>
        </w:rPr>
        <w:t>y</w:t>
      </w:r>
      <w:r w:rsidRPr="00EC4C18">
        <w:rPr>
          <w:rFonts w:ascii="Arial" w:eastAsia="Calibri" w:hAnsi="Arial" w:cs="Arial"/>
          <w:i/>
          <w:iCs/>
          <w:color w:val="000000"/>
          <w:sz w:val="24"/>
          <w:szCs w:val="24"/>
          <w:lang w:val="es-ES" w:eastAsia="es-ES"/>
        </w:rPr>
        <w:t xml:space="preserve"> a largo plazo</w:t>
      </w:r>
      <w:r w:rsidRPr="00EC4C18">
        <w:rPr>
          <w:rFonts w:ascii="Arial" w:eastAsia="Calibri" w:hAnsi="Arial" w:cs="Arial"/>
          <w:color w:val="000000"/>
          <w:sz w:val="24"/>
          <w:szCs w:val="24"/>
          <w:lang w:val="es-ES" w:eastAsia="es-ES"/>
        </w:rPr>
        <w:t xml:space="preserve"> y el </w:t>
      </w:r>
      <w:r w:rsidRPr="00EC4C18">
        <w:rPr>
          <w:rFonts w:ascii="Arial" w:eastAsia="Calibri" w:hAnsi="Arial" w:cs="Arial"/>
          <w:i/>
          <w:iCs/>
          <w:color w:val="000000"/>
          <w:sz w:val="24"/>
          <w:szCs w:val="24"/>
          <w:lang w:val="es-ES" w:eastAsia="es-ES"/>
        </w:rPr>
        <w:t>patrimonio</w:t>
      </w:r>
      <w:r w:rsidRPr="00EC4C18">
        <w:rPr>
          <w:rFonts w:ascii="Arial" w:hAnsi="Arial" w:cs="Arial"/>
          <w:i/>
          <w:iCs/>
          <w:sz w:val="24"/>
          <w:szCs w:val="24"/>
          <w:vertAlign w:val="superscript"/>
          <w:lang w:val="es-ES" w:eastAsia="es-ES"/>
        </w:rPr>
        <w:footnoteReference w:id="9"/>
      </w:r>
      <w:r w:rsidRPr="00EC4C18">
        <w:rPr>
          <w:rFonts w:ascii="Arial" w:eastAsia="Calibri" w:hAnsi="Arial" w:cs="Arial"/>
          <w:color w:val="000000"/>
          <w:sz w:val="24"/>
          <w:szCs w:val="24"/>
          <w:lang w:val="es-ES" w:eastAsia="es-ES"/>
        </w:rPr>
        <w:t>.</w:t>
      </w:r>
    </w:p>
    <w:p w14:paraId="24242DF1" w14:textId="77777777" w:rsidR="00EC4C18" w:rsidRPr="00EC4C18" w:rsidRDefault="00EC4C18" w:rsidP="00EC4C18">
      <w:pPr>
        <w:numPr>
          <w:ilvl w:val="0"/>
          <w:numId w:val="21"/>
        </w:numPr>
        <w:spacing w:before="120" w:after="120" w:line="276" w:lineRule="auto"/>
        <w:contextualSpacing/>
        <w:jc w:val="both"/>
        <w:rPr>
          <w:rFonts w:ascii="Arial" w:eastAsia="Calibri" w:hAnsi="Arial" w:cs="Arial"/>
          <w:color w:val="000000" w:themeColor="text1"/>
          <w:sz w:val="24"/>
          <w:szCs w:val="24"/>
          <w:lang w:val="es-ES_tradnl" w:eastAsia="es-ES_tradnl"/>
        </w:rPr>
      </w:pPr>
      <w:r w:rsidRPr="00EC4C18">
        <w:rPr>
          <w:rFonts w:ascii="Arial" w:eastAsia="Calibri" w:hAnsi="Arial" w:cs="Arial"/>
          <w:color w:val="000000" w:themeColor="text1"/>
          <w:sz w:val="24"/>
          <w:szCs w:val="24"/>
          <w:lang w:val="es-ES_tradnl" w:eastAsia="es-ES_tradnl"/>
        </w:rPr>
        <w:t>De igual forma, es importante tener en cuenta que el numeral 3 del artículo 2.2.1.1.1.5.3. del Decreto 1082 de 2015 se refiere a los aspectos de la capacidad financiera que deben verificar las cámaras de comercio al momento de la inscripción, renovación o actualización del Registro Único de Proponentes. Sin embargo, no dispone expresamente que el índice de liquidez, el índice de endeudamiento y la razón de cobertura de intereses sean aspectos que deban validarse obligatoriamente en cada proceso de selección. Una cosa son los requisitos de capacidad financiera que debe certificar el registro y otra, muy diferente, los aspectos de este requisito habilitante que la entidad verifica en cada procedimiento contractual. Mientras los primeros están regulados en el artículo 2.2.1.1.1.5.3. del Decreto 1082 de 2015, los segundos debe establecerlos la entidad contratante en el pliego de condiciones o la invitación, según corresponda.</w:t>
      </w:r>
    </w:p>
    <w:p w14:paraId="1B034F91" w14:textId="77777777" w:rsidR="00EC4C18" w:rsidRPr="00EC4C18" w:rsidRDefault="00EC4C18" w:rsidP="00EC4C18">
      <w:pPr>
        <w:numPr>
          <w:ilvl w:val="0"/>
          <w:numId w:val="21"/>
        </w:numPr>
        <w:spacing w:line="276" w:lineRule="auto"/>
        <w:contextualSpacing/>
        <w:jc w:val="both"/>
        <w:rPr>
          <w:rFonts w:ascii="Arial" w:eastAsia="Calibri" w:hAnsi="Arial" w:cs="Arial"/>
          <w:color w:val="000000" w:themeColor="text1"/>
          <w:sz w:val="24"/>
          <w:szCs w:val="24"/>
          <w:lang w:val="es-ES"/>
        </w:rPr>
      </w:pPr>
      <w:r w:rsidRPr="00EC4C18">
        <w:rPr>
          <w:rFonts w:ascii="Arial" w:eastAsia="Calibri" w:hAnsi="Arial" w:cs="Arial"/>
          <w:color w:val="000000" w:themeColor="text1"/>
          <w:sz w:val="24"/>
          <w:szCs w:val="24"/>
          <w:lang w:val="es-ES"/>
        </w:rPr>
        <w:t xml:space="preserve">Actualmente, en la normatividad vigente tratándose de personas naturales obligadas a llevar contabilidad, deben presentar copia de la información contable del último año exigida por las normas tributarias. En contraste, las </w:t>
      </w:r>
      <w:r w:rsidRPr="00EC4C18">
        <w:rPr>
          <w:rFonts w:ascii="Arial" w:eastAsia="Calibri" w:hAnsi="Arial" w:cs="Arial"/>
          <w:color w:val="000000" w:themeColor="text1"/>
          <w:sz w:val="24"/>
          <w:szCs w:val="24"/>
          <w:lang w:val="es-ES"/>
        </w:rPr>
        <w:lastRenderedPageBreak/>
        <w:t>personas jurídicas deben aportar los estados financieros de la sociedad y los estados financieros consolidados del grupo empresarial, cuando la norma aplicable lo exige, auditados con sus notas y los siguientes anexos, suscritos por el representante legal y el revisor fiscal, si la persona jurídica está obligada a tenerlo, o suscritos por el representante legal y el auditor o contador si la persona jurídica no está obligada a tener revisor fiscal. En todo caso, “Si el interesado no tiene antigüedad suficiente para tener estados financieros auditados a 31 de diciembre, debe inscribirse con estados financieros de corte trimestral, suscritos por el representante legal y el auditor o contador o estados financieros de apertura.</w:t>
      </w:r>
    </w:p>
    <w:p w14:paraId="69103F6C" w14:textId="77777777" w:rsidR="00EC4C18" w:rsidRPr="00EC4C18" w:rsidRDefault="00EC4C18" w:rsidP="00EC4C18">
      <w:pPr>
        <w:numPr>
          <w:ilvl w:val="0"/>
          <w:numId w:val="21"/>
        </w:numPr>
        <w:spacing w:line="276" w:lineRule="auto"/>
        <w:contextualSpacing/>
        <w:jc w:val="both"/>
        <w:rPr>
          <w:rFonts w:ascii="Arial" w:eastAsia="Calibri" w:hAnsi="Arial" w:cs="Arial"/>
          <w:color w:val="000000" w:themeColor="text1"/>
          <w:sz w:val="24"/>
          <w:szCs w:val="24"/>
          <w:lang w:val="es-ES"/>
        </w:rPr>
      </w:pPr>
      <w:r w:rsidRPr="00EC4C18">
        <w:rPr>
          <w:rFonts w:ascii="Arial" w:eastAsia="Calibri" w:hAnsi="Arial" w:cs="Arial"/>
          <w:color w:val="000000" w:themeColor="text1"/>
          <w:sz w:val="24"/>
          <w:szCs w:val="24"/>
          <w:lang w:val="es-ES"/>
        </w:rPr>
        <w:t>En consecuencia, una interpretación razonable permite concluir que a partir del 1° de enero de 2024 los indicadores deben acreditarse frente a la Cámara de Comercio conforme a las reglas de generales del Decreto 1082 de 2015, es decir, con la información contable del año inmediatamente anterior –nums. 1.3 y 2.3 del artículo 2.2.1.1.1.5.2 del Decreto 1082 de 2015–.</w:t>
      </w:r>
    </w:p>
    <w:p w14:paraId="2F5DF298" w14:textId="77777777" w:rsidR="00EC4C18" w:rsidRPr="00EC4C18" w:rsidRDefault="00EC4C18" w:rsidP="00EC4C18">
      <w:pPr>
        <w:tabs>
          <w:tab w:val="left" w:pos="142"/>
          <w:tab w:val="left" w:pos="284"/>
        </w:tabs>
        <w:spacing w:after="0" w:line="276" w:lineRule="auto"/>
        <w:jc w:val="both"/>
        <w:rPr>
          <w:rFonts w:ascii="Arial" w:eastAsia="Century Gothic" w:hAnsi="Arial" w:cs="Arial"/>
          <w:b/>
          <w:bCs/>
          <w:sz w:val="24"/>
          <w:szCs w:val="24"/>
          <w:lang w:val="es-ES"/>
        </w:rPr>
      </w:pPr>
    </w:p>
    <w:p w14:paraId="42307B53" w14:textId="77777777" w:rsidR="00EC4C18" w:rsidRPr="00EC4C18" w:rsidRDefault="00EC4C18" w:rsidP="00EC4C18">
      <w:pPr>
        <w:numPr>
          <w:ilvl w:val="0"/>
          <w:numId w:val="4"/>
        </w:numPr>
        <w:tabs>
          <w:tab w:val="left" w:pos="142"/>
          <w:tab w:val="left" w:pos="284"/>
        </w:tabs>
        <w:spacing w:after="0" w:line="276" w:lineRule="auto"/>
        <w:ind w:left="0" w:firstLine="0"/>
        <w:jc w:val="both"/>
        <w:rPr>
          <w:rFonts w:ascii="Arial" w:eastAsia="Century Gothic" w:hAnsi="Arial" w:cs="Arial"/>
          <w:b/>
          <w:bCs/>
          <w:sz w:val="24"/>
          <w:szCs w:val="24"/>
          <w:lang w:val="es-ES"/>
        </w:rPr>
      </w:pPr>
      <w:r w:rsidRPr="00EC4C18">
        <w:rPr>
          <w:rFonts w:ascii="Arial" w:eastAsia="Century Gothic" w:hAnsi="Arial" w:cs="Arial"/>
          <w:b/>
          <w:bCs/>
          <w:sz w:val="24"/>
          <w:szCs w:val="24"/>
          <w:lang w:val="es-ES"/>
        </w:rPr>
        <w:t>Referencias normativas, jurisprudenciales y otras fuentes:</w:t>
      </w:r>
    </w:p>
    <w:p w14:paraId="58F7EB47" w14:textId="77777777" w:rsidR="00EC4C18" w:rsidRPr="00EC4C18" w:rsidRDefault="00EC4C18" w:rsidP="00EC4C18">
      <w:pPr>
        <w:widowControl w:val="0"/>
        <w:autoSpaceDE w:val="0"/>
        <w:autoSpaceDN w:val="0"/>
        <w:spacing w:after="0" w:line="276" w:lineRule="auto"/>
        <w:jc w:val="both"/>
        <w:rPr>
          <w:rFonts w:ascii="Arial" w:hAnsi="Arial" w:cs="Arial"/>
          <w:sz w:val="24"/>
          <w:szCs w:val="24"/>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EC4C18" w:rsidRPr="00EC4C18" w14:paraId="1E795CC9" w14:textId="77777777" w:rsidTr="00E3556E">
        <w:trPr>
          <w:trHeight w:val="870"/>
        </w:trPr>
        <w:tc>
          <w:tcPr>
            <w:tcW w:w="8647" w:type="dxa"/>
          </w:tcPr>
          <w:p w14:paraId="3A09F19D" w14:textId="77777777" w:rsidR="00EC4C18" w:rsidRPr="00EC4C18" w:rsidRDefault="00EC4C18" w:rsidP="00EC4C18">
            <w:pPr>
              <w:widowControl w:val="0"/>
              <w:numPr>
                <w:ilvl w:val="0"/>
                <w:numId w:val="8"/>
              </w:numPr>
              <w:tabs>
                <w:tab w:val="left" w:pos="8419"/>
              </w:tabs>
              <w:autoSpaceDE w:val="0"/>
              <w:autoSpaceDN w:val="0"/>
              <w:spacing w:after="120" w:line="276" w:lineRule="auto"/>
              <w:jc w:val="both"/>
              <w:rPr>
                <w:rFonts w:ascii="Arial" w:eastAsia="Calibri" w:hAnsi="Arial" w:cs="Arial"/>
                <w:color w:val="000000"/>
                <w:sz w:val="24"/>
                <w:szCs w:val="24"/>
                <w:lang w:val="es-ES"/>
              </w:rPr>
            </w:pPr>
            <w:r w:rsidRPr="00EC4C18">
              <w:rPr>
                <w:rFonts w:ascii="Arial" w:eastAsia="Calibri" w:hAnsi="Arial" w:cs="Arial"/>
                <w:color w:val="000000"/>
                <w:sz w:val="24"/>
                <w:szCs w:val="24"/>
                <w:lang w:val="es-ES"/>
              </w:rPr>
              <w:t>Ley 1150 de 2007</w:t>
            </w:r>
          </w:p>
          <w:p w14:paraId="2A86E050" w14:textId="77777777" w:rsidR="00EC4C18" w:rsidRPr="00EC4C18" w:rsidRDefault="00EC4C18" w:rsidP="00EC4C18">
            <w:pPr>
              <w:widowControl w:val="0"/>
              <w:numPr>
                <w:ilvl w:val="0"/>
                <w:numId w:val="8"/>
              </w:numPr>
              <w:tabs>
                <w:tab w:val="left" w:pos="8419"/>
              </w:tabs>
              <w:autoSpaceDE w:val="0"/>
              <w:autoSpaceDN w:val="0"/>
              <w:spacing w:after="120" w:line="276" w:lineRule="auto"/>
              <w:jc w:val="both"/>
              <w:rPr>
                <w:rFonts w:ascii="Arial" w:eastAsia="Calibri" w:hAnsi="Arial" w:cs="Arial"/>
                <w:color w:val="000000"/>
                <w:sz w:val="24"/>
                <w:szCs w:val="24"/>
                <w:lang w:val="es-ES"/>
              </w:rPr>
            </w:pPr>
            <w:r w:rsidRPr="00EC4C18">
              <w:rPr>
                <w:rFonts w:ascii="Arial" w:eastAsia="Calibri" w:hAnsi="Arial" w:cs="Arial"/>
                <w:color w:val="000000"/>
                <w:sz w:val="24"/>
                <w:szCs w:val="24"/>
                <w:lang w:val="es-ES"/>
              </w:rPr>
              <w:t>Artículos 2.2.1.1.1.5.2 y 2.2.1.1.1.5.3 del Decreto 1082 de 2015del Decreto Único Reglamentario 1082 de 2015</w:t>
            </w:r>
          </w:p>
          <w:p w14:paraId="13583375" w14:textId="77777777" w:rsidR="00EC4C18" w:rsidRPr="00EC4C18" w:rsidRDefault="00EC4C18" w:rsidP="00EC4C18">
            <w:pPr>
              <w:widowControl w:val="0"/>
              <w:numPr>
                <w:ilvl w:val="0"/>
                <w:numId w:val="8"/>
              </w:numPr>
              <w:autoSpaceDE w:val="0"/>
              <w:autoSpaceDN w:val="0"/>
              <w:spacing w:after="120" w:line="276" w:lineRule="auto"/>
              <w:jc w:val="both"/>
              <w:rPr>
                <w:rFonts w:ascii="Arial" w:eastAsia="Calibri" w:hAnsi="Arial" w:cs="Arial"/>
                <w:color w:val="000000"/>
                <w:sz w:val="24"/>
                <w:szCs w:val="24"/>
                <w:lang w:val="es-ES"/>
              </w:rPr>
            </w:pPr>
            <w:r w:rsidRPr="00EC4C18">
              <w:rPr>
                <w:rFonts w:ascii="Arial" w:eastAsia="Calibri" w:hAnsi="Arial" w:cs="Arial"/>
                <w:color w:val="000000"/>
                <w:sz w:val="24"/>
                <w:szCs w:val="24"/>
                <w:lang w:val="es-ES"/>
              </w:rPr>
              <w:t xml:space="preserve">Jurisprudencia del Consejo de Estado. Disponible en: </w:t>
            </w:r>
            <w:hyperlink r:id="rId13" w:history="1">
              <w:r w:rsidRPr="00EC4C18">
                <w:rPr>
                  <w:rFonts w:ascii="Arial" w:eastAsia="Calibri" w:hAnsi="Arial" w:cs="Arial"/>
                  <w:color w:val="000000"/>
                  <w:sz w:val="24"/>
                  <w:szCs w:val="24"/>
                  <w:lang w:val="es-ES"/>
                </w:rPr>
                <w:t>https://relatoria.colombiacompra.gov.co/providencias-consejo-de-estado/</w:t>
              </w:r>
            </w:hyperlink>
            <w:r w:rsidRPr="00EC4C18">
              <w:rPr>
                <w:rFonts w:ascii="Arial" w:eastAsia="Calibri" w:hAnsi="Arial" w:cs="Arial"/>
                <w:color w:val="000000"/>
                <w:sz w:val="24"/>
                <w:szCs w:val="24"/>
                <w:lang w:val="es-ES"/>
              </w:rPr>
              <w:t xml:space="preserve"> </w:t>
            </w:r>
          </w:p>
          <w:p w14:paraId="39BAD38A" w14:textId="77777777" w:rsidR="00EC4C18" w:rsidRPr="00EC4C18" w:rsidRDefault="00EC4C18" w:rsidP="00EC4C18">
            <w:pPr>
              <w:widowControl w:val="0"/>
              <w:numPr>
                <w:ilvl w:val="0"/>
                <w:numId w:val="8"/>
              </w:numPr>
              <w:autoSpaceDE w:val="0"/>
              <w:autoSpaceDN w:val="0"/>
              <w:spacing w:after="120" w:line="276" w:lineRule="auto"/>
              <w:jc w:val="both"/>
              <w:rPr>
                <w:rFonts w:ascii="Arial" w:eastAsia="Calibri" w:hAnsi="Arial" w:cs="Arial"/>
                <w:color w:val="000000"/>
                <w:sz w:val="24"/>
                <w:szCs w:val="24"/>
                <w:lang w:val="es-ES"/>
              </w:rPr>
            </w:pPr>
            <w:r w:rsidRPr="00EC4C18">
              <w:rPr>
                <w:rFonts w:ascii="Arial" w:eastAsia="Calibri" w:hAnsi="Arial" w:cs="Arial"/>
                <w:color w:val="000000"/>
                <w:sz w:val="24"/>
                <w:szCs w:val="24"/>
                <w:lang w:val="es-ES"/>
              </w:rPr>
              <w:t xml:space="preserve">Guías y manuales expedidos por la ANCP-CCE. Disponible en: </w:t>
            </w:r>
            <w:hyperlink r:id="rId14" w:history="1">
              <w:r w:rsidRPr="00EC4C18">
                <w:rPr>
                  <w:rFonts w:ascii="Arial" w:eastAsia="Calibri" w:hAnsi="Arial" w:cs="Arial"/>
                  <w:color w:val="000000"/>
                  <w:sz w:val="24"/>
                  <w:szCs w:val="24"/>
                  <w:lang w:val="es-ES"/>
                </w:rPr>
                <w:t>https://www.colombiacompra.gov.co/manuales-guias-y-pliegos-tipo/manuales-y-guias</w:t>
              </w:r>
            </w:hyperlink>
            <w:r w:rsidRPr="00EC4C18">
              <w:rPr>
                <w:rFonts w:ascii="Arial" w:eastAsia="Calibri" w:hAnsi="Arial" w:cs="Arial"/>
                <w:color w:val="000000"/>
                <w:sz w:val="24"/>
                <w:szCs w:val="24"/>
                <w:lang w:val="es-ES"/>
              </w:rPr>
              <w:t xml:space="preserve"> </w:t>
            </w:r>
          </w:p>
          <w:p w14:paraId="4F522C46" w14:textId="77777777" w:rsidR="00EC4C18" w:rsidRPr="00EC4C18" w:rsidRDefault="00EC4C18" w:rsidP="00EC4C18">
            <w:pPr>
              <w:widowControl w:val="0"/>
              <w:autoSpaceDE w:val="0"/>
              <w:autoSpaceDN w:val="0"/>
              <w:spacing w:after="120" w:line="276" w:lineRule="auto"/>
              <w:ind w:left="360"/>
              <w:jc w:val="both"/>
              <w:rPr>
                <w:rFonts w:ascii="Arial" w:hAnsi="Arial" w:cs="Arial"/>
                <w:sz w:val="24"/>
                <w:szCs w:val="24"/>
              </w:rPr>
            </w:pPr>
          </w:p>
        </w:tc>
      </w:tr>
    </w:tbl>
    <w:p w14:paraId="30E95F51" w14:textId="77777777" w:rsidR="00EC4C18" w:rsidRPr="00EC4C18" w:rsidRDefault="00EC4C18" w:rsidP="00EC4C18">
      <w:pPr>
        <w:widowControl w:val="0"/>
        <w:autoSpaceDE w:val="0"/>
        <w:autoSpaceDN w:val="0"/>
        <w:spacing w:after="0" w:line="276" w:lineRule="auto"/>
        <w:jc w:val="both"/>
        <w:rPr>
          <w:rFonts w:ascii="Arial" w:hAnsi="Arial" w:cs="Arial"/>
          <w:sz w:val="24"/>
          <w:szCs w:val="24"/>
        </w:rPr>
      </w:pPr>
    </w:p>
    <w:p w14:paraId="03FA672B" w14:textId="77777777" w:rsidR="00EC4C18" w:rsidRPr="00EC4C18" w:rsidRDefault="00EC4C18" w:rsidP="00EC4C18">
      <w:pPr>
        <w:widowControl w:val="0"/>
        <w:autoSpaceDE w:val="0"/>
        <w:autoSpaceDN w:val="0"/>
        <w:spacing w:after="0" w:line="276" w:lineRule="auto"/>
        <w:jc w:val="both"/>
        <w:rPr>
          <w:rFonts w:ascii="Arial" w:hAnsi="Arial" w:cs="Arial"/>
          <w:sz w:val="24"/>
          <w:szCs w:val="24"/>
        </w:rPr>
      </w:pPr>
    </w:p>
    <w:p w14:paraId="38548DB3" w14:textId="77777777" w:rsidR="00EC4C18" w:rsidRPr="00EC4C18" w:rsidRDefault="00EC4C18" w:rsidP="00EC4C18">
      <w:pPr>
        <w:numPr>
          <w:ilvl w:val="0"/>
          <w:numId w:val="4"/>
        </w:numPr>
        <w:tabs>
          <w:tab w:val="left" w:pos="142"/>
          <w:tab w:val="left" w:pos="284"/>
        </w:tabs>
        <w:spacing w:after="0" w:line="276" w:lineRule="auto"/>
        <w:ind w:left="0" w:firstLine="0"/>
        <w:jc w:val="both"/>
        <w:rPr>
          <w:rFonts w:ascii="Arial" w:eastAsia="Century Gothic" w:hAnsi="Arial" w:cs="Arial"/>
          <w:b/>
          <w:bCs/>
          <w:sz w:val="24"/>
          <w:szCs w:val="24"/>
          <w:lang w:val="es-ES"/>
        </w:rPr>
      </w:pPr>
      <w:r w:rsidRPr="00EC4C18">
        <w:rPr>
          <w:rFonts w:ascii="Arial" w:eastAsia="Century Gothic" w:hAnsi="Arial" w:cs="Arial"/>
          <w:b/>
          <w:bCs/>
          <w:sz w:val="24"/>
          <w:szCs w:val="24"/>
          <w:lang w:val="es-ES"/>
        </w:rPr>
        <w:t>Doctrina de la Agencia Nacional de Contratación Pública:</w:t>
      </w:r>
    </w:p>
    <w:p w14:paraId="1ECCE4E5" w14:textId="77777777" w:rsidR="00EC4C18" w:rsidRPr="00EC4C18" w:rsidRDefault="00EC4C18" w:rsidP="00EC4C18">
      <w:pPr>
        <w:widowControl w:val="0"/>
        <w:autoSpaceDE w:val="0"/>
        <w:autoSpaceDN w:val="0"/>
        <w:spacing w:after="0" w:line="276" w:lineRule="auto"/>
        <w:jc w:val="both"/>
        <w:rPr>
          <w:rFonts w:ascii="Arial" w:hAnsi="Arial" w:cs="Arial"/>
          <w:sz w:val="24"/>
          <w:szCs w:val="24"/>
        </w:rPr>
      </w:pPr>
    </w:p>
    <w:p w14:paraId="3575E901" w14:textId="77777777" w:rsidR="00EC4C18" w:rsidRPr="00EC4C18" w:rsidRDefault="00EC4C18" w:rsidP="00EC4C18">
      <w:pPr>
        <w:widowControl w:val="0"/>
        <w:autoSpaceDE w:val="0"/>
        <w:autoSpaceDN w:val="0"/>
        <w:spacing w:after="0" w:line="276" w:lineRule="auto"/>
        <w:jc w:val="both"/>
        <w:rPr>
          <w:rFonts w:ascii="Arial" w:hAnsi="Arial" w:cs="Arial"/>
          <w:sz w:val="24"/>
          <w:szCs w:val="24"/>
        </w:rPr>
      </w:pPr>
      <w:r w:rsidRPr="00EC4C18">
        <w:rPr>
          <w:rFonts w:ascii="Arial" w:hAnsi="Arial" w:cs="Arial"/>
          <w:sz w:val="24"/>
          <w:szCs w:val="24"/>
        </w:rPr>
        <w:t>La Agencia Nacional de Contratación Pública – Colombia Compra Eficiente, en los conceptos No. 4201912000006798 del 24 de octubre de 2019, C-002 del 12 de febrero de 2020, C-089 del 4 de marzo de 2020, C-099 del 06 de abril de 2020, C-166 del 14 de abril de 2020, C-233 del 16 de abril de 2020, C-326 del 9 de junio de 2020, C-140 del 9 de abril de 2021. Respecto de la reciente reglamentación establecida en los Decretos 399 y 579 de 2021 se pronunció en los Conceptos C-288 de 17 de junio de 2021, C-353 del 19 de julio de 2021, C-366 del 26 de julio de 2021 y C-372 del 28 de julio de 2021, C-406 del 8 de agosto de 2021, C-407 del 25 de agosto de 2021, C-439 de 5 de julio de 2022, C-673 del 19 de octubre de 2023, C-831 del 28 de noviembre de 2023 y C-333 de 2024, entre otros. 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5" w:tgtFrame="_blank" w:tooltip="Dirección URL original: https://relatoria.colombiacompra.gov.co/. Haga clic o pulse si confía en este vínculo." w:history="1">
        <w:r w:rsidRPr="00EC4C18">
          <w:rPr>
            <w:rFonts w:ascii="Arial" w:hAnsi="Arial" w:cs="Arial"/>
            <w:color w:val="0563C1" w:themeColor="hyperlink"/>
            <w:sz w:val="24"/>
            <w:szCs w:val="24"/>
            <w:u w:val="single"/>
          </w:rPr>
          <w:t>https://relatoria.colombiacompra.gov.co/</w:t>
        </w:r>
      </w:hyperlink>
      <w:r w:rsidRPr="00EC4C18">
        <w:rPr>
          <w:rFonts w:ascii="Arial" w:hAnsi="Arial" w:cs="Arial"/>
          <w:sz w:val="24"/>
          <w:szCs w:val="24"/>
        </w:rPr>
        <w:t> .</w:t>
      </w:r>
    </w:p>
    <w:p w14:paraId="07788D9B" w14:textId="77777777" w:rsidR="00EC4C18" w:rsidRPr="00EC4C18" w:rsidRDefault="00EC4C18" w:rsidP="00EC4C18">
      <w:pPr>
        <w:widowControl w:val="0"/>
        <w:autoSpaceDE w:val="0"/>
        <w:autoSpaceDN w:val="0"/>
        <w:spacing w:after="0" w:line="276" w:lineRule="auto"/>
        <w:jc w:val="both"/>
        <w:rPr>
          <w:rFonts w:ascii="Arial" w:hAnsi="Arial" w:cs="Arial"/>
          <w:sz w:val="24"/>
          <w:szCs w:val="24"/>
        </w:rPr>
      </w:pPr>
    </w:p>
    <w:p w14:paraId="36DD164D" w14:textId="77777777" w:rsidR="00EC4C18" w:rsidRPr="00EC4C18" w:rsidRDefault="00EC4C18" w:rsidP="00EC4C18">
      <w:pPr>
        <w:widowControl w:val="0"/>
        <w:autoSpaceDE w:val="0"/>
        <w:autoSpaceDN w:val="0"/>
        <w:spacing w:after="0" w:line="276" w:lineRule="auto"/>
        <w:jc w:val="both"/>
        <w:rPr>
          <w:rFonts w:ascii="Arial" w:hAnsi="Arial" w:cs="Arial"/>
          <w:sz w:val="24"/>
          <w:szCs w:val="24"/>
        </w:rPr>
      </w:pPr>
      <w:r w:rsidRPr="00EC4C18">
        <w:rPr>
          <w:rFonts w:ascii="Arial" w:hAnsi="Arial" w:cs="Arial"/>
          <w:sz w:val="24"/>
          <w:szCs w:val="24"/>
        </w:rPr>
        <w:t>Te invitamos también a revisar la tercera edición del  Boletín de Relatoría de 2024 en el cual podrás consultar en detalle el marco normativo de documentos tipo: </w:t>
      </w:r>
      <w:hyperlink r:id="rId16" w:tgtFrame="_blank" w:tooltip="Dirección URL original: https://www.colombiacompra.gov.co/sites/cce_public/files/files_2020/boletin_de_realtoria_iii.pdf. Haga clic o pulse si confía en este vínculo." w:history="1">
        <w:r w:rsidRPr="00EC4C18">
          <w:rPr>
            <w:rFonts w:ascii="Arial" w:hAnsi="Arial" w:cs="Arial"/>
            <w:color w:val="0563C1" w:themeColor="hyperlink"/>
            <w:sz w:val="24"/>
            <w:szCs w:val="24"/>
            <w:u w:val="single"/>
          </w:rPr>
          <w:t>https://www.colombiacompra.gov.co/sites/cce_public/files/files_2020/boletin_de_realtoria_iii.pdf</w:t>
        </w:r>
      </w:hyperlink>
      <w:r w:rsidRPr="00EC4C18">
        <w:rPr>
          <w:rFonts w:ascii="Arial" w:hAnsi="Arial" w:cs="Arial"/>
          <w:sz w:val="24"/>
          <w:szCs w:val="24"/>
        </w:rPr>
        <w:t>.</w:t>
      </w:r>
    </w:p>
    <w:p w14:paraId="5AAD5B24" w14:textId="77777777" w:rsidR="00EC4C18" w:rsidRPr="00EC4C18" w:rsidRDefault="00EC4C18" w:rsidP="00EC4C18">
      <w:pPr>
        <w:widowControl w:val="0"/>
        <w:autoSpaceDE w:val="0"/>
        <w:autoSpaceDN w:val="0"/>
        <w:spacing w:after="0" w:line="276" w:lineRule="auto"/>
        <w:jc w:val="both"/>
        <w:rPr>
          <w:rFonts w:ascii="Arial" w:hAnsi="Arial" w:cs="Arial"/>
          <w:sz w:val="24"/>
          <w:szCs w:val="24"/>
        </w:rPr>
      </w:pPr>
    </w:p>
    <w:p w14:paraId="478E65BF" w14:textId="77777777" w:rsidR="00EC4C18" w:rsidRPr="00EC4C18" w:rsidRDefault="00EC4C18" w:rsidP="00EC4C18">
      <w:pPr>
        <w:widowControl w:val="0"/>
        <w:autoSpaceDE w:val="0"/>
        <w:autoSpaceDN w:val="0"/>
        <w:spacing w:after="0" w:line="276" w:lineRule="auto"/>
        <w:jc w:val="both"/>
        <w:rPr>
          <w:rFonts w:ascii="Arial" w:hAnsi="Arial" w:cs="Arial"/>
          <w:sz w:val="24"/>
          <w:szCs w:val="24"/>
        </w:rPr>
      </w:pPr>
      <w:r w:rsidRPr="00EC4C18">
        <w:rPr>
          <w:rFonts w:ascii="Arial" w:hAnsi="Arial" w:cs="Arial"/>
          <w:sz w:val="24"/>
          <w:szCs w:val="24"/>
        </w:rPr>
        <w:t xml:space="preserve">Por último, te invitamos a seguirnos en las redes sociales en las cuales se difunde información institucional: </w:t>
      </w:r>
    </w:p>
    <w:p w14:paraId="3CE218EB" w14:textId="77777777" w:rsidR="00EC4C18" w:rsidRPr="00EC4C18" w:rsidRDefault="00EC4C18" w:rsidP="00EC4C18">
      <w:pPr>
        <w:spacing w:after="0" w:line="240" w:lineRule="auto"/>
        <w:jc w:val="both"/>
        <w:rPr>
          <w:rFonts w:ascii="Arial" w:hAnsi="Arial" w:cs="Arial"/>
          <w:sz w:val="24"/>
          <w:szCs w:val="24"/>
        </w:rPr>
      </w:pPr>
    </w:p>
    <w:p w14:paraId="48E2C29E" w14:textId="77777777" w:rsidR="00EC4C18" w:rsidRPr="00EC4C18" w:rsidRDefault="00EC4C18" w:rsidP="00EC4C18">
      <w:pPr>
        <w:spacing w:after="0" w:line="240" w:lineRule="auto"/>
        <w:jc w:val="both"/>
        <w:rPr>
          <w:rFonts w:ascii="Arial" w:hAnsi="Arial" w:cs="Arial"/>
          <w:sz w:val="24"/>
          <w:szCs w:val="24"/>
        </w:rPr>
      </w:pPr>
      <w:r w:rsidRPr="00EC4C18">
        <w:rPr>
          <w:rFonts w:ascii="Arial" w:hAnsi="Arial" w:cs="Arial"/>
          <w:sz w:val="24"/>
          <w:szCs w:val="24"/>
        </w:rPr>
        <w:t xml:space="preserve">Twitter: </w:t>
      </w:r>
      <w:r w:rsidRPr="00EC4C18">
        <w:rPr>
          <w:rFonts w:ascii="Arial" w:hAnsi="Arial" w:cs="Arial"/>
          <w:color w:val="4472C4" w:themeColor="accent1"/>
          <w:sz w:val="24"/>
          <w:szCs w:val="24"/>
          <w:u w:val="single"/>
        </w:rPr>
        <w:t>@colombiacompra</w:t>
      </w:r>
      <w:r w:rsidRPr="00EC4C18">
        <w:rPr>
          <w:rFonts w:ascii="Arial" w:hAnsi="Arial" w:cs="Arial"/>
          <w:color w:val="4472C4" w:themeColor="accent1"/>
          <w:sz w:val="24"/>
          <w:szCs w:val="24"/>
        </w:rPr>
        <w:t xml:space="preserve"> </w:t>
      </w:r>
    </w:p>
    <w:p w14:paraId="3E50F9AC" w14:textId="77777777" w:rsidR="00EC4C18" w:rsidRPr="00EC4C18" w:rsidRDefault="00EC4C18" w:rsidP="00EC4C18">
      <w:pPr>
        <w:spacing w:after="0" w:line="240" w:lineRule="auto"/>
        <w:jc w:val="both"/>
        <w:rPr>
          <w:rFonts w:ascii="Arial" w:hAnsi="Arial" w:cs="Arial"/>
          <w:sz w:val="24"/>
          <w:szCs w:val="24"/>
        </w:rPr>
      </w:pPr>
      <w:r w:rsidRPr="00EC4C18">
        <w:rPr>
          <w:rFonts w:ascii="Arial" w:hAnsi="Arial" w:cs="Arial"/>
          <w:sz w:val="24"/>
          <w:szCs w:val="24"/>
        </w:rPr>
        <w:t xml:space="preserve">Facebook: </w:t>
      </w:r>
      <w:r w:rsidRPr="00EC4C18">
        <w:rPr>
          <w:rFonts w:ascii="Arial" w:hAnsi="Arial" w:cs="Arial"/>
          <w:color w:val="4472C4" w:themeColor="accent1"/>
          <w:sz w:val="24"/>
          <w:szCs w:val="24"/>
          <w:u w:val="single"/>
        </w:rPr>
        <w:t>ColombiaCompraEficiente</w:t>
      </w:r>
    </w:p>
    <w:p w14:paraId="4386FFE5" w14:textId="77777777" w:rsidR="00EC4C18" w:rsidRPr="00EC4C18" w:rsidRDefault="00EC4C18" w:rsidP="00EC4C18">
      <w:pPr>
        <w:spacing w:after="0" w:line="240" w:lineRule="auto"/>
        <w:jc w:val="both"/>
        <w:rPr>
          <w:rFonts w:ascii="Arial" w:hAnsi="Arial" w:cs="Arial"/>
          <w:sz w:val="24"/>
          <w:szCs w:val="24"/>
        </w:rPr>
      </w:pPr>
      <w:r w:rsidRPr="00EC4C18">
        <w:rPr>
          <w:rFonts w:ascii="Arial" w:hAnsi="Arial" w:cs="Arial"/>
          <w:sz w:val="24"/>
          <w:szCs w:val="24"/>
        </w:rPr>
        <w:t xml:space="preserve">LinkedIn: </w:t>
      </w:r>
      <w:r w:rsidRPr="00EC4C18">
        <w:rPr>
          <w:rFonts w:ascii="Arial" w:hAnsi="Arial" w:cs="Arial"/>
          <w:color w:val="4472C4" w:themeColor="accent1"/>
          <w:sz w:val="24"/>
          <w:szCs w:val="24"/>
          <w:u w:val="single"/>
        </w:rPr>
        <w:t>Agencia Nacional de Contratación Pública - Colombia Compra Eficiente</w:t>
      </w:r>
      <w:r w:rsidRPr="00EC4C18">
        <w:rPr>
          <w:rFonts w:ascii="Arial" w:hAnsi="Arial" w:cs="Arial"/>
          <w:color w:val="4472C4" w:themeColor="accent1"/>
          <w:sz w:val="24"/>
          <w:szCs w:val="24"/>
        </w:rPr>
        <w:t xml:space="preserve"> </w:t>
      </w:r>
      <w:r w:rsidRPr="00EC4C18">
        <w:rPr>
          <w:rFonts w:ascii="Arial" w:hAnsi="Arial" w:cs="Arial"/>
          <w:sz w:val="24"/>
          <w:szCs w:val="24"/>
        </w:rPr>
        <w:t xml:space="preserve">Instagram: </w:t>
      </w:r>
      <w:r w:rsidRPr="00EC4C18">
        <w:rPr>
          <w:rFonts w:ascii="Arial" w:hAnsi="Arial" w:cs="Arial"/>
          <w:color w:val="4472C4" w:themeColor="accent1"/>
          <w:sz w:val="24"/>
          <w:szCs w:val="24"/>
          <w:u w:val="single"/>
        </w:rPr>
        <w:t>@colombiacompraeficiente_cce</w:t>
      </w:r>
    </w:p>
    <w:p w14:paraId="2D13C7D0" w14:textId="77777777" w:rsidR="00EC4C18" w:rsidRPr="00EC4C18" w:rsidRDefault="00EC4C18" w:rsidP="00EC4C18">
      <w:pPr>
        <w:widowControl w:val="0"/>
        <w:autoSpaceDE w:val="0"/>
        <w:autoSpaceDN w:val="0"/>
        <w:spacing w:after="0" w:line="276" w:lineRule="auto"/>
        <w:jc w:val="both"/>
        <w:rPr>
          <w:rFonts w:ascii="Arial" w:hAnsi="Arial" w:cs="Arial"/>
          <w:sz w:val="24"/>
          <w:szCs w:val="24"/>
        </w:rPr>
      </w:pPr>
    </w:p>
    <w:p w14:paraId="6AE5454F" w14:textId="77777777" w:rsidR="00EC4C18" w:rsidRPr="00EC4C18" w:rsidRDefault="00EC4C18" w:rsidP="00EC4C18">
      <w:pPr>
        <w:widowControl w:val="0"/>
        <w:autoSpaceDE w:val="0"/>
        <w:autoSpaceDN w:val="0"/>
        <w:spacing w:after="0" w:line="276" w:lineRule="auto"/>
        <w:jc w:val="both"/>
        <w:rPr>
          <w:rFonts w:ascii="Arial" w:hAnsi="Arial" w:cs="Arial"/>
          <w:sz w:val="24"/>
          <w:szCs w:val="24"/>
          <w:lang w:val="es-ES_tradnl"/>
        </w:rPr>
      </w:pPr>
      <w:r w:rsidRPr="00EC4C18">
        <w:rPr>
          <w:rFonts w:ascii="Arial" w:hAnsi="Arial" w:cs="Arial"/>
          <w:sz w:val="24"/>
          <w:szCs w:val="24"/>
        </w:rPr>
        <w:t xml:space="preserve">Este concepto tiene el alcance previsto en el artículo 28 del Código de Procedimiento Administrativo y de lo Contencioso Administrativo </w:t>
      </w:r>
      <w:r w:rsidRPr="00EC4C18">
        <w:rPr>
          <w:rFonts w:ascii="Arial" w:hAnsi="Arial" w:cs="Arial"/>
          <w:sz w:val="24"/>
          <w:szCs w:val="24"/>
          <w:lang w:val="es-ES_tradnl"/>
        </w:rPr>
        <w:t>y las expresiones aquí utilizadas con mayúscula inicial deben ser entendidas con el significado que les otorga el artículo 2.2.1.1.1.3.1. del Decreto 1082 de 2015.</w:t>
      </w:r>
    </w:p>
    <w:p w14:paraId="78A0E43A" w14:textId="77777777" w:rsidR="00EC4C18" w:rsidRPr="00EC4C18" w:rsidRDefault="00EC4C18" w:rsidP="00EC4C18">
      <w:pPr>
        <w:widowControl w:val="0"/>
        <w:autoSpaceDE w:val="0"/>
        <w:autoSpaceDN w:val="0"/>
        <w:spacing w:after="0" w:line="276" w:lineRule="auto"/>
        <w:jc w:val="both"/>
        <w:rPr>
          <w:rFonts w:ascii="Arial" w:hAnsi="Arial" w:cs="Arial"/>
          <w:sz w:val="24"/>
          <w:szCs w:val="24"/>
        </w:rPr>
      </w:pPr>
    </w:p>
    <w:p w14:paraId="4F608113" w14:textId="77777777" w:rsidR="00EC4C18" w:rsidRPr="00EC4C18" w:rsidRDefault="00EC4C18" w:rsidP="00EC4C18">
      <w:pPr>
        <w:spacing w:after="0" w:line="240" w:lineRule="auto"/>
        <w:rPr>
          <w:rFonts w:ascii="Arial" w:hAnsi="Arial" w:cs="Arial"/>
          <w:sz w:val="24"/>
          <w:szCs w:val="24"/>
          <w:lang w:eastAsia="es-CO"/>
        </w:rPr>
      </w:pPr>
      <w:r w:rsidRPr="00EC4C18">
        <w:rPr>
          <w:rFonts w:ascii="Arial" w:eastAsia="Times New Roman" w:hAnsi="Arial" w:cs="Arial"/>
          <w:sz w:val="24"/>
          <w:szCs w:val="24"/>
          <w:lang w:eastAsia="es-CO"/>
        </w:rPr>
        <w:t>Atentamente,</w:t>
      </w:r>
      <w:r w:rsidRPr="00EC4C18">
        <w:rPr>
          <w:rFonts w:ascii="Arial" w:hAnsi="Arial" w:cs="Arial"/>
          <w:sz w:val="24"/>
          <w:szCs w:val="24"/>
          <w:lang w:eastAsia="es-CO"/>
        </w:rPr>
        <w:t xml:space="preserve"> </w:t>
      </w:r>
    </w:p>
    <w:p w14:paraId="4444A76B" w14:textId="77777777" w:rsidR="00EC4C18" w:rsidRPr="00EC4C18" w:rsidRDefault="00EC4C18" w:rsidP="00EC4C18">
      <w:pPr>
        <w:spacing w:line="276" w:lineRule="auto"/>
        <w:jc w:val="center"/>
        <w:rPr>
          <w:rFonts w:ascii="Arial" w:hAnsi="Arial" w:cs="Arial"/>
          <w:noProof/>
          <w:sz w:val="24"/>
          <w:szCs w:val="24"/>
        </w:rPr>
      </w:pPr>
    </w:p>
    <w:p w14:paraId="18D794D5" w14:textId="72C1ED06" w:rsidR="00EC4C18" w:rsidRPr="00EC4C18" w:rsidRDefault="00367357" w:rsidP="00EC4C18">
      <w:pPr>
        <w:spacing w:line="276" w:lineRule="auto"/>
        <w:jc w:val="center"/>
        <w:rPr>
          <w:rFonts w:ascii="Arial" w:hAnsi="Arial" w:cs="Arial"/>
          <w:sz w:val="24"/>
          <w:szCs w:val="24"/>
        </w:rPr>
      </w:pPr>
      <w:r w:rsidRPr="002C3AD6">
        <w:rPr>
          <w:rFonts w:ascii="Century Gothic" w:hAnsi="Century Gothic"/>
          <w:noProof/>
        </w:rPr>
        <w:drawing>
          <wp:inline distT="0" distB="0" distL="0" distR="0" wp14:anchorId="14AF02AF" wp14:editId="19069EA9">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7"/>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EC4C18" w:rsidRPr="00EC4C18" w14:paraId="39C32657" w14:textId="77777777" w:rsidTr="00E3556E">
        <w:trPr>
          <w:trHeight w:val="315"/>
        </w:trPr>
        <w:tc>
          <w:tcPr>
            <w:tcW w:w="893" w:type="dxa"/>
            <w:vAlign w:val="center"/>
            <w:hideMark/>
          </w:tcPr>
          <w:p w14:paraId="21756481" w14:textId="77777777" w:rsidR="00EC4C18" w:rsidRPr="00EC4C18" w:rsidRDefault="00EC4C18" w:rsidP="00EC4C18">
            <w:pPr>
              <w:contextualSpacing/>
              <w:rPr>
                <w:rFonts w:ascii="Arial" w:hAnsi="Arial" w:cs="Arial"/>
                <w:sz w:val="16"/>
                <w:szCs w:val="16"/>
                <w:lang w:val="es-ES_tradnl"/>
              </w:rPr>
            </w:pPr>
            <w:r w:rsidRPr="00EC4C18">
              <w:rPr>
                <w:rFonts w:ascii="Arial" w:hAnsi="Arial" w:cs="Arial"/>
                <w:sz w:val="16"/>
                <w:szCs w:val="16"/>
                <w:lang w:val="es-ES_tradnl"/>
              </w:rPr>
              <w:t>Elaboró:</w:t>
            </w:r>
          </w:p>
        </w:tc>
        <w:tc>
          <w:tcPr>
            <w:tcW w:w="5628" w:type="dxa"/>
            <w:tcBorders>
              <w:top w:val="nil"/>
              <w:left w:val="nil"/>
              <w:bottom w:val="dotted" w:sz="4" w:space="0" w:color="7F7F7F" w:themeColor="text1" w:themeTint="80"/>
              <w:right w:val="nil"/>
            </w:tcBorders>
            <w:vAlign w:val="center"/>
            <w:hideMark/>
          </w:tcPr>
          <w:p w14:paraId="2F9D7A63" w14:textId="77777777" w:rsidR="00EC4C18" w:rsidRPr="00EC4C18" w:rsidRDefault="00EC4C18" w:rsidP="00EC4C18">
            <w:pPr>
              <w:contextualSpacing/>
              <w:rPr>
                <w:rFonts w:ascii="Arial" w:hAnsi="Arial" w:cs="Arial"/>
                <w:sz w:val="16"/>
                <w:szCs w:val="16"/>
                <w:lang w:val="es-ES_tradnl"/>
              </w:rPr>
            </w:pPr>
            <w:r w:rsidRPr="00EC4C18">
              <w:rPr>
                <w:rFonts w:ascii="Arial" w:hAnsi="Arial" w:cs="Arial"/>
                <w:sz w:val="16"/>
                <w:szCs w:val="16"/>
                <w:lang w:val="es-ES_tradnl"/>
              </w:rPr>
              <w:t xml:space="preserve">Diana Carolina Blanco Rodriguez </w:t>
            </w:r>
          </w:p>
          <w:p w14:paraId="476CF36B" w14:textId="77777777" w:rsidR="00EC4C18" w:rsidRPr="00EC4C18" w:rsidRDefault="00EC4C18" w:rsidP="00EC4C18">
            <w:pPr>
              <w:contextualSpacing/>
              <w:rPr>
                <w:rFonts w:ascii="Arial" w:hAnsi="Arial" w:cs="Arial"/>
                <w:sz w:val="16"/>
                <w:szCs w:val="16"/>
                <w:lang w:val="es-ES_tradnl"/>
              </w:rPr>
            </w:pPr>
            <w:r w:rsidRPr="00EC4C18">
              <w:rPr>
                <w:rFonts w:ascii="Arial" w:hAnsi="Arial" w:cs="Arial"/>
                <w:sz w:val="16"/>
                <w:szCs w:val="16"/>
                <w:lang w:val="es-ES_tradnl"/>
              </w:rPr>
              <w:t>Contratista de la Subdirección de Gestión Contractual</w:t>
            </w:r>
          </w:p>
        </w:tc>
      </w:tr>
      <w:tr w:rsidR="00EC4C18" w:rsidRPr="00EC4C18" w14:paraId="45EBBAAE" w14:textId="77777777" w:rsidTr="00E3556E">
        <w:trPr>
          <w:trHeight w:val="330"/>
        </w:trPr>
        <w:tc>
          <w:tcPr>
            <w:tcW w:w="893" w:type="dxa"/>
            <w:vAlign w:val="center"/>
            <w:hideMark/>
          </w:tcPr>
          <w:p w14:paraId="0EA2A29D" w14:textId="77777777" w:rsidR="00EC4C18" w:rsidRPr="00EC4C18" w:rsidRDefault="00EC4C18" w:rsidP="00EC4C18">
            <w:pPr>
              <w:contextualSpacing/>
              <w:rPr>
                <w:rFonts w:ascii="Arial" w:hAnsi="Arial" w:cs="Arial"/>
                <w:sz w:val="16"/>
                <w:szCs w:val="16"/>
                <w:lang w:val="es-ES_tradnl"/>
              </w:rPr>
            </w:pPr>
            <w:r w:rsidRPr="00EC4C18">
              <w:rPr>
                <w:rFonts w:ascii="Arial" w:hAnsi="Arial" w:cs="Arial"/>
                <w:sz w:val="16"/>
                <w:szCs w:val="16"/>
                <w:lang w:val="es-ES_tradnl"/>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10450DB2" w14:textId="77777777" w:rsidR="00EC4C18" w:rsidRPr="00EC4C18" w:rsidRDefault="00EC4C18" w:rsidP="00EC4C18">
            <w:pPr>
              <w:contextualSpacing/>
              <w:textAlignment w:val="baseline"/>
              <w:rPr>
                <w:rFonts w:ascii="Arial" w:hAnsi="Arial" w:cs="Arial"/>
                <w:sz w:val="16"/>
                <w:szCs w:val="16"/>
                <w:lang w:val="es-ES_tradnl"/>
              </w:rPr>
            </w:pPr>
            <w:r w:rsidRPr="00EC4C18">
              <w:rPr>
                <w:rFonts w:ascii="Arial" w:hAnsi="Arial" w:cs="Arial"/>
                <w:sz w:val="16"/>
                <w:szCs w:val="16"/>
                <w:lang w:val="es-ES_tradnl"/>
              </w:rPr>
              <w:t>Ximena Ríos</w:t>
            </w:r>
          </w:p>
          <w:p w14:paraId="442B2308" w14:textId="77777777" w:rsidR="00EC4C18" w:rsidRPr="00EC4C18" w:rsidRDefault="00EC4C18" w:rsidP="00EC4C18">
            <w:pPr>
              <w:contextualSpacing/>
              <w:textAlignment w:val="baseline"/>
              <w:rPr>
                <w:rFonts w:ascii="Arial" w:hAnsi="Arial" w:cs="Arial"/>
                <w:sz w:val="16"/>
                <w:szCs w:val="16"/>
                <w:lang w:val="es-ES_tradnl"/>
              </w:rPr>
            </w:pPr>
            <w:r w:rsidRPr="00EC4C18">
              <w:rPr>
                <w:rFonts w:ascii="Arial" w:hAnsi="Arial" w:cs="Arial"/>
                <w:sz w:val="16"/>
                <w:szCs w:val="16"/>
                <w:lang w:val="es-ES_tradnl"/>
              </w:rPr>
              <w:t>Gestor T1-11 de la Subdirección de Gestión Contractual </w:t>
            </w:r>
          </w:p>
        </w:tc>
      </w:tr>
      <w:tr w:rsidR="00EC4C18" w:rsidRPr="00EC4C18" w14:paraId="2EEB2B0F" w14:textId="77777777" w:rsidTr="00E3556E">
        <w:trPr>
          <w:trHeight w:val="300"/>
        </w:trPr>
        <w:tc>
          <w:tcPr>
            <w:tcW w:w="893" w:type="dxa"/>
            <w:vAlign w:val="center"/>
          </w:tcPr>
          <w:p w14:paraId="7F6577B4" w14:textId="77777777" w:rsidR="00EC4C18" w:rsidRPr="00EC4C18" w:rsidRDefault="00EC4C18" w:rsidP="00EC4C18">
            <w:pPr>
              <w:contextualSpacing/>
              <w:rPr>
                <w:rFonts w:ascii="Arial" w:hAnsi="Arial" w:cs="Arial"/>
                <w:sz w:val="16"/>
                <w:szCs w:val="16"/>
                <w:lang w:val="es-ES_tradnl"/>
              </w:rPr>
            </w:pPr>
            <w:r w:rsidRPr="00EC4C18">
              <w:rPr>
                <w:rFonts w:ascii="Arial" w:hAnsi="Arial" w:cs="Arial"/>
                <w:sz w:val="16"/>
                <w:szCs w:val="16"/>
                <w:lang w:val="es-ES_tradnl"/>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72AE3411" w14:textId="77777777" w:rsidR="00EC4C18" w:rsidRPr="00EC4C18" w:rsidRDefault="00EC4C18" w:rsidP="00EC4C18">
            <w:pPr>
              <w:contextualSpacing/>
              <w:rPr>
                <w:rFonts w:ascii="Arial" w:hAnsi="Arial" w:cs="Arial"/>
                <w:sz w:val="16"/>
                <w:szCs w:val="16"/>
                <w:lang w:val="es-ES"/>
              </w:rPr>
            </w:pPr>
            <w:r w:rsidRPr="00EC4C18">
              <w:rPr>
                <w:rFonts w:ascii="Arial" w:hAnsi="Arial" w:cs="Arial"/>
                <w:sz w:val="16"/>
                <w:szCs w:val="16"/>
                <w:lang w:val="es-ES"/>
              </w:rPr>
              <w:t>Carolina Quintero Gacharná</w:t>
            </w:r>
          </w:p>
          <w:p w14:paraId="20105DCC" w14:textId="77777777" w:rsidR="00EC4C18" w:rsidRPr="00EC4C18" w:rsidRDefault="00EC4C18" w:rsidP="00EC4C18">
            <w:pPr>
              <w:contextualSpacing/>
              <w:rPr>
                <w:rFonts w:ascii="Arial" w:hAnsi="Arial" w:cs="Arial"/>
                <w:sz w:val="16"/>
                <w:szCs w:val="16"/>
                <w:lang w:val="es-ES_tradnl"/>
              </w:rPr>
            </w:pPr>
            <w:r w:rsidRPr="00EC4C18">
              <w:rPr>
                <w:rFonts w:ascii="Arial" w:hAnsi="Arial" w:cs="Arial"/>
                <w:sz w:val="16"/>
                <w:szCs w:val="16"/>
                <w:lang w:val="es-ES_tradnl"/>
              </w:rPr>
              <w:t>Subdirectora de Gestión Contractual ANCP – CCE</w:t>
            </w:r>
          </w:p>
        </w:tc>
      </w:tr>
    </w:tbl>
    <w:p w14:paraId="0EDFB106" w14:textId="77777777" w:rsidR="00EC4C18" w:rsidRPr="00EC4C18" w:rsidRDefault="00EC4C18" w:rsidP="00EC4C18">
      <w:pPr>
        <w:spacing w:after="0" w:line="240" w:lineRule="auto"/>
        <w:rPr>
          <w:rFonts w:ascii="Arial" w:eastAsia="Times New Roman" w:hAnsi="Arial" w:cs="Arial"/>
          <w:sz w:val="24"/>
          <w:szCs w:val="24"/>
          <w:lang w:eastAsia="es-ES"/>
        </w:rPr>
      </w:pPr>
    </w:p>
    <w:p w14:paraId="510CF084" w14:textId="77777777" w:rsidR="00871B59" w:rsidRPr="00F16E24" w:rsidRDefault="00871B59" w:rsidP="00871B59">
      <w:pPr>
        <w:spacing w:after="0" w:line="240" w:lineRule="auto"/>
        <w:rPr>
          <w:rFonts w:ascii="Arial" w:eastAsia="Times New Roman" w:hAnsi="Arial" w:cs="Arial"/>
          <w:sz w:val="24"/>
          <w:szCs w:val="24"/>
          <w:lang w:eastAsia="es-ES"/>
        </w:rPr>
      </w:pPr>
    </w:p>
    <w:p w14:paraId="0083C991" w14:textId="5C765C2F" w:rsidR="5D8505AD" w:rsidRPr="00F16E24" w:rsidRDefault="5D8505AD" w:rsidP="00871B59">
      <w:pPr>
        <w:rPr>
          <w:rFonts w:ascii="Arial" w:hAnsi="Arial" w:cs="Arial"/>
          <w:sz w:val="24"/>
          <w:szCs w:val="24"/>
        </w:rPr>
      </w:pPr>
    </w:p>
    <w:sectPr w:rsidR="5D8505AD" w:rsidRPr="00F16E24" w:rsidSect="00E45F4B">
      <w:headerReference w:type="default" r:id="rId18"/>
      <w:footerReference w:type="default" r:id="rId1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37A81" w14:textId="77777777" w:rsidR="006A36EE" w:rsidRDefault="006A36EE" w:rsidP="00B30448">
      <w:pPr>
        <w:spacing w:after="0" w:line="240" w:lineRule="auto"/>
      </w:pPr>
      <w:r>
        <w:separator/>
      </w:r>
    </w:p>
  </w:endnote>
  <w:endnote w:type="continuationSeparator" w:id="0">
    <w:p w14:paraId="33CFBEFF" w14:textId="77777777" w:rsidR="006A36EE" w:rsidRDefault="006A36EE" w:rsidP="00B30448">
      <w:pPr>
        <w:spacing w:after="0" w:line="240" w:lineRule="auto"/>
      </w:pPr>
      <w:r>
        <w:continuationSeparator/>
      </w:r>
    </w:p>
  </w:endnote>
  <w:endnote w:type="continuationNotice" w:id="1">
    <w:p w14:paraId="5EBC0B85" w14:textId="77777777" w:rsidR="006A36EE" w:rsidRDefault="006A36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manist Ligh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BF168" w14:textId="77777777" w:rsidR="006A36EE" w:rsidRDefault="006A36EE" w:rsidP="00B30448">
      <w:pPr>
        <w:spacing w:after="0" w:line="240" w:lineRule="auto"/>
      </w:pPr>
      <w:r>
        <w:separator/>
      </w:r>
    </w:p>
  </w:footnote>
  <w:footnote w:type="continuationSeparator" w:id="0">
    <w:p w14:paraId="03828EDA" w14:textId="77777777" w:rsidR="006A36EE" w:rsidRDefault="006A36EE" w:rsidP="00B30448">
      <w:pPr>
        <w:spacing w:after="0" w:line="240" w:lineRule="auto"/>
      </w:pPr>
      <w:r>
        <w:continuationSeparator/>
      </w:r>
    </w:p>
  </w:footnote>
  <w:footnote w:type="continuationNotice" w:id="1">
    <w:p w14:paraId="4F1DC2F0" w14:textId="77777777" w:rsidR="006A36EE" w:rsidRDefault="006A36EE">
      <w:pPr>
        <w:spacing w:after="0" w:line="240" w:lineRule="auto"/>
      </w:pPr>
    </w:p>
  </w:footnote>
  <w:footnote w:id="2">
    <w:p w14:paraId="05994162" w14:textId="77777777" w:rsidR="00EC4C18" w:rsidRPr="00F16E24" w:rsidRDefault="00EC4C18" w:rsidP="00EC4C18">
      <w:pPr>
        <w:pStyle w:val="Textonotapie"/>
        <w:ind w:firstLine="709"/>
        <w:jc w:val="both"/>
        <w:rPr>
          <w:rFonts w:ascii="Arial" w:hAnsi="Arial" w:cs="Arial"/>
          <w:sz w:val="16"/>
          <w:szCs w:val="16"/>
        </w:rPr>
      </w:pPr>
      <w:r w:rsidRPr="00F16E24">
        <w:rPr>
          <w:rStyle w:val="Refdenotaalpie"/>
          <w:rFonts w:ascii="Arial" w:hAnsi="Arial" w:cs="Arial"/>
          <w:sz w:val="16"/>
          <w:szCs w:val="16"/>
        </w:rPr>
        <w:footnoteRef/>
      </w:r>
      <w:r w:rsidRPr="00F16E24">
        <w:rPr>
          <w:rFonts w:ascii="Arial" w:hAnsi="Arial" w:cs="Arial"/>
          <w:sz w:val="16"/>
          <w:szCs w:val="16"/>
        </w:rPr>
        <w:t xml:space="preserve"> </w:t>
      </w:r>
      <w:r w:rsidRPr="00F16E24">
        <w:rPr>
          <w:rFonts w:ascii="Arial" w:eastAsia="Calibri" w:hAnsi="Arial" w:cs="Arial"/>
          <w:color w:val="000000"/>
          <w:sz w:val="16"/>
          <w:szCs w:val="16"/>
          <w:lang w:val="es-ES_tradnl" w:eastAsia="es-ES_tradnl"/>
        </w:rPr>
        <w:t xml:space="preserve">El “Manual para verificar y determinar los requisitos habilitantes en los Procesos de Contratación” puede ser consultado en el siguiente link: </w:t>
      </w:r>
      <w:hyperlink r:id="rId1" w:history="1">
        <w:r w:rsidRPr="00F16E24">
          <w:rPr>
            <w:rFonts w:ascii="Arial" w:eastAsia="Calibri" w:hAnsi="Arial" w:cs="Arial"/>
            <w:color w:val="000000"/>
            <w:sz w:val="16"/>
            <w:szCs w:val="16"/>
            <w:u w:val="single"/>
            <w:lang w:val="es-ES_tradnl" w:eastAsia="es-ES_tradnl"/>
          </w:rPr>
          <w:t>https://www.colombiacompra.gov.co/sites/cce_public/files/cce_documents/cce_manual_requisitos_habilitantes.pdf</w:t>
        </w:r>
      </w:hyperlink>
      <w:r w:rsidRPr="00F16E24">
        <w:rPr>
          <w:rFonts w:ascii="Arial" w:hAnsi="Arial" w:cs="Arial"/>
          <w:sz w:val="16"/>
          <w:szCs w:val="16"/>
        </w:rPr>
        <w:t xml:space="preserve"> </w:t>
      </w:r>
    </w:p>
  </w:footnote>
  <w:footnote w:id="3">
    <w:p w14:paraId="636DEE51" w14:textId="77777777" w:rsidR="00EC4C18" w:rsidRPr="00F16E24" w:rsidRDefault="00EC4C18" w:rsidP="00EC4C18">
      <w:pPr>
        <w:pStyle w:val="NormalWeb"/>
        <w:spacing w:after="0"/>
        <w:ind w:firstLine="708"/>
        <w:jc w:val="both"/>
        <w:rPr>
          <w:rFonts w:ascii="Arial" w:eastAsia="Calibri" w:hAnsi="Arial" w:cs="Arial"/>
          <w:color w:val="000000"/>
          <w:sz w:val="16"/>
          <w:szCs w:val="16"/>
          <w:lang w:val="es-ES_tradnl" w:eastAsia="es-ES_tradnl"/>
        </w:rPr>
      </w:pPr>
      <w:r w:rsidRPr="00F16E24">
        <w:rPr>
          <w:rStyle w:val="Refdenotaalpie"/>
          <w:rFonts w:ascii="Arial" w:hAnsi="Arial" w:cs="Arial"/>
          <w:color w:val="000000" w:themeColor="text1"/>
          <w:sz w:val="16"/>
          <w:szCs w:val="16"/>
        </w:rPr>
        <w:footnoteRef/>
      </w:r>
      <w:r w:rsidRPr="00F16E24">
        <w:rPr>
          <w:rFonts w:ascii="Arial" w:hAnsi="Arial" w:cs="Arial"/>
          <w:color w:val="000000" w:themeColor="text1"/>
          <w:sz w:val="16"/>
          <w:szCs w:val="16"/>
        </w:rPr>
        <w:t xml:space="preserve"> </w:t>
      </w:r>
      <w:r w:rsidRPr="00F16E24">
        <w:rPr>
          <w:rFonts w:ascii="Arial" w:eastAsia="Calibri" w:hAnsi="Arial" w:cs="Arial"/>
          <w:color w:val="000000"/>
          <w:sz w:val="16"/>
          <w:szCs w:val="16"/>
          <w:lang w:val="es-ES_tradnl" w:eastAsia="es-ES_tradnl"/>
        </w:rPr>
        <w:t>Ley 1150 de 2007: “Artículo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0B5C8F97" w14:textId="77777777" w:rsidR="00EC4C18" w:rsidRPr="00F16E24" w:rsidRDefault="00EC4C18" w:rsidP="00EC4C18">
      <w:pPr>
        <w:pStyle w:val="NormalWeb"/>
        <w:spacing w:after="0"/>
        <w:ind w:firstLine="708"/>
        <w:jc w:val="both"/>
        <w:rPr>
          <w:rFonts w:ascii="Arial" w:eastAsia="Calibri" w:hAnsi="Arial" w:cs="Arial"/>
          <w:color w:val="000000"/>
          <w:sz w:val="16"/>
          <w:szCs w:val="16"/>
          <w:lang w:val="es-ES_tradnl" w:eastAsia="es-ES_tradnl"/>
        </w:rPr>
      </w:pPr>
      <w:r w:rsidRPr="00F16E24">
        <w:rPr>
          <w:rFonts w:ascii="Arial" w:eastAsia="Calibri" w:hAnsi="Arial" w:cs="Arial"/>
          <w:color w:val="000000"/>
          <w:sz w:val="16"/>
          <w:szCs w:val="16"/>
          <w:lang w:val="es-ES_tradnl" w:eastAsia="es-ES_tradnl"/>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78FD587D" w14:textId="77777777" w:rsidR="00EC4C18" w:rsidRPr="00F16E24" w:rsidRDefault="00EC4C18" w:rsidP="00EC4C18">
      <w:pPr>
        <w:pStyle w:val="NormalWeb"/>
        <w:spacing w:after="0"/>
        <w:ind w:firstLine="708"/>
        <w:jc w:val="both"/>
        <w:rPr>
          <w:rFonts w:ascii="Arial" w:hAnsi="Arial" w:cs="Arial"/>
          <w:color w:val="000000" w:themeColor="text1"/>
          <w:sz w:val="16"/>
          <w:szCs w:val="16"/>
        </w:rPr>
      </w:pPr>
      <w:r w:rsidRPr="00F16E24">
        <w:rPr>
          <w:rFonts w:ascii="Arial" w:eastAsia="Calibri" w:hAnsi="Arial" w:cs="Arial"/>
          <w:color w:val="000000"/>
          <w:sz w:val="16"/>
          <w:szCs w:val="16"/>
          <w:lang w:val="es-ES_tradnl" w:eastAsia="es-ES_tradnl"/>
        </w:rPr>
        <w:t>En dicho registro constará la información relacionada con la experiencia, capacidad jurídica, financiera y de organización del proponente y su clasificación”.</w:t>
      </w:r>
    </w:p>
  </w:footnote>
  <w:footnote w:id="4">
    <w:p w14:paraId="2A389BF0" w14:textId="77777777" w:rsidR="00EC4C18" w:rsidRPr="00F16E24" w:rsidRDefault="00EC4C18" w:rsidP="00EC4C18">
      <w:pPr>
        <w:pStyle w:val="Textonotapie"/>
        <w:ind w:firstLine="709"/>
        <w:jc w:val="both"/>
        <w:rPr>
          <w:rFonts w:ascii="Arial" w:hAnsi="Arial" w:cs="Arial"/>
          <w:sz w:val="16"/>
          <w:szCs w:val="16"/>
        </w:rPr>
      </w:pPr>
    </w:p>
    <w:p w14:paraId="58C308A6" w14:textId="77777777" w:rsidR="00EC4C18" w:rsidRPr="00F16E24" w:rsidRDefault="00EC4C18" w:rsidP="00EC4C18">
      <w:pPr>
        <w:pStyle w:val="Textonotapie"/>
        <w:ind w:firstLine="709"/>
        <w:jc w:val="both"/>
        <w:rPr>
          <w:rFonts w:ascii="Arial" w:hAnsi="Arial" w:cs="Arial"/>
          <w:sz w:val="16"/>
          <w:szCs w:val="16"/>
          <w:lang w:val="es-ES"/>
        </w:rPr>
      </w:pPr>
      <w:r w:rsidRPr="00F16E24">
        <w:rPr>
          <w:rStyle w:val="Refdenotaalpie"/>
          <w:rFonts w:ascii="Arial" w:hAnsi="Arial" w:cs="Arial"/>
          <w:sz w:val="16"/>
          <w:szCs w:val="16"/>
        </w:rPr>
        <w:footnoteRef/>
      </w:r>
      <w:r w:rsidRPr="00F16E24">
        <w:rPr>
          <w:rFonts w:ascii="Arial" w:hAnsi="Arial" w:cs="Arial"/>
          <w:sz w:val="16"/>
          <w:szCs w:val="16"/>
        </w:rPr>
        <w:t xml:space="preserve"> </w:t>
      </w:r>
      <w:r w:rsidRPr="00F16E24">
        <w:rPr>
          <w:rFonts w:ascii="Arial" w:eastAsia="Calibri" w:hAnsi="Arial" w:cs="Arial"/>
          <w:color w:val="000000"/>
          <w:sz w:val="16"/>
          <w:szCs w:val="16"/>
          <w:lang w:val="es-ES_tradnl" w:eastAsia="es-ES_tradnl"/>
        </w:rPr>
        <w:t>Ibídem.</w:t>
      </w:r>
    </w:p>
    <w:p w14:paraId="4D2FA690" w14:textId="77777777" w:rsidR="00EC4C18" w:rsidRPr="00F16E24" w:rsidRDefault="00EC4C18" w:rsidP="00EC4C18">
      <w:pPr>
        <w:pStyle w:val="Textonotapie"/>
        <w:ind w:firstLine="709"/>
        <w:jc w:val="both"/>
        <w:rPr>
          <w:rFonts w:ascii="Arial" w:hAnsi="Arial" w:cs="Arial"/>
          <w:sz w:val="16"/>
          <w:szCs w:val="16"/>
          <w:lang w:val="es-ES"/>
        </w:rPr>
      </w:pPr>
    </w:p>
  </w:footnote>
  <w:footnote w:id="5">
    <w:p w14:paraId="3815CF7C" w14:textId="77777777" w:rsidR="00EC4C18" w:rsidRPr="00F16E24" w:rsidRDefault="00EC4C18" w:rsidP="00EC4C18">
      <w:pPr>
        <w:pStyle w:val="Textonotapie"/>
        <w:ind w:firstLine="708"/>
        <w:jc w:val="both"/>
        <w:rPr>
          <w:rFonts w:ascii="Arial" w:eastAsia="Calibri" w:hAnsi="Arial" w:cs="Arial"/>
          <w:color w:val="000000"/>
          <w:sz w:val="16"/>
          <w:szCs w:val="16"/>
          <w:lang w:val="es-ES_tradnl" w:eastAsia="es-ES_tradnl"/>
        </w:rPr>
      </w:pPr>
      <w:r w:rsidRPr="00F16E24">
        <w:rPr>
          <w:rFonts w:ascii="Arial" w:eastAsia="Calibri" w:hAnsi="Arial" w:cs="Arial"/>
          <w:color w:val="000000"/>
          <w:sz w:val="16"/>
          <w:szCs w:val="16"/>
          <w:lang w:val="es-ES_tradnl" w:eastAsia="es-ES_tradnl"/>
        </w:rPr>
        <w:footnoteRef/>
      </w:r>
      <w:r w:rsidRPr="00F16E24">
        <w:rPr>
          <w:rFonts w:ascii="Arial" w:eastAsia="Calibri" w:hAnsi="Arial" w:cs="Arial"/>
          <w:color w:val="000000"/>
          <w:sz w:val="16"/>
          <w:szCs w:val="16"/>
          <w:lang w:val="es-ES_tradnl" w:eastAsia="es-ES_tradnl"/>
        </w:rPr>
        <w:t xml:space="preserve"> Para la realización de los respectivos análisis del sector de los Procesos de Contratación, esta Agencia recomienda tener en cuenta la última modificación de la “Guía de Elaboración de Estudios del Sector”, que puede ser consultada en el siguiente link: </w:t>
      </w:r>
      <w:hyperlink r:id="rId2" w:history="1">
        <w:r w:rsidRPr="00F16E24">
          <w:rPr>
            <w:rFonts w:ascii="Arial" w:hAnsi="Arial" w:cs="Arial"/>
            <w:color w:val="000000"/>
            <w:sz w:val="16"/>
            <w:szCs w:val="16"/>
            <w:lang w:val="es-ES_tradnl" w:eastAsia="es-ES_tradnl"/>
          </w:rPr>
          <w:t>https://www.colombiacompra.gov.co/sites/cce_public/files/cce_documentos/cce-eicp-gi-18._gees_v.2_2.pdf</w:t>
        </w:r>
      </w:hyperlink>
      <w:r w:rsidRPr="00F16E24">
        <w:rPr>
          <w:rFonts w:ascii="Arial" w:eastAsia="Calibri" w:hAnsi="Arial" w:cs="Arial"/>
          <w:color w:val="000000"/>
          <w:sz w:val="16"/>
          <w:szCs w:val="16"/>
          <w:lang w:val="es-ES_tradnl" w:eastAsia="es-ES_tradnl"/>
        </w:rPr>
        <w:t xml:space="preserve"> </w:t>
      </w:r>
    </w:p>
    <w:p w14:paraId="37C59479" w14:textId="77777777" w:rsidR="00EC4C18" w:rsidRPr="00F16E24" w:rsidRDefault="00EC4C18" w:rsidP="00EC4C18">
      <w:pPr>
        <w:pStyle w:val="Textonotapie"/>
        <w:ind w:firstLine="708"/>
        <w:jc w:val="both"/>
        <w:rPr>
          <w:rFonts w:ascii="Arial" w:eastAsia="Calibri" w:hAnsi="Arial" w:cs="Arial"/>
          <w:color w:val="000000"/>
          <w:sz w:val="16"/>
          <w:szCs w:val="16"/>
          <w:lang w:val="es-ES_tradnl" w:eastAsia="es-ES_tradnl"/>
        </w:rPr>
      </w:pPr>
    </w:p>
  </w:footnote>
  <w:footnote w:id="6">
    <w:p w14:paraId="31DDCA4A" w14:textId="77777777" w:rsidR="00EC4C18" w:rsidRPr="00F16E24" w:rsidRDefault="00EC4C18" w:rsidP="00EC4C18">
      <w:pPr>
        <w:pStyle w:val="Textonotapie"/>
        <w:ind w:firstLine="708"/>
        <w:jc w:val="both"/>
        <w:rPr>
          <w:rFonts w:ascii="Arial" w:eastAsia="Calibri" w:hAnsi="Arial" w:cs="Arial"/>
          <w:color w:val="000000"/>
          <w:sz w:val="16"/>
          <w:szCs w:val="16"/>
          <w:lang w:val="es-ES_tradnl" w:eastAsia="es-ES_tradnl"/>
        </w:rPr>
      </w:pPr>
      <w:r w:rsidRPr="00F16E24">
        <w:rPr>
          <w:rFonts w:ascii="Arial" w:eastAsia="Calibri" w:hAnsi="Arial" w:cs="Arial"/>
          <w:color w:val="000000"/>
          <w:sz w:val="16"/>
          <w:szCs w:val="16"/>
          <w:lang w:val="es-ES_tradnl" w:eastAsia="es-ES_tradnl"/>
        </w:rPr>
        <w:footnoteRef/>
      </w:r>
      <w:r w:rsidRPr="00F16E24">
        <w:rPr>
          <w:rFonts w:ascii="Arial" w:eastAsia="Calibri" w:hAnsi="Arial" w:cs="Arial"/>
          <w:color w:val="000000"/>
          <w:sz w:val="16"/>
          <w:szCs w:val="16"/>
          <w:lang w:val="es-ES_tradnl" w:eastAsia="es-ES_tradnl"/>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footnote>
  <w:footnote w:id="7">
    <w:p w14:paraId="24A634AD" w14:textId="77777777" w:rsidR="00EC4C18" w:rsidRPr="00F16E24" w:rsidRDefault="00EC4C18" w:rsidP="00EC4C18">
      <w:pPr>
        <w:pStyle w:val="Textonotapie"/>
        <w:ind w:firstLine="708"/>
        <w:rPr>
          <w:rFonts w:ascii="Arial" w:eastAsia="Calibri" w:hAnsi="Arial" w:cs="Arial"/>
          <w:color w:val="000000"/>
          <w:sz w:val="16"/>
          <w:szCs w:val="16"/>
          <w:lang w:val="es-ES_tradnl" w:eastAsia="es-ES_tradnl"/>
        </w:rPr>
      </w:pPr>
    </w:p>
    <w:p w14:paraId="173FA8BE" w14:textId="77777777" w:rsidR="00EC4C18" w:rsidRPr="00F16E24" w:rsidRDefault="00EC4C18" w:rsidP="00EC4C18">
      <w:pPr>
        <w:pStyle w:val="Textonotapie"/>
        <w:ind w:firstLine="708"/>
        <w:jc w:val="both"/>
        <w:rPr>
          <w:rFonts w:ascii="Arial" w:eastAsia="Calibri" w:hAnsi="Arial" w:cs="Arial"/>
          <w:color w:val="000000"/>
          <w:sz w:val="16"/>
          <w:szCs w:val="16"/>
          <w:lang w:val="es-ES_tradnl" w:eastAsia="es-ES_tradnl"/>
        </w:rPr>
      </w:pPr>
      <w:r w:rsidRPr="00F16E24">
        <w:rPr>
          <w:rFonts w:ascii="Arial" w:eastAsia="Calibri" w:hAnsi="Arial" w:cs="Arial"/>
          <w:color w:val="000000"/>
          <w:sz w:val="16"/>
          <w:szCs w:val="16"/>
          <w:lang w:val="es-ES_tradnl" w:eastAsia="es-ES_tradnl"/>
        </w:rPr>
        <w:footnoteRef/>
      </w:r>
      <w:r w:rsidRPr="00F16E24">
        <w:rPr>
          <w:rFonts w:ascii="Arial" w:eastAsia="Calibri" w:hAnsi="Arial" w:cs="Arial"/>
          <w:color w:val="000000"/>
          <w:sz w:val="16"/>
          <w:szCs w:val="16"/>
          <w:lang w:val="es-ES_tradnl" w:eastAsia="es-ES_tradnl"/>
        </w:rPr>
        <w:t xml:space="preserve"> Decreto 1082 de 2015: “</w:t>
      </w:r>
      <w:r w:rsidRPr="00F16E24">
        <w:rPr>
          <w:rFonts w:ascii="Arial" w:eastAsia="Calibri" w:hAnsi="Arial" w:cs="Arial"/>
          <w:b/>
          <w:bCs/>
          <w:sz w:val="16"/>
          <w:szCs w:val="16"/>
          <w:lang w:val="es-ES_tradnl" w:eastAsia="es-ES_tradnl"/>
        </w:rPr>
        <w:t>Artículo 2.2.1.1.1.5.2. </w:t>
      </w:r>
      <w:r w:rsidRPr="00F16E24">
        <w:rPr>
          <w:rFonts w:ascii="Arial" w:eastAsia="Calibri" w:hAnsi="Arial" w:cs="Arial"/>
          <w:i/>
          <w:iCs/>
          <w:sz w:val="16"/>
          <w:szCs w:val="16"/>
          <w:lang w:val="es-ES_tradnl" w:eastAsia="es-ES_tradnl"/>
        </w:rPr>
        <w:t>Información para inscripción, renovación o actualización. </w:t>
      </w:r>
      <w:r w:rsidRPr="00F16E24">
        <w:rPr>
          <w:rFonts w:ascii="Arial" w:eastAsia="Calibri" w:hAnsi="Arial" w:cs="Arial"/>
          <w:color w:val="000000"/>
          <w:sz w:val="16"/>
          <w:szCs w:val="16"/>
          <w:lang w:val="es-ES_tradnl" w:eastAsia="es-ES_tradnl"/>
        </w:rPr>
        <w:t>El interesado debe presentar a cualquier cámara de comercio del país una solicitud de registro, acompañada de la siguiente información. La cámara de comercio del domicilio del solicitante es la responsable de la inscripción, renovación o actualización correspondiente: </w:t>
      </w:r>
    </w:p>
    <w:p w14:paraId="003936FA" w14:textId="77777777" w:rsidR="00EC4C18" w:rsidRPr="00F16E24" w:rsidRDefault="00EC4C18" w:rsidP="00EC4C18">
      <w:pPr>
        <w:pStyle w:val="Textonotapie"/>
        <w:ind w:firstLine="708"/>
        <w:jc w:val="both"/>
        <w:rPr>
          <w:rFonts w:ascii="Arial" w:eastAsia="Calibri" w:hAnsi="Arial" w:cs="Arial"/>
          <w:color w:val="000000"/>
          <w:sz w:val="16"/>
          <w:szCs w:val="16"/>
          <w:lang w:val="es-ES_tradnl" w:eastAsia="es-ES_tradnl"/>
        </w:rPr>
      </w:pPr>
      <w:r w:rsidRPr="00F16E24">
        <w:rPr>
          <w:rFonts w:ascii="Arial" w:eastAsia="Calibri" w:hAnsi="Arial" w:cs="Arial"/>
          <w:color w:val="000000"/>
          <w:sz w:val="16"/>
          <w:szCs w:val="16"/>
          <w:lang w:val="es-ES_tradnl" w:eastAsia="es-ES_tradnl"/>
        </w:rPr>
        <w:t>[…]</w:t>
      </w:r>
    </w:p>
    <w:p w14:paraId="2DFEBFE8" w14:textId="77777777" w:rsidR="00EC4C18" w:rsidRPr="00F16E24" w:rsidRDefault="00EC4C18" w:rsidP="00EC4C18">
      <w:pPr>
        <w:pStyle w:val="Textonotapie"/>
        <w:ind w:firstLine="708"/>
        <w:jc w:val="both"/>
        <w:rPr>
          <w:rFonts w:ascii="Arial" w:eastAsia="Calibri" w:hAnsi="Arial" w:cs="Arial"/>
          <w:color w:val="000000"/>
          <w:sz w:val="16"/>
          <w:szCs w:val="16"/>
          <w:lang w:val="es-ES_tradnl" w:eastAsia="es-ES_tradnl"/>
        </w:rPr>
      </w:pPr>
      <w:r w:rsidRPr="00F16E24">
        <w:rPr>
          <w:rFonts w:ascii="Arial" w:eastAsia="Calibri" w:hAnsi="Arial" w:cs="Arial"/>
          <w:color w:val="000000"/>
          <w:sz w:val="16"/>
          <w:szCs w:val="16"/>
          <w:lang w:val="es-ES_tradnl" w:eastAsia="es-ES_tradnl"/>
        </w:rPr>
        <w:t xml:space="preserve">2.3. Estados financieros de la sociedad y los estados financieros consolidados del grupo empresarial, cuando la norma aplicable lo exige, auditados con sus notas y los siguientes anexos, suscritos por el representante legal y el revisor fiscal, si la persona jurídica está obligada a tenerlo, o suscritos por el representante legal y el auditor o contador si la persona jurídica no está obligada a tener revisor fiscal: </w:t>
      </w:r>
    </w:p>
    <w:p w14:paraId="2114EBC5" w14:textId="77777777" w:rsidR="00EC4C18" w:rsidRPr="00F16E24" w:rsidRDefault="00EC4C18" w:rsidP="00EC4C18">
      <w:pPr>
        <w:pStyle w:val="Textonotapie"/>
        <w:ind w:firstLine="708"/>
        <w:jc w:val="both"/>
        <w:rPr>
          <w:rFonts w:ascii="Arial" w:eastAsia="Calibri" w:hAnsi="Arial" w:cs="Arial"/>
          <w:color w:val="000000"/>
          <w:sz w:val="16"/>
          <w:szCs w:val="16"/>
          <w:lang w:val="es-ES_tradnl" w:eastAsia="es-ES_tradnl"/>
        </w:rPr>
      </w:pPr>
      <w:r w:rsidRPr="00F16E24">
        <w:rPr>
          <w:rFonts w:ascii="Arial" w:eastAsia="Calibri" w:hAnsi="Arial" w:cs="Arial"/>
          <w:color w:val="000000"/>
          <w:sz w:val="16"/>
          <w:szCs w:val="16"/>
          <w:lang w:val="es-ES_tradnl" w:eastAsia="es-ES_tradnl"/>
        </w:rPr>
        <w:t xml:space="preserve">I. Principales cuentas detalladas del balance general. </w:t>
      </w:r>
    </w:p>
    <w:p w14:paraId="3AA5A72E" w14:textId="77777777" w:rsidR="00EC4C18" w:rsidRPr="00F16E24" w:rsidRDefault="00EC4C18" w:rsidP="00EC4C18">
      <w:pPr>
        <w:pStyle w:val="Textonotapie"/>
        <w:ind w:firstLine="708"/>
        <w:jc w:val="both"/>
        <w:rPr>
          <w:rFonts w:ascii="Arial" w:eastAsia="Calibri" w:hAnsi="Arial" w:cs="Arial"/>
          <w:color w:val="000000"/>
          <w:sz w:val="16"/>
          <w:szCs w:val="16"/>
          <w:lang w:val="es-ES_tradnl" w:eastAsia="es-ES_tradnl"/>
        </w:rPr>
      </w:pPr>
      <w:r w:rsidRPr="00F16E24">
        <w:rPr>
          <w:rFonts w:ascii="Arial" w:eastAsia="Calibri" w:hAnsi="Arial" w:cs="Arial"/>
          <w:color w:val="000000"/>
          <w:sz w:val="16"/>
          <w:szCs w:val="16"/>
          <w:lang w:val="es-ES_tradnl" w:eastAsia="es-ES_tradnl"/>
        </w:rPr>
        <w:t xml:space="preserve">II. Principales cuentas del estado de pérdidas y ganancias. </w:t>
      </w:r>
    </w:p>
    <w:p w14:paraId="000B558C" w14:textId="77777777" w:rsidR="00EC4C18" w:rsidRPr="00F16E24" w:rsidRDefault="00EC4C18" w:rsidP="00EC4C18">
      <w:pPr>
        <w:pStyle w:val="Textonotapie"/>
        <w:ind w:firstLine="708"/>
        <w:jc w:val="both"/>
        <w:rPr>
          <w:rFonts w:ascii="Arial" w:eastAsia="Calibri" w:hAnsi="Arial" w:cs="Arial"/>
          <w:color w:val="000000"/>
          <w:sz w:val="16"/>
          <w:szCs w:val="16"/>
          <w:lang w:val="es-ES_tradnl" w:eastAsia="es-ES_tradnl"/>
        </w:rPr>
      </w:pPr>
      <w:r w:rsidRPr="00F16E24">
        <w:rPr>
          <w:rFonts w:ascii="Arial" w:eastAsia="Calibri" w:hAnsi="Arial" w:cs="Arial"/>
          <w:color w:val="000000"/>
          <w:sz w:val="16"/>
          <w:szCs w:val="16"/>
          <w:lang w:val="es-ES_tradnl" w:eastAsia="es-ES_tradnl"/>
        </w:rPr>
        <w:t xml:space="preserve">III. Cuentas contingentes deudoras y acreedoras. </w:t>
      </w:r>
    </w:p>
    <w:p w14:paraId="4DDD9A6D" w14:textId="77777777" w:rsidR="00EC4C18" w:rsidRPr="00F16E24" w:rsidRDefault="00EC4C18" w:rsidP="00EC4C18">
      <w:pPr>
        <w:pStyle w:val="Textonotapie"/>
        <w:ind w:firstLine="708"/>
        <w:jc w:val="both"/>
        <w:rPr>
          <w:rFonts w:ascii="Arial" w:hAnsi="Arial" w:cs="Arial"/>
          <w:sz w:val="16"/>
          <w:szCs w:val="16"/>
        </w:rPr>
      </w:pPr>
      <w:r w:rsidRPr="00F16E24">
        <w:rPr>
          <w:rFonts w:ascii="Arial" w:eastAsia="Calibri" w:hAnsi="Arial" w:cs="Arial"/>
          <w:color w:val="000000"/>
          <w:sz w:val="16"/>
          <w:szCs w:val="16"/>
          <w:lang w:val="es-ES_tradnl" w:eastAsia="es-ES_tradnl"/>
        </w:rPr>
        <w:t>Si el interesado no tiene antigüedad suficiente para tener estados financieros auditados a 31 de diciembre, debe inscribirse con estados financieros de corte trimestral, suscritos por el representante legal y el auditor o contador o estados financieros de apertura[...]”</w:t>
      </w:r>
      <w:r w:rsidRPr="00F16E24">
        <w:rPr>
          <w:rFonts w:ascii="Arial" w:hAnsi="Arial" w:cs="Arial"/>
          <w:sz w:val="16"/>
          <w:szCs w:val="16"/>
        </w:rPr>
        <w:t xml:space="preserve">  </w:t>
      </w:r>
    </w:p>
  </w:footnote>
  <w:footnote w:id="8">
    <w:p w14:paraId="497A14C6" w14:textId="77777777" w:rsidR="00EC4C18" w:rsidRPr="00F16E24" w:rsidRDefault="00EC4C18" w:rsidP="00EC4C18">
      <w:pPr>
        <w:pStyle w:val="Textonotapie"/>
        <w:ind w:firstLine="708"/>
        <w:jc w:val="both"/>
        <w:rPr>
          <w:rFonts w:ascii="Arial" w:eastAsia="Calibri" w:hAnsi="Arial" w:cs="Arial"/>
          <w:color w:val="000000"/>
          <w:sz w:val="16"/>
          <w:szCs w:val="16"/>
          <w:lang w:val="es-ES_tradnl" w:eastAsia="es-ES_tradnl"/>
        </w:rPr>
      </w:pPr>
      <w:r w:rsidRPr="00F16E24">
        <w:rPr>
          <w:rStyle w:val="Refdenotaalpie"/>
          <w:rFonts w:ascii="Arial" w:hAnsi="Arial" w:cs="Arial"/>
          <w:sz w:val="16"/>
          <w:szCs w:val="16"/>
        </w:rPr>
        <w:footnoteRef/>
      </w:r>
      <w:r w:rsidRPr="00F16E24">
        <w:rPr>
          <w:rFonts w:ascii="Arial" w:hAnsi="Arial" w:cs="Arial"/>
          <w:sz w:val="16"/>
          <w:szCs w:val="16"/>
        </w:rPr>
        <w:t xml:space="preserve"> </w:t>
      </w:r>
      <w:r w:rsidRPr="00F16E24">
        <w:rPr>
          <w:rFonts w:ascii="Arial" w:eastAsia="Calibri" w:hAnsi="Arial" w:cs="Arial"/>
          <w:color w:val="000000"/>
          <w:sz w:val="16"/>
          <w:szCs w:val="16"/>
          <w:lang w:val="es-ES_tradnl" w:eastAsia="es-ES_tradnl"/>
        </w:rPr>
        <w:t>Mide la liquidez del proponente de manera más estricta que el índice de liquidez, pues no tiene en cuenta su inventario. El inventario es excluido, teniendo en cuenta que es la cuenta menos líquida del activo corriente y no debe ser usada para pagar las obligaciones de corto plazo.</w:t>
      </w:r>
    </w:p>
    <w:p w14:paraId="6B7BDADA" w14:textId="77777777" w:rsidR="00EC4C18" w:rsidRPr="00F16E24" w:rsidRDefault="00EC4C18" w:rsidP="00EC4C18">
      <w:pPr>
        <w:pStyle w:val="Textonotapie"/>
        <w:ind w:firstLine="708"/>
        <w:jc w:val="both"/>
        <w:rPr>
          <w:rFonts w:ascii="Arial" w:eastAsia="Calibri" w:hAnsi="Arial" w:cs="Arial"/>
          <w:color w:val="000000"/>
          <w:sz w:val="16"/>
          <w:szCs w:val="16"/>
          <w:lang w:val="es-ES_tradnl" w:eastAsia="es-ES_tradnl"/>
        </w:rPr>
      </w:pPr>
    </w:p>
  </w:footnote>
  <w:footnote w:id="9">
    <w:p w14:paraId="0987BEC1" w14:textId="77777777" w:rsidR="00EC4C18" w:rsidRPr="00F16E24" w:rsidRDefault="00EC4C18" w:rsidP="00EC4C18">
      <w:pPr>
        <w:pStyle w:val="Textonotapie"/>
        <w:ind w:firstLine="708"/>
        <w:jc w:val="both"/>
        <w:rPr>
          <w:rFonts w:ascii="Arial" w:eastAsia="Calibri" w:hAnsi="Arial" w:cs="Arial"/>
          <w:color w:val="000000"/>
          <w:sz w:val="16"/>
          <w:szCs w:val="16"/>
          <w:lang w:val="es-ES_tradnl" w:eastAsia="es-ES_tradnl"/>
        </w:rPr>
      </w:pPr>
      <w:r w:rsidRPr="00F16E24">
        <w:rPr>
          <w:rFonts w:ascii="Arial" w:eastAsia="Calibri" w:hAnsi="Arial" w:cs="Arial"/>
          <w:color w:val="000000"/>
          <w:vertAlign w:val="superscript"/>
          <w:lang w:val="es-ES_tradnl" w:eastAsia="es-ES_tradnl"/>
        </w:rPr>
        <w:footnoteRef/>
      </w:r>
      <w:r w:rsidRPr="00F16E24">
        <w:rPr>
          <w:rFonts w:ascii="Arial" w:eastAsia="Calibri" w:hAnsi="Arial" w:cs="Arial"/>
          <w:color w:val="000000"/>
          <w:sz w:val="16"/>
          <w:szCs w:val="16"/>
          <w:vertAlign w:val="superscript"/>
          <w:lang w:val="es-ES_tradnl" w:eastAsia="es-ES_tradnl"/>
        </w:rPr>
        <w:t xml:space="preserve"> </w:t>
      </w:r>
      <w:r w:rsidRPr="00F16E24">
        <w:rPr>
          <w:rFonts w:ascii="Arial" w:eastAsia="Calibri" w:hAnsi="Arial" w:cs="Arial"/>
          <w:color w:val="000000"/>
          <w:sz w:val="16"/>
          <w:szCs w:val="16"/>
          <w:lang w:val="es-ES_tradnl" w:eastAsia="es-ES_tradnl"/>
        </w:rPr>
        <w:t>Agencia Nacional de Contratación Pública – Colombia Compra Eficiente, “Manual para determinar y verificar los requisitos habilitantes en los Procesos de Contratación”.</w:t>
      </w:r>
    </w:p>
    <w:p w14:paraId="37ADB8C6" w14:textId="77777777" w:rsidR="00EC4C18" w:rsidRPr="00F16E24" w:rsidRDefault="00EC4C18" w:rsidP="00EC4C18">
      <w:pPr>
        <w:pStyle w:val="Textonotapie"/>
        <w:ind w:firstLine="567"/>
        <w:jc w:val="both"/>
        <w:rPr>
          <w:rFonts w:ascii="Arial" w:hAnsi="Arial" w:cs="Arial"/>
          <w:sz w:val="16"/>
          <w:szCs w:val="16"/>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49537" w14:textId="77777777"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6432" behindDoc="0" locked="0" layoutInCell="1" allowOverlap="1" wp14:anchorId="7F9A5360" wp14:editId="5E7D8BE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5BD4CAA1" w14:textId="77777777" w:rsidR="00515FB5" w:rsidRDefault="00515FB5" w:rsidP="00515FB5">
    <w:pPr>
      <w:pStyle w:val="Encabezado"/>
    </w:pPr>
  </w:p>
  <w:p w14:paraId="0D6E6014" w14:textId="77777777" w:rsidR="00515FB5" w:rsidRPr="00AB7B56" w:rsidRDefault="00515FB5" w:rsidP="00515FB5">
    <w:pPr>
      <w:pStyle w:val="Encabezado"/>
    </w:pPr>
  </w:p>
  <w:p w14:paraId="68E0C024" w14:textId="77777777" w:rsidR="00B30448" w:rsidRPr="00515FB5" w:rsidRDefault="00B30448"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1E06B3"/>
    <w:multiLevelType w:val="multilevel"/>
    <w:tmpl w:val="654EE8CE"/>
    <w:lvl w:ilvl="0">
      <w:start w:val="1"/>
      <w:numFmt w:val="decimal"/>
      <w:lvlText w:val="%1."/>
      <w:lvlJc w:val="left"/>
      <w:pPr>
        <w:ind w:left="347" w:hanging="248"/>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7445982"/>
    <w:multiLevelType w:val="hybridMultilevel"/>
    <w:tmpl w:val="B694C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347A2E"/>
    <w:multiLevelType w:val="hybridMultilevel"/>
    <w:tmpl w:val="08D64D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50159B"/>
    <w:multiLevelType w:val="hybridMultilevel"/>
    <w:tmpl w:val="2B76B7F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0FE91606"/>
    <w:multiLevelType w:val="hybridMultilevel"/>
    <w:tmpl w:val="99EA2E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A304681"/>
    <w:multiLevelType w:val="hybridMultilevel"/>
    <w:tmpl w:val="46405C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CF543C8"/>
    <w:multiLevelType w:val="hybridMultilevel"/>
    <w:tmpl w:val="FFBEA5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E6B5018"/>
    <w:multiLevelType w:val="hybridMultilevel"/>
    <w:tmpl w:val="F59E2E2C"/>
    <w:lvl w:ilvl="0" w:tplc="240A0001">
      <w:start w:val="1"/>
      <w:numFmt w:val="bullet"/>
      <w:lvlText w:val=""/>
      <w:lvlJc w:val="left"/>
      <w:pPr>
        <w:ind w:left="1427" w:hanging="360"/>
      </w:pPr>
      <w:rPr>
        <w:rFonts w:ascii="Symbol" w:hAnsi="Symbol" w:hint="default"/>
      </w:rPr>
    </w:lvl>
    <w:lvl w:ilvl="1" w:tplc="240A0003" w:tentative="1">
      <w:start w:val="1"/>
      <w:numFmt w:val="bullet"/>
      <w:lvlText w:val="o"/>
      <w:lvlJc w:val="left"/>
      <w:pPr>
        <w:ind w:left="2147" w:hanging="360"/>
      </w:pPr>
      <w:rPr>
        <w:rFonts w:ascii="Courier New" w:hAnsi="Courier New" w:cs="Courier New" w:hint="default"/>
      </w:rPr>
    </w:lvl>
    <w:lvl w:ilvl="2" w:tplc="240A0005" w:tentative="1">
      <w:start w:val="1"/>
      <w:numFmt w:val="bullet"/>
      <w:lvlText w:val=""/>
      <w:lvlJc w:val="left"/>
      <w:pPr>
        <w:ind w:left="2867" w:hanging="360"/>
      </w:pPr>
      <w:rPr>
        <w:rFonts w:ascii="Wingdings" w:hAnsi="Wingdings" w:hint="default"/>
      </w:rPr>
    </w:lvl>
    <w:lvl w:ilvl="3" w:tplc="240A0001" w:tentative="1">
      <w:start w:val="1"/>
      <w:numFmt w:val="bullet"/>
      <w:lvlText w:val=""/>
      <w:lvlJc w:val="left"/>
      <w:pPr>
        <w:ind w:left="3587" w:hanging="360"/>
      </w:pPr>
      <w:rPr>
        <w:rFonts w:ascii="Symbol" w:hAnsi="Symbol" w:hint="default"/>
      </w:rPr>
    </w:lvl>
    <w:lvl w:ilvl="4" w:tplc="240A0003" w:tentative="1">
      <w:start w:val="1"/>
      <w:numFmt w:val="bullet"/>
      <w:lvlText w:val="o"/>
      <w:lvlJc w:val="left"/>
      <w:pPr>
        <w:ind w:left="4307" w:hanging="360"/>
      </w:pPr>
      <w:rPr>
        <w:rFonts w:ascii="Courier New" w:hAnsi="Courier New" w:cs="Courier New" w:hint="default"/>
      </w:rPr>
    </w:lvl>
    <w:lvl w:ilvl="5" w:tplc="240A0005" w:tentative="1">
      <w:start w:val="1"/>
      <w:numFmt w:val="bullet"/>
      <w:lvlText w:val=""/>
      <w:lvlJc w:val="left"/>
      <w:pPr>
        <w:ind w:left="5027" w:hanging="360"/>
      </w:pPr>
      <w:rPr>
        <w:rFonts w:ascii="Wingdings" w:hAnsi="Wingdings" w:hint="default"/>
      </w:rPr>
    </w:lvl>
    <w:lvl w:ilvl="6" w:tplc="240A0001" w:tentative="1">
      <w:start w:val="1"/>
      <w:numFmt w:val="bullet"/>
      <w:lvlText w:val=""/>
      <w:lvlJc w:val="left"/>
      <w:pPr>
        <w:ind w:left="5747" w:hanging="360"/>
      </w:pPr>
      <w:rPr>
        <w:rFonts w:ascii="Symbol" w:hAnsi="Symbol" w:hint="default"/>
      </w:rPr>
    </w:lvl>
    <w:lvl w:ilvl="7" w:tplc="240A0003" w:tentative="1">
      <w:start w:val="1"/>
      <w:numFmt w:val="bullet"/>
      <w:lvlText w:val="o"/>
      <w:lvlJc w:val="left"/>
      <w:pPr>
        <w:ind w:left="6467" w:hanging="360"/>
      </w:pPr>
      <w:rPr>
        <w:rFonts w:ascii="Courier New" w:hAnsi="Courier New" w:cs="Courier New" w:hint="default"/>
      </w:rPr>
    </w:lvl>
    <w:lvl w:ilvl="8" w:tplc="240A0005" w:tentative="1">
      <w:start w:val="1"/>
      <w:numFmt w:val="bullet"/>
      <w:lvlText w:val=""/>
      <w:lvlJc w:val="left"/>
      <w:pPr>
        <w:ind w:left="7187" w:hanging="360"/>
      </w:pPr>
      <w:rPr>
        <w:rFonts w:ascii="Wingdings" w:hAnsi="Wingdings" w:hint="default"/>
      </w:rPr>
    </w:lvl>
  </w:abstractNum>
  <w:abstractNum w:abstractNumId="14" w15:restartNumberingAfterBreak="0">
    <w:nsid w:val="453841F3"/>
    <w:multiLevelType w:val="hybridMultilevel"/>
    <w:tmpl w:val="7570D9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16" w15:restartNumberingAfterBreak="0">
    <w:nsid w:val="522C350D"/>
    <w:multiLevelType w:val="hybridMultilevel"/>
    <w:tmpl w:val="89B6917E"/>
    <w:lvl w:ilvl="0" w:tplc="A7B2FCBE">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7" w15:restartNumberingAfterBreak="0">
    <w:nsid w:val="540506B6"/>
    <w:multiLevelType w:val="hybridMultilevel"/>
    <w:tmpl w:val="974E04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04178A9"/>
    <w:multiLevelType w:val="hybridMultilevel"/>
    <w:tmpl w:val="7486A3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44D1A50"/>
    <w:multiLevelType w:val="hybridMultilevel"/>
    <w:tmpl w:val="4E0A28E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6D1751AC"/>
    <w:multiLevelType w:val="hybridMultilevel"/>
    <w:tmpl w:val="000ADD0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1" w15:restartNumberingAfterBreak="0">
    <w:nsid w:val="71994FE8"/>
    <w:multiLevelType w:val="hybridMultilevel"/>
    <w:tmpl w:val="59A0D3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90670214">
    <w:abstractNumId w:val="10"/>
  </w:num>
  <w:num w:numId="2" w16cid:durableId="4285022">
    <w:abstractNumId w:val="2"/>
  </w:num>
  <w:num w:numId="3" w16cid:durableId="881983949">
    <w:abstractNumId w:val="7"/>
  </w:num>
  <w:num w:numId="4" w16cid:durableId="341274352">
    <w:abstractNumId w:val="0"/>
  </w:num>
  <w:num w:numId="5" w16cid:durableId="1887524674">
    <w:abstractNumId w:val="15"/>
  </w:num>
  <w:num w:numId="6" w16cid:durableId="1082990391">
    <w:abstractNumId w:val="1"/>
  </w:num>
  <w:num w:numId="7" w16cid:durableId="1492209491">
    <w:abstractNumId w:val="9"/>
  </w:num>
  <w:num w:numId="8" w16cid:durableId="679089576">
    <w:abstractNumId w:val="11"/>
  </w:num>
  <w:num w:numId="9" w16cid:durableId="2123767494">
    <w:abstractNumId w:val="14"/>
  </w:num>
  <w:num w:numId="10" w16cid:durableId="1391228846">
    <w:abstractNumId w:val="8"/>
  </w:num>
  <w:num w:numId="11" w16cid:durableId="15233557">
    <w:abstractNumId w:val="19"/>
  </w:num>
  <w:num w:numId="12" w16cid:durableId="354035714">
    <w:abstractNumId w:val="3"/>
  </w:num>
  <w:num w:numId="13" w16cid:durableId="101463356">
    <w:abstractNumId w:val="5"/>
  </w:num>
  <w:num w:numId="14" w16cid:durableId="190606430">
    <w:abstractNumId w:val="4"/>
  </w:num>
  <w:num w:numId="15" w16cid:durableId="1150177500">
    <w:abstractNumId w:val="12"/>
  </w:num>
  <w:num w:numId="16" w16cid:durableId="1117799111">
    <w:abstractNumId w:val="6"/>
  </w:num>
  <w:num w:numId="17" w16cid:durableId="2146727359">
    <w:abstractNumId w:val="20"/>
  </w:num>
  <w:num w:numId="18" w16cid:durableId="1016154943">
    <w:abstractNumId w:val="21"/>
  </w:num>
  <w:num w:numId="19" w16cid:durableId="2097506960">
    <w:abstractNumId w:val="18"/>
  </w:num>
  <w:num w:numId="20" w16cid:durableId="475490479">
    <w:abstractNumId w:val="13"/>
  </w:num>
  <w:num w:numId="21" w16cid:durableId="1977490869">
    <w:abstractNumId w:val="17"/>
  </w:num>
  <w:num w:numId="22" w16cid:durableId="1586632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37AE"/>
    <w:rsid w:val="00005BB0"/>
    <w:rsid w:val="0001025F"/>
    <w:rsid w:val="0001222D"/>
    <w:rsid w:val="000135EB"/>
    <w:rsid w:val="00015D2B"/>
    <w:rsid w:val="00030504"/>
    <w:rsid w:val="00031584"/>
    <w:rsid w:val="00032A0E"/>
    <w:rsid w:val="00037347"/>
    <w:rsid w:val="000442CC"/>
    <w:rsid w:val="000556D4"/>
    <w:rsid w:val="000716AB"/>
    <w:rsid w:val="00074178"/>
    <w:rsid w:val="00082E4C"/>
    <w:rsid w:val="000849D5"/>
    <w:rsid w:val="0008528F"/>
    <w:rsid w:val="000A6E0C"/>
    <w:rsid w:val="000A7A56"/>
    <w:rsid w:val="000B1FF7"/>
    <w:rsid w:val="000B2513"/>
    <w:rsid w:val="000B4024"/>
    <w:rsid w:val="000C3C51"/>
    <w:rsid w:val="000C4962"/>
    <w:rsid w:val="000C7262"/>
    <w:rsid w:val="000D2A7F"/>
    <w:rsid w:val="000D4FCE"/>
    <w:rsid w:val="0011037E"/>
    <w:rsid w:val="0011160B"/>
    <w:rsid w:val="001363C7"/>
    <w:rsid w:val="00141AC5"/>
    <w:rsid w:val="00146B11"/>
    <w:rsid w:val="00147A04"/>
    <w:rsid w:val="0015476D"/>
    <w:rsid w:val="00161E13"/>
    <w:rsid w:val="00164AE0"/>
    <w:rsid w:val="00165E83"/>
    <w:rsid w:val="00166CD7"/>
    <w:rsid w:val="0017120C"/>
    <w:rsid w:val="00172F3A"/>
    <w:rsid w:val="001902B6"/>
    <w:rsid w:val="0019532A"/>
    <w:rsid w:val="0019670E"/>
    <w:rsid w:val="00197205"/>
    <w:rsid w:val="001A1BFE"/>
    <w:rsid w:val="001A5DD4"/>
    <w:rsid w:val="001A67E9"/>
    <w:rsid w:val="001B143B"/>
    <w:rsid w:val="001B21CA"/>
    <w:rsid w:val="001B275C"/>
    <w:rsid w:val="001C04FC"/>
    <w:rsid w:val="001C25A3"/>
    <w:rsid w:val="001C5D03"/>
    <w:rsid w:val="001C7771"/>
    <w:rsid w:val="001D62FF"/>
    <w:rsid w:val="001F3F48"/>
    <w:rsid w:val="001F48DA"/>
    <w:rsid w:val="002000AA"/>
    <w:rsid w:val="00204109"/>
    <w:rsid w:val="00211E6E"/>
    <w:rsid w:val="00212A46"/>
    <w:rsid w:val="0021401D"/>
    <w:rsid w:val="002146B8"/>
    <w:rsid w:val="00215516"/>
    <w:rsid w:val="002527C2"/>
    <w:rsid w:val="00270443"/>
    <w:rsid w:val="00270EE2"/>
    <w:rsid w:val="00272972"/>
    <w:rsid w:val="00286161"/>
    <w:rsid w:val="00286491"/>
    <w:rsid w:val="002A0F8D"/>
    <w:rsid w:val="002B6E44"/>
    <w:rsid w:val="002E1DB5"/>
    <w:rsid w:val="002F1766"/>
    <w:rsid w:val="002F6CCB"/>
    <w:rsid w:val="0030461E"/>
    <w:rsid w:val="0031699C"/>
    <w:rsid w:val="0032756A"/>
    <w:rsid w:val="00334EF8"/>
    <w:rsid w:val="00336408"/>
    <w:rsid w:val="00340DFB"/>
    <w:rsid w:val="0034404F"/>
    <w:rsid w:val="00356980"/>
    <w:rsid w:val="00367357"/>
    <w:rsid w:val="00367462"/>
    <w:rsid w:val="003675AB"/>
    <w:rsid w:val="00371ECA"/>
    <w:rsid w:val="00372748"/>
    <w:rsid w:val="0037332A"/>
    <w:rsid w:val="0038151A"/>
    <w:rsid w:val="0039082A"/>
    <w:rsid w:val="00390C21"/>
    <w:rsid w:val="003A37BD"/>
    <w:rsid w:val="003A5B4D"/>
    <w:rsid w:val="003B257E"/>
    <w:rsid w:val="003B6D94"/>
    <w:rsid w:val="003C4C96"/>
    <w:rsid w:val="003C55E0"/>
    <w:rsid w:val="003F519B"/>
    <w:rsid w:val="0040544F"/>
    <w:rsid w:val="00406A19"/>
    <w:rsid w:val="0041222D"/>
    <w:rsid w:val="0041483E"/>
    <w:rsid w:val="00415369"/>
    <w:rsid w:val="00430492"/>
    <w:rsid w:val="00450BE7"/>
    <w:rsid w:val="004656D7"/>
    <w:rsid w:val="0046741E"/>
    <w:rsid w:val="00472CC6"/>
    <w:rsid w:val="0048026E"/>
    <w:rsid w:val="004807A9"/>
    <w:rsid w:val="004813EE"/>
    <w:rsid w:val="00493278"/>
    <w:rsid w:val="004943D9"/>
    <w:rsid w:val="00495DB3"/>
    <w:rsid w:val="004A0E7B"/>
    <w:rsid w:val="004A3498"/>
    <w:rsid w:val="004B0C45"/>
    <w:rsid w:val="004C0AB2"/>
    <w:rsid w:val="004C1619"/>
    <w:rsid w:val="004C1A26"/>
    <w:rsid w:val="004C1CC9"/>
    <w:rsid w:val="004C3755"/>
    <w:rsid w:val="004C4485"/>
    <w:rsid w:val="004D11AF"/>
    <w:rsid w:val="004D4593"/>
    <w:rsid w:val="00500DFA"/>
    <w:rsid w:val="005019AA"/>
    <w:rsid w:val="005021BB"/>
    <w:rsid w:val="005139E7"/>
    <w:rsid w:val="005147DA"/>
    <w:rsid w:val="00515FB5"/>
    <w:rsid w:val="0052365C"/>
    <w:rsid w:val="005271EB"/>
    <w:rsid w:val="0053380B"/>
    <w:rsid w:val="005426DB"/>
    <w:rsid w:val="00543572"/>
    <w:rsid w:val="00545489"/>
    <w:rsid w:val="0055082B"/>
    <w:rsid w:val="00552503"/>
    <w:rsid w:val="00552B57"/>
    <w:rsid w:val="00557DA1"/>
    <w:rsid w:val="00562FFA"/>
    <w:rsid w:val="0056322C"/>
    <w:rsid w:val="005750D4"/>
    <w:rsid w:val="0058743A"/>
    <w:rsid w:val="005A1C97"/>
    <w:rsid w:val="005A3696"/>
    <w:rsid w:val="005A4DB0"/>
    <w:rsid w:val="005A7B8E"/>
    <w:rsid w:val="005B012B"/>
    <w:rsid w:val="005B0C87"/>
    <w:rsid w:val="005B5EC0"/>
    <w:rsid w:val="005D23F6"/>
    <w:rsid w:val="005D2FA8"/>
    <w:rsid w:val="005E2281"/>
    <w:rsid w:val="005E667C"/>
    <w:rsid w:val="005F077C"/>
    <w:rsid w:val="005F63D0"/>
    <w:rsid w:val="005F7973"/>
    <w:rsid w:val="00600948"/>
    <w:rsid w:val="00605783"/>
    <w:rsid w:val="0061690E"/>
    <w:rsid w:val="00627361"/>
    <w:rsid w:val="0063017E"/>
    <w:rsid w:val="00631B28"/>
    <w:rsid w:val="00645B90"/>
    <w:rsid w:val="00650991"/>
    <w:rsid w:val="006511D7"/>
    <w:rsid w:val="00663D75"/>
    <w:rsid w:val="00670AEF"/>
    <w:rsid w:val="00675678"/>
    <w:rsid w:val="00677012"/>
    <w:rsid w:val="00680B4E"/>
    <w:rsid w:val="006825B4"/>
    <w:rsid w:val="00682AF2"/>
    <w:rsid w:val="00685798"/>
    <w:rsid w:val="00685FFD"/>
    <w:rsid w:val="006864DF"/>
    <w:rsid w:val="00687F9B"/>
    <w:rsid w:val="006A36EE"/>
    <w:rsid w:val="006A3C8A"/>
    <w:rsid w:val="006A7552"/>
    <w:rsid w:val="006B5953"/>
    <w:rsid w:val="006B76D4"/>
    <w:rsid w:val="006B7A81"/>
    <w:rsid w:val="006C4BAC"/>
    <w:rsid w:val="006C52F3"/>
    <w:rsid w:val="006E1D19"/>
    <w:rsid w:val="006E7F37"/>
    <w:rsid w:val="006F3B81"/>
    <w:rsid w:val="006F4F79"/>
    <w:rsid w:val="00705B37"/>
    <w:rsid w:val="00711FD9"/>
    <w:rsid w:val="0071249B"/>
    <w:rsid w:val="00722257"/>
    <w:rsid w:val="0072628E"/>
    <w:rsid w:val="00735062"/>
    <w:rsid w:val="00740CB9"/>
    <w:rsid w:val="00746BA5"/>
    <w:rsid w:val="00751D23"/>
    <w:rsid w:val="00770577"/>
    <w:rsid w:val="00777666"/>
    <w:rsid w:val="00780EE2"/>
    <w:rsid w:val="0078159B"/>
    <w:rsid w:val="00782E10"/>
    <w:rsid w:val="0078706B"/>
    <w:rsid w:val="00790836"/>
    <w:rsid w:val="00797131"/>
    <w:rsid w:val="007A3C1D"/>
    <w:rsid w:val="007A7364"/>
    <w:rsid w:val="007B285D"/>
    <w:rsid w:val="007B465D"/>
    <w:rsid w:val="007C6BC6"/>
    <w:rsid w:val="007F5420"/>
    <w:rsid w:val="00807D79"/>
    <w:rsid w:val="00813634"/>
    <w:rsid w:val="00822821"/>
    <w:rsid w:val="00831C29"/>
    <w:rsid w:val="008431EF"/>
    <w:rsid w:val="008468E0"/>
    <w:rsid w:val="00871B59"/>
    <w:rsid w:val="00874839"/>
    <w:rsid w:val="00877D03"/>
    <w:rsid w:val="00877E96"/>
    <w:rsid w:val="008806CA"/>
    <w:rsid w:val="008815E5"/>
    <w:rsid w:val="00887B37"/>
    <w:rsid w:val="008909B9"/>
    <w:rsid w:val="00891DFC"/>
    <w:rsid w:val="008A59E6"/>
    <w:rsid w:val="008B12B4"/>
    <w:rsid w:val="008B7914"/>
    <w:rsid w:val="008C5D2A"/>
    <w:rsid w:val="008C7AF4"/>
    <w:rsid w:val="008D1B5B"/>
    <w:rsid w:val="008D529F"/>
    <w:rsid w:val="008F5CC8"/>
    <w:rsid w:val="009061B8"/>
    <w:rsid w:val="0091008B"/>
    <w:rsid w:val="00911EA2"/>
    <w:rsid w:val="00916160"/>
    <w:rsid w:val="00916C7D"/>
    <w:rsid w:val="0092575D"/>
    <w:rsid w:val="009341DA"/>
    <w:rsid w:val="009430F9"/>
    <w:rsid w:val="009442E8"/>
    <w:rsid w:val="00946BD0"/>
    <w:rsid w:val="0095426C"/>
    <w:rsid w:val="00970087"/>
    <w:rsid w:val="00971074"/>
    <w:rsid w:val="00995D86"/>
    <w:rsid w:val="009A5453"/>
    <w:rsid w:val="009B4D94"/>
    <w:rsid w:val="009C2871"/>
    <w:rsid w:val="009D3C33"/>
    <w:rsid w:val="009D50FB"/>
    <w:rsid w:val="009D7739"/>
    <w:rsid w:val="009D7F3A"/>
    <w:rsid w:val="009E35E3"/>
    <w:rsid w:val="009E4885"/>
    <w:rsid w:val="009E715B"/>
    <w:rsid w:val="009F2209"/>
    <w:rsid w:val="00A07DB6"/>
    <w:rsid w:val="00A10A73"/>
    <w:rsid w:val="00A170B3"/>
    <w:rsid w:val="00A223D5"/>
    <w:rsid w:val="00A37D1C"/>
    <w:rsid w:val="00A5453E"/>
    <w:rsid w:val="00A56F6C"/>
    <w:rsid w:val="00A76C8C"/>
    <w:rsid w:val="00A83E50"/>
    <w:rsid w:val="00A85F30"/>
    <w:rsid w:val="00A9099E"/>
    <w:rsid w:val="00A91969"/>
    <w:rsid w:val="00A91FB7"/>
    <w:rsid w:val="00A9298F"/>
    <w:rsid w:val="00AA0351"/>
    <w:rsid w:val="00AA1CB7"/>
    <w:rsid w:val="00AA5F4A"/>
    <w:rsid w:val="00AB025E"/>
    <w:rsid w:val="00AB1984"/>
    <w:rsid w:val="00AB52B1"/>
    <w:rsid w:val="00AC4CB3"/>
    <w:rsid w:val="00AC780D"/>
    <w:rsid w:val="00AD036B"/>
    <w:rsid w:val="00AD1996"/>
    <w:rsid w:val="00AD4099"/>
    <w:rsid w:val="00AD4901"/>
    <w:rsid w:val="00AF1F30"/>
    <w:rsid w:val="00B02FE0"/>
    <w:rsid w:val="00B03FDE"/>
    <w:rsid w:val="00B057B6"/>
    <w:rsid w:val="00B30448"/>
    <w:rsid w:val="00B34786"/>
    <w:rsid w:val="00B400EC"/>
    <w:rsid w:val="00B40162"/>
    <w:rsid w:val="00B41ACE"/>
    <w:rsid w:val="00B50156"/>
    <w:rsid w:val="00B518AD"/>
    <w:rsid w:val="00B60A96"/>
    <w:rsid w:val="00B678EC"/>
    <w:rsid w:val="00B76C94"/>
    <w:rsid w:val="00B772D0"/>
    <w:rsid w:val="00B836EA"/>
    <w:rsid w:val="00B84C05"/>
    <w:rsid w:val="00B86708"/>
    <w:rsid w:val="00B87A25"/>
    <w:rsid w:val="00B91B81"/>
    <w:rsid w:val="00B94B92"/>
    <w:rsid w:val="00B97135"/>
    <w:rsid w:val="00BB3072"/>
    <w:rsid w:val="00BC7632"/>
    <w:rsid w:val="00BD48A9"/>
    <w:rsid w:val="00BD630F"/>
    <w:rsid w:val="00BD7EC6"/>
    <w:rsid w:val="00BE73FA"/>
    <w:rsid w:val="00BF6B4B"/>
    <w:rsid w:val="00BF755C"/>
    <w:rsid w:val="00C0511C"/>
    <w:rsid w:val="00C20ACF"/>
    <w:rsid w:val="00C22307"/>
    <w:rsid w:val="00C23469"/>
    <w:rsid w:val="00C30C62"/>
    <w:rsid w:val="00C371DF"/>
    <w:rsid w:val="00C42055"/>
    <w:rsid w:val="00C44B4C"/>
    <w:rsid w:val="00C46734"/>
    <w:rsid w:val="00C47A86"/>
    <w:rsid w:val="00C53220"/>
    <w:rsid w:val="00C76707"/>
    <w:rsid w:val="00CA3347"/>
    <w:rsid w:val="00CB7386"/>
    <w:rsid w:val="00CC299A"/>
    <w:rsid w:val="00CD03E3"/>
    <w:rsid w:val="00CE4DAB"/>
    <w:rsid w:val="00CE6BDA"/>
    <w:rsid w:val="00CE7288"/>
    <w:rsid w:val="00D03DBE"/>
    <w:rsid w:val="00D072C0"/>
    <w:rsid w:val="00D34C82"/>
    <w:rsid w:val="00D3757A"/>
    <w:rsid w:val="00D44D04"/>
    <w:rsid w:val="00D504A9"/>
    <w:rsid w:val="00D5206D"/>
    <w:rsid w:val="00D52ECE"/>
    <w:rsid w:val="00D7177D"/>
    <w:rsid w:val="00D81311"/>
    <w:rsid w:val="00D97115"/>
    <w:rsid w:val="00DB201E"/>
    <w:rsid w:val="00DC0E68"/>
    <w:rsid w:val="00DD25ED"/>
    <w:rsid w:val="00DE0D6E"/>
    <w:rsid w:val="00E051A5"/>
    <w:rsid w:val="00E052DF"/>
    <w:rsid w:val="00E07CDA"/>
    <w:rsid w:val="00E1610C"/>
    <w:rsid w:val="00E16D73"/>
    <w:rsid w:val="00E23E9E"/>
    <w:rsid w:val="00E25722"/>
    <w:rsid w:val="00E27F0A"/>
    <w:rsid w:val="00E4231E"/>
    <w:rsid w:val="00E4302C"/>
    <w:rsid w:val="00E43EBA"/>
    <w:rsid w:val="00E44AC7"/>
    <w:rsid w:val="00E45F4B"/>
    <w:rsid w:val="00E60A16"/>
    <w:rsid w:val="00E82B6E"/>
    <w:rsid w:val="00E94258"/>
    <w:rsid w:val="00E96C18"/>
    <w:rsid w:val="00EA2E61"/>
    <w:rsid w:val="00EA334D"/>
    <w:rsid w:val="00EA7D7F"/>
    <w:rsid w:val="00EB02F4"/>
    <w:rsid w:val="00EB0513"/>
    <w:rsid w:val="00EB2FA2"/>
    <w:rsid w:val="00EB769A"/>
    <w:rsid w:val="00EC3A35"/>
    <w:rsid w:val="00EC4C18"/>
    <w:rsid w:val="00ED053D"/>
    <w:rsid w:val="00ED33DD"/>
    <w:rsid w:val="00EE17F2"/>
    <w:rsid w:val="00EE3138"/>
    <w:rsid w:val="00EF2AC7"/>
    <w:rsid w:val="00EF400A"/>
    <w:rsid w:val="00EF6BE4"/>
    <w:rsid w:val="00EF6E5D"/>
    <w:rsid w:val="00F04CE9"/>
    <w:rsid w:val="00F07764"/>
    <w:rsid w:val="00F124AB"/>
    <w:rsid w:val="00F12517"/>
    <w:rsid w:val="00F131DD"/>
    <w:rsid w:val="00F16AB7"/>
    <w:rsid w:val="00F16BA1"/>
    <w:rsid w:val="00F16E24"/>
    <w:rsid w:val="00F24435"/>
    <w:rsid w:val="00F30C0F"/>
    <w:rsid w:val="00F314E8"/>
    <w:rsid w:val="00F323A2"/>
    <w:rsid w:val="00F33B57"/>
    <w:rsid w:val="00F33D5C"/>
    <w:rsid w:val="00F34E90"/>
    <w:rsid w:val="00F356D6"/>
    <w:rsid w:val="00F40419"/>
    <w:rsid w:val="00F46F22"/>
    <w:rsid w:val="00F53BE2"/>
    <w:rsid w:val="00F55684"/>
    <w:rsid w:val="00F64D5A"/>
    <w:rsid w:val="00F709CD"/>
    <w:rsid w:val="00F906F4"/>
    <w:rsid w:val="00F919E7"/>
    <w:rsid w:val="00F95264"/>
    <w:rsid w:val="00FA0716"/>
    <w:rsid w:val="00FB05D1"/>
    <w:rsid w:val="00FB4629"/>
    <w:rsid w:val="00FB657A"/>
    <w:rsid w:val="00FB6FB1"/>
    <w:rsid w:val="00FB7063"/>
    <w:rsid w:val="00FC7056"/>
    <w:rsid w:val="00FE1A00"/>
    <w:rsid w:val="00FE33B4"/>
    <w:rsid w:val="00FE4471"/>
    <w:rsid w:val="024D7E2C"/>
    <w:rsid w:val="0D2EB883"/>
    <w:rsid w:val="0D8163B6"/>
    <w:rsid w:val="13A69650"/>
    <w:rsid w:val="1BB32F19"/>
    <w:rsid w:val="1F2C3AF5"/>
    <w:rsid w:val="1FF4886A"/>
    <w:rsid w:val="22D2584A"/>
    <w:rsid w:val="28751A95"/>
    <w:rsid w:val="29FA8189"/>
    <w:rsid w:val="2C00A012"/>
    <w:rsid w:val="304C0AD5"/>
    <w:rsid w:val="330CE3FD"/>
    <w:rsid w:val="389994B3"/>
    <w:rsid w:val="3B30A011"/>
    <w:rsid w:val="3B93C128"/>
    <w:rsid w:val="3CFBE104"/>
    <w:rsid w:val="4F689A9F"/>
    <w:rsid w:val="510454D8"/>
    <w:rsid w:val="521E12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99"/>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table" w:customStyle="1" w:styleId="TableNormal1">
    <w:name w:val="Table Normal1"/>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79817">
      <w:bodyDiv w:val="1"/>
      <w:marLeft w:val="0"/>
      <w:marRight w:val="0"/>
      <w:marTop w:val="0"/>
      <w:marBottom w:val="0"/>
      <w:divBdr>
        <w:top w:val="none" w:sz="0" w:space="0" w:color="auto"/>
        <w:left w:val="none" w:sz="0" w:space="0" w:color="auto"/>
        <w:bottom w:val="none" w:sz="0" w:space="0" w:color="auto"/>
        <w:right w:val="none" w:sz="0" w:space="0" w:color="auto"/>
      </w:divBdr>
      <w:divsChild>
        <w:div w:id="2065254455">
          <w:marLeft w:val="0"/>
          <w:marRight w:val="0"/>
          <w:marTop w:val="0"/>
          <w:marBottom w:val="0"/>
          <w:divBdr>
            <w:top w:val="none" w:sz="0" w:space="0" w:color="auto"/>
            <w:left w:val="none" w:sz="0" w:space="0" w:color="auto"/>
            <w:bottom w:val="none" w:sz="0" w:space="0" w:color="auto"/>
            <w:right w:val="none" w:sz="0" w:space="0" w:color="auto"/>
          </w:divBdr>
        </w:div>
      </w:divsChild>
    </w:div>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431896965">
      <w:bodyDiv w:val="1"/>
      <w:marLeft w:val="0"/>
      <w:marRight w:val="0"/>
      <w:marTop w:val="0"/>
      <w:marBottom w:val="0"/>
      <w:divBdr>
        <w:top w:val="none" w:sz="0" w:space="0" w:color="auto"/>
        <w:left w:val="none" w:sz="0" w:space="0" w:color="auto"/>
        <w:bottom w:val="none" w:sz="0" w:space="0" w:color="auto"/>
        <w:right w:val="none" w:sz="0" w:space="0" w:color="auto"/>
      </w:divBdr>
      <w:divsChild>
        <w:div w:id="287706397">
          <w:marLeft w:val="0"/>
          <w:marRight w:val="0"/>
          <w:marTop w:val="0"/>
          <w:marBottom w:val="0"/>
          <w:divBdr>
            <w:top w:val="none" w:sz="0" w:space="0" w:color="auto"/>
            <w:left w:val="none" w:sz="0" w:space="0" w:color="auto"/>
            <w:bottom w:val="none" w:sz="0" w:space="0" w:color="auto"/>
            <w:right w:val="none" w:sz="0" w:space="0" w:color="auto"/>
          </w:divBdr>
        </w:div>
      </w:divsChild>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 w:id="1828552474">
      <w:bodyDiv w:val="1"/>
      <w:marLeft w:val="0"/>
      <w:marRight w:val="0"/>
      <w:marTop w:val="0"/>
      <w:marBottom w:val="0"/>
      <w:divBdr>
        <w:top w:val="none" w:sz="0" w:space="0" w:color="auto"/>
        <w:left w:val="none" w:sz="0" w:space="0" w:color="auto"/>
        <w:bottom w:val="none" w:sz="0" w:space="0" w:color="auto"/>
        <w:right w:val="none" w:sz="0" w:space="0" w:color="auto"/>
      </w:divBdr>
      <w:divsChild>
        <w:div w:id="12057567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providencias-consejo-de-estad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sites%2Fcce_public%2Ffiles%2Ffiles_2020%2Fboletin_de_realtoria_iii.pdf&amp;data=05%7C02%7Cdiana.blanco%40colombiacompra.gov.co%7C5aad36a736844ec87b2108dcc1fa4639%7C7b09041e245149d08cb179d5e3d8c1be%7C0%7C0%7C638598527917605093%7CUnknown%7CTWFpbGZsb3d8eyJWIjoiMC4wLjAwMDAiLCJQIjoiV2luMzIiLCJBTiI6Ik1haWwiLCJXVCI6Mn0%3D%7C0%7C%7C%7C&amp;sdata=GC1x4nLNGPX5zoV2M4K11reL8XIUFpjc0LcVId%2FHtgY%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tricia.valencia@correo.policia.gov.co" TargetMode="External"/><Relationship Id="rId5" Type="http://schemas.openxmlformats.org/officeDocument/2006/relationships/numbering" Target="numbering.xml"/><Relationship Id="rId15" Type="http://schemas.openxmlformats.org/officeDocument/2006/relationships/hyperlink" Target="https://nam02.safelinks.protection.outlook.com/?url=https%3A%2F%2Frelatoria.colombiacompra.gov.co%2F&amp;data=05%7C02%7Cdiana.blanco%40colombiacompra.gov.co%7C5aad36a736844ec87b2108dcc1fa4639%7C7b09041e245149d08cb179d5e3d8c1be%7C0%7C0%7C638598527917590308%7CUnknown%7CTWFpbGZsb3d8eyJWIjoiMC4wLjAwMDAiLCJQIjoiV2luMzIiLCJBTiI6Ik1haWwiLCJXVCI6Mn0%3D%7C0%7C%7C%7C&amp;sdata=20bTO%2BV9qR58r83wa63pBfbKVVpQa4CxfO3WRNMrKeM%3D&amp;reserved=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manuales-guias-y-pliegos-tipo/manuales-y-guia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documentos/cce-eicp-gi-18._gees_v.2_2.pdf" TargetMode="External"/><Relationship Id="rId1" Type="http://schemas.openxmlformats.org/officeDocument/2006/relationships/hyperlink" Target="https://www.colombiacompra.gov.co/sites/cce_public/files/cce_documents/cce_manual_requisitos_habilitant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2.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customXml/itemProps3.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3458</Words>
  <Characters>19023</Characters>
  <Application>Microsoft Office Word</Application>
  <DocSecurity>0</DocSecurity>
  <Lines>158</Lines>
  <Paragraphs>44</Paragraphs>
  <ScaleCrop>false</ScaleCrop>
  <Company/>
  <LinksUpToDate>false</LinksUpToDate>
  <CharactersWithSpaces>22437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Diana Carolina Blanco Rodriguez</cp:lastModifiedBy>
  <cp:revision>5</cp:revision>
  <dcterms:created xsi:type="dcterms:W3CDTF">2024-09-19T20:36:00Z</dcterms:created>
  <dcterms:modified xsi:type="dcterms:W3CDTF">2024-10-31T02:50:00Z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