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62EB8" w14:textId="77777777" w:rsidR="00FC3EC1" w:rsidRPr="006649D6" w:rsidRDefault="00FC3EC1" w:rsidP="00FC3EC1">
      <w:pPr>
        <w:tabs>
          <w:tab w:val="left" w:pos="0"/>
        </w:tabs>
        <w:spacing w:after="0" w:line="240" w:lineRule="auto"/>
        <w:contextualSpacing/>
        <w:jc w:val="both"/>
        <w:rPr>
          <w:rFonts w:ascii="Verdana" w:eastAsia="Calibri" w:hAnsi="Verdana" w:cs="Arial"/>
          <w:b/>
          <w:bCs/>
          <w:lang w:val="es-ES_tradnl"/>
        </w:rPr>
      </w:pPr>
      <w:bookmarkStart w:id="0" w:name="_Hlk143780582"/>
      <w:r w:rsidRPr="006649D6">
        <w:rPr>
          <w:rFonts w:ascii="Verdana" w:eastAsia="Calibri" w:hAnsi="Verdana" w:cs="Arial"/>
          <w:b/>
          <w:bCs/>
          <w:lang w:val="es-ES_tradnl"/>
        </w:rPr>
        <w:t>DECRETO 680 DE 2021 – Regla de origen – Criterios – Identificación – Bienes nacionales relevantes</w:t>
      </w:r>
    </w:p>
    <w:p w14:paraId="10AB1F64" w14:textId="77777777" w:rsidR="00FC3EC1" w:rsidRPr="006649D6" w:rsidRDefault="00FC3EC1" w:rsidP="00FC3EC1">
      <w:pPr>
        <w:tabs>
          <w:tab w:val="left" w:pos="0"/>
        </w:tabs>
        <w:spacing w:after="0" w:line="240" w:lineRule="auto"/>
        <w:contextualSpacing/>
        <w:jc w:val="both"/>
        <w:rPr>
          <w:rFonts w:ascii="Verdana" w:eastAsia="Calibri" w:hAnsi="Verdana" w:cs="Arial"/>
          <w:b/>
          <w:bCs/>
          <w:sz w:val="20"/>
          <w:szCs w:val="20"/>
          <w:lang w:val="es-ES_tradnl"/>
        </w:rPr>
      </w:pPr>
    </w:p>
    <w:p w14:paraId="0FDFEAF1" w14:textId="77777777" w:rsidR="00FC3EC1" w:rsidRPr="006649D6" w:rsidRDefault="00FC3EC1" w:rsidP="00FC3EC1">
      <w:pPr>
        <w:tabs>
          <w:tab w:val="left" w:pos="0"/>
        </w:tabs>
        <w:spacing w:after="0" w:line="240" w:lineRule="auto"/>
        <w:contextualSpacing/>
        <w:jc w:val="both"/>
        <w:rPr>
          <w:rFonts w:ascii="Verdana" w:eastAsia="Calibri" w:hAnsi="Verdana" w:cs="Arial"/>
          <w:bCs/>
          <w:sz w:val="20"/>
          <w:szCs w:val="20"/>
          <w:lang w:val="es-ES_tradnl"/>
        </w:rPr>
      </w:pPr>
      <w:r w:rsidRPr="006649D6">
        <w:rPr>
          <w:rFonts w:ascii="Verdana" w:eastAsia="Calibri" w:hAnsi="Verdana" w:cs="Arial"/>
          <w:bCs/>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además de toda aquella información adicional con la que cuente la entidad estatal recaudada en la etapa de planeación del Proceso de Contratación”, </w:t>
      </w:r>
      <w:proofErr w:type="spellStart"/>
      <w:r w:rsidRPr="006649D6">
        <w:rPr>
          <w:rFonts w:ascii="Verdana" w:eastAsia="Calibri" w:hAnsi="Verdana" w:cs="Arial"/>
          <w:bCs/>
          <w:sz w:val="20"/>
          <w:szCs w:val="20"/>
          <w:lang w:val="es-ES_tradnl"/>
        </w:rPr>
        <w:t>ii</w:t>
      </w:r>
      <w:proofErr w:type="spellEnd"/>
      <w:r w:rsidRPr="006649D6">
        <w:rPr>
          <w:rFonts w:ascii="Verdana" w:eastAsia="Calibri" w:hAnsi="Verdana" w:cs="Arial"/>
          <w:bCs/>
          <w:sz w:val="20"/>
          <w:szCs w:val="20"/>
          <w:lang w:val="es-ES_tradnl"/>
        </w:rPr>
        <w:t xml:space="preserve">) el porcentaje de participación de los bienes en el presupuesto del Proceso de Contratación y </w:t>
      </w:r>
      <w:proofErr w:type="spellStart"/>
      <w:r w:rsidRPr="006649D6">
        <w:rPr>
          <w:rFonts w:ascii="Verdana" w:eastAsia="Calibri" w:hAnsi="Verdana" w:cs="Arial"/>
          <w:bCs/>
          <w:sz w:val="20"/>
          <w:szCs w:val="20"/>
          <w:lang w:val="es-ES_tradnl"/>
        </w:rPr>
        <w:t>iii</w:t>
      </w:r>
      <w:proofErr w:type="spellEnd"/>
      <w:r w:rsidRPr="006649D6">
        <w:rPr>
          <w:rFonts w:ascii="Verdana" w:eastAsia="Calibri" w:hAnsi="Verdana" w:cs="Arial"/>
          <w:bCs/>
          <w:sz w:val="20"/>
          <w:szCs w:val="20"/>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1C44C817" w14:textId="77777777" w:rsidR="00FC3EC1" w:rsidRPr="006649D6" w:rsidRDefault="00FC3EC1" w:rsidP="00FC3EC1">
      <w:pPr>
        <w:tabs>
          <w:tab w:val="left" w:pos="0"/>
        </w:tabs>
        <w:spacing w:after="0" w:line="240" w:lineRule="auto"/>
        <w:contextualSpacing/>
        <w:jc w:val="both"/>
        <w:rPr>
          <w:rFonts w:ascii="Verdana" w:eastAsia="Calibri" w:hAnsi="Verdana" w:cs="Arial"/>
          <w:bCs/>
          <w:sz w:val="20"/>
          <w:szCs w:val="20"/>
          <w:lang w:val="es-ES_tradnl"/>
        </w:rPr>
      </w:pPr>
    </w:p>
    <w:p w14:paraId="15BCD819" w14:textId="3B3D6FD7" w:rsidR="00FC3EC1" w:rsidRPr="006649D6" w:rsidRDefault="00FC3EC1" w:rsidP="00FC3EC1">
      <w:pPr>
        <w:tabs>
          <w:tab w:val="left" w:pos="0"/>
        </w:tabs>
        <w:spacing w:after="0" w:line="240" w:lineRule="auto"/>
        <w:contextualSpacing/>
        <w:jc w:val="both"/>
        <w:rPr>
          <w:rFonts w:ascii="Verdana" w:eastAsia="Calibri" w:hAnsi="Verdana" w:cs="Arial"/>
          <w:bCs/>
          <w:sz w:val="20"/>
          <w:szCs w:val="20"/>
          <w:lang w:val="es-ES_tradnl"/>
        </w:rPr>
      </w:pPr>
      <w:r w:rsidRPr="006649D6">
        <w:rPr>
          <w:rFonts w:ascii="Verdana" w:eastAsia="Calibri" w:hAnsi="Verdana" w:cs="Arial"/>
          <w:bCs/>
          <w:sz w:val="20"/>
          <w:szCs w:val="20"/>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cuarenta por ciento (40%) del total de empleados y contratistas asociados al cumplimiento del contrato. Conforme con esta regla residual, cuando en el análisis efectuado en la fase de planeación la entidad estatal no logre establecer que el objeto contractual requiere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p w14:paraId="131A973B" w14:textId="727D804E" w:rsidR="00AB64A5" w:rsidRPr="006649D6" w:rsidRDefault="00FC3EC1" w:rsidP="00CD258B">
      <w:pPr>
        <w:rPr>
          <w:rFonts w:ascii="Verdana" w:eastAsia="Calibri" w:hAnsi="Verdana" w:cs="Arial"/>
          <w:bCs/>
          <w:sz w:val="20"/>
          <w:szCs w:val="20"/>
          <w:lang w:val="es-ES_tradnl"/>
        </w:rPr>
      </w:pPr>
      <w:r w:rsidRPr="006649D6">
        <w:rPr>
          <w:rFonts w:ascii="Verdana" w:eastAsia="Calibri" w:hAnsi="Verdana" w:cs="Arial"/>
          <w:bCs/>
          <w:sz w:val="20"/>
          <w:szCs w:val="20"/>
          <w:lang w:val="es-ES_tradnl"/>
        </w:rPr>
        <w:br w:type="page"/>
      </w:r>
      <w:r w:rsidR="00AB64A5" w:rsidRPr="006649D6">
        <w:rPr>
          <w:rFonts w:ascii="Verdana" w:hAnsi="Verdana"/>
        </w:rPr>
        <w:lastRenderedPageBreak/>
        <w:t>Bogo</w:t>
      </w:r>
      <w:r w:rsidRPr="006649D6">
        <w:rPr>
          <w:rFonts w:ascii="Verdana" w:hAnsi="Verdana"/>
        </w:rPr>
        <w:t>t</w:t>
      </w:r>
      <w:r w:rsidR="00AB64A5" w:rsidRPr="006649D6">
        <w:rPr>
          <w:rFonts w:ascii="Verdana" w:hAnsi="Verdana"/>
        </w:rPr>
        <w:t>á D.C., [Día] [</w:t>
      </w:r>
      <w:proofErr w:type="spellStart"/>
      <w:r w:rsidR="00AB64A5" w:rsidRPr="006649D6">
        <w:rPr>
          <w:rFonts w:ascii="Verdana" w:hAnsi="Verdana"/>
        </w:rPr>
        <w:t>Mes.NombreCapitalizado</w:t>
      </w:r>
      <w:proofErr w:type="spellEnd"/>
      <w:r w:rsidR="00AB64A5" w:rsidRPr="006649D6">
        <w:rPr>
          <w:rFonts w:ascii="Verdana" w:hAnsi="Verdana"/>
        </w:rPr>
        <w:t>] [Año]</w:t>
      </w:r>
      <w:r w:rsidR="00AB64A5" w:rsidRPr="006649D6">
        <w:rPr>
          <w:rFonts w:ascii="Verdana" w:hAnsi="Verdana"/>
        </w:rPr>
        <w:tab/>
      </w:r>
    </w:p>
    <w:p w14:paraId="6F8CA54C" w14:textId="77777777" w:rsidR="00AB64A5" w:rsidRPr="006649D6" w:rsidRDefault="00AB64A5" w:rsidP="00AB64A5">
      <w:pPr>
        <w:spacing w:after="0"/>
        <w:rPr>
          <w:rFonts w:ascii="Verdana" w:hAnsi="Verdana"/>
        </w:rPr>
      </w:pPr>
    </w:p>
    <w:p w14:paraId="01AE3B0A" w14:textId="29595644" w:rsidR="00AB64A5" w:rsidRPr="006649D6" w:rsidRDefault="00AB64A5" w:rsidP="00AB64A5">
      <w:pPr>
        <w:spacing w:after="0" w:line="240" w:lineRule="auto"/>
        <w:jc w:val="both"/>
        <w:rPr>
          <w:rFonts w:ascii="Verdana" w:eastAsia="Calibri" w:hAnsi="Verdana" w:cs="Arial"/>
          <w:lang w:eastAsia="es-ES"/>
        </w:rPr>
      </w:pPr>
      <w:r w:rsidRPr="006649D6">
        <w:rPr>
          <w:rFonts w:ascii="Verdana" w:eastAsia="Calibri" w:hAnsi="Verdana" w:cs="Arial"/>
          <w:lang w:eastAsia="es-ES"/>
        </w:rPr>
        <w:t>Señor</w:t>
      </w:r>
      <w:r w:rsidR="00FC3EC1" w:rsidRPr="006649D6">
        <w:rPr>
          <w:rFonts w:ascii="Verdana" w:eastAsia="Calibri" w:hAnsi="Verdana" w:cs="Arial"/>
          <w:lang w:eastAsia="es-ES"/>
        </w:rPr>
        <w:t>a</w:t>
      </w:r>
    </w:p>
    <w:p w14:paraId="28F0A0ED" w14:textId="77777777" w:rsidR="00FC3EC1" w:rsidRPr="006649D6" w:rsidRDefault="00FC3EC1" w:rsidP="00FC3EC1">
      <w:pPr>
        <w:spacing w:after="0" w:line="240" w:lineRule="auto"/>
        <w:rPr>
          <w:rFonts w:ascii="Verdana" w:hAnsi="Verdana"/>
          <w:b/>
          <w:bCs/>
        </w:rPr>
      </w:pPr>
      <w:r w:rsidRPr="006649D6">
        <w:rPr>
          <w:rFonts w:ascii="Verdana" w:hAnsi="Verdana"/>
          <w:b/>
          <w:bCs/>
        </w:rPr>
        <w:t>EDNA ROCIO VALENZUELA JIMÉNEZ</w:t>
      </w:r>
    </w:p>
    <w:p w14:paraId="325A5FD1" w14:textId="77777777" w:rsidR="00FC3EC1" w:rsidRPr="006649D6" w:rsidRDefault="00FC3EC1" w:rsidP="00FC3EC1">
      <w:pPr>
        <w:spacing w:after="0" w:line="240" w:lineRule="auto"/>
        <w:rPr>
          <w:rFonts w:ascii="Verdana" w:hAnsi="Verdana"/>
        </w:rPr>
      </w:pPr>
      <w:r w:rsidRPr="006649D6">
        <w:rPr>
          <w:rFonts w:ascii="Verdana" w:hAnsi="Verdana"/>
        </w:rPr>
        <w:t>Coordinadora del Grupo Interno de Trabajo de Contratación</w:t>
      </w:r>
    </w:p>
    <w:p w14:paraId="724E7D4C" w14:textId="2ACFE80D" w:rsidR="00FC3EC1" w:rsidRPr="006649D6" w:rsidRDefault="00FC3EC1" w:rsidP="00FC3EC1">
      <w:pPr>
        <w:spacing w:after="0" w:line="240" w:lineRule="auto"/>
        <w:rPr>
          <w:rFonts w:ascii="Verdana" w:hAnsi="Verdana"/>
        </w:rPr>
      </w:pPr>
      <w:r w:rsidRPr="006649D6">
        <w:rPr>
          <w:rFonts w:ascii="Verdana" w:hAnsi="Verdana"/>
        </w:rPr>
        <w:t>Vicepresidencia Jurídica</w:t>
      </w:r>
      <w:r w:rsidRPr="006649D6">
        <w:rPr>
          <w:rFonts w:ascii="Verdana" w:hAnsi="Verdana"/>
        </w:rPr>
        <w:cr/>
      </w:r>
      <w:r w:rsidRPr="006649D6">
        <w:rPr>
          <w:rFonts w:ascii="Verdana" w:hAnsi="Verdana"/>
          <w:u w:val="single"/>
        </w:rPr>
        <w:t>evalenzuela@ani.gov.co</w:t>
      </w:r>
    </w:p>
    <w:p w14:paraId="38021ECE" w14:textId="634F3FC6" w:rsidR="00AB64A5" w:rsidRPr="006649D6" w:rsidRDefault="00AB64A5" w:rsidP="00FC3EC1">
      <w:pPr>
        <w:spacing w:after="0" w:line="240" w:lineRule="auto"/>
        <w:rPr>
          <w:rFonts w:ascii="Verdana" w:eastAsia="Calibri" w:hAnsi="Verdana" w:cs="Arial"/>
          <w:b/>
          <w:bCs/>
          <w:lang w:val="es-ES" w:eastAsia="es-ES"/>
        </w:rPr>
      </w:pPr>
      <w:r w:rsidRPr="006649D6">
        <w:rPr>
          <w:rFonts w:ascii="Verdana" w:eastAsia="Calibri" w:hAnsi="Verdana" w:cs="Arial"/>
          <w:lang w:val="es-ES" w:eastAsia="es-ES"/>
        </w:rPr>
        <w:t>Bogotá D.C.</w:t>
      </w:r>
    </w:p>
    <w:p w14:paraId="7DAEA82C" w14:textId="77777777" w:rsidR="00BD6EEB" w:rsidRDefault="00BD6EEB" w:rsidP="00AB64A5">
      <w:pPr>
        <w:spacing w:after="0" w:line="240" w:lineRule="auto"/>
        <w:rPr>
          <w:rFonts w:ascii="Verdana" w:eastAsia="Calibri" w:hAnsi="Verdana" w:cs="Arial"/>
          <w:b/>
          <w:bCs/>
          <w:color w:val="000000"/>
          <w:lang w:val="es-ES_tradnl" w:eastAsia="es-ES_tradnl"/>
        </w:rPr>
      </w:pPr>
    </w:p>
    <w:p w14:paraId="3958ABAD" w14:textId="7B267CA2" w:rsidR="00BD6EEB" w:rsidRDefault="00BD6EEB" w:rsidP="00BD6EEB">
      <w:pPr>
        <w:spacing w:after="0" w:line="240" w:lineRule="auto"/>
        <w:jc w:val="right"/>
        <w:rPr>
          <w:rFonts w:ascii="Verdana" w:eastAsia="Calibri" w:hAnsi="Verdana" w:cs="Arial"/>
          <w:b/>
          <w:bCs/>
          <w:color w:val="000000"/>
          <w:lang w:val="es-ES_tradnl" w:eastAsia="es-ES_tradnl"/>
        </w:rPr>
      </w:pPr>
      <w:r w:rsidRPr="00BD6EEB">
        <w:rPr>
          <w:rFonts w:ascii="Verdana" w:eastAsia="Calibri" w:hAnsi="Verdana" w:cs="Arial"/>
          <w:b/>
          <w:bCs/>
          <w:color w:val="000000"/>
          <w:lang w:val="es-ES_tradnl" w:eastAsia="es-ES_tradnl"/>
        </w:rPr>
        <w:drawing>
          <wp:inline distT="0" distB="0" distL="0" distR="0" wp14:anchorId="0E8848B8" wp14:editId="1D5A63AF">
            <wp:extent cx="3360711" cy="998307"/>
            <wp:effectExtent l="0" t="0" r="0" b="0"/>
            <wp:docPr id="2128066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66179" name=""/>
                    <pic:cNvPicPr/>
                  </pic:nvPicPr>
                  <pic:blipFill>
                    <a:blip r:embed="rId8"/>
                    <a:stretch>
                      <a:fillRect/>
                    </a:stretch>
                  </pic:blipFill>
                  <pic:spPr>
                    <a:xfrm>
                      <a:off x="0" y="0"/>
                      <a:ext cx="3360711" cy="998307"/>
                    </a:xfrm>
                    <a:prstGeom prst="rect">
                      <a:avLst/>
                    </a:prstGeom>
                  </pic:spPr>
                </pic:pic>
              </a:graphicData>
            </a:graphic>
          </wp:inline>
        </w:drawing>
      </w:r>
    </w:p>
    <w:p w14:paraId="6366F8C8" w14:textId="77777777" w:rsidR="00BD6EEB" w:rsidRPr="006649D6" w:rsidRDefault="00BD6EEB" w:rsidP="00BD6EEB">
      <w:pPr>
        <w:spacing w:after="0" w:line="240" w:lineRule="auto"/>
        <w:jc w:val="right"/>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6649D6" w14:paraId="124FFB5C" w14:textId="77777777" w:rsidTr="007B0B27">
        <w:trPr>
          <w:trHeight w:val="884"/>
        </w:trPr>
        <w:tc>
          <w:tcPr>
            <w:tcW w:w="2268" w:type="dxa"/>
          </w:tcPr>
          <w:p w14:paraId="6311258D" w14:textId="77777777" w:rsidR="00AB64A5" w:rsidRPr="006649D6" w:rsidRDefault="00AB64A5" w:rsidP="007B0B27">
            <w:pPr>
              <w:jc w:val="both"/>
              <w:rPr>
                <w:rFonts w:ascii="Verdana" w:eastAsia="Calibri" w:hAnsi="Verdana" w:cs="Arial"/>
                <w:b/>
                <w:bCs/>
                <w:color w:val="7030A0"/>
                <w:lang w:val="es-ES_tradnl" w:eastAsia="es-ES_tradnl"/>
              </w:rPr>
            </w:pPr>
          </w:p>
        </w:tc>
        <w:tc>
          <w:tcPr>
            <w:tcW w:w="6946" w:type="dxa"/>
          </w:tcPr>
          <w:p w14:paraId="23DA8C95" w14:textId="591DDB0A" w:rsidR="00AB64A5" w:rsidRPr="006649D6" w:rsidRDefault="00AB64A5" w:rsidP="007B0B27">
            <w:pPr>
              <w:jc w:val="both"/>
              <w:rPr>
                <w:rFonts w:ascii="Verdana" w:eastAsia="Calibri" w:hAnsi="Verdana" w:cs="Arial"/>
                <w:b/>
                <w:bCs/>
                <w:color w:val="7030A0"/>
                <w:lang w:val="es-ES" w:eastAsia="es-ES"/>
              </w:rPr>
            </w:pPr>
            <w:r w:rsidRPr="006649D6">
              <w:rPr>
                <w:rFonts w:ascii="Verdana" w:eastAsia="Calibri" w:hAnsi="Verdana" w:cs="Arial"/>
                <w:b/>
                <w:bCs/>
                <w:lang w:val="es-ES" w:eastAsia="es-ES"/>
              </w:rPr>
              <w:t xml:space="preserve">Concepto C- </w:t>
            </w:r>
            <w:r w:rsidR="00CD258B" w:rsidRPr="006649D6">
              <w:rPr>
                <w:rFonts w:ascii="Verdana" w:eastAsia="Calibri" w:hAnsi="Verdana" w:cs="Arial"/>
                <w:b/>
                <w:bCs/>
                <w:lang w:val="es-ES" w:eastAsia="es-ES"/>
              </w:rPr>
              <w:t>5</w:t>
            </w:r>
            <w:r w:rsidR="00FC3EC1" w:rsidRPr="006649D6">
              <w:rPr>
                <w:rFonts w:ascii="Verdana" w:eastAsia="Calibri" w:hAnsi="Verdana" w:cs="Arial"/>
                <w:b/>
                <w:bCs/>
                <w:lang w:val="es-ES" w:eastAsia="es-ES"/>
              </w:rPr>
              <w:t>43</w:t>
            </w:r>
            <w:r w:rsidRPr="006649D6">
              <w:rPr>
                <w:rFonts w:ascii="Verdana" w:eastAsia="Calibri" w:hAnsi="Verdana" w:cs="Arial"/>
                <w:b/>
                <w:bCs/>
                <w:lang w:val="es-ES" w:eastAsia="es-ES"/>
              </w:rPr>
              <w:t xml:space="preserve"> de 2024</w:t>
            </w:r>
          </w:p>
        </w:tc>
      </w:tr>
      <w:tr w:rsidR="00AB64A5" w:rsidRPr="006649D6" w14:paraId="317258D8" w14:textId="77777777" w:rsidTr="007B0B27">
        <w:trPr>
          <w:trHeight w:val="884"/>
        </w:trPr>
        <w:tc>
          <w:tcPr>
            <w:tcW w:w="2268" w:type="dxa"/>
          </w:tcPr>
          <w:p w14:paraId="216AB9FC" w14:textId="77777777" w:rsidR="00AB64A5" w:rsidRPr="006649D6" w:rsidRDefault="00AB64A5" w:rsidP="007B0B27">
            <w:pPr>
              <w:jc w:val="both"/>
              <w:rPr>
                <w:rFonts w:ascii="Verdana" w:eastAsia="Calibri" w:hAnsi="Verdana" w:cs="Arial"/>
                <w:b/>
                <w:bCs/>
                <w:lang w:val="es-ES_tradnl" w:eastAsia="es-ES_tradnl"/>
              </w:rPr>
            </w:pPr>
            <w:r w:rsidRPr="006649D6">
              <w:rPr>
                <w:rFonts w:ascii="Verdana" w:eastAsia="Calibri" w:hAnsi="Verdana" w:cs="Arial"/>
                <w:b/>
                <w:bCs/>
                <w:lang w:val="es-ES_tradnl" w:eastAsia="es-ES_tradnl"/>
              </w:rPr>
              <w:t xml:space="preserve">Temas:                   </w:t>
            </w:r>
          </w:p>
        </w:tc>
        <w:tc>
          <w:tcPr>
            <w:tcW w:w="6946" w:type="dxa"/>
          </w:tcPr>
          <w:p w14:paraId="0DCE15E8" w14:textId="4C67D3F0" w:rsidR="00AB64A5" w:rsidRPr="006649D6" w:rsidRDefault="00FC3EC1" w:rsidP="007B0B27">
            <w:pPr>
              <w:rPr>
                <w:rFonts w:ascii="Verdana" w:eastAsia="Calibri" w:hAnsi="Verdana" w:cs="Arial"/>
                <w:lang w:val="es-ES_tradnl" w:eastAsia="es-ES_tradnl"/>
              </w:rPr>
            </w:pPr>
            <w:r w:rsidRPr="006649D6">
              <w:rPr>
                <w:rFonts w:ascii="Verdana" w:eastAsia="Calibri" w:hAnsi="Verdana" w:cs="Arial"/>
                <w:lang w:val="es-ES_tradnl" w:eastAsia="es-ES_tradnl"/>
              </w:rPr>
              <w:t xml:space="preserve">DECRETO 680 DE 2021 – Regla de origen – Criterios – Identificación – Bienes nacionales relevantes </w:t>
            </w:r>
          </w:p>
          <w:p w14:paraId="362B2D37" w14:textId="77777777" w:rsidR="00AB64A5" w:rsidRPr="006649D6" w:rsidRDefault="00AB64A5" w:rsidP="007B0B27">
            <w:pPr>
              <w:spacing w:line="276" w:lineRule="auto"/>
              <w:jc w:val="both"/>
              <w:rPr>
                <w:rFonts w:ascii="Verdana" w:eastAsia="Calibri" w:hAnsi="Verdana" w:cs="Arial"/>
                <w:lang w:val="es-ES_tradnl" w:eastAsia="es-ES_tradnl"/>
              </w:rPr>
            </w:pPr>
          </w:p>
        </w:tc>
      </w:tr>
      <w:tr w:rsidR="00AB64A5" w:rsidRPr="006649D6" w14:paraId="6B3F3ED0" w14:textId="77777777" w:rsidTr="007B0B27">
        <w:tc>
          <w:tcPr>
            <w:tcW w:w="2268" w:type="dxa"/>
          </w:tcPr>
          <w:p w14:paraId="0AC72359" w14:textId="77777777" w:rsidR="00AB64A5" w:rsidRPr="006649D6" w:rsidRDefault="00AB64A5" w:rsidP="007B0B27">
            <w:pPr>
              <w:jc w:val="both"/>
              <w:rPr>
                <w:rFonts w:ascii="Verdana" w:eastAsia="Calibri" w:hAnsi="Verdana" w:cs="Arial"/>
                <w:b/>
                <w:lang w:val="es-ES_tradnl" w:eastAsia="es-ES_tradnl"/>
              </w:rPr>
            </w:pPr>
            <w:r w:rsidRPr="006649D6">
              <w:rPr>
                <w:rFonts w:ascii="Verdana" w:eastAsia="Calibri" w:hAnsi="Verdana" w:cs="Arial"/>
                <w:b/>
                <w:lang w:val="es-ES_tradnl" w:eastAsia="es-ES_tradnl"/>
              </w:rPr>
              <w:t>Radicación:</w:t>
            </w:r>
            <w:r w:rsidRPr="006649D6">
              <w:rPr>
                <w:rFonts w:ascii="Verdana" w:eastAsia="Calibri" w:hAnsi="Verdana" w:cs="Arial"/>
                <w:lang w:val="es-ES_tradnl" w:eastAsia="es-ES_tradnl"/>
              </w:rPr>
              <w:t xml:space="preserve">               </w:t>
            </w:r>
          </w:p>
        </w:tc>
        <w:tc>
          <w:tcPr>
            <w:tcW w:w="6946" w:type="dxa"/>
          </w:tcPr>
          <w:p w14:paraId="3BC81AFB" w14:textId="3985B137" w:rsidR="00F02EBB" w:rsidRPr="006649D6" w:rsidRDefault="00AB64A5" w:rsidP="00F02EBB">
            <w:pPr>
              <w:rPr>
                <w:rFonts w:ascii="Verdana" w:eastAsia="Times New Roman" w:hAnsi="Verdana" w:cs="Calibri"/>
                <w:color w:val="000000"/>
                <w:lang w:val="es-419" w:eastAsia="es-419"/>
              </w:rPr>
            </w:pPr>
            <w:r w:rsidRPr="006649D6">
              <w:rPr>
                <w:rFonts w:ascii="Verdana" w:eastAsia="Calibri" w:hAnsi="Verdana" w:cs="Arial"/>
                <w:lang w:val="es-ES_tradnl" w:eastAsia="es-ES_tradnl"/>
              </w:rPr>
              <w:t xml:space="preserve">Respuesta a consulta con radicado No. </w:t>
            </w:r>
            <w:r w:rsidR="00FC3EC1" w:rsidRPr="006649D6">
              <w:rPr>
                <w:rFonts w:ascii="Verdana" w:eastAsia="Times New Roman" w:hAnsi="Verdana" w:cs="Calibri"/>
                <w:color w:val="000000"/>
                <w:lang w:val="es-419" w:eastAsia="es-419"/>
              </w:rPr>
              <w:t>P20240830008866</w:t>
            </w:r>
            <w:r w:rsidR="00914747">
              <w:rPr>
                <w:rFonts w:ascii="Verdana" w:eastAsia="Times New Roman" w:hAnsi="Verdana" w:cs="Calibri"/>
                <w:color w:val="000000"/>
                <w:lang w:val="es-419" w:eastAsia="es-419"/>
              </w:rPr>
              <w:t xml:space="preserve"> acumulada con el radicado No. </w:t>
            </w:r>
            <w:r w:rsidR="00914747" w:rsidRPr="00914747">
              <w:rPr>
                <w:rFonts w:ascii="Verdana" w:eastAsia="Times New Roman" w:hAnsi="Verdana" w:cs="Calibri"/>
                <w:color w:val="000000"/>
                <w:lang w:val="es-419" w:eastAsia="es-419"/>
              </w:rPr>
              <w:t>P20240902008901</w:t>
            </w:r>
          </w:p>
          <w:p w14:paraId="14A3CEBF" w14:textId="06BFF59D" w:rsidR="00AB64A5" w:rsidRPr="006649D6" w:rsidRDefault="00AB64A5" w:rsidP="007B0B27">
            <w:pPr>
              <w:jc w:val="both"/>
              <w:rPr>
                <w:rFonts w:ascii="Verdana" w:eastAsia="Calibri" w:hAnsi="Verdana" w:cs="Arial"/>
                <w:lang w:val="es-ES_tradnl" w:eastAsia="es-ES_tradnl"/>
              </w:rPr>
            </w:pPr>
          </w:p>
        </w:tc>
      </w:tr>
    </w:tbl>
    <w:p w14:paraId="7459B210" w14:textId="77777777" w:rsidR="00AB64A5" w:rsidRPr="006649D6" w:rsidRDefault="00AB64A5" w:rsidP="00AB64A5">
      <w:pPr>
        <w:spacing w:after="0" w:line="240" w:lineRule="auto"/>
        <w:jc w:val="both"/>
        <w:rPr>
          <w:rFonts w:ascii="Verdana" w:eastAsia="Calibri" w:hAnsi="Verdana" w:cs="Arial"/>
          <w:color w:val="000000"/>
          <w:lang w:val="es-ES_tradnl" w:eastAsia="es-ES_tradnl"/>
        </w:rPr>
      </w:pPr>
    </w:p>
    <w:p w14:paraId="3010FD6F" w14:textId="77777777" w:rsidR="00AB64A5" w:rsidRPr="006649D6" w:rsidRDefault="00AB64A5" w:rsidP="00AB64A5">
      <w:pPr>
        <w:spacing w:after="0" w:line="240" w:lineRule="auto"/>
        <w:jc w:val="both"/>
        <w:rPr>
          <w:rFonts w:ascii="Verdana" w:eastAsia="Calibri" w:hAnsi="Verdana" w:cs="Arial"/>
          <w:color w:val="000000"/>
          <w:lang w:val="es-ES_tradnl" w:eastAsia="es-ES_tradnl"/>
        </w:rPr>
      </w:pPr>
    </w:p>
    <w:p w14:paraId="16D75B47" w14:textId="1F683E84" w:rsidR="00AB64A5" w:rsidRPr="006649D6" w:rsidRDefault="00AB64A5" w:rsidP="00AB64A5">
      <w:pPr>
        <w:spacing w:after="0" w:line="276" w:lineRule="auto"/>
        <w:jc w:val="both"/>
        <w:rPr>
          <w:rFonts w:ascii="Verdana" w:eastAsia="Calibri" w:hAnsi="Verdana" w:cs="Arial"/>
          <w:lang w:val="es-ES" w:eastAsia="es-ES"/>
        </w:rPr>
      </w:pPr>
      <w:r w:rsidRPr="006649D6">
        <w:rPr>
          <w:rFonts w:ascii="Verdana" w:eastAsia="Calibri" w:hAnsi="Verdana" w:cs="Arial"/>
          <w:lang w:val="es-ES" w:eastAsia="es-ES"/>
        </w:rPr>
        <w:t>Estimad</w:t>
      </w:r>
      <w:r w:rsidR="00F02EBB" w:rsidRPr="006649D6">
        <w:rPr>
          <w:rFonts w:ascii="Verdana" w:eastAsia="Calibri" w:hAnsi="Verdana" w:cs="Arial"/>
          <w:lang w:val="es-ES" w:eastAsia="es-ES"/>
        </w:rPr>
        <w:t>a</w:t>
      </w:r>
      <w:r w:rsidRPr="006649D6">
        <w:rPr>
          <w:rFonts w:ascii="Verdana" w:eastAsia="Calibri" w:hAnsi="Verdana" w:cs="Arial"/>
          <w:lang w:val="es-ES" w:eastAsia="es-ES"/>
        </w:rPr>
        <w:t xml:space="preserve"> </w:t>
      </w:r>
      <w:r w:rsidR="00F02EBB" w:rsidRPr="006649D6">
        <w:rPr>
          <w:rFonts w:ascii="Verdana" w:hAnsi="Verdana"/>
          <w:lang w:val="es-MX"/>
        </w:rPr>
        <w:t>señora</w:t>
      </w:r>
      <w:r w:rsidR="00FC3EC1" w:rsidRPr="006649D6">
        <w:rPr>
          <w:rFonts w:ascii="Verdana" w:hAnsi="Verdana"/>
          <w:lang w:val="es-MX"/>
        </w:rPr>
        <w:t xml:space="preserve"> Valenzuela</w:t>
      </w:r>
      <w:r w:rsidRPr="006649D6">
        <w:rPr>
          <w:rFonts w:ascii="Verdana" w:eastAsia="Calibri" w:hAnsi="Verdana" w:cs="Arial"/>
          <w:lang w:val="es-ES" w:eastAsia="es-ES"/>
        </w:rPr>
        <w:t xml:space="preserve">; </w:t>
      </w:r>
    </w:p>
    <w:p w14:paraId="5ED55F00" w14:textId="77777777" w:rsidR="00AB64A5" w:rsidRPr="006649D6"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6649D6">
        <w:rPr>
          <w:rFonts w:ascii="Verdana" w:eastAsia="Calibri" w:hAnsi="Verdana" w:cs="Arial"/>
          <w:color w:val="000000" w:themeColor="text1"/>
          <w:lang w:val="es-ES" w:eastAsia="es-ES"/>
        </w:rPr>
        <w:tab/>
      </w:r>
    </w:p>
    <w:p w14:paraId="3AAA6349" w14:textId="7BCB596E" w:rsidR="00AB64A5" w:rsidRPr="006649D6" w:rsidRDefault="00AB64A5" w:rsidP="00AB64A5">
      <w:pPr>
        <w:spacing w:after="0" w:line="276" w:lineRule="auto"/>
        <w:jc w:val="both"/>
        <w:rPr>
          <w:rFonts w:ascii="Verdana" w:eastAsia="Calibri" w:hAnsi="Verdana" w:cs="Arial"/>
          <w:lang w:val="es-ES" w:eastAsia="es-ES"/>
        </w:rPr>
      </w:pPr>
      <w:r w:rsidRPr="006649D6">
        <w:rPr>
          <w:rFonts w:ascii="Verdana" w:eastAsia="Calibri" w:hAnsi="Verdana" w:cs="Arial"/>
          <w:lang w:val="es-ES" w:eastAsia="es-ES"/>
        </w:rPr>
        <w:t>En ejercicio de la competencia otorgada por los artículos 3, numeral 5º, y 11, numeral 8º, del Decreto Ley 4170 de 2011,</w:t>
      </w:r>
      <w:r w:rsidRPr="006649D6">
        <w:rPr>
          <w:rFonts w:ascii="Verdana" w:eastAsia="Arial MT" w:hAnsi="Verdana" w:cs="Arial MT"/>
          <w:lang w:val="es-ES" w:eastAsia="es-ES"/>
        </w:rPr>
        <w:t xml:space="preserve"> </w:t>
      </w:r>
      <w:r w:rsidRPr="006649D6">
        <w:rPr>
          <w:rFonts w:ascii="Verdana" w:hAnsi="Verdana" w:cs="Arial"/>
        </w:rPr>
        <w:t xml:space="preserve">así como lo establecido en el artículo 4 de la Resolución 1707 de 2018 expedida por esta Entidad, </w:t>
      </w:r>
      <w:r w:rsidRPr="006649D6">
        <w:rPr>
          <w:rFonts w:ascii="Verdana" w:eastAsia="Calibri" w:hAnsi="Verdana" w:cs="Arial"/>
          <w:lang w:val="es-ES" w:eastAsia="es-ES"/>
        </w:rPr>
        <w:t>la Agencia Nacional de Contratación Pública – Colombia Compra Eficiente– responde su</w:t>
      </w:r>
      <w:r w:rsidR="00914747">
        <w:rPr>
          <w:rFonts w:ascii="Verdana" w:eastAsia="Calibri" w:hAnsi="Verdana" w:cs="Arial"/>
          <w:lang w:val="es-ES" w:eastAsia="es-ES"/>
        </w:rPr>
        <w:t>s</w:t>
      </w:r>
      <w:r w:rsidRPr="006649D6">
        <w:rPr>
          <w:rFonts w:ascii="Verdana" w:eastAsia="Calibri" w:hAnsi="Verdana" w:cs="Arial"/>
          <w:lang w:val="es-ES" w:eastAsia="es-ES"/>
        </w:rPr>
        <w:t xml:space="preserve"> solicitud</w:t>
      </w:r>
      <w:r w:rsidR="00914747">
        <w:rPr>
          <w:rFonts w:ascii="Verdana" w:eastAsia="Calibri" w:hAnsi="Verdana" w:cs="Arial"/>
          <w:lang w:val="es-ES" w:eastAsia="es-ES"/>
        </w:rPr>
        <w:t>es</w:t>
      </w:r>
      <w:r w:rsidRPr="006649D6">
        <w:rPr>
          <w:rFonts w:ascii="Verdana" w:eastAsia="Calibri" w:hAnsi="Verdana" w:cs="Arial"/>
          <w:lang w:val="es-ES" w:eastAsia="es-ES"/>
        </w:rPr>
        <w:t xml:space="preserve"> radicada</w:t>
      </w:r>
      <w:r w:rsidR="00914747">
        <w:rPr>
          <w:rFonts w:ascii="Verdana" w:eastAsia="Calibri" w:hAnsi="Verdana" w:cs="Arial"/>
          <w:lang w:val="es-ES" w:eastAsia="es-ES"/>
        </w:rPr>
        <w:t>s</w:t>
      </w:r>
      <w:r w:rsidRPr="006649D6">
        <w:rPr>
          <w:rFonts w:ascii="Verdana" w:eastAsia="Calibri" w:hAnsi="Verdana" w:cs="Arial"/>
          <w:lang w:val="es-ES" w:eastAsia="es-ES"/>
        </w:rPr>
        <w:t xml:space="preserve"> en esta entidad el </w:t>
      </w:r>
      <w:r w:rsidR="00FC3EC1" w:rsidRPr="006649D6">
        <w:rPr>
          <w:rFonts w:ascii="Verdana" w:eastAsia="Calibri" w:hAnsi="Verdana" w:cs="Arial"/>
          <w:lang w:val="es-ES" w:eastAsia="es-ES"/>
        </w:rPr>
        <w:t>30</w:t>
      </w:r>
      <w:r w:rsidRPr="006649D6">
        <w:rPr>
          <w:rFonts w:ascii="Verdana" w:eastAsia="Calibri" w:hAnsi="Verdana" w:cs="Arial"/>
          <w:lang w:val="es-ES" w:eastAsia="es-ES"/>
        </w:rPr>
        <w:t xml:space="preserve"> de </w:t>
      </w:r>
      <w:r w:rsidR="00F02EBB" w:rsidRPr="006649D6">
        <w:rPr>
          <w:rFonts w:ascii="Verdana" w:eastAsia="Calibri" w:hAnsi="Verdana" w:cs="Arial"/>
          <w:lang w:val="es-ES" w:eastAsia="es-ES"/>
        </w:rPr>
        <w:t>agosto</w:t>
      </w:r>
      <w:r w:rsidRPr="006649D6">
        <w:rPr>
          <w:rFonts w:ascii="Verdana" w:eastAsia="Calibri" w:hAnsi="Verdana" w:cs="Arial"/>
          <w:lang w:val="es-ES" w:eastAsia="es-ES"/>
        </w:rPr>
        <w:t xml:space="preserve"> </w:t>
      </w:r>
      <w:r w:rsidR="00914747">
        <w:rPr>
          <w:rFonts w:ascii="Verdana" w:eastAsia="Calibri" w:hAnsi="Verdana" w:cs="Arial"/>
          <w:lang w:val="es-ES" w:eastAsia="es-ES"/>
        </w:rPr>
        <w:t xml:space="preserve">y 2 de septiembre </w:t>
      </w:r>
      <w:r w:rsidRPr="006649D6">
        <w:rPr>
          <w:rFonts w:ascii="Verdana" w:eastAsia="Calibri" w:hAnsi="Verdana" w:cs="Arial"/>
          <w:lang w:val="es-ES" w:eastAsia="es-ES"/>
        </w:rPr>
        <w:t>de 2024, en la</w:t>
      </w:r>
      <w:r w:rsidR="00914747">
        <w:rPr>
          <w:rFonts w:ascii="Verdana" w:eastAsia="Calibri" w:hAnsi="Verdana" w:cs="Arial"/>
          <w:lang w:val="es-ES" w:eastAsia="es-ES"/>
        </w:rPr>
        <w:t>s</w:t>
      </w:r>
      <w:r w:rsidRPr="006649D6">
        <w:rPr>
          <w:rFonts w:ascii="Verdana" w:eastAsia="Calibri" w:hAnsi="Verdana" w:cs="Arial"/>
          <w:lang w:val="es-ES" w:eastAsia="es-ES"/>
        </w:rPr>
        <w:t xml:space="preserve"> cual</w:t>
      </w:r>
      <w:r w:rsidR="00914747">
        <w:rPr>
          <w:rFonts w:ascii="Verdana" w:eastAsia="Calibri" w:hAnsi="Verdana" w:cs="Arial"/>
          <w:lang w:val="es-ES" w:eastAsia="es-ES"/>
        </w:rPr>
        <w:t>es</w:t>
      </w:r>
      <w:r w:rsidRPr="006649D6">
        <w:rPr>
          <w:rFonts w:ascii="Verdana" w:eastAsia="Calibri" w:hAnsi="Verdana" w:cs="Arial"/>
          <w:lang w:val="es-ES" w:eastAsia="es-ES"/>
        </w:rPr>
        <w:t xml:space="preserve"> manifiesta lo siguiente: </w:t>
      </w:r>
    </w:p>
    <w:p w14:paraId="35AFAAA8" w14:textId="77777777" w:rsidR="00AB64A5" w:rsidRPr="006649D6" w:rsidRDefault="00AB64A5" w:rsidP="00AB64A5">
      <w:pPr>
        <w:spacing w:after="0" w:line="240" w:lineRule="auto"/>
        <w:ind w:left="709" w:right="709"/>
        <w:jc w:val="both"/>
        <w:rPr>
          <w:rFonts w:ascii="Verdana" w:hAnsi="Verdana" w:cs="Arial"/>
          <w:shd w:val="clear" w:color="auto" w:fill="FFFFFF"/>
        </w:rPr>
      </w:pPr>
      <w:bookmarkStart w:id="1" w:name="_Hlk95313578"/>
    </w:p>
    <w:bookmarkEnd w:id="1"/>
    <w:p w14:paraId="72D43F77" w14:textId="6CE5CE11" w:rsidR="00FC3EC1" w:rsidRPr="00553F39" w:rsidRDefault="00FC3EC1" w:rsidP="00FC3EC1">
      <w:pPr>
        <w:spacing w:after="0" w:line="276" w:lineRule="auto"/>
        <w:ind w:left="709" w:right="758"/>
        <w:jc w:val="both"/>
        <w:rPr>
          <w:rFonts w:ascii="Verdana" w:eastAsia="Calibri" w:hAnsi="Verdana" w:cs="Arial"/>
          <w:sz w:val="21"/>
          <w:szCs w:val="21"/>
          <w:lang w:val="es-ES" w:eastAsia="es-ES"/>
        </w:rPr>
      </w:pPr>
      <w:r w:rsidRPr="00553F39">
        <w:rPr>
          <w:rFonts w:ascii="Verdana" w:eastAsia="Calibri" w:hAnsi="Verdana" w:cs="Arial"/>
          <w:sz w:val="21"/>
          <w:szCs w:val="21"/>
          <w:lang w:val="es-ES" w:eastAsia="es-ES"/>
        </w:rPr>
        <w:t xml:space="preserve">“1. ¿Cómo se debe aplicar la metodología para la identificación de bienes nacionales relevantes definidos por la Entidad Estatal para la </w:t>
      </w:r>
      <w:r w:rsidRPr="00553F39">
        <w:rPr>
          <w:rFonts w:ascii="Verdana" w:eastAsia="Calibri" w:hAnsi="Verdana" w:cs="Arial"/>
          <w:sz w:val="21"/>
          <w:szCs w:val="21"/>
          <w:lang w:val="es-ES" w:eastAsia="es-ES"/>
        </w:rPr>
        <w:lastRenderedPageBreak/>
        <w:t>prestación del servicio que será objeto del Proceso de Contratación con presupuestos globales?</w:t>
      </w:r>
    </w:p>
    <w:p w14:paraId="5FF11EAB" w14:textId="4A4AB5FE" w:rsidR="00FC3EC1" w:rsidRPr="00553F39" w:rsidRDefault="00FC3EC1" w:rsidP="00FC3EC1">
      <w:pPr>
        <w:spacing w:after="0" w:line="276" w:lineRule="auto"/>
        <w:ind w:left="709" w:right="758"/>
        <w:jc w:val="both"/>
        <w:rPr>
          <w:rFonts w:ascii="Verdana" w:eastAsia="Calibri" w:hAnsi="Verdana" w:cs="Arial"/>
          <w:sz w:val="21"/>
          <w:szCs w:val="21"/>
          <w:lang w:val="es-ES" w:eastAsia="es-ES"/>
        </w:rPr>
      </w:pPr>
      <w:r w:rsidRPr="00553F39">
        <w:rPr>
          <w:rFonts w:ascii="Verdana" w:eastAsia="Calibri" w:hAnsi="Verdana" w:cs="Arial"/>
          <w:sz w:val="21"/>
          <w:szCs w:val="21"/>
          <w:lang w:val="es-ES" w:eastAsia="es-ES"/>
        </w:rPr>
        <w:t>2. ¿El uso de los bienes nacionales relevantes definidos por la Entidad Estatal para la prestación del servicio que será objeto del Proceso de Contratación, comprende la compraventa y el arrendamiento de esos bienes?</w:t>
      </w:r>
    </w:p>
    <w:p w14:paraId="4E543B6E" w14:textId="1A18D8D7" w:rsidR="00AB64A5" w:rsidRPr="00553F39" w:rsidRDefault="00FC3EC1" w:rsidP="00FC3EC1">
      <w:pPr>
        <w:spacing w:after="0" w:line="276" w:lineRule="auto"/>
        <w:ind w:left="709" w:right="758"/>
        <w:jc w:val="both"/>
        <w:rPr>
          <w:rFonts w:ascii="Verdana" w:eastAsia="Calibri" w:hAnsi="Verdana" w:cs="Arial"/>
          <w:sz w:val="21"/>
          <w:szCs w:val="21"/>
          <w:lang w:val="es-ES" w:eastAsia="es-ES"/>
        </w:rPr>
      </w:pPr>
      <w:r w:rsidRPr="00553F39">
        <w:rPr>
          <w:rFonts w:ascii="Verdana" w:eastAsia="Calibri" w:hAnsi="Verdana" w:cs="Arial"/>
          <w:sz w:val="21"/>
          <w:szCs w:val="21"/>
          <w:lang w:val="es-ES" w:eastAsia="es-ES"/>
        </w:rPr>
        <w:t>3. ¿Es necesario que alguno de los bienes nacionales relevantes definidos por la Entidad Estatal para la prestación del servicio que será objeto del Proceso de Contratación supere el porcentaje definido por la entidad o que la sumatoria de la participación de los todos los bienes nacionales relevantes definidos por la Entidad Estatal para la prestación del servicio que será objeto del Proceso de Contratación supere el porcentaje que sea fijado?” [sic]</w:t>
      </w:r>
    </w:p>
    <w:p w14:paraId="59ACC790" w14:textId="77777777" w:rsidR="00FC3EC1" w:rsidRPr="006649D6" w:rsidRDefault="00FC3EC1" w:rsidP="00FC3EC1">
      <w:pPr>
        <w:spacing w:after="0" w:line="276" w:lineRule="auto"/>
        <w:ind w:left="709" w:right="758"/>
        <w:jc w:val="both"/>
        <w:rPr>
          <w:rFonts w:ascii="Verdana" w:eastAsia="Century Gothic" w:hAnsi="Verdana" w:cs="Century Gothic"/>
          <w:i/>
          <w:iCs/>
        </w:rPr>
      </w:pPr>
    </w:p>
    <w:p w14:paraId="1078C241" w14:textId="77777777" w:rsidR="00AB64A5" w:rsidRPr="006649D6" w:rsidRDefault="00AB64A5" w:rsidP="00AB64A5">
      <w:pPr>
        <w:spacing w:after="120" w:line="276" w:lineRule="auto"/>
        <w:ind w:firstLine="709"/>
        <w:jc w:val="both"/>
        <w:rPr>
          <w:rFonts w:ascii="Verdana" w:eastAsia="Calibri" w:hAnsi="Verdana" w:cs="Arial"/>
          <w:color w:val="000000"/>
          <w:lang w:val="es-ES_tradnl" w:eastAsia="es-ES_tradnl"/>
        </w:rPr>
      </w:pPr>
      <w:r w:rsidRPr="006649D6">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649D6">
        <w:rPr>
          <w:rFonts w:ascii="Verdana" w:eastAsia="Calibri" w:hAnsi="Verdana" w:cs="Arial"/>
          <w:color w:val="000000"/>
          <w:lang w:val="es-ES_tradnl" w:eastAsia="es-ES_tradnl"/>
        </w:rPr>
        <w:tab/>
      </w:r>
    </w:p>
    <w:p w14:paraId="03C1028C" w14:textId="77777777" w:rsidR="00AB64A5" w:rsidRPr="006649D6" w:rsidRDefault="00AB64A5" w:rsidP="00AB64A5">
      <w:pPr>
        <w:spacing w:after="0" w:line="276" w:lineRule="auto"/>
        <w:ind w:firstLine="709"/>
        <w:jc w:val="both"/>
        <w:rPr>
          <w:rFonts w:ascii="Verdana" w:eastAsia="Calibri" w:hAnsi="Verdana" w:cs="Arial"/>
          <w:color w:val="000000"/>
          <w:lang w:val="es-ES" w:eastAsia="es-ES"/>
        </w:rPr>
      </w:pPr>
      <w:r w:rsidRPr="006649D6">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6649D6">
        <w:rPr>
          <w:rFonts w:ascii="Verdana" w:eastAsia="Calibri" w:hAnsi="Verdana" w:cs="Arial"/>
          <w:color w:val="7030A0"/>
          <w:lang w:val="es-ES" w:eastAsia="es-ES"/>
        </w:rPr>
        <w:t xml:space="preserve"> </w:t>
      </w:r>
      <w:r w:rsidRPr="006649D6">
        <w:rPr>
          <w:rFonts w:ascii="Verdana" w:eastAsia="Calibri" w:hAnsi="Verdana" w:cs="Arial"/>
          <w:color w:val="000000"/>
          <w:lang w:val="es-ES" w:eastAsia="es-ES"/>
        </w:rPr>
        <w:t>jurídico</w:t>
      </w:r>
      <w:r w:rsidRPr="006649D6">
        <w:rPr>
          <w:rFonts w:ascii="Verdana" w:eastAsia="Calibri" w:hAnsi="Verdana" w:cs="Arial"/>
          <w:color w:val="7030A0"/>
          <w:lang w:val="es-ES" w:eastAsia="es-ES"/>
        </w:rPr>
        <w:t xml:space="preserve"> </w:t>
      </w:r>
      <w:r w:rsidRPr="006649D6">
        <w:rPr>
          <w:rFonts w:ascii="Verdana" w:eastAsia="Calibri" w:hAnsi="Verdana" w:cs="Arial"/>
          <w:color w:val="000000"/>
          <w:lang w:val="es-ES" w:eastAsia="es-ES"/>
        </w:rPr>
        <w:t xml:space="preserve">de su consulta. </w:t>
      </w:r>
    </w:p>
    <w:p w14:paraId="1E8B5A8D" w14:textId="77777777" w:rsidR="00AB64A5" w:rsidRPr="006649D6"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6649D6"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6649D6">
        <w:rPr>
          <w:rFonts w:ascii="Verdana" w:eastAsia="Century Gothic" w:hAnsi="Verdana" w:cs="Century Gothic"/>
          <w:b/>
          <w:bCs/>
        </w:rPr>
        <w:t>Problema planteado:</w:t>
      </w:r>
    </w:p>
    <w:p w14:paraId="00DEDA85" w14:textId="77777777" w:rsidR="00AB64A5" w:rsidRPr="006649D6" w:rsidRDefault="00AB64A5" w:rsidP="00AB64A5">
      <w:pPr>
        <w:tabs>
          <w:tab w:val="left" w:pos="426"/>
        </w:tabs>
        <w:spacing w:after="0" w:line="276" w:lineRule="auto"/>
        <w:jc w:val="both"/>
        <w:rPr>
          <w:rFonts w:ascii="Verdana" w:eastAsia="Century Gothic" w:hAnsi="Verdana" w:cs="Century Gothic"/>
          <w:lang w:val="es-ES"/>
        </w:rPr>
      </w:pPr>
    </w:p>
    <w:p w14:paraId="6C677CB7" w14:textId="32CD9BC7" w:rsidR="00FC3EC1" w:rsidRPr="006649D6" w:rsidRDefault="00AB64A5" w:rsidP="00553F39">
      <w:pPr>
        <w:spacing w:after="0" w:line="276" w:lineRule="auto"/>
        <w:ind w:right="49"/>
        <w:jc w:val="both"/>
        <w:rPr>
          <w:rFonts w:ascii="Verdana" w:eastAsia="Calibri" w:hAnsi="Verdana" w:cs="Arial"/>
          <w:lang w:val="es-ES" w:eastAsia="es-ES"/>
        </w:rPr>
      </w:pPr>
      <w:r w:rsidRPr="006649D6">
        <w:rPr>
          <w:rFonts w:ascii="Verdana" w:eastAsia="Century Gothic" w:hAnsi="Verdana" w:cs="Century Gothic"/>
        </w:rPr>
        <w:lastRenderedPageBreak/>
        <w:t>De acuerdo con el contenido de su solicitud, esta Agencia resolverá el siguiente problema jurídico:</w:t>
      </w:r>
      <w:r w:rsidR="00FC3EC1" w:rsidRPr="006649D6">
        <w:rPr>
          <w:rFonts w:ascii="Verdana" w:eastAsia="Century Gothic" w:hAnsi="Verdana" w:cs="Century Gothic"/>
        </w:rPr>
        <w:t xml:space="preserve"> </w:t>
      </w:r>
      <w:r w:rsidR="00FC3EC1" w:rsidRPr="006649D6">
        <w:rPr>
          <w:rFonts w:ascii="Verdana" w:eastAsia="Calibri" w:hAnsi="Verdana" w:cs="Arial"/>
          <w:lang w:val="es-ES" w:eastAsia="es-ES"/>
        </w:rPr>
        <w:t>¿Cómo se debe aplicar la metodología para la identificación de bienes nacionales relevantes definidos por la Entidad Estatal para la prestación del servicio que será objeto del Proceso de Contratación con presupuestos globales, compraventa y el arrendamiento de esos bienes?</w:t>
      </w:r>
      <w:r w:rsidR="00553F39">
        <w:rPr>
          <w:rFonts w:ascii="Verdana" w:eastAsia="Calibri" w:hAnsi="Verdana" w:cs="Arial"/>
          <w:lang w:val="es-ES" w:eastAsia="es-ES"/>
        </w:rPr>
        <w:t xml:space="preserve"> ¿Cuáles son los porcentajes que se deben definir </w:t>
      </w:r>
      <w:r w:rsidR="006F77A6">
        <w:rPr>
          <w:rFonts w:ascii="Verdana" w:eastAsia="Calibri" w:hAnsi="Verdana" w:cs="Arial"/>
          <w:lang w:val="es-ES" w:eastAsia="es-ES"/>
        </w:rPr>
        <w:t>en la metodología de aplicación de bienes relevantes</w:t>
      </w:r>
      <w:r w:rsidR="00553F39">
        <w:rPr>
          <w:rFonts w:ascii="Verdana" w:eastAsia="Calibri" w:hAnsi="Verdana" w:cs="Arial"/>
          <w:lang w:val="es-ES" w:eastAsia="es-ES"/>
        </w:rPr>
        <w:t>?</w:t>
      </w:r>
    </w:p>
    <w:p w14:paraId="510EDFE3" w14:textId="77777777" w:rsidR="00CD258B" w:rsidRPr="00553F39" w:rsidRDefault="00CD258B" w:rsidP="00CD258B">
      <w:pPr>
        <w:spacing w:after="0" w:line="276" w:lineRule="auto"/>
        <w:jc w:val="both"/>
        <w:rPr>
          <w:rFonts w:ascii="Verdana" w:eastAsia="Century Gothic" w:hAnsi="Verdana" w:cs="Century Gothic"/>
          <w:lang w:val="es-ES"/>
        </w:rPr>
      </w:pPr>
    </w:p>
    <w:p w14:paraId="7105E377" w14:textId="77777777" w:rsidR="00AB64A5" w:rsidRPr="006649D6"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649D6">
        <w:rPr>
          <w:rFonts w:ascii="Verdana" w:eastAsia="Century Gothic" w:hAnsi="Verdana" w:cs="Century Gothic"/>
          <w:b/>
          <w:bCs/>
        </w:rPr>
        <w:t>Respuesta:</w:t>
      </w:r>
    </w:p>
    <w:p w14:paraId="09F450DC" w14:textId="77777777" w:rsidR="00AB64A5" w:rsidRPr="006649D6"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6649D6" w14:paraId="7E3B28CD" w14:textId="77777777" w:rsidTr="007B0B27">
        <w:tc>
          <w:tcPr>
            <w:tcW w:w="8828" w:type="dxa"/>
            <w:shd w:val="clear" w:color="auto" w:fill="auto"/>
          </w:tcPr>
          <w:p w14:paraId="78463BEB" w14:textId="1B9904A4" w:rsidR="00553F39" w:rsidRPr="00553F39" w:rsidRDefault="00553F39" w:rsidP="00553F39">
            <w:pPr>
              <w:widowControl w:val="0"/>
              <w:tabs>
                <w:tab w:val="left" w:pos="2143"/>
              </w:tabs>
              <w:autoSpaceDE w:val="0"/>
              <w:autoSpaceDN w:val="0"/>
              <w:spacing w:after="120" w:line="276" w:lineRule="auto"/>
              <w:jc w:val="both"/>
              <w:rPr>
                <w:rFonts w:ascii="Verdana" w:eastAsia="Arial" w:hAnsi="Verdana" w:cs="Arial"/>
                <w:bCs/>
                <w:lang w:eastAsia="es-ES" w:bidi="es-ES"/>
              </w:rPr>
            </w:pPr>
            <w:r w:rsidRPr="00553F39">
              <w:rPr>
                <w:rFonts w:ascii="Verdana" w:eastAsia="Arial" w:hAnsi="Verdana" w:cs="Arial"/>
                <w:bCs/>
                <w:lang w:eastAsia="es-ES" w:bidi="es-ES"/>
              </w:rPr>
              <w:t xml:space="preserve">Para determinar uno o varios bienes nacionales relevantes la entidad estatal debe aplicar los criterios establecidos en el artículo </w:t>
            </w:r>
            <w:r w:rsidRPr="00553F39">
              <w:rPr>
                <w:rFonts w:ascii="Verdana" w:eastAsia="Arial" w:hAnsi="Verdana" w:cs="Arial"/>
                <w:lang w:val="es-419"/>
              </w:rPr>
              <w:t xml:space="preserve">2.2.1.2.4.2.9. del Decreto 1082 de 2015 </w:t>
            </w:r>
            <w:r w:rsidRPr="00553F39">
              <w:rPr>
                <w:rFonts w:ascii="Verdana" w:eastAsia="Calibri" w:hAnsi="Verdana" w:cs="Arial"/>
                <w:bCs/>
                <w:color w:val="000000" w:themeColor="text1"/>
                <w:lang w:val="es-ES_tradnl"/>
              </w:rPr>
              <w:t xml:space="preserve">adicionado por el Decreto 680 de 2021, a saber: i) “el análisis del sector económico y de los oferentes, y, toda aquella información adicional con la que cuente la entidad estatal en la etapa de planeación del Proceso de Contratación”, </w:t>
            </w:r>
            <w:proofErr w:type="spellStart"/>
            <w:r w:rsidRPr="00553F39">
              <w:rPr>
                <w:rFonts w:ascii="Verdana" w:eastAsia="Calibri" w:hAnsi="Verdana" w:cs="Arial"/>
                <w:bCs/>
                <w:color w:val="000000" w:themeColor="text1"/>
                <w:lang w:val="es-ES_tradnl"/>
              </w:rPr>
              <w:t>ii</w:t>
            </w:r>
            <w:proofErr w:type="spellEnd"/>
            <w:r w:rsidRPr="00553F39">
              <w:rPr>
                <w:rFonts w:ascii="Verdana" w:eastAsia="Calibri" w:hAnsi="Verdana" w:cs="Arial"/>
                <w:bCs/>
                <w:color w:val="000000" w:themeColor="text1"/>
                <w:lang w:val="es-ES_tradnl"/>
              </w:rPr>
              <w:t xml:space="preserve">) el porcentaje de participación de los bienes en el presupuesto del Proceso de Contratación y </w:t>
            </w:r>
            <w:proofErr w:type="spellStart"/>
            <w:r w:rsidRPr="00553F39">
              <w:rPr>
                <w:rFonts w:ascii="Verdana" w:eastAsia="Calibri" w:hAnsi="Verdana" w:cs="Arial"/>
                <w:bCs/>
                <w:color w:val="000000" w:themeColor="text1"/>
                <w:lang w:val="es-ES_tradnl"/>
              </w:rPr>
              <w:t>iii</w:t>
            </w:r>
            <w:proofErr w:type="spellEnd"/>
            <w:r w:rsidRPr="00553F39">
              <w:rPr>
                <w:rFonts w:ascii="Verdana" w:eastAsia="Calibri" w:hAnsi="Verdana" w:cs="Arial"/>
                <w:bCs/>
                <w:color w:val="000000" w:themeColor="text1"/>
                <w:lang w:val="es-ES_tradnl"/>
              </w:rPr>
              <w:t>) la existencia de los bienes en el Registro de Productores de Bienes Nacionales, en los términos del Decreto 2680 de 2009.</w:t>
            </w:r>
          </w:p>
          <w:p w14:paraId="4108809F" w14:textId="10B54269" w:rsidR="00553F39" w:rsidRPr="00553F39" w:rsidRDefault="00553F39" w:rsidP="00553F39">
            <w:pPr>
              <w:widowControl w:val="0"/>
              <w:tabs>
                <w:tab w:val="left" w:pos="2143"/>
              </w:tabs>
              <w:autoSpaceDE w:val="0"/>
              <w:autoSpaceDN w:val="0"/>
              <w:spacing w:after="120" w:line="276" w:lineRule="auto"/>
              <w:jc w:val="both"/>
              <w:rPr>
                <w:rFonts w:ascii="Verdana" w:eastAsia="Calibri" w:hAnsi="Verdana" w:cs="Arial"/>
              </w:rPr>
            </w:pPr>
            <w:r w:rsidRPr="00553F39">
              <w:rPr>
                <w:rFonts w:ascii="Verdana" w:eastAsia="Arial" w:hAnsi="Verdana" w:cs="Arial"/>
                <w:bCs/>
                <w:lang w:eastAsia="es-ES" w:bidi="es-ES"/>
              </w:rPr>
              <w:t xml:space="preserve">Para la asignación de puntajes por apoyo a la industria nacional por promoción de servicios o con trato nacional, la entidad estatal deberá tener en cuenta que: i) el puntaje se asignará a los proponentes que se comprometan a adquirir uno, varios o todos los bienes nacionales relevantes, sin someter a condicionamientos la oferta, </w:t>
            </w:r>
            <w:proofErr w:type="spellStart"/>
            <w:r w:rsidRPr="00553F39">
              <w:rPr>
                <w:rFonts w:ascii="Verdana" w:eastAsia="Arial" w:hAnsi="Verdana" w:cs="Arial"/>
                <w:bCs/>
                <w:lang w:eastAsia="es-ES" w:bidi="es-ES"/>
              </w:rPr>
              <w:t>ii</w:t>
            </w:r>
            <w:proofErr w:type="spellEnd"/>
            <w:r w:rsidRPr="00553F39">
              <w:rPr>
                <w:rFonts w:ascii="Verdana" w:eastAsia="Arial" w:hAnsi="Verdana" w:cs="Arial"/>
                <w:bCs/>
                <w:lang w:eastAsia="es-ES" w:bidi="es-ES"/>
              </w:rPr>
              <w:t xml:space="preserve">) si la entidad determina la existencia de bienes nacionales relevantes, no se otorgará puntaje si el proponente no oferta alguno de esos bienes, </w:t>
            </w:r>
            <w:proofErr w:type="spellStart"/>
            <w:r w:rsidRPr="00553F39">
              <w:rPr>
                <w:rFonts w:ascii="Verdana" w:eastAsia="Arial" w:hAnsi="Verdana" w:cs="Arial"/>
                <w:bCs/>
                <w:lang w:eastAsia="es-ES" w:bidi="es-ES"/>
              </w:rPr>
              <w:t>iii</w:t>
            </w:r>
            <w:proofErr w:type="spellEnd"/>
            <w:r w:rsidRPr="00553F39">
              <w:rPr>
                <w:rFonts w:ascii="Verdana" w:eastAsia="Arial" w:hAnsi="Verdana" w:cs="Arial"/>
                <w:bCs/>
                <w:lang w:eastAsia="es-ES" w:bidi="es-ES"/>
              </w:rPr>
              <w:t xml:space="preserve">) si hay más de un bien nacional relevante, se otorgará el puntaje de forma proporcional a la cantidad de estos bienes −que el proponente se comprometa a incorporar a la ejecución del contrato− y dependiendo del porcentaje de participación de estos en el proceso de contratación, así mismo, una vez definido el porcentaje de participación de cada bien nacional relevante, entidad estatal otorgará el puntaje a cada proponente, </w:t>
            </w:r>
            <w:r w:rsidRPr="00553F39">
              <w:rPr>
                <w:rFonts w:ascii="Verdana" w:hAnsi="Verdana" w:cs="Arial"/>
                <w:iCs/>
              </w:rPr>
              <w:t xml:space="preserve">dependiendo de la cantidad de bienes nacionales relevantes ofertados y el puntaje individual asignado a cada uno de ello, sin que supere los veinte (20) puntos, y </w:t>
            </w:r>
            <w:proofErr w:type="spellStart"/>
            <w:r w:rsidRPr="00553F39">
              <w:rPr>
                <w:rFonts w:ascii="Verdana" w:hAnsi="Verdana" w:cs="Arial"/>
                <w:iCs/>
              </w:rPr>
              <w:t>iv</w:t>
            </w:r>
            <w:proofErr w:type="spellEnd"/>
            <w:r w:rsidRPr="00553F39">
              <w:rPr>
                <w:rFonts w:ascii="Verdana" w:hAnsi="Verdana" w:cs="Arial"/>
                <w:iCs/>
              </w:rPr>
              <w:t xml:space="preserve">) para el caso de los proponentes plurales, todos, varios o cualquiera de sus integrantes podrán incorporar todos o algunos de los bienes nacionales relevantes, además su composición, deberá estar acorde </w:t>
            </w:r>
            <w:r w:rsidRPr="00553F39">
              <w:rPr>
                <w:rFonts w:ascii="Verdana" w:hAnsi="Verdana" w:cs="Arial"/>
                <w:iCs/>
              </w:rPr>
              <w:lastRenderedPageBreak/>
              <w:t>con la definición de Servicios Nacionales prevista en el artículo 2.2.1.1.1.3.1 del Decreto 1082 de 2015, de lo que dependerá la franja del puntaje aplicable en lo referente con el apoyo de la industria nacional</w:t>
            </w:r>
            <w:r w:rsidRPr="00553F39">
              <w:rPr>
                <w:rFonts w:ascii="Verdana" w:hAnsi="Verdana" w:cs="Arial"/>
                <w:iCs/>
                <w:vertAlign w:val="superscript"/>
              </w:rPr>
              <w:footnoteReference w:id="1"/>
            </w:r>
            <w:r w:rsidRPr="00553F39">
              <w:rPr>
                <w:rFonts w:ascii="Verdana" w:hAnsi="Verdana" w:cs="Arial"/>
                <w:iCs/>
              </w:rPr>
              <w:t xml:space="preserve">. </w:t>
            </w:r>
          </w:p>
        </w:tc>
      </w:tr>
    </w:tbl>
    <w:p w14:paraId="194193F0" w14:textId="77777777" w:rsidR="00AB64A5" w:rsidRPr="006649D6"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649D6">
        <w:rPr>
          <w:rFonts w:ascii="Verdana" w:eastAsia="Century Gothic" w:hAnsi="Verdana" w:cs="Century Gothic"/>
          <w:b/>
          <w:bCs/>
        </w:rPr>
        <w:lastRenderedPageBreak/>
        <w:t>Razones de la respuesta:</w:t>
      </w:r>
    </w:p>
    <w:p w14:paraId="03D52260" w14:textId="77777777" w:rsidR="00AB64A5" w:rsidRPr="006649D6" w:rsidRDefault="00AB64A5" w:rsidP="00AB64A5">
      <w:pPr>
        <w:spacing w:after="0" w:line="276" w:lineRule="auto"/>
        <w:jc w:val="both"/>
        <w:rPr>
          <w:rFonts w:ascii="Verdana" w:eastAsia="Calibri" w:hAnsi="Verdana" w:cs="Arial"/>
          <w:color w:val="7030A0"/>
          <w:lang w:val="es-ES"/>
        </w:rPr>
      </w:pPr>
    </w:p>
    <w:p w14:paraId="22947B98" w14:textId="77777777" w:rsidR="00AB64A5" w:rsidRPr="006649D6" w:rsidRDefault="00AB64A5" w:rsidP="00AB64A5">
      <w:pPr>
        <w:spacing w:after="0" w:line="276" w:lineRule="auto"/>
        <w:jc w:val="both"/>
        <w:rPr>
          <w:rFonts w:ascii="Verdana" w:eastAsia="Calibri" w:hAnsi="Verdana" w:cs="Arial"/>
          <w:lang w:val="es-ES"/>
        </w:rPr>
      </w:pPr>
      <w:r w:rsidRPr="006649D6">
        <w:rPr>
          <w:rFonts w:ascii="Verdana" w:eastAsia="Calibri" w:hAnsi="Verdana" w:cs="Arial"/>
          <w:lang w:val="es-ES"/>
        </w:rPr>
        <w:t xml:space="preserve">Lo anterior se sustenta en las siguientes consideraciones: </w:t>
      </w:r>
    </w:p>
    <w:p w14:paraId="1B0B6DAD" w14:textId="77777777" w:rsidR="000E2148" w:rsidRPr="006649D6" w:rsidRDefault="000E2148" w:rsidP="00AB64A5">
      <w:pPr>
        <w:spacing w:after="0" w:line="276" w:lineRule="auto"/>
        <w:jc w:val="both"/>
        <w:rPr>
          <w:rFonts w:ascii="Verdana" w:eastAsia="Calibri" w:hAnsi="Verdana" w:cs="Arial"/>
          <w:lang w:val="es-ES"/>
        </w:rPr>
      </w:pPr>
    </w:p>
    <w:p w14:paraId="1AAA888B" w14:textId="65B9B15D" w:rsidR="006649D6" w:rsidRPr="006649D6" w:rsidRDefault="006649D6" w:rsidP="006649D6">
      <w:pPr>
        <w:pStyle w:val="Prrafodelista"/>
        <w:numPr>
          <w:ilvl w:val="0"/>
          <w:numId w:val="24"/>
        </w:numPr>
        <w:spacing w:after="120" w:line="276" w:lineRule="auto"/>
        <w:ind w:right="51"/>
        <w:jc w:val="both"/>
        <w:rPr>
          <w:rFonts w:ascii="Verdana" w:eastAsia="Arial" w:hAnsi="Verdana" w:cs="Arial"/>
          <w:lang w:val="es-ES" w:eastAsia="es-CO"/>
        </w:rPr>
      </w:pPr>
      <w:r w:rsidRPr="006649D6">
        <w:rPr>
          <w:rFonts w:ascii="Verdana" w:eastAsia="Arial" w:hAnsi="Verdana" w:cs="Arial"/>
          <w:lang w:val="es-ES" w:eastAsia="es-CO"/>
        </w:rPr>
        <w:t xml:space="preserve">La Ley 816 de 2003, </w:t>
      </w:r>
      <w:r w:rsidR="00553F39">
        <w:rPr>
          <w:rFonts w:ascii="Verdana" w:eastAsia="Arial" w:hAnsi="Verdana" w:cs="Arial"/>
          <w:lang w:val="es-ES" w:eastAsia="es-CO"/>
        </w:rPr>
        <w:t>“</w:t>
      </w:r>
      <w:r w:rsidRPr="006649D6">
        <w:rPr>
          <w:rFonts w:ascii="Verdana" w:eastAsia="Arial" w:hAnsi="Verdana" w:cs="Arial"/>
          <w:lang w:val="es-ES" w:eastAsia="es-CO"/>
        </w:rPr>
        <w:t>Por medio de la cual se apoya a la industria nacional a través de la contratación pública</w:t>
      </w:r>
      <w:r w:rsidR="00553F39">
        <w:rPr>
          <w:rFonts w:ascii="Verdana" w:eastAsia="Arial" w:hAnsi="Verdana" w:cs="Arial"/>
          <w:lang w:val="es-ES" w:eastAsia="es-CO"/>
        </w:rPr>
        <w:t>”</w:t>
      </w:r>
      <w:r w:rsidRPr="006649D6">
        <w:rPr>
          <w:rFonts w:ascii="Verdana" w:eastAsia="Arial" w:hAnsi="Verdana" w:cs="Arial"/>
          <w:lang w:val="es-ES" w:eastAsia="es-CO"/>
        </w:rPr>
        <w:t>, tiene como objetivo promover una mayor participación de los proveedores de bienes y servicios de origen colombiano en las compras de las entidades públicas. Así mismo, la referida Ley se adoptó con el propósito de crear un factor de preferencia para las propuestas que ofrezcan productos o servicios nacionales</w:t>
      </w:r>
      <w:r w:rsidRPr="006649D6">
        <w:rPr>
          <w:rFonts w:ascii="Verdana" w:hAnsi="Verdana"/>
          <w:vertAlign w:val="superscript"/>
          <w:lang w:eastAsia="es-CO"/>
        </w:rPr>
        <w:footnoteReference w:id="2"/>
      </w:r>
      <w:r w:rsidRPr="006649D6">
        <w:rPr>
          <w:rFonts w:ascii="Verdana" w:eastAsia="Arial" w:hAnsi="Verdana" w:cs="Arial"/>
          <w:lang w:val="es-ES" w:eastAsia="es-CO"/>
        </w:rPr>
        <w:t xml:space="preserve">. </w:t>
      </w:r>
    </w:p>
    <w:p w14:paraId="1B45027B" w14:textId="6BDD3A6E" w:rsidR="006649D6" w:rsidRPr="006649D6" w:rsidRDefault="006649D6" w:rsidP="006649D6">
      <w:pPr>
        <w:pStyle w:val="Prrafodelista"/>
        <w:numPr>
          <w:ilvl w:val="0"/>
          <w:numId w:val="24"/>
        </w:numPr>
        <w:tabs>
          <w:tab w:val="left" w:pos="0"/>
        </w:tabs>
        <w:spacing w:line="276" w:lineRule="auto"/>
        <w:jc w:val="both"/>
        <w:rPr>
          <w:rFonts w:ascii="Verdana" w:eastAsia="Calibri" w:hAnsi="Verdana" w:cs="Arial"/>
          <w:bCs/>
          <w:lang w:val="es-ES_tradnl"/>
        </w:rPr>
      </w:pPr>
      <w:r w:rsidRPr="006649D6">
        <w:rPr>
          <w:rFonts w:ascii="Verdana" w:eastAsia="Calibri" w:hAnsi="Verdana" w:cs="Arial"/>
          <w:bCs/>
          <w:lang w:val="es-ES_tradnl"/>
        </w:rPr>
        <w:t>Para el cumplimiento de tales fines, el artículo 1° dispone que las entidades estatales, en los procedimientos de selección que realicen, independientemente del régimen contractual que les sea aplicable, deben adoptar criterios que apoyen la industria nacional. En consonancia con ello, el parágrafo de dicho artículo indica que:</w:t>
      </w:r>
    </w:p>
    <w:p w14:paraId="71D6F75E" w14:textId="348EAB14"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58F93433" w14:textId="785FE910" w:rsidR="006649D6" w:rsidRPr="006649D6" w:rsidRDefault="006649D6" w:rsidP="006649D6">
      <w:pPr>
        <w:pStyle w:val="Prrafodelista"/>
        <w:numPr>
          <w:ilvl w:val="0"/>
          <w:numId w:val="25"/>
        </w:numPr>
        <w:tabs>
          <w:tab w:val="left" w:pos="0"/>
        </w:tabs>
        <w:spacing w:line="276" w:lineRule="auto"/>
        <w:jc w:val="both"/>
        <w:rPr>
          <w:rFonts w:ascii="Verdana" w:eastAsia="Calibri" w:hAnsi="Verdana" w:cs="Arial"/>
          <w:bCs/>
          <w:lang w:val="es-ES_tradnl"/>
        </w:rPr>
      </w:pPr>
      <w:r w:rsidRPr="006649D6">
        <w:rPr>
          <w:rFonts w:ascii="Verdana" w:eastAsia="Calibri" w:hAnsi="Verdana" w:cs="Arial"/>
          <w:bCs/>
          <w:lang w:val="es-ES_tradnl"/>
        </w:rPr>
        <w:lastRenderedPageBreak/>
        <w:t>En materia de contratación pública, dicho trato nacional es aplicable a los proponentes que ofrezcan bienes y servicios nacionales, de conformidad con las definiciones consagradas en el artículo 2.2.1.1.1.3.1 del Decreto 1082 de 2015, así como a los extranjeros que cumplan con los criterios que se encuentran regulados en el artículo 2.2.1.2.4.1.3. del mismo Decreto</w:t>
      </w:r>
      <w:r w:rsidRPr="006649D6">
        <w:rPr>
          <w:rFonts w:ascii="Verdana" w:hAnsi="Verdana"/>
          <w:vertAlign w:val="superscript"/>
          <w:lang w:val="es-ES_tradnl"/>
        </w:rPr>
        <w:footnoteReference w:id="3"/>
      </w:r>
      <w:r w:rsidRPr="006649D6">
        <w:rPr>
          <w:rFonts w:ascii="Verdana" w:eastAsia="Calibri" w:hAnsi="Verdana" w:cs="Arial"/>
          <w:bCs/>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2031979B" w14:textId="56EEA4C0"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2991DC1E"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5BB63753"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lastRenderedPageBreak/>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78754F7A"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477703D7" w14:textId="3D1EDE4E"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Si una vez efectuada la calificación correspondiente, la oferta de un proponente extranjero se encuentra en igualdad de condiciones con la de un proponente nacional, se adjudicará al nacional.”</w:t>
      </w:r>
    </w:p>
    <w:p w14:paraId="3BDB2726" w14:textId="77777777" w:rsidR="006649D6" w:rsidRPr="006649D6" w:rsidRDefault="006649D6" w:rsidP="006649D6">
      <w:pPr>
        <w:tabs>
          <w:tab w:val="left" w:pos="0"/>
        </w:tabs>
        <w:spacing w:line="276" w:lineRule="auto"/>
        <w:jc w:val="both"/>
        <w:rPr>
          <w:rFonts w:ascii="Verdana" w:eastAsia="Calibri" w:hAnsi="Verdana" w:cs="Arial"/>
          <w:bCs/>
          <w:color w:val="FF0000"/>
          <w:lang w:val="es-ES_tradnl"/>
        </w:rPr>
      </w:pPr>
      <w:r w:rsidRPr="006649D6">
        <w:rPr>
          <w:rFonts w:ascii="Verdana" w:eastAsia="Calibri" w:hAnsi="Verdana" w:cs="Arial"/>
          <w:bCs/>
          <w:color w:val="FF0000"/>
          <w:lang w:val="es-ES_tradnl"/>
        </w:rPr>
        <w:tab/>
      </w:r>
    </w:p>
    <w:p w14:paraId="6179A0B0" w14:textId="644322FC" w:rsidR="006649D6" w:rsidRPr="006649D6" w:rsidRDefault="006649D6" w:rsidP="006649D6">
      <w:pPr>
        <w:pStyle w:val="Prrafodelista"/>
        <w:numPr>
          <w:ilvl w:val="0"/>
          <w:numId w:val="25"/>
        </w:numPr>
        <w:tabs>
          <w:tab w:val="left" w:pos="0"/>
        </w:tabs>
        <w:spacing w:after="120" w:line="276" w:lineRule="auto"/>
        <w:jc w:val="both"/>
        <w:rPr>
          <w:rFonts w:ascii="Verdana" w:eastAsia="Calibri" w:hAnsi="Verdana" w:cs="Arial"/>
          <w:bCs/>
          <w:lang w:val="es-ES_tradnl"/>
        </w:rPr>
      </w:pPr>
      <w:bookmarkStart w:id="3" w:name="_Hlk100755932"/>
      <w:r w:rsidRPr="006649D6">
        <w:rPr>
          <w:rFonts w:ascii="Verdana" w:eastAsia="Calibri" w:hAnsi="Verdana" w:cs="Arial"/>
          <w:bCs/>
          <w:lang w:val="es-ES_tradnl"/>
        </w:rPr>
        <w:t>De acuerdo con esta norma, las ofertas de bienes y servicios nacionales –o extranjeros con derecho a trato nacional– deberán beneficiarse de la obtención de un puntaje comprendido entre el diez (10) y el veinte por ciento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o en el documento equivalente, debe fijar los criterios de asignación de puntaje –o factores de evaluación–. De este modo, las entidades cuentan con la discrecionalidad administrativa para determinar a partir de qué elementos o circunstancias se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12166F82" w14:textId="335E6B83" w:rsidR="006649D6" w:rsidRPr="006649D6" w:rsidRDefault="006649D6" w:rsidP="006649D6">
      <w:pPr>
        <w:pStyle w:val="Prrafodelista"/>
        <w:numPr>
          <w:ilvl w:val="0"/>
          <w:numId w:val="25"/>
        </w:numPr>
        <w:tabs>
          <w:tab w:val="left" w:pos="0"/>
        </w:tabs>
        <w:spacing w:before="120" w:after="120" w:line="276" w:lineRule="auto"/>
        <w:jc w:val="both"/>
        <w:rPr>
          <w:rFonts w:ascii="Verdana" w:eastAsia="Calibri" w:hAnsi="Verdana" w:cs="Arial"/>
          <w:bCs/>
          <w:lang w:val="es-ES_tradnl"/>
        </w:rPr>
      </w:pPr>
      <w:bookmarkStart w:id="4" w:name="_Hlk100348291"/>
      <w:r w:rsidRPr="006649D6">
        <w:rPr>
          <w:rFonts w:ascii="Verdana" w:eastAsia="Calibri" w:hAnsi="Verdana" w:cs="Arial"/>
          <w:bCs/>
          <w:lang w:val="es-ES_tradnl"/>
        </w:rPr>
        <w:t xml:space="preserve">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00553F39">
        <w:rPr>
          <w:rFonts w:ascii="Verdana" w:eastAsia="Calibri" w:hAnsi="Verdana" w:cs="Arial"/>
          <w:bCs/>
          <w:lang w:val="es-ES_tradnl"/>
        </w:rPr>
        <w:t>“</w:t>
      </w:r>
      <w:r w:rsidRPr="006649D6">
        <w:rPr>
          <w:rFonts w:ascii="Verdana" w:eastAsia="Calibri" w:hAnsi="Verdana" w:cs="Arial"/>
          <w:lang w:val="es-ES_tradnl"/>
        </w:rPr>
        <w:t xml:space="preserve">[…] </w:t>
      </w:r>
      <w:r w:rsidRPr="006649D6">
        <w:rPr>
          <w:rFonts w:ascii="Verdana" w:eastAsia="Calibri" w:hAnsi="Verdana" w:cs="Arial"/>
          <w:bCs/>
          <w:lang w:val="es-ES_tradnl"/>
        </w:rPr>
        <w:t>un puntaje comprendido entre el diez (10) y el veinte por ciento (20%)</w:t>
      </w:r>
      <w:r w:rsidR="00553F39">
        <w:rPr>
          <w:rFonts w:ascii="Verdana" w:eastAsia="Calibri" w:hAnsi="Verdana" w:cs="Arial"/>
          <w:bCs/>
          <w:lang w:val="es-ES_tradnl"/>
        </w:rPr>
        <w:t>”</w:t>
      </w:r>
      <w:r w:rsidRPr="006649D6">
        <w:rPr>
          <w:rFonts w:ascii="Verdana" w:eastAsia="Calibri" w:hAnsi="Verdana" w:cs="Arial"/>
          <w:bCs/>
          <w:lang w:val="es-ES_tradnl"/>
        </w:rPr>
        <w:t xml:space="preserve"> para estimular la industria nacional, cuando se oferten bienes o servicios nacionales</w:t>
      </w:r>
      <w:r w:rsidR="00553F39">
        <w:rPr>
          <w:rFonts w:ascii="Verdana" w:eastAsia="Calibri" w:hAnsi="Verdana" w:cs="Arial"/>
          <w:bCs/>
          <w:lang w:val="es-ES_tradnl"/>
        </w:rPr>
        <w:t>”</w:t>
      </w:r>
      <w:r w:rsidRPr="006649D6">
        <w:rPr>
          <w:rFonts w:ascii="Verdana" w:eastAsia="Calibri" w:hAnsi="Verdana" w:cs="Arial"/>
          <w:bCs/>
          <w:lang w:val="es-ES_tradnl"/>
        </w:rPr>
        <w:t xml:space="preserve"> –inciso primero o </w:t>
      </w:r>
      <w:r w:rsidR="00553F39">
        <w:rPr>
          <w:rFonts w:ascii="Verdana" w:eastAsia="Calibri" w:hAnsi="Verdana" w:cs="Arial"/>
          <w:bCs/>
          <w:lang w:val="es-ES_tradnl"/>
        </w:rPr>
        <w:t>“</w:t>
      </w:r>
      <w:r w:rsidRPr="006649D6">
        <w:rPr>
          <w:rFonts w:ascii="Verdana" w:eastAsia="Calibri" w:hAnsi="Verdana" w:cs="Arial"/>
          <w:bCs/>
          <w:lang w:val="es-ES_tradnl"/>
        </w:rPr>
        <w:t>Franja 1</w:t>
      </w:r>
      <w:r w:rsidR="00553F39">
        <w:rPr>
          <w:rFonts w:ascii="Verdana" w:eastAsia="Calibri" w:hAnsi="Verdana" w:cs="Arial"/>
          <w:bCs/>
          <w:lang w:val="es-ES_tradnl"/>
        </w:rPr>
        <w:t>”</w:t>
      </w:r>
      <w:r w:rsidRPr="006649D6">
        <w:rPr>
          <w:rFonts w:ascii="Verdana" w:eastAsia="Calibri" w:hAnsi="Verdana" w:cs="Arial"/>
          <w:bCs/>
          <w:lang w:val="es-ES_tradnl"/>
        </w:rPr>
        <w:t xml:space="preserve">–. Adicionalmente, la norma indica que, si no se ofertan bienes o servicios nacionales, sino bienes o servicios </w:t>
      </w:r>
      <w:r w:rsidRPr="006649D6">
        <w:rPr>
          <w:rFonts w:ascii="Verdana" w:eastAsia="Calibri" w:hAnsi="Verdana" w:cs="Arial"/>
          <w:bCs/>
          <w:i/>
          <w:iCs/>
          <w:lang w:val="es-ES_tradnl"/>
        </w:rPr>
        <w:t>extranjeros</w:t>
      </w:r>
      <w:r w:rsidRPr="006649D6">
        <w:rPr>
          <w:rFonts w:ascii="Verdana" w:eastAsia="Calibri" w:hAnsi="Verdana" w:cs="Arial"/>
          <w:bCs/>
          <w:lang w:val="es-ES_tradnl"/>
        </w:rPr>
        <w:t xml:space="preserve">, </w:t>
      </w:r>
      <w:r w:rsidR="00553F39">
        <w:rPr>
          <w:rFonts w:ascii="Verdana" w:eastAsia="Calibri" w:hAnsi="Verdana" w:cs="Arial"/>
          <w:bCs/>
          <w:lang w:val="es-ES_tradnl"/>
        </w:rPr>
        <w:t>“</w:t>
      </w:r>
      <w:r w:rsidRPr="006649D6">
        <w:rPr>
          <w:rFonts w:ascii="Verdana" w:eastAsia="Calibri" w:hAnsi="Verdana" w:cs="Arial"/>
          <w:bCs/>
          <w:lang w:val="es-ES_tradnl"/>
        </w:rPr>
        <w:t xml:space="preserve">[…] la entidad contratante establecerá un puntaje comprendido entre el cinco (5) y el quince por ciento (15%), para incentivar la incorporación de componente colombiano de bienes y </w:t>
      </w:r>
      <w:r w:rsidRPr="006649D6">
        <w:rPr>
          <w:rFonts w:ascii="Verdana" w:eastAsia="Calibri" w:hAnsi="Verdana" w:cs="Arial"/>
          <w:bCs/>
          <w:lang w:val="es-ES_tradnl"/>
        </w:rPr>
        <w:lastRenderedPageBreak/>
        <w:t>servicios profesionales, técnicos y operativos</w:t>
      </w:r>
      <w:r w:rsidR="00553F39">
        <w:rPr>
          <w:rFonts w:ascii="Verdana" w:eastAsia="Calibri" w:hAnsi="Verdana" w:cs="Arial"/>
          <w:bCs/>
          <w:lang w:val="es-ES_tradnl"/>
        </w:rPr>
        <w:t>”</w:t>
      </w:r>
      <w:r w:rsidRPr="006649D6">
        <w:rPr>
          <w:rFonts w:ascii="Verdana" w:eastAsia="Calibri" w:hAnsi="Verdana" w:cs="Arial"/>
          <w:bCs/>
          <w:lang w:val="es-ES_tradnl"/>
        </w:rPr>
        <w:t xml:space="preserve"> –inciso segundo o </w:t>
      </w:r>
      <w:r w:rsidR="00553F39">
        <w:rPr>
          <w:rFonts w:ascii="Verdana" w:eastAsia="Calibri" w:hAnsi="Verdana" w:cs="Arial"/>
          <w:bCs/>
        </w:rPr>
        <w:t>“</w:t>
      </w:r>
      <w:r w:rsidRPr="006649D6">
        <w:rPr>
          <w:rFonts w:ascii="Verdana" w:eastAsia="Calibri" w:hAnsi="Verdana" w:cs="Arial"/>
          <w:bCs/>
          <w:lang w:val="es-ES_tradnl"/>
        </w:rPr>
        <w:t>Franja 2</w:t>
      </w:r>
      <w:r w:rsidR="00553F39">
        <w:rPr>
          <w:rFonts w:ascii="Verdana" w:eastAsia="Calibri" w:hAnsi="Verdana" w:cs="Arial"/>
          <w:bCs/>
          <w:lang w:val="es-ES_tradnl"/>
        </w:rPr>
        <w:t>”</w:t>
      </w:r>
      <w:r w:rsidRPr="006649D6">
        <w:rPr>
          <w:rFonts w:ascii="Verdana" w:eastAsia="Calibri" w:hAnsi="Verdana" w:cs="Arial"/>
          <w:bCs/>
          <w:lang w:val="es-ES_tradnl"/>
        </w:rPr>
        <w:t xml:space="preserve">–. </w:t>
      </w:r>
    </w:p>
    <w:bookmarkEnd w:id="3"/>
    <w:bookmarkEnd w:id="4"/>
    <w:p w14:paraId="01C09377" w14:textId="5F9AAD55" w:rsidR="006649D6" w:rsidRPr="006649D6" w:rsidRDefault="006649D6" w:rsidP="006649D6">
      <w:pPr>
        <w:pStyle w:val="Prrafodelista"/>
        <w:numPr>
          <w:ilvl w:val="0"/>
          <w:numId w:val="25"/>
        </w:numPr>
        <w:spacing w:line="276" w:lineRule="auto"/>
        <w:jc w:val="both"/>
        <w:rPr>
          <w:rFonts w:ascii="Verdana" w:eastAsia="Calibri" w:hAnsi="Verdana" w:cs="Arial"/>
          <w:bCs/>
          <w:lang w:val="es-ES_tradnl"/>
        </w:rPr>
      </w:pPr>
      <w:r w:rsidRPr="006649D6">
        <w:rPr>
          <w:rFonts w:ascii="Verdana" w:eastAsia="Calibri" w:hAnsi="Verdana" w:cs="Arial"/>
          <w:bCs/>
          <w:lang w:val="es-ES_tradnl"/>
        </w:rPr>
        <w:t xml:space="preserve">Aclarado el alcance de la norma que promueve el factor de evaluación de apoyo a la industria nacional en las compras públicas, es importante señalar que la aplicación del puntaje al que se refiere el artículo 2 de la Ley 816 de 2003 fue reglamentada mediante el Decreto 680 de 2021. Por lo tanto, ha de tenerse en cuenta la nueva regulación de la regla de origen contemplada en este Decreto. En primer lugar, el artículo 1° modificó parcialmente el artículo 2.2.1.1.1.3.1. del Decreto 1082 de 2015, para definir los </w:t>
      </w:r>
      <w:r w:rsidRPr="006649D6">
        <w:rPr>
          <w:rFonts w:ascii="Verdana" w:eastAsia="Calibri" w:hAnsi="Verdana" w:cs="Arial"/>
          <w:bCs/>
          <w:i/>
          <w:iCs/>
          <w:lang w:val="es-ES_tradnl"/>
        </w:rPr>
        <w:t>Servicios Nacionales</w:t>
      </w:r>
      <w:r w:rsidRPr="006649D6">
        <w:rPr>
          <w:rFonts w:ascii="Verdana" w:eastAsia="Calibri" w:hAnsi="Verdana" w:cs="Arial"/>
          <w:bCs/>
          <w:lang w:val="es-ES_tradnl"/>
        </w:rPr>
        <w:t xml:space="preserve"> de una forma distinta, en los siguientes términos:</w:t>
      </w:r>
    </w:p>
    <w:p w14:paraId="53E5E969" w14:textId="77777777" w:rsidR="006649D6" w:rsidRPr="006649D6" w:rsidRDefault="006649D6" w:rsidP="006649D6">
      <w:pPr>
        <w:spacing w:line="276" w:lineRule="auto"/>
        <w:contextualSpacing/>
        <w:jc w:val="both"/>
        <w:rPr>
          <w:rFonts w:ascii="Verdana" w:eastAsia="Calibri" w:hAnsi="Verdana" w:cs="Arial"/>
          <w:bCs/>
          <w:color w:val="FF0000"/>
          <w:szCs w:val="20"/>
          <w:lang w:val="es-ES_tradnl"/>
        </w:rPr>
      </w:pPr>
    </w:p>
    <w:p w14:paraId="36384F4B" w14:textId="3F3F4ACD"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946BB2D"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19877967"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7D4925E7"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7A4005AD" w14:textId="2E1E5BFF"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 xml:space="preserve">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w:t>
      </w:r>
      <w:r w:rsidRPr="006649D6">
        <w:rPr>
          <w:rFonts w:ascii="Verdana" w:eastAsia="Calibri" w:hAnsi="Verdana" w:cs="Arial"/>
          <w:bCs/>
          <w:sz w:val="21"/>
          <w:szCs w:val="21"/>
          <w:lang w:val="es-ES_tradnl"/>
        </w:rPr>
        <w:lastRenderedPageBreak/>
        <w:t>regla de origen a aplicar, la Entidad Estatal deberá evaluar la oferta de acuerdo con la regla de origen aquí prevista.”</w:t>
      </w:r>
    </w:p>
    <w:p w14:paraId="39C610F0" w14:textId="08188B42" w:rsidR="006649D6" w:rsidRPr="006649D6" w:rsidRDefault="006649D6" w:rsidP="006649D6">
      <w:pPr>
        <w:pStyle w:val="Prrafodelista"/>
        <w:numPr>
          <w:ilvl w:val="0"/>
          <w:numId w:val="26"/>
        </w:numPr>
        <w:tabs>
          <w:tab w:val="left" w:pos="0"/>
        </w:tabs>
        <w:spacing w:after="120" w:line="276" w:lineRule="auto"/>
        <w:jc w:val="both"/>
        <w:rPr>
          <w:rFonts w:ascii="Verdana" w:eastAsia="Calibri" w:hAnsi="Verdana" w:cs="Arial"/>
          <w:bCs/>
          <w:szCs w:val="20"/>
          <w:lang w:val="es-ES_tradnl"/>
        </w:rPr>
      </w:pPr>
      <w:bookmarkStart w:id="5" w:name="_Hlk86820071"/>
      <w:r w:rsidRPr="006649D6">
        <w:rPr>
          <w:rFonts w:ascii="Verdana" w:eastAsia="Calibri" w:hAnsi="Verdana" w:cs="Arial"/>
          <w:bCs/>
          <w:szCs w:val="20"/>
          <w:lang w:val="es-ES_tradnl"/>
        </w:rPr>
        <w:t xml:space="preserve">De acuerdo con lo anterior, </w:t>
      </w:r>
      <w:bookmarkStart w:id="6" w:name="_Hlk100755966"/>
      <w:r w:rsidRPr="006649D6">
        <w:rPr>
          <w:rFonts w:ascii="Verdana" w:eastAsia="Calibri" w:hAnsi="Verdana" w:cs="Arial"/>
          <w:bCs/>
          <w:szCs w:val="20"/>
          <w:lang w:val="es-ES_tradnl"/>
        </w:rPr>
        <w:t xml:space="preserve">la noción de </w:t>
      </w:r>
      <w:r w:rsidRPr="006649D6">
        <w:rPr>
          <w:rFonts w:ascii="Verdana" w:eastAsia="Calibri" w:hAnsi="Verdana" w:cs="Arial"/>
          <w:bCs/>
          <w:i/>
          <w:iCs/>
          <w:szCs w:val="20"/>
          <w:lang w:val="es-ES_tradnl"/>
        </w:rPr>
        <w:t>Servicios Nacionales</w:t>
      </w:r>
      <w:r w:rsidRPr="006649D6">
        <w:rPr>
          <w:rFonts w:ascii="Verdana" w:eastAsia="Calibri" w:hAnsi="Verdana" w:cs="Arial"/>
          <w:bCs/>
          <w:szCs w:val="20"/>
          <w:lang w:val="es-ES_tradnl"/>
        </w:rPr>
        <w:t xml:space="preserve"> no está determinada únicamente por la naturaleza jurídica de </w:t>
      </w:r>
      <w:bookmarkStart w:id="7" w:name="_Hlk100348480"/>
      <w:r w:rsidRPr="006649D6">
        <w:rPr>
          <w:rFonts w:ascii="Verdana" w:eastAsia="Calibri" w:hAnsi="Verdana" w:cs="Arial"/>
          <w:bCs/>
          <w:szCs w:val="20"/>
          <w:lang w:val="es-ES_tradnl"/>
        </w:rPr>
        <w:t xml:space="preserve">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6649D6">
        <w:rPr>
          <w:rFonts w:ascii="Verdana" w:eastAsia="Calibri" w:hAnsi="Verdana" w:cs="Arial"/>
          <w:bCs/>
          <w:i/>
          <w:iCs/>
          <w:szCs w:val="20"/>
          <w:lang w:val="es-ES_tradnl"/>
        </w:rPr>
        <w:t xml:space="preserve">Servicios Nacionales </w:t>
      </w:r>
      <w:r w:rsidRPr="006649D6">
        <w:rPr>
          <w:rFonts w:ascii="Verdana" w:eastAsia="Calibri" w:hAnsi="Verdana" w:cs="Arial"/>
          <w:bCs/>
          <w:szCs w:val="20"/>
          <w:lang w:val="es-ES_tradnl"/>
        </w:rPr>
        <w:t xml:space="preserve">remite a la noción de </w:t>
      </w:r>
      <w:r w:rsidRPr="006649D6">
        <w:rPr>
          <w:rFonts w:ascii="Verdana" w:eastAsia="Calibri" w:hAnsi="Verdana" w:cs="Arial"/>
          <w:bCs/>
          <w:i/>
          <w:iCs/>
          <w:szCs w:val="20"/>
          <w:lang w:val="es-ES_tradnl"/>
        </w:rPr>
        <w:t>Bienes Nacionales</w:t>
      </w:r>
      <w:r w:rsidRPr="006649D6">
        <w:rPr>
          <w:rFonts w:ascii="Verdana" w:eastAsia="Calibri" w:hAnsi="Verdana" w:cs="Arial"/>
          <w:bCs/>
          <w:szCs w:val="20"/>
          <w:lang w:val="es-ES_tradnl"/>
        </w:rPr>
        <w:t xml:space="preserve"> establecida en el mismo artículo 2.2.1.1.1.3.1. del Decreto 1082 de 2015, que dispone que son aquellos </w:t>
      </w:r>
      <w:r w:rsidR="00553F39">
        <w:rPr>
          <w:rFonts w:ascii="Verdana" w:eastAsia="Calibri" w:hAnsi="Verdana" w:cs="Arial"/>
          <w:bCs/>
          <w:szCs w:val="20"/>
          <w:lang w:val="es-ES_tradnl"/>
        </w:rPr>
        <w:t>“</w:t>
      </w:r>
      <w:r w:rsidRPr="006649D6">
        <w:rPr>
          <w:rFonts w:ascii="Verdana" w:eastAsia="Calibri" w:hAnsi="Verdana" w:cs="Arial"/>
          <w:bCs/>
          <w:szCs w:val="20"/>
          <w:lang w:val="es-ES_tradnl"/>
        </w:rPr>
        <w:t>Bienes definidos como nacionales en el Registro de Productores de Bienes Nacionales, de conformidad con el Decreto 2680 de 2009 o las normas que lo modifiquen, aclaren, adicionen o sustituyan</w:t>
      </w:r>
      <w:r w:rsidR="00553F39">
        <w:rPr>
          <w:rFonts w:ascii="Verdana" w:eastAsia="Calibri" w:hAnsi="Verdana" w:cs="Arial"/>
          <w:bCs/>
          <w:szCs w:val="20"/>
          <w:lang w:val="es-ES_tradnl"/>
        </w:rPr>
        <w:t>”</w:t>
      </w:r>
      <w:r w:rsidRPr="006649D6">
        <w:rPr>
          <w:rFonts w:ascii="Verdana" w:eastAsia="Calibri" w:hAnsi="Verdana" w:cs="Arial"/>
          <w:bCs/>
          <w:szCs w:val="20"/>
          <w:lang w:val="es-ES_tradnl"/>
        </w:rPr>
        <w:t xml:space="preserve">. El artículo 1° del Decreto 2680 de 2009 señala que </w:t>
      </w:r>
      <w:r w:rsidR="00553F39">
        <w:rPr>
          <w:rFonts w:ascii="Verdana" w:eastAsia="Calibri" w:hAnsi="Verdana" w:cs="Arial"/>
          <w:bCs/>
          <w:szCs w:val="20"/>
          <w:lang w:val="es-ES_tradnl"/>
        </w:rPr>
        <w:t>“</w:t>
      </w:r>
      <w:r w:rsidRPr="006649D6">
        <w:rPr>
          <w:rFonts w:ascii="Verdana" w:eastAsia="Calibri" w:hAnsi="Verdana" w:cs="Arial"/>
          <w:bCs/>
          <w:szCs w:val="20"/>
          <w:lang w:val="es-ES_tradnl"/>
        </w:rPr>
        <w:t>Se entiende como bienes nacionales, aquellos bienes totalmente obtenidos, bienes elaborados con materiales nacionales o productos que sufran una transformación sustancial de conformidad con lo previsto en el presente decreto</w:t>
      </w:r>
      <w:bookmarkEnd w:id="5"/>
      <w:r w:rsidR="00553F39">
        <w:rPr>
          <w:rFonts w:ascii="Verdana" w:eastAsia="Calibri" w:hAnsi="Verdana" w:cs="Arial"/>
          <w:bCs/>
          <w:szCs w:val="20"/>
          <w:lang w:val="es-ES_tradnl"/>
        </w:rPr>
        <w:t>”</w:t>
      </w:r>
      <w:r w:rsidRPr="006649D6">
        <w:rPr>
          <w:rFonts w:ascii="Verdana" w:eastAsia="Calibri" w:hAnsi="Verdana" w:cs="Arial"/>
          <w:bCs/>
          <w:szCs w:val="20"/>
          <w:lang w:val="es-ES_tradnl"/>
        </w:rPr>
        <w:t>.</w:t>
      </w:r>
      <w:bookmarkEnd w:id="7"/>
    </w:p>
    <w:bookmarkEnd w:id="6"/>
    <w:p w14:paraId="7E848F6A" w14:textId="46CD6717" w:rsidR="006649D6" w:rsidRPr="006649D6" w:rsidRDefault="006649D6" w:rsidP="006649D6">
      <w:pPr>
        <w:pStyle w:val="Prrafodelista"/>
        <w:numPr>
          <w:ilvl w:val="0"/>
          <w:numId w:val="26"/>
        </w:numPr>
        <w:tabs>
          <w:tab w:val="left" w:pos="0"/>
        </w:tabs>
        <w:spacing w:before="120" w:after="120" w:line="276" w:lineRule="auto"/>
        <w:jc w:val="both"/>
        <w:rPr>
          <w:rFonts w:ascii="Verdana" w:eastAsia="Calibri" w:hAnsi="Verdana" w:cs="Arial"/>
          <w:bCs/>
          <w:szCs w:val="20"/>
          <w:lang w:val="es-ES_tradnl"/>
        </w:rPr>
      </w:pPr>
      <w:r w:rsidRPr="006649D6">
        <w:rPr>
          <w:rFonts w:ascii="Verdana" w:eastAsia="Calibri" w:hAnsi="Verdana" w:cs="Arial"/>
          <w:bCs/>
          <w:szCs w:val="20"/>
          <w:lang w:val="es-ES_tradnl"/>
        </w:rPr>
        <w:t xml:space="preserve">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w:t>
      </w:r>
      <w:r w:rsidR="00553F39">
        <w:rPr>
          <w:rFonts w:ascii="Verdana" w:eastAsia="Calibri" w:hAnsi="Verdana" w:cs="Arial"/>
          <w:bCs/>
          <w:szCs w:val="20"/>
          <w:lang w:val="es-ES_tradnl"/>
        </w:rPr>
        <w:t>“</w:t>
      </w:r>
      <w:r w:rsidRPr="006649D6">
        <w:rPr>
          <w:rFonts w:ascii="Verdana" w:eastAsia="Calibri" w:hAnsi="Verdana" w:cs="Arial"/>
          <w:bCs/>
          <w:szCs w:val="20"/>
          <w:lang w:val="es-ES_tradnl"/>
        </w:rPr>
        <w:t>por una persona natural colombiana o por un residente en Colombia, por una persona jurídica constituida de conformidad con la legislación colombiana o un proponente plural conformado por estos</w:t>
      </w:r>
      <w:r w:rsidR="00553F39">
        <w:rPr>
          <w:rFonts w:ascii="Verdana" w:eastAsia="Calibri" w:hAnsi="Verdana" w:cs="Arial"/>
          <w:bCs/>
          <w:szCs w:val="20"/>
          <w:lang w:val="es-ES_tradnl"/>
        </w:rPr>
        <w:t>”</w:t>
      </w:r>
      <w:r w:rsidRPr="006649D6">
        <w:rPr>
          <w:rFonts w:ascii="Verdana" w:eastAsia="Calibri" w:hAnsi="Verdana" w:cs="Arial"/>
          <w:bCs/>
          <w:szCs w:val="20"/>
          <w:lang w:val="es-ES_tradnl"/>
        </w:rPr>
        <w:t>. Lo anterior en consonancia con el artículo 1° del Decreto 680 de 2021.</w:t>
      </w:r>
    </w:p>
    <w:p w14:paraId="3E7ED99B" w14:textId="77777777" w:rsidR="006649D6" w:rsidRPr="006649D6" w:rsidRDefault="006649D6" w:rsidP="006649D6">
      <w:pPr>
        <w:pStyle w:val="Prrafodelista"/>
        <w:numPr>
          <w:ilvl w:val="0"/>
          <w:numId w:val="26"/>
        </w:numPr>
        <w:tabs>
          <w:tab w:val="left" w:pos="0"/>
        </w:tabs>
        <w:spacing w:before="120" w:after="120" w:line="276" w:lineRule="auto"/>
        <w:jc w:val="both"/>
        <w:rPr>
          <w:rFonts w:ascii="Verdana" w:eastAsia="Calibri" w:hAnsi="Verdana" w:cs="Arial"/>
          <w:bCs/>
          <w:szCs w:val="20"/>
          <w:lang w:val="es-ES_tradnl"/>
        </w:rPr>
      </w:pPr>
      <w:r w:rsidRPr="006649D6">
        <w:rPr>
          <w:rFonts w:ascii="Verdana" w:eastAsia="Calibri" w:hAnsi="Verdana" w:cs="Arial"/>
          <w:bCs/>
          <w:szCs w:val="20"/>
          <w:lang w:val="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w:t>
      </w:r>
      <w:r w:rsidRPr="006649D6">
        <w:rPr>
          <w:rFonts w:ascii="Verdana" w:eastAsia="Calibri" w:hAnsi="Verdana" w:cs="Arial"/>
          <w:bCs/>
          <w:szCs w:val="20"/>
          <w:lang w:val="es-ES_tradnl"/>
        </w:rPr>
        <w:lastRenderedPageBreak/>
        <w:t xml:space="preserve">correspondientes países o la contemplada en los respectivos Acuerdos Comerciales. Esto es aplicable a oferentes de países con Acuerdos Comerciales vigentes, los provenientes de países que tengan trato nacional por reciprocidad y a los miembros de la Comunidad Andina de Naciones.  </w:t>
      </w:r>
    </w:p>
    <w:p w14:paraId="236EF224" w14:textId="77777777" w:rsidR="006649D6" w:rsidRPr="006649D6" w:rsidRDefault="006649D6" w:rsidP="006649D6">
      <w:pPr>
        <w:pStyle w:val="Prrafodelista"/>
        <w:numPr>
          <w:ilvl w:val="0"/>
          <w:numId w:val="26"/>
        </w:numPr>
        <w:tabs>
          <w:tab w:val="left" w:pos="0"/>
        </w:tabs>
        <w:spacing w:line="276" w:lineRule="auto"/>
        <w:jc w:val="both"/>
        <w:rPr>
          <w:rFonts w:ascii="Verdana" w:eastAsia="Calibri" w:hAnsi="Verdana" w:cs="Arial"/>
          <w:bCs/>
          <w:szCs w:val="20"/>
          <w:lang w:val="es-ES_tradnl"/>
        </w:rPr>
      </w:pPr>
      <w:r w:rsidRPr="006649D6">
        <w:rPr>
          <w:rFonts w:ascii="Verdana" w:eastAsia="Calibri" w:hAnsi="Verdana" w:cs="Arial"/>
          <w:bCs/>
          <w:szCs w:val="20"/>
          <w:lang w:val="es-ES_tradnl"/>
        </w:rPr>
        <w:t xml:space="preserve">De otra parte, el Decreto 680 de 2021 consagra, en su artículo 2, unos lineamientos que deben seguir las entidades estatales para definir los </w:t>
      </w:r>
      <w:r w:rsidRPr="006649D6">
        <w:rPr>
          <w:rFonts w:ascii="Verdana" w:eastAsia="Calibri" w:hAnsi="Verdana" w:cs="Arial"/>
          <w:bCs/>
          <w:i/>
          <w:iCs/>
          <w:szCs w:val="20"/>
          <w:lang w:val="es-ES_tradnl"/>
        </w:rPr>
        <w:t>bienes colombianos relevantes</w:t>
      </w:r>
      <w:r w:rsidRPr="006649D6">
        <w:rPr>
          <w:rFonts w:ascii="Verdana" w:eastAsia="Calibri" w:hAnsi="Verdana" w:cs="Arial"/>
          <w:bCs/>
          <w:szCs w:val="20"/>
          <w:lang w:val="es-ES_tradnl"/>
        </w:rPr>
        <w:t xml:space="preserve"> y otorgar el puntaje de que trata el inciso 1° del artículo 2 de la Ley 816 de 2003. En efecto, el artículo 2 del Decreto en comento, establece: </w:t>
      </w:r>
    </w:p>
    <w:p w14:paraId="724C18F4"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6C664C96" w14:textId="67A4145A"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2B9511C0"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10D6C4F3" w14:textId="7A1CE77C" w:rsidR="006649D6" w:rsidRPr="006649D6" w:rsidRDefault="00553F39" w:rsidP="006649D6">
      <w:pPr>
        <w:tabs>
          <w:tab w:val="left" w:pos="0"/>
        </w:tabs>
        <w:ind w:left="709" w:right="709"/>
        <w:contextualSpacing/>
        <w:jc w:val="both"/>
        <w:rPr>
          <w:rFonts w:ascii="Verdana" w:eastAsia="Calibri" w:hAnsi="Verdana" w:cs="Arial"/>
          <w:bCs/>
          <w:sz w:val="21"/>
          <w:szCs w:val="21"/>
          <w:lang w:val="es-ES_tradnl"/>
        </w:rPr>
      </w:pPr>
      <w:r>
        <w:rPr>
          <w:rFonts w:ascii="Verdana" w:eastAsia="Calibri" w:hAnsi="Verdana" w:cs="Arial"/>
          <w:bCs/>
          <w:sz w:val="21"/>
          <w:szCs w:val="21"/>
          <w:lang w:val="es-ES_tradnl"/>
        </w:rPr>
        <w:t>“</w:t>
      </w:r>
      <w:r w:rsidR="006649D6" w:rsidRPr="006649D6">
        <w:rPr>
          <w:rFonts w:ascii="Verdana" w:eastAsia="Calibri" w:hAnsi="Verdana" w:cs="Arial"/>
          <w:bCs/>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1A4E5BB9"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4B217996"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En los contratos que deban cumplirse en Colombia, la Entidad Estatal definirá de manera razonable y proporcionada los bienes colombianos relevantes teniendo en cuenta:</w:t>
      </w:r>
    </w:p>
    <w:p w14:paraId="5E423DDE"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2E4C4757"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1. El análisis del sector económico y de los oferentes, y, toda aquella información adicional con la que cuente la Entidad Estatal en la etapa de planeación del Proceso de Contratación;</w:t>
      </w:r>
    </w:p>
    <w:p w14:paraId="3F599857"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6B36233C"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2. El porcentaje de participación de los bienes en el presupuesto del Proceso de Contratación; y</w:t>
      </w:r>
    </w:p>
    <w:p w14:paraId="16F2A8A4"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763C4828"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3. La existencia de los bienes en el Registro de Productores de Bienes Nacionales, en los términos del Decreto 2680 de 2009 o las normas que lo modifiquen, aclaren, adicionen o sustituyan.</w:t>
      </w:r>
    </w:p>
    <w:p w14:paraId="01A929A9"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51AFE713"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6440A3F6" w14:textId="77777777"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p>
    <w:p w14:paraId="1EDEF46D" w14:textId="79E041DC" w:rsidR="006649D6" w:rsidRPr="006649D6" w:rsidRDefault="006649D6" w:rsidP="006649D6">
      <w:pPr>
        <w:tabs>
          <w:tab w:val="left" w:pos="0"/>
        </w:tabs>
        <w:ind w:left="709" w:right="709"/>
        <w:contextualSpacing/>
        <w:jc w:val="both"/>
        <w:rPr>
          <w:rFonts w:ascii="Verdana" w:eastAsia="Calibri" w:hAnsi="Verdana" w:cs="Arial"/>
          <w:bCs/>
          <w:sz w:val="21"/>
          <w:szCs w:val="21"/>
          <w:lang w:val="es-ES_tradnl"/>
        </w:rPr>
      </w:pPr>
      <w:r w:rsidRPr="006649D6">
        <w:rPr>
          <w:rFonts w:ascii="Verdana" w:eastAsia="Calibri" w:hAnsi="Verdana" w:cs="Arial"/>
          <w:bCs/>
          <w:sz w:val="21"/>
          <w:szCs w:val="21"/>
          <w:lang w:val="es-ES_tradnl"/>
        </w:rPr>
        <w:t>La Entidad Estatal documentará este análisis y dejará constancia en los Documentos del Proceso”.</w:t>
      </w:r>
    </w:p>
    <w:p w14:paraId="6A53CE30" w14:textId="77777777" w:rsidR="006649D6" w:rsidRPr="006649D6" w:rsidRDefault="006649D6" w:rsidP="006649D6">
      <w:pPr>
        <w:tabs>
          <w:tab w:val="left" w:pos="0"/>
        </w:tabs>
        <w:spacing w:line="276" w:lineRule="auto"/>
        <w:ind w:left="709" w:right="709"/>
        <w:contextualSpacing/>
        <w:jc w:val="both"/>
        <w:rPr>
          <w:rFonts w:ascii="Verdana" w:eastAsia="Calibri" w:hAnsi="Verdana" w:cs="Arial"/>
          <w:bCs/>
          <w:sz w:val="21"/>
          <w:szCs w:val="21"/>
          <w:lang w:val="es-ES_tradnl"/>
        </w:rPr>
      </w:pPr>
    </w:p>
    <w:p w14:paraId="2C1A0A6A" w14:textId="6EE99E3B" w:rsidR="006649D6" w:rsidRPr="006649D6" w:rsidRDefault="006649D6" w:rsidP="006649D6">
      <w:pPr>
        <w:pStyle w:val="Prrafodelista"/>
        <w:numPr>
          <w:ilvl w:val="0"/>
          <w:numId w:val="27"/>
        </w:numPr>
        <w:tabs>
          <w:tab w:val="left" w:pos="0"/>
        </w:tabs>
        <w:spacing w:after="120" w:line="276" w:lineRule="auto"/>
        <w:jc w:val="both"/>
        <w:rPr>
          <w:rFonts w:ascii="Verdana" w:eastAsia="Calibri" w:hAnsi="Verdana" w:cs="Arial"/>
          <w:bCs/>
          <w:lang w:val="es-ES_tradnl"/>
        </w:rPr>
      </w:pPr>
      <w:bookmarkStart w:id="8" w:name="_Hlk86820149"/>
      <w:bookmarkStart w:id="9" w:name="_Hlk87025682"/>
      <w:r w:rsidRPr="006649D6">
        <w:rPr>
          <w:rFonts w:ascii="Verdana" w:eastAsia="Calibri" w:hAnsi="Verdana" w:cs="Arial"/>
          <w:bCs/>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w:t>
      </w:r>
      <w:r w:rsidR="00553F39">
        <w:rPr>
          <w:rFonts w:ascii="Verdana" w:eastAsia="Calibri" w:hAnsi="Verdana" w:cs="Arial"/>
          <w:bCs/>
          <w:lang w:val="es-ES_tradnl"/>
        </w:rPr>
        <w:t>“</w:t>
      </w:r>
      <w:r w:rsidRPr="006649D6">
        <w:rPr>
          <w:rFonts w:ascii="Verdana" w:eastAsia="Calibri" w:hAnsi="Verdana" w:cs="Arial"/>
          <w:bCs/>
          <w:lang w:val="es-ES_tradnl"/>
        </w:rPr>
        <w:t>el análisis del sector económico y de los oferentes, además de toda aquella información adicional con la que cuente la entidad estatal recaudada en la etapa de planeación del Proceso de Contratación</w:t>
      </w:r>
      <w:r w:rsidR="00553F39">
        <w:rPr>
          <w:rFonts w:ascii="Verdana" w:eastAsia="Calibri" w:hAnsi="Verdana" w:cs="Arial"/>
          <w:bCs/>
          <w:lang w:val="es-ES_tradnl"/>
        </w:rPr>
        <w:t>”</w:t>
      </w:r>
      <w:r w:rsidRPr="006649D6">
        <w:rPr>
          <w:rFonts w:ascii="Verdana" w:eastAsia="Calibri" w:hAnsi="Verdana" w:cs="Arial"/>
          <w:bCs/>
          <w:lang w:val="es-ES_tradnl"/>
        </w:rPr>
        <w:t xml:space="preserve">, </w:t>
      </w:r>
      <w:proofErr w:type="spellStart"/>
      <w:r w:rsidRPr="006649D6">
        <w:rPr>
          <w:rFonts w:ascii="Verdana" w:eastAsia="Calibri" w:hAnsi="Verdana" w:cs="Arial"/>
          <w:bCs/>
          <w:lang w:val="es-ES_tradnl"/>
        </w:rPr>
        <w:t>ii</w:t>
      </w:r>
      <w:proofErr w:type="spellEnd"/>
      <w:r w:rsidRPr="006649D6">
        <w:rPr>
          <w:rFonts w:ascii="Verdana" w:eastAsia="Calibri" w:hAnsi="Verdana" w:cs="Arial"/>
          <w:bCs/>
          <w:lang w:val="es-ES_tradnl"/>
        </w:rPr>
        <w:t xml:space="preserve">) el porcentaje de participación de los bienes en el presupuesto del Proceso de Contratación y </w:t>
      </w:r>
      <w:proofErr w:type="spellStart"/>
      <w:r w:rsidRPr="006649D6">
        <w:rPr>
          <w:rFonts w:ascii="Verdana" w:eastAsia="Calibri" w:hAnsi="Verdana" w:cs="Arial"/>
          <w:bCs/>
          <w:lang w:val="es-ES_tradnl"/>
        </w:rPr>
        <w:t>iii</w:t>
      </w:r>
      <w:proofErr w:type="spellEnd"/>
      <w:r w:rsidRPr="006649D6">
        <w:rPr>
          <w:rFonts w:ascii="Verdana" w:eastAsia="Calibri" w:hAnsi="Verdana" w:cs="Arial"/>
          <w:bCs/>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8"/>
    <w:p w14:paraId="7E0E4B76" w14:textId="77777777" w:rsidR="006649D6" w:rsidRPr="006649D6" w:rsidRDefault="006649D6" w:rsidP="006649D6">
      <w:pPr>
        <w:pStyle w:val="Prrafodelista"/>
        <w:numPr>
          <w:ilvl w:val="0"/>
          <w:numId w:val="27"/>
        </w:numPr>
        <w:tabs>
          <w:tab w:val="left" w:pos="0"/>
        </w:tabs>
        <w:spacing w:after="120" w:line="276" w:lineRule="auto"/>
        <w:jc w:val="both"/>
        <w:rPr>
          <w:rFonts w:ascii="Verdana" w:eastAsia="Calibri" w:hAnsi="Verdana" w:cs="Arial"/>
          <w:bCs/>
          <w:szCs w:val="20"/>
          <w:lang w:val="es-ES_tradnl"/>
        </w:rPr>
      </w:pPr>
      <w:r w:rsidRPr="006649D6">
        <w:rPr>
          <w:rFonts w:ascii="Verdana" w:eastAsia="Calibri" w:hAnsi="Verdana" w:cs="Arial"/>
          <w:bCs/>
          <w:szCs w:val="20"/>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w:t>
      </w:r>
      <w:r w:rsidRPr="006649D6">
        <w:rPr>
          <w:rFonts w:ascii="Verdana" w:eastAsia="Calibri" w:hAnsi="Verdana" w:cs="Arial"/>
          <w:bCs/>
          <w:szCs w:val="20"/>
          <w:lang w:val="es-ES_tradnl"/>
        </w:rPr>
        <w:lastRenderedPageBreak/>
        <w:t xml:space="preserve">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cuarenta por ciento (40%) del total de empleados y contratistas asociados al cumplimiento del contrato. Conforme con esta regla residual, cuando en el análisis efectuado en la fase de planeación la entidad estatal no logre establecer que el objeto contractual requiere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bookmarkEnd w:id="9"/>
    <w:p w14:paraId="0571EE99" w14:textId="6912DBC3" w:rsidR="006649D6" w:rsidRPr="006649D6" w:rsidRDefault="006649D6" w:rsidP="006649D6">
      <w:pPr>
        <w:pStyle w:val="Prrafodelista"/>
        <w:numPr>
          <w:ilvl w:val="0"/>
          <w:numId w:val="27"/>
        </w:numPr>
        <w:tabs>
          <w:tab w:val="left" w:pos="0"/>
        </w:tabs>
        <w:spacing w:before="120" w:after="120" w:line="276" w:lineRule="auto"/>
        <w:jc w:val="both"/>
        <w:rPr>
          <w:rFonts w:ascii="Verdana" w:eastAsia="Calibri" w:hAnsi="Verdana" w:cs="Arial"/>
          <w:bCs/>
          <w:szCs w:val="20"/>
        </w:rPr>
      </w:pPr>
      <w:r w:rsidRPr="006649D6">
        <w:rPr>
          <w:rFonts w:ascii="Verdana" w:eastAsia="Calibri" w:hAnsi="Verdana" w:cs="Arial"/>
          <w:bCs/>
          <w:szCs w:val="20"/>
        </w:rPr>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6649D6">
        <w:rPr>
          <w:rStyle w:val="Refdenotaalpie"/>
          <w:rFonts w:ascii="Verdana" w:eastAsia="Calibri" w:hAnsi="Verdana" w:cs="Arial"/>
          <w:bCs/>
          <w:szCs w:val="20"/>
        </w:rPr>
        <w:footnoteReference w:id="4"/>
      </w:r>
      <w:r w:rsidRPr="006649D6">
        <w:rPr>
          <w:rFonts w:ascii="Verdana" w:eastAsia="Calibri" w:hAnsi="Verdana" w:cs="Arial"/>
          <w:bCs/>
          <w:szCs w:val="20"/>
        </w:rPr>
        <w:t xml:space="preserve">, establezcan en los pliegos de condiciones las reglas por las que deben seguirse los proponentes al momento de presentar sus ofertas para poder obtener el puntaje por apoyo a la industria nacional. </w:t>
      </w:r>
    </w:p>
    <w:p w14:paraId="7EDB1974" w14:textId="47BE5C3E" w:rsidR="006649D6" w:rsidRPr="006649D6" w:rsidRDefault="006649D6" w:rsidP="006649D6">
      <w:pPr>
        <w:pStyle w:val="Prrafodelista"/>
        <w:numPr>
          <w:ilvl w:val="0"/>
          <w:numId w:val="27"/>
        </w:numPr>
        <w:tabs>
          <w:tab w:val="left" w:pos="0"/>
        </w:tabs>
        <w:spacing w:before="120" w:line="276" w:lineRule="auto"/>
        <w:jc w:val="both"/>
        <w:rPr>
          <w:rFonts w:ascii="Verdana" w:eastAsia="Calibri" w:hAnsi="Verdana" w:cs="Arial"/>
          <w:bCs/>
          <w:szCs w:val="20"/>
        </w:rPr>
      </w:pPr>
      <w:r w:rsidRPr="006649D6">
        <w:rPr>
          <w:rFonts w:ascii="Verdana" w:eastAsia="Calibri" w:hAnsi="Verdana" w:cs="Arial"/>
          <w:bCs/>
          <w:szCs w:val="20"/>
        </w:rPr>
        <w:t xml:space="preserve">En consonancia con lo explicado, tales reglas aplicables a la asignación del puntaje por apoyo a la industria nacional no solo deberán tener en cuenta si el oferente es una persona natural colombiana, una persona jurídica constituida conforme a la ley nacional, un proponente extranjero con derecho a trato nacional o un proponente plural conformado por estos, </w:t>
      </w:r>
      <w:r w:rsidRPr="006649D6">
        <w:rPr>
          <w:rFonts w:ascii="Verdana" w:eastAsia="Calibri" w:hAnsi="Verdana" w:cs="Arial"/>
          <w:bCs/>
          <w:szCs w:val="20"/>
        </w:rPr>
        <w:lastRenderedPageBreak/>
        <w:t xml:space="preserve">sino que además deben procurar en que se satisfaga el criterio adicional necesario para hablar de </w:t>
      </w:r>
      <w:r w:rsidRPr="006649D6">
        <w:rPr>
          <w:rFonts w:ascii="Verdana" w:eastAsia="Calibri" w:hAnsi="Verdana" w:cs="Arial"/>
          <w:bCs/>
          <w:i/>
          <w:iCs/>
          <w:szCs w:val="20"/>
        </w:rPr>
        <w:t>Servicio Nacional</w:t>
      </w:r>
      <w:r w:rsidRPr="006649D6">
        <w:rPr>
          <w:rFonts w:ascii="Verdana" w:eastAsia="Calibri" w:hAnsi="Verdana" w:cs="Arial"/>
          <w:bCs/>
          <w:szCs w:val="20"/>
        </w:rPr>
        <w:t xml:space="preserve">, en cualquiera de las dos alternativas por las que se haya decantado la entidad tras aplicar el </w:t>
      </w:r>
      <w:r w:rsidRPr="006649D6">
        <w:rPr>
          <w:rFonts w:ascii="Verdana" w:eastAsia="Calibri" w:hAnsi="Verdana" w:cs="Arial"/>
          <w:bCs/>
          <w:szCs w:val="20"/>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cuarenta por ciento (40%).    </w:t>
      </w:r>
    </w:p>
    <w:p w14:paraId="0AC1AE60" w14:textId="77777777" w:rsidR="009F5FB8" w:rsidRPr="006649D6" w:rsidRDefault="009F5FB8" w:rsidP="009F5FB8">
      <w:pPr>
        <w:spacing w:after="0" w:line="276" w:lineRule="auto"/>
        <w:jc w:val="both"/>
        <w:rPr>
          <w:rFonts w:ascii="Verdana" w:eastAsia="Calibri" w:hAnsi="Verdana" w:cs="Arial"/>
        </w:rPr>
      </w:pPr>
    </w:p>
    <w:p w14:paraId="51691684" w14:textId="77777777" w:rsidR="00AB64A5" w:rsidRPr="006649D6"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649D6">
        <w:rPr>
          <w:rFonts w:ascii="Verdana" w:eastAsia="Century Gothic" w:hAnsi="Verdana" w:cs="Century Gothic"/>
          <w:b/>
          <w:bCs/>
        </w:rPr>
        <w:t>Referencias normativas, jurisprudenciales y otras fuentes:</w:t>
      </w:r>
    </w:p>
    <w:p w14:paraId="4791A111" w14:textId="77777777" w:rsidR="00AB64A5" w:rsidRPr="006649D6"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6649D6" w14:paraId="713E4602" w14:textId="77777777" w:rsidTr="007B0B27">
        <w:trPr>
          <w:trHeight w:val="870"/>
        </w:trPr>
        <w:tc>
          <w:tcPr>
            <w:tcW w:w="8647" w:type="dxa"/>
          </w:tcPr>
          <w:p w14:paraId="492B22E4" w14:textId="77777777" w:rsidR="009F5FB8" w:rsidRPr="006649D6" w:rsidRDefault="009F5FB8" w:rsidP="009F5FB8">
            <w:pPr>
              <w:widowControl w:val="0"/>
              <w:numPr>
                <w:ilvl w:val="0"/>
                <w:numId w:val="2"/>
              </w:numPr>
              <w:autoSpaceDE w:val="0"/>
              <w:autoSpaceDN w:val="0"/>
              <w:spacing w:after="120" w:line="276" w:lineRule="auto"/>
              <w:jc w:val="both"/>
              <w:rPr>
                <w:rFonts w:ascii="Verdana" w:eastAsia="Calibri" w:hAnsi="Verdana" w:cs="Arial"/>
              </w:rPr>
            </w:pPr>
            <w:r w:rsidRPr="006649D6">
              <w:rPr>
                <w:rFonts w:ascii="Verdana" w:eastAsia="Calibri" w:hAnsi="Verdana" w:cs="Arial"/>
              </w:rPr>
              <w:t xml:space="preserve">Ley 2022 de 2020, artículo 1. </w:t>
            </w:r>
          </w:p>
          <w:p w14:paraId="0C45EA68" w14:textId="16E6511C" w:rsidR="00AB64A5" w:rsidRPr="006649D6" w:rsidRDefault="009F5FB8" w:rsidP="009F5FB8">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6649D6">
              <w:rPr>
                <w:rFonts w:ascii="Verdana" w:eastAsia="Calibri" w:hAnsi="Verdana" w:cs="Arial"/>
              </w:rPr>
              <w:t xml:space="preserve">Documentos Tipo de concurso de méritos para contratar la interventoría de obras públicas de infraestructura social. Disponibles en: </w:t>
            </w:r>
            <w:hyperlink r:id="rId9" w:history="1">
              <w:r w:rsidRPr="006649D6">
                <w:rPr>
                  <w:rFonts w:ascii="Verdana" w:eastAsia="Calibri" w:hAnsi="Verdana" w:cs="Arial"/>
                  <w:color w:val="467886"/>
                  <w:u w:val="single"/>
                </w:rPr>
                <w:t>https://www.colombiacompra.gov.co/content/07-documento-tipo-de-concurso-de-meritos-para-contratar-la-interventoria-de-obras-publicas</w:t>
              </w:r>
            </w:hyperlink>
            <w:r w:rsidR="005A5AFA" w:rsidRPr="006649D6">
              <w:rPr>
                <w:rFonts w:ascii="Verdana" w:eastAsia="Verdana" w:hAnsi="Verdana" w:cs="Verdana"/>
                <w:lang w:val="es-ES"/>
              </w:rPr>
              <w:t xml:space="preserve"> </w:t>
            </w:r>
          </w:p>
        </w:tc>
      </w:tr>
    </w:tbl>
    <w:p w14:paraId="7D10BDB3" w14:textId="77777777" w:rsidR="00AB64A5" w:rsidRPr="006649D6"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6649D6"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649D6">
        <w:rPr>
          <w:rFonts w:ascii="Verdana" w:eastAsia="Century Gothic" w:hAnsi="Verdana" w:cs="Century Gothic"/>
          <w:b/>
          <w:bCs/>
        </w:rPr>
        <w:t>Doctrina de la Agencia Nacional de Contratación Pública:</w:t>
      </w:r>
    </w:p>
    <w:p w14:paraId="6FB855C5" w14:textId="77777777" w:rsidR="00AB64A5" w:rsidRPr="006649D6"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76831F0F" w14:textId="3C01E4C2" w:rsidR="009F5FB8" w:rsidRPr="006649D6" w:rsidRDefault="009F5FB8" w:rsidP="009F5FB8">
      <w:pPr>
        <w:spacing w:after="0" w:line="276" w:lineRule="auto"/>
        <w:jc w:val="both"/>
        <w:rPr>
          <w:rFonts w:ascii="Verdana" w:eastAsia="Calibri" w:hAnsi="Verdana" w:cs="Arial"/>
          <w:shd w:val="clear" w:color="auto" w:fill="FFFFFF"/>
          <w:lang w:val="es-ES"/>
        </w:rPr>
      </w:pPr>
      <w:r w:rsidRPr="006649D6">
        <w:rPr>
          <w:rFonts w:ascii="Verdana" w:eastAsia="Calibri" w:hAnsi="Verdana" w:cs="Arial"/>
          <w:shd w:val="clear" w:color="auto" w:fill="FFFFFF"/>
          <w:lang w:val="es-ES"/>
        </w:rPr>
        <w:t>La Agencia Nacional de Contratación Pública – Colombia Compra Eficiente</w:t>
      </w:r>
      <w:r w:rsidR="00553F39" w:rsidRPr="00553F39">
        <w:rPr>
          <w:rFonts w:ascii="Verdana" w:eastAsia="Calibri" w:hAnsi="Verdana" w:cs="Arial"/>
          <w:shd w:val="clear" w:color="auto" w:fill="FFFFFF"/>
          <w:lang w:val="es-ES"/>
        </w:rPr>
        <w:t xml:space="preserve"> analizó la aplicación del Decreto 680 de 2021 y el otorgamiento del puntaje por apoyo a la industria nacional en los procedimientos de selección en los conceptos C-442 del 26 de agosto de 2021, C-542 del 20 de octubre de 2021, C-549 del 5 de noviembre de 2021, C-020 del 22 de febrero de 2022, C-219 del 21 de abril de 2022, C-265 del 4 de abril de 2022. Asimismo, la Agencia explicó la aplicación de la Resolución 304 de 2021 “Por la cual se modifican los Documentos Tipo adoptados por la Agencia Nacional de Contratación Pública – Colombia Compra Eficiente” en los conceptos C-549 del 5 de noviembre de 2021, C-647 del 22 de noviembre de 2021, C-688 del 4 de enero de 2022, C-166 del 5 de abril de 2022, </w:t>
      </w:r>
      <w:r w:rsidR="00553F39" w:rsidRPr="00553F39">
        <w:rPr>
          <w:rFonts w:ascii="Verdana" w:eastAsia="Calibri" w:hAnsi="Verdana" w:cs="Arial"/>
          <w:shd w:val="clear" w:color="auto" w:fill="FFFFFF"/>
          <w:lang w:val="es-ES"/>
        </w:rPr>
        <w:lastRenderedPageBreak/>
        <w:t>C-196 del 13 de abril de 2022, C-201 del 13 de abril de 2022, C-327 del 23 de mayo de 2022, C-352 del 2 de junio de 2022, C-396 del 15 de junio de 2022 y C-571 del 14 de septiembre de 2023</w:t>
      </w:r>
      <w:r w:rsidRPr="006649D6">
        <w:rPr>
          <w:rFonts w:ascii="Verdana" w:eastAsia="Calibri" w:hAnsi="Verdana" w:cs="Arial"/>
          <w:shd w:val="clear" w:color="auto" w:fill="FFFFFF"/>
          <w:lang w:val="es-ES"/>
        </w:rPr>
        <w:t xml:space="preserve">, etc.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03479624" w14:textId="77777777" w:rsidR="00AB64A5" w:rsidRPr="006649D6" w:rsidRDefault="00AB64A5"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6671EC" w14:textId="5E6D6634" w:rsidR="009F5FB8" w:rsidRPr="006649D6" w:rsidRDefault="009F5FB8" w:rsidP="00AB64A5">
      <w:pPr>
        <w:widowControl w:val="0"/>
        <w:autoSpaceDE w:val="0"/>
        <w:autoSpaceDN w:val="0"/>
        <w:spacing w:after="0" w:line="276" w:lineRule="auto"/>
        <w:jc w:val="both"/>
        <w:rPr>
          <w:rFonts w:ascii="Verdana" w:hAnsi="Verdana" w:cs="Arial"/>
          <w:shd w:val="clear" w:color="auto" w:fill="FFFFFF"/>
          <w:lang w:val="es-ES"/>
        </w:rPr>
      </w:pPr>
      <w:r w:rsidRPr="006649D6">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0" w:tgtFrame="_blank" w:tooltip="Dirección URL original: https://www.colombiacompra.gov.co/sala-de-prensa/boletin-digital/boletin-de-relatoria-2024-iv. Haga clic o pulse si confía en este vínculo." w:history="1">
        <w:r w:rsidRPr="006649D6">
          <w:rPr>
            <w:rStyle w:val="Hipervnculo"/>
            <w:rFonts w:ascii="Verdana" w:hAnsi="Verdana" w:cs="Arial"/>
            <w:color w:val="auto"/>
            <w:shd w:val="clear" w:color="auto" w:fill="FFFFFF"/>
          </w:rPr>
          <w:t>BOLETÍN DE RELATORÍA 2024 – IV | Colombia Compra Eficiente | Agencia Nacional de Contratación Pública</w:t>
        </w:r>
      </w:hyperlink>
    </w:p>
    <w:p w14:paraId="15129E5B" w14:textId="77777777" w:rsidR="009F5FB8" w:rsidRPr="006649D6" w:rsidRDefault="009F5FB8"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400B5C" w14:textId="77777777" w:rsidR="00AB64A5" w:rsidRPr="006649D6" w:rsidRDefault="00AB64A5" w:rsidP="00AB64A5">
      <w:pPr>
        <w:spacing w:after="0" w:line="240" w:lineRule="auto"/>
        <w:jc w:val="both"/>
        <w:rPr>
          <w:rFonts w:ascii="Verdana" w:hAnsi="Verdana"/>
        </w:rPr>
      </w:pPr>
      <w:r w:rsidRPr="006649D6">
        <w:rPr>
          <w:rFonts w:ascii="Verdana" w:hAnsi="Verdana"/>
        </w:rPr>
        <w:t xml:space="preserve">Por último, lo invitamos a seguirnos en las redes sociales en las cuales se difunde información institucional: </w:t>
      </w:r>
    </w:p>
    <w:p w14:paraId="4C00BD62" w14:textId="77777777" w:rsidR="00AB64A5" w:rsidRPr="006649D6" w:rsidRDefault="00AB64A5" w:rsidP="00AB64A5">
      <w:pPr>
        <w:spacing w:after="0" w:line="240" w:lineRule="auto"/>
        <w:jc w:val="both"/>
        <w:rPr>
          <w:rFonts w:ascii="Verdana" w:hAnsi="Verdana"/>
        </w:rPr>
      </w:pPr>
    </w:p>
    <w:p w14:paraId="536E4745" w14:textId="77777777" w:rsidR="00AB64A5" w:rsidRPr="006649D6" w:rsidRDefault="00AB64A5" w:rsidP="00AB64A5">
      <w:pPr>
        <w:spacing w:after="0" w:line="240" w:lineRule="auto"/>
        <w:jc w:val="both"/>
        <w:rPr>
          <w:rFonts w:ascii="Verdana" w:hAnsi="Verdana"/>
        </w:rPr>
      </w:pPr>
      <w:r w:rsidRPr="006649D6">
        <w:rPr>
          <w:rFonts w:ascii="Verdana" w:hAnsi="Verdana"/>
        </w:rPr>
        <w:t xml:space="preserve">Twitter: </w:t>
      </w:r>
      <w:r w:rsidRPr="006649D6">
        <w:rPr>
          <w:rStyle w:val="Hipervnculo"/>
          <w:rFonts w:ascii="Verdana" w:hAnsi="Verdana"/>
          <w:color w:val="156082" w:themeColor="accent1"/>
        </w:rPr>
        <w:t>@colombiacompra</w:t>
      </w:r>
      <w:r w:rsidRPr="006649D6">
        <w:rPr>
          <w:rFonts w:ascii="Verdana" w:hAnsi="Verdana"/>
          <w:color w:val="156082" w:themeColor="accent1"/>
        </w:rPr>
        <w:t xml:space="preserve"> </w:t>
      </w:r>
    </w:p>
    <w:p w14:paraId="48B106C5" w14:textId="77777777" w:rsidR="00AB64A5" w:rsidRPr="006649D6" w:rsidRDefault="00AB64A5" w:rsidP="00AB64A5">
      <w:pPr>
        <w:spacing w:after="0" w:line="240" w:lineRule="auto"/>
        <w:jc w:val="both"/>
        <w:rPr>
          <w:rFonts w:ascii="Verdana" w:hAnsi="Verdana"/>
        </w:rPr>
      </w:pPr>
      <w:r w:rsidRPr="006649D6">
        <w:rPr>
          <w:rFonts w:ascii="Verdana" w:hAnsi="Verdana"/>
        </w:rPr>
        <w:t xml:space="preserve">Facebook: </w:t>
      </w:r>
      <w:proofErr w:type="spellStart"/>
      <w:r w:rsidRPr="006649D6">
        <w:rPr>
          <w:rStyle w:val="Hipervnculo"/>
          <w:rFonts w:ascii="Verdana" w:hAnsi="Verdana"/>
          <w:color w:val="156082" w:themeColor="accent1"/>
        </w:rPr>
        <w:t>ColombiaCompraEficiente</w:t>
      </w:r>
      <w:proofErr w:type="spellEnd"/>
    </w:p>
    <w:p w14:paraId="4A5D9233" w14:textId="77777777" w:rsidR="00AB64A5" w:rsidRPr="006649D6" w:rsidRDefault="00AB64A5" w:rsidP="00AB64A5">
      <w:pPr>
        <w:spacing w:after="0" w:line="240" w:lineRule="auto"/>
        <w:jc w:val="both"/>
        <w:rPr>
          <w:rFonts w:ascii="Verdana" w:hAnsi="Verdana"/>
        </w:rPr>
      </w:pPr>
      <w:r w:rsidRPr="006649D6">
        <w:rPr>
          <w:rFonts w:ascii="Verdana" w:hAnsi="Verdana"/>
        </w:rPr>
        <w:t xml:space="preserve">LinkedIn: </w:t>
      </w:r>
      <w:r w:rsidRPr="006649D6">
        <w:rPr>
          <w:rStyle w:val="Hipervnculo"/>
          <w:rFonts w:ascii="Verdana" w:hAnsi="Verdana"/>
          <w:color w:val="156082" w:themeColor="accent1"/>
        </w:rPr>
        <w:t>Agencia Nacional de Contratación Pública - Colombia Compra Eficiente</w:t>
      </w:r>
      <w:r w:rsidRPr="006649D6">
        <w:rPr>
          <w:rFonts w:ascii="Verdana" w:hAnsi="Verdana"/>
          <w:color w:val="156082" w:themeColor="accent1"/>
        </w:rPr>
        <w:t xml:space="preserve"> </w:t>
      </w:r>
      <w:r w:rsidRPr="006649D6">
        <w:rPr>
          <w:rFonts w:ascii="Verdana" w:hAnsi="Verdana"/>
        </w:rPr>
        <w:t xml:space="preserve">Instagram: </w:t>
      </w:r>
      <w:r w:rsidRPr="006649D6">
        <w:rPr>
          <w:rStyle w:val="Hipervnculo"/>
          <w:rFonts w:ascii="Verdana" w:hAnsi="Verdana"/>
          <w:color w:val="156082" w:themeColor="accent1"/>
        </w:rPr>
        <w:t>@colombiacompraeficiente_cce</w:t>
      </w:r>
    </w:p>
    <w:p w14:paraId="02BE982E" w14:textId="77777777" w:rsidR="00AB64A5" w:rsidRPr="006649D6" w:rsidRDefault="00AB64A5" w:rsidP="00AB64A5">
      <w:pPr>
        <w:widowControl w:val="0"/>
        <w:autoSpaceDE w:val="0"/>
        <w:autoSpaceDN w:val="0"/>
        <w:spacing w:after="0" w:line="276" w:lineRule="auto"/>
        <w:jc w:val="both"/>
        <w:rPr>
          <w:rFonts w:ascii="Verdana" w:hAnsi="Verdana" w:cs="Arial"/>
        </w:rPr>
      </w:pPr>
    </w:p>
    <w:p w14:paraId="64E0D488" w14:textId="77777777" w:rsidR="00AB64A5" w:rsidRPr="006649D6" w:rsidRDefault="00AB64A5" w:rsidP="00AB64A5">
      <w:pPr>
        <w:widowControl w:val="0"/>
        <w:autoSpaceDE w:val="0"/>
        <w:autoSpaceDN w:val="0"/>
        <w:spacing w:after="0" w:line="276" w:lineRule="auto"/>
        <w:jc w:val="both"/>
        <w:rPr>
          <w:rFonts w:ascii="Verdana" w:hAnsi="Verdana" w:cs="Arial"/>
          <w:lang w:val="es-ES_tradnl"/>
        </w:rPr>
      </w:pPr>
      <w:r w:rsidRPr="006649D6">
        <w:rPr>
          <w:rFonts w:ascii="Verdana" w:hAnsi="Verdana" w:cs="Arial"/>
        </w:rPr>
        <w:t xml:space="preserve">Este concepto tiene el alcance previsto en el artículo 28 del Código de Procedimiento Administrativo y de lo Contencioso Administrativo </w:t>
      </w:r>
      <w:r w:rsidRPr="006649D6">
        <w:rPr>
          <w:rFonts w:ascii="Verdana"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6649D6" w:rsidRDefault="00AB64A5" w:rsidP="00AB64A5">
      <w:pPr>
        <w:widowControl w:val="0"/>
        <w:autoSpaceDE w:val="0"/>
        <w:autoSpaceDN w:val="0"/>
        <w:spacing w:after="0" w:line="276" w:lineRule="auto"/>
        <w:jc w:val="both"/>
        <w:rPr>
          <w:rFonts w:ascii="Verdana" w:hAnsi="Verdana" w:cs="Arial"/>
        </w:rPr>
      </w:pPr>
    </w:p>
    <w:p w14:paraId="43CF8739" w14:textId="77777777" w:rsidR="00AB64A5" w:rsidRPr="006649D6" w:rsidRDefault="00AB64A5" w:rsidP="00AB64A5">
      <w:pPr>
        <w:spacing w:after="0" w:line="240" w:lineRule="auto"/>
        <w:rPr>
          <w:rFonts w:ascii="Verdana" w:hAnsi="Verdana" w:cs="Arial"/>
          <w:lang w:eastAsia="es-CO"/>
        </w:rPr>
      </w:pPr>
      <w:r w:rsidRPr="006649D6">
        <w:rPr>
          <w:rFonts w:ascii="Verdana" w:eastAsia="Times New Roman" w:hAnsi="Verdana" w:cs="Arial"/>
          <w:lang w:eastAsia="es-CO"/>
        </w:rPr>
        <w:t>Atentamente,</w:t>
      </w:r>
      <w:r w:rsidRPr="006649D6">
        <w:rPr>
          <w:rFonts w:ascii="Verdana" w:hAnsi="Verdana" w:cs="Arial"/>
          <w:lang w:eastAsia="es-CO"/>
        </w:rPr>
        <w:t xml:space="preserve"> </w:t>
      </w:r>
    </w:p>
    <w:p w14:paraId="0B837099" w14:textId="44BA223A" w:rsidR="00AB64A5" w:rsidRPr="006649D6" w:rsidRDefault="00FC5543" w:rsidP="00AB64A5">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33BFECDA" wp14:editId="64EE429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1"/>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6649D6" w14:paraId="1CCF7B2A" w14:textId="77777777" w:rsidTr="005A5AFA">
        <w:trPr>
          <w:trHeight w:val="315"/>
        </w:trPr>
        <w:tc>
          <w:tcPr>
            <w:tcW w:w="893" w:type="dxa"/>
            <w:vAlign w:val="center"/>
            <w:hideMark/>
          </w:tcPr>
          <w:p w14:paraId="4C835DB8" w14:textId="77777777" w:rsidR="00AB64A5" w:rsidRPr="006649D6" w:rsidRDefault="00AB64A5" w:rsidP="007B0B27">
            <w:pPr>
              <w:contextualSpacing/>
              <w:rPr>
                <w:rFonts w:ascii="Verdana" w:hAnsi="Verdana" w:cs="Arial"/>
                <w:sz w:val="16"/>
                <w:szCs w:val="16"/>
                <w:lang w:val="es-ES" w:eastAsia="es-ES"/>
              </w:rPr>
            </w:pPr>
            <w:r w:rsidRPr="006649D6">
              <w:rPr>
                <w:rFonts w:ascii="Verdana" w:hAnsi="Verdana" w:cs="Arial"/>
                <w:sz w:val="16"/>
                <w:szCs w:val="16"/>
                <w:lang w:val="es-ES" w:eastAsia="es-ES"/>
              </w:rPr>
              <w:t>Elaboró:</w:t>
            </w:r>
          </w:p>
        </w:tc>
        <w:tc>
          <w:tcPr>
            <w:tcW w:w="5628" w:type="dxa"/>
            <w:tcBorders>
              <w:top w:val="nil"/>
              <w:left w:val="nil"/>
              <w:right w:val="nil"/>
            </w:tcBorders>
            <w:vAlign w:val="center"/>
            <w:hideMark/>
          </w:tcPr>
          <w:p w14:paraId="66AF4843" w14:textId="2531E288" w:rsidR="00AB64A5" w:rsidRPr="006649D6" w:rsidRDefault="00914747" w:rsidP="007B0B27">
            <w:pPr>
              <w:contextualSpacing/>
              <w:rPr>
                <w:rStyle w:val="normaltextrun"/>
                <w:rFonts w:ascii="Verdana" w:hAnsi="Verdana"/>
                <w:sz w:val="16"/>
                <w:szCs w:val="16"/>
              </w:rPr>
            </w:pPr>
            <w:r>
              <w:rPr>
                <w:rStyle w:val="normaltextrun"/>
                <w:rFonts w:ascii="Verdana" w:hAnsi="Verdana"/>
                <w:sz w:val="16"/>
                <w:szCs w:val="16"/>
              </w:rPr>
              <w:t>D</w:t>
            </w:r>
            <w:r>
              <w:rPr>
                <w:rStyle w:val="normaltextrun"/>
                <w:sz w:val="16"/>
                <w:szCs w:val="16"/>
              </w:rPr>
              <w:t xml:space="preserve">iana </w:t>
            </w:r>
            <w:r w:rsidR="005A5AFA" w:rsidRPr="006649D6">
              <w:rPr>
                <w:rStyle w:val="normaltextrun"/>
                <w:rFonts w:ascii="Verdana" w:hAnsi="Verdana"/>
                <w:sz w:val="16"/>
                <w:szCs w:val="16"/>
              </w:rPr>
              <w:t xml:space="preserve">Carolina Blanco Rodriguez </w:t>
            </w:r>
          </w:p>
          <w:p w14:paraId="05D16EFD" w14:textId="77777777" w:rsidR="00AB64A5" w:rsidRPr="006649D6" w:rsidRDefault="00AB64A5" w:rsidP="007B0B27">
            <w:pPr>
              <w:contextualSpacing/>
              <w:rPr>
                <w:rStyle w:val="normaltextrun"/>
                <w:rFonts w:ascii="Verdana" w:hAnsi="Verdana"/>
                <w:sz w:val="16"/>
                <w:szCs w:val="16"/>
              </w:rPr>
            </w:pPr>
            <w:r w:rsidRPr="006649D6">
              <w:rPr>
                <w:rStyle w:val="normaltextrun"/>
                <w:rFonts w:ascii="Verdana" w:hAnsi="Verdana"/>
                <w:sz w:val="16"/>
                <w:szCs w:val="16"/>
              </w:rPr>
              <w:t>Contratista de la Subdirección de Gestión Contractual</w:t>
            </w:r>
          </w:p>
          <w:p w14:paraId="6D742C2C" w14:textId="33389542" w:rsidR="009F5FB8" w:rsidRPr="006F77A6" w:rsidRDefault="009F5FB8" w:rsidP="007B0B27">
            <w:pPr>
              <w:contextualSpacing/>
              <w:rPr>
                <w:rStyle w:val="normaltextrun"/>
              </w:rPr>
            </w:pPr>
          </w:p>
        </w:tc>
      </w:tr>
      <w:tr w:rsidR="00AB64A5" w:rsidRPr="006649D6" w14:paraId="25DEECD8" w14:textId="77777777" w:rsidTr="005A5AFA">
        <w:trPr>
          <w:trHeight w:val="330"/>
        </w:trPr>
        <w:tc>
          <w:tcPr>
            <w:tcW w:w="893" w:type="dxa"/>
            <w:vAlign w:val="center"/>
            <w:hideMark/>
          </w:tcPr>
          <w:p w14:paraId="5EB4B261" w14:textId="77777777" w:rsidR="00AB64A5" w:rsidRPr="006649D6" w:rsidRDefault="00AB64A5" w:rsidP="007B0B27">
            <w:pPr>
              <w:contextualSpacing/>
              <w:rPr>
                <w:rFonts w:ascii="Verdana" w:hAnsi="Verdana" w:cs="Arial"/>
                <w:sz w:val="16"/>
                <w:szCs w:val="16"/>
                <w:lang w:val="es-ES" w:eastAsia="es-ES"/>
              </w:rPr>
            </w:pPr>
            <w:r w:rsidRPr="006649D6">
              <w:rPr>
                <w:rFonts w:ascii="Verdana" w:hAnsi="Verdana" w:cs="Arial"/>
                <w:sz w:val="16"/>
                <w:szCs w:val="16"/>
                <w:lang w:val="es-ES" w:eastAsia="es-ES"/>
              </w:rPr>
              <w:t>Revisó:</w:t>
            </w:r>
          </w:p>
        </w:tc>
        <w:tc>
          <w:tcPr>
            <w:tcW w:w="5628" w:type="dxa"/>
            <w:vAlign w:val="center"/>
            <w:hideMark/>
          </w:tcPr>
          <w:p w14:paraId="1CC2C6C4" w14:textId="21FC3EE0" w:rsidR="00553F39" w:rsidRPr="006649D6" w:rsidRDefault="00553F39" w:rsidP="00553F39">
            <w:pPr>
              <w:contextualSpacing/>
              <w:rPr>
                <w:rStyle w:val="normaltextrun"/>
                <w:rFonts w:ascii="Verdana" w:hAnsi="Verdana"/>
                <w:sz w:val="16"/>
                <w:szCs w:val="16"/>
              </w:rPr>
            </w:pPr>
            <w:r>
              <w:rPr>
                <w:rStyle w:val="normaltextrun"/>
                <w:rFonts w:ascii="Verdana" w:hAnsi="Verdana"/>
                <w:sz w:val="16"/>
                <w:szCs w:val="16"/>
              </w:rPr>
              <w:t>J</w:t>
            </w:r>
            <w:r w:rsidRPr="006F77A6">
              <w:rPr>
                <w:rStyle w:val="normaltextrun"/>
                <w:rFonts w:ascii="Verdana" w:hAnsi="Verdana"/>
                <w:sz w:val="16"/>
                <w:szCs w:val="16"/>
              </w:rPr>
              <w:t xml:space="preserve">uan David Cárdenas </w:t>
            </w:r>
          </w:p>
          <w:p w14:paraId="164666B5" w14:textId="7750131C" w:rsidR="00AB64A5" w:rsidRPr="006F77A6" w:rsidRDefault="00553F39" w:rsidP="00553F39">
            <w:pPr>
              <w:pStyle w:val="paragraph"/>
              <w:spacing w:before="0" w:beforeAutospacing="0" w:after="0" w:afterAutospacing="0"/>
              <w:contextualSpacing/>
              <w:textAlignment w:val="baseline"/>
              <w:rPr>
                <w:rStyle w:val="normaltextrun"/>
                <w:rFonts w:eastAsiaTheme="minorHAnsi" w:cstheme="minorBidi"/>
                <w:lang w:eastAsia="en-US"/>
              </w:rPr>
            </w:pPr>
            <w:r w:rsidRPr="006F77A6">
              <w:rPr>
                <w:rStyle w:val="normaltextrun"/>
                <w:rFonts w:ascii="Verdana" w:eastAsiaTheme="minorHAnsi" w:hAnsi="Verdana" w:cstheme="minorBidi"/>
                <w:sz w:val="16"/>
                <w:szCs w:val="16"/>
                <w:lang w:eastAsia="en-US"/>
              </w:rPr>
              <w:t>Contratista de la Subdirección de Gestión Contractual</w:t>
            </w:r>
          </w:p>
        </w:tc>
      </w:tr>
      <w:tr w:rsidR="00AB64A5" w:rsidRPr="006649D6"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6649D6" w:rsidRDefault="00AB64A5" w:rsidP="007B0B27">
            <w:pPr>
              <w:contextualSpacing/>
              <w:rPr>
                <w:rFonts w:ascii="Verdana" w:hAnsi="Verdana" w:cs="Arial"/>
                <w:sz w:val="16"/>
                <w:szCs w:val="16"/>
                <w:lang w:val="es-ES" w:eastAsia="es-ES"/>
              </w:rPr>
            </w:pPr>
            <w:r w:rsidRPr="006649D6">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6649D6" w:rsidRDefault="00AB64A5" w:rsidP="007B0B27">
            <w:pPr>
              <w:contextualSpacing/>
              <w:rPr>
                <w:rFonts w:ascii="Verdana" w:eastAsia="Calibri" w:hAnsi="Verdana" w:cs="Arial"/>
                <w:sz w:val="16"/>
                <w:szCs w:val="16"/>
                <w:lang w:val="pt-BR" w:eastAsia="es-ES"/>
              </w:rPr>
            </w:pPr>
            <w:r w:rsidRPr="006649D6">
              <w:rPr>
                <w:rFonts w:ascii="Verdana" w:eastAsia="Calibri" w:hAnsi="Verdana" w:cs="Arial"/>
                <w:sz w:val="16"/>
                <w:szCs w:val="16"/>
                <w:lang w:val="pt-BR" w:eastAsia="es-ES"/>
              </w:rPr>
              <w:t>Carolina Quintero Gacharná</w:t>
            </w:r>
          </w:p>
          <w:p w14:paraId="1A53492F" w14:textId="77777777" w:rsidR="00AB64A5" w:rsidRPr="006649D6" w:rsidRDefault="00AB64A5" w:rsidP="007B0B27">
            <w:pPr>
              <w:contextualSpacing/>
              <w:rPr>
                <w:rFonts w:ascii="Verdana" w:eastAsia="Calibri" w:hAnsi="Verdana" w:cs="Arial"/>
                <w:sz w:val="16"/>
                <w:szCs w:val="16"/>
                <w:lang w:val="pt-BR" w:eastAsia="es-ES"/>
              </w:rPr>
            </w:pPr>
            <w:r w:rsidRPr="006649D6">
              <w:rPr>
                <w:rFonts w:ascii="Verdana" w:eastAsia="Calibri" w:hAnsi="Verdana" w:cs="Arial"/>
                <w:sz w:val="16"/>
                <w:szCs w:val="16"/>
                <w:lang w:eastAsia="es-ES"/>
              </w:rPr>
              <w:t>Subdirectora</w:t>
            </w:r>
            <w:r w:rsidRPr="006649D6">
              <w:rPr>
                <w:rFonts w:ascii="Verdana" w:eastAsia="Calibri" w:hAnsi="Verdana" w:cs="Arial"/>
                <w:sz w:val="16"/>
                <w:szCs w:val="16"/>
                <w:lang w:val="pt-BR" w:eastAsia="es-ES"/>
              </w:rPr>
              <w:t xml:space="preserve"> de Gestión Contractual ANCP – CCE</w:t>
            </w:r>
          </w:p>
        </w:tc>
      </w:tr>
    </w:tbl>
    <w:p w14:paraId="011E4F21" w14:textId="77777777" w:rsidR="00AB64A5" w:rsidRPr="006649D6" w:rsidRDefault="00AB64A5" w:rsidP="00AB64A5">
      <w:pPr>
        <w:spacing w:after="0" w:line="240" w:lineRule="auto"/>
        <w:rPr>
          <w:rFonts w:ascii="Verdana" w:eastAsia="Times New Roman" w:hAnsi="Verdana" w:cs="Arial"/>
          <w:lang w:eastAsia="es-ES"/>
        </w:rPr>
      </w:pPr>
    </w:p>
    <w:p w14:paraId="02CE4EF4" w14:textId="77777777" w:rsidR="00AB64A5" w:rsidRPr="006649D6" w:rsidRDefault="00AB64A5" w:rsidP="00AB64A5">
      <w:pPr>
        <w:rPr>
          <w:rFonts w:ascii="Verdana" w:hAnsi="Verdana"/>
        </w:rPr>
      </w:pPr>
    </w:p>
    <w:p w14:paraId="7644495A" w14:textId="77777777" w:rsidR="00AB64A5" w:rsidRPr="006649D6" w:rsidRDefault="00AB64A5" w:rsidP="00AB64A5">
      <w:pPr>
        <w:spacing w:after="0"/>
        <w:rPr>
          <w:rFonts w:ascii="Verdana" w:hAnsi="Verdana"/>
        </w:rPr>
      </w:pPr>
      <w:r w:rsidRPr="006649D6">
        <w:rPr>
          <w:rFonts w:ascii="Verdana" w:hAnsi="Verdana"/>
        </w:rPr>
        <w:tab/>
      </w:r>
    </w:p>
    <w:p w14:paraId="34BF06D8" w14:textId="77777777" w:rsidR="00AB64A5" w:rsidRPr="006649D6" w:rsidRDefault="00AB64A5" w:rsidP="00AB64A5">
      <w:pPr>
        <w:spacing w:after="0"/>
        <w:rPr>
          <w:rFonts w:ascii="Verdana" w:hAnsi="Verdana"/>
        </w:rPr>
      </w:pPr>
    </w:p>
    <w:p w14:paraId="1F766B8E" w14:textId="77777777" w:rsidR="00AB64A5" w:rsidRPr="006649D6" w:rsidRDefault="00AB64A5" w:rsidP="00AB64A5">
      <w:pPr>
        <w:spacing w:after="0"/>
        <w:rPr>
          <w:rFonts w:ascii="Verdana" w:hAnsi="Verdana"/>
        </w:rPr>
      </w:pPr>
    </w:p>
    <w:bookmarkEnd w:id="0"/>
    <w:p w14:paraId="1D08ED52" w14:textId="77777777" w:rsidR="00AB64A5" w:rsidRPr="006649D6" w:rsidRDefault="00AB64A5" w:rsidP="00AB64A5">
      <w:pPr>
        <w:spacing w:after="0"/>
        <w:rPr>
          <w:rFonts w:ascii="Verdana" w:hAnsi="Verdana"/>
        </w:rPr>
      </w:pPr>
    </w:p>
    <w:p w14:paraId="5CDCF197" w14:textId="77777777" w:rsidR="009C4900" w:rsidRPr="006649D6" w:rsidRDefault="009C4900">
      <w:pPr>
        <w:rPr>
          <w:rFonts w:ascii="Verdana" w:hAnsi="Verdana"/>
        </w:rPr>
      </w:pPr>
    </w:p>
    <w:sectPr w:rsidR="009C4900" w:rsidRPr="006649D6" w:rsidSect="00AB64A5">
      <w:headerReference w:type="default" r:id="rId12"/>
      <w:footerReference w:type="defaul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933D0" w14:textId="77777777" w:rsidR="0071703A" w:rsidRDefault="0071703A" w:rsidP="00AB64A5">
      <w:pPr>
        <w:spacing w:after="0" w:line="240" w:lineRule="auto"/>
      </w:pPr>
      <w:r>
        <w:separator/>
      </w:r>
    </w:p>
  </w:endnote>
  <w:endnote w:type="continuationSeparator" w:id="0">
    <w:p w14:paraId="03D9C3E4" w14:textId="77777777" w:rsidR="0071703A" w:rsidRDefault="0071703A"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AC8D1" w14:textId="77777777" w:rsidR="0071703A" w:rsidRDefault="0071703A" w:rsidP="00AB64A5">
      <w:pPr>
        <w:spacing w:after="0" w:line="240" w:lineRule="auto"/>
      </w:pPr>
      <w:r>
        <w:separator/>
      </w:r>
    </w:p>
  </w:footnote>
  <w:footnote w:type="continuationSeparator" w:id="0">
    <w:p w14:paraId="5E450777" w14:textId="77777777" w:rsidR="0071703A" w:rsidRDefault="0071703A" w:rsidP="00AB64A5">
      <w:pPr>
        <w:spacing w:after="0" w:line="240" w:lineRule="auto"/>
      </w:pPr>
      <w:r>
        <w:continuationSeparator/>
      </w:r>
    </w:p>
  </w:footnote>
  <w:footnote w:id="1">
    <w:p w14:paraId="6DBC6677" w14:textId="77777777" w:rsidR="00553F39" w:rsidRPr="00A97A21" w:rsidRDefault="00553F39" w:rsidP="00553F39">
      <w:pPr>
        <w:ind w:firstLine="708"/>
        <w:jc w:val="both"/>
        <w:rPr>
          <w:rFonts w:ascii="Verdana" w:hAnsi="Verdana" w:cs="Arial"/>
          <w:iCs/>
          <w:sz w:val="16"/>
          <w:szCs w:val="16"/>
        </w:rPr>
      </w:pPr>
      <w:r w:rsidRPr="00A97A21">
        <w:rPr>
          <w:rStyle w:val="Refdenotaalpie"/>
          <w:rFonts w:ascii="Verdana" w:hAnsi="Verdana" w:cs="Arial"/>
          <w:sz w:val="16"/>
          <w:szCs w:val="16"/>
        </w:rPr>
        <w:footnoteRef/>
      </w:r>
      <w:r w:rsidRPr="00A97A21">
        <w:rPr>
          <w:rFonts w:ascii="Verdana" w:hAnsi="Verdana" w:cs="Arial"/>
          <w:sz w:val="16"/>
          <w:szCs w:val="16"/>
        </w:rPr>
        <w:t xml:space="preserve"> </w:t>
      </w:r>
      <w:r w:rsidRPr="00A97A21">
        <w:rPr>
          <w:rFonts w:ascii="Verdana" w:hAnsi="Verdana" w:cs="Arial"/>
          <w:iCs/>
          <w:sz w:val="16"/>
          <w:szCs w:val="16"/>
        </w:rPr>
        <w:t xml:space="preserve">Para asignar el puntaje deberán tenerse en cuenta las siguientes consideraciones: </w:t>
      </w:r>
    </w:p>
    <w:p w14:paraId="6FB3DF89" w14:textId="77777777" w:rsidR="00553F39" w:rsidRPr="00553F39" w:rsidRDefault="00553F39" w:rsidP="00553F39">
      <w:pPr>
        <w:jc w:val="both"/>
        <w:rPr>
          <w:rFonts w:ascii="Verdana" w:hAnsi="Verdana" w:cs="Arial"/>
          <w:iCs/>
          <w:sz w:val="16"/>
          <w:szCs w:val="16"/>
        </w:rPr>
      </w:pPr>
      <w:r w:rsidRPr="00A97A21">
        <w:rPr>
          <w:rFonts w:ascii="Verdana" w:hAnsi="Verdana" w:cs="Arial"/>
          <w:iCs/>
          <w:sz w:val="16"/>
          <w:szCs w:val="16"/>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r w:rsidRPr="00553F39">
        <w:rPr>
          <w:rFonts w:ascii="Verdana" w:hAnsi="Verdana" w:cs="Arial"/>
          <w:iCs/>
          <w:sz w:val="16"/>
          <w:szCs w:val="16"/>
        </w:rPr>
        <w:t>.</w:t>
      </w:r>
    </w:p>
    <w:p w14:paraId="629371CB"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 xml:space="preserve">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w:t>
      </w:r>
      <w:proofErr w:type="gramStart"/>
      <w:r w:rsidRPr="00553F39">
        <w:rPr>
          <w:rFonts w:ascii="Verdana" w:hAnsi="Verdana" w:cs="Arial"/>
          <w:iCs/>
          <w:sz w:val="16"/>
          <w:szCs w:val="16"/>
        </w:rPr>
        <w:t>Esto</w:t>
      </w:r>
      <w:proofErr w:type="gramEnd"/>
      <w:r w:rsidRPr="00553F39">
        <w:rPr>
          <w:rFonts w:ascii="Verdana" w:hAnsi="Verdana" w:cs="Arial"/>
          <w:iCs/>
          <w:sz w:val="16"/>
          <w:szCs w:val="16"/>
        </w:rPr>
        <w:t xml:space="preserve"> aunque se comprometan a vincular al cumplimiento del objeto contractual un porcentaje de empleados o contratistas por prestación de servicios colombianos.</w:t>
      </w:r>
    </w:p>
    <w:p w14:paraId="4D816FA8"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4 – Bienes nacionales relevantes para la obra pública del sector transporte:</w:t>
      </w:r>
    </w:p>
    <w:p w14:paraId="79A563FB"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 xml:space="preserve">Para efectos de la asignación de puntaje, la Entidad Estatal definirá el puntaje de cada bien nacional relevante de acuerdo con su porcentaje de participación, para lo cual aplicará la siguiente fórmula. </w:t>
      </w:r>
    </w:p>
    <w:p w14:paraId="58F9A039" w14:textId="77777777" w:rsidR="00553F39" w:rsidRPr="00553F39" w:rsidRDefault="00553F39" w:rsidP="00553F39">
      <w:pPr>
        <w:jc w:val="both"/>
        <w:rPr>
          <w:rFonts w:ascii="Verdana" w:hAnsi="Verdana" w:cs="Arial"/>
          <w:i/>
          <w:sz w:val="16"/>
          <w:szCs w:val="16"/>
        </w:rPr>
      </w:pPr>
      <m:oMathPara>
        <m:oMath>
          <m:r>
            <w:rPr>
              <w:rFonts w:ascii="Cambria Math" w:hAnsi="Cambria Math" w:cs="Arial"/>
              <w:sz w:val="16"/>
              <w:szCs w:val="16"/>
            </w:rPr>
            <m:t>Pi=</m:t>
          </m:r>
          <m:f>
            <m:fPr>
              <m:ctrlPr>
                <w:rPr>
                  <w:rFonts w:ascii="Cambria Math" w:hAnsi="Cambria Math" w:cs="Arial"/>
                  <w:i/>
                  <w:sz w:val="16"/>
                  <w:szCs w:val="16"/>
                </w:rPr>
              </m:ctrlPr>
            </m:fPr>
            <m:num>
              <m:sSub>
                <m:sSubPr>
                  <m:ctrlPr>
                    <w:rPr>
                      <w:rFonts w:ascii="Cambria Math" w:hAnsi="Cambria Math" w:cs="Arial"/>
                      <w:i/>
                      <w:sz w:val="16"/>
                      <w:szCs w:val="16"/>
                    </w:rPr>
                  </m:ctrlPr>
                </m:sSubPr>
                <m:e>
                  <m:r>
                    <w:rPr>
                      <w:rFonts w:ascii="Cambria Math" w:hAnsi="Cambria Math" w:cs="Arial"/>
                      <w:sz w:val="16"/>
                      <w:szCs w:val="16"/>
                    </w:rPr>
                    <m:t>Participación (%)</m:t>
                  </m:r>
                </m:e>
                <m:sub>
                  <m:r>
                    <w:rPr>
                      <w:rFonts w:ascii="Cambria Math" w:hAnsi="Cambria Math" w:cs="Arial"/>
                      <w:sz w:val="16"/>
                      <w:szCs w:val="16"/>
                    </w:rPr>
                    <m:t>i</m:t>
                  </m:r>
                </m:sub>
              </m:sSub>
              <m:r>
                <w:rPr>
                  <w:rFonts w:ascii="Cambria Math" w:hAnsi="Cambria Math" w:cs="Arial"/>
                  <w:sz w:val="16"/>
                  <w:szCs w:val="16"/>
                </w:rPr>
                <m:t>*(Pmax)</m:t>
              </m:r>
            </m:num>
            <m:den>
              <m:nary>
                <m:naryPr>
                  <m:chr m:val="∑"/>
                  <m:limLoc m:val="undOvr"/>
                  <m:ctrlPr>
                    <w:rPr>
                      <w:rFonts w:ascii="Cambria Math" w:hAnsi="Cambria Math" w:cs="Arial"/>
                      <w:i/>
                      <w:sz w:val="16"/>
                      <w:szCs w:val="16"/>
                    </w:rPr>
                  </m:ctrlPr>
                </m:naryPr>
                <m:sub>
                  <m:r>
                    <w:rPr>
                      <w:rFonts w:ascii="Cambria Math" w:hAnsi="Cambria Math" w:cs="Arial"/>
                      <w:sz w:val="16"/>
                      <w:szCs w:val="16"/>
                    </w:rPr>
                    <m:t>i</m:t>
                  </m:r>
                </m:sub>
                <m:sup>
                  <m:r>
                    <w:rPr>
                      <w:rFonts w:ascii="Cambria Math" w:hAnsi="Cambria Math" w:cs="Arial"/>
                      <w:sz w:val="16"/>
                      <w:szCs w:val="16"/>
                    </w:rPr>
                    <m:t>n</m:t>
                  </m:r>
                </m:sup>
                <m:e>
                  <m:r>
                    <w:rPr>
                      <w:rFonts w:ascii="Cambria Math" w:hAnsi="Cambria Math" w:cs="Arial"/>
                      <w:sz w:val="16"/>
                      <w:szCs w:val="16"/>
                    </w:rPr>
                    <m:t>Participación (%)</m:t>
                  </m:r>
                </m:e>
              </m:nary>
            </m:den>
          </m:f>
        </m:oMath>
      </m:oMathPara>
    </w:p>
    <w:p w14:paraId="7B849746"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Donde:</w:t>
      </w:r>
    </w:p>
    <w:p w14:paraId="28AC6034"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Pi: Puntaje de cada bien relevante</w:t>
      </w:r>
    </w:p>
    <w:p w14:paraId="77F36375"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 xml:space="preserve">i: Bien o bienes nacionales relevantes </w:t>
      </w:r>
    </w:p>
    <w:p w14:paraId="4F3B8507"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 xml:space="preserve">n: Número de bienes nacionales relevantes </w:t>
      </w:r>
    </w:p>
    <w:p w14:paraId="396B2B65"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Participación (</w:t>
      </w:r>
      <w:proofErr w:type="gramStart"/>
      <w:r w:rsidRPr="00553F39">
        <w:rPr>
          <w:rFonts w:ascii="Verdana" w:hAnsi="Verdana" w:cs="Arial"/>
          <w:iCs/>
          <w:sz w:val="16"/>
          <w:szCs w:val="16"/>
        </w:rPr>
        <w:t>%)i</w:t>
      </w:r>
      <w:proofErr w:type="gramEnd"/>
      <w:r w:rsidRPr="00553F39">
        <w:rPr>
          <w:rFonts w:ascii="Verdana" w:hAnsi="Verdana" w:cs="Arial"/>
          <w:iCs/>
          <w:sz w:val="16"/>
          <w:szCs w:val="16"/>
        </w:rPr>
        <w:t xml:space="preserve"> : Porcentaje de participación del bien</w:t>
      </w:r>
    </w:p>
    <w:p w14:paraId="5F6C90F7" w14:textId="77777777" w:rsidR="00553F39" w:rsidRPr="00553F39" w:rsidRDefault="00553F39" w:rsidP="00553F39">
      <w:pPr>
        <w:jc w:val="both"/>
        <w:rPr>
          <w:rFonts w:ascii="Verdana" w:hAnsi="Verdana" w:cs="Arial"/>
          <w:iCs/>
          <w:sz w:val="16"/>
          <w:szCs w:val="16"/>
        </w:rPr>
      </w:pPr>
      <w:proofErr w:type="spellStart"/>
      <w:r w:rsidRPr="00553F39">
        <w:rPr>
          <w:rFonts w:ascii="Verdana" w:hAnsi="Verdana" w:cs="Arial"/>
          <w:iCs/>
          <w:sz w:val="16"/>
          <w:szCs w:val="16"/>
        </w:rPr>
        <w:t>Pmax</w:t>
      </w:r>
      <w:proofErr w:type="spellEnd"/>
      <w:r w:rsidRPr="00553F39">
        <w:rPr>
          <w:rFonts w:ascii="Verdana" w:hAnsi="Verdana" w:cs="Arial"/>
          <w:iCs/>
          <w:sz w:val="16"/>
          <w:szCs w:val="16"/>
        </w:rPr>
        <w:t xml:space="preserve"> =Puntaje máximo para el factor de evaluación de apoyo a la industria nacional (20 puntos) </w:t>
      </w:r>
    </w:p>
    <w:p w14:paraId="63023450" w14:textId="77777777" w:rsidR="00553F39" w:rsidRPr="00553F39" w:rsidRDefault="00000000" w:rsidP="00553F39">
      <w:pPr>
        <w:jc w:val="both"/>
        <w:rPr>
          <w:rFonts w:ascii="Verdana" w:hAnsi="Verdana" w:cs="Arial"/>
          <w:iCs/>
          <w:sz w:val="16"/>
          <w:szCs w:val="16"/>
        </w:rPr>
      </w:pPr>
      <m:oMath>
        <m:nary>
          <m:naryPr>
            <m:chr m:val="∑"/>
            <m:limLoc m:val="undOvr"/>
            <m:ctrlPr>
              <w:rPr>
                <w:rFonts w:ascii="Cambria Math" w:hAnsi="Cambria Math" w:cs="Arial"/>
                <w:iCs/>
                <w:sz w:val="16"/>
                <w:szCs w:val="16"/>
              </w:rPr>
            </m:ctrlPr>
          </m:naryPr>
          <m:sub>
            <m:r>
              <m:rPr>
                <m:sty m:val="p"/>
              </m:rPr>
              <w:rPr>
                <w:rFonts w:ascii="Cambria Math" w:hAnsi="Cambria Math" w:cs="Arial"/>
                <w:sz w:val="16"/>
                <w:szCs w:val="16"/>
              </w:rPr>
              <m:t>i</m:t>
            </m:r>
          </m:sub>
          <m:sup>
            <m:r>
              <m:rPr>
                <m:sty m:val="p"/>
              </m:rPr>
              <w:rPr>
                <w:rFonts w:ascii="Cambria Math" w:hAnsi="Cambria Math" w:cs="Arial"/>
                <w:sz w:val="16"/>
                <w:szCs w:val="16"/>
              </w:rPr>
              <m:t>n</m:t>
            </m:r>
          </m:sup>
          <m:e>
            <m:r>
              <m:rPr>
                <m:sty m:val="p"/>
              </m:rPr>
              <w:rPr>
                <w:rFonts w:ascii="Cambria Math" w:hAnsi="Cambria Math" w:cs="Arial"/>
                <w:sz w:val="16"/>
                <w:szCs w:val="16"/>
              </w:rPr>
              <m:t>Participación (%)</m:t>
            </m:r>
          </m:e>
        </m:nary>
      </m:oMath>
      <w:r w:rsidR="00553F39" w:rsidRPr="00553F39">
        <w:rPr>
          <w:rFonts w:ascii="Verdana" w:hAnsi="Verdana" w:cs="Arial"/>
          <w:iCs/>
          <w:sz w:val="16"/>
          <w:szCs w:val="16"/>
        </w:rPr>
        <w:t xml:space="preserve">: Sumatoria de los porcentajes de participación de los bienes </w:t>
      </w:r>
    </w:p>
    <w:p w14:paraId="669DC012"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 xml:space="preserve">Para efectos de la asignación de los puntajes indicados, la Entidad Estatal tendrá en cuenta hasta el séptimo decimal. </w:t>
      </w:r>
    </w:p>
    <w:p w14:paraId="4CDE58AA"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p>
    <w:p w14:paraId="08FC61B4" w14:textId="77777777" w:rsidR="00553F39" w:rsidRPr="00553F39" w:rsidRDefault="00553F39" w:rsidP="00553F39">
      <w:pPr>
        <w:jc w:val="both"/>
        <w:rPr>
          <w:rFonts w:ascii="Verdana" w:hAnsi="Verdana" w:cs="Arial"/>
          <w:i/>
          <w:sz w:val="16"/>
          <w:szCs w:val="16"/>
        </w:rPr>
      </w:pPr>
      <m:oMathPara>
        <m:oMath>
          <m:r>
            <w:rPr>
              <w:rFonts w:ascii="Cambria Math" w:hAnsi="Cambria Math" w:cs="Arial"/>
              <w:sz w:val="16"/>
              <w:szCs w:val="16"/>
            </w:rPr>
            <m:t xml:space="preserve">Puntaje proponente= </m:t>
          </m:r>
          <m:nary>
            <m:naryPr>
              <m:chr m:val="∑"/>
              <m:limLoc m:val="undOvr"/>
              <m:ctrlPr>
                <w:rPr>
                  <w:rFonts w:ascii="Cambria Math" w:hAnsi="Cambria Math" w:cs="Arial"/>
                  <w:i/>
                  <w:sz w:val="16"/>
                  <w:szCs w:val="16"/>
                </w:rPr>
              </m:ctrlPr>
            </m:naryPr>
            <m:sub>
              <m:r>
                <w:rPr>
                  <w:rFonts w:ascii="Cambria Math" w:hAnsi="Cambria Math" w:cs="Arial"/>
                  <w:sz w:val="16"/>
                  <w:szCs w:val="16"/>
                </w:rPr>
                <m:t>j=0</m:t>
              </m:r>
            </m:sub>
            <m:sup>
              <m:r>
                <w:rPr>
                  <w:rFonts w:ascii="Cambria Math" w:hAnsi="Cambria Math" w:cs="Arial"/>
                  <w:sz w:val="16"/>
                  <w:szCs w:val="16"/>
                </w:rPr>
                <m:t>i</m:t>
              </m:r>
            </m:sup>
            <m:e>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i</m:t>
                  </m:r>
                </m:sub>
              </m:sSub>
            </m:e>
          </m:nary>
        </m:oMath>
      </m:oMathPara>
    </w:p>
    <w:p w14:paraId="553CF81A"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Donde:</w:t>
      </w:r>
    </w:p>
    <w:p w14:paraId="1F06E2C0"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 xml:space="preserve">Puntaje proponente: Puntaje asignado al Proponente </w:t>
      </w:r>
    </w:p>
    <w:p w14:paraId="6635A967" w14:textId="77777777" w:rsidR="00553F39" w:rsidRPr="00553F39" w:rsidRDefault="00000000" w:rsidP="00553F39">
      <w:pPr>
        <w:jc w:val="both"/>
        <w:rPr>
          <w:rFonts w:ascii="Verdana" w:hAnsi="Verdana" w:cs="Arial"/>
          <w:iCs/>
          <w:sz w:val="16"/>
          <w:szCs w:val="16"/>
        </w:rPr>
      </w:pPr>
      <m:oMath>
        <m:nary>
          <m:naryPr>
            <m:chr m:val="∑"/>
            <m:limLoc m:val="undOvr"/>
            <m:ctrlPr>
              <w:rPr>
                <w:rFonts w:ascii="Cambria Math" w:hAnsi="Cambria Math" w:cs="Arial"/>
                <w:iCs/>
                <w:sz w:val="16"/>
                <w:szCs w:val="16"/>
              </w:rPr>
            </m:ctrlPr>
          </m:naryPr>
          <m:sub>
            <m:r>
              <m:rPr>
                <m:sty m:val="p"/>
              </m:rPr>
              <w:rPr>
                <w:rFonts w:ascii="Cambria Math" w:hAnsi="Cambria Math" w:cs="Arial"/>
                <w:sz w:val="16"/>
                <w:szCs w:val="16"/>
              </w:rPr>
              <m:t>j=0</m:t>
            </m:r>
          </m:sub>
          <m:sup>
            <m:r>
              <m:rPr>
                <m:sty m:val="p"/>
              </m:rPr>
              <w:rPr>
                <w:rFonts w:ascii="Cambria Math" w:hAnsi="Cambria Math" w:cs="Arial"/>
                <w:sz w:val="16"/>
                <w:szCs w:val="16"/>
              </w:rPr>
              <m:t>i</m:t>
            </m:r>
          </m:sup>
          <m:e>
            <m:sSub>
              <m:sSubPr>
                <m:ctrlPr>
                  <w:rPr>
                    <w:rFonts w:ascii="Cambria Math" w:hAnsi="Cambria Math" w:cs="Arial"/>
                    <w:iCs/>
                    <w:sz w:val="16"/>
                    <w:szCs w:val="16"/>
                  </w:rPr>
                </m:ctrlPr>
              </m:sSubPr>
              <m:e>
                <m:r>
                  <m:rPr>
                    <m:sty m:val="p"/>
                  </m:rPr>
                  <w:rPr>
                    <w:rFonts w:ascii="Cambria Math" w:hAnsi="Cambria Math" w:cs="Arial"/>
                    <w:sz w:val="16"/>
                    <w:szCs w:val="16"/>
                  </w:rPr>
                  <m:t>P</m:t>
                </m:r>
              </m:e>
              <m:sub>
                <m:r>
                  <m:rPr>
                    <m:sty m:val="p"/>
                  </m:rPr>
                  <w:rPr>
                    <w:rFonts w:ascii="Cambria Math" w:hAnsi="Cambria Math" w:cs="Arial"/>
                    <w:sz w:val="16"/>
                    <w:szCs w:val="16"/>
                  </w:rPr>
                  <m:t>i</m:t>
                </m:r>
              </m:sub>
            </m:sSub>
          </m:e>
        </m:nary>
      </m:oMath>
      <w:r w:rsidR="00553F39" w:rsidRPr="00553F39">
        <w:rPr>
          <w:rFonts w:ascii="Verdana" w:hAnsi="Verdana" w:cs="Arial"/>
          <w:iCs/>
          <w:sz w:val="16"/>
          <w:szCs w:val="16"/>
        </w:rPr>
        <w:t>: Sumatoria de los puntajes de los bienes relevantes seleccionados por el Proponente</w:t>
      </w:r>
    </w:p>
    <w:p w14:paraId="33B0C376"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Para efectos de la asignación del puntaje a los Proponentes, la Entidad Estatal tendrá en cuenta hasta el séptimo decimal. En todo caso, el puntaje asignado a los Proponentes no podrá superar los veinte (20) puntos.</w:t>
      </w:r>
    </w:p>
    <w:p w14:paraId="1F47670D" w14:textId="77777777" w:rsidR="00553F39" w:rsidRPr="00553F39" w:rsidRDefault="00553F39" w:rsidP="00553F39">
      <w:pPr>
        <w:jc w:val="both"/>
        <w:rPr>
          <w:rFonts w:ascii="Verdana" w:hAnsi="Verdana" w:cs="Arial"/>
          <w:iCs/>
          <w:sz w:val="16"/>
          <w:szCs w:val="16"/>
        </w:rPr>
      </w:pPr>
      <w:r w:rsidRPr="00553F39">
        <w:rPr>
          <w:rFonts w:ascii="Verdana" w:hAnsi="Verdana" w:cs="Arial"/>
          <w:iCs/>
          <w:sz w:val="16"/>
          <w:szCs w:val="16"/>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p>
    <w:p w14:paraId="114927C1" w14:textId="77777777" w:rsidR="00553F39" w:rsidRPr="00553F39" w:rsidRDefault="00553F39" w:rsidP="00553F39">
      <w:pPr>
        <w:pStyle w:val="Textonotapie"/>
        <w:rPr>
          <w:rFonts w:ascii="Century Gothic" w:hAnsi="Century Gothic"/>
          <w:sz w:val="16"/>
          <w:szCs w:val="16"/>
          <w:lang w:val="es-CO"/>
        </w:rPr>
      </w:pPr>
    </w:p>
  </w:footnote>
  <w:footnote w:id="2">
    <w:p w14:paraId="366C67FC" w14:textId="77777777" w:rsidR="006649D6" w:rsidRPr="00553F39" w:rsidRDefault="006649D6" w:rsidP="006649D6">
      <w:pPr>
        <w:pStyle w:val="Textonotapie"/>
        <w:ind w:firstLine="708"/>
        <w:contextualSpacing/>
        <w:jc w:val="both"/>
        <w:rPr>
          <w:rFonts w:ascii="Arial" w:hAnsi="Arial" w:cs="Arial"/>
          <w:sz w:val="16"/>
          <w:szCs w:val="16"/>
          <w:lang w:val="es-ES"/>
        </w:rPr>
      </w:pPr>
      <w:r w:rsidRPr="00553F39">
        <w:rPr>
          <w:rStyle w:val="Refdenotaalpie"/>
          <w:rFonts w:ascii="Arial" w:hAnsi="Arial" w:cs="Arial"/>
          <w:sz w:val="16"/>
          <w:szCs w:val="16"/>
        </w:rPr>
        <w:footnoteRef/>
      </w:r>
      <w:r w:rsidRPr="00553F39">
        <w:rPr>
          <w:rFonts w:ascii="Arial" w:hAnsi="Arial" w:cs="Arial"/>
          <w:sz w:val="16"/>
          <w:szCs w:val="16"/>
        </w:rPr>
        <w:t xml:space="preserve"> </w:t>
      </w:r>
      <w:r w:rsidRPr="00553F39">
        <w:rPr>
          <w:rFonts w:ascii="Arial" w:hAnsi="Arial" w:cs="Arial"/>
          <w:sz w:val="16"/>
          <w:szCs w:val="16"/>
          <w:lang w:val="es-ES"/>
        </w:rPr>
        <w:t xml:space="preserve">Gaceta del Congreso. Cámara de Representantes. Año X – No. 642, 11 de diciembre de 2001. Disponible en: </w:t>
      </w:r>
      <w:hyperlink r:id="rId1" w:history="1">
        <w:r w:rsidRPr="00553F39">
          <w:rPr>
            <w:rFonts w:ascii="Arial" w:hAnsi="Arial" w:cs="Arial"/>
            <w:sz w:val="16"/>
            <w:szCs w:val="16"/>
            <w:lang w:val="es-ES"/>
          </w:rPr>
          <w:t>GACETAS DEL CONGRESO (imprenta.gov.co)</w:t>
        </w:r>
      </w:hyperlink>
    </w:p>
    <w:p w14:paraId="77DDF74D" w14:textId="77777777" w:rsidR="006649D6" w:rsidRPr="00553F39" w:rsidRDefault="006649D6" w:rsidP="006649D6">
      <w:pPr>
        <w:pStyle w:val="Textonotapie"/>
        <w:ind w:firstLine="708"/>
        <w:contextualSpacing/>
        <w:jc w:val="both"/>
        <w:rPr>
          <w:rFonts w:ascii="Arial" w:hAnsi="Arial" w:cs="Arial"/>
          <w:sz w:val="16"/>
          <w:szCs w:val="16"/>
          <w:lang w:val="es-ES"/>
        </w:rPr>
      </w:pPr>
    </w:p>
  </w:footnote>
  <w:footnote w:id="3">
    <w:p w14:paraId="19652D20" w14:textId="6E0DFB28" w:rsidR="006649D6" w:rsidRPr="00553F39" w:rsidRDefault="006649D6" w:rsidP="006649D6">
      <w:pPr>
        <w:pStyle w:val="NormalWeb"/>
        <w:shd w:val="clear" w:color="auto" w:fill="FFFFFF"/>
        <w:spacing w:before="0" w:beforeAutospacing="0" w:after="60" w:afterAutospacing="0"/>
        <w:ind w:firstLine="709"/>
        <w:jc w:val="both"/>
        <w:rPr>
          <w:rFonts w:ascii="Arial" w:hAnsi="Arial" w:cs="Arial"/>
          <w:sz w:val="16"/>
          <w:szCs w:val="16"/>
        </w:rPr>
      </w:pPr>
      <w:r w:rsidRPr="00553F39">
        <w:rPr>
          <w:rStyle w:val="Refdenotaalpie"/>
          <w:rFonts w:ascii="Arial" w:eastAsiaTheme="majorEastAsia" w:hAnsi="Arial" w:cs="Arial"/>
          <w:sz w:val="16"/>
          <w:szCs w:val="16"/>
        </w:rPr>
        <w:footnoteRef/>
      </w:r>
      <w:r w:rsidRPr="00553F39">
        <w:rPr>
          <w:rFonts w:ascii="Arial" w:hAnsi="Arial" w:cs="Arial"/>
          <w:sz w:val="16"/>
          <w:szCs w:val="16"/>
        </w:rPr>
        <w:t xml:space="preserve"> Decreto 1082 de 2015: </w:t>
      </w:r>
      <w:r w:rsidR="00553F39" w:rsidRPr="00553F39">
        <w:rPr>
          <w:rFonts w:ascii="Arial" w:hAnsi="Arial" w:cs="Arial"/>
          <w:sz w:val="16"/>
          <w:szCs w:val="16"/>
        </w:rPr>
        <w:t>“</w:t>
      </w:r>
      <w:r w:rsidRPr="00553F39">
        <w:rPr>
          <w:rFonts w:ascii="Arial" w:hAnsi="Arial" w:cs="Arial"/>
          <w:sz w:val="16"/>
          <w:szCs w:val="16"/>
        </w:rPr>
        <w:t>Artículo </w:t>
      </w:r>
      <w:bookmarkStart w:id="2" w:name="2.2.1.2.4.1.3"/>
      <w:bookmarkEnd w:id="2"/>
      <w:r w:rsidRPr="00553F39">
        <w:rPr>
          <w:rFonts w:ascii="Arial" w:hAnsi="Arial" w:cs="Arial"/>
          <w:sz w:val="16"/>
          <w:szCs w:val="16"/>
        </w:rPr>
        <w:t>2.2.1.2.4.1.3.</w:t>
      </w:r>
      <w:r w:rsidRPr="00553F39">
        <w:rPr>
          <w:rFonts w:ascii="Arial" w:hAnsi="Arial" w:cs="Arial"/>
          <w:i/>
          <w:iCs/>
          <w:sz w:val="16"/>
          <w:szCs w:val="16"/>
        </w:rPr>
        <w:t> </w:t>
      </w:r>
      <w:r w:rsidRPr="00553F39">
        <w:rPr>
          <w:rFonts w:ascii="Arial" w:hAnsi="Arial" w:cs="Arial"/>
          <w:sz w:val="16"/>
          <w:szCs w:val="16"/>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5980EAAF" w14:textId="74B2D856" w:rsidR="006649D6" w:rsidRPr="00553F39" w:rsidRDefault="00553F39" w:rsidP="006649D6">
      <w:pPr>
        <w:shd w:val="clear" w:color="auto" w:fill="FFFFFF"/>
        <w:spacing w:after="60"/>
        <w:ind w:firstLine="709"/>
        <w:jc w:val="both"/>
        <w:rPr>
          <w:rFonts w:ascii="Arial" w:eastAsia="Times New Roman" w:hAnsi="Arial" w:cs="Arial"/>
          <w:sz w:val="16"/>
          <w:szCs w:val="16"/>
          <w:lang w:eastAsia="es-CO"/>
        </w:rPr>
      </w:pPr>
      <w:r w:rsidRPr="00553F39">
        <w:rPr>
          <w:rFonts w:ascii="Arial" w:eastAsia="Times New Roman" w:hAnsi="Arial" w:cs="Arial"/>
          <w:sz w:val="16"/>
          <w:szCs w:val="16"/>
          <w:lang w:eastAsia="es-CO"/>
        </w:rPr>
        <w:t>“</w:t>
      </w:r>
      <w:r w:rsidR="006649D6" w:rsidRPr="00553F39">
        <w:rPr>
          <w:rFonts w:ascii="Arial" w:eastAsia="Times New Roman" w:hAnsi="Arial" w:cs="Arial"/>
          <w:sz w:val="16"/>
          <w:szCs w:val="16"/>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41B80F0B" w14:textId="3DD9AF80" w:rsidR="006649D6" w:rsidRPr="00553F39" w:rsidRDefault="00553F39" w:rsidP="006649D6">
      <w:pPr>
        <w:shd w:val="clear" w:color="auto" w:fill="FFFFFF"/>
        <w:ind w:firstLine="708"/>
        <w:contextualSpacing/>
        <w:jc w:val="both"/>
        <w:rPr>
          <w:rFonts w:ascii="Arial" w:eastAsia="Times New Roman" w:hAnsi="Arial" w:cs="Arial"/>
          <w:sz w:val="16"/>
          <w:szCs w:val="16"/>
          <w:lang w:eastAsia="es-CO"/>
        </w:rPr>
      </w:pPr>
      <w:r w:rsidRPr="00553F39">
        <w:rPr>
          <w:rFonts w:ascii="Arial" w:eastAsia="Times New Roman" w:hAnsi="Arial" w:cs="Arial"/>
          <w:sz w:val="16"/>
          <w:szCs w:val="16"/>
          <w:lang w:eastAsia="es-CO"/>
        </w:rPr>
        <w:t>“</w:t>
      </w:r>
      <w:r w:rsidR="006649D6" w:rsidRPr="00553F39">
        <w:rPr>
          <w:rFonts w:ascii="Arial" w:eastAsia="Times New Roman" w:hAnsi="Arial" w:cs="Arial"/>
          <w:sz w:val="16"/>
          <w:szCs w:val="16"/>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r w:rsidRPr="00553F39">
        <w:rPr>
          <w:rFonts w:ascii="Arial" w:eastAsia="Times New Roman" w:hAnsi="Arial" w:cs="Arial"/>
          <w:sz w:val="16"/>
          <w:szCs w:val="16"/>
          <w:lang w:eastAsia="es-CO"/>
        </w:rPr>
        <w:t>”</w:t>
      </w:r>
      <w:r w:rsidR="006649D6" w:rsidRPr="00553F39">
        <w:rPr>
          <w:rFonts w:ascii="Arial" w:eastAsia="Times New Roman" w:hAnsi="Arial" w:cs="Arial"/>
          <w:sz w:val="16"/>
          <w:szCs w:val="16"/>
          <w:lang w:eastAsia="es-CO"/>
        </w:rPr>
        <w:t>.</w:t>
      </w:r>
    </w:p>
    <w:p w14:paraId="4D26002C" w14:textId="77777777" w:rsidR="006649D6" w:rsidRPr="00553F39" w:rsidRDefault="006649D6" w:rsidP="006649D6">
      <w:pPr>
        <w:pStyle w:val="Textonotapie"/>
        <w:contextualSpacing/>
        <w:jc w:val="both"/>
        <w:rPr>
          <w:rFonts w:ascii="Arial" w:hAnsi="Arial" w:cs="Arial"/>
          <w:sz w:val="16"/>
          <w:szCs w:val="16"/>
          <w:lang w:val="es-CO"/>
        </w:rPr>
      </w:pPr>
    </w:p>
  </w:footnote>
  <w:footnote w:id="4">
    <w:p w14:paraId="45E17665" w14:textId="3E214FB0" w:rsidR="006649D6" w:rsidRPr="00553F39" w:rsidRDefault="006649D6" w:rsidP="006649D6">
      <w:pPr>
        <w:ind w:firstLine="708"/>
        <w:contextualSpacing/>
        <w:jc w:val="both"/>
        <w:rPr>
          <w:rFonts w:ascii="Arial" w:eastAsia="Times New Roman" w:hAnsi="Arial" w:cs="Arial"/>
          <w:sz w:val="16"/>
          <w:szCs w:val="16"/>
          <w:lang w:eastAsia="es-CO"/>
        </w:rPr>
      </w:pPr>
      <w:r w:rsidRPr="00553F39">
        <w:rPr>
          <w:rStyle w:val="Refdenotaalpie"/>
          <w:rFonts w:ascii="Arial" w:hAnsi="Arial" w:cs="Arial"/>
          <w:sz w:val="16"/>
          <w:szCs w:val="16"/>
        </w:rPr>
        <w:footnoteRef/>
      </w:r>
      <w:r w:rsidRPr="00553F39">
        <w:rPr>
          <w:rFonts w:ascii="Arial" w:hAnsi="Arial" w:cs="Arial"/>
          <w:sz w:val="16"/>
          <w:szCs w:val="16"/>
        </w:rPr>
        <w:t xml:space="preserve"> Decreto 1082 de 2015: </w:t>
      </w:r>
      <w:r w:rsidR="00553F39" w:rsidRPr="00553F39">
        <w:rPr>
          <w:rFonts w:ascii="Arial" w:eastAsia="Times New Roman" w:hAnsi="Arial" w:cs="Arial"/>
          <w:sz w:val="16"/>
          <w:szCs w:val="16"/>
          <w:lang w:eastAsia="es-CO"/>
        </w:rPr>
        <w:t>“</w:t>
      </w:r>
      <w:r w:rsidRPr="00553F39">
        <w:rPr>
          <w:rFonts w:ascii="Arial" w:eastAsia="Times New Roman" w:hAnsi="Arial" w:cs="Arial"/>
          <w:sz w:val="16"/>
          <w:szCs w:val="16"/>
          <w:lang w:eastAsia="es-CO"/>
        </w:rPr>
        <w:t>Artículo 2.2.1.1.2.1.3. Pliegos de condiciones. Los pliegos de condiciones deben contener por lo menos la siguiente información: </w:t>
      </w:r>
    </w:p>
    <w:p w14:paraId="7587D56F" w14:textId="77777777" w:rsidR="006649D6" w:rsidRPr="00553F39" w:rsidRDefault="006649D6" w:rsidP="006649D6">
      <w:pPr>
        <w:ind w:firstLine="708"/>
        <w:contextualSpacing/>
        <w:jc w:val="both"/>
        <w:rPr>
          <w:rFonts w:ascii="Arial" w:eastAsia="Times New Roman" w:hAnsi="Arial" w:cs="Arial"/>
          <w:sz w:val="16"/>
          <w:szCs w:val="16"/>
          <w:lang w:eastAsia="es-CO"/>
        </w:rPr>
      </w:pPr>
      <w:r w:rsidRPr="00553F39">
        <w:rPr>
          <w:rFonts w:ascii="Arial" w:eastAsia="Times New Roman" w:hAnsi="Arial" w:cs="Arial"/>
          <w:sz w:val="16"/>
          <w:szCs w:val="16"/>
          <w:lang w:eastAsia="es-CO"/>
        </w:rPr>
        <w:t>[…]</w:t>
      </w:r>
    </w:p>
    <w:p w14:paraId="7713EDDF" w14:textId="0CBF9927" w:rsidR="006649D6" w:rsidRPr="00553F39" w:rsidRDefault="006649D6" w:rsidP="006649D6">
      <w:pPr>
        <w:contextualSpacing/>
        <w:jc w:val="both"/>
        <w:rPr>
          <w:rFonts w:ascii="Arial" w:eastAsia="Times New Roman" w:hAnsi="Arial" w:cs="Arial"/>
          <w:sz w:val="16"/>
          <w:szCs w:val="16"/>
          <w:lang w:eastAsia="es-CO"/>
        </w:rPr>
      </w:pPr>
      <w:r w:rsidRPr="00553F39">
        <w:rPr>
          <w:rFonts w:ascii="Arial" w:eastAsia="Times New Roman" w:hAnsi="Arial" w:cs="Arial"/>
          <w:sz w:val="16"/>
          <w:szCs w:val="16"/>
          <w:lang w:eastAsia="es-CO"/>
        </w:rPr>
        <w:t>  </w:t>
      </w:r>
      <w:r w:rsidRPr="00553F39">
        <w:rPr>
          <w:rFonts w:ascii="Arial" w:eastAsia="Times New Roman" w:hAnsi="Arial" w:cs="Arial"/>
          <w:sz w:val="16"/>
          <w:szCs w:val="16"/>
          <w:lang w:eastAsia="es-CO"/>
        </w:rPr>
        <w:tab/>
      </w:r>
      <w:r w:rsidR="00553F39" w:rsidRPr="00553F39">
        <w:rPr>
          <w:rFonts w:ascii="Arial" w:eastAsia="Times New Roman" w:hAnsi="Arial" w:cs="Arial"/>
          <w:sz w:val="16"/>
          <w:szCs w:val="16"/>
          <w:lang w:eastAsia="es-CO"/>
        </w:rPr>
        <w:t>“</w:t>
      </w:r>
      <w:r w:rsidRPr="00553F39">
        <w:rPr>
          <w:rFonts w:ascii="Arial" w:eastAsia="Times New Roman" w:hAnsi="Arial" w:cs="Arial"/>
          <w:sz w:val="16"/>
          <w:szCs w:val="16"/>
          <w:lang w:eastAsia="es-CO"/>
        </w:rPr>
        <w:t>3. Los criterios de selección, incluyendo los factores de desempate y los incentivos cuando a ello haya lugar. </w:t>
      </w:r>
    </w:p>
    <w:p w14:paraId="5299693D" w14:textId="77777777" w:rsidR="006649D6" w:rsidRPr="00553F39" w:rsidRDefault="006649D6" w:rsidP="006649D6">
      <w:pPr>
        <w:contextualSpacing/>
        <w:jc w:val="both"/>
        <w:rPr>
          <w:rFonts w:ascii="Arial" w:eastAsia="Times New Roman" w:hAnsi="Arial" w:cs="Arial"/>
          <w:sz w:val="16"/>
          <w:szCs w:val="16"/>
          <w:lang w:eastAsia="es-CO"/>
        </w:rPr>
      </w:pPr>
      <w:r w:rsidRPr="00553F39">
        <w:rPr>
          <w:rFonts w:ascii="Arial" w:eastAsia="Times New Roman" w:hAnsi="Arial" w:cs="Arial"/>
          <w:sz w:val="16"/>
          <w:szCs w:val="16"/>
          <w:lang w:eastAsia="es-CO"/>
        </w:rPr>
        <w:t>  </w:t>
      </w:r>
      <w:r w:rsidRPr="00553F39">
        <w:rPr>
          <w:rFonts w:ascii="Arial" w:eastAsia="Times New Roman" w:hAnsi="Arial" w:cs="Arial"/>
          <w:sz w:val="16"/>
          <w:szCs w:val="16"/>
          <w:lang w:eastAsia="es-CO"/>
        </w:rPr>
        <w:tab/>
        <w:t>[…]</w:t>
      </w:r>
    </w:p>
    <w:p w14:paraId="62673248" w14:textId="0FC79A4F" w:rsidR="006649D6" w:rsidRPr="00553F39" w:rsidRDefault="00553F39" w:rsidP="006649D6">
      <w:pPr>
        <w:ind w:firstLine="708"/>
        <w:contextualSpacing/>
        <w:jc w:val="both"/>
        <w:rPr>
          <w:rFonts w:ascii="Arial" w:hAnsi="Arial" w:cs="Arial"/>
          <w:sz w:val="16"/>
          <w:szCs w:val="16"/>
        </w:rPr>
      </w:pPr>
      <w:r w:rsidRPr="00553F39">
        <w:rPr>
          <w:rFonts w:ascii="Arial" w:eastAsia="Times New Roman" w:hAnsi="Arial" w:cs="Arial"/>
          <w:sz w:val="16"/>
          <w:szCs w:val="16"/>
          <w:lang w:eastAsia="es-CO"/>
        </w:rPr>
        <w:t>“</w:t>
      </w:r>
      <w:r w:rsidR="006649D6" w:rsidRPr="00553F39">
        <w:rPr>
          <w:rFonts w:ascii="Arial" w:eastAsia="Times New Roman" w:hAnsi="Arial" w:cs="Arial"/>
          <w:sz w:val="16"/>
          <w:szCs w:val="16"/>
          <w:lang w:eastAsia="es-CO"/>
        </w:rPr>
        <w:t>5. Las reglas aplicables a la presentación de las ofertas, su evaluación y a la adjudicación del contrato […]</w:t>
      </w:r>
      <w:r w:rsidRPr="00553F39">
        <w:rPr>
          <w:rFonts w:ascii="Arial" w:eastAsia="Times New Roman" w:hAnsi="Arial" w:cs="Arial"/>
          <w:sz w:val="16"/>
          <w:szCs w:val="16"/>
          <w:lang w:eastAsia="es-CO"/>
        </w:rPr>
        <w:t>”</w:t>
      </w:r>
      <w:r w:rsidR="006649D6" w:rsidRPr="00553F39">
        <w:rPr>
          <w:rFonts w:ascii="Arial" w:eastAsia="Times New Roman" w:hAnsi="Arial" w:cs="Arial"/>
          <w:sz w:val="16"/>
          <w:szCs w:val="16"/>
          <w:lang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15"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23"/>
  </w:num>
  <w:num w:numId="3" w16cid:durableId="1595672007">
    <w:abstractNumId w:val="18"/>
  </w:num>
  <w:num w:numId="4" w16cid:durableId="1944533281">
    <w:abstractNumId w:val="10"/>
  </w:num>
  <w:num w:numId="5" w16cid:durableId="2081175712">
    <w:abstractNumId w:val="5"/>
  </w:num>
  <w:num w:numId="6" w16cid:durableId="1584220838">
    <w:abstractNumId w:val="1"/>
  </w:num>
  <w:num w:numId="7" w16cid:durableId="1890258578">
    <w:abstractNumId w:val="15"/>
  </w:num>
  <w:num w:numId="8" w16cid:durableId="1250309436">
    <w:abstractNumId w:val="25"/>
  </w:num>
  <w:num w:numId="9" w16cid:durableId="170149205">
    <w:abstractNumId w:val="3"/>
  </w:num>
  <w:num w:numId="10" w16cid:durableId="121771703">
    <w:abstractNumId w:val="14"/>
  </w:num>
  <w:num w:numId="11" w16cid:durableId="679089576">
    <w:abstractNumId w:val="11"/>
  </w:num>
  <w:num w:numId="12" w16cid:durableId="1597637299">
    <w:abstractNumId w:val="12"/>
  </w:num>
  <w:num w:numId="13" w16cid:durableId="1197356270">
    <w:abstractNumId w:val="16"/>
  </w:num>
  <w:num w:numId="14" w16cid:durableId="1422145251">
    <w:abstractNumId w:val="24"/>
  </w:num>
  <w:num w:numId="15" w16cid:durableId="868641893">
    <w:abstractNumId w:val="21"/>
  </w:num>
  <w:num w:numId="16" w16cid:durableId="202593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9"/>
  </w:num>
  <w:num w:numId="18" w16cid:durableId="1933977330">
    <w:abstractNumId w:val="6"/>
  </w:num>
  <w:num w:numId="19" w16cid:durableId="597564065">
    <w:abstractNumId w:val="13"/>
  </w:num>
  <w:num w:numId="20" w16cid:durableId="1058745687">
    <w:abstractNumId w:val="8"/>
  </w:num>
  <w:num w:numId="21" w16cid:durableId="1228223862">
    <w:abstractNumId w:val="7"/>
  </w:num>
  <w:num w:numId="22" w16cid:durableId="606429298">
    <w:abstractNumId w:val="17"/>
  </w:num>
  <w:num w:numId="23" w16cid:durableId="19822139">
    <w:abstractNumId w:val="2"/>
  </w:num>
  <w:num w:numId="24" w16cid:durableId="66534376">
    <w:abstractNumId w:val="22"/>
  </w:num>
  <w:num w:numId="25" w16cid:durableId="1721511704">
    <w:abstractNumId w:val="19"/>
  </w:num>
  <w:num w:numId="26" w16cid:durableId="1912307450">
    <w:abstractNumId w:val="4"/>
  </w:num>
  <w:num w:numId="27" w16cid:durableId="11471678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92DB6"/>
    <w:rsid w:val="000E2148"/>
    <w:rsid w:val="000E561E"/>
    <w:rsid w:val="000E7508"/>
    <w:rsid w:val="001F7599"/>
    <w:rsid w:val="00207A26"/>
    <w:rsid w:val="002A7290"/>
    <w:rsid w:val="002D2553"/>
    <w:rsid w:val="00312E96"/>
    <w:rsid w:val="00553F39"/>
    <w:rsid w:val="00555176"/>
    <w:rsid w:val="005A5AFA"/>
    <w:rsid w:val="00620BE1"/>
    <w:rsid w:val="006649D6"/>
    <w:rsid w:val="006D24E7"/>
    <w:rsid w:val="006F77A6"/>
    <w:rsid w:val="0071703A"/>
    <w:rsid w:val="00763F15"/>
    <w:rsid w:val="007E0D51"/>
    <w:rsid w:val="00893CDE"/>
    <w:rsid w:val="008C3788"/>
    <w:rsid w:val="00900AD7"/>
    <w:rsid w:val="0090156A"/>
    <w:rsid w:val="00914747"/>
    <w:rsid w:val="009C4900"/>
    <w:rsid w:val="009F5FB8"/>
    <w:rsid w:val="00A33752"/>
    <w:rsid w:val="00A62278"/>
    <w:rsid w:val="00A97A21"/>
    <w:rsid w:val="00A97EC1"/>
    <w:rsid w:val="00AB4464"/>
    <w:rsid w:val="00AB64A5"/>
    <w:rsid w:val="00AC79D3"/>
    <w:rsid w:val="00BD6EEB"/>
    <w:rsid w:val="00BE0FA3"/>
    <w:rsid w:val="00C00C41"/>
    <w:rsid w:val="00C01E35"/>
    <w:rsid w:val="00CC1D5B"/>
    <w:rsid w:val="00CD258B"/>
    <w:rsid w:val="00E100F3"/>
    <w:rsid w:val="00E51C9B"/>
    <w:rsid w:val="00E5732A"/>
    <w:rsid w:val="00F02EBB"/>
    <w:rsid w:val="00F8120F"/>
    <w:rsid w:val="00FC3EC1"/>
    <w:rsid w:val="00FC5543"/>
    <w:rsid w:val="00FC73C8"/>
    <w:rsid w:val="00FE6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4" Type="http://schemas.openxmlformats.org/officeDocument/2006/relationships/settings" Target="settings.xml"/><Relationship Id="rId9" Type="http://schemas.openxmlformats.org/officeDocument/2006/relationships/hyperlink" Target="https://www.colombiacompra.gov.co/content/07-documento-tipo-de-concurso-de-meritos-para-contratar-la-interventoria-de-obras-publica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customXml/itemProps2.xml><?xml version="1.0" encoding="utf-8"?>
<ds:datastoreItem xmlns:ds="http://schemas.openxmlformats.org/officeDocument/2006/customXml" ds:itemID="{DFF7C3E8-D88C-4B79-896C-82A823815AF7}"/>
</file>

<file path=customXml/itemProps3.xml><?xml version="1.0" encoding="utf-8"?>
<ds:datastoreItem xmlns:ds="http://schemas.openxmlformats.org/officeDocument/2006/customXml" ds:itemID="{627D6556-2429-42AB-98A4-EC3D7177D039}"/>
</file>

<file path=customXml/itemProps4.xml><?xml version="1.0" encoding="utf-8"?>
<ds:datastoreItem xmlns:ds="http://schemas.openxmlformats.org/officeDocument/2006/customXml" ds:itemID="{8E25EFDC-4910-4A23-B58A-68EF51A4AA17}"/>
</file>

<file path=docProps/app.xml><?xml version="1.0" encoding="utf-8"?>
<Properties xmlns="http://schemas.openxmlformats.org/officeDocument/2006/extended-properties" xmlns:vt="http://schemas.openxmlformats.org/officeDocument/2006/docPropsVTypes">
  <Template>Normal.dotm</Template>
  <TotalTime>4</TotalTime>
  <Pages>16</Pages>
  <Words>4387</Words>
  <Characters>24131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5</cp:revision>
  <dcterms:created xsi:type="dcterms:W3CDTF">2024-10-11T00:59:00Z</dcterms:created>
  <dcterms:modified xsi:type="dcterms:W3CDTF">2024-10-28T15:34:00Z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