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B6F6" w14:textId="614722C2" w:rsidR="00B20DEA" w:rsidRPr="00B20DEA" w:rsidRDefault="00B20DEA" w:rsidP="00B20DEA">
      <w:pPr>
        <w:spacing w:after="0"/>
        <w:jc w:val="both"/>
        <w:rPr>
          <w:rFonts w:ascii="Verdana" w:hAnsi="Verdana"/>
        </w:rPr>
      </w:pPr>
      <w:bookmarkStart w:id="0" w:name="_Hlk143780582"/>
      <w:r w:rsidRPr="00B20DEA">
        <w:rPr>
          <w:rFonts w:ascii="Verdana" w:eastAsia="Aptos" w:hAnsi="Verdana" w:cs="Arial"/>
          <w:b/>
          <w:bCs/>
          <w:kern w:val="2"/>
          <w:lang w:val="es-MX"/>
          <w14:ligatures w14:val="standardContextual"/>
        </w:rPr>
        <w:t>EXPERIENCIA – Concepto</w:t>
      </w:r>
    </w:p>
    <w:p w14:paraId="1482EFCF" w14:textId="77777777" w:rsidR="00B20DEA" w:rsidRPr="00B20DEA" w:rsidRDefault="00B20DEA" w:rsidP="00B20DEA">
      <w:pPr>
        <w:spacing w:after="0" w:line="276" w:lineRule="auto"/>
        <w:jc w:val="both"/>
        <w:rPr>
          <w:rFonts w:ascii="Verdana" w:eastAsia="Aptos" w:hAnsi="Verdana" w:cs="Arial"/>
          <w:b/>
          <w:bCs/>
          <w:kern w:val="2"/>
          <w:lang w:val="es-MX"/>
          <w14:ligatures w14:val="standardContextual"/>
        </w:rPr>
      </w:pPr>
    </w:p>
    <w:p w14:paraId="7E369629" w14:textId="30118434" w:rsidR="00B20DEA" w:rsidRPr="00B20DEA" w:rsidRDefault="00940B7D" w:rsidP="00B20DEA">
      <w:pPr>
        <w:spacing w:after="0" w:line="240" w:lineRule="auto"/>
        <w:jc w:val="both"/>
        <w:rPr>
          <w:rFonts w:ascii="Verdana" w:eastAsia="Aptos" w:hAnsi="Verdana" w:cs="Arial"/>
          <w:kern w:val="2"/>
          <w:sz w:val="20"/>
          <w:szCs w:val="20"/>
          <w:lang w:val="es-MX"/>
          <w14:ligatures w14:val="standardContextual"/>
        </w:rPr>
      </w:pPr>
      <w:r w:rsidRPr="00940B7D">
        <w:rPr>
          <w:rFonts w:ascii="Verdana" w:eastAsia="Aptos" w:hAnsi="Verdana" w:cs="Arial"/>
          <w:kern w:val="2"/>
          <w:sz w:val="20"/>
          <w:szCs w:val="20"/>
          <w:lang w:val="es-MX"/>
          <w14:ligatures w14:val="standardContextua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 .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así como el mercado y precio del bien, obra o servicio a contratar</w:t>
      </w:r>
      <w:r w:rsidR="00451A33">
        <w:rPr>
          <w:rFonts w:ascii="Verdana" w:eastAsia="Aptos" w:hAnsi="Verdana" w:cs="Arial"/>
          <w:kern w:val="2"/>
          <w:sz w:val="20"/>
          <w:szCs w:val="20"/>
          <w:lang w:val="es-MX"/>
          <w14:ligatures w14:val="standardContextual"/>
        </w:rPr>
        <w:t>.</w:t>
      </w:r>
    </w:p>
    <w:p w14:paraId="0F2BAB6B" w14:textId="77777777" w:rsidR="00B20DEA" w:rsidRPr="00B20DEA" w:rsidRDefault="00B20DEA" w:rsidP="00B20DEA">
      <w:pPr>
        <w:spacing w:after="0" w:line="276" w:lineRule="auto"/>
        <w:jc w:val="both"/>
        <w:rPr>
          <w:rFonts w:ascii="Verdana" w:eastAsia="Aptos" w:hAnsi="Verdana" w:cs="Arial"/>
          <w:b/>
          <w:bCs/>
          <w:kern w:val="2"/>
          <w:lang w:val="es-MX"/>
          <w14:ligatures w14:val="standardContextual"/>
        </w:rPr>
      </w:pPr>
    </w:p>
    <w:p w14:paraId="195BD98D" w14:textId="77777777" w:rsidR="00B20DEA" w:rsidRPr="00B20DEA" w:rsidRDefault="00B20DEA" w:rsidP="00B20DEA">
      <w:pPr>
        <w:spacing w:after="0" w:line="276" w:lineRule="auto"/>
        <w:jc w:val="both"/>
        <w:rPr>
          <w:rFonts w:ascii="Verdana" w:eastAsia="Aptos" w:hAnsi="Verdana" w:cs="Arial"/>
          <w:b/>
          <w:bCs/>
          <w:kern w:val="2"/>
          <w:lang w:val="es-MX"/>
          <w14:ligatures w14:val="standardContextual"/>
        </w:rPr>
      </w:pPr>
      <w:r w:rsidRPr="00B20DEA">
        <w:rPr>
          <w:rFonts w:ascii="Verdana" w:eastAsia="Aptos" w:hAnsi="Verdana" w:cs="Arial"/>
          <w:b/>
          <w:bCs/>
          <w:kern w:val="2"/>
          <w:lang w:val="es-MX"/>
          <w14:ligatures w14:val="standardContextual"/>
        </w:rPr>
        <w:t>DOCUMENTOS TIPO – Infraestructura de transporte – Acreditación de la experiencia – Numeral 3.5.2 – Procesos de contratación estructurados por lotes o grupos</w:t>
      </w:r>
    </w:p>
    <w:p w14:paraId="73B5BA1B" w14:textId="77777777" w:rsidR="00B20DEA" w:rsidRPr="00B20DEA" w:rsidRDefault="00B20DEA" w:rsidP="00B20DEA">
      <w:pPr>
        <w:spacing w:after="0" w:line="276" w:lineRule="auto"/>
        <w:jc w:val="both"/>
        <w:rPr>
          <w:rFonts w:ascii="Verdana" w:eastAsia="Aptos" w:hAnsi="Verdana" w:cs="Arial"/>
          <w:b/>
          <w:bCs/>
          <w:kern w:val="2"/>
          <w:lang w:val="es-MX"/>
          <w14:ligatures w14:val="standardContextual"/>
        </w:rPr>
      </w:pPr>
    </w:p>
    <w:p w14:paraId="0F01333E" w14:textId="46E62AF8" w:rsidR="00451A33" w:rsidRPr="00451A33" w:rsidRDefault="00451A33" w:rsidP="00451A33">
      <w:pPr>
        <w:spacing w:after="0" w:line="240" w:lineRule="auto"/>
        <w:jc w:val="both"/>
        <w:rPr>
          <w:rFonts w:ascii="Verdana" w:eastAsia="Aptos" w:hAnsi="Verdana" w:cs="Times New Roman"/>
          <w:kern w:val="2"/>
          <w:sz w:val="20"/>
          <w:szCs w:val="20"/>
          <w:lang w:val="es-ES_tradnl"/>
          <w14:ligatures w14:val="standardContextual"/>
        </w:rPr>
      </w:pPr>
      <w:r w:rsidRPr="00451A33">
        <w:rPr>
          <w:rFonts w:ascii="Verdana" w:eastAsia="Aptos" w:hAnsi="Verdana" w:cs="Times New Roman"/>
          <w:kern w:val="2"/>
          <w:sz w:val="20"/>
          <w:szCs w:val="20"/>
          <w:lang w:val="es-ES_tradnl"/>
          <w14:ligatures w14:val="standardContextual"/>
        </w:rPr>
        <w:t>Para fijar las condiciones que deben cumplir los contratos aportados, en términos de actividades ejecutadas, las entidades deben emplear la “Matriz 1 – Experiencia”. Este documento estandariza las condiciones de experiencia general y/o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3C178CCB" w14:textId="77777777" w:rsidR="00451A33" w:rsidRPr="00451A33" w:rsidRDefault="00451A33" w:rsidP="00451A33">
      <w:pPr>
        <w:spacing w:after="0" w:line="240" w:lineRule="auto"/>
        <w:jc w:val="both"/>
        <w:rPr>
          <w:rFonts w:ascii="Verdana" w:eastAsia="Aptos" w:hAnsi="Verdana" w:cs="Times New Roman"/>
          <w:kern w:val="2"/>
          <w:sz w:val="20"/>
          <w:szCs w:val="20"/>
          <w:lang w:val="es-ES_tradnl"/>
          <w14:ligatures w14:val="standardContextual"/>
        </w:rPr>
      </w:pPr>
    </w:p>
    <w:p w14:paraId="1A21E060" w14:textId="55F9D9D5" w:rsidR="00B20DEA" w:rsidRPr="00B20DEA" w:rsidRDefault="00451A33" w:rsidP="00451A33">
      <w:pPr>
        <w:spacing w:after="0" w:line="240" w:lineRule="auto"/>
        <w:jc w:val="both"/>
        <w:rPr>
          <w:rFonts w:ascii="Verdana" w:eastAsia="Aptos" w:hAnsi="Verdana" w:cs="Times New Roman"/>
          <w:kern w:val="2"/>
          <w:sz w:val="20"/>
          <w:szCs w:val="20"/>
          <w:lang w:val="es-ES_tradnl"/>
          <w14:ligatures w14:val="standardContextual"/>
        </w:rPr>
      </w:pPr>
      <w:r w:rsidRPr="00451A33">
        <w:rPr>
          <w:rFonts w:ascii="Verdana" w:eastAsia="Aptos" w:hAnsi="Verdana" w:cs="Times New Roman"/>
          <w:kern w:val="2"/>
          <w:sz w:val="20"/>
          <w:szCs w:val="20"/>
          <w:lang w:val="es-ES_tradnl"/>
          <w14:ligatures w14:val="standardContextual"/>
        </w:rPr>
        <w:t xml:space="preserve">Concretamente, el numeral “3.5.2. CARACTERÍSTICAS DE LOS CONTRATOS PRESENTADOS PARA ACREDITAR LA EXPERIENCIA EXIGIDA”, literal A, numeral vi), establece lo siguiente: </w:t>
      </w:r>
      <w:r w:rsidR="00B20DEA" w:rsidRPr="00B20DEA">
        <w:rPr>
          <w:rFonts w:ascii="Verdana" w:eastAsia="Aptos" w:hAnsi="Verdana" w:cs="Times New Roman"/>
          <w:kern w:val="2"/>
          <w:sz w:val="20"/>
          <w:szCs w:val="20"/>
          <w:lang w:val="es-ES_tradnl"/>
          <w14:ligatures w14:val="standardContextual"/>
        </w:rPr>
        <w:t>[…]</w:t>
      </w:r>
    </w:p>
    <w:p w14:paraId="20A9868A" w14:textId="77777777" w:rsidR="00B20DEA" w:rsidRPr="00B20DEA" w:rsidRDefault="00B20DEA" w:rsidP="00B20DEA">
      <w:pPr>
        <w:spacing w:after="0" w:line="276" w:lineRule="auto"/>
        <w:jc w:val="both"/>
        <w:rPr>
          <w:rFonts w:ascii="Verdana" w:eastAsia="Aptos" w:hAnsi="Verdana" w:cs="Arial"/>
          <w:b/>
          <w:bCs/>
          <w:kern w:val="2"/>
          <w:lang w:val="es-MX"/>
          <w14:ligatures w14:val="standardContextual"/>
        </w:rPr>
      </w:pPr>
    </w:p>
    <w:p w14:paraId="229B106F" w14:textId="77777777" w:rsidR="00B20DEA" w:rsidRPr="00B20DEA" w:rsidRDefault="00B20DEA" w:rsidP="00B20DEA">
      <w:pPr>
        <w:spacing w:after="0" w:line="240" w:lineRule="auto"/>
        <w:jc w:val="both"/>
        <w:rPr>
          <w:rFonts w:ascii="Verdana" w:eastAsia="Calibri" w:hAnsi="Verdana" w:cs="Times New Roman"/>
        </w:rPr>
      </w:pPr>
    </w:p>
    <w:p w14:paraId="31D243EC" w14:textId="77777777" w:rsidR="00B20DEA" w:rsidRPr="00B20DEA" w:rsidRDefault="00B20DEA" w:rsidP="00B20DEA">
      <w:pPr>
        <w:spacing w:after="0" w:line="240" w:lineRule="auto"/>
        <w:jc w:val="both"/>
        <w:rPr>
          <w:rFonts w:ascii="Verdana" w:eastAsia="Calibri" w:hAnsi="Verdana" w:cs="Times New Roman"/>
        </w:rPr>
      </w:pPr>
    </w:p>
    <w:p w14:paraId="6A848727" w14:textId="77777777" w:rsidR="00B20DEA" w:rsidRPr="00B20DEA" w:rsidRDefault="00B20DEA" w:rsidP="00B20DEA">
      <w:pPr>
        <w:spacing w:after="0" w:line="240" w:lineRule="auto"/>
        <w:jc w:val="both"/>
        <w:rPr>
          <w:rFonts w:ascii="Verdana" w:eastAsia="Calibri" w:hAnsi="Verdana" w:cs="Times New Roman"/>
        </w:rPr>
      </w:pPr>
    </w:p>
    <w:p w14:paraId="7941DBE0" w14:textId="77777777" w:rsidR="00B20DEA" w:rsidRPr="00B20DEA" w:rsidRDefault="00B20DEA" w:rsidP="00B20DEA">
      <w:pPr>
        <w:spacing w:after="0" w:line="240" w:lineRule="auto"/>
        <w:jc w:val="both"/>
        <w:rPr>
          <w:rFonts w:ascii="Verdana" w:eastAsia="Calibri" w:hAnsi="Verdana" w:cs="Times New Roman"/>
        </w:rPr>
      </w:pPr>
    </w:p>
    <w:p w14:paraId="6E9D121D" w14:textId="77777777" w:rsidR="00B20DEA" w:rsidRPr="00B20DEA" w:rsidRDefault="00B20DEA" w:rsidP="00B20DEA">
      <w:pPr>
        <w:spacing w:after="0" w:line="240" w:lineRule="auto"/>
        <w:jc w:val="both"/>
        <w:rPr>
          <w:rFonts w:ascii="Verdana" w:eastAsia="Calibri" w:hAnsi="Verdana" w:cs="Times New Roman"/>
        </w:rPr>
      </w:pPr>
    </w:p>
    <w:p w14:paraId="1ACCD88D" w14:textId="77777777" w:rsidR="00B20DEA" w:rsidRPr="00B20DEA" w:rsidRDefault="00B20DEA" w:rsidP="00B20DEA">
      <w:pPr>
        <w:spacing w:after="0" w:line="240" w:lineRule="auto"/>
        <w:jc w:val="both"/>
        <w:rPr>
          <w:rFonts w:ascii="Verdana" w:eastAsia="Calibri" w:hAnsi="Verdana" w:cs="Times New Roman"/>
        </w:rPr>
      </w:pPr>
    </w:p>
    <w:p w14:paraId="3F9C4FFF" w14:textId="77777777" w:rsidR="00B20DEA" w:rsidRPr="00B20DEA" w:rsidRDefault="00B20DEA" w:rsidP="00B20DEA">
      <w:pPr>
        <w:spacing w:after="0" w:line="240" w:lineRule="auto"/>
        <w:jc w:val="both"/>
        <w:rPr>
          <w:rFonts w:ascii="Verdana" w:eastAsia="Calibri" w:hAnsi="Verdana" w:cs="Times New Roman"/>
        </w:rPr>
      </w:pPr>
    </w:p>
    <w:p w14:paraId="6AB5BB02" w14:textId="77777777" w:rsidR="00B20DEA" w:rsidRPr="00B20DEA" w:rsidRDefault="00B20DEA" w:rsidP="00B20DEA">
      <w:pPr>
        <w:spacing w:after="0" w:line="240" w:lineRule="auto"/>
        <w:jc w:val="both"/>
        <w:rPr>
          <w:rFonts w:ascii="Verdana" w:eastAsia="Calibri" w:hAnsi="Verdana" w:cs="Times New Roman"/>
        </w:rPr>
      </w:pPr>
    </w:p>
    <w:p w14:paraId="58D41F9B" w14:textId="77777777" w:rsidR="00B20DEA" w:rsidRPr="00B20DEA" w:rsidRDefault="00B20DEA" w:rsidP="00B20DEA">
      <w:pPr>
        <w:spacing w:after="0" w:line="240" w:lineRule="auto"/>
        <w:jc w:val="both"/>
        <w:rPr>
          <w:rFonts w:ascii="Verdana" w:eastAsia="Calibri" w:hAnsi="Verdana" w:cs="Times New Roman"/>
        </w:rPr>
      </w:pPr>
    </w:p>
    <w:p w14:paraId="5CCD5C04" w14:textId="77777777" w:rsidR="00B20DEA" w:rsidRPr="00B20DEA" w:rsidRDefault="00B20DEA" w:rsidP="00B20DEA">
      <w:pPr>
        <w:spacing w:after="0" w:line="240" w:lineRule="auto"/>
        <w:jc w:val="both"/>
        <w:rPr>
          <w:rFonts w:ascii="Verdana" w:eastAsia="Calibri" w:hAnsi="Verdana" w:cs="Times New Roman"/>
        </w:rPr>
      </w:pPr>
    </w:p>
    <w:p w14:paraId="4D4FF612" w14:textId="77777777" w:rsidR="00B20DEA" w:rsidRPr="00B20DEA" w:rsidRDefault="00B20DEA" w:rsidP="00B20DEA">
      <w:pPr>
        <w:spacing w:after="0" w:line="240" w:lineRule="auto"/>
        <w:jc w:val="both"/>
        <w:rPr>
          <w:rFonts w:ascii="Verdana" w:eastAsia="Calibri" w:hAnsi="Verdana" w:cs="Times New Roman"/>
        </w:rPr>
      </w:pPr>
    </w:p>
    <w:p w14:paraId="0F9FEA9B" w14:textId="77777777" w:rsidR="00B20DEA" w:rsidRPr="00B20DEA" w:rsidRDefault="00B20DEA" w:rsidP="00B20DEA">
      <w:pPr>
        <w:spacing w:after="0" w:line="240" w:lineRule="auto"/>
        <w:jc w:val="both"/>
        <w:rPr>
          <w:rFonts w:ascii="Verdana" w:eastAsia="Calibri" w:hAnsi="Verdana" w:cs="Times New Roman"/>
        </w:rPr>
      </w:pPr>
    </w:p>
    <w:p w14:paraId="04F7FC87" w14:textId="77777777" w:rsidR="00B20DEA" w:rsidRDefault="00B20DEA" w:rsidP="00B20DEA">
      <w:pPr>
        <w:spacing w:after="0" w:line="240" w:lineRule="auto"/>
        <w:jc w:val="both"/>
        <w:rPr>
          <w:rFonts w:ascii="Verdana" w:eastAsia="Calibri" w:hAnsi="Verdana" w:cs="Times New Roman"/>
        </w:rPr>
      </w:pPr>
    </w:p>
    <w:p w14:paraId="4C1D4542" w14:textId="77777777" w:rsidR="00B20DEA" w:rsidRPr="00B20DEA" w:rsidRDefault="00B20DEA" w:rsidP="00B20DEA">
      <w:pPr>
        <w:spacing w:after="0" w:line="240" w:lineRule="auto"/>
        <w:jc w:val="both"/>
        <w:rPr>
          <w:rFonts w:ascii="Verdana" w:eastAsia="Calibri" w:hAnsi="Verdana" w:cs="Times New Roman"/>
        </w:rPr>
      </w:pPr>
    </w:p>
    <w:p w14:paraId="389F6DB5" w14:textId="77777777" w:rsidR="00B20DEA" w:rsidRPr="00B20DEA" w:rsidRDefault="00B20DEA" w:rsidP="00B20DEA">
      <w:pPr>
        <w:spacing w:after="0" w:line="240" w:lineRule="auto"/>
        <w:jc w:val="both"/>
        <w:rPr>
          <w:rFonts w:ascii="Verdana" w:eastAsia="Calibri" w:hAnsi="Verdana" w:cs="Times New Roman"/>
        </w:rPr>
      </w:pPr>
    </w:p>
    <w:p w14:paraId="5740881A" w14:textId="77777777" w:rsidR="00B20DEA" w:rsidRPr="00B20DEA" w:rsidRDefault="00B20DEA" w:rsidP="00B20DEA">
      <w:pPr>
        <w:spacing w:after="0" w:line="240" w:lineRule="auto"/>
        <w:jc w:val="both"/>
        <w:rPr>
          <w:rFonts w:ascii="Verdana" w:eastAsia="Calibri" w:hAnsi="Verdana" w:cs="Times New Roman"/>
        </w:rPr>
      </w:pPr>
    </w:p>
    <w:p w14:paraId="0CA7F587" w14:textId="2497F525" w:rsidR="00B20DEA" w:rsidRPr="00B20DEA" w:rsidRDefault="00B20DEA" w:rsidP="00B20DEA">
      <w:pPr>
        <w:spacing w:after="0" w:line="240" w:lineRule="auto"/>
        <w:jc w:val="both"/>
        <w:rPr>
          <w:rFonts w:ascii="Verdana" w:eastAsia="Calibri" w:hAnsi="Verdana" w:cs="Arial"/>
          <w:lang w:val="es-ES"/>
        </w:rPr>
      </w:pPr>
      <w:r w:rsidRPr="0044528D">
        <w:rPr>
          <w:rFonts w:ascii="Verdana" w:hAnsi="Verdana"/>
        </w:rPr>
        <w:lastRenderedPageBreak/>
        <w:t>Bogotá D.C.</w:t>
      </w:r>
    </w:p>
    <w:p w14:paraId="2B8E836E" w14:textId="067AE8AD" w:rsidR="00B20DEA" w:rsidRPr="00B20DEA" w:rsidRDefault="00521A2E" w:rsidP="00521A2E">
      <w:pPr>
        <w:spacing w:after="0" w:line="240" w:lineRule="auto"/>
        <w:jc w:val="right"/>
        <w:rPr>
          <w:rFonts w:ascii="Verdana" w:eastAsia="Calibri" w:hAnsi="Verdana" w:cs="Arial"/>
          <w:lang w:val="es-ES"/>
        </w:rPr>
      </w:pPr>
      <w:r>
        <w:rPr>
          <w:rFonts w:ascii="Verdana" w:eastAsia="Calibri" w:hAnsi="Verdana" w:cs="Arial"/>
          <w:noProof/>
          <w:lang w:val="es-ES"/>
        </w:rPr>
        <w:drawing>
          <wp:inline distT="0" distB="0" distL="0" distR="0" wp14:anchorId="0232FEFE" wp14:editId="4107DD40">
            <wp:extent cx="3476263" cy="1050381"/>
            <wp:effectExtent l="0" t="0" r="3810" b="3810"/>
            <wp:docPr id="724596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656" name="Imagen 72459656"/>
                    <pic:cNvPicPr/>
                  </pic:nvPicPr>
                  <pic:blipFill>
                    <a:blip r:embed="rId10">
                      <a:extLst>
                        <a:ext uri="{28A0092B-C50C-407E-A947-70E740481C1C}">
                          <a14:useLocalDpi xmlns:a14="http://schemas.microsoft.com/office/drawing/2010/main" val="0"/>
                        </a:ext>
                      </a:extLst>
                    </a:blip>
                    <a:stretch>
                      <a:fillRect/>
                    </a:stretch>
                  </pic:blipFill>
                  <pic:spPr>
                    <a:xfrm>
                      <a:off x="0" y="0"/>
                      <a:ext cx="3494599" cy="1055921"/>
                    </a:xfrm>
                    <a:prstGeom prst="rect">
                      <a:avLst/>
                    </a:prstGeom>
                  </pic:spPr>
                </pic:pic>
              </a:graphicData>
            </a:graphic>
          </wp:inline>
        </w:drawing>
      </w:r>
    </w:p>
    <w:p w14:paraId="16115D23" w14:textId="77777777" w:rsidR="00B20DEA" w:rsidRPr="00B20DEA" w:rsidRDefault="00B20DEA" w:rsidP="00B20DEA">
      <w:pPr>
        <w:spacing w:after="0" w:line="240" w:lineRule="auto"/>
        <w:jc w:val="both"/>
        <w:rPr>
          <w:rFonts w:ascii="Verdana" w:eastAsia="Calibri" w:hAnsi="Verdana" w:cs="Arial"/>
          <w:lang w:val="es-ES" w:eastAsia="es-ES"/>
        </w:rPr>
      </w:pPr>
      <w:r w:rsidRPr="00B20DEA">
        <w:rPr>
          <w:rFonts w:ascii="Verdana" w:eastAsia="Calibri" w:hAnsi="Verdana" w:cs="Arial"/>
          <w:lang w:val="es-ES" w:eastAsia="es-ES"/>
        </w:rPr>
        <w:t>Señora</w:t>
      </w:r>
    </w:p>
    <w:p w14:paraId="332EB4D3" w14:textId="77777777" w:rsidR="00B20DEA" w:rsidRPr="00B20DEA" w:rsidRDefault="00B20DEA" w:rsidP="00B20DEA">
      <w:pPr>
        <w:spacing w:after="0" w:line="240" w:lineRule="auto"/>
        <w:rPr>
          <w:rFonts w:ascii="Verdana" w:eastAsia="Calibri" w:hAnsi="Verdana" w:cs="Arial"/>
          <w:b/>
          <w:lang w:val="es-ES_tradnl" w:eastAsia="es-ES_tradnl"/>
        </w:rPr>
      </w:pPr>
      <w:r w:rsidRPr="00B20DEA">
        <w:rPr>
          <w:rFonts w:ascii="Verdana" w:eastAsia="Calibri" w:hAnsi="Verdana" w:cs="Arial"/>
          <w:b/>
          <w:lang w:val="es-ES_tradnl" w:eastAsia="es-ES_tradnl"/>
        </w:rPr>
        <w:t>Paola Vela</w:t>
      </w:r>
    </w:p>
    <w:p w14:paraId="21DBC378" w14:textId="77777777" w:rsidR="00B20DEA" w:rsidRPr="00B20DEA" w:rsidRDefault="00B20DEA" w:rsidP="00B20DEA">
      <w:pPr>
        <w:spacing w:after="0" w:line="240" w:lineRule="auto"/>
        <w:rPr>
          <w:rFonts w:ascii="Verdana" w:eastAsia="Calibri" w:hAnsi="Verdana" w:cs="Arial"/>
          <w:b/>
          <w:bCs/>
          <w:lang w:val="es-ES_tradnl" w:eastAsia="es-ES_tradnl"/>
        </w:rPr>
      </w:pPr>
      <w:r w:rsidRPr="00B20DEA">
        <w:rPr>
          <w:rFonts w:ascii="Verdana" w:eastAsia="Calibri" w:hAnsi="Verdana" w:cs="Arial"/>
          <w:bCs/>
          <w:lang w:val="es-ES_tradnl" w:eastAsia="es-ES_tradnl"/>
        </w:rPr>
        <w:t>Bogotá, D.C.</w:t>
      </w:r>
    </w:p>
    <w:p w14:paraId="06E68AA5" w14:textId="77777777" w:rsidR="00B20DEA" w:rsidRPr="00B20DEA" w:rsidRDefault="00B20DEA" w:rsidP="00B20DEA">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20DEA" w:rsidRPr="00B20DEA" w14:paraId="33710652" w14:textId="77777777" w:rsidTr="005C10FC">
        <w:trPr>
          <w:trHeight w:val="884"/>
        </w:trPr>
        <w:tc>
          <w:tcPr>
            <w:tcW w:w="2689" w:type="dxa"/>
          </w:tcPr>
          <w:p w14:paraId="55618A52" w14:textId="77777777" w:rsidR="00B20DEA" w:rsidRPr="00B20DEA" w:rsidRDefault="00B20DEA" w:rsidP="00B20DEA">
            <w:pPr>
              <w:jc w:val="both"/>
              <w:rPr>
                <w:rFonts w:ascii="Verdana" w:eastAsia="Calibri" w:hAnsi="Verdana" w:cs="Arial"/>
                <w:b/>
                <w:bCs/>
                <w:lang w:val="es-ES_tradnl" w:eastAsia="es-ES_tradnl"/>
              </w:rPr>
            </w:pPr>
          </w:p>
        </w:tc>
        <w:tc>
          <w:tcPr>
            <w:tcW w:w="6100" w:type="dxa"/>
          </w:tcPr>
          <w:p w14:paraId="1A045657" w14:textId="77777777" w:rsidR="00B20DEA" w:rsidRPr="00B20DEA" w:rsidRDefault="00B20DEA" w:rsidP="00B20DEA">
            <w:pPr>
              <w:jc w:val="both"/>
              <w:rPr>
                <w:rFonts w:ascii="Verdana" w:eastAsia="Calibri" w:hAnsi="Verdana" w:cs="Arial"/>
                <w:b/>
                <w:bCs/>
                <w:lang w:val="es-ES" w:eastAsia="es-ES"/>
              </w:rPr>
            </w:pPr>
            <w:r w:rsidRPr="00B20DEA">
              <w:rPr>
                <w:rFonts w:ascii="Verdana" w:eastAsia="Calibri" w:hAnsi="Verdana" w:cs="Arial"/>
                <w:b/>
                <w:bCs/>
                <w:lang w:val="es-ES" w:eastAsia="es-ES"/>
              </w:rPr>
              <w:t>Concepto C – 549 de 2024</w:t>
            </w:r>
          </w:p>
        </w:tc>
      </w:tr>
      <w:tr w:rsidR="00B20DEA" w:rsidRPr="00B20DEA" w14:paraId="5BF4EF57" w14:textId="77777777" w:rsidTr="005C10FC">
        <w:trPr>
          <w:trHeight w:val="884"/>
        </w:trPr>
        <w:tc>
          <w:tcPr>
            <w:tcW w:w="2689" w:type="dxa"/>
          </w:tcPr>
          <w:p w14:paraId="120C52E8" w14:textId="77777777" w:rsidR="00B20DEA" w:rsidRPr="00B20DEA" w:rsidRDefault="00B20DEA" w:rsidP="00B20DEA">
            <w:pPr>
              <w:jc w:val="both"/>
              <w:rPr>
                <w:rFonts w:ascii="Verdana" w:eastAsia="Calibri" w:hAnsi="Verdana" w:cs="Arial"/>
                <w:lang w:val="es-ES_tradnl" w:eastAsia="es-ES_tradnl"/>
              </w:rPr>
            </w:pPr>
            <w:r w:rsidRPr="00B20DEA">
              <w:rPr>
                <w:rFonts w:ascii="Verdana" w:eastAsia="Calibri" w:hAnsi="Verdana" w:cs="Arial"/>
                <w:b/>
                <w:lang w:val="es-ES_tradnl" w:eastAsia="es-ES_tradnl"/>
              </w:rPr>
              <w:t>Temas:</w:t>
            </w:r>
            <w:r w:rsidRPr="00B20DEA">
              <w:rPr>
                <w:rFonts w:ascii="Verdana" w:eastAsia="Calibri" w:hAnsi="Verdana" w:cs="Arial"/>
                <w:lang w:val="es-ES_tradnl" w:eastAsia="es-ES_tradnl"/>
              </w:rPr>
              <w:t xml:space="preserve">                   </w:t>
            </w:r>
          </w:p>
        </w:tc>
        <w:tc>
          <w:tcPr>
            <w:tcW w:w="6100" w:type="dxa"/>
          </w:tcPr>
          <w:p w14:paraId="7DD53CF5" w14:textId="77777777" w:rsidR="00B20DEA" w:rsidRPr="00B20DEA" w:rsidRDefault="00B20DEA" w:rsidP="00B20DEA">
            <w:pPr>
              <w:spacing w:line="276" w:lineRule="auto"/>
              <w:jc w:val="both"/>
              <w:rPr>
                <w:rFonts w:ascii="Verdana" w:eastAsia="Aptos" w:hAnsi="Verdana" w:cs="Arial"/>
                <w:lang w:val="es-MX"/>
              </w:rPr>
            </w:pPr>
            <w:r w:rsidRPr="00B20DEA">
              <w:rPr>
                <w:rFonts w:ascii="Verdana" w:eastAsia="Aptos" w:hAnsi="Verdana" w:cs="Arial"/>
                <w:lang w:val="es-MX"/>
              </w:rPr>
              <w:t>EXPERIENCIA – Concepto / DOCUMENTOS TIPO – Infraestructura de transporte – Acreditación de la experiencia – Numeral 3.5.2 – Procesos de contratación estructurados por lotes o grupos</w:t>
            </w:r>
          </w:p>
          <w:p w14:paraId="7890896C" w14:textId="77777777" w:rsidR="00B20DEA" w:rsidRPr="00B20DEA" w:rsidRDefault="00B20DEA" w:rsidP="00B20DEA">
            <w:pPr>
              <w:spacing w:line="276" w:lineRule="auto"/>
              <w:jc w:val="both"/>
              <w:rPr>
                <w:rFonts w:ascii="Verdana" w:eastAsia="Aptos" w:hAnsi="Verdana" w:cs="Arial"/>
                <w:b/>
                <w:bCs/>
                <w:lang w:val="es-MX"/>
              </w:rPr>
            </w:pPr>
          </w:p>
        </w:tc>
      </w:tr>
      <w:tr w:rsidR="00B20DEA" w:rsidRPr="00B20DEA" w14:paraId="473E9DE4" w14:textId="77777777" w:rsidTr="005C10FC">
        <w:tc>
          <w:tcPr>
            <w:tcW w:w="2689" w:type="dxa"/>
          </w:tcPr>
          <w:p w14:paraId="5E8EC73A" w14:textId="77777777" w:rsidR="00B20DEA" w:rsidRPr="00B20DEA" w:rsidRDefault="00B20DEA" w:rsidP="00B20DEA">
            <w:pPr>
              <w:jc w:val="both"/>
              <w:rPr>
                <w:rFonts w:ascii="Verdana" w:eastAsia="Calibri" w:hAnsi="Verdana" w:cs="Arial"/>
                <w:b/>
                <w:lang w:val="es-ES_tradnl" w:eastAsia="es-ES_tradnl"/>
              </w:rPr>
            </w:pPr>
            <w:r w:rsidRPr="00B20DEA">
              <w:rPr>
                <w:rFonts w:ascii="Verdana" w:eastAsia="Calibri" w:hAnsi="Verdana" w:cs="Arial"/>
                <w:b/>
                <w:lang w:val="es-ES_tradnl" w:eastAsia="es-ES_tradnl"/>
              </w:rPr>
              <w:t>Radicación:</w:t>
            </w:r>
            <w:r w:rsidRPr="00B20DEA">
              <w:rPr>
                <w:rFonts w:ascii="Verdana" w:eastAsia="Calibri" w:hAnsi="Verdana" w:cs="Arial"/>
                <w:lang w:val="es-ES_tradnl" w:eastAsia="es-ES_tradnl"/>
              </w:rPr>
              <w:t xml:space="preserve">               </w:t>
            </w:r>
          </w:p>
        </w:tc>
        <w:tc>
          <w:tcPr>
            <w:tcW w:w="6100" w:type="dxa"/>
          </w:tcPr>
          <w:p w14:paraId="267DE81E" w14:textId="77777777" w:rsidR="00B20DEA" w:rsidRPr="00B20DEA" w:rsidRDefault="00B20DEA" w:rsidP="00B20DEA">
            <w:pPr>
              <w:jc w:val="both"/>
              <w:rPr>
                <w:rFonts w:ascii="Verdana" w:eastAsia="Calibri" w:hAnsi="Verdana" w:cs="Arial"/>
                <w:lang w:val="es-ES_tradnl" w:eastAsia="es-ES_tradnl"/>
              </w:rPr>
            </w:pPr>
            <w:r w:rsidRPr="00B20DEA">
              <w:rPr>
                <w:rFonts w:ascii="Verdana" w:eastAsia="Calibri" w:hAnsi="Verdana" w:cs="Arial"/>
                <w:lang w:val="es-ES_tradnl" w:eastAsia="es-ES_tradnl"/>
              </w:rPr>
              <w:t>Respuesta a consulta con radicado No. P20240902008911</w:t>
            </w:r>
          </w:p>
        </w:tc>
      </w:tr>
    </w:tbl>
    <w:p w14:paraId="483C093F" w14:textId="77777777" w:rsidR="00B20DEA" w:rsidRPr="00B20DEA" w:rsidRDefault="00B20DEA" w:rsidP="00B20DEA">
      <w:pPr>
        <w:spacing w:after="0" w:line="240" w:lineRule="auto"/>
        <w:jc w:val="both"/>
        <w:rPr>
          <w:rFonts w:ascii="Verdana" w:eastAsia="Calibri" w:hAnsi="Verdana" w:cs="Arial"/>
          <w:lang w:val="es-ES_tradnl" w:eastAsia="es-ES_tradnl"/>
        </w:rPr>
      </w:pPr>
    </w:p>
    <w:p w14:paraId="423B926C" w14:textId="77777777" w:rsidR="00B20DEA" w:rsidRPr="00B20DEA" w:rsidRDefault="00B20DEA" w:rsidP="00B20DEA">
      <w:pPr>
        <w:spacing w:after="0" w:line="240" w:lineRule="auto"/>
        <w:jc w:val="both"/>
        <w:rPr>
          <w:rFonts w:ascii="Verdana" w:eastAsia="Calibri" w:hAnsi="Verdana" w:cs="Arial"/>
          <w:lang w:val="es-ES_tradnl" w:eastAsia="es-ES_tradnl"/>
        </w:rPr>
      </w:pPr>
    </w:p>
    <w:p w14:paraId="026D1F97" w14:textId="77777777" w:rsidR="00B20DEA" w:rsidRPr="00B20DEA" w:rsidRDefault="00B20DEA" w:rsidP="00B20DEA">
      <w:pPr>
        <w:spacing w:after="0" w:line="276" w:lineRule="auto"/>
        <w:jc w:val="both"/>
        <w:rPr>
          <w:rFonts w:ascii="Verdana" w:eastAsia="Calibri" w:hAnsi="Verdana" w:cs="Arial"/>
          <w:lang w:val="es-ES" w:eastAsia="es-ES"/>
        </w:rPr>
      </w:pPr>
      <w:r w:rsidRPr="00B20DEA">
        <w:rPr>
          <w:rFonts w:ascii="Verdana" w:eastAsia="Calibri" w:hAnsi="Verdana" w:cs="Arial"/>
          <w:lang w:val="es-ES" w:eastAsia="es-ES"/>
        </w:rPr>
        <w:t xml:space="preserve">Estimada señora Vela: </w:t>
      </w:r>
    </w:p>
    <w:p w14:paraId="2F619BFA" w14:textId="77777777" w:rsidR="00B20DEA" w:rsidRPr="00B20DEA" w:rsidRDefault="00B20DEA" w:rsidP="00B20DEA">
      <w:pPr>
        <w:tabs>
          <w:tab w:val="left" w:pos="3768"/>
        </w:tabs>
        <w:spacing w:after="0" w:line="276" w:lineRule="auto"/>
        <w:jc w:val="both"/>
        <w:rPr>
          <w:rFonts w:ascii="Verdana" w:eastAsia="Calibri" w:hAnsi="Verdana" w:cs="Arial"/>
          <w:lang w:val="es-ES" w:eastAsia="es-ES"/>
        </w:rPr>
      </w:pPr>
      <w:r w:rsidRPr="00B20DEA">
        <w:rPr>
          <w:rFonts w:ascii="Verdana" w:eastAsia="Calibri" w:hAnsi="Verdana" w:cs="Arial"/>
          <w:lang w:val="es-ES" w:eastAsia="es-ES"/>
        </w:rPr>
        <w:tab/>
      </w:r>
    </w:p>
    <w:p w14:paraId="4EA9A189" w14:textId="77777777" w:rsidR="00B20DEA" w:rsidRPr="00B20DEA" w:rsidRDefault="00B20DEA" w:rsidP="00B20DEA">
      <w:pPr>
        <w:spacing w:after="0" w:line="276" w:lineRule="auto"/>
        <w:jc w:val="both"/>
        <w:rPr>
          <w:rFonts w:ascii="Verdana" w:eastAsia="Calibri" w:hAnsi="Verdana" w:cs="Arial"/>
          <w:lang w:val="es-ES" w:eastAsia="es-ES"/>
        </w:rPr>
      </w:pPr>
      <w:r w:rsidRPr="00B20DEA">
        <w:rPr>
          <w:rFonts w:ascii="Verdana" w:eastAsia="Calibri" w:hAnsi="Verdana" w:cs="Arial"/>
          <w:lang w:val="es-ES" w:eastAsia="es-ES"/>
        </w:rPr>
        <w:t>En ejercicio de la competencia otorgada por los artículos 3, numeral 5º, y 11, numeral 8º, del Decreto Ley 4170 de 2011,</w:t>
      </w:r>
      <w:r w:rsidRPr="00B20DEA">
        <w:rPr>
          <w:rFonts w:ascii="Verdana" w:eastAsia="Arial MT" w:hAnsi="Verdana" w:cs="Arial MT"/>
          <w:lang w:val="es-ES" w:eastAsia="es-ES"/>
        </w:rPr>
        <w:t xml:space="preserve"> </w:t>
      </w:r>
      <w:r w:rsidRPr="00B20DEA">
        <w:rPr>
          <w:rFonts w:ascii="Verdana" w:eastAsia="Calibri" w:hAnsi="Verdana" w:cs="Arial"/>
        </w:rPr>
        <w:t xml:space="preserve">así como lo establecido en el artículo 4 de la Resolución 1707 de 2018 expedida por esta Entidad, </w:t>
      </w:r>
      <w:r w:rsidRPr="00B20DEA">
        <w:rPr>
          <w:rFonts w:ascii="Verdana" w:eastAsia="Calibri" w:hAnsi="Verdana" w:cs="Arial"/>
          <w:lang w:val="es-ES" w:eastAsia="es-ES"/>
        </w:rPr>
        <w:t>la Agencia Nacional de Contratación Pública – Colombia Compra Eficiente– responde su solicitud de consulta de fecha 2 de septiembre de 2024, en la que manifiesta lo siguiente:</w:t>
      </w:r>
    </w:p>
    <w:p w14:paraId="5CA6DBD6" w14:textId="77777777" w:rsidR="00B20DEA" w:rsidRPr="00B20DEA" w:rsidRDefault="00B20DEA" w:rsidP="00B20DEA">
      <w:pPr>
        <w:tabs>
          <w:tab w:val="left" w:pos="142"/>
          <w:tab w:val="left" w:pos="284"/>
        </w:tabs>
        <w:spacing w:line="276" w:lineRule="auto"/>
        <w:contextualSpacing/>
        <w:jc w:val="both"/>
        <w:rPr>
          <w:rFonts w:ascii="Verdana" w:eastAsia="Century Gothic" w:hAnsi="Verdana" w:cs="Century Gothic"/>
          <w:b/>
          <w:bCs/>
          <w:lang w:val="es-ES"/>
        </w:rPr>
      </w:pPr>
    </w:p>
    <w:p w14:paraId="084C7D22" w14:textId="77777777" w:rsidR="00B20DEA" w:rsidRPr="00B20DEA" w:rsidRDefault="00B20DEA" w:rsidP="00B20DEA">
      <w:pPr>
        <w:spacing w:after="0" w:line="240" w:lineRule="auto"/>
        <w:ind w:left="709" w:right="709"/>
        <w:jc w:val="both"/>
        <w:rPr>
          <w:rFonts w:ascii="Verdana" w:eastAsia="Century Gothic" w:hAnsi="Verdana" w:cs="Century Gothic"/>
          <w:sz w:val="20"/>
          <w:szCs w:val="20"/>
          <w:lang w:val="es-ES"/>
        </w:rPr>
      </w:pPr>
      <w:r w:rsidRPr="00B20DEA">
        <w:rPr>
          <w:rFonts w:ascii="Verdana" w:eastAsia="Century Gothic" w:hAnsi="Verdana" w:cs="Century Gothic"/>
          <w:sz w:val="20"/>
          <w:szCs w:val="20"/>
          <w:lang w:val="es-ES"/>
        </w:rPr>
        <w:t xml:space="preserve">“Si un proponente desea presentarse a todos los lotes que permite la entidad presentarse (marcándolos en su carta de presentación, teniendo en cuenta que los lotes estructurados tienen las mismas actividades y el mismo valor), pero la misma advierte que solo se va a adjudicar un solo lote (salvo la excepción que establece CCE en el literal F del numeral 2.10 de los documentos tipo de infraestructura de transporte), es válido interpretar que la forma correcta de evaluar la experiencia, sea presentada de manera general, es decir, que si un proponente se presenta a varios lotes, la misma experiencia presentada para un solo lote (general y específica) puede ser válida para cualquier lote, teniendo en cuenta que solo se pretende adjudicar un solo lote (salvo la excepción impuesta por </w:t>
      </w:r>
      <w:r w:rsidRPr="00B20DEA">
        <w:rPr>
          <w:rFonts w:ascii="Verdana" w:eastAsia="Century Gothic" w:hAnsi="Verdana" w:cs="Century Gothic"/>
          <w:sz w:val="20"/>
          <w:szCs w:val="20"/>
          <w:lang w:val="es-ES"/>
        </w:rPr>
        <w:lastRenderedPageBreak/>
        <w:t xml:space="preserve">CCE) </w:t>
      </w:r>
      <w:proofErr w:type="spellStart"/>
      <w:r w:rsidRPr="00B20DEA">
        <w:rPr>
          <w:rFonts w:ascii="Verdana" w:eastAsia="Century Gothic" w:hAnsi="Verdana" w:cs="Century Gothic"/>
          <w:sz w:val="20"/>
          <w:szCs w:val="20"/>
          <w:lang w:val="es-ES"/>
        </w:rPr>
        <w:t>ó</w:t>
      </w:r>
      <w:proofErr w:type="spellEnd"/>
      <w:r w:rsidRPr="00B20DEA">
        <w:rPr>
          <w:rFonts w:ascii="Verdana" w:eastAsia="Century Gothic" w:hAnsi="Verdana" w:cs="Century Gothic"/>
          <w:sz w:val="20"/>
          <w:szCs w:val="20"/>
          <w:lang w:val="es-ES"/>
        </w:rPr>
        <w:t xml:space="preserve"> por el contrario, tienen que presentar una experiencia diferente para cada lote así solo le vaya a adjudicar un solo lote?”</w:t>
      </w:r>
    </w:p>
    <w:p w14:paraId="79693367" w14:textId="77777777" w:rsidR="00B20DEA" w:rsidRPr="00B20DEA" w:rsidRDefault="00B20DEA" w:rsidP="00B20DEA">
      <w:pPr>
        <w:spacing w:after="0" w:line="240" w:lineRule="auto"/>
        <w:ind w:right="709"/>
        <w:jc w:val="both"/>
        <w:rPr>
          <w:rFonts w:ascii="Verdana" w:eastAsia="Century Gothic" w:hAnsi="Verdana" w:cs="Century Gothic"/>
          <w:lang w:val="es-ES"/>
        </w:rPr>
      </w:pPr>
    </w:p>
    <w:p w14:paraId="53E5DD25" w14:textId="77777777" w:rsidR="00B20DEA" w:rsidRPr="00B20DEA" w:rsidRDefault="00B20DEA" w:rsidP="00B20DEA">
      <w:pPr>
        <w:spacing w:after="120" w:line="276" w:lineRule="auto"/>
        <w:ind w:firstLine="709"/>
        <w:jc w:val="both"/>
        <w:rPr>
          <w:rFonts w:ascii="Verdana" w:eastAsia="Calibri" w:hAnsi="Verdana" w:cs="Arial"/>
          <w:szCs w:val="24"/>
          <w:lang w:val="es-ES_tradnl" w:eastAsia="es-ES_tradnl"/>
        </w:rPr>
      </w:pPr>
      <w:r w:rsidRPr="00B20DEA">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compras públicas.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20DEA">
        <w:rPr>
          <w:rFonts w:ascii="Verdana" w:eastAsia="Calibri" w:hAnsi="Verdana" w:cs="Arial"/>
          <w:szCs w:val="24"/>
          <w:lang w:val="es-ES_tradnl" w:eastAsia="es-ES_tradnl"/>
        </w:rPr>
        <w:tab/>
      </w:r>
    </w:p>
    <w:p w14:paraId="3461AF7B" w14:textId="77777777" w:rsidR="00B20DEA" w:rsidRPr="00B20DEA" w:rsidRDefault="00B20DEA" w:rsidP="00B20DEA">
      <w:pPr>
        <w:spacing w:after="0" w:line="276" w:lineRule="auto"/>
        <w:ind w:firstLine="709"/>
        <w:jc w:val="both"/>
        <w:rPr>
          <w:rFonts w:ascii="Verdana" w:eastAsia="Calibri" w:hAnsi="Verdana" w:cs="Arial"/>
          <w:lang w:val="es-ES" w:eastAsia="es-ES"/>
        </w:rPr>
      </w:pPr>
      <w:r w:rsidRPr="00B20DEA">
        <w:rPr>
          <w:rFonts w:ascii="Verdana" w:eastAsia="Calibri" w:hAnsi="Verdana" w:cs="Arial"/>
          <w:lang w:val="es-ES" w:eastAsia="es-ES"/>
        </w:rPr>
        <w:t xml:space="preserve">Conforme a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2295CFC3" w14:textId="77777777" w:rsidR="00B20DEA" w:rsidRPr="00B20DEA" w:rsidRDefault="00B20DEA" w:rsidP="00B20DEA">
      <w:pPr>
        <w:spacing w:after="0" w:line="276" w:lineRule="auto"/>
        <w:ind w:firstLine="709"/>
        <w:jc w:val="both"/>
        <w:rPr>
          <w:rFonts w:ascii="Verdana" w:eastAsia="Calibri" w:hAnsi="Verdana" w:cs="Arial"/>
          <w:lang w:val="es-ES" w:eastAsia="es-ES"/>
        </w:rPr>
      </w:pPr>
    </w:p>
    <w:p w14:paraId="685029A7" w14:textId="77777777" w:rsidR="00B20DEA" w:rsidRPr="00B20DEA" w:rsidRDefault="00B20DEA" w:rsidP="00B20DEA">
      <w:pPr>
        <w:numPr>
          <w:ilvl w:val="0"/>
          <w:numId w:val="16"/>
        </w:numPr>
        <w:tabs>
          <w:tab w:val="left" w:pos="142"/>
          <w:tab w:val="left" w:pos="284"/>
        </w:tabs>
        <w:spacing w:after="0" w:line="276" w:lineRule="auto"/>
        <w:ind w:left="357" w:hanging="357"/>
        <w:contextualSpacing/>
        <w:jc w:val="both"/>
        <w:rPr>
          <w:rFonts w:ascii="Verdana" w:eastAsia="Century Gothic" w:hAnsi="Verdana" w:cs="Century Gothic"/>
          <w:b/>
          <w:bCs/>
          <w:lang w:val="es-ES"/>
        </w:rPr>
      </w:pPr>
      <w:r w:rsidRPr="00B20DEA">
        <w:rPr>
          <w:rFonts w:ascii="Verdana" w:eastAsia="Century Gothic" w:hAnsi="Verdana" w:cs="Century Gothic"/>
          <w:b/>
          <w:bCs/>
          <w:lang w:val="es-ES"/>
        </w:rPr>
        <w:t>Problema planteado:</w:t>
      </w:r>
    </w:p>
    <w:p w14:paraId="665AE640" w14:textId="77777777" w:rsidR="00B20DEA" w:rsidRPr="00B20DEA" w:rsidRDefault="00B20DEA" w:rsidP="00B20DEA">
      <w:pPr>
        <w:tabs>
          <w:tab w:val="left" w:pos="426"/>
        </w:tabs>
        <w:spacing w:after="0" w:line="276" w:lineRule="auto"/>
        <w:jc w:val="both"/>
        <w:rPr>
          <w:rFonts w:ascii="Verdana" w:eastAsia="Century Gothic" w:hAnsi="Verdana" w:cs="Century Gothic"/>
          <w:lang w:val="es-ES"/>
        </w:rPr>
      </w:pPr>
    </w:p>
    <w:p w14:paraId="48400562" w14:textId="77777777" w:rsidR="00B20DEA" w:rsidRPr="00B20DEA" w:rsidRDefault="00B20DEA" w:rsidP="00B20DEA">
      <w:pPr>
        <w:snapToGrid w:val="0"/>
        <w:spacing w:after="0" w:line="276" w:lineRule="auto"/>
        <w:jc w:val="both"/>
        <w:rPr>
          <w:rFonts w:ascii="Verdana" w:eastAsia="Century Gothic" w:hAnsi="Verdana" w:cs="Century Gothic"/>
        </w:rPr>
      </w:pPr>
      <w:r w:rsidRPr="00B20DEA">
        <w:rPr>
          <w:rFonts w:ascii="Verdana" w:eastAsia="Century Gothic" w:hAnsi="Verdana" w:cs="Century Gothic"/>
        </w:rPr>
        <w:t xml:space="preserve">De acuerdo con el contenido de su solicitud, esta Agencia resolverá el siguiente problema jurídico: tarándose de procesos de contratación estructurados por lotes o grupos, ¿cómo puede realizarse la acreditación de la experiencia para varios lotes conforme a los documentos tipo de infraestructura de transporte? </w:t>
      </w:r>
    </w:p>
    <w:p w14:paraId="5B1B5C2A" w14:textId="77777777" w:rsidR="00B20DEA" w:rsidRPr="00B20DEA" w:rsidRDefault="00B20DEA" w:rsidP="00B20DEA">
      <w:pPr>
        <w:snapToGrid w:val="0"/>
        <w:spacing w:after="0" w:line="276" w:lineRule="auto"/>
        <w:jc w:val="both"/>
        <w:rPr>
          <w:rFonts w:ascii="Verdana" w:eastAsia="Calibri" w:hAnsi="Verdana" w:cs="Arial"/>
          <w:lang w:val="es-ES"/>
        </w:rPr>
      </w:pPr>
    </w:p>
    <w:p w14:paraId="43AB8FC0" w14:textId="77777777" w:rsidR="00B20DEA" w:rsidRPr="00B20DEA" w:rsidRDefault="00B20DEA" w:rsidP="00B20DEA">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B20DEA">
        <w:rPr>
          <w:rFonts w:ascii="Verdana" w:eastAsia="Century Gothic" w:hAnsi="Verdana" w:cs="Century Gothic"/>
          <w:b/>
          <w:bCs/>
          <w:lang w:val="es-ES"/>
        </w:rPr>
        <w:t>Respuesta:</w:t>
      </w:r>
    </w:p>
    <w:p w14:paraId="27B68015" w14:textId="77777777" w:rsidR="00B20DEA" w:rsidRPr="00B20DEA" w:rsidRDefault="00B20DEA" w:rsidP="00B20DEA">
      <w:pPr>
        <w:tabs>
          <w:tab w:val="left" w:pos="142"/>
          <w:tab w:val="left" w:pos="284"/>
        </w:tabs>
        <w:snapToGrid w:val="0"/>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20DEA" w:rsidRPr="00B20DEA" w14:paraId="1F2FA2D8" w14:textId="77777777" w:rsidTr="005C10FC">
        <w:tc>
          <w:tcPr>
            <w:tcW w:w="8828" w:type="dxa"/>
            <w:shd w:val="clear" w:color="auto" w:fill="auto"/>
          </w:tcPr>
          <w:p w14:paraId="1F5C7C79" w14:textId="77777777" w:rsidR="00B20DEA" w:rsidRPr="00B20DEA" w:rsidRDefault="00B20DEA" w:rsidP="00B20DEA">
            <w:pPr>
              <w:spacing w:line="276" w:lineRule="auto"/>
              <w:jc w:val="both"/>
              <w:rPr>
                <w:rFonts w:ascii="Verdana" w:eastAsia="Aptos" w:hAnsi="Verdana" w:cs="Times New Roman"/>
                <w:lang w:val="es-ES_tradnl"/>
              </w:rPr>
            </w:pPr>
            <w:r w:rsidRPr="00B20DEA">
              <w:rPr>
                <w:rFonts w:ascii="Verdana" w:eastAsia="Aptos" w:hAnsi="Verdana" w:cs="Times New Roman"/>
                <w:lang w:val="es-ES_tradnl"/>
              </w:rPr>
              <w:t xml:space="preserve">De conformidad con los documentos tipo de infraestructura de transporte, numeral “3.5.2. CARACTERÍSTICAS DE LOS CONTRATOS PRESENTADOS PARA ACREDITAR LA EXPERIENCIA EXIGIDA”, literal A, numeral vi), tratándose de procesos de contratación estructurados por lotes, la entidad deberá definir la experiencia de cada uno de ellos, de acuerdo con las actividades establecidas en la matriz de experiencia que </w:t>
            </w:r>
            <w:proofErr w:type="gramStart"/>
            <w:r w:rsidRPr="00B20DEA">
              <w:rPr>
                <w:rFonts w:ascii="Verdana" w:eastAsia="Aptos" w:hAnsi="Verdana" w:cs="Times New Roman"/>
                <w:lang w:val="es-ES_tradnl"/>
              </w:rPr>
              <w:t>resulte</w:t>
            </w:r>
            <w:proofErr w:type="gramEnd"/>
            <w:r w:rsidRPr="00B20DEA">
              <w:rPr>
                <w:rFonts w:ascii="Verdana" w:eastAsia="Aptos" w:hAnsi="Verdana" w:cs="Times New Roman"/>
                <w:lang w:val="es-ES_tradnl"/>
              </w:rPr>
              <w:t xml:space="preserve"> aplicable. </w:t>
            </w:r>
            <w:r w:rsidRPr="00B20DEA">
              <w:rPr>
                <w:rFonts w:ascii="Verdana" w:eastAsia="Aptos" w:hAnsi="Verdana" w:cs="Times New Roman"/>
                <w:lang w:val="es-419"/>
              </w:rPr>
              <w:t xml:space="preserve">La experiencia que deberá acreditar el Proponente será la establecida por la Entidad de forma independiente para cada uno de los lotes o grupos de acuerdo con las </w:t>
            </w:r>
            <w:r w:rsidRPr="00B20DEA">
              <w:rPr>
                <w:rFonts w:ascii="Verdana" w:eastAsia="Aptos" w:hAnsi="Verdana" w:cs="Times New Roman"/>
                <w:lang w:val="es-419"/>
              </w:rPr>
              <w:lastRenderedPageBreak/>
              <w:t>actividades definidas en la matriz de experiencia aplicable</w:t>
            </w:r>
            <w:r w:rsidRPr="00B20DEA">
              <w:rPr>
                <w:rFonts w:ascii="Verdana" w:eastAsia="Aptos" w:hAnsi="Verdana" w:cs="Times New Roman"/>
                <w:lang w:val="es-ES_tradnl"/>
              </w:rPr>
              <w:t>. Lo anterior, sin que sea posible limitar la forma cómo los proponentes acreditan su experiencia.</w:t>
            </w:r>
          </w:p>
          <w:p w14:paraId="3A1FF570" w14:textId="77777777" w:rsidR="00B20DEA" w:rsidRPr="00B20DEA" w:rsidRDefault="00B20DEA" w:rsidP="00B20DEA">
            <w:pPr>
              <w:spacing w:line="276" w:lineRule="auto"/>
              <w:ind w:left="720"/>
              <w:contextualSpacing/>
              <w:jc w:val="both"/>
              <w:rPr>
                <w:rFonts w:ascii="Verdana" w:eastAsia="Aptos" w:hAnsi="Verdana" w:cs="Times New Roman"/>
                <w:lang w:val="es-ES_tradnl"/>
              </w:rPr>
            </w:pPr>
            <w:r w:rsidRPr="00B20DEA">
              <w:rPr>
                <w:rFonts w:ascii="Verdana" w:eastAsia="Aptos" w:hAnsi="Verdana" w:cs="Times New Roman"/>
                <w:lang w:val="es-ES_tradnl"/>
              </w:rPr>
              <w:t xml:space="preserve"> </w:t>
            </w:r>
          </w:p>
          <w:p w14:paraId="7717AE77" w14:textId="77777777" w:rsidR="00B20DEA" w:rsidRPr="00B20DEA" w:rsidRDefault="00B20DEA" w:rsidP="00B20DEA">
            <w:pPr>
              <w:spacing w:line="276" w:lineRule="auto"/>
              <w:jc w:val="both"/>
              <w:rPr>
                <w:rFonts w:ascii="Verdana" w:eastAsia="Aptos" w:hAnsi="Verdana" w:cs="Times New Roman"/>
                <w:lang w:val="es-ES_tradnl"/>
              </w:rPr>
            </w:pPr>
            <w:r w:rsidRPr="00B20DEA">
              <w:rPr>
                <w:rFonts w:ascii="Verdana" w:eastAsia="Aptos" w:hAnsi="Verdana" w:cs="Times New Roman"/>
                <w:lang w:val="es-ES_tradnl"/>
              </w:rPr>
              <w:t>Esto significa que, por ejemplo, si uno o dos contratos son válidos para acreditar la experiencia requerida en más de un lote o grupo, la entidad no podrá limitar que dicha acreditación sea realizada con diferentes contratos, siempre y cuando las certificaciones que aporte el Proponente sirvan para acreditar la experiencia requerida en varios lotes.</w:t>
            </w:r>
          </w:p>
          <w:p w14:paraId="628CF0D5" w14:textId="77777777" w:rsidR="00B20DEA" w:rsidRPr="00B20DEA" w:rsidRDefault="00B20DEA" w:rsidP="00B20DEA">
            <w:pPr>
              <w:spacing w:line="276" w:lineRule="auto"/>
              <w:jc w:val="both"/>
              <w:rPr>
                <w:rFonts w:ascii="Verdana" w:eastAsia="Aptos" w:hAnsi="Verdana" w:cs="Times New Roman"/>
                <w:lang w:val="es-ES_tradnl"/>
              </w:rPr>
            </w:pPr>
          </w:p>
          <w:p w14:paraId="540000E8" w14:textId="77777777" w:rsidR="00B20DEA" w:rsidRPr="00B20DEA" w:rsidRDefault="00B20DEA" w:rsidP="00B20DEA">
            <w:pPr>
              <w:spacing w:line="276" w:lineRule="auto"/>
              <w:jc w:val="both"/>
              <w:rPr>
                <w:rFonts w:ascii="Verdana" w:eastAsia="Aptos" w:hAnsi="Verdana" w:cs="Times New Roman"/>
                <w:lang w:val="es-ES_tradnl"/>
              </w:rPr>
            </w:pPr>
            <w:r w:rsidRPr="00B20DEA">
              <w:rPr>
                <w:rFonts w:ascii="Verdana" w:eastAsia="Aptos" w:hAnsi="Verdana" w:cs="Times New Roman"/>
                <w:lang w:val="es-ES_tradnl"/>
              </w:rPr>
              <w:t>De esta manera, eventualmente, una o varias certificaciones de experiencia podrían servir para acreditar la experiencia requerida en más de un lote o grupo, de manera simultánea, siempre que se cumpla con las condiciones definidas por la entidad estatal conforme a la “Matriz 1 – Experiencia”.</w:t>
            </w:r>
          </w:p>
        </w:tc>
      </w:tr>
    </w:tbl>
    <w:p w14:paraId="0186F4CA" w14:textId="77777777" w:rsidR="00B20DEA" w:rsidRPr="00B20DEA" w:rsidRDefault="00B20DEA" w:rsidP="00B20DEA">
      <w:pPr>
        <w:tabs>
          <w:tab w:val="left" w:pos="142"/>
          <w:tab w:val="left" w:pos="284"/>
        </w:tabs>
        <w:snapToGrid w:val="0"/>
        <w:spacing w:after="0" w:line="276" w:lineRule="auto"/>
        <w:jc w:val="both"/>
        <w:rPr>
          <w:rFonts w:ascii="Verdana" w:eastAsia="Century Gothic" w:hAnsi="Verdana" w:cs="Century Gothic"/>
          <w:b/>
          <w:bCs/>
          <w:lang w:val="es-ES"/>
        </w:rPr>
      </w:pPr>
    </w:p>
    <w:p w14:paraId="3169A554" w14:textId="77777777" w:rsidR="00B20DEA" w:rsidRPr="00B20DEA" w:rsidRDefault="00B20DEA" w:rsidP="00B20DEA">
      <w:pPr>
        <w:numPr>
          <w:ilvl w:val="0"/>
          <w:numId w:val="16"/>
        </w:numPr>
        <w:tabs>
          <w:tab w:val="left" w:pos="142"/>
          <w:tab w:val="left" w:pos="284"/>
        </w:tabs>
        <w:snapToGrid w:val="0"/>
        <w:spacing w:after="0" w:line="276" w:lineRule="auto"/>
        <w:ind w:left="357" w:hanging="357"/>
        <w:jc w:val="both"/>
        <w:rPr>
          <w:rFonts w:ascii="Verdana" w:eastAsia="Century Gothic" w:hAnsi="Verdana" w:cs="Century Gothic"/>
          <w:b/>
          <w:bCs/>
          <w:lang w:val="es-ES"/>
        </w:rPr>
      </w:pPr>
      <w:r w:rsidRPr="00B20DEA">
        <w:rPr>
          <w:rFonts w:ascii="Verdana" w:eastAsia="Century Gothic" w:hAnsi="Verdana" w:cs="Century Gothic"/>
          <w:b/>
          <w:bCs/>
          <w:lang w:val="es-ES"/>
        </w:rPr>
        <w:t>Razones de la respuesta:</w:t>
      </w:r>
    </w:p>
    <w:p w14:paraId="3CF846FB" w14:textId="77777777" w:rsidR="00B20DEA" w:rsidRPr="00B20DEA" w:rsidRDefault="00B20DEA" w:rsidP="00B20DEA">
      <w:pPr>
        <w:tabs>
          <w:tab w:val="left" w:pos="142"/>
          <w:tab w:val="left" w:pos="284"/>
        </w:tabs>
        <w:snapToGrid w:val="0"/>
        <w:spacing w:after="0" w:line="276" w:lineRule="auto"/>
        <w:ind w:left="357"/>
        <w:jc w:val="both"/>
        <w:rPr>
          <w:rFonts w:ascii="Verdana" w:eastAsia="Century Gothic" w:hAnsi="Verdana" w:cs="Century Gothic"/>
          <w:b/>
          <w:bCs/>
          <w:lang w:val="es-ES"/>
        </w:rPr>
      </w:pPr>
    </w:p>
    <w:p w14:paraId="1BC7EAC2" w14:textId="77777777" w:rsidR="00B20DEA" w:rsidRPr="00B20DEA" w:rsidRDefault="00B20DEA" w:rsidP="00B20DEA">
      <w:pPr>
        <w:snapToGrid w:val="0"/>
        <w:spacing w:after="0" w:line="276" w:lineRule="auto"/>
        <w:jc w:val="both"/>
        <w:rPr>
          <w:rFonts w:ascii="Verdana" w:eastAsia="Calibri" w:hAnsi="Verdana" w:cs="Arial"/>
          <w:lang w:val="es-ES"/>
        </w:rPr>
      </w:pPr>
      <w:r w:rsidRPr="00B20DEA">
        <w:rPr>
          <w:rFonts w:ascii="Verdana" w:eastAsia="Calibri" w:hAnsi="Verdana" w:cs="Arial"/>
          <w:lang w:val="es-ES"/>
        </w:rPr>
        <w:t>Lo anterior se sustenta en las siguientes consideraciones:</w:t>
      </w:r>
    </w:p>
    <w:p w14:paraId="5F85CEEB" w14:textId="77777777" w:rsidR="00B20DEA" w:rsidRPr="00B20DEA" w:rsidRDefault="00B20DEA" w:rsidP="00B20DEA">
      <w:pPr>
        <w:snapToGrid w:val="0"/>
        <w:spacing w:after="0" w:line="276" w:lineRule="auto"/>
        <w:jc w:val="both"/>
        <w:rPr>
          <w:rFonts w:ascii="Verdana" w:eastAsia="Calibri" w:hAnsi="Verdana" w:cs="Arial"/>
          <w:lang w:val="es-ES"/>
        </w:rPr>
      </w:pPr>
    </w:p>
    <w:p w14:paraId="2B600149" w14:textId="77777777" w:rsidR="00B20DEA" w:rsidRPr="00B20DEA" w:rsidRDefault="00B20DEA" w:rsidP="00B20DEA">
      <w:pPr>
        <w:numPr>
          <w:ilvl w:val="0"/>
          <w:numId w:val="20"/>
        </w:numPr>
        <w:snapToGrid w:val="0"/>
        <w:spacing w:after="0" w:line="276" w:lineRule="auto"/>
        <w:contextualSpacing/>
        <w:jc w:val="both"/>
        <w:rPr>
          <w:rFonts w:ascii="Verdana" w:eastAsia="Calibri" w:hAnsi="Verdana" w:cs="Arial"/>
          <w:lang w:val="es-ES"/>
        </w:rPr>
      </w:pPr>
      <w:r w:rsidRPr="00B20DEA">
        <w:rPr>
          <w:rFonts w:ascii="Verdana" w:eastAsia="Calibri" w:hAnsi="Verdana" w:cs="Arial"/>
          <w:kern w:val="2"/>
          <w:lang w:val="es-ES_tradnl"/>
          <w14:ligatures w14:val="standardContextual"/>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B20DEA">
        <w:rPr>
          <w:rFonts w:ascii="Aptos" w:eastAsia="Aptos" w:hAnsi="Aptos" w:cs="Times New Roman"/>
          <w:kern w:val="2"/>
          <w:sz w:val="24"/>
          <w:szCs w:val="24"/>
          <w:vertAlign w:val="superscript"/>
          <w:lang w:val="es-ES_tradnl"/>
          <w14:ligatures w14:val="standardContextual"/>
        </w:rPr>
        <w:footnoteReference w:id="1"/>
      </w:r>
      <w:r w:rsidRPr="00B20DEA">
        <w:rPr>
          <w:rFonts w:ascii="Verdana" w:eastAsia="Calibri" w:hAnsi="Verdana" w:cs="Arial"/>
          <w:kern w:val="2"/>
          <w:lang w:val="es-ES_tradnl"/>
          <w14:ligatures w14:val="standardContextual"/>
        </w:rPr>
        <w:t xml:space="preserve">. En ese sentido, la entidad, como responsable de la estructuración de su procedimiento de contratación, es autónoma para requerir la experiencia necesaria para el objeto contractual que se pretende satisfacer con el </w:t>
      </w:r>
      <w:r w:rsidRPr="00B20DEA">
        <w:rPr>
          <w:rFonts w:ascii="Verdana" w:eastAsia="Calibri" w:hAnsi="Verdana" w:cs="Arial"/>
          <w:kern w:val="2"/>
          <w:lang w:val="es-ES_tradnl"/>
          <w14:ligatures w14:val="standardContextual"/>
        </w:rPr>
        <w:lastRenderedPageBreak/>
        <w:t>procedimiento, para lo cual, de acuerdo con el artículo 2.2.1.1.1.6.2. del Decreto 1082 de 2015, debe tener en cuenta el estudio del sector y sus componentes, como la identificación de riesgos, así como el mercado y precio del bien, obra o servicio a contratar</w:t>
      </w:r>
      <w:r w:rsidRPr="00B20DEA">
        <w:rPr>
          <w:rFonts w:ascii="Aptos" w:eastAsia="Aptos" w:hAnsi="Aptos" w:cs="Times New Roman"/>
          <w:kern w:val="2"/>
          <w:sz w:val="24"/>
          <w:szCs w:val="24"/>
          <w:vertAlign w:val="superscript"/>
          <w:lang w:val="es-ES_tradnl"/>
          <w14:ligatures w14:val="standardContextual"/>
        </w:rPr>
        <w:footnoteReference w:id="2"/>
      </w:r>
      <w:r w:rsidRPr="00B20DEA">
        <w:rPr>
          <w:rFonts w:ascii="Verdana" w:eastAsia="Calibri" w:hAnsi="Verdana" w:cs="Arial"/>
          <w:kern w:val="2"/>
          <w:lang w:val="es-ES_tradnl"/>
          <w14:ligatures w14:val="standardContextual"/>
        </w:rPr>
        <w:t>.</w:t>
      </w:r>
    </w:p>
    <w:p w14:paraId="1D1E2749" w14:textId="77777777" w:rsidR="00B20DEA" w:rsidRPr="00B20DEA" w:rsidRDefault="00B20DEA" w:rsidP="00B20DEA">
      <w:pPr>
        <w:snapToGrid w:val="0"/>
        <w:spacing w:after="0" w:line="276" w:lineRule="auto"/>
        <w:ind w:left="720"/>
        <w:contextualSpacing/>
        <w:jc w:val="both"/>
        <w:rPr>
          <w:rFonts w:ascii="Verdana" w:eastAsia="Calibri" w:hAnsi="Verdana" w:cs="Arial"/>
          <w:lang w:val="es-ES"/>
        </w:rPr>
      </w:pPr>
    </w:p>
    <w:p w14:paraId="28D5E63A" w14:textId="77777777" w:rsidR="00B20DEA" w:rsidRPr="00B20DEA" w:rsidRDefault="00B20DEA" w:rsidP="00B20DEA">
      <w:pPr>
        <w:numPr>
          <w:ilvl w:val="0"/>
          <w:numId w:val="20"/>
        </w:numPr>
        <w:snapToGrid w:val="0"/>
        <w:spacing w:after="0" w:line="276" w:lineRule="auto"/>
        <w:contextualSpacing/>
        <w:jc w:val="both"/>
        <w:rPr>
          <w:rFonts w:ascii="Verdana" w:eastAsia="Calibri" w:hAnsi="Verdana" w:cs="Arial"/>
          <w:lang w:val="es-ES"/>
        </w:rPr>
      </w:pPr>
      <w:r w:rsidRPr="00B20DEA">
        <w:rPr>
          <w:rFonts w:ascii="Verdana" w:eastAsia="Calibri" w:hAnsi="Verdana" w:cs="Arial"/>
          <w:kern w:val="2"/>
          <w:lang w:val="es-ES_tradnl"/>
          <w14:ligatures w14:val="standardContextual"/>
        </w:rPr>
        <w:t>La experiencia que se deriva de los contratos que el proponente ha celebrado y ejecutado con diferentes contratantes, sin importar la naturaleza de estos, se verifica con el Registro Único de Proponentes – RUP</w:t>
      </w:r>
      <w:r w:rsidRPr="00B20DEA">
        <w:rPr>
          <w:rFonts w:ascii="Aptos" w:eastAsia="Aptos" w:hAnsi="Aptos" w:cs="Times New Roman"/>
          <w:kern w:val="2"/>
          <w:sz w:val="24"/>
          <w:szCs w:val="24"/>
          <w:vertAlign w:val="superscript"/>
          <w:lang w:val="es-ES_tradnl"/>
          <w14:ligatures w14:val="standardContextual"/>
        </w:rPr>
        <w:footnoteReference w:id="3"/>
      </w:r>
      <w:r w:rsidRPr="00B20DEA">
        <w:rPr>
          <w:rFonts w:ascii="Verdana" w:eastAsia="Calibri" w:hAnsi="Verdana" w:cs="Arial"/>
          <w:kern w:val="2"/>
          <w:lang w:val="es-ES_tradnl"/>
          <w14:ligatures w14:val="standardContextual"/>
        </w:rPr>
        <w:t>, cuando este certificado sea exigible de acuerdo con la ley. En el RUP constan los requisitos habilitantes que se evalúan exclusivamente con este documento, que es su plena prueba, sin que la entidad o el proponente puedan solicitar o aportar otra documentación</w:t>
      </w:r>
      <w:r w:rsidRPr="00B20DEA">
        <w:rPr>
          <w:rFonts w:ascii="Aptos" w:eastAsia="Aptos" w:hAnsi="Aptos" w:cs="Times New Roman"/>
          <w:kern w:val="2"/>
          <w:sz w:val="24"/>
          <w:szCs w:val="24"/>
          <w:vertAlign w:val="superscript"/>
          <w:lang w:val="es-ES_tradnl"/>
          <w14:ligatures w14:val="standardContextual"/>
        </w:rPr>
        <w:footnoteReference w:id="4"/>
      </w:r>
      <w:r w:rsidRPr="00B20DEA">
        <w:rPr>
          <w:rFonts w:ascii="Verdana" w:eastAsia="Calibri" w:hAnsi="Verdana" w:cs="Arial"/>
          <w:kern w:val="2"/>
          <w:lang w:val="es-ES_tradnl"/>
          <w14:ligatures w14:val="standardContextual"/>
        </w:rPr>
        <w:t>.</w:t>
      </w:r>
    </w:p>
    <w:p w14:paraId="30EDF638" w14:textId="77777777" w:rsidR="00B20DEA" w:rsidRPr="00B20DEA" w:rsidRDefault="00B20DEA" w:rsidP="00B20DEA">
      <w:pPr>
        <w:snapToGrid w:val="0"/>
        <w:spacing w:after="0" w:line="276" w:lineRule="auto"/>
        <w:jc w:val="both"/>
        <w:rPr>
          <w:rFonts w:ascii="Verdana" w:eastAsia="Calibri" w:hAnsi="Verdana" w:cs="Arial"/>
          <w:lang w:val="es-ES"/>
        </w:rPr>
      </w:pPr>
      <w:r w:rsidRPr="00B20DEA">
        <w:rPr>
          <w:rFonts w:ascii="Verdana" w:eastAsia="Calibri" w:hAnsi="Verdana" w:cs="Arial"/>
          <w:lang w:val="es-ES"/>
        </w:rPr>
        <w:t xml:space="preserve"> </w:t>
      </w:r>
    </w:p>
    <w:p w14:paraId="340B9032"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 xml:space="preserve">Por otra parte, es importante señalar que, el artículo 1 de la Ley 2022 de 2020 otorgó a la Agencia Nacional de Contratación Pública – Colombia </w:t>
      </w:r>
      <w:r w:rsidRPr="00B20DEA">
        <w:rPr>
          <w:rFonts w:ascii="Verdana" w:eastAsia="Aptos" w:hAnsi="Verdana" w:cs="Times New Roman"/>
          <w:kern w:val="2"/>
          <w:lang w:val="es-ES_tradnl"/>
          <w14:ligatures w14:val="standardContextual"/>
        </w:rPr>
        <w:lastRenderedPageBreak/>
        <w:t>Compra Eficiente la competencia para adoptar los documentos tipo. Asimismo, reiteró la obligatoriedad de su uso por parte de todas las entidades estatales sometidas al Estatuto General de Contratación de la Administración Pública ‒EGCAP‒. Esto implica que las autoridades deben implementar los documentos tipo que tengan por objeto las actividades contempladas en la “Matriz 1 ‒ Experiencia”. Además, estos documentos son inalterables, lo cual significa que no pueden ser modificados, salvo aquellos aspectos entre corchetes y resaltados en gris o cuya modificación sea permitida por los mismos documentos tipo, de acuerdo con las indicaciones que allí se establezcan.</w:t>
      </w:r>
    </w:p>
    <w:p w14:paraId="3AA79D70" w14:textId="77777777" w:rsidR="00B20DEA" w:rsidRPr="00B20DEA" w:rsidRDefault="00B20DEA" w:rsidP="00B20DEA">
      <w:pPr>
        <w:spacing w:after="0" w:line="276" w:lineRule="auto"/>
        <w:ind w:left="720"/>
        <w:contextualSpacing/>
        <w:jc w:val="both"/>
        <w:rPr>
          <w:rFonts w:ascii="Verdana" w:eastAsia="Aptos" w:hAnsi="Verdana" w:cs="Times New Roman"/>
          <w:kern w:val="2"/>
          <w:lang w:val="es-ES_tradnl"/>
          <w14:ligatures w14:val="standardContextual"/>
        </w:rPr>
      </w:pPr>
    </w:p>
    <w:p w14:paraId="4B4FB245"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En desarrollo del artículo 1 de la Ley 2022 de 2020, esta Agencia expidió los documentos tipo de licitación de obra pública de infraestructura de transporte –Versión 3–</w:t>
      </w:r>
      <w:r w:rsidRPr="00B20DEA">
        <w:rPr>
          <w:rFonts w:ascii="Verdana" w:eastAsia="Aptos" w:hAnsi="Verdana" w:cs="Times New Roman"/>
          <w:kern w:val="2"/>
          <w:vertAlign w:val="superscript"/>
          <w:lang w:val="es-ES_tradnl"/>
          <w14:ligatures w14:val="standardContextual"/>
        </w:rPr>
        <w:footnoteReference w:id="5"/>
      </w:r>
      <w:r w:rsidRPr="00B20DEA">
        <w:rPr>
          <w:rFonts w:ascii="Verdana" w:eastAsia="Aptos" w:hAnsi="Verdana" w:cs="Times New Roman"/>
          <w:kern w:val="2"/>
          <w:lang w:val="es-ES_tradnl"/>
          <w14:ligatures w14:val="standardContextual"/>
        </w:rPr>
        <w:t xml:space="preserve">, adoptados mediante la Resolución 240 de 2020. En estos documentos se establecen los requisitos habilitantes y los factores técnicos y económicos que son de obligatorio cumplimiento por parte de las entidades estatales sometidas al Estatuto General de Contratación de la Administración Pública, cuando adelanten procesos de contratación cobijados por documentos tipo.   </w:t>
      </w:r>
    </w:p>
    <w:p w14:paraId="4B76E013"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2A7F1F08"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 xml:space="preserve">Teniendo en cuenta el objeto de su consulta, para la determinación de los requisitos mínimos de experiencia según la “Matriz 1 – Experiencia”, el numeral 3.5.1 del documento base de los documentos tipo en comento, prescribe que la entidad debe indicar la forma de análisis y establecimiento de las condiciones de experiencia, tanto general como específica. Además, deberá indicar el número de la actividad a contratar, y transcribir textualmente lo señalado en la “Matriz 1 – Experiencia”. </w:t>
      </w:r>
    </w:p>
    <w:p w14:paraId="69D63F7C" w14:textId="77777777" w:rsidR="00B20DEA" w:rsidRPr="00B20DEA" w:rsidRDefault="00B20DEA" w:rsidP="00B20DEA">
      <w:pPr>
        <w:spacing w:after="0" w:line="276" w:lineRule="auto"/>
        <w:ind w:left="720"/>
        <w:contextualSpacing/>
        <w:jc w:val="both"/>
        <w:rPr>
          <w:rFonts w:ascii="Verdana" w:eastAsia="Aptos" w:hAnsi="Verdana" w:cs="Times New Roman"/>
          <w:kern w:val="2"/>
          <w:lang w:val="es-ES_tradnl"/>
          <w14:ligatures w14:val="standardContextual"/>
        </w:rPr>
      </w:pPr>
    </w:p>
    <w:p w14:paraId="5B4E601F"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Esta experiencia, conforme al numeral 3.5 del documento base,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w:t>
      </w:r>
    </w:p>
    <w:p w14:paraId="68CA6A90"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38670655"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lastRenderedPageBreak/>
        <w:t xml:space="preserve">De acuerdo con las condiciones fijadas en los documentos base, la acreditación del requisito habilitante de experiencia se aborda desde distintos criterios. </w:t>
      </w:r>
      <w:r w:rsidRPr="00B20DEA">
        <w:rPr>
          <w:rFonts w:ascii="Verdana" w:eastAsia="Aptos" w:hAnsi="Verdana" w:cs="Times New Roman"/>
          <w:i/>
          <w:iCs/>
          <w:kern w:val="2"/>
          <w:lang w:val="es-ES_tradnl"/>
          <w14:ligatures w14:val="standardContextual"/>
        </w:rPr>
        <w:t>En primer lugar,</w:t>
      </w:r>
      <w:r w:rsidRPr="00B20DEA">
        <w:rPr>
          <w:rFonts w:ascii="Verdana" w:eastAsia="Aptos" w:hAnsi="Verdana" w:cs="Times New Roman"/>
          <w:kern w:val="2"/>
          <w:lang w:val="es-ES_tradnl"/>
          <w14:ligatures w14:val="standardContextual"/>
        </w:rPr>
        <w:t xml:space="preserve">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w:t>
      </w:r>
    </w:p>
    <w:p w14:paraId="636AB38F"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0F775622"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i/>
          <w:iCs/>
          <w:kern w:val="2"/>
          <w:lang w:val="es-ES_tradnl"/>
          <w14:ligatures w14:val="standardContextual"/>
        </w:rPr>
        <w:t>En segundo lugar,</w:t>
      </w:r>
      <w:r w:rsidRPr="00B20DEA">
        <w:rPr>
          <w:rFonts w:ascii="Verdana" w:eastAsia="Aptos" w:hAnsi="Verdana" w:cs="Times New Roman"/>
          <w:kern w:val="2"/>
          <w:lang w:val="es-ES_tradnl"/>
          <w14:ligatures w14:val="standardContextual"/>
        </w:rPr>
        <w:t xml:space="preserve"> sin perjuicio de las modificaciones realizadas por la Resolución 275 del 24 de junio de 2022 sobre los incentivos para Mipymes y empresas y emprendimientos de mujeres, los proponentes deben acreditar el cumplimiento de las condiciones fijadas con mínimo uno (1) y máximo cinco (5) contratos, que debieron terminar antes de la fecha de cierre del proceso de contratación. </w:t>
      </w:r>
    </w:p>
    <w:p w14:paraId="70302061"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015714C4"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i/>
          <w:iCs/>
          <w:kern w:val="2"/>
          <w:lang w:val="es-ES_tradnl"/>
          <w14:ligatures w14:val="standardContextual"/>
        </w:rPr>
        <w:t>Por último,</w:t>
      </w:r>
      <w:r w:rsidRPr="00B20DEA">
        <w:rPr>
          <w:rFonts w:ascii="Verdana" w:eastAsia="Aptos" w:hAnsi="Verdana" w:cs="Times New Roman"/>
          <w:kern w:val="2"/>
          <w:lang w:val="es-ES_tradnl"/>
          <w14:ligatures w14:val="standardContextual"/>
        </w:rPr>
        <w:t xml:space="preserve">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04C4497F"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794439A4"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Para fijar las condiciones que deben cumplir los contratos aportados, en términos de actividades ejecutadas, las entidades deben emplear la “Matriz 1 – Experiencia”. Este documento estandariza las condiciones de experiencia general y/o específica que deben requerir las entidades estatales a los proponentes para acreditar el requisito habilitante de experiencia, de acuerdo con: i) el tipo de obra de infraestructura de transporte; ii) la actividad a contratar, y iii) la cuantía del proceso de contratación.</w:t>
      </w:r>
    </w:p>
    <w:p w14:paraId="4964503B"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2866C791" w14:textId="77777777" w:rsidR="00B20DEA" w:rsidRPr="00B20DEA" w:rsidRDefault="00B20DEA" w:rsidP="00B20DEA">
      <w:pPr>
        <w:numPr>
          <w:ilvl w:val="0"/>
          <w:numId w:val="18"/>
        </w:numPr>
        <w:spacing w:after="0" w:line="276" w:lineRule="auto"/>
        <w:contextualSpacing/>
        <w:jc w:val="both"/>
        <w:rPr>
          <w:rFonts w:ascii="Verdana" w:eastAsia="Aptos" w:hAnsi="Verdana" w:cs="Times New Roman"/>
          <w:kern w:val="2"/>
          <w:lang w:val="es-419"/>
          <w14:ligatures w14:val="standardContextual"/>
        </w:rPr>
      </w:pPr>
      <w:bookmarkStart w:id="1" w:name="OLE_LINK1"/>
      <w:r w:rsidRPr="00B20DEA">
        <w:rPr>
          <w:rFonts w:ascii="Verdana" w:eastAsia="Aptos" w:hAnsi="Verdana" w:cs="Times New Roman"/>
          <w:kern w:val="2"/>
          <w:lang w:val="es-ES_tradnl"/>
          <w14:ligatures w14:val="standardContextual"/>
        </w:rPr>
        <w:t>Concretamente, el numeral “3.5.2. CARACTERÍSTICAS DE LOS CONTRATOS PRESENTADOS PARA ACREDITAR LA EXPERIENCIA EXIGIDA”, literal A, numeral vi), establece lo siguiente:</w:t>
      </w:r>
    </w:p>
    <w:p w14:paraId="0A02E13E" w14:textId="77777777" w:rsidR="00B20DEA" w:rsidRPr="00B20DEA" w:rsidRDefault="00B20DEA" w:rsidP="00B20DEA">
      <w:pPr>
        <w:spacing w:after="0" w:line="240" w:lineRule="auto"/>
        <w:ind w:left="720"/>
        <w:contextualSpacing/>
        <w:rPr>
          <w:rFonts w:ascii="Verdana" w:eastAsia="Aptos" w:hAnsi="Verdana" w:cs="Times New Roman"/>
          <w:kern w:val="2"/>
          <w:lang w:val="es-419"/>
          <w14:ligatures w14:val="standardContextual"/>
        </w:rPr>
      </w:pPr>
    </w:p>
    <w:p w14:paraId="2B87B9A7" w14:textId="77777777" w:rsidR="00B20DEA" w:rsidRPr="00B20DEA" w:rsidRDefault="00B20DEA" w:rsidP="00B20DEA">
      <w:pPr>
        <w:spacing w:after="0" w:line="240" w:lineRule="auto"/>
        <w:ind w:left="720" w:right="709"/>
        <w:contextualSpacing/>
        <w:jc w:val="both"/>
        <w:rPr>
          <w:rFonts w:ascii="Verdana" w:eastAsia="Aptos" w:hAnsi="Verdana" w:cs="Times New Roman"/>
          <w:kern w:val="2"/>
          <w:sz w:val="21"/>
          <w:szCs w:val="21"/>
          <w:highlight w:val="lightGray"/>
          <w:lang w:val="es-419"/>
          <w14:ligatures w14:val="standardContextual"/>
        </w:rPr>
      </w:pPr>
      <w:r w:rsidRPr="00B20DEA">
        <w:rPr>
          <w:rFonts w:ascii="Verdana" w:eastAsia="Aptos" w:hAnsi="Verdana" w:cs="Times New Roman"/>
          <w:kern w:val="2"/>
          <w:sz w:val="21"/>
          <w:szCs w:val="21"/>
          <w:highlight w:val="lightGray"/>
          <w:lang w:val="es-419"/>
          <w14:ligatures w14:val="standardContextual"/>
        </w:rPr>
        <w:t>vi) [En los Procesos de Contratación estructurados por lotes o por grupos, la Entidad establecerá la experiencia de cada uno de ellos, de acuerdo con las actividades definidas en la matriz de experiencia aplicable]</w:t>
      </w:r>
    </w:p>
    <w:p w14:paraId="10EA0301" w14:textId="77777777" w:rsidR="00B20DEA" w:rsidRPr="00B20DEA" w:rsidRDefault="00B20DEA" w:rsidP="00B20DEA">
      <w:pPr>
        <w:spacing w:after="0" w:line="240" w:lineRule="auto"/>
        <w:ind w:left="720" w:right="709"/>
        <w:contextualSpacing/>
        <w:jc w:val="both"/>
        <w:rPr>
          <w:rFonts w:ascii="Verdana" w:eastAsia="Aptos" w:hAnsi="Verdana" w:cs="Times New Roman"/>
          <w:kern w:val="2"/>
          <w:sz w:val="21"/>
          <w:szCs w:val="21"/>
          <w:highlight w:val="lightGray"/>
          <w:lang w:val="es-419"/>
          <w14:ligatures w14:val="standardContextual"/>
        </w:rPr>
      </w:pPr>
    </w:p>
    <w:p w14:paraId="7C81EDD7" w14:textId="77777777" w:rsidR="00B20DEA" w:rsidRPr="00B20DEA" w:rsidRDefault="00B20DEA" w:rsidP="00B20DEA">
      <w:pPr>
        <w:spacing w:after="0" w:line="240" w:lineRule="auto"/>
        <w:ind w:left="720" w:right="709"/>
        <w:contextualSpacing/>
        <w:jc w:val="both"/>
        <w:rPr>
          <w:rFonts w:ascii="Verdana" w:eastAsia="Aptos" w:hAnsi="Verdana" w:cs="Times New Roman"/>
          <w:kern w:val="2"/>
          <w:sz w:val="21"/>
          <w:szCs w:val="21"/>
          <w:lang w:val="es-419"/>
          <w14:ligatures w14:val="standardContextual"/>
        </w:rPr>
      </w:pPr>
      <w:r w:rsidRPr="00B20DEA">
        <w:rPr>
          <w:rFonts w:ascii="Verdana" w:eastAsia="Aptos" w:hAnsi="Verdana" w:cs="Times New Roman"/>
          <w:kern w:val="2"/>
          <w:sz w:val="21"/>
          <w:szCs w:val="21"/>
          <w:highlight w:val="lightGray"/>
          <w:lang w:val="es-419"/>
          <w14:ligatures w14:val="standardContextual"/>
        </w:rPr>
        <w:t>[La experiencia que deberá acreditar el Proponente será la establecida por la Entidad de forma independiente para cada uno de los lotes o grupos de acuerdo con las actividades definidas en la matriz de experiencia aplicable en el respectivo proyecto de infraestructura de transporte, en el literal A de esta sección].</w:t>
      </w:r>
    </w:p>
    <w:p w14:paraId="1F8E3EF4" w14:textId="77777777" w:rsidR="00B20DEA" w:rsidRPr="00B20DEA" w:rsidRDefault="00B20DEA" w:rsidP="00B20DEA">
      <w:pPr>
        <w:spacing w:after="0" w:line="276" w:lineRule="auto"/>
        <w:ind w:left="720"/>
        <w:contextualSpacing/>
        <w:jc w:val="both"/>
        <w:rPr>
          <w:rFonts w:ascii="Verdana" w:eastAsia="Aptos" w:hAnsi="Verdana" w:cs="Times New Roman"/>
          <w:kern w:val="2"/>
          <w:lang w:val="es-419"/>
          <w14:ligatures w14:val="standardContextual"/>
        </w:rPr>
      </w:pPr>
    </w:p>
    <w:p w14:paraId="2F11D535" w14:textId="77777777" w:rsidR="00B20DEA" w:rsidRPr="00B20DEA" w:rsidRDefault="00B20DEA" w:rsidP="00B20DEA">
      <w:pPr>
        <w:numPr>
          <w:ilvl w:val="0"/>
          <w:numId w:val="19"/>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 xml:space="preserve">En ese sentido, tratándose de procesos de contratación estructurados por lotes, la entidad deberá definir la experiencia de cada uno de ellos, de acuerdo con las actividades establecidas en la matriz de experiencia que resulte aplicable. </w:t>
      </w:r>
      <w:r w:rsidRPr="00B20DEA">
        <w:rPr>
          <w:rFonts w:ascii="Verdana" w:eastAsia="Aptos" w:hAnsi="Verdana" w:cs="Times New Roman"/>
          <w:kern w:val="2"/>
          <w:lang w:val="es-419"/>
          <w14:ligatures w14:val="standardContextual"/>
        </w:rPr>
        <w:t>La experiencia que deberá acreditar el Proponente será la establecida por la Entidad de forma independiente para cada uno de los lotes o grupos de acuerdo con las actividades definidas en la matriz de experiencia aplicable</w:t>
      </w:r>
      <w:r w:rsidRPr="00B20DEA">
        <w:rPr>
          <w:rFonts w:ascii="Verdana" w:eastAsia="Aptos" w:hAnsi="Verdana" w:cs="Times New Roman"/>
          <w:kern w:val="2"/>
          <w:lang w:val="es-ES_tradnl"/>
          <w14:ligatures w14:val="standardContextual"/>
        </w:rPr>
        <w:t>. Lo anterior, sin que sea posible limitar la forma cómo los proponentes acreditan su experiencia.</w:t>
      </w:r>
    </w:p>
    <w:p w14:paraId="5A2D1F6E" w14:textId="77777777" w:rsidR="00B20DEA" w:rsidRPr="00B20DEA" w:rsidRDefault="00B20DEA" w:rsidP="00B20DEA">
      <w:pPr>
        <w:spacing w:after="0" w:line="276" w:lineRule="auto"/>
        <w:ind w:left="720"/>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 xml:space="preserve"> </w:t>
      </w:r>
    </w:p>
    <w:p w14:paraId="101B9C40" w14:textId="77777777" w:rsidR="00B20DEA" w:rsidRPr="00B20DEA" w:rsidRDefault="00B20DEA" w:rsidP="00B20DEA">
      <w:pPr>
        <w:numPr>
          <w:ilvl w:val="0"/>
          <w:numId w:val="19"/>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Esto significa que, por ejemplo, si uno o dos contratos son válidos para acreditar la experiencia requerida en más de un lote o grupo, la entidad no podrá limitar que dicha acreditación sea realizada con diferentes contratos, siempre y cuando las certificaciones que aporte el Proponente sirvan para acreditar la experiencia requerida en varios lotes.</w:t>
      </w:r>
    </w:p>
    <w:p w14:paraId="0E45FC33"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2DE8E5CE" w14:textId="77777777" w:rsidR="00B20DEA" w:rsidRPr="00B20DEA" w:rsidRDefault="00B20DEA" w:rsidP="00B20DEA">
      <w:pPr>
        <w:numPr>
          <w:ilvl w:val="0"/>
          <w:numId w:val="19"/>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De esta manera, eventualmente, una o varias certificaciones de experiencia podrían servir para acreditar la experiencia requerida en más de un lote o grupo, de manera simultánea, siempre que se cumpla con las condiciones definidas por la entidad estatal conforme a la “Matriz 1 – Experiencia”.</w:t>
      </w:r>
    </w:p>
    <w:p w14:paraId="5AC4C8EE" w14:textId="77777777" w:rsidR="00B20DEA" w:rsidRPr="00B20DEA" w:rsidRDefault="00B20DEA" w:rsidP="00B20DEA">
      <w:pPr>
        <w:spacing w:after="0" w:line="276" w:lineRule="auto"/>
        <w:jc w:val="both"/>
        <w:rPr>
          <w:rFonts w:ascii="Verdana" w:eastAsia="Aptos" w:hAnsi="Verdana" w:cs="Times New Roman"/>
          <w:kern w:val="2"/>
          <w:lang w:val="es-ES_tradnl"/>
          <w14:ligatures w14:val="standardContextual"/>
        </w:rPr>
      </w:pPr>
    </w:p>
    <w:p w14:paraId="4A5D3C09" w14:textId="77777777" w:rsidR="00B20DEA" w:rsidRPr="00B20DEA" w:rsidRDefault="00B20DEA" w:rsidP="00B20DEA">
      <w:pPr>
        <w:numPr>
          <w:ilvl w:val="0"/>
          <w:numId w:val="19"/>
        </w:numPr>
        <w:spacing w:after="0" w:line="276" w:lineRule="auto"/>
        <w:contextualSpacing/>
        <w:jc w:val="both"/>
        <w:rPr>
          <w:rFonts w:ascii="Verdana" w:eastAsia="Aptos" w:hAnsi="Verdana" w:cs="Times New Roman"/>
          <w:kern w:val="2"/>
          <w:lang w:val="es-ES_tradnl"/>
          <w14:ligatures w14:val="standardContextual"/>
        </w:rPr>
      </w:pPr>
      <w:r w:rsidRPr="00B20DEA">
        <w:rPr>
          <w:rFonts w:ascii="Verdana" w:eastAsia="Aptos" w:hAnsi="Verdana" w:cs="Times New Roman"/>
          <w:kern w:val="2"/>
          <w:lang w:val="es-ES_tradnl"/>
          <w14:ligatures w14:val="standardContextual"/>
        </w:rPr>
        <w:t xml:space="preserve">Incluso, el “Formato 3 – Experiencia” de los documentos tipo en comento, establece, a propósito de los procesos de contratación estructurados por lotes, que el Proponente deberá </w:t>
      </w:r>
      <w:r w:rsidRPr="00B20DEA">
        <w:rPr>
          <w:rFonts w:ascii="Verdana" w:eastAsia="Aptos" w:hAnsi="Verdana" w:cs="Times New Roman"/>
          <w:i/>
          <w:iCs/>
          <w:kern w:val="2"/>
          <w:lang w:val="es-ES_tradnl"/>
          <w14:ligatures w14:val="standardContextual"/>
        </w:rPr>
        <w:t xml:space="preserve">“indicar si el certificado de experiencia es para un determinado lote, para varios o para todos. Por ejemplo: Lote 1, Lote 2, 3 y 5 o todos.” </w:t>
      </w:r>
      <w:r w:rsidRPr="00B20DEA">
        <w:rPr>
          <w:rFonts w:ascii="Verdana" w:eastAsia="Aptos" w:hAnsi="Verdana" w:cs="Times New Roman"/>
          <w:kern w:val="2"/>
          <w:lang w:val="es-ES_tradnl"/>
          <w14:ligatures w14:val="standardContextual"/>
        </w:rPr>
        <w:t>Por esta razón, no resultaría válido que la entidad limite la acreditación de la experiencia en estos casos, en los términos expuestos en este concepto.</w:t>
      </w:r>
      <w:r w:rsidRPr="00B20DEA">
        <w:rPr>
          <w:rFonts w:ascii="Verdana" w:eastAsia="Aptos" w:hAnsi="Verdana" w:cs="Times New Roman"/>
          <w:i/>
          <w:iCs/>
          <w:kern w:val="2"/>
          <w:lang w:val="es-ES_tradnl"/>
          <w14:ligatures w14:val="standardContextual"/>
        </w:rPr>
        <w:t xml:space="preserve"> </w:t>
      </w:r>
    </w:p>
    <w:bookmarkEnd w:id="1"/>
    <w:p w14:paraId="75D4FC7C" w14:textId="77777777" w:rsidR="00B20DEA" w:rsidRPr="00B20DEA" w:rsidRDefault="00B20DEA" w:rsidP="00B20DEA">
      <w:pPr>
        <w:spacing w:after="0" w:line="276" w:lineRule="auto"/>
        <w:ind w:left="720"/>
        <w:contextualSpacing/>
        <w:jc w:val="both"/>
        <w:rPr>
          <w:rFonts w:ascii="Verdana" w:eastAsia="Calibri" w:hAnsi="Verdana" w:cs="Arial"/>
          <w:b/>
          <w:kern w:val="2"/>
          <w:lang w:val="es-ES_tradnl" w:eastAsia="es-CO"/>
          <w14:ligatures w14:val="standardContextual"/>
        </w:rPr>
      </w:pPr>
    </w:p>
    <w:p w14:paraId="06E70B60" w14:textId="77777777" w:rsidR="00B20DEA" w:rsidRPr="00B20DEA" w:rsidRDefault="00B20DEA" w:rsidP="00B20DEA">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B20DEA">
        <w:rPr>
          <w:rFonts w:ascii="Verdana" w:eastAsia="Century Gothic" w:hAnsi="Verdana" w:cs="Century Gothic"/>
          <w:b/>
          <w:bCs/>
          <w:lang w:val="es-ES"/>
        </w:rPr>
        <w:t>Referencias normativas, jurisprudenciales y otras fuentes:</w:t>
      </w:r>
    </w:p>
    <w:p w14:paraId="68AC0BC2" w14:textId="77777777" w:rsidR="00B20DEA" w:rsidRPr="00B20DEA" w:rsidRDefault="00B20DEA" w:rsidP="00B20DEA">
      <w:pPr>
        <w:widowControl w:val="0"/>
        <w:autoSpaceDE w:val="0"/>
        <w:autoSpaceDN w:val="0"/>
        <w:spacing w:after="0" w:line="276" w:lineRule="auto"/>
        <w:jc w:val="both"/>
        <w:rPr>
          <w:rFonts w:ascii="Verdana" w:eastAsia="Calibri"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8647"/>
      </w:tblGrid>
      <w:tr w:rsidR="00B20DEA" w:rsidRPr="00B20DEA" w14:paraId="4E645D60" w14:textId="77777777" w:rsidTr="005C10FC">
        <w:trPr>
          <w:trHeight w:val="870"/>
        </w:trPr>
        <w:tc>
          <w:tcPr>
            <w:tcW w:w="8647" w:type="dxa"/>
          </w:tcPr>
          <w:p w14:paraId="2B4BFFEC" w14:textId="77777777" w:rsidR="00B20DEA" w:rsidRPr="00B20DEA" w:rsidRDefault="00B20DEA" w:rsidP="00B20DEA">
            <w:pPr>
              <w:widowControl w:val="0"/>
              <w:numPr>
                <w:ilvl w:val="0"/>
                <w:numId w:val="17"/>
              </w:numPr>
              <w:autoSpaceDE w:val="0"/>
              <w:autoSpaceDN w:val="0"/>
              <w:spacing w:after="120" w:line="276" w:lineRule="auto"/>
              <w:jc w:val="both"/>
              <w:rPr>
                <w:rFonts w:ascii="Verdana" w:eastAsia="Calibri" w:hAnsi="Verdana" w:cs="Arial"/>
              </w:rPr>
            </w:pPr>
            <w:r w:rsidRPr="00B20DEA">
              <w:rPr>
                <w:rFonts w:ascii="Verdana" w:eastAsia="Calibri" w:hAnsi="Verdana" w:cs="Arial"/>
              </w:rPr>
              <w:lastRenderedPageBreak/>
              <w:t>Ley 2022 de 2020, artículo 1.</w:t>
            </w:r>
          </w:p>
          <w:p w14:paraId="1DA5D089" w14:textId="77777777" w:rsidR="00B20DEA" w:rsidRPr="00B20DEA" w:rsidRDefault="00B20DEA" w:rsidP="00B20DEA">
            <w:pPr>
              <w:widowControl w:val="0"/>
              <w:numPr>
                <w:ilvl w:val="0"/>
                <w:numId w:val="17"/>
              </w:numPr>
              <w:autoSpaceDE w:val="0"/>
              <w:autoSpaceDN w:val="0"/>
              <w:spacing w:after="120" w:line="276" w:lineRule="auto"/>
              <w:jc w:val="both"/>
              <w:rPr>
                <w:rFonts w:ascii="Verdana" w:eastAsia="Calibri" w:hAnsi="Verdana" w:cs="Arial"/>
              </w:rPr>
            </w:pPr>
            <w:r w:rsidRPr="00B20DEA">
              <w:rPr>
                <w:rFonts w:ascii="Verdana" w:eastAsia="Calibri" w:hAnsi="Verdana" w:cs="Arial"/>
              </w:rPr>
              <w:t>Ley 1150 de 2007, artículos 5 y 6.</w:t>
            </w:r>
          </w:p>
          <w:p w14:paraId="7D3DDC67" w14:textId="77777777" w:rsidR="00B20DEA" w:rsidRPr="00B20DEA" w:rsidRDefault="00B20DEA" w:rsidP="00B20DEA">
            <w:pPr>
              <w:widowControl w:val="0"/>
              <w:numPr>
                <w:ilvl w:val="0"/>
                <w:numId w:val="17"/>
              </w:numPr>
              <w:autoSpaceDE w:val="0"/>
              <w:autoSpaceDN w:val="0"/>
              <w:spacing w:after="120" w:line="276" w:lineRule="auto"/>
              <w:jc w:val="both"/>
              <w:rPr>
                <w:rFonts w:ascii="Verdana" w:eastAsia="Calibri" w:hAnsi="Verdana" w:cs="Arial"/>
              </w:rPr>
            </w:pPr>
            <w:r w:rsidRPr="00B20DEA">
              <w:rPr>
                <w:rFonts w:ascii="Verdana" w:eastAsia="Calibri" w:hAnsi="Verdana" w:cs="Arial"/>
              </w:rPr>
              <w:t xml:space="preserve">Decreto 1082 de 2015, artículos </w:t>
            </w:r>
            <w:r w:rsidRPr="00B20DEA">
              <w:rPr>
                <w:rFonts w:ascii="Verdana" w:eastAsia="Aptos" w:hAnsi="Verdana" w:cs="Arial"/>
                <w:lang w:val="es-ES_tradnl"/>
              </w:rPr>
              <w:t>2.2.1.1.1.6.2 y 2.2.1.1.1.5.3.</w:t>
            </w:r>
          </w:p>
          <w:p w14:paraId="493D43F1" w14:textId="77777777" w:rsidR="00B20DEA" w:rsidRPr="00B20DEA" w:rsidRDefault="00B20DEA" w:rsidP="00B20DEA">
            <w:pPr>
              <w:widowControl w:val="0"/>
              <w:numPr>
                <w:ilvl w:val="0"/>
                <w:numId w:val="17"/>
              </w:numPr>
              <w:autoSpaceDE w:val="0"/>
              <w:autoSpaceDN w:val="0"/>
              <w:spacing w:after="120" w:line="276" w:lineRule="auto"/>
              <w:jc w:val="both"/>
              <w:rPr>
                <w:rFonts w:ascii="Verdana" w:eastAsia="Calibri" w:hAnsi="Verdana" w:cs="Arial"/>
              </w:rPr>
            </w:pPr>
            <w:r w:rsidRPr="00B20DEA">
              <w:rPr>
                <w:rFonts w:ascii="Verdana" w:eastAsia="Calibri" w:hAnsi="Verdana" w:cs="Arial"/>
              </w:rPr>
              <w:t xml:space="preserve">Documentos tipo de obra pública de infraestructura de transporte. Disponibles en:  </w:t>
            </w:r>
            <w:hyperlink r:id="rId11" w:history="1">
              <w:r w:rsidRPr="00B20DEA">
                <w:rPr>
                  <w:rFonts w:ascii="Verdana" w:eastAsia="Calibri" w:hAnsi="Verdana" w:cs="Arial"/>
                  <w:color w:val="0000FF"/>
                  <w:u w:val="single"/>
                </w:rPr>
                <w:t>https://www.colombiacompra.gov.co/content/documentos-tipo-de-infraestructura-de-transporte</w:t>
              </w:r>
            </w:hyperlink>
            <w:r w:rsidRPr="00B20DEA">
              <w:rPr>
                <w:rFonts w:ascii="Verdana" w:eastAsia="Calibri" w:hAnsi="Verdana" w:cs="Arial"/>
              </w:rPr>
              <w:t xml:space="preserve">. </w:t>
            </w:r>
          </w:p>
        </w:tc>
      </w:tr>
    </w:tbl>
    <w:p w14:paraId="7B5F0A22" w14:textId="77777777" w:rsidR="00B20DEA" w:rsidRPr="00B20DEA" w:rsidRDefault="00B20DEA" w:rsidP="00B20DEA">
      <w:pPr>
        <w:widowControl w:val="0"/>
        <w:autoSpaceDE w:val="0"/>
        <w:autoSpaceDN w:val="0"/>
        <w:spacing w:after="0" w:line="276" w:lineRule="auto"/>
        <w:jc w:val="both"/>
        <w:rPr>
          <w:rFonts w:ascii="Verdana" w:eastAsia="Calibri" w:hAnsi="Verdana" w:cs="Arial"/>
        </w:rPr>
      </w:pPr>
    </w:p>
    <w:p w14:paraId="0814A787" w14:textId="77777777" w:rsidR="00B20DEA" w:rsidRPr="00B20DEA" w:rsidRDefault="00B20DEA" w:rsidP="00B20DEA">
      <w:pPr>
        <w:numPr>
          <w:ilvl w:val="0"/>
          <w:numId w:val="16"/>
        </w:numPr>
        <w:tabs>
          <w:tab w:val="left" w:pos="142"/>
          <w:tab w:val="left" w:pos="284"/>
        </w:tabs>
        <w:spacing w:after="0" w:line="276" w:lineRule="auto"/>
        <w:ind w:left="357" w:hanging="357"/>
        <w:jc w:val="both"/>
        <w:rPr>
          <w:rFonts w:ascii="Verdana" w:eastAsia="Century Gothic" w:hAnsi="Verdana" w:cs="Century Gothic"/>
          <w:b/>
          <w:bCs/>
          <w:lang w:val="es-ES"/>
        </w:rPr>
      </w:pPr>
      <w:r w:rsidRPr="00B20DEA">
        <w:rPr>
          <w:rFonts w:ascii="Verdana" w:eastAsia="Century Gothic" w:hAnsi="Verdana" w:cs="Century Gothic"/>
          <w:b/>
          <w:bCs/>
          <w:lang w:val="es-ES"/>
        </w:rPr>
        <w:t>Doctrina de la Agencia Nacional de Contratación Pública:</w:t>
      </w:r>
    </w:p>
    <w:p w14:paraId="1B6B8C2F" w14:textId="77777777" w:rsidR="00B20DEA" w:rsidRPr="00B20DEA" w:rsidRDefault="00B20DEA" w:rsidP="00B20DEA">
      <w:pPr>
        <w:widowControl w:val="0"/>
        <w:autoSpaceDE w:val="0"/>
        <w:autoSpaceDN w:val="0"/>
        <w:spacing w:after="0" w:line="276" w:lineRule="auto"/>
        <w:jc w:val="both"/>
        <w:rPr>
          <w:rFonts w:ascii="Verdana" w:eastAsia="Calibri" w:hAnsi="Verdana" w:cs="Arial"/>
        </w:rPr>
      </w:pPr>
    </w:p>
    <w:p w14:paraId="07EDAC03" w14:textId="77777777" w:rsidR="00B20DEA" w:rsidRPr="00B20DEA" w:rsidRDefault="00B20DEA" w:rsidP="00B20DEA">
      <w:pPr>
        <w:widowControl w:val="0"/>
        <w:autoSpaceDE w:val="0"/>
        <w:autoSpaceDN w:val="0"/>
        <w:spacing w:after="0" w:line="276" w:lineRule="auto"/>
        <w:jc w:val="both"/>
        <w:rPr>
          <w:rFonts w:ascii="Verdana" w:eastAsia="Calibri" w:hAnsi="Verdana" w:cs="Arial"/>
          <w:shd w:val="clear" w:color="auto" w:fill="FFFFFF"/>
          <w:lang w:val="es-ES"/>
        </w:rPr>
      </w:pPr>
      <w:r w:rsidRPr="00B20DEA">
        <w:rPr>
          <w:rFonts w:ascii="Verdana" w:eastAsia="Calibri" w:hAnsi="Verdana" w:cs="Arial"/>
          <w:shd w:val="clear" w:color="auto" w:fill="FFFFFF"/>
          <w:lang w:val="es-ES"/>
        </w:rPr>
        <w:t>La Agencia Nacional de Contratación Pública − Colombia Compra Eficiente se pronunció</w:t>
      </w:r>
      <w:r w:rsidRPr="00B20DEA">
        <w:rPr>
          <w:rFonts w:ascii="Aptos" w:eastAsia="Aptos" w:hAnsi="Aptos" w:cs="Times New Roman"/>
          <w:kern w:val="2"/>
          <w:sz w:val="24"/>
          <w:szCs w:val="24"/>
          <w:lang w:val="es-ES_tradnl"/>
          <w14:ligatures w14:val="standardContextual"/>
        </w:rPr>
        <w:t xml:space="preserve"> </w:t>
      </w:r>
      <w:r w:rsidRPr="00B20DEA">
        <w:rPr>
          <w:rFonts w:ascii="Verdana" w:eastAsia="Calibri" w:hAnsi="Verdana" w:cs="Arial"/>
          <w:shd w:val="clear" w:color="auto" w:fill="FFFFFF"/>
          <w:lang w:val="es-ES"/>
        </w:rPr>
        <w:t>sobre la forma de establecer y acreditar la experiencia 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 C-526 del 27 de septiembre de 2021, C-605 del 2 de noviembre de 2021, C-665 del 23 de diciembre de 2021, C-735 del 28 de enero de 2022, C-437 del  6 de septiembre de 2022, entre otros. Es</w:t>
      </w:r>
      <w:r w:rsidRPr="00B20DEA">
        <w:rPr>
          <w:rFonts w:ascii="Verdana" w:eastAsia="Calibri" w:hAnsi="Verdana" w:cs="Times New Roman"/>
        </w:rPr>
        <w:t>tos y otros conceptos se encuentran disponibles para consulta en el sistema de relatoría de la Agencia, al cual se puede acceder a través del siguiente enlace:</w:t>
      </w:r>
      <w:r w:rsidRPr="00B20DEA">
        <w:rPr>
          <w:rFonts w:ascii="Verdana" w:eastAsia="Calibri" w:hAnsi="Verdana" w:cs="Arial"/>
          <w:shd w:val="clear" w:color="auto" w:fill="FFFFFF"/>
          <w:lang w:val="es-ES"/>
        </w:rPr>
        <w:t xml:space="preserve"> </w:t>
      </w:r>
      <w:hyperlink r:id="rId12" w:history="1">
        <w:r w:rsidRPr="00B20DEA">
          <w:rPr>
            <w:rFonts w:ascii="Verdana" w:eastAsia="Calibri" w:hAnsi="Verdana" w:cs="Arial"/>
            <w:u w:val="single"/>
            <w:shd w:val="clear" w:color="auto" w:fill="FFFFFF"/>
            <w:lang w:val="es-ES"/>
          </w:rPr>
          <w:t>https://relatoria.colombiacompra.gov.co/busqueda/conceptos</w:t>
        </w:r>
      </w:hyperlink>
      <w:r w:rsidRPr="00B20DEA">
        <w:rPr>
          <w:rFonts w:ascii="Verdana" w:eastAsia="Calibri" w:hAnsi="Verdana" w:cs="Arial"/>
          <w:shd w:val="clear" w:color="auto" w:fill="FFFFFF"/>
          <w:lang w:val="es-ES"/>
        </w:rPr>
        <w:t xml:space="preserve">. </w:t>
      </w:r>
    </w:p>
    <w:p w14:paraId="43ECA6C3" w14:textId="77777777" w:rsidR="00B20DEA" w:rsidRPr="00B20DEA" w:rsidRDefault="00B20DEA" w:rsidP="00B20DEA">
      <w:pPr>
        <w:widowControl w:val="0"/>
        <w:autoSpaceDE w:val="0"/>
        <w:autoSpaceDN w:val="0"/>
        <w:spacing w:after="0" w:line="276" w:lineRule="auto"/>
        <w:jc w:val="both"/>
        <w:rPr>
          <w:rFonts w:ascii="Verdana" w:eastAsia="Calibri" w:hAnsi="Verdana" w:cs="Arial"/>
          <w:shd w:val="clear" w:color="auto" w:fill="FFFFFF"/>
          <w:lang w:val="es-ES"/>
        </w:rPr>
      </w:pPr>
    </w:p>
    <w:p w14:paraId="68C65F1A" w14:textId="77777777" w:rsidR="00B20DEA" w:rsidRPr="00B20DEA" w:rsidRDefault="00B20DEA" w:rsidP="00B20DEA">
      <w:pPr>
        <w:widowControl w:val="0"/>
        <w:autoSpaceDE w:val="0"/>
        <w:autoSpaceDN w:val="0"/>
        <w:spacing w:after="0" w:line="276" w:lineRule="auto"/>
        <w:jc w:val="both"/>
        <w:rPr>
          <w:rFonts w:ascii="Verdana" w:eastAsia="Calibri" w:hAnsi="Verdana" w:cs="Arial"/>
          <w:shd w:val="clear" w:color="auto" w:fill="FFFFFF"/>
          <w:lang w:val="es-ES"/>
        </w:rPr>
      </w:pPr>
      <w:r w:rsidRPr="00B20DEA">
        <w:rPr>
          <w:rFonts w:ascii="Verdana" w:eastAsia="Calibri" w:hAnsi="Verdana" w:cs="Arial"/>
          <w:shd w:val="clear" w:color="auto" w:fill="FFFFFF"/>
          <w:lang w:val="es-ES"/>
        </w:rPr>
        <w:t xml:space="preserve">También, </w:t>
      </w:r>
      <w:r w:rsidRPr="00B20DEA">
        <w:rPr>
          <w:rFonts w:ascii="Verdana" w:eastAsia="Calibri" w:hAnsi="Verdana" w:cs="Arial"/>
          <w:shd w:val="clear" w:color="auto" w:fill="FFFFFF"/>
          <w:lang w:val="es-ES_tradnl"/>
        </w:rPr>
        <w:t xml:space="preserve">la invitamos a revisar la cuarta edición del Boletín de Relatoría de 2024, en el cual se explicaron los cambios más relevantes que fueron incorporados en los Documentos Tipo para el sector de Infraestructura de </w:t>
      </w:r>
      <w:r w:rsidRPr="00B20DEA">
        <w:rPr>
          <w:rFonts w:ascii="Verdana" w:eastAsia="Calibri" w:hAnsi="Verdana" w:cs="Arial"/>
          <w:shd w:val="clear" w:color="auto" w:fill="FFFFFF"/>
          <w:lang w:val="es-ES_tradnl"/>
        </w:rPr>
        <w:lastRenderedPageBreak/>
        <w:t>Transporte, en las modalidades de selección de Licitación de Obra Pública, Selección Abreviada de Menor Cuantía y Mínima Cuantía. Puede consultarlo en el siguiente enlace : </w:t>
      </w:r>
      <w:hyperlink r:id="rId13" w:tooltip="Original URL:&#10;https://www.colombiacompra.gov.co/sala-de-prensa/boletin-digital/boletin-de-relatoria-2024-iv&#10;&#10;Click to follow link." w:history="1">
        <w:r w:rsidRPr="00B20DEA">
          <w:rPr>
            <w:rFonts w:ascii="Verdana" w:eastAsia="Calibri" w:hAnsi="Verdana" w:cs="Arial"/>
            <w:color w:val="0000FF"/>
            <w:u w:val="single"/>
            <w:shd w:val="clear" w:color="auto" w:fill="FFFFFF"/>
            <w:lang w:val="es-ES_tradnl"/>
          </w:rPr>
          <w:t>BOLETÍN DE RELATORÍA 2024 – IV | Colombia Compra Eficiente | Agencia Nacional de Contratación Pública</w:t>
        </w:r>
      </w:hyperlink>
    </w:p>
    <w:p w14:paraId="1D3B679A" w14:textId="77777777" w:rsidR="00B20DEA" w:rsidRPr="00B20DEA" w:rsidRDefault="00B20DEA" w:rsidP="00B20DEA">
      <w:pPr>
        <w:widowControl w:val="0"/>
        <w:autoSpaceDE w:val="0"/>
        <w:autoSpaceDN w:val="0"/>
        <w:spacing w:after="0" w:line="276" w:lineRule="auto"/>
        <w:jc w:val="both"/>
        <w:rPr>
          <w:rFonts w:ascii="Verdana" w:eastAsia="Calibri" w:hAnsi="Verdana" w:cs="Arial"/>
          <w:shd w:val="clear" w:color="auto" w:fill="FFFFFF"/>
          <w:lang w:val="es-ES"/>
        </w:rPr>
      </w:pPr>
    </w:p>
    <w:p w14:paraId="0B023BCA" w14:textId="77777777" w:rsidR="00B20DEA" w:rsidRPr="00B20DEA" w:rsidRDefault="00B20DEA" w:rsidP="00B20DEA">
      <w:pPr>
        <w:spacing w:after="0" w:line="240" w:lineRule="auto"/>
        <w:jc w:val="both"/>
        <w:rPr>
          <w:rFonts w:ascii="Verdana" w:eastAsia="Calibri" w:hAnsi="Verdana" w:cs="Times New Roman"/>
        </w:rPr>
      </w:pPr>
      <w:r w:rsidRPr="00B20DEA">
        <w:rPr>
          <w:rFonts w:ascii="Verdana" w:eastAsia="Calibri" w:hAnsi="Verdana" w:cs="Times New Roman"/>
        </w:rPr>
        <w:t xml:space="preserve">Por último, los invitamos a seguirnos en las redes sociales, en las cuales se difunde información institucional: </w:t>
      </w:r>
    </w:p>
    <w:p w14:paraId="6FBC7ABD" w14:textId="77777777" w:rsidR="00B20DEA" w:rsidRPr="00B20DEA" w:rsidRDefault="00B20DEA" w:rsidP="00B20DEA">
      <w:pPr>
        <w:spacing w:after="0" w:line="240" w:lineRule="auto"/>
        <w:jc w:val="both"/>
        <w:rPr>
          <w:rFonts w:ascii="Verdana" w:eastAsia="Calibri" w:hAnsi="Verdana" w:cs="Times New Roman"/>
        </w:rPr>
      </w:pPr>
    </w:p>
    <w:p w14:paraId="2CBD9401" w14:textId="77777777" w:rsidR="00B20DEA" w:rsidRPr="00B20DEA" w:rsidRDefault="00B20DEA" w:rsidP="00B20DEA">
      <w:pPr>
        <w:spacing w:after="0" w:line="240" w:lineRule="auto"/>
        <w:jc w:val="both"/>
        <w:rPr>
          <w:rFonts w:ascii="Verdana" w:eastAsia="Calibri" w:hAnsi="Verdana" w:cs="Times New Roman"/>
        </w:rPr>
      </w:pPr>
      <w:r w:rsidRPr="00B20DEA">
        <w:rPr>
          <w:rFonts w:ascii="Verdana" w:eastAsia="Calibri" w:hAnsi="Verdana" w:cs="Times New Roman"/>
        </w:rPr>
        <w:t xml:space="preserve">Twitter: </w:t>
      </w:r>
      <w:r w:rsidRPr="00B20DEA">
        <w:rPr>
          <w:rFonts w:ascii="Verdana" w:eastAsia="Calibri" w:hAnsi="Verdana" w:cs="Times New Roman"/>
          <w:u w:val="single"/>
        </w:rPr>
        <w:t>@colombiacompra</w:t>
      </w:r>
      <w:r w:rsidRPr="00B20DEA">
        <w:rPr>
          <w:rFonts w:ascii="Verdana" w:eastAsia="Calibri" w:hAnsi="Verdana" w:cs="Times New Roman"/>
        </w:rPr>
        <w:t xml:space="preserve"> </w:t>
      </w:r>
    </w:p>
    <w:p w14:paraId="7FE3C134" w14:textId="77777777" w:rsidR="00B20DEA" w:rsidRPr="00B20DEA" w:rsidRDefault="00B20DEA" w:rsidP="00B20DEA">
      <w:pPr>
        <w:spacing w:after="0" w:line="240" w:lineRule="auto"/>
        <w:jc w:val="both"/>
        <w:rPr>
          <w:rFonts w:ascii="Verdana" w:eastAsia="Calibri" w:hAnsi="Verdana" w:cs="Times New Roman"/>
        </w:rPr>
      </w:pPr>
      <w:r w:rsidRPr="00B20DEA">
        <w:rPr>
          <w:rFonts w:ascii="Verdana" w:eastAsia="Calibri" w:hAnsi="Verdana" w:cs="Times New Roman"/>
        </w:rPr>
        <w:t xml:space="preserve">Facebook: </w:t>
      </w:r>
      <w:r w:rsidRPr="00B20DEA">
        <w:rPr>
          <w:rFonts w:ascii="Verdana" w:eastAsia="Calibri" w:hAnsi="Verdana" w:cs="Times New Roman"/>
          <w:u w:val="single"/>
        </w:rPr>
        <w:t>ColombiaCompraEficiente</w:t>
      </w:r>
    </w:p>
    <w:p w14:paraId="5F77D5BC" w14:textId="77777777" w:rsidR="00B20DEA" w:rsidRPr="00B20DEA" w:rsidRDefault="00B20DEA" w:rsidP="00B20DEA">
      <w:pPr>
        <w:spacing w:after="0" w:line="240" w:lineRule="auto"/>
        <w:jc w:val="both"/>
        <w:rPr>
          <w:rFonts w:ascii="Verdana" w:eastAsia="Calibri" w:hAnsi="Verdana" w:cs="Times New Roman"/>
        </w:rPr>
      </w:pPr>
      <w:r w:rsidRPr="00B20DEA">
        <w:rPr>
          <w:rFonts w:ascii="Verdana" w:eastAsia="Calibri" w:hAnsi="Verdana" w:cs="Times New Roman"/>
        </w:rPr>
        <w:t xml:space="preserve">LinkedIn: </w:t>
      </w:r>
      <w:r w:rsidRPr="00B20DEA">
        <w:rPr>
          <w:rFonts w:ascii="Verdana" w:eastAsia="Calibri" w:hAnsi="Verdana" w:cs="Times New Roman"/>
          <w:u w:val="single"/>
        </w:rPr>
        <w:t>Agencia Nacional de Contratación Pública - Colombia Compra Eficiente</w:t>
      </w:r>
      <w:r w:rsidRPr="00B20DEA">
        <w:rPr>
          <w:rFonts w:ascii="Verdana" w:eastAsia="Calibri" w:hAnsi="Verdana" w:cs="Times New Roman"/>
        </w:rPr>
        <w:t xml:space="preserve"> Instagram: </w:t>
      </w:r>
      <w:r w:rsidRPr="00B20DEA">
        <w:rPr>
          <w:rFonts w:ascii="Verdana" w:eastAsia="Calibri" w:hAnsi="Verdana" w:cs="Times New Roman"/>
          <w:u w:val="single"/>
        </w:rPr>
        <w:t>@colombiacompraeficiente_cce</w:t>
      </w:r>
    </w:p>
    <w:p w14:paraId="134F723A" w14:textId="77777777" w:rsidR="00B20DEA" w:rsidRPr="00B20DEA" w:rsidRDefault="00B20DEA" w:rsidP="00B20DEA">
      <w:pPr>
        <w:widowControl w:val="0"/>
        <w:autoSpaceDE w:val="0"/>
        <w:autoSpaceDN w:val="0"/>
        <w:spacing w:after="0" w:line="276" w:lineRule="auto"/>
        <w:jc w:val="both"/>
        <w:rPr>
          <w:rFonts w:ascii="Verdana" w:eastAsia="Calibri" w:hAnsi="Verdana" w:cs="Arial"/>
        </w:rPr>
      </w:pPr>
    </w:p>
    <w:p w14:paraId="69DDE83F" w14:textId="77777777" w:rsidR="00B20DEA" w:rsidRPr="00B20DEA" w:rsidRDefault="00B20DEA" w:rsidP="00B20DEA">
      <w:pPr>
        <w:widowControl w:val="0"/>
        <w:autoSpaceDE w:val="0"/>
        <w:autoSpaceDN w:val="0"/>
        <w:spacing w:after="0" w:line="276" w:lineRule="auto"/>
        <w:jc w:val="both"/>
        <w:rPr>
          <w:rFonts w:ascii="Verdana" w:eastAsia="Calibri" w:hAnsi="Verdana" w:cs="Arial"/>
          <w:lang w:val="es-ES_tradnl"/>
        </w:rPr>
      </w:pPr>
      <w:r w:rsidRPr="00B20DEA">
        <w:rPr>
          <w:rFonts w:ascii="Verdana" w:eastAsia="Calibri" w:hAnsi="Verdana" w:cs="Arial"/>
        </w:rPr>
        <w:t xml:space="preserve">Este concepto tiene el alcance previsto en el artículo 28 del Código de Procedimiento Administrativo y de lo Contencioso Administrativo </w:t>
      </w:r>
      <w:r w:rsidRPr="00B20DEA">
        <w:rPr>
          <w:rFonts w:ascii="Verdana" w:eastAsia="Calibri" w:hAnsi="Verdana" w:cs="Arial"/>
          <w:lang w:val="es-ES_tradnl"/>
        </w:rPr>
        <w:t>y las expresiones aquí utilizadas con mayúscula inicial deben ser entendidas con el significado que les otorga el artículo 2.2.1.1.1.3.1. del Decreto 1082 de 2015.</w:t>
      </w:r>
    </w:p>
    <w:p w14:paraId="0123962D" w14:textId="77777777" w:rsidR="00B20DEA" w:rsidRPr="00B20DEA" w:rsidRDefault="00B20DEA" w:rsidP="00B20DEA">
      <w:pPr>
        <w:widowControl w:val="0"/>
        <w:autoSpaceDE w:val="0"/>
        <w:autoSpaceDN w:val="0"/>
        <w:spacing w:after="0" w:line="276" w:lineRule="auto"/>
        <w:jc w:val="both"/>
        <w:rPr>
          <w:rFonts w:ascii="Verdana" w:eastAsia="Calibri" w:hAnsi="Verdana" w:cs="Arial"/>
        </w:rPr>
      </w:pPr>
    </w:p>
    <w:p w14:paraId="4D44F54B" w14:textId="77777777" w:rsidR="00B20DEA" w:rsidRPr="00B20DEA" w:rsidRDefault="00B20DEA" w:rsidP="00B20DEA">
      <w:pPr>
        <w:spacing w:after="0" w:line="240" w:lineRule="auto"/>
        <w:rPr>
          <w:rFonts w:ascii="Verdana" w:eastAsia="Calibri" w:hAnsi="Verdana" w:cs="Arial"/>
          <w:lang w:eastAsia="es-CO"/>
        </w:rPr>
      </w:pPr>
      <w:r w:rsidRPr="00B20DEA">
        <w:rPr>
          <w:rFonts w:ascii="Verdana" w:eastAsia="Times New Roman" w:hAnsi="Verdana" w:cs="Arial"/>
          <w:lang w:eastAsia="es-CO"/>
        </w:rPr>
        <w:t>Atentamente,</w:t>
      </w:r>
      <w:r w:rsidRPr="00B20DEA">
        <w:rPr>
          <w:rFonts w:ascii="Verdana" w:eastAsia="Calibri" w:hAnsi="Verdana" w:cs="Arial"/>
          <w:lang w:eastAsia="es-CO"/>
        </w:rPr>
        <w:t xml:space="preserve"> </w:t>
      </w:r>
    </w:p>
    <w:p w14:paraId="698319E2" w14:textId="4380497A" w:rsidR="00B20DEA" w:rsidRPr="00B20DEA" w:rsidRDefault="00FC0AA5" w:rsidP="00B20DEA">
      <w:pPr>
        <w:spacing w:line="276" w:lineRule="auto"/>
        <w:jc w:val="center"/>
        <w:rPr>
          <w:rFonts w:ascii="Verdana" w:eastAsia="Calibri" w:hAnsi="Verdana" w:cs="Arial"/>
          <w:lang w:val="es-ES_tradnl" w:eastAsia="es-CO"/>
        </w:rPr>
      </w:pPr>
      <w:r w:rsidRPr="002C3AD6">
        <w:rPr>
          <w:rFonts w:ascii="Century Gothic" w:hAnsi="Century Gothic"/>
          <w:noProof/>
        </w:rPr>
        <w:drawing>
          <wp:inline distT="0" distB="0" distL="0" distR="0" wp14:anchorId="2B8FB3F9" wp14:editId="42F82B74">
            <wp:extent cx="3486150" cy="1294101"/>
            <wp:effectExtent l="0" t="0" r="0" b="190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496489" cy="1297939"/>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20DEA" w:rsidRPr="00B20DEA" w14:paraId="387BF28A" w14:textId="77777777" w:rsidTr="005C10FC">
        <w:trPr>
          <w:trHeight w:val="315"/>
        </w:trPr>
        <w:tc>
          <w:tcPr>
            <w:tcW w:w="893" w:type="dxa"/>
            <w:vAlign w:val="center"/>
            <w:hideMark/>
          </w:tcPr>
          <w:p w14:paraId="6584DE06" w14:textId="77777777" w:rsidR="00B20DEA" w:rsidRPr="00B20DEA" w:rsidRDefault="00B20DEA" w:rsidP="00B20DEA">
            <w:pPr>
              <w:rPr>
                <w:rFonts w:ascii="Verdana" w:eastAsia="Calibri" w:hAnsi="Verdana" w:cs="Arial"/>
                <w:sz w:val="16"/>
                <w:szCs w:val="16"/>
                <w:lang w:val="es-ES" w:eastAsia="es-ES"/>
              </w:rPr>
            </w:pPr>
            <w:r w:rsidRPr="00B20DEA">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35466DBD" w14:textId="77777777" w:rsidR="00B20DEA" w:rsidRPr="00B20DEA" w:rsidRDefault="00B20DEA" w:rsidP="00B20DEA">
            <w:pPr>
              <w:rPr>
                <w:rFonts w:ascii="Verdana" w:eastAsia="Arial" w:hAnsi="Verdana" w:cs="Arial"/>
                <w:sz w:val="16"/>
                <w:szCs w:val="16"/>
              </w:rPr>
            </w:pPr>
            <w:r w:rsidRPr="00B20DEA">
              <w:rPr>
                <w:rFonts w:ascii="Verdana" w:eastAsia="Arial" w:hAnsi="Verdana" w:cs="Arial"/>
                <w:sz w:val="16"/>
                <w:szCs w:val="16"/>
              </w:rPr>
              <w:t>Kevin Arlid Herrera Santa</w:t>
            </w:r>
          </w:p>
          <w:p w14:paraId="69ECB22A" w14:textId="77777777" w:rsidR="00B20DEA" w:rsidRPr="00B20DEA" w:rsidRDefault="00B20DEA" w:rsidP="00B20DEA">
            <w:pPr>
              <w:rPr>
                <w:rFonts w:ascii="Verdana" w:eastAsia="Arial" w:hAnsi="Verdana" w:cs="Arial"/>
                <w:sz w:val="16"/>
                <w:szCs w:val="16"/>
              </w:rPr>
            </w:pPr>
            <w:r w:rsidRPr="00B20DEA">
              <w:rPr>
                <w:rFonts w:ascii="Verdana" w:eastAsia="Arial" w:hAnsi="Verdana" w:cs="Arial"/>
                <w:sz w:val="16"/>
                <w:szCs w:val="16"/>
              </w:rPr>
              <w:t>Contratista de la Subdirección de Gestión Contractual</w:t>
            </w:r>
          </w:p>
        </w:tc>
      </w:tr>
      <w:tr w:rsidR="00B20DEA" w:rsidRPr="00B20DEA" w14:paraId="14895EA5" w14:textId="77777777" w:rsidTr="005C10FC">
        <w:trPr>
          <w:trHeight w:val="330"/>
        </w:trPr>
        <w:tc>
          <w:tcPr>
            <w:tcW w:w="893" w:type="dxa"/>
            <w:vAlign w:val="center"/>
            <w:hideMark/>
          </w:tcPr>
          <w:p w14:paraId="06146696" w14:textId="77777777" w:rsidR="00B20DEA" w:rsidRPr="00B20DEA" w:rsidRDefault="00B20DEA" w:rsidP="00B20DEA">
            <w:pPr>
              <w:rPr>
                <w:rFonts w:ascii="Verdana" w:eastAsia="Calibri" w:hAnsi="Verdana" w:cs="Arial"/>
                <w:sz w:val="16"/>
                <w:szCs w:val="16"/>
                <w:lang w:val="es-ES" w:eastAsia="es-ES"/>
              </w:rPr>
            </w:pPr>
            <w:r w:rsidRPr="00B20DEA">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57B042C9" w14:textId="77777777" w:rsidR="00B20DEA" w:rsidRPr="00B20DEA" w:rsidRDefault="00B20DEA" w:rsidP="00B20DEA">
            <w:pPr>
              <w:textAlignment w:val="baseline"/>
              <w:rPr>
                <w:rFonts w:ascii="Verdana" w:eastAsia="Times New Roman" w:hAnsi="Verdana" w:cs="Arial"/>
                <w:sz w:val="16"/>
                <w:szCs w:val="16"/>
                <w:lang w:val="es-ES" w:eastAsia="es-ES_tradnl"/>
              </w:rPr>
            </w:pPr>
            <w:r w:rsidRPr="00B20DEA">
              <w:rPr>
                <w:rFonts w:ascii="Verdana" w:eastAsia="Times New Roman" w:hAnsi="Verdana" w:cs="Arial"/>
                <w:sz w:val="16"/>
                <w:szCs w:val="16"/>
                <w:lang w:val="es-ES" w:eastAsia="es-ES_tradnl"/>
              </w:rPr>
              <w:t>Martha Alicia Romero Vargas</w:t>
            </w:r>
          </w:p>
          <w:p w14:paraId="1FFEFF00" w14:textId="77777777" w:rsidR="00B20DEA" w:rsidRPr="00B20DEA" w:rsidRDefault="00B20DEA" w:rsidP="00B20DEA">
            <w:pPr>
              <w:textAlignment w:val="baseline"/>
              <w:rPr>
                <w:rFonts w:ascii="Verdana" w:eastAsia="Times New Roman" w:hAnsi="Verdana" w:cs="Segoe UI"/>
                <w:sz w:val="16"/>
                <w:szCs w:val="16"/>
                <w:lang w:eastAsia="es-ES_tradnl"/>
              </w:rPr>
            </w:pPr>
            <w:r w:rsidRPr="00B20DEA">
              <w:rPr>
                <w:rFonts w:ascii="Verdana" w:eastAsia="Times New Roman" w:hAnsi="Verdana" w:cs="Arial"/>
                <w:sz w:val="16"/>
                <w:szCs w:val="16"/>
                <w:lang w:val="es-ES" w:eastAsia="es-ES_tradnl"/>
              </w:rPr>
              <w:t>Gestor T1-15 de la Subdirección de Gestión Contractual</w:t>
            </w:r>
            <w:r w:rsidRPr="00B20DEA">
              <w:rPr>
                <w:rFonts w:ascii="Verdana" w:eastAsia="Times New Roman" w:hAnsi="Verdana" w:cs="Arial"/>
                <w:sz w:val="16"/>
                <w:szCs w:val="16"/>
                <w:lang w:eastAsia="es-ES_tradnl"/>
              </w:rPr>
              <w:t> </w:t>
            </w:r>
          </w:p>
        </w:tc>
      </w:tr>
      <w:tr w:rsidR="00B20DEA" w:rsidRPr="00B20DEA" w14:paraId="75007142" w14:textId="77777777" w:rsidTr="005C10FC">
        <w:trPr>
          <w:trHeight w:val="300"/>
        </w:trPr>
        <w:tc>
          <w:tcPr>
            <w:tcW w:w="893" w:type="dxa"/>
            <w:vAlign w:val="center"/>
          </w:tcPr>
          <w:p w14:paraId="7500A9E5" w14:textId="77777777" w:rsidR="00B20DEA" w:rsidRPr="00B20DEA" w:rsidRDefault="00B20DEA" w:rsidP="00B20DEA">
            <w:pPr>
              <w:rPr>
                <w:rFonts w:ascii="Verdana" w:eastAsia="Calibri" w:hAnsi="Verdana" w:cs="Arial"/>
                <w:sz w:val="16"/>
                <w:szCs w:val="16"/>
                <w:lang w:val="es-ES" w:eastAsia="es-ES"/>
              </w:rPr>
            </w:pPr>
            <w:r w:rsidRPr="00B20DEA">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35829ABF" w14:textId="77777777" w:rsidR="00B20DEA" w:rsidRPr="00B20DEA" w:rsidRDefault="00B20DEA" w:rsidP="00B20DEA">
            <w:pPr>
              <w:rPr>
                <w:rFonts w:ascii="Verdana" w:eastAsia="Calibri" w:hAnsi="Verdana" w:cs="Arial"/>
                <w:sz w:val="16"/>
                <w:szCs w:val="16"/>
                <w:lang w:val="pt-BR" w:eastAsia="es-ES"/>
              </w:rPr>
            </w:pPr>
            <w:r w:rsidRPr="00B20DEA">
              <w:rPr>
                <w:rFonts w:ascii="Verdana" w:eastAsia="Calibri" w:hAnsi="Verdana" w:cs="Arial"/>
                <w:sz w:val="16"/>
                <w:szCs w:val="16"/>
                <w:lang w:val="pt-BR" w:eastAsia="es-ES"/>
              </w:rPr>
              <w:t>Carolina Quintero Gacharná</w:t>
            </w:r>
          </w:p>
          <w:p w14:paraId="6E77623B" w14:textId="77777777" w:rsidR="00B20DEA" w:rsidRPr="00B20DEA" w:rsidRDefault="00B20DEA" w:rsidP="00B20DEA">
            <w:pPr>
              <w:rPr>
                <w:rFonts w:ascii="Verdana" w:eastAsia="Calibri" w:hAnsi="Verdana" w:cs="Arial"/>
                <w:sz w:val="16"/>
                <w:szCs w:val="16"/>
                <w:lang w:val="pt-BR" w:eastAsia="es-ES"/>
              </w:rPr>
            </w:pPr>
            <w:r w:rsidRPr="00B20DEA">
              <w:rPr>
                <w:rFonts w:ascii="Verdana" w:eastAsia="Calibri" w:hAnsi="Verdana" w:cs="Arial"/>
                <w:sz w:val="16"/>
                <w:szCs w:val="16"/>
                <w:lang w:eastAsia="es-ES"/>
              </w:rPr>
              <w:t>Subdirectora</w:t>
            </w:r>
            <w:r w:rsidRPr="00B20DEA">
              <w:rPr>
                <w:rFonts w:ascii="Verdana" w:eastAsia="Calibri" w:hAnsi="Verdana" w:cs="Arial"/>
                <w:sz w:val="16"/>
                <w:szCs w:val="16"/>
                <w:lang w:val="pt-BR" w:eastAsia="es-ES"/>
              </w:rPr>
              <w:t xml:space="preserve"> de Gestión </w:t>
            </w:r>
            <w:proofErr w:type="spellStart"/>
            <w:r w:rsidRPr="00B20DEA">
              <w:rPr>
                <w:rFonts w:ascii="Verdana" w:eastAsia="Calibri" w:hAnsi="Verdana" w:cs="Arial"/>
                <w:sz w:val="16"/>
                <w:szCs w:val="16"/>
                <w:lang w:val="pt-BR" w:eastAsia="es-ES"/>
              </w:rPr>
              <w:t>Contractual</w:t>
            </w:r>
            <w:proofErr w:type="spellEnd"/>
            <w:r w:rsidRPr="00B20DEA">
              <w:rPr>
                <w:rFonts w:ascii="Verdana" w:eastAsia="Calibri" w:hAnsi="Verdana" w:cs="Arial"/>
                <w:sz w:val="16"/>
                <w:szCs w:val="16"/>
                <w:lang w:val="pt-BR" w:eastAsia="es-ES"/>
              </w:rPr>
              <w:t xml:space="preserve"> ANCP – CCE</w:t>
            </w:r>
          </w:p>
        </w:tc>
      </w:tr>
    </w:tbl>
    <w:p w14:paraId="2D05ECAF" w14:textId="77777777" w:rsidR="00B20DEA" w:rsidRPr="00B20DEA" w:rsidRDefault="00B20DEA" w:rsidP="00B20DEA">
      <w:pPr>
        <w:spacing w:after="0" w:line="240" w:lineRule="auto"/>
        <w:rPr>
          <w:rFonts w:ascii="Aptos" w:eastAsia="Aptos" w:hAnsi="Aptos" w:cs="Times New Roman"/>
          <w:kern w:val="2"/>
          <w:sz w:val="24"/>
          <w:szCs w:val="24"/>
          <w:lang w:val="es-ES_tradnl"/>
          <w14:ligatures w14:val="standardContextual"/>
        </w:rPr>
      </w:pPr>
    </w:p>
    <w:p w14:paraId="5755CB37" w14:textId="77777777" w:rsidR="00B20DEA" w:rsidRPr="00B20DEA" w:rsidRDefault="00B20DEA" w:rsidP="00B20DEA">
      <w:pPr>
        <w:spacing w:after="0" w:line="240" w:lineRule="auto"/>
        <w:rPr>
          <w:rFonts w:ascii="Aptos" w:eastAsia="Aptos" w:hAnsi="Aptos" w:cs="Times New Roman"/>
          <w:kern w:val="2"/>
          <w:sz w:val="24"/>
          <w:szCs w:val="24"/>
          <w:lang w:val="es-ES_tradnl"/>
          <w14:ligatures w14:val="standardContextual"/>
        </w:rPr>
      </w:pPr>
    </w:p>
    <w:p w14:paraId="1161EE6D" w14:textId="77777777" w:rsidR="00B20DEA" w:rsidRPr="00B20DEA" w:rsidRDefault="00B20DEA" w:rsidP="00B20DEA">
      <w:pPr>
        <w:spacing w:after="0" w:line="240" w:lineRule="auto"/>
        <w:rPr>
          <w:rFonts w:ascii="Aptos" w:eastAsia="Aptos" w:hAnsi="Aptos" w:cs="Times New Roman"/>
          <w:kern w:val="2"/>
          <w:sz w:val="24"/>
          <w:szCs w:val="24"/>
          <w:lang w:val="es-ES_tradnl"/>
          <w14:ligatures w14:val="standardContextual"/>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0C22" w14:textId="77777777" w:rsidR="003F568F" w:rsidRDefault="003F568F" w:rsidP="004A1847">
      <w:pPr>
        <w:spacing w:after="0" w:line="240" w:lineRule="auto"/>
      </w:pPr>
      <w:r>
        <w:separator/>
      </w:r>
    </w:p>
  </w:endnote>
  <w:endnote w:type="continuationSeparator" w:id="0">
    <w:p w14:paraId="7DC43F36" w14:textId="77777777" w:rsidR="003F568F" w:rsidRDefault="003F568F"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95BD" w14:textId="77777777" w:rsidR="003F568F" w:rsidRDefault="003F568F" w:rsidP="004A1847">
      <w:pPr>
        <w:spacing w:after="0" w:line="240" w:lineRule="auto"/>
      </w:pPr>
      <w:r>
        <w:separator/>
      </w:r>
    </w:p>
  </w:footnote>
  <w:footnote w:type="continuationSeparator" w:id="0">
    <w:p w14:paraId="4952323F" w14:textId="77777777" w:rsidR="003F568F" w:rsidRDefault="003F568F" w:rsidP="004A1847">
      <w:pPr>
        <w:spacing w:after="0" w:line="240" w:lineRule="auto"/>
      </w:pPr>
      <w:r>
        <w:continuationSeparator/>
      </w:r>
    </w:p>
  </w:footnote>
  <w:footnote w:id="1">
    <w:p w14:paraId="12E72D94" w14:textId="77777777" w:rsidR="00B20DEA" w:rsidRPr="00AB1CDB" w:rsidRDefault="00B20DEA" w:rsidP="00B20DEA">
      <w:pPr>
        <w:pStyle w:val="Textonotapie"/>
        <w:ind w:firstLine="708"/>
        <w:jc w:val="both"/>
        <w:rPr>
          <w:rFonts w:ascii="Verdana" w:hAnsi="Verdana" w:cs="Arial"/>
          <w:sz w:val="18"/>
          <w:szCs w:val="18"/>
        </w:rPr>
      </w:pPr>
      <w:r w:rsidRPr="00AB1CDB">
        <w:rPr>
          <w:rStyle w:val="Refdenotaalpie"/>
          <w:rFonts w:ascii="Verdana" w:hAnsi="Verdana" w:cs="Arial"/>
          <w:sz w:val="18"/>
          <w:szCs w:val="18"/>
        </w:rPr>
        <w:footnoteRef/>
      </w:r>
      <w:r w:rsidRPr="00AB1CDB">
        <w:rPr>
          <w:rFonts w:ascii="Verdana" w:hAnsi="Verdana" w:cs="Arial"/>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9CC2F60" w14:textId="77777777" w:rsidR="00B20DEA" w:rsidRPr="00AB1CDB" w:rsidRDefault="00B20DEA" w:rsidP="00B20DEA">
      <w:pPr>
        <w:pStyle w:val="Textonotapie"/>
        <w:ind w:firstLine="708"/>
        <w:jc w:val="both"/>
        <w:rPr>
          <w:rFonts w:ascii="Verdana" w:hAnsi="Verdana" w:cs="Arial"/>
          <w:sz w:val="18"/>
          <w:szCs w:val="18"/>
        </w:rPr>
      </w:pPr>
      <w:r w:rsidRPr="00AB1CDB">
        <w:rPr>
          <w:rFonts w:ascii="Verdana" w:hAnsi="Verdana"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footnote>
  <w:footnote w:id="2">
    <w:p w14:paraId="394260F3" w14:textId="77777777" w:rsidR="00B20DEA" w:rsidRPr="00AB1CDB" w:rsidRDefault="00B20DEA" w:rsidP="00B20DEA">
      <w:pPr>
        <w:pStyle w:val="Textonotapie"/>
        <w:ind w:firstLine="708"/>
        <w:jc w:val="both"/>
        <w:rPr>
          <w:rFonts w:ascii="Verdana" w:hAnsi="Verdana" w:cs="Arial"/>
          <w:sz w:val="18"/>
          <w:szCs w:val="18"/>
          <w:lang w:val="es-ES_tradnl"/>
        </w:rPr>
      </w:pPr>
      <w:r w:rsidRPr="00AB1CDB">
        <w:rPr>
          <w:rStyle w:val="Refdenotaalpie"/>
          <w:rFonts w:ascii="Verdana" w:hAnsi="Verdana" w:cs="Arial"/>
          <w:sz w:val="18"/>
          <w:szCs w:val="18"/>
        </w:rPr>
        <w:footnoteRef/>
      </w:r>
      <w:r w:rsidRPr="00AB1CDB">
        <w:rPr>
          <w:rFonts w:ascii="Verdana" w:hAnsi="Verdana" w:cs="Arial"/>
          <w:sz w:val="18"/>
          <w:szCs w:val="18"/>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3">
    <w:p w14:paraId="428E1368" w14:textId="77777777" w:rsidR="00B20DEA" w:rsidRPr="00AB1CDB" w:rsidRDefault="00B20DEA" w:rsidP="00B20DEA">
      <w:pPr>
        <w:pStyle w:val="Textonotapie"/>
        <w:ind w:firstLine="708"/>
        <w:jc w:val="both"/>
        <w:rPr>
          <w:rFonts w:ascii="Verdana" w:hAnsi="Verdana" w:cs="Arial"/>
          <w:sz w:val="18"/>
          <w:szCs w:val="18"/>
        </w:rPr>
      </w:pPr>
      <w:r w:rsidRPr="00AB1CDB">
        <w:rPr>
          <w:rStyle w:val="Refdenotaalpie"/>
          <w:rFonts w:ascii="Verdana" w:hAnsi="Verdana" w:cs="Arial"/>
          <w:sz w:val="18"/>
          <w:szCs w:val="18"/>
        </w:rPr>
        <w:footnoteRef/>
      </w:r>
      <w:r w:rsidRPr="00AB1CDB">
        <w:rPr>
          <w:rFonts w:ascii="Verdana" w:hAnsi="Verdana"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5F8B6169" w14:textId="77777777" w:rsidR="00B20DEA" w:rsidRPr="00AB1CDB" w:rsidRDefault="00B20DEA" w:rsidP="00B20DEA">
      <w:pPr>
        <w:pStyle w:val="Textonotapie"/>
        <w:ind w:firstLine="708"/>
        <w:jc w:val="both"/>
        <w:rPr>
          <w:rFonts w:ascii="Verdana" w:hAnsi="Verdana" w:cs="Arial"/>
          <w:sz w:val="18"/>
          <w:szCs w:val="18"/>
        </w:rPr>
      </w:pPr>
      <w:r w:rsidRPr="00AB1CDB">
        <w:rPr>
          <w:rFonts w:ascii="Verdana" w:hAnsi="Verdana"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0124D0D1" w14:textId="77777777" w:rsidR="00B20DEA" w:rsidRPr="00AB1CDB" w:rsidRDefault="00B20DEA" w:rsidP="00B20DEA">
      <w:pPr>
        <w:pStyle w:val="Textonotapie"/>
        <w:ind w:firstLine="708"/>
        <w:jc w:val="both"/>
        <w:rPr>
          <w:rFonts w:ascii="Verdana" w:hAnsi="Verdana" w:cs="Arial"/>
          <w:sz w:val="18"/>
          <w:szCs w:val="18"/>
          <w:lang w:val="es-ES_tradnl"/>
        </w:rPr>
      </w:pPr>
      <w:r w:rsidRPr="00AB1CDB">
        <w:rPr>
          <w:rFonts w:ascii="Verdana" w:hAnsi="Verdana" w:cs="Arial"/>
          <w:sz w:val="18"/>
          <w:szCs w:val="18"/>
        </w:rPr>
        <w:t>[...]”.</w:t>
      </w:r>
    </w:p>
  </w:footnote>
  <w:footnote w:id="4">
    <w:p w14:paraId="7C6B82F7" w14:textId="77777777" w:rsidR="00B20DEA" w:rsidRPr="00AB1CDB" w:rsidRDefault="00B20DEA" w:rsidP="00B20DEA">
      <w:pPr>
        <w:pStyle w:val="Textonotapie"/>
        <w:ind w:firstLine="708"/>
        <w:jc w:val="both"/>
        <w:rPr>
          <w:rFonts w:ascii="Verdana" w:hAnsi="Verdana" w:cs="Arial"/>
          <w:sz w:val="18"/>
          <w:szCs w:val="18"/>
        </w:rPr>
      </w:pPr>
      <w:r w:rsidRPr="00AB1CDB">
        <w:rPr>
          <w:rStyle w:val="Refdenotaalpie"/>
          <w:rFonts w:ascii="Verdana" w:hAnsi="Verdana" w:cs="Arial"/>
          <w:sz w:val="18"/>
          <w:szCs w:val="18"/>
        </w:rPr>
        <w:footnoteRef/>
      </w:r>
      <w:r w:rsidRPr="00AB1CDB">
        <w:rPr>
          <w:rFonts w:ascii="Verdana" w:hAnsi="Verdana" w:cs="Arial"/>
          <w:sz w:val="18"/>
          <w:szCs w:val="18"/>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38C41E8" w14:textId="77777777" w:rsidR="00B20DEA" w:rsidRPr="00AB1CDB" w:rsidRDefault="00B20DEA" w:rsidP="00B20DEA">
      <w:pPr>
        <w:pStyle w:val="Textonotapie"/>
        <w:ind w:firstLine="708"/>
        <w:jc w:val="both"/>
        <w:rPr>
          <w:rFonts w:ascii="Verdana" w:hAnsi="Verdana" w:cs="Arial"/>
          <w:sz w:val="18"/>
          <w:szCs w:val="18"/>
        </w:rPr>
      </w:pPr>
      <w:r w:rsidRPr="00AB1CDB">
        <w:rPr>
          <w:rFonts w:ascii="Verdana" w:hAnsi="Verdana" w:cs="Arial"/>
          <w:sz w:val="18"/>
          <w:szCs w:val="18"/>
        </w:rPr>
        <w:t>[...]</w:t>
      </w:r>
    </w:p>
    <w:p w14:paraId="76C9302D" w14:textId="77777777" w:rsidR="00B20DEA" w:rsidRPr="00AB1CDB" w:rsidRDefault="00B20DEA" w:rsidP="00B20DEA">
      <w:pPr>
        <w:pStyle w:val="Textonotapie"/>
        <w:ind w:firstLine="708"/>
        <w:jc w:val="both"/>
        <w:rPr>
          <w:rFonts w:ascii="Verdana" w:hAnsi="Verdana" w:cs="Arial"/>
          <w:sz w:val="18"/>
          <w:szCs w:val="18"/>
        </w:rPr>
      </w:pPr>
      <w:r w:rsidRPr="00AB1CDB">
        <w:rPr>
          <w:rFonts w:ascii="Verdana" w:hAnsi="Verdana" w:cs="Arial"/>
          <w:sz w:val="18"/>
          <w:szCs w:val="18"/>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1F4A38D1" w14:textId="77777777" w:rsidR="00B20DEA" w:rsidRPr="00AB1CDB" w:rsidRDefault="00B20DEA" w:rsidP="00B20DEA">
      <w:pPr>
        <w:pStyle w:val="Textonotapie"/>
        <w:ind w:firstLine="708"/>
        <w:jc w:val="both"/>
        <w:rPr>
          <w:rFonts w:ascii="Verdana" w:hAnsi="Verdana" w:cs="Arial"/>
          <w:sz w:val="18"/>
          <w:szCs w:val="18"/>
          <w:lang w:val="es-ES_tradnl"/>
        </w:rPr>
      </w:pPr>
      <w:r w:rsidRPr="00AB1CDB">
        <w:rPr>
          <w:rFonts w:ascii="Verdana" w:hAnsi="Verdana" w:cs="Arial"/>
          <w:sz w:val="18"/>
          <w:szCs w:val="18"/>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footnote>
  <w:footnote w:id="5">
    <w:p w14:paraId="7D72772C" w14:textId="77777777" w:rsidR="00B20DEA" w:rsidRPr="00AB1CDB" w:rsidRDefault="00B20DEA" w:rsidP="00B20DEA">
      <w:pPr>
        <w:pStyle w:val="Textonotapie"/>
        <w:ind w:firstLine="709"/>
        <w:jc w:val="both"/>
        <w:rPr>
          <w:rFonts w:ascii="Verdana" w:hAnsi="Verdana"/>
          <w:sz w:val="18"/>
          <w:szCs w:val="18"/>
          <w:lang w:val="es-ES"/>
        </w:rPr>
      </w:pPr>
      <w:r w:rsidRPr="00AB1CDB">
        <w:rPr>
          <w:rStyle w:val="Refdenotaalpie"/>
          <w:rFonts w:ascii="Verdana" w:hAnsi="Verdana"/>
          <w:sz w:val="18"/>
          <w:szCs w:val="18"/>
        </w:rPr>
        <w:footnoteRef/>
      </w:r>
      <w:r w:rsidRPr="00AB1CDB">
        <w:rPr>
          <w:rFonts w:ascii="Verdana" w:hAnsi="Verdana"/>
          <w:sz w:val="18"/>
          <w:szCs w:val="18"/>
        </w:rPr>
        <w:t xml:space="preserve"> </w:t>
      </w:r>
      <w:r w:rsidRPr="00AB1CDB">
        <w:rPr>
          <w:rFonts w:ascii="Verdana" w:hAnsi="Verdana"/>
          <w:sz w:val="18"/>
          <w:szCs w:val="18"/>
          <w:lang w:val="es-ES"/>
        </w:rPr>
        <w:t xml:space="preserve">Los documentos tipo de licitación de obra pública de infraestructura de transporte serán tomados como referencia para el desarrollo de este concepto.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2" type="#_x0000_t75" style="width:11.5pt;height:11.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0847D0"/>
    <w:multiLevelType w:val="hybridMultilevel"/>
    <w:tmpl w:val="7942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E8323B"/>
    <w:multiLevelType w:val="hybridMultilevel"/>
    <w:tmpl w:val="89E6B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397DD0"/>
    <w:multiLevelType w:val="hybridMultilevel"/>
    <w:tmpl w:val="DA709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0"/>
  </w:num>
  <w:num w:numId="16" w16cid:durableId="341274352">
    <w:abstractNumId w:val="0"/>
  </w:num>
  <w:num w:numId="17" w16cid:durableId="679089576">
    <w:abstractNumId w:val="9"/>
  </w:num>
  <w:num w:numId="18" w16cid:durableId="23948561">
    <w:abstractNumId w:val="16"/>
  </w:num>
  <w:num w:numId="19" w16cid:durableId="1010373519">
    <w:abstractNumId w:val="17"/>
  </w:num>
  <w:num w:numId="20" w16cid:durableId="1290863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58A"/>
    <w:rsid w:val="00061B2A"/>
    <w:rsid w:val="00082362"/>
    <w:rsid w:val="000A683E"/>
    <w:rsid w:val="000B19B9"/>
    <w:rsid w:val="000D0334"/>
    <w:rsid w:val="000F6486"/>
    <w:rsid w:val="00125105"/>
    <w:rsid w:val="00127233"/>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5B0D"/>
    <w:rsid w:val="003E0499"/>
    <w:rsid w:val="003F3941"/>
    <w:rsid w:val="003F568F"/>
    <w:rsid w:val="00406575"/>
    <w:rsid w:val="0042722E"/>
    <w:rsid w:val="0044528D"/>
    <w:rsid w:val="00451A33"/>
    <w:rsid w:val="004536C4"/>
    <w:rsid w:val="004A1847"/>
    <w:rsid w:val="004A305D"/>
    <w:rsid w:val="004F21C4"/>
    <w:rsid w:val="004F685F"/>
    <w:rsid w:val="00521A2E"/>
    <w:rsid w:val="005566E8"/>
    <w:rsid w:val="00574867"/>
    <w:rsid w:val="00591460"/>
    <w:rsid w:val="00592628"/>
    <w:rsid w:val="005A1AA1"/>
    <w:rsid w:val="005C3777"/>
    <w:rsid w:val="005C5CDC"/>
    <w:rsid w:val="005D476C"/>
    <w:rsid w:val="006005F5"/>
    <w:rsid w:val="00610812"/>
    <w:rsid w:val="00621869"/>
    <w:rsid w:val="006219F8"/>
    <w:rsid w:val="00650FF7"/>
    <w:rsid w:val="00665D70"/>
    <w:rsid w:val="00671DAC"/>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37BDC"/>
    <w:rsid w:val="008843B6"/>
    <w:rsid w:val="00891928"/>
    <w:rsid w:val="008A446D"/>
    <w:rsid w:val="008D180B"/>
    <w:rsid w:val="008F0EA7"/>
    <w:rsid w:val="00923EEF"/>
    <w:rsid w:val="00940B7D"/>
    <w:rsid w:val="009419F9"/>
    <w:rsid w:val="00946B0F"/>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B01B1A"/>
    <w:rsid w:val="00B20DEA"/>
    <w:rsid w:val="00B4118C"/>
    <w:rsid w:val="00B72CD3"/>
    <w:rsid w:val="00B72FFF"/>
    <w:rsid w:val="00BC3D36"/>
    <w:rsid w:val="00BD7F72"/>
    <w:rsid w:val="00C04FB3"/>
    <w:rsid w:val="00C330EB"/>
    <w:rsid w:val="00C754BE"/>
    <w:rsid w:val="00C76B1C"/>
    <w:rsid w:val="00C87F37"/>
    <w:rsid w:val="00CB6357"/>
    <w:rsid w:val="00CC1B26"/>
    <w:rsid w:val="00D073E3"/>
    <w:rsid w:val="00D423A2"/>
    <w:rsid w:val="00D44CBE"/>
    <w:rsid w:val="00D520D8"/>
    <w:rsid w:val="00D63AC2"/>
    <w:rsid w:val="00D7383B"/>
    <w:rsid w:val="00DA231B"/>
    <w:rsid w:val="00DA23A0"/>
    <w:rsid w:val="00DB4D49"/>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0AA5"/>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20DEA"/>
    <w:pPr>
      <w:spacing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2Fboletin-de-relatoria-2024-iv&amp;data=05%7C02%7Ckevin.herrera%40colombiacompra.gov.co%7C37e4eb22782844861f2008dce4b3f5e8%7C7b09041e245149d08cb179d5e3d8c1be%7C0%7C0%7C638636708794708234%7CUnknown%7CTWFpbGZsb3d8eyJWIjoiMC4wLjAwMDAiLCJQIjoiV2luMzIiLCJBTiI6Ik1haWwiLCJXVCI6Mn0%3D%7C0%7C%7C%7C&amp;sdata=53%2FcEVB0TvCag7RJ2WBLpiw2%2B1cazMPSjfT9hleYjKo%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content/documentos-tipo-de-infraestructura-de-transport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openxmlformats.org/package/2006/metadata/core-properties"/>
    <ds:schemaRef ds:uri="9d85dbaf-23eb-4e57-a637-93dcacc8b1a1"/>
    <ds:schemaRef ds:uri="http://schemas.microsoft.com/office/2006/documentManagement/types"/>
    <ds:schemaRef ds:uri="http://purl.org/dc/elements/1.1/"/>
    <ds:schemaRef ds:uri="http://purl.org/dc/terms/"/>
    <ds:schemaRef ds:uri="a6cb9e4b-f1d1-4245-83ec-6cad768d538a"/>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CF667D-2F5A-48BF-B000-5A7CCA982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15820</Characters>
  <Application>Microsoft Office Word</Application>
  <DocSecurity>0</DocSecurity>
  <Lines>1054</Lines>
  <Paragraphs>551</Paragraphs>
  <ScaleCrop>false</ScaleCrop>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2024-11-05T16:27:00Z</dcterms:created>
  <dcterms:modified xsi:type="dcterms:W3CDTF">2024-11-05T16:27:00Z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