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1D5B3" w14:textId="0C581C1E" w:rsidR="00536F5E" w:rsidRPr="002A3798" w:rsidRDefault="00536F5E" w:rsidP="00536F5E">
      <w:pPr>
        <w:spacing w:after="0" w:line="240" w:lineRule="auto"/>
        <w:jc w:val="both"/>
        <w:rPr>
          <w:rFonts w:ascii="Verdana" w:eastAsia="Calibri" w:hAnsi="Verdana" w:cs="Arial"/>
          <w:b/>
          <w:bCs/>
          <w:lang w:eastAsia="es-ES_tradnl"/>
        </w:rPr>
      </w:pPr>
      <w:bookmarkStart w:id="0" w:name="_Hlk143780582"/>
      <w:r w:rsidRPr="002A3798">
        <w:rPr>
          <w:rFonts w:ascii="Verdana" w:eastAsia="Calibri" w:hAnsi="Verdana" w:cs="Arial"/>
          <w:b/>
          <w:bCs/>
          <w:lang w:eastAsia="es-ES_tradnl"/>
        </w:rPr>
        <w:t xml:space="preserve">LEY DE EMPRENDIMIENTO – Ley 2069 de 2020 – Artículo 32 – Criterios diferenciales – Emprendimientos de mujeres – Empresas de mujeres </w:t>
      </w:r>
    </w:p>
    <w:p w14:paraId="4820056F" w14:textId="77777777" w:rsidR="00536F5E" w:rsidRPr="002A3798" w:rsidRDefault="00536F5E" w:rsidP="00536F5E">
      <w:pPr>
        <w:spacing w:after="0" w:line="240" w:lineRule="auto"/>
        <w:jc w:val="both"/>
        <w:rPr>
          <w:rFonts w:ascii="Verdana" w:eastAsia="Calibri" w:hAnsi="Verdana" w:cs="Arial"/>
          <w:sz w:val="20"/>
          <w:szCs w:val="20"/>
          <w:lang w:eastAsia="es-ES_tradnl"/>
        </w:rPr>
      </w:pPr>
    </w:p>
    <w:p w14:paraId="0F7D3FE7" w14:textId="77777777" w:rsidR="00536F5E" w:rsidRPr="002A3798" w:rsidRDefault="00536F5E" w:rsidP="00536F5E">
      <w:pPr>
        <w:spacing w:after="0" w:line="240" w:lineRule="auto"/>
        <w:jc w:val="both"/>
        <w:rPr>
          <w:rFonts w:ascii="Verdana" w:eastAsia="Calibri" w:hAnsi="Verdana" w:cs="Arial"/>
          <w:sz w:val="20"/>
          <w:szCs w:val="20"/>
          <w:lang w:eastAsia="es-ES_tradnl"/>
        </w:rPr>
      </w:pPr>
      <w:r w:rsidRPr="002A3798">
        <w:rPr>
          <w:rFonts w:ascii="Verdana" w:eastAsia="Calibri" w:hAnsi="Verdana" w:cs="Arial"/>
          <w:sz w:val="20"/>
          <w:szCs w:val="20"/>
          <w:lang w:eastAsia="es-ES_tradnl"/>
        </w:rPr>
        <w:t xml:space="preserve">[…] Particularmente, el artículo 32 </w:t>
      </w:r>
      <w:r w:rsidRPr="002A3798">
        <w:rPr>
          <w:rFonts w:ascii="Verdana" w:eastAsia="Calibri" w:hAnsi="Verdana" w:cs="Arial"/>
          <w:i/>
          <w:sz w:val="20"/>
          <w:szCs w:val="20"/>
          <w:lang w:eastAsia="es-ES_tradnl"/>
        </w:rPr>
        <w:t>ibidem</w:t>
      </w:r>
      <w:r w:rsidRPr="002A3798">
        <w:rPr>
          <w:rFonts w:ascii="Verdana" w:eastAsia="Calibri" w:hAnsi="Verdana" w:cs="Arial"/>
          <w:sz w:val="20"/>
          <w:szCs w:val="20"/>
          <w:lang w:eastAsia="es-ES_tradnl"/>
        </w:rPr>
        <w:t xml:space="preserve"> regula criterios diferenciales y puntajes adicionales para los “emprendimientos y empresas de mujeres” en el sistema de compras y contratación pública.</w:t>
      </w:r>
    </w:p>
    <w:p w14:paraId="53094CD2" w14:textId="77777777" w:rsidR="00536F5E" w:rsidRDefault="00536F5E" w:rsidP="00536F5E">
      <w:pPr>
        <w:spacing w:after="0" w:line="240" w:lineRule="auto"/>
        <w:jc w:val="both"/>
        <w:rPr>
          <w:rFonts w:ascii="Verdana" w:eastAsia="Calibri" w:hAnsi="Verdana" w:cs="Arial"/>
          <w:sz w:val="20"/>
          <w:szCs w:val="20"/>
          <w:lang w:eastAsia="es-ES_tradnl"/>
        </w:rPr>
      </w:pPr>
    </w:p>
    <w:p w14:paraId="26D4EE34" w14:textId="77777777" w:rsidR="00536F5E" w:rsidRDefault="00536F5E" w:rsidP="00536F5E">
      <w:pPr>
        <w:spacing w:after="0" w:line="240" w:lineRule="auto"/>
        <w:jc w:val="both"/>
        <w:rPr>
          <w:rFonts w:ascii="Verdana" w:eastAsia="Calibri" w:hAnsi="Verdana" w:cs="Arial"/>
          <w:sz w:val="20"/>
          <w:szCs w:val="20"/>
          <w:lang w:eastAsia="es-ES_tradnl"/>
        </w:rPr>
      </w:pPr>
      <w:r w:rsidRPr="002A3798">
        <w:rPr>
          <w:rFonts w:ascii="Verdana" w:eastAsia="Calibri" w:hAnsi="Verdana" w:cs="Arial"/>
          <w:sz w:val="20"/>
          <w:szCs w:val="20"/>
          <w:lang w:eastAsia="es-ES_tradnl"/>
        </w:rPr>
        <w:t>[…]</w:t>
      </w:r>
    </w:p>
    <w:p w14:paraId="51C31988" w14:textId="77777777" w:rsidR="00536F5E" w:rsidRPr="002A3798" w:rsidRDefault="00536F5E" w:rsidP="00536F5E">
      <w:pPr>
        <w:spacing w:after="0" w:line="240" w:lineRule="auto"/>
        <w:jc w:val="both"/>
        <w:rPr>
          <w:rFonts w:ascii="Verdana" w:eastAsia="Calibri" w:hAnsi="Verdana" w:cs="Arial"/>
          <w:sz w:val="20"/>
          <w:szCs w:val="20"/>
          <w:lang w:eastAsia="es-ES_tradnl"/>
        </w:rPr>
      </w:pPr>
    </w:p>
    <w:p w14:paraId="44B74BAD" w14:textId="77777777" w:rsidR="00536F5E" w:rsidRPr="002A3798" w:rsidRDefault="00536F5E" w:rsidP="00536F5E">
      <w:pPr>
        <w:spacing w:after="0" w:line="240" w:lineRule="auto"/>
        <w:jc w:val="both"/>
        <w:rPr>
          <w:rFonts w:ascii="Verdana" w:eastAsia="Calibri" w:hAnsi="Verdana" w:cs="Arial"/>
          <w:sz w:val="20"/>
          <w:szCs w:val="20"/>
          <w:lang w:val="es-ES_tradnl" w:eastAsia="es-ES_tradnl"/>
        </w:rPr>
      </w:pPr>
      <w:r w:rsidRPr="002A3798">
        <w:rPr>
          <w:rFonts w:ascii="Verdana" w:eastAsia="Calibri" w:hAnsi="Verdana" w:cs="Arial"/>
          <w:sz w:val="20"/>
          <w:szCs w:val="20"/>
          <w:lang w:val="es-ES_tradnl" w:eastAsia="es-ES_tradnl"/>
        </w:rPr>
        <w:t xml:space="preserve">De esta manera, los denominados “criterios diferenciales” del artículo señalado –que incluyen tanto los “requisitos diferenciales” como los “puntajes adicionales”– aplican a “[…] los procesos de licitación pública, selección abreviada de menor cuantía y concurso de méritos […]”, excluyendo las demás modalidades de selección del artículo 2 de la Ley 1150 de 2007. Así mismo, sin distinciones ulteriores, la norma en comento también se extiende a todos los procedimientos que realicen las Entidades Estatales excluidas de la Ley 80 de 1993.     </w:t>
      </w:r>
    </w:p>
    <w:p w14:paraId="46DEFA73" w14:textId="77777777" w:rsidR="00536F5E" w:rsidRPr="002A3798" w:rsidRDefault="00536F5E" w:rsidP="00536F5E">
      <w:pPr>
        <w:spacing w:after="0" w:line="240" w:lineRule="auto"/>
        <w:jc w:val="both"/>
        <w:rPr>
          <w:rFonts w:ascii="Verdana" w:eastAsia="Calibri" w:hAnsi="Verdana" w:cs="Arial"/>
          <w:sz w:val="20"/>
          <w:szCs w:val="20"/>
          <w:lang w:val="es-ES_tradnl" w:eastAsia="es-ES_tradnl"/>
        </w:rPr>
      </w:pPr>
    </w:p>
    <w:p w14:paraId="733AD601" w14:textId="77777777" w:rsidR="00536F5E" w:rsidRPr="002A3798" w:rsidRDefault="00536F5E" w:rsidP="00536F5E">
      <w:pPr>
        <w:spacing w:after="0" w:line="240" w:lineRule="auto"/>
        <w:jc w:val="both"/>
        <w:rPr>
          <w:rFonts w:ascii="Verdana" w:eastAsia="Calibri" w:hAnsi="Verdana" w:cs="Arial"/>
          <w:b/>
          <w:bCs/>
          <w:lang w:eastAsia="es-ES_tradnl"/>
        </w:rPr>
      </w:pPr>
      <w:r w:rsidRPr="002A3798">
        <w:rPr>
          <w:rFonts w:ascii="Verdana" w:eastAsia="Calibri" w:hAnsi="Verdana" w:cs="Arial"/>
          <w:b/>
          <w:bCs/>
          <w:lang w:eastAsia="es-ES_tradnl"/>
        </w:rPr>
        <w:t xml:space="preserve">DECRETO 1860 DE 2021 – Vigencia </w:t>
      </w:r>
    </w:p>
    <w:p w14:paraId="3330E877" w14:textId="77777777" w:rsidR="00536F5E" w:rsidRDefault="00536F5E" w:rsidP="00536F5E">
      <w:pPr>
        <w:spacing w:after="0" w:line="240" w:lineRule="auto"/>
        <w:jc w:val="both"/>
        <w:rPr>
          <w:rFonts w:ascii="Verdana" w:eastAsia="Calibri" w:hAnsi="Verdana" w:cs="Arial"/>
          <w:sz w:val="20"/>
          <w:szCs w:val="20"/>
          <w:lang w:val="es-ES_tradnl" w:eastAsia="es-ES_tradnl"/>
        </w:rPr>
      </w:pPr>
    </w:p>
    <w:p w14:paraId="7652D9B2" w14:textId="77777777" w:rsidR="00536F5E" w:rsidRPr="002A3798" w:rsidRDefault="00536F5E" w:rsidP="00536F5E">
      <w:pPr>
        <w:spacing w:after="0" w:line="240" w:lineRule="auto"/>
        <w:jc w:val="both"/>
        <w:rPr>
          <w:rFonts w:ascii="Verdana" w:eastAsia="Calibri" w:hAnsi="Verdana" w:cs="Arial"/>
          <w:sz w:val="20"/>
          <w:szCs w:val="20"/>
          <w:lang w:val="es-ES_tradnl" w:eastAsia="es-ES_tradnl"/>
        </w:rPr>
      </w:pPr>
      <w:r w:rsidRPr="002A3798">
        <w:rPr>
          <w:rFonts w:ascii="Verdana" w:eastAsia="Calibri" w:hAnsi="Verdana" w:cs="Arial"/>
          <w:sz w:val="20"/>
          <w:szCs w:val="20"/>
          <w:lang w:val="es-ES_tradnl" w:eastAsia="es-ES_tradnl"/>
        </w:rPr>
        <w:t xml:space="preserve">No obstante, el artículo 32 de la Ley 2069 de 2020 alude a la necesidad del desarrollo normativo posterior. Al respecto, el parágrafo dispone que “La definición de emprendimientos y empresas de mujeres se reglamentará por el gobierno nacional”. En ese sentido, la aplicación de criterios diferenciales en favor de emprendimientos y empresas de mujeres estaba condicionada por el ejercicio de la potestad reglamentaria, en orden de establecer la regulación en marco de la cual las Entidades Estatales deben aplicar los criterios diferenciales establecidos en el artículo 32 de la Ley 2069 de 2020. </w:t>
      </w:r>
    </w:p>
    <w:p w14:paraId="637671E8" w14:textId="77777777" w:rsidR="00536F5E" w:rsidRDefault="00536F5E" w:rsidP="00536F5E">
      <w:pPr>
        <w:spacing w:after="0" w:line="240" w:lineRule="auto"/>
        <w:jc w:val="both"/>
        <w:rPr>
          <w:rFonts w:ascii="Verdana" w:eastAsia="Calibri" w:hAnsi="Verdana" w:cs="Arial"/>
          <w:sz w:val="20"/>
          <w:szCs w:val="20"/>
          <w:lang w:val="es-ES_tradnl" w:eastAsia="es-ES_tradnl"/>
        </w:rPr>
      </w:pPr>
    </w:p>
    <w:p w14:paraId="51FCAF04" w14:textId="77777777" w:rsidR="00536F5E" w:rsidRPr="002A3798" w:rsidRDefault="00536F5E" w:rsidP="00536F5E">
      <w:pPr>
        <w:spacing w:after="0" w:line="240" w:lineRule="auto"/>
        <w:jc w:val="both"/>
        <w:rPr>
          <w:rFonts w:ascii="Verdana" w:eastAsia="Calibri" w:hAnsi="Verdana" w:cs="Arial"/>
          <w:sz w:val="20"/>
          <w:szCs w:val="20"/>
          <w:lang w:val="es-ES_tradnl" w:eastAsia="es-ES_tradnl"/>
        </w:rPr>
      </w:pPr>
      <w:r w:rsidRPr="002A3798">
        <w:rPr>
          <w:rFonts w:ascii="Verdana" w:eastAsia="Calibri" w:hAnsi="Verdana" w:cs="Arial"/>
          <w:sz w:val="20"/>
          <w:szCs w:val="20"/>
          <w:lang w:val="es-ES_tradnl" w:eastAsia="es-ES_tradnl"/>
        </w:rPr>
        <w:t xml:space="preserve">En este contexto, el Gobierno Nacional expidió el Decreto 1860 de 2021 “Por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 En lo relativo al artículo 32 de la Ley 2069 de 2020, el artículo 3 del Decreto 1860 de 2021 adiciona los artículos 2.2.1.2.4.2.14 y 2.2.1.2.4.2.15 a la Subsección 2 de la Sección 4 del Capítulo 2 del Título 1 de la Parte 2 del Libro 2 del Decreto 1082 de 2015. La primera de las normas adicionadas consagra la definición de emprendimientos y empresas de mujeres, mientras que la segunda establece los criterios diferenciales incluyendo los puntajes adicionales y regula su aplicación. </w:t>
      </w:r>
    </w:p>
    <w:p w14:paraId="65D30F35" w14:textId="77777777" w:rsidR="00536F5E" w:rsidRPr="002A3798" w:rsidRDefault="00536F5E" w:rsidP="00536F5E">
      <w:pPr>
        <w:spacing w:after="0" w:line="240" w:lineRule="auto"/>
        <w:jc w:val="both"/>
        <w:rPr>
          <w:rFonts w:ascii="Verdana" w:eastAsia="Calibri" w:hAnsi="Verdana" w:cs="Arial"/>
          <w:sz w:val="20"/>
          <w:szCs w:val="20"/>
          <w:lang w:val="es-ES_tradnl" w:eastAsia="es-ES_tradnl"/>
        </w:rPr>
      </w:pPr>
    </w:p>
    <w:p w14:paraId="6CFB4D87" w14:textId="77777777" w:rsidR="00536F5E" w:rsidRPr="002A3798" w:rsidRDefault="00536F5E" w:rsidP="00536F5E">
      <w:pPr>
        <w:spacing w:after="0" w:line="240" w:lineRule="auto"/>
        <w:jc w:val="both"/>
        <w:rPr>
          <w:rFonts w:ascii="Verdana" w:eastAsia="Calibri" w:hAnsi="Verdana" w:cs="Arial"/>
          <w:b/>
          <w:bCs/>
          <w:lang w:val="es-ES_tradnl" w:eastAsia="es-ES_tradnl"/>
        </w:rPr>
      </w:pPr>
      <w:r w:rsidRPr="002A3798">
        <w:rPr>
          <w:rFonts w:ascii="Verdana" w:eastAsia="Calibri" w:hAnsi="Verdana" w:cs="Arial"/>
          <w:b/>
          <w:bCs/>
          <w:lang w:eastAsia="es-ES_tradnl"/>
        </w:rPr>
        <w:t xml:space="preserve">DECRETO 1860 DE 2021 – Emprendimientos y empresas de mujeres – Definición – Artículo 2.2.1.2.4.2.14 – Numeral 1 – </w:t>
      </w:r>
      <w:r w:rsidRPr="002A3798">
        <w:rPr>
          <w:rFonts w:ascii="Verdana" w:eastAsia="Calibri" w:hAnsi="Verdana" w:cs="Arial"/>
          <w:b/>
          <w:bCs/>
          <w:lang w:val="es-ES_tradnl" w:eastAsia="es-ES_tradnl"/>
        </w:rPr>
        <w:t>Acreditación</w:t>
      </w:r>
    </w:p>
    <w:p w14:paraId="7FDA15BF" w14:textId="77777777" w:rsidR="00536F5E" w:rsidRDefault="00536F5E" w:rsidP="00536F5E">
      <w:pPr>
        <w:spacing w:after="0" w:line="240" w:lineRule="auto"/>
        <w:jc w:val="both"/>
        <w:rPr>
          <w:rFonts w:ascii="Verdana" w:eastAsia="Calibri" w:hAnsi="Verdana" w:cs="Arial"/>
          <w:sz w:val="20"/>
          <w:szCs w:val="20"/>
          <w:lang w:eastAsia="es-ES_tradnl"/>
        </w:rPr>
      </w:pPr>
    </w:p>
    <w:p w14:paraId="6C813B31" w14:textId="77777777" w:rsidR="00536F5E" w:rsidRPr="002A3798" w:rsidRDefault="00536F5E" w:rsidP="00536F5E">
      <w:pPr>
        <w:spacing w:after="0" w:line="240" w:lineRule="auto"/>
        <w:jc w:val="both"/>
        <w:rPr>
          <w:rFonts w:ascii="Verdana" w:eastAsia="Calibri" w:hAnsi="Verdana" w:cs="Arial"/>
          <w:sz w:val="20"/>
          <w:szCs w:val="20"/>
          <w:lang w:val="es-ES_tradnl" w:eastAsia="es-ES_tradnl"/>
        </w:rPr>
      </w:pPr>
      <w:r w:rsidRPr="002A3798">
        <w:rPr>
          <w:rFonts w:ascii="Verdana" w:eastAsia="Calibri" w:hAnsi="Verdana" w:cs="Arial"/>
          <w:sz w:val="20"/>
          <w:szCs w:val="20"/>
          <w:lang w:eastAsia="es-ES_tradnl"/>
        </w:rPr>
        <w:t xml:space="preserve">El </w:t>
      </w:r>
      <w:r w:rsidRPr="002A3798">
        <w:rPr>
          <w:rFonts w:ascii="Verdana" w:eastAsia="Times New Roman" w:hAnsi="Verdana" w:cs="Arial"/>
          <w:sz w:val="20"/>
          <w:szCs w:val="20"/>
          <w:lang w:val="es-ES_tradnl" w:eastAsia="es-ES"/>
        </w:rPr>
        <w:t xml:space="preserve">numeral primero establece que </w:t>
      </w:r>
      <w:r w:rsidRPr="002A3798">
        <w:rPr>
          <w:rFonts w:ascii="Verdana" w:eastAsia="Calibri" w:hAnsi="Verdana" w:cs="Arial"/>
          <w:sz w:val="20"/>
          <w:szCs w:val="20"/>
          <w:lang w:val="es-ES_tradnl"/>
        </w:rPr>
        <w:t xml:space="preserve">una sociedad podrá ser considerada como un emprendimiento o empresa de mujeres cuando más del cincuenta por ciento (50%) de sus acciones, partes de interés o cuotas de participación, pertenezcan a mujeres. Sin embargo, el supuesto de hecho de la norma transcrita, adicionalmente, exige que la titularidad de tal participación haya pertenecido a mujeres, por lo menos, durante el año anterior a la fecha de cierre del proceso de selección. </w:t>
      </w:r>
    </w:p>
    <w:p w14:paraId="34C8BBEA" w14:textId="77777777" w:rsidR="00536F5E" w:rsidRDefault="00536F5E" w:rsidP="00536F5E">
      <w:pPr>
        <w:spacing w:after="0" w:line="240" w:lineRule="auto"/>
        <w:jc w:val="both"/>
        <w:rPr>
          <w:rFonts w:ascii="Verdana" w:eastAsia="Calibri" w:hAnsi="Verdana" w:cs="Arial"/>
          <w:sz w:val="20"/>
          <w:szCs w:val="20"/>
          <w:lang w:val="es-ES"/>
        </w:rPr>
      </w:pPr>
    </w:p>
    <w:p w14:paraId="13DDD641" w14:textId="77777777" w:rsidR="00536F5E" w:rsidRPr="002A3798" w:rsidRDefault="00536F5E" w:rsidP="00536F5E">
      <w:pPr>
        <w:spacing w:after="0" w:line="240" w:lineRule="auto"/>
        <w:jc w:val="both"/>
        <w:rPr>
          <w:rFonts w:ascii="Verdana" w:eastAsia="Calibri" w:hAnsi="Verdana" w:cs="Arial"/>
          <w:sz w:val="20"/>
          <w:szCs w:val="20"/>
          <w:lang w:eastAsia="es-ES"/>
        </w:rPr>
      </w:pPr>
      <w:r w:rsidRPr="002A3798">
        <w:rPr>
          <w:rFonts w:ascii="Verdana" w:eastAsia="Calibri" w:hAnsi="Verdana" w:cs="Arial"/>
          <w:sz w:val="20"/>
          <w:szCs w:val="20"/>
          <w:lang w:val="es-ES"/>
        </w:rPr>
        <w:lastRenderedPageBreak/>
        <w:t>Esto quiere decir que, no basta con que la participación en una sociedad sea mayoritariamente de mujeres para que sea considerada como un emprendimiento o empresa a los que se refiere la norma, sino que además es necesario que dicha participación mayoritaria se haya mantenido como mínimo durante el periodo de un (1) año, contado a partir de la fecha de cierre del proceso de selección. De esta manera, el primer criterio establecido en la norma para definir los emprendimientos y empresas de mujeres deja por fuera de dicha categoría a aquellas sociedades que, a pesar de contar con la participación mayoritaria de mujeres, no cuenten con el requerimiento del tiempo mínimo de un (1) año.</w:t>
      </w:r>
    </w:p>
    <w:p w14:paraId="2A58FF06" w14:textId="2423E850" w:rsidR="00536F5E" w:rsidRDefault="00536F5E">
      <w:pPr>
        <w:rPr>
          <w:rFonts w:ascii="Verdana" w:hAnsi="Verdana"/>
        </w:rPr>
      </w:pPr>
      <w:r>
        <w:rPr>
          <w:rFonts w:ascii="Verdana" w:hAnsi="Verdana"/>
        </w:rPr>
        <w:br w:type="page"/>
      </w:r>
    </w:p>
    <w:p w14:paraId="7D9661EB" w14:textId="77777777" w:rsidR="00FC59CF" w:rsidRPr="00F345AB" w:rsidRDefault="00FC59CF" w:rsidP="00FC59CF">
      <w:pPr>
        <w:spacing w:after="0" w:line="240" w:lineRule="auto"/>
        <w:rPr>
          <w:rFonts w:ascii="Verdana" w:eastAsia="Geomanist Light" w:hAnsi="Verdana" w:cs="Arial"/>
          <w:color w:val="201F1E"/>
          <w:lang w:val="es-MX"/>
        </w:rPr>
      </w:pPr>
      <w:r w:rsidRPr="00F345AB">
        <w:rPr>
          <w:rFonts w:ascii="Verdana" w:eastAsia="Geomanist Light" w:hAnsi="Verdana" w:cs="Arial"/>
          <w:color w:val="000000" w:themeColor="text1"/>
          <w:lang w:val="es-MX"/>
        </w:rPr>
        <w:lastRenderedPageBreak/>
        <w:t>Bogotá D.C., </w:t>
      </w:r>
      <w:r w:rsidRPr="00F345AB">
        <w:rPr>
          <w:rFonts w:ascii="Verdana" w:eastAsia="Geomanist Light" w:hAnsi="Verdana" w:cs="Arial"/>
          <w:color w:val="201F1E"/>
          <w:lang w:val="es-MX"/>
        </w:rPr>
        <w:t>[Día] de [Mes.NombreCapitalizado] de [Año]</w:t>
      </w:r>
    </w:p>
    <w:p w14:paraId="3A656106" w14:textId="7996E05E" w:rsidR="004C0691" w:rsidRPr="00FC59CF" w:rsidRDefault="004C0691" w:rsidP="00722C90">
      <w:pPr>
        <w:spacing w:after="0" w:line="240" w:lineRule="auto"/>
        <w:jc w:val="right"/>
        <w:rPr>
          <w:rFonts w:ascii="Verdana" w:eastAsia="Calibri" w:hAnsi="Verdana" w:cs="Arial"/>
          <w:lang w:val="es-MX"/>
        </w:rPr>
      </w:pPr>
    </w:p>
    <w:p w14:paraId="0C72C976" w14:textId="77777777" w:rsidR="00D818FA" w:rsidRPr="005F6D0C" w:rsidRDefault="00D818FA" w:rsidP="00D818FA">
      <w:pPr>
        <w:spacing w:after="0" w:line="240" w:lineRule="auto"/>
        <w:jc w:val="both"/>
        <w:rPr>
          <w:rFonts w:ascii="Verdana" w:eastAsia="Calibri" w:hAnsi="Verdana" w:cs="Arial"/>
          <w:lang w:val="es-ES" w:eastAsia="es-ES"/>
        </w:rPr>
      </w:pPr>
      <w:r w:rsidRPr="005F6D0C">
        <w:rPr>
          <w:rFonts w:ascii="Verdana" w:eastAsia="Calibri" w:hAnsi="Verdana" w:cs="Arial"/>
          <w:lang w:val="es-ES" w:eastAsia="es-ES"/>
        </w:rPr>
        <w:t>Señora</w:t>
      </w:r>
    </w:p>
    <w:p w14:paraId="2AA77CED" w14:textId="77777777" w:rsidR="00D818FA" w:rsidRPr="005F6D0C" w:rsidRDefault="00D818FA" w:rsidP="00D818FA">
      <w:pPr>
        <w:spacing w:after="0" w:line="240" w:lineRule="auto"/>
        <w:rPr>
          <w:rFonts w:ascii="Verdana" w:eastAsia="Calibri" w:hAnsi="Verdana" w:cs="Arial"/>
          <w:b/>
          <w:lang w:val="es-ES" w:eastAsia="es-ES"/>
        </w:rPr>
      </w:pPr>
      <w:r w:rsidRPr="005F6D0C">
        <w:rPr>
          <w:rFonts w:ascii="Verdana" w:eastAsia="Calibri" w:hAnsi="Verdana" w:cs="Arial"/>
          <w:b/>
          <w:lang w:val="es-ES" w:eastAsia="es-ES"/>
        </w:rPr>
        <w:t>Claudia Liliana Sierra Herrera</w:t>
      </w:r>
    </w:p>
    <w:p w14:paraId="76704764" w14:textId="77777777" w:rsidR="00D818FA" w:rsidRPr="005F6D0C" w:rsidRDefault="00D818FA" w:rsidP="00D818FA">
      <w:pPr>
        <w:spacing w:after="0" w:line="240" w:lineRule="auto"/>
        <w:rPr>
          <w:rFonts w:ascii="Verdana" w:eastAsia="Calibri" w:hAnsi="Verdana" w:cs="Arial"/>
          <w:b/>
          <w:bCs/>
          <w:lang w:val="es-ES" w:eastAsia="es-ES"/>
        </w:rPr>
      </w:pPr>
      <w:r w:rsidRPr="005F6D0C">
        <w:rPr>
          <w:rFonts w:ascii="Verdana" w:eastAsia="Calibri" w:hAnsi="Verdana" w:cs="Arial"/>
          <w:lang w:val="es-ES" w:eastAsia="es-ES"/>
        </w:rPr>
        <w:t>Bogotá D.C.</w:t>
      </w:r>
    </w:p>
    <w:p w14:paraId="1099821A" w14:textId="40D4E31A" w:rsidR="004C0691" w:rsidRPr="00676B96" w:rsidRDefault="004C0691" w:rsidP="004C0691">
      <w:pPr>
        <w:spacing w:after="0" w:line="240" w:lineRule="auto"/>
        <w:rPr>
          <w:rFonts w:ascii="Verdana" w:eastAsia="Calibri" w:hAnsi="Verdana" w:cs="Arial"/>
          <w:b/>
          <w:bCs/>
          <w:lang w:val="es-ES" w:eastAsia="es-ES"/>
        </w:rPr>
      </w:pPr>
      <w:r w:rsidRPr="00676B96">
        <w:rPr>
          <w:rFonts w:ascii="Verdana" w:eastAsia="Calibri" w:hAnsi="Verdana" w:cs="Arial"/>
          <w:lang w:val="es-ES" w:eastAsia="es-ES"/>
        </w:rPr>
        <w:t>Ciudad</w:t>
      </w:r>
    </w:p>
    <w:p w14:paraId="6C20DF48" w14:textId="77777777" w:rsidR="004C0691" w:rsidRDefault="004C0691" w:rsidP="004C0691">
      <w:pPr>
        <w:spacing w:after="0" w:line="240" w:lineRule="auto"/>
        <w:rPr>
          <w:rFonts w:ascii="Verdana" w:eastAsia="Calibri" w:hAnsi="Verdana" w:cs="Arial"/>
          <w:b/>
          <w:bCs/>
          <w:lang w:val="es-ES_tradnl" w:eastAsia="es-ES_tradnl"/>
        </w:rPr>
      </w:pPr>
    </w:p>
    <w:p w14:paraId="50B72177" w14:textId="743D8FF3" w:rsidR="00F729A1" w:rsidRPr="00676B96" w:rsidRDefault="00F729A1" w:rsidP="00F729A1">
      <w:pPr>
        <w:spacing w:after="0" w:line="240" w:lineRule="auto"/>
        <w:jc w:val="right"/>
        <w:rPr>
          <w:rFonts w:ascii="Verdana" w:eastAsia="Calibri" w:hAnsi="Verdana" w:cs="Arial"/>
          <w:b/>
          <w:bCs/>
          <w:lang w:val="es-ES_tradnl" w:eastAsia="es-ES_tradnl"/>
        </w:rPr>
      </w:pPr>
      <w:r w:rsidRPr="00F729A1">
        <w:rPr>
          <w:rFonts w:ascii="Verdana" w:eastAsia="Calibri" w:hAnsi="Verdana" w:cs="Arial"/>
          <w:b/>
          <w:bCs/>
          <w:lang w:val="es-ES_tradnl" w:eastAsia="es-ES_tradnl"/>
        </w:rPr>
        <w:drawing>
          <wp:inline distT="0" distB="0" distL="0" distR="0" wp14:anchorId="78C853F6" wp14:editId="3849F9C8">
            <wp:extent cx="3467400" cy="1005927"/>
            <wp:effectExtent l="0" t="0" r="0" b="3810"/>
            <wp:docPr id="9065119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51199" name=""/>
                    <pic:cNvPicPr/>
                  </pic:nvPicPr>
                  <pic:blipFill>
                    <a:blip r:embed="rId10"/>
                    <a:stretch>
                      <a:fillRect/>
                    </a:stretch>
                  </pic:blipFill>
                  <pic:spPr>
                    <a:xfrm>
                      <a:off x="0" y="0"/>
                      <a:ext cx="3467400" cy="1005927"/>
                    </a:xfrm>
                    <a:prstGeom prst="rect">
                      <a:avLst/>
                    </a:prstGeom>
                  </pic:spPr>
                </pic:pic>
              </a:graphicData>
            </a:graphic>
          </wp:inline>
        </w:drawing>
      </w:r>
    </w:p>
    <w:p w14:paraId="4422C411" w14:textId="77777777" w:rsidR="004C0691" w:rsidRPr="00676B96" w:rsidRDefault="004C0691" w:rsidP="004C0691">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4C0691" w:rsidRPr="00676B96" w14:paraId="0841F942" w14:textId="77777777" w:rsidTr="002D7ACD">
        <w:trPr>
          <w:trHeight w:val="369"/>
        </w:trPr>
        <w:tc>
          <w:tcPr>
            <w:tcW w:w="2689" w:type="dxa"/>
          </w:tcPr>
          <w:p w14:paraId="04C8A436" w14:textId="77777777" w:rsidR="004C0691" w:rsidRPr="00676B96" w:rsidRDefault="004C0691" w:rsidP="002D7ACD">
            <w:pPr>
              <w:jc w:val="both"/>
              <w:rPr>
                <w:rFonts w:ascii="Verdana" w:eastAsia="Calibri" w:hAnsi="Verdana" w:cs="Arial"/>
                <w:b/>
                <w:bCs/>
                <w:lang w:val="es-ES_tradnl" w:eastAsia="es-ES_tradnl"/>
              </w:rPr>
            </w:pPr>
          </w:p>
        </w:tc>
        <w:tc>
          <w:tcPr>
            <w:tcW w:w="6100" w:type="dxa"/>
          </w:tcPr>
          <w:p w14:paraId="20504B8A" w14:textId="0977A5E5" w:rsidR="004C0691" w:rsidRPr="00676B96" w:rsidRDefault="004C0691" w:rsidP="002D7ACD">
            <w:pPr>
              <w:jc w:val="both"/>
              <w:rPr>
                <w:rFonts w:ascii="Verdana" w:eastAsia="Calibri" w:hAnsi="Verdana" w:cs="Arial"/>
                <w:b/>
                <w:bCs/>
                <w:lang w:val="es-ES" w:eastAsia="es-ES"/>
              </w:rPr>
            </w:pPr>
            <w:r w:rsidRPr="00676B96">
              <w:rPr>
                <w:rFonts w:ascii="Verdana" w:eastAsia="Calibri" w:hAnsi="Verdana" w:cs="Arial"/>
                <w:b/>
                <w:bCs/>
                <w:lang w:val="es-ES" w:eastAsia="es-ES"/>
              </w:rPr>
              <w:t xml:space="preserve">Concepto C- </w:t>
            </w:r>
            <w:r w:rsidR="00D818FA">
              <w:rPr>
                <w:rFonts w:ascii="Verdana" w:eastAsia="Calibri" w:hAnsi="Verdana" w:cs="Arial"/>
                <w:b/>
                <w:bCs/>
                <w:lang w:val="es-ES" w:eastAsia="es-ES"/>
              </w:rPr>
              <w:t>565</w:t>
            </w:r>
            <w:r w:rsidRPr="00676B96">
              <w:rPr>
                <w:rFonts w:ascii="Verdana" w:eastAsia="Calibri" w:hAnsi="Verdana" w:cs="Arial"/>
                <w:b/>
                <w:bCs/>
                <w:lang w:val="es-ES" w:eastAsia="es-ES"/>
              </w:rPr>
              <w:t xml:space="preserve"> de 2024</w:t>
            </w:r>
          </w:p>
          <w:p w14:paraId="436EAF25" w14:textId="77777777" w:rsidR="004C0691" w:rsidRPr="00676B96" w:rsidRDefault="004C0691" w:rsidP="002D7ACD">
            <w:pPr>
              <w:jc w:val="both"/>
              <w:rPr>
                <w:rFonts w:ascii="Verdana" w:eastAsia="Calibri" w:hAnsi="Verdana" w:cs="Arial"/>
                <w:b/>
                <w:bCs/>
                <w:lang w:val="es-ES" w:eastAsia="es-ES"/>
              </w:rPr>
            </w:pPr>
          </w:p>
        </w:tc>
      </w:tr>
      <w:tr w:rsidR="00D818FA" w:rsidRPr="00676B96" w14:paraId="2C3FE947" w14:textId="77777777" w:rsidTr="00D818FA">
        <w:trPr>
          <w:trHeight w:val="884"/>
        </w:trPr>
        <w:tc>
          <w:tcPr>
            <w:tcW w:w="2689" w:type="dxa"/>
            <w:shd w:val="clear" w:color="auto" w:fill="auto"/>
          </w:tcPr>
          <w:p w14:paraId="66041225" w14:textId="77777777" w:rsidR="00D818FA" w:rsidRPr="00676B96" w:rsidRDefault="00D818FA" w:rsidP="00D818FA">
            <w:pPr>
              <w:jc w:val="both"/>
              <w:rPr>
                <w:rFonts w:ascii="Verdana" w:eastAsia="Calibri" w:hAnsi="Verdana" w:cs="Arial"/>
                <w:lang w:val="es-ES_tradnl" w:eastAsia="es-ES_tradnl"/>
              </w:rPr>
            </w:pPr>
            <w:r w:rsidRPr="00676B96">
              <w:rPr>
                <w:rFonts w:ascii="Verdana" w:eastAsia="Calibri" w:hAnsi="Verdana" w:cs="Arial"/>
                <w:b/>
                <w:lang w:val="es-ES_tradnl" w:eastAsia="es-ES_tradnl"/>
              </w:rPr>
              <w:t>Temas:</w:t>
            </w:r>
            <w:r w:rsidRPr="00676B96">
              <w:rPr>
                <w:rFonts w:ascii="Verdana" w:eastAsia="Calibri" w:hAnsi="Verdana" w:cs="Arial"/>
                <w:lang w:val="es-ES_tradnl" w:eastAsia="es-ES_tradnl"/>
              </w:rPr>
              <w:t xml:space="preserve">                   </w:t>
            </w:r>
          </w:p>
        </w:tc>
        <w:tc>
          <w:tcPr>
            <w:tcW w:w="6100" w:type="dxa"/>
            <w:shd w:val="clear" w:color="auto" w:fill="auto"/>
          </w:tcPr>
          <w:p w14:paraId="5579FBB7" w14:textId="77777777" w:rsidR="00D818FA" w:rsidRPr="005F6D0C" w:rsidRDefault="00D818FA" w:rsidP="00D818FA">
            <w:pPr>
              <w:spacing w:line="276" w:lineRule="auto"/>
              <w:jc w:val="both"/>
              <w:rPr>
                <w:rFonts w:ascii="Verdana" w:eastAsia="Calibri" w:hAnsi="Verdana" w:cs="Arial"/>
                <w:lang w:val="es-ES" w:eastAsia="es-ES"/>
              </w:rPr>
            </w:pPr>
            <w:r w:rsidRPr="005F6D0C">
              <w:rPr>
                <w:rFonts w:ascii="Verdana" w:eastAsia="Calibri" w:hAnsi="Verdana" w:cs="Arial"/>
                <w:lang w:val="es-ES" w:eastAsia="es-ES"/>
              </w:rPr>
              <w:t xml:space="preserve">LEY DE EMPRENDIMIENTO – Ley 2069 de 2020– Finalidad / LEY DE EMPRENDIMIENTO – Ley 2069 de 2020 – Artículo 32 – Criterios diferenciales – Emprendimientos de Mujeres – Empresas de mujeres –Decreto 1860 de 2021 / DECRETO 1860 DE 2021 – Emprendimientos y empresas de mujeres – Definición – Artículo 2.2.1.2.4.2.14 – Numeral 3 – Persona natural / EMPRENDIMIENTOS Y EMPRESAS DE MUJERES – </w:t>
            </w:r>
          </w:p>
          <w:p w14:paraId="37A767A5" w14:textId="77777777" w:rsidR="00D818FA" w:rsidRPr="00676B96" w:rsidRDefault="00D818FA" w:rsidP="00D818FA">
            <w:pPr>
              <w:jc w:val="both"/>
              <w:rPr>
                <w:rFonts w:ascii="Verdana" w:eastAsia="Calibri" w:hAnsi="Verdana" w:cs="Arial"/>
                <w:lang w:val="es-ES_tradnl" w:eastAsia="es-ES"/>
              </w:rPr>
            </w:pPr>
          </w:p>
        </w:tc>
      </w:tr>
      <w:tr w:rsidR="00D818FA" w:rsidRPr="00676B96" w14:paraId="5EC38B50" w14:textId="77777777" w:rsidTr="002D7ACD">
        <w:tc>
          <w:tcPr>
            <w:tcW w:w="2689" w:type="dxa"/>
          </w:tcPr>
          <w:p w14:paraId="2AE51572" w14:textId="77777777" w:rsidR="00D818FA" w:rsidRPr="00676B96" w:rsidRDefault="00D818FA" w:rsidP="00D818FA">
            <w:pPr>
              <w:jc w:val="both"/>
              <w:rPr>
                <w:rFonts w:ascii="Verdana" w:eastAsia="Calibri" w:hAnsi="Verdana" w:cs="Arial"/>
                <w:b/>
                <w:lang w:val="es-ES_tradnl" w:eastAsia="es-ES_tradnl"/>
              </w:rPr>
            </w:pPr>
            <w:r w:rsidRPr="00676B96">
              <w:rPr>
                <w:rFonts w:ascii="Verdana" w:eastAsia="Calibri" w:hAnsi="Verdana" w:cs="Arial"/>
                <w:b/>
                <w:lang w:val="es-ES_tradnl" w:eastAsia="es-ES_tradnl"/>
              </w:rPr>
              <w:t>Radicación:</w:t>
            </w:r>
            <w:r w:rsidRPr="00676B96">
              <w:rPr>
                <w:rFonts w:ascii="Verdana" w:eastAsia="Calibri" w:hAnsi="Verdana" w:cs="Arial"/>
                <w:lang w:val="es-ES_tradnl" w:eastAsia="es-ES_tradnl"/>
              </w:rPr>
              <w:t xml:space="preserve">               </w:t>
            </w:r>
          </w:p>
        </w:tc>
        <w:tc>
          <w:tcPr>
            <w:tcW w:w="6100" w:type="dxa"/>
          </w:tcPr>
          <w:p w14:paraId="31748949" w14:textId="713B2642" w:rsidR="00D818FA" w:rsidRPr="00676B96" w:rsidRDefault="00D818FA" w:rsidP="00D818FA">
            <w:pPr>
              <w:jc w:val="both"/>
              <w:rPr>
                <w:rFonts w:ascii="Verdana" w:eastAsia="Calibri" w:hAnsi="Verdana" w:cs="Arial"/>
                <w:lang w:val="es-ES_tradnl" w:eastAsia="es-ES_tradnl"/>
              </w:rPr>
            </w:pPr>
            <w:r w:rsidRPr="005F6D0C">
              <w:rPr>
                <w:rFonts w:ascii="Verdana" w:eastAsia="Calibri" w:hAnsi="Verdana" w:cs="Arial"/>
                <w:lang w:val="es-ES_tradnl" w:eastAsia="es-ES_tradnl"/>
              </w:rPr>
              <w:t xml:space="preserve">Respuesta a consulta con radicado No. </w:t>
            </w:r>
            <w:r w:rsidRPr="005F6D0C">
              <w:rPr>
                <w:rFonts w:ascii="Verdana" w:eastAsia="Calibri" w:hAnsi="Verdana" w:cs="Arial"/>
                <w:lang w:eastAsia="es-ES_tradnl"/>
              </w:rPr>
              <w:t>P20240906009123</w:t>
            </w:r>
          </w:p>
        </w:tc>
      </w:tr>
    </w:tbl>
    <w:p w14:paraId="0EC45515" w14:textId="77777777" w:rsidR="004C0691" w:rsidRPr="00676B96" w:rsidRDefault="004C0691" w:rsidP="004C0691">
      <w:pPr>
        <w:spacing w:after="0" w:line="276" w:lineRule="auto"/>
        <w:jc w:val="both"/>
        <w:rPr>
          <w:rFonts w:ascii="Verdana" w:eastAsia="Calibri" w:hAnsi="Verdana" w:cs="Arial"/>
          <w:lang w:val="es-ES_tradnl" w:eastAsia="es-ES_tradnl"/>
        </w:rPr>
      </w:pPr>
    </w:p>
    <w:p w14:paraId="1D00B204" w14:textId="77777777" w:rsidR="004C0691" w:rsidRPr="00676B96" w:rsidRDefault="004C0691" w:rsidP="004C0691">
      <w:pPr>
        <w:spacing w:after="0" w:line="276" w:lineRule="auto"/>
        <w:jc w:val="both"/>
        <w:rPr>
          <w:rFonts w:ascii="Verdana" w:eastAsia="Calibri" w:hAnsi="Verdana" w:cs="Arial"/>
          <w:lang w:val="es-ES_tradnl" w:eastAsia="es-ES_tradnl"/>
        </w:rPr>
      </w:pPr>
    </w:p>
    <w:p w14:paraId="3EB9FD73" w14:textId="13CF438B" w:rsidR="004C0691" w:rsidRPr="00676B96" w:rsidRDefault="004C0691" w:rsidP="004C0691">
      <w:pPr>
        <w:spacing w:after="0" w:line="276" w:lineRule="auto"/>
        <w:jc w:val="both"/>
        <w:rPr>
          <w:rFonts w:ascii="Verdana" w:eastAsia="Calibri" w:hAnsi="Verdana" w:cs="Arial"/>
          <w:lang w:val="es-ES" w:eastAsia="es-ES"/>
        </w:rPr>
      </w:pPr>
      <w:r w:rsidRPr="00676B96">
        <w:rPr>
          <w:rFonts w:ascii="Verdana" w:eastAsia="Calibri" w:hAnsi="Verdana" w:cs="Arial"/>
          <w:lang w:val="es-ES" w:eastAsia="es-ES"/>
        </w:rPr>
        <w:t>Estimad</w:t>
      </w:r>
      <w:r w:rsidR="00D818FA">
        <w:rPr>
          <w:rFonts w:ascii="Verdana" w:eastAsia="Calibri" w:hAnsi="Verdana" w:cs="Arial"/>
          <w:lang w:val="es-ES" w:eastAsia="es-ES"/>
        </w:rPr>
        <w:t>a</w:t>
      </w:r>
      <w:r w:rsidRPr="00676B96">
        <w:rPr>
          <w:rFonts w:ascii="Verdana" w:eastAsia="Calibri" w:hAnsi="Verdana" w:cs="Arial"/>
          <w:lang w:val="es-ES" w:eastAsia="es-ES"/>
        </w:rPr>
        <w:t xml:space="preserve"> señor</w:t>
      </w:r>
      <w:r w:rsidR="00D818FA">
        <w:rPr>
          <w:rFonts w:ascii="Verdana" w:eastAsia="Calibri" w:hAnsi="Verdana" w:cs="Arial"/>
          <w:lang w:val="es-ES" w:eastAsia="es-ES"/>
        </w:rPr>
        <w:t>a Sierra Herrera</w:t>
      </w:r>
      <w:r w:rsidRPr="00676B96">
        <w:rPr>
          <w:rFonts w:ascii="Verdana" w:eastAsia="Calibri" w:hAnsi="Verdana" w:cs="Arial"/>
          <w:lang w:val="es-ES" w:eastAsia="es-ES"/>
        </w:rPr>
        <w:t xml:space="preserve">: </w:t>
      </w:r>
    </w:p>
    <w:p w14:paraId="003CEEE3" w14:textId="77777777" w:rsidR="004C0691" w:rsidRPr="00676B96" w:rsidRDefault="004C0691" w:rsidP="004C0691">
      <w:pPr>
        <w:tabs>
          <w:tab w:val="left" w:pos="3768"/>
        </w:tabs>
        <w:spacing w:after="0" w:line="276" w:lineRule="auto"/>
        <w:jc w:val="both"/>
        <w:rPr>
          <w:rFonts w:ascii="Verdana" w:eastAsia="Calibri" w:hAnsi="Verdana" w:cs="Arial"/>
          <w:lang w:val="es-ES" w:eastAsia="es-ES"/>
        </w:rPr>
      </w:pPr>
      <w:r w:rsidRPr="00676B96">
        <w:rPr>
          <w:rFonts w:ascii="Verdana" w:eastAsia="Calibri" w:hAnsi="Verdana" w:cs="Arial"/>
          <w:lang w:val="es-ES" w:eastAsia="es-ES"/>
        </w:rPr>
        <w:tab/>
      </w:r>
    </w:p>
    <w:p w14:paraId="3CA5203B" w14:textId="03297FBB" w:rsidR="004C0691" w:rsidRPr="00676B96" w:rsidRDefault="004C0691" w:rsidP="004C0691">
      <w:pPr>
        <w:spacing w:after="0" w:line="276" w:lineRule="auto"/>
        <w:jc w:val="both"/>
        <w:rPr>
          <w:rFonts w:ascii="Verdana" w:eastAsia="Calibri" w:hAnsi="Verdana" w:cs="Arial"/>
          <w:lang w:val="es-ES" w:eastAsia="es-ES"/>
        </w:rPr>
      </w:pPr>
      <w:r w:rsidRPr="00676B96">
        <w:rPr>
          <w:rFonts w:ascii="Verdana" w:eastAsia="Calibri" w:hAnsi="Verdana" w:cs="Arial"/>
          <w:lang w:val="es-ES" w:eastAsia="es-ES"/>
        </w:rPr>
        <w:t>En ejercicio de la competencia otorgada por los artículos 3, numeral 5º, y 11, numeral 8º, del Decreto Ley 4170 de 2011,</w:t>
      </w:r>
      <w:r w:rsidRPr="00676B96">
        <w:rPr>
          <w:rFonts w:ascii="Verdana" w:eastAsia="Arial MT" w:hAnsi="Verdana" w:cs="Arial MT"/>
          <w:lang w:val="es-ES" w:eastAsia="es-ES"/>
        </w:rPr>
        <w:t xml:space="preserve"> </w:t>
      </w:r>
      <w:r w:rsidRPr="00676B96">
        <w:rPr>
          <w:rFonts w:ascii="Verdana" w:hAnsi="Verdana" w:cs="Arial"/>
        </w:rPr>
        <w:t xml:space="preserve">así como lo establecido en el artículo 4 de la Resolución 1707 de 2018 expedida por esta Entidad, </w:t>
      </w:r>
      <w:r w:rsidRPr="00676B96">
        <w:rPr>
          <w:rFonts w:ascii="Verdana" w:eastAsia="Calibri" w:hAnsi="Verdana" w:cs="Arial"/>
          <w:lang w:val="es-ES" w:eastAsia="es-ES"/>
        </w:rPr>
        <w:t xml:space="preserve">la Agencia Nacional de Contratación Pública – Colombia Compra Eficiente – responde su solicitud de consulta, </w:t>
      </w:r>
      <w:r w:rsidR="00677BC5">
        <w:rPr>
          <w:rFonts w:ascii="Verdana" w:eastAsia="Calibri" w:hAnsi="Verdana" w:cs="Arial"/>
          <w:lang w:val="es-ES" w:eastAsia="es-ES"/>
        </w:rPr>
        <w:t>d</w:t>
      </w:r>
      <w:r w:rsidRPr="00676B96">
        <w:rPr>
          <w:rFonts w:ascii="Verdana" w:eastAsia="Calibri" w:hAnsi="Verdana" w:cs="Arial"/>
          <w:lang w:val="es-ES" w:eastAsia="es-ES"/>
        </w:rPr>
        <w:t xml:space="preserve">el </w:t>
      </w:r>
      <w:r w:rsidR="00D818FA">
        <w:rPr>
          <w:rFonts w:ascii="Verdana" w:eastAsia="Calibri" w:hAnsi="Verdana" w:cs="Arial"/>
          <w:lang w:val="es-ES" w:eastAsia="es-ES"/>
        </w:rPr>
        <w:t>06</w:t>
      </w:r>
      <w:r w:rsidR="00677BC5">
        <w:rPr>
          <w:rFonts w:ascii="Verdana" w:eastAsia="Calibri" w:hAnsi="Verdana" w:cs="Arial"/>
          <w:lang w:val="es-ES" w:eastAsia="es-ES"/>
        </w:rPr>
        <w:t xml:space="preserve"> de </w:t>
      </w:r>
      <w:r w:rsidR="00D818FA">
        <w:rPr>
          <w:rFonts w:ascii="Verdana" w:eastAsia="Calibri" w:hAnsi="Verdana" w:cs="Arial"/>
          <w:lang w:val="es-ES" w:eastAsia="es-ES"/>
        </w:rPr>
        <w:t xml:space="preserve">septiembre </w:t>
      </w:r>
      <w:r w:rsidRPr="00676B96">
        <w:rPr>
          <w:rFonts w:ascii="Verdana" w:eastAsia="Calibri" w:hAnsi="Verdana" w:cs="Arial"/>
          <w:lang w:val="es-ES" w:eastAsia="es-ES"/>
        </w:rPr>
        <w:t xml:space="preserve">de 2024, en la cual manifiesta lo siguiente: </w:t>
      </w:r>
    </w:p>
    <w:p w14:paraId="583A34EA" w14:textId="77777777" w:rsidR="00D818FA" w:rsidRDefault="00D818FA" w:rsidP="00D818FA">
      <w:pPr>
        <w:spacing w:after="0" w:line="240" w:lineRule="auto"/>
        <w:ind w:left="709" w:right="709"/>
        <w:jc w:val="both"/>
        <w:rPr>
          <w:rFonts w:ascii="Verdana" w:eastAsia="Century Gothic" w:hAnsi="Verdana" w:cs="Century Gothic"/>
          <w:sz w:val="20"/>
          <w:szCs w:val="20"/>
          <w:lang w:val="es-ES"/>
        </w:rPr>
      </w:pPr>
      <w:bookmarkStart w:id="1" w:name="_Hlk95313578"/>
    </w:p>
    <w:p w14:paraId="0717E982" w14:textId="38A2CA5D" w:rsidR="00D818FA" w:rsidRPr="005F6D0C" w:rsidRDefault="00D818FA" w:rsidP="00D818FA">
      <w:pPr>
        <w:spacing w:after="0" w:line="240" w:lineRule="auto"/>
        <w:ind w:left="709" w:right="709"/>
        <w:jc w:val="both"/>
        <w:rPr>
          <w:rFonts w:ascii="Verdana" w:eastAsia="Century Gothic" w:hAnsi="Verdana" w:cs="Century Gothic"/>
          <w:sz w:val="20"/>
          <w:szCs w:val="20"/>
          <w:lang w:val="es-ES"/>
        </w:rPr>
      </w:pPr>
      <w:r w:rsidRPr="005F6D0C">
        <w:rPr>
          <w:rFonts w:ascii="Verdana" w:eastAsia="Century Gothic" w:hAnsi="Verdana" w:cs="Century Gothic"/>
          <w:sz w:val="20"/>
          <w:szCs w:val="20"/>
          <w:lang w:val="es-ES"/>
        </w:rPr>
        <w:t xml:space="preserve">“solicito den claridad con relación al Decreto 1860 de 2021 ARTÍCULO 2.2.1.2.4.2.14. Numeral 1 Definición de emprendimientos y empresas de mujeres, la consulta es con referente a la interpretación correcta del "más del 50%" ...donde el decreto indica textualmente "Cuando más del cincuenta por ciento (50%) de las acciones, partes de interés o cuotas de </w:t>
      </w:r>
      <w:r w:rsidRPr="005F6D0C">
        <w:rPr>
          <w:rFonts w:ascii="Verdana" w:eastAsia="Century Gothic" w:hAnsi="Verdana" w:cs="Century Gothic"/>
          <w:sz w:val="20"/>
          <w:szCs w:val="20"/>
          <w:lang w:val="es-ES"/>
        </w:rPr>
        <w:lastRenderedPageBreak/>
        <w:t>participación de la persona jurídica pertenezcan a mujeres y los derechos de propiedad hayan pertenecido a estas durante al menos el último año anterior a la fecha de cierre del Proceso de Selección. Esta circunstancia se acreditará mediante certificación expedida por el representante legal y el revisor fiscal, cuando exista de acuerdo con los requerimientos de ley, o el contador, donde conste la distribución de los derechos en la sociedad y el tiempo en el que las mujeres han mantenido su participación..." subrayado y negrita nuestra.</w:t>
      </w:r>
    </w:p>
    <w:p w14:paraId="3B65E0D1" w14:textId="77777777" w:rsidR="00D818FA" w:rsidRPr="005F6D0C" w:rsidRDefault="00D818FA" w:rsidP="00D818FA">
      <w:pPr>
        <w:spacing w:after="0" w:line="240" w:lineRule="auto"/>
        <w:ind w:left="709" w:right="709"/>
        <w:jc w:val="both"/>
        <w:rPr>
          <w:rFonts w:ascii="Verdana" w:eastAsia="Century Gothic" w:hAnsi="Verdana" w:cs="Century Gothic"/>
          <w:sz w:val="20"/>
          <w:szCs w:val="20"/>
          <w:lang w:val="es-ES"/>
        </w:rPr>
      </w:pPr>
      <w:r w:rsidRPr="005F6D0C">
        <w:rPr>
          <w:rFonts w:ascii="Verdana" w:eastAsia="Century Gothic" w:hAnsi="Verdana" w:cs="Century Gothic"/>
          <w:sz w:val="20"/>
          <w:szCs w:val="20"/>
          <w:lang w:val="es-ES"/>
        </w:rPr>
        <w:t>La presente solicitud es que den claridad con lo referente al más del 50% ya que al indicar la palabra “más” se entiende que es partir de 50.1% y no el 50% ya que al tomar 50% es tener 50 unidades de cada 100, es decir, la mitad</w:t>
      </w:r>
      <w:r w:rsidRPr="005F6D0C">
        <w:rPr>
          <w:rStyle w:val="normaltextrun"/>
          <w:rFonts w:ascii="Verdana" w:hAnsi="Verdana" w:cs="Arial"/>
          <w:sz w:val="20"/>
          <w:szCs w:val="20"/>
          <w:shd w:val="clear" w:color="auto" w:fill="FFFFFF"/>
          <w:lang w:val="es-ES"/>
        </w:rPr>
        <w:t xml:space="preserve"> […]</w:t>
      </w:r>
      <w:r w:rsidRPr="005F6D0C">
        <w:rPr>
          <w:rFonts w:ascii="Verdana" w:eastAsia="Century Gothic" w:hAnsi="Verdana" w:cs="Century Gothic"/>
          <w:sz w:val="20"/>
          <w:szCs w:val="20"/>
          <w:lang w:val="es-ES"/>
        </w:rPr>
        <w:t>”</w:t>
      </w:r>
      <w:bookmarkEnd w:id="1"/>
      <w:r w:rsidRPr="005F6D0C">
        <w:rPr>
          <w:rFonts w:ascii="Verdana" w:eastAsia="Century Gothic" w:hAnsi="Verdana" w:cs="Century Gothic"/>
          <w:sz w:val="20"/>
          <w:szCs w:val="20"/>
          <w:lang w:val="es-ES"/>
        </w:rPr>
        <w:t>.</w:t>
      </w:r>
    </w:p>
    <w:p w14:paraId="2CA3CE86" w14:textId="77777777" w:rsidR="00677BC5" w:rsidRPr="00676B96" w:rsidRDefault="00677BC5" w:rsidP="00677BC5">
      <w:pPr>
        <w:pStyle w:val="Prrafodelista"/>
        <w:tabs>
          <w:tab w:val="left" w:pos="142"/>
          <w:tab w:val="left" w:pos="284"/>
        </w:tabs>
        <w:spacing w:after="0" w:line="276" w:lineRule="auto"/>
        <w:jc w:val="both"/>
        <w:rPr>
          <w:rFonts w:ascii="Verdana" w:eastAsia="Century Gothic" w:hAnsi="Verdana" w:cs="Century Gothic"/>
          <w:b/>
          <w:bCs/>
        </w:rPr>
      </w:pPr>
    </w:p>
    <w:p w14:paraId="7DA69962" w14:textId="77777777" w:rsidR="00B2670E" w:rsidRDefault="004C0691" w:rsidP="00BC3155">
      <w:pPr>
        <w:spacing w:after="120" w:line="276" w:lineRule="auto"/>
        <w:jc w:val="both"/>
        <w:rPr>
          <w:rFonts w:ascii="Verdana" w:eastAsia="Calibri" w:hAnsi="Verdana" w:cs="Arial"/>
          <w:lang w:val="es-ES_tradnl" w:eastAsia="es-ES_tradnl"/>
        </w:rPr>
      </w:pPr>
      <w:r w:rsidRPr="00676B96">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676B96">
        <w:rPr>
          <w:rFonts w:ascii="Verdana" w:eastAsia="Calibri" w:hAnsi="Verdana" w:cs="Arial"/>
          <w:lang w:val="es-ES_tradnl" w:eastAsia="es-ES_tradnl"/>
        </w:rPr>
        <w:tab/>
      </w:r>
    </w:p>
    <w:p w14:paraId="5BA75627" w14:textId="77777777" w:rsidR="004C0691" w:rsidRPr="00B2670E" w:rsidRDefault="004C0691" w:rsidP="00B2670E">
      <w:pPr>
        <w:spacing w:after="0" w:line="276" w:lineRule="auto"/>
        <w:ind w:firstLine="708"/>
        <w:jc w:val="both"/>
        <w:rPr>
          <w:rFonts w:ascii="Verdana" w:eastAsia="Calibri" w:hAnsi="Verdana" w:cs="Arial"/>
          <w:lang w:val="es-ES_tradnl" w:eastAsia="es-ES_tradnl"/>
        </w:rPr>
      </w:pPr>
      <w:r w:rsidRPr="00676B96">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los problemas jurídicos de su consulta. </w:t>
      </w:r>
    </w:p>
    <w:p w14:paraId="3DA0EB83" w14:textId="77777777" w:rsidR="004C0691" w:rsidRPr="00C02094" w:rsidRDefault="004C0691" w:rsidP="004C0691">
      <w:pPr>
        <w:spacing w:after="0" w:line="276" w:lineRule="auto"/>
        <w:ind w:firstLine="709"/>
        <w:jc w:val="both"/>
        <w:rPr>
          <w:rFonts w:ascii="Verdana" w:eastAsia="Calibri" w:hAnsi="Verdana" w:cs="Arial"/>
          <w:lang w:val="es-ES" w:eastAsia="es-ES"/>
        </w:rPr>
      </w:pPr>
    </w:p>
    <w:p w14:paraId="6177D628" w14:textId="77777777" w:rsidR="004C0691" w:rsidRPr="00C02094" w:rsidRDefault="004C0691" w:rsidP="004C0691">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C02094">
        <w:rPr>
          <w:rFonts w:ascii="Verdana" w:eastAsia="Century Gothic" w:hAnsi="Verdana" w:cs="Century Gothic"/>
          <w:b/>
          <w:bCs/>
        </w:rPr>
        <w:t>Problema planteado:</w:t>
      </w:r>
    </w:p>
    <w:p w14:paraId="4D5FA701" w14:textId="77777777" w:rsidR="004C0691" w:rsidRPr="00C02094" w:rsidRDefault="004C0691" w:rsidP="004C0691">
      <w:pPr>
        <w:tabs>
          <w:tab w:val="left" w:pos="426"/>
        </w:tabs>
        <w:spacing w:after="0" w:line="276" w:lineRule="auto"/>
        <w:jc w:val="both"/>
        <w:rPr>
          <w:rFonts w:ascii="Verdana" w:eastAsia="Century Gothic" w:hAnsi="Verdana" w:cs="Century Gothic"/>
          <w:lang w:val="es-ES"/>
        </w:rPr>
      </w:pPr>
    </w:p>
    <w:p w14:paraId="6996AF79" w14:textId="0F3BEEDF" w:rsidR="004C0691" w:rsidRPr="00C02094" w:rsidRDefault="004C0691" w:rsidP="004C0691">
      <w:pPr>
        <w:spacing w:after="0" w:line="276" w:lineRule="auto"/>
        <w:jc w:val="both"/>
        <w:rPr>
          <w:rFonts w:ascii="Verdana" w:hAnsi="Verdana" w:cs="Arial"/>
          <w:shd w:val="clear" w:color="auto" w:fill="FFFFFF"/>
        </w:rPr>
      </w:pPr>
      <w:r w:rsidRPr="00C02094">
        <w:rPr>
          <w:rFonts w:ascii="Verdana" w:eastAsia="Century Gothic" w:hAnsi="Verdana" w:cs="Century Gothic"/>
        </w:rPr>
        <w:t xml:space="preserve">De acuerdo con el contenido de su solicitud, esta Agencia resolverá los siguientes problemas jurídicos: </w:t>
      </w:r>
      <w:r w:rsidR="00D818FA" w:rsidRPr="005F6D0C">
        <w:rPr>
          <w:rFonts w:ascii="Verdana" w:eastAsia="Century Gothic" w:hAnsi="Verdana" w:cs="Century Gothic"/>
        </w:rPr>
        <w:t xml:space="preserve">¿Cuál es el porcentaje de participación para acreditar la calidad de Emprendimiento o Empresa de Mujeres conforme al numeral 3 del 2?2.1.2.4.2.14. </w:t>
      </w:r>
      <w:r w:rsidR="00D818FA" w:rsidRPr="005F6D0C">
        <w:rPr>
          <w:rFonts w:ascii="Verdana" w:eastAsia="Calibri" w:hAnsi="Verdana" w:cs="Arial"/>
          <w:lang w:val="es-MX"/>
        </w:rPr>
        <w:t>del Decreto 1082 de 2015</w:t>
      </w:r>
      <w:r w:rsidR="00D818FA" w:rsidRPr="005F6D0C">
        <w:rPr>
          <w:rFonts w:ascii="Verdana" w:eastAsia="Century Gothic" w:hAnsi="Verdana" w:cs="Century Gothic"/>
        </w:rPr>
        <w:t>?</w:t>
      </w:r>
    </w:p>
    <w:p w14:paraId="54D69431" w14:textId="77777777" w:rsidR="004C0691" w:rsidRPr="00C02094" w:rsidRDefault="004C0691" w:rsidP="004C0691">
      <w:pPr>
        <w:spacing w:after="0" w:line="276" w:lineRule="auto"/>
        <w:jc w:val="both"/>
        <w:rPr>
          <w:rFonts w:ascii="Verdana" w:eastAsia="Calibri" w:hAnsi="Verdana" w:cs="Arial"/>
          <w:lang w:val="es-ES"/>
        </w:rPr>
      </w:pPr>
    </w:p>
    <w:p w14:paraId="46FFF078" w14:textId="77777777" w:rsidR="004C0691" w:rsidRPr="00C02094" w:rsidRDefault="004C0691" w:rsidP="004C0691">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C02094">
        <w:rPr>
          <w:rFonts w:ascii="Verdana" w:eastAsia="Century Gothic" w:hAnsi="Verdana" w:cs="Century Gothic"/>
          <w:b/>
          <w:bCs/>
        </w:rPr>
        <w:t>Respuesta:</w:t>
      </w:r>
    </w:p>
    <w:p w14:paraId="63B90F2C" w14:textId="77777777" w:rsidR="004C0691" w:rsidRPr="00C02094" w:rsidRDefault="004C0691" w:rsidP="004C0691">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4C0691" w:rsidRPr="00C02094" w14:paraId="54D39579" w14:textId="77777777" w:rsidTr="002D7ACD">
        <w:tc>
          <w:tcPr>
            <w:tcW w:w="8828" w:type="dxa"/>
            <w:shd w:val="clear" w:color="auto" w:fill="auto"/>
          </w:tcPr>
          <w:p w14:paraId="3046C921" w14:textId="4F6B8344" w:rsidR="004C0691" w:rsidRPr="00B2670E" w:rsidRDefault="004C0691" w:rsidP="00B2670E">
            <w:pPr>
              <w:spacing w:after="120" w:line="276" w:lineRule="auto"/>
              <w:jc w:val="both"/>
              <w:rPr>
                <w:rFonts w:ascii="Verdana" w:eastAsia="Calibri" w:hAnsi="Verdana" w:cs="Arial"/>
                <w:lang w:eastAsia="es-ES"/>
              </w:rPr>
            </w:pPr>
            <w:r w:rsidRPr="00A97925">
              <w:rPr>
                <w:rFonts w:ascii="Verdana" w:eastAsia="Calibri" w:hAnsi="Verdana" w:cs="Arial"/>
                <w:lang w:val="es-ES_tradnl" w:eastAsia="es-ES_tradnl"/>
              </w:rPr>
              <w:t xml:space="preserve">Una </w:t>
            </w:r>
            <w:r w:rsidRPr="00A97925">
              <w:rPr>
                <w:rFonts w:ascii="Verdana" w:eastAsia="Calibri" w:hAnsi="Verdana" w:cs="Arial"/>
                <w:lang w:val="es-ES_tradnl"/>
              </w:rPr>
              <w:t xml:space="preserve">sociedad podrá ser considerada como un emprendimiento o empresa de mujeres cuando más del cincuenta por ciento (50%) de sus acciones, partes de interés o cuotas de participación, pertenezcan a mujeres. </w:t>
            </w:r>
            <w:r w:rsidRPr="00A97925">
              <w:rPr>
                <w:rFonts w:ascii="Verdana" w:eastAsia="Calibri" w:hAnsi="Verdana" w:cs="Arial"/>
                <w:lang w:val="es-ES_tradnl" w:eastAsia="es-ES_tradnl"/>
              </w:rPr>
              <w:t xml:space="preserve">Así las cosas, una interpretación exegética del numeral primero del artículo </w:t>
            </w:r>
            <w:r w:rsidRPr="00A97925">
              <w:rPr>
                <w:rFonts w:ascii="Verdana" w:eastAsia="Calibri" w:hAnsi="Verdana" w:cs="Arial"/>
                <w:lang w:eastAsia="es-ES_tradnl"/>
              </w:rPr>
              <w:t xml:space="preserve">2.2.1.2.4.2.14 al Decreto 1082 de 2015 permite concluir </w:t>
            </w:r>
            <w:r w:rsidRPr="00A97925">
              <w:rPr>
                <w:rFonts w:ascii="Verdana" w:eastAsia="Calibri" w:hAnsi="Verdana" w:cs="Arial"/>
                <w:lang w:val="es-ES_tradnl" w:eastAsia="es-ES_tradnl"/>
              </w:rPr>
              <w:t xml:space="preserve">que la aplicación de los criterios diferenciales a favor de los emprendimientos y empresas de mujeres se extiende frente a aquellas personas jurídicas </w:t>
            </w:r>
            <w:r w:rsidRPr="00D818FA">
              <w:rPr>
                <w:rFonts w:ascii="Verdana" w:eastAsia="Calibri" w:hAnsi="Verdana" w:cs="Arial"/>
                <w:b/>
                <w:bCs/>
                <w:lang w:val="es-ES_tradnl"/>
              </w:rPr>
              <w:t>cuando más del cincuenta por ciento (50%) de sus acciones</w:t>
            </w:r>
            <w:r w:rsidRPr="00A97925">
              <w:rPr>
                <w:rFonts w:ascii="Verdana" w:eastAsia="Calibri" w:hAnsi="Verdana" w:cs="Arial"/>
                <w:lang w:val="es-ES_tradnl"/>
              </w:rPr>
              <w:t xml:space="preserve">, partes de interés o cuotas de participación pertenezcan a mujeres, independientemente que se trate de una sola, y que esta se ejerza una situación de control. </w:t>
            </w:r>
            <w:r w:rsidRPr="00B2670E">
              <w:rPr>
                <w:rFonts w:ascii="Verdana" w:eastAsia="Calibri" w:hAnsi="Verdana" w:cs="Arial"/>
                <w:lang w:val="es-ES"/>
              </w:rPr>
              <w:t xml:space="preserve">Sin embargo, el supuesto de hecho de la norma citada, adicionalmente, exige que la titularidad de tal participación haya pertenecido a mujeres, por lo menos, durante el año anterior a la fecha de cierre del proceso de selección. </w:t>
            </w:r>
          </w:p>
          <w:p w14:paraId="071F3F7F" w14:textId="6F5D03FD" w:rsidR="00D818FA" w:rsidRPr="00D818FA" w:rsidRDefault="00D818FA" w:rsidP="00D818FA">
            <w:pPr>
              <w:spacing w:line="276" w:lineRule="auto"/>
              <w:jc w:val="both"/>
              <w:rPr>
                <w:rFonts w:ascii="Verdana" w:eastAsia="Calibri" w:hAnsi="Verdana" w:cs="Arial"/>
                <w:color w:val="000000" w:themeColor="text1"/>
              </w:rPr>
            </w:pPr>
            <w:r>
              <w:rPr>
                <w:rFonts w:ascii="Verdana" w:eastAsia="Calibri" w:hAnsi="Verdana" w:cs="Arial"/>
                <w:color w:val="000000" w:themeColor="text1"/>
              </w:rPr>
              <w:t>En este sentido, c</w:t>
            </w:r>
            <w:r w:rsidRPr="00D818FA">
              <w:rPr>
                <w:rFonts w:ascii="Verdana" w:eastAsia="Calibri" w:hAnsi="Verdana" w:cs="Arial"/>
                <w:color w:val="000000" w:themeColor="text1"/>
              </w:rPr>
              <w:t>uando se habla de "más del cincuenta por ciento (50%) de sus acciones", se está haciendo referencia a una mayoría absoluta en el contexto de la propiedad accionaria de una empresa. Por lo tanto, el porcentaje mínimo que se requiere para cumplir con esta condición es</w:t>
            </w:r>
            <w:r w:rsidR="00675C32">
              <w:rPr>
                <w:rFonts w:ascii="Verdana" w:eastAsia="Calibri" w:hAnsi="Verdana" w:cs="Arial"/>
                <w:color w:val="000000" w:themeColor="text1"/>
              </w:rPr>
              <w:t xml:space="preserve"> cualquier número superior al 50%, incluido decimales. </w:t>
            </w:r>
            <w:r w:rsidRPr="00D818FA">
              <w:rPr>
                <w:rFonts w:ascii="Verdana" w:eastAsia="Calibri" w:hAnsi="Verdana" w:cs="Arial"/>
                <w:color w:val="000000" w:themeColor="text1"/>
              </w:rPr>
              <w:t xml:space="preserve"> </w:t>
            </w:r>
          </w:p>
        </w:tc>
      </w:tr>
    </w:tbl>
    <w:p w14:paraId="541A257A" w14:textId="77777777" w:rsidR="004C0691" w:rsidRPr="00675C32" w:rsidRDefault="004C0691" w:rsidP="004C0691">
      <w:pPr>
        <w:tabs>
          <w:tab w:val="left" w:pos="142"/>
          <w:tab w:val="left" w:pos="284"/>
        </w:tabs>
        <w:spacing w:after="0" w:line="276" w:lineRule="auto"/>
        <w:jc w:val="both"/>
        <w:rPr>
          <w:rFonts w:ascii="Verdana" w:eastAsia="Century Gothic" w:hAnsi="Verdana" w:cs="Century Gothic"/>
          <w:b/>
          <w:bCs/>
        </w:rPr>
      </w:pPr>
    </w:p>
    <w:p w14:paraId="0A1CA4C5" w14:textId="77777777" w:rsidR="004C0691" w:rsidRPr="00C02094" w:rsidRDefault="004C0691" w:rsidP="004C0691">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C02094">
        <w:rPr>
          <w:rFonts w:ascii="Verdana" w:eastAsia="Century Gothic" w:hAnsi="Verdana" w:cs="Century Gothic"/>
          <w:b/>
          <w:bCs/>
        </w:rPr>
        <w:t>Razones de la respuesta:</w:t>
      </w:r>
    </w:p>
    <w:p w14:paraId="07E9DF2E" w14:textId="77777777" w:rsidR="004C0691" w:rsidRPr="00C02094" w:rsidRDefault="004C0691" w:rsidP="004C0691">
      <w:pPr>
        <w:spacing w:after="0" w:line="276" w:lineRule="auto"/>
        <w:jc w:val="both"/>
        <w:rPr>
          <w:rFonts w:ascii="Verdana" w:eastAsia="Calibri" w:hAnsi="Verdana" w:cs="Arial"/>
          <w:color w:val="7030A0"/>
          <w:lang w:val="es-ES"/>
        </w:rPr>
      </w:pPr>
    </w:p>
    <w:p w14:paraId="3223915F" w14:textId="77777777" w:rsidR="004C0691" w:rsidRPr="00C02094" w:rsidRDefault="004C0691" w:rsidP="004C0691">
      <w:pPr>
        <w:spacing w:after="0" w:line="276" w:lineRule="auto"/>
        <w:jc w:val="both"/>
        <w:rPr>
          <w:rFonts w:ascii="Verdana" w:eastAsia="Calibri" w:hAnsi="Verdana" w:cs="Arial"/>
          <w:lang w:val="es-ES"/>
        </w:rPr>
      </w:pPr>
      <w:r w:rsidRPr="00C02094">
        <w:rPr>
          <w:rFonts w:ascii="Verdana" w:eastAsia="Calibri" w:hAnsi="Verdana" w:cs="Arial"/>
          <w:lang w:val="es-ES"/>
        </w:rPr>
        <w:t xml:space="preserve">Lo anterior se sustenta en las siguientes consideraciones: </w:t>
      </w:r>
    </w:p>
    <w:p w14:paraId="198CC30E" w14:textId="77777777" w:rsidR="004C0691" w:rsidRPr="00C02094" w:rsidRDefault="004C0691" w:rsidP="004C0691">
      <w:pPr>
        <w:spacing w:after="0" w:line="276" w:lineRule="auto"/>
        <w:jc w:val="both"/>
        <w:rPr>
          <w:rFonts w:ascii="Verdana" w:eastAsia="Calibri" w:hAnsi="Verdana" w:cs="Arial"/>
          <w:color w:val="7030A0"/>
          <w:lang w:val="es-ES"/>
        </w:rPr>
      </w:pPr>
    </w:p>
    <w:p w14:paraId="4823A5E2" w14:textId="77777777" w:rsidR="004C0691" w:rsidRPr="00FC59CF" w:rsidRDefault="004C0691" w:rsidP="00FC59CF">
      <w:pPr>
        <w:pStyle w:val="Prrafodelista"/>
        <w:numPr>
          <w:ilvl w:val="0"/>
          <w:numId w:val="20"/>
        </w:numPr>
        <w:spacing w:after="120" w:line="276" w:lineRule="auto"/>
        <w:jc w:val="both"/>
        <w:rPr>
          <w:rFonts w:ascii="Verdana" w:eastAsia="Calibri" w:hAnsi="Verdana" w:cs="Arial"/>
          <w:lang w:val="es-ES_tradnl" w:eastAsia="es-ES_tradnl"/>
        </w:rPr>
      </w:pPr>
      <w:r w:rsidRPr="00FC59CF">
        <w:rPr>
          <w:rFonts w:ascii="Verdana" w:eastAsia="Calibri" w:hAnsi="Verdana" w:cs="Arial"/>
        </w:rPr>
        <w:t xml:space="preserve">En primer lugar, respecto del objeto de su consulta debe advertirse que, </w:t>
      </w:r>
      <w:r w:rsidRPr="00FC59CF">
        <w:rPr>
          <w:rFonts w:ascii="Verdana" w:eastAsia="Calibri" w:hAnsi="Verdana" w:cs="Arial"/>
          <w:lang w:val="es-ES_tradnl" w:eastAsia="es-ES_tradnl"/>
        </w:rPr>
        <w:t>el 31 de diciembre de 2020 se promulgó la Ley 2069, “Por medio de la cual se impulsa el emprendimiento en Colombia”. Como dispone el artículo 1°, aquella “tiene por objeto establecer un marco regulatorio que propicie el emprendimiento y el crecimiento, consolidación y sostenibilidad de las empresas, con el fin de aumentar el bienestar social y generar equidad”</w:t>
      </w:r>
      <w:r w:rsidRPr="001A3CD7">
        <w:rPr>
          <w:vertAlign w:val="superscript"/>
          <w:lang w:eastAsia="es-ES_tradnl"/>
        </w:rPr>
        <w:footnoteReference w:id="2"/>
      </w:r>
      <w:r w:rsidRPr="00FC59CF">
        <w:rPr>
          <w:rFonts w:ascii="Verdana" w:eastAsia="Calibri" w:hAnsi="Verdana" w:cs="Arial"/>
          <w:lang w:val="es-ES_tradnl" w:eastAsia="es-ES_tradnl"/>
        </w:rPr>
        <w:t xml:space="preserve">. Esto, a partir de “[…] un enfoque regionalizado de acuerdo con las realidades socioeconómicas de cada región”. </w:t>
      </w:r>
    </w:p>
    <w:p w14:paraId="7C881B8B" w14:textId="77777777" w:rsidR="004C0691" w:rsidRPr="00FC59CF" w:rsidRDefault="004C0691" w:rsidP="00FC59CF">
      <w:pPr>
        <w:pStyle w:val="Prrafodelista"/>
        <w:numPr>
          <w:ilvl w:val="0"/>
          <w:numId w:val="20"/>
        </w:numPr>
        <w:spacing w:after="120" w:line="276" w:lineRule="auto"/>
        <w:jc w:val="both"/>
        <w:rPr>
          <w:rFonts w:ascii="Verdana" w:eastAsia="Calibri" w:hAnsi="Verdana" w:cs="Arial"/>
          <w:lang w:val="es-ES_tradnl" w:eastAsia="es-ES_tradnl"/>
        </w:rPr>
      </w:pPr>
      <w:r w:rsidRPr="00FC59CF">
        <w:rPr>
          <w:rFonts w:ascii="Verdana" w:eastAsia="Calibri" w:hAnsi="Verdana" w:cs="Arial"/>
          <w:lang w:val="es-ES_tradnl" w:eastAsia="es-ES_tradnl"/>
        </w:rPr>
        <w:t xml:space="preserve">En desarrollo de esta finalidad, se establecen medidas de apoyo para las micro, pequeñas y medianas empresas –Mipymes–, mediante la </w:t>
      </w:r>
      <w:r w:rsidRPr="00FC59CF">
        <w:rPr>
          <w:rFonts w:ascii="Verdana" w:eastAsia="Calibri" w:hAnsi="Verdana" w:cs="Arial"/>
          <w:lang w:val="es-ES_tradnl" w:eastAsia="es-ES_tradnl"/>
        </w:rPr>
        <w:lastRenderedPageBreak/>
        <w:t>racionalización y simplificación de los trámites y tarifas</w:t>
      </w:r>
      <w:r w:rsidRPr="001A3CD7">
        <w:rPr>
          <w:vertAlign w:val="superscript"/>
          <w:lang w:eastAsia="es-ES_tradnl"/>
        </w:rPr>
        <w:footnoteReference w:id="3"/>
      </w:r>
      <w:r w:rsidRPr="00FC59CF">
        <w:rPr>
          <w:rFonts w:ascii="Verdana" w:eastAsia="Calibri" w:hAnsi="Verdana" w:cs="Arial"/>
          <w:lang w:val="es-ES_tradnl" w:eastAsia="es-ES_tradnl"/>
        </w:rPr>
        <w:t>, así como incentivos a favor de aquellas dentro del sistema de compras y contratación pública</w:t>
      </w:r>
      <w:r w:rsidRPr="001A3CD7">
        <w:rPr>
          <w:vertAlign w:val="superscript"/>
          <w:lang w:eastAsia="es-ES_tradnl"/>
        </w:rPr>
        <w:footnoteReference w:id="4"/>
      </w:r>
      <w:r w:rsidRPr="00FC59CF">
        <w:rPr>
          <w:rFonts w:ascii="Verdana" w:eastAsia="Calibri" w:hAnsi="Verdana" w:cs="Arial"/>
          <w:lang w:val="es-ES_tradnl" w:eastAsia="es-ES_tradnl"/>
        </w:rPr>
        <w:t>. También se consagran mecanismos de acceso al financiamiento</w:t>
      </w:r>
      <w:r w:rsidRPr="001A3CD7">
        <w:rPr>
          <w:vertAlign w:val="superscript"/>
          <w:lang w:eastAsia="es-ES_tradnl"/>
        </w:rPr>
        <w:footnoteReference w:id="5"/>
      </w:r>
      <w:r w:rsidRPr="00FC59CF">
        <w:rPr>
          <w:rFonts w:ascii="Verdana" w:eastAsia="Calibri" w:hAnsi="Verdana" w:cs="Arial"/>
          <w:lang w:val="es-ES_tradnl" w:eastAsia="es-ES_tradnl"/>
        </w:rPr>
        <w:t>, se unifican las fuentes de emprendimiento y de desarrollo empresarial, para fortalecer y promover los distintos sectores de la economía</w:t>
      </w:r>
      <w:r w:rsidRPr="001A3CD7">
        <w:rPr>
          <w:vertAlign w:val="superscript"/>
          <w:lang w:eastAsia="es-ES_tradnl"/>
        </w:rPr>
        <w:footnoteReference w:id="6"/>
      </w:r>
      <w:r w:rsidRPr="00FC59CF">
        <w:rPr>
          <w:rFonts w:ascii="Verdana" w:eastAsia="Calibri" w:hAnsi="Verdana" w:cs="Arial"/>
          <w:lang w:val="es-ES_tradnl" w:eastAsia="es-ES_tradnl"/>
        </w:rPr>
        <w:t xml:space="preserve"> y se prevén medidas de educación para el emprendimiento y la innovación</w:t>
      </w:r>
      <w:r w:rsidRPr="001A3CD7">
        <w:rPr>
          <w:vertAlign w:val="superscript"/>
          <w:lang w:eastAsia="es-ES_tradnl"/>
        </w:rPr>
        <w:footnoteReference w:id="7"/>
      </w:r>
      <w:r w:rsidRPr="00FC59CF">
        <w:rPr>
          <w:rFonts w:ascii="Verdana" w:eastAsia="Calibri" w:hAnsi="Verdana" w:cs="Arial"/>
          <w:lang w:val="es-ES_tradnl" w:eastAsia="es-ES_tradnl"/>
        </w:rPr>
        <w:t>.</w:t>
      </w:r>
    </w:p>
    <w:p w14:paraId="63B5DBC6" w14:textId="77777777" w:rsidR="004C0691" w:rsidRPr="00FC59CF" w:rsidRDefault="004C0691" w:rsidP="00FC59CF">
      <w:pPr>
        <w:pStyle w:val="Prrafodelista"/>
        <w:numPr>
          <w:ilvl w:val="0"/>
          <w:numId w:val="20"/>
        </w:numPr>
        <w:spacing w:after="0" w:line="276" w:lineRule="auto"/>
        <w:jc w:val="both"/>
        <w:rPr>
          <w:rFonts w:ascii="Verdana" w:eastAsia="Calibri" w:hAnsi="Verdana" w:cs="Arial"/>
          <w:lang w:val="es-ES_tradnl" w:eastAsia="es-ES_tradnl"/>
        </w:rPr>
      </w:pPr>
      <w:r w:rsidRPr="00FC59CF">
        <w:rPr>
          <w:rFonts w:ascii="Verdana" w:eastAsia="Calibri" w:hAnsi="Verdana" w:cs="Arial"/>
          <w:lang w:val="es-ES_tradnl" w:eastAsia="es-ES_tradnl"/>
        </w:rPr>
        <w:t xml:space="preserve">Como se indicó, parte de la </w:t>
      </w:r>
      <w:bookmarkStart w:id="2" w:name="_Hlk175579524"/>
      <w:r w:rsidRPr="00FC59CF">
        <w:rPr>
          <w:rFonts w:ascii="Verdana" w:eastAsia="Calibri" w:hAnsi="Verdana" w:cs="Arial"/>
          <w:lang w:val="es-ES_tradnl" w:eastAsia="es-ES_tradnl"/>
        </w:rPr>
        <w:t xml:space="preserve">Ley 2069 </w:t>
      </w:r>
      <w:bookmarkEnd w:id="2"/>
      <w:r w:rsidRPr="00FC59CF">
        <w:rPr>
          <w:rFonts w:ascii="Verdana" w:eastAsia="Calibri" w:hAnsi="Verdana" w:cs="Arial"/>
          <w:lang w:val="es-ES_tradnl" w:eastAsia="es-ES_tradnl"/>
        </w:rPr>
        <w:t xml:space="preserve">contiene normas que modifican algunos aspectos de la contratación estatal para promover el emprendimiento. </w:t>
      </w:r>
      <w:r w:rsidRPr="00FC59CF">
        <w:rPr>
          <w:rFonts w:ascii="Verdana" w:eastAsia="Calibri" w:hAnsi="Verdana" w:cs="Arial"/>
          <w:lang w:eastAsia="es-ES_tradnl"/>
        </w:rPr>
        <w:t xml:space="preserve">Particularmente, el </w:t>
      </w:r>
      <w:bookmarkStart w:id="3" w:name="_Hlk175579539"/>
      <w:r w:rsidRPr="00FC59CF">
        <w:rPr>
          <w:rFonts w:ascii="Verdana" w:eastAsia="Calibri" w:hAnsi="Verdana" w:cs="Arial"/>
          <w:lang w:eastAsia="es-ES_tradnl"/>
        </w:rPr>
        <w:t xml:space="preserve">artículo 32 </w:t>
      </w:r>
      <w:bookmarkEnd w:id="3"/>
      <w:r w:rsidRPr="00FC59CF">
        <w:rPr>
          <w:rFonts w:ascii="Verdana" w:eastAsia="Calibri" w:hAnsi="Verdana" w:cs="Arial"/>
          <w:i/>
          <w:lang w:eastAsia="es-ES_tradnl"/>
        </w:rPr>
        <w:t>ibidem</w:t>
      </w:r>
      <w:r w:rsidRPr="001A3CD7">
        <w:rPr>
          <w:vertAlign w:val="superscript"/>
          <w:lang w:eastAsia="es-ES_tradnl"/>
        </w:rPr>
        <w:footnoteReference w:id="8"/>
      </w:r>
      <w:r w:rsidRPr="00FC59CF">
        <w:rPr>
          <w:rFonts w:ascii="Verdana" w:eastAsia="Calibri" w:hAnsi="Verdana" w:cs="Arial"/>
          <w:lang w:eastAsia="es-ES_tradnl"/>
        </w:rPr>
        <w:t xml:space="preserve"> regula criterios diferenciales y puntajes adicionales para los “emprendimientos y empresas de mujeres” en el sistema de compras y contratación pública. En relación con este aspecto, el inciso primero de la norma citada prescribe: </w:t>
      </w:r>
    </w:p>
    <w:p w14:paraId="52BD1B49" w14:textId="77777777" w:rsidR="004C0691" w:rsidRPr="001A3CD7" w:rsidRDefault="004C0691" w:rsidP="004C0691">
      <w:pPr>
        <w:tabs>
          <w:tab w:val="left" w:pos="709"/>
        </w:tabs>
        <w:spacing w:after="0" w:line="276" w:lineRule="auto"/>
        <w:ind w:left="709" w:right="709"/>
        <w:jc w:val="both"/>
        <w:rPr>
          <w:rFonts w:ascii="Verdana" w:eastAsia="Calibri" w:hAnsi="Verdana" w:cs="Arial"/>
          <w:bCs/>
          <w:lang w:eastAsia="es-ES_tradnl"/>
        </w:rPr>
      </w:pPr>
    </w:p>
    <w:p w14:paraId="7A636055" w14:textId="77777777" w:rsidR="00FC59CF" w:rsidRDefault="004C0691" w:rsidP="00D818FA">
      <w:pPr>
        <w:pStyle w:val="Prrafodelista"/>
        <w:numPr>
          <w:ilvl w:val="0"/>
          <w:numId w:val="20"/>
        </w:numPr>
        <w:tabs>
          <w:tab w:val="left" w:pos="709"/>
          <w:tab w:val="left" w:pos="8080"/>
        </w:tabs>
        <w:spacing w:after="0" w:line="240" w:lineRule="auto"/>
        <w:ind w:right="49"/>
        <w:jc w:val="both"/>
        <w:rPr>
          <w:rFonts w:ascii="Verdana" w:eastAsia="Calibri" w:hAnsi="Verdana" w:cs="Arial"/>
          <w:lang w:val="es-ES_tradnl" w:eastAsia="es-ES_tradnl"/>
        </w:rPr>
      </w:pPr>
      <w:r w:rsidRPr="00D818FA">
        <w:rPr>
          <w:rFonts w:ascii="Verdana" w:eastAsia="Calibri" w:hAnsi="Verdana" w:cs="Arial"/>
          <w:lang w:val="es-ES_tradnl" w:eastAsia="es-ES_tradnl"/>
        </w:rPr>
        <w:t xml:space="preserve">De acuerdo con el resultado del análisis del sector, las entidades estatales incluirán requisitos diferenciales y puntajes adicionales en los procesos de </w:t>
      </w:r>
      <w:bookmarkStart w:id="4" w:name="_Hlk63770487"/>
      <w:r w:rsidRPr="00D818FA">
        <w:rPr>
          <w:rFonts w:ascii="Verdana" w:eastAsia="Calibri" w:hAnsi="Verdana" w:cs="Arial"/>
          <w:lang w:val="es-ES_tradnl" w:eastAsia="es-ES_tradnl"/>
        </w:rPr>
        <w:t>licitación pública, selección abreviada de menor cuantía y concurso de méritos</w:t>
      </w:r>
      <w:bookmarkEnd w:id="4"/>
      <w:r w:rsidRPr="00D818FA">
        <w:rPr>
          <w:rFonts w:ascii="Verdana" w:eastAsia="Calibri" w:hAnsi="Verdana" w:cs="Arial"/>
          <w:lang w:val="es-ES_tradnl" w:eastAsia="es-ES_tradnl"/>
        </w:rPr>
        <w:t>,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w:t>
      </w:r>
    </w:p>
    <w:p w14:paraId="6A408477" w14:textId="77777777" w:rsidR="00D818FA" w:rsidRPr="00D818FA" w:rsidRDefault="00D818FA" w:rsidP="00D818FA">
      <w:pPr>
        <w:tabs>
          <w:tab w:val="left" w:pos="709"/>
          <w:tab w:val="left" w:pos="8080"/>
        </w:tabs>
        <w:spacing w:after="0" w:line="240" w:lineRule="auto"/>
        <w:ind w:right="49"/>
        <w:jc w:val="both"/>
        <w:rPr>
          <w:rFonts w:ascii="Verdana" w:eastAsia="Calibri" w:hAnsi="Verdana" w:cs="Arial"/>
          <w:lang w:val="es-ES_tradnl" w:eastAsia="es-ES_tradnl"/>
        </w:rPr>
      </w:pPr>
    </w:p>
    <w:p w14:paraId="7E0FC772" w14:textId="77777777" w:rsidR="00D818FA" w:rsidRPr="00D818FA" w:rsidRDefault="004C0691" w:rsidP="00D818FA">
      <w:pPr>
        <w:pStyle w:val="Prrafodelista"/>
        <w:numPr>
          <w:ilvl w:val="0"/>
          <w:numId w:val="23"/>
        </w:numPr>
        <w:tabs>
          <w:tab w:val="left" w:pos="709"/>
        </w:tabs>
        <w:spacing w:after="0" w:line="240" w:lineRule="auto"/>
        <w:ind w:right="49"/>
        <w:jc w:val="both"/>
        <w:rPr>
          <w:rFonts w:ascii="Verdana" w:eastAsia="Calibri" w:hAnsi="Verdana" w:cs="Arial"/>
          <w:bCs/>
          <w:sz w:val="20"/>
          <w:szCs w:val="20"/>
          <w:lang w:val="es-CO" w:eastAsia="es-ES_tradnl"/>
        </w:rPr>
      </w:pPr>
      <w:r w:rsidRPr="00FC59CF">
        <w:rPr>
          <w:rFonts w:ascii="Verdana" w:eastAsia="Calibri" w:hAnsi="Verdana" w:cs="Arial"/>
          <w:lang w:val="es-ES_tradnl" w:eastAsia="es-ES_tradnl"/>
        </w:rPr>
        <w:t xml:space="preserve">De esta manera, los denominados “criterios diferenciales” del artículo señalado –que incluyen tanto los “requisitos diferenciales” como los “puntajes adicionales”– aplican a “[…] los procesos de licitación pública, selección abreviada de menor cuantía y concurso de méritos […]”, </w:t>
      </w:r>
      <w:r w:rsidRPr="00FC59CF">
        <w:rPr>
          <w:rFonts w:ascii="Verdana" w:eastAsia="Calibri" w:hAnsi="Verdana" w:cs="Arial"/>
          <w:lang w:val="es-ES_tradnl" w:eastAsia="es-ES_tradnl"/>
        </w:rPr>
        <w:lastRenderedPageBreak/>
        <w:t xml:space="preserve">excluyendo las demás modalidades de selección del artículo 2 de la Ley 1150 de 2007. Así mismo, sin distinciones ulteriores, la norma en comento también se extiende a todos los procedimientos que realicen las Entidades Estatales excluidas de la Ley 80 de 1993.  </w:t>
      </w:r>
    </w:p>
    <w:p w14:paraId="2566CD17" w14:textId="3309124C" w:rsidR="004C0691" w:rsidRPr="00FC59CF" w:rsidRDefault="004C0691" w:rsidP="00D818FA">
      <w:pPr>
        <w:pStyle w:val="Prrafodelista"/>
        <w:tabs>
          <w:tab w:val="left" w:pos="709"/>
        </w:tabs>
        <w:spacing w:after="0" w:line="240" w:lineRule="auto"/>
        <w:ind w:right="49"/>
        <w:jc w:val="both"/>
        <w:rPr>
          <w:rFonts w:ascii="Verdana" w:eastAsia="Calibri" w:hAnsi="Verdana" w:cs="Arial"/>
          <w:bCs/>
          <w:sz w:val="20"/>
          <w:szCs w:val="20"/>
          <w:lang w:val="es-CO" w:eastAsia="es-ES_tradnl"/>
        </w:rPr>
      </w:pPr>
      <w:r w:rsidRPr="00FC59CF">
        <w:rPr>
          <w:rFonts w:ascii="Verdana" w:eastAsia="Calibri" w:hAnsi="Verdana" w:cs="Arial"/>
          <w:lang w:val="es-ES_tradnl" w:eastAsia="es-ES_tradnl"/>
        </w:rPr>
        <w:t xml:space="preserve">   </w:t>
      </w:r>
    </w:p>
    <w:p w14:paraId="46A52B0D" w14:textId="350C400E" w:rsidR="00D818FA" w:rsidRPr="00D818FA" w:rsidRDefault="004C0691" w:rsidP="00D818FA">
      <w:pPr>
        <w:pStyle w:val="Prrafodelista"/>
        <w:numPr>
          <w:ilvl w:val="0"/>
          <w:numId w:val="23"/>
        </w:numPr>
        <w:spacing w:after="120" w:line="276" w:lineRule="auto"/>
        <w:jc w:val="both"/>
        <w:rPr>
          <w:rFonts w:ascii="Verdana" w:eastAsia="Calibri" w:hAnsi="Verdana" w:cs="Arial"/>
          <w:lang w:val="es-ES_tradnl" w:eastAsia="es-ES_tradnl"/>
        </w:rPr>
      </w:pPr>
      <w:r w:rsidRPr="00FC59CF">
        <w:rPr>
          <w:rFonts w:ascii="Verdana" w:eastAsia="Calibri" w:hAnsi="Verdana" w:cs="Arial"/>
          <w:lang w:val="es-ES_tradnl" w:eastAsia="es-ES_tradnl"/>
        </w:rPr>
        <w:t>No obstante, el artículo 32 de la Ley 2069 de 2020 alude a la necesidad del desarrollo normativo posterior. Al respecto, el parágrafo dispone que “La definición de emprendimientos y empresas de mujeres se reglamentará por el gobierno nacional”. En ese sentido, la aplicación de criterios diferenciales en favor de emprendimientos y empresas de mujeres estaba condicionada por el ejercicio de la potestad reglamentaria, en orden de establecer la regulación en marco de la cual las Entidades Estatales deben aplicar los criterios diferenciales establecidos en el artículo 32 de la Ley 2069 de 2020.</w:t>
      </w:r>
    </w:p>
    <w:p w14:paraId="46F798C2" w14:textId="77777777" w:rsidR="00FC59CF" w:rsidRDefault="004C0691" w:rsidP="00FC59CF">
      <w:pPr>
        <w:pStyle w:val="Prrafodelista"/>
        <w:numPr>
          <w:ilvl w:val="0"/>
          <w:numId w:val="23"/>
        </w:numPr>
        <w:spacing w:after="120" w:line="276" w:lineRule="auto"/>
        <w:jc w:val="both"/>
        <w:rPr>
          <w:rFonts w:ascii="Verdana" w:eastAsia="Calibri" w:hAnsi="Verdana" w:cs="Arial"/>
          <w:lang w:val="es-ES_tradnl" w:eastAsia="es-ES_tradnl"/>
        </w:rPr>
      </w:pPr>
      <w:r w:rsidRPr="00FC59CF">
        <w:rPr>
          <w:rFonts w:ascii="Verdana" w:eastAsia="Calibri" w:hAnsi="Verdana" w:cs="Arial"/>
          <w:lang w:val="es-ES_tradnl" w:eastAsia="es-ES_tradnl"/>
        </w:rPr>
        <w:t xml:space="preserve">En este contexto, el Gobierno Nacional expidió el Decreto 1860 de 2021 “Por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 En lo relativo al artículo 32 de la Ley 2069 de 2020, el </w:t>
      </w:r>
      <w:bookmarkStart w:id="5" w:name="_Hlk175579606"/>
      <w:r w:rsidRPr="00FC59CF">
        <w:rPr>
          <w:rFonts w:ascii="Verdana" w:eastAsia="Calibri" w:hAnsi="Verdana" w:cs="Arial"/>
          <w:lang w:val="es-ES_tradnl" w:eastAsia="es-ES_tradnl"/>
        </w:rPr>
        <w:t>artículo 3 del Decreto 1860 de 2021 adiciona los artículos 2.2.1.2.4.2.14 y 2.2.1.2.4.2.15 a la Subsección 2 de la Sección 4 del Capítulo 2 del Título 1 de la Parte 2 del Libro 2 del Decreto 1082 de 2015</w:t>
      </w:r>
      <w:bookmarkEnd w:id="5"/>
      <w:r w:rsidRPr="00FC59CF">
        <w:rPr>
          <w:rFonts w:ascii="Verdana" w:eastAsia="Calibri" w:hAnsi="Verdana" w:cs="Arial"/>
          <w:lang w:val="es-ES_tradnl" w:eastAsia="es-ES_tradnl"/>
        </w:rPr>
        <w:t xml:space="preserve">. La primera de las normas adicionadas consagra la definición de emprendimientos y empresas de mujeres, mientras que la segunda establece los criterios diferenciales incluyendo los puntajes adicionales y regula su aplicación. </w:t>
      </w:r>
    </w:p>
    <w:p w14:paraId="60FC3E81" w14:textId="05DE949A" w:rsidR="004C0691" w:rsidRPr="00FC59CF" w:rsidRDefault="004C0691" w:rsidP="00FC59CF">
      <w:pPr>
        <w:pStyle w:val="Prrafodelista"/>
        <w:numPr>
          <w:ilvl w:val="0"/>
          <w:numId w:val="23"/>
        </w:numPr>
        <w:spacing w:after="120" w:line="276" w:lineRule="auto"/>
        <w:jc w:val="both"/>
        <w:rPr>
          <w:rFonts w:ascii="Verdana" w:eastAsia="Calibri" w:hAnsi="Verdana" w:cs="Arial"/>
          <w:lang w:val="es-ES_tradnl" w:eastAsia="es-ES_tradnl"/>
        </w:rPr>
      </w:pPr>
      <w:r w:rsidRPr="00FC59CF">
        <w:rPr>
          <w:rFonts w:ascii="Verdana" w:eastAsia="Calibri" w:hAnsi="Verdana" w:cs="Arial"/>
          <w:lang w:val="es-ES_tradnl" w:eastAsia="es-ES_tradnl"/>
        </w:rPr>
        <w:t xml:space="preserve">Así las cosas, el </w:t>
      </w:r>
      <w:bookmarkStart w:id="6" w:name="_Hlk175579627"/>
      <w:r w:rsidRPr="00FC59CF">
        <w:rPr>
          <w:rFonts w:ascii="Verdana" w:eastAsia="Calibri" w:hAnsi="Verdana" w:cs="Arial"/>
          <w:lang w:val="es-ES_tradnl" w:eastAsia="es-ES_tradnl"/>
        </w:rPr>
        <w:t xml:space="preserve">artículo 2.2.1.2.4.2.14 del Decreto 1082 de 2015 </w:t>
      </w:r>
      <w:bookmarkEnd w:id="6"/>
      <w:r w:rsidRPr="00FC59CF">
        <w:rPr>
          <w:rFonts w:ascii="Verdana" w:eastAsia="Calibri" w:hAnsi="Verdana" w:cs="Arial"/>
          <w:lang w:val="es-ES_tradnl" w:eastAsia="es-ES_tradnl"/>
        </w:rPr>
        <w:t xml:space="preserve">establece las condiciones y requisitos en atención a los cuales se definen los emprendimientos y empresas de mujeres, a las que les aplican los criterios diferenciales. Para estos efectos, cada uno de los cuatro (4) numerales de la norma establecen unas condiciones alternativas que definen los emprendimientos y empresas de mujeres, en los siguientes términos:   </w:t>
      </w:r>
    </w:p>
    <w:p w14:paraId="47F6C569" w14:textId="77777777" w:rsidR="004C0691" w:rsidRPr="001A3CD7" w:rsidRDefault="004C0691" w:rsidP="004C0691">
      <w:pPr>
        <w:pStyle w:val="Prrafodelista"/>
        <w:spacing w:after="0" w:line="276" w:lineRule="auto"/>
        <w:ind w:left="360"/>
        <w:contextualSpacing w:val="0"/>
        <w:jc w:val="both"/>
        <w:rPr>
          <w:rFonts w:ascii="Verdana" w:eastAsia="Calibri" w:hAnsi="Verdana" w:cs="Arial"/>
          <w:lang w:val="es-ES_tradnl" w:eastAsia="es-ES_tradnl"/>
        </w:rPr>
      </w:pPr>
    </w:p>
    <w:p w14:paraId="61003239" w14:textId="471F3099" w:rsidR="004C0691" w:rsidRPr="001A3CD7" w:rsidRDefault="00265FF1" w:rsidP="004C0691">
      <w:pPr>
        <w:shd w:val="clear" w:color="auto" w:fill="FFFFFF"/>
        <w:spacing w:after="0" w:line="240" w:lineRule="auto"/>
        <w:ind w:left="709" w:right="709"/>
        <w:contextualSpacing/>
        <w:jc w:val="both"/>
        <w:textAlignment w:val="baseline"/>
        <w:rPr>
          <w:rFonts w:ascii="Verdana" w:eastAsia="Times New Roman" w:hAnsi="Verdana" w:cs="Arial"/>
          <w:sz w:val="20"/>
          <w:szCs w:val="20"/>
          <w:lang w:eastAsia="es-CO"/>
        </w:rPr>
      </w:pPr>
      <w:r>
        <w:rPr>
          <w:rFonts w:ascii="Verdana" w:eastAsia="Times New Roman" w:hAnsi="Verdana" w:cs="Arial"/>
          <w:sz w:val="20"/>
          <w:szCs w:val="20"/>
          <w:lang w:eastAsia="es-CO"/>
        </w:rPr>
        <w:t>“</w:t>
      </w:r>
      <w:r w:rsidR="004C0691" w:rsidRPr="001A3CD7">
        <w:rPr>
          <w:rFonts w:ascii="Verdana" w:eastAsia="Times New Roman" w:hAnsi="Verdana" w:cs="Arial"/>
          <w:sz w:val="20"/>
          <w:szCs w:val="20"/>
          <w:lang w:eastAsia="es-CO"/>
        </w:rPr>
        <w:t>Artículo 2.2.1.2.4.2.14. Definición de emprendimientos y empresas de mujeres. Con el propósito de adoptar medidas afirmativas que incentiven la participación de las mujeres en el sistema de compras públicas, se entenderán como emprendimientos y empresas de mujeres aquellas que cumplan con alguna de las siguientes condiciones: </w:t>
      </w:r>
    </w:p>
    <w:p w14:paraId="5F938FD1" w14:textId="77777777" w:rsidR="004C0691" w:rsidRPr="001A3CD7" w:rsidRDefault="004C0691" w:rsidP="004C0691">
      <w:pPr>
        <w:shd w:val="clear" w:color="auto" w:fill="FFFFFF"/>
        <w:spacing w:after="0" w:line="240" w:lineRule="auto"/>
        <w:ind w:left="709" w:right="709"/>
        <w:contextualSpacing/>
        <w:jc w:val="both"/>
        <w:textAlignment w:val="baseline"/>
        <w:rPr>
          <w:rFonts w:ascii="Verdana" w:eastAsia="Times New Roman" w:hAnsi="Verdana" w:cs="Arial"/>
          <w:sz w:val="20"/>
          <w:szCs w:val="20"/>
          <w:lang w:eastAsia="es-CO"/>
        </w:rPr>
      </w:pPr>
      <w:r w:rsidRPr="001A3CD7">
        <w:rPr>
          <w:rFonts w:ascii="Verdana" w:eastAsia="Times New Roman" w:hAnsi="Verdana" w:cs="Arial"/>
          <w:sz w:val="20"/>
          <w:szCs w:val="20"/>
          <w:lang w:eastAsia="es-CO"/>
        </w:rPr>
        <w:t>  </w:t>
      </w:r>
    </w:p>
    <w:p w14:paraId="3B014055" w14:textId="77777777" w:rsidR="004C0691" w:rsidRPr="001A3CD7" w:rsidRDefault="004C0691" w:rsidP="004C0691">
      <w:pPr>
        <w:shd w:val="clear" w:color="auto" w:fill="FFFFFF"/>
        <w:spacing w:after="0" w:line="240" w:lineRule="auto"/>
        <w:ind w:left="709" w:right="709"/>
        <w:contextualSpacing/>
        <w:jc w:val="both"/>
        <w:textAlignment w:val="baseline"/>
        <w:rPr>
          <w:rFonts w:ascii="Verdana" w:eastAsia="Times New Roman" w:hAnsi="Verdana" w:cs="Arial"/>
          <w:i/>
          <w:iCs/>
          <w:sz w:val="20"/>
          <w:szCs w:val="20"/>
          <w:lang w:eastAsia="es-CO"/>
        </w:rPr>
      </w:pPr>
      <w:r w:rsidRPr="001A3CD7">
        <w:rPr>
          <w:rFonts w:ascii="Verdana" w:eastAsia="Times New Roman" w:hAnsi="Verdana" w:cs="Arial"/>
          <w:i/>
          <w:iCs/>
          <w:sz w:val="20"/>
          <w:szCs w:val="20"/>
          <w:lang w:eastAsia="es-CO"/>
        </w:rPr>
        <w:lastRenderedPageBreak/>
        <w:t>1. Cuando más del cincuenta por ciento (50%) de las acciones, partes de interés o cuotas de participación de la persona jurídica pertenezcan a mujeres y los derechos de propiedad hayan pertenecido a estas durante al menos el último año anterior a la fecha de cierre del Proceso de Selección. Esta circunstancia se acreditará mediante certificación expedida por el representante legal y el revisor fiscal, cuando exista de acuerdo con los requerimientos de ley, o el contador, donde conste la distribución de los derechos en la sociedad y el tiempo en el que las mujeres han mantenido su participación.</w:t>
      </w:r>
    </w:p>
    <w:p w14:paraId="3A0DDCF0" w14:textId="77777777" w:rsidR="004C0691" w:rsidRPr="001A3CD7" w:rsidRDefault="004C0691" w:rsidP="004C0691">
      <w:pPr>
        <w:shd w:val="clear" w:color="auto" w:fill="FFFFFF"/>
        <w:spacing w:after="0" w:line="240" w:lineRule="auto"/>
        <w:ind w:left="709" w:right="709"/>
        <w:contextualSpacing/>
        <w:jc w:val="both"/>
        <w:textAlignment w:val="baseline"/>
        <w:rPr>
          <w:rFonts w:ascii="Verdana" w:eastAsia="Times New Roman" w:hAnsi="Verdana" w:cs="Arial"/>
          <w:i/>
          <w:iCs/>
          <w:sz w:val="20"/>
          <w:szCs w:val="20"/>
          <w:lang w:eastAsia="es-CO"/>
        </w:rPr>
      </w:pPr>
    </w:p>
    <w:p w14:paraId="40E1B7C8" w14:textId="77777777" w:rsidR="004C0691" w:rsidRPr="001A3CD7" w:rsidRDefault="004C0691" w:rsidP="004C0691">
      <w:pPr>
        <w:shd w:val="clear" w:color="auto" w:fill="FFFFFF"/>
        <w:spacing w:after="0" w:line="240" w:lineRule="auto"/>
        <w:ind w:left="709" w:right="709"/>
        <w:contextualSpacing/>
        <w:jc w:val="both"/>
        <w:textAlignment w:val="baseline"/>
        <w:rPr>
          <w:rFonts w:ascii="Verdana" w:eastAsia="Times New Roman" w:hAnsi="Verdana" w:cs="Arial"/>
          <w:i/>
          <w:iCs/>
          <w:sz w:val="20"/>
          <w:szCs w:val="20"/>
          <w:lang w:eastAsia="es-CO"/>
        </w:rPr>
      </w:pPr>
      <w:r w:rsidRPr="001A3CD7">
        <w:rPr>
          <w:rFonts w:ascii="Verdana" w:eastAsia="Times New Roman" w:hAnsi="Verdana" w:cs="Arial"/>
          <w:i/>
          <w:iCs/>
          <w:sz w:val="20"/>
          <w:szCs w:val="20"/>
          <w:lang w:eastAsia="es-CO"/>
        </w:rPr>
        <w:t>2. Cuando por lo menos el cincuenta por ciento (50%) de los empleos del nivel directivo de la persona jurídica sean ejercidos por mujeres y éstas hayan estado vinculadas laboralmente a la empresa durante al menos el último año anterior a la fecha de cierre del Proceso de Selección en el mismo cargo u otro del mismo nivel.</w:t>
      </w:r>
    </w:p>
    <w:p w14:paraId="2E545045" w14:textId="77777777" w:rsidR="004C0691" w:rsidRPr="001A3CD7" w:rsidRDefault="004C0691" w:rsidP="004C0691">
      <w:pPr>
        <w:shd w:val="clear" w:color="auto" w:fill="FFFFFF"/>
        <w:spacing w:after="0" w:line="240" w:lineRule="auto"/>
        <w:ind w:left="709" w:right="709"/>
        <w:contextualSpacing/>
        <w:jc w:val="both"/>
        <w:textAlignment w:val="baseline"/>
        <w:rPr>
          <w:rFonts w:ascii="Verdana" w:eastAsia="Times New Roman" w:hAnsi="Verdana" w:cs="Arial"/>
          <w:i/>
          <w:iCs/>
          <w:sz w:val="20"/>
          <w:szCs w:val="20"/>
          <w:lang w:eastAsia="es-CO"/>
        </w:rPr>
      </w:pPr>
    </w:p>
    <w:p w14:paraId="73982E05" w14:textId="77777777" w:rsidR="004C0691" w:rsidRPr="001A3CD7" w:rsidRDefault="004C0691" w:rsidP="004C0691">
      <w:pPr>
        <w:shd w:val="clear" w:color="auto" w:fill="FFFFFF"/>
        <w:spacing w:after="0" w:line="240" w:lineRule="auto"/>
        <w:ind w:left="709" w:right="709"/>
        <w:contextualSpacing/>
        <w:jc w:val="both"/>
        <w:textAlignment w:val="baseline"/>
        <w:rPr>
          <w:rFonts w:ascii="Verdana" w:eastAsia="Times New Roman" w:hAnsi="Verdana" w:cs="Arial"/>
          <w:i/>
          <w:iCs/>
          <w:sz w:val="20"/>
          <w:szCs w:val="20"/>
          <w:lang w:eastAsia="es-CO"/>
        </w:rPr>
      </w:pPr>
      <w:r w:rsidRPr="001A3CD7">
        <w:rPr>
          <w:rFonts w:ascii="Verdana" w:eastAsia="Times New Roman" w:hAnsi="Verdana" w:cs="Arial"/>
          <w:i/>
          <w:iCs/>
          <w:sz w:val="20"/>
          <w:szCs w:val="20"/>
          <w:lang w:eastAsia="es-CO"/>
        </w:rPr>
        <w:t>Se entenderá como empleos del nivel directivo aquellos cuyas funciones están relacionadas con la dirección de áreas misionales de la empresa y la toma de decisiones a nivel estratégico. En este sentido, serán cargos de nivel directivo los que dentro de la organización de la empresa se encuentran ubicados en un nivel de mando o los que por su jerarquía desempeñan cargos encaminados al cumplimiento de funciones orientadas a representar al empleador.</w:t>
      </w:r>
    </w:p>
    <w:p w14:paraId="302A768B" w14:textId="77777777" w:rsidR="004C0691" w:rsidRPr="001A3CD7" w:rsidRDefault="004C0691" w:rsidP="004C0691">
      <w:pPr>
        <w:shd w:val="clear" w:color="auto" w:fill="FFFFFF"/>
        <w:spacing w:after="0" w:line="240" w:lineRule="auto"/>
        <w:ind w:left="709" w:right="709"/>
        <w:contextualSpacing/>
        <w:jc w:val="both"/>
        <w:textAlignment w:val="baseline"/>
        <w:rPr>
          <w:rFonts w:ascii="Verdana" w:eastAsia="Times New Roman" w:hAnsi="Verdana" w:cs="Arial"/>
          <w:i/>
          <w:iCs/>
          <w:sz w:val="20"/>
          <w:szCs w:val="20"/>
          <w:lang w:eastAsia="es-CO"/>
        </w:rPr>
      </w:pPr>
    </w:p>
    <w:p w14:paraId="68128EBB" w14:textId="77777777" w:rsidR="004C0691" w:rsidRPr="001A3CD7" w:rsidRDefault="004C0691" w:rsidP="004C0691">
      <w:pPr>
        <w:shd w:val="clear" w:color="auto" w:fill="FFFFFF"/>
        <w:spacing w:after="0" w:line="240" w:lineRule="auto"/>
        <w:ind w:left="709" w:right="709"/>
        <w:contextualSpacing/>
        <w:jc w:val="both"/>
        <w:textAlignment w:val="baseline"/>
        <w:rPr>
          <w:rFonts w:ascii="Verdana" w:eastAsia="Times New Roman" w:hAnsi="Verdana" w:cs="Arial"/>
          <w:i/>
          <w:iCs/>
          <w:sz w:val="20"/>
          <w:szCs w:val="20"/>
          <w:lang w:eastAsia="es-CO"/>
        </w:rPr>
      </w:pPr>
      <w:r w:rsidRPr="001A3CD7">
        <w:rPr>
          <w:rFonts w:ascii="Verdana" w:eastAsia="Times New Roman" w:hAnsi="Verdana" w:cs="Arial"/>
          <w:i/>
          <w:iCs/>
          <w:sz w:val="20"/>
          <w:szCs w:val="20"/>
          <w:lang w:eastAsia="es-CO"/>
        </w:rPr>
        <w:t>Esta circunstancia se acreditará mediante certificación expedida por el representante legal y el revisor fiscal, cuando exista de acuerdo con los requerimientos de ley, o el contador, donde se señale de manera detallada todas las personas que conforman los cargos de nivel directivo del proponente, el número de mujeres y el tiempo de vinculación.</w:t>
      </w:r>
    </w:p>
    <w:p w14:paraId="2AFA8CC7" w14:textId="77777777" w:rsidR="004C0691" w:rsidRPr="001A3CD7" w:rsidRDefault="004C0691" w:rsidP="004C0691">
      <w:pPr>
        <w:shd w:val="clear" w:color="auto" w:fill="FFFFFF"/>
        <w:spacing w:after="0" w:line="240" w:lineRule="auto"/>
        <w:ind w:left="709" w:right="709"/>
        <w:contextualSpacing/>
        <w:jc w:val="both"/>
        <w:textAlignment w:val="baseline"/>
        <w:rPr>
          <w:rFonts w:ascii="Verdana" w:eastAsia="Times New Roman" w:hAnsi="Verdana" w:cs="Arial"/>
          <w:i/>
          <w:iCs/>
          <w:sz w:val="20"/>
          <w:szCs w:val="20"/>
          <w:lang w:eastAsia="es-CO"/>
        </w:rPr>
      </w:pPr>
    </w:p>
    <w:p w14:paraId="68F776E5" w14:textId="77777777" w:rsidR="004C0691" w:rsidRPr="001A3CD7" w:rsidRDefault="004C0691" w:rsidP="004C0691">
      <w:pPr>
        <w:shd w:val="clear" w:color="auto" w:fill="FFFFFF"/>
        <w:spacing w:after="0" w:line="240" w:lineRule="auto"/>
        <w:ind w:left="709" w:right="709"/>
        <w:contextualSpacing/>
        <w:jc w:val="both"/>
        <w:textAlignment w:val="baseline"/>
        <w:rPr>
          <w:rFonts w:ascii="Verdana" w:eastAsia="Times New Roman" w:hAnsi="Verdana" w:cs="Arial"/>
          <w:i/>
          <w:iCs/>
          <w:sz w:val="20"/>
          <w:szCs w:val="20"/>
          <w:lang w:eastAsia="es-CO"/>
        </w:rPr>
      </w:pPr>
      <w:r w:rsidRPr="001A3CD7">
        <w:rPr>
          <w:rFonts w:ascii="Verdana" w:eastAsia="Times New Roman" w:hAnsi="Verdana" w:cs="Arial"/>
          <w:i/>
          <w:iCs/>
          <w:sz w:val="20"/>
          <w:szCs w:val="20"/>
          <w:lang w:eastAsia="es-CO"/>
        </w:rPr>
        <w:t>La certificación deberá relacionar el nombre completo y el número de documento de identidad de cada una de las personas que conforman el nivel directivo del proponente. Como soporte, se anexará copia de los respectivos documentos de identidad, copia de los contratos de trabajo o certificación laboral con las funciones, así como el certificado de aportes a seguridad social del último año en el que se demuestren los pagos realizados por el empleador.</w:t>
      </w:r>
    </w:p>
    <w:p w14:paraId="78992FC4" w14:textId="77777777" w:rsidR="004C0691" w:rsidRPr="001A3CD7" w:rsidRDefault="004C0691" w:rsidP="004C0691">
      <w:pPr>
        <w:shd w:val="clear" w:color="auto" w:fill="FFFFFF"/>
        <w:spacing w:after="0" w:line="240" w:lineRule="auto"/>
        <w:ind w:left="709" w:right="709"/>
        <w:contextualSpacing/>
        <w:jc w:val="both"/>
        <w:textAlignment w:val="baseline"/>
        <w:rPr>
          <w:rFonts w:ascii="Verdana" w:eastAsia="Times New Roman" w:hAnsi="Verdana" w:cs="Arial"/>
          <w:sz w:val="20"/>
          <w:szCs w:val="20"/>
          <w:lang w:eastAsia="es-CO"/>
        </w:rPr>
      </w:pPr>
    </w:p>
    <w:p w14:paraId="27CA66B8" w14:textId="77777777" w:rsidR="004C0691" w:rsidRPr="001A3CD7" w:rsidRDefault="004C0691" w:rsidP="004C0691">
      <w:pPr>
        <w:shd w:val="clear" w:color="auto" w:fill="FFFFFF"/>
        <w:spacing w:after="0" w:line="240" w:lineRule="auto"/>
        <w:ind w:left="709" w:right="709"/>
        <w:contextualSpacing/>
        <w:jc w:val="both"/>
        <w:textAlignment w:val="baseline"/>
        <w:rPr>
          <w:rFonts w:ascii="Verdana" w:eastAsia="Times New Roman" w:hAnsi="Verdana" w:cs="Arial"/>
          <w:sz w:val="20"/>
          <w:szCs w:val="20"/>
          <w:lang w:eastAsia="es-CO"/>
        </w:rPr>
      </w:pPr>
      <w:r w:rsidRPr="001A3CD7">
        <w:rPr>
          <w:rFonts w:ascii="Verdana" w:eastAsia="Times New Roman" w:hAnsi="Verdana" w:cs="Arial"/>
          <w:sz w:val="20"/>
          <w:szCs w:val="20"/>
          <w:lang w:eastAsia="es-CO"/>
        </w:rPr>
        <w:t>3. Cuando la persona natural sea una mujer y haya ejercido actividades comerciales a través de un establecimiento de comercio durante al menos el último año anterior a la fecha de cierre del proceso de selección. Esta circunstancia se acreditará mediante la copia de cédula de ciudadanía, la cédula de extranjería o el pasaporte, así como la copia del registro mercantil.</w:t>
      </w:r>
    </w:p>
    <w:p w14:paraId="1AD365B5" w14:textId="77777777" w:rsidR="004C0691" w:rsidRPr="001A3CD7" w:rsidRDefault="004C0691" w:rsidP="004C0691">
      <w:pPr>
        <w:shd w:val="clear" w:color="auto" w:fill="FFFFFF"/>
        <w:spacing w:after="0" w:line="240" w:lineRule="auto"/>
        <w:ind w:left="709" w:right="709"/>
        <w:contextualSpacing/>
        <w:jc w:val="both"/>
        <w:textAlignment w:val="baseline"/>
        <w:rPr>
          <w:rFonts w:ascii="Verdana" w:eastAsia="Times New Roman" w:hAnsi="Verdana" w:cs="Arial"/>
          <w:sz w:val="20"/>
          <w:szCs w:val="20"/>
          <w:lang w:eastAsia="es-CO"/>
        </w:rPr>
      </w:pPr>
    </w:p>
    <w:p w14:paraId="3AF18175" w14:textId="77777777" w:rsidR="004C0691" w:rsidRPr="001A3CD7" w:rsidRDefault="004C0691" w:rsidP="004C0691">
      <w:pPr>
        <w:shd w:val="clear" w:color="auto" w:fill="FFFFFF"/>
        <w:spacing w:after="0" w:line="240" w:lineRule="auto"/>
        <w:ind w:left="709" w:right="709"/>
        <w:contextualSpacing/>
        <w:jc w:val="both"/>
        <w:textAlignment w:val="baseline"/>
        <w:rPr>
          <w:rFonts w:ascii="Verdana" w:eastAsia="Times New Roman" w:hAnsi="Verdana" w:cs="Arial"/>
          <w:sz w:val="20"/>
          <w:szCs w:val="20"/>
          <w:lang w:eastAsia="es-CO"/>
        </w:rPr>
      </w:pPr>
      <w:r w:rsidRPr="001A3CD7">
        <w:rPr>
          <w:rFonts w:ascii="Verdana" w:eastAsia="Times New Roman" w:hAnsi="Verdana" w:cs="Arial"/>
          <w:sz w:val="20"/>
          <w:szCs w:val="20"/>
          <w:lang w:eastAsia="es-CO"/>
        </w:rPr>
        <w:t xml:space="preserve">4. Para las asociaciones y cooperativas, cuando más del cincuenta por ciento (50%) de los asociados sean mujeres y la participación haya correspondido a estas durante al menos el último año anterior a la fecha </w:t>
      </w:r>
      <w:r w:rsidRPr="001A3CD7">
        <w:rPr>
          <w:rFonts w:ascii="Verdana" w:eastAsia="Times New Roman" w:hAnsi="Verdana" w:cs="Arial"/>
          <w:sz w:val="20"/>
          <w:szCs w:val="20"/>
          <w:lang w:eastAsia="es-CO"/>
        </w:rPr>
        <w:lastRenderedPageBreak/>
        <w:t>de cierre del Proceso de Selección. Esta circunstancia se acreditará mediante certificación expedida por el representante legal.</w:t>
      </w:r>
    </w:p>
    <w:p w14:paraId="5E0041E4" w14:textId="77777777" w:rsidR="004C0691" w:rsidRPr="001A3CD7" w:rsidRDefault="004C0691" w:rsidP="004C0691">
      <w:pPr>
        <w:shd w:val="clear" w:color="auto" w:fill="FFFFFF"/>
        <w:spacing w:after="0" w:line="240" w:lineRule="auto"/>
        <w:ind w:left="709" w:right="709"/>
        <w:contextualSpacing/>
        <w:jc w:val="both"/>
        <w:textAlignment w:val="baseline"/>
        <w:rPr>
          <w:rFonts w:ascii="Verdana" w:eastAsia="Times New Roman" w:hAnsi="Verdana" w:cs="Arial"/>
          <w:sz w:val="20"/>
          <w:szCs w:val="20"/>
          <w:lang w:eastAsia="es-CO"/>
        </w:rPr>
      </w:pPr>
    </w:p>
    <w:p w14:paraId="4AECA03E" w14:textId="77777777" w:rsidR="004C0691" w:rsidRPr="001A3CD7" w:rsidRDefault="004C0691" w:rsidP="004C0691">
      <w:pPr>
        <w:shd w:val="clear" w:color="auto" w:fill="FFFFFF"/>
        <w:spacing w:after="0" w:line="240" w:lineRule="auto"/>
        <w:ind w:left="709" w:right="709"/>
        <w:contextualSpacing/>
        <w:jc w:val="both"/>
        <w:textAlignment w:val="baseline"/>
        <w:rPr>
          <w:rFonts w:ascii="Verdana" w:eastAsia="Times New Roman" w:hAnsi="Verdana" w:cs="Arial"/>
          <w:sz w:val="20"/>
          <w:szCs w:val="20"/>
          <w:lang w:eastAsia="es-CO"/>
        </w:rPr>
      </w:pPr>
      <w:r w:rsidRPr="001A3CD7">
        <w:rPr>
          <w:rFonts w:ascii="Verdana" w:eastAsia="Times New Roman" w:hAnsi="Verdana" w:cs="Arial"/>
          <w:sz w:val="20"/>
          <w:szCs w:val="20"/>
          <w:lang w:eastAsia="es-CO"/>
        </w:rPr>
        <w:t>Parágrafo. Respecto a los incentivos contractuales para los emprendimientos y empresas de mujeres, las certificaciones de trata el presente artículo deben expedirse bajo la gravedad de juramento con una fecha de máximo treinta (30) días calendario anteriores a la prevista para el cierre del procedimiento de selección” [Énfasis fuera de texto].</w:t>
      </w:r>
    </w:p>
    <w:p w14:paraId="1EA96136" w14:textId="77777777" w:rsidR="00FC59CF" w:rsidRDefault="00FC59CF" w:rsidP="00FC59CF">
      <w:pPr>
        <w:spacing w:after="120" w:line="276" w:lineRule="auto"/>
        <w:jc w:val="both"/>
        <w:rPr>
          <w:rFonts w:ascii="Verdana" w:eastAsia="Calibri" w:hAnsi="Verdana" w:cs="Arial"/>
          <w:lang w:val="es-ES_tradnl" w:eastAsia="es-ES_tradnl"/>
        </w:rPr>
      </w:pPr>
    </w:p>
    <w:p w14:paraId="3DBEE909" w14:textId="77777777" w:rsidR="00FC59CF" w:rsidRDefault="004C0691" w:rsidP="00FC59CF">
      <w:pPr>
        <w:pStyle w:val="Prrafodelista"/>
        <w:numPr>
          <w:ilvl w:val="0"/>
          <w:numId w:val="24"/>
        </w:numPr>
        <w:spacing w:after="120" w:line="276" w:lineRule="auto"/>
        <w:jc w:val="both"/>
        <w:rPr>
          <w:rFonts w:ascii="Verdana" w:eastAsia="Calibri" w:hAnsi="Verdana" w:cs="Arial"/>
          <w:lang w:eastAsia="es-ES"/>
        </w:rPr>
      </w:pPr>
      <w:r w:rsidRPr="00FC59CF">
        <w:rPr>
          <w:rFonts w:ascii="Verdana" w:eastAsia="Calibri" w:hAnsi="Verdana" w:cs="Arial"/>
          <w:lang w:eastAsia="es-ES"/>
        </w:rPr>
        <w:t xml:space="preserve">De acuerdo con lo establecido en este artículo, para efectos de la aplicación de los criterios diferenciales en el sistema de compras públicas, en los términos del artículo 32 de la Ley 2069 de 2020, son considerados emprendimientos y empresas de mujeres aquellas personas jurídicas o naturales que cumplan con alguno de los cuatro (4) supuestos de hecho previstos en la norma citada y acrediten estos supuestos con los documentos previstos para ello. Teniendo en cuenta el objeto de la consulta, resulta relevante el análisis del criterio definido en el numeral primero del artículo precitado, dado que consagra una de las condiciones aplicables a las personas jurídicas. </w:t>
      </w:r>
    </w:p>
    <w:p w14:paraId="02FB4715" w14:textId="77777777" w:rsidR="00FC59CF" w:rsidRPr="00FC59CF" w:rsidRDefault="004C0691" w:rsidP="00FC59CF">
      <w:pPr>
        <w:pStyle w:val="Prrafodelista"/>
        <w:numPr>
          <w:ilvl w:val="0"/>
          <w:numId w:val="24"/>
        </w:numPr>
        <w:spacing w:after="120" w:line="276" w:lineRule="auto"/>
        <w:jc w:val="both"/>
        <w:rPr>
          <w:rFonts w:ascii="Verdana" w:eastAsia="Calibri" w:hAnsi="Verdana" w:cs="Arial"/>
          <w:lang w:eastAsia="es-ES"/>
        </w:rPr>
      </w:pPr>
      <w:r w:rsidRPr="00FC59CF">
        <w:rPr>
          <w:rFonts w:ascii="Verdana" w:eastAsia="Calibri" w:hAnsi="Verdana" w:cs="Arial"/>
          <w:lang w:eastAsia="es-ES_tradnl"/>
        </w:rPr>
        <w:t xml:space="preserve">El </w:t>
      </w:r>
      <w:r w:rsidRPr="00FC59CF">
        <w:rPr>
          <w:rFonts w:ascii="Verdana" w:eastAsia="Times New Roman" w:hAnsi="Verdana" w:cs="Arial"/>
          <w:lang w:val="es-ES_tradnl" w:eastAsia="es-ES"/>
        </w:rPr>
        <w:t xml:space="preserve">numeral primero establece que </w:t>
      </w:r>
      <w:r w:rsidRPr="00FC59CF">
        <w:rPr>
          <w:rFonts w:ascii="Verdana" w:eastAsia="Calibri" w:hAnsi="Verdana" w:cs="Arial"/>
          <w:lang w:val="es-ES_tradnl"/>
        </w:rPr>
        <w:t xml:space="preserve">una sociedad podrá ser considerada como un emprendimiento o empresa de mujeres cuando más del cincuenta por ciento (50%) de sus acciones, partes de interés o cuotas de participación, pertenezcan a mujeres. </w:t>
      </w:r>
      <w:bookmarkStart w:id="7" w:name="_Hlk175580519"/>
      <w:r w:rsidRPr="00FC59CF">
        <w:rPr>
          <w:rFonts w:ascii="Verdana" w:eastAsia="Calibri" w:hAnsi="Verdana" w:cs="Arial"/>
          <w:lang w:val="es-ES_tradnl"/>
        </w:rPr>
        <w:t>Sin embargo, el supuesto de hecho de la norma transcrita, adicionalmente, exige que la titularidad de tal participación haya pertenecido a mujeres, por lo menos, durante el año anterior a la fecha de cierre del proceso de selección.</w:t>
      </w:r>
      <w:bookmarkEnd w:id="7"/>
    </w:p>
    <w:p w14:paraId="2FAB1A67" w14:textId="77777777" w:rsidR="00FC59CF" w:rsidRDefault="004C0691" w:rsidP="00FC59CF">
      <w:pPr>
        <w:pStyle w:val="Prrafodelista"/>
        <w:numPr>
          <w:ilvl w:val="0"/>
          <w:numId w:val="24"/>
        </w:numPr>
        <w:spacing w:after="120" w:line="276" w:lineRule="auto"/>
        <w:jc w:val="both"/>
        <w:rPr>
          <w:rFonts w:ascii="Verdana" w:eastAsia="Calibri" w:hAnsi="Verdana" w:cs="Arial"/>
          <w:lang w:eastAsia="es-ES"/>
        </w:rPr>
      </w:pPr>
      <w:r w:rsidRPr="00FC59CF">
        <w:rPr>
          <w:rFonts w:ascii="Verdana" w:eastAsia="Calibri" w:hAnsi="Verdana" w:cs="Arial"/>
        </w:rPr>
        <w:t>Esto quiere decir que, no basta con que la participación en una sociedad sea mayoritariamente de mujeres para que sea considerada como un emprendimiento o empresa a los que se refiere la norma, sino que además es necesario que dicha participación mayoritaria se haya mantenido como mínimo durante el periodo de un (1) año, contado a partir de la fecha de cierre del proceso de selección. De esta manera, el primer criterio establecido en la norma para definir los emprendimientos y empresas de mujeres deja por fuera de dicha categoría a aquellas sociedades que, a pesar de contar con la participación mayoritaria de mujeres, no cuenten con el requerimiento del tiempo mínimo de un (1) año</w:t>
      </w:r>
      <w:r w:rsidR="00FC59CF">
        <w:rPr>
          <w:rFonts w:ascii="Verdana" w:eastAsia="Calibri" w:hAnsi="Verdana" w:cs="Arial"/>
        </w:rPr>
        <w:t>.</w:t>
      </w:r>
    </w:p>
    <w:p w14:paraId="5778645B" w14:textId="77777777" w:rsidR="00FC59CF" w:rsidRPr="00FC59CF" w:rsidRDefault="004C0691" w:rsidP="00FC59CF">
      <w:pPr>
        <w:pStyle w:val="Prrafodelista"/>
        <w:numPr>
          <w:ilvl w:val="0"/>
          <w:numId w:val="24"/>
        </w:numPr>
        <w:spacing w:after="120" w:line="276" w:lineRule="auto"/>
        <w:jc w:val="both"/>
        <w:rPr>
          <w:rFonts w:ascii="Verdana" w:eastAsia="Calibri" w:hAnsi="Verdana" w:cs="Arial"/>
          <w:lang w:eastAsia="es-ES"/>
        </w:rPr>
      </w:pPr>
      <w:r w:rsidRPr="00FC59CF">
        <w:rPr>
          <w:rFonts w:ascii="Verdana" w:eastAsia="Calibri" w:hAnsi="Verdana" w:cs="Arial"/>
          <w:lang w:val="es-ES_tradnl"/>
        </w:rPr>
        <w:t xml:space="preserve">Así mismo, debe precisarse que la participación mayoritaria de mujeres </w:t>
      </w:r>
      <w:r w:rsidRPr="00FC59CF">
        <w:rPr>
          <w:rFonts w:ascii="Verdana" w:hAnsi="Verdana" w:cs="Arial"/>
        </w:rPr>
        <w:t xml:space="preserve">puede ser ejercida por diferentes personas durante el último año, siempre que durante dicho periodo la participación </w:t>
      </w:r>
      <w:r w:rsidRPr="00FC59CF">
        <w:rPr>
          <w:rFonts w:ascii="Verdana" w:hAnsi="Verdana" w:cs="Arial"/>
          <w:i/>
        </w:rPr>
        <w:t>mayoritaria</w:t>
      </w:r>
      <w:r w:rsidRPr="00FC59CF">
        <w:rPr>
          <w:rFonts w:ascii="Verdana" w:hAnsi="Verdana" w:cs="Arial"/>
        </w:rPr>
        <w:t xml:space="preserve"> de mujeres se haya </w:t>
      </w:r>
      <w:r w:rsidRPr="00FC59CF">
        <w:rPr>
          <w:rFonts w:ascii="Verdana" w:hAnsi="Verdana" w:cs="Arial"/>
        </w:rPr>
        <w:lastRenderedPageBreak/>
        <w:t xml:space="preserve">mantenido, aunque se trate de mujeres distintas. En tal sentido, se cumple con la norma, toda vez que la finalidad y alcance es que la titularidad mayoritaria por un (1) año sea ejercida por mujeres, a pesar de que cambien las propietarias de las partes de interés o cuotas de participación. </w:t>
      </w:r>
    </w:p>
    <w:p w14:paraId="14AF9C18" w14:textId="77777777" w:rsidR="00FC59CF" w:rsidRPr="00FC59CF" w:rsidRDefault="004C0691" w:rsidP="00FC59CF">
      <w:pPr>
        <w:pStyle w:val="Prrafodelista"/>
        <w:numPr>
          <w:ilvl w:val="0"/>
          <w:numId w:val="24"/>
        </w:numPr>
        <w:spacing w:after="120" w:line="276" w:lineRule="auto"/>
        <w:jc w:val="both"/>
        <w:rPr>
          <w:rFonts w:ascii="Verdana" w:eastAsia="Calibri" w:hAnsi="Verdana" w:cs="Arial"/>
          <w:lang w:eastAsia="es-ES"/>
        </w:rPr>
      </w:pPr>
      <w:r w:rsidRPr="00FC59CF">
        <w:rPr>
          <w:rFonts w:ascii="Verdana" w:hAnsi="Verdana" w:cs="Arial"/>
        </w:rPr>
        <w:t xml:space="preserve">Como medio para la acreditación de este criterio, señala la normativa referida que: </w:t>
      </w:r>
      <w:r w:rsidRPr="00FC59CF">
        <w:rPr>
          <w:rFonts w:ascii="Verdana" w:eastAsia="Times New Roman" w:hAnsi="Verdana" w:cs="Arial"/>
          <w:i/>
          <w:lang w:val="es-ES_tradnl" w:eastAsia="es-ES"/>
        </w:rPr>
        <w:t>“</w:t>
      </w:r>
      <w:r w:rsidRPr="00FC59CF">
        <w:rPr>
          <w:rFonts w:ascii="Verdana" w:hAnsi="Verdana" w:cs="Arial"/>
          <w:i/>
        </w:rPr>
        <w:t>Esta circunstancia se acreditará mediante certificación expedida por el representante legal y el revisor fiscal, cuando exista de acuerdo con los requerimientos de ley, o el contador, donde conste la distribución de los derechos en la sociedad y el tiempo en el que las mujeres han mantenido su participación</w:t>
      </w:r>
      <w:r w:rsidRPr="00FC59CF">
        <w:rPr>
          <w:rFonts w:ascii="Verdana" w:eastAsia="Times New Roman" w:hAnsi="Verdana" w:cs="Arial"/>
          <w:i/>
          <w:lang w:val="es-ES_tradnl" w:eastAsia="es-ES"/>
        </w:rPr>
        <w:t>”</w:t>
      </w:r>
      <w:r w:rsidRPr="00FC59CF">
        <w:rPr>
          <w:rFonts w:ascii="Verdana" w:hAnsi="Verdana" w:cs="Arial"/>
        </w:rPr>
        <w:t>.</w:t>
      </w:r>
    </w:p>
    <w:p w14:paraId="50329922" w14:textId="77777777" w:rsidR="00FC59CF" w:rsidRDefault="004C0691" w:rsidP="00FC59CF">
      <w:pPr>
        <w:pStyle w:val="Prrafodelista"/>
        <w:numPr>
          <w:ilvl w:val="0"/>
          <w:numId w:val="24"/>
        </w:numPr>
        <w:spacing w:after="120" w:line="276" w:lineRule="auto"/>
        <w:jc w:val="both"/>
        <w:rPr>
          <w:rFonts w:ascii="Verdana" w:eastAsia="Calibri" w:hAnsi="Verdana" w:cs="Arial"/>
          <w:lang w:eastAsia="es-ES"/>
        </w:rPr>
      </w:pPr>
      <w:r w:rsidRPr="00FC59CF">
        <w:rPr>
          <w:rFonts w:ascii="Verdana" w:eastAsia="Calibri" w:hAnsi="Verdana" w:cs="Arial"/>
          <w:lang w:eastAsia="es-ES"/>
        </w:rPr>
        <w:t xml:space="preserve">Así pues, de acuerdo con la revisión de todos los numerales del artículo 2.2.1.2.4.2.14 es posible advertir que para cada uno de estos fueron expresamente establecidos los documentos que sirven como medio para su acreditación. De este modo dichos documentos constituyen una tarifa legal probatoria para demostrar que los proponentes son emprendimientos o empresas de mujeres y que, por lo tanto, tienen derecho a la aplicación de los criterios diferenciales reglamentados por el artículo 2.2.1.2.4.2.15 del Decreto 1082 de 2015, en desarrollo del artículo 32 de la Ley 2069 de 2020. Esto significa que a quienes pretendan acceder a tales beneficios en consideración a la definición establecida en el numeral </w:t>
      </w:r>
      <w:r w:rsidRPr="00FC59CF">
        <w:rPr>
          <w:rFonts w:ascii="Verdana" w:eastAsia="Calibri" w:hAnsi="Verdana" w:cs="Arial"/>
          <w:i/>
          <w:lang w:eastAsia="es-ES"/>
        </w:rPr>
        <w:t>primero</w:t>
      </w:r>
      <w:r w:rsidRPr="00FC59CF">
        <w:rPr>
          <w:rFonts w:ascii="Verdana" w:eastAsia="Calibri" w:hAnsi="Verdana" w:cs="Arial"/>
          <w:lang w:eastAsia="es-ES"/>
        </w:rPr>
        <w:t xml:space="preserve"> del artículo 2.2.1.2.4.2.14, les corresponde presentar la mencionada certificación con sus respectivos soportes.</w:t>
      </w:r>
    </w:p>
    <w:p w14:paraId="0BE25980" w14:textId="06695FB7" w:rsidR="00FC59CF" w:rsidRPr="00FC59CF" w:rsidRDefault="004C0691" w:rsidP="00FC59CF">
      <w:pPr>
        <w:pStyle w:val="Prrafodelista"/>
        <w:numPr>
          <w:ilvl w:val="0"/>
          <w:numId w:val="24"/>
        </w:numPr>
        <w:spacing w:after="120" w:line="276" w:lineRule="auto"/>
        <w:jc w:val="both"/>
        <w:rPr>
          <w:rFonts w:ascii="Verdana" w:eastAsia="Calibri" w:hAnsi="Verdana" w:cs="Arial"/>
          <w:lang w:eastAsia="es-ES"/>
        </w:rPr>
      </w:pPr>
      <w:r w:rsidRPr="00FC59CF">
        <w:rPr>
          <w:rFonts w:ascii="Verdana" w:eastAsia="Calibri" w:hAnsi="Verdana" w:cs="Arial"/>
          <w:lang w:val="es-ES_tradnl" w:eastAsia="es-ES_tradnl"/>
        </w:rPr>
        <w:t xml:space="preserve">En atención a la pregunta planteada, debe señalarse conforme lo analizado en el presente escrito, una </w:t>
      </w:r>
      <w:r w:rsidRPr="00FC59CF">
        <w:rPr>
          <w:rFonts w:ascii="Verdana" w:eastAsia="Calibri" w:hAnsi="Verdana" w:cs="Arial"/>
          <w:lang w:val="es-ES_tradnl"/>
        </w:rPr>
        <w:t xml:space="preserve">sociedad podrá ser considerada como un emprendimiento o empresa de mujeres cuando más del cincuenta por ciento (50%) de sus acciones, partes de interés o cuotas de participación, pertenezcan a mujeres. </w:t>
      </w:r>
      <w:r w:rsidRPr="00FC59CF">
        <w:rPr>
          <w:rFonts w:ascii="Verdana" w:eastAsia="Calibri" w:hAnsi="Verdana" w:cs="Arial"/>
          <w:lang w:val="es-ES_tradnl" w:eastAsia="es-ES_tradnl"/>
        </w:rPr>
        <w:t xml:space="preserve">Así las cosas, una interpretación exegética del numeral primero del artículo </w:t>
      </w:r>
      <w:r w:rsidRPr="00FC59CF">
        <w:rPr>
          <w:rFonts w:ascii="Verdana" w:eastAsia="Calibri" w:hAnsi="Verdana" w:cs="Arial"/>
          <w:lang w:eastAsia="es-ES_tradnl"/>
        </w:rPr>
        <w:t xml:space="preserve">2.2.1.2.4.2.14 al Decreto 1082 de 2015 permite concluir </w:t>
      </w:r>
      <w:r w:rsidRPr="00FC59CF">
        <w:rPr>
          <w:rFonts w:ascii="Verdana" w:eastAsia="Calibri" w:hAnsi="Verdana" w:cs="Arial"/>
          <w:lang w:val="es-ES_tradnl" w:eastAsia="es-ES_tradnl"/>
        </w:rPr>
        <w:t xml:space="preserve">que la aplicación de los criterios diferenciales a favor de los emprendimientos y empresas de mujeres se extiende frente a aquellas personas jurídicas </w:t>
      </w:r>
      <w:r w:rsidRPr="00FC59CF">
        <w:rPr>
          <w:rFonts w:ascii="Verdana" w:eastAsia="Calibri" w:hAnsi="Verdana" w:cs="Arial"/>
          <w:lang w:val="es-ES_tradnl"/>
        </w:rPr>
        <w:t>cuando más del cincuenta por ciento (50%) de sus acciones, partes de interés o cuotas de participación pertenezcan a mujeres, independientemente que se trate de una sola y que esta se ejerza una situación de control.</w:t>
      </w:r>
    </w:p>
    <w:p w14:paraId="5F6C4599" w14:textId="77777777" w:rsidR="00FC59CF" w:rsidRPr="00FC59CF" w:rsidRDefault="004C0691" w:rsidP="00FC59CF">
      <w:pPr>
        <w:pStyle w:val="Prrafodelista"/>
        <w:numPr>
          <w:ilvl w:val="0"/>
          <w:numId w:val="24"/>
        </w:numPr>
        <w:spacing w:after="120" w:line="276" w:lineRule="auto"/>
        <w:jc w:val="both"/>
        <w:rPr>
          <w:rFonts w:ascii="Verdana" w:eastAsia="Calibri" w:hAnsi="Verdana" w:cs="Arial"/>
          <w:lang w:eastAsia="es-ES"/>
        </w:rPr>
      </w:pPr>
      <w:r w:rsidRPr="00FC59CF">
        <w:rPr>
          <w:rFonts w:ascii="Verdana" w:eastAsia="Calibri" w:hAnsi="Verdana" w:cs="Arial"/>
          <w:color w:val="000000" w:themeColor="text1"/>
        </w:rPr>
        <w:t xml:space="preserve">Ahora bien, las normas de la Ley 222 de 1995 y la Ley 1116 de 2006 definen los conceptos de situación de control y de grupo empresarial y los correspondientes efectos, tales como la inscripción en el Registro </w:t>
      </w:r>
      <w:r w:rsidRPr="00FC59CF">
        <w:rPr>
          <w:rFonts w:ascii="Verdana" w:eastAsia="Calibri" w:hAnsi="Verdana" w:cs="Arial"/>
          <w:color w:val="000000" w:themeColor="text1"/>
        </w:rPr>
        <w:lastRenderedPageBreak/>
        <w:t>Mercantil, la consolidación de estados financieros, la posibilidad de hacer efectiva la responsabilidad subsidiaria de la matriz o controlante en casos de liquidación de las subordinadas, la prohibición de imbricación y la facultad de los organismos de inspección, vigilancia y control para comprobar la realidad de las operaciones, imponer multas y ordenar la suspensión de tales operaciones. Estas disposiciones definen la posibilidad del control de hecho sobre las sociedades, sin que se excluyan otros mecanismos de control formal o contractual. El control puede ser ejercido en Colombia o desde Colombia por personas naturales o jurídicas nacionales o extranjeras</w:t>
      </w:r>
      <w:r w:rsidRPr="00C02094">
        <w:rPr>
          <w:rStyle w:val="Refdenotaalpie"/>
          <w:rFonts w:ascii="Verdana" w:eastAsia="Calibri" w:hAnsi="Verdana" w:cs="Arial"/>
          <w:color w:val="000000" w:themeColor="text1"/>
        </w:rPr>
        <w:footnoteReference w:id="9"/>
      </w:r>
      <w:r w:rsidRPr="00FC59CF">
        <w:rPr>
          <w:rFonts w:ascii="Verdana" w:eastAsia="Calibri" w:hAnsi="Verdana" w:cs="Arial"/>
          <w:color w:val="000000" w:themeColor="text1"/>
        </w:rPr>
        <w:t>.</w:t>
      </w:r>
    </w:p>
    <w:p w14:paraId="322ECB93" w14:textId="77777777" w:rsidR="00FC59CF" w:rsidRPr="00FC59CF" w:rsidRDefault="004C0691" w:rsidP="00FC59CF">
      <w:pPr>
        <w:pStyle w:val="Prrafodelista"/>
        <w:numPr>
          <w:ilvl w:val="0"/>
          <w:numId w:val="24"/>
        </w:numPr>
        <w:spacing w:after="120" w:line="276" w:lineRule="auto"/>
        <w:jc w:val="both"/>
        <w:rPr>
          <w:rFonts w:ascii="Verdana" w:eastAsia="Calibri" w:hAnsi="Verdana" w:cs="Arial"/>
          <w:lang w:eastAsia="es-ES"/>
        </w:rPr>
      </w:pPr>
      <w:r w:rsidRPr="00FC59CF">
        <w:rPr>
          <w:rFonts w:ascii="Verdana" w:eastAsia="Calibri" w:hAnsi="Verdana" w:cs="Arial"/>
          <w:color w:val="000000" w:themeColor="text1"/>
        </w:rPr>
        <w:t xml:space="preserve">especto a las modalidades de control, el </w:t>
      </w:r>
      <w:bookmarkStart w:id="8" w:name="_Hlk175579998"/>
      <w:r w:rsidRPr="00FC59CF">
        <w:rPr>
          <w:rFonts w:ascii="Verdana" w:eastAsia="Calibri" w:hAnsi="Verdana" w:cs="Arial"/>
          <w:color w:val="000000" w:themeColor="text1"/>
        </w:rPr>
        <w:t>Código de Comercio, en el artículo 261 – al cual se refiere en su consulta –, subrogado por el artículo 27 de la Ley 222 de 1995</w:t>
      </w:r>
      <w:bookmarkEnd w:id="8"/>
      <w:r w:rsidRPr="00FC59CF">
        <w:rPr>
          <w:rFonts w:ascii="Verdana" w:eastAsia="Calibri" w:hAnsi="Verdana" w:cs="Arial"/>
          <w:color w:val="000000" w:themeColor="text1"/>
        </w:rPr>
        <w:t xml:space="preserve">, aclara y especifica los supuestos de subordinación para el control societario. Una de las modalidades se refiere al control interno por participación, el cual se verifica cuando se posea más del cincuenta por ciento (50%) del capital en la subordinada, sea directamente o por intermedio o con el concurso de las subordinadas, o las subordinadas de estas- </w:t>
      </w:r>
      <w:bookmarkStart w:id="9" w:name="_Hlk175580433"/>
    </w:p>
    <w:p w14:paraId="35BBB74A" w14:textId="77777777" w:rsidR="00FC59CF" w:rsidRPr="00FC59CF" w:rsidRDefault="004C0691" w:rsidP="00FC59CF">
      <w:pPr>
        <w:pStyle w:val="Prrafodelista"/>
        <w:numPr>
          <w:ilvl w:val="0"/>
          <w:numId w:val="24"/>
        </w:numPr>
        <w:spacing w:after="120" w:line="276" w:lineRule="auto"/>
        <w:jc w:val="both"/>
        <w:rPr>
          <w:rFonts w:ascii="Verdana" w:eastAsia="Calibri" w:hAnsi="Verdana" w:cs="Arial"/>
          <w:lang w:eastAsia="es-ES"/>
        </w:rPr>
      </w:pPr>
      <w:r w:rsidRPr="00FC59CF">
        <w:rPr>
          <w:rFonts w:ascii="Verdana" w:eastAsia="Calibri" w:hAnsi="Verdana" w:cs="Arial"/>
          <w:color w:val="000000" w:themeColor="text1"/>
        </w:rPr>
        <w:t>El artículo 30 de la Ley 222 de 1995, señala la obligatoriedad de inscripción en el Registro Mercantil de las situaciones de control o de los grupos empresariales. Esta se obtiene mediante un documento privado suscrito por la persona o personas controlantes, que debe contener la información relativa al nombre, domicilio, nacionalidad y actividad de los vinculados, así como el presupuesto que da lugar a la situación de control. El documento debe presentarse para su inscripción en el Registro Mercantil correspondiente a la circunscripción de cada uno de los vinculados, dentro de los treinta (30) días siguientes a la configuración de la situación de control o del grupo empresarial</w:t>
      </w:r>
      <w:bookmarkEnd w:id="9"/>
      <w:r w:rsidRPr="00C02094">
        <w:rPr>
          <w:rStyle w:val="Refdenotaalpie"/>
          <w:rFonts w:ascii="Verdana" w:eastAsia="Calibri" w:hAnsi="Verdana" w:cs="Arial"/>
          <w:color w:val="000000" w:themeColor="text1"/>
        </w:rPr>
        <w:footnoteReference w:id="10"/>
      </w:r>
      <w:r w:rsidRPr="00FC59CF">
        <w:rPr>
          <w:rFonts w:ascii="Verdana" w:eastAsia="Calibri" w:hAnsi="Verdana" w:cs="Arial"/>
          <w:color w:val="000000" w:themeColor="text1"/>
        </w:rPr>
        <w:t>.</w:t>
      </w:r>
    </w:p>
    <w:p w14:paraId="67E5C5D8" w14:textId="77777777" w:rsidR="00FC59CF" w:rsidRPr="00FC59CF" w:rsidRDefault="004C0691" w:rsidP="00FC59CF">
      <w:pPr>
        <w:pStyle w:val="Prrafodelista"/>
        <w:numPr>
          <w:ilvl w:val="0"/>
          <w:numId w:val="24"/>
        </w:numPr>
        <w:spacing w:after="120" w:line="276" w:lineRule="auto"/>
        <w:jc w:val="both"/>
        <w:rPr>
          <w:rFonts w:ascii="Verdana" w:eastAsia="Calibri" w:hAnsi="Verdana" w:cs="Arial"/>
          <w:lang w:eastAsia="es-ES"/>
        </w:rPr>
      </w:pPr>
      <w:r w:rsidRPr="00FC59CF">
        <w:rPr>
          <w:rFonts w:ascii="Verdana" w:eastAsia="Calibri" w:hAnsi="Verdana" w:cs="Arial"/>
          <w:color w:val="000000" w:themeColor="text1"/>
        </w:rPr>
        <w:t xml:space="preserve">El parágrafo 1º del artículo 27 de dicha ley señala: “Igualmente habrá subordinación, para todos los efectos legales, cuando el control conforme a los supuestos previstos en el presente artículo, sea ejercido por una o varias personas naturales o jurídicas de naturaleza no societaria, bien sea directamente o por intermedio o con el concurso de entidades en las cuales estas poseen más del cincuenta por ciento del capital o configure </w:t>
      </w:r>
      <w:r w:rsidRPr="00FC59CF">
        <w:rPr>
          <w:rFonts w:ascii="Verdana" w:eastAsia="Calibri" w:hAnsi="Verdana" w:cs="Arial"/>
          <w:color w:val="000000" w:themeColor="text1"/>
        </w:rPr>
        <w:lastRenderedPageBreak/>
        <w:t>la mayoría mínima para la toma de decisiones o ejerzan influencia dominante en la dirección o toma de la entidad”. Es así que la obligación establecida en el citado artículo 30 es uno de los efectos del control; luego, las personas controlantes que no sean sociedades también se encuentran cobijadas por dicha norma.</w:t>
      </w:r>
      <w:bookmarkStart w:id="10" w:name="_Hlk175580469"/>
    </w:p>
    <w:p w14:paraId="15991598" w14:textId="77777777" w:rsidR="00FC59CF" w:rsidRPr="00FC59CF" w:rsidRDefault="004C0691" w:rsidP="00FC59CF">
      <w:pPr>
        <w:pStyle w:val="Prrafodelista"/>
        <w:numPr>
          <w:ilvl w:val="0"/>
          <w:numId w:val="24"/>
        </w:numPr>
        <w:spacing w:after="120" w:line="276" w:lineRule="auto"/>
        <w:jc w:val="both"/>
        <w:rPr>
          <w:rFonts w:ascii="Verdana" w:eastAsia="Calibri" w:hAnsi="Verdana" w:cs="Arial"/>
          <w:lang w:eastAsia="es-ES"/>
        </w:rPr>
      </w:pPr>
      <w:r w:rsidRPr="00FC59CF">
        <w:rPr>
          <w:rFonts w:ascii="Verdana" w:eastAsia="Calibri" w:hAnsi="Verdana" w:cs="Arial"/>
          <w:color w:val="000000" w:themeColor="text1"/>
        </w:rPr>
        <w:t xml:space="preserve">La norma faculta a la Superintendencia Financiera para que de oficio o a solicitud de cualquier interesado, declare la situación de vinculación y ordene la inscripción en el Registro Mercantil, sin perjuicio de la imposición de multas a que haya lugar por dicha omisión. Así las cosas, es claro que es competencia de esta entidad la declaratoria de la situación, no a cada una de las Entidades Estatales que adelanten el proceso de contratación, quienes para efecto de aplicar los criterios diferenciales de que trata el artículo 32 de la Ley 2069 de 2021 y el Decreto 1860 de 2021 deberán verificar el cumplimiento de los requisitos de que trata el </w:t>
      </w:r>
      <w:r w:rsidRPr="00FC59CF">
        <w:rPr>
          <w:rFonts w:ascii="Verdana" w:eastAsia="Calibri" w:hAnsi="Verdana" w:cs="Arial"/>
          <w:lang w:val="es-ES_tradnl" w:eastAsia="es-ES_tradnl"/>
        </w:rPr>
        <w:t xml:space="preserve">Artículo 2.2.1.2.4.2.14. – adicionado por el artículo 3 del Decreto 1860 de 2021. </w:t>
      </w:r>
    </w:p>
    <w:p w14:paraId="7788F795" w14:textId="592FB0A8" w:rsidR="004C0691" w:rsidRPr="00FC59CF" w:rsidRDefault="004C0691" w:rsidP="00FC59CF">
      <w:pPr>
        <w:pStyle w:val="Prrafodelista"/>
        <w:numPr>
          <w:ilvl w:val="0"/>
          <w:numId w:val="24"/>
        </w:numPr>
        <w:spacing w:after="120" w:line="276" w:lineRule="auto"/>
        <w:jc w:val="both"/>
        <w:rPr>
          <w:rFonts w:ascii="Verdana" w:eastAsia="Calibri" w:hAnsi="Verdana" w:cs="Arial"/>
          <w:lang w:eastAsia="es-ES"/>
        </w:rPr>
      </w:pPr>
      <w:r w:rsidRPr="00FC59CF">
        <w:rPr>
          <w:rFonts w:ascii="Verdana" w:hAnsi="Verdana" w:cs="Arial"/>
        </w:rPr>
        <w:t>Lo anterior, sin perjuicio de que, si no se efectúa la inscripción dentro del plazo indicado, la Superintendencia de Sociedades, o en su caso la Financiera, de oficio o a solicitud de cualquier interesado, declarará la situación de vinculación y ordenará la inscripción en el Registro Mercantil, sin perjuicio de la imposición de multas a que haya lugar.</w:t>
      </w:r>
      <w:bookmarkEnd w:id="10"/>
    </w:p>
    <w:p w14:paraId="5C8F0C68" w14:textId="77777777" w:rsidR="004C0691" w:rsidRPr="00C02094" w:rsidRDefault="004C0691" w:rsidP="004C0691">
      <w:pPr>
        <w:widowControl w:val="0"/>
        <w:autoSpaceDE w:val="0"/>
        <w:autoSpaceDN w:val="0"/>
        <w:spacing w:after="0" w:line="276" w:lineRule="auto"/>
        <w:jc w:val="both"/>
        <w:rPr>
          <w:rFonts w:ascii="Verdana" w:hAnsi="Verdana" w:cs="Arial"/>
        </w:rPr>
      </w:pPr>
    </w:p>
    <w:p w14:paraId="76DBE697" w14:textId="77777777" w:rsidR="004C0691" w:rsidRPr="00C02094" w:rsidRDefault="004C0691" w:rsidP="004C0691">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C02094">
        <w:rPr>
          <w:rFonts w:ascii="Verdana" w:eastAsia="Century Gothic" w:hAnsi="Verdana" w:cs="Century Gothic"/>
          <w:b/>
          <w:bCs/>
        </w:rPr>
        <w:t>Referencias normativas, jurisprudenciales y otras fuentes:</w:t>
      </w:r>
    </w:p>
    <w:p w14:paraId="6D2A35E0" w14:textId="77777777" w:rsidR="004C0691" w:rsidRPr="00C02094" w:rsidRDefault="004C0691" w:rsidP="004C0691">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4C0691" w:rsidRPr="00C02094" w14:paraId="18042C4E" w14:textId="77777777" w:rsidTr="002D7ACD">
        <w:trPr>
          <w:trHeight w:val="870"/>
        </w:trPr>
        <w:tc>
          <w:tcPr>
            <w:tcW w:w="8647" w:type="dxa"/>
          </w:tcPr>
          <w:p w14:paraId="0761B882" w14:textId="77777777" w:rsidR="004C0691" w:rsidRPr="00C02094" w:rsidRDefault="004C0691" w:rsidP="00D818FA">
            <w:pPr>
              <w:pStyle w:val="Prrafodelista"/>
              <w:numPr>
                <w:ilvl w:val="0"/>
                <w:numId w:val="19"/>
              </w:numPr>
              <w:jc w:val="both"/>
              <w:rPr>
                <w:rFonts w:ascii="Verdana" w:eastAsia="Calibri" w:hAnsi="Verdana" w:cs="Arial"/>
                <w:bCs/>
                <w:lang w:eastAsia="es-ES_tradnl"/>
              </w:rPr>
            </w:pPr>
            <w:r w:rsidRPr="00C02094">
              <w:rPr>
                <w:rFonts w:ascii="Verdana" w:eastAsia="Calibri" w:hAnsi="Verdana" w:cs="Arial"/>
                <w:lang w:val="es-ES_tradnl" w:eastAsia="es-ES_tradnl"/>
              </w:rPr>
              <w:t xml:space="preserve">Ley 2069 de 2020: </w:t>
            </w:r>
            <w:r w:rsidRPr="00C02094">
              <w:rPr>
                <w:rFonts w:ascii="Verdana" w:eastAsia="Calibri" w:hAnsi="Verdana" w:cs="Arial"/>
                <w:bCs/>
                <w:lang w:eastAsia="es-ES_tradnl"/>
              </w:rPr>
              <w:t xml:space="preserve">Artículo 32. </w:t>
            </w:r>
          </w:p>
          <w:p w14:paraId="4AEFF684" w14:textId="77777777" w:rsidR="004C0691" w:rsidRPr="00C02094" w:rsidRDefault="004C0691" w:rsidP="002D7ACD">
            <w:pPr>
              <w:pStyle w:val="Prrafodelista"/>
              <w:ind w:left="360"/>
              <w:jc w:val="both"/>
              <w:rPr>
                <w:rFonts w:ascii="Verdana" w:eastAsia="Calibri" w:hAnsi="Verdana" w:cs="Arial"/>
                <w:bCs/>
                <w:lang w:eastAsia="es-ES_tradnl"/>
              </w:rPr>
            </w:pPr>
          </w:p>
          <w:p w14:paraId="72D114FE" w14:textId="77777777" w:rsidR="004C0691" w:rsidRPr="00C02094" w:rsidRDefault="004C0691" w:rsidP="00D818FA">
            <w:pPr>
              <w:pStyle w:val="Prrafodelista"/>
              <w:numPr>
                <w:ilvl w:val="0"/>
                <w:numId w:val="19"/>
              </w:numPr>
              <w:jc w:val="both"/>
              <w:rPr>
                <w:rFonts w:ascii="Verdana" w:eastAsia="Calibri" w:hAnsi="Verdana" w:cs="Arial"/>
                <w:lang w:val="es-ES_tradnl" w:eastAsia="es-ES_tradnl"/>
              </w:rPr>
            </w:pPr>
            <w:r w:rsidRPr="00C02094">
              <w:rPr>
                <w:rFonts w:ascii="Verdana" w:eastAsia="Calibri" w:hAnsi="Verdana" w:cs="Arial"/>
                <w:lang w:val="es-ES_tradnl" w:eastAsia="es-ES_tradnl"/>
              </w:rPr>
              <w:t xml:space="preserve">Decreto 1082 de 2015: Artículo 2.2.1.2.4.2.14. – adicionado por el artículo 3 del Decreto 1860 de 2021. </w:t>
            </w:r>
          </w:p>
          <w:p w14:paraId="5A1F5BD1" w14:textId="77777777" w:rsidR="004C0691" w:rsidRPr="00C02094" w:rsidRDefault="004C0691" w:rsidP="002D7ACD">
            <w:pPr>
              <w:pStyle w:val="Prrafodelista"/>
              <w:ind w:left="360"/>
              <w:jc w:val="both"/>
              <w:rPr>
                <w:rFonts w:asciiTheme="minorHAnsi" w:hAnsiTheme="minorHAnsi"/>
              </w:rPr>
            </w:pPr>
          </w:p>
          <w:p w14:paraId="00125166" w14:textId="77777777" w:rsidR="004C0691" w:rsidRPr="00C02094" w:rsidRDefault="004C0691" w:rsidP="00D818FA">
            <w:pPr>
              <w:pStyle w:val="Prrafodelista"/>
              <w:numPr>
                <w:ilvl w:val="0"/>
                <w:numId w:val="19"/>
              </w:numPr>
              <w:jc w:val="both"/>
              <w:rPr>
                <w:rFonts w:asciiTheme="minorHAnsi" w:hAnsiTheme="minorHAnsi"/>
              </w:rPr>
            </w:pPr>
            <w:r w:rsidRPr="00C02094">
              <w:rPr>
                <w:rFonts w:ascii="Verdana" w:eastAsia="Calibri" w:hAnsi="Verdana" w:cs="Arial"/>
                <w:color w:val="000000" w:themeColor="text1"/>
              </w:rPr>
              <w:t xml:space="preserve">Ley 222 de 1995: Artículo 27 y 30. </w:t>
            </w:r>
          </w:p>
          <w:p w14:paraId="59C95BD1" w14:textId="77777777" w:rsidR="004C0691" w:rsidRPr="00C02094" w:rsidRDefault="004C0691" w:rsidP="002D7ACD">
            <w:pPr>
              <w:pStyle w:val="Prrafodelista"/>
              <w:jc w:val="both"/>
            </w:pPr>
          </w:p>
          <w:p w14:paraId="56C67DC5" w14:textId="77777777" w:rsidR="00D818FA" w:rsidRPr="005F6D0C" w:rsidRDefault="00D818FA" w:rsidP="00D818FA">
            <w:pPr>
              <w:pStyle w:val="Prrafodelista"/>
              <w:widowControl w:val="0"/>
              <w:numPr>
                <w:ilvl w:val="0"/>
                <w:numId w:val="19"/>
              </w:numPr>
              <w:tabs>
                <w:tab w:val="left" w:pos="8419"/>
              </w:tabs>
              <w:autoSpaceDE w:val="0"/>
              <w:autoSpaceDN w:val="0"/>
              <w:spacing w:after="160" w:line="276" w:lineRule="auto"/>
              <w:contextualSpacing w:val="0"/>
              <w:jc w:val="both"/>
              <w:rPr>
                <w:rFonts w:ascii="Verdana" w:hAnsi="Verdana" w:cs="Arial"/>
              </w:rPr>
            </w:pPr>
            <w:hyperlink r:id="rId11" w:history="1">
              <w:r w:rsidRPr="005F6D0C">
                <w:rPr>
                  <w:rStyle w:val="Hipervnculo"/>
                  <w:rFonts w:ascii="Verdana" w:hAnsi="Verdana" w:cs="Arial"/>
                </w:rPr>
                <w:t>https://relatoria.colombiacompra.gov.co/providencias-consejo-de-estado/</w:t>
              </w:r>
            </w:hyperlink>
            <w:r w:rsidRPr="005F6D0C">
              <w:rPr>
                <w:rFonts w:ascii="Verdana" w:hAnsi="Verdana" w:cs="Arial"/>
              </w:rPr>
              <w:t xml:space="preserve"> </w:t>
            </w:r>
          </w:p>
          <w:p w14:paraId="1CD44FC0" w14:textId="17D3DEE3" w:rsidR="004C0691" w:rsidRPr="00C02094" w:rsidRDefault="00D818FA" w:rsidP="00D818FA">
            <w:pPr>
              <w:pStyle w:val="Prrafodelista"/>
              <w:numPr>
                <w:ilvl w:val="0"/>
                <w:numId w:val="19"/>
              </w:numPr>
              <w:jc w:val="both"/>
              <w:rPr>
                <w:rFonts w:ascii="Verdana" w:hAnsi="Verdana" w:cs="Arial"/>
              </w:rPr>
            </w:pPr>
            <w:r w:rsidRPr="005F6D0C">
              <w:rPr>
                <w:rFonts w:ascii="Verdana" w:hAnsi="Verdana" w:cs="Arial"/>
              </w:rPr>
              <w:t>Guías y manuales expedidos por la ANCP-CCE. Disponible en</w:t>
            </w:r>
            <w:r w:rsidRPr="005F6D0C">
              <w:rPr>
                <w:rFonts w:ascii="Verdana" w:hAnsi="Verdana" w:cs="Arial"/>
                <w:color w:val="7030A0"/>
              </w:rPr>
              <w:t>:</w:t>
            </w:r>
            <w:r w:rsidRPr="005F6D0C">
              <w:rPr>
                <w:rFonts w:ascii="Verdana" w:hAnsi="Verdana"/>
                <w:color w:val="7030A0"/>
              </w:rPr>
              <w:t xml:space="preserve"> </w:t>
            </w:r>
            <w:hyperlink r:id="rId12" w:history="1">
              <w:r w:rsidRPr="005F6D0C">
                <w:rPr>
                  <w:rStyle w:val="Hipervnculo"/>
                  <w:rFonts w:ascii="Verdana" w:hAnsi="Verdana" w:cs="Arial"/>
                </w:rPr>
                <w:t>https://www.colombiacompra.gov.co/manuales-guias-y-pliegos-tipo/manuales-y-guias</w:t>
              </w:r>
            </w:hyperlink>
          </w:p>
        </w:tc>
      </w:tr>
    </w:tbl>
    <w:p w14:paraId="73245E9C" w14:textId="77777777" w:rsidR="004C0691" w:rsidRDefault="004C0691" w:rsidP="004C0691">
      <w:pPr>
        <w:widowControl w:val="0"/>
        <w:autoSpaceDE w:val="0"/>
        <w:autoSpaceDN w:val="0"/>
        <w:spacing w:after="0" w:line="276" w:lineRule="auto"/>
        <w:jc w:val="both"/>
        <w:rPr>
          <w:rFonts w:ascii="Verdana" w:hAnsi="Verdana" w:cs="Arial"/>
        </w:rPr>
      </w:pPr>
    </w:p>
    <w:p w14:paraId="38C43C46" w14:textId="77777777" w:rsidR="00D818FA" w:rsidRDefault="00D818FA" w:rsidP="004C0691">
      <w:pPr>
        <w:widowControl w:val="0"/>
        <w:autoSpaceDE w:val="0"/>
        <w:autoSpaceDN w:val="0"/>
        <w:spacing w:after="0" w:line="276" w:lineRule="auto"/>
        <w:jc w:val="both"/>
        <w:rPr>
          <w:rFonts w:ascii="Verdana" w:hAnsi="Verdana" w:cs="Arial"/>
        </w:rPr>
      </w:pPr>
    </w:p>
    <w:p w14:paraId="203C9B58" w14:textId="77777777" w:rsidR="00D818FA" w:rsidRPr="002D7ACD" w:rsidRDefault="00D818FA" w:rsidP="004C0691">
      <w:pPr>
        <w:widowControl w:val="0"/>
        <w:autoSpaceDE w:val="0"/>
        <w:autoSpaceDN w:val="0"/>
        <w:spacing w:after="0" w:line="276" w:lineRule="auto"/>
        <w:jc w:val="both"/>
        <w:rPr>
          <w:rFonts w:ascii="Verdana" w:hAnsi="Verdana" w:cs="Arial"/>
        </w:rPr>
      </w:pPr>
    </w:p>
    <w:p w14:paraId="554E824D" w14:textId="77777777" w:rsidR="004C0691" w:rsidRPr="002D7ACD" w:rsidRDefault="004C0691" w:rsidP="004C0691">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2D7ACD">
        <w:rPr>
          <w:rFonts w:ascii="Verdana" w:eastAsia="Century Gothic" w:hAnsi="Verdana" w:cs="Century Gothic"/>
          <w:b/>
          <w:bCs/>
        </w:rPr>
        <w:lastRenderedPageBreak/>
        <w:t>Doctrina de la Agencia Nacional de Contratación Pública:</w:t>
      </w:r>
    </w:p>
    <w:p w14:paraId="3FE9B916" w14:textId="77777777" w:rsidR="004C0691" w:rsidRPr="002D7ACD" w:rsidRDefault="004C0691" w:rsidP="004C0691">
      <w:pPr>
        <w:widowControl w:val="0"/>
        <w:autoSpaceDE w:val="0"/>
        <w:autoSpaceDN w:val="0"/>
        <w:spacing w:after="0" w:line="276" w:lineRule="auto"/>
        <w:jc w:val="both"/>
        <w:rPr>
          <w:rFonts w:ascii="Verdana" w:hAnsi="Verdana" w:cs="Arial"/>
        </w:rPr>
      </w:pPr>
    </w:p>
    <w:p w14:paraId="046E572A" w14:textId="77777777" w:rsidR="004C0691" w:rsidRDefault="004C0691" w:rsidP="004C0691">
      <w:pPr>
        <w:widowControl w:val="0"/>
        <w:autoSpaceDE w:val="0"/>
        <w:autoSpaceDN w:val="0"/>
        <w:spacing w:after="0" w:line="276" w:lineRule="auto"/>
        <w:jc w:val="both"/>
        <w:rPr>
          <w:rFonts w:ascii="Verdana" w:hAnsi="Verdana" w:cs="Arial"/>
          <w:shd w:val="clear" w:color="auto" w:fill="FFFFFF"/>
        </w:rPr>
      </w:pPr>
      <w:r w:rsidRPr="002D7ACD">
        <w:rPr>
          <w:rStyle w:val="normaltextrun"/>
          <w:rFonts w:ascii="Verdana" w:hAnsi="Verdana" w:cs="Arial"/>
          <w:shd w:val="clear" w:color="auto" w:fill="FFFFFF"/>
          <w:lang w:val="es-ES"/>
        </w:rPr>
        <w:t xml:space="preserve">Sobre </w:t>
      </w:r>
      <w:r w:rsidRPr="002D7ACD">
        <w:rPr>
          <w:rFonts w:ascii="Verdana" w:eastAsia="Calibri" w:hAnsi="Verdana" w:cs="Arial"/>
          <w:lang w:val="es-ES" w:eastAsia="es-ES"/>
        </w:rPr>
        <w:t xml:space="preserve">la </w:t>
      </w:r>
      <w:r w:rsidRPr="002D7ACD">
        <w:rPr>
          <w:rFonts w:ascii="Verdana" w:eastAsia="Calibri" w:hAnsi="Verdana" w:cs="Arial"/>
          <w:lang w:val="es-ES" w:eastAsia="es-ES_tradnl"/>
        </w:rPr>
        <w:t xml:space="preserve">definición </w:t>
      </w:r>
      <w:r w:rsidRPr="00C02094">
        <w:rPr>
          <w:rFonts w:ascii="Verdana" w:eastAsia="Calibri" w:hAnsi="Verdana" w:cs="Arial"/>
          <w:lang w:val="es-ES" w:eastAsia="es-ES_tradnl"/>
        </w:rPr>
        <w:t>de emprendimientos y empresas de mujeres en el Decreto 1860 de 2021</w:t>
      </w:r>
      <w:r w:rsidRPr="00C02094">
        <w:rPr>
          <w:rFonts w:ascii="Verdana" w:eastAsia="Calibri" w:hAnsi="Verdana" w:cs="Arial"/>
          <w:lang w:val="es-ES" w:eastAsia="es-ES"/>
        </w:rPr>
        <w:t>, esta Subdirección se ha pronunciado en los conceptos</w:t>
      </w:r>
      <w:r w:rsidRPr="00C02094">
        <w:rPr>
          <w:rFonts w:ascii="Verdana" w:hAnsi="Verdana" w:cs="Arial"/>
        </w:rPr>
        <w:t xml:space="preserve"> </w:t>
      </w:r>
      <w:r w:rsidRPr="00C02094">
        <w:rPr>
          <w:rFonts w:ascii="Verdana" w:eastAsia="Times New Roman" w:hAnsi="Verdana" w:cs="Arial"/>
          <w:shd w:val="clear" w:color="auto" w:fill="FFFFFF"/>
          <w:lang w:eastAsia="es-ES_tradnl"/>
        </w:rPr>
        <w:t>C-029 de 21 de febrero de 2021, C-037 del 26 de febrero de 2021, C-141 del 8 de abril de 2021, C-114 del 13 de abril de 2021 y C-031 del 1 de marzo de 2022, C-213 del 21 de abril de 2022, C-217 del 21 de abril de 2022, C-281 del 12 de mayo de 2022, C-322 del 20 de mayo de 2022, C-323 del 17 de junio de 2022, C-326 del 18 de mayo de 2022, C-398 del 15 de junio de 2022, C-399 del 21 de junio de 2022, C-421 del 6 de julio de 2022, C-429 del 18 de julio de 2022, C-438 del 11 de julio de 2022, C-454 del 13 de julio de 2022, C-476 del 21 de junio de 2022, C-479 del 26 de julio de 2022, C-504 del 8 de agosto de 2022, C-522 del 16 de agosto de 2022, C-642 del 11 de octubre de 2022, C-696 de 26 de octubre de 2022 y C-781 de 25 de noviembre de 2022, entre otros</w:t>
      </w:r>
      <w:r w:rsidRPr="001A3CD7">
        <w:rPr>
          <w:rStyle w:val="normaltextrun"/>
          <w:rFonts w:ascii="Verdana" w:hAnsi="Verdana" w:cs="Arial"/>
          <w:color w:val="7030A0"/>
          <w:shd w:val="clear" w:color="auto" w:fill="FFFFFF"/>
          <w:lang w:val="es-ES"/>
        </w:rPr>
        <w:t xml:space="preserve">. </w:t>
      </w:r>
      <w:r w:rsidRPr="00C02094">
        <w:rPr>
          <w:rFonts w:ascii="Verdana" w:hAnsi="Verdana" w:cs="Arial"/>
          <w:shd w:val="clear" w:color="auto" w:fill="FFFFFF"/>
        </w:rPr>
        <w:t xml:space="preserve">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3" w:tooltip="Dirección URL original: https://relatoria.colombiacompra.gov.co/. Haga clic o pulse si confía en este vínculo." w:history="1">
        <w:r w:rsidRPr="00C02094">
          <w:rPr>
            <w:rStyle w:val="Hipervnculo"/>
            <w:rFonts w:ascii="Verdana" w:hAnsi="Verdana" w:cs="Arial"/>
            <w:shd w:val="clear" w:color="auto" w:fill="FFFFFF"/>
          </w:rPr>
          <w:t>https://relatoria.colombiacompra.gov.co/</w:t>
        </w:r>
      </w:hyperlink>
      <w:r w:rsidRPr="00C02094">
        <w:rPr>
          <w:rFonts w:ascii="Verdana" w:hAnsi="Verdana" w:cs="Arial"/>
          <w:shd w:val="clear" w:color="auto" w:fill="FFFFFF"/>
        </w:rPr>
        <w:t xml:space="preserve">  </w:t>
      </w:r>
    </w:p>
    <w:p w14:paraId="18129564" w14:textId="77777777" w:rsidR="004C0691" w:rsidRDefault="004C0691" w:rsidP="004C0691">
      <w:pPr>
        <w:widowControl w:val="0"/>
        <w:autoSpaceDE w:val="0"/>
        <w:autoSpaceDN w:val="0"/>
        <w:spacing w:after="0" w:line="276" w:lineRule="auto"/>
        <w:jc w:val="both"/>
        <w:rPr>
          <w:rFonts w:ascii="Verdana" w:hAnsi="Verdana" w:cs="Arial"/>
          <w:shd w:val="clear" w:color="auto" w:fill="FFFFFF"/>
        </w:rPr>
      </w:pPr>
    </w:p>
    <w:p w14:paraId="3050324B" w14:textId="77777777" w:rsidR="00D818FA" w:rsidRDefault="00D818FA" w:rsidP="00D818FA">
      <w:pPr>
        <w:spacing w:after="0" w:line="240" w:lineRule="auto"/>
        <w:jc w:val="both"/>
        <w:rPr>
          <w:rFonts w:ascii="Verdana" w:hAnsi="Verdana" w:cs="Arial"/>
          <w:shd w:val="clear" w:color="auto" w:fill="FFFFFF"/>
        </w:rPr>
      </w:pPr>
      <w:r w:rsidRPr="005F6D0C">
        <w:rPr>
          <w:rFonts w:ascii="Verdana" w:hAnsi="Verdana" w:cs="Arial"/>
          <w:shd w:val="clear" w:color="auto" w:fill="FFFFFF"/>
        </w:rPr>
        <w:t>Te invitamos a revisar la cuarta edición del Boletín de Relatoría de 2024, en el cual se explicaron los cambios más relevantes que fueron incorporados en los Documentos Tipo para el sector de Infraestructura de Transporte, en las modalidades de selección de Licitación de Obra Pública, Selección Abreviada de Menor Cuantía y Mínima Cuantía. Puede consultarlo en el siguiente enlace : </w:t>
      </w:r>
      <w:hyperlink r:id="rId14" w:tgtFrame="_blank" w:tooltip="Dirección URL original: https://www.colombiacompra.gov.co/sala-de-prensa/boletin-digital/boletin-de-relatoria-2024-iv. Haga clic o pulse si confía en este vínculo." w:history="1">
        <w:r w:rsidRPr="005F6D0C">
          <w:rPr>
            <w:rStyle w:val="Hipervnculo"/>
            <w:rFonts w:ascii="Verdana" w:hAnsi="Verdana" w:cs="Arial"/>
            <w:shd w:val="clear" w:color="auto" w:fill="FFFFFF"/>
          </w:rPr>
          <w:t>BOLETÍN DE RELATORÍA 2024 – IV | Colombia Compra Eficiente | Agencia Nacional de Contratación Pública</w:t>
        </w:r>
      </w:hyperlink>
    </w:p>
    <w:p w14:paraId="786DA9C7" w14:textId="77777777" w:rsidR="004C0691" w:rsidRPr="001A3CD7" w:rsidRDefault="004C0691" w:rsidP="004C0691">
      <w:pPr>
        <w:widowControl w:val="0"/>
        <w:autoSpaceDE w:val="0"/>
        <w:autoSpaceDN w:val="0"/>
        <w:spacing w:after="0" w:line="276" w:lineRule="auto"/>
        <w:jc w:val="both"/>
        <w:rPr>
          <w:rFonts w:ascii="Verdana" w:hAnsi="Verdana" w:cs="Arial"/>
        </w:rPr>
      </w:pPr>
    </w:p>
    <w:p w14:paraId="22172F7B" w14:textId="77777777" w:rsidR="004C0691" w:rsidRPr="001A3CD7" w:rsidRDefault="004C0691" w:rsidP="004C0691">
      <w:pPr>
        <w:widowControl w:val="0"/>
        <w:autoSpaceDE w:val="0"/>
        <w:autoSpaceDN w:val="0"/>
        <w:spacing w:after="0" w:line="276" w:lineRule="auto"/>
        <w:jc w:val="both"/>
        <w:rPr>
          <w:rFonts w:ascii="Verdana" w:hAnsi="Verdana" w:cs="Arial"/>
          <w:lang w:val="es-ES_tradnl"/>
        </w:rPr>
      </w:pPr>
      <w:r w:rsidRPr="001A3CD7">
        <w:rPr>
          <w:rFonts w:ascii="Verdana" w:hAnsi="Verdana" w:cs="Arial"/>
        </w:rPr>
        <w:t xml:space="preserve">Este concepto tiene el alcance previsto en el artículo 28 del Código de Procedimiento Administrativo y de lo Contencioso Administrativo </w:t>
      </w:r>
      <w:r w:rsidRPr="001A3CD7">
        <w:rPr>
          <w:rFonts w:ascii="Verdana" w:hAnsi="Verdana" w:cs="Arial"/>
          <w:lang w:val="es-ES_tradnl"/>
        </w:rPr>
        <w:t>y las expresiones aquí utilizadas con mayúscula inicial deben ser entendidas con el significado que les otorga el artículo 2.2.1.1.1.3.1. del Decreto 1082 de 2015.</w:t>
      </w:r>
    </w:p>
    <w:p w14:paraId="6E8542A5" w14:textId="77777777" w:rsidR="004C0691" w:rsidRPr="001A3CD7" w:rsidRDefault="004C0691" w:rsidP="004C0691">
      <w:pPr>
        <w:widowControl w:val="0"/>
        <w:autoSpaceDE w:val="0"/>
        <w:autoSpaceDN w:val="0"/>
        <w:spacing w:after="0" w:line="276" w:lineRule="auto"/>
        <w:jc w:val="both"/>
        <w:rPr>
          <w:rFonts w:ascii="Verdana" w:hAnsi="Verdana" w:cs="Arial"/>
        </w:rPr>
      </w:pPr>
    </w:p>
    <w:p w14:paraId="095AA04B" w14:textId="77777777" w:rsidR="004C0691" w:rsidRPr="001A3CD7" w:rsidRDefault="004C0691" w:rsidP="004C0691">
      <w:pPr>
        <w:spacing w:after="0" w:line="276" w:lineRule="auto"/>
        <w:rPr>
          <w:rFonts w:ascii="Verdana" w:hAnsi="Verdana" w:cs="Arial"/>
          <w:lang w:eastAsia="es-CO"/>
        </w:rPr>
      </w:pPr>
      <w:r w:rsidRPr="001A3CD7">
        <w:rPr>
          <w:rFonts w:ascii="Verdana" w:eastAsia="Times New Roman" w:hAnsi="Verdana" w:cs="Arial"/>
          <w:lang w:eastAsia="es-CO"/>
        </w:rPr>
        <w:t>Atentamente,</w:t>
      </w:r>
      <w:r w:rsidRPr="001A3CD7">
        <w:rPr>
          <w:rFonts w:ascii="Verdana" w:hAnsi="Verdana" w:cs="Arial"/>
          <w:lang w:eastAsia="es-CO"/>
        </w:rPr>
        <w:t xml:space="preserve"> </w:t>
      </w:r>
    </w:p>
    <w:p w14:paraId="0DCCC0E2" w14:textId="1358472C" w:rsidR="00FC59CF" w:rsidRDefault="00F729A1" w:rsidP="00FC59CF">
      <w:pPr>
        <w:widowControl w:val="0"/>
        <w:autoSpaceDE w:val="0"/>
        <w:autoSpaceDN w:val="0"/>
        <w:spacing w:after="0" w:line="276" w:lineRule="auto"/>
        <w:jc w:val="center"/>
        <w:rPr>
          <w:rFonts w:ascii="Century Gothic" w:hAnsi="Century Gothic" w:cs="Arial"/>
          <w:lang w:val="es-ES_tradnl"/>
        </w:rPr>
      </w:pPr>
      <w:r w:rsidRPr="002C3AD6">
        <w:rPr>
          <w:rFonts w:ascii="Century Gothic" w:hAnsi="Century Gothic"/>
          <w:noProof/>
        </w:rPr>
        <w:lastRenderedPageBreak/>
        <w:drawing>
          <wp:inline distT="0" distB="0" distL="0" distR="0" wp14:anchorId="3CAF169C" wp14:editId="24033E48">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5"/>
                    <a:stretch>
                      <a:fillRect/>
                    </a:stretch>
                  </pic:blipFill>
                  <pic:spPr>
                    <a:xfrm>
                      <a:off x="0" y="0"/>
                      <a:ext cx="3772426" cy="1400370"/>
                    </a:xfrm>
                    <a:prstGeom prst="rect">
                      <a:avLst/>
                    </a:prstGeom>
                  </pic:spPr>
                </pic:pic>
              </a:graphicData>
            </a:graphic>
          </wp:inline>
        </w:drawing>
      </w:r>
    </w:p>
    <w:p w14:paraId="0310551A" w14:textId="77777777" w:rsidR="00FC59CF" w:rsidRDefault="00FC59CF" w:rsidP="00FC59CF">
      <w:pPr>
        <w:widowControl w:val="0"/>
        <w:autoSpaceDE w:val="0"/>
        <w:autoSpaceDN w:val="0"/>
        <w:spacing w:after="0" w:line="276" w:lineRule="auto"/>
        <w:jc w:val="both"/>
        <w:rPr>
          <w:rFonts w:ascii="Century Gothic" w:hAnsi="Century Gothic" w:cs="Arial"/>
          <w:lang w:val="es-ES_tradnl"/>
        </w:rPr>
      </w:pPr>
    </w:p>
    <w:p w14:paraId="249D865C" w14:textId="77777777" w:rsidR="00FC59CF" w:rsidRPr="00B90119" w:rsidRDefault="00FC59CF" w:rsidP="00FC59CF">
      <w:pPr>
        <w:widowControl w:val="0"/>
        <w:autoSpaceDE w:val="0"/>
        <w:autoSpaceDN w:val="0"/>
        <w:spacing w:after="0" w:line="276" w:lineRule="auto"/>
        <w:jc w:val="both"/>
        <w:rPr>
          <w:rFonts w:ascii="Century Gothic" w:hAnsi="Century Gothic" w:cs="Arial"/>
          <w:lang w:val="es-ES_tradnl"/>
        </w:rPr>
      </w:pPr>
    </w:p>
    <w:p w14:paraId="6D394405" w14:textId="77777777" w:rsidR="00FC59CF" w:rsidRPr="00D8535D" w:rsidRDefault="00FC59CF" w:rsidP="00FC59CF">
      <w:pPr>
        <w:spacing w:line="276" w:lineRule="auto"/>
        <w:jc w:val="center"/>
        <w:rPr>
          <w:rFonts w:ascii="Verdana" w:hAnsi="Verdana" w:cs="Arial"/>
          <w:sz w:val="16"/>
          <w:szCs w:val="16"/>
          <w:lang w:eastAsia="es-CO"/>
        </w:rPr>
      </w:pP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FC59CF" w:rsidRPr="00D8535D" w14:paraId="4A7CFA1B" w14:textId="77777777" w:rsidTr="008D1647">
        <w:trPr>
          <w:trHeight w:val="315"/>
        </w:trPr>
        <w:tc>
          <w:tcPr>
            <w:tcW w:w="893" w:type="dxa"/>
            <w:vAlign w:val="center"/>
            <w:hideMark/>
          </w:tcPr>
          <w:p w14:paraId="48F3772A" w14:textId="77777777" w:rsidR="00FC59CF" w:rsidRPr="00D8535D" w:rsidRDefault="00FC59CF" w:rsidP="008D1647">
            <w:pPr>
              <w:contextualSpacing/>
              <w:rPr>
                <w:rFonts w:ascii="Verdana" w:hAnsi="Verdana" w:cs="Arial"/>
                <w:sz w:val="16"/>
                <w:szCs w:val="16"/>
                <w:lang w:eastAsia="es-CO"/>
              </w:rPr>
            </w:pPr>
            <w:r w:rsidRPr="00D8535D">
              <w:rPr>
                <w:rFonts w:ascii="Verdana" w:hAnsi="Verdana" w:cs="Arial"/>
                <w:sz w:val="16"/>
                <w:szCs w:val="16"/>
                <w:lang w:eastAsia="es-CO"/>
              </w:rPr>
              <w:t>Elaboró:</w:t>
            </w:r>
          </w:p>
        </w:tc>
        <w:tc>
          <w:tcPr>
            <w:tcW w:w="5628" w:type="dxa"/>
            <w:tcBorders>
              <w:top w:val="nil"/>
              <w:left w:val="nil"/>
              <w:bottom w:val="dotted" w:sz="4" w:space="0" w:color="7F7F7F" w:themeColor="text1" w:themeTint="80"/>
              <w:right w:val="nil"/>
            </w:tcBorders>
            <w:vAlign w:val="center"/>
            <w:hideMark/>
          </w:tcPr>
          <w:p w14:paraId="3F2F7022" w14:textId="77777777" w:rsidR="00FC59CF" w:rsidRPr="00D8535D" w:rsidRDefault="00FC59CF" w:rsidP="008D1647">
            <w:pPr>
              <w:contextualSpacing/>
              <w:rPr>
                <w:rFonts w:ascii="Verdana" w:hAnsi="Verdana" w:cs="Arial"/>
                <w:sz w:val="16"/>
                <w:szCs w:val="16"/>
                <w:lang w:eastAsia="es-CO"/>
              </w:rPr>
            </w:pPr>
            <w:r w:rsidRPr="00D8535D">
              <w:rPr>
                <w:rFonts w:ascii="Verdana" w:hAnsi="Verdana" w:cs="Arial"/>
                <w:sz w:val="16"/>
                <w:szCs w:val="16"/>
                <w:lang w:eastAsia="es-CO"/>
              </w:rPr>
              <w:t xml:space="preserve">Diana Carolina Blanco Rodriguez </w:t>
            </w:r>
          </w:p>
          <w:p w14:paraId="19ED9515" w14:textId="77777777" w:rsidR="00FC59CF" w:rsidRPr="00D8535D" w:rsidRDefault="00FC59CF" w:rsidP="008D1647">
            <w:pPr>
              <w:contextualSpacing/>
              <w:rPr>
                <w:rFonts w:ascii="Verdana" w:hAnsi="Verdana" w:cs="Arial"/>
                <w:sz w:val="16"/>
                <w:szCs w:val="16"/>
                <w:lang w:eastAsia="es-CO"/>
              </w:rPr>
            </w:pPr>
            <w:r w:rsidRPr="00D8535D">
              <w:rPr>
                <w:rFonts w:ascii="Verdana" w:hAnsi="Verdana" w:cs="Arial"/>
                <w:sz w:val="16"/>
                <w:szCs w:val="16"/>
                <w:lang w:eastAsia="es-CO"/>
              </w:rPr>
              <w:t>Contratista de la Subdirección de Gestión Contractual</w:t>
            </w:r>
          </w:p>
        </w:tc>
      </w:tr>
      <w:tr w:rsidR="00FC59CF" w:rsidRPr="00D8535D" w14:paraId="11DD5BBE" w14:textId="77777777" w:rsidTr="008D1647">
        <w:trPr>
          <w:trHeight w:val="330"/>
        </w:trPr>
        <w:tc>
          <w:tcPr>
            <w:tcW w:w="893" w:type="dxa"/>
            <w:vAlign w:val="center"/>
            <w:hideMark/>
          </w:tcPr>
          <w:p w14:paraId="3793AF7B" w14:textId="77777777" w:rsidR="00FC59CF" w:rsidRPr="00D8535D" w:rsidRDefault="00FC59CF" w:rsidP="008D1647">
            <w:pPr>
              <w:contextualSpacing/>
              <w:rPr>
                <w:rFonts w:ascii="Verdana" w:hAnsi="Verdana" w:cs="Arial"/>
                <w:sz w:val="16"/>
                <w:szCs w:val="16"/>
                <w:lang w:eastAsia="es-CO"/>
              </w:rPr>
            </w:pPr>
            <w:r w:rsidRPr="00D8535D">
              <w:rPr>
                <w:rFonts w:ascii="Verdana" w:hAnsi="Verdana" w:cs="Arial"/>
                <w:sz w:val="16"/>
                <w:szCs w:val="16"/>
                <w:lang w:eastAsia="es-CO"/>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37BFDB13" w14:textId="54B62038" w:rsidR="00FC59CF" w:rsidRPr="00D8535D" w:rsidRDefault="00D818FA" w:rsidP="008D1647">
            <w:pPr>
              <w:contextualSpacing/>
              <w:textAlignment w:val="baseline"/>
              <w:rPr>
                <w:rFonts w:ascii="Verdana" w:hAnsi="Verdana" w:cs="Arial"/>
                <w:sz w:val="16"/>
                <w:szCs w:val="16"/>
                <w:lang w:eastAsia="es-CO"/>
              </w:rPr>
            </w:pPr>
            <w:r>
              <w:rPr>
                <w:rFonts w:ascii="Verdana" w:hAnsi="Verdana" w:cs="Arial"/>
                <w:sz w:val="16"/>
                <w:szCs w:val="16"/>
                <w:lang w:eastAsia="es-CO"/>
              </w:rPr>
              <w:t xml:space="preserve">Juan David Cárdenas </w:t>
            </w:r>
          </w:p>
          <w:p w14:paraId="56443620" w14:textId="77777777" w:rsidR="00FC59CF" w:rsidRPr="00D8535D" w:rsidRDefault="00FC59CF" w:rsidP="008D1647">
            <w:pPr>
              <w:contextualSpacing/>
              <w:textAlignment w:val="baseline"/>
              <w:rPr>
                <w:rFonts w:ascii="Verdana" w:hAnsi="Verdana" w:cs="Arial"/>
                <w:sz w:val="16"/>
                <w:szCs w:val="16"/>
                <w:lang w:eastAsia="es-CO"/>
              </w:rPr>
            </w:pPr>
            <w:r w:rsidRPr="00D8535D">
              <w:rPr>
                <w:rFonts w:ascii="Verdana" w:hAnsi="Verdana" w:cs="Arial"/>
                <w:sz w:val="16"/>
                <w:szCs w:val="16"/>
                <w:lang w:eastAsia="es-CO"/>
              </w:rPr>
              <w:t>Contratista de la Subdirección de Gestión Contractual </w:t>
            </w:r>
          </w:p>
        </w:tc>
      </w:tr>
      <w:tr w:rsidR="00FC59CF" w:rsidRPr="00D8535D" w14:paraId="7210B759" w14:textId="77777777" w:rsidTr="008D1647">
        <w:trPr>
          <w:trHeight w:val="300"/>
        </w:trPr>
        <w:tc>
          <w:tcPr>
            <w:tcW w:w="893" w:type="dxa"/>
            <w:vAlign w:val="center"/>
          </w:tcPr>
          <w:p w14:paraId="741553FF" w14:textId="77777777" w:rsidR="00FC59CF" w:rsidRPr="00D8535D" w:rsidRDefault="00FC59CF" w:rsidP="008D1647">
            <w:pPr>
              <w:contextualSpacing/>
              <w:rPr>
                <w:rFonts w:ascii="Verdana" w:hAnsi="Verdana" w:cs="Arial"/>
                <w:sz w:val="16"/>
                <w:szCs w:val="16"/>
                <w:lang w:eastAsia="es-CO"/>
              </w:rPr>
            </w:pPr>
            <w:r w:rsidRPr="00D8535D">
              <w:rPr>
                <w:rFonts w:ascii="Verdana" w:hAnsi="Verdana" w:cs="Arial"/>
                <w:sz w:val="16"/>
                <w:szCs w:val="16"/>
                <w:lang w:eastAsia="es-CO"/>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714464E1" w14:textId="77777777" w:rsidR="00FC59CF" w:rsidRPr="00D8535D" w:rsidRDefault="00FC59CF" w:rsidP="008D1647">
            <w:pPr>
              <w:contextualSpacing/>
              <w:rPr>
                <w:rFonts w:ascii="Verdana" w:hAnsi="Verdana" w:cs="Arial"/>
                <w:sz w:val="16"/>
                <w:szCs w:val="16"/>
                <w:lang w:eastAsia="es-CO"/>
              </w:rPr>
            </w:pPr>
            <w:r w:rsidRPr="00D8535D">
              <w:rPr>
                <w:rFonts w:ascii="Verdana" w:hAnsi="Verdana" w:cs="Arial"/>
                <w:sz w:val="16"/>
                <w:szCs w:val="16"/>
                <w:lang w:eastAsia="es-CO"/>
              </w:rPr>
              <w:t>Carolina Quintero Gacharná</w:t>
            </w:r>
          </w:p>
          <w:p w14:paraId="67DF06B2" w14:textId="77777777" w:rsidR="00FC59CF" w:rsidRPr="00D8535D" w:rsidRDefault="00FC59CF" w:rsidP="008D1647">
            <w:pPr>
              <w:contextualSpacing/>
              <w:rPr>
                <w:rFonts w:ascii="Verdana" w:hAnsi="Verdana" w:cs="Arial"/>
                <w:sz w:val="16"/>
                <w:szCs w:val="16"/>
                <w:lang w:eastAsia="es-CO"/>
              </w:rPr>
            </w:pPr>
            <w:r w:rsidRPr="00D8535D">
              <w:rPr>
                <w:rFonts w:ascii="Verdana" w:hAnsi="Verdana" w:cs="Arial"/>
                <w:sz w:val="16"/>
                <w:szCs w:val="16"/>
                <w:lang w:eastAsia="es-CO"/>
              </w:rPr>
              <w:t>Subdirectora de Gestión Contractual ANCP – CCE</w:t>
            </w:r>
          </w:p>
        </w:tc>
      </w:tr>
      <w:bookmarkEnd w:id="0"/>
    </w:tbl>
    <w:p w14:paraId="0656C5A0" w14:textId="77777777" w:rsidR="00FC59CF" w:rsidRPr="00D8535D" w:rsidRDefault="00FC59CF" w:rsidP="00D818FA">
      <w:pPr>
        <w:rPr>
          <w:rFonts w:ascii="Verdana" w:hAnsi="Verdana"/>
          <w:lang w:val="es-ES_tradnl"/>
        </w:rPr>
      </w:pPr>
    </w:p>
    <w:sectPr w:rsidR="00FC59CF" w:rsidRPr="00D8535D" w:rsidSect="007C0C0F">
      <w:headerReference w:type="default" r:id="rId16"/>
      <w:footerReference w:type="default" r:id="rId17"/>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2A105" w14:textId="77777777" w:rsidR="00A21F90" w:rsidRDefault="00A21F90" w:rsidP="004A1847">
      <w:pPr>
        <w:spacing w:after="0" w:line="240" w:lineRule="auto"/>
      </w:pPr>
      <w:r>
        <w:separator/>
      </w:r>
    </w:p>
  </w:endnote>
  <w:endnote w:type="continuationSeparator" w:id="0">
    <w:p w14:paraId="46F0221E" w14:textId="77777777" w:rsidR="00A21F90" w:rsidRDefault="00A21F90" w:rsidP="004A1847">
      <w:pPr>
        <w:spacing w:after="0" w:line="240" w:lineRule="auto"/>
      </w:pPr>
      <w:r>
        <w:continuationSeparator/>
      </w:r>
    </w:p>
  </w:endnote>
  <w:endnote w:type="continuationNotice" w:id="1">
    <w:p w14:paraId="5F0AD8BC" w14:textId="77777777" w:rsidR="00A21F90" w:rsidRDefault="00A21F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4A729" w14:textId="77777777" w:rsidR="00A21F90" w:rsidRDefault="00A21F90" w:rsidP="004A1847">
      <w:pPr>
        <w:spacing w:after="0" w:line="240" w:lineRule="auto"/>
      </w:pPr>
      <w:r>
        <w:separator/>
      </w:r>
    </w:p>
  </w:footnote>
  <w:footnote w:type="continuationSeparator" w:id="0">
    <w:p w14:paraId="4AC2D5DE" w14:textId="77777777" w:rsidR="00A21F90" w:rsidRDefault="00A21F90" w:rsidP="004A1847">
      <w:pPr>
        <w:spacing w:after="0" w:line="240" w:lineRule="auto"/>
      </w:pPr>
      <w:r>
        <w:continuationSeparator/>
      </w:r>
    </w:p>
  </w:footnote>
  <w:footnote w:type="continuationNotice" w:id="1">
    <w:p w14:paraId="47AB9A4C" w14:textId="77777777" w:rsidR="00A21F90" w:rsidRDefault="00A21F90">
      <w:pPr>
        <w:spacing w:after="0" w:line="240" w:lineRule="auto"/>
      </w:pPr>
    </w:p>
  </w:footnote>
  <w:footnote w:id="2">
    <w:p w14:paraId="6839B583" w14:textId="5C1B6DEE" w:rsidR="000C2D8B" w:rsidRPr="00C02094" w:rsidRDefault="004C0691" w:rsidP="004C0691">
      <w:pPr>
        <w:pStyle w:val="Textonotapie"/>
        <w:ind w:firstLine="708"/>
        <w:contextualSpacing/>
        <w:jc w:val="both"/>
        <w:rPr>
          <w:rFonts w:ascii="Verdana" w:hAnsi="Verdana" w:cs="Arial"/>
          <w:color w:val="000000" w:themeColor="text1"/>
          <w:sz w:val="16"/>
          <w:szCs w:val="16"/>
          <w:u w:val="single"/>
        </w:rPr>
      </w:pPr>
      <w:r w:rsidRPr="00C02094">
        <w:rPr>
          <w:rStyle w:val="Refdenotaalpie"/>
          <w:rFonts w:ascii="Verdana" w:hAnsi="Verdana" w:cs="Arial"/>
          <w:color w:val="000000" w:themeColor="text1"/>
          <w:sz w:val="16"/>
          <w:szCs w:val="16"/>
        </w:rPr>
        <w:footnoteRef/>
      </w:r>
      <w:r w:rsidRPr="00C02094">
        <w:rPr>
          <w:rFonts w:ascii="Verdana" w:hAnsi="Verdana" w:cs="Arial"/>
          <w:color w:val="000000" w:themeColor="text1"/>
          <w:sz w:val="16"/>
          <w:szCs w:val="16"/>
        </w:rPr>
        <w:t xml:space="preserve"> Texto del Proyecto de Ley 122 de 2020 Cámara. Exposición de motivos. Consultado el 29 de diciembre de 2021 en la página web: </w:t>
      </w:r>
      <w:hyperlink r:id="rId1" w:history="1">
        <w:r w:rsidRPr="00C02094">
          <w:rPr>
            <w:rStyle w:val="Hipervnculo"/>
            <w:rFonts w:ascii="Verdana" w:hAnsi="Verdana" w:cs="Arial"/>
            <w:sz w:val="16"/>
            <w:szCs w:val="16"/>
          </w:rPr>
          <w:t>http://leyes.senado.gov.co/proyectos/index.php/textos-radicados-senado/p-ley-2020-2021/1957-proyecto-de-ley-161-de-2020</w:t>
        </w:r>
      </w:hyperlink>
      <w:r w:rsidRPr="00C02094">
        <w:rPr>
          <w:rStyle w:val="Hipervnculo1"/>
          <w:rFonts w:ascii="Verdana" w:hAnsi="Verdana" w:cs="Arial"/>
          <w:color w:val="000000" w:themeColor="text1"/>
          <w:sz w:val="16"/>
          <w:szCs w:val="16"/>
        </w:rPr>
        <w:t xml:space="preserve"> </w:t>
      </w:r>
    </w:p>
  </w:footnote>
  <w:footnote w:id="3">
    <w:p w14:paraId="45E4F98F" w14:textId="1C47B364" w:rsidR="000C2D8B" w:rsidRPr="00C02094" w:rsidRDefault="004C0691" w:rsidP="00D818FA">
      <w:pPr>
        <w:pStyle w:val="Textonotapie"/>
        <w:ind w:firstLine="709"/>
        <w:contextualSpacing/>
        <w:jc w:val="both"/>
        <w:rPr>
          <w:rFonts w:ascii="Verdana" w:hAnsi="Verdana" w:cs="Arial"/>
          <w:color w:val="000000" w:themeColor="text1"/>
          <w:sz w:val="16"/>
          <w:szCs w:val="16"/>
          <w:lang w:val="es-ES"/>
        </w:rPr>
      </w:pPr>
      <w:r w:rsidRPr="00C02094">
        <w:rPr>
          <w:rStyle w:val="Refdenotaalpie"/>
          <w:rFonts w:ascii="Verdana" w:hAnsi="Verdana" w:cs="Arial"/>
          <w:color w:val="000000" w:themeColor="text1"/>
          <w:sz w:val="16"/>
          <w:szCs w:val="16"/>
        </w:rPr>
        <w:footnoteRef/>
      </w:r>
      <w:r w:rsidRPr="00C02094">
        <w:rPr>
          <w:rFonts w:ascii="Verdana" w:hAnsi="Verdana" w:cs="Arial"/>
          <w:color w:val="000000" w:themeColor="text1"/>
          <w:sz w:val="16"/>
          <w:szCs w:val="16"/>
        </w:rPr>
        <w:t xml:space="preserve"> </w:t>
      </w:r>
      <w:r w:rsidRPr="00C02094">
        <w:rPr>
          <w:rFonts w:ascii="Verdana" w:hAnsi="Verdana" w:cs="Arial"/>
          <w:color w:val="000000" w:themeColor="text1"/>
          <w:sz w:val="16"/>
          <w:szCs w:val="16"/>
          <w:lang w:val="es-ES"/>
        </w:rPr>
        <w:t>Artículos 2 al 29.</w:t>
      </w:r>
    </w:p>
  </w:footnote>
  <w:footnote w:id="4">
    <w:p w14:paraId="42C50C09" w14:textId="0967E96F" w:rsidR="000C2D8B" w:rsidRPr="00C02094" w:rsidRDefault="004C0691" w:rsidP="00D818FA">
      <w:pPr>
        <w:pStyle w:val="Textonotapie"/>
        <w:ind w:firstLine="709"/>
        <w:contextualSpacing/>
        <w:jc w:val="both"/>
        <w:rPr>
          <w:rFonts w:ascii="Verdana" w:hAnsi="Verdana" w:cs="Arial"/>
          <w:color w:val="000000" w:themeColor="text1"/>
          <w:sz w:val="16"/>
          <w:szCs w:val="16"/>
          <w:lang w:val="es-ES"/>
        </w:rPr>
      </w:pPr>
      <w:r w:rsidRPr="00C02094">
        <w:rPr>
          <w:rStyle w:val="Refdenotaalpie"/>
          <w:rFonts w:ascii="Verdana" w:hAnsi="Verdana" w:cs="Arial"/>
          <w:color w:val="000000" w:themeColor="text1"/>
          <w:sz w:val="16"/>
          <w:szCs w:val="16"/>
        </w:rPr>
        <w:footnoteRef/>
      </w:r>
      <w:r w:rsidRPr="00C02094">
        <w:rPr>
          <w:rFonts w:ascii="Verdana" w:hAnsi="Verdana" w:cs="Arial"/>
          <w:color w:val="000000" w:themeColor="text1"/>
          <w:sz w:val="16"/>
          <w:szCs w:val="16"/>
        </w:rPr>
        <w:t xml:space="preserve"> </w:t>
      </w:r>
      <w:r w:rsidRPr="00C02094">
        <w:rPr>
          <w:rFonts w:ascii="Verdana" w:hAnsi="Verdana" w:cs="Arial"/>
          <w:color w:val="000000" w:themeColor="text1"/>
          <w:sz w:val="16"/>
          <w:szCs w:val="16"/>
          <w:lang w:val="es-ES"/>
        </w:rPr>
        <w:t>Artículos 30 al 36</w:t>
      </w:r>
      <w:r w:rsidR="00D818FA">
        <w:rPr>
          <w:rFonts w:ascii="Verdana" w:hAnsi="Verdana" w:cs="Arial"/>
          <w:color w:val="000000" w:themeColor="text1"/>
          <w:sz w:val="16"/>
          <w:szCs w:val="16"/>
          <w:lang w:val="es-ES"/>
        </w:rPr>
        <w:t>.</w:t>
      </w:r>
    </w:p>
  </w:footnote>
  <w:footnote w:id="5">
    <w:p w14:paraId="649A7FA3" w14:textId="72730EA7" w:rsidR="000C2D8B" w:rsidRPr="00C02094" w:rsidRDefault="004C0691" w:rsidP="00D818FA">
      <w:pPr>
        <w:pStyle w:val="Textonotapie"/>
        <w:ind w:firstLine="709"/>
        <w:contextualSpacing/>
        <w:jc w:val="both"/>
        <w:rPr>
          <w:rFonts w:ascii="Verdana" w:hAnsi="Verdana" w:cs="Arial"/>
          <w:color w:val="000000" w:themeColor="text1"/>
          <w:sz w:val="16"/>
          <w:szCs w:val="16"/>
          <w:lang w:val="es-ES"/>
        </w:rPr>
      </w:pPr>
      <w:r w:rsidRPr="00C02094">
        <w:rPr>
          <w:rStyle w:val="Refdenotaalpie"/>
          <w:rFonts w:ascii="Verdana" w:hAnsi="Verdana" w:cs="Arial"/>
          <w:color w:val="000000" w:themeColor="text1"/>
          <w:sz w:val="16"/>
          <w:szCs w:val="16"/>
        </w:rPr>
        <w:footnoteRef/>
      </w:r>
      <w:r w:rsidRPr="00C02094">
        <w:rPr>
          <w:rFonts w:ascii="Verdana" w:hAnsi="Verdana" w:cs="Arial"/>
          <w:color w:val="000000" w:themeColor="text1"/>
          <w:sz w:val="16"/>
          <w:szCs w:val="16"/>
        </w:rPr>
        <w:t xml:space="preserve"> </w:t>
      </w:r>
      <w:r w:rsidRPr="00C02094">
        <w:rPr>
          <w:rFonts w:ascii="Verdana" w:hAnsi="Verdana" w:cs="Arial"/>
          <w:color w:val="000000" w:themeColor="text1"/>
          <w:sz w:val="16"/>
          <w:szCs w:val="16"/>
          <w:lang w:val="es-ES"/>
        </w:rPr>
        <w:t>Artículos 37 al 45.</w:t>
      </w:r>
    </w:p>
  </w:footnote>
  <w:footnote w:id="6">
    <w:p w14:paraId="4FE3995C" w14:textId="430619E0" w:rsidR="000C2D8B" w:rsidRPr="00C02094" w:rsidRDefault="004C0691" w:rsidP="00D818FA">
      <w:pPr>
        <w:pStyle w:val="Textonotapie"/>
        <w:ind w:firstLine="709"/>
        <w:contextualSpacing/>
        <w:jc w:val="both"/>
        <w:rPr>
          <w:rFonts w:ascii="Verdana" w:hAnsi="Verdana" w:cs="Arial"/>
          <w:color w:val="000000" w:themeColor="text1"/>
          <w:sz w:val="16"/>
          <w:szCs w:val="16"/>
          <w:lang w:val="es-ES"/>
        </w:rPr>
      </w:pPr>
      <w:r w:rsidRPr="00C02094">
        <w:rPr>
          <w:rStyle w:val="Refdenotaalpie"/>
          <w:rFonts w:ascii="Verdana" w:hAnsi="Verdana" w:cs="Arial"/>
          <w:color w:val="000000" w:themeColor="text1"/>
          <w:sz w:val="16"/>
          <w:szCs w:val="16"/>
        </w:rPr>
        <w:footnoteRef/>
      </w:r>
      <w:r w:rsidRPr="00C02094">
        <w:rPr>
          <w:rFonts w:ascii="Verdana" w:hAnsi="Verdana" w:cs="Arial"/>
          <w:color w:val="000000" w:themeColor="text1"/>
          <w:sz w:val="16"/>
          <w:szCs w:val="16"/>
        </w:rPr>
        <w:t xml:space="preserve"> </w:t>
      </w:r>
      <w:r w:rsidRPr="00C02094">
        <w:rPr>
          <w:rFonts w:ascii="Verdana" w:hAnsi="Verdana" w:cs="Arial"/>
          <w:color w:val="000000" w:themeColor="text1"/>
          <w:sz w:val="16"/>
          <w:szCs w:val="16"/>
          <w:lang w:val="es-ES"/>
        </w:rPr>
        <w:t>Artículos 46 al 73.</w:t>
      </w:r>
    </w:p>
  </w:footnote>
  <w:footnote w:id="7">
    <w:p w14:paraId="4FE63C4A" w14:textId="23552F36" w:rsidR="000C2D8B" w:rsidRPr="00C02094" w:rsidRDefault="004C0691" w:rsidP="004C0691">
      <w:pPr>
        <w:pStyle w:val="Textonotapie"/>
        <w:ind w:firstLine="709"/>
        <w:contextualSpacing/>
        <w:jc w:val="both"/>
        <w:rPr>
          <w:rFonts w:ascii="Verdana" w:hAnsi="Verdana" w:cs="Arial"/>
          <w:color w:val="000000" w:themeColor="text1"/>
          <w:sz w:val="16"/>
          <w:szCs w:val="16"/>
          <w:lang w:val="es-ES"/>
        </w:rPr>
      </w:pPr>
      <w:r w:rsidRPr="00C02094">
        <w:rPr>
          <w:rStyle w:val="Refdenotaalpie"/>
          <w:rFonts w:ascii="Verdana" w:hAnsi="Verdana" w:cs="Arial"/>
          <w:color w:val="000000" w:themeColor="text1"/>
          <w:sz w:val="16"/>
          <w:szCs w:val="16"/>
        </w:rPr>
        <w:footnoteRef/>
      </w:r>
      <w:r w:rsidRPr="00C02094">
        <w:rPr>
          <w:rFonts w:ascii="Verdana" w:hAnsi="Verdana" w:cs="Arial"/>
          <w:color w:val="000000" w:themeColor="text1"/>
          <w:sz w:val="16"/>
          <w:szCs w:val="16"/>
        </w:rPr>
        <w:t xml:space="preserve"> </w:t>
      </w:r>
      <w:r w:rsidRPr="00C02094">
        <w:rPr>
          <w:rFonts w:ascii="Verdana" w:hAnsi="Verdana" w:cs="Arial"/>
          <w:color w:val="000000" w:themeColor="text1"/>
          <w:sz w:val="16"/>
          <w:szCs w:val="16"/>
          <w:lang w:val="es-ES"/>
        </w:rPr>
        <w:t>Artículos 74 al 83.</w:t>
      </w:r>
    </w:p>
  </w:footnote>
  <w:footnote w:id="8">
    <w:p w14:paraId="3D6A85B0" w14:textId="77777777" w:rsidR="004C0691" w:rsidRDefault="004C0691" w:rsidP="004C0691">
      <w:pPr>
        <w:pStyle w:val="Textonotapie"/>
        <w:ind w:firstLine="709"/>
        <w:contextualSpacing/>
        <w:jc w:val="both"/>
        <w:rPr>
          <w:rFonts w:ascii="Verdana" w:hAnsi="Verdana" w:cs="Arial"/>
          <w:color w:val="000000" w:themeColor="text1"/>
          <w:sz w:val="16"/>
          <w:szCs w:val="16"/>
        </w:rPr>
      </w:pPr>
      <w:r w:rsidRPr="00C02094">
        <w:rPr>
          <w:rStyle w:val="Refdenotaalpie"/>
          <w:rFonts w:ascii="Verdana" w:hAnsi="Verdana" w:cs="Arial"/>
          <w:color w:val="000000" w:themeColor="text1"/>
          <w:sz w:val="16"/>
          <w:szCs w:val="16"/>
        </w:rPr>
        <w:footnoteRef/>
      </w:r>
      <w:r w:rsidRPr="00C02094">
        <w:rPr>
          <w:rFonts w:ascii="Verdana" w:hAnsi="Verdana" w:cs="Arial"/>
          <w:color w:val="000000" w:themeColor="text1"/>
          <w:sz w:val="16"/>
          <w:szCs w:val="16"/>
        </w:rPr>
        <w:t xml:space="preserve"> Ley 2069 de 2020 “Artículo 32. Criterios Diferenciales para Emprendimientos y Empresas de mujeres en el Sistema De Compras Públicas. De acuerdo con el resultado del análisis del sector, las entidades estatales incluirán requisitos diferenciales y puntajes adicionales en los procesos de licitación pública, selección abreviada de menor cuantía y concurso de méritos,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  Parágrafo primero. La definición de emprendimientos y empresas de mujeres se reglamentará por el gobierno nacional”.</w:t>
      </w:r>
    </w:p>
    <w:p w14:paraId="79C29FEE" w14:textId="77777777" w:rsidR="000C2D8B" w:rsidRPr="00C02094" w:rsidRDefault="000C2D8B" w:rsidP="004C0691">
      <w:pPr>
        <w:pStyle w:val="Textonotapie"/>
        <w:ind w:firstLine="709"/>
        <w:contextualSpacing/>
        <w:jc w:val="both"/>
        <w:rPr>
          <w:rFonts w:ascii="Verdana" w:hAnsi="Verdana" w:cs="Arial"/>
          <w:color w:val="000000" w:themeColor="text1"/>
          <w:sz w:val="16"/>
          <w:szCs w:val="16"/>
        </w:rPr>
      </w:pPr>
    </w:p>
  </w:footnote>
  <w:footnote w:id="9">
    <w:p w14:paraId="3A9774AC" w14:textId="77777777" w:rsidR="004C0691" w:rsidRDefault="004C0691" w:rsidP="004C0691">
      <w:pPr>
        <w:pStyle w:val="Textonotapie"/>
        <w:ind w:firstLine="708"/>
        <w:contextualSpacing/>
        <w:rPr>
          <w:rFonts w:ascii="Verdana" w:hAnsi="Verdana"/>
          <w:sz w:val="16"/>
          <w:szCs w:val="16"/>
          <w:lang w:val="es-CO"/>
        </w:rPr>
      </w:pPr>
      <w:r w:rsidRPr="00C02094">
        <w:rPr>
          <w:rStyle w:val="Refdenotaalpie"/>
          <w:rFonts w:ascii="Verdana" w:hAnsi="Verdana"/>
          <w:sz w:val="16"/>
          <w:szCs w:val="16"/>
        </w:rPr>
        <w:footnoteRef/>
      </w:r>
      <w:r w:rsidRPr="00C02094">
        <w:rPr>
          <w:rFonts w:ascii="Verdana" w:hAnsi="Verdana"/>
          <w:sz w:val="16"/>
          <w:szCs w:val="16"/>
        </w:rPr>
        <w:t xml:space="preserve"> Superintendencia de Sociedades. </w:t>
      </w:r>
      <w:r w:rsidRPr="00C02094">
        <w:rPr>
          <w:rFonts w:ascii="Verdana" w:hAnsi="Verdana"/>
          <w:sz w:val="16"/>
          <w:szCs w:val="16"/>
          <w:lang w:val="es-CO"/>
        </w:rPr>
        <w:t xml:space="preserve">Guía Práctica Régimen de Matrices y Subordinadas. Disponible en: </w:t>
      </w:r>
      <w:hyperlink r:id="rId2" w:history="1">
        <w:r w:rsidRPr="00C02094">
          <w:rPr>
            <w:rStyle w:val="Hipervnculo"/>
            <w:rFonts w:ascii="Verdana" w:hAnsi="Verdana"/>
            <w:sz w:val="16"/>
            <w:szCs w:val="16"/>
            <w:lang w:val="es-CO"/>
          </w:rPr>
          <w:t>https://www.supersociedades.gov.co/documents/20122/1229078/Guia-Practica-Regimen-Matrices-y-Subordinadas.pdf/6c4a9d36-224c-e72e-8bb5-eec20d380f4a?t=1654295200749</w:t>
        </w:r>
      </w:hyperlink>
      <w:r w:rsidRPr="00C02094">
        <w:rPr>
          <w:rFonts w:ascii="Verdana" w:hAnsi="Verdana"/>
          <w:sz w:val="16"/>
          <w:szCs w:val="16"/>
          <w:lang w:val="es-CO"/>
        </w:rPr>
        <w:t xml:space="preserve"> </w:t>
      </w:r>
    </w:p>
    <w:p w14:paraId="1C6D8519" w14:textId="77777777" w:rsidR="000C2D8B" w:rsidRPr="00C02094" w:rsidRDefault="000C2D8B" w:rsidP="004C0691">
      <w:pPr>
        <w:pStyle w:val="Textonotapie"/>
        <w:ind w:firstLine="708"/>
        <w:contextualSpacing/>
        <w:rPr>
          <w:rFonts w:ascii="Verdana" w:hAnsi="Verdana"/>
          <w:sz w:val="16"/>
          <w:szCs w:val="16"/>
        </w:rPr>
      </w:pPr>
    </w:p>
  </w:footnote>
  <w:footnote w:id="10">
    <w:p w14:paraId="5F63CC1D" w14:textId="77777777" w:rsidR="004C0691" w:rsidRPr="00C02094" w:rsidRDefault="004C0691" w:rsidP="004C0691">
      <w:pPr>
        <w:pStyle w:val="Textonotapie"/>
        <w:ind w:firstLine="708"/>
        <w:contextualSpacing/>
        <w:rPr>
          <w:rFonts w:ascii="Verdana" w:hAnsi="Verdana"/>
          <w:sz w:val="16"/>
          <w:szCs w:val="16"/>
        </w:rPr>
      </w:pPr>
      <w:r w:rsidRPr="00C02094">
        <w:rPr>
          <w:rStyle w:val="Refdenotaalpie"/>
          <w:rFonts w:ascii="Verdana" w:hAnsi="Verdana"/>
          <w:sz w:val="16"/>
          <w:szCs w:val="16"/>
        </w:rPr>
        <w:footnoteRef/>
      </w:r>
      <w:r w:rsidRPr="00C02094">
        <w:rPr>
          <w:rFonts w:ascii="Verdana" w:hAnsi="Verdana"/>
          <w:sz w:val="16"/>
          <w:szCs w:val="16"/>
        </w:rPr>
        <w:t xml:space="preserve">Ibidem.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4pt;height:11.4pt" o:bullet="t">
        <v:imagedata r:id="rId1" o:title="mso1B13"/>
      </v:shape>
    </w:pict>
  </w:numPicBullet>
  <w:abstractNum w:abstractNumId="0" w15:restartNumberingAfterBreak="0">
    <w:nsid w:val="01C06310"/>
    <w:multiLevelType w:val="multilevel"/>
    <w:tmpl w:val="F48E76D0"/>
    <w:lvl w:ilvl="0">
      <w:start w:val="1"/>
      <w:numFmt w:val="decimal"/>
      <w:lvlText w:val="%1."/>
      <w:lvlJc w:val="left"/>
      <w:pPr>
        <w:ind w:left="1068" w:hanging="360"/>
      </w:pPr>
      <w:rPr>
        <w:b/>
        <w:color w:val="000000" w:themeColor="text1"/>
      </w:rPr>
    </w:lvl>
    <w:lvl w:ilvl="1">
      <w:start w:val="2"/>
      <w:numFmt w:val="decimal"/>
      <w:isLgl/>
      <w:lvlText w:val="%1.%2"/>
      <w:lvlJc w:val="left"/>
      <w:pPr>
        <w:ind w:left="70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CF64647"/>
    <w:multiLevelType w:val="hybridMultilevel"/>
    <w:tmpl w:val="A08208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22362711"/>
    <w:multiLevelType w:val="hybridMultilevel"/>
    <w:tmpl w:val="ECE6E2F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8D6515"/>
    <w:multiLevelType w:val="hybridMultilevel"/>
    <w:tmpl w:val="67407C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9C768F7"/>
    <w:multiLevelType w:val="hybridMultilevel"/>
    <w:tmpl w:val="1B42F5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43AC6107"/>
    <w:multiLevelType w:val="hybridMultilevel"/>
    <w:tmpl w:val="40D22840"/>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5" w15:restartNumberingAfterBreak="0">
    <w:nsid w:val="626515E4"/>
    <w:multiLevelType w:val="hybridMultilevel"/>
    <w:tmpl w:val="8B3A90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7" w15:restartNumberingAfterBreak="0">
    <w:nsid w:val="66076C83"/>
    <w:multiLevelType w:val="hybridMultilevel"/>
    <w:tmpl w:val="6C6A9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04F451B"/>
    <w:multiLevelType w:val="hybridMultilevel"/>
    <w:tmpl w:val="A2482FFA"/>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num w:numId="1" w16cid:durableId="948779781">
    <w:abstractNumId w:val="10"/>
  </w:num>
  <w:num w:numId="2" w16cid:durableId="19822139">
    <w:abstractNumId w:val="2"/>
  </w:num>
  <w:num w:numId="3" w16cid:durableId="876742304">
    <w:abstractNumId w:val="8"/>
  </w:num>
  <w:num w:numId="4" w16cid:durableId="2451864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20"/>
  </w:num>
  <w:num w:numId="7" w16cid:durableId="1946422806">
    <w:abstractNumId w:val="9"/>
  </w:num>
  <w:num w:numId="8" w16cid:durableId="152644682">
    <w:abstractNumId w:val="19"/>
  </w:num>
  <w:num w:numId="9" w16cid:durableId="1317221377">
    <w:abstractNumId w:val="11"/>
  </w:num>
  <w:num w:numId="10" w16cid:durableId="1471245386">
    <w:abstractNumId w:val="18"/>
  </w:num>
  <w:num w:numId="11" w16cid:durableId="289172385">
    <w:abstractNumId w:val="12"/>
  </w:num>
  <w:num w:numId="12" w16cid:durableId="1470781324">
    <w:abstractNumId w:val="1"/>
  </w:num>
  <w:num w:numId="13" w16cid:durableId="1512908409">
    <w:abstractNumId w:val="5"/>
  </w:num>
  <w:num w:numId="14" w16cid:durableId="895897244">
    <w:abstractNumId w:val="21"/>
  </w:num>
  <w:num w:numId="15" w16cid:durableId="390349800">
    <w:abstractNumId w:val="16"/>
  </w:num>
  <w:num w:numId="16" w16cid:durableId="1330140246">
    <w:abstractNumId w:val="0"/>
  </w:num>
  <w:num w:numId="17" w16cid:durableId="66273114">
    <w:abstractNumId w:val="4"/>
  </w:num>
  <w:num w:numId="18" w16cid:durableId="258559934">
    <w:abstractNumId w:val="17"/>
  </w:num>
  <w:num w:numId="19" w16cid:durableId="2139764406">
    <w:abstractNumId w:val="3"/>
  </w:num>
  <w:num w:numId="20" w16cid:durableId="1619140680">
    <w:abstractNumId w:val="7"/>
  </w:num>
  <w:num w:numId="21" w16cid:durableId="1932084371">
    <w:abstractNumId w:val="22"/>
  </w:num>
  <w:num w:numId="22" w16cid:durableId="1419712614">
    <w:abstractNumId w:val="14"/>
  </w:num>
  <w:num w:numId="23" w16cid:durableId="2022704930">
    <w:abstractNumId w:val="15"/>
  </w:num>
  <w:num w:numId="24" w16cid:durableId="1136921567">
    <w:abstractNumId w:val="6"/>
  </w:num>
  <w:num w:numId="25" w16cid:durableId="6790895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2F7F"/>
    <w:rsid w:val="00061B2A"/>
    <w:rsid w:val="00082362"/>
    <w:rsid w:val="000A683E"/>
    <w:rsid w:val="000B19B9"/>
    <w:rsid w:val="000C2D8B"/>
    <w:rsid w:val="000D0334"/>
    <w:rsid w:val="000F6486"/>
    <w:rsid w:val="001062C7"/>
    <w:rsid w:val="00125105"/>
    <w:rsid w:val="00127233"/>
    <w:rsid w:val="0015686B"/>
    <w:rsid w:val="00156A37"/>
    <w:rsid w:val="001B5D67"/>
    <w:rsid w:val="001E4177"/>
    <w:rsid w:val="001F7DC6"/>
    <w:rsid w:val="002229FD"/>
    <w:rsid w:val="002421BB"/>
    <w:rsid w:val="002512E6"/>
    <w:rsid w:val="0025796E"/>
    <w:rsid w:val="002630EB"/>
    <w:rsid w:val="00265FF1"/>
    <w:rsid w:val="002707A2"/>
    <w:rsid w:val="00270F25"/>
    <w:rsid w:val="002915F7"/>
    <w:rsid w:val="002951A0"/>
    <w:rsid w:val="002962BC"/>
    <w:rsid w:val="002A093D"/>
    <w:rsid w:val="002A0DD0"/>
    <w:rsid w:val="002A49AC"/>
    <w:rsid w:val="002A64FD"/>
    <w:rsid w:val="002C7A84"/>
    <w:rsid w:val="002D7ACD"/>
    <w:rsid w:val="002E4FD9"/>
    <w:rsid w:val="00301B02"/>
    <w:rsid w:val="003202B0"/>
    <w:rsid w:val="00322A85"/>
    <w:rsid w:val="00324168"/>
    <w:rsid w:val="003448F4"/>
    <w:rsid w:val="00354270"/>
    <w:rsid w:val="003549C7"/>
    <w:rsid w:val="003604CA"/>
    <w:rsid w:val="00374F5E"/>
    <w:rsid w:val="00377E3E"/>
    <w:rsid w:val="003966C4"/>
    <w:rsid w:val="003A26D1"/>
    <w:rsid w:val="003A779E"/>
    <w:rsid w:val="003D0F4D"/>
    <w:rsid w:val="003D5B0D"/>
    <w:rsid w:val="003E0499"/>
    <w:rsid w:val="003E0D5B"/>
    <w:rsid w:val="003F3941"/>
    <w:rsid w:val="00406575"/>
    <w:rsid w:val="00423F75"/>
    <w:rsid w:val="0042722E"/>
    <w:rsid w:val="0044528D"/>
    <w:rsid w:val="00473468"/>
    <w:rsid w:val="00474475"/>
    <w:rsid w:val="00495734"/>
    <w:rsid w:val="004A1847"/>
    <w:rsid w:val="004A305D"/>
    <w:rsid w:val="004C0691"/>
    <w:rsid w:val="004C1444"/>
    <w:rsid w:val="004F21C4"/>
    <w:rsid w:val="004F685F"/>
    <w:rsid w:val="005025B5"/>
    <w:rsid w:val="00536F5E"/>
    <w:rsid w:val="0054660F"/>
    <w:rsid w:val="005564B4"/>
    <w:rsid w:val="005566E8"/>
    <w:rsid w:val="00574867"/>
    <w:rsid w:val="00591460"/>
    <w:rsid w:val="00592628"/>
    <w:rsid w:val="00594C74"/>
    <w:rsid w:val="005A3DDB"/>
    <w:rsid w:val="005C3777"/>
    <w:rsid w:val="005C5CDC"/>
    <w:rsid w:val="005D476C"/>
    <w:rsid w:val="00610812"/>
    <w:rsid w:val="006219F8"/>
    <w:rsid w:val="00643635"/>
    <w:rsid w:val="00650FF7"/>
    <w:rsid w:val="00665D70"/>
    <w:rsid w:val="00671DAC"/>
    <w:rsid w:val="00675C32"/>
    <w:rsid w:val="00677740"/>
    <w:rsid w:val="00677BC5"/>
    <w:rsid w:val="00687F9B"/>
    <w:rsid w:val="006900D9"/>
    <w:rsid w:val="006C452C"/>
    <w:rsid w:val="006D12F8"/>
    <w:rsid w:val="006E2954"/>
    <w:rsid w:val="006F40EE"/>
    <w:rsid w:val="00706C16"/>
    <w:rsid w:val="0071428C"/>
    <w:rsid w:val="00722C90"/>
    <w:rsid w:val="00756841"/>
    <w:rsid w:val="007649AB"/>
    <w:rsid w:val="00771D0C"/>
    <w:rsid w:val="00775DA5"/>
    <w:rsid w:val="007833AC"/>
    <w:rsid w:val="007923A5"/>
    <w:rsid w:val="00795C9F"/>
    <w:rsid w:val="007B268C"/>
    <w:rsid w:val="007B7171"/>
    <w:rsid w:val="007C0C0F"/>
    <w:rsid w:val="007C3DC2"/>
    <w:rsid w:val="007D038D"/>
    <w:rsid w:val="007E5497"/>
    <w:rsid w:val="00806F5F"/>
    <w:rsid w:val="00811C35"/>
    <w:rsid w:val="00820278"/>
    <w:rsid w:val="008843B6"/>
    <w:rsid w:val="00891928"/>
    <w:rsid w:val="008A2DEC"/>
    <w:rsid w:val="008A446D"/>
    <w:rsid w:val="008D180B"/>
    <w:rsid w:val="008F0EA7"/>
    <w:rsid w:val="00923EEF"/>
    <w:rsid w:val="00935C58"/>
    <w:rsid w:val="009419F9"/>
    <w:rsid w:val="0095685E"/>
    <w:rsid w:val="00961B09"/>
    <w:rsid w:val="00965334"/>
    <w:rsid w:val="0097093E"/>
    <w:rsid w:val="009A0DFA"/>
    <w:rsid w:val="009A7D9F"/>
    <w:rsid w:val="009B2D26"/>
    <w:rsid w:val="009C19C8"/>
    <w:rsid w:val="009C71FA"/>
    <w:rsid w:val="009C72E7"/>
    <w:rsid w:val="009D3058"/>
    <w:rsid w:val="009F3A13"/>
    <w:rsid w:val="00A122D3"/>
    <w:rsid w:val="00A17F13"/>
    <w:rsid w:val="00A20739"/>
    <w:rsid w:val="00A21F90"/>
    <w:rsid w:val="00A24957"/>
    <w:rsid w:val="00A33C78"/>
    <w:rsid w:val="00A35389"/>
    <w:rsid w:val="00A4771A"/>
    <w:rsid w:val="00A6168A"/>
    <w:rsid w:val="00A97925"/>
    <w:rsid w:val="00AB0ADB"/>
    <w:rsid w:val="00AC0CA2"/>
    <w:rsid w:val="00B01B1A"/>
    <w:rsid w:val="00B2670E"/>
    <w:rsid w:val="00B41186"/>
    <w:rsid w:val="00B72CD3"/>
    <w:rsid w:val="00B72FFF"/>
    <w:rsid w:val="00B9402C"/>
    <w:rsid w:val="00BC3155"/>
    <w:rsid w:val="00BC3D36"/>
    <w:rsid w:val="00BC56AD"/>
    <w:rsid w:val="00BD7F72"/>
    <w:rsid w:val="00C04FB3"/>
    <w:rsid w:val="00C330EB"/>
    <w:rsid w:val="00C37A4F"/>
    <w:rsid w:val="00C47B6C"/>
    <w:rsid w:val="00C538A4"/>
    <w:rsid w:val="00C754BE"/>
    <w:rsid w:val="00C76B1C"/>
    <w:rsid w:val="00CB6357"/>
    <w:rsid w:val="00CC1B26"/>
    <w:rsid w:val="00CD14D0"/>
    <w:rsid w:val="00CD5441"/>
    <w:rsid w:val="00CE2E2F"/>
    <w:rsid w:val="00D423A2"/>
    <w:rsid w:val="00D46D35"/>
    <w:rsid w:val="00D520D8"/>
    <w:rsid w:val="00D63AC2"/>
    <w:rsid w:val="00D7383B"/>
    <w:rsid w:val="00D818FA"/>
    <w:rsid w:val="00D9404A"/>
    <w:rsid w:val="00DA231B"/>
    <w:rsid w:val="00DA23A0"/>
    <w:rsid w:val="00DC1E75"/>
    <w:rsid w:val="00DC39FC"/>
    <w:rsid w:val="00DF5254"/>
    <w:rsid w:val="00E01D4A"/>
    <w:rsid w:val="00E10985"/>
    <w:rsid w:val="00E16408"/>
    <w:rsid w:val="00E20894"/>
    <w:rsid w:val="00E245AB"/>
    <w:rsid w:val="00E2764C"/>
    <w:rsid w:val="00E27F2E"/>
    <w:rsid w:val="00E413EA"/>
    <w:rsid w:val="00E50AFE"/>
    <w:rsid w:val="00E75C92"/>
    <w:rsid w:val="00E771DC"/>
    <w:rsid w:val="00E8772A"/>
    <w:rsid w:val="00E90F6B"/>
    <w:rsid w:val="00E92C27"/>
    <w:rsid w:val="00EA0E3D"/>
    <w:rsid w:val="00EB050D"/>
    <w:rsid w:val="00EC38A7"/>
    <w:rsid w:val="00EE1AA8"/>
    <w:rsid w:val="00F31EDC"/>
    <w:rsid w:val="00F462B3"/>
    <w:rsid w:val="00F50C6C"/>
    <w:rsid w:val="00F5664F"/>
    <w:rsid w:val="00F666C4"/>
    <w:rsid w:val="00F729A1"/>
    <w:rsid w:val="00F76AFC"/>
    <w:rsid w:val="00FA07B5"/>
    <w:rsid w:val="00FA47C0"/>
    <w:rsid w:val="00FB5DD1"/>
    <w:rsid w:val="00FC2B5D"/>
    <w:rsid w:val="00FC59CF"/>
    <w:rsid w:val="00FF1449"/>
    <w:rsid w:val="5CEADB7B"/>
    <w:rsid w:val="78528F4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F4E8639C-433A-4CAD-907B-C4B82BB10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rsid w:val="004C0691"/>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4C0691"/>
    <w:rPr>
      <w:rFonts w:ascii="Geomanist Light" w:hAnsi="Geomanist Light"/>
      <w:lang w:val="es-ES"/>
    </w:rPr>
  </w:style>
  <w:style w:type="character" w:customStyle="1" w:styleId="Hipervnculo1">
    <w:name w:val="Hipervínculo1"/>
    <w:basedOn w:val="Fuentedeprrafopredeter"/>
    <w:uiPriority w:val="99"/>
    <w:unhideWhenUsed/>
    <w:rsid w:val="004C0691"/>
    <w:rPr>
      <w:color w:val="F2F2F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626277108">
      <w:bodyDiv w:val="1"/>
      <w:marLeft w:val="0"/>
      <w:marRight w:val="0"/>
      <w:marTop w:val="0"/>
      <w:marBottom w:val="0"/>
      <w:divBdr>
        <w:top w:val="none" w:sz="0" w:space="0" w:color="auto"/>
        <w:left w:val="none" w:sz="0" w:space="0" w:color="auto"/>
        <w:bottom w:val="none" w:sz="0" w:space="0" w:color="auto"/>
        <w:right w:val="none" w:sz="0" w:space="0" w:color="auto"/>
      </w:divBdr>
    </w:div>
    <w:div w:id="706375426">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2.safelinks.protection.outlook.com/?url=https%3A%2F%2Frelatoria.colombiacompra.gov.co%2F&amp;data=05%7C02%7Cdiana.saavedra%40colombiacompra.gov.co%7C5aad36a736844ec87b2108dcc1fa4639%7C7b09041e245149d08cb179d5e3d8c1be%7C0%7C0%7C638598527919381538%7CUnknown%7CTWFpbGZsb3d8eyJWIjoiMC4wLjAwMDAiLCJQIjoiV2luMzIiLCJBTiI6Ik1haWwiLCJXVCI6Mn0%3D%7C0%7C%7C%7C&amp;sdata=SERqhYSkJwg8ErCStGLk4AEF5F37T6rV9QxmABE7T84%3D&amp;reserve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lombiacompra.gov.co/manuales-guias-y-pliegos-tipo/manuales-y-guia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latoria.colombiacompra.gov.co/providencias-consejo-de-estado/" TargetMode="Externa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02.safelinks.protection.outlook.com/?url=https%3A%2F%2Fwww.colombiacompra.gov.co%2Fsala-de-prensa%2Fboletin-digital%2Fboletin-de-relatoria-2024-iv&amp;data=05%7C02%7Cmartha.romero%40colombiacompra.gov.co%7C616b83c3423e4d31151908dce489c00d%7C7b09041e245149d08cb179d5e3d8c1be%7C0%7C0%7C638636527543104822%7CUnknown%7CTWFpbGZsb3d8eyJWIjoiMC4wLjAwMDAiLCJQIjoiV2luMzIiLCJBTiI6Ik1haWwiLCJXVCI6Mn0%3D%7C0%7C%7C%7C&amp;sdata=jQbIixzKnvlTxK08x1im6W1SukgnBeTEqeQT2ezV5aU%3D&amp;reserved=0"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supersociedades.gov.co/documents/20122/1229078/Guia-Practica-Regimen-Matrices-y-Subordinadas.pdf/6c4a9d36-224c-e72e-8bb5-eec20d380f4a?t=1654295200749" TargetMode="External"/><Relationship Id="rId1" Type="http://schemas.openxmlformats.org/officeDocument/2006/relationships/hyperlink" Target="http://leyes.senado.gov.co/proyectos/index.php/textos-radicados-senado/p-ley-2020-2021/1957-proyecto-de-ley-161-de-202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22473E04-F91F-4AB8-9E4E-0CEF1A36E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4555</Words>
  <Characters>25055</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29551</CharactersWithSpaces>
  <SharedDoc>false</SharedDoc>
  <HLinks>
    <vt:vector size="36" baseType="variant">
      <vt:variant>
        <vt:i4>3407924</vt:i4>
      </vt:variant>
      <vt:variant>
        <vt:i4>9</vt:i4>
      </vt:variant>
      <vt:variant>
        <vt:i4>0</vt:i4>
      </vt:variant>
      <vt:variant>
        <vt:i4>5</vt:i4>
      </vt:variant>
      <vt:variant>
        <vt:lpwstr>https://nam02.safelinks.protection.outlook.com/?url=https%3A%2F%2Fwww.colombiacompra.gov.co%2Fcontent%2Fconvocatorias&amp;data=05%7C02%7Cdiana.saavedra%40colombiacompra.gov.co%7C5aad36a736844ec87b2108dcc1fa4639%7C7b09041e245149d08cb179d5e3d8c1be%7C0%7C0%7C638598527919437775%7CUnknown%7CTWFpbGZsb3d8eyJWIjoiMC4wLjAwMDAiLCJQIjoiV2luMzIiLCJBTiI6Ik1haWwiLCJXVCI6Mn0%3D%7C0%7C%7C%7C&amp;sdata=5F4DKBMEurgclHpynNYDpoZPUmSTEZqPsTnUZQrdqTc%3D&amp;reserved=0</vt:lpwstr>
      </vt:variant>
      <vt:variant>
        <vt:lpwstr/>
      </vt:variant>
      <vt:variant>
        <vt:i4>7012469</vt:i4>
      </vt:variant>
      <vt:variant>
        <vt:i4>6</vt:i4>
      </vt:variant>
      <vt:variant>
        <vt:i4>0</vt:i4>
      </vt:variant>
      <vt:variant>
        <vt:i4>5</vt:i4>
      </vt:variant>
      <vt:variant>
        <vt:lpwstr>https://nam02.safelinks.protection.outlook.com/?url=https%3A%2F%2Fwww.sucop.gov.co%2Fentidades%2Fcolombiacompra%2FNormativa%3FIDNorma%3D17363&amp;data=05%7C02%7Cdiana.saavedra%40colombiacompra.gov.co%7C5aad36a736844ec87b2108dcc1fa4639%7C7b09041e245149d08cb179d5e3d8c1be%7C0%7C0%7C638598527919420052%7CUnknown%7CTWFpbGZsb3d8eyJWIjoiMC4wLjAwMDAiLCJQIjoiV2luMzIiLCJBTiI6Ik1haWwiLCJXVCI6Mn0%3D%7C0%7C%7C%7C&amp;sdata=lT1BXAfzktrCvXgnEvwjkmKzSdEPzZQPVjh76XtinQw%3D&amp;reserved=0</vt:lpwstr>
      </vt:variant>
      <vt:variant>
        <vt:lpwstr/>
      </vt:variant>
      <vt:variant>
        <vt:i4>2752605</vt:i4>
      </vt:variant>
      <vt:variant>
        <vt:i4>3</vt:i4>
      </vt:variant>
      <vt:variant>
        <vt:i4>0</vt:i4>
      </vt:variant>
      <vt:variant>
        <vt:i4>5</vt:i4>
      </vt:variant>
      <vt:variant>
        <vt:lpwstr>https://nam02.safelinks.protection.outlook.com/?url=https%3A%2F%2Fwww.colombiacompra.gov.co%2Fsites%2Fcce_public%2Ffiles%2Ffiles_2020%2Fboletin_de_realtoria_iii.pdf&amp;data=05%7C02%7Cdiana.saavedra%40colombiacompra.gov.co%7C5aad36a736844ec87b2108dcc1fa4639%7C7b09041e245149d08cb179d5e3d8c1be%7C0%7C0%7C638598527919402581%7CUnknown%7CTWFpbGZsb3d8eyJWIjoiMC4wLjAwMDAiLCJQIjoiV2luMzIiLCJBTiI6Ik1haWwiLCJXVCI6Mn0%3D%7C0%7C%7C%7C&amp;sdata=BZILiaeV6pxeIU4Au6MiDpHHdo%2F8ahiTHLAWqSylEg8%3D&amp;reserved=0</vt:lpwstr>
      </vt:variant>
      <vt:variant>
        <vt:lpwstr/>
      </vt:variant>
      <vt:variant>
        <vt:i4>7143486</vt:i4>
      </vt:variant>
      <vt:variant>
        <vt:i4>0</vt:i4>
      </vt:variant>
      <vt:variant>
        <vt:i4>0</vt:i4>
      </vt:variant>
      <vt:variant>
        <vt:i4>5</vt:i4>
      </vt:variant>
      <vt:variant>
        <vt:lpwstr>https://nam02.safelinks.protection.outlook.com/?url=https%3A%2F%2Frelatoria.colombiacompra.gov.co%2F&amp;data=05%7C02%7Cdiana.saavedra%40colombiacompra.gov.co%7C5aad36a736844ec87b2108dcc1fa4639%7C7b09041e245149d08cb179d5e3d8c1be%7C0%7C0%7C638598527919381538%7CUnknown%7CTWFpbGZsb3d8eyJWIjoiMC4wLjAwMDAiLCJQIjoiV2luMzIiLCJBTiI6Ik1haWwiLCJXVCI6Mn0%3D%7C0%7C%7C%7C&amp;sdata=SERqhYSkJwg8ErCStGLk4AEF5F37T6rV9QxmABE7T84%3D&amp;reserved=0</vt:lpwstr>
      </vt:variant>
      <vt:variant>
        <vt:lpwstr/>
      </vt:variant>
      <vt:variant>
        <vt:i4>1769551</vt:i4>
      </vt:variant>
      <vt:variant>
        <vt:i4>3</vt:i4>
      </vt:variant>
      <vt:variant>
        <vt:i4>0</vt:i4>
      </vt:variant>
      <vt:variant>
        <vt:i4>5</vt:i4>
      </vt:variant>
      <vt:variant>
        <vt:lpwstr>https://www.supersociedades.gov.co/documents/20122/1229078/Guia-Practica-Regimen-Matrices-y-Subordinadas.pdf/6c4a9d36-224c-e72e-8bb5-eec20d380f4a?t=1654295200749</vt:lpwstr>
      </vt:variant>
      <vt:variant>
        <vt:lpwstr/>
      </vt:variant>
      <vt:variant>
        <vt:i4>2752611</vt:i4>
      </vt:variant>
      <vt:variant>
        <vt:i4>0</vt:i4>
      </vt:variant>
      <vt:variant>
        <vt:i4>0</vt:i4>
      </vt:variant>
      <vt:variant>
        <vt:i4>5</vt:i4>
      </vt:variant>
      <vt:variant>
        <vt:lpwstr>http://leyes.senado.gov.co/proyectos/index.php/textos-radicados-senado/p-ley-2020-2021/1957-proyecto-de-ley-161-de-2020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Diana Carolina Blanco Rodriguez</cp:lastModifiedBy>
  <cp:revision>3</cp:revision>
  <cp:lastPrinted>2023-01-11T00:18:00Z</cp:lastPrinted>
  <dcterms:created xsi:type="dcterms:W3CDTF">2024-10-21T21:58:00Z</dcterms:created>
  <dcterms:modified xsi:type="dcterms:W3CDTF">2024-10-31T03:04:00Z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