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F702" w14:textId="77777777" w:rsidR="00E55A7B" w:rsidRPr="00AF1555" w:rsidRDefault="00E55A7B" w:rsidP="00E55A7B">
      <w:pPr>
        <w:tabs>
          <w:tab w:val="left" w:pos="709"/>
        </w:tabs>
        <w:spacing w:after="0" w:line="240" w:lineRule="auto"/>
        <w:jc w:val="both"/>
        <w:rPr>
          <w:rFonts w:ascii="Verdana" w:eastAsia="Calibri" w:hAnsi="Verdana" w:cs="Arial"/>
          <w:bCs/>
          <w:sz w:val="20"/>
          <w:szCs w:val="20"/>
          <w:lang w:val="es-ES_tradnl" w:eastAsia="es-ES_tradnl"/>
        </w:rPr>
      </w:pPr>
    </w:p>
    <w:p w14:paraId="5899E8D5" w14:textId="77777777" w:rsidR="00E55A7B" w:rsidRPr="00AF1555" w:rsidRDefault="00E55A7B" w:rsidP="00E55A7B">
      <w:pPr>
        <w:spacing w:after="0" w:line="240" w:lineRule="auto"/>
        <w:jc w:val="both"/>
        <w:rPr>
          <w:rFonts w:ascii="Verdana" w:eastAsia="Calibri" w:hAnsi="Verdana" w:cs="Arial"/>
          <w:b/>
          <w:color w:val="000000" w:themeColor="text1"/>
          <w:lang w:val="es-ES"/>
        </w:rPr>
      </w:pPr>
      <w:r w:rsidRPr="00E95799">
        <w:rPr>
          <w:rFonts w:ascii="Verdana" w:eastAsia="Calibri" w:hAnsi="Verdana" w:cs="Arial"/>
          <w:b/>
          <w:color w:val="000000" w:themeColor="text1"/>
          <w:lang w:val="es-ES"/>
        </w:rPr>
        <w:t>LIQUIDACIÓN DEL CONTRATO – Definición – Objetivo</w:t>
      </w:r>
      <w:r w:rsidRPr="00AF1555">
        <w:rPr>
          <w:rFonts w:ascii="Verdana" w:eastAsia="Calibri" w:hAnsi="Verdana" w:cs="Arial"/>
          <w:b/>
          <w:color w:val="000000" w:themeColor="text1"/>
          <w:lang w:val="es-ES"/>
        </w:rPr>
        <w:t xml:space="preserve"> </w:t>
      </w:r>
    </w:p>
    <w:p w14:paraId="23861CCE" w14:textId="77777777" w:rsidR="00E55A7B" w:rsidRPr="00AF1555" w:rsidRDefault="00E55A7B" w:rsidP="00E55A7B">
      <w:pPr>
        <w:spacing w:after="0" w:line="240" w:lineRule="auto"/>
        <w:jc w:val="both"/>
        <w:rPr>
          <w:rFonts w:ascii="Verdana" w:eastAsia="Calibri" w:hAnsi="Verdana" w:cs="Arial"/>
          <w:bCs/>
          <w:color w:val="000000" w:themeColor="text1"/>
          <w:sz w:val="20"/>
          <w:szCs w:val="20"/>
          <w:lang w:val="es-ES"/>
        </w:rPr>
      </w:pPr>
    </w:p>
    <w:p w14:paraId="6B0BD41D" w14:textId="77777777" w:rsidR="00E55A7B" w:rsidRPr="00AF1555" w:rsidRDefault="00E55A7B" w:rsidP="00E55A7B">
      <w:pPr>
        <w:spacing w:after="0" w:line="240" w:lineRule="auto"/>
        <w:jc w:val="both"/>
        <w:rPr>
          <w:rFonts w:ascii="Verdana" w:eastAsia="Calibri" w:hAnsi="Verdana" w:cs="Arial"/>
          <w:color w:val="000000" w:themeColor="text1"/>
          <w:sz w:val="20"/>
          <w:szCs w:val="20"/>
          <w:lang w:val="es-ES_tradnl"/>
        </w:rPr>
      </w:pPr>
      <w:r>
        <w:rPr>
          <w:rFonts w:ascii="Verdana" w:eastAsia="Calibri" w:hAnsi="Verdana" w:cs="Arial"/>
          <w:color w:val="000000" w:themeColor="text1"/>
          <w:sz w:val="20"/>
          <w:szCs w:val="20"/>
          <w:lang w:val="es-ES_tradnl" w:eastAsia="es-ES_tradnl"/>
        </w:rPr>
        <w:t>L</w:t>
      </w:r>
      <w:r w:rsidRPr="00E95799">
        <w:rPr>
          <w:rFonts w:ascii="Verdana" w:eastAsia="Calibri" w:hAnsi="Verdana" w:cs="Arial"/>
          <w:color w:val="000000" w:themeColor="text1"/>
          <w:sz w:val="20"/>
          <w:szCs w:val="20"/>
          <w:lang w:val="es-ES_tradnl" w:eastAsia="es-ES_tradnl"/>
        </w:rPr>
        <w:t>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comportamiento financiero del negocio</w:t>
      </w:r>
      <w:r w:rsidRPr="00AF1555">
        <w:rPr>
          <w:rFonts w:ascii="Verdana" w:eastAsia="Calibri" w:hAnsi="Verdana" w:cs="Arial"/>
          <w:color w:val="000000" w:themeColor="text1"/>
          <w:sz w:val="20"/>
          <w:szCs w:val="20"/>
          <w:lang w:val="es-ES_tradnl"/>
        </w:rPr>
        <w:t>.</w:t>
      </w:r>
    </w:p>
    <w:p w14:paraId="3FD54F1A" w14:textId="77777777" w:rsidR="00E55A7B" w:rsidRPr="00AF1555" w:rsidRDefault="00E55A7B" w:rsidP="00E55A7B">
      <w:pPr>
        <w:spacing w:after="0" w:line="240" w:lineRule="auto"/>
        <w:rPr>
          <w:rFonts w:ascii="Verdana" w:eastAsia="Geomanist Light" w:hAnsi="Verdana" w:cs="Arial"/>
          <w:color w:val="000000" w:themeColor="text1"/>
          <w:sz w:val="20"/>
          <w:szCs w:val="20"/>
          <w:lang w:val="es-ES_tradnl"/>
        </w:rPr>
      </w:pPr>
    </w:p>
    <w:p w14:paraId="754867F1" w14:textId="77777777" w:rsidR="00E55A7B" w:rsidRPr="00AF1555" w:rsidRDefault="00E55A7B" w:rsidP="00E55A7B">
      <w:pPr>
        <w:spacing w:after="0" w:line="240" w:lineRule="auto"/>
        <w:jc w:val="both"/>
        <w:rPr>
          <w:rFonts w:ascii="Verdana" w:eastAsia="Calibri" w:hAnsi="Verdana" w:cs="Arial"/>
          <w:b/>
          <w:lang w:val="es-ES"/>
        </w:rPr>
      </w:pPr>
      <w:r w:rsidRPr="00E95799">
        <w:rPr>
          <w:rFonts w:ascii="Verdana" w:eastAsia="Calibri" w:hAnsi="Verdana" w:cs="Arial"/>
          <w:b/>
          <w:lang w:val="es-ES"/>
        </w:rPr>
        <w:t>LIQUIDACIÓN DEL CONTRATO – Normativa – Oportunidad</w:t>
      </w:r>
    </w:p>
    <w:p w14:paraId="75C87E09" w14:textId="77777777" w:rsidR="00E55A7B" w:rsidRPr="00AF1555" w:rsidRDefault="00E55A7B" w:rsidP="00E55A7B">
      <w:pPr>
        <w:spacing w:after="0" w:line="240" w:lineRule="auto"/>
        <w:jc w:val="both"/>
        <w:rPr>
          <w:rFonts w:ascii="Verdana" w:eastAsia="Calibri" w:hAnsi="Verdana" w:cs="Arial"/>
          <w:b/>
          <w:sz w:val="20"/>
          <w:szCs w:val="20"/>
          <w:lang w:val="es-ES"/>
        </w:rPr>
      </w:pPr>
    </w:p>
    <w:p w14:paraId="27981848" w14:textId="77777777" w:rsidR="00E55A7B" w:rsidRPr="00E95799" w:rsidRDefault="00E55A7B" w:rsidP="00E55A7B">
      <w:pPr>
        <w:spacing w:after="0" w:line="240" w:lineRule="auto"/>
        <w:jc w:val="both"/>
        <w:rPr>
          <w:rFonts w:ascii="Verdana" w:eastAsia="Calibri" w:hAnsi="Verdana" w:cs="Arial"/>
          <w:bCs/>
          <w:sz w:val="20"/>
          <w:szCs w:val="20"/>
          <w:lang w:val="es-ES"/>
        </w:rPr>
      </w:pPr>
      <w:r w:rsidRPr="00E95799">
        <w:rPr>
          <w:rFonts w:ascii="Verdana" w:eastAsia="Calibri" w:hAnsi="Verdana" w:cs="Arial"/>
          <w:bCs/>
          <w:sz w:val="20"/>
          <w:szCs w:val="20"/>
          <w:lang w:val="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w:t>
      </w:r>
    </w:p>
    <w:p w14:paraId="10E8431F" w14:textId="77777777" w:rsidR="00E55A7B" w:rsidRDefault="00E55A7B" w:rsidP="00E55A7B">
      <w:pPr>
        <w:spacing w:after="0" w:line="240" w:lineRule="auto"/>
        <w:jc w:val="both"/>
        <w:rPr>
          <w:rFonts w:ascii="Verdana" w:eastAsia="Calibri" w:hAnsi="Verdana" w:cs="Arial"/>
          <w:bCs/>
          <w:sz w:val="20"/>
          <w:szCs w:val="20"/>
          <w:lang w:val="es-ES"/>
        </w:rPr>
      </w:pPr>
      <w:r>
        <w:rPr>
          <w:rFonts w:ascii="Verdana" w:eastAsia="Calibri" w:hAnsi="Verdana" w:cs="Arial"/>
          <w:bCs/>
          <w:sz w:val="20"/>
          <w:szCs w:val="20"/>
          <w:lang w:val="es-ES"/>
        </w:rPr>
        <w:t>[</w:t>
      </w:r>
      <w:r w:rsidRPr="00E95799">
        <w:rPr>
          <w:rFonts w:ascii="Verdana" w:eastAsia="Calibri" w:hAnsi="Verdana" w:cs="Arial"/>
          <w:bCs/>
          <w:sz w:val="20"/>
          <w:szCs w:val="20"/>
          <w:lang w:val="es-ES"/>
        </w:rPr>
        <w:t>…</w:t>
      </w:r>
      <w:r>
        <w:rPr>
          <w:rFonts w:ascii="Verdana" w:eastAsia="Calibri" w:hAnsi="Verdana" w:cs="Arial"/>
          <w:bCs/>
          <w:sz w:val="20"/>
          <w:szCs w:val="20"/>
          <w:lang w:val="es-ES"/>
        </w:rPr>
        <w:t>]</w:t>
      </w:r>
    </w:p>
    <w:p w14:paraId="3963C23F" w14:textId="77777777" w:rsidR="00E55A7B" w:rsidRPr="00E95799" w:rsidRDefault="00E55A7B" w:rsidP="00E55A7B">
      <w:pPr>
        <w:spacing w:after="0" w:line="240" w:lineRule="auto"/>
        <w:jc w:val="both"/>
        <w:rPr>
          <w:rFonts w:ascii="Verdana" w:eastAsia="Calibri" w:hAnsi="Verdana" w:cs="Arial"/>
          <w:bCs/>
          <w:sz w:val="20"/>
          <w:szCs w:val="20"/>
          <w:lang w:val="es-ES"/>
        </w:rPr>
      </w:pPr>
    </w:p>
    <w:p w14:paraId="431FB763" w14:textId="77777777" w:rsidR="00E55A7B" w:rsidRPr="00AF1555" w:rsidRDefault="00E55A7B" w:rsidP="00E55A7B">
      <w:pPr>
        <w:spacing w:after="0" w:line="240" w:lineRule="auto"/>
        <w:jc w:val="both"/>
        <w:rPr>
          <w:rFonts w:ascii="Verdana" w:eastAsia="Calibri" w:hAnsi="Verdana" w:cs="Arial"/>
          <w:color w:val="000000"/>
          <w:sz w:val="20"/>
          <w:szCs w:val="20"/>
          <w:lang w:val="es-ES_tradnl"/>
        </w:rPr>
      </w:pPr>
      <w:r w:rsidRPr="00E95799">
        <w:rPr>
          <w:rFonts w:ascii="Verdana" w:eastAsia="Calibri" w:hAnsi="Verdana" w:cs="Arial"/>
          <w:bCs/>
          <w:sz w:val="20"/>
          <w:szCs w:val="20"/>
          <w:lang w:val="es-ES"/>
        </w:rPr>
        <w:t>Por tanto,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r w:rsidRPr="00AF1555">
        <w:rPr>
          <w:rFonts w:ascii="Verdana" w:eastAsia="Calibri" w:hAnsi="Verdana" w:cs="Arial"/>
          <w:color w:val="000000"/>
          <w:sz w:val="20"/>
          <w:szCs w:val="20"/>
          <w:lang w:val="es-ES_tradnl"/>
        </w:rPr>
        <w:t>.</w:t>
      </w:r>
    </w:p>
    <w:p w14:paraId="32CB3C43" w14:textId="77777777" w:rsidR="00E55A7B" w:rsidRPr="00AF1555" w:rsidRDefault="00E55A7B" w:rsidP="00E55A7B">
      <w:pPr>
        <w:spacing w:after="0" w:line="240" w:lineRule="auto"/>
        <w:rPr>
          <w:rFonts w:ascii="Verdana" w:eastAsia="Geomanist Light" w:hAnsi="Verdana" w:cs="Arial"/>
          <w:color w:val="000000" w:themeColor="text1"/>
          <w:sz w:val="20"/>
          <w:szCs w:val="20"/>
          <w:lang w:val="es-ES_tradnl"/>
        </w:rPr>
      </w:pPr>
    </w:p>
    <w:p w14:paraId="39D3B460" w14:textId="77777777" w:rsidR="00E55A7B" w:rsidRPr="00AF1555" w:rsidRDefault="00E55A7B" w:rsidP="00E55A7B">
      <w:pPr>
        <w:tabs>
          <w:tab w:val="left" w:pos="426"/>
        </w:tabs>
        <w:spacing w:after="0" w:line="240" w:lineRule="auto"/>
        <w:jc w:val="both"/>
        <w:rPr>
          <w:rFonts w:ascii="Verdana" w:hAnsi="Verdana" w:cs="Arial"/>
          <w:b/>
          <w:lang w:eastAsia="es-CO"/>
        </w:rPr>
      </w:pPr>
      <w:r>
        <w:rPr>
          <w:rFonts w:ascii="Verdana" w:hAnsi="Verdana" w:cs="Arial"/>
          <w:b/>
          <w:lang w:eastAsia="es-CO"/>
        </w:rPr>
        <w:t>MEDIO DE CONTROL DE CONTROVERSIAS CONTRACTUALES – Caducidad – Efectos en el tiempo de los cambios de jurisprudencia</w:t>
      </w:r>
      <w:r w:rsidRPr="00AF1555">
        <w:rPr>
          <w:rFonts w:ascii="Verdana" w:hAnsi="Verdana" w:cs="Arial"/>
          <w:b/>
          <w:lang w:eastAsia="es-CO"/>
        </w:rPr>
        <w:t xml:space="preserve">  </w:t>
      </w:r>
    </w:p>
    <w:p w14:paraId="09BB9F25" w14:textId="77777777" w:rsidR="00E55A7B" w:rsidRPr="00AF1555" w:rsidRDefault="00E55A7B" w:rsidP="00E55A7B">
      <w:pPr>
        <w:tabs>
          <w:tab w:val="left" w:pos="426"/>
        </w:tabs>
        <w:spacing w:after="0" w:line="240" w:lineRule="auto"/>
        <w:jc w:val="both"/>
        <w:rPr>
          <w:rFonts w:ascii="Verdana" w:hAnsi="Verdana" w:cs="Arial"/>
          <w:b/>
          <w:sz w:val="20"/>
          <w:szCs w:val="20"/>
          <w:lang w:eastAsia="es-CO"/>
        </w:rPr>
      </w:pPr>
    </w:p>
    <w:p w14:paraId="7DD500DD" w14:textId="77777777" w:rsidR="00E55A7B" w:rsidRPr="003C1B7C" w:rsidRDefault="00E55A7B" w:rsidP="00E55A7B">
      <w:pPr>
        <w:spacing w:after="0" w:line="240" w:lineRule="auto"/>
        <w:jc w:val="both"/>
        <w:rPr>
          <w:rFonts w:ascii="Verdana" w:hAnsi="Verdana" w:cs="Arial"/>
          <w:bCs/>
          <w:lang w:eastAsia="es-CO"/>
        </w:rPr>
      </w:pPr>
      <w:r w:rsidRPr="003C1B7C">
        <w:rPr>
          <w:rFonts w:ascii="Verdana" w:hAnsi="Verdana" w:cs="Arial"/>
          <w:bCs/>
          <w:lang w:eastAsia="es-CO"/>
        </w:rPr>
        <w:t>De acuerdo con el literal j) del artículo 164.2 del CPACA, los plazos para liquidar bilateral, unilateral y judicialmente el contrato influyen en el acceso oportuno al sistema de administración de justicia. Por ello, bajo la consideración de que no en todos los negocios jurídicos suscritos por las entidades estatales se encuentra habilitada la liquidación unilateral, surge la duda de si el plazo correspondiente está o no dentro del cómputo de la caducidad. Al respecto, la Subsección B de la Sección Tercera del Consejo de Estado, en Sentencia del 20 de mayo de 2024 con ponencia del Magistrado Martín Bermúdez Muñoz, se decanta por una respuesta negativa.</w:t>
      </w:r>
    </w:p>
    <w:p w14:paraId="6F8F27DA" w14:textId="77777777" w:rsidR="00E55A7B" w:rsidRPr="003C1B7C" w:rsidRDefault="00E55A7B" w:rsidP="00E55A7B">
      <w:pPr>
        <w:spacing w:after="0" w:line="240" w:lineRule="auto"/>
        <w:jc w:val="both"/>
        <w:rPr>
          <w:rFonts w:ascii="Verdana" w:hAnsi="Verdana" w:cs="Arial"/>
          <w:bCs/>
          <w:lang w:eastAsia="es-CO"/>
        </w:rPr>
      </w:pPr>
    </w:p>
    <w:p w14:paraId="61F8C2EA" w14:textId="77777777" w:rsidR="00E55A7B" w:rsidRPr="003C1B7C" w:rsidRDefault="00E55A7B" w:rsidP="00E55A7B">
      <w:pPr>
        <w:spacing w:after="0" w:line="240" w:lineRule="auto"/>
        <w:jc w:val="both"/>
        <w:rPr>
          <w:rFonts w:ascii="Verdana" w:eastAsia="Geomanist Light" w:hAnsi="Verdana" w:cs="Arial"/>
          <w:color w:val="000000" w:themeColor="text1"/>
        </w:rPr>
      </w:pPr>
      <w:r w:rsidRPr="003C1B7C">
        <w:rPr>
          <w:rFonts w:ascii="Verdana" w:eastAsia="Geomanist Light" w:hAnsi="Verdana" w:cs="Arial"/>
          <w:color w:val="000000" w:themeColor="text1"/>
        </w:rPr>
        <w:t xml:space="preserve">Conforme a la sentencia, la postura aplica a todos los convenios interadministrativos sin hacer distinción alguna, así como a los contratos exceptuados del EGCAP. En estos negocios deberá verificarse si es posible o no liquidar unilateralmente, para determinar si el plazo respectivo entra en el </w:t>
      </w:r>
      <w:r w:rsidRPr="003C1B7C">
        <w:rPr>
          <w:rFonts w:ascii="Verdana" w:eastAsia="Geomanist Light" w:hAnsi="Verdana" w:cs="Arial"/>
          <w:color w:val="000000" w:themeColor="text1"/>
        </w:rPr>
        <w:lastRenderedPageBreak/>
        <w:t>cómputo de la caducidad del medio de control de controversias contractuales. Respecto a la eficacia temporal de los cambios de jurisprudencia, la Corte Constitucional resalta la importancia de que estos tengan hacia el futuro, con el objetivo de no perjudicar las expectativas legítimas de quienes acuden a la administración de justicia con fundamento en la postura superada.</w:t>
      </w:r>
    </w:p>
    <w:p w14:paraId="12F50BBF" w14:textId="77777777" w:rsidR="00E55A7B" w:rsidRPr="00E55A7B" w:rsidRDefault="00E55A7B" w:rsidP="00650923">
      <w:pPr>
        <w:spacing w:after="0" w:line="0" w:lineRule="atLeast"/>
        <w:rPr>
          <w:rFonts w:ascii="Verdana" w:eastAsia="Geomanist Light" w:hAnsi="Verdana" w:cs="Arial"/>
          <w:color w:val="000000" w:themeColor="text1"/>
        </w:rPr>
      </w:pPr>
    </w:p>
    <w:p w14:paraId="0EC51D19" w14:textId="77777777" w:rsidR="00E55A7B" w:rsidRDefault="00E55A7B" w:rsidP="00650923">
      <w:pPr>
        <w:spacing w:after="0" w:line="0" w:lineRule="atLeast"/>
        <w:rPr>
          <w:rFonts w:ascii="Verdana" w:eastAsia="Geomanist Light" w:hAnsi="Verdana" w:cs="Arial"/>
          <w:color w:val="000000" w:themeColor="text1"/>
          <w:lang w:val="es-MX"/>
        </w:rPr>
      </w:pPr>
    </w:p>
    <w:p w14:paraId="21CD1ECA" w14:textId="77777777" w:rsidR="00E55A7B" w:rsidRDefault="00E55A7B" w:rsidP="00650923">
      <w:pPr>
        <w:spacing w:after="0" w:line="0" w:lineRule="atLeast"/>
        <w:rPr>
          <w:rFonts w:ascii="Verdana" w:eastAsia="Geomanist Light" w:hAnsi="Verdana" w:cs="Arial"/>
          <w:color w:val="000000" w:themeColor="text1"/>
          <w:lang w:val="es-MX"/>
        </w:rPr>
      </w:pPr>
    </w:p>
    <w:p w14:paraId="3830B40C" w14:textId="77777777" w:rsidR="00E55A7B" w:rsidRDefault="00E55A7B" w:rsidP="00650923">
      <w:pPr>
        <w:spacing w:after="0" w:line="0" w:lineRule="atLeast"/>
        <w:rPr>
          <w:rFonts w:ascii="Verdana" w:eastAsia="Geomanist Light" w:hAnsi="Verdana" w:cs="Arial"/>
          <w:color w:val="000000" w:themeColor="text1"/>
          <w:lang w:val="es-MX"/>
        </w:rPr>
      </w:pPr>
    </w:p>
    <w:p w14:paraId="7BCA3115" w14:textId="77777777" w:rsidR="00E55A7B" w:rsidRDefault="00E55A7B" w:rsidP="00650923">
      <w:pPr>
        <w:spacing w:after="0" w:line="0" w:lineRule="atLeast"/>
        <w:rPr>
          <w:rFonts w:ascii="Verdana" w:eastAsia="Geomanist Light" w:hAnsi="Verdana" w:cs="Arial"/>
          <w:color w:val="000000" w:themeColor="text1"/>
          <w:lang w:val="es-MX"/>
        </w:rPr>
      </w:pPr>
    </w:p>
    <w:p w14:paraId="5CEB81BF" w14:textId="77777777" w:rsidR="00E55A7B" w:rsidRDefault="00E55A7B" w:rsidP="00650923">
      <w:pPr>
        <w:spacing w:after="0" w:line="0" w:lineRule="atLeast"/>
        <w:rPr>
          <w:rFonts w:ascii="Verdana" w:eastAsia="Geomanist Light" w:hAnsi="Verdana" w:cs="Arial"/>
          <w:color w:val="000000" w:themeColor="text1"/>
          <w:lang w:val="es-MX"/>
        </w:rPr>
      </w:pPr>
    </w:p>
    <w:p w14:paraId="369D3A13" w14:textId="77777777" w:rsidR="00E55A7B" w:rsidRDefault="00E55A7B" w:rsidP="00650923">
      <w:pPr>
        <w:spacing w:after="0" w:line="0" w:lineRule="atLeast"/>
        <w:rPr>
          <w:rFonts w:ascii="Verdana" w:eastAsia="Geomanist Light" w:hAnsi="Verdana" w:cs="Arial"/>
          <w:color w:val="000000" w:themeColor="text1"/>
          <w:lang w:val="es-MX"/>
        </w:rPr>
      </w:pPr>
    </w:p>
    <w:p w14:paraId="7ECCE75B" w14:textId="77777777" w:rsidR="00E55A7B" w:rsidRDefault="00E55A7B" w:rsidP="00650923">
      <w:pPr>
        <w:spacing w:after="0" w:line="0" w:lineRule="atLeast"/>
        <w:rPr>
          <w:rFonts w:ascii="Verdana" w:eastAsia="Geomanist Light" w:hAnsi="Verdana" w:cs="Arial"/>
          <w:color w:val="000000" w:themeColor="text1"/>
          <w:lang w:val="es-MX"/>
        </w:rPr>
      </w:pPr>
    </w:p>
    <w:p w14:paraId="177385BB" w14:textId="77777777" w:rsidR="00E55A7B" w:rsidRDefault="00E55A7B" w:rsidP="00650923">
      <w:pPr>
        <w:spacing w:after="0" w:line="0" w:lineRule="atLeast"/>
        <w:rPr>
          <w:rFonts w:ascii="Verdana" w:eastAsia="Geomanist Light" w:hAnsi="Verdana" w:cs="Arial"/>
          <w:color w:val="000000" w:themeColor="text1"/>
          <w:lang w:val="es-MX"/>
        </w:rPr>
      </w:pPr>
    </w:p>
    <w:p w14:paraId="71031E2B" w14:textId="77777777" w:rsidR="00E55A7B" w:rsidRDefault="00E55A7B" w:rsidP="00650923">
      <w:pPr>
        <w:spacing w:after="0" w:line="0" w:lineRule="atLeast"/>
        <w:rPr>
          <w:rFonts w:ascii="Verdana" w:eastAsia="Geomanist Light" w:hAnsi="Verdana" w:cs="Arial"/>
          <w:color w:val="000000" w:themeColor="text1"/>
          <w:lang w:val="es-MX"/>
        </w:rPr>
      </w:pPr>
    </w:p>
    <w:p w14:paraId="3E19B125" w14:textId="77777777" w:rsidR="00E55A7B" w:rsidRDefault="00E55A7B" w:rsidP="00650923">
      <w:pPr>
        <w:spacing w:after="0" w:line="0" w:lineRule="atLeast"/>
        <w:rPr>
          <w:rFonts w:ascii="Verdana" w:eastAsia="Geomanist Light" w:hAnsi="Verdana" w:cs="Arial"/>
          <w:color w:val="000000" w:themeColor="text1"/>
          <w:lang w:val="es-MX"/>
        </w:rPr>
      </w:pPr>
    </w:p>
    <w:p w14:paraId="7397B198" w14:textId="77777777" w:rsidR="00E55A7B" w:rsidRDefault="00E55A7B" w:rsidP="00650923">
      <w:pPr>
        <w:spacing w:after="0" w:line="0" w:lineRule="atLeast"/>
        <w:rPr>
          <w:rFonts w:ascii="Verdana" w:eastAsia="Geomanist Light" w:hAnsi="Verdana" w:cs="Arial"/>
          <w:color w:val="000000" w:themeColor="text1"/>
          <w:lang w:val="es-MX"/>
        </w:rPr>
      </w:pPr>
    </w:p>
    <w:p w14:paraId="14145481" w14:textId="77777777" w:rsidR="00E55A7B" w:rsidRDefault="00E55A7B" w:rsidP="00650923">
      <w:pPr>
        <w:spacing w:after="0" w:line="0" w:lineRule="atLeast"/>
        <w:rPr>
          <w:rFonts w:ascii="Verdana" w:eastAsia="Geomanist Light" w:hAnsi="Verdana" w:cs="Arial"/>
          <w:color w:val="000000" w:themeColor="text1"/>
          <w:lang w:val="es-MX"/>
        </w:rPr>
      </w:pPr>
    </w:p>
    <w:p w14:paraId="293FD345" w14:textId="77777777" w:rsidR="00E55A7B" w:rsidRDefault="00E55A7B" w:rsidP="00650923">
      <w:pPr>
        <w:spacing w:after="0" w:line="0" w:lineRule="atLeast"/>
        <w:rPr>
          <w:rFonts w:ascii="Verdana" w:eastAsia="Geomanist Light" w:hAnsi="Verdana" w:cs="Arial"/>
          <w:color w:val="000000" w:themeColor="text1"/>
          <w:lang w:val="es-MX"/>
        </w:rPr>
      </w:pPr>
    </w:p>
    <w:p w14:paraId="50AB8775" w14:textId="77777777" w:rsidR="00E55A7B" w:rsidRDefault="00E55A7B" w:rsidP="00650923">
      <w:pPr>
        <w:spacing w:after="0" w:line="0" w:lineRule="atLeast"/>
        <w:rPr>
          <w:rFonts w:ascii="Verdana" w:eastAsia="Geomanist Light" w:hAnsi="Verdana" w:cs="Arial"/>
          <w:color w:val="000000" w:themeColor="text1"/>
          <w:lang w:val="es-MX"/>
        </w:rPr>
      </w:pPr>
    </w:p>
    <w:p w14:paraId="28302FDA" w14:textId="77777777" w:rsidR="00E55A7B" w:rsidRDefault="00E55A7B" w:rsidP="00650923">
      <w:pPr>
        <w:spacing w:after="0" w:line="0" w:lineRule="atLeast"/>
        <w:rPr>
          <w:rFonts w:ascii="Verdana" w:eastAsia="Geomanist Light" w:hAnsi="Verdana" w:cs="Arial"/>
          <w:color w:val="000000" w:themeColor="text1"/>
          <w:lang w:val="es-MX"/>
        </w:rPr>
      </w:pPr>
    </w:p>
    <w:p w14:paraId="6B98BD10" w14:textId="77777777" w:rsidR="00E55A7B" w:rsidRDefault="00E55A7B" w:rsidP="00650923">
      <w:pPr>
        <w:spacing w:after="0" w:line="0" w:lineRule="atLeast"/>
        <w:rPr>
          <w:rFonts w:ascii="Verdana" w:eastAsia="Geomanist Light" w:hAnsi="Verdana" w:cs="Arial"/>
          <w:color w:val="000000" w:themeColor="text1"/>
          <w:lang w:val="es-MX"/>
        </w:rPr>
      </w:pPr>
    </w:p>
    <w:p w14:paraId="7872F2E4" w14:textId="77777777" w:rsidR="00E55A7B" w:rsidRDefault="00E55A7B" w:rsidP="00650923">
      <w:pPr>
        <w:spacing w:after="0" w:line="0" w:lineRule="atLeast"/>
        <w:rPr>
          <w:rFonts w:ascii="Verdana" w:eastAsia="Geomanist Light" w:hAnsi="Verdana" w:cs="Arial"/>
          <w:color w:val="000000" w:themeColor="text1"/>
          <w:lang w:val="es-MX"/>
        </w:rPr>
      </w:pPr>
    </w:p>
    <w:p w14:paraId="74CAF020" w14:textId="77777777" w:rsidR="00E55A7B" w:rsidRDefault="00E55A7B" w:rsidP="00650923">
      <w:pPr>
        <w:spacing w:after="0" w:line="0" w:lineRule="atLeast"/>
        <w:rPr>
          <w:rFonts w:ascii="Verdana" w:eastAsia="Geomanist Light" w:hAnsi="Verdana" w:cs="Arial"/>
          <w:color w:val="000000" w:themeColor="text1"/>
          <w:lang w:val="es-MX"/>
        </w:rPr>
      </w:pPr>
    </w:p>
    <w:p w14:paraId="2774B1FE" w14:textId="77777777" w:rsidR="00E55A7B" w:rsidRDefault="00E55A7B" w:rsidP="00650923">
      <w:pPr>
        <w:spacing w:after="0" w:line="0" w:lineRule="atLeast"/>
        <w:rPr>
          <w:rFonts w:ascii="Verdana" w:eastAsia="Geomanist Light" w:hAnsi="Verdana" w:cs="Arial"/>
          <w:color w:val="000000" w:themeColor="text1"/>
          <w:lang w:val="es-MX"/>
        </w:rPr>
      </w:pPr>
    </w:p>
    <w:p w14:paraId="3B110B49" w14:textId="77777777" w:rsidR="00E55A7B" w:rsidRDefault="00E55A7B" w:rsidP="00650923">
      <w:pPr>
        <w:spacing w:after="0" w:line="0" w:lineRule="atLeast"/>
        <w:rPr>
          <w:rFonts w:ascii="Verdana" w:eastAsia="Geomanist Light" w:hAnsi="Verdana" w:cs="Arial"/>
          <w:color w:val="000000" w:themeColor="text1"/>
          <w:lang w:val="es-MX"/>
        </w:rPr>
      </w:pPr>
    </w:p>
    <w:p w14:paraId="25723DA3" w14:textId="77777777" w:rsidR="00E55A7B" w:rsidRDefault="00E55A7B" w:rsidP="00650923">
      <w:pPr>
        <w:spacing w:after="0" w:line="0" w:lineRule="atLeast"/>
        <w:rPr>
          <w:rFonts w:ascii="Verdana" w:eastAsia="Geomanist Light" w:hAnsi="Verdana" w:cs="Arial"/>
          <w:color w:val="000000" w:themeColor="text1"/>
          <w:lang w:val="es-MX"/>
        </w:rPr>
      </w:pPr>
    </w:p>
    <w:p w14:paraId="4090FE40" w14:textId="77777777" w:rsidR="00E55A7B" w:rsidRDefault="00E55A7B" w:rsidP="00650923">
      <w:pPr>
        <w:spacing w:after="0" w:line="0" w:lineRule="atLeast"/>
        <w:rPr>
          <w:rFonts w:ascii="Verdana" w:eastAsia="Geomanist Light" w:hAnsi="Verdana" w:cs="Arial"/>
          <w:color w:val="000000" w:themeColor="text1"/>
          <w:lang w:val="es-MX"/>
        </w:rPr>
      </w:pPr>
    </w:p>
    <w:p w14:paraId="05B6E667" w14:textId="77777777" w:rsidR="00E55A7B" w:rsidRDefault="00E55A7B" w:rsidP="00650923">
      <w:pPr>
        <w:spacing w:after="0" w:line="0" w:lineRule="atLeast"/>
        <w:rPr>
          <w:rFonts w:ascii="Verdana" w:eastAsia="Geomanist Light" w:hAnsi="Verdana" w:cs="Arial"/>
          <w:color w:val="000000" w:themeColor="text1"/>
          <w:lang w:val="es-MX"/>
        </w:rPr>
      </w:pPr>
    </w:p>
    <w:p w14:paraId="407FEB7E" w14:textId="77777777" w:rsidR="00E55A7B" w:rsidRDefault="00E55A7B" w:rsidP="00650923">
      <w:pPr>
        <w:spacing w:after="0" w:line="0" w:lineRule="atLeast"/>
        <w:rPr>
          <w:rFonts w:ascii="Verdana" w:eastAsia="Geomanist Light" w:hAnsi="Verdana" w:cs="Arial"/>
          <w:color w:val="000000" w:themeColor="text1"/>
          <w:lang w:val="es-MX"/>
        </w:rPr>
      </w:pPr>
    </w:p>
    <w:p w14:paraId="149573A2" w14:textId="77777777" w:rsidR="00E55A7B" w:rsidRDefault="00E55A7B" w:rsidP="00650923">
      <w:pPr>
        <w:spacing w:after="0" w:line="0" w:lineRule="atLeast"/>
        <w:rPr>
          <w:rFonts w:ascii="Verdana" w:eastAsia="Geomanist Light" w:hAnsi="Verdana" w:cs="Arial"/>
          <w:color w:val="000000" w:themeColor="text1"/>
          <w:lang w:val="es-MX"/>
        </w:rPr>
      </w:pPr>
    </w:p>
    <w:p w14:paraId="432FCAAD" w14:textId="77777777" w:rsidR="00E55A7B" w:rsidRDefault="00E55A7B" w:rsidP="00650923">
      <w:pPr>
        <w:spacing w:after="0" w:line="0" w:lineRule="atLeast"/>
        <w:rPr>
          <w:rFonts w:ascii="Verdana" w:eastAsia="Geomanist Light" w:hAnsi="Verdana" w:cs="Arial"/>
          <w:color w:val="000000" w:themeColor="text1"/>
          <w:lang w:val="es-MX"/>
        </w:rPr>
      </w:pPr>
    </w:p>
    <w:p w14:paraId="7817DBCE" w14:textId="77777777" w:rsidR="00E55A7B" w:rsidRDefault="00E55A7B" w:rsidP="00650923">
      <w:pPr>
        <w:spacing w:after="0" w:line="0" w:lineRule="atLeast"/>
        <w:rPr>
          <w:rFonts w:ascii="Verdana" w:eastAsia="Geomanist Light" w:hAnsi="Verdana" w:cs="Arial"/>
          <w:color w:val="000000" w:themeColor="text1"/>
          <w:lang w:val="es-MX"/>
        </w:rPr>
      </w:pPr>
    </w:p>
    <w:p w14:paraId="48713397" w14:textId="77777777" w:rsidR="00E55A7B" w:rsidRDefault="00E55A7B" w:rsidP="00650923">
      <w:pPr>
        <w:spacing w:after="0" w:line="0" w:lineRule="atLeast"/>
        <w:rPr>
          <w:rFonts w:ascii="Verdana" w:eastAsia="Geomanist Light" w:hAnsi="Verdana" w:cs="Arial"/>
          <w:color w:val="000000" w:themeColor="text1"/>
          <w:lang w:val="es-MX"/>
        </w:rPr>
      </w:pPr>
    </w:p>
    <w:p w14:paraId="3CCB6E88" w14:textId="77777777" w:rsidR="00E55A7B" w:rsidRDefault="00E55A7B" w:rsidP="00650923">
      <w:pPr>
        <w:spacing w:after="0" w:line="0" w:lineRule="atLeast"/>
        <w:rPr>
          <w:rFonts w:ascii="Verdana" w:eastAsia="Geomanist Light" w:hAnsi="Verdana" w:cs="Arial"/>
          <w:color w:val="000000" w:themeColor="text1"/>
          <w:lang w:val="es-MX"/>
        </w:rPr>
      </w:pPr>
    </w:p>
    <w:p w14:paraId="64E25826" w14:textId="77777777" w:rsidR="00E55A7B" w:rsidRDefault="00E55A7B" w:rsidP="00650923">
      <w:pPr>
        <w:spacing w:after="0" w:line="0" w:lineRule="atLeast"/>
        <w:rPr>
          <w:rFonts w:ascii="Verdana" w:eastAsia="Geomanist Light" w:hAnsi="Verdana" w:cs="Arial"/>
          <w:color w:val="000000" w:themeColor="text1"/>
          <w:lang w:val="es-MX"/>
        </w:rPr>
      </w:pPr>
    </w:p>
    <w:p w14:paraId="2D551E88" w14:textId="77777777" w:rsidR="00E55A7B" w:rsidRDefault="00E55A7B" w:rsidP="00650923">
      <w:pPr>
        <w:spacing w:after="0" w:line="0" w:lineRule="atLeast"/>
        <w:rPr>
          <w:rFonts w:ascii="Verdana" w:eastAsia="Geomanist Light" w:hAnsi="Verdana" w:cs="Arial"/>
          <w:color w:val="000000" w:themeColor="text1"/>
          <w:lang w:val="es-MX"/>
        </w:rPr>
      </w:pPr>
    </w:p>
    <w:p w14:paraId="35FF1E65" w14:textId="77777777" w:rsidR="00E55A7B" w:rsidRDefault="00E55A7B" w:rsidP="00650923">
      <w:pPr>
        <w:spacing w:after="0" w:line="0" w:lineRule="atLeast"/>
        <w:rPr>
          <w:rFonts w:ascii="Verdana" w:eastAsia="Geomanist Light" w:hAnsi="Verdana" w:cs="Arial"/>
          <w:color w:val="000000" w:themeColor="text1"/>
          <w:lang w:val="es-MX"/>
        </w:rPr>
      </w:pPr>
    </w:p>
    <w:p w14:paraId="3C47EBA8" w14:textId="77777777" w:rsidR="00E55A7B" w:rsidRDefault="00E55A7B" w:rsidP="00650923">
      <w:pPr>
        <w:spacing w:after="0" w:line="0" w:lineRule="atLeast"/>
        <w:rPr>
          <w:rFonts w:ascii="Verdana" w:eastAsia="Geomanist Light" w:hAnsi="Verdana" w:cs="Arial"/>
          <w:color w:val="000000" w:themeColor="text1"/>
          <w:lang w:val="es-MX"/>
        </w:rPr>
      </w:pPr>
    </w:p>
    <w:p w14:paraId="5DBC5A7C" w14:textId="77777777" w:rsidR="00E55A7B" w:rsidRDefault="00E55A7B" w:rsidP="00650923">
      <w:pPr>
        <w:spacing w:after="0" w:line="0" w:lineRule="atLeast"/>
        <w:rPr>
          <w:rFonts w:ascii="Verdana" w:eastAsia="Geomanist Light" w:hAnsi="Verdana" w:cs="Arial"/>
          <w:color w:val="000000" w:themeColor="text1"/>
          <w:lang w:val="es-MX"/>
        </w:rPr>
      </w:pPr>
    </w:p>
    <w:p w14:paraId="70D76CE1" w14:textId="77777777" w:rsidR="00E55A7B" w:rsidRDefault="00E55A7B" w:rsidP="00650923">
      <w:pPr>
        <w:spacing w:after="0" w:line="0" w:lineRule="atLeast"/>
        <w:rPr>
          <w:rFonts w:ascii="Verdana" w:eastAsia="Geomanist Light" w:hAnsi="Verdana" w:cs="Arial"/>
          <w:color w:val="000000" w:themeColor="text1"/>
          <w:lang w:val="es-MX"/>
        </w:rPr>
      </w:pPr>
    </w:p>
    <w:p w14:paraId="209828B8" w14:textId="77777777" w:rsidR="00E55A7B" w:rsidRDefault="00E55A7B" w:rsidP="00650923">
      <w:pPr>
        <w:spacing w:after="0" w:line="0" w:lineRule="atLeast"/>
        <w:rPr>
          <w:rFonts w:ascii="Verdana" w:eastAsia="Geomanist Light" w:hAnsi="Verdana" w:cs="Arial"/>
          <w:color w:val="000000" w:themeColor="text1"/>
          <w:lang w:val="es-MX"/>
        </w:rPr>
      </w:pPr>
    </w:p>
    <w:p w14:paraId="3A207A50" w14:textId="77777777" w:rsidR="00E55A7B" w:rsidRDefault="00E55A7B" w:rsidP="00650923">
      <w:pPr>
        <w:spacing w:after="0" w:line="0" w:lineRule="atLeast"/>
        <w:rPr>
          <w:rFonts w:ascii="Verdana" w:eastAsia="Geomanist Light" w:hAnsi="Verdana" w:cs="Arial"/>
          <w:color w:val="000000" w:themeColor="text1"/>
          <w:lang w:val="es-MX"/>
        </w:rPr>
      </w:pPr>
    </w:p>
    <w:p w14:paraId="4529677F" w14:textId="77777777" w:rsidR="00E55A7B" w:rsidRDefault="00E55A7B" w:rsidP="00650923">
      <w:pPr>
        <w:spacing w:after="0" w:line="0" w:lineRule="atLeast"/>
        <w:rPr>
          <w:rFonts w:ascii="Verdana" w:eastAsia="Geomanist Light" w:hAnsi="Verdana" w:cs="Arial"/>
          <w:color w:val="000000" w:themeColor="text1"/>
          <w:lang w:val="es-MX"/>
        </w:rPr>
      </w:pPr>
    </w:p>
    <w:p w14:paraId="13DF2751" w14:textId="0B011FB0" w:rsidR="009D1C58" w:rsidRPr="00593A5F" w:rsidRDefault="009D1C58" w:rsidP="00650923">
      <w:pPr>
        <w:spacing w:after="0" w:line="0" w:lineRule="atLeast"/>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AF5CC6" w:rsidRPr="00AF5CC6">
        <w:rPr>
          <w:rFonts w:ascii="Verdana" w:eastAsia="Geomanist Light" w:hAnsi="Verdana" w:cs="Arial"/>
          <w:color w:val="201F1E"/>
          <w:lang w:val="es-MX"/>
        </w:rPr>
        <w:t>18 de Octubre de 2024</w:t>
      </w:r>
    </w:p>
    <w:p w14:paraId="72F40EA3" w14:textId="77777777" w:rsidR="009D1C58" w:rsidRDefault="009D1C58" w:rsidP="00650923">
      <w:pPr>
        <w:spacing w:after="0" w:line="0" w:lineRule="atLeast"/>
        <w:jc w:val="both"/>
        <w:rPr>
          <w:rFonts w:ascii="Verdana" w:eastAsia="Calibri" w:hAnsi="Verdana" w:cs="Arial"/>
          <w:color w:val="000000"/>
          <w:lang w:val="es-ES"/>
        </w:rPr>
      </w:pPr>
    </w:p>
    <w:p w14:paraId="574535E3" w14:textId="79C52F9A" w:rsidR="00AF5CC6" w:rsidRDefault="00AF5CC6" w:rsidP="00AF5CC6">
      <w:pPr>
        <w:spacing w:after="0" w:line="0" w:lineRule="atLeast"/>
        <w:jc w:val="right"/>
        <w:rPr>
          <w:rFonts w:ascii="Verdana" w:eastAsia="Calibri" w:hAnsi="Verdana" w:cs="Arial"/>
          <w:color w:val="000000"/>
          <w:lang w:val="es-ES"/>
        </w:rPr>
      </w:pPr>
      <w:r w:rsidRPr="00AF5CC6">
        <w:rPr>
          <w:rFonts w:ascii="Verdana" w:eastAsia="Calibri" w:hAnsi="Verdana" w:cs="Arial"/>
          <w:noProof/>
          <w:color w:val="000000"/>
          <w:lang w:val="es-ES"/>
        </w:rPr>
        <w:drawing>
          <wp:inline distT="0" distB="0" distL="0" distR="0" wp14:anchorId="1CC0116C" wp14:editId="0F69140F">
            <wp:extent cx="3238500" cy="901700"/>
            <wp:effectExtent l="0" t="0" r="0" b="0"/>
            <wp:docPr id="711313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13253" name=""/>
                    <pic:cNvPicPr/>
                  </pic:nvPicPr>
                  <pic:blipFill>
                    <a:blip r:embed="rId10"/>
                    <a:stretch>
                      <a:fillRect/>
                    </a:stretch>
                  </pic:blipFill>
                  <pic:spPr>
                    <a:xfrm>
                      <a:off x="0" y="0"/>
                      <a:ext cx="3238500" cy="901700"/>
                    </a:xfrm>
                    <a:prstGeom prst="rect">
                      <a:avLst/>
                    </a:prstGeom>
                  </pic:spPr>
                </pic:pic>
              </a:graphicData>
            </a:graphic>
          </wp:inline>
        </w:drawing>
      </w:r>
    </w:p>
    <w:p w14:paraId="17E2769B" w14:textId="77777777" w:rsidR="009D1C58" w:rsidRPr="00593A5F" w:rsidRDefault="009D1C58" w:rsidP="00650923">
      <w:pPr>
        <w:spacing w:after="0" w:line="0" w:lineRule="atLeast"/>
        <w:jc w:val="both"/>
        <w:rPr>
          <w:rFonts w:ascii="Verdana" w:eastAsia="Calibri" w:hAnsi="Verdana" w:cs="Arial"/>
          <w:color w:val="000000"/>
          <w:lang w:val="es-ES"/>
        </w:rPr>
      </w:pPr>
    </w:p>
    <w:p w14:paraId="65ECE7A8" w14:textId="77777777" w:rsidR="009D1C58" w:rsidRPr="00B96799" w:rsidRDefault="009D1C58" w:rsidP="00650923">
      <w:pPr>
        <w:spacing w:after="0" w:line="0" w:lineRule="atLeast"/>
        <w:jc w:val="both"/>
        <w:rPr>
          <w:rFonts w:ascii="Verdana" w:eastAsia="Calibri" w:hAnsi="Verdana" w:cs="Arial"/>
          <w:lang w:val="es-ES" w:eastAsia="es-ES"/>
        </w:rPr>
      </w:pPr>
      <w:r w:rsidRPr="00B96799">
        <w:rPr>
          <w:rFonts w:ascii="Verdana" w:eastAsia="Calibri" w:hAnsi="Verdana" w:cs="Arial"/>
          <w:lang w:val="es-ES" w:eastAsia="es-ES"/>
        </w:rPr>
        <w:t>Señor</w:t>
      </w:r>
    </w:p>
    <w:p w14:paraId="4C7FFF95" w14:textId="77777777" w:rsidR="009D1C58" w:rsidRDefault="009D1C58" w:rsidP="00650923">
      <w:pPr>
        <w:spacing w:after="0" w:line="0" w:lineRule="atLeast"/>
        <w:rPr>
          <w:rFonts w:ascii="Verdana" w:eastAsia="Calibri" w:hAnsi="Verdana" w:cs="Arial"/>
          <w:b/>
          <w:lang w:val="es-ES_tradnl" w:eastAsia="es-ES_tradnl"/>
        </w:rPr>
      </w:pPr>
      <w:r w:rsidRPr="00990C98">
        <w:rPr>
          <w:rFonts w:ascii="Verdana" w:eastAsia="Calibri" w:hAnsi="Verdana" w:cs="Arial"/>
          <w:b/>
          <w:lang w:val="es-ES_tradnl" w:eastAsia="es-ES_tradnl"/>
        </w:rPr>
        <w:t>Cesar Augusto Sosa Giraldo</w:t>
      </w:r>
      <w:r>
        <w:rPr>
          <w:rFonts w:ascii="Verdana" w:eastAsia="Calibri" w:hAnsi="Verdana" w:cs="Arial"/>
          <w:b/>
          <w:lang w:val="es-ES_tradnl" w:eastAsia="es-ES_tradnl"/>
        </w:rPr>
        <w:t xml:space="preserve"> </w:t>
      </w:r>
    </w:p>
    <w:p w14:paraId="657CD204" w14:textId="77777777" w:rsidR="009D1C58" w:rsidRPr="00990C98" w:rsidRDefault="009D1C58" w:rsidP="00650923">
      <w:pPr>
        <w:spacing w:after="0" w:line="0" w:lineRule="atLeast"/>
        <w:rPr>
          <w:rFonts w:ascii="Verdana" w:eastAsia="Calibri" w:hAnsi="Verdana" w:cs="Arial"/>
          <w:lang w:val="es-ES" w:eastAsia="es-ES"/>
        </w:rPr>
      </w:pPr>
      <w:hyperlink r:id="rId11" w:history="1">
        <w:r w:rsidRPr="000259E2">
          <w:rPr>
            <w:rStyle w:val="Hipervnculo"/>
            <w:rFonts w:ascii="Verdana" w:hAnsi="Verdana"/>
          </w:rPr>
          <w:t>sosagiraldo@gmail.com</w:t>
        </w:r>
      </w:hyperlink>
      <w:r>
        <w:rPr>
          <w:rFonts w:ascii="Verdana" w:hAnsi="Verdana"/>
        </w:rPr>
        <w:t xml:space="preserve"> </w:t>
      </w:r>
      <w:r w:rsidRPr="00990C98">
        <w:rPr>
          <w:rFonts w:ascii="Verdana" w:hAnsi="Verdana"/>
        </w:rPr>
        <w:t xml:space="preserve">  </w:t>
      </w:r>
      <w:r w:rsidRPr="00990C98">
        <w:rPr>
          <w:rFonts w:ascii="Verdana" w:eastAsia="Calibri" w:hAnsi="Verdana" w:cs="Arial"/>
          <w:lang w:val="es-ES" w:eastAsia="es-ES"/>
        </w:rPr>
        <w:t xml:space="preserve">    </w:t>
      </w:r>
    </w:p>
    <w:p w14:paraId="0091C9F6" w14:textId="77777777" w:rsidR="009D1C58" w:rsidRDefault="009D1C58" w:rsidP="00650923">
      <w:pPr>
        <w:spacing w:after="0" w:line="0" w:lineRule="atLeast"/>
        <w:rPr>
          <w:rFonts w:ascii="Verdana" w:eastAsia="Calibri" w:hAnsi="Verdana" w:cs="Arial"/>
          <w:lang w:val="es-ES" w:eastAsia="es-ES"/>
        </w:rPr>
      </w:pPr>
      <w:r w:rsidRPr="0090408E">
        <w:rPr>
          <w:rFonts w:ascii="Verdana" w:eastAsia="Calibri" w:hAnsi="Verdana" w:cs="Arial"/>
          <w:lang w:val="es-ES" w:eastAsia="es-ES"/>
        </w:rPr>
        <w:t>Bogotá D.C.</w:t>
      </w:r>
      <w:r>
        <w:rPr>
          <w:rFonts w:ascii="Verdana" w:eastAsia="Calibri" w:hAnsi="Verdana" w:cs="Arial"/>
          <w:lang w:val="es-ES" w:eastAsia="es-ES"/>
        </w:rPr>
        <w:t xml:space="preserve"> </w:t>
      </w:r>
    </w:p>
    <w:p w14:paraId="73FD820F" w14:textId="77777777" w:rsidR="009D1C58" w:rsidRPr="00593A5F" w:rsidRDefault="009D1C58" w:rsidP="00650923">
      <w:pPr>
        <w:spacing w:after="0" w:line="0" w:lineRule="atLeast"/>
        <w:rPr>
          <w:rFonts w:ascii="Verdana" w:eastAsia="Calibri" w:hAnsi="Verdana" w:cs="Arial"/>
          <w:b/>
          <w:bCs/>
          <w:color w:val="000000"/>
          <w:lang w:val="es-ES_tradnl" w:eastAsia="es-ES_tradnl"/>
        </w:rPr>
      </w:pPr>
    </w:p>
    <w:p w14:paraId="5F737348" w14:textId="77777777" w:rsidR="009D1C58" w:rsidRPr="00593A5F" w:rsidRDefault="009D1C58" w:rsidP="00650923">
      <w:pPr>
        <w:spacing w:after="0" w:line="0" w:lineRule="atLeast"/>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D1C58" w:rsidRPr="00593A5F" w14:paraId="412325CA" w14:textId="77777777">
        <w:trPr>
          <w:trHeight w:val="884"/>
        </w:trPr>
        <w:tc>
          <w:tcPr>
            <w:tcW w:w="2689" w:type="dxa"/>
          </w:tcPr>
          <w:p w14:paraId="6B1A83DF" w14:textId="77777777" w:rsidR="009D1C58" w:rsidRPr="00C00976" w:rsidRDefault="009D1C58" w:rsidP="00650923">
            <w:pPr>
              <w:spacing w:line="0" w:lineRule="atLeast"/>
              <w:jc w:val="both"/>
              <w:rPr>
                <w:rFonts w:ascii="Verdana" w:eastAsia="Calibri" w:hAnsi="Verdana" w:cs="Arial"/>
                <w:b/>
                <w:bCs/>
                <w:color w:val="7030A0"/>
                <w:lang w:val="es-ES_tradnl" w:eastAsia="es-ES_tradnl"/>
              </w:rPr>
            </w:pPr>
          </w:p>
        </w:tc>
        <w:tc>
          <w:tcPr>
            <w:tcW w:w="6100" w:type="dxa"/>
          </w:tcPr>
          <w:p w14:paraId="7341DF5F" w14:textId="77777777" w:rsidR="009D1C58" w:rsidRPr="00C00976" w:rsidRDefault="009D1C58" w:rsidP="00650923">
            <w:pPr>
              <w:spacing w:line="0" w:lineRule="atLeast"/>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568</w:t>
            </w:r>
            <w:r w:rsidRPr="008E6AD9">
              <w:rPr>
                <w:rFonts w:ascii="Verdana" w:eastAsia="Calibri" w:hAnsi="Verdana" w:cs="Arial"/>
                <w:b/>
                <w:bCs/>
                <w:lang w:val="es-ES" w:eastAsia="es-ES"/>
              </w:rPr>
              <w:t xml:space="preserve"> de 2024</w:t>
            </w:r>
          </w:p>
        </w:tc>
      </w:tr>
      <w:tr w:rsidR="009D1C58" w:rsidRPr="00593A5F" w14:paraId="05072EA2" w14:textId="77777777">
        <w:trPr>
          <w:trHeight w:val="884"/>
        </w:trPr>
        <w:tc>
          <w:tcPr>
            <w:tcW w:w="2689" w:type="dxa"/>
          </w:tcPr>
          <w:p w14:paraId="7C6D8DF8" w14:textId="77777777" w:rsidR="009D1C58" w:rsidRPr="00593A5F" w:rsidRDefault="009D1C58" w:rsidP="00650923">
            <w:pPr>
              <w:spacing w:line="0" w:lineRule="atLeast"/>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11EC7043" w14:textId="77777777" w:rsidR="009D1C58" w:rsidRPr="00A11406" w:rsidRDefault="009D1C58" w:rsidP="00650923">
            <w:pPr>
              <w:spacing w:line="0" w:lineRule="atLeast"/>
              <w:jc w:val="both"/>
              <w:rPr>
                <w:rFonts w:ascii="Verdana" w:eastAsia="Calibri" w:hAnsi="Verdana" w:cs="Arial"/>
                <w:lang w:val="es-ES" w:eastAsia="es-ES"/>
              </w:rPr>
            </w:pPr>
            <w:r w:rsidRPr="003C1B7C">
              <w:rPr>
                <w:rFonts w:ascii="Verdana" w:eastAsia="Calibri" w:hAnsi="Verdana" w:cs="Arial"/>
                <w:lang w:val="es-ES" w:eastAsia="es-ES"/>
              </w:rPr>
              <w:t xml:space="preserve">LIQUIDACIÓN DEL CONTRATO – Definición – Objetivo </w:t>
            </w:r>
            <w:r>
              <w:rPr>
                <w:rFonts w:ascii="Verdana" w:eastAsia="Calibri" w:hAnsi="Verdana" w:cs="Arial"/>
                <w:lang w:val="es-ES" w:eastAsia="es-ES"/>
              </w:rPr>
              <w:t xml:space="preserve">/ </w:t>
            </w:r>
            <w:r w:rsidRPr="003C1B7C">
              <w:rPr>
                <w:rFonts w:ascii="Verdana" w:eastAsia="Calibri" w:hAnsi="Verdana" w:cs="Arial"/>
                <w:lang w:val="es-ES" w:eastAsia="es-ES"/>
              </w:rPr>
              <w:t>LIQUIDACIÓN DEL CONTRATO – Normativa – Oportunidad</w:t>
            </w:r>
            <w:r>
              <w:rPr>
                <w:rFonts w:ascii="Verdana" w:eastAsia="Calibri" w:hAnsi="Verdana" w:cs="Arial"/>
                <w:lang w:val="es-ES" w:eastAsia="es-ES"/>
              </w:rPr>
              <w:t xml:space="preserve"> / </w:t>
            </w:r>
            <w:r w:rsidRPr="003C1B7C">
              <w:rPr>
                <w:rFonts w:ascii="Verdana" w:eastAsia="Calibri" w:hAnsi="Verdana" w:cs="Arial"/>
                <w:lang w:val="es-ES" w:eastAsia="es-ES"/>
              </w:rPr>
              <w:t xml:space="preserve">MEDIO DE CONTROL DE CONTROVERSIAS CONTRACTUALES – Caducidad – Efectos en el tiempo de los cambios de jurisprudencia  </w:t>
            </w:r>
            <w:r w:rsidRPr="00B6323A">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369B75E9" w14:textId="77777777" w:rsidR="009D1C58" w:rsidRPr="00593A5F" w:rsidRDefault="009D1C58" w:rsidP="00650923">
            <w:pPr>
              <w:spacing w:line="0" w:lineRule="atLeast"/>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9D1C58" w:rsidRPr="008E6AD9" w14:paraId="44E2E92E" w14:textId="77777777">
        <w:tc>
          <w:tcPr>
            <w:tcW w:w="2689" w:type="dxa"/>
          </w:tcPr>
          <w:p w14:paraId="7F94BF29" w14:textId="77777777" w:rsidR="009D1C58" w:rsidRPr="008E6AD9" w:rsidRDefault="009D1C58" w:rsidP="00650923">
            <w:pPr>
              <w:spacing w:line="0" w:lineRule="atLeast"/>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8767E96" w14:textId="42EADE9C" w:rsidR="009D1C58" w:rsidRPr="008E6AD9" w:rsidRDefault="009D1C58" w:rsidP="00650923">
            <w:pPr>
              <w:spacing w:line="0" w:lineRule="atLeast"/>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w:t>
            </w:r>
            <w:r>
              <w:rPr>
                <w:rFonts w:ascii="Verdana" w:eastAsia="Calibri" w:hAnsi="Verdana" w:cs="Arial"/>
                <w:lang w:val="es-ES_tradnl" w:eastAsia="es-ES_tradnl"/>
              </w:rPr>
              <w:t>s</w:t>
            </w:r>
            <w:r w:rsidRPr="008E6AD9">
              <w:rPr>
                <w:rFonts w:ascii="Verdana" w:eastAsia="Calibri" w:hAnsi="Verdana" w:cs="Arial"/>
                <w:lang w:val="es-ES_tradnl" w:eastAsia="es-ES_tradnl"/>
              </w:rPr>
              <w:t xml:space="preserve"> No. </w:t>
            </w:r>
            <w:r w:rsidR="00AF5CC6">
              <w:rPr>
                <w:rFonts w:ascii="Verdana" w:eastAsia="Calibri" w:hAnsi="Verdana" w:cs="Arial"/>
                <w:lang w:val="es-ES_tradnl" w:eastAsia="es-ES_tradnl"/>
              </w:rPr>
              <w:t>P</w:t>
            </w:r>
            <w:r w:rsidRPr="00990C98">
              <w:rPr>
                <w:rFonts w:ascii="Verdana" w:eastAsia="Calibri" w:hAnsi="Verdana" w:cs="Arial"/>
                <w:lang w:val="es-ES_tradnl" w:eastAsia="es-ES_tradnl"/>
              </w:rPr>
              <w:t>20240908009136</w:t>
            </w:r>
            <w:r>
              <w:rPr>
                <w:rFonts w:ascii="Verdana" w:eastAsia="Calibri" w:hAnsi="Verdana" w:cs="Arial"/>
                <w:lang w:val="es-ES_tradnl" w:eastAsia="es-ES_tradnl"/>
              </w:rPr>
              <w:t xml:space="preserve"> y</w:t>
            </w:r>
            <w:r w:rsidRPr="00990C98">
              <w:rPr>
                <w:rFonts w:ascii="Verdana" w:eastAsia="Calibri" w:hAnsi="Verdana" w:cs="Arial"/>
                <w:lang w:val="es-ES_tradnl" w:eastAsia="es-ES_tradnl"/>
              </w:rPr>
              <w:t xml:space="preserve"> P20240909009163</w:t>
            </w:r>
            <w:r>
              <w:rPr>
                <w:rFonts w:ascii="Verdana" w:eastAsia="Calibri" w:hAnsi="Verdana" w:cs="Arial"/>
                <w:lang w:val="es-ES_tradnl" w:eastAsia="es-ES_tradnl"/>
              </w:rPr>
              <w:t xml:space="preserve"> –Acumulados–</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50185563" w14:textId="77777777" w:rsidR="009D1C58" w:rsidRPr="00593A5F" w:rsidRDefault="009D1C58" w:rsidP="00650923">
      <w:pPr>
        <w:spacing w:after="0" w:line="0" w:lineRule="atLeast"/>
        <w:jc w:val="both"/>
        <w:rPr>
          <w:rFonts w:ascii="Verdana" w:eastAsia="Calibri" w:hAnsi="Verdana" w:cs="Arial"/>
          <w:color w:val="000000"/>
          <w:lang w:val="es-ES_tradnl" w:eastAsia="es-ES_tradnl"/>
        </w:rPr>
      </w:pPr>
    </w:p>
    <w:p w14:paraId="5090A256" w14:textId="77777777" w:rsidR="009D1C58" w:rsidRPr="00593A5F" w:rsidRDefault="009D1C58" w:rsidP="00650923">
      <w:pPr>
        <w:spacing w:after="0" w:line="0" w:lineRule="atLeast"/>
        <w:jc w:val="both"/>
        <w:rPr>
          <w:rFonts w:ascii="Verdana" w:eastAsia="Calibri" w:hAnsi="Verdana" w:cs="Arial"/>
          <w:color w:val="000000"/>
          <w:lang w:val="es-ES_tradnl" w:eastAsia="es-ES_tradnl"/>
        </w:rPr>
      </w:pPr>
    </w:p>
    <w:p w14:paraId="57B0A23F" w14:textId="77777777" w:rsidR="009D1C58" w:rsidRPr="008E6AD9" w:rsidRDefault="009D1C58" w:rsidP="00650923">
      <w:pPr>
        <w:spacing w:after="0" w:line="0" w:lineRule="atLeast"/>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990C98">
        <w:rPr>
          <w:rFonts w:ascii="Verdana" w:eastAsia="Calibri" w:hAnsi="Verdana" w:cs="Arial"/>
          <w:lang w:val="es-ES" w:eastAsia="es-ES"/>
        </w:rPr>
        <w:t>Sosa Giraldo</w:t>
      </w:r>
      <w:r w:rsidRPr="008E6AD9">
        <w:rPr>
          <w:rFonts w:ascii="Verdana" w:eastAsia="Calibri" w:hAnsi="Verdana" w:cs="Arial"/>
          <w:lang w:val="es-ES" w:eastAsia="es-ES"/>
        </w:rPr>
        <w:t xml:space="preserve">: </w:t>
      </w:r>
    </w:p>
    <w:p w14:paraId="2E4D1F08" w14:textId="77777777" w:rsidR="009D1C58" w:rsidRDefault="009D1C58" w:rsidP="00650923">
      <w:pPr>
        <w:tabs>
          <w:tab w:val="left" w:pos="3768"/>
        </w:tabs>
        <w:spacing w:after="0" w:line="0" w:lineRule="atLeast"/>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FAC4F12" w14:textId="77777777" w:rsidR="009D1C58" w:rsidRPr="00593A5F" w:rsidRDefault="009D1C58" w:rsidP="00650923">
      <w:pPr>
        <w:spacing w:after="0" w:line="0" w:lineRule="atLeast"/>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8 y 9 de septiembre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70624538" w14:textId="77777777" w:rsidR="009D1C58" w:rsidRPr="00272A7B" w:rsidRDefault="009D1C58" w:rsidP="00650923">
      <w:pPr>
        <w:pStyle w:val="Prrafodelista"/>
        <w:tabs>
          <w:tab w:val="left" w:pos="142"/>
          <w:tab w:val="left" w:pos="284"/>
        </w:tabs>
        <w:spacing w:after="0" w:line="0" w:lineRule="atLeast"/>
        <w:ind w:left="0"/>
        <w:jc w:val="both"/>
        <w:rPr>
          <w:rFonts w:ascii="Verdana" w:eastAsia="Century Gothic" w:hAnsi="Verdana" w:cs="Century Gothic"/>
          <w:b/>
          <w:bCs/>
        </w:rPr>
      </w:pPr>
    </w:p>
    <w:p w14:paraId="050673D4" w14:textId="5F633AAC" w:rsidR="009D1C58" w:rsidRDefault="009D1C58" w:rsidP="00650923">
      <w:pPr>
        <w:spacing w:after="0" w:line="0" w:lineRule="atLeast"/>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990C98">
        <w:rPr>
          <w:rFonts w:ascii="Verdana" w:eastAsia="Century Gothic" w:hAnsi="Verdana" w:cs="Century Gothic"/>
          <w:sz w:val="21"/>
          <w:szCs w:val="21"/>
          <w:lang w:val="es-ES"/>
        </w:rPr>
        <w:t xml:space="preserve">¿A TODOS los convenios no sujetos a lo regulado por la ley 80 les es aplicable el criterio de la decisión del Consejo de Estado, Sala de lo Contencioso Administrativo, Sección Tercera, Subsección B, proferida el 20 de mayo de 2024 bajo radicado 47001-23-33-000-2020-00580-01 (70086), en cuanto a NO estimar la facultad de la administración para practicar una eventual liquidación unilateral en un plazo de dos (2) meses posteriores al termino contractualmente fijado para la liquidación bilateral o en su ausencia de los cuatro (4) meses siguientes </w:t>
      </w:r>
      <w:r w:rsidRPr="00990C98">
        <w:rPr>
          <w:rFonts w:ascii="Verdana" w:eastAsia="Century Gothic" w:hAnsi="Verdana" w:cs="Century Gothic"/>
          <w:sz w:val="21"/>
          <w:szCs w:val="21"/>
          <w:lang w:val="es-ES"/>
        </w:rPr>
        <w:lastRenderedPageBreak/>
        <w:t>a la terminación del contrato y por ende no tener en cuenta dicho plazo de (2) meses para el computo de la caducidad  cuando en el Convenio celebrado NO se haya estipulado la posibilidad para la administración de liquidar unilateralmente el Convenio? ¿Desde cuándo se aplica dicha jurisprudencia?</w:t>
      </w:r>
      <w:r>
        <w:rPr>
          <w:rFonts w:ascii="Verdana" w:eastAsia="Century Gothic" w:hAnsi="Verdana" w:cs="Century Gothic"/>
          <w:sz w:val="21"/>
          <w:szCs w:val="21"/>
          <w:lang w:val="es-ES"/>
        </w:rPr>
        <w:t>”</w:t>
      </w:r>
      <w:r w:rsidRPr="0090408E">
        <w:rPr>
          <w:rFonts w:ascii="Verdana" w:eastAsia="Century Gothic" w:hAnsi="Verdana" w:cs="Century Gothic"/>
          <w:sz w:val="21"/>
          <w:szCs w:val="21"/>
          <w:lang w:val="es-ES"/>
        </w:rPr>
        <w:t>.</w:t>
      </w:r>
      <w:r w:rsidRPr="006040CE">
        <w:rPr>
          <w:rFonts w:ascii="Verdana" w:eastAsia="Century Gothic" w:hAnsi="Verdana" w:cs="Century Gothic"/>
          <w:sz w:val="21"/>
          <w:szCs w:val="21"/>
          <w:lang w:val="es-ES"/>
        </w:rPr>
        <w:t xml:space="preserve"> </w:t>
      </w:r>
      <w:r w:rsidR="00164B39">
        <w:rPr>
          <w:rFonts w:ascii="Verdana" w:eastAsia="Century Gothic" w:hAnsi="Verdana" w:cs="Century Gothic"/>
          <w:sz w:val="21"/>
          <w:szCs w:val="21"/>
          <w:lang w:val="es-ES"/>
        </w:rPr>
        <w:t>[sic]</w:t>
      </w:r>
    </w:p>
    <w:p w14:paraId="63963081" w14:textId="77777777" w:rsidR="009D1C58" w:rsidRPr="00990C98" w:rsidRDefault="009D1C58" w:rsidP="00650923">
      <w:pPr>
        <w:spacing w:after="0" w:line="0" w:lineRule="atLeast"/>
        <w:ind w:left="709" w:right="709"/>
        <w:jc w:val="both"/>
        <w:rPr>
          <w:rFonts w:ascii="Verdana" w:eastAsia="Century Gothic" w:hAnsi="Verdana" w:cs="Century Gothic"/>
          <w:lang w:val="es-ES"/>
        </w:rPr>
      </w:pPr>
    </w:p>
    <w:p w14:paraId="13CFB050" w14:textId="77777777" w:rsidR="009D1C58" w:rsidRDefault="009D1C58" w:rsidP="00650923">
      <w:pPr>
        <w:spacing w:after="0" w:line="0" w:lineRule="atLeast"/>
        <w:ind w:firstLine="709"/>
        <w:jc w:val="both"/>
        <w:rPr>
          <w:rFonts w:ascii="Verdana" w:eastAsia="Calibri" w:hAnsi="Verdana" w:cs="Arial"/>
          <w:color w:val="000000"/>
          <w:szCs w:val="24"/>
          <w:lang w:val="es-ES_tradnl" w:eastAsia="es-ES_tradnl"/>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59CF0F0" w14:textId="77777777" w:rsidR="00650923" w:rsidRPr="00A652FF" w:rsidRDefault="00650923" w:rsidP="00650923">
      <w:pPr>
        <w:spacing w:after="0" w:line="0" w:lineRule="atLeast"/>
        <w:ind w:firstLine="709"/>
        <w:jc w:val="both"/>
        <w:rPr>
          <w:rFonts w:ascii="Verdana" w:eastAsia="Calibri" w:hAnsi="Verdana" w:cs="Arial"/>
          <w:color w:val="000000"/>
          <w:lang w:val="es-ES" w:eastAsia="es-ES"/>
        </w:rPr>
      </w:pPr>
    </w:p>
    <w:p w14:paraId="21ABB2AC" w14:textId="77777777" w:rsidR="009D1C58" w:rsidRDefault="009D1C58" w:rsidP="00650923">
      <w:pPr>
        <w:spacing w:after="0" w:line="0" w:lineRule="atLeast"/>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52F24082" w14:textId="77777777" w:rsidR="009D1C58" w:rsidRPr="00593A5F" w:rsidRDefault="009D1C58" w:rsidP="00650923">
      <w:pPr>
        <w:spacing w:after="0" w:line="0" w:lineRule="atLeast"/>
        <w:ind w:firstLine="709"/>
        <w:jc w:val="both"/>
        <w:rPr>
          <w:rFonts w:ascii="Verdana" w:eastAsia="Calibri" w:hAnsi="Verdana" w:cs="Arial"/>
          <w:color w:val="000000"/>
          <w:lang w:val="es-ES" w:eastAsia="es-ES"/>
        </w:rPr>
      </w:pPr>
    </w:p>
    <w:p w14:paraId="32A194C4" w14:textId="77777777" w:rsidR="009D1C58" w:rsidRPr="00593A5F" w:rsidRDefault="009D1C58" w:rsidP="00650923">
      <w:pPr>
        <w:pStyle w:val="Prrafodelista"/>
        <w:numPr>
          <w:ilvl w:val="0"/>
          <w:numId w:val="16"/>
        </w:numPr>
        <w:tabs>
          <w:tab w:val="left" w:pos="142"/>
          <w:tab w:val="left" w:pos="284"/>
        </w:tabs>
        <w:spacing w:after="0" w:line="0" w:lineRule="atLeast"/>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BD4FF5D" w14:textId="77777777" w:rsidR="009D1C58" w:rsidRPr="00593A5F" w:rsidRDefault="009D1C58" w:rsidP="00650923">
      <w:pPr>
        <w:tabs>
          <w:tab w:val="left" w:pos="426"/>
        </w:tabs>
        <w:spacing w:after="0" w:line="0" w:lineRule="atLeast"/>
        <w:jc w:val="both"/>
        <w:rPr>
          <w:rFonts w:ascii="Verdana" w:eastAsia="Century Gothic" w:hAnsi="Verdana" w:cs="Century Gothic"/>
          <w:lang w:val="es-ES"/>
        </w:rPr>
      </w:pPr>
    </w:p>
    <w:p w14:paraId="35557CA9" w14:textId="77777777" w:rsidR="009D1C58" w:rsidRPr="00593A5F" w:rsidRDefault="009D1C58" w:rsidP="00650923">
      <w:pPr>
        <w:spacing w:after="0" w:line="0" w:lineRule="atLeast"/>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conforme a la Sentencia de la Subsección B de la Sección Tercera del Consejo de Estado d</w:t>
      </w:r>
      <w:r w:rsidRPr="00B707BA">
        <w:rPr>
          <w:rFonts w:ascii="Verdana" w:eastAsia="Century Gothic" w:hAnsi="Verdana" w:cs="Century Gothic"/>
        </w:rPr>
        <w:t>el 20 de mayo de 2024</w:t>
      </w:r>
      <w:r>
        <w:rPr>
          <w:rFonts w:ascii="Verdana" w:eastAsia="Century Gothic" w:hAnsi="Verdana" w:cs="Century Gothic"/>
        </w:rPr>
        <w:t xml:space="preserve">, ¿cómo se computa, en función de los plazos para liquidar, la caducidad del medio de control de controversias contractuales, y cuál es el efecto en el tiempo de dicha postura?       </w:t>
      </w:r>
      <w:r w:rsidRPr="00C00976">
        <w:rPr>
          <w:rFonts w:ascii="Verdana" w:eastAsia="Century Gothic" w:hAnsi="Verdana" w:cs="Century Gothic"/>
          <w:color w:val="7030A0"/>
        </w:rPr>
        <w:t xml:space="preserve"> </w:t>
      </w:r>
    </w:p>
    <w:p w14:paraId="2B9C2C33" w14:textId="77777777" w:rsidR="009D1C58" w:rsidRPr="004B140F" w:rsidRDefault="009D1C58" w:rsidP="00650923">
      <w:pPr>
        <w:spacing w:after="0" w:line="0" w:lineRule="atLeast"/>
        <w:jc w:val="both"/>
        <w:rPr>
          <w:rFonts w:ascii="Verdana" w:eastAsia="Calibri" w:hAnsi="Verdana" w:cs="Arial"/>
          <w:color w:val="7030A0"/>
        </w:rPr>
      </w:pPr>
    </w:p>
    <w:p w14:paraId="21585AF9" w14:textId="77777777" w:rsidR="009D1C58" w:rsidRPr="00593A5F" w:rsidRDefault="009D1C58" w:rsidP="00650923">
      <w:pPr>
        <w:pStyle w:val="Prrafodelista"/>
        <w:numPr>
          <w:ilvl w:val="0"/>
          <w:numId w:val="16"/>
        </w:numPr>
        <w:tabs>
          <w:tab w:val="left" w:pos="142"/>
          <w:tab w:val="left" w:pos="284"/>
        </w:tabs>
        <w:spacing w:after="0" w:line="0" w:lineRule="atLeast"/>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5A6D002" w14:textId="77777777" w:rsidR="009D1C58" w:rsidRPr="00593A5F" w:rsidRDefault="009D1C58" w:rsidP="00650923">
      <w:pPr>
        <w:tabs>
          <w:tab w:val="left" w:pos="142"/>
          <w:tab w:val="left" w:pos="284"/>
        </w:tabs>
        <w:spacing w:after="0" w:line="0" w:lineRule="atLeast"/>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D1C58" w:rsidRPr="00593A5F" w14:paraId="40A9A42D" w14:textId="77777777">
        <w:trPr>
          <w:jc w:val="center"/>
        </w:trPr>
        <w:tc>
          <w:tcPr>
            <w:tcW w:w="8828" w:type="dxa"/>
            <w:shd w:val="clear" w:color="auto" w:fill="auto"/>
          </w:tcPr>
          <w:p w14:paraId="1CEFACAF" w14:textId="77777777" w:rsidR="004754C4" w:rsidRDefault="004754C4" w:rsidP="00650923">
            <w:pPr>
              <w:spacing w:line="0" w:lineRule="atLeast"/>
              <w:jc w:val="both"/>
              <w:rPr>
                <w:rFonts w:ascii="Verdana" w:eastAsia="Times New Roman" w:hAnsi="Verdana" w:cs="Arial"/>
                <w:color w:val="000000"/>
                <w:bdr w:val="none" w:sz="0" w:space="0" w:color="auto" w:frame="1"/>
                <w:shd w:val="clear" w:color="auto" w:fill="FFFFFF"/>
                <w:lang w:eastAsia="es-ES_tradnl"/>
              </w:rPr>
            </w:pPr>
            <w:bookmarkStart w:id="1" w:name="_Hlk171694685"/>
          </w:p>
          <w:p w14:paraId="7B86B67D" w14:textId="77777777" w:rsidR="009D1C58" w:rsidRDefault="009D1C58" w:rsidP="00650923">
            <w:pPr>
              <w:spacing w:line="0" w:lineRule="atLeast"/>
              <w:jc w:val="both"/>
              <w:rPr>
                <w:rFonts w:ascii="Verdana" w:eastAsia="Century Gothic" w:hAnsi="Verdana" w:cs="Century Gothic"/>
              </w:rPr>
            </w:pPr>
            <w:r>
              <w:rPr>
                <w:rFonts w:ascii="Verdana" w:eastAsia="Times New Roman" w:hAnsi="Verdana" w:cs="Arial"/>
                <w:color w:val="000000"/>
                <w:bdr w:val="none" w:sz="0" w:space="0" w:color="auto" w:frame="1"/>
                <w:shd w:val="clear" w:color="auto" w:fill="FFFFFF"/>
                <w:lang w:eastAsia="es-ES_tradnl"/>
              </w:rPr>
              <w:t xml:space="preserve">De acuerdo con el literal j) del artículo 164.2 del CPACA, los plazos para liquidar bilateral, unilateral y judicialmente el contrato influyen en el acceso oportuno al sistema de administración de justicia. Por ello, bajo la consideración de que no en todos los negocios jurídicos suscritos por las entidades estatales se encuentra habilitada la liquidación unilateral, surge la duda de si el plazo correspondiente está o no dentro del cómputo de la caducidad. Al respecto, </w:t>
            </w:r>
            <w:r>
              <w:rPr>
                <w:rFonts w:ascii="Verdana" w:eastAsia="Century Gothic" w:hAnsi="Verdana" w:cs="Century Gothic"/>
              </w:rPr>
              <w:t xml:space="preserve">la Subsección B de la Sección Tercera del Consejo de </w:t>
            </w:r>
            <w:r>
              <w:rPr>
                <w:rFonts w:ascii="Verdana" w:eastAsia="Century Gothic" w:hAnsi="Verdana" w:cs="Century Gothic"/>
              </w:rPr>
              <w:lastRenderedPageBreak/>
              <w:t>Estado, en Sentencia d</w:t>
            </w:r>
            <w:r w:rsidRPr="00B707BA">
              <w:rPr>
                <w:rFonts w:ascii="Verdana" w:eastAsia="Century Gothic" w:hAnsi="Verdana" w:cs="Century Gothic"/>
              </w:rPr>
              <w:t>el 20 de mayo de 2024</w:t>
            </w:r>
            <w:r>
              <w:rPr>
                <w:rFonts w:ascii="Verdana" w:eastAsia="Century Gothic" w:hAnsi="Verdana" w:cs="Century Gothic"/>
              </w:rPr>
              <w:t xml:space="preserve"> con ponencia del Magistrado </w:t>
            </w:r>
            <w:r w:rsidRPr="004D33F5">
              <w:rPr>
                <w:rFonts w:ascii="Verdana" w:eastAsia="Century Gothic" w:hAnsi="Verdana" w:cs="Century Gothic"/>
              </w:rPr>
              <w:t>Martín Bermúdez Muñoz</w:t>
            </w:r>
            <w:r>
              <w:rPr>
                <w:rFonts w:ascii="Verdana" w:eastAsia="Century Gothic" w:hAnsi="Verdana" w:cs="Century Gothic"/>
              </w:rPr>
              <w:t>, se decanta por una respuesta negativa.</w:t>
            </w:r>
          </w:p>
          <w:p w14:paraId="65BBF22C" w14:textId="77777777" w:rsidR="00605657" w:rsidRDefault="00605657" w:rsidP="00650923">
            <w:pPr>
              <w:spacing w:line="0" w:lineRule="atLeast"/>
              <w:jc w:val="both"/>
              <w:rPr>
                <w:rFonts w:ascii="Verdana" w:eastAsia="Century Gothic" w:hAnsi="Verdana" w:cs="Century Gothic"/>
              </w:rPr>
            </w:pPr>
          </w:p>
          <w:p w14:paraId="7A13CA79" w14:textId="77777777" w:rsidR="009D1C58" w:rsidRDefault="009D1C58" w:rsidP="00650923">
            <w:pPr>
              <w:tabs>
                <w:tab w:val="left" w:pos="709"/>
              </w:tabs>
              <w:spacing w:line="0" w:lineRule="atLeast"/>
              <w:ind w:firstLine="737"/>
              <w:jc w:val="both"/>
              <w:rPr>
                <w:rFonts w:ascii="Verdana" w:eastAsia="Century Gothic" w:hAnsi="Verdana" w:cs="Century Gothic"/>
              </w:rPr>
            </w:pPr>
            <w:r>
              <w:rPr>
                <w:rFonts w:ascii="Verdana" w:eastAsia="Century Gothic" w:hAnsi="Verdana" w:cs="Century Gothic"/>
              </w:rPr>
              <w:t xml:space="preserve">Conforme a la sentencia, la postura aplica a todos los convenios interadministrativos sin hacer distinción alguna, así como a los contratos exceptuados del EGCAP. En estos negocios deberá verificarse si es posible o no liquidar unilateralmente, para determinar si el plazo respectivo entra en el cómputo de la caducidad del medio de control de controversias contractuales. Respecto a la eficacia temporal de los cambios de jurisprudencia, la Corte Constitucional resalta la importancia de que estos tengan hacia el futuro, con el objetivo de no perjudicar las expectativas legítimas de quienes acuden a la </w:t>
            </w:r>
            <w:r w:rsidRPr="009F712D">
              <w:rPr>
                <w:rFonts w:ascii="Verdana" w:eastAsia="Century Gothic" w:hAnsi="Verdana" w:cs="Century Gothic"/>
              </w:rPr>
              <w:t>administración de justicia con fundamento en la postura superada</w:t>
            </w:r>
            <w:r>
              <w:rPr>
                <w:rFonts w:ascii="Verdana" w:eastAsia="Century Gothic" w:hAnsi="Verdana" w:cs="Century Gothic"/>
              </w:rPr>
              <w:t>.</w:t>
            </w:r>
          </w:p>
          <w:p w14:paraId="1F759157" w14:textId="77777777" w:rsidR="00605657" w:rsidRDefault="00605657" w:rsidP="00650923">
            <w:pPr>
              <w:tabs>
                <w:tab w:val="left" w:pos="709"/>
              </w:tabs>
              <w:spacing w:line="0" w:lineRule="atLeast"/>
              <w:ind w:firstLine="737"/>
              <w:jc w:val="both"/>
              <w:rPr>
                <w:rFonts w:ascii="Verdana" w:eastAsia="Century Gothic" w:hAnsi="Verdana" w:cs="Century Gothic"/>
              </w:rPr>
            </w:pPr>
          </w:p>
          <w:p w14:paraId="33B67AA7" w14:textId="77777777" w:rsidR="009D1C58" w:rsidRDefault="009D1C58" w:rsidP="00650923">
            <w:pPr>
              <w:spacing w:line="0" w:lineRule="atLeast"/>
              <w:ind w:firstLine="737"/>
              <w:jc w:val="both"/>
            </w:pPr>
            <w:r>
              <w:rPr>
                <w:rFonts w:ascii="Verdana" w:hAnsi="Verdana" w:cs="Arial"/>
                <w:iCs/>
                <w:color w:val="000000" w:themeColor="text1"/>
              </w:rPr>
              <w:t xml:space="preserve">Sin perjuicio de lo anterior, vale la pena considerar que la postura de la decisión adoptada el </w:t>
            </w:r>
            <w:r w:rsidRPr="00174E00">
              <w:rPr>
                <w:rFonts w:ascii="Verdana" w:hAnsi="Verdana" w:cs="Arial"/>
                <w:iCs/>
                <w:color w:val="000000" w:themeColor="text1"/>
              </w:rPr>
              <w:t>20 de mayo de 2024</w:t>
            </w:r>
            <w:r>
              <w:rPr>
                <w:rFonts w:ascii="Verdana" w:hAnsi="Verdana" w:cs="Arial"/>
                <w:iCs/>
                <w:color w:val="000000" w:themeColor="text1"/>
              </w:rPr>
              <w:t xml:space="preserve"> no se encuentra unificada en los términos del artículo 270 de la Ley 1437 de 2011, por lo que no surge el deber de aplicación uniforme de que trata el artículo 10 </w:t>
            </w:r>
            <w:r w:rsidRPr="00CD1E9C">
              <w:rPr>
                <w:rFonts w:ascii="Verdana" w:hAnsi="Verdana" w:cs="Arial"/>
                <w:i/>
                <w:color w:val="000000" w:themeColor="text1"/>
              </w:rPr>
              <w:t>ibidem</w:t>
            </w:r>
            <w:r>
              <w:rPr>
                <w:rFonts w:ascii="Verdana" w:hAnsi="Verdana" w:cs="Arial"/>
                <w:iCs/>
                <w:color w:val="000000" w:themeColor="text1"/>
              </w:rPr>
              <w:t>. En este contexto, la Sentencia de la Subsección B de la Sección Tercera del Consejo de Estado tiene efectos de cosa juzgada en el proceso en que se expidió, sin que esta pauta interpretativa sea vinculante para los demás jueces de la república.</w:t>
            </w:r>
            <w:r>
              <w:t xml:space="preserve"> </w:t>
            </w:r>
          </w:p>
          <w:p w14:paraId="644B87E7" w14:textId="75F683EE" w:rsidR="00605657" w:rsidRPr="0070663D" w:rsidRDefault="00605657" w:rsidP="00650923">
            <w:pPr>
              <w:spacing w:line="0" w:lineRule="atLeast"/>
              <w:ind w:firstLine="737"/>
              <w:jc w:val="both"/>
            </w:pPr>
          </w:p>
        </w:tc>
      </w:tr>
    </w:tbl>
    <w:p w14:paraId="470C2478" w14:textId="77777777" w:rsidR="009D1C58" w:rsidRPr="00593A5F" w:rsidRDefault="009D1C58" w:rsidP="00650923">
      <w:pPr>
        <w:tabs>
          <w:tab w:val="left" w:pos="142"/>
          <w:tab w:val="left" w:pos="284"/>
        </w:tabs>
        <w:spacing w:after="0" w:line="0" w:lineRule="atLeast"/>
        <w:jc w:val="both"/>
        <w:rPr>
          <w:rFonts w:ascii="Verdana" w:eastAsia="Century Gothic" w:hAnsi="Verdana" w:cs="Century Gothic"/>
          <w:b/>
          <w:bCs/>
          <w:lang w:val="es-ES"/>
        </w:rPr>
      </w:pPr>
    </w:p>
    <w:bookmarkEnd w:id="1"/>
    <w:p w14:paraId="37DFEC6E" w14:textId="77777777" w:rsidR="009D1C58" w:rsidRPr="00593A5F" w:rsidRDefault="009D1C58" w:rsidP="00650923">
      <w:pPr>
        <w:pStyle w:val="Prrafodelista"/>
        <w:numPr>
          <w:ilvl w:val="0"/>
          <w:numId w:val="16"/>
        </w:numPr>
        <w:tabs>
          <w:tab w:val="left" w:pos="142"/>
          <w:tab w:val="left" w:pos="284"/>
        </w:tabs>
        <w:spacing w:after="0" w:line="0" w:lineRule="atLeast"/>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47E13D3" w14:textId="77777777" w:rsidR="009D1C58" w:rsidRPr="00593A5F" w:rsidRDefault="009D1C58" w:rsidP="00650923">
      <w:pPr>
        <w:spacing w:after="0" w:line="0" w:lineRule="atLeast"/>
        <w:jc w:val="both"/>
        <w:rPr>
          <w:rFonts w:ascii="Verdana" w:eastAsia="Calibri" w:hAnsi="Verdana" w:cs="Arial"/>
          <w:color w:val="7030A0"/>
          <w:lang w:val="es-ES"/>
        </w:rPr>
      </w:pPr>
    </w:p>
    <w:p w14:paraId="13CB53A8" w14:textId="77777777" w:rsidR="009D1C58" w:rsidRDefault="009D1C58" w:rsidP="00650923">
      <w:pPr>
        <w:spacing w:after="0" w:line="0" w:lineRule="atLeast"/>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7A550AE0" w14:textId="77777777" w:rsidR="009D1C58" w:rsidRPr="00415608" w:rsidRDefault="009D1C58" w:rsidP="00650923">
      <w:pPr>
        <w:spacing w:after="0" w:line="0" w:lineRule="atLeast"/>
        <w:jc w:val="both"/>
        <w:rPr>
          <w:rFonts w:ascii="Verdana" w:eastAsia="Calibri" w:hAnsi="Verdana" w:cs="Arial"/>
          <w:lang w:val="es-ES"/>
        </w:rPr>
      </w:pPr>
    </w:p>
    <w:p w14:paraId="2B8F3215" w14:textId="77777777" w:rsidR="009D1C58" w:rsidRPr="00FB5FC4" w:rsidRDefault="009D1C58" w:rsidP="00650923">
      <w:pPr>
        <w:spacing w:after="0" w:line="0" w:lineRule="atLeast"/>
        <w:jc w:val="both"/>
        <w:rPr>
          <w:rFonts w:ascii="Verdana" w:eastAsia="Calibri" w:hAnsi="Verdana" w:cs="Arial"/>
          <w:color w:val="000000"/>
          <w:lang w:val="es-ES_tradnl"/>
        </w:rPr>
      </w:pPr>
      <w:r w:rsidRPr="00FB5FC4">
        <w:rPr>
          <w:rFonts w:ascii="Verdana" w:eastAsia="Calibri" w:hAnsi="Verdana" w:cs="Arial"/>
          <w:color w:val="000000"/>
          <w:lang w:val="es-ES_tradnl"/>
        </w:rPr>
        <w:t>La liquidación es el momento en el cual, una vez concluido el contrato estatal, las partes cruzan cuentas respecto de sus obligaciones</w:t>
      </w:r>
      <w:r>
        <w:rPr>
          <w:rFonts w:ascii="Verdana" w:eastAsia="Calibri" w:hAnsi="Verdana" w:cs="Arial"/>
          <w:color w:val="000000"/>
          <w:lang w:val="es-ES_tradnl"/>
        </w:rPr>
        <w:t>.</w:t>
      </w:r>
      <w:r w:rsidRPr="00FB5FC4">
        <w:rPr>
          <w:rFonts w:ascii="Verdana" w:eastAsia="Calibri" w:hAnsi="Verdana" w:cs="Arial"/>
          <w:color w:val="000000"/>
          <w:lang w:val="es-ES_tradnl"/>
        </w:rPr>
        <w:t xml:space="preserve"> </w:t>
      </w:r>
      <w:r>
        <w:rPr>
          <w:rFonts w:ascii="Verdana" w:eastAsia="Calibri" w:hAnsi="Verdana" w:cs="Arial"/>
          <w:color w:val="000000"/>
          <w:lang w:val="es-ES_tradnl"/>
        </w:rPr>
        <w:t>P</w:t>
      </w:r>
      <w:r w:rsidRPr="00FB5FC4">
        <w:rPr>
          <w:rFonts w:ascii="Verdana" w:eastAsia="Calibri" w:hAnsi="Verdana" w:cs="Arial"/>
          <w:color w:val="000000"/>
          <w:lang w:val="es-ES_tradnl"/>
        </w:rPr>
        <w:t xml:space="preserve">or tanto, su objetivo es determinar si pueden declararse a paz y salvo mutuo o si, por el contrario, existen aún obligaciones por cumplir, para acordar la forma en que deben ser </w:t>
      </w:r>
      <w:r>
        <w:rPr>
          <w:rFonts w:ascii="Verdana" w:eastAsia="Calibri" w:hAnsi="Verdana" w:cs="Arial"/>
          <w:color w:val="000000"/>
          <w:lang w:val="es-ES_tradnl"/>
        </w:rPr>
        <w:t>finalizadas</w:t>
      </w:r>
      <w:r w:rsidRPr="00FB5FC4">
        <w:rPr>
          <w:rFonts w:ascii="Verdana" w:eastAsia="Calibri" w:hAnsi="Verdana" w:cs="Arial"/>
          <w:color w:val="000000"/>
          <w:vertAlign w:val="superscript"/>
          <w:lang w:val="es-ES_tradnl"/>
        </w:rPr>
        <w:footnoteReference w:id="2"/>
      </w:r>
      <w:r w:rsidRPr="00FB5FC4">
        <w:rPr>
          <w:rFonts w:ascii="Verdana" w:eastAsia="Calibri" w:hAnsi="Verdana" w:cs="Arial"/>
          <w:color w:val="000000"/>
          <w:lang w:val="es-ES_tradnl"/>
        </w:rPr>
        <w:t>. En armonía con lo anterior, la doctrina ha definido la liquidación de la siguiente manera:</w:t>
      </w:r>
    </w:p>
    <w:p w14:paraId="2F81091A" w14:textId="77777777" w:rsidR="009D1C58" w:rsidRPr="00FB5FC4" w:rsidRDefault="009D1C58" w:rsidP="00650923">
      <w:pPr>
        <w:spacing w:after="0" w:line="0" w:lineRule="atLeast"/>
        <w:jc w:val="both"/>
        <w:rPr>
          <w:rFonts w:ascii="Verdana" w:eastAsia="Calibri" w:hAnsi="Verdana" w:cs="Arial"/>
          <w:color w:val="000000"/>
          <w:lang w:val="es-ES_tradnl"/>
        </w:rPr>
      </w:pPr>
    </w:p>
    <w:p w14:paraId="0446EA23" w14:textId="77777777" w:rsidR="009D1C58" w:rsidRPr="00650923" w:rsidRDefault="009D1C58" w:rsidP="00650923">
      <w:pPr>
        <w:spacing w:after="0" w:line="0" w:lineRule="atLeast"/>
        <w:ind w:left="709" w:right="758"/>
        <w:jc w:val="both"/>
        <w:rPr>
          <w:rFonts w:ascii="Verdana" w:eastAsia="Calibri" w:hAnsi="Verdana" w:cs="Arial"/>
          <w:sz w:val="20"/>
          <w:szCs w:val="20"/>
          <w:lang w:val="es-MX"/>
        </w:rPr>
      </w:pPr>
      <w:r w:rsidRPr="00650923">
        <w:rPr>
          <w:rFonts w:ascii="Verdana" w:eastAsia="Calibri" w:hAnsi="Verdana" w:cs="Arial"/>
          <w:i/>
          <w:iCs/>
          <w:color w:val="000000"/>
          <w:sz w:val="20"/>
          <w:szCs w:val="20"/>
          <w:lang w:val="es-ES_tradnl"/>
        </w:rPr>
        <w:t>“</w:t>
      </w:r>
      <w:r w:rsidRPr="00650923">
        <w:rPr>
          <w:rFonts w:ascii="Verdana" w:eastAsia="Calibri" w:hAnsi="Verdana" w:cs="Arial"/>
          <w:sz w:val="20"/>
          <w:szCs w:val="20"/>
          <w:lang w:val="es-MX"/>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w:t>
      </w:r>
      <w:r w:rsidRPr="00650923">
        <w:rPr>
          <w:rFonts w:ascii="Verdana" w:eastAsia="Calibri" w:hAnsi="Verdana" w:cs="Arial"/>
          <w:sz w:val="20"/>
          <w:szCs w:val="20"/>
          <w:lang w:val="es-MX"/>
        </w:rPr>
        <w:lastRenderedPageBreak/>
        <w:t>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650923">
        <w:rPr>
          <w:rFonts w:ascii="Verdana" w:eastAsia="Calibri" w:hAnsi="Verdana" w:cs="Arial"/>
          <w:sz w:val="20"/>
          <w:szCs w:val="20"/>
          <w:vertAlign w:val="superscript"/>
          <w:lang w:val="es-MX"/>
        </w:rPr>
        <w:footnoteReference w:id="3"/>
      </w:r>
      <w:r w:rsidRPr="00650923">
        <w:rPr>
          <w:rFonts w:ascii="Verdana" w:eastAsia="Calibri" w:hAnsi="Verdana" w:cs="Arial"/>
          <w:sz w:val="20"/>
          <w:szCs w:val="20"/>
          <w:lang w:val="es-MX"/>
        </w:rPr>
        <w:t>.</w:t>
      </w:r>
    </w:p>
    <w:p w14:paraId="2F910354" w14:textId="77777777" w:rsidR="009D1C58" w:rsidRPr="00FB5FC4" w:rsidRDefault="009D1C58" w:rsidP="00650923">
      <w:pPr>
        <w:spacing w:after="0" w:line="0" w:lineRule="atLeast"/>
        <w:jc w:val="both"/>
        <w:rPr>
          <w:rFonts w:ascii="Verdana" w:eastAsia="Calibri" w:hAnsi="Verdana" w:cs="Arial"/>
          <w:color w:val="000000"/>
          <w:lang w:val="es-ES_tradnl"/>
        </w:rPr>
      </w:pPr>
    </w:p>
    <w:p w14:paraId="69397359" w14:textId="77777777" w:rsidR="009D1C58" w:rsidRDefault="009D1C58" w:rsidP="00650923">
      <w:pPr>
        <w:spacing w:after="0" w:line="0" w:lineRule="atLeast"/>
        <w:ind w:firstLine="709"/>
        <w:jc w:val="both"/>
        <w:rPr>
          <w:rFonts w:ascii="Verdana" w:eastAsia="Times New Roman" w:hAnsi="Verdana" w:cs="Arial"/>
          <w:color w:val="000000"/>
          <w:szCs w:val="24"/>
          <w:lang w:val="es-ES_tradnl" w:eastAsia="es-ES_tradnl"/>
        </w:rPr>
      </w:pPr>
      <w:r>
        <w:rPr>
          <w:rFonts w:ascii="Verdana" w:eastAsia="Times New Roman" w:hAnsi="Verdana" w:cs="Arial"/>
          <w:color w:val="000000"/>
          <w:szCs w:val="24"/>
          <w:lang w:val="es-ES_tradnl" w:eastAsia="es-ES_tradnl"/>
        </w:rPr>
        <w:t>S</w:t>
      </w:r>
      <w:r w:rsidRPr="00FB5FC4">
        <w:rPr>
          <w:rFonts w:ascii="Verdana" w:eastAsia="Times New Roman" w:hAnsi="Verdana" w:cs="Arial"/>
          <w:color w:val="000000"/>
          <w:szCs w:val="24"/>
          <w:lang w:val="es-ES_tradnl" w:eastAsia="es-ES_tradnl"/>
        </w:rPr>
        <w:t xml:space="preserve">egún la jurisprudencia, la liquidación es el ajuste de cuentas donde las partes hacen un balance económico, técnico y jurídico del cumplimiento de las obligaciones que tienen a su cargo. Así lo manifestó el Consejo de Estado en la </w:t>
      </w:r>
      <w:r>
        <w:rPr>
          <w:rFonts w:ascii="Verdana" w:eastAsia="Times New Roman" w:hAnsi="Verdana" w:cs="Arial"/>
          <w:color w:val="000000"/>
          <w:szCs w:val="24"/>
          <w:lang w:val="es-ES_tradnl" w:eastAsia="es-ES_tradnl"/>
        </w:rPr>
        <w:t>S</w:t>
      </w:r>
      <w:r w:rsidRPr="00FB5FC4">
        <w:rPr>
          <w:rFonts w:ascii="Verdana" w:eastAsia="Times New Roman" w:hAnsi="Verdana" w:cs="Arial"/>
          <w:color w:val="000000"/>
          <w:szCs w:val="24"/>
          <w:lang w:val="es-ES_tradnl" w:eastAsia="es-ES_tradnl"/>
        </w:rPr>
        <w:t xml:space="preserve">entencia del 20 de octubre de 2014, en la que consideró, por un lado, que </w:t>
      </w:r>
      <w:r w:rsidRPr="00FB5FC4">
        <w:rPr>
          <w:rFonts w:ascii="Verdana" w:eastAsia="Times New Roman" w:hAnsi="Verdana" w:cs="Arial"/>
          <w:i/>
          <w:iCs/>
          <w:color w:val="000000"/>
          <w:szCs w:val="24"/>
          <w:lang w:val="es-ES_tradnl" w:eastAsia="es-ES_tradnl"/>
        </w:rPr>
        <w:t>liquidar</w:t>
      </w:r>
      <w:r w:rsidRPr="00FB5FC4">
        <w:rPr>
          <w:rFonts w:ascii="Verdana" w:eastAsia="Times New Roman" w:hAnsi="Verdana" w:cs="Arial"/>
          <w:color w:val="000000"/>
          <w:szCs w:val="24"/>
          <w:lang w:val="es-ES_tradnl" w:eastAsia="es-ES_tradnl"/>
        </w:rPr>
        <w:t xml:space="preserve"> supone un ajuste en relación con las cuentas y el estado de cumplimiento del contrato estatal y, por el otro, que la </w:t>
      </w:r>
      <w:r w:rsidRPr="00FB5FC4">
        <w:rPr>
          <w:rFonts w:ascii="Verdana" w:eastAsia="Times New Roman" w:hAnsi="Verdana" w:cs="Arial"/>
          <w:i/>
          <w:iCs/>
          <w:color w:val="000000"/>
          <w:szCs w:val="24"/>
          <w:lang w:val="es-ES_tradnl" w:eastAsia="es-ES_tradnl"/>
        </w:rPr>
        <w:t>liquidación</w:t>
      </w:r>
      <w:r w:rsidRPr="00FB5FC4">
        <w:rPr>
          <w:rFonts w:ascii="Verdana" w:eastAsia="Times New Roman" w:hAnsi="Verdana" w:cs="Arial"/>
          <w:color w:val="000000"/>
          <w:szCs w:val="24"/>
          <w:lang w:val="es-ES_tradnl" w:eastAsia="es-ES_tradnl"/>
        </w:rPr>
        <w:t xml:space="preserve"> debe incluir el análisis de las condiciones de calidad y oportunidad en la entrega de los bienes, obras o servicios, así como el balance económico y el comportamiento financiero del negocio</w:t>
      </w:r>
      <w:r w:rsidRPr="00FB5FC4">
        <w:rPr>
          <w:rFonts w:ascii="Verdana" w:eastAsia="Times New Roman" w:hAnsi="Verdana" w:cs="Arial"/>
          <w:color w:val="000000"/>
          <w:szCs w:val="24"/>
          <w:vertAlign w:val="superscript"/>
          <w:lang w:val="es-ES_tradnl" w:eastAsia="es-ES_tradnl"/>
        </w:rPr>
        <w:footnoteReference w:id="4"/>
      </w:r>
      <w:r w:rsidRPr="00FB5FC4">
        <w:rPr>
          <w:rFonts w:ascii="Verdana" w:eastAsia="Times New Roman" w:hAnsi="Verdana" w:cs="Arial"/>
          <w:color w:val="000000"/>
          <w:szCs w:val="24"/>
          <w:lang w:val="es-ES_tradnl" w:eastAsia="es-ES_tradnl"/>
        </w:rPr>
        <w:t xml:space="preserve">. </w:t>
      </w:r>
    </w:p>
    <w:p w14:paraId="254D8D3A" w14:textId="77777777" w:rsidR="00144FAA" w:rsidRPr="00FB5FC4" w:rsidRDefault="00144FAA" w:rsidP="00650923">
      <w:pPr>
        <w:spacing w:after="0" w:line="0" w:lineRule="atLeast"/>
        <w:ind w:firstLine="709"/>
        <w:jc w:val="both"/>
        <w:rPr>
          <w:rFonts w:ascii="Verdana" w:eastAsia="Times New Roman" w:hAnsi="Verdana" w:cs="Arial"/>
          <w:color w:val="000000"/>
          <w:sz w:val="21"/>
          <w:szCs w:val="21"/>
          <w:lang w:val="es-ES_tradnl" w:eastAsia="es-ES_tradnl"/>
        </w:rPr>
      </w:pPr>
    </w:p>
    <w:p w14:paraId="5C0B0242" w14:textId="77777777" w:rsidR="009D1C58" w:rsidRPr="00FB5FC4" w:rsidRDefault="009D1C58" w:rsidP="00650923">
      <w:pPr>
        <w:spacing w:after="0" w:line="0" w:lineRule="atLeast"/>
        <w:ind w:firstLine="709"/>
        <w:jc w:val="both"/>
        <w:rPr>
          <w:rFonts w:ascii="Verdana" w:eastAsia="Calibri" w:hAnsi="Verdana" w:cs="Arial"/>
          <w:color w:val="000000"/>
          <w:lang w:val="es-ES_tradnl"/>
        </w:rPr>
      </w:pPr>
      <w:r w:rsidRPr="00FB5FC4">
        <w:rPr>
          <w:rFonts w:ascii="Verdana" w:eastAsia="Calibri" w:hAnsi="Verdana" w:cs="Arial"/>
          <w:color w:val="000000"/>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2D629184" w14:textId="77777777" w:rsidR="009D1C58" w:rsidRPr="00D71733" w:rsidRDefault="009D1C58" w:rsidP="00650923">
      <w:pPr>
        <w:spacing w:after="0" w:line="0" w:lineRule="atLeast"/>
        <w:ind w:firstLine="708"/>
        <w:jc w:val="both"/>
        <w:rPr>
          <w:rFonts w:ascii="Verdana" w:eastAsia="Calibri" w:hAnsi="Verdana" w:cs="Arial"/>
          <w:lang w:val="es-ES"/>
        </w:rPr>
      </w:pPr>
    </w:p>
    <w:p w14:paraId="3975523D" w14:textId="77777777" w:rsidR="009D1C58" w:rsidRPr="00650923" w:rsidRDefault="009D1C58" w:rsidP="00650923">
      <w:pPr>
        <w:spacing w:after="0" w:line="0" w:lineRule="atLeast"/>
        <w:ind w:left="709" w:right="758"/>
        <w:jc w:val="both"/>
        <w:rPr>
          <w:rFonts w:ascii="Verdana" w:eastAsia="Calibri" w:hAnsi="Verdana" w:cs="Arial"/>
          <w:sz w:val="20"/>
          <w:szCs w:val="20"/>
          <w:lang w:val="es-MX"/>
        </w:rPr>
      </w:pPr>
      <w:r w:rsidRPr="00650923">
        <w:rPr>
          <w:rFonts w:ascii="Verdana" w:eastAsia="Calibri" w:hAnsi="Verdana" w:cs="Arial"/>
          <w:sz w:val="20"/>
          <w:szCs w:val="20"/>
          <w:lang w:val="es-ES"/>
        </w:rPr>
        <w:lastRenderedPageBreak/>
        <w:t>“</w:t>
      </w:r>
      <w:r w:rsidRPr="00650923">
        <w:rPr>
          <w:rFonts w:ascii="Verdana" w:eastAsia="Calibri" w:hAnsi="Verdana" w:cs="Arial"/>
          <w:sz w:val="20"/>
          <w:szCs w:val="20"/>
          <w:lang w:val="es-MX"/>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650923">
        <w:rPr>
          <w:rFonts w:ascii="Verdana" w:eastAsia="Calibri" w:hAnsi="Verdana" w:cs="Arial"/>
          <w:sz w:val="20"/>
          <w:szCs w:val="20"/>
          <w:vertAlign w:val="superscript"/>
          <w:lang w:val="es-MX"/>
        </w:rPr>
        <w:footnoteReference w:id="5"/>
      </w:r>
      <w:r w:rsidRPr="00650923">
        <w:rPr>
          <w:rFonts w:ascii="Verdana" w:eastAsia="Calibri" w:hAnsi="Verdana" w:cs="Arial"/>
          <w:sz w:val="20"/>
          <w:szCs w:val="20"/>
          <w:lang w:val="es-MX"/>
        </w:rPr>
        <w:t>.</w:t>
      </w:r>
    </w:p>
    <w:p w14:paraId="64E0CD78" w14:textId="77777777" w:rsidR="009D1C58" w:rsidRPr="00D71733" w:rsidRDefault="009D1C58" w:rsidP="00650923">
      <w:pPr>
        <w:spacing w:after="0" w:line="0" w:lineRule="atLeast"/>
        <w:ind w:left="709" w:right="758"/>
        <w:jc w:val="both"/>
        <w:rPr>
          <w:rFonts w:ascii="Verdana" w:eastAsia="Calibri" w:hAnsi="Verdana" w:cs="Arial"/>
          <w:lang w:val="es-ES"/>
        </w:rPr>
      </w:pPr>
    </w:p>
    <w:p w14:paraId="1F37503C" w14:textId="77777777" w:rsidR="009D1C58" w:rsidRDefault="009D1C58" w:rsidP="00650923">
      <w:pPr>
        <w:spacing w:after="0" w:line="0" w:lineRule="atLeast"/>
        <w:ind w:firstLine="708"/>
        <w:jc w:val="both"/>
        <w:rPr>
          <w:rFonts w:ascii="Verdana" w:eastAsia="Calibri" w:hAnsi="Verdana" w:cs="Arial"/>
          <w:color w:val="000000"/>
          <w:lang w:val="es-ES_tradnl"/>
        </w:rPr>
      </w:pPr>
      <w:r w:rsidRPr="00FB5FC4">
        <w:rPr>
          <w:rFonts w:ascii="Verdana" w:eastAsia="Calibri" w:hAnsi="Verdana" w:cs="Arial"/>
          <w:color w:val="000000"/>
          <w:lang w:val="es-ES_tradnl"/>
        </w:rPr>
        <w:t>Así las cosas, de acuerdo con el artículo 60 de la Ley 80 de 1993, los contratos de tracto sucesivo, aquellos cuyo cumplimiento o ejecución se prolongue en el tiempo y los demás que lo requieran “</w:t>
      </w:r>
      <w:r w:rsidRPr="00D71733">
        <w:rPr>
          <w:rFonts w:ascii="Verdana" w:eastAsia="Calibri" w:hAnsi="Verdana" w:cs="Arial"/>
          <w:color w:val="000000"/>
          <w:lang w:val="es-ES_tradnl"/>
        </w:rPr>
        <w:t>serán objeto de liquidación</w:t>
      </w:r>
      <w:r w:rsidRPr="00FB5FC4">
        <w:rPr>
          <w:rFonts w:ascii="Verdana" w:eastAsia="Calibri" w:hAnsi="Verdana" w:cs="Arial"/>
          <w:color w:val="000000"/>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FB5FC4">
        <w:rPr>
          <w:rFonts w:ascii="Verdana" w:eastAsia="Calibri" w:hAnsi="Verdana" w:cs="Arial"/>
          <w:color w:val="000000"/>
          <w:vertAlign w:val="superscript"/>
          <w:lang w:val="es-ES_tradnl"/>
        </w:rPr>
        <w:footnoteReference w:id="6"/>
      </w:r>
      <w:r w:rsidRPr="00FB5FC4">
        <w:rPr>
          <w:rFonts w:ascii="Verdana" w:eastAsia="Calibri" w:hAnsi="Verdana" w:cs="Arial"/>
          <w:color w:val="000000"/>
          <w:lang w:val="es-ES_tradnl"/>
        </w:rPr>
        <w:t xml:space="preserve">, así como la probabilidad de que puedan surgir diferencias durante la ejecución del contrato; sin perjuicio de que, como se indicó, todos los contratos estatales de </w:t>
      </w:r>
      <w:r w:rsidRPr="00FB5FC4">
        <w:rPr>
          <w:rFonts w:ascii="Verdana" w:eastAsia="Calibri" w:hAnsi="Verdana" w:cs="Arial"/>
          <w:i/>
          <w:iCs/>
          <w:color w:val="000000"/>
          <w:lang w:val="es-ES_tradnl"/>
        </w:rPr>
        <w:t>tracto sucesivo</w:t>
      </w:r>
      <w:r w:rsidRPr="00FB5FC4">
        <w:rPr>
          <w:rFonts w:ascii="Verdana" w:eastAsia="Calibri" w:hAnsi="Verdana" w:cs="Arial"/>
          <w:color w:val="000000"/>
          <w:lang w:val="es-ES_tradnl"/>
        </w:rPr>
        <w:t xml:space="preserve"> o aquellos cuya ejecución se prolongue en el tiempo siempre deban liquidarse, convirtiéndose en estos contratos en una cláusula de la naturaleza, conforme a la clasificación prevista en el Código Civil.</w:t>
      </w:r>
    </w:p>
    <w:p w14:paraId="39F67725" w14:textId="77777777" w:rsidR="00144FAA" w:rsidRPr="00FB5FC4" w:rsidRDefault="00144FAA" w:rsidP="00650923">
      <w:pPr>
        <w:spacing w:after="0" w:line="0" w:lineRule="atLeast"/>
        <w:ind w:firstLine="708"/>
        <w:jc w:val="both"/>
        <w:rPr>
          <w:rFonts w:ascii="Verdana" w:eastAsia="Calibri" w:hAnsi="Verdana" w:cs="Arial"/>
          <w:color w:val="000000"/>
          <w:lang w:val="es-ES_tradnl"/>
        </w:rPr>
      </w:pPr>
    </w:p>
    <w:p w14:paraId="280DC6E5" w14:textId="77777777" w:rsidR="009D1C58" w:rsidRPr="00FB5FC4" w:rsidRDefault="009D1C58" w:rsidP="00650923">
      <w:pPr>
        <w:spacing w:after="0" w:line="0" w:lineRule="atLeast"/>
        <w:ind w:firstLine="708"/>
        <w:jc w:val="both"/>
        <w:rPr>
          <w:rFonts w:ascii="Verdana" w:eastAsia="Calibri" w:hAnsi="Verdana" w:cs="Arial"/>
          <w:color w:val="000000"/>
          <w:lang w:val="es-ES"/>
        </w:rPr>
      </w:pPr>
      <w:r w:rsidRPr="0DF67D85">
        <w:rPr>
          <w:rFonts w:ascii="Verdana" w:eastAsia="Calibri" w:hAnsi="Verdana" w:cs="Arial"/>
          <w:color w:val="000000"/>
          <w:lang w:val="es-ES"/>
        </w:rPr>
        <w:t>Por su parte, el artículo 11 de la Ley 1150 de 2007 contiene las reglas de tipo procedimental para liquidar los contratos estatales, las cuales se pasan a explicar</w:t>
      </w:r>
      <w:r w:rsidRPr="0DF67D85">
        <w:rPr>
          <w:rFonts w:ascii="Verdana" w:eastAsia="Calibri" w:hAnsi="Verdana" w:cs="Arial"/>
          <w:color w:val="000000"/>
          <w:vertAlign w:val="superscript"/>
          <w:lang w:val="es-ES"/>
        </w:rPr>
        <w:footnoteReference w:id="7"/>
      </w:r>
      <w:r w:rsidRPr="0DF67D85">
        <w:rPr>
          <w:rFonts w:ascii="Verdana" w:eastAsia="Calibri" w:hAnsi="Verdana" w:cs="Arial"/>
          <w:color w:val="000000"/>
          <w:lang w:val="es-ES"/>
        </w:rPr>
        <w:t xml:space="preserve">. En primer lugar, en ejercicio de la autonomía de la voluntad y de </w:t>
      </w:r>
      <w:r w:rsidRPr="0DF67D85">
        <w:rPr>
          <w:rFonts w:ascii="Verdana" w:eastAsia="Calibri" w:hAnsi="Verdana" w:cs="Arial"/>
          <w:color w:val="000000"/>
          <w:lang w:val="es-ES"/>
        </w:rPr>
        <w:lastRenderedPageBreak/>
        <w:t xml:space="preserve">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DF67D85">
        <w:rPr>
          <w:rFonts w:ascii="Verdana" w:eastAsia="Calibri" w:hAnsi="Verdana" w:cs="Arial"/>
          <w:color w:val="000000"/>
          <w:lang w:val="es-ES"/>
        </w:rPr>
        <w:t>ii</w:t>
      </w:r>
      <w:proofErr w:type="spellEnd"/>
      <w:r w:rsidRPr="0DF67D85">
        <w:rPr>
          <w:rFonts w:ascii="Verdana" w:eastAsia="Calibri" w:hAnsi="Verdana" w:cs="Arial"/>
          <w:color w:val="000000"/>
          <w:lang w:val="es-ES"/>
        </w:rPr>
        <w:t>) la expedición del acto administrativo que ordene la terminación del contrato; o, iii) la fecha del acuerdo que disponga la terminación del contrato.</w:t>
      </w:r>
    </w:p>
    <w:p w14:paraId="33940267" w14:textId="77777777" w:rsidR="009D1C58" w:rsidRDefault="009D1C58" w:rsidP="00650923">
      <w:pPr>
        <w:spacing w:after="0" w:line="0" w:lineRule="atLeast"/>
        <w:ind w:firstLine="709"/>
        <w:jc w:val="both"/>
        <w:rPr>
          <w:rFonts w:ascii="Verdana" w:eastAsia="Times New Roman" w:hAnsi="Verdana" w:cs="Arial"/>
          <w:lang w:val="es-ES" w:eastAsia="es-ES"/>
        </w:rPr>
      </w:pPr>
      <w:r w:rsidRPr="7804CD3A">
        <w:rPr>
          <w:rFonts w:ascii="Verdana" w:eastAsia="Times New Roman" w:hAnsi="Verdana" w:cs="Arial"/>
          <w:lang w:val="es-ES" w:eastAsia="es-ES"/>
        </w:rPr>
        <w:t>El artículo 11 de la Ley 1150 de 2007 señala que la liquidación de mutuo acuerdo deberá realizar dentro del plazo previsto en “los pliegos de condiciones o sus equivalentes, o dentro del que acuerden las partes para el efecto”. Para dilucidar a qué se refiere la norma con “equivalentes” resulta necesario tener presente que el pliego de condiciones es un documento contentivo de las reglas aplicables a un determinado proceso de selección, que “materializa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w:t>
      </w:r>
      <w:r w:rsidRPr="7804CD3A">
        <w:rPr>
          <w:rFonts w:ascii="Verdana" w:eastAsia="Times New Roman" w:hAnsi="Verdana" w:cs="Arial"/>
          <w:spacing w:val="-7"/>
          <w:lang w:val="es-ES" w:eastAsia="es-ES"/>
        </w:rPr>
        <w:t xml:space="preserve"> </w:t>
      </w:r>
      <w:r w:rsidRPr="7804CD3A">
        <w:rPr>
          <w:rFonts w:ascii="Verdana" w:eastAsia="Times New Roman" w:hAnsi="Verdana" w:cs="Arial"/>
          <w:lang w:val="es-ES" w:eastAsia="es-ES"/>
        </w:rPr>
        <w:t>celebrar”</w:t>
      </w:r>
      <w:r w:rsidRPr="7804CD3A">
        <w:rPr>
          <w:rFonts w:ascii="Verdana" w:eastAsia="Times New Roman" w:hAnsi="Verdana" w:cs="Arial"/>
          <w:vertAlign w:val="superscript"/>
          <w:lang w:val="es-ES" w:eastAsia="es-ES"/>
        </w:rPr>
        <w:footnoteReference w:id="8"/>
      </w:r>
      <w:r w:rsidRPr="7804CD3A">
        <w:rPr>
          <w:rFonts w:ascii="Verdana" w:eastAsia="Times New Roman" w:hAnsi="Verdana" w:cs="Arial"/>
          <w:lang w:val="es-ES" w:eastAsia="es-ES"/>
        </w:rPr>
        <w:t>. A partir de tales características debe determinarse la equivalencia de un documento con un pliego de condiciones, la cual se puede ejemplificar claramente con la invitación a participar en los procesos de mínima cuantía</w:t>
      </w:r>
      <w:r w:rsidRPr="7804CD3A">
        <w:rPr>
          <w:rFonts w:ascii="Verdana" w:eastAsia="Times New Roman" w:hAnsi="Verdana" w:cs="Arial"/>
          <w:vertAlign w:val="superscript"/>
          <w:lang w:val="es-ES" w:eastAsia="es-ES"/>
        </w:rPr>
        <w:footnoteReference w:id="9"/>
      </w:r>
      <w:r w:rsidRPr="7804CD3A">
        <w:rPr>
          <w:rFonts w:ascii="Verdana" w:eastAsia="Times New Roman" w:hAnsi="Verdana" w:cs="Arial"/>
          <w:lang w:val="es-ES" w:eastAsia="es-ES"/>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proofErr w:type="spellStart"/>
      <w:r w:rsidRPr="7804CD3A">
        <w:rPr>
          <w:rFonts w:ascii="Verdana" w:eastAsia="Times New Roman" w:hAnsi="Verdana" w:cs="Arial"/>
          <w:lang w:val="es-ES" w:eastAsia="es-ES"/>
        </w:rPr>
        <w:t>Ibídem</w:t>
      </w:r>
      <w:proofErr w:type="spellEnd"/>
      <w:r w:rsidRPr="7804CD3A">
        <w:rPr>
          <w:rFonts w:ascii="Verdana" w:eastAsia="Times New Roman" w:hAnsi="Verdana" w:cs="Arial"/>
          <w:lang w:val="es-ES" w:eastAsia="es-ES"/>
        </w:rPr>
        <w:t xml:space="preserve">, dentro del cual es viable establecer el plazo para la liquidación de mutuo acuerdo. </w:t>
      </w:r>
    </w:p>
    <w:p w14:paraId="4E4C445F" w14:textId="77777777" w:rsidR="00B35C79" w:rsidRPr="004B5D6E" w:rsidRDefault="00B35C79" w:rsidP="00650923">
      <w:pPr>
        <w:spacing w:after="0" w:line="0" w:lineRule="atLeast"/>
        <w:ind w:firstLine="709"/>
        <w:jc w:val="both"/>
        <w:rPr>
          <w:rFonts w:ascii="Verdana" w:eastAsia="Times New Roman" w:hAnsi="Verdana" w:cs="Arial"/>
          <w:lang w:val="es-ES" w:eastAsia="es-ES"/>
        </w:rPr>
      </w:pPr>
    </w:p>
    <w:p w14:paraId="502D00A2" w14:textId="77777777" w:rsidR="009D1C58" w:rsidRDefault="009D1C58" w:rsidP="00650923">
      <w:pPr>
        <w:spacing w:after="0" w:line="0" w:lineRule="atLeast"/>
        <w:ind w:firstLine="709"/>
        <w:jc w:val="both"/>
        <w:rPr>
          <w:rFonts w:ascii="Verdana" w:eastAsia="Times New Roman" w:hAnsi="Verdana" w:cs="Arial"/>
          <w:lang w:val="es-ES" w:eastAsia="es-ES"/>
        </w:rPr>
      </w:pPr>
      <w:r w:rsidRPr="0DF67D85">
        <w:rPr>
          <w:rFonts w:ascii="Verdana" w:eastAsia="Times New Roman" w:hAnsi="Verdana" w:cs="Arial"/>
          <w:lang w:val="es-ES" w:eastAsia="es-ES"/>
        </w:rPr>
        <w:t xml:space="preserve">De otra parte, cuando el artículo 11 de la Ley 1150 de 2007 hace referencia al término que “acuerden las partes”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w:t>
      </w:r>
      <w:r w:rsidRPr="0DF67D85">
        <w:rPr>
          <w:rFonts w:ascii="Verdana" w:eastAsia="Times New Roman" w:hAnsi="Verdana" w:cs="Arial"/>
          <w:lang w:val="es-ES" w:eastAsia="es-ES"/>
        </w:rPr>
        <w:lastRenderedPageBreak/>
        <w:t>Este hecho no impide que, en el marco de la ejecución del contrato, las partes acuerden fijar el referido plazo; acuerdo que, en tanto significa una alteración de las reglas que orientan la relación contractual, implica una modificación del contrato. Por tal razón, su celebración debe cumplir con los requisitos del negocio jurídico, ameritando la concurrencia de capacidad jurídica de los agentes, un consentimiento libre de vicios, un objeto y causa lícita, así como la formalidad escrita requerida en materia de contratación estatal</w:t>
      </w:r>
      <w:r w:rsidRPr="0DF67D85">
        <w:rPr>
          <w:rFonts w:ascii="Verdana" w:eastAsia="Times New Roman" w:hAnsi="Verdana" w:cs="Arial"/>
          <w:vertAlign w:val="superscript"/>
          <w:lang w:val="es-ES" w:eastAsia="es-ES"/>
        </w:rPr>
        <w:footnoteReference w:id="10"/>
      </w:r>
      <w:r w:rsidRPr="0DF67D85">
        <w:rPr>
          <w:rFonts w:ascii="Verdana" w:eastAsia="Times New Roman" w:hAnsi="Verdana" w:cs="Arial"/>
          <w:lang w:val="es-ES" w:eastAsia="es-ES"/>
        </w:rPr>
        <w:t xml:space="preserve">. </w:t>
      </w:r>
    </w:p>
    <w:p w14:paraId="40AC98DB" w14:textId="77777777" w:rsidR="00B35C79" w:rsidRPr="00FB5FC4" w:rsidRDefault="00B35C79" w:rsidP="00650923">
      <w:pPr>
        <w:spacing w:after="0" w:line="0" w:lineRule="atLeast"/>
        <w:ind w:firstLine="709"/>
        <w:jc w:val="both"/>
        <w:rPr>
          <w:rFonts w:ascii="Verdana" w:eastAsia="Times New Roman" w:hAnsi="Verdana" w:cs="Arial"/>
          <w:lang w:val="es-ES" w:eastAsia="es-ES"/>
        </w:rPr>
      </w:pPr>
    </w:p>
    <w:p w14:paraId="697E312C" w14:textId="77777777" w:rsidR="009D1C58" w:rsidRDefault="009D1C58" w:rsidP="00650923">
      <w:pPr>
        <w:spacing w:after="0" w:line="0" w:lineRule="atLeast"/>
        <w:ind w:firstLine="709"/>
        <w:jc w:val="both"/>
        <w:rPr>
          <w:rFonts w:ascii="Verdana" w:eastAsia="Calibri" w:hAnsi="Verdana" w:cs="Arial"/>
          <w:lang w:val="es-ES"/>
        </w:rPr>
      </w:pPr>
      <w:r w:rsidRPr="0DF67D85">
        <w:rPr>
          <w:rFonts w:ascii="Verdana" w:eastAsia="Calibri" w:hAnsi="Verdana" w:cs="Arial"/>
          <w:lang w:val="es-ES"/>
        </w:rPr>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DF67D85">
        <w:rPr>
          <w:rFonts w:ascii="Verdana" w:eastAsia="Calibri" w:hAnsi="Verdana" w:cs="Arial"/>
          <w:vertAlign w:val="superscript"/>
          <w:lang w:val="es-ES"/>
        </w:rPr>
        <w:footnoteReference w:id="11"/>
      </w:r>
      <w:r w:rsidRPr="0DF67D85">
        <w:rPr>
          <w:rFonts w:ascii="Verdana" w:eastAsia="Calibri" w:hAnsi="Verdana" w:cs="Arial"/>
          <w:lang w:val="es-ES"/>
        </w:rPr>
        <w:t>, lo cual implica que las mismas se desarrollen en procura de la economía y la celeridad</w:t>
      </w:r>
      <w:r w:rsidRPr="0DF67D85">
        <w:rPr>
          <w:rFonts w:ascii="Verdana" w:eastAsia="Calibri" w:hAnsi="Verdana" w:cs="Arial"/>
          <w:vertAlign w:val="superscript"/>
          <w:lang w:val="es-ES"/>
        </w:rPr>
        <w:footnoteReference w:id="12"/>
      </w:r>
      <w:r w:rsidRPr="0DF67D85">
        <w:rPr>
          <w:rFonts w:ascii="Verdana" w:eastAsia="Calibri" w:hAnsi="Verdana" w:cs="Arial"/>
          <w:lang w:val="es-ES"/>
        </w:rPr>
        <w:t>. Esto significa que, en ejercicio de la facultad que les asiste para fijar el plazo para la liquidación bilateral, las partes deben actuar en garantía de estos principios, por lo que el término que se acuerde debe fijarse de manera razonable.</w:t>
      </w:r>
    </w:p>
    <w:p w14:paraId="5869D909" w14:textId="77777777" w:rsidR="00B35C79" w:rsidRPr="00FB5FC4" w:rsidRDefault="00B35C79" w:rsidP="00650923">
      <w:pPr>
        <w:spacing w:after="0" w:line="0" w:lineRule="atLeast"/>
        <w:ind w:firstLine="709"/>
        <w:jc w:val="both"/>
        <w:rPr>
          <w:rFonts w:ascii="Verdana" w:eastAsia="Calibri" w:hAnsi="Verdana" w:cs="Arial"/>
          <w:lang w:val="es-ES"/>
        </w:rPr>
      </w:pPr>
    </w:p>
    <w:p w14:paraId="29315B86" w14:textId="77777777" w:rsidR="009D1C58" w:rsidRDefault="009D1C58" w:rsidP="00650923">
      <w:pPr>
        <w:spacing w:after="0" w:line="0" w:lineRule="atLeast"/>
        <w:ind w:firstLine="709"/>
        <w:jc w:val="both"/>
        <w:rPr>
          <w:rFonts w:ascii="Verdana" w:eastAsia="Calibri" w:hAnsi="Verdana" w:cs="Arial"/>
          <w:color w:val="000000"/>
          <w:lang w:val="es-ES_tradnl"/>
        </w:rPr>
      </w:pPr>
      <w:r w:rsidRPr="00FB5FC4">
        <w:rPr>
          <w:rFonts w:ascii="Verdana" w:eastAsia="Calibri" w:hAnsi="Verdana" w:cs="Arial"/>
          <w:color w:val="000000"/>
          <w:lang w:val="es-ES_tradnl"/>
        </w:rPr>
        <w:t xml:space="preserve">Durante este término, el contratista puede solicitar que se adelante el trámite de liquidación. Sin embargo, es responsabilidad de la entidad estatal </w:t>
      </w:r>
      <w:r w:rsidRPr="00FB5FC4">
        <w:rPr>
          <w:rFonts w:ascii="Verdana" w:eastAsia="Calibri" w:hAnsi="Verdana" w:cs="Arial"/>
          <w:color w:val="000000"/>
          <w:lang w:val="es-ES_tradnl"/>
        </w:rPr>
        <w:lastRenderedPageBreak/>
        <w:t>convocarlo para adelantar la liquidación de común acuerdo o notificarlo para que se presente a realizarla</w:t>
      </w:r>
      <w:r w:rsidRPr="00FB5FC4">
        <w:rPr>
          <w:rFonts w:ascii="Verdana" w:eastAsia="Calibri" w:hAnsi="Verdana" w:cs="Arial"/>
          <w:color w:val="000000"/>
          <w:vertAlign w:val="superscript"/>
          <w:lang w:val="es-ES_tradnl"/>
        </w:rPr>
        <w:footnoteReference w:id="13"/>
      </w:r>
      <w:r w:rsidRPr="00FB5FC4">
        <w:rPr>
          <w:rFonts w:ascii="Verdana" w:eastAsia="Calibri" w:hAnsi="Verdana" w:cs="Arial"/>
          <w:color w:val="000000"/>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FB5FC4">
        <w:rPr>
          <w:rFonts w:ascii="Verdana" w:eastAsia="Calibri" w:hAnsi="Verdana" w:cs="Arial"/>
          <w:iCs/>
          <w:color w:val="000000"/>
          <w:vertAlign w:val="superscript"/>
          <w:lang w:val="es-ES_tradnl"/>
        </w:rPr>
        <w:footnoteReference w:id="14"/>
      </w:r>
      <w:r w:rsidRPr="00FB5FC4">
        <w:rPr>
          <w:rFonts w:ascii="Verdana" w:eastAsia="Calibri" w:hAnsi="Verdana" w:cs="Arial"/>
          <w:color w:val="000000"/>
          <w:lang w:val="es-ES_tradnl"/>
        </w:rPr>
        <w:t xml:space="preserve">, y </w:t>
      </w:r>
      <w:r w:rsidRPr="00FB5FC4">
        <w:rPr>
          <w:rFonts w:ascii="Verdana" w:eastAsia="Calibri" w:hAnsi="Verdana" w:cs="Arial"/>
          <w:iCs/>
          <w:color w:val="000000"/>
          <w:lang w:val="es-ES_tradnl"/>
        </w:rPr>
        <w:t>el documento que la contiene presta mérito ejecutivo, siempre que se satisfagan los elementos para considerarlo como tal</w:t>
      </w:r>
      <w:r w:rsidRPr="00FB5FC4">
        <w:rPr>
          <w:rFonts w:ascii="Verdana" w:eastAsia="Calibri" w:hAnsi="Verdana" w:cs="Arial"/>
          <w:color w:val="000000"/>
          <w:lang w:val="es-ES_tradnl"/>
        </w:rPr>
        <w:t>.</w:t>
      </w:r>
    </w:p>
    <w:p w14:paraId="227B0702" w14:textId="77777777" w:rsidR="00B35C79" w:rsidRPr="00FB5FC4" w:rsidRDefault="00B35C79" w:rsidP="00650923">
      <w:pPr>
        <w:spacing w:after="0" w:line="0" w:lineRule="atLeast"/>
        <w:ind w:firstLine="709"/>
        <w:jc w:val="both"/>
        <w:rPr>
          <w:rFonts w:ascii="Verdana" w:eastAsia="Calibri" w:hAnsi="Verdana" w:cs="Arial"/>
          <w:color w:val="000000"/>
          <w:lang w:val="es-ES_tradnl"/>
        </w:rPr>
      </w:pPr>
    </w:p>
    <w:p w14:paraId="6590E4CA" w14:textId="77777777" w:rsidR="009D1C58" w:rsidRPr="00FB5FC4" w:rsidRDefault="009D1C58" w:rsidP="00650923">
      <w:pPr>
        <w:spacing w:after="0" w:line="0" w:lineRule="atLeast"/>
        <w:ind w:firstLine="705"/>
        <w:jc w:val="both"/>
        <w:rPr>
          <w:rFonts w:ascii="Verdana" w:eastAsia="Times New Roman" w:hAnsi="Verdana" w:cs="Arial"/>
          <w:color w:val="000000"/>
          <w:lang w:eastAsia="es-ES_tradnl"/>
        </w:rPr>
      </w:pPr>
      <w:r w:rsidRPr="00FB5FC4">
        <w:rPr>
          <w:rFonts w:ascii="Verdana" w:eastAsia="Times New Roman" w:hAnsi="Verdana" w:cs="Arial"/>
          <w:color w:val="000000"/>
          <w:bdr w:val="none" w:sz="0" w:space="0" w:color="auto" w:frame="1"/>
          <w:shd w:val="clear" w:color="auto" w:fill="FFFFFF"/>
          <w:lang w:val="es-ES" w:eastAsia="es-ES_tradnl"/>
        </w:rPr>
        <w:t xml:space="preserve">Si no es posible efectuar la liquidación de manera bilateral, el ordenamiento jurídico prevé una facultad, de carácter subsidiario, para que la Entidad Estatal realice la liquidación unilateralmente. En relación con este aspecto, la </w:t>
      </w:r>
      <w:r w:rsidRPr="00FB5FC4">
        <w:rPr>
          <w:rFonts w:ascii="Verdana" w:eastAsia="Times New Roman" w:hAnsi="Verdana" w:cs="Arial"/>
          <w:color w:val="000000"/>
          <w:bdr w:val="none" w:sz="0" w:space="0" w:color="auto" w:frame="1"/>
          <w:shd w:val="clear" w:color="auto" w:fill="FFFFFF"/>
          <w:lang w:val="es-MX" w:eastAsia="es-ES_tradnl"/>
        </w:rPr>
        <w:t xml:space="preserve">Sala de Consulta y Servicio Civil del </w:t>
      </w:r>
      <w:r w:rsidRPr="00FB5FC4">
        <w:rPr>
          <w:rFonts w:ascii="Verdana" w:eastAsia="Times New Roman" w:hAnsi="Verdana" w:cs="Arial"/>
          <w:color w:val="000000"/>
          <w:bdr w:val="none" w:sz="0" w:space="0" w:color="auto" w:frame="1"/>
          <w:shd w:val="clear" w:color="auto" w:fill="FFFFFF"/>
          <w:lang w:val="es-ES" w:eastAsia="es-ES_tradnl"/>
        </w:rPr>
        <w:t>Consejo de Estado</w:t>
      </w:r>
      <w:r w:rsidRPr="00FB5FC4">
        <w:rPr>
          <w:rFonts w:ascii="Verdana" w:eastAsia="Times New Roman" w:hAnsi="Verdana" w:cs="Arial"/>
          <w:color w:val="000000"/>
          <w:bdr w:val="none" w:sz="0" w:space="0" w:color="auto" w:frame="1"/>
          <w:shd w:val="clear" w:color="auto" w:fill="FFFFFF"/>
          <w:lang w:val="es-MX" w:eastAsia="es-ES_tradnl"/>
        </w:rPr>
        <w:t>, en concepto del 28 de junio de 2016, manifestó que:  </w:t>
      </w:r>
    </w:p>
    <w:p w14:paraId="02A613AB" w14:textId="77777777" w:rsidR="009D1C58" w:rsidRPr="00FB5FC4" w:rsidRDefault="009D1C58" w:rsidP="00650923">
      <w:pPr>
        <w:spacing w:after="0" w:line="0" w:lineRule="atLeast"/>
        <w:ind w:left="705" w:right="750"/>
        <w:jc w:val="both"/>
        <w:rPr>
          <w:rFonts w:ascii="Verdana" w:eastAsia="Times New Roman" w:hAnsi="Verdana" w:cs="Arial"/>
          <w:color w:val="000000"/>
          <w:lang w:eastAsia="es-ES_tradnl"/>
        </w:rPr>
      </w:pPr>
    </w:p>
    <w:p w14:paraId="384D4B62" w14:textId="77777777" w:rsidR="009D1C58" w:rsidRPr="004B5D6E" w:rsidRDefault="009D1C58" w:rsidP="00650923">
      <w:pPr>
        <w:spacing w:after="0" w:line="0" w:lineRule="atLeast"/>
        <w:ind w:left="705" w:right="750"/>
        <w:jc w:val="both"/>
        <w:rPr>
          <w:rFonts w:ascii="Verdana" w:eastAsia="Times New Roman" w:hAnsi="Verdana" w:cs="Arial"/>
          <w:color w:val="000000"/>
          <w:sz w:val="21"/>
          <w:szCs w:val="21"/>
          <w:lang w:eastAsia="es-ES_tradnl"/>
        </w:rPr>
      </w:pPr>
      <w:r w:rsidRPr="004B5D6E">
        <w:rPr>
          <w:rFonts w:ascii="Verdana" w:eastAsia="Times New Roman" w:hAnsi="Verdana" w:cs="Arial"/>
          <w:i/>
          <w:iCs/>
          <w:sz w:val="21"/>
          <w:szCs w:val="21"/>
          <w:lang w:val="es-ES_tradnl" w:eastAsia="es-ES_tradnl"/>
        </w:rPr>
        <w:t>“</w:t>
      </w:r>
      <w:r w:rsidRPr="004B5D6E">
        <w:rPr>
          <w:rFonts w:ascii="Verdana" w:eastAsia="Calibri" w:hAnsi="Verdana" w:cs="Arial"/>
          <w:color w:val="000000"/>
          <w:sz w:val="21"/>
          <w:szCs w:val="21"/>
          <w:lang w:val="es-ES" w:eastAsia="es-ES_tradnl"/>
        </w:rPr>
        <w:t>[</w:t>
      </w:r>
      <w:r w:rsidRPr="004B5D6E">
        <w:rPr>
          <w:rFonts w:ascii="Verdana" w:eastAsia="Times New Roman" w:hAnsi="Verdana" w:cs="Arial"/>
          <w:color w:val="000000"/>
          <w:sz w:val="21"/>
          <w:szCs w:val="21"/>
          <w:bdr w:val="none" w:sz="0" w:space="0" w:color="auto" w:frame="1"/>
          <w:shd w:val="clear" w:color="auto" w:fill="FFFFFF"/>
          <w:lang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Pr>
          <w:rFonts w:ascii="Verdana" w:eastAsia="Times New Roman" w:hAnsi="Verdana" w:cs="Arial"/>
          <w:color w:val="000000"/>
          <w:sz w:val="21"/>
          <w:szCs w:val="21"/>
          <w:bdr w:val="none" w:sz="0" w:space="0" w:color="auto" w:frame="1"/>
          <w:shd w:val="clear" w:color="auto" w:fill="FFFFFF"/>
          <w:lang w:val="es-ES" w:eastAsia="es-ES_tradnl"/>
        </w:rPr>
        <w:t>”</w:t>
      </w:r>
      <w:r w:rsidRPr="00E232EE">
        <w:rPr>
          <w:rFonts w:ascii="Verdana" w:eastAsia="Times New Roman" w:hAnsi="Verdana" w:cs="Arial"/>
          <w:color w:val="000000"/>
          <w:sz w:val="21"/>
          <w:szCs w:val="21"/>
          <w:bdr w:val="none" w:sz="0" w:space="0" w:color="auto" w:frame="1"/>
          <w:shd w:val="clear" w:color="auto" w:fill="FFFFFF"/>
          <w:vertAlign w:val="superscript"/>
          <w:lang w:val="es-MX" w:eastAsia="es-ES_tradnl"/>
        </w:rPr>
        <w:footnoteReference w:id="15"/>
      </w:r>
      <w:r w:rsidRPr="004B5D6E">
        <w:rPr>
          <w:rFonts w:ascii="Verdana" w:eastAsia="Times New Roman" w:hAnsi="Verdana" w:cs="Arial"/>
          <w:color w:val="000000"/>
          <w:sz w:val="21"/>
          <w:szCs w:val="21"/>
          <w:bdr w:val="none" w:sz="0" w:space="0" w:color="auto" w:frame="1"/>
          <w:shd w:val="clear" w:color="auto" w:fill="FFFFFF"/>
          <w:lang w:val="es-ES" w:eastAsia="es-ES_tradnl"/>
        </w:rPr>
        <w:t>. </w:t>
      </w:r>
      <w:r w:rsidRPr="004B5D6E">
        <w:rPr>
          <w:rFonts w:ascii="Verdana" w:eastAsia="Times New Roman" w:hAnsi="Verdana" w:cs="Arial"/>
          <w:color w:val="000000"/>
          <w:sz w:val="21"/>
          <w:szCs w:val="21"/>
          <w:bdr w:val="none" w:sz="0" w:space="0" w:color="auto" w:frame="1"/>
          <w:shd w:val="clear" w:color="auto" w:fill="FFFFFF"/>
          <w:lang w:eastAsia="es-ES_tradnl"/>
        </w:rPr>
        <w:t>  </w:t>
      </w:r>
    </w:p>
    <w:p w14:paraId="0851B44A" w14:textId="77777777" w:rsidR="009D1C58" w:rsidRPr="00FB5FC4" w:rsidRDefault="009D1C58" w:rsidP="00650923">
      <w:pPr>
        <w:spacing w:after="0" w:line="0" w:lineRule="atLeast"/>
        <w:ind w:left="705" w:right="750"/>
        <w:jc w:val="both"/>
        <w:rPr>
          <w:rFonts w:ascii="Verdana" w:eastAsia="Times New Roman" w:hAnsi="Verdana" w:cs="Arial"/>
          <w:color w:val="000000"/>
          <w:lang w:eastAsia="es-ES_tradnl"/>
        </w:rPr>
      </w:pPr>
    </w:p>
    <w:p w14:paraId="417E4284" w14:textId="77777777" w:rsidR="009D1C58" w:rsidRDefault="009D1C58" w:rsidP="00650923">
      <w:pPr>
        <w:spacing w:after="0" w:line="0" w:lineRule="atLeast"/>
        <w:ind w:firstLine="705"/>
        <w:jc w:val="both"/>
        <w:rPr>
          <w:rFonts w:ascii="Verdana" w:eastAsia="Times New Roman" w:hAnsi="Verdana" w:cs="Arial"/>
          <w:color w:val="000000"/>
          <w:bdr w:val="none" w:sz="0" w:space="0" w:color="auto" w:frame="1"/>
          <w:shd w:val="clear" w:color="auto" w:fill="FFFFFF"/>
          <w:lang w:val="es-ES" w:eastAsia="es-ES_tradnl"/>
        </w:rPr>
      </w:pPr>
      <w:bookmarkStart w:id="9" w:name="_Hlk141851266"/>
      <w:r w:rsidRPr="00FB5FC4">
        <w:rPr>
          <w:rFonts w:ascii="Verdana" w:eastAsia="Times New Roman" w:hAnsi="Verdana" w:cs="Arial"/>
          <w:color w:val="000000"/>
          <w:bdr w:val="none" w:sz="0" w:space="0" w:color="auto" w:frame="1"/>
          <w:shd w:val="clear" w:color="auto" w:fill="FFFFFF"/>
          <w:lang w:val="es-ES" w:eastAsia="es-ES_tradn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5A70AA8C" w14:textId="77777777" w:rsidR="00B35C79" w:rsidRPr="00FB5FC4" w:rsidRDefault="00B35C79" w:rsidP="00650923">
      <w:pPr>
        <w:spacing w:after="0" w:line="0" w:lineRule="atLeast"/>
        <w:ind w:firstLine="705"/>
        <w:jc w:val="both"/>
        <w:rPr>
          <w:rFonts w:ascii="Verdana" w:eastAsia="Times New Roman" w:hAnsi="Verdana" w:cs="Arial"/>
          <w:color w:val="000000"/>
          <w:lang w:eastAsia="es-ES_tradnl"/>
        </w:rPr>
      </w:pPr>
    </w:p>
    <w:p w14:paraId="23CA8E4F" w14:textId="77777777" w:rsidR="009D1C58" w:rsidRPr="00FB5FC4" w:rsidRDefault="009D1C58" w:rsidP="00650923">
      <w:pPr>
        <w:spacing w:after="0" w:line="0" w:lineRule="atLeast"/>
        <w:ind w:firstLine="705"/>
        <w:jc w:val="both"/>
        <w:rPr>
          <w:rFonts w:ascii="Verdana" w:eastAsia="Times New Roman" w:hAnsi="Verdana" w:cs="Arial"/>
          <w:color w:val="000000"/>
          <w:bdr w:val="none" w:sz="0" w:space="0" w:color="auto" w:frame="1"/>
          <w:shd w:val="clear" w:color="auto" w:fill="FFFFFF"/>
          <w:lang w:eastAsia="es-ES_tradnl"/>
        </w:rPr>
      </w:pPr>
      <w:r w:rsidRPr="00FB5FC4">
        <w:rPr>
          <w:rFonts w:ascii="Verdana" w:eastAsia="Times New Roman" w:hAnsi="Verdana" w:cs="Arial"/>
          <w:color w:val="000000"/>
          <w:bdr w:val="none" w:sz="0" w:space="0" w:color="auto" w:frame="1"/>
          <w:shd w:val="clear" w:color="auto" w:fill="FFFFFF"/>
          <w:lang w:val="es-ES" w:eastAsia="es-ES_tradnl"/>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w:t>
      </w:r>
      <w:r w:rsidRPr="00FB5FC4">
        <w:rPr>
          <w:rFonts w:ascii="Verdana" w:eastAsia="Times New Roman" w:hAnsi="Verdana" w:cs="Arial"/>
          <w:color w:val="000000"/>
          <w:bdr w:val="none" w:sz="0" w:space="0" w:color="auto" w:frame="1"/>
          <w:shd w:val="clear" w:color="auto" w:fill="FFFFFF"/>
          <w:lang w:val="es-ES" w:eastAsia="es-ES_tradnl"/>
        </w:rPr>
        <w:lastRenderedPageBreak/>
        <w:t xml:space="preserve">De esta manera, durante estos dos años la liquidación podrá hacerse de mutuo acuerdo, unilateralmente por la entidad, o podrá ser solicitada judicialmente por el interesado. </w:t>
      </w:r>
      <w:bookmarkEnd w:id="9"/>
      <w:r w:rsidRPr="00FB5FC4">
        <w:rPr>
          <w:rFonts w:ascii="Verdana" w:eastAsia="Times New Roman" w:hAnsi="Verdana" w:cs="Arial"/>
          <w:color w:val="000000"/>
          <w:bdr w:val="none" w:sz="0" w:space="0" w:color="auto" w:frame="1"/>
          <w:shd w:val="clear" w:color="auto" w:fill="FFFFFF"/>
          <w:lang w:val="es-ES" w:eastAsia="es-ES_tradnl"/>
        </w:rPr>
        <w:t xml:space="preserve">En este sentido, en decisión de unificación de la </w:t>
      </w:r>
      <w:r w:rsidRPr="00FB5FC4">
        <w:rPr>
          <w:rFonts w:ascii="Verdana" w:eastAsia="Times New Roman" w:hAnsi="Verdana" w:cs="Arial"/>
          <w:color w:val="000000"/>
          <w:bdr w:val="none" w:sz="0" w:space="0" w:color="auto" w:frame="1"/>
          <w:shd w:val="clear" w:color="auto" w:fill="FFFFFF"/>
          <w:lang w:val="es-MX" w:eastAsia="es-ES_tradnl"/>
        </w:rPr>
        <w:t>Sección Tercera</w:t>
      </w:r>
      <w:r w:rsidRPr="00FB5FC4">
        <w:rPr>
          <w:rFonts w:ascii="Verdana" w:eastAsia="Times New Roman" w:hAnsi="Verdana" w:cs="Arial"/>
          <w:color w:val="000000"/>
          <w:bdr w:val="none" w:sz="0" w:space="0" w:color="auto" w:frame="1"/>
          <w:shd w:val="clear" w:color="auto" w:fill="FFFFFF"/>
          <w:lang w:val="es-ES" w:eastAsia="es-ES_tradnl"/>
        </w:rPr>
        <w:t xml:space="preserve"> del Consejo de Estado del</w:t>
      </w:r>
      <w:r w:rsidRPr="00FB5FC4">
        <w:rPr>
          <w:rFonts w:ascii="Verdana" w:eastAsia="Times New Roman" w:hAnsi="Verdana" w:cs="Arial"/>
          <w:color w:val="000000"/>
          <w:bdr w:val="none" w:sz="0" w:space="0" w:color="auto" w:frame="1"/>
          <w:shd w:val="clear" w:color="auto" w:fill="FFFFFF"/>
          <w:lang w:val="es-MX" w:eastAsia="es-ES_tradnl"/>
        </w:rPr>
        <w:t> </w:t>
      </w:r>
      <w:r w:rsidRPr="00FB5FC4">
        <w:rPr>
          <w:rFonts w:ascii="Verdana" w:eastAsia="Times New Roman" w:hAnsi="Verdana" w:cs="Arial"/>
          <w:color w:val="000000"/>
          <w:bdr w:val="none" w:sz="0" w:space="0" w:color="auto" w:frame="1"/>
          <w:shd w:val="clear" w:color="auto" w:fill="FFFFFF"/>
          <w:lang w:eastAsia="es-ES_tradnl"/>
        </w:rPr>
        <w:t>1 de agosto de 2019, se expresó: </w:t>
      </w:r>
    </w:p>
    <w:p w14:paraId="2CC223B3" w14:textId="77777777" w:rsidR="009D1C58" w:rsidRPr="00FB5FC4" w:rsidRDefault="009D1C58" w:rsidP="00650923">
      <w:pPr>
        <w:spacing w:after="0" w:line="0" w:lineRule="atLeast"/>
        <w:ind w:firstLine="705"/>
        <w:jc w:val="both"/>
        <w:rPr>
          <w:rFonts w:ascii="Verdana" w:eastAsia="Times New Roman" w:hAnsi="Verdana" w:cs="Arial"/>
          <w:color w:val="000000"/>
          <w:lang w:eastAsia="es-ES_tradnl"/>
        </w:rPr>
      </w:pPr>
    </w:p>
    <w:p w14:paraId="2EE049F1" w14:textId="77777777" w:rsidR="009D1C58" w:rsidRPr="004B5D6E" w:rsidRDefault="009D1C58" w:rsidP="00650923">
      <w:pPr>
        <w:spacing w:after="0" w:line="0" w:lineRule="atLeast"/>
        <w:ind w:left="705" w:right="750"/>
        <w:jc w:val="both"/>
        <w:rPr>
          <w:rFonts w:ascii="Verdana" w:eastAsia="Times New Roman" w:hAnsi="Verdana" w:cs="Arial"/>
          <w:color w:val="000000"/>
          <w:sz w:val="21"/>
          <w:szCs w:val="21"/>
          <w:lang w:eastAsia="es-ES_tradnl"/>
        </w:rPr>
      </w:pP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4B5D6E">
        <w:rPr>
          <w:rFonts w:ascii="Verdana" w:eastAsia="Times New Roman" w:hAnsi="Verdana" w:cs="Arial"/>
          <w:color w:val="000000"/>
          <w:sz w:val="21"/>
          <w:szCs w:val="21"/>
          <w:bdr w:val="none" w:sz="0" w:space="0" w:color="auto" w:frame="1"/>
          <w:shd w:val="clear" w:color="auto" w:fill="FFFFFF"/>
          <w:lang w:val="es-ES" w:eastAsia="es-ES_tradnl"/>
        </w:rPr>
        <w:t>liquidatorio</w:t>
      </w:r>
      <w:proofErr w:type="spellEnd"/>
      <w:r w:rsidRPr="004B5D6E">
        <w:rPr>
          <w:rFonts w:ascii="Verdana" w:eastAsia="Times New Roman" w:hAnsi="Verdana" w:cs="Arial"/>
          <w:color w:val="000000"/>
          <w:sz w:val="21"/>
          <w:szCs w:val="21"/>
          <w:bdr w:val="none" w:sz="0" w:space="0" w:color="auto" w:frame="1"/>
          <w:shd w:val="clear" w:color="auto" w:fill="FFFFFF"/>
          <w:lang w:val="es-ES" w:eastAsia="es-ES_tradnl"/>
        </w:rPr>
        <w:t> se logre dentro del lapso de dos años contados a partir del vencimiento del término legalmente conocido para la liquidación unilateral, pues ese es el lapso que el ordenamiento ha fijado para el ejercicio oportuno de la acción</w:t>
      </w: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bdr w:val="none" w:sz="0" w:space="0" w:color="auto" w:frame="1"/>
          <w:shd w:val="clear" w:color="auto" w:fill="FFFFFF"/>
          <w:vertAlign w:val="superscript"/>
          <w:lang w:eastAsia="es-ES_tradnl"/>
        </w:rPr>
        <w:t xml:space="preserve"> </w:t>
      </w:r>
      <w:r w:rsidRPr="004B5D6E">
        <w:rPr>
          <w:rFonts w:ascii="Verdana" w:eastAsia="Times New Roman" w:hAnsi="Verdana" w:cs="Arial"/>
          <w:color w:val="000000"/>
          <w:bdr w:val="none" w:sz="0" w:space="0" w:color="auto" w:frame="1"/>
          <w:shd w:val="clear" w:color="auto" w:fill="FFFFFF"/>
          <w:vertAlign w:val="superscript"/>
          <w:lang w:eastAsia="es-ES_tradnl"/>
        </w:rPr>
        <w:footnoteReference w:id="16"/>
      </w: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 </w:t>
      </w:r>
    </w:p>
    <w:p w14:paraId="6D817A11" w14:textId="77777777" w:rsidR="009D1C58" w:rsidRPr="00FB5FC4" w:rsidRDefault="009D1C58" w:rsidP="00650923">
      <w:pPr>
        <w:spacing w:after="0" w:line="0" w:lineRule="atLeast"/>
        <w:ind w:firstLine="708"/>
        <w:jc w:val="both"/>
        <w:rPr>
          <w:rFonts w:ascii="Verdana" w:eastAsia="Times New Roman" w:hAnsi="Verdana" w:cs="Arial"/>
          <w:color w:val="000000"/>
          <w:lang w:eastAsia="es-ES_tradnl"/>
        </w:rPr>
      </w:pPr>
    </w:p>
    <w:p w14:paraId="1B34BE03" w14:textId="77777777" w:rsidR="009D1C58" w:rsidRDefault="009D1C58" w:rsidP="00605657">
      <w:pPr>
        <w:tabs>
          <w:tab w:val="left" w:pos="709"/>
        </w:tabs>
        <w:spacing w:after="0" w:line="0" w:lineRule="atLeast"/>
        <w:jc w:val="both"/>
        <w:rPr>
          <w:rFonts w:ascii="Verdana" w:eastAsia="Times New Roman" w:hAnsi="Verdana" w:cs="Arial"/>
          <w:color w:val="000000"/>
          <w:bdr w:val="none" w:sz="0" w:space="0" w:color="auto" w:frame="1"/>
          <w:shd w:val="clear" w:color="auto" w:fill="FFFFFF"/>
          <w:lang w:eastAsia="es-ES_tradnl"/>
        </w:rPr>
      </w:pPr>
      <w:r>
        <w:rPr>
          <w:rFonts w:ascii="Verdana" w:eastAsia="Times New Roman" w:hAnsi="Verdana" w:cs="Arial"/>
          <w:color w:val="000000"/>
          <w:bdr w:val="none" w:sz="0" w:space="0" w:color="auto" w:frame="1"/>
          <w:shd w:val="clear" w:color="auto" w:fill="FFFFFF"/>
          <w:lang w:eastAsia="es-ES_tradnl"/>
        </w:rPr>
        <w:tab/>
      </w:r>
      <w:r w:rsidRPr="00FB5FC4">
        <w:rPr>
          <w:rFonts w:ascii="Verdana" w:eastAsia="Times New Roman" w:hAnsi="Verdana" w:cs="Arial"/>
          <w:color w:val="000000"/>
          <w:bdr w:val="none" w:sz="0" w:space="0" w:color="auto" w:frame="1"/>
          <w:shd w:val="clear" w:color="auto" w:fill="FFFFFF"/>
          <w:lang w:eastAsia="es-ES_tradnl"/>
        </w:rPr>
        <w:t>A su turno</w:t>
      </w:r>
      <w:r>
        <w:rPr>
          <w:rFonts w:ascii="Verdana" w:eastAsia="Times New Roman" w:hAnsi="Verdana" w:cs="Arial"/>
          <w:color w:val="000000"/>
          <w:bdr w:val="none" w:sz="0" w:space="0" w:color="auto" w:frame="1"/>
          <w:shd w:val="clear" w:color="auto" w:fill="FFFFFF"/>
          <w:lang w:eastAsia="es-ES_tradnl"/>
        </w:rPr>
        <w:t xml:space="preserve">, la liquidación judicial hace parte de una de las pretensiones que admite el medio de control de controversias contractuales. Al respecto, el artículo 141 de la Ley 1437 de 2011 dispone que “[…] </w:t>
      </w:r>
      <w:r w:rsidRPr="00F915F3">
        <w:rPr>
          <w:rFonts w:ascii="Verdana" w:eastAsia="Times New Roman" w:hAnsi="Verdana" w:cs="Arial"/>
          <w:color w:val="000000"/>
          <w:bdr w:val="none" w:sz="0" w:space="0" w:color="auto" w:frame="1"/>
          <w:shd w:val="clear" w:color="auto" w:fill="FFFFFF"/>
          <w:lang w:eastAsia="es-ES_tradnl"/>
        </w:rPr>
        <w:t xml:space="preserve">el interesado podrá </w:t>
      </w:r>
      <w:bookmarkStart w:id="10" w:name="_Hlk172560769"/>
      <w:r w:rsidRPr="00F915F3">
        <w:rPr>
          <w:rFonts w:ascii="Verdana" w:eastAsia="Times New Roman" w:hAnsi="Verdana" w:cs="Arial"/>
          <w:color w:val="000000"/>
          <w:bdr w:val="none" w:sz="0" w:space="0" w:color="auto" w:frame="1"/>
          <w:shd w:val="clear" w:color="auto" w:fill="FFFFFF"/>
          <w:lang w:eastAsia="es-ES_tradnl"/>
        </w:rPr>
        <w:t>solicitar la liquidación judicial</w:t>
      </w:r>
      <w:bookmarkEnd w:id="10"/>
      <w:r w:rsidRPr="00F915F3">
        <w:rPr>
          <w:rFonts w:ascii="Verdana" w:eastAsia="Times New Roman" w:hAnsi="Verdana" w:cs="Arial"/>
          <w:color w:val="000000"/>
          <w:bdr w:val="none" w:sz="0" w:space="0" w:color="auto" w:frame="1"/>
          <w:shd w:val="clear" w:color="auto" w:fill="FFFFFF"/>
          <w:lang w:eastAsia="es-ES_tradnl"/>
        </w:rPr>
        <w:t xml:space="preserve">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r>
        <w:rPr>
          <w:rFonts w:ascii="Verdana" w:eastAsia="Times New Roman" w:hAnsi="Verdana" w:cs="Arial"/>
          <w:color w:val="000000"/>
          <w:bdr w:val="none" w:sz="0" w:space="0" w:color="auto" w:frame="1"/>
          <w:shd w:val="clear" w:color="auto" w:fill="FFFFFF"/>
          <w:lang w:eastAsia="es-ES_tradnl"/>
        </w:rPr>
        <w:t>”</w:t>
      </w:r>
      <w:r w:rsidRPr="00F915F3">
        <w:rPr>
          <w:rFonts w:ascii="Verdana" w:eastAsia="Times New Roman" w:hAnsi="Verdana" w:cs="Arial"/>
          <w:color w:val="000000"/>
          <w:bdr w:val="none" w:sz="0" w:space="0" w:color="auto" w:frame="1"/>
          <w:shd w:val="clear" w:color="auto" w:fill="FFFFFF"/>
          <w:lang w:eastAsia="es-ES_tradnl"/>
        </w:rPr>
        <w:t>.</w:t>
      </w:r>
      <w:r>
        <w:rPr>
          <w:rFonts w:ascii="Verdana" w:eastAsia="Times New Roman" w:hAnsi="Verdana" w:cs="Arial"/>
          <w:color w:val="000000"/>
          <w:bdr w:val="none" w:sz="0" w:space="0" w:color="auto" w:frame="1"/>
          <w:shd w:val="clear" w:color="auto" w:fill="FFFFFF"/>
          <w:lang w:eastAsia="es-ES_tradnl"/>
        </w:rPr>
        <w:t xml:space="preserve"> Bajo esta perspectiva, para la entidad cesa la facultad de liquidar bilateral o unilateralmente, ya que el tema pasa de la administración a la jurisdicción.</w:t>
      </w:r>
    </w:p>
    <w:p w14:paraId="3FA778B5" w14:textId="77777777" w:rsidR="00B35C79" w:rsidRDefault="00B35C79" w:rsidP="00605657">
      <w:pPr>
        <w:tabs>
          <w:tab w:val="left" w:pos="709"/>
        </w:tabs>
        <w:spacing w:after="0" w:line="0" w:lineRule="atLeast"/>
        <w:jc w:val="both"/>
        <w:rPr>
          <w:rFonts w:ascii="Verdana" w:eastAsia="Times New Roman" w:hAnsi="Verdana" w:cs="Arial"/>
          <w:color w:val="000000"/>
          <w:bdr w:val="none" w:sz="0" w:space="0" w:color="auto" w:frame="1"/>
          <w:shd w:val="clear" w:color="auto" w:fill="FFFFFF"/>
          <w:lang w:eastAsia="es-ES_tradnl"/>
        </w:rPr>
      </w:pPr>
    </w:p>
    <w:p w14:paraId="516A38DA" w14:textId="77777777" w:rsidR="009D1C58" w:rsidRDefault="009D1C58" w:rsidP="00605657">
      <w:pPr>
        <w:tabs>
          <w:tab w:val="left" w:pos="709"/>
        </w:tabs>
        <w:spacing w:after="0" w:line="0" w:lineRule="atLeast"/>
        <w:jc w:val="both"/>
        <w:rPr>
          <w:rFonts w:ascii="Verdana" w:eastAsia="Century Gothic" w:hAnsi="Verdana" w:cs="Century Gothic"/>
        </w:rPr>
      </w:pPr>
      <w:r>
        <w:rPr>
          <w:rFonts w:ascii="Verdana" w:eastAsia="Times New Roman" w:hAnsi="Verdana" w:cs="Arial"/>
          <w:color w:val="000000"/>
          <w:bdr w:val="none" w:sz="0" w:space="0" w:color="auto" w:frame="1"/>
          <w:shd w:val="clear" w:color="auto" w:fill="FFFFFF"/>
          <w:lang w:eastAsia="es-ES_tradnl"/>
        </w:rPr>
        <w:tab/>
        <w:t>De acuerdo con el literal j) del artículo 164.2 del CPACA, los plazos para liquidar bilateral, unilateral y judicialmente el contrato influyen en el acceso oportuno al sistema de administración de justicia</w:t>
      </w:r>
      <w:r>
        <w:rPr>
          <w:rStyle w:val="Refdenotaalpie"/>
          <w:rFonts w:ascii="Verdana" w:eastAsia="Times New Roman" w:hAnsi="Verdana" w:cs="Arial"/>
          <w:color w:val="000000"/>
          <w:bdr w:val="none" w:sz="0" w:space="0" w:color="auto" w:frame="1"/>
          <w:shd w:val="clear" w:color="auto" w:fill="FFFFFF"/>
          <w:lang w:eastAsia="es-ES_tradnl"/>
        </w:rPr>
        <w:footnoteReference w:id="17"/>
      </w:r>
      <w:r>
        <w:rPr>
          <w:rFonts w:ascii="Verdana" w:eastAsia="Times New Roman" w:hAnsi="Verdana" w:cs="Arial"/>
          <w:color w:val="000000"/>
          <w:bdr w:val="none" w:sz="0" w:space="0" w:color="auto" w:frame="1"/>
          <w:shd w:val="clear" w:color="auto" w:fill="FFFFFF"/>
          <w:lang w:eastAsia="es-ES_tradnl"/>
        </w:rPr>
        <w:t xml:space="preserve">. Por ello, bajo la </w:t>
      </w:r>
      <w:r>
        <w:rPr>
          <w:rFonts w:ascii="Verdana" w:eastAsia="Times New Roman" w:hAnsi="Verdana" w:cs="Arial"/>
          <w:color w:val="000000"/>
          <w:bdr w:val="none" w:sz="0" w:space="0" w:color="auto" w:frame="1"/>
          <w:shd w:val="clear" w:color="auto" w:fill="FFFFFF"/>
          <w:lang w:eastAsia="es-ES_tradnl"/>
        </w:rPr>
        <w:lastRenderedPageBreak/>
        <w:t xml:space="preserve">consideración de que no en todos los negocios jurídicos suscritos por las entidades estatales se encuentra habilitada la liquidación unilateral, surge la duda de si el plazo correspondiente está o no dentro del cómputo de la caducidad. Al respecto, </w:t>
      </w:r>
      <w:r>
        <w:rPr>
          <w:rFonts w:ascii="Verdana" w:eastAsia="Century Gothic" w:hAnsi="Verdana" w:cs="Century Gothic"/>
        </w:rPr>
        <w:t>la Subsección B de la Sección Tercera del Consejo de Estado, en Sentencia d</w:t>
      </w:r>
      <w:r w:rsidRPr="00B707BA">
        <w:rPr>
          <w:rFonts w:ascii="Verdana" w:eastAsia="Century Gothic" w:hAnsi="Verdana" w:cs="Century Gothic"/>
        </w:rPr>
        <w:t>el 20 de mayo de 2024</w:t>
      </w:r>
      <w:r>
        <w:rPr>
          <w:rFonts w:ascii="Verdana" w:eastAsia="Century Gothic" w:hAnsi="Verdana" w:cs="Century Gothic"/>
        </w:rPr>
        <w:t xml:space="preserve"> con ponencia del Magistrado </w:t>
      </w:r>
      <w:r w:rsidRPr="004D33F5">
        <w:rPr>
          <w:rFonts w:ascii="Verdana" w:eastAsia="Century Gothic" w:hAnsi="Verdana" w:cs="Century Gothic"/>
        </w:rPr>
        <w:t>Martín Bermúdez Muñoz</w:t>
      </w:r>
      <w:r>
        <w:rPr>
          <w:rFonts w:ascii="Verdana" w:eastAsia="Century Gothic" w:hAnsi="Verdana" w:cs="Century Gothic"/>
        </w:rPr>
        <w:t>, se decanta por una respuesta negativa; motivo por el que justifica el cambio de criterio de la subsección de la siguiente manera:</w:t>
      </w:r>
    </w:p>
    <w:p w14:paraId="7313F323" w14:textId="77777777" w:rsidR="009D1C58" w:rsidRDefault="009D1C58" w:rsidP="00605657">
      <w:pPr>
        <w:tabs>
          <w:tab w:val="left" w:pos="709"/>
        </w:tabs>
        <w:spacing w:after="0" w:line="0" w:lineRule="atLeast"/>
        <w:jc w:val="both"/>
        <w:rPr>
          <w:rFonts w:ascii="Verdana" w:eastAsia="Century Gothic" w:hAnsi="Verdana" w:cs="Century Gothic"/>
        </w:rPr>
      </w:pPr>
    </w:p>
    <w:p w14:paraId="5F636DCA" w14:textId="77777777" w:rsidR="009D1C58" w:rsidRPr="007E51CC" w:rsidRDefault="009D1C58" w:rsidP="00605657">
      <w:pPr>
        <w:tabs>
          <w:tab w:val="left" w:pos="709"/>
        </w:tabs>
        <w:spacing w:after="0" w:line="0" w:lineRule="atLeast"/>
        <w:ind w:left="709" w:right="709"/>
        <w:jc w:val="both"/>
        <w:rPr>
          <w:rFonts w:ascii="Verdana" w:eastAsia="Century Gothic" w:hAnsi="Verdana" w:cs="Century Gothic"/>
          <w:sz w:val="21"/>
          <w:szCs w:val="21"/>
        </w:rPr>
      </w:pPr>
      <w:r>
        <w:rPr>
          <w:rFonts w:ascii="Verdana" w:eastAsia="Century Gothic" w:hAnsi="Verdana" w:cs="Century Gothic"/>
          <w:sz w:val="21"/>
          <w:szCs w:val="21"/>
        </w:rPr>
        <w:t>“</w:t>
      </w:r>
      <w:r w:rsidRPr="007E51CC">
        <w:rPr>
          <w:rFonts w:ascii="Verdana" w:eastAsia="Century Gothic" w:hAnsi="Verdana" w:cs="Century Gothic"/>
          <w:sz w:val="21"/>
          <w:szCs w:val="21"/>
        </w:rPr>
        <w:t>12.- Por su naturaleza, los convenios interadministrativos no se encuentran sujetos a las normas de la Ley 80 de 1993 sobre liquidación de los contratos. Así las cosas, para definir desde cuándo se computa el término de caducidad, debe verificarse si las partes regularon cómo hacer la liquidación en las estipulaciones del convenio.</w:t>
      </w:r>
    </w:p>
    <w:p w14:paraId="0477C3C4" w14:textId="77777777" w:rsidR="009D1C58" w:rsidRPr="007E51CC" w:rsidRDefault="009D1C58" w:rsidP="00605657">
      <w:pPr>
        <w:tabs>
          <w:tab w:val="left" w:pos="709"/>
        </w:tabs>
        <w:spacing w:after="0" w:line="0" w:lineRule="atLeast"/>
        <w:ind w:left="709" w:right="709"/>
        <w:jc w:val="both"/>
        <w:rPr>
          <w:rFonts w:ascii="Verdana" w:eastAsia="Century Gothic" w:hAnsi="Verdana" w:cs="Century Gothic"/>
          <w:sz w:val="21"/>
          <w:szCs w:val="21"/>
        </w:rPr>
      </w:pPr>
      <w:r w:rsidRPr="007E51CC">
        <w:rPr>
          <w:rFonts w:ascii="Verdana" w:eastAsia="Century Gothic" w:hAnsi="Verdana" w:cs="Century Gothic"/>
          <w:sz w:val="21"/>
          <w:szCs w:val="21"/>
        </w:rPr>
        <w:t xml:space="preserve">12.1.- Teniendo en cuenta lo anterior, la Sala estima necesario precisar que, en los casos de este tipo de convenios, así como en los contratos no sometidos a la Ley 80 de 1993, el cómputo del término de caducidad previsto en el aparte v del literal j) del numeral 2 del artículo 164 del CPACA13, debe sujetarse a la forma en que las partes hayan regulado la liquidación en el convenio o contrato. </w:t>
      </w:r>
    </w:p>
    <w:p w14:paraId="019DE078" w14:textId="77777777" w:rsidR="009D1C58" w:rsidRPr="007E51CC" w:rsidRDefault="009D1C58" w:rsidP="00605657">
      <w:pPr>
        <w:tabs>
          <w:tab w:val="left" w:pos="709"/>
        </w:tabs>
        <w:spacing w:after="0" w:line="0" w:lineRule="atLeast"/>
        <w:ind w:left="709" w:right="709"/>
        <w:jc w:val="both"/>
        <w:rPr>
          <w:rFonts w:ascii="Verdana" w:eastAsia="Century Gothic" w:hAnsi="Verdana" w:cs="Century Gothic"/>
          <w:i/>
          <w:iCs/>
          <w:sz w:val="21"/>
          <w:szCs w:val="21"/>
        </w:rPr>
      </w:pPr>
      <w:r w:rsidRPr="007E51CC">
        <w:rPr>
          <w:rFonts w:ascii="Verdana" w:eastAsia="Century Gothic" w:hAnsi="Verdana" w:cs="Century Gothic"/>
          <w:sz w:val="21"/>
          <w:szCs w:val="21"/>
        </w:rPr>
        <w:t xml:space="preserve">a.- </w:t>
      </w:r>
      <w:r w:rsidRPr="007E51CC">
        <w:rPr>
          <w:rFonts w:ascii="Verdana" w:eastAsia="Century Gothic" w:hAnsi="Verdana" w:cs="Century Gothic"/>
          <w:i/>
          <w:iCs/>
          <w:sz w:val="21"/>
          <w:szCs w:val="21"/>
        </w:rPr>
        <w:t xml:space="preserve">Si las partes solo pactaron la liquidación bilateral, el término de caducidad se computará desde el vencimiento del plazo pactado para llevarla a cabo, o en su defecto, desde los 4 meses previstos en el referido aparte v del literal j) del numeral 2 del artículo 164 del CPACA. </w:t>
      </w:r>
    </w:p>
    <w:p w14:paraId="20B8F9CB" w14:textId="77777777" w:rsidR="009D1C58" w:rsidRPr="007E51CC" w:rsidRDefault="009D1C58" w:rsidP="00605657">
      <w:pPr>
        <w:tabs>
          <w:tab w:val="left" w:pos="709"/>
        </w:tabs>
        <w:spacing w:after="0" w:line="0" w:lineRule="atLeast"/>
        <w:ind w:left="709" w:right="709"/>
        <w:jc w:val="both"/>
        <w:rPr>
          <w:rFonts w:ascii="Verdana" w:eastAsia="Century Gothic" w:hAnsi="Verdana" w:cs="Century Gothic"/>
          <w:sz w:val="21"/>
          <w:szCs w:val="21"/>
        </w:rPr>
      </w:pPr>
      <w:r w:rsidRPr="007E51CC">
        <w:rPr>
          <w:rFonts w:ascii="Verdana" w:eastAsia="Century Gothic" w:hAnsi="Verdana" w:cs="Century Gothic"/>
          <w:sz w:val="21"/>
          <w:szCs w:val="21"/>
        </w:rPr>
        <w:t xml:space="preserve">b.- Si las partes pactaron tanto liquidación bilateral como unilateral, la caducidad se contará desde el vencimiento del plazo pactado en el contrato y, en su defecto desde el vencimiento de los 2 meses previstos en el aparte v del literal j) del numeral 2 del artículo 164 del CPACA para realizar la liquidación unilateral. </w:t>
      </w:r>
    </w:p>
    <w:p w14:paraId="73539BF0" w14:textId="77777777" w:rsidR="009D1C58" w:rsidRPr="007E51CC" w:rsidRDefault="009D1C58" w:rsidP="00605657">
      <w:pPr>
        <w:tabs>
          <w:tab w:val="left" w:pos="709"/>
        </w:tabs>
        <w:spacing w:after="0" w:line="0" w:lineRule="atLeast"/>
        <w:ind w:left="709" w:right="709"/>
        <w:jc w:val="both"/>
        <w:rPr>
          <w:rFonts w:ascii="Verdana" w:eastAsia="Century Gothic" w:hAnsi="Verdana" w:cs="Century Gothic"/>
          <w:sz w:val="21"/>
          <w:szCs w:val="21"/>
        </w:rPr>
      </w:pPr>
      <w:r w:rsidRPr="007E51CC">
        <w:rPr>
          <w:rFonts w:ascii="Verdana" w:eastAsia="Century Gothic" w:hAnsi="Verdana" w:cs="Century Gothic"/>
          <w:sz w:val="21"/>
          <w:szCs w:val="21"/>
        </w:rPr>
        <w:t xml:space="preserve">12.2.- </w:t>
      </w:r>
      <w:r w:rsidRPr="007E51CC">
        <w:rPr>
          <w:rFonts w:ascii="Verdana" w:eastAsia="Century Gothic" w:hAnsi="Verdana" w:cs="Century Gothic"/>
          <w:i/>
          <w:iCs/>
          <w:sz w:val="21"/>
          <w:szCs w:val="21"/>
        </w:rPr>
        <w:t>Con esta postura, la Subsección rectifica lo definido en providencias anteriores, en las cuales, pese a no ser procedente la liquidación unilateral, se sumaron al término de caducidad los dos meses previstos para la misma</w:t>
      </w:r>
      <w:r w:rsidRPr="007E51CC">
        <w:rPr>
          <w:rFonts w:ascii="Verdana" w:eastAsia="Century Gothic" w:hAnsi="Verdana" w:cs="Century Gothic"/>
          <w:sz w:val="21"/>
          <w:szCs w:val="21"/>
        </w:rPr>
        <w:t>. Esta precisión se adopta teniendo en cuenta las disposiciones legales antes mencionadas y particularmente considerando que el plazo adicional de los dos meses solo tiene justificación cuando se haya pactado la liquidación unilateral y no se haya fijado un término contractual para hacerla. Contabilizar un plazo adicional para una actividad que no está pactada ni debe cumplirse por disposición legal, carece de justificación</w:t>
      </w:r>
      <w:r>
        <w:rPr>
          <w:rFonts w:ascii="Verdana" w:eastAsia="Century Gothic" w:hAnsi="Verdana" w:cs="Century Gothic"/>
          <w:sz w:val="21"/>
          <w:szCs w:val="21"/>
        </w:rPr>
        <w:t>”</w:t>
      </w:r>
      <w:r w:rsidRPr="007E51CC">
        <w:rPr>
          <w:rFonts w:ascii="Verdana" w:eastAsia="Century Gothic" w:hAnsi="Verdana" w:cs="Century Gothic"/>
          <w:sz w:val="21"/>
          <w:szCs w:val="21"/>
        </w:rPr>
        <w:t>.</w:t>
      </w:r>
    </w:p>
    <w:p w14:paraId="69923E8F" w14:textId="77777777" w:rsidR="009D1C58" w:rsidRDefault="009D1C58" w:rsidP="00605657">
      <w:pPr>
        <w:tabs>
          <w:tab w:val="left" w:pos="709"/>
        </w:tabs>
        <w:spacing w:after="0" w:line="0" w:lineRule="atLeast"/>
        <w:jc w:val="both"/>
        <w:rPr>
          <w:rFonts w:ascii="Verdana" w:eastAsia="Century Gothic" w:hAnsi="Verdana" w:cs="Century Gothic"/>
        </w:rPr>
      </w:pPr>
    </w:p>
    <w:p w14:paraId="2A76D97B" w14:textId="77777777" w:rsidR="009D1C58" w:rsidRDefault="009D1C58" w:rsidP="00605657">
      <w:pPr>
        <w:tabs>
          <w:tab w:val="left" w:pos="709"/>
        </w:tabs>
        <w:spacing w:after="0" w:line="0" w:lineRule="atLeast"/>
        <w:jc w:val="both"/>
        <w:rPr>
          <w:rFonts w:ascii="Verdana" w:eastAsia="Century Gothic" w:hAnsi="Verdana" w:cs="Century Gothic"/>
        </w:rPr>
      </w:pPr>
      <w:r>
        <w:rPr>
          <w:rFonts w:ascii="Verdana" w:eastAsia="Century Gothic" w:hAnsi="Verdana" w:cs="Century Gothic"/>
        </w:rPr>
        <w:lastRenderedPageBreak/>
        <w:tab/>
        <w:t xml:space="preserve">Conforme a la sentencia, la postura de la Subsección B aplica a todos los convenios interadministrativos sin hacer distinción alguna, así como a los contratos exceptuados del EGCAP. En estos negocios deberá verificarse si es posible o no liquidar unilateralmente, para determinar si el plazo respectivo entra en el cómputo de la caducidad del medio de control de controversias contractuales. </w:t>
      </w:r>
    </w:p>
    <w:p w14:paraId="7EAAF45A" w14:textId="77777777" w:rsidR="00A92100" w:rsidRDefault="00A92100" w:rsidP="00605657">
      <w:pPr>
        <w:tabs>
          <w:tab w:val="left" w:pos="709"/>
        </w:tabs>
        <w:spacing w:after="0" w:line="0" w:lineRule="atLeast"/>
        <w:jc w:val="both"/>
        <w:rPr>
          <w:rFonts w:ascii="Verdana" w:eastAsia="Century Gothic" w:hAnsi="Verdana" w:cs="Century Gothic"/>
        </w:rPr>
      </w:pPr>
    </w:p>
    <w:p w14:paraId="2C81FBE2" w14:textId="77777777" w:rsidR="009D1C58" w:rsidRDefault="009D1C58" w:rsidP="00605657">
      <w:pPr>
        <w:tabs>
          <w:tab w:val="left" w:pos="709"/>
        </w:tabs>
        <w:spacing w:after="0" w:line="0" w:lineRule="atLeast"/>
        <w:jc w:val="both"/>
        <w:rPr>
          <w:rFonts w:ascii="Verdana" w:eastAsia="Century Gothic" w:hAnsi="Verdana" w:cs="Century Gothic"/>
        </w:rPr>
      </w:pPr>
      <w:r>
        <w:rPr>
          <w:rFonts w:ascii="Verdana" w:eastAsia="Century Gothic" w:hAnsi="Verdana" w:cs="Century Gothic"/>
        </w:rPr>
        <w:tab/>
        <w:t xml:space="preserve">Respecto a la eficacia temporal de los cambios de jurisprudencia, la Corte Constitucional resalta la importancia de que estos tengan hacia el futuro, con el objetivo de no perjudicar las expectativas legítimas de quienes acuden a la </w:t>
      </w:r>
      <w:r w:rsidRPr="009F712D">
        <w:rPr>
          <w:rFonts w:ascii="Verdana" w:eastAsia="Century Gothic" w:hAnsi="Verdana" w:cs="Century Gothic"/>
        </w:rPr>
        <w:t>administración de justicia con fundamento en la postura superada</w:t>
      </w:r>
      <w:r w:rsidRPr="009F712D">
        <w:rPr>
          <w:rStyle w:val="Refdenotaalpie"/>
          <w:rFonts w:ascii="Verdana" w:eastAsia="Century Gothic" w:hAnsi="Verdana" w:cs="Century Gothic"/>
        </w:rPr>
        <w:footnoteReference w:id="18"/>
      </w:r>
      <w:r w:rsidRPr="009F712D">
        <w:rPr>
          <w:rFonts w:ascii="Verdana" w:eastAsia="Century Gothic" w:hAnsi="Verdana" w:cs="Century Gothic"/>
        </w:rPr>
        <w:t>. De esta manera, “[…] todo caso donde el juez abandona una solución previamente acogida en anteriores pronunciamientos y que conduce a la adopción de una nueva contraria que altera la tendencia sobre la cual se venían resolviendo pleitos similares, lleva consigo una regla de modulación temporal de transición en cuya virtud se considera que la nueva posición se acoge sin perjuicio del estatus jurídico de las situaciones consolidadas surtidas antes de ese pronunciamiento</w:t>
      </w:r>
      <w:r>
        <w:rPr>
          <w:rFonts w:ascii="Verdana" w:eastAsia="Century Gothic" w:hAnsi="Verdana" w:cs="Century Gothic"/>
        </w:rPr>
        <w:t>”</w:t>
      </w:r>
      <w:r>
        <w:rPr>
          <w:rStyle w:val="Refdenotaalpie"/>
          <w:rFonts w:ascii="Verdana" w:eastAsia="Century Gothic" w:hAnsi="Verdana" w:cs="Century Gothic"/>
        </w:rPr>
        <w:footnoteReference w:id="19"/>
      </w:r>
      <w:r>
        <w:rPr>
          <w:rFonts w:ascii="Verdana" w:eastAsia="Century Gothic" w:hAnsi="Verdana" w:cs="Century Gothic"/>
        </w:rPr>
        <w:t>.</w:t>
      </w:r>
    </w:p>
    <w:p w14:paraId="4D90AF60" w14:textId="77777777" w:rsidR="00A92100" w:rsidRDefault="00A92100" w:rsidP="00605657">
      <w:pPr>
        <w:tabs>
          <w:tab w:val="left" w:pos="709"/>
        </w:tabs>
        <w:spacing w:after="0" w:line="0" w:lineRule="atLeast"/>
        <w:jc w:val="both"/>
        <w:rPr>
          <w:rFonts w:ascii="Verdana" w:eastAsia="Century Gothic" w:hAnsi="Verdana" w:cs="Century Gothic"/>
        </w:rPr>
      </w:pPr>
    </w:p>
    <w:p w14:paraId="11A8C96C" w14:textId="77777777" w:rsidR="009D1C58" w:rsidRDefault="009D1C58" w:rsidP="00605657">
      <w:pPr>
        <w:spacing w:after="0" w:line="0" w:lineRule="atLeast"/>
        <w:jc w:val="both"/>
      </w:pPr>
      <w:r>
        <w:rPr>
          <w:rFonts w:ascii="Verdana" w:eastAsia="Century Gothic" w:hAnsi="Verdana" w:cs="Century Gothic"/>
        </w:rPr>
        <w:tab/>
      </w:r>
      <w:r>
        <w:rPr>
          <w:rFonts w:ascii="Verdana" w:hAnsi="Verdana" w:cs="Arial"/>
          <w:iCs/>
          <w:color w:val="000000" w:themeColor="text1"/>
        </w:rPr>
        <w:t xml:space="preserve">Sin perjuicio de lo anterior, vale la pena considerar que la postura de la decisión adoptada el </w:t>
      </w:r>
      <w:r w:rsidRPr="00174E00">
        <w:rPr>
          <w:rFonts w:ascii="Verdana" w:hAnsi="Verdana" w:cs="Arial"/>
          <w:iCs/>
          <w:color w:val="000000" w:themeColor="text1"/>
        </w:rPr>
        <w:t>20 de mayo de 2024</w:t>
      </w:r>
      <w:r>
        <w:rPr>
          <w:rFonts w:ascii="Verdana" w:hAnsi="Verdana" w:cs="Arial"/>
          <w:iCs/>
          <w:color w:val="000000" w:themeColor="text1"/>
        </w:rPr>
        <w:t xml:space="preserve"> no se encuentra unificada en los términos del artículo 270 de la Ley 1437 de 2011, por lo que no surge el deber de aplicación uniforme de que trata el artículo 10 </w:t>
      </w:r>
      <w:r w:rsidRPr="00CD1E9C">
        <w:rPr>
          <w:rFonts w:ascii="Verdana" w:hAnsi="Verdana" w:cs="Arial"/>
          <w:i/>
          <w:color w:val="000000" w:themeColor="text1"/>
        </w:rPr>
        <w:t>ibidem</w:t>
      </w:r>
      <w:r>
        <w:rPr>
          <w:rStyle w:val="Refdenotaalpie"/>
          <w:rFonts w:ascii="Verdana" w:hAnsi="Verdana" w:cs="Arial"/>
          <w:i/>
          <w:color w:val="000000" w:themeColor="text1"/>
        </w:rPr>
        <w:footnoteReference w:id="20"/>
      </w:r>
      <w:r>
        <w:rPr>
          <w:rFonts w:ascii="Verdana" w:hAnsi="Verdana" w:cs="Arial"/>
          <w:iCs/>
          <w:color w:val="000000" w:themeColor="text1"/>
        </w:rPr>
        <w:t xml:space="preserve">. En este contexto, la Sentencia de la Subsección B de la Sección Tercera del Consejo de Estado tiene </w:t>
      </w:r>
      <w:r>
        <w:rPr>
          <w:rFonts w:ascii="Verdana" w:hAnsi="Verdana" w:cs="Arial"/>
          <w:iCs/>
          <w:color w:val="000000" w:themeColor="text1"/>
        </w:rPr>
        <w:lastRenderedPageBreak/>
        <w:t>efectos de cosa juzgada en el proceso en que se expidió, sin que esta pauta interpretativa sea vinculante para los demás jueces de la república.</w:t>
      </w:r>
      <w:r>
        <w:t xml:space="preserve"> </w:t>
      </w:r>
    </w:p>
    <w:p w14:paraId="6EA57088" w14:textId="77777777" w:rsidR="00A92100" w:rsidRDefault="00A92100" w:rsidP="00605657">
      <w:pPr>
        <w:spacing w:after="0" w:line="0" w:lineRule="atLeast"/>
        <w:jc w:val="both"/>
      </w:pPr>
    </w:p>
    <w:p w14:paraId="1343F02E" w14:textId="77777777" w:rsidR="009D1C58" w:rsidRDefault="009D1C58" w:rsidP="00605657">
      <w:pPr>
        <w:tabs>
          <w:tab w:val="left" w:pos="709"/>
        </w:tabs>
        <w:spacing w:after="0" w:line="0" w:lineRule="atLeast"/>
        <w:jc w:val="both"/>
        <w:rPr>
          <w:rFonts w:ascii="Verdana" w:hAnsi="Verdana" w:cs="Arial"/>
          <w:iCs/>
          <w:color w:val="000000" w:themeColor="text1"/>
        </w:rPr>
      </w:pPr>
      <w:r>
        <w:rPr>
          <w:rFonts w:ascii="Verdana" w:hAnsi="Verdana" w:cs="Arial"/>
          <w:iCs/>
          <w:color w:val="000000" w:themeColor="text1"/>
        </w:rPr>
        <w:tab/>
        <w:t>Ello es congruente con el artículo 17 del Código Civil, ya que “</w:t>
      </w:r>
      <w:r w:rsidRPr="001344F9">
        <w:rPr>
          <w:rFonts w:ascii="Verdana" w:hAnsi="Verdana" w:cs="Arial"/>
          <w:iCs/>
          <w:color w:val="000000" w:themeColor="text1"/>
        </w:rPr>
        <w:t>Las sentencias judiciales no tienen fuerza obligatoria sino respecto de las causas en que fueron pronunciadas. Es, por tanto, prohibido a los jueces proveer en los negocios de su competencia por vía de disposición general o reglamentaria</w:t>
      </w:r>
      <w:r>
        <w:rPr>
          <w:rFonts w:ascii="Verdana" w:hAnsi="Verdana" w:cs="Arial"/>
          <w:iCs/>
          <w:color w:val="000000" w:themeColor="text1"/>
        </w:rPr>
        <w:t>”</w:t>
      </w:r>
      <w:r w:rsidRPr="001344F9">
        <w:rPr>
          <w:rStyle w:val="Refdenotaalpie"/>
          <w:rFonts w:ascii="Verdana" w:hAnsi="Verdana" w:cs="Arial"/>
          <w:iCs/>
          <w:color w:val="000000" w:themeColor="text1"/>
          <w:sz w:val="21"/>
          <w:szCs w:val="21"/>
        </w:rPr>
        <w:footnoteReference w:id="21"/>
      </w:r>
      <w:r w:rsidRPr="001344F9">
        <w:rPr>
          <w:rFonts w:ascii="Verdana" w:hAnsi="Verdana" w:cs="Arial"/>
          <w:iCs/>
          <w:color w:val="000000" w:themeColor="text1"/>
        </w:rPr>
        <w:t>.</w:t>
      </w:r>
      <w:r>
        <w:rPr>
          <w:rFonts w:ascii="Verdana" w:hAnsi="Verdana" w:cs="Arial"/>
          <w:iCs/>
          <w:color w:val="000000" w:themeColor="text1"/>
        </w:rPr>
        <w:t xml:space="preserve"> Por tanto, en ausencia de unificación jurisprudencial al interior de la Sección Tercera del Consejo de Estado, la forma como la Subsección B calcula la caducidad del medio de control de controversias contractuales no es vinculante para las Subsecciones A y C, cuyos magistrados pueden adoptar un criterio totalmente distinto para su cómputo.</w:t>
      </w:r>
    </w:p>
    <w:p w14:paraId="3061D42D" w14:textId="77777777" w:rsidR="009D1C58" w:rsidRPr="00F417E8" w:rsidRDefault="009D1C58" w:rsidP="00605657">
      <w:pPr>
        <w:tabs>
          <w:tab w:val="left" w:pos="709"/>
        </w:tabs>
        <w:spacing w:after="0" w:line="0" w:lineRule="atLeast"/>
        <w:jc w:val="both"/>
        <w:rPr>
          <w:rFonts w:ascii="Verdana" w:eastAsia="Calibri" w:hAnsi="Verdana" w:cs="Arial"/>
          <w:color w:val="000000" w:themeColor="text1"/>
        </w:rPr>
      </w:pPr>
      <w:r>
        <w:rPr>
          <w:rFonts w:ascii="Verdana" w:hAnsi="Verdana" w:cs="Arial"/>
          <w:iCs/>
          <w:color w:val="000000" w:themeColor="text1"/>
        </w:rPr>
        <w:tab/>
      </w:r>
      <w:r>
        <w:rPr>
          <w:rFonts w:ascii="Verdana" w:eastAsia="Calibri" w:hAnsi="Verdana" w:cs="Arial"/>
          <w:color w:val="000000" w:themeColor="text1"/>
        </w:rPr>
        <w:t xml:space="preserve">En todo caso, </w:t>
      </w:r>
      <w:r w:rsidRPr="00F417E8">
        <w:rPr>
          <w:rFonts w:ascii="Verdana" w:eastAsia="Calibri" w:hAnsi="Verdana" w:cs="Arial"/>
          <w:color w:val="000000" w:themeColor="text1"/>
        </w:rPr>
        <w:t>el análisis</w:t>
      </w:r>
      <w:r>
        <w:rPr>
          <w:rFonts w:ascii="Verdana" w:eastAsia="Calibri" w:hAnsi="Verdana" w:cs="Arial"/>
          <w:color w:val="000000" w:themeColor="text1"/>
        </w:rPr>
        <w:t xml:space="preserve"> </w:t>
      </w:r>
      <w:r w:rsidRPr="00F417E8">
        <w:rPr>
          <w:rFonts w:ascii="Verdana" w:eastAsia="Calibri" w:hAnsi="Verdana" w:cs="Arial"/>
          <w:color w:val="000000" w:themeColor="text1"/>
        </w:rPr>
        <w:t>requerido</w:t>
      </w:r>
      <w:r>
        <w:rPr>
          <w:rFonts w:ascii="Verdana" w:eastAsia="Calibri" w:hAnsi="Verdana" w:cs="Arial"/>
          <w:color w:val="000000" w:themeColor="text1"/>
        </w:rPr>
        <w:t xml:space="preserve"> </w:t>
      </w:r>
      <w:r w:rsidRPr="00F417E8">
        <w:rPr>
          <w:rFonts w:ascii="Verdana" w:eastAsia="Calibri" w:hAnsi="Verdana" w:cs="Arial"/>
          <w:color w:val="000000" w:themeColor="text1"/>
        </w:rPr>
        <w:t>para</w:t>
      </w:r>
      <w:r>
        <w:rPr>
          <w:rFonts w:ascii="Verdana" w:eastAsia="Calibri" w:hAnsi="Verdana" w:cs="Arial"/>
          <w:color w:val="000000" w:themeColor="text1"/>
        </w:rPr>
        <w:t xml:space="preserve"> demandar oportunamente </w:t>
      </w:r>
      <w:r w:rsidRPr="00F417E8">
        <w:rPr>
          <w:rFonts w:ascii="Verdana" w:eastAsia="Calibri" w:hAnsi="Verdana" w:cs="Arial"/>
          <w:color w:val="000000" w:themeColor="text1"/>
        </w:rPr>
        <w:t>debe ser realizado por</w:t>
      </w:r>
      <w:r>
        <w:rPr>
          <w:rFonts w:ascii="Verdana" w:eastAsia="Calibri" w:hAnsi="Verdana" w:cs="Arial"/>
          <w:color w:val="000000" w:themeColor="text1"/>
        </w:rPr>
        <w:t xml:space="preserve"> </w:t>
      </w:r>
      <w:r w:rsidRPr="00F417E8">
        <w:rPr>
          <w:rFonts w:ascii="Verdana" w:eastAsia="Calibri" w:hAnsi="Verdana" w:cs="Arial"/>
          <w:color w:val="000000" w:themeColor="text1"/>
        </w:rPr>
        <w:t>quienes tengan interés en ello, de acuerdo con lo explicado</w:t>
      </w:r>
      <w:r>
        <w:rPr>
          <w:rFonts w:ascii="Verdana" w:eastAsia="Calibri" w:hAnsi="Verdana" w:cs="Arial"/>
          <w:color w:val="000000" w:themeColor="text1"/>
        </w:rPr>
        <w:t xml:space="preserve"> </w:t>
      </w:r>
      <w:r w:rsidRPr="00F417E8">
        <w:rPr>
          <w:rFonts w:ascii="Verdana" w:eastAsia="Calibri" w:hAnsi="Verdana" w:cs="Arial"/>
          <w:color w:val="000000" w:themeColor="text1"/>
        </w:rPr>
        <w:t>la aclaración preliminar del presente oficio. De esta manera, las afirmaciones aquí realizadas</w:t>
      </w:r>
      <w:r>
        <w:rPr>
          <w:rFonts w:ascii="Verdana" w:eastAsia="Calibri" w:hAnsi="Verdana" w:cs="Arial"/>
          <w:color w:val="000000" w:themeColor="text1"/>
        </w:rPr>
        <w:t xml:space="preserve"> </w:t>
      </w:r>
      <w:r w:rsidRPr="00F417E8">
        <w:rPr>
          <w:rFonts w:ascii="Verdana" w:eastAsia="Calibri" w:hAnsi="Verdana" w:cs="Arial"/>
          <w:color w:val="000000" w:themeColor="text1"/>
        </w:rPr>
        <w:t>no</w:t>
      </w:r>
      <w:r>
        <w:rPr>
          <w:rFonts w:ascii="Verdana" w:eastAsia="Calibri" w:hAnsi="Verdana" w:cs="Arial"/>
          <w:color w:val="000000" w:themeColor="text1"/>
        </w:rPr>
        <w:t xml:space="preserve"> </w:t>
      </w:r>
      <w:r w:rsidRPr="00F417E8">
        <w:rPr>
          <w:rFonts w:ascii="Verdana" w:eastAsia="Calibri" w:hAnsi="Verdana" w:cs="Arial"/>
          <w:color w:val="000000" w:themeColor="text1"/>
        </w:rPr>
        <w:t>pueden ser interpretadas como juicios de valor sobre circunstancias</w:t>
      </w:r>
      <w:r>
        <w:rPr>
          <w:rFonts w:ascii="Verdana" w:eastAsia="Calibri" w:hAnsi="Verdana" w:cs="Arial"/>
          <w:color w:val="000000" w:themeColor="text1"/>
        </w:rPr>
        <w:t xml:space="preserve"> </w:t>
      </w:r>
      <w:r w:rsidRPr="00F417E8">
        <w:rPr>
          <w:rFonts w:ascii="Verdana" w:eastAsia="Calibri" w:hAnsi="Verdana" w:cs="Arial"/>
          <w:color w:val="000000" w:themeColor="text1"/>
        </w:rPr>
        <w:t>concretas</w:t>
      </w:r>
      <w:r>
        <w:rPr>
          <w:rFonts w:ascii="Verdana" w:eastAsia="Calibri" w:hAnsi="Verdana" w:cs="Arial"/>
          <w:color w:val="000000" w:themeColor="text1"/>
        </w:rPr>
        <w:t xml:space="preserve"> </w:t>
      </w:r>
      <w:r w:rsidRPr="00F417E8">
        <w:rPr>
          <w:rFonts w:ascii="Verdana" w:eastAsia="Calibri" w:hAnsi="Verdana" w:cs="Arial"/>
          <w:color w:val="000000" w:themeColor="text1"/>
        </w:rPr>
        <w:t>relacionadas con los hechos que motivan la consulta. Por lo anterior, previo concepto de sus asesores, la solución de situaciones particulares corresponde a los interesados</w:t>
      </w:r>
      <w:r>
        <w:rPr>
          <w:rFonts w:ascii="Verdana" w:eastAsia="Calibri" w:hAnsi="Verdana" w:cs="Arial"/>
          <w:color w:val="000000" w:themeColor="text1"/>
        </w:rPr>
        <w:t xml:space="preserve"> </w:t>
      </w:r>
      <w:r w:rsidRPr="00F417E8">
        <w:rPr>
          <w:rFonts w:ascii="Verdana" w:eastAsia="Calibri" w:hAnsi="Verdana" w:cs="Arial"/>
          <w:color w:val="000000" w:themeColor="text1"/>
        </w:rPr>
        <w:t>adoptar la decisión correspondiente y, en caso de conflicto, a las autoridades judiciales, fiscales y disciplinarias.</w:t>
      </w:r>
    </w:p>
    <w:p w14:paraId="3415966B" w14:textId="77777777" w:rsidR="009D1C58" w:rsidRPr="009F712D" w:rsidRDefault="009D1C58" w:rsidP="00605657">
      <w:pPr>
        <w:tabs>
          <w:tab w:val="left" w:pos="709"/>
        </w:tabs>
        <w:spacing w:after="0" w:line="0" w:lineRule="atLeast"/>
        <w:jc w:val="both"/>
        <w:rPr>
          <w:rFonts w:ascii="Verdana" w:eastAsia="Century Gothic" w:hAnsi="Verdana" w:cs="Century Gothic"/>
        </w:rPr>
      </w:pPr>
      <w:r>
        <w:rPr>
          <w:rFonts w:ascii="Verdana" w:eastAsia="Calibri" w:hAnsi="Verdana" w:cs="Arial"/>
          <w:color w:val="000000" w:themeColor="text1"/>
        </w:rPr>
        <w:tab/>
      </w:r>
      <w:r w:rsidRPr="00F417E8">
        <w:rPr>
          <w:rFonts w:ascii="Verdana" w:eastAsia="Calibri" w:hAnsi="Verdana" w:cs="Arial"/>
          <w:color w:val="000000" w:themeColor="text1"/>
        </w:rPr>
        <w:t>Dentro de este marco, la entidad contratante definirá en cada caso concreto lo</w:t>
      </w:r>
      <w:r>
        <w:rPr>
          <w:rFonts w:ascii="Verdana" w:eastAsia="Calibri" w:hAnsi="Verdana" w:cs="Arial"/>
          <w:color w:val="000000" w:themeColor="text1"/>
        </w:rPr>
        <w:t xml:space="preserve"> </w:t>
      </w:r>
      <w:r w:rsidRPr="00F417E8">
        <w:rPr>
          <w:rFonts w:ascii="Verdana" w:eastAsia="Calibri" w:hAnsi="Verdana" w:cs="Arial"/>
          <w:color w:val="000000" w:themeColor="text1"/>
        </w:rPr>
        <w:t>relacionado con</w:t>
      </w:r>
      <w:r>
        <w:rPr>
          <w:rFonts w:ascii="Verdana" w:eastAsia="Calibri" w:hAnsi="Verdana" w:cs="Arial"/>
          <w:color w:val="000000" w:themeColor="text1"/>
        </w:rPr>
        <w:t xml:space="preserve"> el tema objeto de consulta</w:t>
      </w:r>
      <w:r w:rsidRPr="00F417E8">
        <w:rPr>
          <w:rFonts w:ascii="Verdana" w:eastAsia="Calibri" w:hAnsi="Verdana" w:cs="Arial"/>
          <w:color w:val="000000" w:themeColor="text1"/>
        </w:rPr>
        <w:t xml:space="preserve">. Al tratarse de un análisis que debe realizarse en el </w:t>
      </w:r>
      <w:r>
        <w:rPr>
          <w:rFonts w:ascii="Verdana" w:eastAsia="Calibri" w:hAnsi="Verdana" w:cs="Arial"/>
          <w:color w:val="000000" w:themeColor="text1"/>
        </w:rPr>
        <w:t>proceso</w:t>
      </w:r>
      <w:r w:rsidRPr="00F417E8">
        <w:rPr>
          <w:rFonts w:ascii="Verdana" w:eastAsia="Calibri" w:hAnsi="Verdana" w:cs="Arial"/>
          <w:color w:val="000000" w:themeColor="text1"/>
        </w:rPr>
        <w:t xml:space="preserve"> específico, la Agencia no puede definir un criterio universal y absoluto,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w:t>
      </w:r>
      <w:r>
        <w:rPr>
          <w:rFonts w:ascii="Verdana" w:eastAsia="Calibri" w:hAnsi="Verdana" w:cs="Arial"/>
          <w:color w:val="000000" w:themeColor="text1"/>
        </w:rPr>
        <w:t>procesal</w:t>
      </w:r>
      <w:r w:rsidRPr="00F417E8">
        <w:rPr>
          <w:rFonts w:ascii="Verdana" w:eastAsia="Calibri" w:hAnsi="Verdana" w:cs="Arial"/>
          <w:color w:val="000000" w:themeColor="text1"/>
        </w:rPr>
        <w:t>, sin que sea atribución de Colombia Compra Eficiente validar sus actuaciones.</w:t>
      </w:r>
      <w:r>
        <w:rPr>
          <w:rFonts w:ascii="Verdana" w:hAnsi="Verdana" w:cs="Arial"/>
          <w:iCs/>
          <w:color w:val="000000" w:themeColor="text1"/>
        </w:rPr>
        <w:t xml:space="preserve"> </w:t>
      </w:r>
    </w:p>
    <w:p w14:paraId="3B385911" w14:textId="77777777" w:rsidR="009D1C58" w:rsidRPr="00182C89" w:rsidRDefault="009D1C58" w:rsidP="00605657">
      <w:pPr>
        <w:tabs>
          <w:tab w:val="left" w:pos="709"/>
        </w:tabs>
        <w:spacing w:after="0" w:line="0" w:lineRule="atLeast"/>
        <w:jc w:val="both"/>
        <w:rPr>
          <w:rFonts w:ascii="Verdana" w:eastAsia="Calibri" w:hAnsi="Verdana" w:cs="Arial"/>
          <w:color w:val="000000" w:themeColor="text1"/>
        </w:rPr>
      </w:pPr>
    </w:p>
    <w:p w14:paraId="7BBDC4FA" w14:textId="77777777" w:rsidR="009D1C58" w:rsidRPr="00593A5F" w:rsidRDefault="009D1C58" w:rsidP="00605657">
      <w:pPr>
        <w:pStyle w:val="Prrafodelista"/>
        <w:numPr>
          <w:ilvl w:val="0"/>
          <w:numId w:val="16"/>
        </w:numPr>
        <w:tabs>
          <w:tab w:val="left" w:pos="142"/>
          <w:tab w:val="left" w:pos="284"/>
        </w:tabs>
        <w:spacing w:after="0" w:line="0" w:lineRule="atLeast"/>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3A3AA8ED" w14:textId="77777777" w:rsidR="009D1C58" w:rsidRPr="00593A5F" w:rsidRDefault="009D1C58" w:rsidP="00605657">
      <w:pPr>
        <w:widowControl w:val="0"/>
        <w:autoSpaceDE w:val="0"/>
        <w:autoSpaceDN w:val="0"/>
        <w:spacing w:after="0" w:line="0" w:lineRule="atLeast"/>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D1C58" w:rsidRPr="002407CE" w14:paraId="7AC1DA6A" w14:textId="77777777">
        <w:trPr>
          <w:trHeight w:val="870"/>
          <w:jc w:val="center"/>
        </w:trPr>
        <w:tc>
          <w:tcPr>
            <w:tcW w:w="8647" w:type="dxa"/>
          </w:tcPr>
          <w:p w14:paraId="776F5A8B" w14:textId="77777777" w:rsidR="009D1C58" w:rsidRDefault="009D1C58" w:rsidP="00605657">
            <w:pPr>
              <w:pStyle w:val="Prrafodelista"/>
              <w:widowControl w:val="0"/>
              <w:numPr>
                <w:ilvl w:val="0"/>
                <w:numId w:val="17"/>
              </w:numPr>
              <w:autoSpaceDE w:val="0"/>
              <w:autoSpaceDN w:val="0"/>
              <w:spacing w:line="0" w:lineRule="atLeast"/>
              <w:jc w:val="both"/>
              <w:rPr>
                <w:rFonts w:ascii="Verdana" w:hAnsi="Verdana" w:cs="Arial"/>
              </w:rPr>
            </w:pPr>
            <w:r>
              <w:rPr>
                <w:rFonts w:ascii="Verdana" w:hAnsi="Verdana" w:cs="Arial"/>
              </w:rPr>
              <w:t xml:space="preserve">Ley 80 de 1993, artículo 60. </w:t>
            </w:r>
          </w:p>
          <w:p w14:paraId="05F18D85" w14:textId="77777777" w:rsidR="009D1C58" w:rsidRPr="00B478FA" w:rsidRDefault="009D1C58" w:rsidP="00605657">
            <w:pPr>
              <w:pStyle w:val="Prrafodelista"/>
              <w:widowControl w:val="0"/>
              <w:autoSpaceDE w:val="0"/>
              <w:autoSpaceDN w:val="0"/>
              <w:spacing w:line="0" w:lineRule="atLeast"/>
              <w:jc w:val="both"/>
              <w:rPr>
                <w:rFonts w:ascii="Verdana" w:hAnsi="Verdana" w:cs="Arial"/>
                <w:sz w:val="12"/>
                <w:szCs w:val="12"/>
              </w:rPr>
            </w:pPr>
          </w:p>
          <w:p w14:paraId="1ECEE6EF" w14:textId="77777777" w:rsidR="009D1C58" w:rsidRDefault="009D1C58" w:rsidP="00605657">
            <w:pPr>
              <w:pStyle w:val="Prrafodelista"/>
              <w:widowControl w:val="0"/>
              <w:numPr>
                <w:ilvl w:val="0"/>
                <w:numId w:val="17"/>
              </w:numPr>
              <w:autoSpaceDE w:val="0"/>
              <w:autoSpaceDN w:val="0"/>
              <w:spacing w:line="0" w:lineRule="atLeast"/>
              <w:jc w:val="both"/>
              <w:rPr>
                <w:rFonts w:ascii="Verdana" w:hAnsi="Verdana" w:cs="Arial"/>
              </w:rPr>
            </w:pPr>
            <w:r w:rsidRPr="00EA612E">
              <w:rPr>
                <w:rFonts w:ascii="Verdana" w:hAnsi="Verdana" w:cs="Arial"/>
              </w:rPr>
              <w:t xml:space="preserve">Ley 1150 de 2007, artículo </w:t>
            </w:r>
            <w:r>
              <w:rPr>
                <w:rFonts w:ascii="Verdana" w:hAnsi="Verdana" w:cs="Arial"/>
              </w:rPr>
              <w:t>11</w:t>
            </w:r>
            <w:r w:rsidRPr="00EA612E">
              <w:rPr>
                <w:rFonts w:ascii="Verdana" w:hAnsi="Verdana" w:cs="Arial"/>
              </w:rPr>
              <w:t xml:space="preserve">. </w:t>
            </w:r>
          </w:p>
          <w:p w14:paraId="027E1A79" w14:textId="77777777" w:rsidR="009D1C58" w:rsidRPr="00B478FA" w:rsidRDefault="009D1C58" w:rsidP="00605657">
            <w:pPr>
              <w:widowControl w:val="0"/>
              <w:autoSpaceDE w:val="0"/>
              <w:autoSpaceDN w:val="0"/>
              <w:spacing w:line="0" w:lineRule="atLeast"/>
              <w:jc w:val="both"/>
              <w:rPr>
                <w:rFonts w:ascii="Verdana" w:hAnsi="Verdana" w:cs="Arial"/>
                <w:sz w:val="12"/>
                <w:szCs w:val="12"/>
              </w:rPr>
            </w:pPr>
          </w:p>
          <w:p w14:paraId="3ACA378C" w14:textId="77777777" w:rsidR="009D1C58" w:rsidRPr="001C6C6F" w:rsidRDefault="009D1C58" w:rsidP="00605657">
            <w:pPr>
              <w:pStyle w:val="Prrafodelista"/>
              <w:widowControl w:val="0"/>
              <w:numPr>
                <w:ilvl w:val="0"/>
                <w:numId w:val="17"/>
              </w:numPr>
              <w:autoSpaceDE w:val="0"/>
              <w:autoSpaceDN w:val="0"/>
              <w:spacing w:line="0" w:lineRule="atLeast"/>
              <w:ind w:left="714" w:hanging="357"/>
              <w:contextualSpacing w:val="0"/>
              <w:jc w:val="both"/>
              <w:rPr>
                <w:rFonts w:ascii="Verdana" w:hAnsi="Verdana" w:cs="Arial"/>
              </w:rPr>
            </w:pPr>
            <w:r>
              <w:rPr>
                <w:rFonts w:ascii="Verdana" w:hAnsi="Verdana" w:cs="Arial"/>
              </w:rPr>
              <w:lastRenderedPageBreak/>
              <w:t>Ley 1437 de 2011</w:t>
            </w:r>
            <w:r w:rsidRPr="00EA612E">
              <w:rPr>
                <w:rFonts w:ascii="Verdana" w:hAnsi="Verdana" w:cs="Arial"/>
              </w:rPr>
              <w:t xml:space="preserve">, artículos </w:t>
            </w:r>
            <w:r>
              <w:rPr>
                <w:rFonts w:ascii="Verdana" w:hAnsi="Verdana" w:cs="Arial"/>
              </w:rPr>
              <w:t>141 y 164</w:t>
            </w:r>
            <w:r w:rsidRPr="00EA612E">
              <w:rPr>
                <w:rFonts w:ascii="Verdana" w:hAnsi="Verdana" w:cs="Arial"/>
              </w:rPr>
              <w:t>.</w:t>
            </w:r>
          </w:p>
        </w:tc>
      </w:tr>
    </w:tbl>
    <w:p w14:paraId="79E4FC35" w14:textId="77777777" w:rsidR="009D1C58" w:rsidRPr="002407CE" w:rsidRDefault="009D1C58" w:rsidP="00605657">
      <w:pPr>
        <w:widowControl w:val="0"/>
        <w:autoSpaceDE w:val="0"/>
        <w:autoSpaceDN w:val="0"/>
        <w:spacing w:after="0" w:line="0" w:lineRule="atLeast"/>
        <w:jc w:val="both"/>
        <w:rPr>
          <w:rFonts w:ascii="Verdana" w:hAnsi="Verdana" w:cs="Arial"/>
        </w:rPr>
      </w:pPr>
    </w:p>
    <w:p w14:paraId="60AC6614" w14:textId="77777777" w:rsidR="009D1C58" w:rsidRPr="00593A5F" w:rsidRDefault="009D1C58" w:rsidP="00605657">
      <w:pPr>
        <w:pStyle w:val="Prrafodelista"/>
        <w:numPr>
          <w:ilvl w:val="0"/>
          <w:numId w:val="16"/>
        </w:numPr>
        <w:tabs>
          <w:tab w:val="left" w:pos="142"/>
          <w:tab w:val="left" w:pos="284"/>
        </w:tabs>
        <w:spacing w:after="0" w:line="0" w:lineRule="atLeast"/>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0D4EB9A" w14:textId="77777777" w:rsidR="009D1C58" w:rsidRPr="00593A5F" w:rsidRDefault="009D1C58" w:rsidP="00605657">
      <w:pPr>
        <w:widowControl w:val="0"/>
        <w:autoSpaceDE w:val="0"/>
        <w:autoSpaceDN w:val="0"/>
        <w:spacing w:after="0" w:line="0" w:lineRule="atLeast"/>
        <w:jc w:val="both"/>
        <w:rPr>
          <w:rFonts w:ascii="Verdana" w:hAnsi="Verdana" w:cs="Arial"/>
        </w:rPr>
      </w:pPr>
    </w:p>
    <w:p w14:paraId="135F40B9" w14:textId="77777777" w:rsidR="009D1C58" w:rsidRDefault="009D1C58" w:rsidP="00605657">
      <w:pPr>
        <w:widowControl w:val="0"/>
        <w:autoSpaceDE w:val="0"/>
        <w:autoSpaceDN w:val="0"/>
        <w:spacing w:after="0" w:line="0" w:lineRule="atLeast"/>
        <w:jc w:val="both"/>
        <w:rPr>
          <w:rStyle w:val="normaltextrun"/>
          <w:rFonts w:ascii="Verdana" w:hAnsi="Verdana" w:cs="Arial"/>
          <w:color w:val="FF0000"/>
          <w:shd w:val="clear" w:color="auto" w:fill="FFFFFF"/>
          <w:lang w:val="es-ES"/>
        </w:rPr>
      </w:pPr>
      <w:r w:rsidRPr="005344DB">
        <w:rPr>
          <w:rStyle w:val="normaltextrun"/>
          <w:rFonts w:ascii="Verdana" w:hAnsi="Verdana" w:cs="Arial"/>
          <w:shd w:val="clear" w:color="auto" w:fill="FFFFFF"/>
        </w:rPr>
        <w:t>Esta Subdirección se ha pronunciado sobre la liquidación en los Conceptos 4201912000004908 del 27 de septiembre de 2019, CU-028 de 25 de febrero de 2020, C-221 de 21 de abril de 2020, C-078 del 17 de marzo de 2021, C-220 del 18 de mayo de 2021, C-444 del 23 de julio de 2021, C-747 del 8 de noviembre de 2022, C-739 de del 29 de noviembre de 2022, C- 176 de 3 de mayo de 2023</w:t>
      </w:r>
      <w:r>
        <w:rPr>
          <w:rStyle w:val="normaltextrun"/>
          <w:rFonts w:ascii="Verdana" w:hAnsi="Verdana" w:cs="Arial"/>
          <w:shd w:val="clear" w:color="auto" w:fill="FFFFFF"/>
        </w:rPr>
        <w:t>,</w:t>
      </w:r>
      <w:r w:rsidRPr="005344DB">
        <w:rPr>
          <w:rStyle w:val="normaltextrun"/>
          <w:rFonts w:ascii="Verdana" w:hAnsi="Verdana" w:cs="Arial"/>
          <w:shd w:val="clear" w:color="auto" w:fill="FFFFFF"/>
        </w:rPr>
        <w:t xml:space="preserve"> C-158 del 6 de junio de 2023</w:t>
      </w:r>
      <w:r>
        <w:rPr>
          <w:rStyle w:val="normaltextrun"/>
          <w:rFonts w:ascii="Verdana" w:hAnsi="Verdana" w:cs="Arial"/>
          <w:shd w:val="clear" w:color="auto" w:fill="FFFFFF"/>
        </w:rPr>
        <w:t xml:space="preserve"> y C-326 del 15 de agosto de 2024</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4842C183" w14:textId="77777777" w:rsidR="009D1C58" w:rsidRDefault="009D1C58" w:rsidP="00605657">
      <w:pPr>
        <w:widowControl w:val="0"/>
        <w:autoSpaceDE w:val="0"/>
        <w:autoSpaceDN w:val="0"/>
        <w:spacing w:after="0" w:line="0" w:lineRule="atLeast"/>
        <w:jc w:val="both"/>
        <w:rPr>
          <w:rStyle w:val="normaltextrun"/>
          <w:rFonts w:ascii="Verdana" w:hAnsi="Verdana" w:cs="Arial"/>
          <w:color w:val="FF0000"/>
          <w:shd w:val="clear" w:color="auto" w:fill="FFFFFF"/>
          <w:lang w:val="es-ES"/>
        </w:rPr>
      </w:pPr>
    </w:p>
    <w:p w14:paraId="4406A34B" w14:textId="77777777" w:rsidR="009D1C58" w:rsidRPr="00A1554D" w:rsidRDefault="009D1C58" w:rsidP="00605657">
      <w:pPr>
        <w:widowControl w:val="0"/>
        <w:autoSpaceDE w:val="0"/>
        <w:autoSpaceDN w:val="0"/>
        <w:spacing w:after="0" w:line="0" w:lineRule="atLeast"/>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4DB352E1" w14:textId="77777777" w:rsidR="009D1C58" w:rsidRPr="00593A5F" w:rsidRDefault="009D1C58" w:rsidP="00605657">
      <w:pPr>
        <w:widowControl w:val="0"/>
        <w:autoSpaceDE w:val="0"/>
        <w:autoSpaceDN w:val="0"/>
        <w:spacing w:after="0" w:line="0" w:lineRule="atLeast"/>
        <w:jc w:val="both"/>
        <w:rPr>
          <w:rFonts w:ascii="Verdana" w:hAnsi="Verdana" w:cs="Arial"/>
        </w:rPr>
      </w:pPr>
    </w:p>
    <w:p w14:paraId="737F6B62" w14:textId="77777777" w:rsidR="009D1C58" w:rsidRPr="00593A5F" w:rsidRDefault="009D1C58" w:rsidP="00605657">
      <w:pPr>
        <w:widowControl w:val="0"/>
        <w:autoSpaceDE w:val="0"/>
        <w:autoSpaceDN w:val="0"/>
        <w:spacing w:after="0" w:line="0" w:lineRule="atLeast"/>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A479325" w14:textId="77777777" w:rsidR="009D1C58" w:rsidRPr="00593A5F" w:rsidRDefault="009D1C58" w:rsidP="00605657">
      <w:pPr>
        <w:widowControl w:val="0"/>
        <w:autoSpaceDE w:val="0"/>
        <w:autoSpaceDN w:val="0"/>
        <w:spacing w:after="0" w:line="0" w:lineRule="atLeast"/>
        <w:jc w:val="both"/>
        <w:rPr>
          <w:rFonts w:ascii="Verdana" w:hAnsi="Verdana" w:cs="Arial"/>
        </w:rPr>
      </w:pPr>
    </w:p>
    <w:p w14:paraId="26E4FF15" w14:textId="77777777" w:rsidR="009D1C58" w:rsidRPr="00593A5F" w:rsidRDefault="009D1C58" w:rsidP="00605657">
      <w:pPr>
        <w:spacing w:after="0" w:line="0" w:lineRule="atLeast"/>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A1AA039" w14:textId="3C970BC4" w:rsidR="009D1C58" w:rsidRPr="00593A5F" w:rsidRDefault="006D78D0" w:rsidP="00605657">
      <w:pPr>
        <w:spacing w:after="0" w:line="0" w:lineRule="atLeast"/>
        <w:jc w:val="center"/>
        <w:rPr>
          <w:rFonts w:ascii="Verdana" w:hAnsi="Verdana" w:cs="Arial"/>
          <w:color w:val="000000"/>
          <w:lang w:val="es-ES_tradnl" w:eastAsia="es-CO"/>
        </w:rPr>
      </w:pPr>
      <w:r>
        <w:rPr>
          <w:noProof/>
        </w:rPr>
        <w:drawing>
          <wp:inline distT="0" distB="0" distL="0" distR="0" wp14:anchorId="09AB2145" wp14:editId="0527F6FD">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D1C58" w:rsidRPr="00593A5F" w14:paraId="4B97FD99" w14:textId="77777777">
        <w:trPr>
          <w:trHeight w:val="315"/>
        </w:trPr>
        <w:tc>
          <w:tcPr>
            <w:tcW w:w="893" w:type="dxa"/>
            <w:vAlign w:val="center"/>
            <w:hideMark/>
          </w:tcPr>
          <w:p w14:paraId="2A816B26" w14:textId="77777777" w:rsidR="009D1C58" w:rsidRPr="003751C7" w:rsidRDefault="009D1C58" w:rsidP="00605657">
            <w:pPr>
              <w:spacing w:line="0" w:lineRule="atLeast"/>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1F84C5F" w14:textId="77777777" w:rsidR="009D1C58" w:rsidRPr="00254A7A" w:rsidRDefault="009D1C58" w:rsidP="00605657">
            <w:pPr>
              <w:spacing w:line="0" w:lineRule="atLeast"/>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6D96C1DC" w14:textId="77777777" w:rsidR="009D1C58" w:rsidRPr="00254A7A" w:rsidRDefault="009D1C58" w:rsidP="00605657">
            <w:pPr>
              <w:spacing w:line="0" w:lineRule="atLeast"/>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9D1C58" w:rsidRPr="00593A5F" w14:paraId="1E01942A" w14:textId="77777777">
        <w:trPr>
          <w:trHeight w:val="330"/>
        </w:trPr>
        <w:tc>
          <w:tcPr>
            <w:tcW w:w="893" w:type="dxa"/>
            <w:vAlign w:val="center"/>
            <w:hideMark/>
          </w:tcPr>
          <w:p w14:paraId="20E8A6FB" w14:textId="77777777" w:rsidR="009D1C58" w:rsidRPr="003751C7" w:rsidRDefault="009D1C58" w:rsidP="00605657">
            <w:pPr>
              <w:spacing w:line="0" w:lineRule="atLeast"/>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85AC134" w14:textId="77777777" w:rsidR="009D1C58" w:rsidRPr="00254A7A" w:rsidRDefault="009D1C58" w:rsidP="00605657">
            <w:pPr>
              <w:pStyle w:val="paragraph"/>
              <w:spacing w:before="0" w:beforeAutospacing="0" w:after="0" w:afterAutospacing="0" w:line="0" w:lineRule="atLeast"/>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CB2AF72" w14:textId="77777777" w:rsidR="009D1C58" w:rsidRPr="00254A7A" w:rsidRDefault="009D1C58" w:rsidP="00605657">
            <w:pPr>
              <w:pStyle w:val="paragraph"/>
              <w:spacing w:before="0" w:beforeAutospacing="0" w:after="0" w:afterAutospacing="0" w:line="0" w:lineRule="atLeast"/>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9D1C58" w:rsidRPr="00593A5F" w14:paraId="6BC0DDF4" w14:textId="77777777">
        <w:trPr>
          <w:trHeight w:val="300"/>
        </w:trPr>
        <w:tc>
          <w:tcPr>
            <w:tcW w:w="893" w:type="dxa"/>
            <w:vAlign w:val="center"/>
          </w:tcPr>
          <w:p w14:paraId="3D9DCA60" w14:textId="77777777" w:rsidR="009D1C58" w:rsidRPr="003751C7" w:rsidRDefault="009D1C58" w:rsidP="00605657">
            <w:pPr>
              <w:spacing w:line="0" w:lineRule="atLeast"/>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969AAC6" w14:textId="77777777" w:rsidR="009D1C58" w:rsidRPr="003751C7" w:rsidRDefault="009D1C58" w:rsidP="00605657">
            <w:pPr>
              <w:spacing w:line="0" w:lineRule="atLeast"/>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5C96F55" w14:textId="77777777" w:rsidR="009D1C58" w:rsidRPr="003751C7" w:rsidRDefault="009D1C58" w:rsidP="00605657">
            <w:pPr>
              <w:spacing w:line="0" w:lineRule="atLeast"/>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10FBDD1" w14:textId="77777777" w:rsidR="009D1C58" w:rsidRPr="00593A5F" w:rsidRDefault="009D1C58" w:rsidP="00605657">
      <w:pPr>
        <w:spacing w:after="0" w:line="0" w:lineRule="atLeast"/>
        <w:rPr>
          <w:rFonts w:ascii="Verdana" w:eastAsia="Times New Roman" w:hAnsi="Verdana" w:cs="Arial"/>
          <w:sz w:val="24"/>
          <w:szCs w:val="24"/>
          <w:lang w:eastAsia="es-ES"/>
        </w:rPr>
      </w:pPr>
    </w:p>
    <w:p w14:paraId="0F293BF4" w14:textId="7BBFAB11" w:rsidR="00127233" w:rsidRPr="009231BE" w:rsidRDefault="00127233" w:rsidP="00605657">
      <w:pPr>
        <w:spacing w:after="0" w:line="0" w:lineRule="atLeast"/>
      </w:pPr>
    </w:p>
    <w:sectPr w:rsidR="00127233" w:rsidRPr="009231BE"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5529" w14:textId="77777777" w:rsidR="000707B3" w:rsidRDefault="000707B3" w:rsidP="004A1847">
      <w:pPr>
        <w:spacing w:after="0" w:line="240" w:lineRule="auto"/>
      </w:pPr>
      <w:r>
        <w:separator/>
      </w:r>
    </w:p>
  </w:endnote>
  <w:endnote w:type="continuationSeparator" w:id="0">
    <w:p w14:paraId="05932DC3" w14:textId="77777777" w:rsidR="000707B3" w:rsidRDefault="000707B3" w:rsidP="004A1847">
      <w:pPr>
        <w:spacing w:after="0" w:line="240" w:lineRule="auto"/>
      </w:pPr>
      <w:r>
        <w:continuationSeparator/>
      </w:r>
    </w:p>
  </w:endnote>
  <w:endnote w:type="continuationNotice" w:id="1">
    <w:p w14:paraId="4E14A6BE" w14:textId="77777777" w:rsidR="000707B3" w:rsidRDefault="00070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3336" w14:textId="77777777" w:rsidR="000707B3" w:rsidRDefault="000707B3" w:rsidP="004A1847">
      <w:pPr>
        <w:spacing w:after="0" w:line="240" w:lineRule="auto"/>
      </w:pPr>
      <w:r>
        <w:separator/>
      </w:r>
    </w:p>
  </w:footnote>
  <w:footnote w:type="continuationSeparator" w:id="0">
    <w:p w14:paraId="3FB7718C" w14:textId="77777777" w:rsidR="000707B3" w:rsidRDefault="000707B3" w:rsidP="004A1847">
      <w:pPr>
        <w:spacing w:after="0" w:line="240" w:lineRule="auto"/>
      </w:pPr>
      <w:r>
        <w:continuationSeparator/>
      </w:r>
    </w:p>
  </w:footnote>
  <w:footnote w:type="continuationNotice" w:id="1">
    <w:p w14:paraId="3E367A88" w14:textId="77777777" w:rsidR="000707B3" w:rsidRDefault="000707B3">
      <w:pPr>
        <w:spacing w:after="0" w:line="240" w:lineRule="auto"/>
      </w:pPr>
    </w:p>
  </w:footnote>
  <w:footnote w:id="2">
    <w:p w14:paraId="677E7ADF" w14:textId="77777777" w:rsidR="009D1C58" w:rsidRPr="00FA74E7" w:rsidRDefault="009D1C58" w:rsidP="00FA74E7">
      <w:pPr>
        <w:pStyle w:val="Textonotapie"/>
        <w:ind w:firstLine="708"/>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FA74E7">
        <w:rPr>
          <w:rFonts w:ascii="Verdana" w:hAnsi="Verdana" w:cs="Arial"/>
          <w:color w:val="000000"/>
          <w:sz w:val="16"/>
          <w:szCs w:val="16"/>
          <w:shd w:val="clear" w:color="auto" w:fill="FFFFFF"/>
        </w:rPr>
        <w:t>” (</w:t>
      </w:r>
      <w:r w:rsidRPr="00FA74E7">
        <w:rPr>
          <w:rFonts w:ascii="Verdana" w:hAnsi="Verdana" w:cs="Arial"/>
          <w:color w:val="000000"/>
          <w:sz w:val="16"/>
          <w:szCs w:val="16"/>
        </w:rPr>
        <w:t>EXPOSITO, Juan Carlos. Forma y contenido del contrato estatal. Bogotá: Universidad Externado de Colombia, p. 89 y 90).</w:t>
      </w:r>
    </w:p>
  </w:footnote>
  <w:footnote w:id="3">
    <w:p w14:paraId="7A3CBC3D" w14:textId="77777777" w:rsidR="009D1C58" w:rsidRPr="00FA74E7" w:rsidRDefault="009D1C58" w:rsidP="00FA74E7">
      <w:pPr>
        <w:pStyle w:val="Textonotapie"/>
        <w:ind w:firstLine="708"/>
        <w:jc w:val="both"/>
        <w:rPr>
          <w:rFonts w:ascii="Verdana" w:hAnsi="Verdana" w:cs="Arial"/>
          <w:color w:val="000000"/>
          <w:sz w:val="16"/>
          <w:szCs w:val="16"/>
          <w:lang w:val="es-CO"/>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DÍAZ DÍEZ, Cristian Andrés. La liquidación. Serie: Las Cláusulas del Contrato Estatal. Medellín: Librería Jurídica Sánchez y Centro de Estudios de Derecho Administrativo –CEDA–, 2013, pp. 53-54.</w:t>
      </w:r>
    </w:p>
  </w:footnote>
  <w:footnote w:id="4">
    <w:p w14:paraId="070E5A56" w14:textId="77777777" w:rsidR="009D1C58" w:rsidRPr="00FA74E7" w:rsidRDefault="009D1C58" w:rsidP="00FA74E7">
      <w:pPr>
        <w:spacing w:after="0"/>
        <w:ind w:firstLine="708"/>
        <w:jc w:val="both"/>
        <w:rPr>
          <w:rFonts w:ascii="Verdana" w:hAnsi="Verdana" w:cs="Arial"/>
          <w:color w:val="000000"/>
          <w:sz w:val="16"/>
          <w:szCs w:val="16"/>
          <w:lang w:val="es-ES"/>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5">
    <w:p w14:paraId="4CAC578E" w14:textId="77777777" w:rsidR="009D1C58" w:rsidRPr="00FA74E7" w:rsidRDefault="009D1C58" w:rsidP="00FA74E7">
      <w:pPr>
        <w:pStyle w:val="Textonotapie"/>
        <w:ind w:firstLine="708"/>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EXPÓSITO VÉLEZ, Juan Carlos. Forma y contenido del contrato estatal, p. 90.</w:t>
      </w:r>
    </w:p>
  </w:footnote>
  <w:footnote w:id="6">
    <w:p w14:paraId="0AA7B2EA" w14:textId="77777777" w:rsidR="009D1C58" w:rsidRPr="00FA74E7" w:rsidRDefault="009D1C58" w:rsidP="00FA74E7">
      <w:pPr>
        <w:pStyle w:val="Textonotapie"/>
        <w:ind w:firstLine="708"/>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CONSEJO DE ESTADO, Sala de Consulta y Servicio Civil. Radicado No. 1453. Concepto de 6 de agosto de 2003. MP. Augusto Trejos.</w:t>
      </w:r>
    </w:p>
  </w:footnote>
  <w:footnote w:id="7">
    <w:p w14:paraId="5E8763B1" w14:textId="77777777" w:rsidR="009D1C58" w:rsidRPr="00FA74E7" w:rsidRDefault="009D1C58" w:rsidP="00FA74E7">
      <w:pPr>
        <w:pStyle w:val="Textonotapie"/>
        <w:ind w:firstLine="708"/>
        <w:jc w:val="both"/>
        <w:rPr>
          <w:rFonts w:ascii="Verdana" w:hAnsi="Verdana" w:cs="Arial"/>
          <w:color w:val="000000"/>
          <w:sz w:val="16"/>
          <w:szCs w:val="16"/>
          <w:lang w:val="es-ES"/>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w:t>
      </w:r>
      <w:r w:rsidRPr="00FA74E7">
        <w:rPr>
          <w:rFonts w:ascii="Verdana" w:hAnsi="Verdana" w:cs="Arial"/>
          <w:color w:val="000000"/>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0B086F58" w14:textId="77777777" w:rsidR="009D1C58" w:rsidRPr="00FA74E7" w:rsidRDefault="009D1C58" w:rsidP="00FA74E7">
      <w:pPr>
        <w:pStyle w:val="Textonotapie"/>
        <w:ind w:firstLine="708"/>
        <w:jc w:val="both"/>
        <w:rPr>
          <w:rFonts w:ascii="Verdana" w:hAnsi="Verdana" w:cs="Arial"/>
          <w:color w:val="000000"/>
          <w:sz w:val="16"/>
          <w:szCs w:val="16"/>
          <w:lang w:val="es-ES"/>
        </w:rPr>
      </w:pPr>
      <w:r w:rsidRPr="00FA74E7">
        <w:rPr>
          <w:rFonts w:ascii="Verdana" w:hAnsi="Verdana" w:cs="Arial"/>
          <w:color w:val="000000"/>
          <w:sz w:val="16"/>
          <w:szCs w:val="16"/>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5DA447FA" w14:textId="77777777" w:rsidR="009D1C58" w:rsidRPr="00FA74E7" w:rsidRDefault="009D1C58" w:rsidP="00FA74E7">
      <w:pPr>
        <w:pStyle w:val="Textonotapie"/>
        <w:ind w:firstLine="708"/>
        <w:jc w:val="both"/>
        <w:rPr>
          <w:rFonts w:ascii="Verdana" w:hAnsi="Verdana" w:cs="Arial"/>
          <w:color w:val="000000"/>
          <w:sz w:val="16"/>
          <w:szCs w:val="16"/>
          <w:lang w:val="es-ES"/>
        </w:rPr>
      </w:pPr>
      <w:r w:rsidRPr="00FA74E7">
        <w:rPr>
          <w:rFonts w:ascii="Verdana" w:hAnsi="Verdana" w:cs="Arial"/>
          <w:color w:val="000000"/>
          <w:sz w:val="16"/>
          <w:szCs w:val="16"/>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026A26D4" w14:textId="77777777" w:rsidR="009D1C58" w:rsidRPr="00FA74E7" w:rsidRDefault="009D1C58" w:rsidP="00FA74E7">
      <w:pPr>
        <w:pStyle w:val="Textonotapie"/>
        <w:ind w:firstLine="708"/>
        <w:jc w:val="both"/>
        <w:rPr>
          <w:rFonts w:ascii="Verdana" w:hAnsi="Verdana" w:cs="Arial"/>
          <w:color w:val="000000"/>
          <w:sz w:val="16"/>
          <w:szCs w:val="16"/>
          <w:lang w:val="es-ES"/>
        </w:rPr>
      </w:pPr>
      <w:r w:rsidRPr="00FA74E7">
        <w:rPr>
          <w:rFonts w:ascii="Verdana" w:hAnsi="Verdana" w:cs="Arial"/>
          <w:color w:val="000000"/>
          <w:sz w:val="16"/>
          <w:szCs w:val="16"/>
          <w:lang w:val="es-ES"/>
        </w:rPr>
        <w:t>Los contratistas tendrán derecho a efectuar salvedades a la liquidación por mutuo acuerdo, y en este evento la liquidación unilateral solo procederá en relación con los aspectos que no hayan sido objeto de acuerdo”.</w:t>
      </w:r>
    </w:p>
  </w:footnote>
  <w:footnote w:id="8">
    <w:p w14:paraId="3D6040CC" w14:textId="77777777" w:rsidR="009D1C58" w:rsidRPr="00FA74E7" w:rsidRDefault="009D1C58" w:rsidP="00FA74E7">
      <w:pPr>
        <w:pStyle w:val="Textonotapie"/>
        <w:ind w:firstLine="709"/>
        <w:jc w:val="both"/>
        <w:rPr>
          <w:rFonts w:ascii="Verdana" w:hAnsi="Verdana" w:cs="Arial"/>
          <w:color w:val="000000"/>
          <w:sz w:val="16"/>
          <w:szCs w:val="16"/>
          <w:lang w:val="es-CO"/>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CONSEJO DE ESTADO, Sección Tercera, Subsección C, Sentencia del 24 de julio de 2013, radicado No. 25.642, Consejero Ponente Enrique Gil Botero.</w:t>
      </w:r>
    </w:p>
  </w:footnote>
  <w:footnote w:id="9">
    <w:p w14:paraId="30A2AB47" w14:textId="77777777" w:rsidR="009D1C58" w:rsidRPr="00FA74E7" w:rsidRDefault="009D1C58" w:rsidP="00605657">
      <w:pPr>
        <w:pStyle w:val="NormalWeb"/>
        <w:spacing w:before="0" w:beforeAutospacing="0" w:after="0" w:afterAutospacing="0"/>
        <w:ind w:firstLine="709"/>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Decreto 1082 de 2015 “</w:t>
      </w:r>
      <w:r w:rsidRPr="00605657">
        <w:rPr>
          <w:rStyle w:val="Textoennegrita"/>
          <w:rFonts w:ascii="Verdana" w:hAnsi="Verdana" w:cs="Arial"/>
          <w:b w:val="0"/>
          <w:bCs w:val="0"/>
          <w:color w:val="000000"/>
          <w:sz w:val="16"/>
          <w:szCs w:val="16"/>
        </w:rPr>
        <w:t>Artículo 2.2.1.2.1.5.2. </w:t>
      </w:r>
      <w:r w:rsidRPr="00FA74E7">
        <w:rPr>
          <w:rStyle w:val="nfasis"/>
          <w:rFonts w:ascii="Verdana" w:eastAsia="MS Mincho" w:hAnsi="Verdana" w:cs="Arial"/>
          <w:color w:val="000000"/>
          <w:sz w:val="16"/>
          <w:szCs w:val="16"/>
        </w:rPr>
        <w:t>Procedimiento para la contratación de mínima cuantía. </w:t>
      </w:r>
      <w:r w:rsidRPr="00FA74E7">
        <w:rPr>
          <w:rFonts w:ascii="Verdana" w:hAnsi="Verdana" w:cs="Arial"/>
          <w:color w:val="000000"/>
          <w:sz w:val="16"/>
          <w:szCs w:val="16"/>
        </w:rPr>
        <w:t>Las siguientes reglas son aplicables a la contratación cuyo valor no excede del 10% de la menor cuantía de la Entidad Estatal, independientemente de su objeto: </w:t>
      </w:r>
    </w:p>
    <w:p w14:paraId="6B91931D" w14:textId="77777777" w:rsidR="009D1C58" w:rsidRPr="00FA74E7" w:rsidRDefault="009D1C58" w:rsidP="00605657">
      <w:pPr>
        <w:pStyle w:val="NormalWeb"/>
        <w:spacing w:before="0" w:beforeAutospacing="0" w:after="0" w:afterAutospacing="0"/>
        <w:jc w:val="both"/>
        <w:rPr>
          <w:rFonts w:ascii="Verdana" w:hAnsi="Verdana" w:cs="Arial"/>
          <w:color w:val="000000"/>
          <w:sz w:val="16"/>
          <w:szCs w:val="16"/>
        </w:rPr>
      </w:pPr>
      <w:r w:rsidRPr="00FA74E7">
        <w:rPr>
          <w:rFonts w:ascii="Verdana" w:hAnsi="Verdana" w:cs="Arial"/>
          <w:color w:val="000000"/>
          <w:sz w:val="16"/>
          <w:szCs w:val="16"/>
        </w:rPr>
        <w:t>  </w:t>
      </w:r>
      <w:r w:rsidRPr="00FA74E7">
        <w:rPr>
          <w:rFonts w:ascii="Verdana" w:hAnsi="Verdana" w:cs="Arial"/>
          <w:color w:val="000000"/>
          <w:sz w:val="16"/>
          <w:szCs w:val="16"/>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14:paraId="4AC5B4F3" w14:textId="77777777" w:rsidR="009D1C58" w:rsidRPr="00FA74E7" w:rsidRDefault="009D1C58" w:rsidP="00FA74E7">
      <w:pPr>
        <w:pStyle w:val="Textonotapie"/>
        <w:ind w:firstLine="709"/>
        <w:jc w:val="both"/>
        <w:rPr>
          <w:rFonts w:ascii="Verdana" w:hAnsi="Verdana" w:cs="Arial"/>
          <w:color w:val="000000"/>
          <w:sz w:val="16"/>
          <w:szCs w:val="16"/>
          <w:lang w:val="es-CO"/>
        </w:rPr>
      </w:pPr>
      <w:r w:rsidRPr="00FA74E7">
        <w:rPr>
          <w:rFonts w:ascii="Verdana" w:hAnsi="Verdana" w:cs="Arial"/>
          <w:color w:val="000000"/>
          <w:sz w:val="16"/>
          <w:szCs w:val="16"/>
        </w:rPr>
        <w:t xml:space="preserve"> </w:t>
      </w:r>
    </w:p>
  </w:footnote>
  <w:footnote w:id="10">
    <w:p w14:paraId="4110F0E2" w14:textId="438B17E8" w:rsidR="009D1C58" w:rsidRPr="00FA74E7" w:rsidRDefault="009D1C58" w:rsidP="00605657">
      <w:pPr>
        <w:pStyle w:val="NormalWeb"/>
        <w:spacing w:before="0" w:beforeAutospacing="0" w:after="0" w:afterAutospacing="0"/>
        <w:ind w:firstLine="720"/>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Ley 80 de 1993 “</w:t>
      </w:r>
      <w:r w:rsidRPr="00605657">
        <w:rPr>
          <w:rStyle w:val="Textoennegrita"/>
          <w:rFonts w:ascii="Verdana" w:hAnsi="Verdana" w:cs="Arial"/>
          <w:b w:val="0"/>
          <w:bCs w:val="0"/>
          <w:color w:val="000000"/>
          <w:sz w:val="16"/>
          <w:szCs w:val="16"/>
        </w:rPr>
        <w:t>Articulo 39. De la forma del contrato estatal. </w:t>
      </w:r>
      <w:r w:rsidRPr="00FA74E7">
        <w:rPr>
          <w:rFonts w:ascii="Verdana" w:hAnsi="Verdana" w:cs="Arial"/>
          <w:color w:val="000000"/>
          <w:sz w:val="16"/>
          <w:szCs w:val="16"/>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r w:rsidRPr="00FA74E7">
        <w:rPr>
          <w:rFonts w:ascii="Verdana" w:hAnsi="Verdana" w:cs="Arial"/>
          <w:color w:val="000000"/>
          <w:sz w:val="16"/>
          <w:szCs w:val="16"/>
        </w:rPr>
        <w:tab/>
        <w:t>[…]</w:t>
      </w:r>
      <w:bookmarkStart w:id="2" w:name="ver_1790147"/>
      <w:bookmarkStart w:id="3" w:name="ver_30220791"/>
      <w:bookmarkStart w:id="4" w:name="ver_1790148"/>
      <w:bookmarkEnd w:id="2"/>
      <w:bookmarkEnd w:id="3"/>
    </w:p>
    <w:p w14:paraId="41F5EEFC" w14:textId="77777777" w:rsidR="009D1C58" w:rsidRPr="00FA74E7" w:rsidRDefault="009D1C58" w:rsidP="00605657">
      <w:pPr>
        <w:pStyle w:val="NormalWeb"/>
        <w:spacing w:before="0" w:beforeAutospacing="0" w:after="0" w:afterAutospacing="0"/>
        <w:ind w:firstLine="720"/>
        <w:jc w:val="both"/>
        <w:rPr>
          <w:rFonts w:ascii="Verdana" w:hAnsi="Verdana" w:cs="Arial"/>
          <w:color w:val="000000"/>
          <w:sz w:val="16"/>
          <w:szCs w:val="16"/>
        </w:rPr>
      </w:pPr>
      <w:r w:rsidRPr="00605657">
        <w:rPr>
          <w:rStyle w:val="Textoennegrita"/>
          <w:rFonts w:ascii="Verdana" w:hAnsi="Verdana" w:cs="Arial"/>
          <w:b w:val="0"/>
          <w:bCs w:val="0"/>
          <w:color w:val="000000"/>
          <w:sz w:val="16"/>
          <w:szCs w:val="16"/>
        </w:rPr>
        <w:t>Artículo 40. Del contenido del contrato estatal.</w:t>
      </w:r>
      <w:r w:rsidRPr="00FA74E7">
        <w:rPr>
          <w:rFonts w:ascii="Verdana" w:hAnsi="Verdana" w:cs="Arial"/>
          <w:color w:val="000000"/>
          <w:sz w:val="16"/>
          <w:szCs w:val="16"/>
        </w:rPr>
        <w:t> Las estipulaciones de los contratos serán las que de acuerdo con las normas civiles, comerciales y las previstas en esta ley, correspondan a su esencia y naturaleza. </w:t>
      </w:r>
    </w:p>
    <w:p w14:paraId="12DE0E12" w14:textId="77777777" w:rsidR="009D1C58" w:rsidRPr="00FA74E7" w:rsidRDefault="009D1C58" w:rsidP="00605657">
      <w:pPr>
        <w:pStyle w:val="NormalWeb"/>
        <w:spacing w:before="0" w:beforeAutospacing="0" w:after="0" w:afterAutospacing="0"/>
        <w:ind w:firstLine="720"/>
        <w:jc w:val="both"/>
        <w:rPr>
          <w:rFonts w:ascii="Verdana" w:hAnsi="Verdana" w:cs="Arial"/>
          <w:color w:val="000000"/>
          <w:sz w:val="16"/>
          <w:szCs w:val="16"/>
        </w:rPr>
      </w:pPr>
      <w:r w:rsidRPr="00FA74E7">
        <w:rPr>
          <w:rFonts w:ascii="Verdana" w:hAnsi="Verdana" w:cs="Arial"/>
          <w:color w:val="000000"/>
          <w:sz w:val="16"/>
          <w:szCs w:val="16"/>
        </w:rPr>
        <w:t>Las entidades podrán celebrar los contratos y acuerdos que permitan la autonomía de la voluntad y requieran el cumplimiento de los fines estatales. </w:t>
      </w:r>
    </w:p>
    <w:p w14:paraId="6BCE77D1" w14:textId="77777777" w:rsidR="009D1C58" w:rsidRPr="00FA74E7" w:rsidRDefault="009D1C58" w:rsidP="00605657">
      <w:pPr>
        <w:pStyle w:val="NormalWeb"/>
        <w:spacing w:before="0" w:beforeAutospacing="0" w:after="0" w:afterAutospacing="0"/>
        <w:jc w:val="both"/>
        <w:rPr>
          <w:rFonts w:ascii="Verdana" w:hAnsi="Verdana" w:cs="Arial"/>
          <w:color w:val="000000"/>
          <w:sz w:val="16"/>
          <w:szCs w:val="16"/>
        </w:rPr>
      </w:pPr>
      <w:r w:rsidRPr="00FA74E7">
        <w:rPr>
          <w:rFonts w:ascii="Verdana" w:hAnsi="Verdana" w:cs="Arial"/>
          <w:color w:val="000000"/>
          <w:sz w:val="16"/>
          <w:szCs w:val="16"/>
        </w:rPr>
        <w:t>  </w:t>
      </w:r>
      <w:r w:rsidRPr="00FA74E7">
        <w:rPr>
          <w:rFonts w:ascii="Verdana" w:hAnsi="Verdana" w:cs="Arial"/>
          <w:color w:val="000000"/>
          <w:sz w:val="16"/>
          <w:szCs w:val="16"/>
        </w:rPr>
        <w:tab/>
        <w:t>[…]  </w:t>
      </w:r>
    </w:p>
    <w:p w14:paraId="6AD77E5D" w14:textId="77777777" w:rsidR="009D1C58" w:rsidRPr="00FA74E7" w:rsidRDefault="009D1C58" w:rsidP="00605657">
      <w:pPr>
        <w:pStyle w:val="NormalWeb"/>
        <w:spacing w:before="0" w:beforeAutospacing="0" w:after="0" w:afterAutospacing="0"/>
        <w:ind w:firstLine="720"/>
        <w:jc w:val="both"/>
        <w:rPr>
          <w:rFonts w:ascii="Verdana" w:hAnsi="Verdana" w:cs="Arial"/>
          <w:color w:val="000000"/>
          <w:sz w:val="16"/>
          <w:szCs w:val="16"/>
        </w:rPr>
      </w:pPr>
      <w:bookmarkStart w:id="5" w:name="ver_30161420"/>
      <w:bookmarkStart w:id="6" w:name="ver_1790149"/>
      <w:bookmarkStart w:id="7" w:name="ver_30161408"/>
      <w:bookmarkStart w:id="8" w:name="ver_30161443"/>
      <w:bookmarkEnd w:id="4"/>
      <w:bookmarkEnd w:id="5"/>
      <w:bookmarkEnd w:id="6"/>
      <w:bookmarkEnd w:id="7"/>
      <w:bookmarkEnd w:id="8"/>
      <w:r w:rsidRPr="00605657">
        <w:rPr>
          <w:rStyle w:val="Textoennegrita"/>
          <w:rFonts w:ascii="Verdana" w:hAnsi="Verdana" w:cs="Arial"/>
          <w:b w:val="0"/>
          <w:bCs w:val="0"/>
          <w:color w:val="000000"/>
          <w:sz w:val="16"/>
          <w:szCs w:val="16"/>
        </w:rPr>
        <w:t>Artículo 41. Del perfeccionamiento del contrato.</w:t>
      </w:r>
      <w:r w:rsidRPr="00FA74E7">
        <w:rPr>
          <w:rFonts w:ascii="Verdana" w:hAnsi="Verdana" w:cs="Arial"/>
          <w:color w:val="000000"/>
          <w:sz w:val="16"/>
          <w:szCs w:val="16"/>
        </w:rPr>
        <w:t> Los contratos del Estado se perfeccionan cuando se logre acuerdo sobre el objeto y la contraprestación y éste se eleve a escrito […]”.</w:t>
      </w:r>
    </w:p>
  </w:footnote>
  <w:footnote w:id="11">
    <w:p w14:paraId="6817B623" w14:textId="77777777" w:rsidR="009D1C58" w:rsidRPr="00FA74E7" w:rsidRDefault="009D1C58" w:rsidP="00FA74E7">
      <w:pPr>
        <w:pStyle w:val="Textonotapie"/>
        <w:ind w:firstLine="709"/>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Ley 80 de 1993 “</w:t>
      </w:r>
      <w:r w:rsidRPr="00605657">
        <w:rPr>
          <w:rStyle w:val="Textoennegrita"/>
          <w:rFonts w:ascii="Verdana" w:hAnsi="Verdana" w:cs="Arial"/>
          <w:b w:val="0"/>
          <w:bCs w:val="0"/>
          <w:color w:val="000000"/>
          <w:sz w:val="16"/>
          <w:szCs w:val="16"/>
        </w:rPr>
        <w:t>Artículo 77. De la normatividad aplicable en las actuaciones administrativas.</w:t>
      </w:r>
      <w:r w:rsidRPr="00FA74E7">
        <w:rPr>
          <w:rFonts w:ascii="Verdana" w:hAnsi="Verdana" w:cs="Arial"/>
          <w:color w:val="000000"/>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12">
    <w:p w14:paraId="70B33C65" w14:textId="77777777" w:rsidR="009D1C58" w:rsidRPr="00FA74E7" w:rsidRDefault="009D1C58" w:rsidP="00605657">
      <w:pPr>
        <w:pStyle w:val="NormalWeb"/>
        <w:spacing w:before="0" w:beforeAutospacing="0" w:after="0" w:afterAutospacing="0"/>
        <w:ind w:firstLine="709"/>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Ley 80 de 1993 “</w:t>
      </w:r>
      <w:r w:rsidRPr="00605657">
        <w:rPr>
          <w:rStyle w:val="Textoennegrita"/>
          <w:rFonts w:ascii="Verdana" w:hAnsi="Verdana" w:cs="Arial"/>
          <w:b w:val="0"/>
          <w:bCs w:val="0"/>
          <w:color w:val="000000"/>
          <w:sz w:val="16"/>
          <w:szCs w:val="16"/>
        </w:rPr>
        <w:t>Artículo 25. Del principio de economía.</w:t>
      </w:r>
      <w:r w:rsidRPr="00FA74E7">
        <w:rPr>
          <w:rFonts w:ascii="Verdana" w:hAnsi="Verdana" w:cs="Arial"/>
          <w:color w:val="000000"/>
          <w:sz w:val="16"/>
          <w:szCs w:val="16"/>
        </w:rPr>
        <w:t> En virtud de este principio: </w:t>
      </w:r>
    </w:p>
    <w:p w14:paraId="2720ED2C" w14:textId="77777777" w:rsidR="009D1C58" w:rsidRPr="00FA74E7" w:rsidRDefault="009D1C58" w:rsidP="00605657">
      <w:pPr>
        <w:pStyle w:val="NormalWeb"/>
        <w:spacing w:before="0" w:beforeAutospacing="0" w:after="0" w:afterAutospacing="0"/>
        <w:ind w:firstLine="709"/>
        <w:jc w:val="both"/>
        <w:rPr>
          <w:rFonts w:ascii="Verdana" w:hAnsi="Verdana" w:cs="Arial"/>
          <w:color w:val="000000"/>
          <w:sz w:val="16"/>
          <w:szCs w:val="16"/>
        </w:rPr>
      </w:pPr>
      <w:r w:rsidRPr="00FA74E7">
        <w:rPr>
          <w:rFonts w:ascii="Verdana" w:hAnsi="Verdana" w:cs="Arial"/>
          <w:color w:val="000000"/>
          <w:sz w:val="16"/>
          <w:szCs w:val="16"/>
        </w:rPr>
        <w:t>[…]</w:t>
      </w:r>
    </w:p>
    <w:p w14:paraId="35377BD7" w14:textId="77777777" w:rsidR="009D1C58" w:rsidRPr="00FA74E7" w:rsidRDefault="009D1C58" w:rsidP="00605657">
      <w:pPr>
        <w:pStyle w:val="NormalWeb"/>
        <w:spacing w:before="0" w:beforeAutospacing="0" w:after="0" w:afterAutospacing="0"/>
        <w:ind w:firstLine="709"/>
        <w:jc w:val="both"/>
        <w:rPr>
          <w:rFonts w:ascii="Verdana" w:hAnsi="Verdana" w:cs="Arial"/>
          <w:color w:val="000000"/>
          <w:sz w:val="16"/>
          <w:szCs w:val="16"/>
        </w:rPr>
      </w:pPr>
      <w:r w:rsidRPr="00FA74E7">
        <w:rPr>
          <w:rFonts w:ascii="Verdana" w:hAnsi="Verdana" w:cs="Arial"/>
          <w:color w:val="000000"/>
          <w:sz w:val="16"/>
          <w:szCs w:val="16"/>
        </w:rPr>
        <w:t>4o. Los trámites se adelantarán con austeridad de tiempo, medios y gastos y se impedirán las dilaciones y los retardos en la ejecución del contrato. </w:t>
      </w:r>
    </w:p>
    <w:p w14:paraId="2C96AC31" w14:textId="77777777" w:rsidR="009D1C58" w:rsidRPr="00FA74E7" w:rsidRDefault="009D1C58" w:rsidP="00605657">
      <w:pPr>
        <w:pStyle w:val="NormalWeb"/>
        <w:spacing w:before="0" w:beforeAutospacing="0" w:after="0" w:afterAutospacing="0"/>
        <w:jc w:val="both"/>
        <w:rPr>
          <w:rFonts w:ascii="Verdana" w:hAnsi="Verdana" w:cs="Arial"/>
          <w:color w:val="000000"/>
          <w:sz w:val="16"/>
          <w:szCs w:val="16"/>
        </w:rPr>
      </w:pPr>
      <w:r w:rsidRPr="00FA74E7">
        <w:rPr>
          <w:rFonts w:ascii="Verdana" w:hAnsi="Verdana" w:cs="Arial"/>
          <w:color w:val="000000"/>
          <w:sz w:val="16"/>
          <w:szCs w:val="16"/>
        </w:rPr>
        <w:t>  </w:t>
      </w:r>
      <w:r w:rsidRPr="00FA74E7">
        <w:rPr>
          <w:rFonts w:ascii="Verdana" w:hAnsi="Verdana" w:cs="Arial"/>
          <w:color w:val="000000"/>
          <w:sz w:val="16"/>
          <w:szCs w:val="16"/>
        </w:rPr>
        <w:tab/>
        <w:t>5o. Se adoptarán procedimientos que garanticen la pronta solución de las diferencias y controversias que con motivo de la celebración y ejecución del contrato se presenten […]”.</w:t>
      </w:r>
    </w:p>
  </w:footnote>
  <w:footnote w:id="13">
    <w:p w14:paraId="2B589969" w14:textId="77777777" w:rsidR="009D1C58" w:rsidRPr="00FA74E7" w:rsidRDefault="009D1C58" w:rsidP="00FA74E7">
      <w:pPr>
        <w:pStyle w:val="Textonotapie"/>
        <w:ind w:firstLine="708"/>
        <w:jc w:val="both"/>
        <w:rPr>
          <w:rFonts w:ascii="Verdana" w:hAnsi="Verdana" w:cs="Arial"/>
          <w:color w:val="000000"/>
          <w:sz w:val="16"/>
          <w:szCs w:val="16"/>
          <w:lang w:val="es-ES"/>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COLOMBIA COMPRA EFICIENTE. Guía para la Liquidación de los Procesos de Contratación. página 5, disponible en: </w:t>
      </w:r>
      <w:hyperlink r:id="rId1" w:history="1">
        <w:r w:rsidRPr="00FA74E7">
          <w:rPr>
            <w:rStyle w:val="Hipervnculo"/>
            <w:rFonts w:ascii="Verdana" w:hAnsi="Verdana" w:cs="Arial"/>
            <w:sz w:val="16"/>
            <w:szCs w:val="16"/>
          </w:rPr>
          <w:t xml:space="preserve">https://www.colombiacompra.gov.co/sites/cce_public/files/cce_documents/cce_guia_liquidacion_procesos.pdf  </w:t>
        </w:r>
      </w:hyperlink>
    </w:p>
  </w:footnote>
  <w:footnote w:id="14">
    <w:p w14:paraId="0102212C" w14:textId="77777777" w:rsidR="009D1C58" w:rsidRPr="00FA74E7" w:rsidRDefault="009D1C58" w:rsidP="00FA74E7">
      <w:pPr>
        <w:pStyle w:val="Textonotapie"/>
        <w:ind w:firstLine="708"/>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5">
    <w:p w14:paraId="49BF4829" w14:textId="77777777" w:rsidR="009D1C58" w:rsidRPr="00FA74E7" w:rsidRDefault="009D1C58" w:rsidP="00FA74E7">
      <w:pPr>
        <w:pStyle w:val="Textonotapie"/>
        <w:ind w:firstLine="708"/>
        <w:jc w:val="both"/>
        <w:rPr>
          <w:rFonts w:ascii="Verdana" w:hAnsi="Verdana" w:cs="Arial"/>
          <w:color w:val="000000"/>
          <w:sz w:val="16"/>
          <w:szCs w:val="16"/>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CONSEJO DE ESTADO. Sala de Consulta y Servicio Civil. Concepto de 28 de Junio de 2016. Radicación: 2253. C.P. Álvaro Namén Vargas. </w:t>
      </w:r>
    </w:p>
  </w:footnote>
  <w:footnote w:id="16">
    <w:p w14:paraId="4A40290F" w14:textId="77777777" w:rsidR="009D1C58" w:rsidRPr="00FA74E7" w:rsidRDefault="009D1C58" w:rsidP="00FA74E7">
      <w:pPr>
        <w:pStyle w:val="Textonotapie"/>
        <w:ind w:firstLine="708"/>
        <w:jc w:val="both"/>
        <w:rPr>
          <w:rFonts w:ascii="Verdana" w:hAnsi="Verdana"/>
          <w:color w:val="000000"/>
          <w:sz w:val="16"/>
          <w:szCs w:val="16"/>
          <w:lang w:val="es-ES"/>
        </w:rPr>
      </w:pPr>
      <w:r w:rsidRPr="00FA74E7">
        <w:rPr>
          <w:rStyle w:val="Refdenotaalpie"/>
          <w:rFonts w:ascii="Verdana" w:hAnsi="Verdana" w:cs="Arial"/>
          <w:color w:val="000000"/>
          <w:sz w:val="16"/>
          <w:szCs w:val="16"/>
        </w:rPr>
        <w:footnoteRef/>
      </w:r>
      <w:r w:rsidRPr="00FA74E7">
        <w:rPr>
          <w:rFonts w:ascii="Verdana" w:hAnsi="Verdana" w:cs="Arial"/>
          <w:color w:val="000000"/>
          <w:sz w:val="16"/>
          <w:szCs w:val="16"/>
        </w:rPr>
        <w:t xml:space="preserve"> CONSEJO DE ESTADO. Sección Tercera. </w:t>
      </w:r>
      <w:r w:rsidRPr="00FA74E7">
        <w:rPr>
          <w:rFonts w:ascii="Verdana" w:hAnsi="Verdana" w:cs="Arial"/>
          <w:color w:val="000000"/>
          <w:sz w:val="16"/>
          <w:szCs w:val="16"/>
          <w:lang w:val="es-CO"/>
        </w:rPr>
        <w:t xml:space="preserve">Sala Plena. Auto del 1 de agosto de 2019. </w:t>
      </w:r>
      <w:r w:rsidRPr="00FA74E7">
        <w:rPr>
          <w:rFonts w:ascii="Verdana" w:hAnsi="Verdana" w:cs="Arial"/>
          <w:color w:val="000000"/>
          <w:sz w:val="16"/>
          <w:szCs w:val="16"/>
        </w:rPr>
        <w:t xml:space="preserve">Exp. 62009. C.P. Jaime Enrique Rodríguez Navas. </w:t>
      </w:r>
      <w:r w:rsidRPr="00FA74E7">
        <w:rPr>
          <w:rFonts w:ascii="Verdana" w:hAnsi="Verdana"/>
          <w:color w:val="000000"/>
          <w:sz w:val="16"/>
          <w:szCs w:val="16"/>
          <w:lang w:val="es-ES"/>
        </w:rPr>
        <w:t xml:space="preserve"> </w:t>
      </w:r>
    </w:p>
  </w:footnote>
  <w:footnote w:id="17">
    <w:p w14:paraId="1A73F36D" w14:textId="77777777" w:rsidR="009D1C58" w:rsidRPr="00FA74E7" w:rsidRDefault="009D1C58" w:rsidP="00FA74E7">
      <w:pPr>
        <w:pStyle w:val="Textonotapie"/>
        <w:ind w:firstLine="708"/>
        <w:jc w:val="both"/>
        <w:rPr>
          <w:rFonts w:ascii="Verdana" w:hAnsi="Verdana"/>
          <w:sz w:val="16"/>
          <w:szCs w:val="16"/>
        </w:rPr>
      </w:pPr>
      <w:r w:rsidRPr="00FA74E7">
        <w:rPr>
          <w:rStyle w:val="Refdenotaalpie"/>
          <w:rFonts w:ascii="Verdana" w:hAnsi="Verdana"/>
          <w:sz w:val="16"/>
          <w:szCs w:val="16"/>
        </w:rPr>
        <w:footnoteRef/>
      </w:r>
      <w:r w:rsidRPr="00FA74E7">
        <w:rPr>
          <w:rFonts w:ascii="Verdana" w:hAnsi="Verdana"/>
          <w:sz w:val="16"/>
          <w:szCs w:val="16"/>
        </w:rPr>
        <w:t xml:space="preserve"> Conforme al literal j) del artículo 164.2 de la Ley 1437 de 2011, “En las relativas a contratos el término para demandar será de dos (2) años que se contarán a partir del día siguiente a la ocurrencia de los motivos de hecho o de derecho que les sirvan de fundamento.</w:t>
      </w:r>
    </w:p>
    <w:p w14:paraId="6D4E614E" w14:textId="77777777" w:rsidR="009D1C58" w:rsidRPr="00FA74E7" w:rsidRDefault="009D1C58" w:rsidP="00FA74E7">
      <w:pPr>
        <w:pStyle w:val="Textonotapie"/>
        <w:ind w:firstLine="708"/>
        <w:jc w:val="both"/>
        <w:rPr>
          <w:rFonts w:ascii="Verdana" w:hAnsi="Verdana"/>
          <w:sz w:val="16"/>
          <w:szCs w:val="16"/>
        </w:rPr>
      </w:pPr>
      <w:r w:rsidRPr="00FA74E7">
        <w:rPr>
          <w:rFonts w:ascii="Verdana" w:hAnsi="Verdana"/>
          <w:sz w:val="16"/>
          <w:szCs w:val="16"/>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72F7DCD4" w14:textId="77777777" w:rsidR="009D1C58" w:rsidRPr="00FA74E7" w:rsidRDefault="009D1C58" w:rsidP="00FA74E7">
      <w:pPr>
        <w:pStyle w:val="Textonotapie"/>
        <w:ind w:firstLine="708"/>
        <w:jc w:val="both"/>
        <w:rPr>
          <w:rFonts w:ascii="Verdana" w:hAnsi="Verdana"/>
          <w:sz w:val="16"/>
          <w:szCs w:val="16"/>
        </w:rPr>
      </w:pPr>
      <w:r w:rsidRPr="00FA74E7">
        <w:rPr>
          <w:rFonts w:ascii="Verdana" w:hAnsi="Verdana"/>
          <w:sz w:val="16"/>
          <w:szCs w:val="16"/>
        </w:rPr>
        <w:t>En los siguientes contratos, el término de dos (2) años se contará así:</w:t>
      </w:r>
    </w:p>
    <w:p w14:paraId="29DF95A5" w14:textId="77777777" w:rsidR="009D1C58" w:rsidRPr="00FA74E7" w:rsidRDefault="009D1C58" w:rsidP="00FA74E7">
      <w:pPr>
        <w:pStyle w:val="Textonotapie"/>
        <w:ind w:firstLine="708"/>
        <w:jc w:val="both"/>
        <w:rPr>
          <w:rFonts w:ascii="Verdana" w:hAnsi="Verdana"/>
          <w:sz w:val="16"/>
          <w:szCs w:val="16"/>
        </w:rPr>
      </w:pPr>
      <w:r w:rsidRPr="00FA74E7">
        <w:rPr>
          <w:rFonts w:ascii="Verdana" w:hAnsi="Verdana"/>
          <w:sz w:val="16"/>
          <w:szCs w:val="16"/>
        </w:rPr>
        <w:t>i) En los de ejecución instantánea desde el día siguiente a cuando se cumplió o debió cumplirse el objeto del contrato;</w:t>
      </w:r>
    </w:p>
    <w:p w14:paraId="017CB2B0" w14:textId="77777777" w:rsidR="009D1C58" w:rsidRPr="00FA74E7" w:rsidRDefault="009D1C58" w:rsidP="00FA74E7">
      <w:pPr>
        <w:pStyle w:val="Textonotapie"/>
        <w:ind w:firstLine="708"/>
        <w:jc w:val="both"/>
        <w:rPr>
          <w:rFonts w:ascii="Verdana" w:hAnsi="Verdana"/>
          <w:sz w:val="16"/>
          <w:szCs w:val="16"/>
        </w:rPr>
      </w:pPr>
      <w:r w:rsidRPr="00FA74E7">
        <w:rPr>
          <w:rFonts w:ascii="Verdana" w:hAnsi="Verdana"/>
          <w:sz w:val="16"/>
          <w:szCs w:val="16"/>
        </w:rPr>
        <w:t>ii) En los que no requieran de liquidación, desde el día siguiente al de la terminación del contrato por cualquier causa;</w:t>
      </w:r>
    </w:p>
    <w:p w14:paraId="27DFB1F3" w14:textId="77777777" w:rsidR="009D1C58" w:rsidRPr="00FA74E7" w:rsidRDefault="009D1C58" w:rsidP="00FA74E7">
      <w:pPr>
        <w:pStyle w:val="Textonotapie"/>
        <w:ind w:firstLine="708"/>
        <w:jc w:val="both"/>
        <w:rPr>
          <w:rFonts w:ascii="Verdana" w:hAnsi="Verdana"/>
          <w:i/>
          <w:iCs/>
          <w:sz w:val="16"/>
          <w:szCs w:val="16"/>
        </w:rPr>
      </w:pPr>
      <w:r w:rsidRPr="00FA74E7">
        <w:rPr>
          <w:rFonts w:ascii="Verdana" w:hAnsi="Verdana"/>
          <w:i/>
          <w:iCs/>
          <w:sz w:val="16"/>
          <w:szCs w:val="16"/>
        </w:rPr>
        <w:t>iii) En los que requieran de liquidación y esta sea efectuada de común acuerdo por las partes, desde el día siguiente al de la firma del acta;</w:t>
      </w:r>
    </w:p>
    <w:p w14:paraId="4BBA90F8" w14:textId="77777777" w:rsidR="009D1C58" w:rsidRPr="00FA74E7" w:rsidRDefault="009D1C58" w:rsidP="00FA74E7">
      <w:pPr>
        <w:pStyle w:val="Textonotapie"/>
        <w:ind w:firstLine="708"/>
        <w:jc w:val="both"/>
        <w:rPr>
          <w:rFonts w:ascii="Verdana" w:hAnsi="Verdana"/>
          <w:i/>
          <w:iCs/>
          <w:sz w:val="16"/>
          <w:szCs w:val="16"/>
        </w:rPr>
      </w:pPr>
      <w:r w:rsidRPr="00FA74E7">
        <w:rPr>
          <w:rFonts w:ascii="Verdana" w:hAnsi="Verdana"/>
          <w:i/>
          <w:iCs/>
          <w:sz w:val="16"/>
          <w:szCs w:val="16"/>
        </w:rPr>
        <w:t>iv) En los que requieran de liquidación y esta sea efectuada unilateralmente por la administración, desde el día siguiente al de la ejecutoria del acto administrativo que la apruebe;</w:t>
      </w:r>
    </w:p>
    <w:p w14:paraId="4F584954" w14:textId="77777777" w:rsidR="009D1C58" w:rsidRPr="00FA74E7" w:rsidRDefault="009D1C58" w:rsidP="00FA74E7">
      <w:pPr>
        <w:pStyle w:val="Textonotapie"/>
        <w:ind w:firstLine="708"/>
        <w:jc w:val="both"/>
        <w:rPr>
          <w:rFonts w:ascii="Verdana" w:hAnsi="Verdana"/>
          <w:sz w:val="16"/>
          <w:szCs w:val="16"/>
          <w:lang w:val="es-CO"/>
        </w:rPr>
      </w:pPr>
      <w:r w:rsidRPr="00FA74E7">
        <w:rPr>
          <w:rFonts w:ascii="Verdana" w:hAnsi="Verdana"/>
          <w:i/>
          <w:iCs/>
          <w:sz w:val="16"/>
          <w:szCs w:val="16"/>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sidRPr="00FA74E7">
        <w:rPr>
          <w:rFonts w:ascii="Verdana" w:hAnsi="Verdana"/>
          <w:sz w:val="16"/>
          <w:szCs w:val="16"/>
        </w:rPr>
        <w:t>” (Énfasis fuera de texto).</w:t>
      </w:r>
    </w:p>
  </w:footnote>
  <w:footnote w:id="18">
    <w:p w14:paraId="09020BD6" w14:textId="77777777" w:rsidR="009D1C58" w:rsidRPr="00FA74E7" w:rsidRDefault="009D1C58" w:rsidP="00FA74E7">
      <w:pPr>
        <w:pStyle w:val="Textonotapie"/>
        <w:ind w:firstLine="708"/>
        <w:jc w:val="both"/>
        <w:rPr>
          <w:rFonts w:ascii="Verdana" w:hAnsi="Verdana"/>
          <w:sz w:val="16"/>
          <w:szCs w:val="16"/>
          <w:lang w:val="es-CO"/>
        </w:rPr>
      </w:pPr>
      <w:r w:rsidRPr="00FA74E7">
        <w:rPr>
          <w:rStyle w:val="Refdenotaalpie"/>
          <w:rFonts w:ascii="Verdana" w:hAnsi="Verdana"/>
          <w:sz w:val="16"/>
          <w:szCs w:val="16"/>
        </w:rPr>
        <w:footnoteRef/>
      </w:r>
      <w:r w:rsidRPr="00FA74E7">
        <w:rPr>
          <w:rFonts w:ascii="Verdana" w:hAnsi="Verdana"/>
          <w:sz w:val="16"/>
          <w:szCs w:val="16"/>
        </w:rPr>
        <w:t xml:space="preserve"> Así, “[…] los cambios de precedente pueden dar lugar a afectaciones precisas de las reglas aplicables en procesos judiciales que estén en trámite, con lo cual los sujetos procesales y el mismo funcionario se encuentran frente a dos interpretaciones, en donde una ha sucedido a la otra. Incluso, el anterior escenario cobra mayor relevancia cuando el cambio de precedente afecta una actuación procesal que se inició al amparo del precedente anterior”, de manera que “[…] puede resultar que los sujetos procesales actúen con la confianza legítima de que serán aplicadas ciertas reglas jurisprudenciales vigentes, que luego serían modificadas. Por lo tanto, la aplicación inmediata del nuevo precedente, sin consideración alguna a esta circunstancia, podría derivar en el desconocimiento de derechos fundamentales. Esto, en el supuesto de que en aplicación del cambio jurisprudencial, no se den consecuencias jurídicas a actuaciones iniciadas bajo el precedente anterior, o que, se atribuyan consecuencias jurídicas desfavorables en razón a reglas que en su momento no existían y por tanto no se pudieron evitar” (Cfr. CORTE CONSTITUCIONAL. Sentencia SU-406 de 2016. M.P. Luis Guillermo Guerrero Pérez).</w:t>
      </w:r>
    </w:p>
  </w:footnote>
  <w:footnote w:id="19">
    <w:p w14:paraId="2E8CCEEF" w14:textId="77777777" w:rsidR="009D1C58" w:rsidRPr="00FA74E7" w:rsidRDefault="009D1C58" w:rsidP="00FA74E7">
      <w:pPr>
        <w:pStyle w:val="Textonotapie"/>
        <w:ind w:firstLine="708"/>
        <w:jc w:val="both"/>
        <w:rPr>
          <w:rFonts w:ascii="Verdana" w:hAnsi="Verdana"/>
          <w:sz w:val="16"/>
          <w:szCs w:val="16"/>
          <w:lang w:val="es-CO"/>
        </w:rPr>
      </w:pPr>
      <w:r w:rsidRPr="00FA74E7">
        <w:rPr>
          <w:rStyle w:val="Refdenotaalpie"/>
          <w:rFonts w:ascii="Verdana" w:hAnsi="Verdana"/>
          <w:sz w:val="16"/>
          <w:szCs w:val="16"/>
        </w:rPr>
        <w:footnoteRef/>
      </w:r>
      <w:r w:rsidRPr="00FA74E7">
        <w:rPr>
          <w:rFonts w:ascii="Verdana" w:hAnsi="Verdana"/>
          <w:sz w:val="16"/>
          <w:szCs w:val="16"/>
        </w:rPr>
        <w:t xml:space="preserve"> CONSEJO DE ESTADO. Sección Tercera. Subsección C. Sentencia del 4 de septiembre de 2017. Exp. 57279. C.P. Jaime Orlando Santofimio Gamboa.</w:t>
      </w:r>
    </w:p>
  </w:footnote>
  <w:footnote w:id="20">
    <w:p w14:paraId="6AEB7785" w14:textId="77777777" w:rsidR="009D1C58" w:rsidRPr="00FA74E7" w:rsidRDefault="009D1C58" w:rsidP="00FA74E7">
      <w:pPr>
        <w:pStyle w:val="Textonotapie"/>
        <w:ind w:firstLine="708"/>
        <w:jc w:val="both"/>
        <w:rPr>
          <w:rFonts w:ascii="Verdana" w:hAnsi="Verdana"/>
          <w:sz w:val="16"/>
          <w:szCs w:val="16"/>
        </w:rPr>
      </w:pPr>
      <w:r w:rsidRPr="00FA74E7">
        <w:rPr>
          <w:rStyle w:val="Refdenotaalpie"/>
          <w:rFonts w:ascii="Verdana" w:hAnsi="Verdana"/>
          <w:sz w:val="16"/>
          <w:szCs w:val="16"/>
        </w:rPr>
        <w:footnoteRef/>
      </w:r>
      <w:r w:rsidRPr="00FA74E7">
        <w:rPr>
          <w:rFonts w:ascii="Verdana" w:hAnsi="Verdana"/>
          <w:sz w:val="16"/>
          <w:szCs w:val="16"/>
        </w:rPr>
        <w:t xml:space="preserve"> El artículo 270 del CPACA dispone que “Para los efectos de este Código se tendrán como sentencias de unificación jurisprudencial las que profiera o haya proferido el Consejo de Estado por importancia jurídica o trascendencia económica o social o por necesidad de unificar o sentar jurisprudencia o precisar su alcance o resolver las divergencias en su interpretación y aplicación; las proferidas al decidir los recursos extraordinarios y las relativas al mecanismo eventual de revisión previsto en el artículo 36A de la Ley 270 de 1995, adicionado por el artículo 11 de la Ley 1285 de 2009”. El concepto es relevante para la aplicación del artículo 10 </w:t>
      </w:r>
      <w:r w:rsidRPr="00FA74E7">
        <w:rPr>
          <w:rFonts w:ascii="Verdana" w:hAnsi="Verdana"/>
          <w:i/>
          <w:iCs/>
          <w:sz w:val="16"/>
          <w:szCs w:val="16"/>
        </w:rPr>
        <w:t>ibidem</w:t>
      </w:r>
      <w:r w:rsidRPr="00FA74E7">
        <w:rPr>
          <w:rFonts w:ascii="Verdana" w:hAnsi="Verdana"/>
          <w:sz w:val="16"/>
          <w:szCs w:val="16"/>
        </w:rPr>
        <w:t xml:space="preserve">, el cual prescribe que “Al resolver los asuntos de su competencia, las autoridades aplicarán las disposiciones constitucionales, legales y reglamentarias de manera uniforme a situaciones que tengan los mismos supuestos fácticos y jurídicos. </w:t>
      </w:r>
      <w:r w:rsidRPr="00FA74E7">
        <w:rPr>
          <w:rFonts w:ascii="Verdana" w:hAnsi="Verdana"/>
          <w:i/>
          <w:iCs/>
          <w:sz w:val="16"/>
          <w:szCs w:val="16"/>
        </w:rPr>
        <w:t>Con este propósito, al adoptar las decisiones de su competencia, deberán tener en cuenta las sentencias de unificación jurisprudencial del Consejo de Estado en las que se interpreten y apliquen dichas normas</w:t>
      </w:r>
      <w:r w:rsidRPr="00FA74E7">
        <w:rPr>
          <w:rFonts w:ascii="Verdana" w:hAnsi="Verdana"/>
          <w:sz w:val="16"/>
          <w:szCs w:val="16"/>
        </w:rPr>
        <w:t xml:space="preserve">” (Énfasis fuera de texto) </w:t>
      </w:r>
    </w:p>
  </w:footnote>
  <w:footnote w:id="21">
    <w:p w14:paraId="66551B35" w14:textId="77777777" w:rsidR="009D1C58" w:rsidRPr="00FA74E7" w:rsidRDefault="009D1C58" w:rsidP="00FA74E7">
      <w:pPr>
        <w:pStyle w:val="Textonotapie"/>
        <w:ind w:firstLine="708"/>
        <w:jc w:val="both"/>
        <w:rPr>
          <w:rFonts w:ascii="Verdana" w:hAnsi="Verdana"/>
          <w:sz w:val="16"/>
          <w:szCs w:val="16"/>
        </w:rPr>
      </w:pPr>
      <w:r w:rsidRPr="00FA74E7">
        <w:rPr>
          <w:rStyle w:val="Refdenotaalpie"/>
          <w:rFonts w:ascii="Verdana" w:hAnsi="Verdana"/>
          <w:sz w:val="16"/>
          <w:szCs w:val="16"/>
        </w:rPr>
        <w:footnoteRef/>
      </w:r>
      <w:r w:rsidRPr="00FA74E7">
        <w:rPr>
          <w:rFonts w:ascii="Verdana" w:hAnsi="Verdana"/>
          <w:sz w:val="16"/>
          <w:szCs w:val="16"/>
        </w:rPr>
        <w:t xml:space="preserve"> Como explica la doctrina, “La eficacia vinculante que la decisión del juez despliega como cosa juzgada respecto del caso decidido, se considera conceptualmente distinta de la autoridad que el criterio de decisión en ella adoptada (la llamada </w:t>
      </w:r>
      <w:r w:rsidRPr="00FA74E7">
        <w:rPr>
          <w:rFonts w:ascii="Verdana" w:hAnsi="Verdana"/>
          <w:i/>
          <w:iCs/>
          <w:sz w:val="16"/>
          <w:szCs w:val="16"/>
        </w:rPr>
        <w:t>ratio decidendi</w:t>
      </w:r>
      <w:r w:rsidRPr="00FA74E7">
        <w:rPr>
          <w:rFonts w:ascii="Verdana" w:hAnsi="Verdana"/>
          <w:sz w:val="16"/>
          <w:szCs w:val="16"/>
        </w:rPr>
        <w:t xml:space="preserve">) pueda desplegar sobre la convicción de los juicios futuros que vengan llamados a decidir casos semejantes. La autoridad de la decisión precedente en este segundo aspecto no se impone al futuro juez como un precepto jurídico a observar, sino que hace referencia únicamente a la inteligencia y al sentido crítico del que ha de decidir, llamándolo a apreciar el criterio de decisión adoptado en cuanto a su valor interpretativo, o sea a reconocer si éste responde a las exigencias del caso decisivo y al esquema de coherencia del </w:t>
      </w:r>
      <w:r w:rsidRPr="00FA74E7">
        <w:rPr>
          <w:rFonts w:ascii="Verdana" w:hAnsi="Verdana"/>
          <w:i/>
          <w:iCs/>
          <w:sz w:val="16"/>
          <w:szCs w:val="16"/>
        </w:rPr>
        <w:t>ius conditum</w:t>
      </w:r>
      <w:r w:rsidRPr="00FA74E7">
        <w:rPr>
          <w:rFonts w:ascii="Verdana" w:hAnsi="Verdana"/>
          <w:sz w:val="16"/>
          <w:szCs w:val="16"/>
        </w:rPr>
        <w:t>, es decir, si representa en suma una interpretación exacta de las normas jurídicas en discusión […]” (BETTI, Emilio. La interpretación de la ley y los actos jurídicos. Santiago: Ediciones Olejnik, 2018. p. 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3B6"/>
    <w:rsid w:val="00061B2A"/>
    <w:rsid w:val="000707B3"/>
    <w:rsid w:val="00082362"/>
    <w:rsid w:val="00092BDF"/>
    <w:rsid w:val="000A683E"/>
    <w:rsid w:val="000B19B9"/>
    <w:rsid w:val="000D0334"/>
    <w:rsid w:val="000F6486"/>
    <w:rsid w:val="00125105"/>
    <w:rsid w:val="00127233"/>
    <w:rsid w:val="00144FAA"/>
    <w:rsid w:val="00164B39"/>
    <w:rsid w:val="001E09FD"/>
    <w:rsid w:val="001E4177"/>
    <w:rsid w:val="001F139D"/>
    <w:rsid w:val="001F7DC6"/>
    <w:rsid w:val="002421BB"/>
    <w:rsid w:val="0025796E"/>
    <w:rsid w:val="00267EAB"/>
    <w:rsid w:val="002707A2"/>
    <w:rsid w:val="002951A0"/>
    <w:rsid w:val="002962BC"/>
    <w:rsid w:val="002A093D"/>
    <w:rsid w:val="002A0DD0"/>
    <w:rsid w:val="002A49AC"/>
    <w:rsid w:val="002A64FD"/>
    <w:rsid w:val="002C7A84"/>
    <w:rsid w:val="002E4FD9"/>
    <w:rsid w:val="00302A49"/>
    <w:rsid w:val="00316C5D"/>
    <w:rsid w:val="00322A85"/>
    <w:rsid w:val="00324168"/>
    <w:rsid w:val="003448F4"/>
    <w:rsid w:val="003520AF"/>
    <w:rsid w:val="00374F5E"/>
    <w:rsid w:val="00375E63"/>
    <w:rsid w:val="00377E3E"/>
    <w:rsid w:val="003A26D1"/>
    <w:rsid w:val="003A779E"/>
    <w:rsid w:val="003D0F4D"/>
    <w:rsid w:val="003D5B0D"/>
    <w:rsid w:val="003E0499"/>
    <w:rsid w:val="003F3941"/>
    <w:rsid w:val="00406575"/>
    <w:rsid w:val="0042722E"/>
    <w:rsid w:val="0044528D"/>
    <w:rsid w:val="00455D12"/>
    <w:rsid w:val="004754C4"/>
    <w:rsid w:val="004A1847"/>
    <w:rsid w:val="004A305D"/>
    <w:rsid w:val="004F21C4"/>
    <w:rsid w:val="004F685F"/>
    <w:rsid w:val="005566E8"/>
    <w:rsid w:val="00574867"/>
    <w:rsid w:val="00591460"/>
    <w:rsid w:val="00592628"/>
    <w:rsid w:val="005C3777"/>
    <w:rsid w:val="005C5CDC"/>
    <w:rsid w:val="005D476C"/>
    <w:rsid w:val="00605657"/>
    <w:rsid w:val="00610003"/>
    <w:rsid w:val="00610812"/>
    <w:rsid w:val="006125BC"/>
    <w:rsid w:val="006219F8"/>
    <w:rsid w:val="006449BE"/>
    <w:rsid w:val="00650923"/>
    <w:rsid w:val="00650FF7"/>
    <w:rsid w:val="00665D70"/>
    <w:rsid w:val="00671DAC"/>
    <w:rsid w:val="00673B52"/>
    <w:rsid w:val="006900D9"/>
    <w:rsid w:val="006D12F8"/>
    <w:rsid w:val="006D78D0"/>
    <w:rsid w:val="00706C16"/>
    <w:rsid w:val="00756841"/>
    <w:rsid w:val="007649AB"/>
    <w:rsid w:val="00771D0C"/>
    <w:rsid w:val="00776A02"/>
    <w:rsid w:val="007833AC"/>
    <w:rsid w:val="007B268C"/>
    <w:rsid w:val="007B7171"/>
    <w:rsid w:val="007C0C0F"/>
    <w:rsid w:val="007C3DC2"/>
    <w:rsid w:val="007E5497"/>
    <w:rsid w:val="007F1713"/>
    <w:rsid w:val="00806F5F"/>
    <w:rsid w:val="00820278"/>
    <w:rsid w:val="008843B6"/>
    <w:rsid w:val="00891928"/>
    <w:rsid w:val="008A446D"/>
    <w:rsid w:val="008C7CA3"/>
    <w:rsid w:val="008D180B"/>
    <w:rsid w:val="008F0EA7"/>
    <w:rsid w:val="00907351"/>
    <w:rsid w:val="00907CE7"/>
    <w:rsid w:val="00912F93"/>
    <w:rsid w:val="009231BE"/>
    <w:rsid w:val="00923EEF"/>
    <w:rsid w:val="00930CCC"/>
    <w:rsid w:val="009419F9"/>
    <w:rsid w:val="0095685E"/>
    <w:rsid w:val="00961B09"/>
    <w:rsid w:val="00965334"/>
    <w:rsid w:val="0097093E"/>
    <w:rsid w:val="009A0DFA"/>
    <w:rsid w:val="009B2D26"/>
    <w:rsid w:val="009C71FA"/>
    <w:rsid w:val="009C72E7"/>
    <w:rsid w:val="009D1C58"/>
    <w:rsid w:val="009D3058"/>
    <w:rsid w:val="009E429C"/>
    <w:rsid w:val="009F3A13"/>
    <w:rsid w:val="00A122D3"/>
    <w:rsid w:val="00A17F13"/>
    <w:rsid w:val="00A20739"/>
    <w:rsid w:val="00A33C78"/>
    <w:rsid w:val="00A612B8"/>
    <w:rsid w:val="00A80590"/>
    <w:rsid w:val="00A82E8F"/>
    <w:rsid w:val="00A92100"/>
    <w:rsid w:val="00AB0ADB"/>
    <w:rsid w:val="00AC52A2"/>
    <w:rsid w:val="00AF5CC6"/>
    <w:rsid w:val="00B01B1A"/>
    <w:rsid w:val="00B35C79"/>
    <w:rsid w:val="00B51CC3"/>
    <w:rsid w:val="00B72CD3"/>
    <w:rsid w:val="00B72FFF"/>
    <w:rsid w:val="00B73EF3"/>
    <w:rsid w:val="00BC3D36"/>
    <w:rsid w:val="00BD7F72"/>
    <w:rsid w:val="00C04FB3"/>
    <w:rsid w:val="00C330EB"/>
    <w:rsid w:val="00C754BE"/>
    <w:rsid w:val="00C76B1C"/>
    <w:rsid w:val="00C840E5"/>
    <w:rsid w:val="00CB6357"/>
    <w:rsid w:val="00CC1B26"/>
    <w:rsid w:val="00D30C0C"/>
    <w:rsid w:val="00D423A2"/>
    <w:rsid w:val="00D520D8"/>
    <w:rsid w:val="00D63AC2"/>
    <w:rsid w:val="00D7383B"/>
    <w:rsid w:val="00D740AB"/>
    <w:rsid w:val="00DA231B"/>
    <w:rsid w:val="00DA23A0"/>
    <w:rsid w:val="00DC1807"/>
    <w:rsid w:val="00DC39FC"/>
    <w:rsid w:val="00DF5254"/>
    <w:rsid w:val="00E16408"/>
    <w:rsid w:val="00E20894"/>
    <w:rsid w:val="00E245AB"/>
    <w:rsid w:val="00E2764C"/>
    <w:rsid w:val="00E27F2E"/>
    <w:rsid w:val="00E413EA"/>
    <w:rsid w:val="00E50AFE"/>
    <w:rsid w:val="00E55A7B"/>
    <w:rsid w:val="00E578B6"/>
    <w:rsid w:val="00E75C92"/>
    <w:rsid w:val="00E771DC"/>
    <w:rsid w:val="00E8772A"/>
    <w:rsid w:val="00E90F6B"/>
    <w:rsid w:val="00E92C27"/>
    <w:rsid w:val="00EA0E3D"/>
    <w:rsid w:val="00EB4203"/>
    <w:rsid w:val="00EC38A7"/>
    <w:rsid w:val="00EE1AA8"/>
    <w:rsid w:val="00F31EDC"/>
    <w:rsid w:val="00F339AF"/>
    <w:rsid w:val="00F462B3"/>
    <w:rsid w:val="00F5008B"/>
    <w:rsid w:val="00F5664F"/>
    <w:rsid w:val="00F666C4"/>
    <w:rsid w:val="00F70190"/>
    <w:rsid w:val="00F76AFC"/>
    <w:rsid w:val="00FA3169"/>
    <w:rsid w:val="00FA47C0"/>
    <w:rsid w:val="00FA6B2C"/>
    <w:rsid w:val="00FA74E7"/>
    <w:rsid w:val="00FB215E"/>
    <w:rsid w:val="00FB5DD1"/>
    <w:rsid w:val="00FC2B5D"/>
    <w:rsid w:val="00FD5908"/>
    <w:rsid w:val="00FF1449"/>
    <w:rsid w:val="0DF67D85"/>
    <w:rsid w:val="5CEADB7B"/>
    <w:rsid w:val="7804CD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590F0999-9E0D-4AB2-B7FF-7A424592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D1C5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D1C58"/>
    <w:rPr>
      <w:rFonts w:ascii="Geomanist Light" w:hAnsi="Geomanist Light"/>
      <w:lang w:val="es-ES"/>
    </w:rPr>
  </w:style>
  <w:style w:type="character" w:styleId="Textoennegrita">
    <w:name w:val="Strong"/>
    <w:basedOn w:val="Fuentedeprrafopredeter"/>
    <w:uiPriority w:val="22"/>
    <w:qFormat/>
    <w:rsid w:val="009D1C58"/>
    <w:rPr>
      <w:b/>
      <w:bCs/>
    </w:rPr>
  </w:style>
  <w:style w:type="character" w:styleId="nfasis">
    <w:name w:val="Emphasis"/>
    <w:basedOn w:val="Fuentedeprrafopredeter"/>
    <w:uiPriority w:val="20"/>
    <w:qFormat/>
    <w:rsid w:val="009D1C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sagiraldo@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ceficiente.sharepoint.com/sites/SGDEA/TRD_254/EXPEDIENTE_1668/DOCUMENTO_407171/DOCUMENTO_40717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915CC4BF-0767-4DFC-8DFB-D182A2EBF184}"/>
</file>

<file path=docProps/app.xml><?xml version="1.0" encoding="utf-8"?>
<Properties xmlns="http://schemas.openxmlformats.org/officeDocument/2006/extended-properties" xmlns:vt="http://schemas.openxmlformats.org/officeDocument/2006/docPropsVTypes">
  <Template>Normal.dotm</Template>
  <TotalTime>0</TotalTime>
  <Pages>15</Pages>
  <Words>4698</Words>
  <Characters>25839</Characters>
  <Application>Microsoft Office Word</Application>
  <DocSecurity>0</DocSecurity>
  <Lines>215</Lines>
  <Paragraphs>60</Paragraphs>
  <ScaleCrop>false</ScaleCrop>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2023-01-11T03:18:00Z</cp:lastPrinted>
  <dcterms:created xsi:type="dcterms:W3CDTF">2024-10-18T20:24:00Z</dcterms:created>
  <dcterms:modified xsi:type="dcterms:W3CDTF">2024-10-29T18:07:00Z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