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AF349" w14:textId="77777777" w:rsidR="005C572E" w:rsidRPr="00715939" w:rsidRDefault="005C572E" w:rsidP="00715939">
      <w:pPr>
        <w:spacing w:line="276" w:lineRule="auto"/>
        <w:ind w:left="-142" w:right="191"/>
        <w:jc w:val="both"/>
        <w:rPr>
          <w:rFonts w:ascii="Verdana" w:eastAsia="Verdana" w:hAnsi="Verdana" w:cs="Verdana"/>
          <w:b/>
          <w:bCs/>
          <w:lang w:val="es-ES"/>
        </w:rPr>
      </w:pPr>
      <w:bookmarkStart w:id="0" w:name="_Hlk143780582"/>
      <w:r w:rsidRPr="00715939">
        <w:rPr>
          <w:rFonts w:ascii="Verdana" w:eastAsia="Verdana" w:hAnsi="Verdana" w:cs="Verdana"/>
          <w:b/>
          <w:bCs/>
          <w:lang w:val="es-ES"/>
        </w:rPr>
        <w:t xml:space="preserve">CESIÓN DEL CONTRATO ESTATAL – Régimen jurídico aplicable – EGCAP – Código de comercio – Requisitos </w:t>
      </w:r>
    </w:p>
    <w:p w14:paraId="2073FB55" w14:textId="77777777" w:rsidR="005C572E" w:rsidRPr="00715939" w:rsidRDefault="005C572E" w:rsidP="00715939">
      <w:pPr>
        <w:pStyle w:val="Textoindependiente"/>
        <w:spacing w:line="276" w:lineRule="auto"/>
        <w:ind w:left="-142" w:right="191"/>
      </w:pPr>
    </w:p>
    <w:p w14:paraId="1C7DAE1E" w14:textId="77777777" w:rsidR="005C572E" w:rsidRPr="00715939" w:rsidRDefault="005C572E" w:rsidP="00715939">
      <w:pPr>
        <w:pStyle w:val="Textoindependiente"/>
        <w:spacing w:before="1" w:line="276" w:lineRule="auto"/>
        <w:ind w:left="-142" w:right="191"/>
        <w:jc w:val="both"/>
      </w:pPr>
      <w:r w:rsidRPr="00715939">
        <w:t>Tratándose</w:t>
      </w:r>
      <w:r w:rsidRPr="00715939">
        <w:rPr>
          <w:spacing w:val="-8"/>
        </w:rPr>
        <w:t xml:space="preserve"> </w:t>
      </w:r>
      <w:r w:rsidRPr="00715939">
        <w:t>de</w:t>
      </w:r>
      <w:r w:rsidRPr="00715939">
        <w:rPr>
          <w:spacing w:val="-11"/>
        </w:rPr>
        <w:t xml:space="preserve"> </w:t>
      </w:r>
      <w:r w:rsidRPr="00715939">
        <w:t>la</w:t>
      </w:r>
      <w:r w:rsidRPr="00715939">
        <w:rPr>
          <w:spacing w:val="-11"/>
        </w:rPr>
        <w:t xml:space="preserve"> </w:t>
      </w:r>
      <w:r w:rsidRPr="00715939">
        <w:t>cesión</w:t>
      </w:r>
      <w:r w:rsidRPr="00715939">
        <w:rPr>
          <w:spacing w:val="-9"/>
        </w:rPr>
        <w:t xml:space="preserve"> </w:t>
      </w:r>
      <w:r w:rsidRPr="00715939">
        <w:t>de</w:t>
      </w:r>
      <w:r w:rsidRPr="00715939">
        <w:rPr>
          <w:spacing w:val="-11"/>
        </w:rPr>
        <w:t xml:space="preserve"> </w:t>
      </w:r>
      <w:r w:rsidRPr="00715939">
        <w:t>contratos</w:t>
      </w:r>
      <w:r w:rsidRPr="00715939">
        <w:rPr>
          <w:spacing w:val="-9"/>
        </w:rPr>
        <w:t xml:space="preserve"> </w:t>
      </w:r>
      <w:r w:rsidRPr="00715939">
        <w:t>estatales,</w:t>
      </w:r>
      <w:r w:rsidRPr="00715939">
        <w:rPr>
          <w:spacing w:val="-8"/>
        </w:rPr>
        <w:t xml:space="preserve"> </w:t>
      </w:r>
      <w:r w:rsidRPr="00715939">
        <w:t>conforme</w:t>
      </w:r>
      <w:r w:rsidRPr="00715939">
        <w:rPr>
          <w:spacing w:val="-9"/>
        </w:rPr>
        <w:t xml:space="preserve"> </w:t>
      </w:r>
      <w:r w:rsidRPr="00715939">
        <w:t>a</w:t>
      </w:r>
      <w:r w:rsidRPr="00715939">
        <w:rPr>
          <w:spacing w:val="-11"/>
        </w:rPr>
        <w:t xml:space="preserve"> </w:t>
      </w:r>
      <w:r w:rsidRPr="00715939">
        <w:t>la</w:t>
      </w:r>
      <w:r w:rsidRPr="00715939">
        <w:rPr>
          <w:spacing w:val="-11"/>
        </w:rPr>
        <w:t xml:space="preserve"> </w:t>
      </w:r>
      <w:r w:rsidRPr="00715939">
        <w:t>regulación del EGCAP, confluyen una mixtura entre el derecho público y privado en su regulación. En efecto, i) los contratos estatales se regirán por las normas comerciales y civiles pertinentes, salvo en lo concerniente a las materias particularmente</w:t>
      </w:r>
      <w:r w:rsidRPr="00715939">
        <w:rPr>
          <w:spacing w:val="-9"/>
        </w:rPr>
        <w:t xml:space="preserve"> </w:t>
      </w:r>
      <w:r w:rsidRPr="00715939">
        <w:t>reguladas</w:t>
      </w:r>
      <w:r w:rsidRPr="00715939">
        <w:rPr>
          <w:spacing w:val="-11"/>
        </w:rPr>
        <w:t xml:space="preserve"> </w:t>
      </w:r>
      <w:r w:rsidRPr="00715939">
        <w:t>en</w:t>
      </w:r>
      <w:r w:rsidRPr="00715939">
        <w:rPr>
          <w:spacing w:val="-14"/>
        </w:rPr>
        <w:t xml:space="preserve"> </w:t>
      </w:r>
      <w:r w:rsidRPr="00715939">
        <w:t>dicha</w:t>
      </w:r>
      <w:r w:rsidRPr="00715939">
        <w:rPr>
          <w:spacing w:val="-12"/>
        </w:rPr>
        <w:t xml:space="preserve"> </w:t>
      </w:r>
      <w:r w:rsidRPr="00715939">
        <w:t>ley,</w:t>
      </w:r>
      <w:r w:rsidRPr="00715939">
        <w:rPr>
          <w:spacing w:val="-13"/>
        </w:rPr>
        <w:t xml:space="preserve"> </w:t>
      </w:r>
      <w:r w:rsidRPr="00715939">
        <w:t>de</w:t>
      </w:r>
      <w:r w:rsidRPr="00715939">
        <w:rPr>
          <w:spacing w:val="-14"/>
        </w:rPr>
        <w:t xml:space="preserve"> </w:t>
      </w:r>
      <w:r w:rsidRPr="00715939">
        <w:t>acuerdo</w:t>
      </w:r>
      <w:r w:rsidRPr="00715939">
        <w:rPr>
          <w:spacing w:val="-11"/>
        </w:rPr>
        <w:t xml:space="preserve"> </w:t>
      </w:r>
      <w:r w:rsidRPr="00715939">
        <w:t>con</w:t>
      </w:r>
      <w:r w:rsidRPr="00715939">
        <w:rPr>
          <w:spacing w:val="-14"/>
        </w:rPr>
        <w:t xml:space="preserve"> </w:t>
      </w:r>
      <w:r w:rsidRPr="00715939">
        <w:t>lo</w:t>
      </w:r>
      <w:r w:rsidRPr="00715939">
        <w:rPr>
          <w:spacing w:val="-15"/>
        </w:rPr>
        <w:t xml:space="preserve"> </w:t>
      </w:r>
      <w:r w:rsidRPr="00715939">
        <w:t>prescrito</w:t>
      </w:r>
      <w:r w:rsidRPr="00715939">
        <w:rPr>
          <w:spacing w:val="-10"/>
        </w:rPr>
        <w:t xml:space="preserve"> </w:t>
      </w:r>
      <w:r w:rsidRPr="00715939">
        <w:t>en</w:t>
      </w:r>
      <w:r w:rsidRPr="00715939">
        <w:rPr>
          <w:spacing w:val="-14"/>
        </w:rPr>
        <w:t xml:space="preserve"> </w:t>
      </w:r>
      <w:r w:rsidRPr="00715939">
        <w:t>el</w:t>
      </w:r>
      <w:r w:rsidRPr="00715939">
        <w:rPr>
          <w:spacing w:val="-14"/>
        </w:rPr>
        <w:t xml:space="preserve"> </w:t>
      </w:r>
      <w:r w:rsidRPr="00715939">
        <w:t>inciso primero del artículo 13 de la Ley 80 de 1993, por lo que deben observarse en primer término las</w:t>
      </w:r>
      <w:r w:rsidRPr="00715939">
        <w:rPr>
          <w:spacing w:val="-1"/>
        </w:rPr>
        <w:t xml:space="preserve"> </w:t>
      </w:r>
      <w:r w:rsidRPr="00715939">
        <w:t>disposiciones establecidas en</w:t>
      </w:r>
      <w:r w:rsidRPr="00715939">
        <w:rPr>
          <w:spacing w:val="-1"/>
        </w:rPr>
        <w:t xml:space="preserve"> </w:t>
      </w:r>
      <w:r w:rsidRPr="00715939">
        <w:t>el</w:t>
      </w:r>
      <w:r w:rsidRPr="00715939">
        <w:rPr>
          <w:spacing w:val="-1"/>
        </w:rPr>
        <w:t xml:space="preserve"> </w:t>
      </w:r>
      <w:r w:rsidRPr="00715939">
        <w:t>EGCAP;</w:t>
      </w:r>
      <w:r w:rsidRPr="00715939">
        <w:rPr>
          <w:spacing w:val="-2"/>
        </w:rPr>
        <w:t xml:space="preserve"> </w:t>
      </w:r>
      <w:r w:rsidRPr="00715939">
        <w:t>ii)</w:t>
      </w:r>
      <w:r w:rsidRPr="00715939">
        <w:rPr>
          <w:spacing w:val="-2"/>
        </w:rPr>
        <w:t xml:space="preserve"> </w:t>
      </w:r>
      <w:r w:rsidRPr="00715939">
        <w:t>corresponderán como</w:t>
      </w:r>
      <w:r w:rsidRPr="00715939">
        <w:rPr>
          <w:spacing w:val="-12"/>
        </w:rPr>
        <w:t xml:space="preserve"> </w:t>
      </w:r>
      <w:r w:rsidRPr="00715939">
        <w:t>actos</w:t>
      </w:r>
      <w:r w:rsidRPr="00715939">
        <w:rPr>
          <w:spacing w:val="-12"/>
        </w:rPr>
        <w:t xml:space="preserve"> </w:t>
      </w:r>
      <w:r w:rsidRPr="00715939">
        <w:t>jurídicos</w:t>
      </w:r>
      <w:r w:rsidRPr="00715939">
        <w:rPr>
          <w:spacing w:val="-11"/>
        </w:rPr>
        <w:t xml:space="preserve"> </w:t>
      </w:r>
      <w:r w:rsidRPr="00715939">
        <w:t>bilaterales</w:t>
      </w:r>
      <w:r w:rsidRPr="00715939">
        <w:rPr>
          <w:spacing w:val="-11"/>
        </w:rPr>
        <w:t xml:space="preserve"> </w:t>
      </w:r>
      <w:r w:rsidRPr="00715939">
        <w:t>generadores</w:t>
      </w:r>
      <w:r w:rsidRPr="00715939">
        <w:rPr>
          <w:spacing w:val="-11"/>
        </w:rPr>
        <w:t xml:space="preserve"> </w:t>
      </w:r>
      <w:r w:rsidRPr="00715939">
        <w:t>de</w:t>
      </w:r>
      <w:r w:rsidRPr="00715939">
        <w:rPr>
          <w:spacing w:val="-12"/>
        </w:rPr>
        <w:t xml:space="preserve"> </w:t>
      </w:r>
      <w:r w:rsidRPr="00715939">
        <w:t>obligaciones,</w:t>
      </w:r>
      <w:r w:rsidRPr="00715939">
        <w:rPr>
          <w:spacing w:val="-10"/>
        </w:rPr>
        <w:t xml:space="preserve"> </w:t>
      </w:r>
      <w:r w:rsidRPr="00715939">
        <w:t>entre</w:t>
      </w:r>
      <w:r w:rsidRPr="00715939">
        <w:rPr>
          <w:spacing w:val="-12"/>
        </w:rPr>
        <w:t xml:space="preserve"> </w:t>
      </w:r>
      <w:r w:rsidRPr="00715939">
        <w:t>otros,</w:t>
      </w:r>
      <w:r w:rsidRPr="00715939">
        <w:rPr>
          <w:spacing w:val="-12"/>
        </w:rPr>
        <w:t xml:space="preserve"> </w:t>
      </w:r>
      <w:r w:rsidRPr="00715939">
        <w:t>a</w:t>
      </w:r>
      <w:r w:rsidRPr="00715939">
        <w:rPr>
          <w:spacing w:val="-13"/>
        </w:rPr>
        <w:t xml:space="preserve"> </w:t>
      </w:r>
      <w:r w:rsidRPr="00715939">
        <w:t xml:space="preserve">los previstos en el derecho privado, en los términos del artículo 32 </w:t>
      </w:r>
      <w:r w:rsidRPr="00715939">
        <w:rPr>
          <w:i/>
        </w:rPr>
        <w:t>ibidem</w:t>
      </w:r>
      <w:r w:rsidRPr="00715939">
        <w:t>; y iii) contendrán las estipulaciones que, de acuerdo con las normas civiles, comerciales</w:t>
      </w:r>
      <w:r w:rsidRPr="00715939">
        <w:rPr>
          <w:spacing w:val="-20"/>
        </w:rPr>
        <w:t xml:space="preserve"> </w:t>
      </w:r>
      <w:r w:rsidRPr="00715939">
        <w:t>y</w:t>
      </w:r>
      <w:r w:rsidRPr="00715939">
        <w:rPr>
          <w:spacing w:val="-19"/>
        </w:rPr>
        <w:t xml:space="preserve"> </w:t>
      </w:r>
      <w:r w:rsidRPr="00715939">
        <w:t>las</w:t>
      </w:r>
      <w:r w:rsidRPr="00715939">
        <w:rPr>
          <w:spacing w:val="-19"/>
        </w:rPr>
        <w:t xml:space="preserve"> </w:t>
      </w:r>
      <w:r w:rsidRPr="00715939">
        <w:t>previstas</w:t>
      </w:r>
      <w:r w:rsidRPr="00715939">
        <w:rPr>
          <w:spacing w:val="-20"/>
        </w:rPr>
        <w:t xml:space="preserve"> </w:t>
      </w:r>
      <w:r w:rsidRPr="00715939">
        <w:t>en</w:t>
      </w:r>
      <w:r w:rsidRPr="00715939">
        <w:rPr>
          <w:spacing w:val="-19"/>
        </w:rPr>
        <w:t xml:space="preserve"> </w:t>
      </w:r>
      <w:r w:rsidRPr="00715939">
        <w:t>esta</w:t>
      </w:r>
      <w:r w:rsidRPr="00715939">
        <w:rPr>
          <w:spacing w:val="-20"/>
        </w:rPr>
        <w:t xml:space="preserve"> </w:t>
      </w:r>
      <w:r w:rsidRPr="00715939">
        <w:t>ley,</w:t>
      </w:r>
      <w:r w:rsidRPr="00715939">
        <w:rPr>
          <w:spacing w:val="-19"/>
        </w:rPr>
        <w:t xml:space="preserve"> </w:t>
      </w:r>
      <w:r w:rsidRPr="00715939">
        <w:t>correspondan</w:t>
      </w:r>
      <w:r w:rsidRPr="00715939">
        <w:rPr>
          <w:spacing w:val="-19"/>
        </w:rPr>
        <w:t xml:space="preserve"> </w:t>
      </w:r>
      <w:r w:rsidRPr="00715939">
        <w:t>a</w:t>
      </w:r>
      <w:r w:rsidRPr="00715939">
        <w:rPr>
          <w:spacing w:val="-20"/>
        </w:rPr>
        <w:t xml:space="preserve"> </w:t>
      </w:r>
      <w:r w:rsidRPr="00715939">
        <w:t>su</w:t>
      </w:r>
      <w:r w:rsidRPr="00715939">
        <w:rPr>
          <w:spacing w:val="-19"/>
        </w:rPr>
        <w:t xml:space="preserve"> </w:t>
      </w:r>
      <w:r w:rsidRPr="00715939">
        <w:t>esencia</w:t>
      </w:r>
      <w:r w:rsidRPr="00715939">
        <w:rPr>
          <w:spacing w:val="-19"/>
        </w:rPr>
        <w:t xml:space="preserve"> </w:t>
      </w:r>
      <w:r w:rsidRPr="00715939">
        <w:t>y</w:t>
      </w:r>
      <w:r w:rsidRPr="00715939">
        <w:rPr>
          <w:spacing w:val="-20"/>
        </w:rPr>
        <w:t xml:space="preserve"> </w:t>
      </w:r>
      <w:r w:rsidRPr="00715939">
        <w:t xml:space="preserve">naturaleza, conforme a lo dispuesto por el artículo 40 </w:t>
      </w:r>
      <w:r w:rsidRPr="00715939">
        <w:rPr>
          <w:i/>
        </w:rPr>
        <w:t>ibidem</w:t>
      </w:r>
      <w:r w:rsidRPr="00715939">
        <w:t>.</w:t>
      </w:r>
    </w:p>
    <w:p w14:paraId="47A6706F" w14:textId="77777777" w:rsidR="005C572E" w:rsidRPr="00715939" w:rsidRDefault="005C572E" w:rsidP="00715939">
      <w:pPr>
        <w:pStyle w:val="Textoindependiente"/>
        <w:spacing w:before="1" w:line="276" w:lineRule="auto"/>
        <w:ind w:left="-142" w:right="191"/>
        <w:jc w:val="both"/>
      </w:pPr>
    </w:p>
    <w:p w14:paraId="05BD6DE2" w14:textId="5973CCE5" w:rsidR="005C572E" w:rsidRPr="00715939" w:rsidRDefault="005C572E" w:rsidP="00715939">
      <w:pPr>
        <w:pStyle w:val="Textoindependiente"/>
        <w:spacing w:before="1" w:line="276" w:lineRule="auto"/>
        <w:ind w:left="-142" w:right="191"/>
        <w:jc w:val="both"/>
        <w:rPr>
          <w:b/>
          <w:bCs/>
        </w:rPr>
      </w:pPr>
      <w:r w:rsidRPr="00715939">
        <w:rPr>
          <w:b/>
          <w:bCs/>
        </w:rPr>
        <w:t>CONTRATO DE MANDATO - Código de comercio</w:t>
      </w:r>
    </w:p>
    <w:p w14:paraId="76FC45CE" w14:textId="77777777" w:rsidR="005C572E" w:rsidRPr="00715939" w:rsidRDefault="005C572E" w:rsidP="00715939">
      <w:pPr>
        <w:pStyle w:val="Textoindependiente"/>
        <w:spacing w:before="1" w:line="276" w:lineRule="auto"/>
        <w:ind w:left="-142" w:right="191"/>
        <w:jc w:val="both"/>
      </w:pPr>
    </w:p>
    <w:p w14:paraId="232FA08D" w14:textId="380AEF73" w:rsidR="005C572E" w:rsidRPr="00715939" w:rsidRDefault="005C572E" w:rsidP="00715939">
      <w:pPr>
        <w:pStyle w:val="Textoindependiente"/>
        <w:spacing w:before="1" w:line="276" w:lineRule="auto"/>
        <w:ind w:left="-142" w:right="191"/>
        <w:jc w:val="both"/>
        <w:rPr>
          <w:lang w:val="es-CO"/>
        </w:rPr>
      </w:pPr>
      <w:r w:rsidRPr="00715939">
        <w:rPr>
          <w:lang w:val="es-CO"/>
        </w:rPr>
        <w:t>En relación con el contrato de mandato, se observa que el mismo es definido por el Código Civil, art. 2142, como aquel en que una persona confía la gestión de uno o más negocios a otra, que se hace cargo de ellos por cuenta y riesgo de la primera, y el Código de Comercio se refiere al mismo, en el artículo 1262, manifestando que el mandato comercial es un contrato por el cual una parte se obliga a celebrar o ejecutar uno o más actos de comercio por cuenta de otra. Por su parte, el artículo 1505 del Código Civil, establece que lo que una persona ejecuta a nombre de otra, estando facultada por ella o por la ley para representarla, produce respecto del representado iguales efectos que si hubiese contratado él mismo; y por su parte, el artículo 833 del C.Co., dispone que los negocios jurídicos propuestos o celebrados por el representante en nombre del representado, dentro del límite de sus poderes, producirán directamente efectos en relación con éste, regla que no se aplicará a los negocios propuestos o celebrados por intermediario que carezca de la facultad para representar.</w:t>
      </w:r>
    </w:p>
    <w:p w14:paraId="409522D0" w14:textId="77777777" w:rsidR="00127C91" w:rsidRDefault="00127C91" w:rsidP="00715939">
      <w:pPr>
        <w:spacing w:line="276" w:lineRule="auto"/>
        <w:rPr>
          <w:rFonts w:ascii="Verdana" w:eastAsia="Calibri" w:hAnsi="Verdana" w:cs="Arial"/>
          <w:b/>
          <w:bCs/>
          <w:lang w:val="es-ES" w:eastAsia="es-ES"/>
        </w:rPr>
      </w:pPr>
    </w:p>
    <w:p w14:paraId="18F65C43" w14:textId="14CABBD9" w:rsidR="00715939" w:rsidRPr="00715939" w:rsidRDefault="00715939" w:rsidP="00715939">
      <w:pPr>
        <w:spacing w:line="276" w:lineRule="auto"/>
        <w:rPr>
          <w:rFonts w:ascii="Verdana" w:eastAsia="Calibri" w:hAnsi="Verdana" w:cs="Arial"/>
          <w:b/>
          <w:bCs/>
          <w:lang w:val="es-ES" w:eastAsia="es-ES"/>
        </w:rPr>
      </w:pPr>
      <w:r w:rsidRPr="00715939">
        <w:rPr>
          <w:rFonts w:ascii="Verdana" w:eastAsia="Calibri" w:hAnsi="Verdana" w:cs="Arial"/>
          <w:b/>
          <w:bCs/>
          <w:lang w:val="es-ES" w:eastAsia="es-ES"/>
        </w:rPr>
        <w:t>SANCIONES CONTRACTUALES – Clases – Consagración legal</w:t>
      </w:r>
    </w:p>
    <w:p w14:paraId="3E3E32A8" w14:textId="77777777" w:rsidR="00715939" w:rsidRPr="00715939" w:rsidRDefault="00715939" w:rsidP="00715939">
      <w:pPr>
        <w:spacing w:line="276" w:lineRule="auto"/>
        <w:jc w:val="both"/>
        <w:rPr>
          <w:rFonts w:ascii="Verdana" w:eastAsia="Calibri" w:hAnsi="Verdana" w:cs="Arial"/>
          <w:lang w:val="es-ES" w:eastAsia="es-ES"/>
        </w:rPr>
      </w:pPr>
      <w:r w:rsidRPr="00715939">
        <w:rPr>
          <w:rFonts w:ascii="Verdana" w:eastAsia="Calibri" w:hAnsi="Verdana" w:cs="Arial"/>
          <w:lang w:val="es-ES" w:eastAsia="es-ES"/>
        </w:rPr>
        <w:lastRenderedPageBreak/>
        <w:t>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ibidem. ii) En algunas disposiciones también se establecen otras potestades exorbitantes, como la liquidación unilateral y la declaratoria unilateral del siniestro –artículos 7 y 11 de la Ley 1150 de 2007–Dentro de las potestades unilaterales también se encuentran iii) las cláusulas excepcionales de imposición unilateral de las cláusulas penales y de multas –artículo 17 de la Ley 1150 de 2007–, aclarando que su exorbitancia se refiere a su imposición unilateral, no a su pacto, que es posible en virtud de las normas civiles y comerciales.</w:t>
      </w:r>
    </w:p>
    <w:p w14:paraId="732A3956" w14:textId="77777777" w:rsidR="00715939" w:rsidRPr="00715939" w:rsidRDefault="00715939" w:rsidP="00715939">
      <w:pPr>
        <w:spacing w:line="276" w:lineRule="auto"/>
        <w:rPr>
          <w:rFonts w:ascii="Verdana" w:eastAsia="Calibri" w:hAnsi="Verdana" w:cs="Arial"/>
          <w:b/>
          <w:szCs w:val="24"/>
          <w:lang w:val="es-ES_tradnl" w:eastAsia="es-ES_tradnl"/>
        </w:rPr>
      </w:pPr>
      <w:r w:rsidRPr="00715939">
        <w:rPr>
          <w:rFonts w:ascii="Verdana" w:eastAsia="Calibri" w:hAnsi="Verdana" w:cs="Arial"/>
          <w:b/>
          <w:szCs w:val="24"/>
          <w:lang w:val="es-ES_tradnl" w:eastAsia="es-ES_tradnl"/>
        </w:rPr>
        <w:t>PROCEDIMIENTO SANCIONATORIO – Ley 1474 de 2011 – Artículo 86</w:t>
      </w:r>
    </w:p>
    <w:p w14:paraId="35E67E12" w14:textId="77777777" w:rsidR="00715939" w:rsidRPr="00715939" w:rsidRDefault="00715939" w:rsidP="00715939">
      <w:pPr>
        <w:spacing w:line="276" w:lineRule="auto"/>
        <w:jc w:val="both"/>
        <w:rPr>
          <w:rFonts w:ascii="Verdana" w:eastAsia="Calibri" w:hAnsi="Verdana" w:cs="Arial"/>
          <w:bCs/>
          <w:szCs w:val="24"/>
          <w:lang w:val="es-ES_tradnl" w:eastAsia="es-ES_tradnl"/>
        </w:rPr>
      </w:pPr>
      <w:r w:rsidRPr="00715939">
        <w:rPr>
          <w:rFonts w:ascii="Verdana" w:eastAsia="Calibri" w:hAnsi="Verdana" w:cs="Arial"/>
          <w:bCs/>
          <w:szCs w:val="24"/>
          <w:lang w:val="es-ES_tradnl" w:eastAsia="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normativa, las “entidades sometidas al Estatuto General de Contratación de la Administración Pública podrán declarar el incumplimiento […]. Para tal efecto observarán […]” el procedimiento que en tal enunciado normativo se regula. </w:t>
      </w:r>
    </w:p>
    <w:p w14:paraId="23A2593B" w14:textId="77777777" w:rsidR="00283C1D" w:rsidRPr="00715939" w:rsidRDefault="00283C1D" w:rsidP="00715939">
      <w:pPr>
        <w:pStyle w:val="Textoindependiente"/>
        <w:spacing w:before="1" w:line="276" w:lineRule="auto"/>
        <w:ind w:left="-142" w:right="191"/>
        <w:jc w:val="both"/>
        <w:rPr>
          <w:lang w:val="es-CO"/>
        </w:rPr>
      </w:pPr>
    </w:p>
    <w:p w14:paraId="2B58E0D9" w14:textId="77777777" w:rsidR="00283C1D" w:rsidRPr="00715939" w:rsidRDefault="00283C1D" w:rsidP="00715939">
      <w:pPr>
        <w:spacing w:after="0" w:line="276" w:lineRule="auto"/>
        <w:jc w:val="both"/>
        <w:rPr>
          <w:rFonts w:ascii="Verdana" w:eastAsia="Calibri" w:hAnsi="Verdana" w:cs="Arial"/>
          <w:b/>
          <w:lang w:val="es-ES" w:eastAsia="es-ES"/>
        </w:rPr>
      </w:pPr>
      <w:r w:rsidRPr="00715939">
        <w:rPr>
          <w:rFonts w:ascii="Verdana" w:eastAsia="Calibri" w:hAnsi="Verdana" w:cs="Arial"/>
          <w:b/>
          <w:lang w:val="es-ES" w:eastAsia="es-ES"/>
        </w:rPr>
        <w:t xml:space="preserve">CONTRATACIÓN PÚBLICA – Principio de publicidad – Principio de transparencia – Uso del SECOP </w:t>
      </w:r>
    </w:p>
    <w:p w14:paraId="0BB6BF93" w14:textId="77777777" w:rsidR="00283C1D" w:rsidRPr="00715939" w:rsidRDefault="00283C1D" w:rsidP="00715939">
      <w:pPr>
        <w:spacing w:after="0" w:line="276" w:lineRule="auto"/>
        <w:jc w:val="both"/>
        <w:rPr>
          <w:rFonts w:ascii="Verdana" w:eastAsia="Calibri" w:hAnsi="Verdana" w:cs="Arial"/>
          <w:b/>
          <w:bCs/>
          <w:sz w:val="20"/>
          <w:szCs w:val="20"/>
          <w:highlight w:val="yellow"/>
          <w:lang w:val="es-ES_tradnl" w:eastAsia="es-ES_tradnl"/>
        </w:rPr>
      </w:pPr>
    </w:p>
    <w:p w14:paraId="7CE01C9A" w14:textId="77777777" w:rsidR="00283C1D" w:rsidRPr="00715939" w:rsidRDefault="00283C1D" w:rsidP="00715939">
      <w:pPr>
        <w:spacing w:after="0" w:line="276" w:lineRule="auto"/>
        <w:jc w:val="both"/>
        <w:rPr>
          <w:rFonts w:ascii="Verdana" w:eastAsia="Aptos" w:hAnsi="Verdana" w:cs="Times New Roman"/>
          <w:sz w:val="20"/>
          <w:szCs w:val="20"/>
        </w:rPr>
      </w:pPr>
      <w:r w:rsidRPr="00715939">
        <w:rPr>
          <w:rFonts w:ascii="Verdana" w:eastAsia="Aptos" w:hAnsi="Verdana" w:cs="Times New Roman"/>
          <w:sz w:val="20"/>
          <w:szCs w:val="20"/>
        </w:rPr>
        <w:t>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p>
    <w:p w14:paraId="0B9620C7" w14:textId="77777777" w:rsidR="00283C1D" w:rsidRPr="00715939" w:rsidRDefault="00283C1D" w:rsidP="00715939">
      <w:pPr>
        <w:spacing w:after="0" w:line="276" w:lineRule="auto"/>
        <w:jc w:val="both"/>
        <w:rPr>
          <w:rFonts w:ascii="Verdana" w:eastAsia="Calibri" w:hAnsi="Verdana" w:cs="Arial"/>
          <w:b/>
          <w:bCs/>
          <w:sz w:val="20"/>
          <w:szCs w:val="20"/>
          <w:highlight w:val="yellow"/>
          <w:lang w:eastAsia="es-ES_tradnl"/>
        </w:rPr>
      </w:pPr>
    </w:p>
    <w:p w14:paraId="197424F3" w14:textId="77777777" w:rsidR="00283C1D" w:rsidRPr="00715939" w:rsidRDefault="00283C1D" w:rsidP="00715939">
      <w:pPr>
        <w:spacing w:after="0" w:line="276" w:lineRule="auto"/>
        <w:jc w:val="both"/>
        <w:rPr>
          <w:rFonts w:ascii="Verdana" w:eastAsia="Aptos" w:hAnsi="Verdana" w:cs="Times New Roman"/>
          <w:sz w:val="20"/>
          <w:szCs w:val="20"/>
        </w:rPr>
      </w:pPr>
      <w:r w:rsidRPr="00715939">
        <w:rPr>
          <w:rFonts w:ascii="Verdana" w:eastAsia="Aptos" w:hAnsi="Verdana" w:cs="Times New Roman"/>
          <w:sz w:val="20"/>
          <w:szCs w:val="20"/>
        </w:rPr>
        <w:t>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p>
    <w:p w14:paraId="64328237" w14:textId="77777777" w:rsidR="00283C1D" w:rsidRPr="00715939" w:rsidRDefault="00283C1D" w:rsidP="00715939">
      <w:pPr>
        <w:pStyle w:val="Textoindependiente"/>
        <w:spacing w:before="1" w:line="276" w:lineRule="auto"/>
        <w:ind w:left="-142" w:right="191"/>
        <w:jc w:val="both"/>
        <w:rPr>
          <w:lang w:val="es-CO"/>
        </w:rPr>
      </w:pPr>
    </w:p>
    <w:p w14:paraId="131A973B" w14:textId="727D804E" w:rsidR="00AB64A5" w:rsidRPr="00715939" w:rsidRDefault="00FC3EC1" w:rsidP="00715939">
      <w:pPr>
        <w:spacing w:line="276" w:lineRule="auto"/>
        <w:rPr>
          <w:rFonts w:ascii="Verdana" w:eastAsia="Calibri" w:hAnsi="Verdana" w:cs="Arial"/>
          <w:bCs/>
          <w:sz w:val="20"/>
          <w:szCs w:val="20"/>
          <w:lang w:val="es-ES_tradnl"/>
        </w:rPr>
      </w:pPr>
      <w:r w:rsidRPr="00715939">
        <w:rPr>
          <w:rFonts w:ascii="Verdana" w:eastAsia="Calibri" w:hAnsi="Verdana" w:cs="Arial"/>
          <w:bCs/>
          <w:sz w:val="20"/>
          <w:szCs w:val="20"/>
          <w:lang w:val="es-ES_tradnl"/>
        </w:rPr>
        <w:br w:type="page"/>
      </w:r>
      <w:r w:rsidR="00AB64A5" w:rsidRPr="00715939">
        <w:rPr>
          <w:rFonts w:ascii="Verdana" w:hAnsi="Verdana"/>
        </w:rPr>
        <w:lastRenderedPageBreak/>
        <w:t>Bogo</w:t>
      </w:r>
      <w:r w:rsidRPr="00715939">
        <w:rPr>
          <w:rFonts w:ascii="Verdana" w:hAnsi="Verdana"/>
        </w:rPr>
        <w:t>t</w:t>
      </w:r>
      <w:r w:rsidR="00AB64A5" w:rsidRPr="00715939">
        <w:rPr>
          <w:rFonts w:ascii="Verdana" w:hAnsi="Verdana"/>
        </w:rPr>
        <w:t>á D.C., [Día] [Mes.NombreCapitalizado] [Año]</w:t>
      </w:r>
      <w:r w:rsidR="00AB64A5" w:rsidRPr="00715939">
        <w:rPr>
          <w:rFonts w:ascii="Verdana" w:hAnsi="Verdana"/>
        </w:rPr>
        <w:tab/>
      </w:r>
    </w:p>
    <w:p w14:paraId="6F8CA54C" w14:textId="77777777" w:rsidR="00AB64A5" w:rsidRPr="00715939" w:rsidRDefault="00AB64A5" w:rsidP="00715939">
      <w:pPr>
        <w:spacing w:after="0" w:line="276" w:lineRule="auto"/>
        <w:rPr>
          <w:rFonts w:ascii="Verdana" w:hAnsi="Verdana"/>
        </w:rPr>
      </w:pPr>
    </w:p>
    <w:p w14:paraId="01AE3B0A" w14:textId="201061AE" w:rsidR="00AB64A5" w:rsidRPr="00715939" w:rsidRDefault="00AB64A5" w:rsidP="00715939">
      <w:pPr>
        <w:spacing w:after="0" w:line="276" w:lineRule="auto"/>
        <w:jc w:val="both"/>
        <w:rPr>
          <w:rFonts w:ascii="Verdana" w:eastAsia="Calibri" w:hAnsi="Verdana" w:cs="Arial"/>
          <w:lang w:eastAsia="es-ES"/>
        </w:rPr>
      </w:pPr>
      <w:bookmarkStart w:id="1" w:name="_Hlk180520845"/>
      <w:r w:rsidRPr="00715939">
        <w:rPr>
          <w:rFonts w:ascii="Verdana" w:eastAsia="Calibri" w:hAnsi="Verdana" w:cs="Arial"/>
          <w:lang w:eastAsia="es-ES"/>
        </w:rPr>
        <w:t>Señor</w:t>
      </w:r>
    </w:p>
    <w:p w14:paraId="682811EE" w14:textId="77777777" w:rsidR="005C572E" w:rsidRPr="005C572E" w:rsidRDefault="005C572E" w:rsidP="00715939">
      <w:pPr>
        <w:spacing w:after="0" w:line="276" w:lineRule="auto"/>
        <w:rPr>
          <w:rFonts w:ascii="Verdana" w:hAnsi="Verdana"/>
          <w:b/>
          <w:bCs/>
        </w:rPr>
      </w:pPr>
      <w:r w:rsidRPr="005C572E">
        <w:rPr>
          <w:rFonts w:ascii="Verdana" w:hAnsi="Verdana"/>
          <w:b/>
          <w:bCs/>
        </w:rPr>
        <w:t>Cristhian Daniel Lozada cortes </w:t>
      </w:r>
    </w:p>
    <w:p w14:paraId="1FD8EFA0" w14:textId="6AB01B97" w:rsidR="005C572E" w:rsidRPr="00715939" w:rsidRDefault="005C572E" w:rsidP="00715939">
      <w:pPr>
        <w:spacing w:after="0" w:line="276" w:lineRule="auto"/>
        <w:rPr>
          <w:rFonts w:ascii="Verdana" w:hAnsi="Verdana"/>
        </w:rPr>
      </w:pPr>
      <w:hyperlink r:id="rId8" w:history="1">
        <w:r w:rsidRPr="00715939">
          <w:rPr>
            <w:rStyle w:val="Hipervnculo"/>
            <w:rFonts w:ascii="Verdana" w:hAnsi="Verdana"/>
          </w:rPr>
          <w:t>cris.dani13@hotmail.com</w:t>
        </w:r>
      </w:hyperlink>
    </w:p>
    <w:p w14:paraId="38021ECE" w14:textId="46C8C922" w:rsidR="00AB64A5" w:rsidRPr="00715939" w:rsidRDefault="00AB64A5" w:rsidP="00715939">
      <w:pPr>
        <w:spacing w:after="0" w:line="276" w:lineRule="auto"/>
        <w:rPr>
          <w:rFonts w:ascii="Verdana" w:eastAsia="Calibri" w:hAnsi="Verdana" w:cs="Arial"/>
          <w:b/>
          <w:bCs/>
          <w:lang w:val="es-ES" w:eastAsia="es-ES"/>
        </w:rPr>
      </w:pPr>
      <w:r w:rsidRPr="00715939">
        <w:rPr>
          <w:rFonts w:ascii="Verdana" w:eastAsia="Calibri" w:hAnsi="Verdana" w:cs="Arial"/>
          <w:lang w:val="es-ES" w:eastAsia="es-ES"/>
        </w:rPr>
        <w:t>Bogotá D.C.</w:t>
      </w:r>
    </w:p>
    <w:p w14:paraId="44649E13" w14:textId="77777777" w:rsidR="00AB64A5" w:rsidRDefault="00AB64A5" w:rsidP="00715939">
      <w:pPr>
        <w:spacing w:after="0" w:line="276" w:lineRule="auto"/>
        <w:rPr>
          <w:rFonts w:ascii="Verdana" w:eastAsia="Calibri" w:hAnsi="Verdana" w:cs="Arial"/>
          <w:b/>
          <w:bCs/>
          <w:color w:val="000000"/>
          <w:lang w:val="es-ES_tradnl" w:eastAsia="es-ES_tradnl"/>
        </w:rPr>
      </w:pPr>
    </w:p>
    <w:p w14:paraId="5DB1EAC7" w14:textId="77777777" w:rsidR="0068640D" w:rsidRDefault="0068640D" w:rsidP="00715939">
      <w:pPr>
        <w:spacing w:after="0" w:line="276" w:lineRule="auto"/>
        <w:rPr>
          <w:rFonts w:ascii="Verdana" w:eastAsia="Calibri" w:hAnsi="Verdana" w:cs="Arial"/>
          <w:b/>
          <w:bCs/>
          <w:color w:val="000000"/>
          <w:lang w:val="es-ES_tradnl" w:eastAsia="es-ES_tradnl"/>
        </w:rPr>
      </w:pPr>
    </w:p>
    <w:p w14:paraId="501439F2" w14:textId="2D9015C6" w:rsidR="0068640D" w:rsidRPr="00715939" w:rsidRDefault="0068640D" w:rsidP="0068640D">
      <w:pPr>
        <w:spacing w:after="0" w:line="276" w:lineRule="auto"/>
        <w:jc w:val="right"/>
        <w:rPr>
          <w:rFonts w:ascii="Verdana" w:eastAsia="Calibri" w:hAnsi="Verdana" w:cs="Arial"/>
          <w:b/>
          <w:bCs/>
          <w:color w:val="000000"/>
          <w:lang w:val="es-ES_tradnl" w:eastAsia="es-ES_tradnl"/>
        </w:rPr>
      </w:pPr>
      <w:r w:rsidRPr="0068640D">
        <w:rPr>
          <w:rFonts w:ascii="Verdana" w:eastAsia="Calibri" w:hAnsi="Verdana" w:cs="Arial"/>
          <w:b/>
          <w:bCs/>
          <w:color w:val="000000"/>
          <w:lang w:val="es-ES_tradnl" w:eastAsia="es-ES_tradnl"/>
        </w:rPr>
        <w:drawing>
          <wp:inline distT="0" distB="0" distL="0" distR="0" wp14:anchorId="0BA013D1" wp14:editId="1724E5F6">
            <wp:extent cx="3429297" cy="1028789"/>
            <wp:effectExtent l="0" t="0" r="0" b="0"/>
            <wp:docPr id="2259046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04636" name=""/>
                    <pic:cNvPicPr/>
                  </pic:nvPicPr>
                  <pic:blipFill>
                    <a:blip r:embed="rId9"/>
                    <a:stretch>
                      <a:fillRect/>
                    </a:stretch>
                  </pic:blipFill>
                  <pic:spPr>
                    <a:xfrm>
                      <a:off x="0" y="0"/>
                      <a:ext cx="3429297" cy="1028789"/>
                    </a:xfrm>
                    <a:prstGeom prst="rect">
                      <a:avLst/>
                    </a:prstGeom>
                  </pic:spPr>
                </pic:pic>
              </a:graphicData>
            </a:graphic>
          </wp:inline>
        </w:drawing>
      </w: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6946"/>
      </w:tblGrid>
      <w:tr w:rsidR="00AB64A5" w:rsidRPr="00715939" w14:paraId="124FFB5C" w14:textId="77777777" w:rsidTr="00127C91">
        <w:trPr>
          <w:trHeight w:val="884"/>
        </w:trPr>
        <w:tc>
          <w:tcPr>
            <w:tcW w:w="1985" w:type="dxa"/>
          </w:tcPr>
          <w:p w14:paraId="6311258D" w14:textId="77777777" w:rsidR="00AB64A5" w:rsidRPr="00715939" w:rsidRDefault="00AB64A5" w:rsidP="00715939">
            <w:pPr>
              <w:spacing w:line="276" w:lineRule="auto"/>
              <w:jc w:val="both"/>
              <w:rPr>
                <w:rFonts w:ascii="Verdana" w:eastAsia="Calibri" w:hAnsi="Verdana" w:cs="Arial"/>
                <w:b/>
                <w:bCs/>
                <w:color w:val="7030A0"/>
                <w:lang w:val="es-ES_tradnl" w:eastAsia="es-ES_tradnl"/>
              </w:rPr>
            </w:pPr>
          </w:p>
        </w:tc>
        <w:tc>
          <w:tcPr>
            <w:tcW w:w="6946" w:type="dxa"/>
          </w:tcPr>
          <w:p w14:paraId="23DA8C95" w14:textId="339BF43B" w:rsidR="00AB64A5" w:rsidRPr="00715939" w:rsidRDefault="00AB64A5" w:rsidP="00715939">
            <w:pPr>
              <w:spacing w:line="276" w:lineRule="auto"/>
              <w:jc w:val="both"/>
              <w:rPr>
                <w:rFonts w:ascii="Verdana" w:eastAsia="Calibri" w:hAnsi="Verdana" w:cs="Arial"/>
                <w:b/>
                <w:bCs/>
                <w:color w:val="7030A0"/>
                <w:lang w:val="es-ES" w:eastAsia="es-ES"/>
              </w:rPr>
            </w:pPr>
            <w:r w:rsidRPr="00715939">
              <w:rPr>
                <w:rFonts w:ascii="Verdana" w:eastAsia="Calibri" w:hAnsi="Verdana" w:cs="Arial"/>
                <w:b/>
                <w:bCs/>
                <w:lang w:val="es-ES" w:eastAsia="es-ES"/>
              </w:rPr>
              <w:t xml:space="preserve">Concepto C- </w:t>
            </w:r>
            <w:r w:rsidR="00CD258B" w:rsidRPr="00715939">
              <w:rPr>
                <w:rFonts w:ascii="Verdana" w:eastAsia="Calibri" w:hAnsi="Verdana" w:cs="Arial"/>
                <w:b/>
                <w:bCs/>
                <w:lang w:val="es-ES" w:eastAsia="es-ES"/>
              </w:rPr>
              <w:t>5</w:t>
            </w:r>
            <w:r w:rsidR="005C572E" w:rsidRPr="00715939">
              <w:rPr>
                <w:rFonts w:ascii="Verdana" w:eastAsia="Calibri" w:hAnsi="Verdana" w:cs="Arial"/>
                <w:b/>
                <w:bCs/>
                <w:lang w:val="es-ES" w:eastAsia="es-ES"/>
              </w:rPr>
              <w:t>70</w:t>
            </w:r>
            <w:r w:rsidRPr="00715939">
              <w:rPr>
                <w:rFonts w:ascii="Verdana" w:eastAsia="Calibri" w:hAnsi="Verdana" w:cs="Arial"/>
                <w:b/>
                <w:bCs/>
                <w:lang w:val="es-ES" w:eastAsia="es-ES"/>
              </w:rPr>
              <w:t xml:space="preserve"> de 2024</w:t>
            </w:r>
          </w:p>
        </w:tc>
      </w:tr>
      <w:tr w:rsidR="00AB64A5" w:rsidRPr="00127C91" w14:paraId="317258D8" w14:textId="77777777" w:rsidTr="00127C91">
        <w:trPr>
          <w:trHeight w:val="884"/>
        </w:trPr>
        <w:tc>
          <w:tcPr>
            <w:tcW w:w="1985" w:type="dxa"/>
          </w:tcPr>
          <w:p w14:paraId="216AB9FC" w14:textId="77777777" w:rsidR="00AB64A5" w:rsidRPr="00715939" w:rsidRDefault="00AB64A5" w:rsidP="00715939">
            <w:pPr>
              <w:spacing w:line="276" w:lineRule="auto"/>
              <w:jc w:val="both"/>
              <w:rPr>
                <w:rFonts w:ascii="Verdana" w:eastAsia="Calibri" w:hAnsi="Verdana" w:cs="Arial"/>
                <w:b/>
                <w:bCs/>
                <w:lang w:val="es-ES_tradnl" w:eastAsia="es-ES_tradnl"/>
              </w:rPr>
            </w:pPr>
            <w:r w:rsidRPr="00715939">
              <w:rPr>
                <w:rFonts w:ascii="Verdana" w:eastAsia="Calibri" w:hAnsi="Verdana" w:cs="Arial"/>
                <w:b/>
                <w:bCs/>
                <w:lang w:val="es-ES_tradnl" w:eastAsia="es-ES_tradnl"/>
              </w:rPr>
              <w:t xml:space="preserve">Temas:                   </w:t>
            </w:r>
          </w:p>
        </w:tc>
        <w:tc>
          <w:tcPr>
            <w:tcW w:w="6946" w:type="dxa"/>
          </w:tcPr>
          <w:p w14:paraId="7327A2E4" w14:textId="1EE482EE" w:rsidR="00283C1D" w:rsidRPr="00127C91" w:rsidRDefault="005C572E" w:rsidP="00127C91">
            <w:pPr>
              <w:pStyle w:val="Textoindependiente"/>
              <w:spacing w:before="1" w:line="276" w:lineRule="auto"/>
              <w:ind w:left="-141" w:right="191" w:hanging="1"/>
              <w:jc w:val="both"/>
              <w:rPr>
                <w:rFonts w:eastAsia="Calibri" w:cs="Arial"/>
                <w:lang w:eastAsia="es-ES"/>
              </w:rPr>
            </w:pPr>
            <w:r w:rsidRPr="00715939">
              <w:rPr>
                <w:rFonts w:eastAsia="Calibri" w:cs="Arial"/>
                <w:lang w:eastAsia="es-ES"/>
              </w:rPr>
              <w:t>RRégimen jurídico aplicable – EGCAP – Código de comercio /</w:t>
            </w:r>
            <w:r w:rsidRPr="00127C91">
              <w:rPr>
                <w:rFonts w:eastAsia="Calibri" w:cs="Arial"/>
                <w:lang w:eastAsia="es-ES"/>
              </w:rPr>
              <w:t>CONTRATO DE MANDATO - Código de comercio/</w:t>
            </w:r>
            <w:r w:rsidR="00127C91" w:rsidRPr="00127C91">
              <w:rPr>
                <w:rFonts w:eastAsia="Calibri" w:cs="Arial"/>
                <w:lang w:eastAsia="es-ES"/>
              </w:rPr>
              <w:t xml:space="preserve"> SANCIONES C</w:t>
            </w:r>
            <w:r w:rsidR="00127C91">
              <w:rPr>
                <w:rFonts w:eastAsia="Calibri" w:cs="Arial"/>
                <w:lang w:eastAsia="es-ES"/>
              </w:rPr>
              <w:t>C</w:t>
            </w:r>
            <w:r w:rsidR="00127C91" w:rsidRPr="00127C91">
              <w:rPr>
                <w:rFonts w:eastAsia="Calibri" w:cs="Arial"/>
                <w:lang w:eastAsia="es-ES"/>
              </w:rPr>
              <w:t>ONTRACTUALES – Clases – Consagración legal</w:t>
            </w:r>
            <w:r w:rsidR="00127C91">
              <w:rPr>
                <w:rFonts w:eastAsia="Calibri" w:cs="Arial"/>
                <w:lang w:eastAsia="es-ES"/>
              </w:rPr>
              <w:t xml:space="preserve"> </w:t>
            </w:r>
            <w:r w:rsidR="00127C91" w:rsidRPr="00127C91">
              <w:rPr>
                <w:rFonts w:eastAsia="Calibri" w:cs="Arial"/>
                <w:lang w:eastAsia="es-ES"/>
              </w:rPr>
              <w:t>/ PROCEDIMIENTO SANCIONATORIO – Ley 1474 de 2011 – Artículo 86 /</w:t>
            </w:r>
            <w:r w:rsidR="00283C1D" w:rsidRPr="00127C91">
              <w:rPr>
                <w:rFonts w:eastAsia="Calibri" w:cs="Arial"/>
                <w:lang w:eastAsia="es-ES"/>
              </w:rPr>
              <w:t xml:space="preserve"> CONTRATACIÓN PÚBLICA – Principio de publicidad – Principio de transparencia – Uso del SECOP </w:t>
            </w:r>
          </w:p>
          <w:p w14:paraId="52A0FC1D" w14:textId="77777777" w:rsidR="00283C1D" w:rsidRPr="00127C91" w:rsidRDefault="00283C1D" w:rsidP="00127C91">
            <w:pPr>
              <w:spacing w:line="276" w:lineRule="auto"/>
              <w:jc w:val="both"/>
              <w:rPr>
                <w:rFonts w:ascii="Verdana" w:eastAsia="Calibri" w:hAnsi="Verdana" w:cs="Arial"/>
                <w:lang w:val="es-ES" w:eastAsia="es-ES"/>
              </w:rPr>
            </w:pPr>
          </w:p>
          <w:p w14:paraId="6DE442C3" w14:textId="3D352F2B" w:rsidR="005C572E" w:rsidRPr="00127C91" w:rsidRDefault="005C572E" w:rsidP="00127C91">
            <w:pPr>
              <w:pStyle w:val="Textoindependiente"/>
              <w:spacing w:before="1" w:line="276" w:lineRule="auto"/>
              <w:ind w:left="-142" w:right="191"/>
              <w:jc w:val="both"/>
              <w:rPr>
                <w:rFonts w:eastAsia="Calibri" w:cs="Arial"/>
                <w:lang w:eastAsia="es-ES"/>
              </w:rPr>
            </w:pPr>
          </w:p>
          <w:p w14:paraId="362B2D37" w14:textId="68E218AA" w:rsidR="00AB64A5" w:rsidRPr="00715939" w:rsidRDefault="005C572E" w:rsidP="00127C91">
            <w:pPr>
              <w:spacing w:line="276" w:lineRule="auto"/>
              <w:jc w:val="both"/>
              <w:rPr>
                <w:rFonts w:ascii="Verdana" w:eastAsia="Calibri" w:hAnsi="Verdana" w:cs="Arial"/>
                <w:lang w:val="es-ES" w:eastAsia="es-ES"/>
              </w:rPr>
            </w:pPr>
            <w:r w:rsidRPr="00715939">
              <w:rPr>
                <w:rFonts w:ascii="Verdana" w:eastAsia="Calibri" w:hAnsi="Verdana" w:cs="Arial"/>
                <w:lang w:val="es-ES" w:eastAsia="es-ES"/>
              </w:rPr>
              <w:t xml:space="preserve"> </w:t>
            </w:r>
          </w:p>
        </w:tc>
      </w:tr>
      <w:tr w:rsidR="00AB64A5" w:rsidRPr="00715939" w14:paraId="6B3F3ED0" w14:textId="77777777" w:rsidTr="00127C91">
        <w:tc>
          <w:tcPr>
            <w:tcW w:w="1985" w:type="dxa"/>
          </w:tcPr>
          <w:p w14:paraId="0AC72359" w14:textId="77777777" w:rsidR="00AB64A5" w:rsidRPr="00715939" w:rsidRDefault="00AB64A5" w:rsidP="00715939">
            <w:pPr>
              <w:spacing w:line="276" w:lineRule="auto"/>
              <w:jc w:val="both"/>
              <w:rPr>
                <w:rFonts w:ascii="Verdana" w:eastAsia="Calibri" w:hAnsi="Verdana" w:cs="Arial"/>
                <w:b/>
                <w:lang w:val="es-ES_tradnl" w:eastAsia="es-ES_tradnl"/>
              </w:rPr>
            </w:pPr>
            <w:r w:rsidRPr="00715939">
              <w:rPr>
                <w:rFonts w:ascii="Verdana" w:eastAsia="Calibri" w:hAnsi="Verdana" w:cs="Arial"/>
                <w:b/>
                <w:lang w:val="es-ES_tradnl" w:eastAsia="es-ES_tradnl"/>
              </w:rPr>
              <w:t>Radicación:</w:t>
            </w:r>
            <w:r w:rsidRPr="00715939">
              <w:rPr>
                <w:rFonts w:ascii="Verdana" w:eastAsia="Calibri" w:hAnsi="Verdana" w:cs="Arial"/>
                <w:lang w:val="es-ES_tradnl" w:eastAsia="es-ES_tradnl"/>
              </w:rPr>
              <w:t xml:space="preserve">               </w:t>
            </w:r>
          </w:p>
        </w:tc>
        <w:tc>
          <w:tcPr>
            <w:tcW w:w="6946" w:type="dxa"/>
          </w:tcPr>
          <w:p w14:paraId="3BC81AFB" w14:textId="28D84DFE" w:rsidR="00F02EBB" w:rsidRPr="00715939" w:rsidRDefault="00AB64A5" w:rsidP="00715939">
            <w:pPr>
              <w:spacing w:line="276" w:lineRule="auto"/>
              <w:rPr>
                <w:rFonts w:ascii="Verdana" w:eastAsia="Times New Roman" w:hAnsi="Verdana" w:cs="Calibri"/>
                <w:color w:val="000000"/>
                <w:lang w:val="es-419" w:eastAsia="es-419"/>
              </w:rPr>
            </w:pPr>
            <w:r w:rsidRPr="00715939">
              <w:rPr>
                <w:rFonts w:ascii="Verdana" w:eastAsia="Calibri" w:hAnsi="Verdana" w:cs="Arial"/>
                <w:lang w:val="es-ES_tradnl" w:eastAsia="es-ES_tradnl"/>
              </w:rPr>
              <w:t xml:space="preserve">Respuesta a consulta con radicado No. </w:t>
            </w:r>
            <w:r w:rsidR="005C572E" w:rsidRPr="00715939">
              <w:rPr>
                <w:rFonts w:ascii="Verdana" w:eastAsia="Times New Roman" w:hAnsi="Verdana" w:cs="Calibri"/>
                <w:color w:val="000000"/>
                <w:lang w:val="es-419" w:eastAsia="es-419"/>
              </w:rPr>
              <w:t>P20240909009152</w:t>
            </w:r>
          </w:p>
          <w:p w14:paraId="14A3CEBF" w14:textId="06BFF59D" w:rsidR="00AB64A5" w:rsidRPr="00715939" w:rsidRDefault="00AB64A5" w:rsidP="00715939">
            <w:pPr>
              <w:spacing w:line="276" w:lineRule="auto"/>
              <w:jc w:val="both"/>
              <w:rPr>
                <w:rFonts w:ascii="Verdana" w:eastAsia="Calibri" w:hAnsi="Verdana" w:cs="Arial"/>
                <w:lang w:val="es-ES_tradnl" w:eastAsia="es-ES_tradnl"/>
              </w:rPr>
            </w:pPr>
          </w:p>
        </w:tc>
      </w:tr>
    </w:tbl>
    <w:p w14:paraId="7459B210" w14:textId="77777777" w:rsidR="00AB64A5" w:rsidRPr="00715939" w:rsidRDefault="00AB64A5" w:rsidP="00715939">
      <w:pPr>
        <w:spacing w:after="0" w:line="276" w:lineRule="auto"/>
        <w:jc w:val="both"/>
        <w:rPr>
          <w:rFonts w:ascii="Verdana" w:eastAsia="Calibri" w:hAnsi="Verdana" w:cs="Arial"/>
          <w:color w:val="000000"/>
          <w:lang w:val="es-ES_tradnl" w:eastAsia="es-ES_tradnl"/>
        </w:rPr>
      </w:pPr>
    </w:p>
    <w:p w14:paraId="3010FD6F" w14:textId="77777777" w:rsidR="00AB64A5" w:rsidRPr="00715939" w:rsidRDefault="00AB64A5" w:rsidP="00715939">
      <w:pPr>
        <w:spacing w:after="0" w:line="276" w:lineRule="auto"/>
        <w:jc w:val="both"/>
        <w:rPr>
          <w:rFonts w:ascii="Verdana" w:eastAsia="Calibri" w:hAnsi="Verdana" w:cs="Arial"/>
          <w:color w:val="000000"/>
          <w:lang w:val="es-ES_tradnl" w:eastAsia="es-ES_tradnl"/>
        </w:rPr>
      </w:pPr>
    </w:p>
    <w:p w14:paraId="16D75B47" w14:textId="61CF9988" w:rsidR="00AB64A5" w:rsidRPr="00715939" w:rsidRDefault="00AB64A5" w:rsidP="00715939">
      <w:pPr>
        <w:spacing w:after="0" w:line="276" w:lineRule="auto"/>
        <w:jc w:val="both"/>
        <w:rPr>
          <w:rFonts w:ascii="Verdana" w:eastAsia="Calibri" w:hAnsi="Verdana" w:cs="Arial"/>
          <w:lang w:val="es-ES" w:eastAsia="es-ES"/>
        </w:rPr>
      </w:pPr>
      <w:r w:rsidRPr="00715939">
        <w:rPr>
          <w:rFonts w:ascii="Verdana" w:eastAsia="Calibri" w:hAnsi="Verdana" w:cs="Arial"/>
          <w:lang w:val="es-ES" w:eastAsia="es-ES"/>
        </w:rPr>
        <w:t>Estima</w:t>
      </w:r>
      <w:r w:rsidR="005C572E" w:rsidRPr="00715939">
        <w:rPr>
          <w:rFonts w:ascii="Verdana" w:eastAsia="Calibri" w:hAnsi="Verdana" w:cs="Arial"/>
          <w:lang w:val="es-ES" w:eastAsia="es-ES"/>
        </w:rPr>
        <w:t>do señor Lozada:</w:t>
      </w:r>
      <w:r w:rsidRPr="00715939">
        <w:rPr>
          <w:rFonts w:ascii="Verdana" w:eastAsia="Calibri" w:hAnsi="Verdana" w:cs="Arial"/>
          <w:lang w:val="es-ES" w:eastAsia="es-ES"/>
        </w:rPr>
        <w:t xml:space="preserve"> </w:t>
      </w:r>
    </w:p>
    <w:p w14:paraId="5ED55F00" w14:textId="77777777" w:rsidR="00AB64A5" w:rsidRPr="00715939" w:rsidRDefault="00AB64A5" w:rsidP="00715939">
      <w:pPr>
        <w:tabs>
          <w:tab w:val="left" w:pos="3768"/>
        </w:tabs>
        <w:spacing w:after="0" w:line="276" w:lineRule="auto"/>
        <w:jc w:val="both"/>
        <w:rPr>
          <w:rFonts w:ascii="Verdana" w:eastAsia="Calibri" w:hAnsi="Verdana" w:cs="Arial"/>
          <w:color w:val="000000" w:themeColor="text1"/>
          <w:lang w:val="es-ES" w:eastAsia="es-ES"/>
        </w:rPr>
      </w:pPr>
      <w:r w:rsidRPr="00715939">
        <w:rPr>
          <w:rFonts w:ascii="Verdana" w:eastAsia="Calibri" w:hAnsi="Verdana" w:cs="Arial"/>
          <w:color w:val="000000" w:themeColor="text1"/>
          <w:lang w:val="es-ES" w:eastAsia="es-ES"/>
        </w:rPr>
        <w:tab/>
      </w:r>
    </w:p>
    <w:p w14:paraId="3AAA6349" w14:textId="49B2D6A1" w:rsidR="00AB64A5" w:rsidRPr="00715939" w:rsidRDefault="00AB64A5" w:rsidP="00715939">
      <w:pPr>
        <w:spacing w:after="0" w:line="276" w:lineRule="auto"/>
        <w:jc w:val="both"/>
        <w:rPr>
          <w:rFonts w:ascii="Verdana" w:eastAsia="Calibri" w:hAnsi="Verdana" w:cs="Arial"/>
          <w:lang w:val="es-ES" w:eastAsia="es-ES"/>
        </w:rPr>
      </w:pPr>
      <w:r w:rsidRPr="00715939">
        <w:rPr>
          <w:rFonts w:ascii="Verdana" w:eastAsia="Calibri" w:hAnsi="Verdana" w:cs="Arial"/>
          <w:lang w:val="es-ES" w:eastAsia="es-ES"/>
        </w:rPr>
        <w:t>En ejercicio de la competencia otorgada por los artículos 3, numeral 5º, y 11, numeral 8º, del Decreto Ley 4170 de 2011,</w:t>
      </w:r>
      <w:r w:rsidRPr="00715939">
        <w:rPr>
          <w:rFonts w:ascii="Verdana" w:eastAsia="Arial MT" w:hAnsi="Verdana" w:cs="Arial MT"/>
          <w:lang w:val="es-ES" w:eastAsia="es-ES"/>
        </w:rPr>
        <w:t xml:space="preserve"> </w:t>
      </w:r>
      <w:r w:rsidRPr="00715939">
        <w:rPr>
          <w:rFonts w:ascii="Verdana" w:hAnsi="Verdana" w:cs="Arial"/>
        </w:rPr>
        <w:t xml:space="preserve">así como lo establecido en el artículo 4 de la Resolución 1707 de 2018 expedida por esta Entidad, </w:t>
      </w:r>
      <w:r w:rsidRPr="00715939">
        <w:rPr>
          <w:rFonts w:ascii="Verdana" w:eastAsia="Calibri" w:hAnsi="Verdana" w:cs="Arial"/>
          <w:lang w:val="es-ES" w:eastAsia="es-ES"/>
        </w:rPr>
        <w:t xml:space="preserve">la Agencia Nacional </w:t>
      </w:r>
      <w:r w:rsidRPr="00715939">
        <w:rPr>
          <w:rFonts w:ascii="Verdana" w:eastAsia="Calibri" w:hAnsi="Verdana" w:cs="Arial"/>
          <w:lang w:val="es-ES" w:eastAsia="es-ES"/>
        </w:rPr>
        <w:lastRenderedPageBreak/>
        <w:t xml:space="preserve">de Contratación Pública – Colombia Compra Eficiente– responde su solicitud radicada en esta entidad el </w:t>
      </w:r>
      <w:r w:rsidR="005C572E" w:rsidRPr="00715939">
        <w:rPr>
          <w:rFonts w:ascii="Verdana" w:eastAsia="Calibri" w:hAnsi="Verdana" w:cs="Arial"/>
          <w:lang w:val="es-ES" w:eastAsia="es-ES"/>
        </w:rPr>
        <w:t>9</w:t>
      </w:r>
      <w:r w:rsidRPr="00715939">
        <w:rPr>
          <w:rFonts w:ascii="Verdana" w:eastAsia="Calibri" w:hAnsi="Verdana" w:cs="Arial"/>
          <w:lang w:val="es-ES" w:eastAsia="es-ES"/>
        </w:rPr>
        <w:t xml:space="preserve"> de </w:t>
      </w:r>
      <w:r w:rsidR="005C572E" w:rsidRPr="00715939">
        <w:rPr>
          <w:rFonts w:ascii="Verdana" w:eastAsia="Calibri" w:hAnsi="Verdana" w:cs="Arial"/>
          <w:lang w:val="es-ES" w:eastAsia="es-ES"/>
        </w:rPr>
        <w:t>septiembre</w:t>
      </w:r>
      <w:r w:rsidRPr="00715939">
        <w:rPr>
          <w:rFonts w:ascii="Verdana" w:eastAsia="Calibri" w:hAnsi="Verdana" w:cs="Arial"/>
          <w:lang w:val="es-ES" w:eastAsia="es-ES"/>
        </w:rPr>
        <w:t xml:space="preserve"> de 2024, en la cual manifiesta lo siguiente: </w:t>
      </w:r>
    </w:p>
    <w:p w14:paraId="35AFAAA8" w14:textId="77777777" w:rsidR="00AB64A5" w:rsidRPr="00715939" w:rsidRDefault="00AB64A5" w:rsidP="00715939">
      <w:pPr>
        <w:spacing w:after="0" w:line="276" w:lineRule="auto"/>
        <w:ind w:left="709" w:right="709"/>
        <w:jc w:val="both"/>
        <w:rPr>
          <w:rFonts w:ascii="Verdana" w:hAnsi="Verdana" w:cs="Arial"/>
          <w:shd w:val="clear" w:color="auto" w:fill="FFFFFF"/>
        </w:rPr>
      </w:pPr>
      <w:bookmarkStart w:id="2" w:name="_Hlk95313578"/>
    </w:p>
    <w:bookmarkEnd w:id="2"/>
    <w:p w14:paraId="42D0D6FE" w14:textId="2B179887" w:rsidR="005C572E" w:rsidRPr="00715939" w:rsidRDefault="00FC3EC1" w:rsidP="00715939">
      <w:pPr>
        <w:spacing w:after="0" w:line="276" w:lineRule="auto"/>
        <w:ind w:left="709" w:right="758"/>
        <w:jc w:val="both"/>
        <w:rPr>
          <w:rFonts w:ascii="Verdana" w:eastAsia="Calibri" w:hAnsi="Verdana" w:cs="Arial"/>
          <w:sz w:val="20"/>
          <w:szCs w:val="20"/>
          <w:lang w:eastAsia="es-ES"/>
        </w:rPr>
      </w:pPr>
      <w:r w:rsidRPr="00715939">
        <w:rPr>
          <w:rFonts w:ascii="Verdana" w:eastAsia="Calibri" w:hAnsi="Verdana" w:cs="Arial"/>
          <w:sz w:val="20"/>
          <w:szCs w:val="20"/>
          <w:lang w:val="es-ES" w:eastAsia="es-ES"/>
        </w:rPr>
        <w:t>“1</w:t>
      </w:r>
      <w:r w:rsidR="005C572E" w:rsidRPr="00715939">
        <w:rPr>
          <w:rFonts w:ascii="Verdana" w:eastAsia="Times New Roman" w:hAnsi="Verdana" w:cs="Aptos"/>
          <w:sz w:val="20"/>
          <w:szCs w:val="20"/>
          <w:lang w:eastAsia="es-CO"/>
        </w:rPr>
        <w:t xml:space="preserve"> </w:t>
      </w:r>
      <w:r w:rsidR="005C572E" w:rsidRPr="00715939">
        <w:rPr>
          <w:rFonts w:ascii="Verdana" w:eastAsia="Calibri" w:hAnsi="Verdana" w:cs="Arial"/>
          <w:sz w:val="20"/>
          <w:szCs w:val="20"/>
          <w:lang w:eastAsia="es-ES"/>
        </w:rPr>
        <w:t>1. Consulta sobre la calificación de un contrato de mandato como contrato estatal:</w:t>
      </w:r>
    </w:p>
    <w:p w14:paraId="5A396715" w14:textId="77777777" w:rsidR="005C572E" w:rsidRPr="005C572E" w:rsidRDefault="005C572E" w:rsidP="00715939">
      <w:pPr>
        <w:spacing w:after="0" w:line="276" w:lineRule="auto"/>
        <w:ind w:left="709" w:right="758"/>
        <w:jc w:val="both"/>
        <w:rPr>
          <w:rFonts w:ascii="Verdana" w:eastAsia="Calibri" w:hAnsi="Verdana" w:cs="Arial"/>
          <w:sz w:val="20"/>
          <w:szCs w:val="20"/>
          <w:lang w:eastAsia="es-ES"/>
        </w:rPr>
      </w:pPr>
      <w:r w:rsidRPr="005C572E">
        <w:rPr>
          <w:rFonts w:ascii="Verdana" w:eastAsia="Calibri" w:hAnsi="Verdana" w:cs="Arial"/>
          <w:sz w:val="20"/>
          <w:szCs w:val="20"/>
          <w:lang w:eastAsia="es-ES"/>
        </w:rPr>
        <w:t>Se solicita que Colombia Compra Eficiente nos informe si un contrato de mandato suscrito entre una entidad estatal y un abogado, cuya finalidad es el recaudo de cartera morosa, en el que los honorarios son pagados por los clientes morosos y no por la entidad, puede ser considerado un contrato estatal conforme a la normativa vigente en Colombia, particularmente lo dispuesto en la Ley 80 de 1993 y sus decretos reglamentarios.</w:t>
      </w:r>
    </w:p>
    <w:p w14:paraId="6734873D" w14:textId="77777777" w:rsidR="005C572E" w:rsidRPr="005C572E" w:rsidRDefault="005C572E" w:rsidP="00715939">
      <w:pPr>
        <w:spacing w:after="0" w:line="276" w:lineRule="auto"/>
        <w:ind w:left="709" w:right="758"/>
        <w:jc w:val="both"/>
        <w:rPr>
          <w:rFonts w:ascii="Verdana" w:eastAsia="Calibri" w:hAnsi="Verdana" w:cs="Arial"/>
          <w:sz w:val="20"/>
          <w:szCs w:val="20"/>
          <w:lang w:eastAsia="es-ES"/>
        </w:rPr>
      </w:pPr>
    </w:p>
    <w:p w14:paraId="65351D9A" w14:textId="77777777" w:rsidR="005C572E" w:rsidRPr="005C572E" w:rsidRDefault="005C572E" w:rsidP="00715939">
      <w:pPr>
        <w:spacing w:after="0" w:line="276" w:lineRule="auto"/>
        <w:ind w:left="709" w:right="758"/>
        <w:jc w:val="both"/>
        <w:rPr>
          <w:rFonts w:ascii="Verdana" w:eastAsia="Calibri" w:hAnsi="Verdana" w:cs="Arial"/>
          <w:sz w:val="20"/>
          <w:szCs w:val="20"/>
          <w:lang w:eastAsia="es-ES"/>
        </w:rPr>
      </w:pPr>
      <w:r w:rsidRPr="005C572E">
        <w:rPr>
          <w:rFonts w:ascii="Verdana" w:eastAsia="Calibri" w:hAnsi="Verdana" w:cs="Arial"/>
          <w:sz w:val="20"/>
          <w:szCs w:val="20"/>
          <w:lang w:eastAsia="es-ES"/>
        </w:rPr>
        <w:t>2. Consulta sobre la liquidación unilateral del contrato en caso de incumplimiento:</w:t>
      </w:r>
    </w:p>
    <w:p w14:paraId="20C15DCF" w14:textId="77777777" w:rsidR="005C572E" w:rsidRPr="005C572E" w:rsidRDefault="005C572E" w:rsidP="00715939">
      <w:pPr>
        <w:spacing w:after="0" w:line="276" w:lineRule="auto"/>
        <w:ind w:left="709" w:right="758"/>
        <w:jc w:val="both"/>
        <w:rPr>
          <w:rFonts w:ascii="Verdana" w:eastAsia="Calibri" w:hAnsi="Verdana" w:cs="Arial"/>
          <w:sz w:val="20"/>
          <w:szCs w:val="20"/>
          <w:lang w:eastAsia="es-ES"/>
        </w:rPr>
      </w:pPr>
      <w:r w:rsidRPr="005C572E">
        <w:rPr>
          <w:rFonts w:ascii="Verdana" w:eastAsia="Calibri" w:hAnsi="Verdana" w:cs="Arial"/>
          <w:sz w:val="20"/>
          <w:szCs w:val="20"/>
          <w:lang w:eastAsia="es-ES"/>
        </w:rPr>
        <w:t>Se solicita que se nos informe si, en caso de incumplimiento de las obligaciones contractuales por parte del abogado, la entidad estatal puede liquidar unilateralmente el contrato de mandato, y si este proceso de liquidación debe ceñirse a lo preceptuado por la Ley 80 de 1993, o si es posible que la entidad se guíe por lo acordado en las cláusulas del propio contrato de mandato.</w:t>
      </w:r>
    </w:p>
    <w:p w14:paraId="5607022C" w14:textId="77777777" w:rsidR="005C572E" w:rsidRPr="005C572E" w:rsidRDefault="005C572E" w:rsidP="00715939">
      <w:pPr>
        <w:spacing w:after="0" w:line="276" w:lineRule="auto"/>
        <w:ind w:left="709" w:right="758"/>
        <w:jc w:val="both"/>
        <w:rPr>
          <w:rFonts w:ascii="Verdana" w:eastAsia="Calibri" w:hAnsi="Verdana" w:cs="Arial"/>
          <w:sz w:val="20"/>
          <w:szCs w:val="20"/>
          <w:lang w:eastAsia="es-ES"/>
        </w:rPr>
      </w:pPr>
      <w:r w:rsidRPr="005C572E">
        <w:rPr>
          <w:rFonts w:ascii="Verdana" w:eastAsia="Calibri" w:hAnsi="Verdana" w:cs="Arial"/>
          <w:sz w:val="20"/>
          <w:szCs w:val="20"/>
          <w:lang w:eastAsia="es-ES"/>
        </w:rPr>
        <w:t>3. En caso de terminación unilateral del mandato por causa diferente a incumplimiento, cuál es el procedimiento que debería seguir la entidad? Debería realizarlo por acto administrativo motivado o un simple oficio de comunicación.</w:t>
      </w:r>
    </w:p>
    <w:p w14:paraId="099B53BA" w14:textId="77777777" w:rsidR="005C572E" w:rsidRPr="005C572E" w:rsidRDefault="005C572E" w:rsidP="00715939">
      <w:pPr>
        <w:spacing w:after="0" w:line="276" w:lineRule="auto"/>
        <w:ind w:left="709" w:right="758"/>
        <w:jc w:val="both"/>
        <w:rPr>
          <w:rFonts w:ascii="Verdana" w:eastAsia="Calibri" w:hAnsi="Verdana" w:cs="Arial"/>
          <w:sz w:val="20"/>
          <w:szCs w:val="20"/>
          <w:lang w:eastAsia="es-ES"/>
        </w:rPr>
      </w:pPr>
      <w:r w:rsidRPr="005C572E">
        <w:rPr>
          <w:rFonts w:ascii="Verdana" w:eastAsia="Calibri" w:hAnsi="Verdana" w:cs="Arial"/>
          <w:sz w:val="20"/>
          <w:szCs w:val="20"/>
          <w:lang w:eastAsia="es-ES"/>
        </w:rPr>
        <w:t>4. Consulta sobre la publicidad y publicación del contrato de mandato:</w:t>
      </w:r>
    </w:p>
    <w:p w14:paraId="4E543B6E" w14:textId="2425C470" w:rsidR="00AB64A5" w:rsidRPr="00715939" w:rsidRDefault="005C572E" w:rsidP="00715939">
      <w:pPr>
        <w:spacing w:after="0" w:line="276" w:lineRule="auto"/>
        <w:ind w:left="709" w:right="758"/>
        <w:jc w:val="both"/>
        <w:rPr>
          <w:rFonts w:ascii="Verdana" w:eastAsia="Calibri" w:hAnsi="Verdana" w:cs="Arial"/>
          <w:sz w:val="20"/>
          <w:szCs w:val="20"/>
          <w:lang w:eastAsia="es-ES"/>
        </w:rPr>
      </w:pPr>
      <w:r w:rsidRPr="005C572E">
        <w:rPr>
          <w:rFonts w:ascii="Verdana" w:eastAsia="Calibri" w:hAnsi="Verdana" w:cs="Arial"/>
          <w:sz w:val="20"/>
          <w:szCs w:val="20"/>
          <w:lang w:eastAsia="es-ES"/>
        </w:rPr>
        <w:t>Se solicita que Colombia Compra Eficiente nos informe si es obligatorio para la entidad estatal la publicación o publicidad de este tipo de contratos de mandato en el SECOP (Sistema Electrónico para la Contratación Pública) o en algún portal web oficial de la entidad.</w:t>
      </w:r>
      <w:r w:rsidR="00FC3EC1" w:rsidRPr="00715939">
        <w:rPr>
          <w:rFonts w:ascii="Verdana" w:eastAsia="Calibri" w:hAnsi="Verdana" w:cs="Arial"/>
          <w:sz w:val="20"/>
          <w:szCs w:val="20"/>
          <w:lang w:val="es-ES" w:eastAsia="es-ES"/>
        </w:rPr>
        <w:t>” [sic]</w:t>
      </w:r>
    </w:p>
    <w:p w14:paraId="59ACC790" w14:textId="77777777" w:rsidR="00FC3EC1" w:rsidRPr="00715939" w:rsidRDefault="00FC3EC1" w:rsidP="00715939">
      <w:pPr>
        <w:spacing w:after="0" w:line="276" w:lineRule="auto"/>
        <w:ind w:left="709" w:right="758"/>
        <w:jc w:val="both"/>
        <w:rPr>
          <w:rFonts w:ascii="Verdana" w:eastAsia="Century Gothic" w:hAnsi="Verdana" w:cs="Century Gothic"/>
          <w:i/>
          <w:iCs/>
        </w:rPr>
      </w:pPr>
    </w:p>
    <w:p w14:paraId="1078C241" w14:textId="77777777" w:rsidR="00AB64A5" w:rsidRPr="00715939" w:rsidRDefault="00AB64A5" w:rsidP="00715939">
      <w:pPr>
        <w:spacing w:after="120" w:line="276" w:lineRule="auto"/>
        <w:ind w:firstLine="709"/>
        <w:jc w:val="both"/>
        <w:rPr>
          <w:rFonts w:ascii="Verdana" w:eastAsia="Calibri" w:hAnsi="Verdana" w:cs="Arial"/>
          <w:color w:val="000000"/>
          <w:lang w:val="es-ES_tradnl" w:eastAsia="es-ES_tradnl"/>
        </w:rPr>
      </w:pPr>
      <w:r w:rsidRPr="00715939">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w:t>
      </w:r>
      <w:r w:rsidRPr="00715939">
        <w:rPr>
          <w:rFonts w:ascii="Verdana" w:eastAsia="Calibri" w:hAnsi="Verdana" w:cs="Arial"/>
          <w:color w:val="000000"/>
          <w:lang w:val="es-ES" w:eastAsia="es-ES"/>
        </w:rPr>
        <w:lastRenderedPageBreak/>
        <w:t xml:space="preserve">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715939">
        <w:rPr>
          <w:rFonts w:ascii="Verdana" w:eastAsia="Calibri" w:hAnsi="Verdana" w:cs="Arial"/>
          <w:color w:val="000000"/>
          <w:lang w:val="es-ES_tradnl" w:eastAsia="es-ES_tradnl"/>
        </w:rPr>
        <w:tab/>
      </w:r>
    </w:p>
    <w:p w14:paraId="03C1028C" w14:textId="77777777" w:rsidR="00AB64A5" w:rsidRPr="00715939" w:rsidRDefault="00AB64A5" w:rsidP="00715939">
      <w:pPr>
        <w:spacing w:after="0" w:line="276" w:lineRule="auto"/>
        <w:ind w:firstLine="709"/>
        <w:jc w:val="both"/>
        <w:rPr>
          <w:rFonts w:ascii="Verdana" w:eastAsia="Calibri" w:hAnsi="Verdana" w:cs="Arial"/>
          <w:color w:val="000000"/>
          <w:lang w:val="es-ES" w:eastAsia="es-ES"/>
        </w:rPr>
      </w:pPr>
      <w:r w:rsidRPr="00715939">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715939">
        <w:rPr>
          <w:rFonts w:ascii="Verdana" w:eastAsia="Calibri" w:hAnsi="Verdana" w:cs="Arial"/>
          <w:color w:val="7030A0"/>
          <w:lang w:val="es-ES" w:eastAsia="es-ES"/>
        </w:rPr>
        <w:t xml:space="preserve"> </w:t>
      </w:r>
      <w:r w:rsidRPr="00715939">
        <w:rPr>
          <w:rFonts w:ascii="Verdana" w:eastAsia="Calibri" w:hAnsi="Verdana" w:cs="Arial"/>
          <w:color w:val="000000"/>
          <w:lang w:val="es-ES" w:eastAsia="es-ES"/>
        </w:rPr>
        <w:t>jurídico</w:t>
      </w:r>
      <w:r w:rsidRPr="00715939">
        <w:rPr>
          <w:rFonts w:ascii="Verdana" w:eastAsia="Calibri" w:hAnsi="Verdana" w:cs="Arial"/>
          <w:color w:val="7030A0"/>
          <w:lang w:val="es-ES" w:eastAsia="es-ES"/>
        </w:rPr>
        <w:t xml:space="preserve"> </w:t>
      </w:r>
      <w:r w:rsidRPr="00715939">
        <w:rPr>
          <w:rFonts w:ascii="Verdana" w:eastAsia="Calibri" w:hAnsi="Verdana" w:cs="Arial"/>
          <w:color w:val="000000"/>
          <w:lang w:val="es-ES" w:eastAsia="es-ES"/>
        </w:rPr>
        <w:t xml:space="preserve">de su consulta. </w:t>
      </w:r>
    </w:p>
    <w:p w14:paraId="1E8B5A8D" w14:textId="77777777" w:rsidR="00AB64A5" w:rsidRPr="00715939" w:rsidRDefault="00AB64A5" w:rsidP="00715939">
      <w:pPr>
        <w:spacing w:after="0" w:line="276" w:lineRule="auto"/>
        <w:ind w:firstLine="709"/>
        <w:jc w:val="both"/>
        <w:rPr>
          <w:rFonts w:ascii="Verdana" w:eastAsia="Calibri" w:hAnsi="Verdana" w:cs="Arial"/>
          <w:color w:val="000000"/>
          <w:lang w:val="es-ES" w:eastAsia="es-ES"/>
        </w:rPr>
      </w:pPr>
    </w:p>
    <w:p w14:paraId="631D94B5" w14:textId="77777777" w:rsidR="00AB64A5" w:rsidRPr="00715939" w:rsidRDefault="00AB64A5" w:rsidP="00715939">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715939">
        <w:rPr>
          <w:rFonts w:ascii="Verdana" w:eastAsia="Century Gothic" w:hAnsi="Verdana" w:cs="Century Gothic"/>
          <w:b/>
          <w:bCs/>
        </w:rPr>
        <w:t>Problema planteado:</w:t>
      </w:r>
    </w:p>
    <w:p w14:paraId="00DEDA85" w14:textId="77777777" w:rsidR="00AB64A5" w:rsidRPr="00715939" w:rsidRDefault="00AB64A5" w:rsidP="00715939">
      <w:pPr>
        <w:tabs>
          <w:tab w:val="left" w:pos="426"/>
        </w:tabs>
        <w:spacing w:after="0" w:line="276" w:lineRule="auto"/>
        <w:jc w:val="both"/>
        <w:rPr>
          <w:rFonts w:ascii="Verdana" w:eastAsia="Century Gothic" w:hAnsi="Verdana" w:cs="Century Gothic"/>
          <w:lang w:val="es-ES"/>
        </w:rPr>
      </w:pPr>
    </w:p>
    <w:p w14:paraId="6C677CB7" w14:textId="145488EC" w:rsidR="00FC3EC1" w:rsidRPr="00715939" w:rsidRDefault="00AB64A5" w:rsidP="00715939">
      <w:pPr>
        <w:spacing w:after="0" w:line="276" w:lineRule="auto"/>
        <w:ind w:right="49"/>
        <w:jc w:val="both"/>
        <w:rPr>
          <w:rFonts w:ascii="Verdana" w:eastAsia="Calibri" w:hAnsi="Verdana" w:cs="Arial"/>
          <w:lang w:val="es-ES" w:eastAsia="es-ES"/>
        </w:rPr>
      </w:pPr>
      <w:r w:rsidRPr="00715939">
        <w:rPr>
          <w:rFonts w:ascii="Verdana" w:eastAsia="Century Gothic" w:hAnsi="Verdana" w:cs="Century Gothic"/>
        </w:rPr>
        <w:t xml:space="preserve">De acuerdo con el contenido de su solicitud, esta Agencia resolverá </w:t>
      </w:r>
      <w:r w:rsidR="00AE18F1">
        <w:rPr>
          <w:rFonts w:ascii="Verdana" w:eastAsia="Century Gothic" w:hAnsi="Verdana" w:cs="Century Gothic"/>
        </w:rPr>
        <w:t>los</w:t>
      </w:r>
      <w:r w:rsidRPr="00715939">
        <w:rPr>
          <w:rFonts w:ascii="Verdana" w:eastAsia="Century Gothic" w:hAnsi="Verdana" w:cs="Century Gothic"/>
        </w:rPr>
        <w:t xml:space="preserve"> siguiente</w:t>
      </w:r>
      <w:r w:rsidR="00AE18F1">
        <w:rPr>
          <w:rFonts w:ascii="Verdana" w:eastAsia="Century Gothic" w:hAnsi="Verdana" w:cs="Century Gothic"/>
        </w:rPr>
        <w:t>s</w:t>
      </w:r>
      <w:r w:rsidRPr="00715939">
        <w:rPr>
          <w:rFonts w:ascii="Verdana" w:eastAsia="Century Gothic" w:hAnsi="Verdana" w:cs="Century Gothic"/>
        </w:rPr>
        <w:t xml:space="preserve"> problema</w:t>
      </w:r>
      <w:r w:rsidR="00AE18F1">
        <w:rPr>
          <w:rFonts w:ascii="Verdana" w:eastAsia="Century Gothic" w:hAnsi="Verdana" w:cs="Century Gothic"/>
        </w:rPr>
        <w:t>s</w:t>
      </w:r>
      <w:r w:rsidRPr="00715939">
        <w:rPr>
          <w:rFonts w:ascii="Verdana" w:eastAsia="Century Gothic" w:hAnsi="Verdana" w:cs="Century Gothic"/>
        </w:rPr>
        <w:t xml:space="preserve"> jurídico</w:t>
      </w:r>
      <w:r w:rsidR="00AE18F1">
        <w:rPr>
          <w:rFonts w:ascii="Verdana" w:eastAsia="Century Gothic" w:hAnsi="Verdana" w:cs="Century Gothic"/>
        </w:rPr>
        <w:t>s</w:t>
      </w:r>
      <w:r w:rsidRPr="00715939">
        <w:rPr>
          <w:rFonts w:ascii="Verdana" w:eastAsia="Century Gothic" w:hAnsi="Verdana" w:cs="Century Gothic"/>
        </w:rPr>
        <w:t>:</w:t>
      </w:r>
      <w:r w:rsidR="00FC3EC1" w:rsidRPr="00715939">
        <w:rPr>
          <w:rFonts w:ascii="Verdana" w:eastAsia="Century Gothic" w:hAnsi="Verdana" w:cs="Century Gothic"/>
        </w:rPr>
        <w:t xml:space="preserve"> </w:t>
      </w:r>
      <w:r w:rsidR="00FC3EC1" w:rsidRPr="00715939">
        <w:rPr>
          <w:rFonts w:ascii="Verdana" w:eastAsia="Calibri" w:hAnsi="Verdana" w:cs="Arial"/>
          <w:lang w:val="es-ES" w:eastAsia="es-ES"/>
        </w:rPr>
        <w:t>¿</w:t>
      </w:r>
      <w:r w:rsidR="00283C1D" w:rsidRPr="00715939">
        <w:rPr>
          <w:rFonts w:ascii="Verdana" w:eastAsia="Calibri" w:hAnsi="Verdana" w:cs="Arial"/>
          <w:lang w:val="es-ES" w:eastAsia="es-ES"/>
        </w:rPr>
        <w:t>Es viable que una Entidad Estatal celebre contratos de mandato</w:t>
      </w:r>
      <w:r w:rsidR="00FC3EC1" w:rsidRPr="00715939">
        <w:rPr>
          <w:rFonts w:ascii="Verdana" w:eastAsia="Calibri" w:hAnsi="Verdana" w:cs="Arial"/>
          <w:lang w:val="es-ES" w:eastAsia="es-ES"/>
        </w:rPr>
        <w:t>?</w:t>
      </w:r>
      <w:r w:rsidR="00553F39" w:rsidRPr="00715939">
        <w:rPr>
          <w:rFonts w:ascii="Verdana" w:eastAsia="Calibri" w:hAnsi="Verdana" w:cs="Arial"/>
          <w:lang w:val="es-ES" w:eastAsia="es-ES"/>
        </w:rPr>
        <w:t xml:space="preserve"> </w:t>
      </w:r>
      <w:r w:rsidR="00AE18F1" w:rsidRPr="00AE18F1">
        <w:rPr>
          <w:rFonts w:ascii="Verdana" w:eastAsia="Calibri" w:hAnsi="Verdana" w:cs="Arial"/>
          <w:lang w:eastAsia="es-ES"/>
        </w:rPr>
        <w:t>¿Cuáles son los mecanismos que tiene la entidad estatal ante el incumplimiento de un contrato durante su ejecución, y es viable proceder a su liquidación?</w:t>
      </w:r>
      <w:r w:rsidR="00AE18F1">
        <w:rPr>
          <w:rFonts w:ascii="Verdana" w:eastAsia="Calibri" w:hAnsi="Verdana" w:cs="Arial"/>
          <w:lang w:eastAsia="es-ES"/>
        </w:rPr>
        <w:t xml:space="preserve"> </w:t>
      </w:r>
      <w:r w:rsidR="00283C1D" w:rsidRPr="00715939">
        <w:rPr>
          <w:rFonts w:ascii="Verdana" w:eastAsia="Calibri" w:hAnsi="Verdana" w:cs="Arial"/>
          <w:lang w:val="es-ES" w:eastAsia="es-ES"/>
        </w:rPr>
        <w:t>¿En caso de celebrarse un contrato de mandato por parte de una Entidad Estatal se debe publicar en el Sistema Electrónico de Contratación Pública?</w:t>
      </w:r>
    </w:p>
    <w:p w14:paraId="510EDFE3" w14:textId="77777777" w:rsidR="00CD258B" w:rsidRPr="00715939" w:rsidRDefault="00CD258B" w:rsidP="00715939">
      <w:pPr>
        <w:spacing w:after="0" w:line="276" w:lineRule="auto"/>
        <w:jc w:val="both"/>
        <w:rPr>
          <w:rFonts w:ascii="Verdana" w:eastAsia="Century Gothic" w:hAnsi="Verdana" w:cs="Century Gothic"/>
          <w:lang w:val="es-ES"/>
        </w:rPr>
      </w:pPr>
    </w:p>
    <w:p w14:paraId="7105E377" w14:textId="77777777" w:rsidR="00AB64A5" w:rsidRPr="00715939" w:rsidRDefault="00AB64A5" w:rsidP="00715939">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15939">
        <w:rPr>
          <w:rFonts w:ascii="Verdana" w:eastAsia="Century Gothic" w:hAnsi="Verdana" w:cs="Century Gothic"/>
          <w:b/>
          <w:bCs/>
        </w:rPr>
        <w:t>Respuesta:</w:t>
      </w:r>
    </w:p>
    <w:p w14:paraId="09F450DC" w14:textId="77777777" w:rsidR="00AB64A5" w:rsidRPr="00715939" w:rsidRDefault="00AB64A5" w:rsidP="00715939">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B64A5" w:rsidRPr="00715939" w14:paraId="7E3B28CD" w14:textId="77777777" w:rsidTr="007B0B27">
        <w:tc>
          <w:tcPr>
            <w:tcW w:w="8828" w:type="dxa"/>
            <w:shd w:val="clear" w:color="auto" w:fill="auto"/>
          </w:tcPr>
          <w:p w14:paraId="52CB2E6A" w14:textId="00BABB07" w:rsidR="00283C1D" w:rsidRPr="00715939" w:rsidRDefault="00283C1D" w:rsidP="00715939">
            <w:pPr>
              <w:pStyle w:val="Prrafodelista"/>
              <w:widowControl w:val="0"/>
              <w:tabs>
                <w:tab w:val="left" w:pos="2143"/>
              </w:tabs>
              <w:autoSpaceDE w:val="0"/>
              <w:autoSpaceDN w:val="0"/>
              <w:spacing w:after="120" w:line="276" w:lineRule="auto"/>
              <w:ind w:left="596"/>
              <w:jc w:val="both"/>
              <w:rPr>
                <w:rFonts w:ascii="Verdana" w:eastAsia="Calibri" w:hAnsi="Verdana" w:cs="Arial"/>
                <w:lang w:val="es-ES"/>
              </w:rPr>
            </w:pPr>
            <w:r w:rsidRPr="00715939">
              <w:rPr>
                <w:rFonts w:ascii="Verdana" w:eastAsia="Calibri" w:hAnsi="Verdana" w:cs="Arial"/>
                <w:lang w:val="es-ES"/>
              </w:rPr>
              <w:t xml:space="preserve">Se dará respuesta a los tres </w:t>
            </w:r>
            <w:r w:rsidR="00FE22EE">
              <w:rPr>
                <w:rFonts w:ascii="Verdana" w:eastAsia="Calibri" w:hAnsi="Verdana" w:cs="Arial"/>
                <w:lang w:val="es-ES"/>
              </w:rPr>
              <w:t xml:space="preserve">(3) </w:t>
            </w:r>
            <w:r w:rsidRPr="00715939">
              <w:rPr>
                <w:rFonts w:ascii="Verdana" w:eastAsia="Calibri" w:hAnsi="Verdana" w:cs="Arial"/>
                <w:lang w:val="es-ES"/>
              </w:rPr>
              <w:t xml:space="preserve">problemas jurídicos de la siguiente manera: </w:t>
            </w:r>
          </w:p>
          <w:p w14:paraId="55886841" w14:textId="77777777" w:rsidR="00283C1D" w:rsidRPr="00715939" w:rsidRDefault="00283C1D" w:rsidP="00715939">
            <w:pPr>
              <w:pStyle w:val="Prrafodelista"/>
              <w:widowControl w:val="0"/>
              <w:tabs>
                <w:tab w:val="left" w:pos="2143"/>
              </w:tabs>
              <w:autoSpaceDE w:val="0"/>
              <w:autoSpaceDN w:val="0"/>
              <w:spacing w:after="120" w:line="276" w:lineRule="auto"/>
              <w:ind w:left="596"/>
              <w:jc w:val="both"/>
              <w:rPr>
                <w:rFonts w:ascii="Verdana" w:eastAsia="Calibri" w:hAnsi="Verdana" w:cs="Arial"/>
                <w:lang w:val="es-ES"/>
              </w:rPr>
            </w:pPr>
          </w:p>
          <w:p w14:paraId="56E97875" w14:textId="35BA9AA3" w:rsidR="00553F39" w:rsidRDefault="008A3960" w:rsidP="00715939">
            <w:pPr>
              <w:pStyle w:val="Prrafodelista"/>
              <w:widowControl w:val="0"/>
              <w:numPr>
                <w:ilvl w:val="0"/>
                <w:numId w:val="31"/>
              </w:numPr>
              <w:tabs>
                <w:tab w:val="left" w:pos="2143"/>
              </w:tabs>
              <w:autoSpaceDE w:val="0"/>
              <w:autoSpaceDN w:val="0"/>
              <w:spacing w:after="120" w:line="276" w:lineRule="auto"/>
              <w:ind w:left="596" w:hanging="425"/>
              <w:jc w:val="both"/>
              <w:rPr>
                <w:rFonts w:ascii="Verdana" w:eastAsia="Calibri" w:hAnsi="Verdana" w:cs="Arial"/>
                <w:lang w:val="es-ES"/>
              </w:rPr>
            </w:pPr>
            <w:r w:rsidRPr="00715939">
              <w:rPr>
                <w:rFonts w:ascii="Verdana" w:eastAsia="Calibri" w:hAnsi="Verdana" w:cs="Arial"/>
                <w:lang w:val="es-ES"/>
              </w:rPr>
              <w:t>L</w:t>
            </w:r>
            <w:r w:rsidR="00380B86" w:rsidRPr="00715939">
              <w:rPr>
                <w:rFonts w:ascii="Verdana" w:eastAsia="Calibri" w:hAnsi="Verdana" w:cs="Arial"/>
                <w:lang w:val="es-ES"/>
              </w:rPr>
              <w:t xml:space="preserve">os contratos estatales se regirán por las normas comerciales y civiles pertinentes, salvo en lo concerniente a las materias particularmente reguladas en dicha ley, de acuerdo con lo prescrito en el inciso primero del artículo 13 de la Ley 80 de 1993, por lo que deben observarse en primer término las disposiciones establecidas en el EGCAP; ii) corresponderán como actos jurídicos bilaterales generadores de obligaciones, entre otros, a los previstos en el derecho privado, en los términos del artículo 32 ibidem; y iii) contendrán las estipulaciones que, </w:t>
            </w:r>
            <w:r w:rsidR="00380B86" w:rsidRPr="00715939">
              <w:rPr>
                <w:rFonts w:ascii="Verdana" w:eastAsia="Calibri" w:hAnsi="Verdana" w:cs="Arial"/>
                <w:lang w:val="es-ES"/>
              </w:rPr>
              <w:lastRenderedPageBreak/>
              <w:t xml:space="preserve">de acuerdo con las normas civiles, comerciales y las previstas en esta ley, correspondan a su esencia y naturaleza, conforme a lo dispuesto por el artículo 40 ibidem. </w:t>
            </w:r>
          </w:p>
          <w:p w14:paraId="0A35EE9A" w14:textId="77777777" w:rsidR="00B50562" w:rsidRPr="00B50562" w:rsidRDefault="00B50562" w:rsidP="00B50562">
            <w:pPr>
              <w:widowControl w:val="0"/>
              <w:tabs>
                <w:tab w:val="left" w:pos="2143"/>
              </w:tabs>
              <w:autoSpaceDE w:val="0"/>
              <w:autoSpaceDN w:val="0"/>
              <w:spacing w:after="120" w:line="276" w:lineRule="auto"/>
              <w:jc w:val="both"/>
              <w:rPr>
                <w:rFonts w:ascii="Verdana" w:eastAsia="Calibri" w:hAnsi="Verdana" w:cs="Arial"/>
                <w:lang w:val="es-ES"/>
              </w:rPr>
            </w:pPr>
          </w:p>
          <w:p w14:paraId="554B31A6" w14:textId="4BA39B22" w:rsidR="00B50562" w:rsidRPr="00B50562" w:rsidRDefault="002B25CB" w:rsidP="00B50562">
            <w:pPr>
              <w:tabs>
                <w:tab w:val="left" w:pos="426"/>
              </w:tabs>
              <w:spacing w:after="120" w:line="276" w:lineRule="auto"/>
              <w:ind w:left="596"/>
              <w:jc w:val="both"/>
              <w:rPr>
                <w:rFonts w:ascii="Verdana" w:eastAsia="Calibri" w:hAnsi="Verdana" w:cs="Arial"/>
                <w:lang w:val="es-ES"/>
              </w:rPr>
            </w:pPr>
            <w:r>
              <w:rPr>
                <w:rFonts w:ascii="Verdana" w:eastAsia="Calibri" w:hAnsi="Verdana" w:cs="Arial"/>
                <w:lang w:val="es-ES"/>
              </w:rPr>
              <w:t>Ahora bien, d</w:t>
            </w:r>
            <w:r w:rsidR="00B50562" w:rsidRPr="00B50562">
              <w:rPr>
                <w:rFonts w:ascii="Verdana" w:eastAsia="Calibri" w:hAnsi="Verdana" w:cs="Arial"/>
                <w:lang w:val="es-ES"/>
              </w:rPr>
              <w:t>e acuerdo con el artículo 2142 del Código Civil, el mandato es “un contrato en que una persona confía la gestión de uno o más negocios a otra, que se hace cargo de ellos por cuenta y riesgo de la primera”</w:t>
            </w:r>
            <w:r w:rsidR="00B50562" w:rsidRPr="00B50562">
              <w:rPr>
                <w:rFonts w:ascii="Verdana" w:eastAsia="Calibri" w:hAnsi="Verdana" w:cs="Arial"/>
                <w:lang w:val="es-ES"/>
              </w:rPr>
              <w:footnoteReference w:id="1"/>
            </w:r>
            <w:r w:rsidR="00B50562" w:rsidRPr="00B50562">
              <w:rPr>
                <w:rFonts w:ascii="Verdana" w:eastAsia="Calibri" w:hAnsi="Verdana" w:cs="Arial"/>
                <w:lang w:val="es-ES"/>
              </w:rPr>
              <w:t>. Por su parte, el Código de Comercio también establece su propia regulación del contrato de mandato cuando este tiene una naturaleza comercial. El artículo 1262 de este cuerpo normativo define al mandato como el “[…] contrato por el cual una parte se obliga a celebrar o ejecutar uno o más actos de comercio por cuenta de otra”.</w:t>
            </w:r>
          </w:p>
          <w:p w14:paraId="58F58568" w14:textId="0A207AEA" w:rsidR="00380B86" w:rsidRPr="00715939" w:rsidRDefault="00380B86" w:rsidP="00715939">
            <w:pPr>
              <w:widowControl w:val="0"/>
              <w:tabs>
                <w:tab w:val="left" w:pos="2143"/>
              </w:tabs>
              <w:autoSpaceDE w:val="0"/>
              <w:autoSpaceDN w:val="0"/>
              <w:spacing w:after="120" w:line="276" w:lineRule="auto"/>
              <w:ind w:left="596"/>
              <w:jc w:val="both"/>
              <w:rPr>
                <w:rFonts w:ascii="Verdana" w:eastAsia="Calibri" w:hAnsi="Verdana" w:cs="Arial"/>
                <w:lang w:val="es-ES"/>
              </w:rPr>
            </w:pPr>
            <w:r w:rsidRPr="00715939">
              <w:rPr>
                <w:rFonts w:ascii="Verdana" w:eastAsia="Calibri" w:hAnsi="Verdana" w:cs="Arial"/>
                <w:lang w:val="es-ES"/>
              </w:rPr>
              <w:t xml:space="preserve">En este sentido, las Entidades Estatales podrán suscribir </w:t>
            </w:r>
            <w:r w:rsidR="000E351F">
              <w:rPr>
                <w:rFonts w:ascii="Verdana" w:eastAsia="Calibri" w:hAnsi="Verdana" w:cs="Arial"/>
                <w:lang w:val="es-ES"/>
              </w:rPr>
              <w:t>contratos de prestación de servicios profesional</w:t>
            </w:r>
            <w:r w:rsidR="00B50562">
              <w:rPr>
                <w:rFonts w:ascii="Verdana" w:eastAsia="Calibri" w:hAnsi="Verdana" w:cs="Arial"/>
                <w:lang w:val="es-ES"/>
              </w:rPr>
              <w:t>es de mandato</w:t>
            </w:r>
            <w:r w:rsidR="000E351F">
              <w:rPr>
                <w:rFonts w:ascii="Verdana" w:eastAsia="Calibri" w:hAnsi="Verdana" w:cs="Arial"/>
                <w:lang w:val="es-ES"/>
              </w:rPr>
              <w:t xml:space="preserve"> </w:t>
            </w:r>
            <w:r w:rsidRPr="00715939">
              <w:rPr>
                <w:rFonts w:ascii="Verdana" w:eastAsia="Calibri" w:hAnsi="Verdana" w:cs="Arial"/>
                <w:lang w:val="es-ES"/>
              </w:rPr>
              <w:t>de acuerdo con lo establecido</w:t>
            </w:r>
            <w:r w:rsidR="008B68D4" w:rsidRPr="00715939">
              <w:rPr>
                <w:rFonts w:ascii="Verdana" w:eastAsia="Calibri" w:hAnsi="Verdana" w:cs="Arial"/>
                <w:lang w:val="es-ES"/>
              </w:rPr>
              <w:t xml:space="preserve"> en</w:t>
            </w:r>
            <w:r w:rsidRPr="00715939">
              <w:rPr>
                <w:rFonts w:ascii="Verdana" w:eastAsia="Calibri" w:hAnsi="Verdana" w:cs="Arial"/>
                <w:lang w:val="es-ES"/>
              </w:rPr>
              <w:t xml:space="preserve"> </w:t>
            </w:r>
            <w:r w:rsidR="008B68D4" w:rsidRPr="00715939">
              <w:rPr>
                <w:rFonts w:ascii="Verdana" w:eastAsia="Calibri" w:hAnsi="Verdana" w:cs="Arial"/>
                <w:lang w:val="es-ES"/>
              </w:rPr>
              <w:t xml:space="preserve">el artículo 2142 del Código Civil y artículo 1262 del Código de Comercio. </w:t>
            </w:r>
          </w:p>
          <w:p w14:paraId="79EAD15B" w14:textId="3242C06C" w:rsidR="005D26E5" w:rsidRDefault="005D26E5" w:rsidP="00715939">
            <w:pPr>
              <w:pStyle w:val="Prrafodelista"/>
              <w:numPr>
                <w:ilvl w:val="0"/>
                <w:numId w:val="31"/>
              </w:numPr>
              <w:spacing w:line="276" w:lineRule="auto"/>
              <w:ind w:left="596" w:hanging="425"/>
              <w:jc w:val="both"/>
              <w:rPr>
                <w:rFonts w:ascii="Verdana" w:eastAsia="Calibri" w:hAnsi="Verdana" w:cs="Arial"/>
                <w:lang w:val="es-ES"/>
              </w:rPr>
            </w:pPr>
            <w:r w:rsidRPr="00715939">
              <w:rPr>
                <w:rFonts w:ascii="Verdana" w:eastAsia="Calibri" w:hAnsi="Verdana" w:cs="Arial"/>
                <w:lang w:val="es-ES"/>
              </w:rPr>
              <w:t xml:space="preserve">En cuanto al segundo problema jurídico es menester precisar que, en caso de presunto incumplimiento 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ibidem. ii) En algunas disposiciones también se establecen otras potestades exorbitantes, como la liquidación unilateral y la declaratoria unilateral del siniestro –artículos 7 y 11 de la Ley 1150 de 2007–Dentro de las potestades unilaterales también se </w:t>
            </w:r>
            <w:r w:rsidRPr="00715939">
              <w:rPr>
                <w:rFonts w:ascii="Verdana" w:eastAsia="Calibri" w:hAnsi="Verdana" w:cs="Arial"/>
                <w:lang w:val="es-ES"/>
              </w:rPr>
              <w:lastRenderedPageBreak/>
              <w:t>encuentran iii) las cláusulas excepcionales de imposición unilateral de las cláusulas penales y de multas –artículo 17 de la Ley 1150 de 2007–, aclarando que su exorbitancia se refiere a su imposición unilateral, no a su pacto, que es posible en virtud de las normas civiles y comerciales.</w:t>
            </w:r>
          </w:p>
          <w:p w14:paraId="139B900B" w14:textId="77777777" w:rsidR="000E351F" w:rsidRDefault="000E351F" w:rsidP="000E351F">
            <w:pPr>
              <w:spacing w:line="276" w:lineRule="auto"/>
              <w:jc w:val="both"/>
              <w:rPr>
                <w:rFonts w:ascii="Verdana" w:eastAsia="Calibri" w:hAnsi="Verdana" w:cs="Arial"/>
                <w:lang w:val="es-ES"/>
              </w:rPr>
            </w:pPr>
          </w:p>
          <w:p w14:paraId="47D39177" w14:textId="263C5AE2" w:rsidR="000E351F" w:rsidRDefault="00B82703" w:rsidP="00B82703">
            <w:pPr>
              <w:spacing w:line="276" w:lineRule="auto"/>
              <w:ind w:left="592"/>
              <w:jc w:val="both"/>
              <w:rPr>
                <w:rFonts w:ascii="Verdana" w:eastAsia="Calibri" w:hAnsi="Verdana" w:cs="Arial"/>
                <w:lang w:val="es-ES"/>
              </w:rPr>
            </w:pPr>
            <w:r>
              <w:rPr>
                <w:rFonts w:ascii="Verdana" w:eastAsia="Calibri" w:hAnsi="Verdana" w:cs="Arial"/>
                <w:lang w:val="es-ES"/>
              </w:rPr>
              <w:t xml:space="preserve">De igual forma, es menester precisar </w:t>
            </w:r>
            <w:r w:rsidRPr="007F2F56">
              <w:rPr>
                <w:rFonts w:ascii="Verdana" w:eastAsia="Calibri" w:hAnsi="Verdana" w:cs="Arial"/>
                <w:lang w:val="es-ES"/>
              </w:rPr>
              <w:t>que se deben liquidar todos los contratos de tracto sucesivo, entendiendo por estos los de ejecución y cumplimiento prolongados en el tiempo, así como los demás que lo requieran –que son generalmente aquellos de ejecución instantánea en los que la misma se ha extendido temporalmente.</w:t>
            </w:r>
          </w:p>
          <w:p w14:paraId="3DF751BB" w14:textId="77777777" w:rsidR="00B82703" w:rsidRDefault="00B82703" w:rsidP="00B82703">
            <w:pPr>
              <w:spacing w:line="276" w:lineRule="auto"/>
              <w:ind w:left="592"/>
              <w:jc w:val="both"/>
              <w:rPr>
                <w:rFonts w:ascii="Verdana" w:eastAsia="Calibri" w:hAnsi="Verdana" w:cs="Arial"/>
                <w:lang w:val="es-ES"/>
              </w:rPr>
            </w:pPr>
          </w:p>
          <w:p w14:paraId="367DE096" w14:textId="161DAC3E" w:rsidR="00B82703" w:rsidRPr="000E351F" w:rsidRDefault="00B82703" w:rsidP="00B82703">
            <w:pPr>
              <w:spacing w:line="276" w:lineRule="auto"/>
              <w:ind w:left="592"/>
              <w:jc w:val="both"/>
              <w:rPr>
                <w:rFonts w:ascii="Verdana" w:eastAsia="Calibri" w:hAnsi="Verdana" w:cs="Arial"/>
                <w:lang w:val="es-ES"/>
              </w:rPr>
            </w:pPr>
            <w:r>
              <w:rPr>
                <w:rFonts w:ascii="Verdana" w:eastAsia="Calibri" w:hAnsi="Verdana" w:cs="Arial"/>
                <w:lang w:val="es-ES"/>
              </w:rPr>
              <w:t xml:space="preserve">Por otra parte, </w:t>
            </w:r>
            <w:r w:rsidRPr="00B14E9C">
              <w:rPr>
                <w:rFonts w:ascii="Verdana" w:eastAsia="Calibri" w:hAnsi="Verdana" w:cs="Arial"/>
                <w:lang w:val="es-ES"/>
              </w:rPr>
              <w:t>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iii) la fecha del acuerdo que disponga la terminación del contrato.</w:t>
            </w:r>
          </w:p>
          <w:p w14:paraId="4F0E0F5E" w14:textId="77777777" w:rsidR="00AB4D03" w:rsidRPr="00B82703" w:rsidRDefault="00AB4D03" w:rsidP="00715939">
            <w:pPr>
              <w:spacing w:line="276" w:lineRule="auto"/>
              <w:jc w:val="both"/>
              <w:rPr>
                <w:rFonts w:ascii="Verdana" w:eastAsia="Calibri" w:hAnsi="Verdana" w:cs="Arial"/>
                <w:lang w:val="es-ES"/>
              </w:rPr>
            </w:pPr>
          </w:p>
          <w:p w14:paraId="3813D7C4" w14:textId="76AAA328" w:rsidR="00AB4D03" w:rsidRPr="00715939" w:rsidRDefault="00AB4D03" w:rsidP="00715939">
            <w:pPr>
              <w:pStyle w:val="Prrafodelista"/>
              <w:numPr>
                <w:ilvl w:val="0"/>
                <w:numId w:val="31"/>
              </w:numPr>
              <w:spacing w:line="276" w:lineRule="auto"/>
              <w:ind w:left="596" w:hanging="425"/>
              <w:jc w:val="both"/>
              <w:rPr>
                <w:rFonts w:ascii="Verdana" w:eastAsia="Calibri" w:hAnsi="Verdana" w:cs="Arial"/>
              </w:rPr>
            </w:pPr>
            <w:r w:rsidRPr="00715939">
              <w:rPr>
                <w:rFonts w:ascii="Verdana" w:eastAsia="Calibri" w:hAnsi="Verdana" w:cs="Arial"/>
              </w:rPr>
              <w:t xml:space="preserve">Las Entidades Estatales, conforme al artículo 2.2.1.1.1.7.1 del Decreto 1082 de 2015, tienen la obligación de publicar en el Sistema Electrónico para la Contratación Pública –SECOP– “[…] los Documentos del Proceso y los actos administrativos del Proceso de Contratación […]”. La expresión Documentos del Proceso, está definida en el artículo 2.2.1.1.1.3.1 del referido decreto,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6C495071" w14:textId="77777777" w:rsidR="00AB4D03" w:rsidRPr="00715939" w:rsidRDefault="00AB4D03" w:rsidP="00715939">
            <w:pPr>
              <w:pStyle w:val="Prrafodelista"/>
              <w:spacing w:line="276" w:lineRule="auto"/>
              <w:ind w:left="596" w:hanging="425"/>
              <w:jc w:val="both"/>
              <w:rPr>
                <w:rFonts w:ascii="Verdana" w:eastAsia="Calibri" w:hAnsi="Verdana" w:cs="Arial"/>
              </w:rPr>
            </w:pPr>
          </w:p>
          <w:p w14:paraId="53A001E0" w14:textId="1374D5AB" w:rsidR="00AB4D03" w:rsidRPr="00715939" w:rsidRDefault="00AB4D03" w:rsidP="00715939">
            <w:pPr>
              <w:spacing w:line="276" w:lineRule="auto"/>
              <w:ind w:left="596" w:hanging="425"/>
              <w:jc w:val="both"/>
              <w:rPr>
                <w:rFonts w:ascii="Verdana" w:eastAsia="Calibri" w:hAnsi="Verdana" w:cs="Arial"/>
              </w:rPr>
            </w:pPr>
            <w:r w:rsidRPr="00715939">
              <w:rPr>
                <w:rFonts w:ascii="Verdana" w:eastAsia="Calibri" w:hAnsi="Verdana" w:cs="Arial"/>
              </w:rPr>
              <w:t xml:space="preserve">     En ese sentido, la interpretación sistemática de los preceptos del Decreto 1082 de 2015, de acuerdo con el principio de publicidad, inicialmente, indican que las Entidades Estatales tienen la obligación de publicar todos </w:t>
            </w:r>
            <w:r w:rsidRPr="00715939">
              <w:rPr>
                <w:rFonts w:ascii="Verdana" w:eastAsia="Calibri" w:hAnsi="Verdana" w:cs="Arial"/>
              </w:rPr>
              <w:lastRenderedPageBreak/>
              <w:t>los documentos que expidan con ocasión del Proceso de Contratación, es decir que todos los documentos emitidos por la entidad durante las etapas precontractual, de ejecución y postcontractual deberán ser publicados en el SECOP ll.</w:t>
            </w:r>
          </w:p>
          <w:p w14:paraId="4108809F" w14:textId="2C5E3F0A" w:rsidR="008A3960" w:rsidRPr="00715939" w:rsidRDefault="008A3960" w:rsidP="00715939">
            <w:pPr>
              <w:spacing w:before="120" w:after="120" w:line="276" w:lineRule="auto"/>
              <w:jc w:val="both"/>
              <w:rPr>
                <w:rFonts w:ascii="Verdana" w:eastAsia="Calibri" w:hAnsi="Verdana" w:cs="Arial"/>
                <w:lang w:val="es-ES"/>
              </w:rPr>
            </w:pPr>
          </w:p>
        </w:tc>
      </w:tr>
    </w:tbl>
    <w:p w14:paraId="0BD98629" w14:textId="77777777" w:rsidR="008A3960" w:rsidRPr="00715939" w:rsidRDefault="008A3960" w:rsidP="00715939">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194193F0" w14:textId="320F310D" w:rsidR="00AB64A5" w:rsidRPr="00715939" w:rsidRDefault="00AB64A5" w:rsidP="00715939">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15939">
        <w:rPr>
          <w:rFonts w:ascii="Verdana" w:eastAsia="Century Gothic" w:hAnsi="Verdana" w:cs="Century Gothic"/>
          <w:b/>
          <w:bCs/>
        </w:rPr>
        <w:t>Razones de la respuesta:</w:t>
      </w:r>
    </w:p>
    <w:p w14:paraId="03D52260" w14:textId="77777777" w:rsidR="00AB64A5" w:rsidRPr="00715939" w:rsidRDefault="00AB64A5" w:rsidP="00715939">
      <w:pPr>
        <w:spacing w:after="0" w:line="276" w:lineRule="auto"/>
        <w:jc w:val="both"/>
        <w:rPr>
          <w:rFonts w:ascii="Verdana" w:eastAsia="Calibri" w:hAnsi="Verdana" w:cs="Arial"/>
          <w:color w:val="7030A0"/>
          <w:lang w:val="es-ES"/>
        </w:rPr>
      </w:pPr>
    </w:p>
    <w:p w14:paraId="22947B98" w14:textId="77777777" w:rsidR="00AB64A5" w:rsidRPr="00715939" w:rsidRDefault="00AB64A5" w:rsidP="00715939">
      <w:pPr>
        <w:spacing w:after="0" w:line="276" w:lineRule="auto"/>
        <w:jc w:val="both"/>
        <w:rPr>
          <w:rFonts w:ascii="Verdana" w:eastAsia="Calibri" w:hAnsi="Verdana" w:cs="Arial"/>
          <w:lang w:val="es-ES"/>
        </w:rPr>
      </w:pPr>
      <w:r w:rsidRPr="00715939">
        <w:rPr>
          <w:rFonts w:ascii="Verdana" w:eastAsia="Calibri" w:hAnsi="Verdana" w:cs="Arial"/>
          <w:lang w:val="es-ES"/>
        </w:rPr>
        <w:t xml:space="preserve">Lo anterior se sustenta en las siguientes consideraciones: </w:t>
      </w:r>
    </w:p>
    <w:p w14:paraId="1B0B6DAD" w14:textId="77777777" w:rsidR="000E2148" w:rsidRPr="00715939" w:rsidRDefault="000E2148" w:rsidP="00715939">
      <w:pPr>
        <w:spacing w:after="0" w:line="276" w:lineRule="auto"/>
        <w:jc w:val="both"/>
        <w:rPr>
          <w:rFonts w:ascii="Verdana" w:eastAsia="Calibri" w:hAnsi="Verdana" w:cs="Arial"/>
          <w:lang w:val="es-ES"/>
        </w:rPr>
      </w:pPr>
    </w:p>
    <w:p w14:paraId="6274106F" w14:textId="40A56704" w:rsidR="00283C1D" w:rsidRPr="00715939" w:rsidRDefault="00283C1D" w:rsidP="00715939">
      <w:pPr>
        <w:pStyle w:val="Textoindependiente"/>
        <w:spacing w:before="1" w:line="276" w:lineRule="auto"/>
        <w:ind w:right="49"/>
        <w:jc w:val="both"/>
      </w:pPr>
      <w:bookmarkStart w:id="3" w:name="_Hlk176447385"/>
      <w:r w:rsidRPr="00715939">
        <w:t>Tratándose</w:t>
      </w:r>
      <w:r w:rsidRPr="00715939">
        <w:rPr>
          <w:spacing w:val="-9"/>
        </w:rPr>
        <w:t xml:space="preserve"> </w:t>
      </w:r>
      <w:r w:rsidRPr="00715939">
        <w:t>de</w:t>
      </w:r>
      <w:r w:rsidRPr="00715939">
        <w:rPr>
          <w:spacing w:val="-11"/>
        </w:rPr>
        <w:t xml:space="preserve"> </w:t>
      </w:r>
      <w:r w:rsidRPr="00715939">
        <w:t>contratos</w:t>
      </w:r>
      <w:r w:rsidRPr="00715939">
        <w:rPr>
          <w:spacing w:val="-9"/>
        </w:rPr>
        <w:t xml:space="preserve"> </w:t>
      </w:r>
      <w:r w:rsidRPr="00715939">
        <w:t>estatales,</w:t>
      </w:r>
      <w:r w:rsidRPr="00715939">
        <w:rPr>
          <w:spacing w:val="-8"/>
        </w:rPr>
        <w:t xml:space="preserve"> </w:t>
      </w:r>
      <w:r w:rsidRPr="00715939">
        <w:t>conforme</w:t>
      </w:r>
      <w:r w:rsidRPr="00715939">
        <w:rPr>
          <w:spacing w:val="-9"/>
        </w:rPr>
        <w:t xml:space="preserve"> </w:t>
      </w:r>
      <w:r w:rsidRPr="00715939">
        <w:t>a</w:t>
      </w:r>
      <w:r w:rsidRPr="00715939">
        <w:rPr>
          <w:spacing w:val="-11"/>
        </w:rPr>
        <w:t xml:space="preserve"> </w:t>
      </w:r>
      <w:r w:rsidRPr="00715939">
        <w:t>la</w:t>
      </w:r>
      <w:r w:rsidRPr="00715939">
        <w:rPr>
          <w:spacing w:val="-11"/>
        </w:rPr>
        <w:t xml:space="preserve"> </w:t>
      </w:r>
      <w:r w:rsidRPr="00715939">
        <w:t>regulación del EGCAP, confluyen una mixtura entre el derecho público y privado en su regulación. En efecto, i) los contratos estatales se regirán por las normas comerciales y civiles pertinentes, salvo en lo concerniente a las materias particularmente</w:t>
      </w:r>
      <w:r w:rsidRPr="00715939">
        <w:rPr>
          <w:spacing w:val="-9"/>
        </w:rPr>
        <w:t xml:space="preserve"> </w:t>
      </w:r>
      <w:r w:rsidRPr="00715939">
        <w:t>reguladas</w:t>
      </w:r>
      <w:r w:rsidRPr="00715939">
        <w:rPr>
          <w:spacing w:val="-11"/>
        </w:rPr>
        <w:t xml:space="preserve"> </w:t>
      </w:r>
      <w:r w:rsidRPr="00715939">
        <w:t>en</w:t>
      </w:r>
      <w:r w:rsidRPr="00715939">
        <w:rPr>
          <w:spacing w:val="-14"/>
        </w:rPr>
        <w:t xml:space="preserve"> </w:t>
      </w:r>
      <w:r w:rsidRPr="00715939">
        <w:t>dicha</w:t>
      </w:r>
      <w:r w:rsidRPr="00715939">
        <w:rPr>
          <w:spacing w:val="-12"/>
        </w:rPr>
        <w:t xml:space="preserve"> </w:t>
      </w:r>
      <w:r w:rsidRPr="00715939">
        <w:t>ley,</w:t>
      </w:r>
      <w:r w:rsidRPr="00715939">
        <w:rPr>
          <w:spacing w:val="-13"/>
        </w:rPr>
        <w:t xml:space="preserve"> </w:t>
      </w:r>
      <w:r w:rsidRPr="00715939">
        <w:t>de</w:t>
      </w:r>
      <w:r w:rsidRPr="00715939">
        <w:rPr>
          <w:spacing w:val="-14"/>
        </w:rPr>
        <w:t xml:space="preserve"> </w:t>
      </w:r>
      <w:r w:rsidRPr="00715939">
        <w:t>acuerdo</w:t>
      </w:r>
      <w:r w:rsidRPr="00715939">
        <w:rPr>
          <w:spacing w:val="-11"/>
        </w:rPr>
        <w:t xml:space="preserve"> </w:t>
      </w:r>
      <w:r w:rsidRPr="00715939">
        <w:t>con</w:t>
      </w:r>
      <w:r w:rsidRPr="00715939">
        <w:rPr>
          <w:spacing w:val="-14"/>
        </w:rPr>
        <w:t xml:space="preserve"> </w:t>
      </w:r>
      <w:r w:rsidRPr="00715939">
        <w:t>lo</w:t>
      </w:r>
      <w:r w:rsidRPr="00715939">
        <w:rPr>
          <w:spacing w:val="-15"/>
        </w:rPr>
        <w:t xml:space="preserve"> </w:t>
      </w:r>
      <w:r w:rsidRPr="00715939">
        <w:t>prescrito</w:t>
      </w:r>
      <w:r w:rsidRPr="00715939">
        <w:rPr>
          <w:spacing w:val="-10"/>
        </w:rPr>
        <w:t xml:space="preserve"> </w:t>
      </w:r>
      <w:r w:rsidRPr="00715939">
        <w:t>en</w:t>
      </w:r>
      <w:r w:rsidRPr="00715939">
        <w:rPr>
          <w:spacing w:val="-14"/>
        </w:rPr>
        <w:t xml:space="preserve"> </w:t>
      </w:r>
      <w:r w:rsidRPr="00715939">
        <w:t>el</w:t>
      </w:r>
      <w:r w:rsidRPr="00715939">
        <w:rPr>
          <w:spacing w:val="-14"/>
        </w:rPr>
        <w:t xml:space="preserve"> </w:t>
      </w:r>
      <w:r w:rsidRPr="00715939">
        <w:t>inciso primero del artículo 13 de la Ley 80 de 1993, por lo que deben observarse en primer término las</w:t>
      </w:r>
      <w:r w:rsidRPr="00715939">
        <w:rPr>
          <w:spacing w:val="-1"/>
        </w:rPr>
        <w:t xml:space="preserve"> </w:t>
      </w:r>
      <w:r w:rsidRPr="00715939">
        <w:t>disposiciones establecidas en</w:t>
      </w:r>
      <w:r w:rsidRPr="00715939">
        <w:rPr>
          <w:spacing w:val="-1"/>
        </w:rPr>
        <w:t xml:space="preserve"> </w:t>
      </w:r>
      <w:r w:rsidRPr="00715939">
        <w:t>el</w:t>
      </w:r>
      <w:r w:rsidRPr="00715939">
        <w:rPr>
          <w:spacing w:val="-1"/>
        </w:rPr>
        <w:t xml:space="preserve"> </w:t>
      </w:r>
      <w:r w:rsidRPr="00715939">
        <w:t>EGCAP;</w:t>
      </w:r>
      <w:r w:rsidRPr="00715939">
        <w:rPr>
          <w:spacing w:val="-2"/>
        </w:rPr>
        <w:t xml:space="preserve"> </w:t>
      </w:r>
      <w:r w:rsidRPr="00715939">
        <w:t>ii)</w:t>
      </w:r>
      <w:r w:rsidRPr="00715939">
        <w:rPr>
          <w:spacing w:val="-2"/>
        </w:rPr>
        <w:t xml:space="preserve"> </w:t>
      </w:r>
      <w:r w:rsidRPr="00715939">
        <w:t>corresponderán como</w:t>
      </w:r>
      <w:r w:rsidRPr="00715939">
        <w:rPr>
          <w:spacing w:val="-12"/>
        </w:rPr>
        <w:t xml:space="preserve"> </w:t>
      </w:r>
      <w:r w:rsidRPr="00715939">
        <w:t>actos</w:t>
      </w:r>
      <w:r w:rsidRPr="00715939">
        <w:rPr>
          <w:spacing w:val="-12"/>
        </w:rPr>
        <w:t xml:space="preserve"> </w:t>
      </w:r>
      <w:r w:rsidRPr="00715939">
        <w:t>jurídicos</w:t>
      </w:r>
      <w:r w:rsidRPr="00715939">
        <w:rPr>
          <w:spacing w:val="-11"/>
        </w:rPr>
        <w:t xml:space="preserve"> </w:t>
      </w:r>
      <w:r w:rsidRPr="00715939">
        <w:t>bilaterales</w:t>
      </w:r>
      <w:r w:rsidRPr="00715939">
        <w:rPr>
          <w:spacing w:val="-11"/>
        </w:rPr>
        <w:t xml:space="preserve"> </w:t>
      </w:r>
      <w:r w:rsidRPr="00715939">
        <w:t>generadores</w:t>
      </w:r>
      <w:r w:rsidRPr="00715939">
        <w:rPr>
          <w:spacing w:val="-11"/>
        </w:rPr>
        <w:t xml:space="preserve"> </w:t>
      </w:r>
      <w:r w:rsidRPr="00715939">
        <w:t>de</w:t>
      </w:r>
      <w:r w:rsidRPr="00715939">
        <w:rPr>
          <w:spacing w:val="-12"/>
        </w:rPr>
        <w:t xml:space="preserve"> </w:t>
      </w:r>
      <w:r w:rsidRPr="00715939">
        <w:t>obligaciones,</w:t>
      </w:r>
      <w:r w:rsidRPr="00715939">
        <w:rPr>
          <w:spacing w:val="-10"/>
        </w:rPr>
        <w:t xml:space="preserve"> </w:t>
      </w:r>
      <w:r w:rsidRPr="00715939">
        <w:t>entre</w:t>
      </w:r>
      <w:r w:rsidRPr="00715939">
        <w:rPr>
          <w:spacing w:val="-12"/>
        </w:rPr>
        <w:t xml:space="preserve"> </w:t>
      </w:r>
      <w:r w:rsidRPr="00715939">
        <w:t>otros,</w:t>
      </w:r>
      <w:r w:rsidRPr="00715939">
        <w:rPr>
          <w:spacing w:val="-12"/>
        </w:rPr>
        <w:t xml:space="preserve"> </w:t>
      </w:r>
      <w:r w:rsidRPr="00715939">
        <w:t>a</w:t>
      </w:r>
      <w:r w:rsidRPr="00715939">
        <w:rPr>
          <w:spacing w:val="-13"/>
        </w:rPr>
        <w:t xml:space="preserve"> </w:t>
      </w:r>
      <w:r w:rsidRPr="00715939">
        <w:t xml:space="preserve">los previstos en el derecho privado, en los términos del artículo 32 </w:t>
      </w:r>
      <w:r w:rsidRPr="00715939">
        <w:rPr>
          <w:i/>
        </w:rPr>
        <w:t>ibidem</w:t>
      </w:r>
      <w:r w:rsidRPr="00715939">
        <w:t>; y iii) contendrán las estipulaciones que, de acuerdo con las normas civiles, comerciales</w:t>
      </w:r>
      <w:r w:rsidRPr="00715939">
        <w:rPr>
          <w:spacing w:val="-20"/>
        </w:rPr>
        <w:t xml:space="preserve"> </w:t>
      </w:r>
      <w:r w:rsidRPr="00715939">
        <w:t>y</w:t>
      </w:r>
      <w:r w:rsidRPr="00715939">
        <w:rPr>
          <w:spacing w:val="-19"/>
        </w:rPr>
        <w:t xml:space="preserve"> </w:t>
      </w:r>
      <w:r w:rsidRPr="00715939">
        <w:t>las</w:t>
      </w:r>
      <w:r w:rsidRPr="00715939">
        <w:rPr>
          <w:spacing w:val="-19"/>
        </w:rPr>
        <w:t xml:space="preserve"> </w:t>
      </w:r>
      <w:r w:rsidRPr="00715939">
        <w:t>previstas</w:t>
      </w:r>
      <w:r w:rsidRPr="00715939">
        <w:rPr>
          <w:spacing w:val="-20"/>
        </w:rPr>
        <w:t xml:space="preserve"> </w:t>
      </w:r>
      <w:r w:rsidRPr="00715939">
        <w:t>en</w:t>
      </w:r>
      <w:r w:rsidRPr="00715939">
        <w:rPr>
          <w:spacing w:val="-19"/>
        </w:rPr>
        <w:t xml:space="preserve"> </w:t>
      </w:r>
      <w:r w:rsidRPr="00715939">
        <w:t>esta</w:t>
      </w:r>
      <w:r w:rsidRPr="00715939">
        <w:rPr>
          <w:spacing w:val="-20"/>
        </w:rPr>
        <w:t xml:space="preserve"> </w:t>
      </w:r>
      <w:r w:rsidRPr="00715939">
        <w:t>ley,</w:t>
      </w:r>
      <w:r w:rsidRPr="00715939">
        <w:rPr>
          <w:spacing w:val="-19"/>
        </w:rPr>
        <w:t xml:space="preserve"> </w:t>
      </w:r>
      <w:r w:rsidRPr="00715939">
        <w:t>correspondan</w:t>
      </w:r>
      <w:r w:rsidRPr="00715939">
        <w:rPr>
          <w:spacing w:val="-19"/>
        </w:rPr>
        <w:t xml:space="preserve"> </w:t>
      </w:r>
      <w:r w:rsidRPr="00715939">
        <w:t>a</w:t>
      </w:r>
      <w:r w:rsidRPr="00715939">
        <w:rPr>
          <w:spacing w:val="-20"/>
        </w:rPr>
        <w:t xml:space="preserve"> </w:t>
      </w:r>
      <w:r w:rsidRPr="00715939">
        <w:t>su</w:t>
      </w:r>
      <w:r w:rsidRPr="00715939">
        <w:rPr>
          <w:spacing w:val="-19"/>
        </w:rPr>
        <w:t xml:space="preserve"> </w:t>
      </w:r>
      <w:r w:rsidRPr="00715939">
        <w:t>esencia</w:t>
      </w:r>
      <w:r w:rsidRPr="00715939">
        <w:rPr>
          <w:spacing w:val="-19"/>
        </w:rPr>
        <w:t xml:space="preserve"> </w:t>
      </w:r>
      <w:r w:rsidRPr="00715939">
        <w:t>y</w:t>
      </w:r>
      <w:r w:rsidRPr="00715939">
        <w:rPr>
          <w:spacing w:val="-20"/>
        </w:rPr>
        <w:t xml:space="preserve"> </w:t>
      </w:r>
      <w:r w:rsidRPr="00715939">
        <w:t xml:space="preserve">naturaleza, conforme a lo dispuesto por el artículo 40 </w:t>
      </w:r>
      <w:r w:rsidRPr="00715939">
        <w:rPr>
          <w:i/>
        </w:rPr>
        <w:t>ibidem</w:t>
      </w:r>
      <w:r w:rsidRPr="00715939">
        <w:t>.</w:t>
      </w:r>
      <w:bookmarkEnd w:id="3"/>
    </w:p>
    <w:p w14:paraId="67F1A707" w14:textId="77777777" w:rsidR="00715939" w:rsidRDefault="00715939" w:rsidP="00715939">
      <w:pPr>
        <w:tabs>
          <w:tab w:val="left" w:pos="426"/>
        </w:tabs>
        <w:spacing w:after="120" w:line="276" w:lineRule="auto"/>
        <w:jc w:val="both"/>
        <w:rPr>
          <w:rFonts w:ascii="Verdana" w:hAnsi="Verdana" w:cs="Arial"/>
          <w:lang w:val="es-ES"/>
        </w:rPr>
      </w:pPr>
    </w:p>
    <w:p w14:paraId="7C7AC6C7" w14:textId="6290CC12" w:rsidR="00283C1D" w:rsidRPr="00715939" w:rsidRDefault="00283C1D" w:rsidP="00715939">
      <w:pPr>
        <w:tabs>
          <w:tab w:val="left" w:pos="426"/>
        </w:tabs>
        <w:spacing w:after="120" w:line="276" w:lineRule="auto"/>
        <w:jc w:val="both"/>
        <w:rPr>
          <w:rFonts w:ascii="Verdana" w:hAnsi="Verdana" w:cs="Arial"/>
          <w:lang w:val="es-ES"/>
        </w:rPr>
      </w:pPr>
      <w:r w:rsidRPr="00715939">
        <w:rPr>
          <w:rFonts w:ascii="Verdana" w:hAnsi="Verdana" w:cs="Arial"/>
          <w:lang w:val="es-ES"/>
        </w:rPr>
        <w:t>Por lo general, las personas que concurren a la celebración de un negocio o un contrato suelen ser quienes materialmente, y en la práctica, fungen como partes del correspondiente acuerdo, es decir, quienes se obligan en virtud de este. No obstante, ello no siempre es así, pues también es frecuente que personas, actuando en representación de otras, celebren acuerdos de voluntades que producen efectos respecto de las personas que representan, conforme a lo establecido en el artículo 1505 del Código Civil</w:t>
      </w:r>
      <w:r w:rsidRPr="00715939">
        <w:rPr>
          <w:vertAlign w:val="superscript"/>
        </w:rPr>
        <w:footnoteReference w:id="2"/>
      </w:r>
      <w:r w:rsidRPr="00715939">
        <w:rPr>
          <w:rFonts w:ascii="Verdana" w:hAnsi="Verdana" w:cs="Arial"/>
          <w:lang w:val="es-ES"/>
        </w:rPr>
        <w:t xml:space="preserve">. Esto sucede, por ejemplo, en </w:t>
      </w:r>
      <w:r w:rsidRPr="00715939">
        <w:rPr>
          <w:rFonts w:ascii="Verdana" w:hAnsi="Verdana" w:cs="Arial"/>
          <w:lang w:val="es-ES"/>
        </w:rPr>
        <w:lastRenderedPageBreak/>
        <w:t xml:space="preserve">las figuras en las que de manera voluntaria se acuerda tal representación, como el contrato de mandato. </w:t>
      </w:r>
    </w:p>
    <w:p w14:paraId="3673FC99" w14:textId="3CA1A53D" w:rsidR="00283C1D" w:rsidRPr="00715939" w:rsidRDefault="00283C1D" w:rsidP="00715939">
      <w:pPr>
        <w:tabs>
          <w:tab w:val="left" w:pos="426"/>
        </w:tabs>
        <w:spacing w:after="120" w:line="276" w:lineRule="auto"/>
        <w:jc w:val="both"/>
        <w:rPr>
          <w:rFonts w:ascii="Verdana" w:hAnsi="Verdana" w:cs="Arial"/>
          <w:lang w:val="es-ES"/>
        </w:rPr>
      </w:pPr>
      <w:r w:rsidRPr="00715939">
        <w:rPr>
          <w:rFonts w:ascii="Verdana" w:hAnsi="Verdana" w:cs="Arial"/>
          <w:lang w:val="es-ES"/>
        </w:rPr>
        <w:t xml:space="preserve">De acuerdo con el artículo 2142 del Código Civil, el mandato es </w:t>
      </w:r>
      <w:r w:rsidR="006138DE" w:rsidRPr="00715939">
        <w:rPr>
          <w:rFonts w:ascii="Verdana" w:hAnsi="Verdana" w:cs="Arial"/>
          <w:lang w:val="es-ES"/>
        </w:rPr>
        <w:t>“</w:t>
      </w:r>
      <w:r w:rsidRPr="00715939">
        <w:rPr>
          <w:rFonts w:ascii="Verdana" w:hAnsi="Verdana" w:cs="Arial"/>
          <w:lang w:val="es-ES"/>
        </w:rPr>
        <w:t>un contrato en que una persona confía la gestión de uno o más negocios a otra, que se hace cargo de ellos por cuenta y riesgo de la primera</w:t>
      </w:r>
      <w:r w:rsidR="006138DE" w:rsidRPr="00715939">
        <w:rPr>
          <w:rFonts w:ascii="Verdana" w:hAnsi="Verdana" w:cs="Arial"/>
          <w:lang w:val="es-ES"/>
        </w:rPr>
        <w:t>”</w:t>
      </w:r>
      <w:r w:rsidRPr="00715939">
        <w:rPr>
          <w:vertAlign w:val="superscript"/>
          <w:lang w:val="es-ES"/>
        </w:rPr>
        <w:footnoteReference w:id="3"/>
      </w:r>
      <w:r w:rsidRPr="00715939">
        <w:rPr>
          <w:rFonts w:ascii="Verdana" w:hAnsi="Verdana" w:cs="Arial"/>
          <w:lang w:val="es-ES"/>
        </w:rPr>
        <w:t xml:space="preserve">. Por su parte, el Código de Comercio también establece su propia regulación del contrato de mandato cuando este tiene una naturaleza comercial. El artículo 1262 de este cuerpo normativo define al mandato como el </w:t>
      </w:r>
      <w:r w:rsidR="006138DE" w:rsidRPr="00715939">
        <w:rPr>
          <w:rFonts w:ascii="Verdana" w:hAnsi="Verdana" w:cs="Arial"/>
          <w:lang w:val="es-ES"/>
        </w:rPr>
        <w:t>“</w:t>
      </w:r>
      <w:r w:rsidRPr="00715939">
        <w:rPr>
          <w:rFonts w:ascii="Verdana" w:hAnsi="Verdana" w:cs="Arial"/>
          <w:lang w:val="es-ES"/>
        </w:rPr>
        <w:t>[…] contrato por el cual una parte se obliga a celebrar o ejecutar uno o más actos de comercio por cuenta de otra</w:t>
      </w:r>
      <w:r w:rsidR="006138DE" w:rsidRPr="00715939">
        <w:rPr>
          <w:rFonts w:ascii="Verdana" w:hAnsi="Verdana" w:cs="Arial"/>
          <w:lang w:val="es-ES"/>
        </w:rPr>
        <w:t>”</w:t>
      </w:r>
      <w:r w:rsidRPr="00715939">
        <w:rPr>
          <w:rFonts w:ascii="Verdana" w:hAnsi="Verdana" w:cs="Arial"/>
          <w:lang w:val="es-ES"/>
        </w:rPr>
        <w:t>.</w:t>
      </w:r>
    </w:p>
    <w:p w14:paraId="5D095A03" w14:textId="4F8920CD" w:rsidR="00283C1D" w:rsidRPr="00715939" w:rsidRDefault="00283C1D" w:rsidP="00715939">
      <w:pPr>
        <w:tabs>
          <w:tab w:val="left" w:pos="426"/>
        </w:tabs>
        <w:spacing w:after="120" w:line="276" w:lineRule="auto"/>
        <w:jc w:val="both"/>
        <w:rPr>
          <w:rFonts w:ascii="Verdana" w:hAnsi="Verdana" w:cs="Arial"/>
          <w:lang w:val="es-ES"/>
        </w:rPr>
      </w:pPr>
      <w:r w:rsidRPr="00715939">
        <w:rPr>
          <w:rFonts w:ascii="Verdana" w:hAnsi="Verdana" w:cs="Arial"/>
          <w:lang w:val="es-ES"/>
        </w:rPr>
        <w:t xml:space="preserve">Por su parte, </w:t>
      </w:r>
      <w:r w:rsidRPr="00715939">
        <w:rPr>
          <w:rFonts w:ascii="Verdana" w:hAnsi="Verdana" w:cs="Arial"/>
        </w:rPr>
        <w:t xml:space="preserve">el artículo 2177 del Código Civil establece que el </w:t>
      </w:r>
      <w:r w:rsidR="006138DE" w:rsidRPr="00715939">
        <w:rPr>
          <w:rFonts w:ascii="Verdana" w:hAnsi="Verdana" w:cs="Arial"/>
          <w:lang w:val="es-ES"/>
        </w:rPr>
        <w:t>“</w:t>
      </w:r>
      <w:r w:rsidRPr="00715939">
        <w:rPr>
          <w:rFonts w:ascii="Verdana" w:hAnsi="Verdana" w:cs="Arial"/>
          <w:lang w:val="es-ES"/>
        </w:rPr>
        <w:t>El mandatario puede, en el ejercicio de su cargo, contestar a su propio nombre o al del mandante; si contrata a su propio nombre no obliga respecto de terceros al mandante</w:t>
      </w:r>
      <w:r w:rsidR="006138DE" w:rsidRPr="00715939">
        <w:rPr>
          <w:rFonts w:ascii="Verdana" w:hAnsi="Verdana" w:cs="Arial"/>
          <w:lang w:val="es-ES"/>
        </w:rPr>
        <w:t>”</w:t>
      </w:r>
      <w:r w:rsidRPr="00715939">
        <w:rPr>
          <w:rFonts w:ascii="Verdana" w:hAnsi="Verdana" w:cs="Arial"/>
          <w:lang w:val="es-ES"/>
        </w:rPr>
        <w:t xml:space="preserve">, lo que significa que el mandatario </w:t>
      </w:r>
      <w:r w:rsidRPr="00715939">
        <w:rPr>
          <w:rFonts w:ascii="Verdana" w:hAnsi="Verdana" w:cs="Arial"/>
        </w:rPr>
        <w:t xml:space="preserve">puede actuar con o sin representación y, que si contrata a su propio nombre –caso del mandato sin representación–, no obliga, respecto de terceros, al mandante. Del mismo modo, el artículo 1262 del Código de Comercio establece que el </w:t>
      </w:r>
      <w:r w:rsidRPr="00715939">
        <w:rPr>
          <w:rFonts w:ascii="Verdana" w:hAnsi="Verdana" w:cs="Arial"/>
          <w:lang w:val="es-ES"/>
        </w:rPr>
        <w:t xml:space="preserve">mandato </w:t>
      </w:r>
      <w:r w:rsidR="006138DE" w:rsidRPr="00715939">
        <w:rPr>
          <w:rFonts w:ascii="Verdana" w:hAnsi="Verdana" w:cs="Arial"/>
          <w:lang w:val="es-ES"/>
        </w:rPr>
        <w:t>“</w:t>
      </w:r>
      <w:r w:rsidRPr="00715939">
        <w:rPr>
          <w:rFonts w:ascii="Verdana" w:hAnsi="Verdana" w:cs="Arial"/>
          <w:lang w:val="es-ES"/>
        </w:rPr>
        <w:t>[…] puede conllevar o no la representación del mandante</w:t>
      </w:r>
      <w:r w:rsidR="006138DE" w:rsidRPr="00715939">
        <w:rPr>
          <w:rFonts w:ascii="Verdana" w:hAnsi="Verdana" w:cs="Arial"/>
          <w:lang w:val="es-ES"/>
        </w:rPr>
        <w:t>”</w:t>
      </w:r>
      <w:r w:rsidRPr="00715939">
        <w:rPr>
          <w:rFonts w:ascii="Verdana" w:hAnsi="Verdana" w:cs="Arial"/>
        </w:rPr>
        <w:t xml:space="preserve">, y que, si efectivamente la involucra, se aplicarán las normas establecidas en los artículos 832 y siguientes del estatuto comercial. Dichas normas indican, entre otras, que los negocios jurídicos propuestos o concluidos por el representante en nombre del representado, dentro del límite de sus poderes, producirán directamente efectos en relación con este. </w:t>
      </w:r>
    </w:p>
    <w:p w14:paraId="43BA00ED" w14:textId="2519777A" w:rsidR="00283C1D" w:rsidRPr="00715939" w:rsidRDefault="00283C1D" w:rsidP="00715939">
      <w:pPr>
        <w:tabs>
          <w:tab w:val="left" w:pos="426"/>
        </w:tabs>
        <w:spacing w:after="120" w:line="276" w:lineRule="auto"/>
        <w:jc w:val="both"/>
        <w:rPr>
          <w:rFonts w:ascii="Verdana" w:hAnsi="Verdana" w:cs="Arial"/>
        </w:rPr>
      </w:pPr>
      <w:r w:rsidRPr="00715939">
        <w:rPr>
          <w:rFonts w:ascii="Verdana" w:hAnsi="Verdana" w:cs="Arial"/>
        </w:rPr>
        <w:t xml:space="preserve">Conforme a esto, la representación es un efecto que confiere o limita el hecho de que el mandante –frente a terceros– asuma las consecuencias jurídicas de los actos o contratos celebrados o ejecutados por el mandatario. Esto en la medida en que, según las disposiciones citadas, cuando el mandatario actúa en virtud de un contrato de mandato con representación, los efectos de su actuación –frente a terceros– siempre habrán de radicarse en cabeza del mandante.  Por el contrario, si el mandatario actúa en virtud de un contrato de mandato sin </w:t>
      </w:r>
      <w:r w:rsidRPr="00715939">
        <w:rPr>
          <w:rFonts w:ascii="Verdana" w:hAnsi="Verdana" w:cs="Arial"/>
        </w:rPr>
        <w:lastRenderedPageBreak/>
        <w:t xml:space="preserve">representación, los efectos de este frente a terceros se radicarán en su propia esfera. </w:t>
      </w:r>
    </w:p>
    <w:p w14:paraId="2343EC7B" w14:textId="552691F3" w:rsidR="00283C1D" w:rsidRPr="00715939" w:rsidRDefault="00283C1D" w:rsidP="00715939">
      <w:pPr>
        <w:tabs>
          <w:tab w:val="left" w:pos="426"/>
        </w:tabs>
        <w:spacing w:after="120" w:line="276" w:lineRule="auto"/>
        <w:jc w:val="both"/>
        <w:rPr>
          <w:rFonts w:ascii="Verdana" w:hAnsi="Verdana" w:cs="Arial"/>
        </w:rPr>
      </w:pPr>
      <w:r w:rsidRPr="00715939">
        <w:rPr>
          <w:rFonts w:ascii="Verdana" w:hAnsi="Verdana" w:cs="Arial"/>
        </w:rPr>
        <w:t>Sin perjuicio de lo anterior, y particularmente en el ámbito civil, existe cierta discusión en torno a si la representación es un elemento esencial del mandato, o si por el contrario es posible suscribir contratos de mandato sin representación. Sobre el particular, la Sala de Casación Civil de la Corte Suprema de Justicia, de vieja data, ha defendido la posibilidad de celebrar contratos de mandato sin representación:</w:t>
      </w:r>
    </w:p>
    <w:p w14:paraId="7FD4009F" w14:textId="77777777" w:rsidR="00283C1D" w:rsidRPr="00715939" w:rsidRDefault="00283C1D" w:rsidP="00715939">
      <w:pPr>
        <w:pStyle w:val="Prrafodelista"/>
        <w:tabs>
          <w:tab w:val="left" w:pos="426"/>
        </w:tabs>
        <w:spacing w:after="0" w:line="276" w:lineRule="auto"/>
        <w:ind w:right="709"/>
        <w:rPr>
          <w:rFonts w:ascii="Verdana" w:hAnsi="Verdana" w:cs="Arial"/>
          <w:sz w:val="21"/>
          <w:szCs w:val="21"/>
        </w:rPr>
      </w:pPr>
    </w:p>
    <w:p w14:paraId="0328E115" w14:textId="235FD778" w:rsidR="00283C1D" w:rsidRPr="00715939" w:rsidRDefault="00283C1D" w:rsidP="00715939">
      <w:pPr>
        <w:pStyle w:val="Prrafodelista"/>
        <w:tabs>
          <w:tab w:val="left" w:pos="426"/>
        </w:tabs>
        <w:spacing w:after="0" w:line="276" w:lineRule="auto"/>
        <w:ind w:right="709"/>
        <w:jc w:val="both"/>
        <w:rPr>
          <w:rFonts w:ascii="Verdana" w:hAnsi="Verdana" w:cs="Arial"/>
          <w:sz w:val="20"/>
          <w:szCs w:val="20"/>
        </w:rPr>
      </w:pPr>
      <w:r w:rsidRPr="00715939">
        <w:rPr>
          <w:rFonts w:ascii="Verdana" w:hAnsi="Verdana" w:cs="Arial"/>
          <w:sz w:val="20"/>
          <w:szCs w:val="20"/>
        </w:rPr>
        <w:t xml:space="preserve">“El apoderado, en el contrato de mandato civil, obra por cuenta y riesgo de la persona que le confía la gestión del negocio. El mandatario no es más que el órgano de la voluntad del mandante, su papel es siempre de intermediario y propiamente no puede decirse que sea parte contratante. Esto cuando el mandato es aparente, pero el apoderado puede, en ejercicio de su cargo, contratar en su propio nombre, como si el negocio le interesase personalmente. El mandante en este caso queda desligado de toda acción de parte de terceros, y al mandatario que ha obrado de hecho por encargo del mandante, aunque haya ocultado su calidad al contratar, corresponden activa y pasivamente los efectos legales del contrato. </w:t>
      </w:r>
    </w:p>
    <w:p w14:paraId="524F85EB" w14:textId="77777777" w:rsidR="00283C1D" w:rsidRPr="00715939" w:rsidRDefault="00283C1D" w:rsidP="00715939">
      <w:pPr>
        <w:pStyle w:val="Prrafodelista"/>
        <w:tabs>
          <w:tab w:val="left" w:pos="426"/>
        </w:tabs>
        <w:spacing w:after="0" w:line="276" w:lineRule="auto"/>
        <w:ind w:right="709"/>
        <w:jc w:val="both"/>
        <w:rPr>
          <w:rFonts w:ascii="Verdana" w:hAnsi="Verdana" w:cs="Arial"/>
          <w:sz w:val="20"/>
          <w:szCs w:val="20"/>
        </w:rPr>
      </w:pPr>
    </w:p>
    <w:p w14:paraId="4FD1776B" w14:textId="77777777" w:rsidR="00283C1D" w:rsidRPr="00715939" w:rsidRDefault="00283C1D" w:rsidP="00715939">
      <w:pPr>
        <w:pStyle w:val="Prrafodelista"/>
        <w:tabs>
          <w:tab w:val="left" w:pos="426"/>
        </w:tabs>
        <w:spacing w:after="0" w:line="276" w:lineRule="auto"/>
        <w:ind w:right="709"/>
        <w:jc w:val="both"/>
        <w:rPr>
          <w:rFonts w:ascii="Verdana" w:hAnsi="Verdana" w:cs="Arial"/>
          <w:sz w:val="20"/>
          <w:szCs w:val="20"/>
        </w:rPr>
      </w:pPr>
      <w:r w:rsidRPr="00715939">
        <w:rPr>
          <w:rFonts w:ascii="Verdana" w:hAnsi="Verdana" w:cs="Arial"/>
          <w:sz w:val="20"/>
          <w:szCs w:val="20"/>
        </w:rPr>
        <w:t>[…]</w:t>
      </w:r>
    </w:p>
    <w:p w14:paraId="31DF15B2" w14:textId="77777777" w:rsidR="00283C1D" w:rsidRPr="00715939" w:rsidRDefault="00283C1D" w:rsidP="00715939">
      <w:pPr>
        <w:tabs>
          <w:tab w:val="left" w:pos="426"/>
        </w:tabs>
        <w:spacing w:after="0" w:line="276" w:lineRule="auto"/>
        <w:ind w:left="360" w:right="709"/>
        <w:jc w:val="both"/>
        <w:rPr>
          <w:rFonts w:ascii="Verdana" w:hAnsi="Verdana" w:cs="Arial"/>
          <w:sz w:val="20"/>
          <w:szCs w:val="20"/>
        </w:rPr>
      </w:pPr>
      <w:r w:rsidRPr="00715939">
        <w:rPr>
          <w:rFonts w:ascii="Verdana" w:hAnsi="Verdana" w:cs="Arial"/>
          <w:sz w:val="20"/>
          <w:szCs w:val="20"/>
        </w:rPr>
        <w:t xml:space="preserve"> </w:t>
      </w:r>
    </w:p>
    <w:p w14:paraId="56500EA0" w14:textId="14F1924E" w:rsidR="00283C1D" w:rsidRPr="00715939" w:rsidRDefault="00283C1D" w:rsidP="00715939">
      <w:pPr>
        <w:pStyle w:val="Prrafodelista"/>
        <w:tabs>
          <w:tab w:val="left" w:pos="426"/>
        </w:tabs>
        <w:spacing w:after="0" w:line="276" w:lineRule="auto"/>
        <w:ind w:right="709"/>
        <w:jc w:val="both"/>
        <w:rPr>
          <w:rFonts w:ascii="Verdana" w:hAnsi="Verdana" w:cs="Arial"/>
          <w:sz w:val="20"/>
          <w:szCs w:val="20"/>
        </w:rPr>
      </w:pPr>
      <w:r w:rsidRPr="00715939">
        <w:rPr>
          <w:rFonts w:ascii="Verdana" w:hAnsi="Verdana" w:cs="Arial"/>
          <w:sz w:val="20"/>
          <w:szCs w:val="20"/>
        </w:rPr>
        <w:t>En la legislación colombiana el mandato no es esencialmente representativo. Dentro de su formación jurídica caben el mandatario ostensible y el secreto; el testaferro; la interposición en todas sus formas lícitas, y aún el acto jurídico del mandatario como único interesado, siempre que el mandante tenga la voluntad de obligarse. Es posible el mandato sin representación”</w:t>
      </w:r>
      <w:r w:rsidRPr="00715939">
        <w:rPr>
          <w:rStyle w:val="Refdenotaalpie"/>
          <w:rFonts w:ascii="Verdana" w:hAnsi="Verdana" w:cs="Arial"/>
          <w:sz w:val="20"/>
          <w:szCs w:val="20"/>
        </w:rPr>
        <w:footnoteReference w:id="4"/>
      </w:r>
      <w:r w:rsidRPr="00715939">
        <w:rPr>
          <w:rFonts w:ascii="Verdana" w:hAnsi="Verdana" w:cs="Arial"/>
          <w:sz w:val="20"/>
          <w:szCs w:val="20"/>
        </w:rPr>
        <w:t>.</w:t>
      </w:r>
    </w:p>
    <w:p w14:paraId="584DFC78" w14:textId="77777777" w:rsidR="00283C1D" w:rsidRPr="00715939" w:rsidRDefault="00283C1D" w:rsidP="00715939">
      <w:pPr>
        <w:pStyle w:val="Prrafodelista"/>
        <w:tabs>
          <w:tab w:val="left" w:pos="426"/>
        </w:tabs>
        <w:spacing w:after="0" w:line="276" w:lineRule="auto"/>
        <w:rPr>
          <w:rFonts w:ascii="Verdana" w:hAnsi="Verdana" w:cs="Arial"/>
        </w:rPr>
      </w:pPr>
    </w:p>
    <w:p w14:paraId="5CAECF5A" w14:textId="4F198120" w:rsidR="006138DE" w:rsidRPr="00715939" w:rsidRDefault="00715939" w:rsidP="00715939">
      <w:pPr>
        <w:spacing w:after="120" w:line="276" w:lineRule="auto"/>
        <w:jc w:val="both"/>
        <w:rPr>
          <w:rFonts w:ascii="Verdana" w:eastAsia="Calibri" w:hAnsi="Verdana" w:cs="Arial"/>
          <w:lang w:val="es-ES" w:eastAsia="es-ES"/>
        </w:rPr>
      </w:pPr>
      <w:r>
        <w:rPr>
          <w:rFonts w:ascii="Verdana" w:eastAsia="Calibri" w:hAnsi="Verdana" w:cs="Arial"/>
          <w:lang w:val="es-ES" w:eastAsia="es-ES"/>
        </w:rPr>
        <w:t>Ahora bien, en cuanto al segundo problema jurídico es menester precisar que, d</w:t>
      </w:r>
      <w:r w:rsidR="006138DE" w:rsidRPr="00715939">
        <w:rPr>
          <w:rFonts w:ascii="Verdana" w:eastAsia="Calibri" w:hAnsi="Verdana" w:cs="Arial"/>
          <w:lang w:val="es-ES" w:eastAsia="es-ES"/>
        </w:rPr>
        <w:t xml:space="preserve">urante la ejecución de los contratos, las entidades estatales sometidas al Estatuto General de Contratación de la Administración Pública usualmente cuentan con distintas potestades exorbitantes o excepcionales, con base en las </w:t>
      </w:r>
      <w:r w:rsidR="006138DE" w:rsidRPr="00715939">
        <w:rPr>
          <w:rFonts w:ascii="Verdana" w:eastAsia="Calibri" w:hAnsi="Verdana" w:cs="Arial"/>
          <w:lang w:val="es-ES" w:eastAsia="es-ES"/>
        </w:rPr>
        <w:lastRenderedPageBreak/>
        <w:t>cuales ejercen la dirección general del contrato.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ibidem. ii) En algunas disposiciones también se establecen otras potestades exorbitantes, como la liquidación unilateral y la declaratoria unilateral del siniestro –artículos 7 y 11 de la Ley 1150 de 2007. Dentro de las potestades unilaterales también se encuentran iii) las cláusulas excepcionales de imposición unilateral de las cláusulas penales y de multas –artículo 17 de la Ley 1150 de 2007–, aclarando que su exorbitancia se refiere a su imposición unilateral, no a su pacto, que es posible en virtud de las normas civiles y comerciales.</w:t>
      </w:r>
    </w:p>
    <w:p w14:paraId="3955A974" w14:textId="77777777" w:rsidR="006138DE" w:rsidRPr="00715939" w:rsidRDefault="006138DE" w:rsidP="00715939">
      <w:pPr>
        <w:spacing w:after="120" w:line="276" w:lineRule="auto"/>
        <w:jc w:val="both"/>
        <w:rPr>
          <w:rFonts w:ascii="Verdana" w:eastAsia="Calibri" w:hAnsi="Verdana" w:cs="Arial"/>
          <w:szCs w:val="24"/>
          <w:lang w:val="es-ES_tradnl" w:eastAsia="es-ES_tradnl"/>
        </w:rPr>
      </w:pPr>
      <w:r w:rsidRPr="00715939">
        <w:rPr>
          <w:rFonts w:ascii="Verdana" w:eastAsia="Calibri" w:hAnsi="Verdana" w:cs="Arial"/>
          <w:szCs w:val="24"/>
          <w:lang w:val="es-ES_tradnl" w:eastAsia="es-ES_tradnl"/>
        </w:rPr>
        <w:t>El artículo 86 de la Ley 1474 de 2011 establece las reglas de procedimiento, mediante las cuales se materializan los derechos y garantías derivadas del debido proceso, para su aplicación concreta en materia sancionatoria contractual. De conformidad con esta disposición normativa, las entidades sometidas al Estatuto General de Contratación de la Administración Pública podrán declarar el incumplimiento […]. Para tal efecto observarán […] el procedimiento que en tal enunciado normativo se regula.</w:t>
      </w:r>
    </w:p>
    <w:p w14:paraId="2652A75A" w14:textId="77777777" w:rsidR="006138DE" w:rsidRPr="00715939" w:rsidRDefault="006138DE" w:rsidP="00715939">
      <w:pPr>
        <w:spacing w:after="120" w:line="276" w:lineRule="auto"/>
        <w:jc w:val="both"/>
        <w:rPr>
          <w:rFonts w:ascii="Verdana" w:eastAsia="Calibri" w:hAnsi="Verdana" w:cs="Arial"/>
          <w:lang w:eastAsia="es-ES"/>
        </w:rPr>
      </w:pPr>
      <w:r w:rsidRPr="00715939">
        <w:rPr>
          <w:rFonts w:ascii="Verdana" w:eastAsia="Calibri" w:hAnsi="Verdana" w:cs="Arial"/>
          <w:lang w:eastAsia="es-ES"/>
        </w:rPr>
        <w:t>Cabe destacar que esta norma no se circunscribe a ciertos tipos de incumplimiento. En consecuencia, la declaratoria de cualquier incumplimiento, sea total o parcial, o independientemente de su gravedad, debe hacerse con plena observancia de las reglas procedimentales establecidas en el artículo 86 de la Ley 1474 de 2011. Esto es así como consecuencia del “principio general de interpretación jurídica según el cual donde la norma no distingue, no le corresponde distinguir al intérprete”.</w:t>
      </w:r>
      <w:r w:rsidRPr="00715939">
        <w:rPr>
          <w:rStyle w:val="Refdenotaalpie"/>
          <w:rFonts w:ascii="Verdana" w:eastAsia="Calibri" w:hAnsi="Verdana" w:cs="Arial"/>
          <w:lang w:eastAsia="es-ES"/>
        </w:rPr>
        <w:footnoteReference w:id="5"/>
      </w:r>
      <w:r w:rsidRPr="00715939">
        <w:rPr>
          <w:rFonts w:ascii="Verdana" w:eastAsia="Calibri" w:hAnsi="Verdana" w:cs="Arial"/>
          <w:lang w:eastAsia="es-ES"/>
        </w:rPr>
        <w:t xml:space="preserve"> A la misma conclusión se llega si se tiene en consideración la necesidad de respetar el debido proceso en “todas las actuaciones administrativas” como lo ordena el artículo 29 superior. </w:t>
      </w:r>
    </w:p>
    <w:p w14:paraId="4BEAE3DD" w14:textId="77777777" w:rsidR="006138DE" w:rsidRPr="00715939" w:rsidRDefault="006138DE" w:rsidP="00715939">
      <w:pPr>
        <w:spacing w:after="120" w:line="276" w:lineRule="auto"/>
        <w:jc w:val="both"/>
        <w:rPr>
          <w:rFonts w:ascii="Verdana" w:eastAsia="Calibri" w:hAnsi="Verdana" w:cs="Arial"/>
          <w:lang w:val="es-ES" w:eastAsia="es-ES"/>
        </w:rPr>
      </w:pPr>
      <w:r w:rsidRPr="00715939">
        <w:rPr>
          <w:rFonts w:ascii="Verdana" w:eastAsia="Calibri" w:hAnsi="Verdana" w:cs="Arial"/>
          <w:lang w:val="es-ES" w:eastAsia="es-ES"/>
        </w:rPr>
        <w:t xml:space="preserve">De conformidad con lo anterior, el artículo 86 de la Ley 1474 de 2011 establece las etapas del procedimiento que se deben seguir, las cuales se sintetizan, de forma esquemática, así:  i) citación a audiencia. Es necesario remitir una citación a audiencia al contratista y al garante –cuando proceda–, cuyo contenido de </w:t>
      </w:r>
      <w:r w:rsidRPr="00715939">
        <w:rPr>
          <w:rFonts w:ascii="Verdana" w:eastAsia="Calibri" w:hAnsi="Verdana" w:cs="Arial"/>
          <w:lang w:val="es-ES" w:eastAsia="es-ES"/>
        </w:rPr>
        <w:lastRenderedPageBreak/>
        <w:t>señalará más adelante. ii) Audiencia. En la diligencia intervendrá el jefe de la entidad o su delegado y, posteriormente, se le concederá el uso de la palabra al representante legal del contratista o a quien lo represente, así como al garante, en caso de ser necesario, para que estos presenten sus descargos, aporten y controviertan pruebas y rindan las explicaciones del caso. Finalmente, iii) Decisión. Debe estar contenida en resolución motivada donde se consigne, por un lado, lo ocurrido en el desarrollo de la diligencia y, por el otro, lo relativo a la imposición o no de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14:paraId="0D3469A8" w14:textId="77777777" w:rsidR="006138DE" w:rsidRPr="00715939" w:rsidRDefault="006138DE" w:rsidP="00715939">
      <w:pPr>
        <w:spacing w:after="0" w:line="276" w:lineRule="auto"/>
        <w:jc w:val="both"/>
        <w:rPr>
          <w:rFonts w:ascii="Verdana" w:eastAsia="Calibri" w:hAnsi="Verdana" w:cs="Arial"/>
          <w:szCs w:val="24"/>
          <w:lang w:val="es-ES_tradnl" w:eastAsia="es-ES_tradnl"/>
        </w:rPr>
      </w:pPr>
      <w:r w:rsidRPr="00715939">
        <w:rPr>
          <w:rFonts w:ascii="Verdana" w:eastAsia="Calibri" w:hAnsi="Verdana" w:cs="Arial"/>
          <w:szCs w:val="24"/>
          <w:lang w:val="es-ES_tradnl" w:eastAsia="es-ES_tradnl"/>
        </w:rPr>
        <w:t>Como precisión previa, vale la pena aclarar que el artículo 86 de la Ley 1474 de 2011 regula un procedimiento administrativo sancionatorio dirigido a sujetos específicos: las entidades sometidas al Estatuto General de Contratación de la Administración Pública</w:t>
      </w:r>
      <w:r w:rsidRPr="00715939">
        <w:rPr>
          <w:rStyle w:val="Refdenotaalpie"/>
          <w:rFonts w:ascii="Verdana" w:eastAsia="Calibri" w:hAnsi="Verdana" w:cs="Arial"/>
          <w:szCs w:val="24"/>
          <w:lang w:val="es-ES_tradnl" w:eastAsia="es-ES_tradnl"/>
        </w:rPr>
        <w:footnoteReference w:id="6"/>
      </w:r>
      <w:r w:rsidRPr="00715939">
        <w:rPr>
          <w:rFonts w:ascii="Verdana" w:eastAsia="Calibri" w:hAnsi="Verdana" w:cs="Arial"/>
          <w:szCs w:val="24"/>
          <w:lang w:val="es-ES_tradnl" w:eastAsia="es-ES_tradnl"/>
        </w:rPr>
        <w:t xml:space="preserve">. De ahí que las entidades de </w:t>
      </w:r>
      <w:r w:rsidRPr="00715939">
        <w:rPr>
          <w:rFonts w:ascii="Verdana" w:eastAsia="Calibri" w:hAnsi="Verdana" w:cs="Arial"/>
          <w:i/>
          <w:iCs/>
          <w:szCs w:val="24"/>
          <w:lang w:val="es-ES_tradnl" w:eastAsia="es-ES_tradnl"/>
        </w:rPr>
        <w:t>régimen especial</w:t>
      </w:r>
      <w:r w:rsidRPr="00715939">
        <w:rPr>
          <w:rStyle w:val="Refdenotaalpie"/>
          <w:rFonts w:ascii="Verdana" w:eastAsia="Calibri" w:hAnsi="Verdana" w:cs="Arial"/>
          <w:i/>
          <w:iCs/>
          <w:szCs w:val="24"/>
          <w:lang w:val="es-ES_tradnl" w:eastAsia="es-ES_tradnl"/>
        </w:rPr>
        <w:footnoteReference w:id="7"/>
      </w:r>
      <w:r w:rsidRPr="00715939">
        <w:rPr>
          <w:rFonts w:ascii="Verdana" w:eastAsia="Calibri" w:hAnsi="Verdana" w:cs="Arial"/>
          <w:szCs w:val="24"/>
          <w:lang w:val="es-ES_tradnl" w:eastAsia="es-ES_tradnl"/>
        </w:rPr>
        <w:t xml:space="preserve"> en materia contractual no pueden aplicar el procedimiento administrativo sancionatorio regulado en el artículo 86 de la Ley 1474 de 2011, al no ser entidades sometidas al Estatuto General de Contratación de la Administración Pública, sino, por el contrario, entidades exceptuadas de este. La norma indicada desarrolla el procedimiento de la siguiente manera:</w:t>
      </w:r>
    </w:p>
    <w:p w14:paraId="2EC619BD" w14:textId="77777777" w:rsidR="006138DE" w:rsidRPr="00715939" w:rsidRDefault="006138DE" w:rsidP="00715939">
      <w:pPr>
        <w:pStyle w:val="Prrafodelista"/>
        <w:spacing w:after="0" w:line="276" w:lineRule="auto"/>
        <w:jc w:val="both"/>
        <w:rPr>
          <w:rFonts w:ascii="Verdana" w:eastAsia="Calibri" w:hAnsi="Verdana" w:cs="Arial"/>
          <w:szCs w:val="24"/>
          <w:lang w:val="es-ES_tradnl" w:eastAsia="es-ES_tradnl"/>
        </w:rPr>
      </w:pPr>
    </w:p>
    <w:p w14:paraId="00D63AFC" w14:textId="77777777" w:rsidR="006138DE" w:rsidRPr="00715939" w:rsidRDefault="006138DE" w:rsidP="00715939">
      <w:pPr>
        <w:pStyle w:val="Prrafodelista"/>
        <w:spacing w:after="0" w:line="276" w:lineRule="auto"/>
        <w:ind w:right="709"/>
        <w:jc w:val="both"/>
        <w:rPr>
          <w:rFonts w:ascii="Verdana" w:eastAsia="Calibri" w:hAnsi="Verdana" w:cs="Arial"/>
          <w:sz w:val="20"/>
          <w:szCs w:val="20"/>
          <w:lang w:val="es-ES" w:eastAsia="es-ES"/>
        </w:rPr>
      </w:pPr>
      <w:r w:rsidRPr="00715939">
        <w:rPr>
          <w:rFonts w:ascii="Verdana" w:eastAsia="Calibri" w:hAnsi="Verdana" w:cs="Arial"/>
          <w:sz w:val="20"/>
          <w:szCs w:val="20"/>
          <w:lang w:val="es-ES" w:eastAsia="es-ES"/>
        </w:rPr>
        <w:t>“Artículo 86. Imposición de multas, sanciones y declaratorias de incumplimiento.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14:paraId="35A1886D" w14:textId="77777777" w:rsidR="006138DE" w:rsidRPr="00715939" w:rsidRDefault="006138DE" w:rsidP="00715939">
      <w:pPr>
        <w:pStyle w:val="Prrafodelista"/>
        <w:spacing w:after="0" w:line="276" w:lineRule="auto"/>
        <w:ind w:right="709"/>
        <w:jc w:val="both"/>
        <w:rPr>
          <w:rFonts w:ascii="Verdana" w:eastAsia="Calibri" w:hAnsi="Verdana" w:cs="Arial"/>
          <w:sz w:val="20"/>
          <w:szCs w:val="20"/>
          <w:lang w:val="es-ES_tradnl" w:eastAsia="es-ES_tradnl"/>
        </w:rPr>
      </w:pPr>
    </w:p>
    <w:p w14:paraId="10FB7DE4" w14:textId="77777777" w:rsidR="006138DE" w:rsidRPr="00715939" w:rsidRDefault="006138DE" w:rsidP="00715939">
      <w:pPr>
        <w:pStyle w:val="Prrafodelista"/>
        <w:spacing w:after="0" w:line="276" w:lineRule="auto"/>
        <w:ind w:right="709"/>
        <w:jc w:val="both"/>
        <w:rPr>
          <w:rFonts w:ascii="Verdana" w:eastAsia="Calibri" w:hAnsi="Verdana" w:cs="Arial"/>
          <w:sz w:val="20"/>
          <w:szCs w:val="20"/>
          <w:lang w:val="es-ES" w:eastAsia="es-ES"/>
        </w:rPr>
      </w:pPr>
      <w:r w:rsidRPr="00715939">
        <w:rPr>
          <w:rFonts w:ascii="Verdana" w:eastAsia="Calibri" w:hAnsi="Verdana" w:cs="Arial"/>
          <w:sz w:val="20"/>
          <w:szCs w:val="20"/>
          <w:lang w:val="es-ES" w:eastAsia="es-ES"/>
        </w:rPr>
        <w:t xml:space="preserve">a) Evidenciado un posible incumplimiento de las obligaciones a cargo del contratista, la entidad pública lo citará a audiencia para debatir lo ocurrido. </w:t>
      </w:r>
      <w:r w:rsidRPr="00715939">
        <w:rPr>
          <w:rFonts w:ascii="Verdana" w:eastAsia="Calibri" w:hAnsi="Verdana" w:cs="Arial"/>
          <w:sz w:val="20"/>
          <w:szCs w:val="20"/>
          <w:lang w:val="es-ES" w:eastAsia="es-ES"/>
        </w:rPr>
        <w:lastRenderedPageBreak/>
        <w:t>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1B194CED" w14:textId="77777777" w:rsidR="006138DE" w:rsidRPr="00715939" w:rsidRDefault="006138DE" w:rsidP="00715939">
      <w:pPr>
        <w:pStyle w:val="Prrafodelista"/>
        <w:spacing w:after="0" w:line="276" w:lineRule="auto"/>
        <w:ind w:right="709"/>
        <w:jc w:val="both"/>
        <w:rPr>
          <w:rFonts w:ascii="Verdana" w:eastAsia="Calibri" w:hAnsi="Verdana" w:cs="Arial"/>
          <w:sz w:val="20"/>
          <w:szCs w:val="20"/>
          <w:lang w:val="es-ES_tradnl" w:eastAsia="es-ES_tradnl"/>
        </w:rPr>
      </w:pPr>
    </w:p>
    <w:p w14:paraId="34A8E34F" w14:textId="77777777" w:rsidR="006138DE" w:rsidRPr="00715939" w:rsidRDefault="006138DE" w:rsidP="00715939">
      <w:pPr>
        <w:pStyle w:val="Prrafodelista"/>
        <w:spacing w:after="0" w:line="276" w:lineRule="auto"/>
        <w:ind w:right="709"/>
        <w:jc w:val="both"/>
        <w:rPr>
          <w:rFonts w:ascii="Verdana" w:eastAsia="Calibri" w:hAnsi="Verdana" w:cs="Arial"/>
          <w:sz w:val="20"/>
          <w:szCs w:val="20"/>
          <w:lang w:val="es-ES_tradnl" w:eastAsia="es-ES_tradnl"/>
        </w:rPr>
      </w:pPr>
      <w:r w:rsidRPr="00715939">
        <w:rPr>
          <w:rFonts w:ascii="Verdana" w:eastAsia="Calibri" w:hAnsi="Verdana" w:cs="Arial"/>
          <w:sz w:val="20"/>
          <w:szCs w:val="20"/>
          <w:lang w:val="es-ES_tradnl" w:eastAsia="es-ES_tradnl"/>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4E2524EA" w14:textId="77777777" w:rsidR="006138DE" w:rsidRPr="00715939" w:rsidRDefault="006138DE" w:rsidP="00715939">
      <w:pPr>
        <w:pStyle w:val="Prrafodelista"/>
        <w:spacing w:after="0" w:line="276" w:lineRule="auto"/>
        <w:ind w:right="709"/>
        <w:jc w:val="both"/>
        <w:rPr>
          <w:rFonts w:ascii="Verdana" w:eastAsia="Calibri" w:hAnsi="Verdana" w:cs="Arial"/>
          <w:sz w:val="20"/>
          <w:szCs w:val="20"/>
          <w:lang w:val="es-ES_tradnl" w:eastAsia="es-ES_tradnl"/>
        </w:rPr>
      </w:pPr>
    </w:p>
    <w:p w14:paraId="02060F56" w14:textId="77777777" w:rsidR="006138DE" w:rsidRPr="00715939" w:rsidRDefault="006138DE" w:rsidP="00715939">
      <w:pPr>
        <w:pStyle w:val="Prrafodelista"/>
        <w:spacing w:after="0" w:line="276" w:lineRule="auto"/>
        <w:ind w:right="709"/>
        <w:jc w:val="both"/>
        <w:rPr>
          <w:rFonts w:ascii="Verdana" w:eastAsia="Calibri" w:hAnsi="Verdana" w:cs="Arial"/>
          <w:sz w:val="20"/>
          <w:szCs w:val="20"/>
          <w:lang w:val="es-ES" w:eastAsia="es-ES"/>
        </w:rPr>
      </w:pPr>
      <w:r w:rsidRPr="00715939">
        <w:rPr>
          <w:rFonts w:ascii="Verdana" w:eastAsia="Calibri" w:hAnsi="Verdana" w:cs="Arial"/>
          <w:sz w:val="20"/>
          <w:szCs w:val="20"/>
          <w:lang w:val="es-ES" w:eastAsia="es-ES"/>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3D87000D" w14:textId="77777777" w:rsidR="006138DE" w:rsidRPr="00715939" w:rsidRDefault="006138DE" w:rsidP="00715939">
      <w:pPr>
        <w:pStyle w:val="Prrafodelista"/>
        <w:spacing w:after="0" w:line="276" w:lineRule="auto"/>
        <w:ind w:right="709"/>
        <w:jc w:val="both"/>
        <w:rPr>
          <w:rFonts w:ascii="Verdana" w:eastAsia="Calibri" w:hAnsi="Verdana" w:cs="Arial"/>
          <w:sz w:val="20"/>
          <w:szCs w:val="20"/>
          <w:lang w:val="es-ES_tradnl" w:eastAsia="es-ES_tradnl"/>
        </w:rPr>
      </w:pPr>
    </w:p>
    <w:p w14:paraId="7F19DA33" w14:textId="77777777" w:rsidR="006138DE" w:rsidRPr="00715939" w:rsidRDefault="006138DE" w:rsidP="00715939">
      <w:pPr>
        <w:pStyle w:val="Prrafodelista"/>
        <w:spacing w:after="0" w:line="276" w:lineRule="auto"/>
        <w:ind w:right="709"/>
        <w:jc w:val="both"/>
        <w:rPr>
          <w:rFonts w:ascii="Verdana" w:eastAsia="Calibri" w:hAnsi="Verdana" w:cs="Arial"/>
          <w:sz w:val="20"/>
          <w:szCs w:val="20"/>
          <w:lang w:val="es-ES_tradnl" w:eastAsia="es-ES_tradnl"/>
        </w:rPr>
      </w:pPr>
      <w:r w:rsidRPr="00715939">
        <w:rPr>
          <w:rFonts w:ascii="Verdana" w:eastAsia="Calibri" w:hAnsi="Verdana" w:cs="Arial"/>
          <w:sz w:val="20"/>
          <w:szCs w:val="20"/>
          <w:lang w:val="es-ES_tradnl" w:eastAsia="es-ES_tradnl"/>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1DD4C174" w14:textId="77777777" w:rsidR="006138DE" w:rsidRPr="00715939" w:rsidRDefault="006138DE" w:rsidP="00715939">
      <w:pPr>
        <w:spacing w:after="0" w:line="276" w:lineRule="auto"/>
        <w:jc w:val="both"/>
        <w:rPr>
          <w:rFonts w:ascii="Verdana" w:eastAsia="Calibri" w:hAnsi="Verdana" w:cs="Arial"/>
          <w:szCs w:val="24"/>
          <w:lang w:val="es-ES_tradnl" w:eastAsia="es-ES_tradnl"/>
        </w:rPr>
      </w:pPr>
    </w:p>
    <w:p w14:paraId="060E3A6A" w14:textId="77777777" w:rsidR="006138DE" w:rsidRPr="00715939" w:rsidRDefault="006138DE" w:rsidP="00715939">
      <w:pPr>
        <w:spacing w:after="120" w:line="276" w:lineRule="auto"/>
        <w:jc w:val="both"/>
        <w:rPr>
          <w:rFonts w:ascii="Verdana" w:eastAsia="Calibri" w:hAnsi="Verdana" w:cs="Arial"/>
          <w:lang w:val="es-ES" w:eastAsia="es-ES"/>
        </w:rPr>
      </w:pPr>
      <w:r w:rsidRPr="00715939">
        <w:rPr>
          <w:rFonts w:ascii="Verdana" w:eastAsia="Calibri" w:hAnsi="Verdana" w:cs="Arial"/>
          <w:lang w:val="es-ES" w:eastAsia="es-ES"/>
        </w:rPr>
        <w:t>Como se observa, la citación a la audiencia debe cumplir mínimamente los siguientes aspectos: i) señalar los hechos que soportan la actuación, en particular la descripción detallada de cuáles son las actuaciones u omisiones del contratista que materializan el supuesto incumplimiento de las obligaciones. Además, se deben ii) adjuntar los informes de supervisión o de interventoría que soportan la actuación, donde la entidad fundamenta su decisión de iniciar el procedimiento sancionatorio. Asimismo, iii)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vii) deben indicar el lugar, fecha y hora para la realización de la audiencia, sin perjuicio de que esta se pueda efectuar por medios electrónicos</w:t>
      </w:r>
      <w:r w:rsidRPr="00715939">
        <w:rPr>
          <w:rStyle w:val="Refdenotaalpie"/>
          <w:rFonts w:ascii="Verdana" w:eastAsia="Calibri" w:hAnsi="Verdana" w:cs="Arial"/>
          <w:lang w:val="es-ES" w:eastAsia="es-ES"/>
        </w:rPr>
        <w:footnoteReference w:id="8"/>
      </w:r>
      <w:r w:rsidRPr="00715939">
        <w:rPr>
          <w:rFonts w:ascii="Verdana" w:eastAsia="Calibri" w:hAnsi="Verdana" w:cs="Arial"/>
          <w:lang w:val="es-ES" w:eastAsia="es-ES"/>
        </w:rPr>
        <w:t>.</w:t>
      </w:r>
    </w:p>
    <w:p w14:paraId="6AE39B9E" w14:textId="77777777" w:rsidR="006138DE" w:rsidRPr="00715939" w:rsidRDefault="006138DE" w:rsidP="00715939">
      <w:pPr>
        <w:spacing w:after="0" w:line="276" w:lineRule="auto"/>
        <w:jc w:val="both"/>
        <w:rPr>
          <w:rFonts w:ascii="Verdana" w:eastAsia="Calibri" w:hAnsi="Verdana" w:cs="Arial"/>
          <w:lang w:val="es-ES" w:eastAsia="es-ES"/>
        </w:rPr>
      </w:pPr>
      <w:r w:rsidRPr="00715939">
        <w:rPr>
          <w:rFonts w:ascii="Verdana" w:eastAsia="Calibri" w:hAnsi="Verdana" w:cs="Arial"/>
          <w:lang w:val="es-ES" w:eastAsia="es-ES"/>
        </w:rPr>
        <w:t xml:space="preserve">Además de lo anterior, pese a que la norma no establece un término mínimo previo entre el momento de la citación y la celebración de la audiencia, con la finalidad de respetar los principios de la función administrativa y el debido proceso, la citación debe otorgar un término razonable y suficiente para que el contratista y el garante se preparen para ella y logren ejercer materialmente su derecho de defensa. En todo caso, la razonabilidad de dicho término dependerá </w:t>
      </w:r>
      <w:r w:rsidRPr="00715939">
        <w:rPr>
          <w:rFonts w:ascii="Verdana" w:eastAsia="Calibri" w:hAnsi="Verdana" w:cs="Arial"/>
          <w:lang w:val="es-ES" w:eastAsia="es-ES"/>
        </w:rPr>
        <w:lastRenderedPageBreak/>
        <w:t>de cada procedimiento y de la complejidad del material probatorio. Sin embargo, como lo expresa la doctrina, el término debe ser razonable y suficiente</w:t>
      </w:r>
      <w:r w:rsidRPr="00715939">
        <w:rPr>
          <w:rStyle w:val="Refdenotaalpie"/>
          <w:rFonts w:ascii="Verdana" w:eastAsia="Calibri" w:hAnsi="Verdana" w:cs="Arial"/>
          <w:lang w:val="es-ES" w:eastAsia="es-ES"/>
        </w:rPr>
        <w:footnoteReference w:id="9"/>
      </w:r>
      <w:r w:rsidRPr="00715939">
        <w:rPr>
          <w:rFonts w:ascii="Verdana" w:eastAsia="Calibri" w:hAnsi="Verdana" w:cs="Arial"/>
          <w:lang w:val="es-ES" w:eastAsia="es-ES"/>
        </w:rPr>
        <w:t>.</w:t>
      </w:r>
    </w:p>
    <w:p w14:paraId="5EBB90CC" w14:textId="77777777" w:rsidR="006138DE" w:rsidRPr="00715939" w:rsidRDefault="006138DE" w:rsidP="00715939">
      <w:pPr>
        <w:spacing w:line="276" w:lineRule="auto"/>
        <w:ind w:left="720"/>
        <w:contextualSpacing/>
        <w:jc w:val="both"/>
        <w:textAlignment w:val="baseline"/>
        <w:rPr>
          <w:rFonts w:ascii="Verdana" w:eastAsia="Aptos" w:hAnsi="Verdana" w:cs="Arial"/>
          <w:lang w:val="es-ES_tradnl" w:eastAsia="es-MX"/>
        </w:rPr>
      </w:pPr>
    </w:p>
    <w:p w14:paraId="4A39AD72" w14:textId="37C9B414" w:rsidR="00283C1D" w:rsidRPr="00715939" w:rsidRDefault="00715939" w:rsidP="00715939">
      <w:pPr>
        <w:spacing w:line="276" w:lineRule="auto"/>
        <w:contextualSpacing/>
        <w:jc w:val="both"/>
        <w:textAlignment w:val="baseline"/>
        <w:rPr>
          <w:rFonts w:ascii="Verdana" w:eastAsia="Aptos" w:hAnsi="Verdana" w:cs="Arial"/>
          <w:lang w:val="es-ES_tradnl" w:eastAsia="es-MX"/>
        </w:rPr>
      </w:pPr>
      <w:r>
        <w:rPr>
          <w:rFonts w:ascii="Verdana" w:eastAsia="Aptos" w:hAnsi="Verdana" w:cs="Arial"/>
          <w:lang w:val="es-ES_tradnl" w:eastAsia="es-MX"/>
        </w:rPr>
        <w:t>En lo que respecta al tercer problema jurídico r</w:t>
      </w:r>
      <w:r w:rsidR="00283C1D" w:rsidRPr="00715939">
        <w:rPr>
          <w:rFonts w:ascii="Verdana" w:eastAsia="Aptos" w:hAnsi="Verdana" w:cs="Arial"/>
          <w:lang w:val="es-ES_tradnl" w:eastAsia="es-MX"/>
        </w:rPr>
        <w:t>esulta importante resaltar que las Entidades Estatales, conforme al artículo 2.2.1.1.1.7.1 del Decreto 1082 de 2015, tienen la obligación de publicar en el SECOP “[…] los Documentos del Proceso y los actos administrativos del Proceso de Contratación, dentro de los tres (3) días siguientes a su expedición […]”. La expresión Documentos del Proceso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21BFD97D" w14:textId="77777777" w:rsidR="00283C1D" w:rsidRPr="00715939" w:rsidRDefault="00283C1D" w:rsidP="00715939">
      <w:pPr>
        <w:spacing w:line="276" w:lineRule="auto"/>
        <w:ind w:left="720"/>
        <w:contextualSpacing/>
        <w:jc w:val="both"/>
        <w:textAlignment w:val="baseline"/>
        <w:rPr>
          <w:rFonts w:ascii="Verdana" w:eastAsia="Aptos" w:hAnsi="Verdana" w:cs="Arial"/>
          <w:lang w:val="es-ES_tradnl" w:eastAsia="es-MX"/>
        </w:rPr>
      </w:pPr>
    </w:p>
    <w:p w14:paraId="5807598A" w14:textId="77777777" w:rsidR="00283C1D" w:rsidRPr="00715939" w:rsidRDefault="00283C1D" w:rsidP="00715939">
      <w:pPr>
        <w:spacing w:line="276" w:lineRule="auto"/>
        <w:contextualSpacing/>
        <w:jc w:val="both"/>
        <w:textAlignment w:val="baseline"/>
        <w:rPr>
          <w:rFonts w:ascii="Verdana" w:eastAsia="Aptos" w:hAnsi="Verdana" w:cs="Arial"/>
          <w:lang w:val="es-ES_tradnl" w:eastAsia="es-MX"/>
        </w:rPr>
      </w:pPr>
      <w:r w:rsidRPr="00715939">
        <w:rPr>
          <w:rFonts w:ascii="Verdana" w:eastAsia="Aptos" w:hAnsi="Verdana" w:cs="Arial"/>
          <w:lang w:val="es-ES_tradnl" w:eastAsia="es-MX"/>
        </w:rPr>
        <w:t>En consecuencia,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ibidem, recoge en la noción de Documentos del Proceso “cualquier otro documento expedido por la Entidad Estatal durante el Proceso de Contratación”. Este mismo artículo define la expresión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2D02E7C3" w14:textId="77777777" w:rsidR="00283C1D" w:rsidRPr="00715939" w:rsidRDefault="00283C1D" w:rsidP="00715939">
      <w:pPr>
        <w:spacing w:line="276" w:lineRule="auto"/>
        <w:ind w:left="720"/>
        <w:contextualSpacing/>
        <w:rPr>
          <w:rFonts w:ascii="Verdana" w:eastAsia="Aptos" w:hAnsi="Verdana" w:cs="Arial"/>
          <w:lang w:val="es-ES_tradnl" w:eastAsia="es-MX"/>
        </w:rPr>
      </w:pPr>
    </w:p>
    <w:p w14:paraId="6381FB81" w14:textId="77777777" w:rsidR="00283C1D" w:rsidRPr="00715939" w:rsidRDefault="00283C1D" w:rsidP="00715939">
      <w:pPr>
        <w:spacing w:line="276" w:lineRule="auto"/>
        <w:contextualSpacing/>
        <w:jc w:val="both"/>
        <w:rPr>
          <w:rFonts w:ascii="Verdana" w:eastAsia="Aptos" w:hAnsi="Verdana" w:cs="Arial"/>
          <w:lang w:val="es-ES" w:eastAsia="es-MX"/>
        </w:rPr>
      </w:pPr>
      <w:r w:rsidRPr="00715939">
        <w:rPr>
          <w:rFonts w:ascii="Verdana" w:eastAsia="Aptos" w:hAnsi="Verdana" w:cs="Arial"/>
          <w:lang w:val="es-ES" w:eastAsia="es-MX"/>
        </w:rPr>
        <w:lastRenderedPageBreak/>
        <w:t xml:space="preserve">Nótese que la norma hace referencia a los documentos “expedidos por la entidad estatal” durante el proceso de contratación, excluyendo de la noción de Documentos del Proceso los expedidos por un sujeto distinto a la entidad, salvo la oferta, la cual se incluye expresamente en el referido artículo 2.2.1.1.1.3.1. En ese sentido, </w:t>
      </w:r>
      <w:bookmarkStart w:id="4" w:name="_Hlk178832591"/>
      <w:r w:rsidRPr="00715939">
        <w:rPr>
          <w:rFonts w:ascii="Verdana" w:eastAsia="Aptos" w:hAnsi="Verdana" w:cs="Arial"/>
          <w:lang w:val="es-ES" w:eastAsia="es-MX"/>
        </w:rPr>
        <w:t>la interpretación sistemática de los preceptos del Decreto 1082 de 2015, de acuerdo con el principio de publicidad, inicialmente, indica que las Entidades Estatales tienen la obligación de publicar todos los documentos que expidan con ocasión del Proceso de Contratación, es decir que todos los documentos expedidos por la entidad durante las etapas precontractual, de ejecución y postcontractual deberán ser publicados en SECOP ll.</w:t>
      </w:r>
    </w:p>
    <w:bookmarkEnd w:id="4"/>
    <w:p w14:paraId="0C9A71A3" w14:textId="77777777" w:rsidR="00283C1D" w:rsidRPr="00715939" w:rsidRDefault="00283C1D" w:rsidP="00715939">
      <w:pPr>
        <w:spacing w:line="276" w:lineRule="auto"/>
        <w:ind w:left="720"/>
        <w:contextualSpacing/>
        <w:rPr>
          <w:rFonts w:ascii="Verdana" w:eastAsia="Aptos" w:hAnsi="Verdana" w:cs="Arial"/>
          <w:lang w:val="es-ES_tradnl" w:eastAsia="es-MX"/>
        </w:rPr>
      </w:pPr>
    </w:p>
    <w:p w14:paraId="1C0631AA" w14:textId="77777777" w:rsidR="00283C1D" w:rsidRPr="00715939" w:rsidRDefault="00283C1D" w:rsidP="00715939">
      <w:pPr>
        <w:spacing w:line="276" w:lineRule="auto"/>
        <w:contextualSpacing/>
        <w:jc w:val="both"/>
        <w:rPr>
          <w:rFonts w:ascii="Verdana" w:eastAsia="Aptos" w:hAnsi="Verdana" w:cs="Arial"/>
          <w:bCs/>
        </w:rPr>
      </w:pPr>
      <w:r w:rsidRPr="00715939">
        <w:rPr>
          <w:rFonts w:ascii="Verdana" w:eastAsia="Aptos" w:hAnsi="Verdana" w:cs="Arial"/>
          <w:bCs/>
        </w:rPr>
        <w:t>Ahora bien, y atendiendo al objeto de la consulta, debe señalarse que la Ley 80 de 1993 establece en sus artículos 4, 5, 12, 14 y 26, entre otros aspectos, la obligación de las Entidades Estatales de velar por el correcto y oportuno cumplimiento de las prestaciones del contrato, las especificaciones de los bienes, obras y servicios de este,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su adecuado cumplimiento.</w:t>
      </w:r>
    </w:p>
    <w:p w14:paraId="0AC1AE60" w14:textId="77777777" w:rsidR="009F5FB8" w:rsidRPr="00715939" w:rsidRDefault="009F5FB8" w:rsidP="00715939">
      <w:pPr>
        <w:spacing w:after="0" w:line="276" w:lineRule="auto"/>
        <w:jc w:val="both"/>
        <w:rPr>
          <w:rFonts w:ascii="Verdana" w:eastAsia="Calibri" w:hAnsi="Verdana" w:cs="Arial"/>
        </w:rPr>
      </w:pPr>
    </w:p>
    <w:p w14:paraId="51691684" w14:textId="77777777" w:rsidR="00AB64A5" w:rsidRPr="00715939" w:rsidRDefault="00AB64A5" w:rsidP="00715939">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15939">
        <w:rPr>
          <w:rFonts w:ascii="Verdana" w:eastAsia="Century Gothic" w:hAnsi="Verdana" w:cs="Century Gothic"/>
          <w:b/>
          <w:bCs/>
        </w:rPr>
        <w:t>Referencias normativas, jurisprudenciales y otras fuentes:</w:t>
      </w:r>
    </w:p>
    <w:p w14:paraId="4791A111" w14:textId="77777777" w:rsidR="00AB64A5" w:rsidRPr="00715939" w:rsidRDefault="00AB64A5" w:rsidP="0071593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B64A5" w:rsidRPr="00715939" w14:paraId="713E4602" w14:textId="77777777" w:rsidTr="007B0B27">
        <w:trPr>
          <w:trHeight w:val="870"/>
        </w:trPr>
        <w:tc>
          <w:tcPr>
            <w:tcW w:w="8647" w:type="dxa"/>
          </w:tcPr>
          <w:p w14:paraId="53701476" w14:textId="77777777" w:rsidR="00715939" w:rsidRPr="00715939" w:rsidRDefault="00715939" w:rsidP="00715939">
            <w:pPr>
              <w:pStyle w:val="Prrafodelista"/>
              <w:numPr>
                <w:ilvl w:val="0"/>
                <w:numId w:val="33"/>
              </w:numPr>
              <w:spacing w:line="276" w:lineRule="auto"/>
              <w:jc w:val="both"/>
              <w:rPr>
                <w:rFonts w:ascii="Verdana" w:eastAsia="Calibri" w:hAnsi="Verdana" w:cs="Arial"/>
              </w:rPr>
            </w:pPr>
            <w:r w:rsidRPr="00715939">
              <w:rPr>
                <w:rFonts w:ascii="Verdana" w:eastAsia="Calibri" w:hAnsi="Verdana" w:cs="Arial"/>
              </w:rPr>
              <w:t>Código de Comercio</w:t>
            </w:r>
          </w:p>
          <w:p w14:paraId="0DCDE6B6" w14:textId="77777777" w:rsidR="00715939" w:rsidRPr="00715939" w:rsidRDefault="00715939" w:rsidP="00715939">
            <w:pPr>
              <w:pStyle w:val="Prrafodelista"/>
              <w:numPr>
                <w:ilvl w:val="0"/>
                <w:numId w:val="33"/>
              </w:numPr>
              <w:spacing w:line="276" w:lineRule="auto"/>
              <w:jc w:val="both"/>
              <w:rPr>
                <w:rFonts w:ascii="Verdana" w:eastAsia="Calibri" w:hAnsi="Verdana" w:cs="Arial"/>
              </w:rPr>
            </w:pPr>
            <w:r w:rsidRPr="00715939">
              <w:rPr>
                <w:rFonts w:ascii="Verdana" w:eastAsia="Calibri" w:hAnsi="Verdana" w:cs="Arial"/>
              </w:rPr>
              <w:t xml:space="preserve">Código Civil </w:t>
            </w:r>
          </w:p>
          <w:p w14:paraId="2D1F2124" w14:textId="71F4C3C0" w:rsidR="00715939" w:rsidRPr="00715939" w:rsidRDefault="00715939" w:rsidP="00715939">
            <w:pPr>
              <w:pStyle w:val="Prrafodelista"/>
              <w:numPr>
                <w:ilvl w:val="0"/>
                <w:numId w:val="33"/>
              </w:numPr>
              <w:spacing w:line="276" w:lineRule="auto"/>
              <w:jc w:val="both"/>
              <w:rPr>
                <w:rFonts w:ascii="Verdana" w:eastAsia="Calibri" w:hAnsi="Verdana" w:cs="Arial"/>
              </w:rPr>
            </w:pPr>
            <w:r w:rsidRPr="00715939">
              <w:rPr>
                <w:rFonts w:ascii="Verdana" w:eastAsia="Calibri" w:hAnsi="Verdana" w:cs="Arial"/>
              </w:rPr>
              <w:t>Artículo 13 de la Ley 80 de 1993</w:t>
            </w:r>
          </w:p>
          <w:p w14:paraId="6FD2CDD6" w14:textId="0C3A44B0" w:rsidR="00715939" w:rsidRDefault="00715939" w:rsidP="00715939">
            <w:pPr>
              <w:pStyle w:val="Prrafodelista"/>
              <w:numPr>
                <w:ilvl w:val="0"/>
                <w:numId w:val="33"/>
              </w:numPr>
              <w:spacing w:line="276" w:lineRule="auto"/>
              <w:jc w:val="both"/>
              <w:rPr>
                <w:rFonts w:ascii="Verdana" w:eastAsia="Calibri" w:hAnsi="Verdana" w:cs="Arial"/>
              </w:rPr>
            </w:pPr>
            <w:r w:rsidRPr="00715939">
              <w:rPr>
                <w:rFonts w:ascii="Verdana" w:eastAsia="Calibri" w:hAnsi="Verdana" w:cs="Arial"/>
              </w:rPr>
              <w:t>Artículos 7 y 11 de la Ley 1150 de 2007</w:t>
            </w:r>
          </w:p>
          <w:p w14:paraId="7A3518A0" w14:textId="644CC29C" w:rsidR="00715939" w:rsidRPr="00715939" w:rsidRDefault="00715939" w:rsidP="00715939">
            <w:pPr>
              <w:pStyle w:val="Prrafodelista"/>
              <w:numPr>
                <w:ilvl w:val="0"/>
                <w:numId w:val="33"/>
              </w:numPr>
              <w:spacing w:line="276" w:lineRule="auto"/>
              <w:jc w:val="both"/>
              <w:rPr>
                <w:rFonts w:ascii="Verdana" w:eastAsia="Calibri" w:hAnsi="Verdana" w:cs="Arial"/>
              </w:rPr>
            </w:pPr>
            <w:r w:rsidRPr="00715939">
              <w:rPr>
                <w:rFonts w:ascii="Verdana" w:eastAsia="Calibri" w:hAnsi="Verdana" w:cs="Arial"/>
              </w:rPr>
              <w:t>Artículo 86 de la Ley 1474 de 2011</w:t>
            </w:r>
          </w:p>
          <w:p w14:paraId="6CE5A0F2" w14:textId="77777777" w:rsidR="00715939" w:rsidRPr="005F6D0C" w:rsidRDefault="00715939" w:rsidP="00715939">
            <w:pPr>
              <w:pStyle w:val="Prrafodelista"/>
              <w:widowControl w:val="0"/>
              <w:numPr>
                <w:ilvl w:val="0"/>
                <w:numId w:val="33"/>
              </w:numPr>
              <w:tabs>
                <w:tab w:val="left" w:pos="8419"/>
              </w:tabs>
              <w:autoSpaceDE w:val="0"/>
              <w:autoSpaceDN w:val="0"/>
              <w:spacing w:after="160" w:line="276" w:lineRule="auto"/>
              <w:contextualSpacing w:val="0"/>
              <w:jc w:val="both"/>
              <w:rPr>
                <w:rFonts w:ascii="Verdana" w:hAnsi="Verdana" w:cs="Arial"/>
              </w:rPr>
            </w:pPr>
            <w:hyperlink r:id="rId10" w:history="1">
              <w:r w:rsidRPr="005F6D0C">
                <w:rPr>
                  <w:rStyle w:val="Hipervnculo"/>
                  <w:rFonts w:ascii="Verdana" w:hAnsi="Verdana" w:cs="Arial"/>
                </w:rPr>
                <w:t>https://relatoria.colombiacompra.gov.co/providencias-consejo-de-estado/</w:t>
              </w:r>
            </w:hyperlink>
            <w:r w:rsidRPr="005F6D0C">
              <w:rPr>
                <w:rFonts w:ascii="Verdana" w:hAnsi="Verdana" w:cs="Arial"/>
              </w:rPr>
              <w:t xml:space="preserve"> </w:t>
            </w:r>
          </w:p>
          <w:p w14:paraId="0C45EA68" w14:textId="405C4253" w:rsidR="00AB64A5" w:rsidRPr="00715939" w:rsidRDefault="00715939" w:rsidP="00715939">
            <w:pPr>
              <w:pStyle w:val="Prrafodelista"/>
              <w:widowControl w:val="0"/>
              <w:numPr>
                <w:ilvl w:val="0"/>
                <w:numId w:val="33"/>
              </w:numPr>
              <w:autoSpaceDE w:val="0"/>
              <w:autoSpaceDN w:val="0"/>
              <w:spacing w:after="120" w:line="276" w:lineRule="auto"/>
              <w:contextualSpacing w:val="0"/>
              <w:jc w:val="both"/>
              <w:rPr>
                <w:rFonts w:ascii="Verdana" w:hAnsi="Verdana" w:cs="Arial"/>
              </w:rPr>
            </w:pPr>
            <w:r w:rsidRPr="005F6D0C">
              <w:rPr>
                <w:rFonts w:ascii="Verdana" w:hAnsi="Verdana" w:cs="Arial"/>
              </w:rPr>
              <w:t>Guías y manuales expedidos por la ANCP-CCE. Disponible en</w:t>
            </w:r>
            <w:r w:rsidRPr="005F6D0C">
              <w:rPr>
                <w:rFonts w:ascii="Verdana" w:hAnsi="Verdana" w:cs="Arial"/>
                <w:color w:val="7030A0"/>
              </w:rPr>
              <w:t>:</w:t>
            </w:r>
            <w:r w:rsidRPr="005F6D0C">
              <w:rPr>
                <w:rFonts w:ascii="Verdana" w:hAnsi="Verdana"/>
                <w:color w:val="7030A0"/>
              </w:rPr>
              <w:t xml:space="preserve"> </w:t>
            </w:r>
            <w:hyperlink r:id="rId11" w:history="1">
              <w:r w:rsidRPr="005F6D0C">
                <w:rPr>
                  <w:rStyle w:val="Hipervnculo"/>
                  <w:rFonts w:ascii="Verdana" w:hAnsi="Verdana" w:cs="Arial"/>
                </w:rPr>
                <w:t>https://www.colombiacompra.gov.co/manuales-guias-y-pliegos-tipo/manuales-y-guias</w:t>
              </w:r>
            </w:hyperlink>
            <w:r w:rsidR="005A5AFA" w:rsidRPr="00715939">
              <w:rPr>
                <w:rFonts w:ascii="Verdana" w:eastAsia="Verdana" w:hAnsi="Verdana" w:cs="Verdana"/>
                <w:lang w:val="es-ES"/>
              </w:rPr>
              <w:t xml:space="preserve"> </w:t>
            </w:r>
          </w:p>
        </w:tc>
      </w:tr>
    </w:tbl>
    <w:p w14:paraId="7D10BDB3" w14:textId="77777777" w:rsidR="00AB64A5" w:rsidRPr="00715939" w:rsidRDefault="00AB64A5" w:rsidP="00715939">
      <w:pPr>
        <w:widowControl w:val="0"/>
        <w:autoSpaceDE w:val="0"/>
        <w:autoSpaceDN w:val="0"/>
        <w:spacing w:after="0" w:line="276" w:lineRule="auto"/>
        <w:jc w:val="both"/>
        <w:rPr>
          <w:rFonts w:ascii="Verdana" w:hAnsi="Verdana" w:cs="Arial"/>
        </w:rPr>
      </w:pPr>
    </w:p>
    <w:p w14:paraId="064A695A" w14:textId="77777777" w:rsidR="00AB64A5" w:rsidRPr="00715939" w:rsidRDefault="00AB64A5" w:rsidP="00715939">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15939">
        <w:rPr>
          <w:rFonts w:ascii="Verdana" w:eastAsia="Century Gothic" w:hAnsi="Verdana" w:cs="Century Gothic"/>
          <w:b/>
          <w:bCs/>
        </w:rPr>
        <w:t>Doctrina de la Agencia Nacional de Contratación Pública:</w:t>
      </w:r>
    </w:p>
    <w:p w14:paraId="6FB855C5" w14:textId="77777777" w:rsidR="00AB64A5" w:rsidRPr="00715939" w:rsidRDefault="00AB64A5" w:rsidP="00715939">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4031916B" w14:textId="77777777" w:rsidR="006138DE" w:rsidRPr="00715939" w:rsidRDefault="006138DE" w:rsidP="00715939">
      <w:pPr>
        <w:spacing w:line="276" w:lineRule="auto"/>
        <w:jc w:val="both"/>
        <w:rPr>
          <w:rFonts w:ascii="Verdana" w:eastAsia="Aptos" w:hAnsi="Verdana" w:cs="Arial"/>
          <w:bCs/>
        </w:rPr>
      </w:pPr>
      <w:r w:rsidRPr="00715939">
        <w:rPr>
          <w:rFonts w:ascii="Verdana" w:eastAsia="Aptos" w:hAnsi="Verdana" w:cs="Arial"/>
          <w:bCs/>
        </w:rPr>
        <w:t xml:space="preserve">La Agencia Nacional de Contratación Pública – Colombia Compra Eficiente, estudió la potestad sancionatoria de las entidades estatales y el procedimiento administrativo que deben efectuar para declarar el incumplimiento y aplicar las sanciones correspondientes, destacando la necesidad de garantizar el debido proceso, en los conceptos C-147 del 17 de marzo de 2020, C-219 del 29 de abril de 2020, C-434 del 29 de julio de 2020, C-569 del 31 de agosto de 2020, C-641 del 4 de noviembre de 2020, C-060 del 8 de marzo de 2021, C-528 del 5 de abril de 2021, C-420 del 25 de agosto de 2022, C- 720 del 25 de enero de 2022, </w:t>
      </w:r>
      <w:hyperlink r:id="rId12" w:tgtFrame="_blank" w:history="1">
        <w:r w:rsidRPr="00715939">
          <w:rPr>
            <w:rFonts w:ascii="Verdana" w:eastAsia="Aptos" w:hAnsi="Verdana" w:cs="Arial"/>
            <w:bCs/>
          </w:rPr>
          <w:t>C-085 del 29 de abril  de 2022</w:t>
        </w:r>
      </w:hyperlink>
      <w:r w:rsidRPr="00715939">
        <w:rPr>
          <w:rFonts w:ascii="Verdana" w:eastAsia="Aptos" w:hAnsi="Verdana" w:cs="Arial"/>
          <w:bCs/>
        </w:rPr>
        <w:t xml:space="preserve"> </w:t>
      </w:r>
      <w:hyperlink r:id="rId13" w:tgtFrame="_blank" w:history="1">
        <w:r w:rsidRPr="00715939">
          <w:rPr>
            <w:rFonts w:ascii="Verdana" w:eastAsia="Aptos" w:hAnsi="Verdana" w:cs="Arial"/>
            <w:bCs/>
          </w:rPr>
          <w:t>C-125 del 23 de marzo de 2022,</w:t>
        </w:r>
      </w:hyperlink>
      <w:r w:rsidRPr="00715939">
        <w:rPr>
          <w:rFonts w:ascii="Verdana" w:eastAsia="Aptos" w:hAnsi="Verdana" w:cs="Arial"/>
          <w:bCs/>
        </w:rPr>
        <w:t xml:space="preserve"> </w:t>
      </w:r>
      <w:hyperlink r:id="rId14" w:tgtFrame="_blank" w:history="1">
        <w:r w:rsidRPr="00715939">
          <w:rPr>
            <w:rFonts w:ascii="Verdana" w:eastAsia="Aptos" w:hAnsi="Verdana" w:cs="Arial"/>
            <w:bCs/>
          </w:rPr>
          <w:t>C-195 del 12 de abril de 2022,</w:t>
        </w:r>
      </w:hyperlink>
      <w:r w:rsidRPr="00715939">
        <w:rPr>
          <w:rFonts w:ascii="Verdana" w:eastAsia="Aptos" w:hAnsi="Verdana" w:cs="Arial"/>
          <w:bCs/>
        </w:rPr>
        <w:t xml:space="preserve"> </w:t>
      </w:r>
      <w:hyperlink r:id="rId15" w:tgtFrame="_blank" w:history="1">
        <w:r w:rsidRPr="00715939">
          <w:rPr>
            <w:rFonts w:ascii="Verdana" w:eastAsia="Aptos" w:hAnsi="Verdana" w:cs="Arial"/>
            <w:bCs/>
          </w:rPr>
          <w:t>C-208 del 26 de abril de 2022,</w:t>
        </w:r>
      </w:hyperlink>
      <w:r w:rsidRPr="00715939">
        <w:rPr>
          <w:rFonts w:ascii="Verdana" w:eastAsia="Aptos" w:hAnsi="Verdana" w:cs="Arial"/>
          <w:bCs/>
        </w:rPr>
        <w:t xml:space="preserve"> </w:t>
      </w:r>
      <w:hyperlink r:id="rId16" w:tgtFrame="_blank" w:history="1">
        <w:r w:rsidRPr="00715939">
          <w:rPr>
            <w:rFonts w:ascii="Verdana" w:eastAsia="Aptos" w:hAnsi="Verdana" w:cs="Arial"/>
            <w:bCs/>
          </w:rPr>
          <w:t>C-238 del 27 de abril de 2022,</w:t>
        </w:r>
      </w:hyperlink>
      <w:r w:rsidRPr="00715939">
        <w:rPr>
          <w:rFonts w:ascii="Verdana" w:eastAsia="Aptos" w:hAnsi="Verdana" w:cs="Arial"/>
          <w:bCs/>
        </w:rPr>
        <w:t xml:space="preserve"> </w:t>
      </w:r>
      <w:bookmarkStart w:id="5" w:name="_Hlk143178132"/>
      <w:r w:rsidRPr="00715939">
        <w:rPr>
          <w:rFonts w:ascii="Verdana" w:eastAsia="Aptos" w:hAnsi="Verdana" w:cs="Arial"/>
          <w:bCs/>
        </w:rPr>
        <w:fldChar w:fldCharType="begin"/>
      </w:r>
      <w:r w:rsidRPr="00715939">
        <w:rPr>
          <w:rFonts w:ascii="Verdana" w:eastAsia="Aptos" w:hAnsi="Verdana" w:cs="Arial"/>
          <w:bCs/>
        </w:rPr>
        <w:instrText>HYPERLINK "https://relatoria.colombiacompra.gov.co/ficha/C-866%20de%202022" \t "_blank"</w:instrText>
      </w:r>
      <w:r w:rsidRPr="00715939">
        <w:rPr>
          <w:rFonts w:ascii="Verdana" w:eastAsia="Aptos" w:hAnsi="Verdana" w:cs="Arial"/>
          <w:bCs/>
        </w:rPr>
      </w:r>
      <w:r w:rsidRPr="00715939">
        <w:rPr>
          <w:rFonts w:ascii="Verdana" w:eastAsia="Aptos" w:hAnsi="Verdana" w:cs="Arial"/>
          <w:bCs/>
        </w:rPr>
        <w:fldChar w:fldCharType="separate"/>
      </w:r>
      <w:r w:rsidRPr="00715939">
        <w:rPr>
          <w:rFonts w:ascii="Verdana" w:eastAsia="Aptos" w:hAnsi="Verdana" w:cs="Arial"/>
          <w:bCs/>
        </w:rPr>
        <w:t>C-866 del 20 de diciembre de 2022</w:t>
      </w:r>
      <w:r w:rsidRPr="00715939">
        <w:rPr>
          <w:rFonts w:ascii="Verdana" w:eastAsia="Aptos" w:hAnsi="Verdana" w:cs="Arial"/>
          <w:bCs/>
        </w:rPr>
        <w:fldChar w:fldCharType="end"/>
      </w:r>
      <w:r w:rsidRPr="00715939">
        <w:rPr>
          <w:rFonts w:ascii="Verdana" w:eastAsia="Aptos" w:hAnsi="Verdana" w:cs="Arial"/>
          <w:bCs/>
        </w:rPr>
        <w:t xml:space="preserve">, </w:t>
      </w:r>
      <w:hyperlink r:id="rId17" w:tgtFrame="_blank" w:history="1">
        <w:r w:rsidRPr="00715939">
          <w:rPr>
            <w:rFonts w:ascii="Verdana" w:eastAsia="Aptos" w:hAnsi="Verdana" w:cs="Arial"/>
            <w:bCs/>
          </w:rPr>
          <w:t>C-034 de 09 de marzo de 2023</w:t>
        </w:r>
      </w:hyperlink>
      <w:r w:rsidRPr="00715939">
        <w:rPr>
          <w:rFonts w:ascii="Verdana" w:eastAsia="Aptos" w:hAnsi="Verdana" w:cs="Arial"/>
          <w:bCs/>
        </w:rPr>
        <w:t xml:space="preserve"> y C-140 del 13 de junio de 2023</w:t>
      </w:r>
      <w:bookmarkEnd w:id="5"/>
      <w:r w:rsidRPr="00715939">
        <w:rPr>
          <w:rFonts w:ascii="Verdana" w:eastAsia="Aptos" w:hAnsi="Verdana" w:cs="Arial"/>
          <w:bCs/>
        </w:rPr>
        <w:t>, entre otros.</w:t>
      </w:r>
    </w:p>
    <w:p w14:paraId="6C8EA643" w14:textId="2CE2F382" w:rsidR="006138DE" w:rsidRPr="00715939" w:rsidRDefault="00283C1D" w:rsidP="00715939">
      <w:pPr>
        <w:spacing w:line="276" w:lineRule="auto"/>
        <w:jc w:val="both"/>
        <w:rPr>
          <w:rFonts w:ascii="Verdana" w:eastAsia="Aptos" w:hAnsi="Verdana" w:cs="Arial"/>
          <w:bCs/>
        </w:rPr>
      </w:pPr>
      <w:r w:rsidRPr="00715939">
        <w:rPr>
          <w:rFonts w:ascii="Verdana" w:eastAsia="Aptos" w:hAnsi="Verdana" w:cs="Arial"/>
          <w:bCs/>
        </w:rPr>
        <w:t>Sobre el Sistema Electrónico para la Contratación Pública – SECOP, esta Subdirección se ha referido en los Conceptos 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w:t>
      </w:r>
      <w:r w:rsidR="006138DE" w:rsidRPr="00715939">
        <w:rPr>
          <w:rFonts w:ascii="Verdana" w:eastAsia="Aptos" w:hAnsi="Verdana" w:cs="Arial"/>
          <w:bCs/>
        </w:rPr>
        <w:t xml:space="preserve">, </w:t>
      </w:r>
      <w:r w:rsidRPr="00715939">
        <w:rPr>
          <w:rFonts w:ascii="Verdana" w:eastAsia="Aptos" w:hAnsi="Verdana" w:cs="Arial"/>
          <w:bCs/>
        </w:rPr>
        <w:t>entre otros.</w:t>
      </w:r>
      <w:r w:rsidR="006138DE" w:rsidRPr="00715939">
        <w:rPr>
          <w:rFonts w:ascii="Verdana" w:eastAsia="Aptos" w:hAnsi="Verdana" w:cs="Arial"/>
          <w:bCs/>
        </w:rPr>
        <w:t xml:space="preserve"> </w:t>
      </w:r>
    </w:p>
    <w:p w14:paraId="0EBFFD6B" w14:textId="1F913D5D" w:rsidR="006138DE" w:rsidRPr="00715939" w:rsidRDefault="006138DE" w:rsidP="00715939">
      <w:pPr>
        <w:spacing w:line="276" w:lineRule="auto"/>
        <w:jc w:val="both"/>
        <w:rPr>
          <w:rFonts w:ascii="Verdana" w:eastAsia="Aptos" w:hAnsi="Verdana" w:cs="Arial"/>
          <w:bCs/>
        </w:rPr>
      </w:pPr>
      <w:r w:rsidRPr="00715939">
        <w:rPr>
          <w:rFonts w:ascii="Verdana" w:eastAsia="Aptos" w:hAnsi="Verdana" w:cs="Arial"/>
          <w:bCs/>
        </w:rPr>
        <w:t xml:space="preserve">Ahora, </w:t>
      </w:r>
      <w:r w:rsidR="00715939">
        <w:rPr>
          <w:rFonts w:ascii="Verdana" w:eastAsia="Aptos" w:hAnsi="Verdana" w:cs="Arial"/>
          <w:bCs/>
        </w:rPr>
        <w:t xml:space="preserve">en todo lo relacionado en </w:t>
      </w:r>
      <w:r w:rsidRPr="00715939">
        <w:rPr>
          <w:rFonts w:ascii="Verdana" w:eastAsia="Aptos" w:hAnsi="Verdana" w:cs="Arial"/>
          <w:bCs/>
        </w:rPr>
        <w:t xml:space="preserve">contratos de mandato </w:t>
      </w:r>
      <w:r w:rsidR="00715939">
        <w:rPr>
          <w:rFonts w:ascii="Verdana" w:eastAsia="Aptos" w:hAnsi="Verdana" w:cs="Arial"/>
          <w:bCs/>
        </w:rPr>
        <w:t>esta</w:t>
      </w:r>
      <w:r w:rsidRPr="00715939">
        <w:rPr>
          <w:rFonts w:ascii="Verdana" w:eastAsia="Aptos" w:hAnsi="Verdana" w:cs="Arial"/>
          <w:bCs/>
        </w:rPr>
        <w:t xml:space="preserve"> Agencia se ha pronunciado en el radicado No. 4201912000005014 y Concepto C – 966 de 2022, entre otros. </w:t>
      </w:r>
    </w:p>
    <w:p w14:paraId="76831F0F" w14:textId="74E3FD5F" w:rsidR="009F5FB8" w:rsidRPr="00715939" w:rsidRDefault="009F5FB8" w:rsidP="00715939">
      <w:pPr>
        <w:spacing w:after="0" w:line="276" w:lineRule="auto"/>
        <w:jc w:val="both"/>
        <w:rPr>
          <w:rFonts w:ascii="Verdana" w:eastAsia="Calibri" w:hAnsi="Verdana" w:cs="Arial"/>
          <w:shd w:val="clear" w:color="auto" w:fill="FFFFFF"/>
          <w:lang w:val="es-ES"/>
        </w:rPr>
      </w:pPr>
      <w:r w:rsidRPr="00715939">
        <w:rPr>
          <w:rFonts w:ascii="Verdana" w:eastAsia="Calibri" w:hAnsi="Verdana" w:cs="Arial"/>
          <w:shd w:val="clear" w:color="auto" w:fill="FFFFFF"/>
          <w:lang w:val="es-ES"/>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03479624" w14:textId="77777777" w:rsidR="00AB64A5" w:rsidRPr="00715939" w:rsidRDefault="00AB64A5" w:rsidP="00715939">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F6671EC" w14:textId="5E6D6634" w:rsidR="009F5FB8" w:rsidRPr="00715939" w:rsidRDefault="009F5FB8" w:rsidP="00715939">
      <w:pPr>
        <w:widowControl w:val="0"/>
        <w:autoSpaceDE w:val="0"/>
        <w:autoSpaceDN w:val="0"/>
        <w:spacing w:after="0" w:line="276" w:lineRule="auto"/>
        <w:jc w:val="both"/>
        <w:rPr>
          <w:rFonts w:ascii="Verdana" w:hAnsi="Verdana" w:cs="Arial"/>
          <w:shd w:val="clear" w:color="auto" w:fill="FFFFFF"/>
          <w:lang w:val="es-ES"/>
        </w:rPr>
      </w:pPr>
      <w:r w:rsidRPr="00715939">
        <w:rPr>
          <w:rFonts w:ascii="Verdana" w:hAnsi="Verdana" w:cs="Arial"/>
          <w:shd w:val="clear" w:color="auto" w:fill="FFFFFF"/>
        </w:rPr>
        <w:t xml:space="preserve">Te invitamos a revisar la cuarta edición del Boletín de Relatoría de 2024, en el cual se explicaron los cambios más relevantes que fueron incorporados en los Documentos Tipo para el sector de Infraestructura de Transporte, en las </w:t>
      </w:r>
      <w:r w:rsidRPr="00715939">
        <w:rPr>
          <w:rFonts w:ascii="Verdana" w:hAnsi="Verdana" w:cs="Arial"/>
          <w:shd w:val="clear" w:color="auto" w:fill="FFFFFF"/>
        </w:rPr>
        <w:lastRenderedPageBreak/>
        <w:t>modalidades de selección de Licitación de Obra Pública, Selección Abreviada de Menor Cuantía y Mínima Cuantía. Puede consultarlo en el siguiente enlace: </w:t>
      </w:r>
      <w:hyperlink r:id="rId18" w:tgtFrame="_blank" w:tooltip="Dirección URL original: https://www.colombiacompra.gov.co/sala-de-prensa/boletin-digital/boletin-de-relatoria-2024-iv. Haga clic o pulse si confía en este vínculo." w:history="1">
        <w:r w:rsidRPr="00715939">
          <w:rPr>
            <w:rStyle w:val="Hipervnculo"/>
            <w:rFonts w:ascii="Verdana" w:hAnsi="Verdana" w:cs="Arial"/>
            <w:color w:val="auto"/>
            <w:shd w:val="clear" w:color="auto" w:fill="FFFFFF"/>
          </w:rPr>
          <w:t>BOLETÍN DE RELATORÍA 2024 – IV | Colombia Compra Eficiente | Agencia Nacional de Contratación Pública</w:t>
        </w:r>
      </w:hyperlink>
    </w:p>
    <w:p w14:paraId="15129E5B" w14:textId="77777777" w:rsidR="009F5FB8" w:rsidRPr="00715939" w:rsidRDefault="009F5FB8" w:rsidP="00715939">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8400B5C" w14:textId="77777777" w:rsidR="00AB64A5" w:rsidRPr="00715939" w:rsidRDefault="00AB64A5" w:rsidP="00715939">
      <w:pPr>
        <w:spacing w:after="0" w:line="276" w:lineRule="auto"/>
        <w:jc w:val="both"/>
        <w:rPr>
          <w:rFonts w:ascii="Verdana" w:hAnsi="Verdana"/>
        </w:rPr>
      </w:pPr>
      <w:r w:rsidRPr="00715939">
        <w:rPr>
          <w:rFonts w:ascii="Verdana" w:hAnsi="Verdana"/>
        </w:rPr>
        <w:t xml:space="preserve">Por último, lo invitamos a seguirnos en las redes sociales en las cuales se difunde información institucional: </w:t>
      </w:r>
    </w:p>
    <w:p w14:paraId="4C00BD62" w14:textId="77777777" w:rsidR="00AB64A5" w:rsidRPr="00715939" w:rsidRDefault="00AB64A5" w:rsidP="00715939">
      <w:pPr>
        <w:spacing w:after="0" w:line="276" w:lineRule="auto"/>
        <w:jc w:val="both"/>
        <w:rPr>
          <w:rFonts w:ascii="Verdana" w:hAnsi="Verdana"/>
        </w:rPr>
      </w:pPr>
    </w:p>
    <w:p w14:paraId="536E4745" w14:textId="77777777" w:rsidR="00AB64A5" w:rsidRPr="00715939" w:rsidRDefault="00AB64A5" w:rsidP="00715939">
      <w:pPr>
        <w:spacing w:after="0" w:line="276" w:lineRule="auto"/>
        <w:jc w:val="both"/>
        <w:rPr>
          <w:rFonts w:ascii="Verdana" w:hAnsi="Verdana"/>
        </w:rPr>
      </w:pPr>
      <w:r w:rsidRPr="00715939">
        <w:rPr>
          <w:rFonts w:ascii="Verdana" w:hAnsi="Verdana"/>
        </w:rPr>
        <w:t xml:space="preserve">Twitter: </w:t>
      </w:r>
      <w:r w:rsidRPr="00715939">
        <w:rPr>
          <w:rStyle w:val="Hipervnculo"/>
          <w:rFonts w:ascii="Verdana" w:hAnsi="Verdana"/>
          <w:color w:val="156082" w:themeColor="accent1"/>
        </w:rPr>
        <w:t>@colombiacompra</w:t>
      </w:r>
      <w:r w:rsidRPr="00715939">
        <w:rPr>
          <w:rFonts w:ascii="Verdana" w:hAnsi="Verdana"/>
          <w:color w:val="156082" w:themeColor="accent1"/>
        </w:rPr>
        <w:t xml:space="preserve"> </w:t>
      </w:r>
    </w:p>
    <w:p w14:paraId="48B106C5" w14:textId="77777777" w:rsidR="00AB64A5" w:rsidRPr="00715939" w:rsidRDefault="00AB64A5" w:rsidP="00715939">
      <w:pPr>
        <w:spacing w:after="0" w:line="276" w:lineRule="auto"/>
        <w:jc w:val="both"/>
        <w:rPr>
          <w:rFonts w:ascii="Verdana" w:hAnsi="Verdana"/>
        </w:rPr>
      </w:pPr>
      <w:r w:rsidRPr="00715939">
        <w:rPr>
          <w:rFonts w:ascii="Verdana" w:hAnsi="Verdana"/>
        </w:rPr>
        <w:t xml:space="preserve">Facebook: </w:t>
      </w:r>
      <w:r w:rsidRPr="00715939">
        <w:rPr>
          <w:rStyle w:val="Hipervnculo"/>
          <w:rFonts w:ascii="Verdana" w:hAnsi="Verdana"/>
          <w:color w:val="156082" w:themeColor="accent1"/>
        </w:rPr>
        <w:t>ColombiaCompraEficiente</w:t>
      </w:r>
    </w:p>
    <w:p w14:paraId="4A5D9233" w14:textId="77777777" w:rsidR="00AB64A5" w:rsidRPr="00715939" w:rsidRDefault="00AB64A5" w:rsidP="00715939">
      <w:pPr>
        <w:spacing w:after="0" w:line="276" w:lineRule="auto"/>
        <w:jc w:val="both"/>
        <w:rPr>
          <w:rFonts w:ascii="Verdana" w:hAnsi="Verdana"/>
        </w:rPr>
      </w:pPr>
      <w:r w:rsidRPr="00715939">
        <w:rPr>
          <w:rFonts w:ascii="Verdana" w:hAnsi="Verdana"/>
        </w:rPr>
        <w:t xml:space="preserve">LinkedIn: </w:t>
      </w:r>
      <w:r w:rsidRPr="00715939">
        <w:rPr>
          <w:rStyle w:val="Hipervnculo"/>
          <w:rFonts w:ascii="Verdana" w:hAnsi="Verdana"/>
          <w:color w:val="156082" w:themeColor="accent1"/>
        </w:rPr>
        <w:t>Agencia Nacional de Contratación Pública - Colombia Compra Eficiente</w:t>
      </w:r>
      <w:r w:rsidRPr="00715939">
        <w:rPr>
          <w:rFonts w:ascii="Verdana" w:hAnsi="Verdana"/>
          <w:color w:val="156082" w:themeColor="accent1"/>
        </w:rPr>
        <w:t xml:space="preserve"> </w:t>
      </w:r>
      <w:r w:rsidRPr="00715939">
        <w:rPr>
          <w:rFonts w:ascii="Verdana" w:hAnsi="Verdana"/>
        </w:rPr>
        <w:t xml:space="preserve">Instagram: </w:t>
      </w:r>
      <w:r w:rsidRPr="00715939">
        <w:rPr>
          <w:rStyle w:val="Hipervnculo"/>
          <w:rFonts w:ascii="Verdana" w:hAnsi="Verdana"/>
          <w:color w:val="156082" w:themeColor="accent1"/>
        </w:rPr>
        <w:t>@colombiacompraeficiente_cce</w:t>
      </w:r>
    </w:p>
    <w:p w14:paraId="02BE982E" w14:textId="77777777" w:rsidR="00AB64A5" w:rsidRPr="00715939" w:rsidRDefault="00AB64A5" w:rsidP="00715939">
      <w:pPr>
        <w:widowControl w:val="0"/>
        <w:autoSpaceDE w:val="0"/>
        <w:autoSpaceDN w:val="0"/>
        <w:spacing w:after="0" w:line="276" w:lineRule="auto"/>
        <w:jc w:val="both"/>
        <w:rPr>
          <w:rFonts w:ascii="Verdana" w:hAnsi="Verdana" w:cs="Arial"/>
        </w:rPr>
      </w:pPr>
    </w:p>
    <w:p w14:paraId="64E0D488" w14:textId="77777777" w:rsidR="00AB64A5" w:rsidRPr="00715939" w:rsidRDefault="00AB64A5" w:rsidP="00715939">
      <w:pPr>
        <w:widowControl w:val="0"/>
        <w:autoSpaceDE w:val="0"/>
        <w:autoSpaceDN w:val="0"/>
        <w:spacing w:after="0" w:line="276" w:lineRule="auto"/>
        <w:jc w:val="both"/>
        <w:rPr>
          <w:rFonts w:ascii="Verdana" w:hAnsi="Verdana" w:cs="Arial"/>
          <w:lang w:val="es-ES_tradnl"/>
        </w:rPr>
      </w:pPr>
      <w:r w:rsidRPr="00715939">
        <w:rPr>
          <w:rFonts w:ascii="Verdana" w:hAnsi="Verdana" w:cs="Arial"/>
        </w:rPr>
        <w:t xml:space="preserve">Este concepto tiene el alcance previsto en el artículo 28 del Código de Procedimiento Administrativo y de lo Contencioso Administrativo </w:t>
      </w:r>
      <w:r w:rsidRPr="00715939">
        <w:rPr>
          <w:rFonts w:ascii="Verdana" w:hAnsi="Verdana" w:cs="Arial"/>
          <w:lang w:val="es-ES_tradnl"/>
        </w:rPr>
        <w:t>y las expresiones aquí utilizadas con mayúscula inicial deben ser entendidas con el significado que les otorga el artículo 2.2.1.1.1.3.1. del Decreto 1082 de 2015.</w:t>
      </w:r>
    </w:p>
    <w:p w14:paraId="20464B9D" w14:textId="77777777" w:rsidR="00AB64A5" w:rsidRPr="00715939" w:rsidRDefault="00AB64A5" w:rsidP="00715939">
      <w:pPr>
        <w:widowControl w:val="0"/>
        <w:autoSpaceDE w:val="0"/>
        <w:autoSpaceDN w:val="0"/>
        <w:spacing w:after="0" w:line="276" w:lineRule="auto"/>
        <w:jc w:val="both"/>
        <w:rPr>
          <w:rFonts w:ascii="Verdana" w:hAnsi="Verdana" w:cs="Arial"/>
        </w:rPr>
      </w:pPr>
    </w:p>
    <w:p w14:paraId="43CF8739" w14:textId="77777777" w:rsidR="00AB64A5" w:rsidRPr="00715939" w:rsidRDefault="00AB64A5" w:rsidP="00715939">
      <w:pPr>
        <w:spacing w:after="0" w:line="276" w:lineRule="auto"/>
        <w:rPr>
          <w:rFonts w:ascii="Verdana" w:hAnsi="Verdana" w:cs="Arial"/>
          <w:lang w:eastAsia="es-CO"/>
        </w:rPr>
      </w:pPr>
      <w:r w:rsidRPr="00715939">
        <w:rPr>
          <w:rFonts w:ascii="Verdana" w:eastAsia="Times New Roman" w:hAnsi="Verdana" w:cs="Arial"/>
          <w:lang w:eastAsia="es-CO"/>
        </w:rPr>
        <w:t>Atentamente,</w:t>
      </w:r>
      <w:r w:rsidRPr="00715939">
        <w:rPr>
          <w:rFonts w:ascii="Verdana" w:hAnsi="Verdana" w:cs="Arial"/>
          <w:lang w:eastAsia="es-CO"/>
        </w:rPr>
        <w:t xml:space="preserve"> </w:t>
      </w:r>
    </w:p>
    <w:p w14:paraId="0B837099" w14:textId="282DF907" w:rsidR="00AB64A5" w:rsidRPr="00715939" w:rsidRDefault="0068640D" w:rsidP="00715939">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06B74342" wp14:editId="3F9BF9EB">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9"/>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B64A5" w:rsidRPr="00715939" w14:paraId="1CCF7B2A" w14:textId="77777777" w:rsidTr="005A5AFA">
        <w:trPr>
          <w:trHeight w:val="315"/>
        </w:trPr>
        <w:tc>
          <w:tcPr>
            <w:tcW w:w="893" w:type="dxa"/>
            <w:vAlign w:val="center"/>
            <w:hideMark/>
          </w:tcPr>
          <w:p w14:paraId="4C835DB8" w14:textId="77777777" w:rsidR="00AB64A5" w:rsidRPr="00715939" w:rsidRDefault="00AB64A5" w:rsidP="00715939">
            <w:pPr>
              <w:spacing w:line="276" w:lineRule="auto"/>
              <w:contextualSpacing/>
              <w:rPr>
                <w:rFonts w:ascii="Verdana" w:hAnsi="Verdana" w:cs="Arial"/>
                <w:sz w:val="16"/>
                <w:szCs w:val="16"/>
                <w:lang w:val="es-ES" w:eastAsia="es-ES"/>
              </w:rPr>
            </w:pPr>
            <w:r w:rsidRPr="00715939">
              <w:rPr>
                <w:rFonts w:ascii="Verdana" w:hAnsi="Verdana" w:cs="Arial"/>
                <w:sz w:val="16"/>
                <w:szCs w:val="16"/>
                <w:lang w:val="es-ES" w:eastAsia="es-ES"/>
              </w:rPr>
              <w:t>Elaboró:</w:t>
            </w:r>
          </w:p>
        </w:tc>
        <w:tc>
          <w:tcPr>
            <w:tcW w:w="5628" w:type="dxa"/>
            <w:tcBorders>
              <w:top w:val="nil"/>
              <w:left w:val="nil"/>
              <w:right w:val="nil"/>
            </w:tcBorders>
            <w:vAlign w:val="center"/>
            <w:hideMark/>
          </w:tcPr>
          <w:p w14:paraId="66AF4843" w14:textId="4CD374F1" w:rsidR="00AB64A5" w:rsidRPr="00715939" w:rsidRDefault="00CD02EB" w:rsidP="00715939">
            <w:pPr>
              <w:spacing w:line="276" w:lineRule="auto"/>
              <w:contextualSpacing/>
              <w:rPr>
                <w:rStyle w:val="normaltextrun"/>
                <w:rFonts w:ascii="Verdana" w:hAnsi="Verdana"/>
                <w:sz w:val="16"/>
                <w:szCs w:val="16"/>
              </w:rPr>
            </w:pPr>
            <w:r>
              <w:rPr>
                <w:rStyle w:val="normaltextrun"/>
                <w:rFonts w:ascii="Verdana" w:hAnsi="Verdana"/>
                <w:sz w:val="16"/>
                <w:szCs w:val="16"/>
              </w:rPr>
              <w:t>D</w:t>
            </w:r>
            <w:r>
              <w:rPr>
                <w:rStyle w:val="normaltextrun"/>
                <w:sz w:val="16"/>
                <w:szCs w:val="16"/>
              </w:rPr>
              <w:t xml:space="preserve">iana </w:t>
            </w:r>
            <w:r w:rsidR="005A5AFA" w:rsidRPr="00715939">
              <w:rPr>
                <w:rStyle w:val="normaltextrun"/>
                <w:rFonts w:ascii="Verdana" w:hAnsi="Verdana"/>
                <w:sz w:val="16"/>
                <w:szCs w:val="16"/>
              </w:rPr>
              <w:t xml:space="preserve">Carolina Blanco Rodriguez </w:t>
            </w:r>
          </w:p>
          <w:p w14:paraId="05D16EFD" w14:textId="77777777" w:rsidR="00AB64A5" w:rsidRPr="00715939" w:rsidRDefault="00AB64A5" w:rsidP="00715939">
            <w:pPr>
              <w:spacing w:line="276" w:lineRule="auto"/>
              <w:contextualSpacing/>
              <w:rPr>
                <w:rStyle w:val="normaltextrun"/>
                <w:rFonts w:ascii="Verdana" w:hAnsi="Verdana"/>
                <w:sz w:val="16"/>
                <w:szCs w:val="16"/>
              </w:rPr>
            </w:pPr>
            <w:r w:rsidRPr="00715939">
              <w:rPr>
                <w:rStyle w:val="normaltextrun"/>
                <w:rFonts w:ascii="Verdana" w:hAnsi="Verdana"/>
                <w:sz w:val="16"/>
                <w:szCs w:val="16"/>
              </w:rPr>
              <w:t>Contratista de la Subdirección de Gestión Contractual</w:t>
            </w:r>
          </w:p>
          <w:p w14:paraId="6D742C2C" w14:textId="33389542" w:rsidR="009F5FB8" w:rsidRPr="00715939" w:rsidRDefault="009F5FB8" w:rsidP="00715939">
            <w:pPr>
              <w:spacing w:line="276" w:lineRule="auto"/>
              <w:contextualSpacing/>
              <w:rPr>
                <w:rStyle w:val="normaltextrun"/>
                <w:rFonts w:ascii="Verdana" w:hAnsi="Verdana"/>
              </w:rPr>
            </w:pPr>
          </w:p>
        </w:tc>
      </w:tr>
      <w:tr w:rsidR="00AB64A5" w:rsidRPr="00715939" w14:paraId="25DEECD8" w14:textId="77777777" w:rsidTr="005A5AFA">
        <w:trPr>
          <w:trHeight w:val="330"/>
        </w:trPr>
        <w:tc>
          <w:tcPr>
            <w:tcW w:w="893" w:type="dxa"/>
            <w:vAlign w:val="center"/>
            <w:hideMark/>
          </w:tcPr>
          <w:p w14:paraId="5EB4B261" w14:textId="77777777" w:rsidR="00AB64A5" w:rsidRPr="00715939" w:rsidRDefault="00AB64A5" w:rsidP="00715939">
            <w:pPr>
              <w:spacing w:line="276" w:lineRule="auto"/>
              <w:contextualSpacing/>
              <w:rPr>
                <w:rFonts w:ascii="Verdana" w:hAnsi="Verdana" w:cs="Arial"/>
                <w:sz w:val="16"/>
                <w:szCs w:val="16"/>
                <w:lang w:val="es-ES" w:eastAsia="es-ES"/>
              </w:rPr>
            </w:pPr>
            <w:r w:rsidRPr="00715939">
              <w:rPr>
                <w:rFonts w:ascii="Verdana" w:hAnsi="Verdana" w:cs="Arial"/>
                <w:sz w:val="16"/>
                <w:szCs w:val="16"/>
                <w:lang w:val="es-ES" w:eastAsia="es-ES"/>
              </w:rPr>
              <w:t>Revisó:</w:t>
            </w:r>
          </w:p>
        </w:tc>
        <w:tc>
          <w:tcPr>
            <w:tcW w:w="5628" w:type="dxa"/>
            <w:vAlign w:val="center"/>
            <w:hideMark/>
          </w:tcPr>
          <w:p w14:paraId="1CC2C6C4" w14:textId="5021E224" w:rsidR="00553F39" w:rsidRPr="00715939" w:rsidRDefault="00715939" w:rsidP="00715939">
            <w:pPr>
              <w:spacing w:line="276" w:lineRule="auto"/>
              <w:contextualSpacing/>
              <w:rPr>
                <w:rStyle w:val="normaltextrun"/>
                <w:rFonts w:ascii="Verdana" w:hAnsi="Verdana"/>
                <w:sz w:val="16"/>
                <w:szCs w:val="16"/>
              </w:rPr>
            </w:pPr>
            <w:r>
              <w:rPr>
                <w:rStyle w:val="normaltextrun"/>
                <w:rFonts w:ascii="Verdana" w:hAnsi="Verdana"/>
                <w:sz w:val="16"/>
                <w:szCs w:val="16"/>
              </w:rPr>
              <w:t>A</w:t>
            </w:r>
            <w:r w:rsidRPr="00715939">
              <w:rPr>
                <w:rStyle w:val="normaltextrun"/>
                <w:rFonts w:ascii="Verdana" w:hAnsi="Verdana"/>
                <w:sz w:val="16"/>
                <w:szCs w:val="16"/>
              </w:rPr>
              <w:t xml:space="preserve">lejandro Sarmiento </w:t>
            </w:r>
          </w:p>
          <w:p w14:paraId="164666B5" w14:textId="547C9BA3" w:rsidR="00AB64A5" w:rsidRPr="00715939" w:rsidRDefault="00715939" w:rsidP="00715939">
            <w:pPr>
              <w:pStyle w:val="paragraph"/>
              <w:spacing w:before="0" w:beforeAutospacing="0" w:after="0" w:afterAutospacing="0" w:line="276" w:lineRule="auto"/>
              <w:contextualSpacing/>
              <w:textAlignment w:val="baseline"/>
              <w:rPr>
                <w:rStyle w:val="normaltextrun"/>
                <w:rFonts w:ascii="Verdana" w:eastAsiaTheme="minorHAnsi" w:hAnsi="Verdana" w:cstheme="minorBidi"/>
                <w:sz w:val="16"/>
                <w:szCs w:val="16"/>
                <w:lang w:eastAsia="en-US"/>
              </w:rPr>
            </w:pPr>
            <w:r>
              <w:rPr>
                <w:rStyle w:val="normaltextrun"/>
                <w:rFonts w:ascii="Verdana" w:eastAsiaTheme="minorHAnsi" w:hAnsi="Verdana" w:cstheme="minorBidi"/>
                <w:sz w:val="16"/>
                <w:szCs w:val="16"/>
                <w:lang w:eastAsia="en-US"/>
              </w:rPr>
              <w:t>G</w:t>
            </w:r>
            <w:r w:rsidRPr="00715939">
              <w:rPr>
                <w:rStyle w:val="normaltextrun"/>
                <w:rFonts w:ascii="Verdana" w:eastAsiaTheme="minorHAnsi" w:hAnsi="Verdana" w:cstheme="minorBidi"/>
                <w:sz w:val="16"/>
                <w:szCs w:val="16"/>
                <w:lang w:eastAsia="en-US"/>
              </w:rPr>
              <w:t xml:space="preserve">estor T1-15 </w:t>
            </w:r>
            <w:r w:rsidR="00553F39" w:rsidRPr="00715939">
              <w:rPr>
                <w:rStyle w:val="normaltextrun"/>
                <w:rFonts w:ascii="Verdana" w:eastAsiaTheme="minorHAnsi" w:hAnsi="Verdana" w:cstheme="minorBidi"/>
                <w:sz w:val="16"/>
                <w:szCs w:val="16"/>
                <w:lang w:eastAsia="en-US"/>
              </w:rPr>
              <w:t>de la Subdirección de Gestión Contractual</w:t>
            </w:r>
          </w:p>
        </w:tc>
      </w:tr>
      <w:tr w:rsidR="00AB64A5" w:rsidRPr="00715939" w14:paraId="082B5310" w14:textId="77777777" w:rsidTr="00715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
        </w:trPr>
        <w:tc>
          <w:tcPr>
            <w:tcW w:w="893" w:type="dxa"/>
            <w:tcBorders>
              <w:top w:val="nil"/>
              <w:left w:val="nil"/>
              <w:bottom w:val="nil"/>
              <w:right w:val="nil"/>
            </w:tcBorders>
            <w:vAlign w:val="center"/>
          </w:tcPr>
          <w:p w14:paraId="7430F20F" w14:textId="77777777" w:rsidR="00AB64A5" w:rsidRPr="00715939" w:rsidRDefault="00AB64A5" w:rsidP="00715939">
            <w:pPr>
              <w:spacing w:line="276" w:lineRule="auto"/>
              <w:contextualSpacing/>
              <w:rPr>
                <w:rFonts w:ascii="Verdana" w:hAnsi="Verdana" w:cs="Arial"/>
                <w:sz w:val="16"/>
                <w:szCs w:val="16"/>
                <w:lang w:val="es-ES" w:eastAsia="es-ES"/>
              </w:rPr>
            </w:pPr>
            <w:r w:rsidRPr="00715939">
              <w:rPr>
                <w:rFonts w:ascii="Verdana" w:hAnsi="Verdana" w:cs="Arial"/>
                <w:sz w:val="16"/>
                <w:szCs w:val="16"/>
                <w:lang w:val="es-ES" w:eastAsia="es-ES"/>
              </w:rPr>
              <w:t>Aprobó:</w:t>
            </w:r>
          </w:p>
        </w:tc>
        <w:tc>
          <w:tcPr>
            <w:tcW w:w="5628" w:type="dxa"/>
            <w:tcBorders>
              <w:top w:val="nil"/>
              <w:left w:val="nil"/>
              <w:bottom w:val="nil"/>
              <w:right w:val="nil"/>
            </w:tcBorders>
            <w:vAlign w:val="center"/>
          </w:tcPr>
          <w:p w14:paraId="14C31041" w14:textId="77777777" w:rsidR="00AB64A5" w:rsidRPr="00715939" w:rsidRDefault="00AB64A5" w:rsidP="00715939">
            <w:pPr>
              <w:spacing w:line="276" w:lineRule="auto"/>
              <w:contextualSpacing/>
              <w:rPr>
                <w:rStyle w:val="normaltextrun"/>
                <w:rFonts w:ascii="Verdana" w:hAnsi="Verdana"/>
                <w:sz w:val="16"/>
                <w:szCs w:val="16"/>
              </w:rPr>
            </w:pPr>
            <w:r w:rsidRPr="00715939">
              <w:rPr>
                <w:rStyle w:val="normaltextrun"/>
                <w:rFonts w:ascii="Verdana" w:hAnsi="Verdana"/>
                <w:sz w:val="16"/>
                <w:szCs w:val="16"/>
              </w:rPr>
              <w:t>Carolina Quintero Gacharná</w:t>
            </w:r>
          </w:p>
          <w:p w14:paraId="1A53492F" w14:textId="77777777" w:rsidR="00AB64A5" w:rsidRPr="00715939" w:rsidRDefault="00AB64A5" w:rsidP="00715939">
            <w:pPr>
              <w:spacing w:line="276" w:lineRule="auto"/>
              <w:contextualSpacing/>
              <w:rPr>
                <w:rStyle w:val="normaltextrun"/>
                <w:rFonts w:ascii="Verdana" w:hAnsi="Verdana"/>
                <w:sz w:val="16"/>
                <w:szCs w:val="16"/>
              </w:rPr>
            </w:pPr>
            <w:r w:rsidRPr="00715939">
              <w:rPr>
                <w:rStyle w:val="normaltextrun"/>
                <w:rFonts w:ascii="Verdana" w:hAnsi="Verdana"/>
                <w:sz w:val="16"/>
                <w:szCs w:val="16"/>
              </w:rPr>
              <w:t>Subdirectora de Gestión Contractual ANCP – CCE</w:t>
            </w:r>
          </w:p>
        </w:tc>
      </w:tr>
    </w:tbl>
    <w:p w14:paraId="011E4F21" w14:textId="77777777" w:rsidR="00AB64A5" w:rsidRPr="00715939" w:rsidRDefault="00AB64A5" w:rsidP="00715939">
      <w:pPr>
        <w:spacing w:after="0" w:line="276" w:lineRule="auto"/>
        <w:rPr>
          <w:rFonts w:ascii="Verdana" w:eastAsia="Times New Roman" w:hAnsi="Verdana" w:cs="Arial"/>
          <w:lang w:eastAsia="es-ES"/>
        </w:rPr>
      </w:pPr>
    </w:p>
    <w:p w14:paraId="02CE4EF4" w14:textId="77777777" w:rsidR="00AB64A5" w:rsidRPr="00715939" w:rsidRDefault="00AB64A5" w:rsidP="00715939">
      <w:pPr>
        <w:spacing w:line="276" w:lineRule="auto"/>
        <w:rPr>
          <w:rFonts w:ascii="Verdana" w:hAnsi="Verdana"/>
        </w:rPr>
      </w:pPr>
    </w:p>
    <w:p w14:paraId="7644495A" w14:textId="77777777" w:rsidR="00AB64A5" w:rsidRPr="00715939" w:rsidRDefault="00AB64A5" w:rsidP="00715939">
      <w:pPr>
        <w:spacing w:after="0" w:line="276" w:lineRule="auto"/>
        <w:rPr>
          <w:rFonts w:ascii="Verdana" w:hAnsi="Verdana"/>
        </w:rPr>
      </w:pPr>
      <w:r w:rsidRPr="00715939">
        <w:rPr>
          <w:rFonts w:ascii="Verdana" w:hAnsi="Verdana"/>
        </w:rPr>
        <w:tab/>
      </w:r>
    </w:p>
    <w:bookmarkEnd w:id="1"/>
    <w:p w14:paraId="34BF06D8" w14:textId="77777777" w:rsidR="00AB64A5" w:rsidRPr="00715939" w:rsidRDefault="00AB64A5" w:rsidP="00715939">
      <w:pPr>
        <w:spacing w:after="0" w:line="276" w:lineRule="auto"/>
        <w:rPr>
          <w:rFonts w:ascii="Verdana" w:hAnsi="Verdana"/>
        </w:rPr>
      </w:pPr>
    </w:p>
    <w:p w14:paraId="1F766B8E" w14:textId="77777777" w:rsidR="00AB64A5" w:rsidRPr="00715939" w:rsidRDefault="00AB64A5" w:rsidP="00715939">
      <w:pPr>
        <w:spacing w:after="0" w:line="276" w:lineRule="auto"/>
        <w:rPr>
          <w:rFonts w:ascii="Verdana" w:hAnsi="Verdana"/>
        </w:rPr>
      </w:pPr>
    </w:p>
    <w:bookmarkEnd w:id="0"/>
    <w:p w14:paraId="1D08ED52" w14:textId="77777777" w:rsidR="00AB64A5" w:rsidRPr="00715939" w:rsidRDefault="00AB64A5" w:rsidP="00715939">
      <w:pPr>
        <w:spacing w:after="0" w:line="276" w:lineRule="auto"/>
        <w:rPr>
          <w:rFonts w:ascii="Verdana" w:hAnsi="Verdana"/>
        </w:rPr>
      </w:pPr>
    </w:p>
    <w:p w14:paraId="5CDCF197" w14:textId="77777777" w:rsidR="009C4900" w:rsidRPr="00715939" w:rsidRDefault="009C4900" w:rsidP="00715939">
      <w:pPr>
        <w:spacing w:line="276" w:lineRule="auto"/>
        <w:rPr>
          <w:rFonts w:ascii="Verdana" w:hAnsi="Verdana"/>
        </w:rPr>
      </w:pPr>
    </w:p>
    <w:sectPr w:rsidR="009C4900" w:rsidRPr="00715939" w:rsidSect="00AB64A5">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EECF0" w14:textId="77777777" w:rsidR="00FB64CA" w:rsidRDefault="00FB64CA" w:rsidP="00AB64A5">
      <w:pPr>
        <w:spacing w:after="0" w:line="240" w:lineRule="auto"/>
      </w:pPr>
      <w:r>
        <w:separator/>
      </w:r>
    </w:p>
  </w:endnote>
  <w:endnote w:type="continuationSeparator" w:id="0">
    <w:p w14:paraId="480098C4" w14:textId="77777777" w:rsidR="00FB64CA" w:rsidRDefault="00FB64CA" w:rsidP="00AB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44757" w14:textId="77777777" w:rsidR="00900AD7" w:rsidRDefault="00900AD7">
    <w:pPr>
      <w:pStyle w:val="Piedepgina"/>
    </w:pPr>
  </w:p>
  <w:p w14:paraId="36A1BDCE" w14:textId="77777777" w:rsidR="00900AD7" w:rsidRPr="00174B77" w:rsidRDefault="00000000"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5FB6292" w14:textId="77777777" w:rsidR="00900AD7" w:rsidRDefault="00000000"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80179F8" w14:textId="77777777" w:rsidR="00900AD7" w:rsidRPr="00E41027" w:rsidRDefault="00000000" w:rsidP="00D520D8">
    <w:pPr>
      <w:spacing w:after="0"/>
      <w:jc w:val="both"/>
      <w:rPr>
        <w:rFonts w:ascii="Verdana" w:hAnsi="Verdana"/>
        <w:sz w:val="18"/>
        <w:szCs w:val="18"/>
      </w:rPr>
    </w:pPr>
    <w:r w:rsidRPr="00E41027">
      <w:rPr>
        <w:rFonts w:ascii="Verdana" w:hAnsi="Verdana"/>
        <w:sz w:val="18"/>
        <w:szCs w:val="18"/>
      </w:rPr>
      <w:t>Mesa de servicio: (+57) 601 7456788</w:t>
    </w:r>
  </w:p>
  <w:p w14:paraId="7BB0ED8A" w14:textId="77777777" w:rsidR="00900AD7" w:rsidRDefault="00000000"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11336CC5" w14:textId="77777777" w:rsidR="006D24E7" w:rsidRDefault="006D24E7"/>
  <w:p w14:paraId="5A29B81E" w14:textId="77777777" w:rsidR="006D24E7" w:rsidRDefault="006D2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AB736" w14:textId="77777777" w:rsidR="00FB64CA" w:rsidRDefault="00FB64CA" w:rsidP="00AB64A5">
      <w:pPr>
        <w:spacing w:after="0" w:line="240" w:lineRule="auto"/>
      </w:pPr>
      <w:r>
        <w:separator/>
      </w:r>
    </w:p>
  </w:footnote>
  <w:footnote w:type="continuationSeparator" w:id="0">
    <w:p w14:paraId="22C22C9C" w14:textId="77777777" w:rsidR="00FB64CA" w:rsidRDefault="00FB64CA" w:rsidP="00AB64A5">
      <w:pPr>
        <w:spacing w:after="0" w:line="240" w:lineRule="auto"/>
      </w:pPr>
      <w:r>
        <w:continuationSeparator/>
      </w:r>
    </w:p>
  </w:footnote>
  <w:footnote w:id="1">
    <w:p w14:paraId="40BC996D" w14:textId="77777777" w:rsidR="00B50562" w:rsidRPr="002B6BF8" w:rsidRDefault="00B50562" w:rsidP="00B50562">
      <w:pPr>
        <w:spacing w:after="120"/>
        <w:ind w:firstLine="709"/>
        <w:rPr>
          <w:rFonts w:ascii="Arial" w:hAnsi="Arial" w:cs="Arial"/>
          <w:sz w:val="16"/>
          <w:szCs w:val="16"/>
        </w:rPr>
      </w:pPr>
      <w:r w:rsidRPr="002B6BF8">
        <w:rPr>
          <w:rStyle w:val="Refdenotaalpie"/>
          <w:rFonts w:ascii="Arial" w:hAnsi="Arial" w:cs="Arial"/>
          <w:sz w:val="16"/>
          <w:szCs w:val="16"/>
        </w:rPr>
        <w:footnoteRef/>
      </w:r>
      <w:r w:rsidRPr="002B6BF8">
        <w:rPr>
          <w:rFonts w:ascii="Arial" w:hAnsi="Arial" w:cs="Arial"/>
          <w:sz w:val="16"/>
          <w:szCs w:val="16"/>
        </w:rPr>
        <w:t xml:space="preserve"> Código Civil «Artículo 2142. El mandato es un contrato en que una persona confía la gestión de uno o más negocios a otra, que se hace cargo de ellos por cuenta y riesgo de la primera.</w:t>
      </w:r>
    </w:p>
    <w:p w14:paraId="1E56C88F" w14:textId="77777777" w:rsidR="00B50562" w:rsidRPr="002B6BF8" w:rsidRDefault="00B50562" w:rsidP="00B50562">
      <w:pPr>
        <w:ind w:firstLine="424"/>
        <w:rPr>
          <w:rFonts w:ascii="Arial" w:hAnsi="Arial" w:cs="Arial"/>
          <w:sz w:val="16"/>
          <w:szCs w:val="16"/>
        </w:rPr>
      </w:pPr>
      <w:r w:rsidRPr="002B6BF8">
        <w:rPr>
          <w:rFonts w:ascii="Arial" w:hAnsi="Arial" w:cs="Arial"/>
          <w:sz w:val="16"/>
          <w:szCs w:val="16"/>
        </w:rPr>
        <w:t>»La persona que concede el encargo se llama comitente o mandante, y la que lo acepta apoderado, procurador, y en general mandatario».</w:t>
      </w:r>
    </w:p>
  </w:footnote>
  <w:footnote w:id="2">
    <w:p w14:paraId="42DB7A75" w14:textId="1E240B99" w:rsidR="00283C1D" w:rsidRPr="00C44F18" w:rsidRDefault="00283C1D" w:rsidP="00283C1D">
      <w:pPr>
        <w:pStyle w:val="Textonotapie"/>
        <w:ind w:firstLine="708"/>
        <w:jc w:val="both"/>
        <w:rPr>
          <w:rFonts w:ascii="Arial" w:hAnsi="Arial" w:cs="Arial"/>
          <w:sz w:val="16"/>
          <w:szCs w:val="16"/>
        </w:rPr>
      </w:pPr>
      <w:r w:rsidRPr="00C44F18">
        <w:rPr>
          <w:rStyle w:val="Refdenotaalpie"/>
          <w:rFonts w:ascii="Arial" w:hAnsi="Arial" w:cs="Arial"/>
          <w:sz w:val="16"/>
          <w:szCs w:val="16"/>
        </w:rPr>
        <w:footnoteRef/>
      </w:r>
      <w:r w:rsidRPr="00C44F18">
        <w:rPr>
          <w:rFonts w:ascii="Arial" w:hAnsi="Arial" w:cs="Arial"/>
          <w:sz w:val="16"/>
          <w:szCs w:val="16"/>
        </w:rPr>
        <w:t xml:space="preserve"> </w:t>
      </w:r>
      <w:r w:rsidR="00715939">
        <w:rPr>
          <w:rFonts w:ascii="Arial" w:hAnsi="Arial" w:cs="Arial"/>
          <w:sz w:val="16"/>
          <w:szCs w:val="16"/>
        </w:rPr>
        <w:t>“</w:t>
      </w:r>
      <w:r w:rsidRPr="00C44F18">
        <w:rPr>
          <w:rFonts w:ascii="Arial" w:hAnsi="Arial" w:cs="Arial"/>
          <w:sz w:val="16"/>
          <w:szCs w:val="16"/>
        </w:rPr>
        <w:t>Art. 1505. Lo que una persona ejecuta a nombre de otra, estando facultada por ella o por la ley para representarla, produce respecto del representado iguales efectos que si hubiese contratado él mismo</w:t>
      </w:r>
      <w:r w:rsidR="00715939">
        <w:rPr>
          <w:rFonts w:ascii="Arial" w:hAnsi="Arial" w:cs="Arial"/>
          <w:sz w:val="16"/>
          <w:szCs w:val="16"/>
        </w:rPr>
        <w:t>”</w:t>
      </w:r>
      <w:r w:rsidRPr="00C44F18">
        <w:rPr>
          <w:rFonts w:ascii="Arial" w:hAnsi="Arial" w:cs="Arial"/>
          <w:sz w:val="16"/>
          <w:szCs w:val="16"/>
        </w:rPr>
        <w:t>.</w:t>
      </w:r>
    </w:p>
    <w:p w14:paraId="78F5C5CC" w14:textId="77777777" w:rsidR="00283C1D" w:rsidRPr="00C44F18" w:rsidRDefault="00283C1D" w:rsidP="00283C1D">
      <w:pPr>
        <w:pStyle w:val="Textonotapie"/>
        <w:ind w:firstLine="708"/>
        <w:jc w:val="both"/>
        <w:rPr>
          <w:rFonts w:ascii="Arial" w:hAnsi="Arial" w:cs="Arial"/>
          <w:sz w:val="16"/>
          <w:szCs w:val="16"/>
        </w:rPr>
      </w:pPr>
    </w:p>
  </w:footnote>
  <w:footnote w:id="3">
    <w:p w14:paraId="07B22783" w14:textId="1BE8E4A7" w:rsidR="00283C1D" w:rsidRPr="00C44F18" w:rsidRDefault="00283C1D" w:rsidP="00283C1D">
      <w:pPr>
        <w:spacing w:after="120" w:line="240" w:lineRule="auto"/>
        <w:ind w:firstLine="709"/>
        <w:jc w:val="both"/>
        <w:rPr>
          <w:rFonts w:ascii="Arial" w:hAnsi="Arial" w:cs="Arial"/>
          <w:sz w:val="16"/>
          <w:szCs w:val="16"/>
        </w:rPr>
      </w:pPr>
      <w:r w:rsidRPr="00C44F18">
        <w:rPr>
          <w:rStyle w:val="Refdenotaalpie"/>
          <w:rFonts w:ascii="Arial" w:hAnsi="Arial" w:cs="Arial"/>
          <w:sz w:val="16"/>
          <w:szCs w:val="16"/>
        </w:rPr>
        <w:footnoteRef/>
      </w:r>
      <w:r w:rsidRPr="00C44F18">
        <w:rPr>
          <w:rFonts w:ascii="Arial" w:hAnsi="Arial" w:cs="Arial"/>
          <w:sz w:val="16"/>
          <w:szCs w:val="16"/>
        </w:rPr>
        <w:t xml:space="preserve"> Código Civil </w:t>
      </w:r>
      <w:r w:rsidR="00715939">
        <w:rPr>
          <w:rFonts w:ascii="Arial" w:hAnsi="Arial" w:cs="Arial"/>
          <w:sz w:val="16"/>
          <w:szCs w:val="16"/>
        </w:rPr>
        <w:t>“</w:t>
      </w:r>
      <w:r w:rsidRPr="00C44F18">
        <w:rPr>
          <w:rFonts w:ascii="Arial" w:hAnsi="Arial" w:cs="Arial"/>
          <w:sz w:val="16"/>
          <w:szCs w:val="16"/>
        </w:rPr>
        <w:t>Artículo 2142. El mandato es un contrato en que una persona confía la gestión de uno o más negocios a otra, que se hace cargo de ellos por cuenta y riesgo de la primera.</w:t>
      </w:r>
    </w:p>
    <w:p w14:paraId="58A27E91" w14:textId="49B265C1" w:rsidR="00283C1D" w:rsidRPr="00C44F18" w:rsidRDefault="00715939" w:rsidP="00283C1D">
      <w:pPr>
        <w:spacing w:after="0" w:line="240" w:lineRule="auto"/>
        <w:ind w:firstLine="424"/>
        <w:jc w:val="both"/>
        <w:rPr>
          <w:rFonts w:ascii="Arial" w:hAnsi="Arial" w:cs="Arial"/>
          <w:sz w:val="16"/>
          <w:szCs w:val="16"/>
        </w:rPr>
      </w:pPr>
      <w:r>
        <w:rPr>
          <w:rFonts w:ascii="Arial" w:hAnsi="Arial" w:cs="Arial"/>
          <w:sz w:val="16"/>
          <w:szCs w:val="16"/>
        </w:rPr>
        <w:t>“</w:t>
      </w:r>
      <w:r w:rsidR="00283C1D" w:rsidRPr="00C44F18">
        <w:rPr>
          <w:rFonts w:ascii="Arial" w:hAnsi="Arial" w:cs="Arial"/>
          <w:sz w:val="16"/>
          <w:szCs w:val="16"/>
        </w:rPr>
        <w:t>La persona que concede el encargo se llama comitente o mandante, y la que lo acepta apoderado, procurador, y en general mandatario</w:t>
      </w:r>
      <w:r>
        <w:rPr>
          <w:rFonts w:ascii="Arial" w:hAnsi="Arial" w:cs="Arial"/>
          <w:sz w:val="16"/>
          <w:szCs w:val="16"/>
        </w:rPr>
        <w:t>”</w:t>
      </w:r>
      <w:r w:rsidR="00283C1D" w:rsidRPr="00C44F18">
        <w:rPr>
          <w:rFonts w:ascii="Arial" w:hAnsi="Arial" w:cs="Arial"/>
          <w:sz w:val="16"/>
          <w:szCs w:val="16"/>
        </w:rPr>
        <w:t>.</w:t>
      </w:r>
    </w:p>
  </w:footnote>
  <w:footnote w:id="4">
    <w:p w14:paraId="6CDE606F" w14:textId="77777777" w:rsidR="00283C1D" w:rsidRPr="00715939" w:rsidRDefault="00283C1D" w:rsidP="00283C1D">
      <w:pPr>
        <w:pStyle w:val="Textonotapie"/>
        <w:ind w:firstLine="708"/>
        <w:jc w:val="both"/>
        <w:rPr>
          <w:rFonts w:ascii="Arial" w:hAnsi="Arial" w:cs="Arial"/>
          <w:sz w:val="16"/>
          <w:szCs w:val="16"/>
        </w:rPr>
      </w:pPr>
      <w:r w:rsidRPr="00715939">
        <w:rPr>
          <w:rStyle w:val="Refdenotaalpie"/>
          <w:rFonts w:ascii="Arial" w:hAnsi="Arial" w:cs="Arial"/>
          <w:sz w:val="16"/>
          <w:szCs w:val="16"/>
        </w:rPr>
        <w:footnoteRef/>
      </w:r>
      <w:r w:rsidRPr="00715939">
        <w:rPr>
          <w:rFonts w:ascii="Arial" w:hAnsi="Arial" w:cs="Arial"/>
          <w:sz w:val="16"/>
          <w:szCs w:val="16"/>
        </w:rPr>
        <w:t xml:space="preserve"> Corte Suprema de Justicia. Sala de Casación Civil. Sentencia de 17 de junio de 1937, reiterada en sentencias de 28 de marzo de 1939 y 18 de agosto de 1958. </w:t>
      </w:r>
    </w:p>
  </w:footnote>
  <w:footnote w:id="5">
    <w:p w14:paraId="38D5F58F" w14:textId="77777777" w:rsidR="006138DE" w:rsidRPr="0084733A" w:rsidRDefault="006138DE" w:rsidP="006138DE">
      <w:pPr>
        <w:pStyle w:val="Textonotapie"/>
        <w:rPr>
          <w:lang w:val="es-CO"/>
        </w:rPr>
      </w:pPr>
      <w:r>
        <w:rPr>
          <w:rStyle w:val="Refdenotaalpie"/>
        </w:rPr>
        <w:footnoteRef/>
      </w:r>
      <w:r>
        <w:t xml:space="preserve"> </w:t>
      </w:r>
      <w:r w:rsidRPr="00715939">
        <w:rPr>
          <w:rFonts w:ascii="Verdana" w:hAnsi="Verdana" w:cs="Arial"/>
          <w:sz w:val="16"/>
          <w:szCs w:val="16"/>
        </w:rPr>
        <w:t>Corte Constitucional. Sentencia C-317 de 2012. M.P. María Victoria Calle Correa.</w:t>
      </w:r>
    </w:p>
  </w:footnote>
  <w:footnote w:id="6">
    <w:p w14:paraId="033A3DDA" w14:textId="77777777" w:rsidR="006138DE" w:rsidRPr="00715939" w:rsidRDefault="006138DE" w:rsidP="006138DE">
      <w:pPr>
        <w:pStyle w:val="Textonotapie"/>
        <w:jc w:val="both"/>
        <w:rPr>
          <w:rFonts w:ascii="Verdana" w:hAnsi="Verdana"/>
          <w:sz w:val="16"/>
          <w:szCs w:val="16"/>
          <w:lang w:val="es-CO"/>
        </w:rPr>
      </w:pPr>
      <w:r w:rsidRPr="00715939">
        <w:rPr>
          <w:rStyle w:val="Refdenotaalpie"/>
          <w:rFonts w:ascii="Verdana" w:hAnsi="Verdana"/>
          <w:sz w:val="16"/>
          <w:szCs w:val="16"/>
        </w:rPr>
        <w:footnoteRef/>
      </w:r>
      <w:r w:rsidRPr="00715939">
        <w:rPr>
          <w:rFonts w:ascii="Verdana" w:hAnsi="Verdana"/>
          <w:sz w:val="16"/>
          <w:szCs w:val="16"/>
        </w:rPr>
        <w:t xml:space="preserve"> </w:t>
      </w:r>
      <w:r w:rsidRPr="00715939">
        <w:rPr>
          <w:rFonts w:ascii="Verdana" w:hAnsi="Verdana" w:cs="Arial"/>
          <w:sz w:val="16"/>
          <w:szCs w:val="16"/>
        </w:rPr>
        <w:t>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footnote>
  <w:footnote w:id="7">
    <w:p w14:paraId="6C6391EF" w14:textId="77777777" w:rsidR="006138DE" w:rsidRPr="0084733A" w:rsidRDefault="006138DE" w:rsidP="006138DE">
      <w:pPr>
        <w:pStyle w:val="Textonotapie"/>
        <w:jc w:val="both"/>
        <w:rPr>
          <w:lang w:val="es-CO"/>
        </w:rPr>
      </w:pPr>
      <w:r w:rsidRPr="00715939">
        <w:rPr>
          <w:rStyle w:val="Refdenotaalpie"/>
          <w:rFonts w:ascii="Verdana" w:hAnsi="Verdana"/>
          <w:sz w:val="16"/>
          <w:szCs w:val="16"/>
        </w:rPr>
        <w:footnoteRef/>
      </w:r>
      <w:r w:rsidRPr="00715939">
        <w:rPr>
          <w:rFonts w:ascii="Verdana" w:hAnsi="Verdana"/>
          <w:sz w:val="16"/>
          <w:szCs w:val="16"/>
        </w:rPr>
        <w:t xml:space="preserve"> </w:t>
      </w:r>
      <w:r w:rsidRPr="00715939">
        <w:rPr>
          <w:rFonts w:ascii="Verdana" w:hAnsi="Verdana" w:cs="Arial"/>
          <w:sz w:val="16"/>
          <w:szCs w:val="16"/>
        </w:rPr>
        <w:t>Se entiende por entidades de régimen especial aquellas que tienen un régimen contractual distinto al Estatuto General de Contratación de la Administración Pública, y que por regla general se rigen por el derecho privado</w:t>
      </w:r>
    </w:p>
  </w:footnote>
  <w:footnote w:id="8">
    <w:p w14:paraId="42E27171" w14:textId="77777777" w:rsidR="006138DE" w:rsidRPr="006138DE" w:rsidRDefault="006138DE" w:rsidP="006138DE">
      <w:pPr>
        <w:pStyle w:val="Textonotapie"/>
        <w:ind w:firstLine="709"/>
        <w:jc w:val="both"/>
        <w:rPr>
          <w:rFonts w:ascii="Verdana" w:hAnsi="Verdana" w:cs="Arial"/>
          <w:sz w:val="16"/>
          <w:szCs w:val="16"/>
        </w:rPr>
      </w:pPr>
      <w:r w:rsidRPr="006138DE">
        <w:rPr>
          <w:rStyle w:val="Refdenotaalpie"/>
          <w:rFonts w:ascii="Verdana" w:hAnsi="Verdana"/>
          <w:sz w:val="16"/>
          <w:szCs w:val="16"/>
        </w:rPr>
        <w:footnoteRef/>
      </w:r>
      <w:r w:rsidRPr="006138DE">
        <w:rPr>
          <w:rFonts w:ascii="Verdana" w:hAnsi="Verdana"/>
          <w:sz w:val="16"/>
          <w:szCs w:val="16"/>
        </w:rPr>
        <w:t xml:space="preserve"> </w:t>
      </w:r>
      <w:r w:rsidRPr="006138DE">
        <w:rPr>
          <w:rFonts w:ascii="Verdana" w:hAnsi="Verdana" w:cs="Arial"/>
          <w:sz w:val="16"/>
          <w:szCs w:val="16"/>
        </w:rPr>
        <w:t>La posibilidad de realizar la audiencia por medios electrónicos cuenta con un fundamento adicional actual, en el Decreto Legislativo 537 de 2020, que establece lo siguiente: “Artículo 2. Adiciónese los siguientes incisos al artículo 86 de la Ley 1474 de 2011, así:</w:t>
      </w:r>
    </w:p>
    <w:p w14:paraId="0426D0F3" w14:textId="77777777" w:rsidR="006138DE" w:rsidRPr="006138DE" w:rsidRDefault="006138DE" w:rsidP="006138DE">
      <w:pPr>
        <w:pStyle w:val="Textonotapie"/>
        <w:ind w:firstLine="709"/>
        <w:jc w:val="both"/>
        <w:rPr>
          <w:rFonts w:ascii="Verdana" w:hAnsi="Verdana" w:cs="Arial"/>
          <w:sz w:val="16"/>
          <w:szCs w:val="16"/>
        </w:rPr>
      </w:pPr>
      <w:r w:rsidRPr="006138DE">
        <w:rPr>
          <w:rFonts w:ascii="Verdana" w:hAnsi="Verdana" w:cs="Arial"/>
          <w:sz w:val="16"/>
          <w:szCs w:val="16"/>
        </w:rPr>
        <w:t>“Procedimientos sancionatorios.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medios electrónicos, los cuales deberán garantizar el acceso de los contratistas y de quienes hayan expedido la garantía.</w:t>
      </w:r>
    </w:p>
    <w:p w14:paraId="602AA609" w14:textId="77777777" w:rsidR="006138DE" w:rsidRPr="006138DE" w:rsidRDefault="006138DE" w:rsidP="006138DE">
      <w:pPr>
        <w:pStyle w:val="Textonotapie"/>
        <w:ind w:firstLine="709"/>
        <w:jc w:val="both"/>
        <w:rPr>
          <w:rFonts w:ascii="Verdana" w:hAnsi="Verdana" w:cs="Arial"/>
          <w:sz w:val="16"/>
          <w:szCs w:val="16"/>
        </w:rPr>
      </w:pPr>
      <w:r w:rsidRPr="006138DE">
        <w:rPr>
          <w:rFonts w:ascii="Verdana" w:hAnsi="Verdana" w:cs="Arial"/>
          <w:sz w:val="16"/>
          <w:szCs w:val="16"/>
        </w:rPr>
        <w:t>La entidad estatal debe elegir y garantizar los medios electrónicos y de comunicación que utilizará, así como los mecanismos para el registro de la Información generada.</w:t>
      </w:r>
    </w:p>
    <w:p w14:paraId="5F30841B" w14:textId="77777777" w:rsidR="006138DE" w:rsidRPr="006138DE" w:rsidRDefault="006138DE" w:rsidP="006138DE">
      <w:pPr>
        <w:pStyle w:val="Textonotapie"/>
        <w:ind w:firstLine="709"/>
        <w:jc w:val="both"/>
        <w:rPr>
          <w:rFonts w:ascii="Verdana" w:hAnsi="Verdana"/>
          <w:sz w:val="16"/>
          <w:szCs w:val="16"/>
          <w:lang w:val="es-CO"/>
        </w:rPr>
      </w:pPr>
      <w:r w:rsidRPr="006138DE">
        <w:rPr>
          <w:rFonts w:ascii="Verdana" w:hAnsi="Verdana" w:cs="Arial"/>
          <w:sz w:val="16"/>
          <w:szCs w:val="16"/>
        </w:rPr>
        <w:t>Sin perjuicio de lo anterior, el ordenador del gasto o funcionario competente podrá decretar la suspensión de términos, inclusive los iniciados con anterioridad a la vigencia de este Decreto”.</w:t>
      </w:r>
    </w:p>
  </w:footnote>
  <w:footnote w:id="9">
    <w:p w14:paraId="6348DBAB" w14:textId="1AFBCC45" w:rsidR="006138DE" w:rsidRPr="0055156D" w:rsidRDefault="006138DE" w:rsidP="006138DE">
      <w:pPr>
        <w:pStyle w:val="Textonotapie"/>
        <w:jc w:val="both"/>
        <w:rPr>
          <w:lang w:val="es-CO"/>
        </w:rPr>
      </w:pPr>
      <w:r w:rsidRPr="006138DE">
        <w:rPr>
          <w:rStyle w:val="Refdenotaalpie"/>
          <w:rFonts w:ascii="Verdana" w:hAnsi="Verdana"/>
          <w:sz w:val="16"/>
          <w:szCs w:val="16"/>
        </w:rPr>
        <w:footnoteRef/>
      </w:r>
      <w:r w:rsidRPr="006138DE">
        <w:rPr>
          <w:rFonts w:ascii="Verdana" w:hAnsi="Verdana"/>
          <w:sz w:val="16"/>
          <w:szCs w:val="16"/>
        </w:rPr>
        <w:t xml:space="preserve"> </w:t>
      </w:r>
      <w:r w:rsidRPr="006138DE">
        <w:rPr>
          <w:rFonts w:ascii="Verdana" w:hAnsi="Verdana" w:cs="Arial"/>
          <w:sz w:val="16"/>
          <w:szCs w:val="16"/>
        </w:rPr>
        <w:t xml:space="preserve">En este sentido, Suárez Tamayo indica: </w:t>
      </w:r>
      <w:r w:rsidR="00715939">
        <w:rPr>
          <w:rFonts w:ascii="Verdana" w:hAnsi="Verdana" w:cs="Arial"/>
          <w:sz w:val="16"/>
          <w:szCs w:val="16"/>
        </w:rPr>
        <w:t>“</w:t>
      </w:r>
      <w:r w:rsidRPr="006138DE">
        <w:rPr>
          <w:rFonts w:ascii="Verdana" w:hAnsi="Verdana" w:cs="Arial"/>
          <w:sz w:val="16"/>
          <w:szCs w:val="16"/>
        </w:rPr>
        <w:t>La citación debe hacerse con un plazo anterior a la audiencia, razonable y suficiente, de modo que el contratista y la aseguradora puedan prepararse para la misma. Dado que la norma no estipuló dicho término se considera que el mismo no debería ser inferior, como mínimo de cinco (5) días hábiles, según la complejidad del hecho que genera la citación a audiencia, plazo que es el que comúnmente utiliza la legislación colombiana para hacer por ejemplo citaciones para notificaciones, o el que se utiliza por ejemplo para citar a audiencias en procesos disciplinarios verbales (Ley 734 de 2002)</w:t>
      </w:r>
      <w:r w:rsidR="00715939">
        <w:rPr>
          <w:rFonts w:ascii="Verdana" w:hAnsi="Verdana" w:cs="Arial"/>
          <w:sz w:val="16"/>
          <w:szCs w:val="16"/>
        </w:rPr>
        <w:t>”</w:t>
      </w:r>
      <w:r w:rsidRPr="006138DE">
        <w:rPr>
          <w:rFonts w:ascii="Verdana" w:hAnsi="Verdana" w:cs="Arial"/>
          <w:sz w:val="16"/>
          <w:szCs w:val="16"/>
        </w:rPr>
        <w:t>. (SUÁREZ TAMAYO, David. Cláusula de multas y penal pecuniaria. Medellín: Centro de Estudios de Derecho Administrativo –CEDA– y Librería Jurídica Sánchez, 2014. p. 165).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7A15B" w14:textId="77777777" w:rsidR="00900AD7" w:rsidRDefault="0000000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712944D" wp14:editId="6ECFF130">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A64A683" wp14:editId="4254D4F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125E49F" w14:textId="77777777" w:rsidR="00900AD7" w:rsidRDefault="00900AD7">
    <w:pPr>
      <w:pStyle w:val="Encabezado"/>
    </w:pPr>
  </w:p>
  <w:p w14:paraId="75C062F4" w14:textId="77777777" w:rsidR="00900AD7" w:rsidRDefault="00900AD7" w:rsidP="004A305D">
    <w:pPr>
      <w:spacing w:after="0"/>
      <w:rPr>
        <w:rFonts w:ascii="Verdana" w:hAnsi="Verdana"/>
        <w:b/>
        <w:bCs/>
      </w:rPr>
    </w:pPr>
  </w:p>
  <w:p w14:paraId="70A11782" w14:textId="77777777" w:rsidR="00900AD7" w:rsidRPr="004A305D" w:rsidRDefault="00900AD7" w:rsidP="00B01B1A">
    <w:pPr>
      <w:spacing w:after="0" w:line="120" w:lineRule="auto"/>
      <w:rPr>
        <w:rFonts w:ascii="Century Gothic" w:eastAsia="Geo" w:hAnsi="Century Gothic" w:cs="Geo"/>
        <w:sz w:val="16"/>
        <w:szCs w:val="16"/>
        <w:lang w:eastAsia="es-CO"/>
      </w:rPr>
    </w:pPr>
  </w:p>
  <w:p w14:paraId="6F0FD394" w14:textId="77777777" w:rsidR="00900AD7" w:rsidRDefault="00900AD7"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7695E"/>
    <w:multiLevelType w:val="hybridMultilevel"/>
    <w:tmpl w:val="C88A0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2CD015C"/>
    <w:multiLevelType w:val="hybridMultilevel"/>
    <w:tmpl w:val="CA6C1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7E4E75"/>
    <w:multiLevelType w:val="hybridMultilevel"/>
    <w:tmpl w:val="3DF0A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F64647"/>
    <w:multiLevelType w:val="hybridMultilevel"/>
    <w:tmpl w:val="A08208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12C5AB7"/>
    <w:multiLevelType w:val="hybridMultilevel"/>
    <w:tmpl w:val="FA1E0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CE120B"/>
    <w:multiLevelType w:val="hybridMultilevel"/>
    <w:tmpl w:val="CFF81CA4"/>
    <w:lvl w:ilvl="0" w:tplc="3B7C8F10">
      <w:start w:val="1"/>
      <w:numFmt w:val="upperLetter"/>
      <w:lvlText w:val="%1."/>
      <w:lvlJc w:val="left"/>
      <w:pPr>
        <w:ind w:left="720" w:hanging="360"/>
      </w:pPr>
      <w:rPr>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48962D6"/>
    <w:multiLevelType w:val="hybridMultilevel"/>
    <w:tmpl w:val="0E7C0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9D254B"/>
    <w:multiLevelType w:val="hybridMultilevel"/>
    <w:tmpl w:val="BFAA7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BE2CF8"/>
    <w:multiLevelType w:val="hybridMultilevel"/>
    <w:tmpl w:val="B62A076E"/>
    <w:lvl w:ilvl="0" w:tplc="0DF2508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2D5069"/>
    <w:multiLevelType w:val="hybridMultilevel"/>
    <w:tmpl w:val="97CCDFF2"/>
    <w:lvl w:ilvl="0" w:tplc="43D0CF70">
      <w:start w:val="1"/>
      <w:numFmt w:val="upp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A57582E"/>
    <w:multiLevelType w:val="hybridMultilevel"/>
    <w:tmpl w:val="DFAC826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4103438C"/>
    <w:multiLevelType w:val="hybridMultilevel"/>
    <w:tmpl w:val="21042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5062BA"/>
    <w:multiLevelType w:val="hybridMultilevel"/>
    <w:tmpl w:val="A85AF8A2"/>
    <w:lvl w:ilvl="0" w:tplc="0096BF10">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5534388E">
      <w:numFmt w:val="bullet"/>
      <w:lvlText w:val="•"/>
      <w:lvlJc w:val="left"/>
      <w:pPr>
        <w:ind w:left="1628" w:hanging="357"/>
      </w:pPr>
      <w:rPr>
        <w:rFonts w:hint="default"/>
        <w:lang w:val="es-ES" w:eastAsia="en-US" w:bidi="ar-SA"/>
      </w:rPr>
    </w:lvl>
    <w:lvl w:ilvl="2" w:tplc="0D9422CE">
      <w:numFmt w:val="bullet"/>
      <w:lvlText w:val="•"/>
      <w:lvlJc w:val="left"/>
      <w:pPr>
        <w:ind w:left="2436" w:hanging="357"/>
      </w:pPr>
      <w:rPr>
        <w:rFonts w:hint="default"/>
        <w:lang w:val="es-ES" w:eastAsia="en-US" w:bidi="ar-SA"/>
      </w:rPr>
    </w:lvl>
    <w:lvl w:ilvl="3" w:tplc="C212D4A8">
      <w:numFmt w:val="bullet"/>
      <w:lvlText w:val="•"/>
      <w:lvlJc w:val="left"/>
      <w:pPr>
        <w:ind w:left="3245" w:hanging="357"/>
      </w:pPr>
      <w:rPr>
        <w:rFonts w:hint="default"/>
        <w:lang w:val="es-ES" w:eastAsia="en-US" w:bidi="ar-SA"/>
      </w:rPr>
    </w:lvl>
    <w:lvl w:ilvl="4" w:tplc="A8DC92BE">
      <w:numFmt w:val="bullet"/>
      <w:lvlText w:val="•"/>
      <w:lvlJc w:val="left"/>
      <w:pPr>
        <w:ind w:left="4053" w:hanging="357"/>
      </w:pPr>
      <w:rPr>
        <w:rFonts w:hint="default"/>
        <w:lang w:val="es-ES" w:eastAsia="en-US" w:bidi="ar-SA"/>
      </w:rPr>
    </w:lvl>
    <w:lvl w:ilvl="5" w:tplc="E76A738A">
      <w:numFmt w:val="bullet"/>
      <w:lvlText w:val="•"/>
      <w:lvlJc w:val="left"/>
      <w:pPr>
        <w:ind w:left="4862" w:hanging="357"/>
      </w:pPr>
      <w:rPr>
        <w:rFonts w:hint="default"/>
        <w:lang w:val="es-ES" w:eastAsia="en-US" w:bidi="ar-SA"/>
      </w:rPr>
    </w:lvl>
    <w:lvl w:ilvl="6" w:tplc="071C3D08">
      <w:numFmt w:val="bullet"/>
      <w:lvlText w:val="•"/>
      <w:lvlJc w:val="left"/>
      <w:pPr>
        <w:ind w:left="5670" w:hanging="357"/>
      </w:pPr>
      <w:rPr>
        <w:rFonts w:hint="default"/>
        <w:lang w:val="es-ES" w:eastAsia="en-US" w:bidi="ar-SA"/>
      </w:rPr>
    </w:lvl>
    <w:lvl w:ilvl="7" w:tplc="B8426594">
      <w:numFmt w:val="bullet"/>
      <w:lvlText w:val="•"/>
      <w:lvlJc w:val="left"/>
      <w:pPr>
        <w:ind w:left="6478" w:hanging="357"/>
      </w:pPr>
      <w:rPr>
        <w:rFonts w:hint="default"/>
        <w:lang w:val="es-ES" w:eastAsia="en-US" w:bidi="ar-SA"/>
      </w:rPr>
    </w:lvl>
    <w:lvl w:ilvl="8" w:tplc="3E68AD10">
      <w:numFmt w:val="bullet"/>
      <w:lvlText w:val="•"/>
      <w:lvlJc w:val="left"/>
      <w:pPr>
        <w:ind w:left="7287" w:hanging="357"/>
      </w:pPr>
      <w:rPr>
        <w:rFonts w:hint="default"/>
        <w:lang w:val="es-ES" w:eastAsia="en-US" w:bidi="ar-SA"/>
      </w:rPr>
    </w:lvl>
  </w:abstractNum>
  <w:abstractNum w:abstractNumId="18" w15:restartNumberingAfterBreak="0">
    <w:nsid w:val="416E6210"/>
    <w:multiLevelType w:val="hybridMultilevel"/>
    <w:tmpl w:val="A8A42AFA"/>
    <w:lvl w:ilvl="0" w:tplc="4EB250B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433B6DF3"/>
    <w:multiLevelType w:val="hybridMultilevel"/>
    <w:tmpl w:val="9E023FA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436A69A8"/>
    <w:multiLevelType w:val="hybridMultilevel"/>
    <w:tmpl w:val="5FD87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A3F27CD"/>
    <w:multiLevelType w:val="hybridMultilevel"/>
    <w:tmpl w:val="0032F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C6D0E2E"/>
    <w:multiLevelType w:val="hybridMultilevel"/>
    <w:tmpl w:val="5C242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4C52BE1"/>
    <w:multiLevelType w:val="hybridMultilevel"/>
    <w:tmpl w:val="0EC87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70F65EA"/>
    <w:multiLevelType w:val="hybridMultilevel"/>
    <w:tmpl w:val="205A6FC4"/>
    <w:lvl w:ilvl="0" w:tplc="4B8EDD6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9081512"/>
    <w:multiLevelType w:val="hybridMultilevel"/>
    <w:tmpl w:val="BFF23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F0267CD"/>
    <w:multiLevelType w:val="hybridMultilevel"/>
    <w:tmpl w:val="AB8CC69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0E13D05"/>
    <w:multiLevelType w:val="hybridMultilevel"/>
    <w:tmpl w:val="BE042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3473322"/>
    <w:multiLevelType w:val="multilevel"/>
    <w:tmpl w:val="7012F0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ascii="Arial" w:hAnsi="Arial" w:cs="Arial"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5B30FB"/>
    <w:multiLevelType w:val="hybridMultilevel"/>
    <w:tmpl w:val="8B20B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4426339"/>
    <w:multiLevelType w:val="hybridMultilevel"/>
    <w:tmpl w:val="569893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BCD33FF"/>
    <w:multiLevelType w:val="hybridMultilevel"/>
    <w:tmpl w:val="907211E6"/>
    <w:lvl w:ilvl="0" w:tplc="240A0001">
      <w:start w:val="1"/>
      <w:numFmt w:val="bullet"/>
      <w:lvlText w:val=""/>
      <w:lvlJc w:val="left"/>
      <w:pPr>
        <w:ind w:left="720" w:hanging="360"/>
      </w:pPr>
      <w:rPr>
        <w:rFonts w:ascii="Symbol" w:hAnsi="Symbol" w:hint="default"/>
      </w:rPr>
    </w:lvl>
    <w:lvl w:ilvl="1" w:tplc="8F6A3E4E">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7010639">
    <w:abstractNumId w:val="0"/>
  </w:num>
  <w:num w:numId="2" w16cid:durableId="271860312">
    <w:abstractNumId w:val="28"/>
  </w:num>
  <w:num w:numId="3" w16cid:durableId="1595672007">
    <w:abstractNumId w:val="21"/>
  </w:num>
  <w:num w:numId="4" w16cid:durableId="1944533281">
    <w:abstractNumId w:val="13"/>
  </w:num>
  <w:num w:numId="5" w16cid:durableId="2081175712">
    <w:abstractNumId w:val="6"/>
  </w:num>
  <w:num w:numId="6" w16cid:durableId="1584220838">
    <w:abstractNumId w:val="1"/>
  </w:num>
  <w:num w:numId="7" w16cid:durableId="1890258578">
    <w:abstractNumId w:val="18"/>
  </w:num>
  <w:num w:numId="8" w16cid:durableId="1250309436">
    <w:abstractNumId w:val="30"/>
  </w:num>
  <w:num w:numId="9" w16cid:durableId="170149205">
    <w:abstractNumId w:val="3"/>
  </w:num>
  <w:num w:numId="10" w16cid:durableId="121771703">
    <w:abstractNumId w:val="17"/>
  </w:num>
  <w:num w:numId="11" w16cid:durableId="679089576">
    <w:abstractNumId w:val="14"/>
  </w:num>
  <w:num w:numId="12" w16cid:durableId="1597637299">
    <w:abstractNumId w:val="15"/>
  </w:num>
  <w:num w:numId="13" w16cid:durableId="1197356270">
    <w:abstractNumId w:val="19"/>
  </w:num>
  <w:num w:numId="14" w16cid:durableId="1422145251">
    <w:abstractNumId w:val="29"/>
  </w:num>
  <w:num w:numId="15" w16cid:durableId="868641893">
    <w:abstractNumId w:val="26"/>
  </w:num>
  <w:num w:numId="16" w16cid:durableId="2025937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209491">
    <w:abstractNumId w:val="12"/>
  </w:num>
  <w:num w:numId="18" w16cid:durableId="1933977330">
    <w:abstractNumId w:val="7"/>
  </w:num>
  <w:num w:numId="19" w16cid:durableId="597564065">
    <w:abstractNumId w:val="16"/>
  </w:num>
  <w:num w:numId="20" w16cid:durableId="1058745687">
    <w:abstractNumId w:val="9"/>
  </w:num>
  <w:num w:numId="21" w16cid:durableId="1228223862">
    <w:abstractNumId w:val="8"/>
  </w:num>
  <w:num w:numId="22" w16cid:durableId="606429298">
    <w:abstractNumId w:val="20"/>
  </w:num>
  <w:num w:numId="23" w16cid:durableId="19822139">
    <w:abstractNumId w:val="2"/>
  </w:num>
  <w:num w:numId="24" w16cid:durableId="66534376">
    <w:abstractNumId w:val="27"/>
  </w:num>
  <w:num w:numId="25" w16cid:durableId="1721511704">
    <w:abstractNumId w:val="22"/>
  </w:num>
  <w:num w:numId="26" w16cid:durableId="1912307450">
    <w:abstractNumId w:val="4"/>
  </w:num>
  <w:num w:numId="27" w16cid:durableId="1147167869">
    <w:abstractNumId w:val="25"/>
  </w:num>
  <w:num w:numId="28" w16cid:durableId="697320800">
    <w:abstractNumId w:val="31"/>
  </w:num>
  <w:num w:numId="29" w16cid:durableId="704909323">
    <w:abstractNumId w:val="11"/>
  </w:num>
  <w:num w:numId="30" w16cid:durableId="1347101994">
    <w:abstractNumId w:val="10"/>
  </w:num>
  <w:num w:numId="31" w16cid:durableId="1075250423">
    <w:abstractNumId w:val="24"/>
  </w:num>
  <w:num w:numId="32" w16cid:durableId="557866738">
    <w:abstractNumId w:val="32"/>
  </w:num>
  <w:num w:numId="33" w16cid:durableId="1170947355">
    <w:abstractNumId w:val="23"/>
  </w:num>
  <w:num w:numId="34" w16cid:durableId="2139764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A5"/>
    <w:rsid w:val="00092DB6"/>
    <w:rsid w:val="000E2148"/>
    <w:rsid w:val="000E351F"/>
    <w:rsid w:val="000E561E"/>
    <w:rsid w:val="000E7508"/>
    <w:rsid w:val="00127C91"/>
    <w:rsid w:val="001F7599"/>
    <w:rsid w:val="00207A26"/>
    <w:rsid w:val="002630EB"/>
    <w:rsid w:val="00283C1D"/>
    <w:rsid w:val="002A19B3"/>
    <w:rsid w:val="002A7290"/>
    <w:rsid w:val="002B25CB"/>
    <w:rsid w:val="002D2553"/>
    <w:rsid w:val="00312E96"/>
    <w:rsid w:val="00380B86"/>
    <w:rsid w:val="003C0836"/>
    <w:rsid w:val="003D5856"/>
    <w:rsid w:val="00455230"/>
    <w:rsid w:val="00553F39"/>
    <w:rsid w:val="00555176"/>
    <w:rsid w:val="005A5AFA"/>
    <w:rsid w:val="005C572E"/>
    <w:rsid w:val="005D26E5"/>
    <w:rsid w:val="006138DE"/>
    <w:rsid w:val="00620BE1"/>
    <w:rsid w:val="006649D6"/>
    <w:rsid w:val="0068640D"/>
    <w:rsid w:val="006D24E7"/>
    <w:rsid w:val="006F77A6"/>
    <w:rsid w:val="00715939"/>
    <w:rsid w:val="00763F15"/>
    <w:rsid w:val="007D3177"/>
    <w:rsid w:val="007E0D51"/>
    <w:rsid w:val="00893CDE"/>
    <w:rsid w:val="008A3960"/>
    <w:rsid w:val="008B68D4"/>
    <w:rsid w:val="00900AD7"/>
    <w:rsid w:val="0090156A"/>
    <w:rsid w:val="00935C58"/>
    <w:rsid w:val="009C4900"/>
    <w:rsid w:val="009F5FB8"/>
    <w:rsid w:val="00A33752"/>
    <w:rsid w:val="00A62278"/>
    <w:rsid w:val="00A97EC1"/>
    <w:rsid w:val="00AB4464"/>
    <w:rsid w:val="00AB4D03"/>
    <w:rsid w:val="00AB64A5"/>
    <w:rsid w:val="00AC7286"/>
    <w:rsid w:val="00AC79D3"/>
    <w:rsid w:val="00AE18F1"/>
    <w:rsid w:val="00B439C1"/>
    <w:rsid w:val="00B50562"/>
    <w:rsid w:val="00B82703"/>
    <w:rsid w:val="00C00C41"/>
    <w:rsid w:val="00C01E35"/>
    <w:rsid w:val="00CC1D5B"/>
    <w:rsid w:val="00CD02EB"/>
    <w:rsid w:val="00CD258B"/>
    <w:rsid w:val="00D04228"/>
    <w:rsid w:val="00E100F3"/>
    <w:rsid w:val="00E51C9B"/>
    <w:rsid w:val="00E5732A"/>
    <w:rsid w:val="00EE1A77"/>
    <w:rsid w:val="00F02EBB"/>
    <w:rsid w:val="00FB64CA"/>
    <w:rsid w:val="00FC3EC1"/>
    <w:rsid w:val="00FE22EE"/>
    <w:rsid w:val="00FE6C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5A03"/>
  <w15:chartTrackingRefBased/>
  <w15:docId w15:val="{D42B937D-F978-4636-9336-C4420024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A5"/>
    <w:rPr>
      <w:kern w:val="0"/>
      <w14:ligatures w14:val="none"/>
    </w:rPr>
  </w:style>
  <w:style w:type="paragraph" w:styleId="Ttulo1">
    <w:name w:val="heading 1"/>
    <w:basedOn w:val="Normal"/>
    <w:next w:val="Normal"/>
    <w:link w:val="Ttulo1Car"/>
    <w:uiPriority w:val="9"/>
    <w:qFormat/>
    <w:rsid w:val="00AB6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6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64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64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64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64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64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64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64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4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64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64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64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64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64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64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64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64A5"/>
    <w:rPr>
      <w:rFonts w:eastAsiaTheme="majorEastAsia" w:cstheme="majorBidi"/>
      <w:color w:val="272727" w:themeColor="text1" w:themeTint="D8"/>
    </w:rPr>
  </w:style>
  <w:style w:type="paragraph" w:styleId="Ttulo">
    <w:name w:val="Title"/>
    <w:basedOn w:val="Normal"/>
    <w:next w:val="Normal"/>
    <w:link w:val="TtuloCar"/>
    <w:uiPriority w:val="10"/>
    <w:qFormat/>
    <w:rsid w:val="00AB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4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64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64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64A5"/>
    <w:pPr>
      <w:spacing w:before="160"/>
      <w:jc w:val="center"/>
    </w:pPr>
    <w:rPr>
      <w:i/>
      <w:iCs/>
      <w:color w:val="404040" w:themeColor="text1" w:themeTint="BF"/>
    </w:rPr>
  </w:style>
  <w:style w:type="character" w:customStyle="1" w:styleId="CitaCar">
    <w:name w:val="Cita Car"/>
    <w:basedOn w:val="Fuentedeprrafopredeter"/>
    <w:link w:val="Cita"/>
    <w:uiPriority w:val="29"/>
    <w:rsid w:val="00AB64A5"/>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1"/>
    <w:qFormat/>
    <w:rsid w:val="00AB64A5"/>
    <w:pPr>
      <w:ind w:left="720"/>
      <w:contextualSpacing/>
    </w:pPr>
  </w:style>
  <w:style w:type="character" w:styleId="nfasisintenso">
    <w:name w:val="Intense Emphasis"/>
    <w:basedOn w:val="Fuentedeprrafopredeter"/>
    <w:uiPriority w:val="21"/>
    <w:qFormat/>
    <w:rsid w:val="00AB64A5"/>
    <w:rPr>
      <w:i/>
      <w:iCs/>
      <w:color w:val="0F4761" w:themeColor="accent1" w:themeShade="BF"/>
    </w:rPr>
  </w:style>
  <w:style w:type="paragraph" w:styleId="Citadestacada">
    <w:name w:val="Intense Quote"/>
    <w:basedOn w:val="Normal"/>
    <w:next w:val="Normal"/>
    <w:link w:val="CitadestacadaCar"/>
    <w:uiPriority w:val="30"/>
    <w:qFormat/>
    <w:rsid w:val="00AB6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64A5"/>
    <w:rPr>
      <w:i/>
      <w:iCs/>
      <w:color w:val="0F4761" w:themeColor="accent1" w:themeShade="BF"/>
    </w:rPr>
  </w:style>
  <w:style w:type="character" w:styleId="Referenciaintensa">
    <w:name w:val="Intense Reference"/>
    <w:basedOn w:val="Fuentedeprrafopredeter"/>
    <w:uiPriority w:val="32"/>
    <w:qFormat/>
    <w:rsid w:val="00AB64A5"/>
    <w:rPr>
      <w:b/>
      <w:bCs/>
      <w:smallCaps/>
      <w:color w:val="0F4761" w:themeColor="accent1" w:themeShade="BF"/>
      <w:spacing w:val="5"/>
    </w:rPr>
  </w:style>
  <w:style w:type="paragraph" w:styleId="Encabezado">
    <w:name w:val="header"/>
    <w:basedOn w:val="Normal"/>
    <w:link w:val="EncabezadoCar"/>
    <w:uiPriority w:val="99"/>
    <w:unhideWhenUsed/>
    <w:rsid w:val="00AB64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4A5"/>
    <w:rPr>
      <w:kern w:val="0"/>
      <w14:ligatures w14:val="none"/>
    </w:rPr>
  </w:style>
  <w:style w:type="paragraph" w:styleId="Piedepgina">
    <w:name w:val="footer"/>
    <w:basedOn w:val="Normal"/>
    <w:link w:val="PiedepginaCar"/>
    <w:uiPriority w:val="99"/>
    <w:unhideWhenUsed/>
    <w:rsid w:val="00AB64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4A5"/>
    <w:rPr>
      <w:kern w:val="0"/>
      <w14:ligatures w14:val="none"/>
    </w:rPr>
  </w:style>
  <w:style w:type="character" w:customStyle="1" w:styleId="normaltextrun">
    <w:name w:val="normaltextrun"/>
    <w:basedOn w:val="Fuentedeprrafopredeter"/>
    <w:rsid w:val="00AB64A5"/>
  </w:style>
  <w:style w:type="table" w:styleId="Tablaconcuadrcula">
    <w:name w:val="Table Grid"/>
    <w:basedOn w:val="Tablanormal"/>
    <w:uiPriority w:val="39"/>
    <w:qFormat/>
    <w:rsid w:val="00AB64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4A5"/>
    <w:rPr>
      <w:color w:val="0000FF"/>
      <w:u w:val="single"/>
    </w:rPr>
  </w:style>
  <w:style w:type="paragraph" w:customStyle="1" w:styleId="paragraph">
    <w:name w:val="paragraph"/>
    <w:basedOn w:val="Normal"/>
    <w:rsid w:val="00AB64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64A5"/>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0BE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0BE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20BE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0BE1"/>
    <w:rPr>
      <w:vertAlign w:val="superscript"/>
    </w:rPr>
  </w:style>
  <w:style w:type="paragraph" w:customStyle="1" w:styleId="Appelnotedebasde">
    <w:name w:val="Appel note de bas de..."/>
    <w:basedOn w:val="Normal"/>
    <w:link w:val="Refdenotaalpie"/>
    <w:uiPriority w:val="99"/>
    <w:rsid w:val="00620BE1"/>
    <w:pPr>
      <w:spacing w:line="240" w:lineRule="exact"/>
    </w:pPr>
    <w:rPr>
      <w:kern w:val="2"/>
      <w:vertAlign w:val="superscript"/>
      <w14:ligatures w14:val="standardContextual"/>
    </w:rPr>
  </w:style>
  <w:style w:type="paragraph" w:styleId="Textoindependiente">
    <w:name w:val="Body Text"/>
    <w:basedOn w:val="Normal"/>
    <w:link w:val="TextoindependienteCar"/>
    <w:uiPriority w:val="1"/>
    <w:qFormat/>
    <w:rsid w:val="005A5AFA"/>
    <w:pPr>
      <w:widowControl w:val="0"/>
      <w:autoSpaceDE w:val="0"/>
      <w:autoSpaceDN w:val="0"/>
      <w:spacing w:after="0" w:line="240" w:lineRule="auto"/>
      <w:ind w:left="100"/>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A5AFA"/>
    <w:rPr>
      <w:rFonts w:ascii="Verdana" w:eastAsia="Verdana" w:hAnsi="Verdana" w:cs="Verdana"/>
      <w:kern w:val="0"/>
      <w:lang w:val="es-ES"/>
      <w14:ligatures w14:val="none"/>
    </w:rPr>
  </w:style>
  <w:style w:type="paragraph" w:customStyle="1" w:styleId="InviasNormal">
    <w:name w:val="Invias Normal"/>
    <w:basedOn w:val="Normal"/>
    <w:link w:val="InviasNormalCar"/>
    <w:qFormat/>
    <w:rsid w:val="00763F15"/>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763F15"/>
    <w:rPr>
      <w:rFonts w:ascii="Arial Narrow" w:eastAsia="Times New Roman" w:hAnsi="Arial Narrow" w:cs="Times New Roman"/>
      <w:kern w:val="0"/>
      <w:sz w:val="24"/>
      <w:szCs w:val="24"/>
      <w:lang w:val="x-none" w:eastAsia="es-ES"/>
      <w14:ligatures w14:val="none"/>
    </w:rPr>
  </w:style>
  <w:style w:type="character" w:customStyle="1" w:styleId="Hipervnculo1">
    <w:name w:val="Hipervínculo1"/>
    <w:basedOn w:val="Fuentedeprrafopredeter"/>
    <w:uiPriority w:val="99"/>
    <w:unhideWhenUsed/>
    <w:rsid w:val="000E561E"/>
    <w:rPr>
      <w:color w:val="467886"/>
      <w:u w:val="single"/>
    </w:rPr>
  </w:style>
  <w:style w:type="character" w:styleId="Mencinsinresolver">
    <w:name w:val="Unresolved Mention"/>
    <w:basedOn w:val="Fuentedeprrafopredeter"/>
    <w:uiPriority w:val="99"/>
    <w:semiHidden/>
    <w:unhideWhenUsed/>
    <w:rsid w:val="009F5FB8"/>
    <w:rPr>
      <w:color w:val="605E5C"/>
      <w:shd w:val="clear" w:color="auto" w:fill="E1DFDD"/>
    </w:rPr>
  </w:style>
  <w:style w:type="paragraph" w:styleId="NormalWeb">
    <w:name w:val="Normal (Web)"/>
    <w:basedOn w:val="Normal"/>
    <w:link w:val="NormalWebCar"/>
    <w:uiPriority w:val="99"/>
    <w:unhideWhenUsed/>
    <w:rsid w:val="006649D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locked/>
    <w:rsid w:val="006649D6"/>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25707">
      <w:bodyDiv w:val="1"/>
      <w:marLeft w:val="0"/>
      <w:marRight w:val="0"/>
      <w:marTop w:val="0"/>
      <w:marBottom w:val="0"/>
      <w:divBdr>
        <w:top w:val="none" w:sz="0" w:space="0" w:color="auto"/>
        <w:left w:val="none" w:sz="0" w:space="0" w:color="auto"/>
        <w:bottom w:val="none" w:sz="0" w:space="0" w:color="auto"/>
        <w:right w:val="none" w:sz="0" w:space="0" w:color="auto"/>
      </w:divBdr>
    </w:div>
    <w:div w:id="785658185">
      <w:bodyDiv w:val="1"/>
      <w:marLeft w:val="0"/>
      <w:marRight w:val="0"/>
      <w:marTop w:val="0"/>
      <w:marBottom w:val="0"/>
      <w:divBdr>
        <w:top w:val="none" w:sz="0" w:space="0" w:color="auto"/>
        <w:left w:val="none" w:sz="0" w:space="0" w:color="auto"/>
        <w:bottom w:val="none" w:sz="0" w:space="0" w:color="auto"/>
        <w:right w:val="none" w:sz="0" w:space="0" w:color="auto"/>
      </w:divBdr>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1359508358">
      <w:bodyDiv w:val="1"/>
      <w:marLeft w:val="0"/>
      <w:marRight w:val="0"/>
      <w:marTop w:val="0"/>
      <w:marBottom w:val="0"/>
      <w:divBdr>
        <w:top w:val="none" w:sz="0" w:space="0" w:color="auto"/>
        <w:left w:val="none" w:sz="0" w:space="0" w:color="auto"/>
        <w:bottom w:val="none" w:sz="0" w:space="0" w:color="auto"/>
        <w:right w:val="none" w:sz="0" w:space="0" w:color="auto"/>
      </w:divBdr>
    </w:div>
    <w:div w:id="1379554591">
      <w:bodyDiv w:val="1"/>
      <w:marLeft w:val="0"/>
      <w:marRight w:val="0"/>
      <w:marTop w:val="0"/>
      <w:marBottom w:val="0"/>
      <w:divBdr>
        <w:top w:val="none" w:sz="0" w:space="0" w:color="auto"/>
        <w:left w:val="none" w:sz="0" w:space="0" w:color="auto"/>
        <w:bottom w:val="none" w:sz="0" w:space="0" w:color="auto"/>
        <w:right w:val="none" w:sz="0" w:space="0" w:color="auto"/>
      </w:divBdr>
    </w:div>
    <w:div w:id="1521746956">
      <w:bodyDiv w:val="1"/>
      <w:marLeft w:val="0"/>
      <w:marRight w:val="0"/>
      <w:marTop w:val="0"/>
      <w:marBottom w:val="0"/>
      <w:divBdr>
        <w:top w:val="none" w:sz="0" w:space="0" w:color="auto"/>
        <w:left w:val="none" w:sz="0" w:space="0" w:color="auto"/>
        <w:bottom w:val="none" w:sz="0" w:space="0" w:color="auto"/>
        <w:right w:val="none" w:sz="0" w:space="0" w:color="auto"/>
      </w:divBdr>
    </w:div>
    <w:div w:id="153283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dani13@hotmail.com" TargetMode="External"/><Relationship Id="rId13" Type="http://schemas.openxmlformats.org/officeDocument/2006/relationships/hyperlink" Target="https://relatoria.colombiacompra.gov.co/ficha/C-125%20de%202022" TargetMode="External"/><Relationship Id="rId18" Type="http://schemas.openxmlformats.org/officeDocument/2006/relationships/hyperlink" Target="https://nam02.safelinks.protection.outlook.com/?url=https%3A%2F%2Fwww.colombiacompra.gov.co%2Fsala-de-prensa%2Fboletin-digital%2Fboletin-de-relatoria-2024-iv&amp;data=05%7C02%7Cmartha.romero%40colombiacompra.gov.co%7C616b83c3423e4d31151908dce489c00d%7C7b09041e245149d08cb179d5e3d8c1be%7C0%7C0%7C638636527543104822%7CUnknown%7CTWFpbGZsb3d8eyJWIjoiMC4wLjAwMDAiLCJQIjoiV2luMzIiLCJBTiI6Ik1haWwiLCJXVCI6Mn0%3D%7C0%7C%7C%7C&amp;sdata=jQbIixzKnvlTxK08x1im6W1SukgnBeTEqeQT2ezV5aU%3D&amp;reserved=0"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elatoria.colombiacompra.gov.co/ficha/C-085%20de%202022" TargetMode="External"/><Relationship Id="rId17" Type="http://schemas.openxmlformats.org/officeDocument/2006/relationships/hyperlink" Target="https://relatoria.colombiacompra.gov.co/ficha/C-034%20de%202023"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relatoria.colombiacompra.gov.co/ficha/C%20-%20238%20de%20202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mbiacompra.gov.co/manuales-guias-y-pliegos-tipo/manuales-y-guia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relatoria.colombiacompra.gov.co/ficha/C-208%20de%202022" TargetMode="External"/><Relationship Id="rId23" Type="http://schemas.openxmlformats.org/officeDocument/2006/relationships/theme" Target="theme/theme1.xml"/><Relationship Id="rId10" Type="http://schemas.openxmlformats.org/officeDocument/2006/relationships/hyperlink" Target="https://relatoria.colombiacompra.gov.co/providencias-consejo-de-estado/"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elatoria.colombiacompra.gov.co/ficha/C-195%20de%20202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6B3F15-43C4-4604-9965-2F3E4D1CBDC5}">
  <ds:schemaRefs>
    <ds:schemaRef ds:uri="http://schemas.openxmlformats.org/officeDocument/2006/bibliography"/>
  </ds:schemaRefs>
</ds:datastoreItem>
</file>

<file path=customXml/itemProps2.xml><?xml version="1.0" encoding="utf-8"?>
<ds:datastoreItem xmlns:ds="http://schemas.openxmlformats.org/officeDocument/2006/customXml" ds:itemID="{1EADE8FE-5D48-4493-81BE-97283ACE4069}"/>
</file>

<file path=customXml/itemProps3.xml><?xml version="1.0" encoding="utf-8"?>
<ds:datastoreItem xmlns:ds="http://schemas.openxmlformats.org/officeDocument/2006/customXml" ds:itemID="{94F270A1-7938-4B4A-9617-FD2D5E97A612}"/>
</file>

<file path=customXml/itemProps4.xml><?xml version="1.0" encoding="utf-8"?>
<ds:datastoreItem xmlns:ds="http://schemas.openxmlformats.org/officeDocument/2006/customXml" ds:itemID="{64A8629B-8942-437F-B66A-06F7471F97D6}"/>
</file>

<file path=docProps/app.xml><?xml version="1.0" encoding="utf-8"?>
<Properties xmlns="http://schemas.openxmlformats.org/officeDocument/2006/extended-properties" xmlns:vt="http://schemas.openxmlformats.org/officeDocument/2006/docPropsVTypes">
  <Template>Normal.dotm</Template>
  <TotalTime>3</TotalTime>
  <Pages>20</Pages>
  <Words>5750</Words>
  <Characters>31631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Camilo Orjuela Galeano</dc:creator>
  <cp:keywords/>
  <dc:description/>
  <cp:lastModifiedBy>Diana Carolina Blanco Rodriguez</cp:lastModifiedBy>
  <cp:revision>3</cp:revision>
  <dcterms:created xsi:type="dcterms:W3CDTF">2024-10-23T01:38:00Z</dcterms:created>
  <dcterms:modified xsi:type="dcterms:W3CDTF">2024-11-25T22:29:00Z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