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3573D" w14:textId="4B3981F5" w:rsidR="00A63C75" w:rsidRPr="00251CA2" w:rsidRDefault="00A63C75" w:rsidP="00A63C75">
      <w:pPr>
        <w:jc w:val="both"/>
        <w:rPr>
          <w:rFonts w:ascii="Verdana" w:hAnsi="Verdana"/>
          <w:b/>
          <w:lang w:val="es-ES_tradnl"/>
        </w:rPr>
      </w:pPr>
      <w:bookmarkStart w:id="0" w:name="_Hlk143780582"/>
      <w:r w:rsidRPr="00251CA2">
        <w:rPr>
          <w:rFonts w:ascii="Verdana" w:hAnsi="Verdana"/>
          <w:b/>
          <w:lang w:val="es-ES_tradnl"/>
        </w:rPr>
        <w:t xml:space="preserve">PRINCIPIO DE SELECCIÓN OBJETIVA – Noción – Normativa –Requisitos ponderables </w:t>
      </w:r>
    </w:p>
    <w:p w14:paraId="34F51B60" w14:textId="352CEC9B" w:rsidR="003074A4" w:rsidRPr="003074A4" w:rsidRDefault="003074A4" w:rsidP="003074A4">
      <w:pPr>
        <w:spacing w:line="276" w:lineRule="auto"/>
        <w:jc w:val="both"/>
        <w:rPr>
          <w:rFonts w:ascii="Verdana" w:hAnsi="Verdana" w:cs="Arial"/>
          <w:bCs/>
          <w:color w:val="000000" w:themeColor="text1"/>
        </w:rPr>
      </w:pPr>
      <w:r>
        <w:rPr>
          <w:rFonts w:ascii="Verdana" w:hAnsi="Verdana" w:cs="Arial"/>
          <w:bCs/>
          <w:color w:val="000000" w:themeColor="text1"/>
        </w:rPr>
        <w:t>(…)</w:t>
      </w:r>
      <w:r w:rsidRPr="003074A4">
        <w:rPr>
          <w:rFonts w:ascii="Verdana" w:hAnsi="Verdana" w:cs="Arial"/>
          <w:bCs/>
          <w:color w:val="000000" w:themeColor="text1"/>
        </w:rPr>
        <w:t>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w:t>
      </w:r>
      <w:r>
        <w:rPr>
          <w:rFonts w:ascii="Verdana" w:hAnsi="Verdana" w:cs="Arial"/>
          <w:bCs/>
          <w:color w:val="000000" w:themeColor="text1"/>
        </w:rPr>
        <w:t>(…)</w:t>
      </w:r>
    </w:p>
    <w:p w14:paraId="1418C3D9" w14:textId="5B5D6D3B" w:rsidR="00A63C75" w:rsidRPr="00251CA2" w:rsidRDefault="00A63C75" w:rsidP="00A63C75">
      <w:pPr>
        <w:jc w:val="both"/>
        <w:rPr>
          <w:rFonts w:ascii="Verdana" w:hAnsi="Verdana"/>
          <w:b/>
        </w:rPr>
      </w:pPr>
      <w:r w:rsidRPr="00251CA2">
        <w:rPr>
          <w:rFonts w:ascii="Verdana" w:hAnsi="Verdana"/>
          <w:b/>
        </w:rPr>
        <w:t xml:space="preserve">REQUISITOS PONDERABLES – Asignación de puntaje </w:t>
      </w:r>
    </w:p>
    <w:p w14:paraId="151E07AB" w14:textId="60497C31" w:rsidR="00A63C75" w:rsidRPr="00251CA2" w:rsidRDefault="004F7D28" w:rsidP="00A63C75">
      <w:pPr>
        <w:jc w:val="both"/>
        <w:rPr>
          <w:rFonts w:ascii="Verdana" w:hAnsi="Verdana"/>
          <w:bCs/>
        </w:rPr>
      </w:pPr>
      <w:r>
        <w:rPr>
          <w:rFonts w:ascii="Verdana" w:hAnsi="Verdana"/>
          <w:bCs/>
        </w:rPr>
        <w:t>(...)</w:t>
      </w:r>
      <w:r w:rsidR="00A63C75" w:rsidRPr="00251CA2">
        <w:rPr>
          <w:rFonts w:ascii="Verdana" w:hAnsi="Verdana"/>
          <w:bCs/>
        </w:rPr>
        <w:t xml:space="preserve">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229EB40E" w14:textId="77777777" w:rsidR="00A63C75" w:rsidRDefault="00A63C75">
      <w:pPr>
        <w:rPr>
          <w:rFonts w:ascii="Verdana" w:hAnsi="Verdana"/>
        </w:rPr>
      </w:pPr>
      <w:r>
        <w:rPr>
          <w:rFonts w:ascii="Verdana" w:hAnsi="Verdana"/>
        </w:rPr>
        <w:br w:type="page"/>
      </w:r>
    </w:p>
    <w:p w14:paraId="1BFEC981" w14:textId="77777777" w:rsidR="00D41CA1" w:rsidRDefault="00E245AB" w:rsidP="00E245AB">
      <w:pPr>
        <w:spacing w:after="0"/>
        <w:rPr>
          <w:rFonts w:ascii="Verdana" w:hAnsi="Verdana"/>
        </w:rPr>
      </w:pPr>
      <w:r w:rsidRPr="00B06915">
        <w:rPr>
          <w:rFonts w:ascii="Verdana" w:hAnsi="Verdana"/>
        </w:rPr>
        <w:lastRenderedPageBreak/>
        <w:t xml:space="preserve">Bogotá D.C., </w:t>
      </w:r>
      <w:r w:rsidR="00D41CA1">
        <w:rPr>
          <w:rFonts w:ascii="Verdana" w:hAnsi="Verdana"/>
        </w:rPr>
        <w:t>06 de Noviembre de 2024</w:t>
      </w:r>
    </w:p>
    <w:p w14:paraId="47A7A2E0" w14:textId="77777777" w:rsidR="00D41CA1" w:rsidRDefault="00D41CA1" w:rsidP="00E245AB">
      <w:pPr>
        <w:spacing w:after="0"/>
        <w:rPr>
          <w:rFonts w:ascii="Verdana" w:hAnsi="Verdana"/>
        </w:rPr>
      </w:pPr>
    </w:p>
    <w:p w14:paraId="3FE2184B" w14:textId="239B747E" w:rsidR="00E245AB" w:rsidRPr="00B06915" w:rsidRDefault="00D41CA1" w:rsidP="00D41CA1">
      <w:pPr>
        <w:spacing w:after="0"/>
        <w:jc w:val="right"/>
        <w:rPr>
          <w:rFonts w:ascii="Verdana" w:hAnsi="Verdana"/>
        </w:rPr>
      </w:pPr>
      <w:r w:rsidRPr="00D41CA1">
        <w:rPr>
          <w:rFonts w:ascii="Verdana" w:hAnsi="Verdana"/>
        </w:rPr>
        <w:drawing>
          <wp:inline distT="0" distB="0" distL="0" distR="0" wp14:anchorId="1DD0CE28" wp14:editId="738F03F8">
            <wp:extent cx="3277057" cy="933580"/>
            <wp:effectExtent l="0" t="0" r="0" b="0"/>
            <wp:docPr id="2474584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58423" name="Imagen 1" descr="Texto&#10;&#10;Descripción generada automáticamente"/>
                    <pic:cNvPicPr/>
                  </pic:nvPicPr>
                  <pic:blipFill>
                    <a:blip r:embed="rId11"/>
                    <a:stretch>
                      <a:fillRect/>
                    </a:stretch>
                  </pic:blipFill>
                  <pic:spPr>
                    <a:xfrm>
                      <a:off x="0" y="0"/>
                      <a:ext cx="3277057" cy="933580"/>
                    </a:xfrm>
                    <a:prstGeom prst="rect">
                      <a:avLst/>
                    </a:prstGeom>
                  </pic:spPr>
                </pic:pic>
              </a:graphicData>
            </a:graphic>
          </wp:inline>
        </w:drawing>
      </w:r>
      <w:r w:rsidR="00891928" w:rsidRPr="00B06915">
        <w:rPr>
          <w:rFonts w:ascii="Verdana" w:hAnsi="Verdana"/>
        </w:rPr>
        <w:tab/>
      </w:r>
    </w:p>
    <w:p w14:paraId="5FCADBF9" w14:textId="77777777" w:rsidR="00E245AB" w:rsidRPr="00B06915" w:rsidRDefault="00E245AB" w:rsidP="00E245AB">
      <w:pPr>
        <w:spacing w:after="0"/>
        <w:rPr>
          <w:rFonts w:ascii="Verdana" w:hAnsi="Verdana"/>
        </w:rPr>
      </w:pPr>
    </w:p>
    <w:bookmarkEnd w:id="0"/>
    <w:p w14:paraId="4EFB999E" w14:textId="354EB9DE" w:rsidR="00BD321E" w:rsidRPr="00B06915" w:rsidRDefault="00BD321E" w:rsidP="00BD321E">
      <w:pPr>
        <w:spacing w:after="0" w:line="254" w:lineRule="auto"/>
        <w:rPr>
          <w:rFonts w:ascii="Verdana" w:eastAsia="Calibri" w:hAnsi="Verdana" w:cs="Times New Roman"/>
          <w:lang w:val="es-MX"/>
        </w:rPr>
      </w:pPr>
      <w:r w:rsidRPr="00B06915">
        <w:rPr>
          <w:rFonts w:ascii="Verdana" w:eastAsia="Calibri" w:hAnsi="Verdana" w:cs="Times New Roman"/>
          <w:lang w:val="es-MX"/>
        </w:rPr>
        <w:t>Señor</w:t>
      </w:r>
    </w:p>
    <w:p w14:paraId="6BF7B75D" w14:textId="77777777" w:rsidR="00BD321E" w:rsidRPr="00B06915" w:rsidRDefault="00BD321E" w:rsidP="00BD321E">
      <w:pPr>
        <w:spacing w:after="0" w:line="254" w:lineRule="auto"/>
        <w:rPr>
          <w:rFonts w:ascii="Verdana" w:eastAsia="Calibri" w:hAnsi="Verdana" w:cs="Times New Roman"/>
          <w:b/>
        </w:rPr>
      </w:pPr>
      <w:r w:rsidRPr="00B06915">
        <w:rPr>
          <w:rFonts w:ascii="Verdana" w:eastAsia="Calibri" w:hAnsi="Verdana" w:cs="Times New Roman"/>
          <w:b/>
        </w:rPr>
        <w:t>MATEO GÓMEZ GIRALDO</w:t>
      </w:r>
    </w:p>
    <w:p w14:paraId="6B57D451" w14:textId="205B8160" w:rsidR="00BD321E" w:rsidRPr="00B06915" w:rsidRDefault="00BD321E" w:rsidP="00BD321E">
      <w:pPr>
        <w:spacing w:after="0" w:line="254" w:lineRule="auto"/>
        <w:rPr>
          <w:rFonts w:ascii="Verdana" w:hAnsi="Verdana"/>
        </w:rPr>
      </w:pPr>
      <w:hyperlink r:id="rId12" w:history="1">
        <w:r w:rsidRPr="00B06915">
          <w:rPr>
            <w:rStyle w:val="Hipervnculo"/>
            <w:rFonts w:ascii="Verdana" w:hAnsi="Verdana"/>
          </w:rPr>
          <w:t>gerencia@gomezgiraldo.com</w:t>
        </w:r>
      </w:hyperlink>
    </w:p>
    <w:p w14:paraId="4E39EB97" w14:textId="5635C986" w:rsidR="00BD321E" w:rsidRPr="00B06915" w:rsidRDefault="00BD321E" w:rsidP="00BD321E">
      <w:pPr>
        <w:spacing w:after="0" w:line="254" w:lineRule="auto"/>
        <w:rPr>
          <w:rFonts w:ascii="Verdana" w:eastAsia="Calibri" w:hAnsi="Verdana" w:cs="Times New Roman"/>
        </w:rPr>
      </w:pPr>
      <w:r w:rsidRPr="00B06915">
        <w:rPr>
          <w:rFonts w:ascii="Verdana" w:eastAsia="Calibri" w:hAnsi="Verdana" w:cs="Times New Roman"/>
        </w:rPr>
        <w:t>Bogotá D.C</w:t>
      </w:r>
    </w:p>
    <w:p w14:paraId="5B9B47DE" w14:textId="77777777" w:rsidR="00BD321E" w:rsidRPr="00B06915" w:rsidRDefault="00BD321E" w:rsidP="00BD321E">
      <w:pPr>
        <w:spacing w:after="0" w:line="254" w:lineRule="auto"/>
        <w:rPr>
          <w:rFonts w:ascii="Verdana" w:eastAsia="Calibri" w:hAnsi="Verdana" w:cs="Times New Roman"/>
        </w:rPr>
      </w:pPr>
    </w:p>
    <w:p w14:paraId="1F0FE8C2" w14:textId="33A13E61" w:rsidR="00BD321E" w:rsidRPr="00B06915" w:rsidRDefault="00BD321E" w:rsidP="00BD321E">
      <w:pPr>
        <w:spacing w:after="0" w:line="254" w:lineRule="auto"/>
        <w:ind w:left="2124" w:firstLine="708"/>
        <w:rPr>
          <w:rFonts w:ascii="Verdana" w:eastAsia="Calibri" w:hAnsi="Verdana" w:cs="Times New Roman"/>
          <w:b/>
          <w:bCs/>
          <w:lang w:val="es-ES"/>
        </w:rPr>
      </w:pPr>
      <w:r w:rsidRPr="00B06915">
        <w:rPr>
          <w:rFonts w:ascii="Verdana" w:eastAsia="Calibri" w:hAnsi="Verdana" w:cs="Times New Roman"/>
          <w:b/>
          <w:bCs/>
          <w:lang w:val="es-ES"/>
        </w:rPr>
        <w:t>Concepto C–572 de 2024</w:t>
      </w:r>
    </w:p>
    <w:p w14:paraId="40611957" w14:textId="77777777" w:rsidR="00BD321E" w:rsidRPr="00B06915" w:rsidRDefault="00BD321E" w:rsidP="00BD321E">
      <w:pPr>
        <w:spacing w:after="0" w:line="254"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BD321E" w:rsidRPr="00B06915" w14:paraId="442DBEFD" w14:textId="77777777" w:rsidTr="00476E63">
        <w:trPr>
          <w:trHeight w:val="884"/>
        </w:trPr>
        <w:tc>
          <w:tcPr>
            <w:tcW w:w="2685" w:type="dxa"/>
            <w:hideMark/>
          </w:tcPr>
          <w:p w14:paraId="681607A7" w14:textId="77777777" w:rsidR="00BD321E" w:rsidRPr="00B06915" w:rsidRDefault="00BD321E" w:rsidP="00476E63">
            <w:pPr>
              <w:spacing w:line="254" w:lineRule="auto"/>
              <w:rPr>
                <w:rFonts w:ascii="Verdana" w:hAnsi="Verdana"/>
                <w:lang w:val="es-ES_tradnl"/>
              </w:rPr>
            </w:pPr>
            <w:r w:rsidRPr="00B06915">
              <w:rPr>
                <w:rFonts w:ascii="Verdana" w:hAnsi="Verdana"/>
                <w:lang w:val="es-ES_tradnl"/>
              </w:rPr>
              <w:t xml:space="preserve">Temas:                   </w:t>
            </w:r>
          </w:p>
        </w:tc>
        <w:tc>
          <w:tcPr>
            <w:tcW w:w="6241" w:type="dxa"/>
            <w:hideMark/>
          </w:tcPr>
          <w:p w14:paraId="4CD0F056" w14:textId="06A0E36B" w:rsidR="003A3EFE" w:rsidRPr="003A3EFE" w:rsidRDefault="003A3EFE" w:rsidP="003A3EFE">
            <w:pPr>
              <w:jc w:val="both"/>
              <w:rPr>
                <w:rFonts w:ascii="Verdana" w:hAnsi="Verdana"/>
              </w:rPr>
            </w:pPr>
            <w:r w:rsidRPr="003A3EFE">
              <w:rPr>
                <w:rFonts w:ascii="Verdana" w:hAnsi="Verdana"/>
                <w:lang w:val="es-ES_tradnl"/>
              </w:rPr>
              <w:t>PRINCIPIO DE SELECCIÓN OBJETIVA – Noción – Normativa –Requisitos ponderables/</w:t>
            </w:r>
            <w:r w:rsidRPr="003A3EFE">
              <w:rPr>
                <w:rFonts w:ascii="Verdana" w:hAnsi="Verdana"/>
              </w:rPr>
              <w:t xml:space="preserve"> REQUISITOS PONDERABLES – Asignación de puntaje </w:t>
            </w:r>
          </w:p>
          <w:p w14:paraId="204E23CE" w14:textId="1B6D57E0" w:rsidR="003A3EFE" w:rsidRPr="003A3EFE" w:rsidRDefault="003A3EFE" w:rsidP="003A3EFE">
            <w:pPr>
              <w:jc w:val="both"/>
              <w:rPr>
                <w:rFonts w:ascii="Verdana" w:hAnsi="Verdana"/>
                <w:lang w:val="es-ES_tradnl"/>
              </w:rPr>
            </w:pPr>
            <w:r w:rsidRPr="003A3EFE">
              <w:rPr>
                <w:rFonts w:ascii="Verdana" w:hAnsi="Verdana"/>
                <w:lang w:val="es-ES_tradnl"/>
              </w:rPr>
              <w:t xml:space="preserve"> </w:t>
            </w:r>
          </w:p>
          <w:p w14:paraId="303084D6" w14:textId="74D4BC71" w:rsidR="00BD321E" w:rsidRPr="003A3EFE" w:rsidRDefault="00BD321E" w:rsidP="00476E63">
            <w:pPr>
              <w:spacing w:line="276" w:lineRule="auto"/>
              <w:jc w:val="both"/>
              <w:rPr>
                <w:rFonts w:ascii="Verdana" w:hAnsi="Verdana"/>
                <w:bCs/>
                <w:lang w:val="es-ES_tradnl"/>
              </w:rPr>
            </w:pPr>
          </w:p>
        </w:tc>
        <w:tc>
          <w:tcPr>
            <w:tcW w:w="6237" w:type="dxa"/>
          </w:tcPr>
          <w:p w14:paraId="5064C030" w14:textId="77777777" w:rsidR="00BD321E" w:rsidRPr="00B06915" w:rsidRDefault="00BD321E" w:rsidP="00476E63">
            <w:pPr>
              <w:spacing w:line="254" w:lineRule="auto"/>
              <w:rPr>
                <w:rFonts w:ascii="Verdana" w:hAnsi="Verdana"/>
                <w:lang w:val="es-ES"/>
              </w:rPr>
            </w:pPr>
          </w:p>
        </w:tc>
      </w:tr>
      <w:tr w:rsidR="00BD321E" w:rsidRPr="00B06915" w14:paraId="600D78D9" w14:textId="77777777" w:rsidTr="00476E63">
        <w:tc>
          <w:tcPr>
            <w:tcW w:w="2685" w:type="dxa"/>
          </w:tcPr>
          <w:p w14:paraId="2A04C9AD" w14:textId="77777777" w:rsidR="00BD321E" w:rsidRPr="00B06915" w:rsidRDefault="00BD321E" w:rsidP="00476E63">
            <w:pPr>
              <w:spacing w:line="254" w:lineRule="auto"/>
              <w:rPr>
                <w:rFonts w:ascii="Verdana" w:hAnsi="Verdana"/>
                <w:lang w:val="es-ES_tradnl"/>
              </w:rPr>
            </w:pPr>
          </w:p>
          <w:p w14:paraId="14B9BC8E" w14:textId="77777777" w:rsidR="00BD321E" w:rsidRPr="00B06915" w:rsidRDefault="00BD321E" w:rsidP="00476E63">
            <w:pPr>
              <w:spacing w:line="254" w:lineRule="auto"/>
              <w:rPr>
                <w:rFonts w:ascii="Verdana" w:hAnsi="Verdana"/>
                <w:lang w:val="es-ES_tradnl"/>
              </w:rPr>
            </w:pPr>
            <w:r w:rsidRPr="00B06915">
              <w:rPr>
                <w:rFonts w:ascii="Verdana" w:hAnsi="Verdana"/>
                <w:lang w:val="es-ES_tradnl"/>
              </w:rPr>
              <w:t xml:space="preserve">Radicación:               </w:t>
            </w:r>
          </w:p>
        </w:tc>
        <w:tc>
          <w:tcPr>
            <w:tcW w:w="6241" w:type="dxa"/>
          </w:tcPr>
          <w:p w14:paraId="34834ABC" w14:textId="77777777" w:rsidR="00BD321E" w:rsidRPr="00B06915" w:rsidRDefault="00BD321E" w:rsidP="00476E63">
            <w:pPr>
              <w:spacing w:line="254" w:lineRule="auto"/>
              <w:rPr>
                <w:rFonts w:ascii="Verdana" w:hAnsi="Verdana"/>
                <w:lang w:val="es-ES_tradnl"/>
              </w:rPr>
            </w:pPr>
          </w:p>
          <w:p w14:paraId="2BD6DC26" w14:textId="1B1ACD61" w:rsidR="00BD321E" w:rsidRPr="00B06915" w:rsidRDefault="00BD321E" w:rsidP="00476E63">
            <w:pPr>
              <w:rPr>
                <w:rFonts w:ascii="Verdana" w:hAnsi="Verdana"/>
                <w:lang w:val="es-ES_tradnl"/>
              </w:rPr>
            </w:pPr>
            <w:r w:rsidRPr="00B06915">
              <w:rPr>
                <w:rFonts w:ascii="Verdana" w:hAnsi="Verdana"/>
                <w:lang w:val="es-ES_tradnl"/>
              </w:rPr>
              <w:t xml:space="preserve">Respuesta a consulta con radicado No. </w:t>
            </w:r>
            <w:r w:rsidRPr="00B06915">
              <w:rPr>
                <w:rFonts w:ascii="Verdana" w:hAnsi="Verdana"/>
              </w:rPr>
              <w:t>P20240923009705</w:t>
            </w:r>
          </w:p>
        </w:tc>
        <w:tc>
          <w:tcPr>
            <w:tcW w:w="6237" w:type="dxa"/>
          </w:tcPr>
          <w:p w14:paraId="6CC86D14" w14:textId="77777777" w:rsidR="00BD321E" w:rsidRPr="00B06915" w:rsidRDefault="00BD321E" w:rsidP="00476E63">
            <w:pPr>
              <w:spacing w:line="254" w:lineRule="auto"/>
              <w:rPr>
                <w:rFonts w:ascii="Verdana" w:hAnsi="Verdana"/>
                <w:lang w:val="es-ES_tradnl"/>
              </w:rPr>
            </w:pPr>
          </w:p>
        </w:tc>
      </w:tr>
    </w:tbl>
    <w:p w14:paraId="7FE1FBEA" w14:textId="77777777" w:rsidR="00BD321E" w:rsidRPr="00B06915" w:rsidRDefault="00BD321E" w:rsidP="00BD321E">
      <w:pPr>
        <w:spacing w:after="0" w:line="254" w:lineRule="auto"/>
        <w:rPr>
          <w:rFonts w:ascii="Verdana" w:eastAsia="Calibri" w:hAnsi="Verdana" w:cs="Times New Roman"/>
          <w:lang w:val="es-ES_tradnl"/>
        </w:rPr>
      </w:pPr>
    </w:p>
    <w:p w14:paraId="1B8A2D1B" w14:textId="48213611" w:rsidR="00BD321E" w:rsidRPr="00B06915" w:rsidRDefault="00BD321E" w:rsidP="00BD321E">
      <w:pPr>
        <w:spacing w:after="0" w:line="254" w:lineRule="auto"/>
        <w:rPr>
          <w:rFonts w:ascii="Verdana" w:eastAsia="Calibri" w:hAnsi="Verdana" w:cs="Times New Roman"/>
          <w:lang w:val="es-ES"/>
        </w:rPr>
      </w:pPr>
      <w:r w:rsidRPr="00B06915">
        <w:rPr>
          <w:rFonts w:ascii="Verdana" w:eastAsia="Calibri" w:hAnsi="Verdana" w:cs="Times New Roman"/>
          <w:lang w:val="es-ES"/>
        </w:rPr>
        <w:t>Estimado Señor Mateo,</w:t>
      </w:r>
    </w:p>
    <w:p w14:paraId="1EF12A45" w14:textId="77777777" w:rsidR="00BD321E" w:rsidRPr="00B06915" w:rsidRDefault="00BD321E" w:rsidP="00BD321E">
      <w:pPr>
        <w:spacing w:after="0" w:line="254" w:lineRule="auto"/>
        <w:rPr>
          <w:rFonts w:ascii="Verdana" w:eastAsia="Calibri" w:hAnsi="Verdana" w:cs="Times New Roman"/>
          <w:lang w:val="es-ES"/>
        </w:rPr>
      </w:pPr>
    </w:p>
    <w:p w14:paraId="24EF5B28" w14:textId="0E7E0192" w:rsidR="00BD321E" w:rsidRPr="00B06915" w:rsidRDefault="00BD321E" w:rsidP="00BD321E">
      <w:pPr>
        <w:spacing w:after="120" w:line="254" w:lineRule="auto"/>
        <w:jc w:val="both"/>
        <w:rPr>
          <w:rFonts w:ascii="Verdana" w:eastAsia="Calibri" w:hAnsi="Verdana" w:cs="Times New Roman"/>
          <w:lang w:val="es-ES"/>
        </w:rPr>
      </w:pPr>
      <w:r w:rsidRPr="00B06915">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23 de septiembre de 2024. </w:t>
      </w:r>
    </w:p>
    <w:p w14:paraId="0D88C8F4" w14:textId="77777777" w:rsidR="00BD321E" w:rsidRPr="00B06915" w:rsidRDefault="00BD321E" w:rsidP="00BD321E">
      <w:pPr>
        <w:spacing w:after="120" w:line="254" w:lineRule="auto"/>
        <w:ind w:firstLine="708"/>
        <w:jc w:val="both"/>
        <w:rPr>
          <w:rFonts w:ascii="Verdana" w:eastAsia="Calibri" w:hAnsi="Verdana" w:cs="Times New Roman"/>
          <w:lang w:val="es-ES"/>
        </w:rPr>
      </w:pPr>
      <w:r w:rsidRPr="00B06915">
        <w:rPr>
          <w:rFonts w:ascii="Verdana" w:eastAsia="Calibri" w:hAnsi="Verdana" w:cs="Times New Roman"/>
          <w:lang w:val="es-ES"/>
        </w:rPr>
        <w:t>En dicha petición usted solicita:</w:t>
      </w:r>
    </w:p>
    <w:p w14:paraId="5391EDB0" w14:textId="01208072" w:rsidR="00BD321E" w:rsidRPr="00B06915" w:rsidRDefault="00BD321E" w:rsidP="00BD321E">
      <w:pPr>
        <w:spacing w:after="120" w:line="254" w:lineRule="auto"/>
        <w:ind w:left="709"/>
        <w:jc w:val="both"/>
        <w:rPr>
          <w:rFonts w:ascii="Verdana" w:eastAsia="Calibri" w:hAnsi="Verdana" w:cs="Times New Roman"/>
          <w:lang w:val="es-ES"/>
        </w:rPr>
      </w:pPr>
      <w:r w:rsidRPr="00B06915">
        <w:rPr>
          <w:rFonts w:ascii="Verdana" w:eastAsia="Calibri" w:hAnsi="Verdana" w:cs="Times New Roman"/>
          <w:lang w:val="es-ES"/>
        </w:rPr>
        <w:t>(…)</w:t>
      </w:r>
    </w:p>
    <w:p w14:paraId="56EC4DE9" w14:textId="35DEB163" w:rsidR="00BD321E" w:rsidRPr="00B06915" w:rsidRDefault="00BD321E" w:rsidP="004F7D28">
      <w:pPr>
        <w:spacing w:after="120" w:line="254" w:lineRule="auto"/>
        <w:ind w:left="709" w:right="616"/>
        <w:jc w:val="both"/>
        <w:rPr>
          <w:rFonts w:ascii="Verdana" w:hAnsi="Verdana"/>
          <w:sz w:val="20"/>
        </w:rPr>
      </w:pPr>
      <w:r w:rsidRPr="00B06915">
        <w:rPr>
          <w:rFonts w:ascii="Verdana" w:hAnsi="Verdana"/>
          <w:sz w:val="20"/>
        </w:rPr>
        <w:t>“¿Es legalmente procedente que una entidad contratante en un proceso de licitación, ya sea bajo el régimen de la Ley 80 de 1993, regímenes mixtos o privados, fije una regla que reduzca el puntaje de las ofertas presentadas si uno de los oferentes tiene una demanda interpuesta contra la entidad que estructura y tramita el proceso?</w:t>
      </w:r>
    </w:p>
    <w:p w14:paraId="3B47FBC1" w14:textId="3EFDBFD3" w:rsidR="00BD321E" w:rsidRPr="00B06915" w:rsidRDefault="00BD321E" w:rsidP="004F7D28">
      <w:pPr>
        <w:spacing w:after="120" w:line="254" w:lineRule="auto"/>
        <w:ind w:left="709" w:right="616"/>
        <w:jc w:val="both"/>
        <w:rPr>
          <w:rFonts w:ascii="Verdana" w:eastAsia="Calibri" w:hAnsi="Verdana" w:cs="Times New Roman"/>
          <w:sz w:val="20"/>
          <w:lang w:val="es-ES"/>
        </w:rPr>
      </w:pPr>
      <w:r w:rsidRPr="00B06915">
        <w:rPr>
          <w:rFonts w:ascii="Verdana" w:hAnsi="Verdana"/>
          <w:sz w:val="20"/>
        </w:rPr>
        <w:t>En el supuesto de que la reducción de puntaje por demandas interpuestas contra la entidad esté permitida en el pliego de condiciones, ¿si el oferente que demandó a la entidad cede los derechos litigiosos del proceso, aún podría persistir la reducción del puntaje en la oferta por el hecho de haber demandado?</w:t>
      </w:r>
    </w:p>
    <w:p w14:paraId="7E67D003" w14:textId="27B4C876" w:rsidR="00BD321E" w:rsidRPr="00B06915" w:rsidRDefault="00BD321E" w:rsidP="00BD321E">
      <w:pPr>
        <w:ind w:left="709"/>
        <w:rPr>
          <w:rFonts w:ascii="Verdana" w:eastAsia="Calibri" w:hAnsi="Verdana" w:cs="Times New Roman"/>
        </w:rPr>
      </w:pPr>
      <w:r w:rsidRPr="00B06915">
        <w:rPr>
          <w:rFonts w:ascii="Verdana" w:eastAsia="Calibri" w:hAnsi="Verdana" w:cs="Times New Roman"/>
        </w:rPr>
        <w:lastRenderedPageBreak/>
        <w:t>(…)</w:t>
      </w:r>
    </w:p>
    <w:p w14:paraId="6FA3F1AE" w14:textId="77777777" w:rsidR="00BD321E" w:rsidRPr="00B06915" w:rsidRDefault="00BD321E" w:rsidP="00BD321E">
      <w:pPr>
        <w:spacing w:after="120" w:line="254" w:lineRule="auto"/>
        <w:ind w:firstLine="709"/>
        <w:jc w:val="both"/>
        <w:rPr>
          <w:rFonts w:ascii="Verdana" w:eastAsia="Calibri" w:hAnsi="Verdana" w:cs="Times New Roman"/>
          <w:lang w:val="es-ES"/>
        </w:rPr>
      </w:pPr>
      <w:r w:rsidRPr="00B06915">
        <w:rPr>
          <w:rFonts w:ascii="Verdana" w:eastAsia="Calibri" w:hAnsi="Verdana" w:cs="Times New Roman"/>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7F7BA44E" w14:textId="77777777" w:rsidR="00BD321E" w:rsidRPr="00B06915" w:rsidRDefault="00BD321E" w:rsidP="00BD321E">
      <w:pPr>
        <w:spacing w:after="0" w:line="254" w:lineRule="auto"/>
        <w:ind w:firstLine="708"/>
        <w:jc w:val="both"/>
        <w:rPr>
          <w:rFonts w:ascii="Verdana" w:eastAsia="Calibri" w:hAnsi="Verdana" w:cs="Times New Roman"/>
          <w:lang w:val="es-ES"/>
        </w:rPr>
      </w:pPr>
      <w:r w:rsidRPr="00B06915">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455B4D88" w14:textId="77777777" w:rsidR="00BD321E" w:rsidRPr="00B06915" w:rsidRDefault="00BD321E" w:rsidP="00BD321E">
      <w:pPr>
        <w:spacing w:after="0" w:line="254" w:lineRule="auto"/>
        <w:rPr>
          <w:rFonts w:ascii="Verdana" w:eastAsia="Calibri" w:hAnsi="Verdana" w:cs="Times New Roman"/>
          <w:lang w:val="es-ES"/>
        </w:rPr>
      </w:pPr>
    </w:p>
    <w:p w14:paraId="5ABA245C" w14:textId="77777777" w:rsidR="00BD321E" w:rsidRPr="00B06915" w:rsidRDefault="00BD321E" w:rsidP="00BD321E">
      <w:pPr>
        <w:numPr>
          <w:ilvl w:val="0"/>
          <w:numId w:val="16"/>
        </w:numPr>
        <w:spacing w:after="0" w:line="254" w:lineRule="auto"/>
        <w:ind w:left="0" w:firstLine="0"/>
        <w:rPr>
          <w:rFonts w:ascii="Verdana" w:eastAsia="Calibri" w:hAnsi="Verdana" w:cs="Times New Roman"/>
          <w:b/>
          <w:bCs/>
          <w:lang w:val="es-ES"/>
        </w:rPr>
      </w:pPr>
      <w:r w:rsidRPr="00B06915">
        <w:rPr>
          <w:rFonts w:ascii="Verdana" w:eastAsia="Calibri" w:hAnsi="Verdana" w:cs="Times New Roman"/>
          <w:b/>
          <w:bCs/>
          <w:lang w:val="es-ES"/>
        </w:rPr>
        <w:t>Problema planteado:</w:t>
      </w:r>
    </w:p>
    <w:p w14:paraId="3211C1FA" w14:textId="77777777" w:rsidR="00BD321E" w:rsidRPr="00B06915" w:rsidRDefault="00BD321E" w:rsidP="00BD321E">
      <w:pPr>
        <w:spacing w:after="0" w:line="254" w:lineRule="auto"/>
        <w:rPr>
          <w:rFonts w:ascii="Verdana" w:eastAsia="Calibri" w:hAnsi="Verdana" w:cs="Times New Roman"/>
        </w:rPr>
      </w:pPr>
    </w:p>
    <w:p w14:paraId="6E4B6484" w14:textId="6D6AF481" w:rsidR="00BD321E" w:rsidRPr="00B06915" w:rsidRDefault="00BD321E" w:rsidP="00BD321E">
      <w:pPr>
        <w:spacing w:after="0" w:line="254" w:lineRule="auto"/>
        <w:jc w:val="both"/>
        <w:rPr>
          <w:rFonts w:ascii="Verdana" w:eastAsia="Calibri" w:hAnsi="Verdana" w:cs="Times New Roman"/>
          <w:i/>
          <w:iCs/>
        </w:rPr>
      </w:pPr>
      <w:r w:rsidRPr="00B06915">
        <w:rPr>
          <w:rFonts w:ascii="Verdana" w:eastAsia="Calibri" w:hAnsi="Verdana" w:cs="Times New Roman"/>
        </w:rPr>
        <w:t xml:space="preserve">De acuerdo con el contenido de su solicitud, esta Agencia resolverá los siguientes problemas jurídicos: </w:t>
      </w:r>
      <w:r w:rsidR="004A72EE" w:rsidRPr="00B06915">
        <w:rPr>
          <w:rFonts w:ascii="Verdana" w:eastAsia="Calibri" w:hAnsi="Verdana" w:cs="Arial"/>
          <w:lang w:val="es-ES" w:eastAsia="es-ES"/>
        </w:rPr>
        <w:t>(i) ¿Puede</w:t>
      </w:r>
      <w:r w:rsidR="004A72EE" w:rsidRPr="00B06915">
        <w:rPr>
          <w:rFonts w:ascii="Verdana" w:eastAsia="Calibri" w:hAnsi="Verdana" w:cs="Arial"/>
          <w:lang w:eastAsia="es-ES"/>
        </w:rPr>
        <w:t xml:space="preserve"> la entidad estatal, establecer requisitos de reducción de puntaje dentro de un proceso de selección</w:t>
      </w:r>
      <w:r w:rsidR="004A72EE" w:rsidRPr="00B06915">
        <w:rPr>
          <w:rFonts w:ascii="Verdana" w:eastAsia="Calibri" w:hAnsi="Verdana" w:cs="Arial"/>
          <w:lang w:val="es-ES" w:eastAsia="es-ES"/>
        </w:rPr>
        <w:t>?</w:t>
      </w:r>
    </w:p>
    <w:p w14:paraId="5D5C0DD8" w14:textId="77777777" w:rsidR="00BD321E" w:rsidRPr="00B06915" w:rsidRDefault="00BD321E" w:rsidP="00BD321E">
      <w:pPr>
        <w:spacing w:after="0" w:line="254" w:lineRule="auto"/>
        <w:jc w:val="both"/>
        <w:rPr>
          <w:rFonts w:ascii="Verdana" w:eastAsia="Calibri" w:hAnsi="Verdana" w:cs="Times New Roman"/>
        </w:rPr>
      </w:pPr>
    </w:p>
    <w:p w14:paraId="2F8BF4E8" w14:textId="77777777" w:rsidR="00BD321E" w:rsidRPr="00B06915" w:rsidRDefault="00BD321E" w:rsidP="00BD321E">
      <w:pPr>
        <w:numPr>
          <w:ilvl w:val="0"/>
          <w:numId w:val="16"/>
        </w:numPr>
        <w:spacing w:after="0" w:line="254" w:lineRule="auto"/>
        <w:ind w:left="0" w:firstLine="0"/>
        <w:rPr>
          <w:rFonts w:ascii="Verdana" w:eastAsia="Calibri" w:hAnsi="Verdana" w:cs="Times New Roman"/>
          <w:b/>
          <w:bCs/>
          <w:lang w:val="es-ES"/>
        </w:rPr>
      </w:pPr>
      <w:r w:rsidRPr="00B06915">
        <w:rPr>
          <w:rFonts w:ascii="Verdana" w:eastAsia="Calibri" w:hAnsi="Verdana" w:cs="Times New Roman"/>
          <w:b/>
          <w:bCs/>
          <w:lang w:val="es-ES"/>
        </w:rPr>
        <w:t>Respuesta:</w:t>
      </w:r>
    </w:p>
    <w:p w14:paraId="273F2F2A" w14:textId="77777777" w:rsidR="00BD321E" w:rsidRPr="00B06915" w:rsidRDefault="00BD321E" w:rsidP="00BD321E">
      <w:pPr>
        <w:spacing w:after="0" w:line="254" w:lineRule="auto"/>
        <w:rPr>
          <w:rFonts w:ascii="Verdana" w:eastAsia="Calibri" w:hAnsi="Verdana" w:cs="Times New Roman"/>
          <w:b/>
          <w:bCs/>
          <w:lang w:val="es-ES"/>
        </w:rPr>
      </w:pPr>
    </w:p>
    <w:p w14:paraId="52FF647B" w14:textId="77777777" w:rsidR="00A63C75" w:rsidRDefault="00A63C75" w:rsidP="00A63C75">
      <w:pPr>
        <w:spacing w:after="120" w:line="276" w:lineRule="auto"/>
        <w:jc w:val="both"/>
        <w:rPr>
          <w:rFonts w:ascii="Verdana" w:hAnsi="Verdana" w:cs="Arial"/>
          <w:lang w:val="es-ES"/>
        </w:rPr>
      </w:pPr>
      <w:r>
        <w:rPr>
          <w:rFonts w:ascii="Verdana" w:eastAsia="Calibri" w:hAnsi="Verdana" w:cs="Arial"/>
          <w:lang w:val="es-ES"/>
        </w:rPr>
        <w:t>L</w:t>
      </w:r>
      <w:r w:rsidRPr="00251CA2">
        <w:rPr>
          <w:rFonts w:ascii="Verdana" w:eastAsia="Calibri" w:hAnsi="Verdana" w:cs="Arial"/>
          <w:lang w:val="es-ES"/>
        </w:rPr>
        <w:t>a asignación de puntaje es un mecanismo mediante el cual las entidades ponderan los factores de calificación técnicos, de calidad y precio, etc.</w:t>
      </w:r>
      <w:r w:rsidRPr="00251CA2">
        <w:rPr>
          <w:rFonts w:ascii="Arial" w:eastAsia="Calibri" w:hAnsi="Arial" w:cs="Arial"/>
          <w:lang w:val="es-ES"/>
        </w:rPr>
        <w:t>ꟷ</w:t>
      </w:r>
      <w:r w:rsidRPr="00251CA2">
        <w:rPr>
          <w:rFonts w:ascii="Verdana" w:eastAsia="Calibri" w:hAnsi="Verdana" w:cs="Arial"/>
          <w:lang w:val="es-ES"/>
        </w:rPr>
        <w:t xml:space="preserve"> en un determinado proceso de selección, como se desprende del literal a) del numeral 2 del artículo 5 de la Ley 1150 de 2007, en el que, expresamente, se alude al puntaje. Es necesario destacar que las reglas para establecer la oferta más favorable conforme al artículo 5 de la Ley 1150 de 2007, se encuentran reglamentadas en el artículo 2.2.1.1.2.2.2 del Decreto 1082 de 2015. </w:t>
      </w:r>
    </w:p>
    <w:p w14:paraId="752D49CF" w14:textId="3FF5C7D1" w:rsidR="00A63C75" w:rsidRPr="00251CA2" w:rsidRDefault="00A63C75" w:rsidP="00A63C75">
      <w:pPr>
        <w:spacing w:after="120" w:line="276" w:lineRule="auto"/>
        <w:ind w:firstLine="708"/>
        <w:jc w:val="both"/>
        <w:rPr>
          <w:rFonts w:ascii="Verdana" w:eastAsia="Calibri" w:hAnsi="Verdana" w:cs="Arial"/>
          <w:lang w:val="es-ES"/>
        </w:rPr>
      </w:pPr>
      <w:r w:rsidRPr="00251CA2">
        <w:rPr>
          <w:rFonts w:ascii="Verdana" w:eastAsia="Calibri" w:hAnsi="Verdana" w:cs="Arial"/>
          <w:lang w:val="es-ES"/>
        </w:rPr>
        <w:t xml:space="preserve">Este artículo desarrolla los mecanismos de ponderación previstos en los literales a) y b) del artículo 5.2 de la Ley 1150 de 2007, disponiendo unas pautas para la ponderación de los elementos de calidad y precio que representen la </w:t>
      </w:r>
      <w:r w:rsidRPr="00251CA2">
        <w:rPr>
          <w:rFonts w:ascii="Verdana" w:eastAsia="Calibri" w:hAnsi="Verdana" w:cs="Arial"/>
          <w:lang w:val="es-ES"/>
        </w:rPr>
        <w:lastRenderedPageBreak/>
        <w:t xml:space="preserve">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w:t>
      </w:r>
    </w:p>
    <w:p w14:paraId="657576D8" w14:textId="77777777" w:rsidR="00A63C75" w:rsidRPr="00C01E35" w:rsidRDefault="00A63C75" w:rsidP="00A63C75">
      <w:pPr>
        <w:spacing w:after="120" w:line="276" w:lineRule="auto"/>
        <w:ind w:firstLine="708"/>
        <w:jc w:val="both"/>
        <w:rPr>
          <w:rFonts w:ascii="Verdana" w:eastAsia="Calibri" w:hAnsi="Verdana" w:cs="Arial"/>
          <w:lang w:val="es-ES"/>
        </w:rPr>
      </w:pPr>
      <w:r w:rsidRPr="00C01E35">
        <w:rPr>
          <w:rFonts w:ascii="Verdana" w:eastAsia="Calibri" w:hAnsi="Verdana" w:cs="Arial"/>
          <w:lang w:val="es-ES"/>
        </w:rPr>
        <w:t>Teniendo en cuenta estos elementos, 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Pr>
          <w:rFonts w:ascii="Verdana" w:eastAsia="Calibri" w:hAnsi="Verdana" w:cs="Arial"/>
          <w:lang w:val="es-ES"/>
        </w:rPr>
        <w:t>.</w:t>
      </w:r>
    </w:p>
    <w:p w14:paraId="0C3D767A" w14:textId="1A69F7D6" w:rsidR="00A63C75" w:rsidRPr="00C01E35" w:rsidRDefault="00A63C75" w:rsidP="00A63C75">
      <w:pPr>
        <w:spacing w:before="100" w:beforeAutospacing="1" w:after="100" w:afterAutospacing="1" w:line="276" w:lineRule="auto"/>
        <w:ind w:firstLine="708"/>
        <w:jc w:val="both"/>
        <w:rPr>
          <w:rFonts w:ascii="Verdana" w:eastAsia="Calibri" w:hAnsi="Verdana" w:cs="Arial"/>
        </w:rPr>
      </w:pPr>
      <w:r w:rsidRPr="00C01E35">
        <w:rPr>
          <w:rFonts w:ascii="Verdana" w:eastAsia="Calibri" w:hAnsi="Verdana" w:cs="Arial"/>
          <w:lang w:val="es-ES"/>
        </w:rPr>
        <w:t xml:space="preserve">En este sentido, y dando respuesta puntual a su inquietud, se precisa que el marco legal vigente </w:t>
      </w:r>
      <w:r>
        <w:rPr>
          <w:rFonts w:ascii="Verdana" w:eastAsia="Calibri" w:hAnsi="Verdana" w:cs="Arial"/>
          <w:lang w:val="es-ES"/>
        </w:rPr>
        <w:t xml:space="preserve">la reducción de puntaje se encuentra determinada en el artículo 58 de la Ley 2195 de 2022, </w:t>
      </w:r>
      <w:r w:rsidRPr="00F64EB7">
        <w:rPr>
          <w:rFonts w:ascii="Verdana" w:hAnsi="Verdana" w:cs="Verdana"/>
        </w:rPr>
        <w:t xml:space="preserve">para que las entidades sometidas al EGCAP en los procesos de selección reduzcan </w:t>
      </w:r>
      <w:r w:rsidRPr="00F64EB7">
        <w:rPr>
          <w:rFonts w:ascii="Verdana" w:hAnsi="Verdana" w:cs="ArialMT"/>
        </w:rPr>
        <w:t>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r>
        <w:rPr>
          <w:rFonts w:ascii="Verdana" w:hAnsi="Verdana" w:cs="ArialMT"/>
        </w:rPr>
        <w:t xml:space="preserve">. </w:t>
      </w:r>
    </w:p>
    <w:p w14:paraId="05A71069" w14:textId="66662E23" w:rsidR="00A63C75" w:rsidRDefault="00A63C75" w:rsidP="00A63C75">
      <w:pPr>
        <w:spacing w:before="100" w:beforeAutospacing="1" w:after="100" w:afterAutospacing="1" w:line="276" w:lineRule="auto"/>
        <w:ind w:firstLine="708"/>
        <w:jc w:val="both"/>
        <w:rPr>
          <w:rFonts w:ascii="Verdana" w:eastAsia="Calibri" w:hAnsi="Verdana" w:cs="Arial"/>
          <w:lang w:val="es-ES"/>
        </w:rPr>
      </w:pPr>
      <w:r w:rsidRPr="00C01E35">
        <w:rPr>
          <w:rFonts w:ascii="Verdana" w:eastAsia="Calibri" w:hAnsi="Verdana" w:cs="Arial"/>
        </w:rPr>
        <w:t>En ese orden de ideas,</w:t>
      </w:r>
      <w:r>
        <w:rPr>
          <w:rFonts w:ascii="Verdana" w:eastAsia="Calibri" w:hAnsi="Verdana" w:cs="Arial"/>
        </w:rPr>
        <w:t xml:space="preserve"> las entidades no se encuentran en la facultad de establecer condiciones de reducción de puntaje</w:t>
      </w:r>
      <w:r w:rsidR="00133FBB">
        <w:rPr>
          <w:rFonts w:ascii="Verdana" w:eastAsia="Calibri" w:hAnsi="Verdana" w:cs="Arial"/>
        </w:rPr>
        <w:t xml:space="preserve"> debido a que es potestad legislativa establecerlas</w:t>
      </w:r>
      <w:r w:rsidR="00133FBB">
        <w:rPr>
          <w:rStyle w:val="Refdenotaalpie"/>
          <w:rFonts w:ascii="Verdana" w:eastAsia="Calibri" w:hAnsi="Verdana" w:cs="Arial"/>
        </w:rPr>
        <w:footnoteReference w:id="1"/>
      </w:r>
      <w:r w:rsidR="00133FBB">
        <w:rPr>
          <w:rFonts w:ascii="Verdana" w:eastAsia="Calibri" w:hAnsi="Verdana" w:cs="Arial"/>
        </w:rPr>
        <w:t xml:space="preserve"> </w:t>
      </w:r>
      <w:r>
        <w:rPr>
          <w:rFonts w:ascii="Verdana" w:eastAsia="Calibri" w:hAnsi="Verdana" w:cs="Arial"/>
        </w:rPr>
        <w:t xml:space="preserve">, y deben ceñirse a los </w:t>
      </w:r>
      <w:r w:rsidRPr="00C01E35">
        <w:rPr>
          <w:rFonts w:ascii="Verdana" w:eastAsia="Calibri" w:hAnsi="Verdana" w:cs="Arial"/>
        </w:rPr>
        <w:t xml:space="preserve">factores </w:t>
      </w:r>
      <w:r w:rsidR="00EF00F9" w:rsidRPr="00F7600A">
        <w:rPr>
          <w:rFonts w:ascii="Arial" w:eastAsia="Times New Roman" w:hAnsi="Arial" w:cs="Arial"/>
          <w:color w:val="000000" w:themeColor="text1"/>
          <w:sz w:val="24"/>
          <w:szCs w:val="24"/>
          <w:lang w:val="es-ES" w:eastAsia="es-ES_tradnl"/>
        </w:rPr>
        <w:t>técnicos y económicos de escogencia y la ponderación precisa y detallada de los mismos</w:t>
      </w:r>
      <w:r w:rsidR="00EF00F9">
        <w:rPr>
          <w:rFonts w:ascii="Arial" w:eastAsia="Times New Roman" w:hAnsi="Arial" w:cs="Arial"/>
          <w:color w:val="000000" w:themeColor="text1"/>
          <w:sz w:val="24"/>
          <w:szCs w:val="24"/>
          <w:lang w:val="es-ES" w:eastAsia="es-ES_tradnl"/>
        </w:rPr>
        <w:t xml:space="preserve">, </w:t>
      </w:r>
      <w:r w:rsidRPr="00C01E35">
        <w:rPr>
          <w:rFonts w:ascii="Verdana" w:eastAsia="Calibri" w:hAnsi="Verdana" w:cs="Arial"/>
        </w:rPr>
        <w:t>de conformidad con el numeral 2 del artículo 5 de la Ley 1150 de 2007</w:t>
      </w:r>
      <w:r>
        <w:rPr>
          <w:rFonts w:ascii="Verdana" w:eastAsia="Calibri" w:hAnsi="Verdana" w:cs="Arial"/>
        </w:rPr>
        <w:t xml:space="preserve">, en el cual se encuentran </w:t>
      </w:r>
      <w:r>
        <w:rPr>
          <w:rFonts w:ascii="Verdana" w:eastAsia="Calibri" w:hAnsi="Verdana" w:cs="Arial"/>
        </w:rPr>
        <w:lastRenderedPageBreak/>
        <w:t xml:space="preserve">los </w:t>
      </w:r>
      <w:r w:rsidRPr="00C01E35">
        <w:rPr>
          <w:rFonts w:ascii="Verdana" w:eastAsia="Calibri" w:hAnsi="Verdana" w:cs="Arial"/>
          <w:lang w:val="es-ES"/>
        </w:rPr>
        <w:t>criterios de ponderación</w:t>
      </w:r>
      <w:r>
        <w:rPr>
          <w:rFonts w:ascii="Verdana" w:eastAsia="Calibri" w:hAnsi="Verdana" w:cs="Arial"/>
          <w:lang w:val="es-ES"/>
        </w:rPr>
        <w:t xml:space="preserve"> de calidad y precio para </w:t>
      </w:r>
      <w:r w:rsidRPr="00C01E35">
        <w:rPr>
          <w:rFonts w:ascii="Verdana" w:eastAsia="Calibri" w:hAnsi="Verdana" w:cs="Arial"/>
          <w:lang w:val="es-ES"/>
        </w:rPr>
        <w:t xml:space="preserve">la licitación pública, la selección abreviada de menor cuantía y </w:t>
      </w:r>
      <w:r>
        <w:rPr>
          <w:rFonts w:ascii="Verdana" w:eastAsia="Calibri" w:hAnsi="Verdana" w:cs="Arial"/>
          <w:lang w:val="es-ES"/>
        </w:rPr>
        <w:t xml:space="preserve">experiencia y calidad en </w:t>
      </w:r>
      <w:r w:rsidRPr="00C01E35">
        <w:rPr>
          <w:rFonts w:ascii="Verdana" w:eastAsia="Calibri" w:hAnsi="Verdana" w:cs="Arial"/>
          <w:lang w:val="es-ES"/>
        </w:rPr>
        <w:t>el concurso de méritos</w:t>
      </w:r>
      <w:r>
        <w:rPr>
          <w:rFonts w:ascii="Verdana" w:eastAsia="Calibri" w:hAnsi="Verdana" w:cs="Arial"/>
          <w:lang w:val="es-ES"/>
        </w:rPr>
        <w:t xml:space="preserve"> y menor valor </w:t>
      </w:r>
      <w:r w:rsidRPr="00C01E35">
        <w:rPr>
          <w:rFonts w:ascii="Verdana" w:eastAsia="Calibri" w:hAnsi="Verdana" w:cs="Arial"/>
          <w:lang w:val="es-ES"/>
        </w:rPr>
        <w:t xml:space="preserve"> </w:t>
      </w:r>
      <w:r>
        <w:rPr>
          <w:rFonts w:ascii="Verdana" w:eastAsia="Calibri" w:hAnsi="Verdana" w:cs="Arial"/>
          <w:lang w:val="es-ES"/>
        </w:rPr>
        <w:t xml:space="preserve">para </w:t>
      </w:r>
      <w:r w:rsidRPr="00C01E35">
        <w:rPr>
          <w:rFonts w:ascii="Verdana" w:eastAsia="Calibri" w:hAnsi="Verdana" w:cs="Arial"/>
          <w:lang w:val="es-ES"/>
        </w:rPr>
        <w:t>las modalidades de mínima cuantía ni al proceso de selección mediante subasta</w:t>
      </w:r>
      <w:r>
        <w:rPr>
          <w:rFonts w:ascii="Verdana" w:eastAsia="Calibri" w:hAnsi="Verdana" w:cs="Arial"/>
          <w:lang w:val="es-ES"/>
        </w:rPr>
        <w:t>.</w:t>
      </w:r>
    </w:p>
    <w:p w14:paraId="426C690E" w14:textId="27327B33" w:rsidR="00B06915" w:rsidRDefault="007A5A82" w:rsidP="004F7D28">
      <w:pPr>
        <w:autoSpaceDE w:val="0"/>
        <w:autoSpaceDN w:val="0"/>
        <w:adjustRightInd w:val="0"/>
        <w:spacing w:after="0" w:line="240" w:lineRule="auto"/>
        <w:jc w:val="both"/>
        <w:rPr>
          <w:rFonts w:ascii="Verdana" w:hAnsi="Verdana" w:cs="Verdana"/>
        </w:rPr>
      </w:pPr>
      <w:r>
        <w:rPr>
          <w:rFonts w:ascii="Verdana" w:hAnsi="Verdana" w:cs="Verdana"/>
        </w:rPr>
        <w:t xml:space="preserve">Ahora bien, </w:t>
      </w:r>
      <w:r w:rsidR="008B6508">
        <w:rPr>
          <w:rFonts w:ascii="Verdana" w:hAnsi="Verdana" w:cs="Verdana"/>
        </w:rPr>
        <w:t xml:space="preserve">es </w:t>
      </w:r>
      <w:r>
        <w:rPr>
          <w:rFonts w:ascii="Verdana" w:hAnsi="Verdana" w:cs="Verdana"/>
        </w:rPr>
        <w:t xml:space="preserve">preciso advertir que las entidades no cuentan con </w:t>
      </w:r>
      <w:r w:rsidR="004A72EE" w:rsidRPr="00B06915">
        <w:rPr>
          <w:rFonts w:ascii="Verdana" w:hAnsi="Verdana" w:cs="Verdana"/>
        </w:rPr>
        <w:t xml:space="preserve">discrecionalidad </w:t>
      </w:r>
      <w:r>
        <w:rPr>
          <w:rFonts w:ascii="Verdana" w:hAnsi="Verdana" w:cs="Verdana"/>
        </w:rPr>
        <w:t xml:space="preserve">de establecer condiciones de reducción de puntaje en los procesos de selección, </w:t>
      </w:r>
      <w:r w:rsidR="004A72EE" w:rsidRPr="00B06915">
        <w:rPr>
          <w:rFonts w:ascii="Verdana" w:hAnsi="Verdana" w:cs="Verdana"/>
        </w:rPr>
        <w:t xml:space="preserve">pues al momento de establecer condiciones se podría estar dando un trato diferente </w:t>
      </w:r>
      <w:r>
        <w:rPr>
          <w:rFonts w:ascii="Verdana" w:hAnsi="Verdana" w:cs="Verdana"/>
        </w:rPr>
        <w:t>a los proponentes vulnerando el principio de</w:t>
      </w:r>
      <w:r w:rsidR="004A72EE" w:rsidRPr="00B06915">
        <w:rPr>
          <w:rFonts w:ascii="Verdana" w:hAnsi="Verdana" w:cs="Verdana"/>
        </w:rPr>
        <w:t xml:space="preserve"> </w:t>
      </w:r>
      <w:r w:rsidR="007F7B3D">
        <w:rPr>
          <w:rFonts w:ascii="Verdana" w:hAnsi="Verdana" w:cs="Verdana"/>
        </w:rPr>
        <w:t xml:space="preserve">transparencia y el deber de selección objetiva que irradian los procesos que adelantan las entidades públicas. </w:t>
      </w:r>
    </w:p>
    <w:p w14:paraId="78ECBD22" w14:textId="77777777" w:rsidR="007F7B3D" w:rsidRPr="00B06915" w:rsidRDefault="007F7B3D" w:rsidP="007F7B3D">
      <w:pPr>
        <w:autoSpaceDE w:val="0"/>
        <w:autoSpaceDN w:val="0"/>
        <w:adjustRightInd w:val="0"/>
        <w:spacing w:after="0" w:line="240" w:lineRule="auto"/>
        <w:ind w:firstLine="708"/>
        <w:jc w:val="both"/>
        <w:rPr>
          <w:rFonts w:ascii="Verdana" w:eastAsia="Calibri" w:hAnsi="Verdana" w:cs="Times New Roman"/>
          <w:lang w:val="es-ES"/>
        </w:rPr>
      </w:pPr>
    </w:p>
    <w:p w14:paraId="5287F558" w14:textId="77777777" w:rsidR="00BD321E" w:rsidRPr="00B06915" w:rsidRDefault="00BD321E" w:rsidP="00BD321E">
      <w:pPr>
        <w:numPr>
          <w:ilvl w:val="0"/>
          <w:numId w:val="16"/>
        </w:numPr>
        <w:spacing w:after="0" w:line="254" w:lineRule="auto"/>
        <w:ind w:left="0" w:firstLine="0"/>
        <w:rPr>
          <w:rFonts w:ascii="Verdana" w:eastAsia="Calibri" w:hAnsi="Verdana" w:cs="Times New Roman"/>
          <w:b/>
          <w:bCs/>
          <w:lang w:val="es-ES"/>
        </w:rPr>
      </w:pPr>
      <w:r w:rsidRPr="00B06915">
        <w:rPr>
          <w:rFonts w:ascii="Verdana" w:eastAsia="Calibri" w:hAnsi="Verdana" w:cs="Times New Roman"/>
          <w:b/>
          <w:bCs/>
          <w:lang w:val="es-ES"/>
        </w:rPr>
        <w:t>Razones de la respuesta:</w:t>
      </w:r>
    </w:p>
    <w:p w14:paraId="44DC0916" w14:textId="77777777" w:rsidR="00BD321E" w:rsidRPr="00B06915" w:rsidRDefault="00BD321E" w:rsidP="00BD321E">
      <w:pPr>
        <w:spacing w:after="0" w:line="254" w:lineRule="auto"/>
        <w:rPr>
          <w:rFonts w:ascii="Verdana" w:eastAsia="Calibri" w:hAnsi="Verdana" w:cs="Times New Roman"/>
          <w:b/>
          <w:bCs/>
          <w:lang w:val="es-ES"/>
        </w:rPr>
      </w:pPr>
    </w:p>
    <w:p w14:paraId="48555BD8" w14:textId="5407068A" w:rsidR="00BD321E" w:rsidRDefault="00BD321E" w:rsidP="00BD321E">
      <w:pPr>
        <w:spacing w:after="0" w:line="276" w:lineRule="auto"/>
        <w:jc w:val="both"/>
        <w:rPr>
          <w:rFonts w:ascii="Verdana" w:eastAsia="Calibri" w:hAnsi="Verdana" w:cs="Arial"/>
          <w:lang w:val="es-ES"/>
        </w:rPr>
      </w:pPr>
      <w:r w:rsidRPr="00B06915">
        <w:rPr>
          <w:rFonts w:ascii="Verdana" w:eastAsia="Calibri" w:hAnsi="Verdana" w:cs="Arial"/>
          <w:lang w:val="es-ES"/>
        </w:rPr>
        <w:t xml:space="preserve">Lo anterior se sustenta en las siguientes consideraciones: </w:t>
      </w:r>
    </w:p>
    <w:p w14:paraId="2C92CEC6" w14:textId="77777777" w:rsidR="00B06915" w:rsidRPr="00B06915" w:rsidRDefault="00B06915" w:rsidP="00BD321E">
      <w:pPr>
        <w:spacing w:after="0" w:line="276" w:lineRule="auto"/>
        <w:jc w:val="both"/>
        <w:rPr>
          <w:rFonts w:ascii="Verdana" w:eastAsia="Calibri" w:hAnsi="Verdana" w:cs="Arial"/>
          <w:lang w:val="es-ES"/>
        </w:rPr>
      </w:pPr>
    </w:p>
    <w:p w14:paraId="67ACF4FA" w14:textId="3FA363EB" w:rsidR="00BD321E" w:rsidRPr="00B06915" w:rsidRDefault="004A72EE" w:rsidP="00B06915">
      <w:pPr>
        <w:pStyle w:val="Prrafodelista"/>
        <w:numPr>
          <w:ilvl w:val="0"/>
          <w:numId w:val="20"/>
        </w:numPr>
        <w:autoSpaceDE w:val="0"/>
        <w:autoSpaceDN w:val="0"/>
        <w:adjustRightInd w:val="0"/>
        <w:spacing w:after="0" w:line="240" w:lineRule="auto"/>
        <w:jc w:val="both"/>
        <w:rPr>
          <w:rFonts w:ascii="Verdana" w:eastAsia="Quattrocento Sans" w:hAnsi="Verdana" w:cs="Arial"/>
          <w:color w:val="000000"/>
          <w:sz w:val="18"/>
          <w:szCs w:val="18"/>
        </w:rPr>
      </w:pPr>
      <w:r w:rsidRPr="00B06915">
        <w:rPr>
          <w:rFonts w:ascii="Verdana" w:hAnsi="Verdana" w:cs="Verdana"/>
        </w:rPr>
        <w:t>Dado que la selección objetiva es uno de los principios medulares de la</w:t>
      </w:r>
      <w:r w:rsidR="00B06915" w:rsidRPr="00B06915">
        <w:rPr>
          <w:rFonts w:ascii="Verdana" w:hAnsi="Verdana" w:cs="Verdana"/>
        </w:rPr>
        <w:t xml:space="preserve"> </w:t>
      </w:r>
      <w:r w:rsidRPr="00B06915">
        <w:rPr>
          <w:rFonts w:ascii="Verdana" w:hAnsi="Verdana" w:cs="Verdana"/>
        </w:rPr>
        <w:t>contratación estatal, la selección del futuro contratista no puede</w:t>
      </w:r>
      <w:r w:rsidR="00B06915" w:rsidRPr="00B06915">
        <w:rPr>
          <w:rFonts w:ascii="Verdana" w:hAnsi="Verdana" w:cs="Verdana"/>
        </w:rPr>
        <w:t xml:space="preserve"> </w:t>
      </w:r>
      <w:r w:rsidRPr="00B06915">
        <w:rPr>
          <w:rFonts w:ascii="Verdana" w:hAnsi="Verdana" w:cs="Verdana"/>
        </w:rPr>
        <w:t>motivarse en razones subjetivas que afecten la imparcialidad de la Entidad</w:t>
      </w:r>
      <w:r w:rsidR="00B06915" w:rsidRPr="00B06915">
        <w:rPr>
          <w:rFonts w:ascii="Verdana" w:hAnsi="Verdana" w:cs="Verdana"/>
        </w:rPr>
        <w:t xml:space="preserve"> </w:t>
      </w:r>
      <w:r w:rsidRPr="00B06915">
        <w:rPr>
          <w:rFonts w:ascii="Verdana" w:hAnsi="Verdana" w:cs="Verdana"/>
        </w:rPr>
        <w:t xml:space="preserve">Pública , </w:t>
      </w:r>
      <w:r w:rsidR="007F7B3D" w:rsidRPr="00B06915">
        <w:rPr>
          <w:rFonts w:ascii="Verdana" w:hAnsi="Verdana" w:cs="Verdana"/>
        </w:rPr>
        <w:t>así</w:t>
      </w:r>
      <w:r w:rsidRPr="00B06915">
        <w:rPr>
          <w:rFonts w:ascii="Verdana" w:hAnsi="Verdana" w:cs="Verdana"/>
        </w:rPr>
        <w:t xml:space="preserve"> lo determina el primer inciso del artículo 5 de la Ley 1150 de</w:t>
      </w:r>
      <w:r w:rsidR="00B06915" w:rsidRPr="00B06915">
        <w:rPr>
          <w:rFonts w:ascii="Verdana" w:hAnsi="Verdana" w:cs="Verdana"/>
        </w:rPr>
        <w:t xml:space="preserve"> </w:t>
      </w:r>
      <w:r w:rsidRPr="00B06915">
        <w:rPr>
          <w:rFonts w:ascii="Verdana" w:hAnsi="Verdana" w:cs="Verdana"/>
        </w:rPr>
        <w:t>2007, indicando que “ Es objetiva la selección en la cual la escogencia se</w:t>
      </w:r>
      <w:r w:rsidR="00B06915" w:rsidRPr="00B06915">
        <w:rPr>
          <w:rFonts w:ascii="Verdana" w:hAnsi="Verdana" w:cs="Verdana"/>
        </w:rPr>
        <w:t xml:space="preserve"> </w:t>
      </w:r>
      <w:r w:rsidRPr="00B06915">
        <w:rPr>
          <w:rFonts w:ascii="Verdana" w:hAnsi="Verdana" w:cs="Verdana"/>
        </w:rPr>
        <w:t>haga al ofrecimiento más favorable a la entidad y a los fines que ella busca,</w:t>
      </w:r>
      <w:r w:rsidR="00B06915" w:rsidRPr="00B06915">
        <w:rPr>
          <w:rFonts w:ascii="Verdana" w:hAnsi="Verdana" w:cs="Verdana"/>
        </w:rPr>
        <w:t xml:space="preserve"> </w:t>
      </w:r>
      <w:r w:rsidRPr="00B06915">
        <w:rPr>
          <w:rFonts w:ascii="Verdana" w:hAnsi="Verdana" w:cs="Verdana"/>
        </w:rPr>
        <w:t>sin tener en consideración factores de afecto o de interés y, en general,</w:t>
      </w:r>
      <w:r w:rsidR="00B06915" w:rsidRPr="00B06915">
        <w:rPr>
          <w:rFonts w:ascii="Verdana" w:hAnsi="Verdana" w:cs="Verdana"/>
        </w:rPr>
        <w:t xml:space="preserve"> </w:t>
      </w:r>
      <w:r w:rsidRPr="00B06915">
        <w:rPr>
          <w:rFonts w:ascii="Verdana" w:hAnsi="Verdana" w:cs="Verdana"/>
        </w:rPr>
        <w:t>cualquier clase de motivación subjetiva</w:t>
      </w:r>
      <w:r w:rsidR="007F7B3D">
        <w:rPr>
          <w:rFonts w:ascii="Verdana" w:hAnsi="Verdana" w:cs="Verdana"/>
        </w:rPr>
        <w:t>.</w:t>
      </w:r>
      <w:r w:rsidRPr="00B06915">
        <w:rPr>
          <w:rFonts w:ascii="Verdana" w:hAnsi="Verdana" w:cs="Verdana"/>
        </w:rPr>
        <w:t>” . Además, la norma citada agrega</w:t>
      </w:r>
      <w:r w:rsidR="007F7B3D">
        <w:rPr>
          <w:rFonts w:ascii="Verdana" w:hAnsi="Verdana" w:cs="Verdana"/>
        </w:rPr>
        <w:t xml:space="preserve"> </w:t>
      </w:r>
      <w:r w:rsidRPr="00B06915">
        <w:rPr>
          <w:rFonts w:ascii="Verdana" w:hAnsi="Verdana" w:cs="Verdana"/>
        </w:rPr>
        <w:t>que los factores de escogencia y calificación que establezcan las entidades</w:t>
      </w:r>
      <w:r w:rsidR="00B06915" w:rsidRPr="00B06915">
        <w:rPr>
          <w:rFonts w:ascii="Verdana" w:hAnsi="Verdana" w:cs="Verdana"/>
        </w:rPr>
        <w:t xml:space="preserve"> </w:t>
      </w:r>
      <w:r w:rsidRPr="00B06915">
        <w:rPr>
          <w:rFonts w:ascii="Verdana" w:hAnsi="Verdana" w:cs="Verdana"/>
        </w:rPr>
        <w:t>en los pliegos de condiciones o sus equivalentes tendrán en cuenta</w:t>
      </w:r>
      <w:r w:rsidR="00B06915" w:rsidRPr="00B06915">
        <w:rPr>
          <w:rFonts w:ascii="Verdana" w:hAnsi="Verdana" w:cs="Verdana"/>
        </w:rPr>
        <w:t xml:space="preserve"> </w:t>
      </w:r>
      <w:r w:rsidRPr="00B06915">
        <w:rPr>
          <w:rFonts w:ascii="Verdana" w:hAnsi="Verdana" w:cs="Verdana"/>
        </w:rPr>
        <w:t>criterios como la experiencia y la capacidad jurídica, financiera y de</w:t>
      </w:r>
      <w:r w:rsidR="00B06915" w:rsidRPr="00B06915">
        <w:rPr>
          <w:rFonts w:ascii="Verdana" w:hAnsi="Verdana" w:cs="Verdana"/>
        </w:rPr>
        <w:t xml:space="preserve"> </w:t>
      </w:r>
      <w:r w:rsidRPr="00B06915">
        <w:rPr>
          <w:rFonts w:ascii="Verdana" w:hAnsi="Verdana" w:cs="Verdana"/>
        </w:rPr>
        <w:t>organización, entre otros elementos que garanticen la escogencia de la mejor opción de negocio para la Entidad Estatal.</w:t>
      </w:r>
    </w:p>
    <w:p w14:paraId="713F1134" w14:textId="77777777" w:rsidR="00BD321E" w:rsidRPr="00B06915" w:rsidRDefault="00BD321E" w:rsidP="00BD321E">
      <w:pPr>
        <w:pStyle w:val="Prrafodelista"/>
        <w:pBdr>
          <w:top w:val="nil"/>
          <w:left w:val="nil"/>
          <w:bottom w:val="nil"/>
          <w:right w:val="nil"/>
          <w:between w:val="nil"/>
        </w:pBdr>
        <w:spacing w:before="120" w:line="276" w:lineRule="auto"/>
        <w:jc w:val="both"/>
        <w:rPr>
          <w:rFonts w:ascii="Verdana" w:eastAsia="Quattrocento Sans" w:hAnsi="Verdana" w:cs="Arial"/>
          <w:color w:val="000000"/>
          <w:sz w:val="18"/>
          <w:szCs w:val="18"/>
        </w:rPr>
      </w:pPr>
    </w:p>
    <w:p w14:paraId="13B08E51" w14:textId="7A3D16E5" w:rsidR="004A72EE" w:rsidRPr="00B06915" w:rsidRDefault="004A72EE" w:rsidP="00B06915">
      <w:pPr>
        <w:pStyle w:val="Prrafodelista"/>
        <w:numPr>
          <w:ilvl w:val="0"/>
          <w:numId w:val="20"/>
        </w:numPr>
        <w:autoSpaceDE w:val="0"/>
        <w:autoSpaceDN w:val="0"/>
        <w:adjustRightInd w:val="0"/>
        <w:spacing w:after="0" w:line="240" w:lineRule="auto"/>
        <w:jc w:val="both"/>
        <w:rPr>
          <w:rFonts w:ascii="Verdana" w:hAnsi="Verdana" w:cs="Verdana"/>
        </w:rPr>
      </w:pPr>
      <w:r w:rsidRPr="00B06915">
        <w:rPr>
          <w:rFonts w:ascii="Verdana" w:hAnsi="Verdana" w:cs="Verdana"/>
        </w:rPr>
        <w:t>De lo anterior es crucial diferenciar dos figuras que se han denominado a</w:t>
      </w:r>
      <w:r w:rsidR="00B06915" w:rsidRPr="00B06915">
        <w:rPr>
          <w:rFonts w:ascii="Verdana" w:hAnsi="Verdana" w:cs="Verdana"/>
        </w:rPr>
        <w:t xml:space="preserve"> </w:t>
      </w:r>
      <w:r w:rsidRPr="00B06915">
        <w:rPr>
          <w:rFonts w:ascii="Verdana" w:hAnsi="Verdana" w:cs="Verdana"/>
        </w:rPr>
        <w:t>lo largo de los años, como los requisitos habilitantes y los requisitos de</w:t>
      </w:r>
      <w:r w:rsidR="00B06915" w:rsidRPr="00B06915">
        <w:rPr>
          <w:rFonts w:ascii="Verdana" w:hAnsi="Verdana" w:cs="Verdana"/>
        </w:rPr>
        <w:t xml:space="preserve"> </w:t>
      </w:r>
      <w:r w:rsidRPr="00B06915">
        <w:rPr>
          <w:rFonts w:ascii="Verdana" w:hAnsi="Verdana" w:cs="Verdana"/>
        </w:rPr>
        <w:t>evaluación o calificación o ponderación. Los primeros, se definen como las</w:t>
      </w:r>
      <w:r w:rsidR="00B06915" w:rsidRPr="00B06915">
        <w:rPr>
          <w:rFonts w:ascii="Verdana" w:hAnsi="Verdana" w:cs="Verdana"/>
        </w:rPr>
        <w:t xml:space="preserve"> </w:t>
      </w:r>
      <w:r w:rsidRPr="00B06915">
        <w:rPr>
          <w:rFonts w:ascii="Verdana" w:hAnsi="Verdana" w:cs="Verdana"/>
        </w:rPr>
        <w:t>exigencias de participación en los procedimientos de selección,</w:t>
      </w:r>
      <w:r w:rsidR="00B06915" w:rsidRPr="00B06915">
        <w:rPr>
          <w:rFonts w:ascii="Verdana" w:hAnsi="Verdana" w:cs="Verdana"/>
        </w:rPr>
        <w:t xml:space="preserve"> </w:t>
      </w:r>
      <w:r w:rsidRPr="00B06915">
        <w:rPr>
          <w:rFonts w:ascii="Verdana" w:hAnsi="Verdana" w:cs="Verdana"/>
        </w:rPr>
        <w:t>establecidos en disposiciones normativas, de carácter legal o</w:t>
      </w:r>
      <w:r w:rsidR="00B06915" w:rsidRPr="00B06915">
        <w:rPr>
          <w:rFonts w:ascii="Verdana" w:hAnsi="Verdana" w:cs="Verdana"/>
        </w:rPr>
        <w:t xml:space="preserve"> </w:t>
      </w:r>
      <w:r w:rsidRPr="00B06915">
        <w:rPr>
          <w:rFonts w:ascii="Verdana" w:hAnsi="Verdana" w:cs="Verdana"/>
        </w:rPr>
        <w:t>reglamentario, o las contenidas en el acto administrativo que regula las</w:t>
      </w:r>
      <w:r w:rsidR="00B06915" w:rsidRPr="00B06915">
        <w:rPr>
          <w:rFonts w:ascii="Verdana" w:hAnsi="Verdana" w:cs="Verdana"/>
        </w:rPr>
        <w:t xml:space="preserve"> </w:t>
      </w:r>
      <w:r w:rsidRPr="00B06915">
        <w:rPr>
          <w:rFonts w:ascii="Verdana" w:hAnsi="Verdana" w:cs="Verdana"/>
        </w:rPr>
        <w:t>reglas de la convocatoria, es decir, en el pliego de condiciones o el</w:t>
      </w:r>
      <w:r w:rsidR="00B06915" w:rsidRPr="00B06915">
        <w:rPr>
          <w:rFonts w:ascii="Verdana" w:hAnsi="Verdana" w:cs="Verdana"/>
        </w:rPr>
        <w:t xml:space="preserve"> </w:t>
      </w:r>
      <w:r w:rsidRPr="00B06915">
        <w:rPr>
          <w:rFonts w:ascii="Verdana" w:hAnsi="Verdana" w:cs="Verdana"/>
        </w:rPr>
        <w:t>documento equivalente a este ; ahora bien, es preciso indica que el</w:t>
      </w:r>
      <w:r w:rsidR="00B06915" w:rsidRPr="00B06915">
        <w:rPr>
          <w:rFonts w:ascii="Verdana" w:hAnsi="Verdana" w:cs="Verdana"/>
        </w:rPr>
        <w:t xml:space="preserve"> </w:t>
      </w:r>
      <w:r w:rsidRPr="00B06915">
        <w:rPr>
          <w:rFonts w:ascii="Verdana" w:hAnsi="Verdana" w:cs="Verdana"/>
        </w:rPr>
        <w:t>propósito o finalidad de estos requisitos, es verificar por parte de las</w:t>
      </w:r>
      <w:r w:rsidR="00B06915" w:rsidRPr="00B06915">
        <w:rPr>
          <w:rFonts w:ascii="Verdana" w:hAnsi="Verdana" w:cs="Verdana"/>
        </w:rPr>
        <w:t xml:space="preserve"> </w:t>
      </w:r>
      <w:r w:rsidRPr="00B06915">
        <w:rPr>
          <w:rFonts w:ascii="Verdana" w:hAnsi="Verdana" w:cs="Verdana"/>
        </w:rPr>
        <w:t>entidades sometidas al Estatuto general de contratación de la</w:t>
      </w:r>
      <w:r w:rsidR="00B06915" w:rsidRPr="00B06915">
        <w:rPr>
          <w:rFonts w:ascii="Verdana" w:hAnsi="Verdana" w:cs="Verdana"/>
        </w:rPr>
        <w:t xml:space="preserve"> </w:t>
      </w:r>
      <w:r w:rsidRPr="00B06915">
        <w:rPr>
          <w:rFonts w:ascii="Verdana" w:hAnsi="Verdana" w:cs="Verdana"/>
        </w:rPr>
        <w:t>administración pública -EGCAP , las condiciones de los proponentes,</w:t>
      </w:r>
      <w:r w:rsidR="00B06915" w:rsidRPr="00B06915">
        <w:rPr>
          <w:rFonts w:ascii="Verdana" w:hAnsi="Verdana" w:cs="Verdana"/>
        </w:rPr>
        <w:t xml:space="preserve"> </w:t>
      </w:r>
      <w:r w:rsidRPr="00B06915">
        <w:rPr>
          <w:rFonts w:ascii="Verdana" w:hAnsi="Verdana" w:cs="Verdana"/>
        </w:rPr>
        <w:t>respecto a los requisitos jurídicos, financieros, experiencia, capacidad</w:t>
      </w:r>
      <w:r w:rsidR="00B06915" w:rsidRPr="00B06915">
        <w:rPr>
          <w:rFonts w:ascii="Verdana" w:hAnsi="Verdana" w:cs="Verdana"/>
        </w:rPr>
        <w:t xml:space="preserve"> </w:t>
      </w:r>
      <w:r w:rsidRPr="00B06915">
        <w:rPr>
          <w:rFonts w:ascii="Verdana" w:hAnsi="Verdana" w:cs="Verdana"/>
        </w:rPr>
        <w:t>residual entre otros; los cuales, una vez verificados y aprobados,</w:t>
      </w:r>
      <w:r w:rsidR="00B06915" w:rsidRPr="00B06915">
        <w:rPr>
          <w:rFonts w:ascii="Verdana" w:hAnsi="Verdana" w:cs="Verdana"/>
        </w:rPr>
        <w:t xml:space="preserve"> </w:t>
      </w:r>
      <w:r w:rsidRPr="00B06915">
        <w:rPr>
          <w:rFonts w:ascii="Verdana" w:hAnsi="Verdana" w:cs="Verdana"/>
        </w:rPr>
        <w:lastRenderedPageBreak/>
        <w:t>conducen a la habilitación y posterior aplicación de los requisitos evaluació</w:t>
      </w:r>
      <w:r w:rsidR="00B06915" w:rsidRPr="00B06915">
        <w:rPr>
          <w:rFonts w:ascii="Verdana" w:hAnsi="Verdana" w:cs="Verdana"/>
        </w:rPr>
        <w:t>n</w:t>
      </w:r>
    </w:p>
    <w:p w14:paraId="0646A70E" w14:textId="77777777" w:rsidR="004A72EE" w:rsidRPr="00B06915" w:rsidRDefault="004A72EE" w:rsidP="004A72EE">
      <w:pPr>
        <w:autoSpaceDE w:val="0"/>
        <w:autoSpaceDN w:val="0"/>
        <w:adjustRightInd w:val="0"/>
        <w:spacing w:after="0" w:line="240" w:lineRule="auto"/>
        <w:rPr>
          <w:rFonts w:ascii="Verdana" w:hAnsi="Verdana" w:cs="Verdana"/>
        </w:rPr>
      </w:pPr>
    </w:p>
    <w:p w14:paraId="6668CFF7" w14:textId="6D9F90D7" w:rsidR="004A72EE" w:rsidRPr="00B06915" w:rsidRDefault="004A72EE" w:rsidP="00B06915">
      <w:pPr>
        <w:pStyle w:val="Prrafodelista"/>
        <w:numPr>
          <w:ilvl w:val="0"/>
          <w:numId w:val="20"/>
        </w:numPr>
        <w:autoSpaceDE w:val="0"/>
        <w:autoSpaceDN w:val="0"/>
        <w:adjustRightInd w:val="0"/>
        <w:spacing w:after="0" w:line="240" w:lineRule="auto"/>
        <w:jc w:val="both"/>
        <w:rPr>
          <w:rFonts w:ascii="Verdana" w:eastAsia="Quattrocento Sans" w:hAnsi="Verdana" w:cs="Arial"/>
          <w:color w:val="000000"/>
          <w:sz w:val="18"/>
          <w:szCs w:val="18"/>
        </w:rPr>
      </w:pPr>
      <w:r w:rsidRPr="00B06915">
        <w:rPr>
          <w:rFonts w:ascii="Verdana" w:hAnsi="Verdana" w:cs="Verdana"/>
        </w:rPr>
        <w:t>Se diferencian de los criterios de evaluación , en que estos son los</w:t>
      </w:r>
      <w:r w:rsidR="00B06915" w:rsidRPr="00B06915">
        <w:rPr>
          <w:rFonts w:ascii="Verdana" w:hAnsi="Verdana" w:cs="Verdana"/>
        </w:rPr>
        <w:t xml:space="preserve"> </w:t>
      </w:r>
      <w:r w:rsidRPr="00B06915">
        <w:rPr>
          <w:rFonts w:ascii="Verdana" w:hAnsi="Verdana" w:cs="Verdana"/>
        </w:rPr>
        <w:t>factores</w:t>
      </w:r>
      <w:r w:rsidR="00B06915" w:rsidRPr="00B06915">
        <w:rPr>
          <w:rFonts w:ascii="Verdana" w:hAnsi="Verdana" w:cs="Verdana"/>
        </w:rPr>
        <w:t xml:space="preserve"> </w:t>
      </w:r>
      <w:r w:rsidRPr="00B06915">
        <w:rPr>
          <w:rFonts w:ascii="Verdana" w:hAnsi="Verdana" w:cs="Verdana"/>
        </w:rPr>
        <w:t>definidos por la Entidad Estatal para la asignación de puntaje en el</w:t>
      </w:r>
      <w:r w:rsidR="00B06915" w:rsidRPr="00B06915">
        <w:rPr>
          <w:rFonts w:ascii="Verdana" w:hAnsi="Verdana" w:cs="Verdana"/>
        </w:rPr>
        <w:t xml:space="preserve"> </w:t>
      </w:r>
      <w:r w:rsidRPr="00B06915">
        <w:rPr>
          <w:rFonts w:ascii="Verdana" w:hAnsi="Verdana" w:cs="Verdana"/>
        </w:rPr>
        <w:t>momento de la comparación de las ofertas, y que, a partir de su</w:t>
      </w:r>
      <w:r w:rsidR="00B06915" w:rsidRPr="00B06915">
        <w:rPr>
          <w:rFonts w:ascii="Verdana" w:hAnsi="Verdana" w:cs="Verdana"/>
        </w:rPr>
        <w:t xml:space="preserve"> </w:t>
      </w:r>
      <w:r w:rsidRPr="00B06915">
        <w:rPr>
          <w:rFonts w:ascii="Verdana" w:hAnsi="Verdana" w:cs="Verdana"/>
        </w:rPr>
        <w:t>ponderación, permiten establecer el orden de elegibilidad y, por ende, la propuesta ganadora.</w:t>
      </w:r>
    </w:p>
    <w:p w14:paraId="3981173D" w14:textId="77777777" w:rsidR="004A72EE" w:rsidRPr="00B06915" w:rsidRDefault="004A72EE" w:rsidP="004A72EE">
      <w:pPr>
        <w:pStyle w:val="Prrafodelista"/>
        <w:pBdr>
          <w:top w:val="nil"/>
          <w:left w:val="nil"/>
          <w:bottom w:val="nil"/>
          <w:right w:val="nil"/>
          <w:between w:val="nil"/>
        </w:pBdr>
        <w:spacing w:before="120" w:line="276" w:lineRule="auto"/>
        <w:jc w:val="both"/>
        <w:rPr>
          <w:rFonts w:ascii="Verdana" w:eastAsia="Arial" w:hAnsi="Verdana" w:cs="Arial"/>
          <w:color w:val="000000"/>
        </w:rPr>
      </w:pPr>
    </w:p>
    <w:p w14:paraId="4F6830F6" w14:textId="38AC87A6" w:rsidR="004A72EE" w:rsidRPr="00B06915" w:rsidRDefault="004A72EE" w:rsidP="00035405">
      <w:pPr>
        <w:pStyle w:val="Prrafodelista"/>
        <w:numPr>
          <w:ilvl w:val="0"/>
          <w:numId w:val="20"/>
        </w:numPr>
        <w:pBdr>
          <w:top w:val="nil"/>
          <w:left w:val="nil"/>
          <w:bottom w:val="nil"/>
          <w:right w:val="nil"/>
          <w:between w:val="nil"/>
        </w:pBdr>
        <w:autoSpaceDE w:val="0"/>
        <w:autoSpaceDN w:val="0"/>
        <w:adjustRightInd w:val="0"/>
        <w:spacing w:before="120" w:after="0" w:line="276" w:lineRule="auto"/>
        <w:jc w:val="both"/>
        <w:rPr>
          <w:rFonts w:ascii="Verdana" w:eastAsia="Arial" w:hAnsi="Verdana" w:cs="Arial"/>
          <w:color w:val="000000"/>
        </w:rPr>
      </w:pPr>
      <w:r w:rsidRPr="00B06915">
        <w:rPr>
          <w:rFonts w:ascii="Verdana" w:hAnsi="Verdana" w:cs="Verdana"/>
        </w:rPr>
        <w:t>De lo anterior, es pertinente indicar que el artículo 5 de la Ley 1150 de</w:t>
      </w:r>
      <w:r w:rsidR="00B06915" w:rsidRPr="00B06915">
        <w:rPr>
          <w:rFonts w:ascii="Verdana" w:hAnsi="Verdana" w:cs="Verdana"/>
        </w:rPr>
        <w:t xml:space="preserve"> </w:t>
      </w:r>
      <w:r w:rsidRPr="00B06915">
        <w:rPr>
          <w:rFonts w:ascii="Verdana" w:hAnsi="Verdana" w:cs="Verdana"/>
        </w:rPr>
        <w:t>2007, determina las diferentes alternativas que determinarán las</w:t>
      </w:r>
      <w:r w:rsidR="00B06915" w:rsidRPr="00B06915">
        <w:rPr>
          <w:rFonts w:ascii="Verdana" w:hAnsi="Verdana" w:cs="Verdana"/>
        </w:rPr>
        <w:t xml:space="preserve"> </w:t>
      </w:r>
      <w:r w:rsidRPr="00B06915">
        <w:rPr>
          <w:rFonts w:ascii="Verdana" w:hAnsi="Verdana" w:cs="Verdana"/>
        </w:rPr>
        <w:t xml:space="preserve">entidades en los procesos de selección para escoger la oferta </w:t>
      </w:r>
      <w:r w:rsidR="00A649DE" w:rsidRPr="00B06915">
        <w:rPr>
          <w:rFonts w:ascii="Verdana" w:hAnsi="Verdana" w:cs="Verdana"/>
        </w:rPr>
        <w:t>más</w:t>
      </w:r>
      <w:r w:rsidR="00B06915" w:rsidRPr="00B06915">
        <w:rPr>
          <w:rFonts w:ascii="Verdana" w:hAnsi="Verdana" w:cs="Verdana"/>
        </w:rPr>
        <w:t xml:space="preserve"> </w:t>
      </w:r>
      <w:r w:rsidRPr="00B06915">
        <w:rPr>
          <w:rFonts w:ascii="Verdana" w:hAnsi="Verdana" w:cs="Verdana"/>
        </w:rPr>
        <w:t>ventajosa, de la siguiente manera:</w:t>
      </w:r>
    </w:p>
    <w:p w14:paraId="29169F54" w14:textId="77777777" w:rsidR="00B06915" w:rsidRDefault="00B06915" w:rsidP="004A72EE">
      <w:pPr>
        <w:autoSpaceDE w:val="0"/>
        <w:autoSpaceDN w:val="0"/>
        <w:adjustRightInd w:val="0"/>
        <w:spacing w:after="0" w:line="240" w:lineRule="auto"/>
        <w:rPr>
          <w:rFonts w:ascii="Verdana" w:hAnsi="Verdana" w:cs="ArialMT"/>
          <w:sz w:val="21"/>
          <w:szCs w:val="21"/>
        </w:rPr>
      </w:pPr>
    </w:p>
    <w:p w14:paraId="2E69DE65" w14:textId="2E6663FD" w:rsidR="004A72EE" w:rsidRPr="00B06915" w:rsidRDefault="004A72EE" w:rsidP="00B06915">
      <w:pPr>
        <w:autoSpaceDE w:val="0"/>
        <w:autoSpaceDN w:val="0"/>
        <w:adjustRightInd w:val="0"/>
        <w:spacing w:after="0" w:line="240" w:lineRule="auto"/>
        <w:ind w:firstLine="708"/>
        <w:rPr>
          <w:rFonts w:ascii="Verdana" w:hAnsi="Verdana" w:cs="ArialMT"/>
          <w:sz w:val="21"/>
          <w:szCs w:val="21"/>
        </w:rPr>
      </w:pPr>
      <w:r w:rsidRPr="00B06915">
        <w:rPr>
          <w:rFonts w:ascii="Verdana" w:hAnsi="Verdana" w:cs="ArialMT"/>
          <w:sz w:val="21"/>
          <w:szCs w:val="21"/>
        </w:rPr>
        <w:t>(…)</w:t>
      </w:r>
    </w:p>
    <w:p w14:paraId="1F5DF7FD" w14:textId="77777777" w:rsidR="00B06915" w:rsidRDefault="004A72EE"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En los procesos de selección en los que se tenga en cuenta los factores</w:t>
      </w:r>
      <w:r w:rsidR="00B06915">
        <w:rPr>
          <w:rFonts w:ascii="Verdana" w:hAnsi="Verdana" w:cs="Verdana"/>
          <w:sz w:val="20"/>
          <w:szCs w:val="20"/>
        </w:rPr>
        <w:t xml:space="preserve"> </w:t>
      </w:r>
      <w:r w:rsidRPr="00B06915">
        <w:rPr>
          <w:rFonts w:ascii="Verdana" w:hAnsi="Verdana" w:cs="Verdana"/>
          <w:sz w:val="20"/>
          <w:szCs w:val="20"/>
        </w:rPr>
        <w:t>técnicos y económicos, la oferta más ventajosa será la que resulte de</w:t>
      </w:r>
      <w:r w:rsidR="00B06915">
        <w:rPr>
          <w:rFonts w:ascii="Verdana" w:hAnsi="Verdana" w:cs="Verdana"/>
          <w:sz w:val="20"/>
          <w:szCs w:val="20"/>
        </w:rPr>
        <w:t xml:space="preserve"> </w:t>
      </w:r>
      <w:r w:rsidRPr="00B06915">
        <w:rPr>
          <w:rFonts w:ascii="Verdana" w:hAnsi="Verdana" w:cs="Verdana"/>
          <w:sz w:val="20"/>
          <w:szCs w:val="20"/>
        </w:rPr>
        <w:t>aplicar alguna de las siguientes alternativas:</w:t>
      </w:r>
      <w:r w:rsidR="00B06915">
        <w:rPr>
          <w:rFonts w:ascii="Verdana" w:hAnsi="Verdana" w:cs="Verdana"/>
          <w:sz w:val="20"/>
          <w:szCs w:val="20"/>
        </w:rPr>
        <w:t xml:space="preserve"> </w:t>
      </w:r>
    </w:p>
    <w:p w14:paraId="79778F2F" w14:textId="2000CC3F" w:rsidR="004A72EE" w:rsidRDefault="004A72EE"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a) La ponderación de los elementos de calidad y precio soportados en</w:t>
      </w:r>
      <w:r w:rsidR="00B06915">
        <w:rPr>
          <w:rFonts w:ascii="Verdana" w:hAnsi="Verdana" w:cs="Verdana"/>
          <w:sz w:val="20"/>
          <w:szCs w:val="20"/>
        </w:rPr>
        <w:t xml:space="preserve"> </w:t>
      </w:r>
      <w:r w:rsidRPr="00B06915">
        <w:rPr>
          <w:rFonts w:ascii="Verdana" w:hAnsi="Verdana" w:cs="Verdana"/>
          <w:sz w:val="20"/>
          <w:szCs w:val="20"/>
        </w:rPr>
        <w:t>puntajes o fórmulas señaladas en el pliego de condiciones; o</w:t>
      </w:r>
      <w:r w:rsidR="00B06915">
        <w:rPr>
          <w:rFonts w:ascii="Verdana" w:hAnsi="Verdana" w:cs="Verdana"/>
          <w:sz w:val="20"/>
          <w:szCs w:val="20"/>
        </w:rPr>
        <w:t xml:space="preserve"> </w:t>
      </w:r>
      <w:r w:rsidRPr="00B06915">
        <w:rPr>
          <w:rFonts w:ascii="Verdana" w:hAnsi="Verdana" w:cs="Verdana"/>
          <w:sz w:val="20"/>
          <w:szCs w:val="20"/>
        </w:rPr>
        <w:t>b) La ponderación de los elementos de calidad y precio que representen</w:t>
      </w:r>
      <w:r w:rsidR="00B06915">
        <w:rPr>
          <w:rFonts w:ascii="Verdana" w:hAnsi="Verdana" w:cs="Verdana"/>
          <w:sz w:val="20"/>
          <w:szCs w:val="20"/>
        </w:rPr>
        <w:t xml:space="preserve"> </w:t>
      </w:r>
      <w:r w:rsidRPr="00B06915">
        <w:rPr>
          <w:rFonts w:ascii="Verdana" w:hAnsi="Verdana" w:cs="Verdana"/>
          <w:sz w:val="20"/>
          <w:szCs w:val="20"/>
        </w:rPr>
        <w:t>la mejor relación de costo-beneficio para la entidad.</w:t>
      </w:r>
      <w:r w:rsidR="00B06915">
        <w:rPr>
          <w:rFonts w:ascii="Verdana" w:hAnsi="Verdana" w:cs="Verdana"/>
          <w:sz w:val="20"/>
          <w:szCs w:val="20"/>
        </w:rPr>
        <w:t xml:space="preserve"> </w:t>
      </w:r>
      <w:r w:rsidRPr="00B06915">
        <w:rPr>
          <w:rFonts w:ascii="Verdana" w:hAnsi="Verdana" w:cs="Verdana"/>
          <w:sz w:val="20"/>
          <w:szCs w:val="20"/>
        </w:rPr>
        <w:t>3. Sin perjuicio de lo previsto en el numeral 1 del presente artículo, en los</w:t>
      </w:r>
      <w:r w:rsidR="00B06915">
        <w:rPr>
          <w:rFonts w:ascii="Verdana" w:hAnsi="Verdana" w:cs="Verdana"/>
          <w:sz w:val="20"/>
          <w:szCs w:val="20"/>
        </w:rPr>
        <w:t xml:space="preserve"> </w:t>
      </w:r>
      <w:r w:rsidRPr="00B06915">
        <w:rPr>
          <w:rFonts w:ascii="Verdana" w:hAnsi="Verdana" w:cs="Verdana"/>
          <w:sz w:val="20"/>
          <w:szCs w:val="20"/>
        </w:rPr>
        <w:t>pliegos de condiciones para las contrataciones cuyo objeto sea la</w:t>
      </w:r>
      <w:r w:rsidR="00B06915">
        <w:rPr>
          <w:rFonts w:ascii="Verdana" w:hAnsi="Verdana" w:cs="Verdana"/>
          <w:sz w:val="20"/>
          <w:szCs w:val="20"/>
        </w:rPr>
        <w:t xml:space="preserve"> </w:t>
      </w:r>
      <w:r w:rsidRPr="00B06915">
        <w:rPr>
          <w:rFonts w:ascii="Verdana" w:hAnsi="Verdana" w:cs="Verdana"/>
          <w:sz w:val="20"/>
          <w:szCs w:val="20"/>
        </w:rPr>
        <w:t>adquisición o suministro de bienes y servicios de características técnicas</w:t>
      </w:r>
      <w:r w:rsidR="00B06915">
        <w:rPr>
          <w:rFonts w:ascii="Verdana" w:hAnsi="Verdana" w:cs="Verdana"/>
          <w:sz w:val="20"/>
          <w:szCs w:val="20"/>
        </w:rPr>
        <w:t xml:space="preserve"> </w:t>
      </w:r>
      <w:r w:rsidRPr="00B06915">
        <w:rPr>
          <w:rFonts w:ascii="Verdana" w:hAnsi="Verdana" w:cs="Verdana"/>
          <w:sz w:val="20"/>
          <w:szCs w:val="20"/>
        </w:rPr>
        <w:t>uniformes y común utilización, las entidades estatales incluirán como</w:t>
      </w:r>
      <w:r w:rsidR="00B06915">
        <w:rPr>
          <w:rFonts w:ascii="Verdana" w:hAnsi="Verdana" w:cs="Verdana"/>
          <w:sz w:val="20"/>
          <w:szCs w:val="20"/>
        </w:rPr>
        <w:t xml:space="preserve"> </w:t>
      </w:r>
      <w:r w:rsidRPr="00B06915">
        <w:rPr>
          <w:rFonts w:ascii="Verdana" w:hAnsi="Verdana" w:cs="Verdana"/>
          <w:sz w:val="20"/>
          <w:szCs w:val="20"/>
        </w:rPr>
        <w:t>único factor de evaluación el menor precio ofrecido.</w:t>
      </w:r>
      <w:r w:rsidR="00B06915">
        <w:rPr>
          <w:rFonts w:ascii="Verdana" w:hAnsi="Verdana" w:cs="Verdana"/>
          <w:sz w:val="20"/>
          <w:szCs w:val="20"/>
        </w:rPr>
        <w:t xml:space="preserve"> </w:t>
      </w:r>
      <w:r w:rsidRPr="00B06915">
        <w:rPr>
          <w:rFonts w:ascii="Verdana" w:hAnsi="Verdana" w:cs="Verdana"/>
          <w:sz w:val="20"/>
          <w:szCs w:val="20"/>
        </w:rPr>
        <w:t>4. En los procesos para la selección de consultores se hará uso de factores</w:t>
      </w:r>
      <w:r w:rsidR="00B06915">
        <w:rPr>
          <w:rFonts w:ascii="Verdana" w:hAnsi="Verdana" w:cs="Verdana"/>
          <w:sz w:val="20"/>
          <w:szCs w:val="20"/>
        </w:rPr>
        <w:t xml:space="preserve"> </w:t>
      </w:r>
      <w:r w:rsidRPr="00B06915">
        <w:rPr>
          <w:rFonts w:ascii="Verdana" w:hAnsi="Verdana" w:cs="Verdana"/>
          <w:sz w:val="20"/>
          <w:szCs w:val="20"/>
        </w:rPr>
        <w:t>de calificación destinados a valorar los aspectos técnicos de la oferta o</w:t>
      </w:r>
      <w:r w:rsidR="00B06915">
        <w:rPr>
          <w:rFonts w:ascii="Verdana" w:hAnsi="Verdana" w:cs="Verdana"/>
          <w:sz w:val="20"/>
          <w:szCs w:val="20"/>
        </w:rPr>
        <w:t xml:space="preserve"> </w:t>
      </w:r>
      <w:r w:rsidRPr="00B06915">
        <w:rPr>
          <w:rFonts w:ascii="Verdana" w:hAnsi="Verdana" w:cs="Verdana"/>
          <w:sz w:val="20"/>
          <w:szCs w:val="20"/>
        </w:rPr>
        <w:t>proyecto. De conformidad con las condiciones que señale el reglamento,</w:t>
      </w:r>
      <w:r w:rsidR="00B06915">
        <w:rPr>
          <w:rFonts w:ascii="Verdana" w:hAnsi="Verdana" w:cs="Verdana"/>
          <w:sz w:val="20"/>
          <w:szCs w:val="20"/>
        </w:rPr>
        <w:t xml:space="preserve"> </w:t>
      </w:r>
      <w:r w:rsidRPr="00B06915">
        <w:rPr>
          <w:rFonts w:ascii="Verdana" w:hAnsi="Verdana" w:cs="Verdana"/>
          <w:sz w:val="20"/>
          <w:szCs w:val="20"/>
        </w:rPr>
        <w:t>se podrán utilizar criterios de experiencia específica del oferente y del</w:t>
      </w:r>
      <w:r w:rsidR="00B06915">
        <w:rPr>
          <w:rFonts w:ascii="Verdana" w:hAnsi="Verdana" w:cs="Verdana"/>
          <w:sz w:val="20"/>
          <w:szCs w:val="20"/>
        </w:rPr>
        <w:t xml:space="preserve"> </w:t>
      </w:r>
      <w:r w:rsidRPr="00B06915">
        <w:rPr>
          <w:rFonts w:ascii="Verdana" w:hAnsi="Verdana" w:cs="Verdana"/>
          <w:sz w:val="20"/>
          <w:szCs w:val="20"/>
        </w:rPr>
        <w:t>equipo de trabajo, en el campo de que se trate.</w:t>
      </w:r>
      <w:r w:rsidR="00B06915">
        <w:rPr>
          <w:rFonts w:ascii="Verdana" w:hAnsi="Verdana" w:cs="Verdana"/>
          <w:sz w:val="20"/>
          <w:szCs w:val="20"/>
        </w:rPr>
        <w:t xml:space="preserve"> </w:t>
      </w:r>
      <w:r w:rsidRPr="00B06915">
        <w:rPr>
          <w:rFonts w:ascii="Verdana" w:hAnsi="Verdana" w:cs="Verdana"/>
          <w:sz w:val="20"/>
          <w:szCs w:val="20"/>
        </w:rPr>
        <w:t>En ningún caso se podrá incluir el precio, como factor de escogencia para</w:t>
      </w:r>
      <w:r w:rsidR="00B06915">
        <w:rPr>
          <w:rFonts w:ascii="Verdana" w:hAnsi="Verdana" w:cs="Verdana"/>
          <w:sz w:val="20"/>
          <w:szCs w:val="20"/>
        </w:rPr>
        <w:t xml:space="preserve"> </w:t>
      </w:r>
      <w:r w:rsidRPr="00B06915">
        <w:rPr>
          <w:rFonts w:ascii="Verdana" w:hAnsi="Verdana" w:cs="Verdana"/>
          <w:sz w:val="20"/>
          <w:szCs w:val="20"/>
        </w:rPr>
        <w:t>la selección de consultores.(…)</w:t>
      </w:r>
    </w:p>
    <w:p w14:paraId="1C8F42DF" w14:textId="77777777" w:rsidR="00B06915" w:rsidRDefault="00B06915" w:rsidP="00B06915">
      <w:pPr>
        <w:autoSpaceDE w:val="0"/>
        <w:autoSpaceDN w:val="0"/>
        <w:adjustRightInd w:val="0"/>
        <w:spacing w:after="0" w:line="240" w:lineRule="auto"/>
        <w:jc w:val="both"/>
        <w:rPr>
          <w:rFonts w:ascii="Verdana" w:hAnsi="Verdana" w:cs="Verdana"/>
          <w:sz w:val="20"/>
          <w:szCs w:val="20"/>
        </w:rPr>
      </w:pPr>
    </w:p>
    <w:p w14:paraId="1CADC7E9" w14:textId="0211320D" w:rsidR="004A72EE" w:rsidRPr="00B06915" w:rsidRDefault="00B06915" w:rsidP="00B06915">
      <w:pPr>
        <w:autoSpaceDE w:val="0"/>
        <w:autoSpaceDN w:val="0"/>
        <w:adjustRightInd w:val="0"/>
        <w:spacing w:after="0" w:line="240" w:lineRule="auto"/>
        <w:ind w:firstLine="708"/>
        <w:jc w:val="both"/>
        <w:rPr>
          <w:rFonts w:ascii="Verdana" w:hAnsi="Verdana" w:cs="Verdana"/>
          <w:szCs w:val="20"/>
        </w:rPr>
      </w:pPr>
      <w:r w:rsidRPr="00B06915">
        <w:rPr>
          <w:rFonts w:ascii="Verdana" w:hAnsi="Verdana" w:cs="Verdana"/>
          <w:szCs w:val="20"/>
        </w:rPr>
        <w:t>A su vez el Decreto reglamentario del EGCAP en su artículo 2.2.1.1.2.2.2, precisa respecto al ofrecimiento más favorable, lo siguiente:</w:t>
      </w:r>
    </w:p>
    <w:p w14:paraId="68B9D7C4" w14:textId="77777777" w:rsidR="00B06915" w:rsidRPr="00B06915" w:rsidRDefault="00B06915" w:rsidP="00B06915">
      <w:pPr>
        <w:autoSpaceDE w:val="0"/>
        <w:autoSpaceDN w:val="0"/>
        <w:adjustRightInd w:val="0"/>
        <w:spacing w:after="0" w:line="240" w:lineRule="auto"/>
        <w:ind w:firstLine="708"/>
        <w:jc w:val="both"/>
        <w:rPr>
          <w:rFonts w:ascii="Verdana" w:hAnsi="Verdana" w:cs="Verdana"/>
          <w:sz w:val="20"/>
          <w:szCs w:val="20"/>
        </w:rPr>
      </w:pPr>
    </w:p>
    <w:p w14:paraId="6B1A6CCB" w14:textId="77777777" w:rsidR="00B06915" w:rsidRPr="00B06915" w:rsidRDefault="00B06915" w:rsidP="00B06915">
      <w:pPr>
        <w:autoSpaceDE w:val="0"/>
        <w:autoSpaceDN w:val="0"/>
        <w:adjustRightInd w:val="0"/>
        <w:spacing w:after="0" w:line="240" w:lineRule="auto"/>
        <w:ind w:left="709"/>
        <w:jc w:val="both"/>
        <w:rPr>
          <w:rFonts w:ascii="Verdana" w:hAnsi="Verdana" w:cs="Verdana"/>
          <w:sz w:val="20"/>
          <w:szCs w:val="20"/>
        </w:rPr>
      </w:pPr>
      <w:r w:rsidRPr="00B06915">
        <w:rPr>
          <w:rFonts w:ascii="Verdana" w:hAnsi="Verdana" w:cs="Verdana"/>
          <w:sz w:val="20"/>
          <w:szCs w:val="20"/>
        </w:rPr>
        <w:t>(…)</w:t>
      </w:r>
    </w:p>
    <w:p w14:paraId="310E7853" w14:textId="4A5BBDD3" w:rsidR="00B06915" w:rsidRPr="00B06915" w:rsidRDefault="00B06915"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La Entidad Estatal debe determinar la oferta más favorable teniendo en</w:t>
      </w:r>
      <w:r>
        <w:rPr>
          <w:rFonts w:ascii="Verdana" w:hAnsi="Verdana" w:cs="Verdana"/>
          <w:sz w:val="20"/>
          <w:szCs w:val="20"/>
        </w:rPr>
        <w:t xml:space="preserve"> </w:t>
      </w:r>
      <w:r w:rsidRPr="00B06915">
        <w:rPr>
          <w:rFonts w:ascii="Verdana" w:hAnsi="Verdana" w:cs="Verdana"/>
          <w:sz w:val="20"/>
          <w:szCs w:val="20"/>
        </w:rPr>
        <w:t>cuenta las normas aplicables a cada modalidad de selección del contratista.</w:t>
      </w:r>
      <w:r>
        <w:rPr>
          <w:rFonts w:ascii="Verdana" w:hAnsi="Verdana" w:cs="Verdana"/>
          <w:sz w:val="20"/>
          <w:szCs w:val="20"/>
        </w:rPr>
        <w:t xml:space="preserve"> </w:t>
      </w:r>
      <w:r w:rsidRPr="00B06915">
        <w:rPr>
          <w:rFonts w:ascii="Verdana" w:hAnsi="Verdana" w:cs="Verdana"/>
          <w:sz w:val="20"/>
          <w:szCs w:val="20"/>
        </w:rPr>
        <w:t>En la licitación y la selección abreviada de menor cuantía, la Entidad</w:t>
      </w:r>
      <w:r>
        <w:rPr>
          <w:rFonts w:ascii="Verdana" w:hAnsi="Verdana" w:cs="Verdana"/>
          <w:sz w:val="20"/>
          <w:szCs w:val="20"/>
        </w:rPr>
        <w:t xml:space="preserve"> </w:t>
      </w:r>
      <w:r w:rsidRPr="00B06915">
        <w:rPr>
          <w:rFonts w:ascii="Verdana" w:hAnsi="Verdana" w:cs="Verdana"/>
          <w:sz w:val="20"/>
          <w:szCs w:val="20"/>
        </w:rPr>
        <w:t>Estatal debe determinar la oferta más favorable teniendo en cuenta: (a)</w:t>
      </w:r>
      <w:r>
        <w:rPr>
          <w:rFonts w:ascii="Verdana" w:hAnsi="Verdana" w:cs="Verdana"/>
          <w:sz w:val="20"/>
          <w:szCs w:val="20"/>
        </w:rPr>
        <w:t xml:space="preserve"> </w:t>
      </w:r>
      <w:r w:rsidRPr="00B06915">
        <w:rPr>
          <w:rFonts w:ascii="Verdana" w:hAnsi="Verdana" w:cs="Verdana"/>
          <w:sz w:val="20"/>
          <w:szCs w:val="20"/>
        </w:rPr>
        <w:t>la ponderación de los elementos de calidad y precio soportados en</w:t>
      </w:r>
      <w:r>
        <w:rPr>
          <w:rFonts w:ascii="Verdana" w:hAnsi="Verdana" w:cs="Verdana"/>
          <w:sz w:val="20"/>
          <w:szCs w:val="20"/>
        </w:rPr>
        <w:t xml:space="preserve"> </w:t>
      </w:r>
      <w:r w:rsidRPr="00B06915">
        <w:rPr>
          <w:rFonts w:ascii="Verdana" w:hAnsi="Verdana" w:cs="Verdana"/>
          <w:sz w:val="20"/>
          <w:szCs w:val="20"/>
        </w:rPr>
        <w:t>puntajes o fórmulas; o (b) la ponderación de los elementos de calidad y</w:t>
      </w:r>
      <w:r>
        <w:rPr>
          <w:rFonts w:ascii="Verdana" w:hAnsi="Verdana" w:cs="Verdana"/>
          <w:sz w:val="20"/>
          <w:szCs w:val="20"/>
        </w:rPr>
        <w:t xml:space="preserve"> </w:t>
      </w:r>
      <w:r w:rsidRPr="00B06915">
        <w:rPr>
          <w:rFonts w:ascii="Verdana" w:hAnsi="Verdana" w:cs="Verdana"/>
          <w:sz w:val="20"/>
          <w:szCs w:val="20"/>
        </w:rPr>
        <w:t>precio que representen la mejor relación de costo-beneficio.</w:t>
      </w:r>
    </w:p>
    <w:p w14:paraId="1F94BBEB" w14:textId="6FE77689" w:rsidR="00B06915" w:rsidRPr="00B06915" w:rsidRDefault="00B06915" w:rsidP="004F7D28">
      <w:pPr>
        <w:pBdr>
          <w:top w:val="nil"/>
          <w:left w:val="nil"/>
          <w:bottom w:val="nil"/>
          <w:right w:val="nil"/>
          <w:between w:val="nil"/>
        </w:pBdr>
        <w:spacing w:before="120" w:line="240" w:lineRule="auto"/>
        <w:ind w:left="709" w:right="616"/>
        <w:jc w:val="both"/>
        <w:rPr>
          <w:rFonts w:ascii="Verdana" w:hAnsi="Verdana" w:cs="Verdana"/>
          <w:sz w:val="20"/>
          <w:szCs w:val="20"/>
        </w:rPr>
      </w:pPr>
      <w:r w:rsidRPr="00B06915">
        <w:rPr>
          <w:rFonts w:ascii="Verdana" w:hAnsi="Verdana" w:cs="Verdana"/>
          <w:sz w:val="20"/>
          <w:szCs w:val="20"/>
        </w:rPr>
        <w:lastRenderedPageBreak/>
        <w:t>(…)</w:t>
      </w:r>
    </w:p>
    <w:p w14:paraId="44E06FCB" w14:textId="13428EC7" w:rsidR="00B06915" w:rsidRPr="00B06915" w:rsidRDefault="00B06915" w:rsidP="00F64EB7">
      <w:pPr>
        <w:pStyle w:val="Prrafodelista"/>
        <w:numPr>
          <w:ilvl w:val="0"/>
          <w:numId w:val="20"/>
        </w:numPr>
        <w:pBdr>
          <w:top w:val="nil"/>
          <w:left w:val="nil"/>
          <w:bottom w:val="nil"/>
          <w:right w:val="nil"/>
          <w:between w:val="nil"/>
        </w:pBdr>
        <w:autoSpaceDE w:val="0"/>
        <w:autoSpaceDN w:val="0"/>
        <w:adjustRightInd w:val="0"/>
        <w:spacing w:before="120" w:after="0" w:line="276" w:lineRule="auto"/>
        <w:jc w:val="both"/>
        <w:rPr>
          <w:rFonts w:ascii="Verdana" w:hAnsi="Verdana" w:cs="Verdana"/>
          <w:sz w:val="20"/>
          <w:szCs w:val="20"/>
        </w:rPr>
      </w:pPr>
      <w:r>
        <w:rPr>
          <w:rFonts w:ascii="Verdana" w:hAnsi="Verdana" w:cs="Verdana"/>
        </w:rPr>
        <w:t>Pues bien, e</w:t>
      </w:r>
      <w:r w:rsidRPr="00B06915">
        <w:rPr>
          <w:rFonts w:ascii="Verdana" w:hAnsi="Verdana" w:cs="Verdana"/>
        </w:rPr>
        <w:t>s preciso señalar que el EGCAP establece los</w:t>
      </w:r>
      <w:r>
        <w:rPr>
          <w:rFonts w:ascii="Verdana" w:hAnsi="Verdana" w:cs="Verdana"/>
        </w:rPr>
        <w:t xml:space="preserve"> </w:t>
      </w:r>
      <w:r w:rsidRPr="00B06915">
        <w:rPr>
          <w:rFonts w:ascii="Verdana" w:hAnsi="Verdana" w:cs="Verdana"/>
        </w:rPr>
        <w:t>elementos que deben ser empleados por parte de las entidades</w:t>
      </w:r>
      <w:r>
        <w:rPr>
          <w:rFonts w:ascii="Verdana" w:hAnsi="Verdana" w:cs="Verdana"/>
        </w:rPr>
        <w:t xml:space="preserve"> </w:t>
      </w:r>
      <w:r w:rsidRPr="00B06915">
        <w:rPr>
          <w:rFonts w:ascii="Verdana" w:hAnsi="Verdana" w:cs="Verdana"/>
        </w:rPr>
        <w:t xml:space="preserve">para confeccionar los </w:t>
      </w:r>
      <w:r>
        <w:rPr>
          <w:rFonts w:ascii="Verdana" w:hAnsi="Verdana" w:cs="Verdana"/>
        </w:rPr>
        <w:t>r</w:t>
      </w:r>
      <w:r w:rsidRPr="00B06915">
        <w:rPr>
          <w:rFonts w:ascii="Verdana" w:hAnsi="Verdana" w:cs="Verdana"/>
        </w:rPr>
        <w:t>equisitos de calificación en los procesos de</w:t>
      </w:r>
      <w:r>
        <w:rPr>
          <w:rFonts w:ascii="Verdana" w:hAnsi="Verdana" w:cs="Verdana"/>
        </w:rPr>
        <w:t xml:space="preserve"> </w:t>
      </w:r>
      <w:r w:rsidRPr="00B06915">
        <w:rPr>
          <w:rFonts w:ascii="Verdana" w:hAnsi="Verdana" w:cs="Verdana"/>
        </w:rPr>
        <w:t>selección</w:t>
      </w:r>
      <w:r w:rsidR="00A649DE">
        <w:rPr>
          <w:rFonts w:ascii="Verdana" w:hAnsi="Verdana" w:cs="Verdana"/>
        </w:rPr>
        <w:t xml:space="preserve"> que de adelanten </w:t>
      </w:r>
      <w:r w:rsidRPr="00B06915">
        <w:rPr>
          <w:rFonts w:ascii="Verdana" w:hAnsi="Verdana" w:cs="Verdana"/>
        </w:rPr>
        <w:t>; ahora</w:t>
      </w:r>
      <w:r>
        <w:rPr>
          <w:rFonts w:ascii="Verdana" w:hAnsi="Verdana" w:cs="Verdana"/>
        </w:rPr>
        <w:t xml:space="preserve"> </w:t>
      </w:r>
      <w:r w:rsidRPr="00B06915">
        <w:rPr>
          <w:rFonts w:ascii="Verdana" w:hAnsi="Verdana" w:cs="Verdana"/>
        </w:rPr>
        <w:t>bien, aunado a estos requisitos, el legislador ha venido</w:t>
      </w:r>
      <w:r>
        <w:rPr>
          <w:rFonts w:ascii="Verdana" w:hAnsi="Verdana" w:cs="Verdana"/>
        </w:rPr>
        <w:t xml:space="preserve"> </w:t>
      </w:r>
      <w:r w:rsidRPr="00B06915">
        <w:rPr>
          <w:rFonts w:ascii="Verdana" w:hAnsi="Verdana" w:cs="Verdana"/>
        </w:rPr>
        <w:t>incorporando una serie de condiciones para la asignación de</w:t>
      </w:r>
      <w:r>
        <w:rPr>
          <w:rFonts w:ascii="Verdana" w:hAnsi="Verdana" w:cs="Verdana"/>
        </w:rPr>
        <w:t xml:space="preserve"> </w:t>
      </w:r>
      <w:r w:rsidRPr="00B06915">
        <w:rPr>
          <w:rFonts w:ascii="Verdana" w:hAnsi="Verdana" w:cs="Verdana"/>
        </w:rPr>
        <w:t>puntaje, como lo es el puntaje por apoyo a la industria nacional</w:t>
      </w:r>
      <w:r w:rsidR="00B85C79">
        <w:rPr>
          <w:rStyle w:val="Refdenotaalpie"/>
          <w:rFonts w:ascii="Verdana" w:hAnsi="Verdana" w:cs="Verdana"/>
        </w:rPr>
        <w:footnoteReference w:id="2"/>
      </w:r>
      <w:r w:rsidRPr="00B06915">
        <w:rPr>
          <w:rFonts w:ascii="Verdana" w:hAnsi="Verdana" w:cs="Verdana"/>
        </w:rPr>
        <w:t>,</w:t>
      </w:r>
      <w:r w:rsidR="00F64EB7">
        <w:rPr>
          <w:rFonts w:ascii="Verdana" w:hAnsi="Verdana" w:cs="Verdana"/>
        </w:rPr>
        <w:t xml:space="preserve"> </w:t>
      </w:r>
      <w:r w:rsidRPr="00B06915">
        <w:rPr>
          <w:rFonts w:ascii="Verdana" w:hAnsi="Verdana" w:cs="Verdana"/>
        </w:rPr>
        <w:t>puntaje adicional para proponentes</w:t>
      </w:r>
      <w:r w:rsidR="00B85C79">
        <w:rPr>
          <w:rFonts w:ascii="Verdana" w:hAnsi="Verdana" w:cs="Verdana"/>
        </w:rPr>
        <w:t xml:space="preserve"> con personal en discapacidad</w:t>
      </w:r>
      <w:r w:rsidR="00B85C79">
        <w:rPr>
          <w:rStyle w:val="Refdenotaalpie"/>
          <w:rFonts w:ascii="Verdana" w:hAnsi="Verdana" w:cs="Verdana"/>
        </w:rPr>
        <w:footnoteReference w:id="3"/>
      </w:r>
      <w:r w:rsidRPr="004A53B2">
        <w:rPr>
          <w:rFonts w:ascii="Verdana" w:hAnsi="Verdana" w:cs="Verdana"/>
        </w:rPr>
        <w:t>, entre otros</w:t>
      </w:r>
      <w:r w:rsidR="004A53B2">
        <w:rPr>
          <w:rFonts w:ascii="Verdana" w:hAnsi="Verdana" w:cs="Verdana"/>
        </w:rPr>
        <w:t xml:space="preserve"> incentivos que se encuentran en el Decreto Reglamentario,</w:t>
      </w:r>
      <w:r w:rsidRPr="004A53B2">
        <w:rPr>
          <w:rFonts w:ascii="Verdana" w:hAnsi="Verdana" w:cs="Verdana"/>
        </w:rPr>
        <w:t xml:space="preserve"> los cuales permite</w:t>
      </w:r>
      <w:r w:rsidR="004A53B2">
        <w:rPr>
          <w:rFonts w:ascii="Verdana" w:hAnsi="Verdana" w:cs="Verdana"/>
        </w:rPr>
        <w:t>n</w:t>
      </w:r>
      <w:r w:rsidR="00F64EB7" w:rsidRPr="004A53B2">
        <w:rPr>
          <w:rFonts w:ascii="Verdana" w:hAnsi="Verdana" w:cs="Verdana"/>
        </w:rPr>
        <w:t xml:space="preserve"> </w:t>
      </w:r>
      <w:r w:rsidRPr="004A53B2">
        <w:rPr>
          <w:rFonts w:ascii="Verdana" w:hAnsi="Verdana" w:cs="Verdana"/>
        </w:rPr>
        <w:t>a las entidades establecer las condiciones de evaluación</w:t>
      </w:r>
      <w:r w:rsidR="004A53B2">
        <w:rPr>
          <w:rFonts w:ascii="Verdana" w:hAnsi="Verdana" w:cs="Verdana"/>
        </w:rPr>
        <w:t xml:space="preserve"> para cada proceso de selección.</w:t>
      </w:r>
    </w:p>
    <w:p w14:paraId="07FFCAFF" w14:textId="2D959534" w:rsidR="00F64EB7" w:rsidRDefault="00F64EB7" w:rsidP="00B06915">
      <w:pPr>
        <w:autoSpaceDE w:val="0"/>
        <w:autoSpaceDN w:val="0"/>
        <w:adjustRightInd w:val="0"/>
        <w:spacing w:after="0" w:line="240" w:lineRule="auto"/>
        <w:rPr>
          <w:rFonts w:ascii="Verdana" w:hAnsi="Verdana" w:cs="Verdana"/>
          <w:sz w:val="20"/>
          <w:szCs w:val="20"/>
        </w:rPr>
      </w:pPr>
    </w:p>
    <w:p w14:paraId="657953DB" w14:textId="77777777" w:rsidR="004F7D28" w:rsidRPr="00251CA2" w:rsidRDefault="004F7D28" w:rsidP="004F7D28">
      <w:pPr>
        <w:pStyle w:val="Prrafodelista"/>
        <w:numPr>
          <w:ilvl w:val="0"/>
          <w:numId w:val="21"/>
        </w:numPr>
        <w:spacing w:before="120" w:line="276" w:lineRule="auto"/>
        <w:ind w:right="51"/>
        <w:jc w:val="both"/>
        <w:rPr>
          <w:rFonts w:ascii="Verdana" w:hAnsi="Verdana" w:cs="Arial"/>
          <w:bCs/>
          <w:color w:val="000000" w:themeColor="text1"/>
        </w:rPr>
      </w:pPr>
      <w:r w:rsidRPr="00251CA2">
        <w:rPr>
          <w:rFonts w:ascii="Verdana" w:hAnsi="Verdana" w:cs="Arial"/>
          <w:bCs/>
          <w:color w:val="000000" w:themeColor="text1"/>
        </w:rPr>
        <w:t>Sobre la escogencia de la oferta más favorable a los intereses de la entidad y la evaluación de los factores exigidos en un caso concreto para el efecto, la doctrina explica que:</w:t>
      </w:r>
    </w:p>
    <w:p w14:paraId="7A92DF35" w14:textId="77777777" w:rsidR="004F7D28" w:rsidRPr="004F7D28" w:rsidRDefault="004F7D28" w:rsidP="004F7D28">
      <w:pPr>
        <w:spacing w:line="240" w:lineRule="auto"/>
        <w:ind w:left="1276" w:right="616"/>
        <w:jc w:val="both"/>
        <w:rPr>
          <w:rFonts w:ascii="Verdana" w:hAnsi="Verdana" w:cs="Arial"/>
          <w:bCs/>
          <w:color w:val="000000" w:themeColor="text1"/>
          <w:sz w:val="20"/>
          <w:szCs w:val="21"/>
        </w:rPr>
      </w:pPr>
      <w:r w:rsidRPr="00A62278">
        <w:rPr>
          <w:rFonts w:ascii="Verdana" w:hAnsi="Verdana" w:cs="Arial"/>
          <w:bCs/>
          <w:color w:val="000000" w:themeColor="text1"/>
          <w:sz w:val="21"/>
          <w:szCs w:val="21"/>
        </w:rPr>
        <w:t>“</w:t>
      </w:r>
      <w:r w:rsidRPr="004F7D28">
        <w:rPr>
          <w:rFonts w:ascii="Verdana" w:hAnsi="Verdana" w:cs="Arial"/>
          <w:bCs/>
          <w:color w:val="000000" w:themeColor="text1"/>
          <w:sz w:val="20"/>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6F89EE9C" w14:textId="77777777" w:rsidR="004F7D28" w:rsidRPr="004F7D28" w:rsidRDefault="004F7D28" w:rsidP="004F7D28">
      <w:pPr>
        <w:spacing w:line="240" w:lineRule="auto"/>
        <w:ind w:left="1276" w:right="616"/>
        <w:jc w:val="both"/>
        <w:rPr>
          <w:rFonts w:ascii="Verdana" w:hAnsi="Verdana" w:cs="Arial"/>
          <w:bCs/>
          <w:color w:val="000000" w:themeColor="text1"/>
          <w:sz w:val="20"/>
          <w:szCs w:val="21"/>
        </w:rPr>
      </w:pPr>
      <w:r w:rsidRPr="004F7D28">
        <w:rPr>
          <w:rFonts w:ascii="Verdana" w:hAnsi="Verdana" w:cs="Arial"/>
          <w:bCs/>
          <w:color w:val="000000" w:themeColor="text1"/>
          <w:sz w:val="20"/>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1993C857" w14:textId="6EE5A90F" w:rsidR="004F7D28" w:rsidRPr="00A62278" w:rsidRDefault="004F7D28" w:rsidP="004F7D28">
      <w:pPr>
        <w:spacing w:line="240" w:lineRule="auto"/>
        <w:ind w:left="1276" w:right="616"/>
        <w:jc w:val="both"/>
        <w:rPr>
          <w:rFonts w:ascii="Verdana" w:hAnsi="Verdana" w:cs="Arial"/>
          <w:bCs/>
          <w:color w:val="000000" w:themeColor="text1"/>
          <w:sz w:val="21"/>
          <w:szCs w:val="21"/>
        </w:rPr>
      </w:pPr>
      <w:r>
        <w:rPr>
          <w:rFonts w:ascii="Verdana" w:hAnsi="Verdana" w:cs="Arial"/>
          <w:bCs/>
          <w:color w:val="000000" w:themeColor="text1"/>
          <w:sz w:val="20"/>
          <w:szCs w:val="21"/>
        </w:rPr>
        <w:t>(</w:t>
      </w:r>
      <w:r w:rsidRPr="004F7D28">
        <w:rPr>
          <w:rFonts w:ascii="Verdana" w:hAnsi="Verdana" w:cs="Arial"/>
          <w:bCs/>
          <w:color w:val="000000" w:themeColor="text1"/>
          <w:sz w:val="20"/>
          <w:szCs w:val="21"/>
        </w:rPr>
        <w:t>…</w:t>
      </w:r>
      <w:r>
        <w:rPr>
          <w:rFonts w:ascii="Verdana" w:hAnsi="Verdana" w:cs="Arial"/>
          <w:bCs/>
          <w:color w:val="000000" w:themeColor="text1"/>
          <w:sz w:val="20"/>
          <w:szCs w:val="21"/>
        </w:rPr>
        <w:t>)</w:t>
      </w:r>
      <w:r w:rsidRPr="004F7D28">
        <w:rPr>
          <w:rFonts w:ascii="Verdana" w:hAnsi="Verdana" w:cs="Arial"/>
          <w:bCs/>
          <w:color w:val="000000" w:themeColor="text1"/>
          <w:sz w:val="20"/>
          <w:szCs w:val="21"/>
        </w:rPr>
        <w:t xml:space="preserve">Una siguiente conclusión que se deriva de la norma parcialmente transcrita consiste en que los pliegos de condiciones deben </w:t>
      </w:r>
      <w:r w:rsidRPr="004F7D28">
        <w:rPr>
          <w:rFonts w:ascii="Verdana" w:hAnsi="Verdana" w:cs="Arial"/>
          <w:bCs/>
          <w:color w:val="000000" w:themeColor="text1"/>
          <w:sz w:val="20"/>
          <w:szCs w:val="21"/>
        </w:rPr>
        <w:lastRenderedPageBreak/>
        <w:t>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Pr>
          <w:rFonts w:ascii="Verdana" w:hAnsi="Verdana" w:cs="Arial"/>
          <w:bCs/>
          <w:color w:val="000000" w:themeColor="text1"/>
          <w:sz w:val="20"/>
          <w:szCs w:val="21"/>
        </w:rPr>
        <w:t>.</w:t>
      </w:r>
      <w:r w:rsidRPr="00A62278">
        <w:rPr>
          <w:rFonts w:ascii="Verdana" w:hAnsi="Verdana" w:cs="Arial"/>
          <w:bCs/>
          <w:color w:val="000000" w:themeColor="text1"/>
          <w:sz w:val="21"/>
          <w:szCs w:val="21"/>
        </w:rPr>
        <w:t>”</w:t>
      </w:r>
      <w:r w:rsidRPr="00A62278">
        <w:rPr>
          <w:rFonts w:ascii="Verdana" w:hAnsi="Verdana" w:cs="Arial"/>
          <w:bCs/>
          <w:color w:val="000000" w:themeColor="text1"/>
          <w:sz w:val="21"/>
          <w:szCs w:val="21"/>
          <w:vertAlign w:val="superscript"/>
        </w:rPr>
        <w:footnoteReference w:id="4"/>
      </w:r>
      <w:r w:rsidRPr="00A62278">
        <w:rPr>
          <w:rFonts w:ascii="Verdana" w:hAnsi="Verdana" w:cs="Arial"/>
          <w:bCs/>
          <w:color w:val="000000" w:themeColor="text1"/>
          <w:sz w:val="21"/>
          <w:szCs w:val="21"/>
        </w:rPr>
        <w:t>.</w:t>
      </w:r>
    </w:p>
    <w:p w14:paraId="3B36C4B9" w14:textId="0F79E9BF" w:rsidR="004F7D28" w:rsidRDefault="004F7D28" w:rsidP="004F7D28">
      <w:pPr>
        <w:pStyle w:val="Prrafodelista"/>
        <w:numPr>
          <w:ilvl w:val="0"/>
          <w:numId w:val="20"/>
        </w:numPr>
        <w:spacing w:line="276" w:lineRule="auto"/>
        <w:jc w:val="both"/>
        <w:rPr>
          <w:rFonts w:ascii="Verdana" w:hAnsi="Verdana" w:cs="Arial"/>
          <w:bCs/>
          <w:color w:val="000000" w:themeColor="text1"/>
        </w:rPr>
      </w:pPr>
      <w:r w:rsidRPr="00251CA2">
        <w:rPr>
          <w:rFonts w:ascii="Verdana" w:hAnsi="Verdana" w:cs="Arial"/>
          <w:bCs/>
          <w:color w:val="000000" w:themeColor="text1"/>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5308F696" w14:textId="77777777" w:rsidR="004F7D28" w:rsidRPr="00251CA2" w:rsidRDefault="004F7D28" w:rsidP="004F7D28">
      <w:pPr>
        <w:pStyle w:val="Prrafodelista"/>
        <w:spacing w:line="276" w:lineRule="auto"/>
        <w:jc w:val="both"/>
        <w:rPr>
          <w:rFonts w:ascii="Verdana" w:hAnsi="Verdana" w:cs="Arial"/>
          <w:bCs/>
          <w:color w:val="000000" w:themeColor="text1"/>
        </w:rPr>
      </w:pPr>
    </w:p>
    <w:p w14:paraId="3F25CA0B" w14:textId="67223B74" w:rsidR="004F7D28" w:rsidRDefault="004F7D28" w:rsidP="004F7D28">
      <w:pPr>
        <w:pStyle w:val="Prrafodelista"/>
        <w:numPr>
          <w:ilvl w:val="0"/>
          <w:numId w:val="20"/>
        </w:numPr>
        <w:spacing w:before="120" w:line="276" w:lineRule="auto"/>
        <w:jc w:val="both"/>
        <w:rPr>
          <w:rFonts w:ascii="Verdana" w:hAnsi="Verdana" w:cs="Arial"/>
          <w:bCs/>
          <w:color w:val="000000" w:themeColor="text1"/>
        </w:rPr>
      </w:pPr>
      <w:r w:rsidRPr="00251CA2">
        <w:rPr>
          <w:rFonts w:ascii="Verdana" w:hAnsi="Verdana" w:cs="Arial"/>
          <w:bCs/>
          <w:color w:val="000000" w:themeColor="text1"/>
        </w:rPr>
        <w:t xml:space="preserve">En ese sentido, la asignación de puntaje es un mecanismo mediante el cual las entidades ponderan los factores de calificación </w:t>
      </w:r>
      <w:r w:rsidRPr="00251CA2">
        <w:rPr>
          <w:rFonts w:ascii="Arial" w:hAnsi="Arial" w:cs="Arial"/>
          <w:bCs/>
          <w:color w:val="000000" w:themeColor="text1"/>
        </w:rPr>
        <w:t>ꟷ</w:t>
      </w:r>
      <w:r w:rsidRPr="00251CA2">
        <w:rPr>
          <w:rFonts w:ascii="Verdana" w:hAnsi="Verdana" w:cs="Arial"/>
          <w:bCs/>
          <w:i/>
          <w:color w:val="000000" w:themeColor="text1"/>
        </w:rPr>
        <w:t>v.g.</w:t>
      </w:r>
      <w:r w:rsidRPr="00251CA2">
        <w:rPr>
          <w:rFonts w:ascii="Verdana" w:hAnsi="Verdana" w:cs="Arial"/>
          <w:bCs/>
          <w:color w:val="000000" w:themeColor="text1"/>
        </w:rPr>
        <w:t xml:space="preserve"> técnicos, de calidad y precio, etc.</w:t>
      </w:r>
      <w:r w:rsidRPr="00251CA2">
        <w:rPr>
          <w:rFonts w:ascii="Arial" w:hAnsi="Arial" w:cs="Arial"/>
          <w:bCs/>
          <w:color w:val="000000" w:themeColor="text1"/>
        </w:rPr>
        <w:t>ꟷ</w:t>
      </w:r>
      <w:r w:rsidRPr="00251CA2">
        <w:rPr>
          <w:rFonts w:ascii="Verdana" w:hAnsi="Verdana" w:cs="Arial"/>
          <w:bCs/>
          <w:color w:val="000000" w:themeColor="text1"/>
        </w:rPr>
        <w:t xml:space="preserve"> en un determinado proceso de selecci</w:t>
      </w:r>
      <w:r w:rsidRPr="00251CA2">
        <w:rPr>
          <w:rFonts w:ascii="Verdana" w:hAnsi="Verdana" w:cs="Century Gothic"/>
          <w:bCs/>
          <w:color w:val="000000" w:themeColor="text1"/>
        </w:rPr>
        <w:t>ó</w:t>
      </w:r>
      <w:r w:rsidRPr="00251CA2">
        <w:rPr>
          <w:rFonts w:ascii="Verdana" w:hAnsi="Verdana" w:cs="Arial"/>
          <w:bCs/>
          <w:color w:val="000000" w:themeColor="text1"/>
        </w:rPr>
        <w:t>n, como se desprende del literal a) del numeral 2 del art</w:t>
      </w:r>
      <w:r w:rsidRPr="00251CA2">
        <w:rPr>
          <w:rFonts w:ascii="Verdana" w:hAnsi="Verdana" w:cs="Century Gothic"/>
          <w:bCs/>
          <w:color w:val="000000" w:themeColor="text1"/>
        </w:rPr>
        <w:t>í</w:t>
      </w:r>
      <w:r w:rsidRPr="00251CA2">
        <w:rPr>
          <w:rFonts w:ascii="Verdana" w:hAnsi="Verdana" w:cs="Arial"/>
          <w:bCs/>
          <w:color w:val="000000" w:themeColor="text1"/>
        </w:rPr>
        <w:t xml:space="preserve">culo 5 de la Ley 1150 de 2007, en el que, expresamente, se alude al puntaje. </w:t>
      </w:r>
    </w:p>
    <w:p w14:paraId="4EAEE6DA" w14:textId="77777777" w:rsidR="004F7D28" w:rsidRPr="004F7D28" w:rsidRDefault="004F7D28" w:rsidP="004F7D28">
      <w:pPr>
        <w:pStyle w:val="Prrafodelista"/>
        <w:rPr>
          <w:rFonts w:ascii="Verdana" w:hAnsi="Verdana" w:cs="Arial"/>
          <w:bCs/>
          <w:color w:val="000000" w:themeColor="text1"/>
        </w:rPr>
      </w:pPr>
    </w:p>
    <w:p w14:paraId="27C4E3DC" w14:textId="7B778AE9" w:rsidR="004F7D28" w:rsidRDefault="004F7D28" w:rsidP="004F7D28">
      <w:pPr>
        <w:pStyle w:val="Prrafodelista"/>
        <w:numPr>
          <w:ilvl w:val="0"/>
          <w:numId w:val="20"/>
        </w:numPr>
        <w:spacing w:before="120" w:line="276" w:lineRule="auto"/>
        <w:jc w:val="both"/>
        <w:rPr>
          <w:rFonts w:ascii="Verdana" w:hAnsi="Verdana" w:cs="Arial"/>
          <w:bCs/>
          <w:color w:val="000000" w:themeColor="text1"/>
        </w:rPr>
      </w:pPr>
      <w:r w:rsidRPr="00251CA2">
        <w:rPr>
          <w:rFonts w:ascii="Verdana" w:hAnsi="Verdana" w:cs="Arial"/>
          <w:bCs/>
          <w:color w:val="000000" w:themeColor="text1"/>
        </w:rPr>
        <w:t xml:space="preserve">En este orden de ideas,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w:t>
      </w:r>
      <w:r w:rsidRPr="00251CA2">
        <w:rPr>
          <w:rFonts w:ascii="Verdana" w:hAnsi="Verdana" w:cs="Arial"/>
          <w:bCs/>
          <w:color w:val="000000" w:themeColor="text1"/>
        </w:rPr>
        <w:lastRenderedPageBreak/>
        <w:t>son estos últimos los que determinan la oferta más favorable para la entidad y la que, en consecuencia, debe elegirse.</w:t>
      </w:r>
    </w:p>
    <w:p w14:paraId="3F1D3D71" w14:textId="77777777" w:rsidR="004F7D28" w:rsidRPr="004F7D28" w:rsidRDefault="004F7D28" w:rsidP="004F7D28">
      <w:pPr>
        <w:pStyle w:val="Prrafodelista"/>
        <w:rPr>
          <w:rFonts w:ascii="Verdana" w:hAnsi="Verdana" w:cs="Arial"/>
          <w:bCs/>
          <w:color w:val="000000" w:themeColor="text1"/>
        </w:rPr>
      </w:pPr>
    </w:p>
    <w:p w14:paraId="0F96FA2C" w14:textId="4FAEE65C" w:rsidR="004F7D28" w:rsidRDefault="004F7D28" w:rsidP="004F7D28">
      <w:pPr>
        <w:pStyle w:val="Prrafodelista"/>
        <w:numPr>
          <w:ilvl w:val="0"/>
          <w:numId w:val="20"/>
        </w:numPr>
        <w:spacing w:before="120" w:line="276" w:lineRule="auto"/>
        <w:jc w:val="both"/>
        <w:rPr>
          <w:rFonts w:ascii="Verdana" w:hAnsi="Verdana" w:cs="Arial"/>
          <w:bCs/>
          <w:color w:val="000000" w:themeColor="text1"/>
        </w:rPr>
      </w:pPr>
      <w:r w:rsidRPr="00251CA2">
        <w:rPr>
          <w:rFonts w:ascii="Verdana" w:hAnsi="Verdana" w:cs="Arial"/>
          <w:bCs/>
          <w:color w:val="000000" w:themeColor="text1"/>
        </w:rPr>
        <w:t>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w:t>
      </w:r>
      <w:r>
        <w:rPr>
          <w:rFonts w:ascii="Verdana" w:hAnsi="Verdana" w:cs="Arial"/>
          <w:bCs/>
          <w:color w:val="000000" w:themeColor="text1"/>
        </w:rPr>
        <w:t>(</w:t>
      </w:r>
      <w:r w:rsidRPr="00251CA2">
        <w:rPr>
          <w:rFonts w:ascii="Verdana" w:hAnsi="Verdana" w:cs="Arial"/>
          <w:bCs/>
          <w:color w:val="000000" w:themeColor="text1"/>
        </w:rPr>
        <w:t>…</w:t>
      </w:r>
      <w:r>
        <w:rPr>
          <w:rFonts w:ascii="Verdana" w:hAnsi="Verdana" w:cs="Arial"/>
          <w:bCs/>
          <w:color w:val="000000" w:themeColor="text1"/>
        </w:rPr>
        <w:t>)</w:t>
      </w:r>
      <w:r w:rsidRPr="00251CA2">
        <w:rPr>
          <w:rFonts w:ascii="Verdana" w:hAnsi="Verdana" w:cs="Arial"/>
          <w:bCs/>
          <w:color w:val="000000" w:themeColor="text1"/>
        </w:rPr>
        <w:t xml:space="preserve"> los requisitos objetivos necesarios para participar en el correspondiente proceso de selección”, iii) el artículo 24, numeral 5º, literal b), que establece que en los pliegos de condiciones se deben definir “</w:t>
      </w:r>
      <w:r>
        <w:rPr>
          <w:rFonts w:ascii="Verdana" w:hAnsi="Verdana" w:cs="Arial"/>
          <w:bCs/>
          <w:color w:val="000000" w:themeColor="text1"/>
        </w:rPr>
        <w:t>(...)</w:t>
      </w:r>
      <w:r w:rsidRPr="00251CA2">
        <w:rPr>
          <w:rFonts w:ascii="Verdana" w:hAnsi="Verdana" w:cs="Arial"/>
          <w:bCs/>
          <w:color w:val="000000" w:themeColor="text1"/>
        </w:rPr>
        <w:t xml:space="preserve">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w:t>
      </w:r>
    </w:p>
    <w:p w14:paraId="2E0826FA" w14:textId="77777777" w:rsidR="004F7D28" w:rsidRPr="004F7D28" w:rsidRDefault="004F7D28" w:rsidP="004F7D28">
      <w:pPr>
        <w:pStyle w:val="Prrafodelista"/>
        <w:rPr>
          <w:rFonts w:ascii="Verdana" w:hAnsi="Verdana" w:cs="Arial"/>
          <w:bCs/>
          <w:color w:val="000000" w:themeColor="text1"/>
        </w:rPr>
      </w:pPr>
    </w:p>
    <w:p w14:paraId="47663CEC" w14:textId="5508E274" w:rsidR="004F7D28" w:rsidRPr="00251CA2" w:rsidRDefault="004F7D28" w:rsidP="004F7D28">
      <w:pPr>
        <w:pStyle w:val="Prrafodelista"/>
        <w:numPr>
          <w:ilvl w:val="0"/>
          <w:numId w:val="20"/>
        </w:numPr>
        <w:spacing w:before="120" w:line="276" w:lineRule="auto"/>
        <w:jc w:val="both"/>
        <w:rPr>
          <w:rFonts w:ascii="Verdana" w:hAnsi="Verdana" w:cs="Arial"/>
          <w:bCs/>
          <w:color w:val="000000" w:themeColor="text1"/>
        </w:rPr>
      </w:pPr>
      <w:r w:rsidRPr="00251CA2">
        <w:rPr>
          <w:rFonts w:ascii="Verdana" w:hAnsi="Verdana" w:cs="Arial"/>
          <w:bCs/>
          <w:color w:val="000000" w:themeColor="text1"/>
        </w:rPr>
        <w:t xml:space="preserve">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w:t>
      </w:r>
      <w:r>
        <w:rPr>
          <w:rFonts w:ascii="Verdana" w:hAnsi="Verdana" w:cs="Arial"/>
          <w:bCs/>
          <w:color w:val="000000" w:themeColor="text1"/>
        </w:rPr>
        <w:t>(...)</w:t>
      </w:r>
      <w:r w:rsidRPr="00251CA2">
        <w:rPr>
          <w:rFonts w:ascii="Verdana" w:hAnsi="Verdana" w:cs="Arial"/>
          <w:bCs/>
          <w:color w:val="000000" w:themeColor="text1"/>
        </w:rPr>
        <w:t xml:space="preserve">,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w:t>
      </w:r>
      <w:r w:rsidRPr="00251CA2">
        <w:rPr>
          <w:rFonts w:ascii="Verdana" w:hAnsi="Verdana" w:cs="Arial"/>
          <w:bCs/>
          <w:color w:val="000000" w:themeColor="text1"/>
        </w:rPr>
        <w:lastRenderedPageBreak/>
        <w:t xml:space="preserve">exploración, explotación y comercialización de recursos naturales renovables y no renovables. </w:t>
      </w:r>
    </w:p>
    <w:p w14:paraId="25EE1F62" w14:textId="77777777" w:rsidR="004F7D28" w:rsidRPr="004F7D28" w:rsidRDefault="004F7D28" w:rsidP="004F7D28">
      <w:pPr>
        <w:pStyle w:val="Prrafodelista"/>
        <w:pBdr>
          <w:top w:val="nil"/>
          <w:left w:val="nil"/>
          <w:bottom w:val="nil"/>
          <w:right w:val="nil"/>
          <w:between w:val="nil"/>
        </w:pBdr>
        <w:autoSpaceDE w:val="0"/>
        <w:autoSpaceDN w:val="0"/>
        <w:adjustRightInd w:val="0"/>
        <w:spacing w:before="120" w:after="0" w:line="276" w:lineRule="auto"/>
        <w:jc w:val="both"/>
        <w:rPr>
          <w:rFonts w:ascii="Verdana" w:hAnsi="Verdana" w:cs="ArialMT"/>
        </w:rPr>
      </w:pPr>
    </w:p>
    <w:p w14:paraId="117B2D4C" w14:textId="293D6C97" w:rsidR="00B06915" w:rsidRPr="00F64EB7" w:rsidRDefault="004A53B2" w:rsidP="00F64EB7">
      <w:pPr>
        <w:pStyle w:val="Prrafodelista"/>
        <w:numPr>
          <w:ilvl w:val="0"/>
          <w:numId w:val="20"/>
        </w:numPr>
        <w:pBdr>
          <w:top w:val="nil"/>
          <w:left w:val="nil"/>
          <w:bottom w:val="nil"/>
          <w:right w:val="nil"/>
          <w:between w:val="nil"/>
        </w:pBdr>
        <w:autoSpaceDE w:val="0"/>
        <w:autoSpaceDN w:val="0"/>
        <w:adjustRightInd w:val="0"/>
        <w:spacing w:before="120" w:after="0" w:line="276" w:lineRule="auto"/>
        <w:jc w:val="both"/>
        <w:rPr>
          <w:rFonts w:ascii="Verdana" w:hAnsi="Verdana" w:cs="ArialMT"/>
        </w:rPr>
      </w:pPr>
      <w:r>
        <w:rPr>
          <w:rFonts w:ascii="Verdana" w:hAnsi="Verdana" w:cs="Verdana"/>
        </w:rPr>
        <w:t xml:space="preserve">De esta situación, es preciso advertir que mediante </w:t>
      </w:r>
      <w:r w:rsidR="00B06915" w:rsidRPr="00F64EB7">
        <w:rPr>
          <w:rFonts w:ascii="Verdana" w:hAnsi="Verdana" w:cs="Verdana"/>
        </w:rPr>
        <w:t xml:space="preserve">la Ley 2195 de 2022, se </w:t>
      </w:r>
      <w:r>
        <w:rPr>
          <w:rFonts w:ascii="Verdana" w:hAnsi="Verdana" w:cs="Verdana"/>
        </w:rPr>
        <w:t>adoptaron</w:t>
      </w:r>
      <w:r w:rsidR="00B06915" w:rsidRPr="00F64EB7">
        <w:rPr>
          <w:rFonts w:ascii="Verdana" w:hAnsi="Verdana" w:cs="Verdana"/>
        </w:rPr>
        <w:t xml:space="preserve"> medidas</w:t>
      </w:r>
      <w:r w:rsidR="00F64EB7" w:rsidRPr="00F64EB7">
        <w:rPr>
          <w:rFonts w:ascii="Verdana" w:hAnsi="Verdana" w:cs="Verdana"/>
        </w:rPr>
        <w:t xml:space="preserve"> </w:t>
      </w:r>
      <w:r w:rsidR="00B06915" w:rsidRPr="00F64EB7">
        <w:rPr>
          <w:rFonts w:ascii="Verdana" w:hAnsi="Verdana" w:cs="Verdana"/>
        </w:rPr>
        <w:t xml:space="preserve">en materia de transparencia, prevención y lucha contra la corrupción, </w:t>
      </w:r>
      <w:r>
        <w:rPr>
          <w:rFonts w:ascii="Verdana" w:hAnsi="Verdana" w:cs="Verdana"/>
        </w:rPr>
        <w:t>estableciendo</w:t>
      </w:r>
      <w:r w:rsidR="00F64EB7" w:rsidRPr="00F64EB7">
        <w:rPr>
          <w:rFonts w:ascii="Verdana" w:hAnsi="Verdana" w:cs="Verdana"/>
        </w:rPr>
        <w:t xml:space="preserve"> </w:t>
      </w:r>
      <w:r w:rsidR="00B06915" w:rsidRPr="00F64EB7">
        <w:rPr>
          <w:rFonts w:ascii="Verdana" w:hAnsi="Verdana" w:cs="Verdana"/>
        </w:rPr>
        <w:t>en el artículo 58 un caso particular, para que las entidades sometidas al EGCAP</w:t>
      </w:r>
      <w:r w:rsidR="00F64EB7" w:rsidRPr="00F64EB7">
        <w:rPr>
          <w:rFonts w:ascii="Verdana" w:hAnsi="Verdana" w:cs="Verdana"/>
        </w:rPr>
        <w:t xml:space="preserve"> </w:t>
      </w:r>
      <w:r w:rsidR="00B06915" w:rsidRPr="00F64EB7">
        <w:rPr>
          <w:rFonts w:ascii="Verdana" w:hAnsi="Verdana" w:cs="Verdana"/>
        </w:rPr>
        <w:t xml:space="preserve">en los procesos de selección reduzcan </w:t>
      </w:r>
      <w:r w:rsidR="00B06915" w:rsidRPr="00F64EB7">
        <w:rPr>
          <w:rFonts w:ascii="Verdana" w:hAnsi="Verdana" w:cs="ArialMT"/>
        </w:rPr>
        <w:t>el dos por ciento (2%) del total de los puntos</w:t>
      </w:r>
      <w:r w:rsidR="00F64EB7" w:rsidRPr="00F64EB7">
        <w:rPr>
          <w:rFonts w:ascii="Verdana" w:hAnsi="Verdana" w:cs="ArialMT"/>
        </w:rPr>
        <w:t xml:space="preserve"> </w:t>
      </w:r>
      <w:r w:rsidR="00B06915" w:rsidRPr="00F64EB7">
        <w:rPr>
          <w:rFonts w:ascii="Verdana" w:hAnsi="Verdana" w:cs="ArialMT"/>
        </w:rPr>
        <w:t>establecidos en el proceso a los proponentes que se les haya impuesto una o más</w:t>
      </w:r>
      <w:r w:rsidR="00F64EB7" w:rsidRPr="00F64EB7">
        <w:rPr>
          <w:rFonts w:ascii="Verdana" w:hAnsi="Verdana" w:cs="ArialMT"/>
        </w:rPr>
        <w:t xml:space="preserve"> </w:t>
      </w:r>
      <w:r w:rsidR="00B06915" w:rsidRPr="00F64EB7">
        <w:rPr>
          <w:rFonts w:ascii="Verdana" w:hAnsi="Verdana" w:cs="ArialMT"/>
        </w:rPr>
        <w:t>multas o cláusulas penales durante el último año, contado a partir de la fecha prevista</w:t>
      </w:r>
      <w:r w:rsidR="00F64EB7" w:rsidRPr="00F64EB7">
        <w:rPr>
          <w:rFonts w:ascii="Verdana" w:hAnsi="Verdana" w:cs="ArialMT"/>
        </w:rPr>
        <w:t xml:space="preserve"> </w:t>
      </w:r>
      <w:r w:rsidR="00B06915" w:rsidRPr="00F64EB7">
        <w:rPr>
          <w:rFonts w:ascii="Verdana" w:hAnsi="Verdana" w:cs="ArialMT"/>
        </w:rPr>
        <w:t>para la presentación de las ofertas, sin importar la cuantía y sin perjuicio de las demás</w:t>
      </w:r>
      <w:r w:rsidR="00F64EB7" w:rsidRPr="00F64EB7">
        <w:rPr>
          <w:rFonts w:ascii="Verdana" w:hAnsi="Verdana" w:cs="ArialMT"/>
        </w:rPr>
        <w:t xml:space="preserve"> </w:t>
      </w:r>
      <w:r w:rsidR="00B06915" w:rsidRPr="00F64EB7">
        <w:rPr>
          <w:rFonts w:ascii="Verdana" w:hAnsi="Verdana" w:cs="ArialMT"/>
        </w:rPr>
        <w:t>consecuencias derivadas del incumplimiento</w:t>
      </w:r>
      <w:r w:rsidR="00F64EB7" w:rsidRPr="00F64EB7">
        <w:rPr>
          <w:rFonts w:ascii="Verdana" w:hAnsi="Verdana" w:cs="ArialMT"/>
        </w:rPr>
        <w:t>.</w:t>
      </w:r>
      <w:r w:rsidR="00B85C79">
        <w:rPr>
          <w:rStyle w:val="Refdenotaalpie"/>
          <w:rFonts w:ascii="Verdana" w:hAnsi="Verdana" w:cs="ArialMT"/>
        </w:rPr>
        <w:footnoteReference w:id="5"/>
      </w:r>
    </w:p>
    <w:p w14:paraId="43B21E62" w14:textId="77777777" w:rsidR="00F64EB7" w:rsidRPr="00B06915" w:rsidRDefault="00F64EB7" w:rsidP="00F64EB7">
      <w:pPr>
        <w:autoSpaceDE w:val="0"/>
        <w:autoSpaceDN w:val="0"/>
        <w:adjustRightInd w:val="0"/>
        <w:spacing w:after="0" w:line="240" w:lineRule="auto"/>
        <w:jc w:val="both"/>
        <w:rPr>
          <w:rFonts w:ascii="Verdana" w:hAnsi="Verdana" w:cs="ArialMT"/>
          <w:sz w:val="21"/>
          <w:szCs w:val="21"/>
        </w:rPr>
      </w:pPr>
    </w:p>
    <w:p w14:paraId="759075B5" w14:textId="08A11C34" w:rsidR="00B06915" w:rsidRPr="004A53B2" w:rsidRDefault="00B06915" w:rsidP="00F248F4">
      <w:pPr>
        <w:pStyle w:val="Prrafodelista"/>
        <w:numPr>
          <w:ilvl w:val="0"/>
          <w:numId w:val="20"/>
        </w:numPr>
        <w:pBdr>
          <w:top w:val="nil"/>
          <w:left w:val="nil"/>
          <w:bottom w:val="nil"/>
          <w:right w:val="nil"/>
          <w:between w:val="nil"/>
        </w:pBdr>
        <w:autoSpaceDE w:val="0"/>
        <w:autoSpaceDN w:val="0"/>
        <w:adjustRightInd w:val="0"/>
        <w:spacing w:before="120" w:after="0" w:line="276" w:lineRule="auto"/>
        <w:jc w:val="both"/>
        <w:rPr>
          <w:rFonts w:ascii="Verdana" w:eastAsia="Calibri" w:hAnsi="Verdana" w:cs="Times New Roman"/>
        </w:rPr>
      </w:pPr>
      <w:r w:rsidRPr="004A53B2">
        <w:rPr>
          <w:rFonts w:ascii="Verdana" w:hAnsi="Verdana" w:cs="ArialMT"/>
        </w:rPr>
        <w:t>El anterior enunciado normativo fue objeto de revisión por parte de la Corte</w:t>
      </w:r>
      <w:r w:rsidR="00F64EB7" w:rsidRPr="004A53B2">
        <w:rPr>
          <w:rFonts w:ascii="Verdana" w:hAnsi="Verdana" w:cs="ArialMT"/>
        </w:rPr>
        <w:t xml:space="preserve"> </w:t>
      </w:r>
      <w:r w:rsidRPr="004A53B2">
        <w:rPr>
          <w:rFonts w:ascii="Verdana" w:hAnsi="Verdana" w:cs="ArialMT"/>
        </w:rPr>
        <w:t>Constitucional, en sentencia C-154 de 2023 en donde expuso las siguientes</w:t>
      </w:r>
      <w:r w:rsidR="00F64EB7" w:rsidRPr="004A53B2">
        <w:rPr>
          <w:rFonts w:ascii="Verdana" w:hAnsi="Verdana" w:cs="ArialMT"/>
        </w:rPr>
        <w:t xml:space="preserve"> </w:t>
      </w:r>
      <w:r w:rsidRPr="004A53B2">
        <w:rPr>
          <w:rFonts w:ascii="Verdana" w:hAnsi="Verdana" w:cs="ArialMT"/>
        </w:rPr>
        <w:t>ideas:</w:t>
      </w:r>
    </w:p>
    <w:p w14:paraId="1AEF8CDB" w14:textId="77777777" w:rsidR="004A53B2" w:rsidRPr="004A53B2" w:rsidRDefault="004A53B2" w:rsidP="004A53B2">
      <w:pPr>
        <w:pStyle w:val="Prrafodelista"/>
        <w:rPr>
          <w:rFonts w:ascii="Verdana" w:eastAsia="Calibri" w:hAnsi="Verdana" w:cs="Times New Roman"/>
        </w:rPr>
      </w:pPr>
    </w:p>
    <w:p w14:paraId="3C92B7D8" w14:textId="0CE542FD" w:rsidR="00B06915" w:rsidRPr="004F7D28" w:rsidRDefault="00F64EB7" w:rsidP="004F7D28">
      <w:pPr>
        <w:autoSpaceDE w:val="0"/>
        <w:autoSpaceDN w:val="0"/>
        <w:adjustRightInd w:val="0"/>
        <w:spacing w:after="0" w:line="240" w:lineRule="auto"/>
        <w:ind w:left="709" w:right="616"/>
        <w:jc w:val="both"/>
        <w:rPr>
          <w:rFonts w:ascii="Verdana" w:hAnsi="Verdana" w:cs="Arial"/>
          <w:bCs/>
          <w:color w:val="000000" w:themeColor="text1"/>
          <w:sz w:val="20"/>
          <w:szCs w:val="21"/>
        </w:rPr>
      </w:pPr>
      <w:r w:rsidRPr="004F7D28">
        <w:rPr>
          <w:rFonts w:ascii="Verdana" w:hAnsi="Verdana" w:cs="Arial"/>
          <w:bCs/>
          <w:color w:val="000000" w:themeColor="text1"/>
          <w:sz w:val="20"/>
          <w:szCs w:val="21"/>
        </w:rPr>
        <w:t>(…)</w:t>
      </w:r>
      <w:r w:rsidR="00B06915" w:rsidRPr="004F7D28">
        <w:rPr>
          <w:rFonts w:ascii="Verdana" w:hAnsi="Verdana" w:cs="Arial"/>
          <w:bCs/>
          <w:color w:val="000000" w:themeColor="text1"/>
          <w:sz w:val="20"/>
          <w:szCs w:val="21"/>
        </w:rPr>
        <w:t>el trato diferenciado entre los sujetos comparables se basa en que estos</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se encuentran en situaciones diferentes, obedece a decisiones adoptadas</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por ellos mismos y dispone de una consecuencia razonable con el fin de</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obtener los beneficios perseguidos por la norma. La Corte advierte que no</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puede haber un trato diferenciado que sea discriminatorio o que ponga en</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peligro la libre concurrencia, cuando el criterio diferenciador se basa en</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una acción u omisión de quien podría alegar la propia discriminación o</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trato diferenciado. Del mismo modo, la norma objeto de control se puede</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interpretar como una forma de garantizar que más proponentes pueden</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ingresar a la fase de selección sin reducciones del puntaje debido a multas</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que son objeto de control jurisdiccional. Ello optimiza, en lugar de</w:t>
      </w:r>
      <w:r w:rsidRPr="004F7D28">
        <w:rPr>
          <w:rFonts w:ascii="Verdana" w:hAnsi="Verdana" w:cs="Arial"/>
          <w:bCs/>
          <w:color w:val="000000" w:themeColor="text1"/>
          <w:sz w:val="20"/>
          <w:szCs w:val="21"/>
        </w:rPr>
        <w:t xml:space="preserve"> </w:t>
      </w:r>
      <w:r w:rsidR="00B06915" w:rsidRPr="004F7D28">
        <w:rPr>
          <w:rFonts w:ascii="Verdana" w:hAnsi="Verdana" w:cs="Arial"/>
          <w:bCs/>
          <w:color w:val="000000" w:themeColor="text1"/>
          <w:sz w:val="20"/>
          <w:szCs w:val="21"/>
        </w:rPr>
        <w:t>menoscabar, la libre competencia. (…)</w:t>
      </w:r>
    </w:p>
    <w:p w14:paraId="524794FD" w14:textId="77777777" w:rsidR="00744303" w:rsidRPr="00B06915" w:rsidRDefault="00744303" w:rsidP="00F64EB7">
      <w:pPr>
        <w:autoSpaceDE w:val="0"/>
        <w:autoSpaceDN w:val="0"/>
        <w:adjustRightInd w:val="0"/>
        <w:spacing w:after="0" w:line="240" w:lineRule="auto"/>
        <w:ind w:left="709"/>
        <w:jc w:val="both"/>
        <w:rPr>
          <w:rFonts w:ascii="Verdana" w:hAnsi="Verdana" w:cs="Verdana"/>
          <w:sz w:val="20"/>
          <w:szCs w:val="20"/>
        </w:rPr>
      </w:pPr>
    </w:p>
    <w:p w14:paraId="63A3A764" w14:textId="77777777" w:rsidR="00B06915" w:rsidRPr="00B06915" w:rsidRDefault="00B06915"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w:t>
      </w:r>
    </w:p>
    <w:p w14:paraId="12A76268" w14:textId="4323C69A" w:rsidR="00B06915" w:rsidRDefault="00B06915"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La Corte Constitucional ha reiterado que el legislador tiene un amplio</w:t>
      </w:r>
      <w:r w:rsidR="00744303">
        <w:rPr>
          <w:rFonts w:ascii="Verdana" w:hAnsi="Verdana" w:cs="Verdana"/>
          <w:sz w:val="20"/>
          <w:szCs w:val="20"/>
        </w:rPr>
        <w:t xml:space="preserve"> </w:t>
      </w:r>
      <w:r w:rsidRPr="00B06915">
        <w:rPr>
          <w:rFonts w:ascii="Verdana" w:hAnsi="Verdana" w:cs="Verdana"/>
          <w:sz w:val="20"/>
          <w:szCs w:val="20"/>
        </w:rPr>
        <w:t>margen de configuración respecto de la contratación pública. El tribunal</w:t>
      </w:r>
      <w:r w:rsidR="00744303">
        <w:rPr>
          <w:rFonts w:ascii="Verdana" w:hAnsi="Verdana" w:cs="Verdana"/>
          <w:sz w:val="20"/>
          <w:szCs w:val="20"/>
        </w:rPr>
        <w:t xml:space="preserve"> </w:t>
      </w:r>
      <w:r w:rsidRPr="00B06915">
        <w:rPr>
          <w:rFonts w:ascii="Verdana" w:hAnsi="Verdana" w:cs="Verdana"/>
          <w:sz w:val="20"/>
          <w:szCs w:val="20"/>
        </w:rPr>
        <w:t>ha reconocido que esta libertad está limitada principalmente por los</w:t>
      </w:r>
      <w:r w:rsidR="00744303">
        <w:rPr>
          <w:rFonts w:ascii="Verdana" w:hAnsi="Verdana" w:cs="Verdana"/>
          <w:sz w:val="20"/>
          <w:szCs w:val="20"/>
        </w:rPr>
        <w:t xml:space="preserve"> </w:t>
      </w:r>
      <w:r w:rsidRPr="00B06915">
        <w:rPr>
          <w:rFonts w:ascii="Verdana" w:hAnsi="Verdana" w:cs="Verdana"/>
          <w:sz w:val="20"/>
          <w:szCs w:val="20"/>
        </w:rPr>
        <w:t>principios que regulan la función administrativa y por el interés general.</w:t>
      </w:r>
      <w:r w:rsidR="00744303">
        <w:rPr>
          <w:rFonts w:ascii="Verdana" w:hAnsi="Verdana" w:cs="Verdana"/>
          <w:sz w:val="20"/>
          <w:szCs w:val="20"/>
        </w:rPr>
        <w:t xml:space="preserve"> </w:t>
      </w:r>
      <w:r w:rsidRPr="00B06915">
        <w:rPr>
          <w:rFonts w:ascii="Verdana" w:hAnsi="Verdana" w:cs="Verdana"/>
          <w:sz w:val="20"/>
          <w:szCs w:val="20"/>
        </w:rPr>
        <w:t>De hecho, la jurisprudencia constitucional ha establecido que estos dos</w:t>
      </w:r>
      <w:r w:rsidR="00744303">
        <w:rPr>
          <w:rFonts w:ascii="Verdana" w:hAnsi="Verdana" w:cs="Verdana"/>
          <w:sz w:val="20"/>
          <w:szCs w:val="20"/>
        </w:rPr>
        <w:t xml:space="preserve"> </w:t>
      </w:r>
      <w:r w:rsidRPr="00B06915">
        <w:rPr>
          <w:rFonts w:ascii="Verdana" w:hAnsi="Verdana" w:cs="Verdana"/>
          <w:sz w:val="20"/>
          <w:szCs w:val="20"/>
        </w:rPr>
        <w:t>aspectos justifican la existencia de un régimen contractual especial. (…)</w:t>
      </w:r>
    </w:p>
    <w:p w14:paraId="4E86ED51" w14:textId="77777777" w:rsidR="00744303" w:rsidRPr="00B06915" w:rsidRDefault="00744303" w:rsidP="004F7D28">
      <w:pPr>
        <w:autoSpaceDE w:val="0"/>
        <w:autoSpaceDN w:val="0"/>
        <w:adjustRightInd w:val="0"/>
        <w:spacing w:after="0" w:line="240" w:lineRule="auto"/>
        <w:ind w:left="709" w:right="616"/>
        <w:jc w:val="both"/>
        <w:rPr>
          <w:rFonts w:ascii="Verdana" w:hAnsi="Verdana" w:cs="Verdana"/>
          <w:sz w:val="20"/>
          <w:szCs w:val="20"/>
        </w:rPr>
      </w:pPr>
    </w:p>
    <w:p w14:paraId="3A76DD1D" w14:textId="77777777" w:rsidR="00B06915" w:rsidRPr="00B06915" w:rsidRDefault="00B06915"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w:t>
      </w:r>
    </w:p>
    <w:p w14:paraId="371DBD13" w14:textId="7E25C27B" w:rsidR="00B06915" w:rsidRPr="00B06915" w:rsidRDefault="00B06915" w:rsidP="004F7D28">
      <w:pPr>
        <w:autoSpaceDE w:val="0"/>
        <w:autoSpaceDN w:val="0"/>
        <w:adjustRightInd w:val="0"/>
        <w:spacing w:after="0" w:line="240" w:lineRule="auto"/>
        <w:ind w:left="709" w:right="616"/>
        <w:jc w:val="both"/>
        <w:rPr>
          <w:rFonts w:ascii="Verdana" w:hAnsi="Verdana" w:cs="Verdana"/>
          <w:sz w:val="20"/>
          <w:szCs w:val="20"/>
        </w:rPr>
      </w:pPr>
      <w:r w:rsidRPr="00B06915">
        <w:rPr>
          <w:rFonts w:ascii="Verdana" w:hAnsi="Verdana" w:cs="Verdana"/>
          <w:sz w:val="20"/>
          <w:szCs w:val="20"/>
        </w:rPr>
        <w:t>La amplitud de las competencias del legislador para regular la</w:t>
      </w:r>
      <w:r w:rsidR="00744303">
        <w:rPr>
          <w:rFonts w:ascii="Verdana" w:hAnsi="Verdana" w:cs="Verdana"/>
          <w:sz w:val="20"/>
          <w:szCs w:val="20"/>
        </w:rPr>
        <w:t xml:space="preserve"> </w:t>
      </w:r>
      <w:r w:rsidRPr="00B06915">
        <w:rPr>
          <w:rFonts w:ascii="Verdana" w:hAnsi="Verdana" w:cs="Verdana"/>
          <w:sz w:val="20"/>
          <w:szCs w:val="20"/>
        </w:rPr>
        <w:t>contratación pública no es incompatible con algunos límites. Además de</w:t>
      </w:r>
      <w:r w:rsidR="00744303">
        <w:rPr>
          <w:rFonts w:ascii="Verdana" w:hAnsi="Verdana" w:cs="Verdana"/>
          <w:sz w:val="20"/>
          <w:szCs w:val="20"/>
        </w:rPr>
        <w:t xml:space="preserve"> </w:t>
      </w:r>
      <w:r w:rsidRPr="00B06915">
        <w:rPr>
          <w:rFonts w:ascii="Verdana" w:hAnsi="Verdana" w:cs="Verdana"/>
          <w:sz w:val="20"/>
          <w:szCs w:val="20"/>
        </w:rPr>
        <w:t xml:space="preserve">los diques </w:t>
      </w:r>
      <w:r w:rsidRPr="00B06915">
        <w:rPr>
          <w:rFonts w:ascii="Verdana" w:hAnsi="Verdana" w:cs="Verdana"/>
          <w:sz w:val="20"/>
          <w:szCs w:val="20"/>
        </w:rPr>
        <w:lastRenderedPageBreak/>
        <w:t>generales que ha determinado la Corte (principios de la función</w:t>
      </w:r>
      <w:r w:rsidR="00744303">
        <w:rPr>
          <w:rFonts w:ascii="Verdana" w:hAnsi="Verdana" w:cs="Verdana"/>
          <w:sz w:val="20"/>
          <w:szCs w:val="20"/>
        </w:rPr>
        <w:t xml:space="preserve"> </w:t>
      </w:r>
      <w:r w:rsidRPr="00B06915">
        <w:rPr>
          <w:rFonts w:ascii="Verdana" w:hAnsi="Verdana" w:cs="Verdana"/>
          <w:sz w:val="20"/>
          <w:szCs w:val="20"/>
        </w:rPr>
        <w:t>administrativa y prevalencia del interés general) también se han</w:t>
      </w:r>
      <w:r w:rsidR="00744303">
        <w:rPr>
          <w:rFonts w:ascii="Verdana" w:hAnsi="Verdana" w:cs="Verdana"/>
          <w:sz w:val="20"/>
          <w:szCs w:val="20"/>
        </w:rPr>
        <w:t xml:space="preserve"> </w:t>
      </w:r>
      <w:r w:rsidRPr="00B06915">
        <w:rPr>
          <w:rFonts w:ascii="Verdana" w:hAnsi="Verdana" w:cs="Verdana"/>
          <w:sz w:val="20"/>
          <w:szCs w:val="20"/>
        </w:rPr>
        <w:t>establecido parámetros específicos como: la igualdad, la buena fe, la</w:t>
      </w:r>
      <w:r w:rsidR="00744303">
        <w:rPr>
          <w:rFonts w:ascii="Verdana" w:hAnsi="Verdana" w:cs="Verdana"/>
          <w:sz w:val="20"/>
          <w:szCs w:val="20"/>
        </w:rPr>
        <w:t xml:space="preserve"> </w:t>
      </w:r>
      <w:r w:rsidRPr="00B06915">
        <w:rPr>
          <w:rFonts w:ascii="Verdana" w:hAnsi="Verdana" w:cs="Verdana"/>
          <w:sz w:val="20"/>
          <w:szCs w:val="20"/>
        </w:rPr>
        <w:t>defensa del patrimonio público y la autonomía de las entidades</w:t>
      </w:r>
      <w:r w:rsidR="00744303">
        <w:rPr>
          <w:rFonts w:ascii="Verdana" w:hAnsi="Verdana" w:cs="Verdana"/>
          <w:sz w:val="20"/>
          <w:szCs w:val="20"/>
        </w:rPr>
        <w:t xml:space="preserve"> </w:t>
      </w:r>
      <w:r w:rsidRPr="00B06915">
        <w:rPr>
          <w:rFonts w:ascii="Verdana" w:hAnsi="Verdana" w:cs="Verdana"/>
          <w:sz w:val="20"/>
          <w:szCs w:val="20"/>
        </w:rPr>
        <w:t>territoriales. De igual modo, se han enunciado postulados que rigen la</w:t>
      </w:r>
      <w:r w:rsidR="001E58C7">
        <w:rPr>
          <w:rFonts w:ascii="Verdana" w:hAnsi="Verdana" w:cs="Verdana"/>
          <w:sz w:val="20"/>
          <w:szCs w:val="20"/>
        </w:rPr>
        <w:t xml:space="preserve"> </w:t>
      </w:r>
      <w:r w:rsidRPr="00B06915">
        <w:rPr>
          <w:rFonts w:ascii="Verdana" w:hAnsi="Verdana" w:cs="Verdana"/>
          <w:sz w:val="20"/>
          <w:szCs w:val="20"/>
        </w:rPr>
        <w:t>función administrativa como los de: publicidad, economía, celeridad y</w:t>
      </w:r>
      <w:r w:rsidR="00744303">
        <w:rPr>
          <w:rFonts w:ascii="Verdana" w:hAnsi="Verdana" w:cs="Verdana"/>
          <w:sz w:val="20"/>
          <w:szCs w:val="20"/>
        </w:rPr>
        <w:t xml:space="preserve"> </w:t>
      </w:r>
      <w:r w:rsidR="00CF25ED" w:rsidRPr="00B06915">
        <w:rPr>
          <w:rFonts w:ascii="Verdana" w:hAnsi="Verdana" w:cs="Verdana"/>
          <w:sz w:val="20"/>
          <w:szCs w:val="20"/>
        </w:rPr>
        <w:t>transparencia. (</w:t>
      </w:r>
      <w:r w:rsidRPr="00B06915">
        <w:rPr>
          <w:rFonts w:ascii="Verdana" w:hAnsi="Verdana" w:cs="Verdana"/>
          <w:sz w:val="20"/>
          <w:szCs w:val="20"/>
        </w:rPr>
        <w:t>…)</w:t>
      </w:r>
    </w:p>
    <w:p w14:paraId="5768E467" w14:textId="77777777" w:rsidR="00F64EB7" w:rsidRDefault="00F64EB7" w:rsidP="00B06915">
      <w:pPr>
        <w:autoSpaceDE w:val="0"/>
        <w:autoSpaceDN w:val="0"/>
        <w:adjustRightInd w:val="0"/>
        <w:spacing w:after="0" w:line="240" w:lineRule="auto"/>
        <w:rPr>
          <w:rFonts w:ascii="Verdana" w:hAnsi="Verdana" w:cs="Verdana"/>
          <w:sz w:val="20"/>
          <w:szCs w:val="20"/>
        </w:rPr>
      </w:pPr>
    </w:p>
    <w:p w14:paraId="2E119E68" w14:textId="03C8420D" w:rsidR="00B06915" w:rsidRDefault="00B06915" w:rsidP="00AC29D2">
      <w:pPr>
        <w:pStyle w:val="Prrafodelista"/>
        <w:numPr>
          <w:ilvl w:val="0"/>
          <w:numId w:val="20"/>
        </w:numPr>
        <w:pBdr>
          <w:top w:val="nil"/>
          <w:left w:val="nil"/>
          <w:bottom w:val="nil"/>
          <w:right w:val="nil"/>
          <w:between w:val="nil"/>
        </w:pBdr>
        <w:autoSpaceDE w:val="0"/>
        <w:autoSpaceDN w:val="0"/>
        <w:adjustRightInd w:val="0"/>
        <w:spacing w:before="120" w:after="0" w:line="276" w:lineRule="auto"/>
        <w:jc w:val="both"/>
        <w:rPr>
          <w:rFonts w:ascii="Verdana" w:hAnsi="Verdana" w:cs="ArialMT"/>
        </w:rPr>
      </w:pPr>
      <w:r w:rsidRPr="00A649DE">
        <w:rPr>
          <w:rFonts w:ascii="Verdana" w:hAnsi="Verdana" w:cs="ArialMT"/>
        </w:rPr>
        <w:t>De lo anterior, se encuentra que atención al margen de discrecionalidad</w:t>
      </w:r>
      <w:r w:rsidR="00744303" w:rsidRPr="00A649DE">
        <w:rPr>
          <w:rFonts w:ascii="Verdana" w:hAnsi="Verdana" w:cs="ArialMT"/>
        </w:rPr>
        <w:t xml:space="preserve"> </w:t>
      </w:r>
      <w:r w:rsidRPr="00A649DE">
        <w:rPr>
          <w:rFonts w:ascii="Verdana" w:hAnsi="Verdana" w:cs="ArialMT"/>
        </w:rPr>
        <w:t>otorgad</w:t>
      </w:r>
      <w:r w:rsidR="004A53B2" w:rsidRPr="00A649DE">
        <w:rPr>
          <w:rFonts w:ascii="Verdana" w:hAnsi="Verdana" w:cs="ArialMT"/>
        </w:rPr>
        <w:t xml:space="preserve">a al </w:t>
      </w:r>
      <w:r w:rsidRPr="00A649DE">
        <w:rPr>
          <w:rFonts w:ascii="Verdana" w:hAnsi="Verdana" w:cs="ArialMT"/>
        </w:rPr>
        <w:t>Legislador, se pueden regular las condiciones de ponderación de las</w:t>
      </w:r>
      <w:r w:rsidR="00744303" w:rsidRPr="00A649DE">
        <w:rPr>
          <w:rFonts w:ascii="Verdana" w:hAnsi="Verdana" w:cs="ArialMT"/>
        </w:rPr>
        <w:t xml:space="preserve"> </w:t>
      </w:r>
      <w:r w:rsidRPr="00A649DE">
        <w:rPr>
          <w:rFonts w:ascii="Verdana" w:hAnsi="Verdana" w:cs="ArialMT"/>
        </w:rPr>
        <w:t>propuestas, estableciendo la forma de otorgar o reducir puntaje</w:t>
      </w:r>
      <w:r w:rsidR="004A53B2" w:rsidRPr="00A649DE">
        <w:rPr>
          <w:rFonts w:ascii="Verdana" w:hAnsi="Verdana" w:cs="ArialMT"/>
        </w:rPr>
        <w:t>,</w:t>
      </w:r>
      <w:r w:rsidR="00744303" w:rsidRPr="00A649DE">
        <w:rPr>
          <w:rFonts w:ascii="Verdana" w:hAnsi="Verdana" w:cs="ArialMT"/>
        </w:rPr>
        <w:t xml:space="preserve"> </w:t>
      </w:r>
      <w:r w:rsidR="004A53B2" w:rsidRPr="00A649DE">
        <w:rPr>
          <w:rFonts w:ascii="Verdana" w:hAnsi="Verdana" w:cs="ArialMT"/>
        </w:rPr>
        <w:t>d</w:t>
      </w:r>
      <w:r w:rsidRPr="00A649DE">
        <w:rPr>
          <w:rFonts w:ascii="Verdana" w:hAnsi="Verdana" w:cs="ArialMT"/>
        </w:rPr>
        <w:t>iscrecionalidad de la que no gozarían las entidades sometidas al EGCAP, pues</w:t>
      </w:r>
      <w:r w:rsidR="00744303" w:rsidRPr="00A649DE">
        <w:rPr>
          <w:rFonts w:ascii="Verdana" w:hAnsi="Verdana" w:cs="ArialMT"/>
        </w:rPr>
        <w:t xml:space="preserve"> </w:t>
      </w:r>
      <w:r w:rsidRPr="00A649DE">
        <w:rPr>
          <w:rFonts w:ascii="Verdana" w:hAnsi="Verdana" w:cs="ArialMT"/>
        </w:rPr>
        <w:t xml:space="preserve">al momento de establecer condiciones </w:t>
      </w:r>
      <w:r w:rsidR="004A53B2" w:rsidRPr="00A649DE">
        <w:rPr>
          <w:rFonts w:ascii="Verdana" w:hAnsi="Verdana" w:cs="ArialMT"/>
        </w:rPr>
        <w:t xml:space="preserve">deben ceñirse de manera particular a lo señalado en el artículo 5 de la Ley 1150 de 2007 antes citado, y no aparece la posibilidad de establecer condiciones para </w:t>
      </w:r>
      <w:r w:rsidRPr="00A649DE">
        <w:rPr>
          <w:rFonts w:ascii="Verdana" w:hAnsi="Verdana" w:cs="ArialMT"/>
        </w:rPr>
        <w:t>la reducción de puntaje</w:t>
      </w:r>
      <w:r w:rsidR="004A53B2" w:rsidRPr="00A649DE">
        <w:rPr>
          <w:rFonts w:ascii="Verdana" w:hAnsi="Verdana" w:cs="ArialMT"/>
        </w:rPr>
        <w:t xml:space="preserve">, pues </w:t>
      </w:r>
      <w:r w:rsidRPr="00A649DE">
        <w:rPr>
          <w:rFonts w:ascii="Verdana" w:hAnsi="Verdana" w:cs="ArialMT"/>
        </w:rPr>
        <w:t xml:space="preserve"> se podría</w:t>
      </w:r>
      <w:r w:rsidR="00744303" w:rsidRPr="00A649DE">
        <w:rPr>
          <w:rFonts w:ascii="Verdana" w:hAnsi="Verdana" w:cs="ArialMT"/>
        </w:rPr>
        <w:t xml:space="preserve"> </w:t>
      </w:r>
      <w:r w:rsidRPr="00A649DE">
        <w:rPr>
          <w:rFonts w:ascii="Verdana" w:hAnsi="Verdana" w:cs="ArialMT"/>
        </w:rPr>
        <w:t xml:space="preserve">estar dando un trato diferente </w:t>
      </w:r>
      <w:r w:rsidR="004A53B2" w:rsidRPr="00A649DE">
        <w:rPr>
          <w:rFonts w:ascii="Verdana" w:hAnsi="Verdana" w:cs="ArialMT"/>
        </w:rPr>
        <w:t xml:space="preserve">vulnerando el principio de igualdad y el deber de selección objetiva que irradian los procesos de contratación que se adelanten por parte de las entidades. </w:t>
      </w:r>
    </w:p>
    <w:p w14:paraId="6920BD77" w14:textId="77777777" w:rsidR="004A53B2" w:rsidRPr="004A53B2" w:rsidRDefault="004A53B2" w:rsidP="004A53B2">
      <w:pPr>
        <w:pStyle w:val="Prrafodelista"/>
        <w:pBdr>
          <w:top w:val="nil"/>
          <w:left w:val="nil"/>
          <w:bottom w:val="nil"/>
          <w:right w:val="nil"/>
          <w:between w:val="nil"/>
        </w:pBdr>
        <w:autoSpaceDE w:val="0"/>
        <w:autoSpaceDN w:val="0"/>
        <w:adjustRightInd w:val="0"/>
        <w:spacing w:before="120" w:after="0" w:line="276" w:lineRule="auto"/>
        <w:jc w:val="both"/>
        <w:rPr>
          <w:rFonts w:ascii="Verdana" w:eastAsia="Calibri" w:hAnsi="Verdana" w:cs="Times New Roman"/>
        </w:rPr>
      </w:pPr>
    </w:p>
    <w:p w14:paraId="35C52D23" w14:textId="77777777" w:rsidR="00BD321E" w:rsidRPr="00B06915" w:rsidRDefault="00BD321E" w:rsidP="00BD321E">
      <w:pPr>
        <w:numPr>
          <w:ilvl w:val="0"/>
          <w:numId w:val="16"/>
        </w:numPr>
        <w:spacing w:after="0" w:line="254" w:lineRule="auto"/>
        <w:ind w:left="0" w:firstLine="0"/>
        <w:rPr>
          <w:rFonts w:ascii="Verdana" w:eastAsia="Calibri" w:hAnsi="Verdana" w:cs="Times New Roman"/>
          <w:b/>
          <w:bCs/>
          <w:lang w:val="es-ES"/>
        </w:rPr>
      </w:pPr>
      <w:r w:rsidRPr="00B06915">
        <w:rPr>
          <w:rFonts w:ascii="Verdana" w:eastAsia="Calibri" w:hAnsi="Verdana" w:cs="Times New Roman"/>
          <w:b/>
          <w:bCs/>
          <w:lang w:val="es-ES"/>
        </w:rPr>
        <w:t>Referencias normativas, jurisprudenciales y otras fuentes:</w:t>
      </w:r>
    </w:p>
    <w:p w14:paraId="686163C4" w14:textId="77777777" w:rsidR="00BD321E" w:rsidRPr="00B06915" w:rsidRDefault="00BD321E" w:rsidP="00BD321E">
      <w:pPr>
        <w:spacing w:after="0" w:line="254" w:lineRule="auto"/>
        <w:rPr>
          <w:rFonts w:ascii="Verdana" w:eastAsia="Calibri" w:hAnsi="Verdana" w:cs="Times New Roman"/>
          <w:bCs/>
          <w:lang w:val="es-ES_tradnl"/>
        </w:rPr>
      </w:pPr>
    </w:p>
    <w:p w14:paraId="7B3D3E0D" w14:textId="2804525D" w:rsidR="00BD321E" w:rsidRPr="00CF25ED" w:rsidRDefault="00BD321E" w:rsidP="00BD321E">
      <w:pPr>
        <w:numPr>
          <w:ilvl w:val="0"/>
          <w:numId w:val="17"/>
        </w:numPr>
        <w:spacing w:after="0" w:line="254" w:lineRule="auto"/>
        <w:rPr>
          <w:rFonts w:ascii="Verdana" w:eastAsia="Calibri" w:hAnsi="Verdana" w:cs="Times New Roman"/>
          <w:lang w:val="es-ES_tradnl"/>
        </w:rPr>
      </w:pPr>
      <w:r w:rsidRPr="00CF25ED">
        <w:rPr>
          <w:rFonts w:ascii="Verdana" w:eastAsia="Calibri" w:hAnsi="Verdana" w:cs="Times New Roman"/>
          <w:lang w:val="es-ES_tradnl"/>
        </w:rPr>
        <w:t xml:space="preserve">Ley 80 de 1993, articulo 3, </w:t>
      </w:r>
      <w:r w:rsidR="001E58C7" w:rsidRPr="00CF25ED">
        <w:rPr>
          <w:rFonts w:ascii="Verdana" w:eastAsia="Calibri" w:hAnsi="Verdana" w:cs="Times New Roman"/>
          <w:lang w:val="es-ES_tradnl"/>
        </w:rPr>
        <w:t>artículo 24, artículo 30, artículo 38</w:t>
      </w:r>
      <w:r w:rsidRPr="00CF25ED">
        <w:rPr>
          <w:rFonts w:ascii="Verdana" w:eastAsia="Calibri" w:hAnsi="Verdana" w:cs="Times New Roman"/>
          <w:lang w:val="es-ES_tradnl"/>
        </w:rPr>
        <w:t xml:space="preserve">. Disponible en: </w:t>
      </w:r>
    </w:p>
    <w:p w14:paraId="77826F7B" w14:textId="675973C5" w:rsidR="00BD321E" w:rsidRPr="00CF25ED" w:rsidRDefault="00CF25ED" w:rsidP="00CF25ED">
      <w:pPr>
        <w:spacing w:after="0" w:line="254" w:lineRule="auto"/>
        <w:ind w:firstLine="708"/>
        <w:rPr>
          <w:rFonts w:ascii="Verdana" w:eastAsia="Calibri" w:hAnsi="Verdana" w:cs="Times New Roman"/>
          <w:lang w:val="es-ES_tradnl"/>
        </w:rPr>
      </w:pPr>
      <w:hyperlink r:id="rId13" w:history="1">
        <w:r w:rsidRPr="00CF25ED">
          <w:rPr>
            <w:rStyle w:val="Hipervnculo"/>
            <w:rFonts w:ascii="Verdana" w:eastAsia="Calibri" w:hAnsi="Verdana" w:cs="Times New Roman"/>
            <w:lang w:val="es-ES_tradnl"/>
          </w:rPr>
          <w:t>https://relatoria.colombiacompra.gov.co/normativa/ley-80-de-1993/</w:t>
        </w:r>
      </w:hyperlink>
    </w:p>
    <w:p w14:paraId="11BA39AE" w14:textId="5843CA64" w:rsidR="00BD321E" w:rsidRPr="00CF25ED" w:rsidRDefault="00BD321E" w:rsidP="00BD321E">
      <w:pPr>
        <w:numPr>
          <w:ilvl w:val="0"/>
          <w:numId w:val="17"/>
        </w:numPr>
        <w:spacing w:after="0" w:line="254" w:lineRule="auto"/>
        <w:rPr>
          <w:rFonts w:ascii="Verdana" w:eastAsia="Calibri" w:hAnsi="Verdana" w:cs="Times New Roman"/>
          <w:lang w:val="es-ES_tradnl"/>
        </w:rPr>
      </w:pPr>
      <w:r w:rsidRPr="00CF25ED">
        <w:rPr>
          <w:rFonts w:ascii="Verdana" w:eastAsia="Calibri" w:hAnsi="Verdana" w:cs="Times New Roman"/>
          <w:lang w:val="es-ES_tradnl"/>
        </w:rPr>
        <w:t>Ley 1150 de 2007, artículo 2</w:t>
      </w:r>
      <w:r w:rsidR="00156E1C" w:rsidRPr="00CF25ED">
        <w:rPr>
          <w:rFonts w:ascii="Verdana" w:eastAsia="Calibri" w:hAnsi="Verdana" w:cs="Times New Roman"/>
          <w:lang w:val="es-ES_tradnl"/>
        </w:rPr>
        <w:t>, artículo 5</w:t>
      </w:r>
      <w:r w:rsidRPr="00CF25ED">
        <w:rPr>
          <w:rFonts w:ascii="Verdana" w:eastAsia="Calibri" w:hAnsi="Verdana" w:cs="Times New Roman"/>
          <w:lang w:val="es-ES_tradnl"/>
        </w:rPr>
        <w:t xml:space="preserve">. Disponible en: </w:t>
      </w:r>
      <w:hyperlink r:id="rId14" w:history="1">
        <w:r w:rsidRPr="00CF25ED">
          <w:rPr>
            <w:rFonts w:ascii="Verdana" w:eastAsia="Calibri" w:hAnsi="Verdana" w:cs="Times New Roman"/>
            <w:color w:val="0000FF"/>
            <w:u w:val="single"/>
            <w:lang w:val="es-ES_tradnl"/>
          </w:rPr>
          <w:t>https://relatoria.colombiacompra.gov.co/normativa/ley-1150-de-2007/</w:t>
        </w:r>
      </w:hyperlink>
    </w:p>
    <w:p w14:paraId="30439071" w14:textId="2B8DB1B7" w:rsidR="00BD321E" w:rsidRPr="00CF25ED" w:rsidRDefault="00156E1C" w:rsidP="003A19C0">
      <w:pPr>
        <w:numPr>
          <w:ilvl w:val="0"/>
          <w:numId w:val="17"/>
        </w:numPr>
        <w:spacing w:after="0" w:line="254" w:lineRule="auto"/>
        <w:rPr>
          <w:rFonts w:ascii="Verdana" w:eastAsia="Calibri" w:hAnsi="Verdana" w:cs="Times New Roman"/>
          <w:lang w:val="es-ES_tradnl"/>
        </w:rPr>
      </w:pPr>
      <w:r w:rsidRPr="00CF25ED">
        <w:rPr>
          <w:rFonts w:ascii="Verdana" w:hAnsi="Verdana" w:cs="Arial"/>
          <w:bCs/>
          <w:color w:val="000000" w:themeColor="text1"/>
        </w:rPr>
        <w:t>Ley 1474 de 2011 artículo 88</w:t>
      </w:r>
      <w:r w:rsidR="00FD6D97" w:rsidRPr="00CF25ED">
        <w:rPr>
          <w:rFonts w:ascii="Verdana" w:hAnsi="Verdana" w:cs="Arial"/>
          <w:bCs/>
          <w:color w:val="000000" w:themeColor="text1"/>
        </w:rPr>
        <w:t xml:space="preserve">. Disponible en: </w:t>
      </w:r>
      <w:hyperlink r:id="rId15" w:history="1">
        <w:r w:rsidR="009F51A3" w:rsidRPr="00CF25ED">
          <w:rPr>
            <w:rStyle w:val="Hipervnculo"/>
            <w:rFonts w:ascii="Verdana" w:hAnsi="Verdana" w:cs="Arial"/>
            <w:bCs/>
          </w:rPr>
          <w:t>https://relatoria.colombiacompra.gov.co/normativa/ley-1474-de-2011/</w:t>
        </w:r>
      </w:hyperlink>
    </w:p>
    <w:p w14:paraId="75E771F9" w14:textId="395563F2" w:rsidR="001E58C7" w:rsidRPr="00CF25ED" w:rsidRDefault="001E58C7" w:rsidP="003A19C0">
      <w:pPr>
        <w:numPr>
          <w:ilvl w:val="0"/>
          <w:numId w:val="17"/>
        </w:numPr>
        <w:spacing w:after="0" w:line="254" w:lineRule="auto"/>
        <w:rPr>
          <w:rFonts w:ascii="Verdana" w:eastAsia="Calibri" w:hAnsi="Verdana" w:cs="Times New Roman"/>
          <w:lang w:val="es-ES_tradnl"/>
        </w:rPr>
      </w:pPr>
      <w:r w:rsidRPr="00CF25ED">
        <w:rPr>
          <w:rFonts w:ascii="Verdana" w:hAnsi="Verdana" w:cs="Verdana"/>
        </w:rPr>
        <w:t xml:space="preserve">Ley 2195 de 2022, artículo 58. Disponible en: </w:t>
      </w:r>
      <w:hyperlink r:id="rId16" w:history="1">
        <w:r w:rsidRPr="00CF25ED">
          <w:rPr>
            <w:rStyle w:val="Hipervnculo"/>
            <w:rFonts w:ascii="Verdana" w:hAnsi="Verdana" w:cs="Verdana"/>
          </w:rPr>
          <w:t>https://relatoria.colombiacompra.gov.co/normativa/ley-2195-de-2022/</w:t>
        </w:r>
      </w:hyperlink>
    </w:p>
    <w:p w14:paraId="2B091CCA" w14:textId="50C42EE8" w:rsidR="00BD321E" w:rsidRPr="00CF25ED" w:rsidRDefault="00BD321E" w:rsidP="00BD321E">
      <w:pPr>
        <w:numPr>
          <w:ilvl w:val="0"/>
          <w:numId w:val="17"/>
        </w:numPr>
        <w:spacing w:after="0" w:line="254" w:lineRule="auto"/>
        <w:rPr>
          <w:rFonts w:ascii="Verdana" w:eastAsia="Calibri" w:hAnsi="Verdana" w:cs="Times New Roman"/>
          <w:lang w:val="es-ES_tradnl"/>
        </w:rPr>
      </w:pPr>
      <w:r w:rsidRPr="00CF25ED">
        <w:rPr>
          <w:rFonts w:ascii="Verdana" w:eastAsia="Calibri" w:hAnsi="Verdana" w:cs="Times New Roman"/>
          <w:lang w:val="es-ES"/>
        </w:rPr>
        <w:t xml:space="preserve">Decreto 1082 de 2015, </w:t>
      </w:r>
      <w:r w:rsidRPr="00CF25ED">
        <w:rPr>
          <w:rFonts w:ascii="Verdana" w:eastAsia="Arial" w:hAnsi="Verdana" w:cs="Arial"/>
          <w:color w:val="000000"/>
        </w:rPr>
        <w:t xml:space="preserve">artículo </w:t>
      </w:r>
      <w:r w:rsidR="00156E1C" w:rsidRPr="00CF25ED">
        <w:rPr>
          <w:rFonts w:ascii="Verdana" w:hAnsi="Verdana" w:cs="Verdana"/>
        </w:rPr>
        <w:t xml:space="preserve">2.2.1.1.2.2.2 </w:t>
      </w:r>
      <w:r w:rsidRPr="00CF25ED">
        <w:rPr>
          <w:rFonts w:ascii="Verdana" w:eastAsia="Calibri" w:hAnsi="Verdana" w:cs="Times New Roman"/>
          <w:lang w:val="es-ES"/>
        </w:rPr>
        <w:t xml:space="preserve">Disponible en: </w:t>
      </w:r>
      <w:hyperlink r:id="rId17" w:history="1">
        <w:r w:rsidRPr="00CF25ED">
          <w:rPr>
            <w:rFonts w:ascii="Verdana" w:eastAsia="Calibri" w:hAnsi="Verdana" w:cs="Times New Roman"/>
            <w:color w:val="0000FF"/>
            <w:u w:val="single"/>
            <w:lang w:val="es-ES"/>
          </w:rPr>
          <w:t>https://relatoria.colombiacompra.gov.co/normativa/decreto-1082-de-2015/</w:t>
        </w:r>
      </w:hyperlink>
    </w:p>
    <w:p w14:paraId="11485180" w14:textId="6C5C1FD4" w:rsidR="001E58C7" w:rsidRPr="00CF25ED" w:rsidRDefault="001E58C7" w:rsidP="00BD321E">
      <w:pPr>
        <w:numPr>
          <w:ilvl w:val="0"/>
          <w:numId w:val="17"/>
        </w:numPr>
        <w:spacing w:after="0" w:line="254" w:lineRule="auto"/>
        <w:rPr>
          <w:rStyle w:val="Hipervnculo"/>
          <w:rFonts w:ascii="Verdana" w:eastAsia="Calibri" w:hAnsi="Verdana" w:cs="Times New Roman"/>
          <w:color w:val="auto"/>
          <w:u w:val="none"/>
          <w:lang w:val="es-ES_tradnl"/>
        </w:rPr>
      </w:pPr>
      <w:r w:rsidRPr="00CF25ED">
        <w:rPr>
          <w:rFonts w:ascii="Verdana" w:eastAsia="Calibri" w:hAnsi="Verdana" w:cs="Times New Roman"/>
          <w:lang w:val="es-ES_tradnl"/>
        </w:rPr>
        <w:t xml:space="preserve">Corte Constitucional de Colombia, C-154 de 2023. Magistrado José Fernando Reyes Cuartas, Disponible en: </w:t>
      </w:r>
      <w:hyperlink r:id="rId18" w:history="1">
        <w:r w:rsidRPr="00CF25ED">
          <w:rPr>
            <w:rStyle w:val="Hipervnculo"/>
            <w:rFonts w:ascii="Verdana" w:hAnsi="Verdana"/>
            <w:shd w:val="clear" w:color="auto" w:fill="FFFFFF"/>
            <w:lang w:val="es-ES"/>
          </w:rPr>
          <w:t>https://www.corteconstitucional.gov.co/relatoria/2023/C-154-23.htm</w:t>
        </w:r>
      </w:hyperlink>
    </w:p>
    <w:p w14:paraId="35F5551F" w14:textId="77777777" w:rsidR="00CF25ED" w:rsidRPr="001E58C7" w:rsidRDefault="00CF25ED" w:rsidP="00CF25ED">
      <w:pPr>
        <w:spacing w:after="0" w:line="254" w:lineRule="auto"/>
        <w:ind w:left="720"/>
        <w:rPr>
          <w:rFonts w:ascii="Verdana" w:eastAsia="Calibri" w:hAnsi="Verdana" w:cs="Times New Roman"/>
          <w:lang w:val="es-ES_tradnl"/>
        </w:rPr>
      </w:pPr>
    </w:p>
    <w:p w14:paraId="43C2EE34" w14:textId="77777777" w:rsidR="00BD321E" w:rsidRPr="00B06915" w:rsidRDefault="00BD321E" w:rsidP="00BD321E">
      <w:pPr>
        <w:numPr>
          <w:ilvl w:val="0"/>
          <w:numId w:val="16"/>
        </w:numPr>
        <w:spacing w:after="0" w:line="254" w:lineRule="auto"/>
        <w:ind w:left="0" w:firstLine="0"/>
        <w:rPr>
          <w:rFonts w:ascii="Verdana" w:eastAsia="Calibri" w:hAnsi="Verdana" w:cs="Times New Roman"/>
          <w:b/>
          <w:bCs/>
          <w:lang w:val="es-ES"/>
        </w:rPr>
      </w:pPr>
      <w:r w:rsidRPr="00B06915">
        <w:rPr>
          <w:rFonts w:ascii="Verdana" w:eastAsia="Calibri" w:hAnsi="Verdana" w:cs="Times New Roman"/>
          <w:b/>
          <w:bCs/>
          <w:lang w:val="es-ES"/>
        </w:rPr>
        <w:t>Doctrina de la Agencia Nacional de Contratación Pública:</w:t>
      </w:r>
    </w:p>
    <w:p w14:paraId="28392299" w14:textId="77777777" w:rsidR="00BD321E" w:rsidRPr="00B06915" w:rsidRDefault="00BD321E" w:rsidP="00BD321E">
      <w:pPr>
        <w:spacing w:after="0" w:line="254" w:lineRule="auto"/>
        <w:rPr>
          <w:rFonts w:ascii="Verdana" w:eastAsia="Calibri" w:hAnsi="Verdana" w:cs="Times New Roman"/>
          <w:lang w:val="es-ES"/>
        </w:rPr>
      </w:pPr>
    </w:p>
    <w:p w14:paraId="20A27F77" w14:textId="586E5C88" w:rsidR="004F7D28" w:rsidRDefault="00BD321E" w:rsidP="004F7D28">
      <w:pPr>
        <w:widowControl w:val="0"/>
        <w:autoSpaceDE w:val="0"/>
        <w:autoSpaceDN w:val="0"/>
        <w:spacing w:after="0" w:line="276" w:lineRule="auto"/>
        <w:jc w:val="both"/>
        <w:rPr>
          <w:rFonts w:ascii="Verdana" w:eastAsia="Calibri" w:hAnsi="Verdana" w:cs="Arial"/>
          <w:shd w:val="clear" w:color="auto" w:fill="FFFFFF"/>
        </w:rPr>
      </w:pPr>
      <w:r w:rsidRPr="00B06915">
        <w:rPr>
          <w:rFonts w:ascii="Verdana" w:eastAsia="Calibri" w:hAnsi="Verdana" w:cs="Arial"/>
          <w:shd w:val="clear" w:color="auto" w:fill="FFFFFF"/>
        </w:rPr>
        <w:t xml:space="preserve">Agencia Nacional de Contratación Pública – Colombia Compra Eficiente analizó </w:t>
      </w:r>
      <w:r w:rsidRPr="00B06915">
        <w:rPr>
          <w:rFonts w:ascii="Verdana" w:eastAsia="Calibri" w:hAnsi="Verdana" w:cs="Arial"/>
          <w:shd w:val="clear" w:color="auto" w:fill="FFFFFF"/>
        </w:rPr>
        <w:lastRenderedPageBreak/>
        <w:t xml:space="preserve">lo referente </w:t>
      </w:r>
      <w:r w:rsidR="004F7D28">
        <w:rPr>
          <w:rFonts w:ascii="Verdana" w:eastAsia="Calibri" w:hAnsi="Verdana" w:cs="Arial"/>
          <w:shd w:val="clear" w:color="auto" w:fill="FFFFFF"/>
        </w:rPr>
        <w:t xml:space="preserve">los requisitos habilitantes y ponderables </w:t>
      </w:r>
      <w:r w:rsidR="004F7D28" w:rsidRPr="00542ED3">
        <w:rPr>
          <w:rFonts w:ascii="Verdana" w:eastAsia="Aptos" w:hAnsi="Verdana" w:cs="Arial"/>
          <w:shd w:val="clear" w:color="auto" w:fill="FFFFFF"/>
          <w:lang w:val="es-ES"/>
        </w:rPr>
        <w:t xml:space="preserve">en los procesos de contratación pública, en los Conceptos </w:t>
      </w:r>
      <w:r w:rsidR="004F7D28" w:rsidRPr="00542ED3">
        <w:rPr>
          <w:rFonts w:ascii="Verdana" w:eastAsia="Calibri" w:hAnsi="Verdana" w:cs="Arial"/>
          <w:lang w:val="es-ES_tradnl" w:eastAsia="es-MX"/>
        </w:rPr>
        <w:t xml:space="preserve">C-120 del 3 de marzo de 2020, C-204 del 31 de marzo de 2020, C-099 del 6 de abril de 2020, C-195 del 13 de abril de 2020, C-013 del 17 de abril de 2020, C-330 del 27 de mayo de 2020, C-396 de 16 de julio de 2020, C-142 del 30 de marzo de 2022, C-337 del 18 de agosto de 2023, </w:t>
      </w:r>
      <w:r w:rsidR="004F7D28" w:rsidRPr="00542ED3">
        <w:rPr>
          <w:rFonts w:ascii="Verdana" w:eastAsia="Aptos" w:hAnsi="Verdana" w:cs="Arial"/>
          <w:shd w:val="clear" w:color="auto" w:fill="FFFFFF"/>
          <w:lang w:val="es-ES"/>
        </w:rPr>
        <w:t>C-246 del 16 de julio de 2024, C-277 del 16 de julio de 2024, C-193 del 19 de julio de 2024, C-178 del 29 de julio de 2024, C-204 del 29 de julio de 2024, C-278 del 31 de julio de 2024, C-201 del 02 de agosto de 2024, C-349 del 15 de agosto de 2024, C-291 del 20 de agosto de 2024</w:t>
      </w:r>
      <w:r w:rsidR="00D942C8">
        <w:rPr>
          <w:rFonts w:ascii="Verdana" w:eastAsia="Calibri" w:hAnsi="Verdana" w:cs="Arial"/>
          <w:lang w:val="es-ES" w:eastAsia="es-ES"/>
        </w:rPr>
        <w:t>,</w:t>
      </w:r>
      <w:r w:rsidR="004F7D28" w:rsidRPr="00542ED3">
        <w:rPr>
          <w:rFonts w:ascii="Verdana" w:eastAsia="Calibri" w:hAnsi="Verdana" w:cs="Arial"/>
          <w:lang w:val="es-ES" w:eastAsia="es-ES"/>
        </w:rPr>
        <w:t xml:space="preserve"> C-370 del 03 de septiembre de 2024</w:t>
      </w:r>
      <w:r w:rsidR="00D942C8">
        <w:rPr>
          <w:rFonts w:ascii="Verdana" w:eastAsia="Calibri" w:hAnsi="Verdana" w:cs="Arial"/>
          <w:lang w:val="es-ES" w:eastAsia="es-ES"/>
        </w:rPr>
        <w:t xml:space="preserve"> y C-457 del 24 de septiembre de 2024</w:t>
      </w:r>
      <w:r w:rsidR="004F7D28" w:rsidRPr="00542ED3">
        <w:rPr>
          <w:rFonts w:ascii="Verdana" w:eastAsia="Calibri" w:hAnsi="Verdana" w:cs="Arial"/>
          <w:lang w:val="es-ES" w:eastAsia="es-ES"/>
        </w:rPr>
        <w:t>.</w:t>
      </w:r>
      <w:r w:rsidR="00D942C8">
        <w:rPr>
          <w:rFonts w:ascii="Verdana" w:eastAsia="Calibri" w:hAnsi="Verdana" w:cs="Arial"/>
          <w:lang w:val="es-ES" w:eastAsia="es-ES"/>
        </w:rPr>
        <w:t xml:space="preserve"> </w:t>
      </w:r>
      <w:r w:rsidR="004F7D28" w:rsidRPr="00542ED3">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9" w:tgtFrame="_blank" w:tooltip="Dirección URL original: https://relatoria.colombiacompra.gov.co/. Haga clic o pulse si confía en este vínculo." w:history="1">
        <w:r w:rsidR="004F7D28" w:rsidRPr="00542ED3">
          <w:rPr>
            <w:rStyle w:val="Hipervnculo"/>
            <w:rFonts w:ascii="Verdana" w:hAnsi="Verdana" w:cs="Arial"/>
            <w:shd w:val="clear" w:color="auto" w:fill="FFFFFF"/>
          </w:rPr>
          <w:t>https://relatoria.colombiacompra.gov.co/</w:t>
        </w:r>
      </w:hyperlink>
      <w:r w:rsidR="004F7D28" w:rsidRPr="00542ED3">
        <w:rPr>
          <w:rFonts w:ascii="Verdana" w:hAnsi="Verdana" w:cs="Arial"/>
          <w:color w:val="000000" w:themeColor="text1"/>
          <w:shd w:val="clear" w:color="auto" w:fill="FFFFFF"/>
        </w:rPr>
        <w:t> .</w:t>
      </w:r>
    </w:p>
    <w:p w14:paraId="5AAD6F0B" w14:textId="77777777" w:rsidR="004F7D28" w:rsidRDefault="004F7D28" w:rsidP="004F7D28">
      <w:pPr>
        <w:widowControl w:val="0"/>
        <w:autoSpaceDE w:val="0"/>
        <w:autoSpaceDN w:val="0"/>
        <w:spacing w:after="0" w:line="276" w:lineRule="auto"/>
        <w:jc w:val="both"/>
        <w:rPr>
          <w:rFonts w:ascii="Verdana" w:eastAsia="Calibri" w:hAnsi="Verdana" w:cs="Times New Roman"/>
        </w:rPr>
      </w:pPr>
    </w:p>
    <w:p w14:paraId="3A80D10E" w14:textId="7DA63259" w:rsidR="00BD321E" w:rsidRDefault="00BD321E" w:rsidP="00D942C8">
      <w:pPr>
        <w:widowControl w:val="0"/>
        <w:autoSpaceDE w:val="0"/>
        <w:autoSpaceDN w:val="0"/>
        <w:spacing w:after="0" w:line="276" w:lineRule="auto"/>
        <w:jc w:val="both"/>
        <w:rPr>
          <w:rFonts w:ascii="Verdana" w:hAnsi="Verdana" w:cs="Calibri"/>
          <w:color w:val="000000"/>
          <w:bdr w:val="none" w:sz="0" w:space="0" w:color="auto" w:frame="1"/>
        </w:rPr>
      </w:pPr>
      <w:r w:rsidRPr="00B06915">
        <w:rPr>
          <w:rFonts w:ascii="Verdana" w:hAnsi="Verdana" w:cs="Calibri"/>
          <w:color w:val="000000"/>
          <w:bdr w:val="none" w:sz="0" w:space="0" w:color="auto" w:frame="1"/>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20" w:tgtFrame="_blank" w:tooltip="Dirección URL original: https://www.colombiacompra.gov.co/content/borrador-de-documentos-tipo-de-consultoria-de-obra-publica-de-infraestructura-de-transporte. Haga clic o pulse si confía en este vínculo." w:history="1">
        <w:r w:rsidRPr="00B06915">
          <w:rPr>
            <w:rStyle w:val="Hipervnculo"/>
            <w:rFonts w:ascii="Verdana" w:hAnsi="Verdana" w:cs="Calibri"/>
            <w:color w:val="467886"/>
            <w:bdr w:val="none" w:sz="0" w:space="0" w:color="auto" w:frame="1"/>
          </w:rPr>
          <w:t>https://www.colombiacompra.gov.co/content/borrador-de-documentos-tipo-de-consultoria-de-obra-publica-de-infraestructura-de-transporte</w:t>
        </w:r>
      </w:hyperlink>
      <w:r w:rsidRPr="00B06915">
        <w:rPr>
          <w:rFonts w:ascii="Verdana" w:hAnsi="Verdana" w:cs="Calibri"/>
          <w:color w:val="000000"/>
          <w:bdr w:val="none" w:sz="0" w:space="0" w:color="auto" w:frame="1"/>
        </w:rPr>
        <w:t> y </w:t>
      </w:r>
      <w:hyperlink r:id="rId21" w:tgtFrame="_blank" w:tooltip="Dirección URL original: https://www.colombiacompra.gov.co/content/borrador-de-documentos-tipo-de-interventoria-de-obra-publica-de-infraestructura-de. Haga clic o pulse si confía en este vínculo." w:history="1">
        <w:r w:rsidRPr="00B06915">
          <w:rPr>
            <w:rStyle w:val="Hipervnculo"/>
            <w:rFonts w:ascii="Verdana" w:hAnsi="Verdana" w:cs="Calibri"/>
            <w:color w:val="467886"/>
            <w:bdr w:val="none" w:sz="0" w:space="0" w:color="auto" w:frame="1"/>
          </w:rPr>
          <w:t>https://www.colombiacompra.gov.co/content/borrador-de-documentos-tipo-de-interventoria-de-obra-publica-de-infraestructura-de</w:t>
        </w:r>
      </w:hyperlink>
      <w:r w:rsidRPr="00B06915">
        <w:rPr>
          <w:rFonts w:ascii="Verdana" w:hAnsi="Verdana" w:cs="Calibri"/>
          <w:color w:val="000000"/>
          <w:bdr w:val="none" w:sz="0" w:space="0" w:color="auto" w:frame="1"/>
        </w:rPr>
        <w:t>.</w:t>
      </w:r>
    </w:p>
    <w:p w14:paraId="2AA3ABD0" w14:textId="77777777" w:rsidR="00FA578A" w:rsidRPr="00B06915" w:rsidRDefault="00FA578A" w:rsidP="00D942C8">
      <w:pPr>
        <w:widowControl w:val="0"/>
        <w:autoSpaceDE w:val="0"/>
        <w:autoSpaceDN w:val="0"/>
        <w:spacing w:after="0" w:line="276" w:lineRule="auto"/>
        <w:jc w:val="both"/>
        <w:rPr>
          <w:rFonts w:ascii="Verdana" w:hAnsi="Verdana" w:cs="Calibri"/>
          <w:color w:val="242424"/>
        </w:rPr>
      </w:pPr>
    </w:p>
    <w:p w14:paraId="464995D6" w14:textId="77777777" w:rsidR="00D942C8" w:rsidRDefault="00BD321E" w:rsidP="00BD321E">
      <w:pPr>
        <w:shd w:val="clear" w:color="auto" w:fill="FFFFFF"/>
        <w:jc w:val="both"/>
        <w:textAlignment w:val="baseline"/>
        <w:rPr>
          <w:rFonts w:ascii="Verdana" w:hAnsi="Verdana" w:cs="Calibri"/>
          <w:color w:val="000000"/>
          <w:bdr w:val="none" w:sz="0" w:space="0" w:color="auto" w:frame="1"/>
        </w:rPr>
      </w:pPr>
      <w:r w:rsidRPr="00B06915">
        <w:rPr>
          <w:rFonts w:ascii="Verdana" w:hAnsi="Verdana" w:cs="Calibri"/>
          <w:color w:val="000000"/>
          <w:bdr w:val="none" w:sz="0" w:space="0" w:color="auto" w:frame="1"/>
        </w:rPr>
        <w:t>De otra parte, te contamos que ya publicamos el borrador de la nueva Guía de Contratación Pública Sostenible y Socialmente Responsable. Conoce el documento y realiza tus comentarios hasta el 14 de noviembre de 2024 a través del</w:t>
      </w:r>
      <w:r w:rsidR="00D942C8">
        <w:rPr>
          <w:rFonts w:ascii="Verdana" w:hAnsi="Verdana" w:cs="Calibri"/>
          <w:color w:val="000000"/>
          <w:bdr w:val="none" w:sz="0" w:space="0" w:color="auto" w:frame="1"/>
        </w:rPr>
        <w:t xml:space="preserve"> </w:t>
      </w:r>
      <w:r w:rsidRPr="00B06915">
        <w:rPr>
          <w:rFonts w:ascii="Verdana" w:hAnsi="Verdana" w:cs="Calibri"/>
          <w:color w:val="000000"/>
          <w:bdr w:val="none" w:sz="0" w:space="0" w:color="auto" w:frame="1"/>
        </w:rPr>
        <w:t>siguiente enlace:</w:t>
      </w:r>
    </w:p>
    <w:p w14:paraId="7AE0D116" w14:textId="100618DF" w:rsidR="00BD321E" w:rsidRPr="00B06915" w:rsidRDefault="00BD321E" w:rsidP="00BD321E">
      <w:pPr>
        <w:shd w:val="clear" w:color="auto" w:fill="FFFFFF"/>
        <w:jc w:val="both"/>
        <w:textAlignment w:val="baseline"/>
        <w:rPr>
          <w:rFonts w:ascii="Verdana" w:hAnsi="Verdana" w:cs="Calibri"/>
          <w:color w:val="242424"/>
        </w:rPr>
      </w:pPr>
      <w:hyperlink r:id="rId22" w:tgtFrame="_blank" w:tooltip="Dirección URL original: https://www.sucop.gov.co/entidades/colombiacompra/Normativa?IDNorma=18320. Haga clic o pulse si confía en este vínculo." w:history="1">
        <w:r w:rsidRPr="00B06915">
          <w:rPr>
            <w:rStyle w:val="Hipervnculo"/>
            <w:rFonts w:ascii="Verdana" w:hAnsi="Verdana" w:cs="Calibri"/>
            <w:color w:val="467886"/>
            <w:bdr w:val="none" w:sz="0" w:space="0" w:color="auto" w:frame="1"/>
          </w:rPr>
          <w:t>https://www.sucop.gov.co/entidades/colombiacompra/Normativa?IDNorma=18320</w:t>
        </w:r>
      </w:hyperlink>
      <w:r w:rsidRPr="00B06915">
        <w:rPr>
          <w:rFonts w:ascii="Verdana" w:hAnsi="Verdana" w:cs="Calibri"/>
          <w:color w:val="000000"/>
          <w:bdr w:val="none" w:sz="0" w:space="0" w:color="auto" w:frame="1"/>
        </w:rPr>
        <w:t>  </w:t>
      </w:r>
    </w:p>
    <w:p w14:paraId="1DC23261" w14:textId="77777777" w:rsidR="00BD321E" w:rsidRPr="00B06915" w:rsidRDefault="00BD321E" w:rsidP="00BD321E">
      <w:pPr>
        <w:shd w:val="clear" w:color="auto" w:fill="FFFFFF"/>
        <w:jc w:val="both"/>
        <w:textAlignment w:val="baseline"/>
        <w:rPr>
          <w:rFonts w:ascii="Verdana" w:hAnsi="Verdana" w:cs="Calibri"/>
          <w:color w:val="242424"/>
        </w:rPr>
      </w:pPr>
      <w:r w:rsidRPr="00B06915">
        <w:rPr>
          <w:rFonts w:ascii="Verdana" w:hAnsi="Verdana" w:cs="Calibri"/>
          <w:color w:val="000000"/>
          <w:bdr w:val="none" w:sz="0" w:space="0" w:color="auto" w:frame="1"/>
        </w:rPr>
        <w:t>También le invitamos a consultar las versiones V y VI de 2024 del Boletín de Relatoría de la Subdirección de Gestión Contractual relacionados con las guías de Plan Anual de Adquisiciones y la odalidad de selección de mínima cuantía , los cuales se pueden descargar en la página web de la Agencia: </w:t>
      </w:r>
      <w:hyperlink r:id="rId23" w:tgtFrame="_blank" w:tooltip="Dirección URL original: https://www.colombiacompra.gov.co/sala-de-prensa/boletin-digital. Haga clic o pulse si confía en este vínculo." w:history="1">
        <w:r w:rsidRPr="00B06915">
          <w:rPr>
            <w:rStyle w:val="Hipervnculo"/>
            <w:rFonts w:ascii="Verdana" w:hAnsi="Verdana" w:cs="Calibri"/>
            <w:color w:val="467886"/>
            <w:bdr w:val="none" w:sz="0" w:space="0" w:color="auto" w:frame="1"/>
          </w:rPr>
          <w:t>https://www.colombiacompra.gov.co/sala-de-prensa/boletin-digital</w:t>
        </w:r>
      </w:hyperlink>
      <w:r w:rsidRPr="00B06915">
        <w:rPr>
          <w:rFonts w:ascii="Verdana" w:hAnsi="Verdana" w:cs="Calibri"/>
          <w:color w:val="000000"/>
          <w:bdr w:val="none" w:sz="0" w:space="0" w:color="auto" w:frame="1"/>
        </w:rPr>
        <w:t> </w:t>
      </w:r>
    </w:p>
    <w:p w14:paraId="5FCD00AB" w14:textId="77777777" w:rsidR="00BD321E" w:rsidRPr="00B06915" w:rsidRDefault="00BD321E" w:rsidP="00BD321E">
      <w:pPr>
        <w:spacing w:after="0" w:line="254" w:lineRule="auto"/>
        <w:rPr>
          <w:rFonts w:ascii="Verdana" w:eastAsia="Calibri" w:hAnsi="Verdana" w:cs="Times New Roman"/>
        </w:rPr>
      </w:pPr>
      <w:r w:rsidRPr="00B06915">
        <w:rPr>
          <w:rFonts w:ascii="Verdana" w:eastAsia="Calibri" w:hAnsi="Verdana" w:cs="Times New Roman"/>
        </w:rPr>
        <w:lastRenderedPageBreak/>
        <w:t xml:space="preserve">Por último, lo invitamos a seguirnos en las redes sociales en las cuales se difunde información institucional: </w:t>
      </w:r>
    </w:p>
    <w:p w14:paraId="569F9CCD" w14:textId="77777777" w:rsidR="00BD321E" w:rsidRPr="00B06915" w:rsidRDefault="00BD321E" w:rsidP="00BD321E">
      <w:pPr>
        <w:spacing w:after="0" w:line="254" w:lineRule="auto"/>
        <w:rPr>
          <w:rFonts w:ascii="Verdana" w:eastAsia="Calibri" w:hAnsi="Verdana" w:cs="Times New Roman"/>
        </w:rPr>
      </w:pPr>
    </w:p>
    <w:p w14:paraId="444F47E7" w14:textId="77777777" w:rsidR="00BD321E" w:rsidRPr="00B06915" w:rsidRDefault="00BD321E" w:rsidP="00BD321E">
      <w:pPr>
        <w:spacing w:after="0" w:line="254" w:lineRule="auto"/>
        <w:rPr>
          <w:rFonts w:ascii="Verdana" w:eastAsia="Calibri" w:hAnsi="Verdana" w:cs="Times New Roman"/>
        </w:rPr>
      </w:pPr>
      <w:r w:rsidRPr="00B06915">
        <w:rPr>
          <w:rFonts w:ascii="Verdana" w:eastAsia="Calibri" w:hAnsi="Verdana" w:cs="Times New Roman"/>
        </w:rPr>
        <w:t xml:space="preserve">Twitter: </w:t>
      </w:r>
      <w:r w:rsidRPr="00B06915">
        <w:rPr>
          <w:rFonts w:ascii="Verdana" w:eastAsia="Calibri" w:hAnsi="Verdana" w:cs="Times New Roman"/>
          <w:u w:val="single"/>
        </w:rPr>
        <w:t>@colombiacompra</w:t>
      </w:r>
      <w:r w:rsidRPr="00B06915">
        <w:rPr>
          <w:rFonts w:ascii="Verdana" w:eastAsia="Calibri" w:hAnsi="Verdana" w:cs="Times New Roman"/>
        </w:rPr>
        <w:t xml:space="preserve"> </w:t>
      </w:r>
    </w:p>
    <w:p w14:paraId="3086442F" w14:textId="77777777" w:rsidR="00BD321E" w:rsidRPr="00B06915" w:rsidRDefault="00BD321E" w:rsidP="00BD321E">
      <w:pPr>
        <w:spacing w:after="0" w:line="254" w:lineRule="auto"/>
        <w:rPr>
          <w:rFonts w:ascii="Verdana" w:eastAsia="Calibri" w:hAnsi="Verdana" w:cs="Times New Roman"/>
        </w:rPr>
      </w:pPr>
      <w:r w:rsidRPr="00B06915">
        <w:rPr>
          <w:rFonts w:ascii="Verdana" w:eastAsia="Calibri" w:hAnsi="Verdana" w:cs="Times New Roman"/>
        </w:rPr>
        <w:t xml:space="preserve">Facebook: </w:t>
      </w:r>
      <w:r w:rsidRPr="00B06915">
        <w:rPr>
          <w:rFonts w:ascii="Verdana" w:eastAsia="Calibri" w:hAnsi="Verdana" w:cs="Times New Roman"/>
          <w:u w:val="single"/>
        </w:rPr>
        <w:t>ColombiaCompraEficiente</w:t>
      </w:r>
    </w:p>
    <w:p w14:paraId="29F27BB1" w14:textId="77777777" w:rsidR="00BD321E" w:rsidRPr="00B06915" w:rsidRDefault="00BD321E" w:rsidP="00BD321E">
      <w:pPr>
        <w:spacing w:after="0" w:line="254" w:lineRule="auto"/>
        <w:rPr>
          <w:rFonts w:ascii="Verdana" w:eastAsia="Calibri" w:hAnsi="Verdana" w:cs="Times New Roman"/>
          <w:u w:val="single"/>
        </w:rPr>
      </w:pPr>
      <w:r w:rsidRPr="00B06915">
        <w:rPr>
          <w:rFonts w:ascii="Verdana" w:eastAsia="Calibri" w:hAnsi="Verdana" w:cs="Times New Roman"/>
        </w:rPr>
        <w:t xml:space="preserve">LinkedIn: </w:t>
      </w:r>
      <w:r w:rsidRPr="00B06915">
        <w:rPr>
          <w:rFonts w:ascii="Verdana" w:eastAsia="Calibri" w:hAnsi="Verdana" w:cs="Times New Roman"/>
          <w:u w:val="single"/>
        </w:rPr>
        <w:t>Agencia Nacional de Contratación Pública - Colombia Compra Eficiente</w:t>
      </w:r>
      <w:r w:rsidRPr="00B06915">
        <w:rPr>
          <w:rFonts w:ascii="Verdana" w:eastAsia="Calibri" w:hAnsi="Verdana" w:cs="Times New Roman"/>
        </w:rPr>
        <w:t xml:space="preserve"> Instagram: </w:t>
      </w:r>
      <w:r w:rsidRPr="00B06915">
        <w:rPr>
          <w:rFonts w:ascii="Verdana" w:eastAsia="Calibri" w:hAnsi="Verdana" w:cs="Times New Roman"/>
          <w:u w:val="single"/>
        </w:rPr>
        <w:t>@colombiacompraeficiente_cce</w:t>
      </w:r>
    </w:p>
    <w:p w14:paraId="56800D1E" w14:textId="77777777" w:rsidR="00BD321E" w:rsidRPr="00B06915" w:rsidRDefault="00BD321E" w:rsidP="00BD321E">
      <w:pPr>
        <w:spacing w:after="0" w:line="254" w:lineRule="auto"/>
        <w:rPr>
          <w:rFonts w:ascii="Verdana" w:eastAsia="Calibri" w:hAnsi="Verdana" w:cs="Times New Roman"/>
          <w:u w:val="single"/>
        </w:rPr>
      </w:pPr>
    </w:p>
    <w:p w14:paraId="29FCD918" w14:textId="77777777" w:rsidR="00BD321E" w:rsidRPr="00B06915" w:rsidRDefault="00BD321E" w:rsidP="00BD321E">
      <w:pPr>
        <w:spacing w:after="0" w:line="254" w:lineRule="auto"/>
        <w:jc w:val="both"/>
        <w:rPr>
          <w:rFonts w:ascii="Verdana" w:eastAsia="Calibri" w:hAnsi="Verdana" w:cs="Times New Roman"/>
          <w:bCs/>
          <w:lang w:val="es-ES_tradnl"/>
        </w:rPr>
      </w:pPr>
      <w:r w:rsidRPr="00B06915">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42131D4" w14:textId="77777777" w:rsidR="00BD321E" w:rsidRPr="00B06915" w:rsidRDefault="00BD321E" w:rsidP="00BD321E">
      <w:pPr>
        <w:spacing w:after="0" w:line="254" w:lineRule="auto"/>
        <w:jc w:val="both"/>
        <w:rPr>
          <w:rFonts w:ascii="Verdana" w:eastAsia="Calibri" w:hAnsi="Verdana" w:cs="Times New Roman"/>
        </w:rPr>
      </w:pPr>
    </w:p>
    <w:p w14:paraId="68817020" w14:textId="77777777" w:rsidR="00BD321E" w:rsidRPr="00B06915" w:rsidRDefault="00BD321E" w:rsidP="00BD321E">
      <w:pPr>
        <w:spacing w:after="0" w:line="254" w:lineRule="auto"/>
        <w:jc w:val="both"/>
        <w:rPr>
          <w:rFonts w:ascii="Verdana" w:eastAsia="Calibri" w:hAnsi="Verdana" w:cs="Times New Roman"/>
        </w:rPr>
      </w:pPr>
      <w:r w:rsidRPr="00B06915">
        <w:rPr>
          <w:rFonts w:ascii="Verdana" w:eastAsia="Calibri" w:hAnsi="Verdana" w:cs="Times New Roman"/>
        </w:rPr>
        <w:t>Atentamente,</w:t>
      </w:r>
    </w:p>
    <w:p w14:paraId="48B75ADC" w14:textId="017188EF" w:rsidR="00BD321E" w:rsidRPr="00B06915" w:rsidRDefault="00D41CA1" w:rsidP="00BD321E">
      <w:pPr>
        <w:spacing w:after="0" w:line="254" w:lineRule="auto"/>
        <w:jc w:val="center"/>
        <w:rPr>
          <w:rFonts w:ascii="Verdana" w:eastAsia="Calibri" w:hAnsi="Verdana" w:cs="Times New Roman"/>
          <w:lang w:val="es-ES"/>
        </w:rPr>
      </w:pPr>
      <w:r w:rsidRPr="002C3AD6">
        <w:rPr>
          <w:rFonts w:ascii="Century Gothic" w:hAnsi="Century Gothic"/>
          <w:noProof/>
        </w:rPr>
        <w:drawing>
          <wp:inline distT="0" distB="0" distL="0" distR="0" wp14:anchorId="7B9EE301" wp14:editId="1977A7A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4"/>
                    <a:stretch>
                      <a:fillRect/>
                    </a:stretch>
                  </pic:blipFill>
                  <pic:spPr>
                    <a:xfrm>
                      <a:off x="0" y="0"/>
                      <a:ext cx="3772426" cy="1400370"/>
                    </a:xfrm>
                    <a:prstGeom prst="rect">
                      <a:avLst/>
                    </a:prstGeom>
                  </pic:spPr>
                </pic:pic>
              </a:graphicData>
            </a:graphic>
          </wp:inline>
        </w:drawing>
      </w:r>
    </w:p>
    <w:p w14:paraId="3D257E97" w14:textId="77777777" w:rsidR="00BD321E" w:rsidRPr="00B06915" w:rsidRDefault="00BD321E" w:rsidP="00BD321E">
      <w:pPr>
        <w:spacing w:after="0" w:line="254" w:lineRule="auto"/>
        <w:jc w:val="center"/>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D321E" w:rsidRPr="00B06915" w14:paraId="7C7E4982" w14:textId="77777777" w:rsidTr="00476E63">
        <w:trPr>
          <w:trHeight w:val="409"/>
        </w:trPr>
        <w:tc>
          <w:tcPr>
            <w:tcW w:w="817" w:type="dxa"/>
            <w:tcBorders>
              <w:top w:val="nil"/>
              <w:left w:val="nil"/>
              <w:bottom w:val="nil"/>
              <w:right w:val="nil"/>
            </w:tcBorders>
            <w:vAlign w:val="center"/>
            <w:hideMark/>
          </w:tcPr>
          <w:p w14:paraId="62764A6F"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6F126D85"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Gustavo Hinestroza Martínez</w:t>
            </w:r>
          </w:p>
          <w:p w14:paraId="3100886B"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Contratista de la Subdirección de Gestión Contractual</w:t>
            </w:r>
          </w:p>
        </w:tc>
      </w:tr>
      <w:tr w:rsidR="00BD321E" w:rsidRPr="00B06915" w14:paraId="47BDE529" w14:textId="77777777" w:rsidTr="00476E63">
        <w:trPr>
          <w:trHeight w:val="409"/>
        </w:trPr>
        <w:tc>
          <w:tcPr>
            <w:tcW w:w="817" w:type="dxa"/>
            <w:tcBorders>
              <w:top w:val="nil"/>
              <w:left w:val="nil"/>
              <w:bottom w:val="nil"/>
              <w:right w:val="nil"/>
            </w:tcBorders>
            <w:vAlign w:val="center"/>
            <w:hideMark/>
          </w:tcPr>
          <w:p w14:paraId="13D6FBDC"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988F5AC"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Cielo Victoria González Meza</w:t>
            </w:r>
          </w:p>
          <w:p w14:paraId="56459DA7" w14:textId="77777777" w:rsidR="00BD321E" w:rsidRPr="00B06915" w:rsidRDefault="00BD321E" w:rsidP="00476E63">
            <w:pPr>
              <w:spacing w:after="0" w:line="254" w:lineRule="auto"/>
              <w:rPr>
                <w:rFonts w:ascii="Verdana" w:eastAsia="Calibri" w:hAnsi="Verdana" w:cs="Times New Roman"/>
                <w:sz w:val="14"/>
                <w:szCs w:val="14"/>
                <w:highlight w:val="yellow"/>
              </w:rPr>
            </w:pPr>
            <w:r w:rsidRPr="00B06915">
              <w:rPr>
                <w:rFonts w:ascii="Verdana" w:eastAsia="Calibri" w:hAnsi="Verdana" w:cs="Times New Roman"/>
                <w:sz w:val="14"/>
                <w:szCs w:val="14"/>
              </w:rPr>
              <w:t>Contratista de la Subdirección de Gestión Contractual</w:t>
            </w:r>
          </w:p>
        </w:tc>
      </w:tr>
      <w:tr w:rsidR="00BD321E" w:rsidRPr="00B06915" w14:paraId="3C22746E" w14:textId="77777777" w:rsidTr="00476E63">
        <w:trPr>
          <w:trHeight w:val="389"/>
        </w:trPr>
        <w:tc>
          <w:tcPr>
            <w:tcW w:w="817" w:type="dxa"/>
            <w:tcBorders>
              <w:top w:val="nil"/>
              <w:left w:val="nil"/>
              <w:bottom w:val="nil"/>
              <w:right w:val="nil"/>
            </w:tcBorders>
            <w:vAlign w:val="center"/>
            <w:hideMark/>
          </w:tcPr>
          <w:p w14:paraId="5B0D3966"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55FE04A"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Carolina Quintero Gacharná</w:t>
            </w:r>
          </w:p>
          <w:p w14:paraId="6A2C2F60" w14:textId="77777777" w:rsidR="00BD321E" w:rsidRPr="00B06915" w:rsidRDefault="00BD321E" w:rsidP="00476E63">
            <w:pPr>
              <w:spacing w:after="0" w:line="254" w:lineRule="auto"/>
              <w:rPr>
                <w:rFonts w:ascii="Verdana" w:eastAsia="Calibri" w:hAnsi="Verdana" w:cs="Times New Roman"/>
                <w:sz w:val="14"/>
                <w:szCs w:val="14"/>
              </w:rPr>
            </w:pPr>
            <w:r w:rsidRPr="00B06915">
              <w:rPr>
                <w:rFonts w:ascii="Verdana" w:eastAsia="Calibri" w:hAnsi="Verdana" w:cs="Times New Roman"/>
                <w:sz w:val="14"/>
                <w:szCs w:val="14"/>
              </w:rPr>
              <w:t>Subdirectora de Gestión Contractual ANCP – CCE</w:t>
            </w:r>
          </w:p>
        </w:tc>
      </w:tr>
    </w:tbl>
    <w:p w14:paraId="0F293BF4" w14:textId="7BBFAB11" w:rsidR="00127233" w:rsidRPr="00B06915" w:rsidRDefault="00127233" w:rsidP="00665D70">
      <w:pPr>
        <w:spacing w:after="0"/>
        <w:jc w:val="both"/>
        <w:rPr>
          <w:rFonts w:ascii="Verdana" w:hAnsi="Verdana"/>
        </w:rPr>
      </w:pPr>
    </w:p>
    <w:sectPr w:rsidR="00127233" w:rsidRPr="00B06915"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0296" w14:textId="77777777" w:rsidR="00166272" w:rsidRDefault="00166272" w:rsidP="004A1847">
      <w:pPr>
        <w:spacing w:after="0" w:line="240" w:lineRule="auto"/>
      </w:pPr>
      <w:r>
        <w:separator/>
      </w:r>
    </w:p>
  </w:endnote>
  <w:endnote w:type="continuationSeparator" w:id="0">
    <w:p w14:paraId="47E44F8B" w14:textId="77777777" w:rsidR="00166272" w:rsidRDefault="0016627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9C3AB" w14:textId="77777777" w:rsidR="00166272" w:rsidRDefault="00166272" w:rsidP="004A1847">
      <w:pPr>
        <w:spacing w:after="0" w:line="240" w:lineRule="auto"/>
      </w:pPr>
      <w:r>
        <w:separator/>
      </w:r>
    </w:p>
  </w:footnote>
  <w:footnote w:type="continuationSeparator" w:id="0">
    <w:p w14:paraId="7A85377C" w14:textId="77777777" w:rsidR="00166272" w:rsidRDefault="00166272" w:rsidP="004A1847">
      <w:pPr>
        <w:spacing w:after="0" w:line="240" w:lineRule="auto"/>
      </w:pPr>
      <w:r>
        <w:continuationSeparator/>
      </w:r>
    </w:p>
  </w:footnote>
  <w:footnote w:id="1">
    <w:p w14:paraId="73A49AC4" w14:textId="15F06EAD" w:rsidR="00133FBB" w:rsidRPr="00CF25ED" w:rsidRDefault="00133FBB" w:rsidP="00133FBB">
      <w:pPr>
        <w:jc w:val="both"/>
        <w:rPr>
          <w:rFonts w:ascii="Verdana" w:eastAsia="Times New Roman" w:hAnsi="Verdana" w:cs="Times New Roman"/>
          <w:sz w:val="16"/>
          <w:szCs w:val="16"/>
          <w:lang w:val="es-ES" w:eastAsia="es-ES_tradnl"/>
        </w:rPr>
      </w:pPr>
      <w:r w:rsidRPr="00CF25ED">
        <w:rPr>
          <w:rStyle w:val="Refdenotaalpie"/>
          <w:rFonts w:ascii="Verdana" w:hAnsi="Verdana"/>
          <w:sz w:val="16"/>
          <w:szCs w:val="16"/>
        </w:rPr>
        <w:footnoteRef/>
      </w:r>
      <w:r w:rsidR="00CF25ED">
        <w:rPr>
          <w:rFonts w:ascii="Verdana" w:hAnsi="Verdana"/>
          <w:sz w:val="16"/>
          <w:szCs w:val="16"/>
        </w:rPr>
        <w:t xml:space="preserve"> CORTE CONSTITUCIONAL DE COLOMBIA-</w:t>
      </w:r>
      <w:r w:rsidRPr="00CF25ED">
        <w:rPr>
          <w:rFonts w:ascii="Verdana" w:hAnsi="Verdana"/>
          <w:sz w:val="16"/>
          <w:szCs w:val="16"/>
        </w:rPr>
        <w:t xml:space="preserve"> </w:t>
      </w:r>
      <w:r w:rsidRPr="00CF25ED">
        <w:rPr>
          <w:rFonts w:ascii="Verdana" w:eastAsia="Times New Roman" w:hAnsi="Verdana" w:cs="Times New Roman"/>
          <w:sz w:val="16"/>
          <w:szCs w:val="16"/>
          <w:lang w:val="es-ES" w:eastAsia="es-ES_tradnl"/>
        </w:rPr>
        <w:t xml:space="preserve">SENTENCIA C-154 de 2023. La Sala Plena de la Corte ha reconocido que el legislador tiene una potestad amplia para configurar los procedimientos y los mecanismos para la selección de los contratistas. Esto involucra la regulación los requisitos habilitantes y los elementos que cada entidad debe valorar para la escogencia de quien celebrará el contrato estatal. Desde luego, el Congreso puede incluir criterios de ponderación, mecanismos de distinción y tratos diferenciados razonables. </w:t>
      </w:r>
    </w:p>
    <w:p w14:paraId="0CD2500F" w14:textId="77777777" w:rsidR="00133FBB" w:rsidRPr="00CF25ED" w:rsidRDefault="00133FBB" w:rsidP="00133FBB">
      <w:pPr>
        <w:spacing w:after="0" w:line="240" w:lineRule="auto"/>
        <w:jc w:val="both"/>
        <w:rPr>
          <w:rFonts w:ascii="Verdana" w:eastAsia="Times New Roman" w:hAnsi="Verdana" w:cs="Times New Roman"/>
          <w:sz w:val="16"/>
          <w:szCs w:val="16"/>
          <w:lang w:val="es-ES" w:eastAsia="es-ES_tradnl"/>
        </w:rPr>
      </w:pPr>
      <w:r w:rsidRPr="00CF25ED">
        <w:rPr>
          <w:rFonts w:ascii="Verdana" w:eastAsia="Times New Roman" w:hAnsi="Verdana" w:cs="Times New Roman"/>
          <w:sz w:val="16"/>
          <w:szCs w:val="16"/>
          <w:lang w:val="es-ES" w:eastAsia="es-ES_tradnl"/>
        </w:rPr>
        <w:t>116. La Sala Plena mantuvo que el Congreso puede establecer diferenciaciones objetivas para la selección de los contratistas sin que ello implique una violación del principio de igualdad o de libre concurrencia. De manera que se prohíben distinciones subjetivas que se fundamenten en intereses o afectos, pero no se proscriben otro tipo de tratos diferenciados que se refieran a parámetros verificables objetivamente.</w:t>
      </w:r>
    </w:p>
    <w:p w14:paraId="7B5616DA" w14:textId="77777777" w:rsidR="00133FBB" w:rsidRPr="00F7600A" w:rsidRDefault="00133FBB" w:rsidP="00133FBB">
      <w:pPr>
        <w:jc w:val="both"/>
        <w:rPr>
          <w:rFonts w:ascii="Times New Roman" w:eastAsia="Times New Roman" w:hAnsi="Times New Roman" w:cs="Times New Roman"/>
          <w:sz w:val="16"/>
          <w:szCs w:val="16"/>
          <w:lang w:val="es-ES" w:eastAsia="es-ES_tradnl"/>
        </w:rPr>
      </w:pPr>
    </w:p>
    <w:p w14:paraId="30B7AD5F" w14:textId="77777777" w:rsidR="00133FBB" w:rsidRPr="00F7600A" w:rsidRDefault="00133FBB" w:rsidP="00133FBB">
      <w:pPr>
        <w:pStyle w:val="Textonotapie"/>
        <w:rPr>
          <w:lang w:val="es-ES"/>
        </w:rPr>
      </w:pPr>
    </w:p>
  </w:footnote>
  <w:footnote w:id="2">
    <w:p w14:paraId="0A43C7EA" w14:textId="5884B11A" w:rsidR="00B85C79" w:rsidRPr="00B85C79" w:rsidRDefault="00B85C79" w:rsidP="00B85C79">
      <w:pPr>
        <w:pStyle w:val="Textonotapie"/>
        <w:ind w:firstLine="708"/>
        <w:rPr>
          <w:lang w:val="es-ES"/>
        </w:rPr>
      </w:pPr>
      <w:r>
        <w:rPr>
          <w:rStyle w:val="Refdenotaalpie"/>
        </w:rPr>
        <w:footnoteRef/>
      </w:r>
      <w:r>
        <w:t xml:space="preserve"> </w:t>
      </w:r>
      <w:r w:rsidRPr="00B85C79">
        <w:rPr>
          <w:rFonts w:ascii="Verdana" w:hAnsi="Verdana"/>
          <w:sz w:val="14"/>
          <w:szCs w:val="16"/>
        </w:rPr>
        <w:t>Ley 816 de 2003, Artículo 2</w:t>
      </w:r>
      <w:r>
        <w:t>.</w:t>
      </w:r>
    </w:p>
  </w:footnote>
  <w:footnote w:id="3">
    <w:p w14:paraId="0067F411" w14:textId="77777777" w:rsidR="00B85C79" w:rsidRDefault="00B85C79" w:rsidP="00B85C79">
      <w:pPr>
        <w:pStyle w:val="Textonotapie"/>
        <w:ind w:firstLine="708"/>
      </w:pPr>
    </w:p>
    <w:p w14:paraId="7B6C2402" w14:textId="4F95B1CC" w:rsidR="00B85C79" w:rsidRPr="00B85C79" w:rsidRDefault="00B85C79" w:rsidP="00B85C79">
      <w:pPr>
        <w:pStyle w:val="Textonotapie"/>
        <w:ind w:firstLine="708"/>
        <w:rPr>
          <w:lang w:val="es-ES"/>
        </w:rPr>
      </w:pPr>
      <w:r>
        <w:rPr>
          <w:rStyle w:val="Refdenotaalpie"/>
        </w:rPr>
        <w:footnoteRef/>
      </w:r>
      <w:r>
        <w:t xml:space="preserve"> </w:t>
      </w:r>
      <w:r w:rsidRPr="00B85C79">
        <w:rPr>
          <w:rFonts w:ascii="Verdana" w:hAnsi="Verdana" w:cs="Calibri"/>
          <w:sz w:val="16"/>
          <w:szCs w:val="16"/>
        </w:rPr>
        <w:t>Decreto 392 de 2018, Artículo 2, que adicionó el Artículo 2.2.1.2.4.2.6 al Decreto 1082 de 2015.</w:t>
      </w:r>
    </w:p>
  </w:footnote>
  <w:footnote w:id="4">
    <w:p w14:paraId="55797A36" w14:textId="77777777" w:rsidR="004F7D28" w:rsidRPr="007E0D51" w:rsidRDefault="004F7D28" w:rsidP="00B85C79">
      <w:pPr>
        <w:pBdr>
          <w:top w:val="nil"/>
          <w:left w:val="nil"/>
          <w:bottom w:val="nil"/>
          <w:right w:val="nil"/>
          <w:between w:val="nil"/>
        </w:pBdr>
        <w:ind w:firstLine="708"/>
        <w:jc w:val="both"/>
        <w:rPr>
          <w:rFonts w:ascii="Verdana" w:eastAsia="Arial" w:hAnsi="Verdana" w:cs="Arial"/>
          <w:color w:val="000000"/>
          <w:sz w:val="14"/>
          <w:szCs w:val="14"/>
        </w:rPr>
      </w:pPr>
      <w:r w:rsidRPr="007E0D51">
        <w:rPr>
          <w:rFonts w:ascii="Verdana" w:hAnsi="Verdana" w:cs="Arial"/>
          <w:sz w:val="14"/>
          <w:szCs w:val="14"/>
          <w:vertAlign w:val="superscript"/>
        </w:rPr>
        <w:footnoteRef/>
      </w:r>
      <w:r w:rsidRPr="007E0D51">
        <w:rPr>
          <w:rFonts w:ascii="Verdana" w:eastAsia="Arial" w:hAnsi="Verdana" w:cs="Arial"/>
          <w:color w:val="000000"/>
          <w:sz w:val="14"/>
          <w:szCs w:val="14"/>
        </w:rPr>
        <w:t xml:space="preserve"> Ibidem.</w:t>
      </w:r>
    </w:p>
  </w:footnote>
  <w:footnote w:id="5">
    <w:p w14:paraId="347BA7C9" w14:textId="658FAD48" w:rsidR="00B85C79" w:rsidRPr="00B85C79" w:rsidRDefault="00B85C79" w:rsidP="00B85C79">
      <w:pPr>
        <w:pStyle w:val="Textonotapie"/>
        <w:ind w:firstLine="708"/>
        <w:rPr>
          <w:rFonts w:ascii="Verdana" w:hAnsi="Verdana"/>
          <w:sz w:val="14"/>
          <w:szCs w:val="16"/>
          <w:lang w:val="es-ES"/>
        </w:rPr>
      </w:pPr>
      <w:r>
        <w:rPr>
          <w:rStyle w:val="Refdenotaalpie"/>
        </w:rPr>
        <w:footnoteRef/>
      </w:r>
      <w:r>
        <w:t xml:space="preserve"> </w:t>
      </w:r>
      <w:r w:rsidRPr="00B85C79">
        <w:rPr>
          <w:rFonts w:ascii="Verdana" w:hAnsi="Verdana" w:cs="Calibri"/>
          <w:sz w:val="14"/>
          <w:szCs w:val="16"/>
        </w:rPr>
        <w:t>Ley 2195 de 2022, Artículo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3377D"/>
    <w:multiLevelType w:val="hybridMultilevel"/>
    <w:tmpl w:val="39608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AA6912"/>
    <w:multiLevelType w:val="hybridMultilevel"/>
    <w:tmpl w:val="3B080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FE52173"/>
    <w:multiLevelType w:val="hybridMultilevel"/>
    <w:tmpl w:val="28A48D66"/>
    <w:lvl w:ilvl="0" w:tplc="E8CC9F5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811786">
    <w:abstractNumId w:val="7"/>
  </w:num>
  <w:num w:numId="2" w16cid:durableId="1908950743">
    <w:abstractNumId w:val="2"/>
  </w:num>
  <w:num w:numId="3" w16cid:durableId="871847623">
    <w:abstractNumId w:val="4"/>
  </w:num>
  <w:num w:numId="4" w16cid:durableId="2013219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2148235">
    <w:abstractNumId w:val="2"/>
  </w:num>
  <w:num w:numId="6" w16cid:durableId="512963467">
    <w:abstractNumId w:val="18"/>
  </w:num>
  <w:num w:numId="7" w16cid:durableId="1489595890">
    <w:abstractNumId w:val="5"/>
  </w:num>
  <w:num w:numId="8" w16cid:durableId="488179239">
    <w:abstractNumId w:val="17"/>
  </w:num>
  <w:num w:numId="9" w16cid:durableId="1909537271">
    <w:abstractNumId w:val="8"/>
  </w:num>
  <w:num w:numId="10" w16cid:durableId="881406005">
    <w:abstractNumId w:val="16"/>
  </w:num>
  <w:num w:numId="11" w16cid:durableId="377902491">
    <w:abstractNumId w:val="9"/>
  </w:num>
  <w:num w:numId="12" w16cid:durableId="1171019412">
    <w:abstractNumId w:val="1"/>
  </w:num>
  <w:num w:numId="13" w16cid:durableId="971134934">
    <w:abstractNumId w:val="3"/>
  </w:num>
  <w:num w:numId="14" w16cid:durableId="1825973727">
    <w:abstractNumId w:val="19"/>
  </w:num>
  <w:num w:numId="15" w16cid:durableId="1539004157">
    <w:abstractNumId w:val="15"/>
  </w:num>
  <w:num w:numId="16" w16cid:durableId="13570735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1096196">
    <w:abstractNumId w:val="13"/>
  </w:num>
  <w:num w:numId="18" w16cid:durableId="599800749">
    <w:abstractNumId w:val="14"/>
  </w:num>
  <w:num w:numId="19" w16cid:durableId="1873111895">
    <w:abstractNumId w:val="10"/>
  </w:num>
  <w:num w:numId="20" w16cid:durableId="1962687685">
    <w:abstractNumId w:val="11"/>
  </w:num>
  <w:num w:numId="21" w16cid:durableId="1419062489">
    <w:abstractNumId w:val="12"/>
  </w:num>
  <w:num w:numId="22" w16cid:durableId="111537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2A4F"/>
    <w:rsid w:val="00125105"/>
    <w:rsid w:val="00127233"/>
    <w:rsid w:val="00133FBB"/>
    <w:rsid w:val="00156E1C"/>
    <w:rsid w:val="00166272"/>
    <w:rsid w:val="001E4177"/>
    <w:rsid w:val="001E58C7"/>
    <w:rsid w:val="001F7DC6"/>
    <w:rsid w:val="002421BB"/>
    <w:rsid w:val="0025796E"/>
    <w:rsid w:val="002707A2"/>
    <w:rsid w:val="002951A0"/>
    <w:rsid w:val="002962BC"/>
    <w:rsid w:val="002A093D"/>
    <w:rsid w:val="002A0DD0"/>
    <w:rsid w:val="002A49AC"/>
    <w:rsid w:val="002A64FD"/>
    <w:rsid w:val="002C7A84"/>
    <w:rsid w:val="002E4FD9"/>
    <w:rsid w:val="003074A4"/>
    <w:rsid w:val="00322A85"/>
    <w:rsid w:val="00324168"/>
    <w:rsid w:val="003448F4"/>
    <w:rsid w:val="00363D15"/>
    <w:rsid w:val="00374F5E"/>
    <w:rsid w:val="00377E3E"/>
    <w:rsid w:val="003A26D1"/>
    <w:rsid w:val="003A3EFE"/>
    <w:rsid w:val="003A779E"/>
    <w:rsid w:val="003D0F4D"/>
    <w:rsid w:val="003D5B0D"/>
    <w:rsid w:val="003E0499"/>
    <w:rsid w:val="003F3941"/>
    <w:rsid w:val="00406575"/>
    <w:rsid w:val="0041282E"/>
    <w:rsid w:val="0042722E"/>
    <w:rsid w:val="0044528D"/>
    <w:rsid w:val="00445653"/>
    <w:rsid w:val="00497E9C"/>
    <w:rsid w:val="004A1847"/>
    <w:rsid w:val="004A305D"/>
    <w:rsid w:val="004A53B2"/>
    <w:rsid w:val="004A72EE"/>
    <w:rsid w:val="004F21C4"/>
    <w:rsid w:val="004F685F"/>
    <w:rsid w:val="004F7D28"/>
    <w:rsid w:val="005566E8"/>
    <w:rsid w:val="00574867"/>
    <w:rsid w:val="00591460"/>
    <w:rsid w:val="00592628"/>
    <w:rsid w:val="005C3777"/>
    <w:rsid w:val="005C5CDC"/>
    <w:rsid w:val="005D476C"/>
    <w:rsid w:val="00610812"/>
    <w:rsid w:val="006219F8"/>
    <w:rsid w:val="0064172C"/>
    <w:rsid w:val="00650FF7"/>
    <w:rsid w:val="00665D70"/>
    <w:rsid w:val="00671DAC"/>
    <w:rsid w:val="0068200E"/>
    <w:rsid w:val="006900D9"/>
    <w:rsid w:val="006D12F8"/>
    <w:rsid w:val="00706C16"/>
    <w:rsid w:val="00744303"/>
    <w:rsid w:val="00756841"/>
    <w:rsid w:val="007649AB"/>
    <w:rsid w:val="00771D0C"/>
    <w:rsid w:val="007833AC"/>
    <w:rsid w:val="007964A7"/>
    <w:rsid w:val="007A5A82"/>
    <w:rsid w:val="007B268C"/>
    <w:rsid w:val="007B7171"/>
    <w:rsid w:val="007C0C0F"/>
    <w:rsid w:val="007C3DC2"/>
    <w:rsid w:val="007E5497"/>
    <w:rsid w:val="007F7B3D"/>
    <w:rsid w:val="00806F5F"/>
    <w:rsid w:val="00820278"/>
    <w:rsid w:val="00860482"/>
    <w:rsid w:val="008843B6"/>
    <w:rsid w:val="00891928"/>
    <w:rsid w:val="008A446D"/>
    <w:rsid w:val="008B6508"/>
    <w:rsid w:val="008D180B"/>
    <w:rsid w:val="008F0EA7"/>
    <w:rsid w:val="00923EEF"/>
    <w:rsid w:val="009419F9"/>
    <w:rsid w:val="0095685E"/>
    <w:rsid w:val="00961B09"/>
    <w:rsid w:val="00965334"/>
    <w:rsid w:val="0097093E"/>
    <w:rsid w:val="009A0DFA"/>
    <w:rsid w:val="009B2D26"/>
    <w:rsid w:val="009C71FA"/>
    <w:rsid w:val="009C72E7"/>
    <w:rsid w:val="009D3058"/>
    <w:rsid w:val="009F3A13"/>
    <w:rsid w:val="009F51A3"/>
    <w:rsid w:val="00A122D3"/>
    <w:rsid w:val="00A17F13"/>
    <w:rsid w:val="00A20739"/>
    <w:rsid w:val="00A33C78"/>
    <w:rsid w:val="00A63C75"/>
    <w:rsid w:val="00A649DE"/>
    <w:rsid w:val="00AB0ADB"/>
    <w:rsid w:val="00B01B1A"/>
    <w:rsid w:val="00B06915"/>
    <w:rsid w:val="00B72CD3"/>
    <w:rsid w:val="00B72FFF"/>
    <w:rsid w:val="00B85C79"/>
    <w:rsid w:val="00BC3D36"/>
    <w:rsid w:val="00BD321E"/>
    <w:rsid w:val="00BD7F72"/>
    <w:rsid w:val="00C04FB3"/>
    <w:rsid w:val="00C330EB"/>
    <w:rsid w:val="00C754BE"/>
    <w:rsid w:val="00C76B1C"/>
    <w:rsid w:val="00CB6357"/>
    <w:rsid w:val="00CC1B26"/>
    <w:rsid w:val="00CF25ED"/>
    <w:rsid w:val="00D41CA1"/>
    <w:rsid w:val="00D423A2"/>
    <w:rsid w:val="00D520D8"/>
    <w:rsid w:val="00D63AC2"/>
    <w:rsid w:val="00D7383B"/>
    <w:rsid w:val="00D942C8"/>
    <w:rsid w:val="00DA231B"/>
    <w:rsid w:val="00DA23A0"/>
    <w:rsid w:val="00DC39FC"/>
    <w:rsid w:val="00DF5254"/>
    <w:rsid w:val="00E05426"/>
    <w:rsid w:val="00E057C7"/>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EF00F9"/>
    <w:rsid w:val="00F31EDC"/>
    <w:rsid w:val="00F462B3"/>
    <w:rsid w:val="00F5664F"/>
    <w:rsid w:val="00F64EB7"/>
    <w:rsid w:val="00F666C4"/>
    <w:rsid w:val="00F76AFC"/>
    <w:rsid w:val="00FA47C0"/>
    <w:rsid w:val="00FA578A"/>
    <w:rsid w:val="00FB5DD1"/>
    <w:rsid w:val="00FC2B5D"/>
    <w:rsid w:val="00FD6D97"/>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D321E"/>
    <w:pPr>
      <w:spacing w:after="0" w:line="240" w:lineRule="exact"/>
    </w:pPr>
    <w:rPr>
      <w:vertAlign w:val="superscript"/>
    </w:rPr>
  </w:style>
  <w:style w:type="table" w:customStyle="1" w:styleId="Tablaconcuadrcula1">
    <w:name w:val="Tabla con cuadrícula1"/>
    <w:basedOn w:val="Tablanormal"/>
    <w:uiPriority w:val="39"/>
    <w:qFormat/>
    <w:rsid w:val="00BD32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D321E"/>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F7D28"/>
    <w:rPr>
      <w:rFonts w:ascii="Geomanist Light" w:hAnsi="Geomanist Light"/>
      <w:lang w:val="es-ES"/>
    </w:rPr>
  </w:style>
  <w:style w:type="paragraph" w:styleId="Textonotaalfinal">
    <w:name w:val="endnote text"/>
    <w:basedOn w:val="Normal"/>
    <w:link w:val="TextonotaalfinalCar"/>
    <w:uiPriority w:val="99"/>
    <w:semiHidden/>
    <w:unhideWhenUsed/>
    <w:rsid w:val="00B85C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5C79"/>
    <w:rPr>
      <w:sz w:val="20"/>
      <w:szCs w:val="20"/>
    </w:rPr>
  </w:style>
  <w:style w:type="character" w:styleId="Refdenotaalfinal">
    <w:name w:val="endnote reference"/>
    <w:basedOn w:val="Fuentedeprrafopredeter"/>
    <w:uiPriority w:val="99"/>
    <w:semiHidden/>
    <w:unhideWhenUsed/>
    <w:rsid w:val="00B85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669855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44670414">
      <w:bodyDiv w:val="1"/>
      <w:marLeft w:val="0"/>
      <w:marRight w:val="0"/>
      <w:marTop w:val="0"/>
      <w:marBottom w:val="0"/>
      <w:divBdr>
        <w:top w:val="none" w:sz="0" w:space="0" w:color="auto"/>
        <w:left w:val="none" w:sz="0" w:space="0" w:color="auto"/>
        <w:bottom w:val="none" w:sz="0" w:space="0" w:color="auto"/>
        <w:right w:val="none" w:sz="0" w:space="0" w:color="auto"/>
      </w:divBdr>
      <w:divsChild>
        <w:div w:id="1019547106">
          <w:marLeft w:val="0"/>
          <w:marRight w:val="0"/>
          <w:marTop w:val="0"/>
          <w:marBottom w:val="160"/>
          <w:divBdr>
            <w:top w:val="none" w:sz="0" w:space="0" w:color="auto"/>
            <w:left w:val="none" w:sz="0" w:space="0" w:color="auto"/>
            <w:bottom w:val="none" w:sz="0" w:space="0" w:color="auto"/>
            <w:right w:val="none" w:sz="0" w:space="0" w:color="auto"/>
          </w:divBdr>
        </w:div>
        <w:div w:id="366298761">
          <w:marLeft w:val="0"/>
          <w:marRight w:val="0"/>
          <w:marTop w:val="0"/>
          <w:marBottom w:val="160"/>
          <w:divBdr>
            <w:top w:val="none" w:sz="0" w:space="0" w:color="auto"/>
            <w:left w:val="none" w:sz="0" w:space="0" w:color="auto"/>
            <w:bottom w:val="none" w:sz="0" w:space="0" w:color="auto"/>
            <w:right w:val="none" w:sz="0" w:space="0" w:color="auto"/>
          </w:divBdr>
        </w:div>
        <w:div w:id="156380585">
          <w:marLeft w:val="0"/>
          <w:marRight w:val="0"/>
          <w:marTop w:val="0"/>
          <w:marBottom w:val="160"/>
          <w:divBdr>
            <w:top w:val="none" w:sz="0" w:space="0" w:color="auto"/>
            <w:left w:val="none" w:sz="0" w:space="0" w:color="auto"/>
            <w:bottom w:val="none" w:sz="0" w:space="0" w:color="auto"/>
            <w:right w:val="none" w:sz="0" w:space="0" w:color="auto"/>
          </w:divBdr>
        </w:div>
      </w:divsChild>
    </w:div>
    <w:div w:id="198685879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www.corteconstitucional.gov.co/relatoria/2023/C-154-2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borrador-de-documentos-tipo-de-interventoria-de-obra-publica-de-infraestructura-de&amp;data=05%7C02%7Cgustavo.hinestroza%40colombiacompra.gov.co%7C096eca3fdcca424ff1c708dcf932f947%7C7b09041e245149d08cb179d5e3d8c1be%7C0%7C0%7C638659244559009305%7CUnknown%7CTWFpbGZsb3d8eyJWIjoiMC4wLjAwMDAiLCJQIjoiV2luMzIiLCJBTiI6Ik1haWwiLCJXVCI6Mn0%3D%7C0%7C%7C%7C&amp;sdata=tGFfBDNA2UfgZjTR6YetCGGZnlJ3HZEAOL1Y%2FgjLdQA%3D&amp;reserved=0" TargetMode="External"/><Relationship Id="rId7" Type="http://schemas.openxmlformats.org/officeDocument/2006/relationships/settings" Target="settings.xml"/><Relationship Id="rId12" Type="http://schemas.openxmlformats.org/officeDocument/2006/relationships/hyperlink" Target="mailto:gerencia@gomezgiraldo.com" TargetMode="External"/><Relationship Id="rId17" Type="http://schemas.openxmlformats.org/officeDocument/2006/relationships/hyperlink" Target="https://relatoria.colombiacompra.gov.co/normativa/decreto-1082-de-201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atoria.colombiacompra.gov.co/normativa/ley-2195-de-2022/" TargetMode="External"/><Relationship Id="rId20" Type="http://schemas.openxmlformats.org/officeDocument/2006/relationships/hyperlink" Target="https://nam02.safelinks.protection.outlook.com/?url=https%3A%2F%2Fwww.colombiacompra.gov.co%2Fcontent%2Fborrador-de-documentos-tipo-de-consultoria-de-obra-publica-de-infraestructura-de-transporte&amp;data=05%7C02%7Cgustavo.hinestroza%40colombiacompra.gov.co%7C096eca3fdcca424ff1c708dcf932f947%7C7b09041e245149d08cb179d5e3d8c1be%7C0%7C0%7C638659244558969426%7CUnknown%7CTWFpbGZsb3d8eyJWIjoiMC4wLjAwMDAiLCJQIjoiV2luMzIiLCJBTiI6Ik1haWwiLCJXVCI6Mn0%3D%7C0%7C%7C%7C&amp;sdata=euNN%2Bobln1e4Sfw7QkQf2cxPj3R%2FsCFmoL55MX5p9S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relatoria.colombiacompra.gov.co/normativa/ley-1474-de-2011/" TargetMode="External"/><Relationship Id="rId23" Type="http://schemas.openxmlformats.org/officeDocument/2006/relationships/hyperlink" Target="https://nam02.safelinks.protection.outlook.com/?url=https%3A%2F%2Fwww.colombiacompra.gov.co%2Fsala-de-prensa%2Fboletin-digital&amp;data=05%7C02%7Cgustavo.hinestroza%40colombiacompra.gov.co%7C096eca3fdcca424ff1c708dcf932f947%7C7b09041e245149d08cb179d5e3d8c1be%7C0%7C0%7C638659244559061680%7CUnknown%7CTWFpbGZsb3d8eyJWIjoiMC4wLjAwMDAiLCJQIjoiV2luMzIiLCJBTiI6Ik1haWwiLCJXVCI6Mn0%3D%7C0%7C%7C%7C&amp;sdata=IgofxPX4D86fse%2BbBCSEfgmya3pjzqVsheEOAfgOWuk%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hyperlink" Target="https://nam02.safelinks.protection.outlook.com/?url=https%3A%2F%2Fwww.sucop.gov.co%2Fentidades%2Fcolombiacompra%2FNormativa%3FIDNorma%3D18320&amp;data=05%7C02%7Cgustavo.hinestroza%40colombiacompra.gov.co%7C096eca3fdcca424ff1c708dcf932f947%7C7b09041e245149d08cb179d5e3d8c1be%7C0%7C0%7C638659244559035987%7CUnknown%7CTWFpbGZsb3d8eyJWIjoiMC4wLjAwMDAiLCJQIjoiV2luMzIiLCJBTiI6Ik1haWwiLCJXVCI6Mn0%3D%7C0%7C%7C%7C&amp;sdata=vOxD9bGCmtl0zdwpGFmOWppfsyEzLSEHMKx481u11PQ%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2983B-74D4-4D1D-984C-15FDDBA20111}"/>
</file>

<file path=customXml/itemProps2.xml><?xml version="1.0" encoding="utf-8"?>
<ds:datastoreItem xmlns:ds="http://schemas.openxmlformats.org/officeDocument/2006/customXml" ds:itemID="{D09088A6-1E2D-4296-86C8-4E06C52742D3}">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4735</Words>
  <Characters>26047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2024-11-06T03:28:00Z</dcterms:created>
  <dcterms:modified xsi:type="dcterms:W3CDTF">2024-11-06T16:38:00Z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