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F35DB" w:rsidP="00E245AB" w:rsidRDefault="00BF35DB" w14:paraId="7A54EEA9" w14:textId="77777777">
      <w:pPr>
        <w:spacing w:after="0"/>
        <w:rPr>
          <w:rFonts w:ascii="Verdana" w:hAnsi="Verdana"/>
        </w:rPr>
      </w:pPr>
      <w:bookmarkStart w:name="_Hlk143780582" w:id="0"/>
    </w:p>
    <w:p w:rsidRPr="000B4233" w:rsidR="000B4233" w:rsidP="000B4233" w:rsidRDefault="000B4233" w14:paraId="7B21E663" w14:textId="77777777">
      <w:pPr>
        <w:jc w:val="both"/>
        <w:rPr>
          <w:rFonts w:ascii="Verdana" w:hAnsi="Verdana" w:eastAsia="Calibri" w:cs="Arial"/>
          <w:b/>
          <w:lang w:val="es-ES_tradnl"/>
        </w:rPr>
      </w:pPr>
      <w:r w:rsidRPr="000B4233">
        <w:rPr>
          <w:rFonts w:ascii="Verdana" w:hAnsi="Verdana" w:eastAsia="Calibri" w:cs="Arial"/>
          <w:b/>
          <w:lang w:val="es-ES_tradnl"/>
        </w:rPr>
        <w:t xml:space="preserve">SELECCIÓN OBJETIVA </w:t>
      </w:r>
      <w:r w:rsidRPr="000B4233">
        <w:rPr>
          <w:rFonts w:ascii="Verdana" w:hAnsi="Verdana" w:eastAsia="Calibri" w:cs="Arial"/>
          <w:b/>
          <w:color w:val="000000" w:themeColor="text1"/>
          <w:lang w:val="es-ES_tradnl"/>
        </w:rPr>
        <w:t>–</w:t>
      </w:r>
      <w:r w:rsidRPr="000B4233">
        <w:rPr>
          <w:rFonts w:ascii="Verdana" w:hAnsi="Verdana" w:eastAsia="Calibri" w:cs="Arial"/>
          <w:b/>
          <w:lang w:val="es-ES_tradnl"/>
        </w:rPr>
        <w:t xml:space="preserve"> Contratación estatal </w:t>
      </w:r>
      <w:r w:rsidRPr="000B4233">
        <w:rPr>
          <w:rFonts w:ascii="Verdana" w:hAnsi="Verdana" w:eastAsia="Calibri" w:cs="Arial"/>
          <w:b/>
          <w:color w:val="000000" w:themeColor="text1"/>
          <w:lang w:val="es-ES_tradnl"/>
        </w:rPr>
        <w:t>– Concepto</w:t>
      </w:r>
    </w:p>
    <w:p w:rsidRPr="000B4233" w:rsidR="000B4233" w:rsidP="000B4233" w:rsidRDefault="000B4233" w14:paraId="654B4CC3" w14:textId="77777777">
      <w:pPr>
        <w:jc w:val="both"/>
        <w:rPr>
          <w:rFonts w:ascii="Verdana" w:hAnsi="Verdana" w:eastAsia="Calibri" w:cs="Arial"/>
          <w:lang w:val="es-ES"/>
        </w:rPr>
      </w:pPr>
      <w:r w:rsidRPr="000B4233">
        <w:rPr>
          <w:rFonts w:ascii="Verdana" w:hAnsi="Verdana" w:eastAsia="Calibri" w:cs="Arial"/>
          <w:lang w:val="es-ES"/>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0B4233" w:rsidR="000B4233" w:rsidP="000B4233" w:rsidRDefault="000B4233" w14:paraId="0D69E2F6" w14:textId="77777777">
      <w:pPr>
        <w:jc w:val="both"/>
        <w:rPr>
          <w:rFonts w:ascii="Verdana" w:hAnsi="Verdana" w:eastAsia="Calibri" w:cs="Arial"/>
          <w:b/>
          <w:lang w:val="es-ES_tradnl"/>
        </w:rPr>
      </w:pPr>
      <w:r w:rsidRPr="000B4233">
        <w:rPr>
          <w:rFonts w:ascii="Verdana" w:hAnsi="Verdana" w:eastAsia="Calibri" w:cs="Arial"/>
          <w:b/>
          <w:lang w:val="es-ES_tradnl"/>
        </w:rPr>
        <w:t xml:space="preserve">EMPATE </w:t>
      </w:r>
      <w:r w:rsidRPr="000B4233">
        <w:rPr>
          <w:rFonts w:ascii="Verdana" w:hAnsi="Verdana" w:eastAsia="Calibri" w:cs="Arial"/>
          <w:b/>
          <w:color w:val="000000" w:themeColor="text1"/>
          <w:lang w:val="es-ES_tradnl"/>
        </w:rPr>
        <w:t>–</w:t>
      </w:r>
      <w:r w:rsidRPr="000B4233">
        <w:rPr>
          <w:rFonts w:ascii="Verdana" w:hAnsi="Verdana" w:eastAsia="Calibri" w:cs="Arial"/>
          <w:b/>
          <w:lang w:val="es-ES_tradnl"/>
        </w:rPr>
        <w:t xml:space="preserve"> Procedimiento de selección </w:t>
      </w:r>
      <w:r w:rsidRPr="000B4233">
        <w:rPr>
          <w:rFonts w:ascii="Verdana" w:hAnsi="Verdana" w:eastAsia="Calibri" w:cs="Arial"/>
          <w:b/>
          <w:color w:val="000000" w:themeColor="text1"/>
          <w:lang w:val="es-ES_tradnl"/>
        </w:rPr>
        <w:t>– Concepto</w:t>
      </w:r>
    </w:p>
    <w:p w:rsidRPr="000B4233" w:rsidR="000B4233" w:rsidP="000B4233" w:rsidRDefault="000B4233" w14:paraId="2A348A83" w14:textId="77777777">
      <w:pPr>
        <w:jc w:val="both"/>
        <w:rPr>
          <w:rFonts w:ascii="Verdana" w:hAnsi="Verdana" w:cs="Arial"/>
          <w:noProof/>
          <w:color w:val="000000" w:themeColor="text1"/>
          <w:lang w:val="es-ES"/>
        </w:rPr>
      </w:pPr>
      <w:r w:rsidRPr="000B4233">
        <w:rPr>
          <w:rFonts w:ascii="Verdana" w:hAnsi="Verdana" w:eastAsia="Calibri" w:cs="Arial"/>
          <w:lang w:val="es-ES"/>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rsidRPr="000B4233" w:rsidR="000B4233" w:rsidP="000B4233" w:rsidRDefault="000B4233" w14:paraId="294BCDC9" w14:textId="77777777">
      <w:pPr>
        <w:jc w:val="both"/>
        <w:rPr>
          <w:rFonts w:ascii="Verdana" w:hAnsi="Verdana" w:eastAsia="Calibri" w:cs="Arial"/>
          <w:b/>
          <w:lang w:val="es-ES_tradnl"/>
        </w:rPr>
      </w:pPr>
      <w:r w:rsidRPr="000B4233">
        <w:rPr>
          <w:rFonts w:ascii="Verdana" w:hAnsi="Verdana" w:eastAsia="Calibri" w:cs="Arial"/>
          <w:b/>
          <w:lang w:val="es-ES_tradnl"/>
        </w:rPr>
        <w:t xml:space="preserve">FACTORES DE DESEMPATE </w:t>
      </w:r>
      <w:r w:rsidRPr="000B4233">
        <w:rPr>
          <w:rFonts w:ascii="Verdana" w:hAnsi="Verdana" w:eastAsia="Calibri" w:cs="Arial"/>
          <w:b/>
          <w:color w:val="000000" w:themeColor="text1"/>
          <w:lang w:val="es-ES_tradnl"/>
        </w:rPr>
        <w:t>–</w:t>
      </w:r>
      <w:r w:rsidRPr="000B4233">
        <w:rPr>
          <w:rFonts w:ascii="Verdana" w:hAnsi="Verdana" w:eastAsia="Calibri" w:cs="Arial"/>
          <w:b/>
          <w:lang w:val="es-ES_tradnl"/>
        </w:rPr>
        <w:t xml:space="preserve"> Características </w:t>
      </w:r>
      <w:r w:rsidRPr="000B4233">
        <w:rPr>
          <w:rFonts w:ascii="Verdana" w:hAnsi="Verdana" w:eastAsia="Calibri" w:cs="Arial"/>
          <w:b/>
          <w:color w:val="000000" w:themeColor="text1"/>
          <w:lang w:val="es-ES_tradnl"/>
        </w:rPr>
        <w:t>– Límites</w:t>
      </w:r>
    </w:p>
    <w:p w:rsidRPr="000B4233" w:rsidR="000B4233" w:rsidP="000B4233" w:rsidRDefault="000B4233" w14:paraId="2BF62A74" w14:textId="77777777">
      <w:pPr>
        <w:jc w:val="both"/>
        <w:rPr>
          <w:rFonts w:ascii="Verdana" w:hAnsi="Verdana" w:eastAsia="Calibri" w:cs="Arial"/>
          <w:lang w:val="es-ES_tradnl"/>
        </w:rPr>
      </w:pPr>
      <w:r w:rsidRPr="000B4233">
        <w:rPr>
          <w:rFonts w:ascii="Verdana" w:hAnsi="Verdana" w:eastAsia="Calibri" w:cs="Arial"/>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w:t>
      </w:r>
      <w:r w:rsidRPr="000B4233">
        <w:rPr>
          <w:rFonts w:ascii="Verdana" w:hAnsi="Verdana" w:eastAsia="Calibri" w:cs="Arial"/>
          <w:lang w:val="es-ES_tradnl"/>
        </w:rPr>
        <w:lastRenderedPageBreak/>
        <w:t>desempate deben estar establecidos de antemano y constituyen un límite a la discrecionalidad administrativa en los procedimientos de selección.</w:t>
      </w:r>
    </w:p>
    <w:p w:rsidRPr="000B4233" w:rsidR="000B4233" w:rsidP="000B4233" w:rsidRDefault="000B4233" w14:paraId="0997B397" w14:textId="53B2A584">
      <w:pPr>
        <w:spacing w:line="276" w:lineRule="auto"/>
        <w:jc w:val="both"/>
        <w:rPr>
          <w:rFonts w:ascii="Verdana" w:hAnsi="Verdana" w:cs="Arial"/>
          <w:noProof/>
          <w:color w:val="000000" w:themeColor="text1"/>
          <w:lang w:val="es-ES"/>
        </w:rPr>
      </w:pPr>
      <w:r w:rsidRPr="000B4233">
        <w:rPr>
          <w:rFonts w:ascii="Verdana" w:hAnsi="Verdana" w:eastAsia="Calibri" w:cs="Arial"/>
          <w:lang w:val="es-ES"/>
        </w:rPr>
        <w:t xml:space="preserve">En tal sentido, la Corte Constitucional explica que cuando la ley establece factores de desempate obligatorios, las entidades estatales no pueden inaplicarlos, </w:t>
      </w:r>
      <w:r w:rsidR="0057363F">
        <w:rPr>
          <w:rFonts w:ascii="Verdana" w:hAnsi="Verdana" w:eastAsia="Calibri" w:cs="Arial"/>
          <w:lang w:val="es-ES"/>
        </w:rPr>
        <w:t xml:space="preserve"> </w:t>
      </w:r>
      <w:r w:rsidRPr="000B4233">
        <w:rPr>
          <w:rFonts w:ascii="Verdana" w:hAnsi="Verdana" w:eastAsia="Calibri" w:cs="Arial"/>
          <w:lang w:val="es-ES"/>
        </w:rPr>
        <w:t>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p>
    <w:p w:rsidRPr="000B4233" w:rsidR="000B4233" w:rsidP="000B4233" w:rsidRDefault="000B4233" w14:paraId="537DE8CB" w14:textId="77777777">
      <w:pPr>
        <w:jc w:val="both"/>
        <w:rPr>
          <w:rFonts w:ascii="Verdana" w:hAnsi="Verdana" w:eastAsia="Calibri" w:cs="Arial"/>
          <w:b/>
          <w:lang w:val="es-ES_tradnl"/>
        </w:rPr>
      </w:pPr>
      <w:r w:rsidRPr="000B4233">
        <w:rPr>
          <w:rFonts w:ascii="Verdana" w:hAnsi="Verdana" w:eastAsia="Calibri" w:cs="Arial"/>
          <w:b/>
          <w:lang w:val="es-ES_tradnl"/>
        </w:rPr>
        <w:t xml:space="preserve">LEY DE EMPRENDIMIENTO </w:t>
      </w:r>
      <w:r w:rsidRPr="000B4233">
        <w:rPr>
          <w:rFonts w:ascii="Verdana" w:hAnsi="Verdana" w:eastAsia="Calibri" w:cs="Arial"/>
          <w:b/>
          <w:color w:val="000000" w:themeColor="text1"/>
          <w:lang w:val="es-ES_tradnl"/>
        </w:rPr>
        <w:t>–</w:t>
      </w:r>
      <w:r w:rsidRPr="000B4233">
        <w:rPr>
          <w:rFonts w:ascii="Verdana" w:hAnsi="Verdana" w:eastAsia="Calibri" w:cs="Arial"/>
          <w:b/>
          <w:lang w:val="es-ES_tradnl"/>
        </w:rPr>
        <w:t xml:space="preserve"> Ley 2069 de 2020 </w:t>
      </w:r>
      <w:r w:rsidRPr="000B4233">
        <w:rPr>
          <w:rFonts w:ascii="Verdana" w:hAnsi="Verdana" w:eastAsia="Calibri" w:cs="Arial"/>
          <w:b/>
          <w:color w:val="000000" w:themeColor="text1"/>
          <w:lang w:val="es-ES_tradnl"/>
        </w:rPr>
        <w:t xml:space="preserve">– Vigencia </w:t>
      </w:r>
    </w:p>
    <w:p w:rsidRPr="000B4233" w:rsidR="000B4233" w:rsidP="000B4233" w:rsidRDefault="000B4233" w14:paraId="7FBE0ADA" w14:textId="77777777">
      <w:pPr>
        <w:jc w:val="both"/>
        <w:rPr>
          <w:rFonts w:ascii="Verdana" w:hAnsi="Verdana" w:eastAsia="Calibri" w:cs="Arial"/>
          <w:lang w:val="es-ES_tradnl"/>
        </w:rPr>
      </w:pPr>
      <w:r w:rsidRPr="000B4233">
        <w:rPr>
          <w:rFonts w:ascii="Verdana" w:hAnsi="Verdana" w:eastAsia="Calibri" w:cs="Arial"/>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rsidRPr="000B4233" w:rsidR="000B4233" w:rsidP="000B4233" w:rsidRDefault="000B4233" w14:paraId="500966AF" w14:textId="7D03CE4D">
      <w:pPr>
        <w:jc w:val="both"/>
        <w:rPr>
          <w:rFonts w:ascii="Verdana" w:hAnsi="Verdana" w:eastAsia="Calibri" w:cs="Arial"/>
          <w:lang w:val="es-ES"/>
        </w:rPr>
      </w:pPr>
      <w:r w:rsidRPr="000B4233">
        <w:rPr>
          <w:rFonts w:ascii="Verdana" w:hAnsi="Verdana" w:eastAsia="Calibri" w:cs="Arial"/>
          <w:lang w:val="es-ES"/>
        </w:rPr>
        <w:t xml:space="preserve">En cuando al contenido de la Ley en comento, es importante señalar que, como lo expresa su artículo 1, aquella </w:t>
      </w:r>
      <w:r w:rsidR="0057363F">
        <w:rPr>
          <w:rFonts w:ascii="Verdana" w:hAnsi="Verdana" w:eastAsia="Calibri" w:cs="Arial"/>
          <w:lang w:val="es-ES"/>
        </w:rPr>
        <w:t>“</w:t>
      </w:r>
      <w:r w:rsidRPr="000B4233">
        <w:rPr>
          <w:rFonts w:ascii="Verdana" w:hAnsi="Verdana" w:eastAsia="Calibri" w:cs="Arial"/>
          <w:lang w:val="es-ES"/>
        </w:rPr>
        <w:t>tiene por objeto establecer un marco regulatorio que propicie el emprendimiento y el crecimiento, consolidación y sostenibilidad de las empresas, con el fin de aumentar el bienestar social y generar equidad</w:t>
      </w:r>
      <w:r w:rsidR="0057363F">
        <w:rPr>
          <w:rFonts w:ascii="Verdana" w:hAnsi="Verdana" w:eastAsia="Calibri" w:cs="Arial"/>
          <w:lang w:val="es-ES"/>
        </w:rPr>
        <w:t>”</w:t>
      </w:r>
      <w:r w:rsidRPr="000B4233">
        <w:rPr>
          <w:rFonts w:ascii="Verdana" w:hAnsi="Verdana" w:eastAsia="Calibri" w:cs="Arial"/>
          <w:lang w:val="es-ES"/>
        </w:rPr>
        <w:t xml:space="preserve">. Esto, a partir de </w:t>
      </w:r>
      <w:r w:rsidR="0057363F">
        <w:rPr>
          <w:rFonts w:ascii="Verdana" w:hAnsi="Verdana" w:eastAsia="Calibri" w:cs="Arial"/>
          <w:lang w:val="es-ES"/>
        </w:rPr>
        <w:t>“</w:t>
      </w:r>
      <w:r w:rsidRPr="000B4233">
        <w:rPr>
          <w:rFonts w:ascii="Verdana" w:hAnsi="Verdana" w:eastAsia="Calibri" w:cs="Arial"/>
          <w:lang w:val="es-ES"/>
        </w:rPr>
        <w:t>[…] un enfoque regionalizado de acuerdo a las realidades socioeconómicas de cada región</w:t>
      </w:r>
      <w:r w:rsidR="0057363F">
        <w:rPr>
          <w:rFonts w:ascii="Verdana" w:hAnsi="Verdana" w:eastAsia="Calibri" w:cs="Arial"/>
          <w:lang w:val="es-ES"/>
        </w:rPr>
        <w:t>”</w:t>
      </w:r>
      <w:r w:rsidRPr="000B4233">
        <w:rPr>
          <w:rFonts w:ascii="Verdana" w:hAnsi="Verdana" w:eastAsia="Calibri" w:cs="Arial"/>
          <w:lang w:val="es-ES"/>
        </w:rPr>
        <w:t>.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rsidRPr="000B4233" w:rsidR="000B4233" w:rsidP="000B4233" w:rsidRDefault="000B4233" w14:paraId="25F81AE2" w14:textId="3D399660">
      <w:pPr>
        <w:jc w:val="both"/>
        <w:rPr>
          <w:rFonts w:ascii="Verdana" w:hAnsi="Verdana" w:eastAsia="Calibri" w:cs="Arial"/>
          <w:b/>
          <w:lang w:val="es-ES_tradnl"/>
        </w:rPr>
      </w:pPr>
      <w:r w:rsidRPr="000B4233">
        <w:rPr>
          <w:rFonts w:ascii="Verdana" w:hAnsi="Verdana" w:eastAsia="Calibri" w:cs="Arial"/>
          <w:b/>
          <w:lang w:val="es-ES_tradnl"/>
        </w:rPr>
        <w:t>FACTORES DE DES</w:t>
      </w:r>
      <w:r w:rsidR="0057363F">
        <w:rPr>
          <w:rFonts w:ascii="Verdana" w:hAnsi="Verdana" w:eastAsia="Calibri" w:cs="Arial"/>
          <w:b/>
          <w:lang w:val="es-ES_tradnl"/>
        </w:rPr>
        <w:t>A</w:t>
      </w:r>
      <w:r w:rsidRPr="000B4233">
        <w:rPr>
          <w:rFonts w:ascii="Verdana" w:hAnsi="Verdana" w:eastAsia="Calibri" w:cs="Arial"/>
          <w:b/>
          <w:lang w:val="es-ES_tradnl"/>
        </w:rPr>
        <w:t xml:space="preserve">MPATE </w:t>
      </w:r>
      <w:r w:rsidRPr="000B4233">
        <w:rPr>
          <w:rFonts w:ascii="Verdana" w:hAnsi="Verdana" w:eastAsia="Calibri" w:cs="Arial"/>
          <w:b/>
          <w:color w:val="000000" w:themeColor="text1"/>
          <w:lang w:val="es-ES_tradnl"/>
        </w:rPr>
        <w:t>–</w:t>
      </w:r>
      <w:r w:rsidRPr="000B4233">
        <w:rPr>
          <w:rFonts w:ascii="Verdana" w:hAnsi="Verdana" w:eastAsia="Calibri" w:cs="Arial"/>
          <w:b/>
          <w:lang w:val="es-ES_tradnl"/>
        </w:rPr>
        <w:t xml:space="preserve"> Ley 2069 </w:t>
      </w:r>
      <w:r w:rsidRPr="000B4233">
        <w:rPr>
          <w:rFonts w:ascii="Verdana" w:hAnsi="Verdana" w:eastAsia="Calibri" w:cs="Arial"/>
          <w:b/>
          <w:color w:val="000000" w:themeColor="text1"/>
          <w:lang w:val="es-ES_tradnl"/>
        </w:rPr>
        <w:t>– Artículo 35 – Acreditación</w:t>
      </w:r>
    </w:p>
    <w:p w:rsidRPr="000B4233" w:rsidR="000B4233" w:rsidP="000B4233" w:rsidRDefault="000B4233" w14:paraId="45D43377" w14:textId="1540C32A">
      <w:pPr>
        <w:jc w:val="both"/>
        <w:rPr>
          <w:rFonts w:ascii="Verdana" w:hAnsi="Verdana" w:eastAsia="Calibri" w:cs="Arial"/>
          <w:lang w:val="es-ES"/>
        </w:rPr>
      </w:pPr>
      <w:r w:rsidRPr="000B4233">
        <w:rPr>
          <w:rFonts w:ascii="Verdana" w:hAnsi="Verdana" w:eastAsia="Calibri" w:cs="Arial"/>
          <w:lang w:val="es-ES"/>
        </w:rPr>
        <w:t>[…]</w:t>
      </w:r>
      <w:r w:rsidR="0057363F">
        <w:rPr>
          <w:rFonts w:ascii="Verdana" w:hAnsi="Verdana" w:eastAsia="Calibri" w:cs="Arial"/>
          <w:lang w:val="es-ES"/>
        </w:rPr>
        <w:t xml:space="preserve"> E</w:t>
      </w:r>
      <w:r w:rsidRPr="000B4233">
        <w:rPr>
          <w:rFonts w:ascii="Verdana" w:hAnsi="Verdana" w:eastAsia="Calibri" w:cs="Arial"/>
          <w:lang w:val="es-ES"/>
        </w:rPr>
        <w:t xml:space="preserv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w:t>
      </w:r>
      <w:r w:rsidRPr="000B4233">
        <w:rPr>
          <w:rFonts w:ascii="Verdana" w:hAnsi="Verdana" w:eastAsia="Calibri" w:cs="Arial"/>
          <w:lang w:val="es-ES"/>
        </w:rPr>
        <w:lastRenderedPageBreak/>
        <w:t xml:space="preserve">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w:t>
      </w:r>
    </w:p>
    <w:p w:rsidRPr="0057363F" w:rsidR="0057363F" w:rsidP="0057363F" w:rsidRDefault="0057363F" w14:paraId="49802FC6" w14:textId="77777777">
      <w:pPr>
        <w:spacing w:after="0" w:line="240" w:lineRule="auto"/>
        <w:jc w:val="both"/>
        <w:rPr>
          <w:rFonts w:ascii="Verdana" w:hAnsi="Verdana" w:eastAsia="Calibri" w:cs="Arial"/>
          <w:b/>
          <w:bCs/>
          <w:lang w:eastAsia="es-ES_tradnl"/>
        </w:rPr>
      </w:pPr>
      <w:r w:rsidRPr="0057363F">
        <w:rPr>
          <w:rFonts w:ascii="Verdana" w:hAnsi="Verdana" w:eastAsia="Calibri" w:cs="Arial"/>
          <w:b/>
          <w:bCs/>
          <w:lang w:eastAsia="es-ES_tradnl"/>
        </w:rPr>
        <w:t xml:space="preserve">DECRETO 1860 DE 2021 – Vigencia </w:t>
      </w:r>
    </w:p>
    <w:p w:rsidRPr="0057363F" w:rsidR="0057363F" w:rsidP="0057363F" w:rsidRDefault="0057363F" w14:paraId="55B5A641" w14:textId="77777777">
      <w:pPr>
        <w:spacing w:after="0" w:line="240" w:lineRule="auto"/>
        <w:jc w:val="both"/>
        <w:rPr>
          <w:rFonts w:ascii="Verdana" w:hAnsi="Verdana" w:eastAsia="Calibri" w:cs="Arial"/>
          <w:lang w:val="es-ES_tradnl" w:eastAsia="es-ES_tradnl"/>
        </w:rPr>
      </w:pPr>
    </w:p>
    <w:p w:rsidRPr="0057363F" w:rsidR="0057363F" w:rsidP="0057363F" w:rsidRDefault="0057363F" w14:paraId="34B7F7F6" w14:textId="77777777">
      <w:pPr>
        <w:spacing w:after="0" w:line="240" w:lineRule="auto"/>
        <w:jc w:val="both"/>
        <w:rPr>
          <w:rFonts w:ascii="Verdana" w:hAnsi="Verdana" w:eastAsia="Calibri" w:cs="Arial"/>
          <w:lang w:val="es-ES_tradnl" w:eastAsia="es-ES_tradnl"/>
        </w:rPr>
      </w:pPr>
      <w:r w:rsidRPr="0057363F">
        <w:rPr>
          <w:rFonts w:ascii="Verdana" w:hAnsi="Verdana" w:eastAsia="Calibri"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rsidRPr="0057363F" w:rsidR="0057363F" w:rsidP="0057363F" w:rsidRDefault="0057363F" w14:paraId="10B064DF" w14:textId="77777777">
      <w:pPr>
        <w:spacing w:after="0" w:line="240" w:lineRule="auto"/>
        <w:jc w:val="both"/>
        <w:rPr>
          <w:rFonts w:ascii="Verdana" w:hAnsi="Verdana" w:eastAsia="Calibri" w:cs="Arial"/>
          <w:lang w:val="es-ES_tradnl" w:eastAsia="es-ES_tradnl"/>
        </w:rPr>
      </w:pPr>
    </w:p>
    <w:p w:rsidRPr="0057363F" w:rsidR="0057363F" w:rsidP="0057363F" w:rsidRDefault="0057363F" w14:paraId="5A1A83F2" w14:textId="77777777">
      <w:pPr>
        <w:spacing w:after="0" w:line="240" w:lineRule="auto"/>
        <w:jc w:val="both"/>
        <w:rPr>
          <w:rFonts w:ascii="Verdana" w:hAnsi="Verdana" w:eastAsia="Calibri" w:cs="Arial"/>
          <w:lang w:val="es-ES_tradnl" w:eastAsia="es-ES_tradnl"/>
        </w:rPr>
      </w:pPr>
      <w:r w:rsidRPr="0057363F">
        <w:rPr>
          <w:rFonts w:ascii="Verdana" w:hAnsi="Verdana" w:eastAsia="Calibri"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incluyendo los puntajes adicionales y regula su aplicación. </w:t>
      </w:r>
    </w:p>
    <w:p w:rsidRPr="0057363F" w:rsidR="0057363F" w:rsidP="0057363F" w:rsidRDefault="0057363F" w14:paraId="4644B8F3" w14:textId="77777777">
      <w:pPr>
        <w:spacing w:after="0" w:line="240" w:lineRule="auto"/>
        <w:jc w:val="both"/>
        <w:rPr>
          <w:rFonts w:ascii="Verdana" w:hAnsi="Verdana" w:eastAsia="Calibri" w:cs="Arial"/>
          <w:lang w:val="es-ES_tradnl" w:eastAsia="es-ES_tradnl"/>
        </w:rPr>
      </w:pPr>
    </w:p>
    <w:p w:rsidRPr="0057363F" w:rsidR="0057363F" w:rsidP="0057363F" w:rsidRDefault="0057363F" w14:paraId="55781A8B" w14:textId="77777777">
      <w:pPr>
        <w:spacing w:after="0" w:line="240" w:lineRule="auto"/>
        <w:jc w:val="both"/>
        <w:rPr>
          <w:rFonts w:ascii="Verdana" w:hAnsi="Verdana" w:eastAsia="Calibri" w:cs="Arial"/>
          <w:b/>
          <w:bCs/>
          <w:lang w:val="es-ES_tradnl" w:eastAsia="es-ES_tradnl"/>
        </w:rPr>
      </w:pPr>
      <w:r w:rsidRPr="0057363F">
        <w:rPr>
          <w:rFonts w:ascii="Verdana" w:hAnsi="Verdana" w:eastAsia="Calibri" w:cs="Arial"/>
          <w:b/>
          <w:bCs/>
          <w:lang w:eastAsia="es-ES_tradnl"/>
        </w:rPr>
        <w:t xml:space="preserve">DECRETO 1860 DE 2021 – Emprendimientos y empresas de mujeres – Definición – Artículo 2.2.1.2.4.2.14 – Numeral 1 – </w:t>
      </w:r>
      <w:r w:rsidRPr="0057363F">
        <w:rPr>
          <w:rFonts w:ascii="Verdana" w:hAnsi="Verdana" w:eastAsia="Calibri" w:cs="Arial"/>
          <w:b/>
          <w:bCs/>
          <w:lang w:val="es-ES_tradnl" w:eastAsia="es-ES_tradnl"/>
        </w:rPr>
        <w:t>Acreditación</w:t>
      </w:r>
    </w:p>
    <w:p w:rsidRPr="0057363F" w:rsidR="0057363F" w:rsidP="0057363F" w:rsidRDefault="0057363F" w14:paraId="7B9F1F48" w14:textId="77777777">
      <w:pPr>
        <w:spacing w:after="0" w:line="240" w:lineRule="auto"/>
        <w:jc w:val="both"/>
        <w:rPr>
          <w:rFonts w:ascii="Verdana" w:hAnsi="Verdana" w:eastAsia="Calibri" w:cs="Arial"/>
          <w:lang w:eastAsia="es-ES_tradnl"/>
        </w:rPr>
      </w:pPr>
    </w:p>
    <w:p w:rsidRPr="0057363F" w:rsidR="0057363F" w:rsidP="0057363F" w:rsidRDefault="0057363F" w14:paraId="228016BA" w14:textId="77777777">
      <w:pPr>
        <w:spacing w:after="0" w:line="240" w:lineRule="auto"/>
        <w:jc w:val="both"/>
        <w:rPr>
          <w:rFonts w:ascii="Verdana" w:hAnsi="Verdana" w:eastAsia="Calibri" w:cs="Arial"/>
          <w:lang w:val="es-ES_tradnl" w:eastAsia="es-ES_tradnl"/>
        </w:rPr>
      </w:pPr>
      <w:r w:rsidRPr="0057363F">
        <w:rPr>
          <w:rFonts w:ascii="Verdana" w:hAnsi="Verdana" w:eastAsia="Calibri" w:cs="Arial"/>
          <w:lang w:eastAsia="es-ES_tradnl"/>
        </w:rPr>
        <w:t xml:space="preserve">El </w:t>
      </w:r>
      <w:r w:rsidRPr="0057363F">
        <w:rPr>
          <w:rFonts w:ascii="Verdana" w:hAnsi="Verdana" w:eastAsia="Times New Roman" w:cs="Arial"/>
          <w:lang w:val="es-ES_tradnl" w:eastAsia="es-ES"/>
        </w:rPr>
        <w:t xml:space="preserve">numeral primero establece que </w:t>
      </w:r>
      <w:r w:rsidRPr="0057363F">
        <w:rPr>
          <w:rFonts w:ascii="Verdana" w:hAnsi="Verdana" w:eastAsia="Calibri" w:cs="Arial"/>
          <w:lang w:val="es-ES_tradnl"/>
        </w:rPr>
        <w:t xml:space="preserve">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rsidRPr="0057363F" w:rsidR="0057363F" w:rsidP="0057363F" w:rsidRDefault="0057363F" w14:paraId="26F4A3EE" w14:textId="77777777">
      <w:pPr>
        <w:spacing w:after="0" w:line="240" w:lineRule="auto"/>
        <w:jc w:val="both"/>
        <w:rPr>
          <w:rFonts w:ascii="Verdana" w:hAnsi="Verdana" w:eastAsia="Calibri" w:cs="Arial"/>
          <w:lang w:val="es-ES"/>
        </w:rPr>
      </w:pPr>
    </w:p>
    <w:p w:rsidRPr="0057363F" w:rsidR="0057363F" w:rsidP="0057363F" w:rsidRDefault="0057363F" w14:paraId="1241AA72" w14:textId="77777777">
      <w:pPr>
        <w:spacing w:after="0" w:line="240" w:lineRule="auto"/>
        <w:jc w:val="both"/>
        <w:rPr>
          <w:rFonts w:ascii="Verdana" w:hAnsi="Verdana" w:eastAsia="Calibri" w:cs="Arial"/>
          <w:lang w:eastAsia="es-ES"/>
        </w:rPr>
      </w:pPr>
      <w:r w:rsidRPr="0057363F">
        <w:rPr>
          <w:rFonts w:ascii="Verdana" w:hAnsi="Verdana" w:eastAsia="Calibri" w:cs="Arial"/>
          <w:lang w:val="es-ES"/>
        </w:rPr>
        <w:t xml:space="preserve">Esto quiere decir que, no basta con que la participación en una sociedad sea mayoritariamente de mujeres para que sea considerada como un </w:t>
      </w:r>
      <w:r w:rsidRPr="0057363F">
        <w:rPr>
          <w:rFonts w:ascii="Verdana" w:hAnsi="Verdana" w:eastAsia="Calibri" w:cs="Arial"/>
          <w:lang w:val="es-ES"/>
        </w:rPr>
        <w:lastRenderedPageBreak/>
        <w:t>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rsidRPr="0057363F" w:rsidR="0057363F" w:rsidP="0057363F" w:rsidRDefault="0057363F" w14:paraId="7C3487BD" w14:textId="77777777">
      <w:pPr>
        <w:rPr>
          <w:rFonts w:ascii="Verdana" w:hAnsi="Verdana"/>
        </w:rPr>
      </w:pPr>
      <w:r w:rsidRPr="0057363F">
        <w:rPr>
          <w:rFonts w:ascii="Verdana" w:hAnsi="Verdana"/>
        </w:rPr>
        <w:br w:type="page"/>
      </w:r>
    </w:p>
    <w:p w:rsidRPr="000B4233" w:rsidR="000B4233" w:rsidP="000B4233" w:rsidRDefault="000B4233" w14:paraId="0AAC2228" w14:textId="77777777">
      <w:pPr>
        <w:spacing w:line="276" w:lineRule="auto"/>
        <w:jc w:val="both"/>
        <w:rPr>
          <w:rFonts w:ascii="Verdana" w:hAnsi="Verdana" w:cs="Arial"/>
          <w:noProof/>
          <w:color w:val="000000" w:themeColor="text1"/>
          <w:lang w:val="es-ES_tradnl"/>
        </w:rPr>
      </w:pPr>
    </w:p>
    <w:p w:rsidR="007E4284" w:rsidP="00E245AB" w:rsidRDefault="00E245AB" w14:paraId="61B7AFE9" w14:textId="472800D7">
      <w:pPr>
        <w:spacing w:after="0"/>
        <w:rPr>
          <w:rFonts w:ascii="Verdana" w:hAnsi="Verdana"/>
        </w:rPr>
      </w:pPr>
      <w:r w:rsidRPr="0044528D">
        <w:rPr>
          <w:rFonts w:ascii="Verdana" w:hAnsi="Verdana"/>
        </w:rPr>
        <w:t xml:space="preserve">Bogotá D.C., </w:t>
      </w:r>
      <w:r w:rsidR="001259F2">
        <w:rPr>
          <w:rFonts w:ascii="Verdana" w:hAnsi="Verdana"/>
        </w:rPr>
        <w:t>22 de octubre de 2024</w:t>
      </w:r>
    </w:p>
    <w:p w:rsidR="007E4284" w:rsidP="00E245AB" w:rsidRDefault="007E4284" w14:paraId="79BAB92E" w14:textId="77777777">
      <w:pPr>
        <w:spacing w:after="0"/>
        <w:rPr>
          <w:rFonts w:ascii="Verdana" w:hAnsi="Verdana"/>
        </w:rPr>
      </w:pPr>
    </w:p>
    <w:p w:rsidR="007E4284" w:rsidP="001259F2" w:rsidRDefault="001259F2" w14:paraId="59DC7E7A" w14:textId="3BF64232">
      <w:pPr>
        <w:spacing w:after="0"/>
        <w:jc w:val="right"/>
        <w:rPr>
          <w:rFonts w:ascii="Verdana" w:hAnsi="Verdana"/>
        </w:rPr>
      </w:pPr>
      <w:r>
        <w:rPr>
          <w:rFonts w:ascii="Verdana" w:hAnsi="Verdana"/>
          <w:noProof/>
        </w:rPr>
        <w:drawing>
          <wp:inline distT="0" distB="0" distL="0" distR="0" wp14:anchorId="256AA6A5" wp14:editId="15A37CC5">
            <wp:extent cx="2781300" cy="876300"/>
            <wp:effectExtent l="0" t="0" r="0" b="0"/>
            <wp:docPr id="1896444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876300"/>
                    </a:xfrm>
                    <a:prstGeom prst="rect">
                      <a:avLst/>
                    </a:prstGeom>
                    <a:noFill/>
                    <a:ln>
                      <a:noFill/>
                    </a:ln>
                  </pic:spPr>
                </pic:pic>
              </a:graphicData>
            </a:graphic>
          </wp:inline>
        </w:drawing>
      </w:r>
    </w:p>
    <w:p w:rsidRPr="00560511" w:rsidR="007E4284" w:rsidP="007E4284" w:rsidRDefault="007E4284" w14:paraId="7AED0527" w14:textId="77777777">
      <w:pPr>
        <w:spacing w:after="0" w:line="240" w:lineRule="auto"/>
        <w:jc w:val="both"/>
        <w:rPr>
          <w:rFonts w:ascii="Verdana" w:hAnsi="Verdana" w:eastAsia="Calibri" w:cs="Arial"/>
          <w:lang w:eastAsia="es-ES"/>
        </w:rPr>
      </w:pPr>
      <w:r w:rsidRPr="00560511">
        <w:rPr>
          <w:rFonts w:ascii="Verdana" w:hAnsi="Verdana" w:eastAsia="Calibri" w:cs="Arial"/>
          <w:lang w:eastAsia="es-ES"/>
        </w:rPr>
        <w:t>Señor</w:t>
      </w:r>
    </w:p>
    <w:p w:rsidR="007E4284" w:rsidP="007E4284" w:rsidRDefault="00862ACC" w14:paraId="71EBAC84" w14:textId="6D74D45C">
      <w:pPr>
        <w:spacing w:after="0" w:line="240" w:lineRule="auto"/>
        <w:rPr>
          <w:rFonts w:ascii="Verdana" w:hAnsi="Verdana" w:eastAsia="Calibri" w:cs="Arial"/>
          <w:b/>
          <w:bCs/>
          <w:lang w:eastAsia="es-ES_tradnl"/>
        </w:rPr>
      </w:pPr>
      <w:r>
        <w:rPr>
          <w:rFonts w:ascii="Verdana" w:hAnsi="Verdana" w:eastAsia="Calibri" w:cs="Arial"/>
          <w:b/>
          <w:bCs/>
          <w:lang w:eastAsia="es-ES_tradnl"/>
        </w:rPr>
        <w:t>JUAN PABLO MUÑOZ ANDRADE</w:t>
      </w:r>
    </w:p>
    <w:p w:rsidRPr="00303188" w:rsidR="00303188" w:rsidP="007E4284" w:rsidRDefault="00303188" w14:paraId="14E74FC4" w14:textId="2092FB21">
      <w:pPr>
        <w:spacing w:after="0" w:line="240" w:lineRule="auto"/>
        <w:rPr>
          <w:rFonts w:ascii="Verdana" w:hAnsi="Verdana"/>
        </w:rPr>
      </w:pPr>
      <w:hyperlink w:history="1" r:id="rId12">
        <w:r w:rsidRPr="00303188">
          <w:rPr>
            <w:rStyle w:val="Hipervnculo"/>
            <w:rFonts w:ascii="Verdana" w:hAnsi="Verdana"/>
          </w:rPr>
          <w:t>juanpablo.munoz@ingeplan.co</w:t>
        </w:r>
      </w:hyperlink>
    </w:p>
    <w:p w:rsidRPr="00B96799" w:rsidR="007E4284" w:rsidP="007E4284" w:rsidRDefault="007E4284" w14:paraId="1458EAD2" w14:textId="35298530">
      <w:pPr>
        <w:spacing w:after="0" w:line="240" w:lineRule="auto"/>
        <w:rPr>
          <w:rFonts w:ascii="Verdana" w:hAnsi="Verdana" w:eastAsia="Calibri" w:cs="Arial"/>
          <w:b/>
          <w:bCs/>
          <w:lang w:val="es-ES" w:eastAsia="es-ES"/>
        </w:rPr>
      </w:pPr>
      <w:r>
        <w:rPr>
          <w:rFonts w:ascii="Verdana" w:hAnsi="Verdana" w:eastAsia="Calibri" w:cs="Arial"/>
          <w:lang w:val="es-ES" w:eastAsia="es-ES"/>
        </w:rPr>
        <w:t>Bogotá D.C.</w:t>
      </w:r>
    </w:p>
    <w:p w:rsidRPr="00593A5F" w:rsidR="007E4284" w:rsidP="007E4284" w:rsidRDefault="007E4284" w14:paraId="323534CF"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804"/>
      </w:tblGrid>
      <w:tr w:rsidRPr="00593A5F" w:rsidR="007E4284" w:rsidTr="00730488" w14:paraId="7B89B37C" w14:textId="77777777">
        <w:trPr>
          <w:trHeight w:val="884"/>
        </w:trPr>
        <w:tc>
          <w:tcPr>
            <w:tcW w:w="2410" w:type="dxa"/>
          </w:tcPr>
          <w:p w:rsidRPr="00E5644F" w:rsidR="007E4284" w:rsidP="00730488" w:rsidRDefault="007E4284" w14:paraId="3E37BDB8" w14:textId="77777777">
            <w:pPr>
              <w:jc w:val="both"/>
              <w:rPr>
                <w:rFonts w:ascii="Verdana" w:hAnsi="Verdana" w:eastAsia="Calibri" w:cs="Arial"/>
                <w:b/>
                <w:bCs/>
                <w:color w:val="7030A0"/>
                <w:lang w:val="es-ES_tradnl" w:eastAsia="es-ES_tradnl"/>
              </w:rPr>
            </w:pPr>
          </w:p>
        </w:tc>
        <w:tc>
          <w:tcPr>
            <w:tcW w:w="6804" w:type="dxa"/>
          </w:tcPr>
          <w:p w:rsidRPr="00E5644F" w:rsidR="007E4284" w:rsidP="00730488" w:rsidRDefault="007E4284" w14:paraId="7B76117C" w14:textId="1EB43B40">
            <w:pPr>
              <w:jc w:val="both"/>
              <w:rPr>
                <w:rFonts w:ascii="Verdana" w:hAnsi="Verdana" w:eastAsia="Calibri" w:cs="Arial"/>
                <w:b/>
                <w:bCs/>
                <w:color w:val="7030A0"/>
                <w:lang w:val="es-ES" w:eastAsia="es-ES"/>
              </w:rPr>
            </w:pPr>
            <w:r w:rsidRPr="00E5644F">
              <w:rPr>
                <w:rFonts w:ascii="Verdana" w:hAnsi="Verdana" w:eastAsia="Calibri" w:cs="Arial"/>
                <w:b/>
                <w:bCs/>
                <w:lang w:val="es-ES" w:eastAsia="es-ES"/>
              </w:rPr>
              <w:t xml:space="preserve">Concepto C- </w:t>
            </w:r>
            <w:r w:rsidR="00F70D14">
              <w:rPr>
                <w:rFonts w:ascii="Verdana" w:hAnsi="Verdana" w:eastAsia="Calibri" w:cs="Arial"/>
                <w:b/>
                <w:bCs/>
                <w:lang w:val="es-ES" w:eastAsia="es-ES"/>
              </w:rPr>
              <w:t>574</w:t>
            </w:r>
            <w:r>
              <w:rPr>
                <w:rFonts w:ascii="Verdana" w:hAnsi="Verdana" w:eastAsia="Calibri" w:cs="Arial"/>
                <w:b/>
                <w:bCs/>
                <w:lang w:val="es-ES" w:eastAsia="es-ES"/>
              </w:rPr>
              <w:t xml:space="preserve"> </w:t>
            </w:r>
            <w:r w:rsidRPr="00E5644F">
              <w:rPr>
                <w:rFonts w:ascii="Verdana" w:hAnsi="Verdana" w:eastAsia="Calibri" w:cs="Arial"/>
                <w:b/>
                <w:bCs/>
                <w:lang w:val="es-ES" w:eastAsia="es-ES"/>
              </w:rPr>
              <w:t>de 2024</w:t>
            </w:r>
          </w:p>
        </w:tc>
      </w:tr>
      <w:tr w:rsidRPr="00593A5F" w:rsidR="007E4284" w:rsidTr="00730488" w14:paraId="2C0FD36D" w14:textId="77777777">
        <w:trPr>
          <w:trHeight w:val="884"/>
        </w:trPr>
        <w:tc>
          <w:tcPr>
            <w:tcW w:w="2410" w:type="dxa"/>
          </w:tcPr>
          <w:p w:rsidRPr="00593A5F" w:rsidR="007E4284" w:rsidP="00730488" w:rsidRDefault="007E4284" w14:paraId="6CB79C8C"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tcPr>
          <w:p w:rsidR="000F57DE" w:rsidP="00730488" w:rsidRDefault="00C90A74" w14:paraId="195BC9A2" w14:textId="48974EDF">
            <w:pPr>
              <w:spacing w:line="276" w:lineRule="auto"/>
              <w:jc w:val="both"/>
              <w:rPr>
                <w:rFonts w:ascii="Verdana" w:hAnsi="Verdana" w:eastAsia="Calibri" w:cs="Arial"/>
                <w:lang w:val="es-ES" w:eastAsia="es-ES"/>
              </w:rPr>
            </w:pPr>
            <w:r w:rsidRPr="00C90A74">
              <w:rPr>
                <w:rFonts w:ascii="Verdana" w:hAnsi="Verdana" w:eastAsia="Calibri" w:cs="Arial"/>
                <w:bCs/>
                <w:lang w:val="es-ES_tradnl"/>
              </w:rPr>
              <w:t xml:space="preserve">SELECCIÓN OBJETIVA </w:t>
            </w:r>
            <w:r w:rsidRPr="00C90A74">
              <w:rPr>
                <w:rFonts w:ascii="Verdana" w:hAnsi="Verdana" w:eastAsia="Calibri" w:cs="Arial"/>
                <w:bCs/>
                <w:color w:val="000000" w:themeColor="text1"/>
                <w:lang w:val="es-ES_tradnl"/>
              </w:rPr>
              <w:t>–</w:t>
            </w:r>
            <w:r w:rsidRPr="00C90A74">
              <w:rPr>
                <w:rFonts w:ascii="Verdana" w:hAnsi="Verdana" w:eastAsia="Calibri" w:cs="Arial"/>
                <w:bCs/>
                <w:lang w:val="es-ES_tradnl"/>
              </w:rPr>
              <w:t xml:space="preserve"> Contratación estatal</w:t>
            </w:r>
            <w:r w:rsidRPr="000B4233">
              <w:rPr>
                <w:rFonts w:ascii="Verdana" w:hAnsi="Verdana" w:eastAsia="Calibri" w:cs="Arial"/>
                <w:b/>
                <w:lang w:val="es-ES_tradnl"/>
              </w:rPr>
              <w:t xml:space="preserve"> </w:t>
            </w:r>
            <w:r w:rsidRPr="000B4233">
              <w:rPr>
                <w:rFonts w:ascii="Verdana" w:hAnsi="Verdana" w:eastAsia="Calibri" w:cs="Arial"/>
                <w:b/>
                <w:color w:val="000000" w:themeColor="text1"/>
                <w:lang w:val="es-ES_tradnl"/>
              </w:rPr>
              <w:t xml:space="preserve">– </w:t>
            </w:r>
            <w:r w:rsidRPr="0057363F" w:rsidR="0057363F">
              <w:rPr>
                <w:rFonts w:ascii="Verdana" w:hAnsi="Verdana" w:eastAsia="Calibri" w:cs="Arial"/>
                <w:lang w:val="es-ES" w:eastAsia="es-ES"/>
              </w:rPr>
              <w:t>EMPATE – Procedimiento de selección – Concepto / FACTORES DE DESEMPATE – Características – Límites / LEY DE EMPRENDIMIENTO – Ley 2069 de 2020 – Vigencia / FACTORES DE DESEMPATE – Ley 2069 – Artículo 35 – Acreditación</w:t>
            </w:r>
            <w:r w:rsidR="0057363F">
              <w:rPr>
                <w:rFonts w:ascii="Verdana" w:hAnsi="Verdana" w:eastAsia="Calibri" w:cs="Arial"/>
                <w:lang w:val="es-ES" w:eastAsia="es-ES"/>
              </w:rPr>
              <w:t xml:space="preserve">, </w:t>
            </w:r>
            <w:r w:rsidRPr="0057363F" w:rsidR="0057363F">
              <w:rPr>
                <w:rFonts w:ascii="Verdana" w:hAnsi="Verdana" w:eastAsia="Calibri" w:cs="Arial"/>
                <w:lang w:val="es-ES" w:eastAsia="es-ES"/>
              </w:rPr>
              <w:t xml:space="preserve">Decreto 1860 </w:t>
            </w:r>
            <w:r w:rsidR="0057363F">
              <w:rPr>
                <w:rFonts w:ascii="Verdana" w:hAnsi="Verdana" w:eastAsia="Calibri" w:cs="Arial"/>
                <w:lang w:val="es-ES" w:eastAsia="es-ES"/>
              </w:rPr>
              <w:t>de</w:t>
            </w:r>
            <w:r w:rsidRPr="0057363F" w:rsidR="0057363F">
              <w:rPr>
                <w:rFonts w:ascii="Verdana" w:hAnsi="Verdana" w:eastAsia="Calibri" w:cs="Arial"/>
                <w:lang w:val="es-ES" w:eastAsia="es-ES"/>
              </w:rPr>
              <w:t xml:space="preserve"> 2021</w:t>
            </w:r>
            <w:r w:rsidR="00DA43F8">
              <w:rPr>
                <w:rFonts w:ascii="Verdana" w:hAnsi="Verdana" w:eastAsia="Calibri" w:cs="Arial"/>
                <w:lang w:val="es-ES" w:eastAsia="es-ES"/>
              </w:rPr>
              <w:t xml:space="preserve"> </w:t>
            </w:r>
            <w:r w:rsidR="00DA43F8">
              <w:rPr>
                <w:rFonts w:ascii="Verdana" w:hAnsi="Verdana" w:eastAsia="Calibri" w:cs="Arial"/>
                <w:color w:val="000000" w:themeColor="text1"/>
                <w:lang w:val="es-ES_tradnl"/>
              </w:rPr>
              <w:t xml:space="preserve">el </w:t>
            </w:r>
            <w:r w:rsidRPr="00152D71" w:rsidR="00DA43F8">
              <w:rPr>
                <w:rFonts w:ascii="Verdana" w:hAnsi="Verdana" w:eastAsia="Calibri" w:cs="Arial"/>
                <w:color w:val="000000" w:themeColor="text1"/>
                <w:lang w:val="es-ES_tradnl"/>
              </w:rPr>
              <w:t>Artículo 2.2.1.2.4.2.14</w:t>
            </w:r>
            <w:r w:rsidR="00DA43F8">
              <w:rPr>
                <w:rFonts w:ascii="Verdana" w:hAnsi="Verdana" w:eastAsia="Calibri" w:cs="Arial"/>
                <w:color w:val="000000" w:themeColor="text1"/>
                <w:lang w:val="es-ES_tradnl"/>
              </w:rPr>
              <w:t xml:space="preserve"> y el </w:t>
            </w:r>
            <w:r w:rsidRPr="00152D71" w:rsidR="00DA43F8">
              <w:rPr>
                <w:rFonts w:ascii="Verdana" w:hAnsi="Verdana" w:eastAsia="Calibri" w:cs="Arial"/>
                <w:color w:val="000000" w:themeColor="text1"/>
                <w:lang w:val="es-ES_tradnl"/>
              </w:rPr>
              <w:t>Artículo 2.2.1.2.4.2.1</w:t>
            </w:r>
            <w:r w:rsidR="00DA43F8">
              <w:rPr>
                <w:rFonts w:ascii="Verdana" w:hAnsi="Verdana" w:eastAsia="Calibri" w:cs="Arial"/>
                <w:color w:val="000000" w:themeColor="text1"/>
                <w:lang w:val="es-ES_tradnl"/>
              </w:rPr>
              <w:t>5.</w:t>
            </w:r>
          </w:p>
          <w:p w:rsidRPr="00E6165F" w:rsidR="0057363F" w:rsidP="00730488" w:rsidRDefault="0057363F" w14:paraId="4D3602A2" w14:textId="26870CAC">
            <w:pPr>
              <w:spacing w:line="276" w:lineRule="auto"/>
              <w:jc w:val="both"/>
              <w:rPr>
                <w:rFonts w:ascii="Verdana" w:hAnsi="Verdana" w:eastAsia="Calibri" w:cs="Arial"/>
                <w:lang w:val="es-ES" w:eastAsia="es-ES"/>
              </w:rPr>
            </w:pPr>
          </w:p>
        </w:tc>
      </w:tr>
      <w:tr w:rsidRPr="00593A5F" w:rsidR="007E4284" w:rsidTr="00730488" w14:paraId="614F6563" w14:textId="77777777">
        <w:tc>
          <w:tcPr>
            <w:tcW w:w="2410" w:type="dxa"/>
          </w:tcPr>
          <w:p w:rsidRPr="006730E9" w:rsidR="007E4284" w:rsidP="00730488" w:rsidRDefault="007E4284" w14:paraId="762EB684"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tcPr>
          <w:p w:rsidRPr="006730E9" w:rsidR="007E4284" w:rsidP="00730488" w:rsidRDefault="007E4284" w14:paraId="791CCF73" w14:textId="524EA2E7">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FC1099">
              <w:rPr>
                <w:rFonts w:ascii="Verdana" w:hAnsi="Verdana" w:eastAsia="Calibri" w:cs="Arial"/>
                <w:lang w:val="es-ES_tradnl" w:eastAsia="es-ES_tradnl"/>
              </w:rPr>
              <w:t>P2024</w:t>
            </w:r>
            <w:r w:rsidR="00862ACC">
              <w:rPr>
                <w:rFonts w:ascii="Verdana" w:hAnsi="Verdana" w:eastAsia="Calibri" w:cs="Arial"/>
                <w:lang w:val="es-ES_tradnl" w:eastAsia="es-ES_tradnl"/>
              </w:rPr>
              <w:t>0909009183</w:t>
            </w:r>
          </w:p>
        </w:tc>
      </w:tr>
    </w:tbl>
    <w:p w:rsidRPr="00593A5F" w:rsidR="007E4284" w:rsidP="007E4284" w:rsidRDefault="007E4284" w14:paraId="3DF1757C" w14:textId="77777777">
      <w:pPr>
        <w:spacing w:after="0" w:line="240" w:lineRule="auto"/>
        <w:jc w:val="both"/>
        <w:rPr>
          <w:rFonts w:ascii="Verdana" w:hAnsi="Verdana" w:eastAsia="Calibri" w:cs="Arial"/>
          <w:color w:val="000000"/>
          <w:lang w:val="es-ES_tradnl" w:eastAsia="es-ES_tradnl"/>
        </w:rPr>
      </w:pPr>
    </w:p>
    <w:p w:rsidRPr="00593A5F" w:rsidR="007E4284" w:rsidP="007E4284" w:rsidRDefault="007E4284" w14:paraId="7334ECD0" w14:textId="77777777">
      <w:pPr>
        <w:spacing w:after="0" w:line="240" w:lineRule="auto"/>
        <w:jc w:val="both"/>
        <w:rPr>
          <w:rFonts w:ascii="Verdana" w:hAnsi="Verdana" w:eastAsia="Calibri" w:cs="Arial"/>
          <w:color w:val="000000"/>
          <w:lang w:val="es-ES_tradnl" w:eastAsia="es-ES_tradnl"/>
        </w:rPr>
      </w:pPr>
    </w:p>
    <w:p w:rsidRPr="006730E9" w:rsidR="007E4284" w:rsidP="007E4284" w:rsidRDefault="007E4284" w14:paraId="506DCE70" w14:textId="3A9CB275">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sidRPr="00263A88" w:rsidR="00263A88">
        <w:rPr>
          <w:rFonts w:ascii="Verdana" w:hAnsi="Verdana" w:eastAsia="Calibri" w:cs="Arial"/>
          <w:lang w:val="es-ES" w:eastAsia="es-ES"/>
        </w:rPr>
        <w:t>Muñoz</w:t>
      </w:r>
      <w:r>
        <w:rPr>
          <w:rFonts w:ascii="Verdana" w:hAnsi="Verdana" w:eastAsia="Calibri" w:cs="Arial"/>
          <w:lang w:val="es-ES" w:eastAsia="es-ES"/>
        </w:rPr>
        <w:t>;</w:t>
      </w:r>
      <w:r w:rsidRPr="006730E9">
        <w:rPr>
          <w:rFonts w:ascii="Verdana" w:hAnsi="Verdana" w:eastAsia="Calibri" w:cs="Arial"/>
          <w:lang w:val="es-ES" w:eastAsia="es-ES"/>
        </w:rPr>
        <w:t xml:space="preserve"> </w:t>
      </w:r>
    </w:p>
    <w:p w:rsidR="007E4284" w:rsidP="007E4284" w:rsidRDefault="007E4284" w14:paraId="1F9587AA"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7E4284" w:rsidP="007E4284" w:rsidRDefault="007E4284" w14:paraId="46824A97" w14:textId="68CBEBC9">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w:t>
      </w:r>
      <w:r>
        <w:rPr>
          <w:rFonts w:ascii="Verdana" w:hAnsi="Verdana" w:eastAsia="Calibri" w:cs="Arial"/>
          <w:lang w:val="es-ES" w:eastAsia="es-ES"/>
        </w:rPr>
        <w:t xml:space="preserve">radicada en esta entidad </w:t>
      </w:r>
      <w:r w:rsidRPr="00E5644F">
        <w:rPr>
          <w:rFonts w:ascii="Verdana" w:hAnsi="Verdana" w:eastAsia="Calibri" w:cs="Arial"/>
          <w:lang w:val="es-ES" w:eastAsia="es-ES"/>
        </w:rPr>
        <w:t xml:space="preserve">el </w:t>
      </w:r>
      <w:r w:rsidR="00263A88">
        <w:rPr>
          <w:rFonts w:ascii="Verdana" w:hAnsi="Verdana" w:eastAsia="Calibri" w:cs="Arial"/>
          <w:lang w:val="es-ES" w:eastAsia="es-ES"/>
        </w:rPr>
        <w:t>10</w:t>
      </w:r>
      <w:r w:rsidRPr="00E5644F">
        <w:rPr>
          <w:rFonts w:ascii="Verdana" w:hAnsi="Verdana" w:eastAsia="Calibri" w:cs="Arial"/>
          <w:lang w:val="es-ES" w:eastAsia="es-ES"/>
        </w:rPr>
        <w:t xml:space="preserve"> de </w:t>
      </w:r>
      <w:r w:rsidR="00263A88">
        <w:rPr>
          <w:rFonts w:ascii="Verdana" w:hAnsi="Verdana" w:eastAsia="Calibri" w:cs="Arial"/>
          <w:lang w:val="es-ES" w:eastAsia="es-ES"/>
        </w:rPr>
        <w:t>septiembre</w:t>
      </w:r>
      <w:r w:rsidRPr="00E5644F">
        <w:rPr>
          <w:rFonts w:ascii="Verdana" w:hAnsi="Verdana" w:eastAsia="Calibri" w:cs="Arial"/>
          <w:lang w:val="es-ES" w:eastAsia="es-ES"/>
        </w:rPr>
        <w:t xml:space="preserve"> de 2024, en</w:t>
      </w:r>
      <w:r w:rsidRPr="006730E9">
        <w:rPr>
          <w:rFonts w:ascii="Verdana" w:hAnsi="Verdana" w:eastAsia="Calibri" w:cs="Arial"/>
          <w:lang w:val="es-ES" w:eastAsia="es-ES"/>
        </w:rPr>
        <w:t xml:space="preserve"> la cual manifiesta lo siguiente: </w:t>
      </w:r>
    </w:p>
    <w:p w:rsidRPr="00326382" w:rsidR="007E4284" w:rsidP="007E4284" w:rsidRDefault="007E4284" w14:paraId="0F7467CA" w14:textId="77777777">
      <w:pPr>
        <w:spacing w:after="0" w:line="240" w:lineRule="auto"/>
        <w:ind w:left="709" w:right="709"/>
        <w:jc w:val="both"/>
        <w:rPr>
          <w:rFonts w:ascii="Verdana" w:hAnsi="Verdana" w:cs="Arial"/>
          <w:sz w:val="20"/>
          <w:szCs w:val="20"/>
          <w:shd w:val="clear" w:color="auto" w:fill="FFFFFF"/>
        </w:rPr>
      </w:pPr>
      <w:bookmarkStart w:name="_Hlk95313578" w:id="1"/>
    </w:p>
    <w:bookmarkEnd w:id="1"/>
    <w:p w:rsidR="007E4284" w:rsidP="007E4284" w:rsidRDefault="00ED23CC" w14:paraId="7FBE5731" w14:textId="370B720C">
      <w:pPr>
        <w:pStyle w:val="Prrafodelista"/>
        <w:tabs>
          <w:tab w:val="left" w:pos="142"/>
          <w:tab w:val="left" w:pos="284"/>
        </w:tabs>
        <w:spacing w:after="0" w:line="240" w:lineRule="auto"/>
        <w:ind w:left="425" w:right="1185"/>
        <w:jc w:val="both"/>
        <w:rPr>
          <w:rFonts w:ascii="Verdana" w:hAnsi="Verdana" w:eastAsia="Century Gothic" w:cs="Century Gothic"/>
          <w:i/>
          <w:iCs/>
          <w:lang w:val="es-CO"/>
        </w:rPr>
      </w:pPr>
      <w:r>
        <w:rPr>
          <w:rFonts w:ascii="Verdana" w:hAnsi="Verdana" w:eastAsia="Century Gothic" w:cs="Century Gothic"/>
          <w:i/>
          <w:iCs/>
          <w:lang w:val="es-CO"/>
        </w:rPr>
        <w:t xml:space="preserve">  </w:t>
      </w:r>
      <w:r w:rsidRPr="00263A88" w:rsidR="007E4284">
        <w:rPr>
          <w:rFonts w:ascii="Verdana" w:hAnsi="Verdana" w:eastAsia="Century Gothic" w:cs="Century Gothic"/>
          <w:i/>
          <w:iCs/>
          <w:lang w:val="es-CO"/>
        </w:rPr>
        <w:t>(…)</w:t>
      </w:r>
    </w:p>
    <w:p w:rsidRPr="00263A88" w:rsidR="00263A88" w:rsidP="007E4284" w:rsidRDefault="00263A88" w14:paraId="2ECE7296" w14:textId="77777777">
      <w:pPr>
        <w:pStyle w:val="Prrafodelista"/>
        <w:tabs>
          <w:tab w:val="left" w:pos="142"/>
          <w:tab w:val="left" w:pos="284"/>
        </w:tabs>
        <w:spacing w:after="0" w:line="240" w:lineRule="auto"/>
        <w:ind w:left="425" w:right="1185"/>
        <w:jc w:val="both"/>
        <w:rPr>
          <w:rFonts w:ascii="Verdana" w:hAnsi="Verdana" w:eastAsia="Century Gothic" w:cs="Century Gothic"/>
          <w:i/>
          <w:iCs/>
          <w:lang w:val="es-CO"/>
        </w:rPr>
      </w:pPr>
    </w:p>
    <w:p w:rsidRPr="00ED23CC" w:rsidR="00ED23CC" w:rsidP="00ED23CC" w:rsidRDefault="00ED23CC" w14:paraId="22A025D2" w14:textId="35754DB9">
      <w:pPr>
        <w:pStyle w:val="Prrafodelista"/>
        <w:numPr>
          <w:ilvl w:val="0"/>
          <w:numId w:val="21"/>
        </w:numPr>
        <w:spacing w:after="0" w:line="276" w:lineRule="auto"/>
        <w:jc w:val="both"/>
        <w:rPr>
          <w:rFonts w:ascii="Verdana" w:hAnsi="Verdana" w:eastAsia="Calibri" w:cs="Arial"/>
          <w:i/>
          <w:iCs/>
          <w:color w:val="000000"/>
          <w:lang w:eastAsia="es-ES"/>
        </w:rPr>
      </w:pPr>
      <w:r w:rsidRPr="00ED23CC">
        <w:rPr>
          <w:rFonts w:ascii="Verdana" w:hAnsi="Verdana" w:eastAsia="Calibri" w:cs="Arial"/>
          <w:i/>
          <w:iCs/>
          <w:color w:val="000000"/>
          <w:lang w:eastAsia="es-ES"/>
        </w:rPr>
        <w:t xml:space="preserve">¿Es correcto afirmar que para la acreditación del factor de desempate No.2 en procesos de selección adelantados por Entidades públicas, la </w:t>
      </w:r>
      <w:r w:rsidRPr="00ED23CC">
        <w:rPr>
          <w:rFonts w:ascii="Verdana" w:hAnsi="Verdana" w:eastAsia="Calibri" w:cs="Arial"/>
          <w:i/>
          <w:iCs/>
          <w:color w:val="000000"/>
          <w:lang w:eastAsia="es-ES"/>
        </w:rPr>
        <w:lastRenderedPageBreak/>
        <w:t xml:space="preserve">condición de mujer cabeza de familia NO se configura por el hecho de que la mujer aporte económicamente de manera significativa al sustento de su hogar sino </w:t>
      </w:r>
      <w:r w:rsidRPr="00ED23CC">
        <w:rPr>
          <w:rFonts w:ascii="Verdana" w:hAnsi="Verdana" w:eastAsia="Calibri" w:cs="Arial"/>
          <w:i/>
          <w:iCs/>
          <w:color w:val="000000"/>
          <w:lang w:val="es-CO" w:eastAsia="es-ES"/>
        </w:rPr>
        <w:t xml:space="preserve">más bien porque la mujer ejerce la jefatura de su hogar, entendiendo esta como la situación en la cual ella asume la responsabilidad principal o única en la provisión económica del hogar y además dirige el mismo, entendiendo que son las responsables de los aspectos sociales y afectivos del hogar? </w:t>
      </w:r>
    </w:p>
    <w:p w:rsidRPr="00ED23CC" w:rsidR="00ED23CC" w:rsidP="00ED23CC" w:rsidRDefault="00ED23CC" w14:paraId="5074D688" w14:textId="77777777">
      <w:pPr>
        <w:pStyle w:val="Prrafodelista"/>
        <w:numPr>
          <w:ilvl w:val="0"/>
          <w:numId w:val="21"/>
        </w:numPr>
        <w:spacing w:after="0" w:line="276" w:lineRule="auto"/>
        <w:jc w:val="both"/>
        <w:rPr>
          <w:rFonts w:ascii="Verdana" w:hAnsi="Verdana" w:eastAsia="Calibri" w:cs="Arial"/>
          <w:i/>
          <w:iCs/>
          <w:color w:val="000000"/>
          <w:lang w:eastAsia="es-ES"/>
        </w:rPr>
      </w:pPr>
      <w:r w:rsidRPr="00ED23CC">
        <w:rPr>
          <w:rFonts w:ascii="Verdana" w:hAnsi="Verdana" w:eastAsia="Calibri" w:cs="Arial"/>
          <w:i/>
          <w:iCs/>
          <w:color w:val="000000"/>
          <w:lang w:eastAsia="es-ES"/>
        </w:rPr>
        <w:t xml:space="preserve">¿ Es posible que el proponente acredite el criterio de desempate No.2 cuando la mujer tiene a su cargo económicamente personas incapaces o incapacitadas para trabajar pero las cuales no guardan afinidad sanguínea o civil por adopción con la mujer?, ¿Se considera entonces que en los casos donde existe consanguinidad civil o incluso ningún tipo de consanguinidad la mujer puede ser considerada cabeza de familia por configurarse como el sustento único o principal de la personas incapacitada para trabajar? </w:t>
      </w:r>
    </w:p>
    <w:p w:rsidR="00ED23CC" w:rsidP="00ED23CC" w:rsidRDefault="00ED23CC" w14:paraId="528AE4B8" w14:textId="62C5AC74">
      <w:pPr>
        <w:pStyle w:val="Prrafodelista"/>
        <w:numPr>
          <w:ilvl w:val="0"/>
          <w:numId w:val="21"/>
        </w:numPr>
        <w:spacing w:after="0" w:line="276" w:lineRule="auto"/>
        <w:jc w:val="both"/>
        <w:rPr>
          <w:rFonts w:ascii="Verdana" w:hAnsi="Verdana" w:eastAsia="Calibri" w:cs="Arial"/>
          <w:i/>
          <w:iCs/>
          <w:color w:val="000000"/>
          <w:lang w:eastAsia="es-ES"/>
        </w:rPr>
      </w:pPr>
      <w:r w:rsidRPr="00ED23CC">
        <w:rPr>
          <w:rFonts w:ascii="Verdana" w:hAnsi="Verdana" w:eastAsia="Calibri" w:cs="Arial"/>
          <w:i/>
          <w:iCs/>
          <w:color w:val="000000"/>
          <w:lang w:eastAsia="es-ES"/>
        </w:rPr>
        <w:t>¿Es correcto afirmar que una mujer que responde temporalmente por hijos menores propios u otras personas incapaces o incapacitadas para trabajar no puede acreditar la condición de mujer cabeza de familia ya que para hacerlo debe responder por estos de manera permanente?</w:t>
      </w:r>
    </w:p>
    <w:p w:rsidR="00ED23CC" w:rsidP="00ED23CC" w:rsidRDefault="00ED23CC" w14:paraId="437625FA" w14:textId="35EAB9E0">
      <w:pPr>
        <w:pStyle w:val="Prrafodelista"/>
        <w:numPr>
          <w:ilvl w:val="0"/>
          <w:numId w:val="21"/>
        </w:numPr>
        <w:spacing w:after="0" w:line="276" w:lineRule="auto"/>
        <w:jc w:val="both"/>
        <w:rPr>
          <w:rFonts w:ascii="Verdana" w:hAnsi="Verdana" w:eastAsia="Calibri" w:cs="Arial"/>
          <w:i/>
          <w:iCs/>
          <w:color w:val="000000"/>
          <w:lang w:eastAsia="es-ES"/>
        </w:rPr>
      </w:pPr>
      <w:r w:rsidRPr="00ED23CC">
        <w:rPr>
          <w:rFonts w:ascii="Verdana" w:hAnsi="Verdana" w:eastAsia="Calibri" w:cs="Arial"/>
          <w:i/>
          <w:iCs/>
          <w:color w:val="000000"/>
          <w:lang w:eastAsia="es-ES"/>
        </w:rPr>
        <w:t>¿Es correcto afirmar que una mujer cabeza de familia con unión marital de hecho vigente puede acreditar la condición de mujer cabeza de familia, o, necesariamente esta debe acreditarse mediante el estado civil de soltera o casada?</w:t>
      </w:r>
    </w:p>
    <w:p w:rsidRPr="00ED23CC" w:rsidR="00ED23CC" w:rsidP="00ED23CC" w:rsidRDefault="00ED23CC" w14:paraId="02757508" w14:textId="3F763AB8">
      <w:pPr>
        <w:pStyle w:val="Prrafodelista"/>
        <w:numPr>
          <w:ilvl w:val="0"/>
          <w:numId w:val="21"/>
        </w:numPr>
        <w:spacing w:after="0" w:line="276" w:lineRule="auto"/>
        <w:jc w:val="both"/>
        <w:rPr>
          <w:rFonts w:ascii="Verdana" w:hAnsi="Verdana" w:eastAsia="Calibri" w:cs="Arial"/>
          <w:i/>
          <w:iCs/>
          <w:color w:val="000000"/>
          <w:lang w:eastAsia="es-ES"/>
        </w:rPr>
      </w:pPr>
      <w:r w:rsidRPr="00ED23CC">
        <w:rPr>
          <w:rFonts w:ascii="Verdana" w:hAnsi="Verdana" w:eastAsia="Calibri" w:cs="Arial"/>
          <w:i/>
          <w:iCs/>
          <w:color w:val="000000"/>
          <w:lang w:eastAsia="es-ES"/>
        </w:rPr>
        <w:t>¿Es correcto afirmar que para acreditar el factor de desempate No.7 el documento de declaración ante notario debe consagrar explícitamente que la mujer ostenta la condición de madre?</w:t>
      </w:r>
    </w:p>
    <w:p w:rsidRPr="00ED23CC" w:rsidR="00ED23CC" w:rsidP="00ED23CC" w:rsidRDefault="00ED23CC" w14:paraId="3A95D593" w14:textId="74D7AD19">
      <w:pPr>
        <w:spacing w:after="0" w:line="276" w:lineRule="auto"/>
        <w:ind w:left="567"/>
        <w:jc w:val="both"/>
        <w:rPr>
          <w:rFonts w:ascii="Verdana" w:hAnsi="Verdana" w:eastAsia="Calibri" w:cs="Arial"/>
          <w:i/>
          <w:iCs/>
          <w:color w:val="000000"/>
          <w:lang w:val="es-ES" w:eastAsia="es-ES"/>
        </w:rPr>
      </w:pPr>
    </w:p>
    <w:p w:rsidRPr="00593A5F" w:rsidR="007E4284" w:rsidP="007E4284" w:rsidRDefault="007E4284" w14:paraId="2A463E1B"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7E4284" w:rsidP="007E4284" w:rsidRDefault="007E4284" w14:paraId="63C967C0" w14:textId="77777777">
      <w:pPr>
        <w:tabs>
          <w:tab w:val="left" w:pos="426"/>
        </w:tabs>
        <w:spacing w:after="0" w:line="276" w:lineRule="auto"/>
        <w:jc w:val="both"/>
        <w:rPr>
          <w:rFonts w:ascii="Verdana" w:hAnsi="Verdana" w:eastAsia="Century Gothic" w:cs="Century Gothic"/>
          <w:lang w:val="es-ES"/>
        </w:rPr>
      </w:pPr>
    </w:p>
    <w:p w:rsidRPr="00727DDD" w:rsidR="00727DDD" w:rsidP="00ED23CC" w:rsidRDefault="00ED23CC" w14:paraId="660759A1" w14:textId="46A15734">
      <w:pPr>
        <w:pStyle w:val="Prrafodelista"/>
        <w:ind w:left="0" w:right="49"/>
        <w:jc w:val="both"/>
        <w:rPr>
          <w:rFonts w:ascii="Verdana" w:hAnsi="Verdana" w:eastAsia="Century Gothic" w:cs="Century Gothic"/>
          <w:i/>
          <w:iCs/>
        </w:rPr>
      </w:pPr>
      <w:r w:rsidRPr="00ED23CC">
        <w:rPr>
          <w:rFonts w:ascii="Verdana" w:hAnsi="Verdana" w:eastAsia="Century Gothic" w:cs="Century Gothic"/>
          <w:i/>
          <w:iCs/>
        </w:rPr>
        <w:t xml:space="preserve">De acuerdo con el contenido de su solicitud, esta Agencia resolverá los siguientes problemas jurídicos: i) </w:t>
      </w:r>
      <w:r w:rsidRPr="00727DDD">
        <w:rPr>
          <w:rFonts w:ascii="Verdana" w:hAnsi="Verdana" w:eastAsia="Century Gothic" w:cs="Century Gothic"/>
          <w:i/>
          <w:iCs/>
        </w:rPr>
        <w:t xml:space="preserve">¿Cuál es la forma de acreditación de los criterios de desempate previstos en el numeral 2 del artículo </w:t>
      </w:r>
      <w:r w:rsidRPr="00727DDD" w:rsidR="00727DDD">
        <w:rPr>
          <w:rFonts w:ascii="Verdana" w:hAnsi="Verdana" w:eastAsia="Century Gothic" w:cs="Century Gothic"/>
          <w:i/>
          <w:iCs/>
        </w:rPr>
        <w:t xml:space="preserve">35 </w:t>
      </w:r>
      <w:r w:rsidRPr="00727DDD">
        <w:rPr>
          <w:rFonts w:ascii="Verdana" w:hAnsi="Verdana" w:eastAsia="Century Gothic" w:cs="Century Gothic"/>
          <w:i/>
          <w:iCs/>
        </w:rPr>
        <w:t>de</w:t>
      </w:r>
      <w:r w:rsidRPr="00727DDD" w:rsidR="00727DDD">
        <w:rPr>
          <w:rFonts w:ascii="Verdana" w:hAnsi="Verdana" w:eastAsia="Century Gothic" w:cs="Century Gothic"/>
          <w:i/>
          <w:iCs/>
        </w:rPr>
        <w:t xml:space="preserve"> </w:t>
      </w:r>
      <w:r w:rsidRPr="00727DDD">
        <w:rPr>
          <w:rFonts w:ascii="Verdana" w:hAnsi="Verdana" w:eastAsia="Century Gothic" w:cs="Century Gothic"/>
          <w:i/>
          <w:iCs/>
        </w:rPr>
        <w:t>la Ley 2069</w:t>
      </w:r>
      <w:r w:rsidRPr="00727DDD" w:rsidR="00727DDD">
        <w:rPr>
          <w:rFonts w:ascii="Verdana" w:hAnsi="Verdana" w:eastAsia="Century Gothic" w:cs="Century Gothic"/>
          <w:i/>
          <w:iCs/>
        </w:rPr>
        <w:t xml:space="preserve"> de 2020</w:t>
      </w:r>
      <w:r w:rsidRPr="00ED23CC">
        <w:rPr>
          <w:rFonts w:ascii="Verdana" w:hAnsi="Verdana" w:eastAsia="Century Gothic" w:cs="Century Gothic"/>
          <w:i/>
          <w:iCs/>
        </w:rPr>
        <w:t xml:space="preserve">? ii) </w:t>
      </w:r>
      <w:r w:rsidRPr="00727DDD" w:rsidR="00727DDD">
        <w:rPr>
          <w:rFonts w:ascii="Verdana" w:hAnsi="Verdana" w:eastAsia="Century Gothic" w:cs="Century Gothic"/>
          <w:i/>
          <w:iCs/>
        </w:rPr>
        <w:t>¿</w:t>
      </w:r>
      <w:r w:rsidRPr="00727DDD" w:rsidR="00727DDD">
        <w:rPr>
          <w:rFonts w:ascii="Verdana" w:hAnsi="Verdana" w:eastAsia="Calibri" w:cs="Arial"/>
          <w:i/>
          <w:iCs/>
          <w:color w:val="000000"/>
          <w:lang w:eastAsia="es-ES"/>
        </w:rPr>
        <w:t>Es posible acreditar el factor de desempate No 7 con una declaración ante notario en el que se indique explícitamente que la mujer ostenta la condición de madre</w:t>
      </w:r>
      <w:r w:rsidR="00A81B68">
        <w:rPr>
          <w:rFonts w:ascii="Verdana" w:hAnsi="Verdana" w:eastAsia="Calibri" w:cs="Arial"/>
          <w:i/>
          <w:iCs/>
          <w:color w:val="000000"/>
          <w:lang w:eastAsia="es-ES"/>
        </w:rPr>
        <w:t xml:space="preserve"> cabeza de familia</w:t>
      </w:r>
      <w:r w:rsidRPr="00ED23CC" w:rsidR="00727DDD">
        <w:rPr>
          <w:rFonts w:ascii="Verdana" w:hAnsi="Verdana" w:eastAsia="Century Gothic" w:cs="Century Gothic"/>
          <w:i/>
          <w:iCs/>
        </w:rPr>
        <w:t>?</w:t>
      </w:r>
      <w:r w:rsidR="005A44D7">
        <w:rPr>
          <w:rFonts w:ascii="Verdana" w:hAnsi="Verdana" w:eastAsia="Century Gothic" w:cs="Century Gothic"/>
          <w:i/>
          <w:iCs/>
        </w:rPr>
        <w:t>.</w:t>
      </w:r>
    </w:p>
    <w:p w:rsidRPr="001B53B7" w:rsidR="007E4284" w:rsidP="007E4284" w:rsidRDefault="007E4284" w14:paraId="45F0EEA0" w14:textId="77777777">
      <w:pPr>
        <w:pStyle w:val="Prrafodelista"/>
        <w:spacing w:after="0" w:line="276" w:lineRule="auto"/>
        <w:ind w:left="426" w:right="1041"/>
        <w:jc w:val="both"/>
        <w:rPr>
          <w:rFonts w:ascii="Verdana" w:hAnsi="Verdana" w:eastAsia="Calibri" w:cs="Arial"/>
          <w:color w:val="7030A0"/>
        </w:rPr>
      </w:pPr>
    </w:p>
    <w:p w:rsidRPr="00593A5F" w:rsidR="007E4284" w:rsidP="007E4284" w:rsidRDefault="007E4284" w14:paraId="46FF43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7E4284" w:rsidP="007E4284" w:rsidRDefault="007E4284" w14:paraId="49C585E9"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7E4284" w:rsidTr="53EB113E" w14:paraId="17A28E7E" w14:textId="77777777">
        <w:tc>
          <w:tcPr>
            <w:tcW w:w="8828" w:type="dxa"/>
            <w:shd w:val="clear" w:color="auto" w:fill="auto"/>
            <w:tcMar/>
          </w:tcPr>
          <w:p w:rsidR="00F53FE4" w:rsidP="00730488" w:rsidRDefault="00200416" w14:paraId="110D91E6" w14:textId="5DFC4058">
            <w:pPr>
              <w:spacing w:after="120" w:line="276" w:lineRule="auto"/>
              <w:jc w:val="both"/>
              <w:rPr>
                <w:rFonts w:ascii="Verdana" w:hAnsi="Verdana" w:eastAsia="Calibri" w:cs="Arial"/>
                <w:color w:val="000000" w:themeColor="text1"/>
                <w:lang w:val="es-ES_tradnl"/>
              </w:rPr>
            </w:pPr>
            <w:r w:rsidRPr="000260A3">
              <w:rPr>
                <w:rFonts w:ascii="Verdana" w:hAnsi="Verdana" w:eastAsia="Calibri" w:cs="Arial"/>
                <w:color w:val="000000" w:themeColor="text1"/>
                <w:lang w:val="es-ES_tradnl"/>
              </w:rPr>
              <w:lastRenderedPageBreak/>
              <w:t>Los numerales 1 al 12 del artículo 35 de la Ley 2069 de 2020</w:t>
            </w:r>
            <w:r w:rsidR="005E1068">
              <w:rPr>
                <w:rFonts w:ascii="Verdana" w:hAnsi="Verdana" w:eastAsia="Calibri" w:cs="Arial"/>
                <w:color w:val="000000" w:themeColor="text1"/>
                <w:lang w:val="es-ES_tradnl"/>
              </w:rPr>
              <w:t xml:space="preserve"> </w:t>
            </w:r>
            <w:r w:rsidRPr="005E1068" w:rsidR="005E1068">
              <w:rPr>
                <w:rFonts w:ascii="Verdana" w:hAnsi="Verdana" w:eastAsia="Calibri" w:cs="Arial"/>
                <w:color w:val="000000" w:themeColor="text1"/>
                <w:lang w:val="es-ES_tradnl"/>
              </w:rPr>
              <w:t>establece las condiciones y requisitos en atención a los cuales se definen los criterios de desempate</w:t>
            </w:r>
            <w:r w:rsidR="009549FC">
              <w:rPr>
                <w:rFonts w:ascii="Verdana" w:hAnsi="Verdana" w:eastAsia="Calibri" w:cs="Arial"/>
                <w:color w:val="000000" w:themeColor="text1"/>
                <w:lang w:val="es-ES_tradnl"/>
              </w:rPr>
              <w:t xml:space="preserve"> </w:t>
            </w:r>
            <w:r w:rsidRPr="009549FC" w:rsidR="009549FC">
              <w:rPr>
                <w:rFonts w:ascii="Verdana" w:hAnsi="Verdana" w:eastAsia="Calibri" w:cs="Arial"/>
                <w:color w:val="000000" w:themeColor="text1"/>
              </w:rPr>
              <w:t xml:space="preserve">en los </w:t>
            </w:r>
            <w:r w:rsidR="009549FC">
              <w:rPr>
                <w:rFonts w:ascii="Verdana" w:hAnsi="Verdana" w:eastAsia="Calibri" w:cs="Arial"/>
                <w:color w:val="000000" w:themeColor="text1"/>
              </w:rPr>
              <w:t>p</w:t>
            </w:r>
            <w:r w:rsidRPr="009549FC" w:rsidR="009549FC">
              <w:rPr>
                <w:rFonts w:ascii="Verdana" w:hAnsi="Verdana" w:eastAsia="Calibri" w:cs="Arial"/>
                <w:color w:val="000000" w:themeColor="text1"/>
              </w:rPr>
              <w:t xml:space="preserve">rocesos de </w:t>
            </w:r>
            <w:r w:rsidR="009549FC">
              <w:rPr>
                <w:rFonts w:ascii="Verdana" w:hAnsi="Verdana" w:eastAsia="Calibri" w:cs="Arial"/>
                <w:color w:val="000000" w:themeColor="text1"/>
              </w:rPr>
              <w:t>c</w:t>
            </w:r>
            <w:r w:rsidRPr="009549FC" w:rsidR="009549FC">
              <w:rPr>
                <w:rFonts w:ascii="Verdana" w:hAnsi="Verdana" w:eastAsia="Calibri" w:cs="Arial"/>
                <w:color w:val="000000" w:themeColor="text1"/>
              </w:rPr>
              <w:t>ontratación realizados con cargo a recursos públicos</w:t>
            </w:r>
            <w:r w:rsidR="009549FC">
              <w:rPr>
                <w:rFonts w:ascii="Verdana" w:hAnsi="Verdana" w:eastAsia="Calibri" w:cs="Arial"/>
                <w:color w:val="000000" w:themeColor="text1"/>
              </w:rPr>
              <w:t>.</w:t>
            </w:r>
          </w:p>
          <w:p w:rsidR="00F53FE4" w:rsidP="00730488" w:rsidRDefault="009549FC" w14:paraId="10B40EB0" w14:textId="21EBCE53">
            <w:pPr>
              <w:spacing w:after="120" w:line="276" w:lineRule="auto"/>
              <w:jc w:val="both"/>
              <w:rPr>
                <w:rFonts w:ascii="Verdana" w:hAnsi="Verdana" w:eastAsia="Calibri" w:cs="Arial"/>
                <w:color w:val="000000" w:themeColor="text1"/>
                <w:lang w:val="es-ES_tradnl"/>
              </w:rPr>
            </w:pPr>
            <w:r>
              <w:rPr>
                <w:rFonts w:ascii="Verdana" w:hAnsi="Verdana" w:eastAsia="Calibri" w:cs="Arial"/>
                <w:color w:val="000000" w:themeColor="text1"/>
                <w:lang w:val="es-ES_tradnl"/>
              </w:rPr>
              <w:t xml:space="preserve">Es asi como el numeral 2 establece que se debe </w:t>
            </w:r>
            <w:r w:rsidRPr="009549FC">
              <w:rPr>
                <w:rFonts w:ascii="Verdana" w:hAnsi="Verdana" w:eastAsia="Calibri" w:cs="Arial"/>
                <w:i/>
                <w:iCs/>
                <w:color w:val="000000" w:themeColor="text1"/>
                <w:lang w:val="es-ES_tradnl"/>
              </w:rPr>
              <w:t>“p</w:t>
            </w:r>
            <w:r w:rsidRPr="009549FC">
              <w:rPr>
                <w:rFonts w:ascii="Verdana" w:hAnsi="Verdana" w:eastAsia="Calibri" w:cs="Arial"/>
                <w:i/>
                <w:iCs/>
                <w:color w:val="000000" w:themeColor="text1"/>
              </w:rPr>
              <w:t>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rsidR="006D51B6" w:rsidP="00730488" w:rsidRDefault="006D51B6" w14:paraId="31D491FF" w14:textId="77777777">
            <w:pPr>
              <w:spacing w:after="120" w:line="276" w:lineRule="auto"/>
              <w:jc w:val="both"/>
              <w:rPr>
                <w:rFonts w:ascii="Verdana" w:hAnsi="Verdana" w:eastAsia="Calibri" w:cs="Arial"/>
                <w:color w:val="000000" w:themeColor="text1"/>
                <w:lang w:val="es-ES_tradnl"/>
              </w:rPr>
            </w:pPr>
            <w:r>
              <w:rPr>
                <w:rFonts w:ascii="Verdana" w:hAnsi="Verdana" w:eastAsia="Calibri" w:cs="Arial"/>
                <w:color w:val="000000" w:themeColor="text1"/>
                <w:lang w:val="es-ES_tradnl"/>
              </w:rPr>
              <w:t xml:space="preserve">Ahora bien,  estos </w:t>
            </w:r>
            <w:r w:rsidRPr="001A5B8C">
              <w:rPr>
                <w:rFonts w:ascii="Verdana" w:hAnsi="Verdana" w:eastAsia="Calibri" w:cs="Arial"/>
                <w:color w:val="000000" w:themeColor="text1"/>
                <w:lang w:val="es-ES"/>
              </w:rPr>
              <w:t>numerales no establecen un medio específico para acreditar las circunstancias a las que se refieren</w:t>
            </w:r>
            <w:r>
              <w:rPr>
                <w:rFonts w:ascii="Verdana" w:hAnsi="Verdana" w:eastAsia="Calibri" w:cs="Arial"/>
                <w:color w:val="000000" w:themeColor="text1"/>
                <w:lang w:val="es-ES"/>
              </w:rPr>
              <w:t xml:space="preserve"> por lo que la misma norma en su </w:t>
            </w:r>
            <w:r>
              <w:rPr>
                <w:rFonts w:ascii="Verdana" w:hAnsi="Verdana" w:eastAsia="Calibri" w:cs="Arial"/>
                <w:color w:val="000000" w:themeColor="text1"/>
                <w:lang w:val="es-ES_tradnl"/>
              </w:rPr>
              <w:t xml:space="preserve">parágrafo tercero indica </w:t>
            </w:r>
            <w:r w:rsidRPr="006D51B6">
              <w:rPr>
                <w:rFonts w:ascii="Verdana" w:hAnsi="Verdana" w:eastAsia="Calibri" w:cs="Arial"/>
                <w:color w:val="000000" w:themeColor="text1"/>
                <w:lang w:val="es-ES_tradnl"/>
              </w:rPr>
              <w:t>la necesidad de</w:t>
            </w:r>
            <w:r>
              <w:rPr>
                <w:rFonts w:ascii="Verdana" w:hAnsi="Verdana" w:eastAsia="Calibri" w:cs="Arial"/>
                <w:color w:val="000000" w:themeColor="text1"/>
                <w:lang w:val="es-ES_tradnl"/>
              </w:rPr>
              <w:t xml:space="preserve"> un</w:t>
            </w:r>
            <w:r w:rsidRPr="006D51B6">
              <w:rPr>
                <w:rFonts w:ascii="Verdana" w:hAnsi="Verdana" w:eastAsia="Calibri" w:cs="Arial"/>
                <w:color w:val="000000" w:themeColor="text1"/>
                <w:lang w:val="es-ES_tradnl"/>
              </w:rPr>
              <w:t xml:space="preserve"> desarrollo normativo posterior</w:t>
            </w:r>
            <w:r>
              <w:rPr>
                <w:rFonts w:ascii="Verdana" w:hAnsi="Verdana" w:eastAsia="Calibri" w:cs="Arial"/>
                <w:color w:val="000000" w:themeColor="text1"/>
                <w:lang w:val="es-ES_tradnl"/>
              </w:rPr>
              <w:t>.</w:t>
            </w:r>
          </w:p>
          <w:p w:rsidR="00A86A9B" w:rsidP="53EB113E" w:rsidRDefault="006D51B6" w14:paraId="6DC9665E" w14:textId="77777777">
            <w:pPr>
              <w:spacing w:after="120" w:line="276" w:lineRule="auto"/>
              <w:jc w:val="both"/>
              <w:rPr>
                <w:rFonts w:ascii="Verdana" w:hAnsi="Verdana" w:eastAsia="Calibri" w:cs="Arial"/>
                <w:color w:val="000000" w:themeColor="text1"/>
                <w:lang w:val="es-ES"/>
              </w:rPr>
            </w:pPr>
            <w:r w:rsidRPr="53EB113E" w:rsidR="006D51B6">
              <w:rPr>
                <w:rFonts w:ascii="Verdana" w:hAnsi="Verdana" w:eastAsia="Calibri" w:cs="Arial"/>
                <w:color w:val="000000" w:themeColor="text1" w:themeTint="FF" w:themeShade="FF"/>
                <w:lang w:val="es-ES"/>
              </w:rPr>
              <w:t>En este context</w:t>
            </w:r>
            <w:r w:rsidRPr="53EB113E" w:rsidR="006D51B6">
              <w:rPr>
                <w:rFonts w:ascii="Verdana" w:hAnsi="Verdana" w:eastAsia="Calibri" w:cs="Arial"/>
                <w:color w:val="000000" w:themeColor="text1" w:themeTint="FF" w:themeShade="FF"/>
                <w:lang w:val="es-ES"/>
              </w:rPr>
              <w:t>o</w:t>
            </w:r>
            <w:r w:rsidRPr="53EB113E" w:rsidR="006D51B6">
              <w:rPr>
                <w:rFonts w:ascii="Verdana" w:hAnsi="Verdana" w:eastAsia="Calibri" w:cs="Arial"/>
                <w:color w:val="000000" w:themeColor="text1" w:themeTint="FF" w:themeShade="FF"/>
                <w:lang w:val="es-ES"/>
              </w:rPr>
              <w:t xml:space="preserve">, el </w:t>
            </w:r>
            <w:r w:rsidRPr="53EB113E" w:rsidR="006D51B6">
              <w:rPr>
                <w:rFonts w:ascii="Verdana" w:hAnsi="Verdana" w:eastAsia="Calibri" w:cs="Arial"/>
                <w:color w:val="000000" w:themeColor="text1" w:themeTint="FF" w:themeShade="FF"/>
                <w:lang w:val="es-ES"/>
              </w:rPr>
              <w:t>G</w:t>
            </w:r>
            <w:r w:rsidRPr="53EB113E" w:rsidR="006D51B6">
              <w:rPr>
                <w:rFonts w:ascii="Verdana" w:hAnsi="Verdana" w:eastAsia="Calibri" w:cs="Arial"/>
                <w:color w:val="000000" w:themeColor="text1" w:themeTint="FF" w:themeShade="FF"/>
                <w:lang w:val="es-ES"/>
              </w:rPr>
              <w:t>obierno nacional expidió el Decreto 1860 de 2021</w:t>
            </w:r>
            <w:r w:rsidRPr="53EB113E" w:rsidR="0097111E">
              <w:rPr>
                <w:rFonts w:ascii="Verdana" w:hAnsi="Verdana" w:eastAsia="Calibri" w:cs="Arial"/>
                <w:color w:val="000000" w:themeColor="text1" w:themeTint="FF" w:themeShade="FF"/>
                <w:lang w:val="es-ES"/>
              </w:rPr>
              <w:t xml:space="preserve"> en donde se </w:t>
            </w:r>
            <w:r w:rsidRPr="53EB113E" w:rsidR="0097111E">
              <w:rPr>
                <w:rFonts w:ascii="Verdana" w:hAnsi="Verdana" w:eastAsia="Calibri" w:cs="Arial"/>
                <w:color w:val="000000" w:themeColor="text1" w:themeTint="FF" w:themeShade="FF"/>
                <w:lang w:val="es-ES"/>
              </w:rPr>
              <w:t>establece las condiciones y requisitos en atención a los cuales se definen los empresas y emprendimientos de mujeres, a las que les aplican los criterios di</w:t>
            </w:r>
            <w:r w:rsidRPr="53EB113E" w:rsidR="00152D71">
              <w:rPr>
                <w:rFonts w:ascii="Verdana" w:hAnsi="Verdana" w:eastAsia="Calibri" w:cs="Arial"/>
                <w:color w:val="000000" w:themeColor="text1" w:themeTint="FF" w:themeShade="FF"/>
                <w:lang w:val="es-ES"/>
              </w:rPr>
              <w:t>f</w:t>
            </w:r>
            <w:r w:rsidRPr="53EB113E" w:rsidR="0097111E">
              <w:rPr>
                <w:rFonts w:ascii="Verdana" w:hAnsi="Verdana" w:eastAsia="Calibri" w:cs="Arial"/>
                <w:color w:val="000000" w:themeColor="text1" w:themeTint="FF" w:themeShade="FF"/>
                <w:lang w:val="es-ES"/>
              </w:rPr>
              <w:t xml:space="preserve">erenciales. </w:t>
            </w:r>
            <w:r w:rsidRPr="53EB113E" w:rsidR="00152D71">
              <w:rPr>
                <w:rFonts w:ascii="Verdana" w:hAnsi="Verdana" w:eastAsia="Calibri" w:cs="Arial"/>
                <w:color w:val="000000" w:themeColor="text1" w:themeTint="FF" w:themeShade="FF"/>
                <w:lang w:val="es-ES"/>
              </w:rPr>
              <w:t>Asi las cosas</w:t>
            </w:r>
            <w:r w:rsidRPr="53EB113E" w:rsidR="00504F7B">
              <w:rPr>
                <w:rFonts w:ascii="Verdana" w:hAnsi="Verdana" w:eastAsia="Calibri" w:cs="Arial"/>
                <w:color w:val="000000" w:themeColor="text1" w:themeTint="FF" w:themeShade="FF"/>
                <w:lang w:val="es-ES"/>
              </w:rPr>
              <w:t>, el</w:t>
            </w:r>
            <w:r w:rsidRPr="53EB113E" w:rsidR="00152D71">
              <w:rPr>
                <w:rFonts w:ascii="Verdana" w:hAnsi="Verdana" w:eastAsia="Calibri" w:cs="Arial"/>
                <w:color w:val="000000" w:themeColor="text1" w:themeTint="FF" w:themeShade="FF"/>
                <w:lang w:val="es-ES"/>
              </w:rPr>
              <w:t xml:space="preserve"> </w:t>
            </w:r>
            <w:r w:rsidRPr="53EB113E" w:rsidR="00152D71">
              <w:rPr>
                <w:rFonts w:ascii="Verdana" w:hAnsi="Verdana" w:eastAsia="Calibri" w:cs="Arial"/>
                <w:color w:val="000000" w:themeColor="text1" w:themeTint="FF" w:themeShade="FF"/>
                <w:lang w:val="es-ES"/>
              </w:rPr>
              <w:t xml:space="preserve">Artículo 2.2.1.2.4.2.14. </w:t>
            </w:r>
            <w:r w:rsidRPr="53EB113E" w:rsidR="00152D71">
              <w:rPr>
                <w:rFonts w:ascii="Verdana" w:hAnsi="Verdana" w:eastAsia="Calibri" w:cs="Arial"/>
                <w:color w:val="000000" w:themeColor="text1" w:themeTint="FF" w:themeShade="FF"/>
                <w:lang w:val="es-ES"/>
              </w:rPr>
              <w:t>del mencionado decreto establece</w:t>
            </w:r>
            <w:r w:rsidRPr="53EB113E" w:rsidR="0097111E">
              <w:rPr>
                <w:rFonts w:ascii="Verdana" w:hAnsi="Verdana" w:eastAsia="Calibri" w:cs="Arial"/>
                <w:color w:val="000000" w:themeColor="text1" w:themeTint="FF" w:themeShade="FF"/>
                <w:lang w:val="es-ES"/>
              </w:rPr>
              <w:t xml:space="preserve"> </w:t>
            </w:r>
            <w:r w:rsidRPr="53EB113E" w:rsidR="00152D71">
              <w:rPr>
                <w:rFonts w:ascii="Verdana" w:hAnsi="Verdana" w:eastAsia="Calibri" w:cs="Arial"/>
                <w:color w:val="000000" w:themeColor="text1" w:themeTint="FF" w:themeShade="FF"/>
                <w:lang w:val="es-ES"/>
              </w:rPr>
              <w:t xml:space="preserve">en sus </w:t>
            </w:r>
            <w:r w:rsidRPr="53EB113E" w:rsidR="0097111E">
              <w:rPr>
                <w:rFonts w:ascii="Verdana" w:hAnsi="Verdana" w:eastAsia="Calibri" w:cs="Arial"/>
                <w:color w:val="000000" w:themeColor="text1" w:themeTint="FF" w:themeShade="FF"/>
                <w:lang w:val="es-ES"/>
              </w:rPr>
              <w:t>cuatro numerales</w:t>
            </w:r>
            <w:r w:rsidRPr="53EB113E" w:rsidR="00152D71">
              <w:rPr>
                <w:rFonts w:ascii="Verdana" w:hAnsi="Verdana" w:eastAsia="Calibri" w:cs="Arial"/>
                <w:color w:val="000000" w:themeColor="text1" w:themeTint="FF" w:themeShade="FF"/>
                <w:lang w:val="es-ES"/>
              </w:rPr>
              <w:t xml:space="preserve"> las condiciones</w:t>
            </w:r>
            <w:r w:rsidRPr="53EB113E" w:rsidR="0097111E">
              <w:rPr>
                <w:rFonts w:ascii="Verdana" w:hAnsi="Verdana" w:eastAsia="Calibri" w:cs="Arial"/>
                <w:color w:val="000000" w:themeColor="text1" w:themeTint="FF" w:themeShade="FF"/>
                <w:lang w:val="es-ES"/>
              </w:rPr>
              <w:t xml:space="preserve"> alternativas que definen los emprendimientos y empresas de mujeres, a efectos de aplicar los criterios diferenciales</w:t>
            </w:r>
            <w:r w:rsidRPr="53EB113E" w:rsidR="0097111E">
              <w:rPr>
                <w:rFonts w:ascii="Verdana" w:hAnsi="Verdana" w:eastAsia="Calibri" w:cs="Arial"/>
                <w:color w:val="000000" w:themeColor="text1" w:themeTint="FF" w:themeShade="FF"/>
                <w:lang w:val="es-ES"/>
              </w:rPr>
              <w:t>.</w:t>
            </w:r>
            <w:r w:rsidRPr="53EB113E" w:rsidR="007204CA">
              <w:rPr>
                <w:rFonts w:ascii="Verdana" w:hAnsi="Verdana" w:eastAsia="Calibri" w:cs="Arial"/>
                <w:color w:val="000000" w:themeColor="text1" w:themeTint="FF" w:themeShade="FF"/>
                <w:lang w:val="es-ES"/>
              </w:rPr>
              <w:t xml:space="preserve"> </w:t>
            </w:r>
          </w:p>
          <w:p w:rsidR="00A86A9B" w:rsidP="53EB113E" w:rsidRDefault="00A86A9B" w14:paraId="68B329C6" w14:textId="7D50D29D">
            <w:pPr>
              <w:spacing w:after="120" w:line="276" w:lineRule="auto"/>
              <w:jc w:val="both"/>
              <w:rPr>
                <w:rFonts w:ascii="Verdana" w:hAnsi="Verdana" w:eastAsia="Calibri" w:cs="Arial"/>
                <w:color w:val="000000" w:themeColor="text1"/>
                <w:lang w:val="es-ES"/>
              </w:rPr>
            </w:pPr>
            <w:r w:rsidRPr="53EB113E" w:rsidR="00A86A9B">
              <w:rPr>
                <w:rFonts w:ascii="Verdana" w:hAnsi="Verdana" w:eastAsia="Calibri" w:cs="Arial"/>
                <w:color w:val="000000" w:themeColor="text1" w:themeTint="FF" w:themeShade="FF"/>
                <w:lang w:val="es-ES"/>
              </w:rPr>
              <w:t>De esta manera f</w:t>
            </w:r>
            <w:r w:rsidRPr="53EB113E" w:rsidR="00A86A9B">
              <w:rPr>
                <w:rFonts w:ascii="Verdana" w:hAnsi="Verdana" w:eastAsia="Calibri" w:cs="Arial"/>
                <w:color w:val="000000" w:themeColor="text1" w:themeTint="FF" w:themeShade="FF"/>
                <w:lang w:val="es-ES"/>
              </w:rPr>
              <w:t xml:space="preserve">rente al medio probatorio </w:t>
            </w:r>
            <w:r w:rsidRPr="53EB113E" w:rsidR="00A86A9B">
              <w:rPr>
                <w:rFonts w:ascii="Verdana" w:hAnsi="Verdana" w:eastAsia="Calibri" w:cs="Arial"/>
                <w:color w:val="000000" w:themeColor="text1" w:themeTint="FF" w:themeShade="FF"/>
                <w:lang w:val="es-ES"/>
              </w:rPr>
              <w:t xml:space="preserve">este </w:t>
            </w:r>
            <w:r w:rsidRPr="53EB113E" w:rsidR="00500C3E">
              <w:rPr>
                <w:rFonts w:ascii="Verdana" w:hAnsi="Verdana" w:eastAsia="Calibri" w:cs="Arial"/>
                <w:color w:val="000000" w:themeColor="text1" w:themeTint="FF" w:themeShade="FF"/>
                <w:lang w:val="es-ES"/>
              </w:rPr>
              <w:t>artículo</w:t>
            </w:r>
            <w:r w:rsidRPr="53EB113E" w:rsidR="00A86A9B">
              <w:rPr>
                <w:rFonts w:ascii="Verdana" w:hAnsi="Verdana" w:eastAsia="Calibri" w:cs="Arial"/>
                <w:color w:val="000000" w:themeColor="text1" w:themeTint="FF" w:themeShade="FF"/>
                <w:lang w:val="es-ES"/>
              </w:rPr>
              <w:t xml:space="preserve"> establece los documentos que acreditan cada una de las circunstancias por las cuales se puede demostrar que alguien tiene la calidad de emprendimiento y empresa de mujeres son por regla general, certificaciones emitidas bajo la gravedad del juramento.</w:t>
            </w:r>
          </w:p>
          <w:p w:rsidR="009549FC" w:rsidP="007204CA" w:rsidRDefault="007204CA" w14:paraId="7AA1922C" w14:textId="292E1A49">
            <w:pPr>
              <w:spacing w:after="120"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P</w:t>
            </w:r>
            <w:r w:rsidR="00504F7B">
              <w:rPr>
                <w:rFonts w:ascii="Verdana" w:hAnsi="Verdana" w:eastAsia="Calibri" w:cs="Arial"/>
                <w:color w:val="000000" w:themeColor="text1"/>
                <w:lang w:val="es-ES"/>
              </w:rPr>
              <w:t xml:space="preserve">or su parte </w:t>
            </w:r>
            <w:r w:rsidRPr="00504F7B" w:rsidR="00504F7B">
              <w:rPr>
                <w:rFonts w:ascii="Verdana" w:hAnsi="Verdana" w:eastAsia="Calibri" w:cs="Arial"/>
                <w:color w:val="000000" w:themeColor="text1"/>
                <w:lang w:val="es-ES"/>
              </w:rPr>
              <w:t>el artículo 2.2.1.2.4.2.15 del Decreto 1082 de 2015,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w:t>
            </w:r>
          </w:p>
          <w:p w:rsidR="00A86A9B" w:rsidP="00200416" w:rsidRDefault="007204CA" w14:paraId="74B4A695" w14:textId="05AF05DF">
            <w:pPr>
              <w:spacing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 xml:space="preserve">Ahora bien, en atención a la serie de preguntas formuladas en su solicitud </w:t>
            </w:r>
            <w:r w:rsidR="00A86A9B">
              <w:rPr>
                <w:rFonts w:ascii="Verdana" w:hAnsi="Verdana" w:eastAsia="Calibri" w:cs="Arial"/>
                <w:color w:val="000000" w:themeColor="text1"/>
                <w:lang w:val="es-ES"/>
              </w:rPr>
              <w:t>y que el</w:t>
            </w:r>
            <w:r>
              <w:rPr>
                <w:rFonts w:ascii="Verdana" w:hAnsi="Verdana" w:eastAsia="Calibri" w:cs="Arial"/>
                <w:color w:val="000000" w:themeColor="text1"/>
                <w:lang w:val="es-ES"/>
              </w:rPr>
              <w:t xml:space="preserve"> Decreto </w:t>
            </w:r>
            <w:bookmarkStart w:name="_Hlk62459524" w:id="2"/>
            <w:r w:rsidRPr="001A5B8C" w:rsidR="001A5B8C">
              <w:rPr>
                <w:rFonts w:ascii="Verdana" w:hAnsi="Verdana" w:eastAsia="Calibri" w:cs="Arial"/>
                <w:color w:val="000000" w:themeColor="text1"/>
                <w:lang w:val="es-ES"/>
              </w:rPr>
              <w:t>no</w:t>
            </w:r>
            <w:r>
              <w:rPr>
                <w:rFonts w:ascii="Verdana" w:hAnsi="Verdana" w:eastAsia="Calibri" w:cs="Arial"/>
                <w:color w:val="000000" w:themeColor="text1"/>
                <w:lang w:val="es-ES"/>
              </w:rPr>
              <w:t xml:space="preserve"> establece todos los medios específicos que se deban acreditar para determinar las condiciones de desempate</w:t>
            </w:r>
            <w:r w:rsidRPr="001A5B8C" w:rsidR="001A5B8C">
              <w:rPr>
                <w:rFonts w:ascii="Verdana" w:hAnsi="Verdana" w:eastAsia="Calibri" w:cs="Arial"/>
                <w:color w:val="000000" w:themeColor="text1"/>
                <w:lang w:val="es-ES"/>
              </w:rPr>
              <w:t xml:space="preserve">. </w:t>
            </w:r>
            <w:r w:rsidR="005D495C">
              <w:rPr>
                <w:rFonts w:ascii="Verdana" w:hAnsi="Verdana" w:eastAsia="Calibri" w:cs="Arial"/>
                <w:color w:val="000000" w:themeColor="text1"/>
                <w:lang w:val="es-ES"/>
              </w:rPr>
              <w:t>C</w:t>
            </w:r>
            <w:r w:rsidRPr="001A5B8C" w:rsidR="001A5B8C">
              <w:rPr>
                <w:rFonts w:ascii="Verdana" w:hAnsi="Verdana" w:eastAsia="Calibri" w:cs="Arial"/>
                <w:color w:val="000000" w:themeColor="text1"/>
                <w:lang w:val="es-ES"/>
              </w:rPr>
              <w:t xml:space="preserve">orresponde a la entidad contratante analizar si </w:t>
            </w:r>
            <w:r w:rsidR="005D495C">
              <w:rPr>
                <w:rFonts w:ascii="Verdana" w:hAnsi="Verdana" w:eastAsia="Calibri" w:cs="Arial"/>
                <w:color w:val="000000" w:themeColor="text1"/>
                <w:lang w:val="es-ES"/>
              </w:rPr>
              <w:t xml:space="preserve">en </w:t>
            </w:r>
            <w:r w:rsidRPr="001A5B8C" w:rsidR="001A5B8C">
              <w:rPr>
                <w:rFonts w:ascii="Verdana" w:hAnsi="Verdana" w:eastAsia="Calibri" w:cs="Arial"/>
                <w:color w:val="000000" w:themeColor="text1"/>
                <w:lang w:val="es-ES"/>
              </w:rPr>
              <w:t>el ordenamiento jurídico</w:t>
            </w:r>
            <w:r w:rsidR="005D495C">
              <w:rPr>
                <w:rFonts w:ascii="Verdana" w:hAnsi="Verdana" w:eastAsia="Calibri" w:cs="Arial"/>
                <w:color w:val="000000" w:themeColor="text1"/>
                <w:lang w:val="es-ES"/>
              </w:rPr>
              <w:t xml:space="preserve"> o </w:t>
            </w:r>
            <w:r w:rsidRPr="001A5B8C" w:rsidR="001A5B8C">
              <w:rPr>
                <w:rFonts w:ascii="Verdana" w:hAnsi="Verdana" w:eastAsia="Calibri" w:cs="Arial"/>
                <w:color w:val="000000" w:themeColor="text1"/>
                <w:lang w:val="es-ES"/>
              </w:rPr>
              <w:t xml:space="preserve">en otras </w:t>
            </w:r>
            <w:r w:rsidRPr="001A5B8C" w:rsidR="001A5B8C">
              <w:rPr>
                <w:rFonts w:ascii="Verdana" w:hAnsi="Verdana" w:eastAsia="Calibri" w:cs="Arial"/>
                <w:color w:val="000000" w:themeColor="text1"/>
                <w:lang w:val="es-ES"/>
              </w:rPr>
              <w:lastRenderedPageBreak/>
              <w:t>disposiciones legales o reglamentarias</w:t>
            </w:r>
            <w:r w:rsidR="005D495C">
              <w:rPr>
                <w:rFonts w:ascii="Verdana" w:hAnsi="Verdana" w:eastAsia="Calibri" w:cs="Arial"/>
                <w:color w:val="000000" w:themeColor="text1"/>
                <w:lang w:val="es-ES"/>
              </w:rPr>
              <w:t xml:space="preserve"> se </w:t>
            </w:r>
            <w:r w:rsidRPr="001A5B8C" w:rsidR="001A5B8C">
              <w:rPr>
                <w:rFonts w:ascii="Verdana" w:hAnsi="Verdana" w:eastAsia="Calibri" w:cs="Arial"/>
                <w:color w:val="000000" w:themeColor="text1"/>
                <w:lang w:val="es-ES"/>
              </w:rPr>
              <w:t xml:space="preserve">exige un documento especial o si, por el contrario, hay libertad probatoria. </w:t>
            </w:r>
          </w:p>
          <w:p w:rsidR="00A86A9B" w:rsidP="00200416" w:rsidRDefault="00A86A9B" w14:paraId="0DF3FDD7" w14:textId="77777777">
            <w:pPr>
              <w:spacing w:line="276" w:lineRule="auto"/>
              <w:jc w:val="both"/>
              <w:rPr>
                <w:rFonts w:ascii="Verdana" w:hAnsi="Verdana" w:eastAsia="Calibri" w:cs="Arial"/>
                <w:color w:val="000000" w:themeColor="text1"/>
                <w:lang w:val="es-ES"/>
              </w:rPr>
            </w:pPr>
          </w:p>
          <w:p w:rsidRPr="001A5B8C" w:rsidR="001A5B8C" w:rsidP="00200416" w:rsidRDefault="001A5B8C" w14:paraId="30423425" w14:textId="5C4C1BEB">
            <w:pPr>
              <w:spacing w:line="276" w:lineRule="auto"/>
              <w:jc w:val="both"/>
              <w:rPr>
                <w:rFonts w:ascii="Verdana" w:hAnsi="Verdana" w:eastAsia="Calibri" w:cs="Arial"/>
                <w:color w:val="000000" w:themeColor="text1"/>
                <w:lang w:val="es-ES"/>
              </w:rPr>
            </w:pPr>
            <w:r w:rsidRPr="001A5B8C">
              <w:rPr>
                <w:rFonts w:ascii="Verdana" w:hAnsi="Verdana" w:eastAsia="Calibri" w:cs="Arial"/>
                <w:color w:val="000000" w:themeColor="text1"/>
                <w:lang w:val="es-ES"/>
              </w:rPr>
              <w:t xml:space="preserve">Este análisis debe realizarse de manera independiente frente a cada </w:t>
            </w:r>
            <w:r w:rsidR="00A86A9B">
              <w:rPr>
                <w:rFonts w:ascii="Verdana" w:hAnsi="Verdana" w:eastAsia="Calibri" w:cs="Arial"/>
                <w:color w:val="000000" w:themeColor="text1"/>
                <w:lang w:val="es-ES"/>
              </w:rPr>
              <w:t>circunstancia planteada en su solicitud.</w:t>
            </w:r>
            <w:r w:rsidRPr="001A5B8C">
              <w:rPr>
                <w:rFonts w:ascii="Verdana" w:hAnsi="Verdana" w:eastAsia="Calibri" w:cs="Arial"/>
                <w:color w:val="000000" w:themeColor="text1"/>
                <w:lang w:val="es-ES"/>
              </w:rPr>
              <w:t xml:space="preserve">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w:t>
            </w:r>
          </w:p>
          <w:bookmarkEnd w:id="2"/>
          <w:p w:rsidRPr="001A5B8C" w:rsidR="001A5B8C" w:rsidP="001A5B8C" w:rsidRDefault="001A5B8C" w14:paraId="76D74588" w14:textId="533A805C">
            <w:pPr>
              <w:spacing w:before="120" w:line="276" w:lineRule="auto"/>
              <w:ind w:firstLine="709"/>
              <w:jc w:val="both"/>
              <w:rPr>
                <w:rFonts w:ascii="Verdana" w:hAnsi="Verdana" w:eastAsia="Calibri" w:cs="Arial"/>
                <w:color w:val="000000" w:themeColor="text1"/>
                <w:lang w:val="es-ES"/>
              </w:rPr>
            </w:pPr>
            <w:r w:rsidRPr="001A5B8C">
              <w:rPr>
                <w:rFonts w:ascii="Verdana" w:hAnsi="Verdana" w:eastAsia="Calibri" w:cs="Arial"/>
                <w:color w:val="000000" w:themeColor="text1"/>
                <w:lang w:val="es-ES"/>
              </w:rPr>
              <w:t>Así, en relación con el numeral 2 del artículo 35, como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204574">
              <w:rPr>
                <w:rFonts w:ascii="Verdana" w:hAnsi="Verdana" w:eastAsia="Calibri" w:cs="Arial"/>
                <w:color w:val="000000" w:themeColor="text1"/>
                <w:lang w:val="es-ES"/>
              </w:rPr>
              <w:t>”</w:t>
            </w:r>
            <w:r w:rsidRPr="001A5B8C">
              <w:rPr>
                <w:rStyle w:val="Refdenotaalpie"/>
                <w:rFonts w:ascii="Verdana" w:hAnsi="Verdana" w:eastAsia="Calibri" w:cs="Arial"/>
                <w:color w:val="000000" w:themeColor="text1"/>
                <w:lang w:val="es-ES"/>
              </w:rPr>
              <w:footnoteReference w:id="1"/>
            </w:r>
            <w:r w:rsidRPr="001A5B8C">
              <w:rPr>
                <w:rFonts w:ascii="Verdana" w:hAnsi="Verdana" w:eastAsia="Calibri" w:cs="Arial"/>
                <w:color w:val="000000" w:themeColor="text1"/>
                <w:lang w:val="es-ES"/>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04574">
              <w:rPr>
                <w:rFonts w:ascii="Verdana" w:hAnsi="Verdana" w:eastAsia="Calibri" w:cs="Arial"/>
                <w:color w:val="000000" w:themeColor="text1"/>
                <w:lang w:val="es-ES"/>
              </w:rPr>
              <w:t>”</w:t>
            </w:r>
            <w:r w:rsidRPr="001A5B8C">
              <w:rPr>
                <w:rStyle w:val="Refdenotaalpie"/>
                <w:rFonts w:ascii="Verdana" w:hAnsi="Verdana" w:eastAsia="Calibri" w:cs="Arial"/>
                <w:color w:val="000000" w:themeColor="text1"/>
                <w:lang w:val="es-ES"/>
              </w:rPr>
              <w:footnoteReference w:id="2"/>
            </w:r>
            <w:r w:rsidRPr="001A5B8C">
              <w:rPr>
                <w:rFonts w:ascii="Verdana" w:hAnsi="Verdana" w:eastAsia="Calibri" w:cs="Arial"/>
                <w:color w:val="000000" w:themeColor="text1"/>
                <w:lang w:val="es-ES"/>
              </w:rPr>
              <w:t xml:space="preserve">. </w:t>
            </w:r>
          </w:p>
          <w:p w:rsidRPr="001A5B8C" w:rsidR="001A5B8C" w:rsidP="001A5B8C" w:rsidRDefault="001A5B8C" w14:paraId="3B93674C" w14:textId="6CE582DD">
            <w:pPr>
              <w:spacing w:before="120" w:line="276" w:lineRule="auto"/>
              <w:ind w:firstLine="709"/>
              <w:jc w:val="both"/>
              <w:rPr>
                <w:rFonts w:ascii="Verdana" w:hAnsi="Verdana" w:cs="Arial"/>
                <w:color w:val="000000" w:themeColor="text1"/>
                <w:lang w:val="es-ES"/>
              </w:rPr>
            </w:pPr>
            <w:r w:rsidRPr="001A5B8C">
              <w:rPr>
                <w:rFonts w:ascii="Verdana" w:hAnsi="Verdana" w:cs="Arial"/>
                <w:color w:val="000000" w:themeColor="text1"/>
                <w:lang w:val="es-ES"/>
              </w:rPr>
              <w:t>El parágrafo del artículo 2 de la Ley 82 de 1993 –</w:t>
            </w:r>
            <w:r w:rsidR="00204574">
              <w:rPr>
                <w:rFonts w:ascii="Verdana" w:hAnsi="Verdana" w:cs="Arial"/>
                <w:color w:val="000000" w:themeColor="text1"/>
                <w:lang w:val="es-ES"/>
              </w:rPr>
              <w:t>“</w:t>
            </w:r>
            <w:r w:rsidRPr="001A5B8C">
              <w:rPr>
                <w:rFonts w:ascii="Verdana" w:hAnsi="Verdana" w:cs="Arial"/>
                <w:color w:val="000000" w:themeColor="text1"/>
                <w:lang w:val="es-ES"/>
              </w:rPr>
              <w:t>Por la cual se expiden normas para apoyar de manera especial a la mujer cabeza de familia</w:t>
            </w:r>
            <w:r w:rsidR="00204574">
              <w:rPr>
                <w:rFonts w:ascii="Verdana" w:hAnsi="Verdana" w:cs="Arial"/>
                <w:color w:val="000000" w:themeColor="text1"/>
                <w:lang w:val="es-ES"/>
              </w:rPr>
              <w:t>”</w:t>
            </w:r>
            <w:r w:rsidRPr="001A5B8C">
              <w:rPr>
                <w:rFonts w:ascii="Verdana" w:hAnsi="Verdana" w:cs="Arial"/>
                <w:color w:val="000000" w:themeColor="text1"/>
                <w:lang w:val="es-ES"/>
              </w:rPr>
              <w:t xml:space="preserve">– establece que </w:t>
            </w:r>
            <w:r w:rsidR="00204574">
              <w:rPr>
                <w:rFonts w:ascii="Verdana" w:hAnsi="Verdana" w:cs="Arial"/>
                <w:color w:val="000000" w:themeColor="text1"/>
                <w:lang w:val="es-ES"/>
              </w:rPr>
              <w:t>“</w:t>
            </w:r>
            <w:r w:rsidRPr="001A5B8C">
              <w:rPr>
                <w:rFonts w:ascii="Verdana" w:hAnsi="Verdana" w:cs="Arial"/>
                <w:color w:val="000000" w:themeColor="text1"/>
                <w:lang w:val="es-ES"/>
              </w:rPr>
              <w:t>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w:t>
            </w:r>
            <w:r w:rsidR="00204574">
              <w:rPr>
                <w:rFonts w:ascii="Verdana" w:hAnsi="Verdana" w:cs="Arial"/>
                <w:color w:val="000000" w:themeColor="text1"/>
                <w:lang w:val="es-ES"/>
              </w:rPr>
              <w:t>”</w:t>
            </w:r>
            <w:r w:rsidRPr="001A5B8C">
              <w:rPr>
                <w:rFonts w:ascii="Verdana" w:hAnsi="Verdana" w:cs="Arial"/>
                <w:color w:val="000000" w:themeColor="text1"/>
                <w:lang w:val="es-ES"/>
              </w:rPr>
              <w:t xml:space="preserve">. Por lo tanto, a menos que una norma </w:t>
            </w:r>
            <w:r w:rsidRPr="001A5B8C">
              <w:rPr>
                <w:rFonts w:ascii="Verdana" w:hAnsi="Verdana" w:cs="Arial"/>
                <w:color w:val="000000" w:themeColor="text1"/>
                <w:lang w:val="es-ES"/>
              </w:rPr>
              <w:lastRenderedPageBreak/>
              <w:t>posterior disponga lo contrario, tal declaración basta para acreditar la condición de mujer cabeza de familia</w:t>
            </w:r>
            <w:r w:rsidRPr="001A5B8C">
              <w:rPr>
                <w:rStyle w:val="Refdenotaalpie"/>
                <w:rFonts w:ascii="Verdana" w:hAnsi="Verdana" w:cs="Arial"/>
                <w:color w:val="000000" w:themeColor="text1"/>
                <w:lang w:val="es-ES"/>
              </w:rPr>
              <w:footnoteReference w:id="3"/>
            </w:r>
            <w:r w:rsidRPr="001A5B8C">
              <w:rPr>
                <w:rFonts w:ascii="Verdana" w:hAnsi="Verdana" w:cs="Arial"/>
                <w:color w:val="000000" w:themeColor="text1"/>
                <w:lang w:val="es-ES"/>
              </w:rPr>
              <w:t xml:space="preserve">. </w:t>
            </w:r>
          </w:p>
          <w:p w:rsidRPr="001A5B8C" w:rsidR="001A5B8C" w:rsidP="001A5B8C" w:rsidRDefault="001A5B8C" w14:paraId="20EE8FE0" w14:textId="54719567">
            <w:pPr>
              <w:spacing w:before="120" w:line="276" w:lineRule="auto"/>
              <w:ind w:firstLine="709"/>
              <w:jc w:val="both"/>
              <w:rPr>
                <w:rFonts w:ascii="Verdana" w:hAnsi="Verdana" w:cs="Arial"/>
                <w:color w:val="000000" w:themeColor="text1"/>
                <w:lang w:val="es-ES"/>
              </w:rPr>
            </w:pPr>
            <w:r w:rsidRPr="001A5B8C">
              <w:rPr>
                <w:rFonts w:ascii="Verdana" w:hAnsi="Verdana" w:cs="Arial"/>
                <w:color w:val="000000" w:themeColor="text1"/>
                <w:lang w:val="es-ES"/>
              </w:rPr>
              <w:t>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w:t>
            </w:r>
            <w:r w:rsidR="00204574">
              <w:rPr>
                <w:rFonts w:ascii="Verdana" w:hAnsi="Verdana" w:cs="Arial"/>
                <w:color w:val="000000" w:themeColor="text1"/>
                <w:lang w:val="es-ES"/>
              </w:rPr>
              <w:t>”</w:t>
            </w:r>
            <w:r w:rsidRPr="001A5B8C">
              <w:rPr>
                <w:rFonts w:ascii="Verdana" w:hAnsi="Verdana" w:cs="Arial"/>
                <w:color w:val="000000" w:themeColor="text1"/>
                <w:lang w:val="es-ES"/>
              </w:rPr>
              <w:t xml:space="preserve">–, dispone que </w:t>
            </w:r>
            <w:r w:rsidR="00204574">
              <w:rPr>
                <w:rFonts w:ascii="Verdana" w:hAnsi="Verdana" w:cs="Arial"/>
                <w:color w:val="000000" w:themeColor="text1"/>
                <w:lang w:val="es-ES"/>
              </w:rPr>
              <w:t>“</w:t>
            </w:r>
            <w:r w:rsidRPr="001A5B8C">
              <w:rPr>
                <w:rFonts w:ascii="Verdana" w:hAnsi="Verdana" w:cs="Arial"/>
                <w:color w:val="000000" w:themeColor="text1"/>
                <w:lang w:val="es-ES"/>
              </w:rPr>
              <w:t>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rsidRPr="001A5B8C" w:rsidR="001A5B8C" w:rsidP="001A5B8C" w:rsidRDefault="001A5B8C" w14:paraId="7B123FDD" w14:textId="306B6FB6">
            <w:pPr>
              <w:spacing w:before="120" w:line="276" w:lineRule="auto"/>
              <w:ind w:firstLine="709"/>
              <w:jc w:val="both"/>
              <w:rPr>
                <w:rFonts w:ascii="Verdana" w:hAnsi="Verdana" w:cs="Arial"/>
                <w:color w:val="000000" w:themeColor="text1"/>
                <w:lang w:val="es-ES_tradnl"/>
              </w:rPr>
            </w:pPr>
            <w:r w:rsidRPr="001A5B8C">
              <w:rPr>
                <w:rFonts w:ascii="Verdana" w:hAnsi="Verdana" w:cs="Arial"/>
                <w:color w:val="000000" w:themeColor="text1"/>
                <w:lang w:val="es-ES_tradnl"/>
              </w:rPr>
              <w:t xml:space="preserve">Ahora bien, el numeral 2 del artículo 35 de la Ley 2069 de 2020 no establece que este factor de desempate únicamente puede aplicarse cuando en la persona jurídica existe participación mayoritaria </w:t>
            </w:r>
            <w:r w:rsidRPr="001A5B8C">
              <w:rPr>
                <w:rFonts w:ascii="Verdana" w:hAnsi="Verdana" w:cs="Arial"/>
                <w:i/>
                <w:iCs/>
                <w:color w:val="000000" w:themeColor="text1"/>
                <w:lang w:val="es-ES_tradnl"/>
              </w:rPr>
              <w:t>solo</w:t>
            </w:r>
            <w:r w:rsidRPr="001A5B8C">
              <w:rPr>
                <w:rFonts w:ascii="Verdana" w:hAnsi="Verdana" w:cs="Arial"/>
                <w:color w:val="000000" w:themeColor="text1"/>
                <w:lang w:val="es-ES_tradnl"/>
              </w:rPr>
              <w:t xml:space="preserve"> de mujeres cabeza de familia o </w:t>
            </w:r>
            <w:r w:rsidRPr="001A5B8C">
              <w:rPr>
                <w:rFonts w:ascii="Verdana" w:hAnsi="Verdana" w:cs="Arial"/>
                <w:i/>
                <w:iCs/>
                <w:color w:val="000000" w:themeColor="text1"/>
                <w:lang w:val="es-ES_tradnl"/>
              </w:rPr>
              <w:t>solo</w:t>
            </w:r>
            <w:r w:rsidRPr="001A5B8C">
              <w:rPr>
                <w:rFonts w:ascii="Verdana" w:hAnsi="Verdana" w:cs="Arial"/>
                <w:color w:val="000000" w:themeColor="text1"/>
                <w:lang w:val="es-ES_tradnl"/>
              </w:rPr>
              <w:t xml:space="preserve"> de mujeres víctimas de la violencia intrafamiliar. Lo que prevé el enunciado normativo es que se debe </w:t>
            </w:r>
            <w:r w:rsidR="00D424EA">
              <w:rPr>
                <w:rFonts w:ascii="Verdana" w:hAnsi="Verdana" w:cs="Arial"/>
                <w:color w:val="000000" w:themeColor="text1"/>
                <w:lang w:val="es-ES_tradnl"/>
              </w:rPr>
              <w:t>“</w:t>
            </w:r>
            <w:r w:rsidRPr="001A5B8C">
              <w:rPr>
                <w:rFonts w:ascii="Verdana" w:hAnsi="Verdana" w:cs="Arial"/>
                <w:color w:val="000000" w:themeColor="text1"/>
                <w:lang w:val="es-ES_tradnl"/>
              </w:rPr>
              <w:t xml:space="preserve">Preferir la propuesta de la mujer cabeza de familia, mujeres víctimas de la violencia intrafamiliar o de la persona jurídica en la cual participe </w:t>
            </w:r>
            <w:r w:rsidRPr="001A5B8C">
              <w:rPr>
                <w:rFonts w:ascii="Verdana" w:hAnsi="Verdana" w:cs="Arial"/>
                <w:i/>
                <w:iCs/>
                <w:color w:val="000000" w:themeColor="text1"/>
                <w:lang w:val="es-ES_tradnl"/>
              </w:rPr>
              <w:t>o participen</w:t>
            </w:r>
            <w:r w:rsidRPr="001A5B8C">
              <w:rPr>
                <w:rFonts w:ascii="Verdana" w:hAnsi="Verdana" w:cs="Arial"/>
                <w:color w:val="000000" w:themeColor="text1"/>
                <w:lang w:val="es-ES_tradnl"/>
              </w:rPr>
              <w:t xml:space="preserve"> mayoritariamente; o, la de un proponente plural constituido por mujeres cabeza de familia, mujeres víctimas de violencia intrafamiliar y/o personas jurídicas en las cuales participe </w:t>
            </w:r>
            <w:r w:rsidRPr="001A5B8C">
              <w:rPr>
                <w:rFonts w:ascii="Verdana" w:hAnsi="Verdana" w:cs="Arial"/>
                <w:i/>
                <w:iCs/>
                <w:color w:val="000000" w:themeColor="text1"/>
                <w:lang w:val="es-ES_tradnl"/>
              </w:rPr>
              <w:t xml:space="preserve">o participen </w:t>
            </w:r>
            <w:r w:rsidRPr="001A5B8C">
              <w:rPr>
                <w:rFonts w:ascii="Verdana" w:hAnsi="Verdana" w:cs="Arial"/>
                <w:color w:val="000000" w:themeColor="text1"/>
                <w:lang w:val="es-ES_tradnl"/>
              </w:rPr>
              <w:t>mayoritariamente</w:t>
            </w:r>
            <w:r w:rsidR="00D424EA">
              <w:rPr>
                <w:rFonts w:ascii="Verdana" w:hAnsi="Verdana" w:cs="Arial"/>
                <w:color w:val="000000" w:themeColor="text1"/>
                <w:lang w:val="es-ES_tradnl"/>
              </w:rPr>
              <w:t>”</w:t>
            </w:r>
            <w:r w:rsidRPr="001A5B8C">
              <w:rPr>
                <w:rFonts w:ascii="Verdana" w:hAnsi="Verdana" w:cs="Arial"/>
                <w:color w:val="000000" w:themeColor="text1"/>
                <w:lang w:val="es-ES_tradnl"/>
              </w:rPr>
              <w:t xml:space="preserve"> [cursiva fuera de texto]. Como se observa, la norma utiliza la expresión </w:t>
            </w:r>
            <w:r w:rsidR="00D424EA">
              <w:rPr>
                <w:rFonts w:ascii="Verdana" w:hAnsi="Verdana" w:cs="Arial"/>
                <w:color w:val="000000" w:themeColor="text1"/>
                <w:lang w:val="es-ES_tradnl"/>
              </w:rPr>
              <w:t>“</w:t>
            </w:r>
            <w:r w:rsidRPr="001A5B8C">
              <w:rPr>
                <w:rFonts w:ascii="Verdana" w:hAnsi="Verdana" w:cs="Arial"/>
                <w:color w:val="000000" w:themeColor="text1"/>
                <w:lang w:val="es-ES_tradnl"/>
              </w:rPr>
              <w:t>[…] o participen […]</w:t>
            </w:r>
            <w:r w:rsidR="00D424EA">
              <w:rPr>
                <w:rFonts w:ascii="Verdana" w:hAnsi="Verdana" w:cs="Arial"/>
                <w:color w:val="000000" w:themeColor="text1"/>
                <w:lang w:val="es-ES_tradnl"/>
              </w:rPr>
              <w:t>”</w:t>
            </w:r>
            <w:r w:rsidRPr="001A5B8C">
              <w:rPr>
                <w:rFonts w:ascii="Verdana" w:hAnsi="Verdana" w:cs="Arial"/>
                <w:color w:val="000000" w:themeColor="text1"/>
                <w:lang w:val="es-ES_tradnl"/>
              </w:rPr>
              <w:t xml:space="preserve">, lo que significa que permite </w:t>
            </w:r>
            <w:r w:rsidRPr="001A5B8C">
              <w:rPr>
                <w:rFonts w:ascii="Verdana" w:hAnsi="Verdana" w:cs="Arial"/>
                <w:color w:val="000000" w:themeColor="text1"/>
                <w:lang w:val="es-ES_tradnl"/>
              </w:rPr>
              <w:lastRenderedPageBreak/>
              <w:t>aplicar el factor de desempate cuando en una misma persona jurídica participen mayoritariamente mujeres cabeza de familia y mujeres víctimas de la violencia intrafamiliar.</w:t>
            </w:r>
          </w:p>
          <w:p w:rsidRPr="001A5B8C" w:rsidR="001A5B8C" w:rsidP="001A5B8C" w:rsidRDefault="001A5B8C" w14:paraId="06290A08" w14:textId="1ECA3B6B">
            <w:pPr>
              <w:spacing w:before="120" w:line="276" w:lineRule="auto"/>
              <w:ind w:firstLine="709"/>
              <w:jc w:val="both"/>
              <w:rPr>
                <w:rFonts w:ascii="Verdana" w:hAnsi="Verdana" w:cs="Arial"/>
                <w:color w:val="000000" w:themeColor="text1"/>
                <w:lang w:val="es-ES"/>
              </w:rPr>
            </w:pPr>
            <w:r w:rsidRPr="001A5B8C">
              <w:rPr>
                <w:rFonts w:ascii="Verdana" w:hAnsi="Verdana" w:cs="Arial"/>
                <w:color w:val="000000" w:themeColor="text1"/>
                <w:lang w:val="es-ES"/>
              </w:rPr>
              <w:t xml:space="preserve">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w:t>
            </w:r>
            <w:r w:rsidR="00D424EA">
              <w:rPr>
                <w:rFonts w:ascii="Verdana" w:hAnsi="Verdana" w:cs="Arial"/>
                <w:color w:val="000000" w:themeColor="text1"/>
                <w:lang w:val="es-ES"/>
              </w:rPr>
              <w:t>“</w:t>
            </w:r>
            <w:r w:rsidRPr="001A5B8C">
              <w:rPr>
                <w:rFonts w:ascii="Verdana" w:hAnsi="Verdana" w:cs="Arial"/>
                <w:color w:val="000000" w:themeColor="text1"/>
                <w:lang w:val="es-ES"/>
              </w:rPr>
              <w:t>persona jurídica</w:t>
            </w:r>
            <w:r w:rsidR="00D424EA">
              <w:rPr>
                <w:rFonts w:ascii="Verdana" w:hAnsi="Verdana" w:cs="Arial"/>
                <w:color w:val="000000" w:themeColor="text1"/>
                <w:lang w:val="es-ES"/>
              </w:rPr>
              <w:t>”</w:t>
            </w:r>
            <w:r w:rsidRPr="001A5B8C">
              <w:rPr>
                <w:rFonts w:ascii="Verdana" w:hAnsi="Verdana" w:cs="Arial"/>
                <w:color w:val="000000" w:themeColor="text1"/>
                <w:lang w:val="es-ES"/>
              </w:rPr>
              <w:t>, en caso de existir varias personas jurídicas integrando el proponente plural, cada una de ellas debe acreditar la participación mayoritaria de mujeres cabeza de familia o mujeres víctimas de violencia intrafamiliar.</w:t>
            </w:r>
          </w:p>
          <w:p w:rsidR="001F3969" w:rsidP="001F3969" w:rsidRDefault="00DD72BF" w14:paraId="2382073D" w14:textId="1F32072C">
            <w:pPr>
              <w:spacing w:after="120" w:line="276" w:lineRule="auto"/>
              <w:jc w:val="both"/>
              <w:rPr>
                <w:rFonts w:ascii="Verdana" w:hAnsi="Verdana" w:eastAsia="Calibri" w:cs="Arial"/>
                <w:color w:val="000000" w:themeColor="text1"/>
                <w:lang w:val="es-ES_tradnl"/>
              </w:rPr>
            </w:pPr>
            <w:r>
              <w:rPr>
                <w:rFonts w:ascii="Verdana" w:hAnsi="Verdana" w:cs="Arial"/>
                <w:color w:val="000000" w:themeColor="text1"/>
                <w:lang w:val="es-ES"/>
              </w:rPr>
              <w:t>Ahora bien, e</w:t>
            </w:r>
            <w:r w:rsidRPr="001A5B8C" w:rsidR="001A5B8C">
              <w:rPr>
                <w:rFonts w:ascii="Verdana" w:hAnsi="Verdana" w:cs="Arial"/>
                <w:color w:val="000000" w:themeColor="text1"/>
                <w:lang w:val="es-ES"/>
              </w:rPr>
              <w:t>l artículo 35, numeral 2, de la Ley 2069 de 2020 utiliza un concepto jurídico indeterminado, cuando se refiere a la participación mayoritaria de las mujeres cabeza de familia o mujeres víctimas de la violencia intrafamiliar en la persona jurídica o en el proponente plural</w:t>
            </w:r>
            <w:r w:rsidR="001F3969">
              <w:rPr>
                <w:rFonts w:ascii="Verdana" w:hAnsi="Verdana" w:cs="Arial"/>
                <w:color w:val="000000" w:themeColor="text1"/>
                <w:lang w:val="es-ES"/>
              </w:rPr>
              <w:t xml:space="preserve">,  por lo que deberá acudirse a los criterios previstos en los ya mencionados </w:t>
            </w:r>
            <w:r w:rsidR="001F3969">
              <w:rPr>
                <w:rFonts w:ascii="Verdana" w:hAnsi="Verdana" w:eastAsia="Calibri" w:cs="Arial"/>
                <w:color w:val="000000" w:themeColor="text1"/>
                <w:lang w:val="es-ES_tradnl"/>
              </w:rPr>
              <w:t xml:space="preserve">numerales del </w:t>
            </w:r>
            <w:r w:rsidRPr="00152D71" w:rsidR="001F3969">
              <w:rPr>
                <w:rFonts w:ascii="Verdana" w:hAnsi="Verdana" w:eastAsia="Calibri" w:cs="Arial"/>
                <w:color w:val="000000" w:themeColor="text1"/>
                <w:lang w:val="es-ES_tradnl"/>
              </w:rPr>
              <w:t xml:space="preserve">Artículo 2.2.1.2.4.2.14. </w:t>
            </w:r>
            <w:r w:rsidR="001F3969">
              <w:rPr>
                <w:rFonts w:ascii="Verdana" w:hAnsi="Verdana" w:eastAsia="Calibri" w:cs="Arial"/>
                <w:color w:val="000000" w:themeColor="text1"/>
                <w:lang w:val="es-ES_tradnl"/>
              </w:rPr>
              <w:t>del Decreto 1860 de 2021 que establece</w:t>
            </w:r>
            <w:r w:rsidRPr="0097111E" w:rsidR="001F3969">
              <w:rPr>
                <w:rFonts w:ascii="Verdana" w:hAnsi="Verdana" w:eastAsia="Calibri" w:cs="Arial"/>
                <w:color w:val="000000" w:themeColor="text1"/>
                <w:lang w:val="es-ES_tradnl"/>
              </w:rPr>
              <w:t xml:space="preserve"> </w:t>
            </w:r>
            <w:r w:rsidR="001F3969">
              <w:rPr>
                <w:rFonts w:ascii="Verdana" w:hAnsi="Verdana" w:eastAsia="Calibri" w:cs="Arial"/>
                <w:color w:val="000000" w:themeColor="text1"/>
                <w:lang w:val="es-ES_tradnl"/>
              </w:rPr>
              <w:t xml:space="preserve">en sus </w:t>
            </w:r>
            <w:r w:rsidRPr="0097111E" w:rsidR="001F3969">
              <w:rPr>
                <w:rFonts w:ascii="Verdana" w:hAnsi="Verdana" w:eastAsia="Calibri" w:cs="Arial"/>
                <w:color w:val="000000" w:themeColor="text1"/>
                <w:lang w:val="es-ES_tradnl"/>
              </w:rPr>
              <w:t>cuatro numerales</w:t>
            </w:r>
            <w:r w:rsidR="001F3969">
              <w:rPr>
                <w:rFonts w:ascii="Verdana" w:hAnsi="Verdana" w:eastAsia="Calibri" w:cs="Arial"/>
                <w:color w:val="000000" w:themeColor="text1"/>
                <w:lang w:val="es-ES_tradnl"/>
              </w:rPr>
              <w:t xml:space="preserve"> las condiciones</w:t>
            </w:r>
            <w:r w:rsidRPr="0097111E" w:rsidR="001F3969">
              <w:rPr>
                <w:rFonts w:ascii="Verdana" w:hAnsi="Verdana" w:eastAsia="Calibri" w:cs="Arial"/>
                <w:color w:val="000000" w:themeColor="text1"/>
                <w:lang w:val="es-ES_tradnl"/>
              </w:rPr>
              <w:t xml:space="preserve"> alternativas que definen los emprendimientos y empresas de mujeres, a efectos de aplicar los criterios diferenciales</w:t>
            </w:r>
            <w:r w:rsidR="001F3969">
              <w:rPr>
                <w:rFonts w:ascii="Verdana" w:hAnsi="Verdana" w:eastAsia="Calibri" w:cs="Arial"/>
                <w:color w:val="000000" w:themeColor="text1"/>
                <w:lang w:val="es-ES_tradnl"/>
              </w:rPr>
              <w:t xml:space="preserve">. </w:t>
            </w:r>
          </w:p>
          <w:p w:rsidRPr="00593A5F" w:rsidR="001A5B8C" w:rsidP="001F3969" w:rsidRDefault="001F3969" w14:paraId="1B25E3D8" w14:textId="4549E648">
            <w:pPr>
              <w:spacing w:before="120" w:line="276" w:lineRule="auto"/>
              <w:ind w:firstLine="709"/>
              <w:jc w:val="both"/>
              <w:rPr>
                <w:rFonts w:ascii="Verdana" w:hAnsi="Verdana" w:eastAsia="Calibri" w:cs="Arial"/>
                <w:color w:val="7030A0"/>
                <w:lang w:val="es-ES"/>
              </w:rPr>
            </w:pPr>
            <w:r>
              <w:rPr>
                <w:rFonts w:ascii="Verdana" w:hAnsi="Verdana" w:eastAsia="Calibri" w:cs="Arial"/>
                <w:lang w:val="es-ES"/>
              </w:rPr>
              <w:t>Asi las cosas,</w:t>
            </w:r>
            <w:r w:rsidRPr="0019683B">
              <w:rPr>
                <w:rFonts w:ascii="Verdana" w:hAnsi="Verdana" w:eastAsia="Calibri" w:cs="Arial"/>
                <w:lang w:val="es-ES"/>
              </w:rPr>
              <w:t xml:space="preserve"> corresponde a cada entidad pública, en ejercicio de su competencia y previa valoración de los elementos fácticos y jurídicos asi como de las disposiciones legales anteriormente mencionadas, determinar</w:t>
            </w:r>
            <w:r>
              <w:rPr>
                <w:rFonts w:ascii="Verdana" w:hAnsi="Verdana" w:eastAsia="Calibri" w:cs="Arial"/>
                <w:lang w:val="es-ES"/>
              </w:rPr>
              <w:t xml:space="preserve"> </w:t>
            </w:r>
            <w:r w:rsidRPr="001F3969">
              <w:rPr>
                <w:rFonts w:ascii="Verdana" w:hAnsi="Verdana" w:eastAsia="Calibri" w:cs="Arial"/>
                <w:lang w:val="es-ES"/>
              </w:rPr>
              <w:t>la forma de acreditación del</w:t>
            </w:r>
            <w:r w:rsidR="00500C3E">
              <w:rPr>
                <w:rFonts w:ascii="Verdana" w:hAnsi="Verdana" w:eastAsia="Calibri" w:cs="Arial"/>
                <w:lang w:val="es-ES"/>
              </w:rPr>
              <w:t xml:space="preserve"> factor de </w:t>
            </w:r>
            <w:r w:rsidRPr="001F3969">
              <w:rPr>
                <w:rFonts w:ascii="Verdana" w:hAnsi="Verdana" w:eastAsia="Calibri" w:cs="Arial"/>
                <w:lang w:val="es-ES"/>
              </w:rPr>
              <w:t>desempate previstos en el numeral 2 del artículo 35 de la Ley 2069 de 2020</w:t>
            </w:r>
            <w:r>
              <w:rPr>
                <w:rFonts w:ascii="Verdana" w:hAnsi="Verdana" w:eastAsia="Calibri" w:cs="Arial"/>
                <w:lang w:val="es-ES"/>
              </w:rPr>
              <w:t>, lo anterior teniendo en cuenta que a</w:t>
            </w:r>
            <w:r w:rsidRPr="0019683B">
              <w:rPr>
                <w:rFonts w:ascii="Verdana" w:hAnsi="Verdana" w:eastAsia="Calibri" w:cs="Arial"/>
                <w:lang w:val="es-ES"/>
              </w:rPr>
              <w:t>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r>
              <w:rPr>
                <w:rFonts w:ascii="Verdana" w:hAnsi="Verdana" w:eastAsia="Calibri" w:cs="Arial"/>
                <w:lang w:val="es-ES"/>
              </w:rPr>
              <w:t>.</w:t>
            </w:r>
          </w:p>
        </w:tc>
      </w:tr>
      <w:tr w:rsidRPr="00593A5F" w:rsidR="007E4284" w:rsidTr="53EB113E" w14:paraId="2A7558CB" w14:textId="77777777">
        <w:tc>
          <w:tcPr>
            <w:tcW w:w="8828" w:type="dxa"/>
            <w:shd w:val="clear" w:color="auto" w:fill="auto"/>
            <w:tcMar/>
          </w:tcPr>
          <w:p w:rsidRPr="002973E9" w:rsidR="007E4284" w:rsidP="00730488" w:rsidRDefault="007E4284" w14:paraId="52413404" w14:textId="77777777">
            <w:pPr>
              <w:spacing w:line="276" w:lineRule="auto"/>
              <w:jc w:val="both"/>
              <w:rPr>
                <w:rFonts w:ascii="Verdana" w:hAnsi="Verdana" w:eastAsia="Calibri" w:cs="Arial"/>
                <w:lang w:val="es-ES"/>
              </w:rPr>
            </w:pPr>
          </w:p>
        </w:tc>
      </w:tr>
    </w:tbl>
    <w:p w:rsidR="007E4284" w:rsidP="007E4284" w:rsidRDefault="007E4284" w14:paraId="72DC2754"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E4284" w:rsidP="007E4284" w:rsidRDefault="007E4284" w14:paraId="02DDBB9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E4284" w:rsidP="007E4284" w:rsidRDefault="007E4284" w14:paraId="0F71CC33" w14:textId="77777777">
      <w:pPr>
        <w:spacing w:after="0" w:line="276" w:lineRule="auto"/>
        <w:jc w:val="both"/>
        <w:rPr>
          <w:rFonts w:ascii="Verdana" w:hAnsi="Verdana" w:eastAsia="Calibri" w:cs="Arial"/>
          <w:color w:val="7030A0"/>
          <w:lang w:val="es-ES"/>
        </w:rPr>
      </w:pPr>
    </w:p>
    <w:p w:rsidR="00724070" w:rsidP="00724070" w:rsidRDefault="00724070" w14:paraId="2FF23EC7" w14:textId="77777777">
      <w:pPr>
        <w:spacing w:after="0" w:line="276" w:lineRule="auto"/>
        <w:jc w:val="both"/>
        <w:rPr>
          <w:rFonts w:ascii="Verdana" w:hAnsi="Verdana" w:eastAsia="Calibri" w:cs="Arial"/>
          <w:lang w:val="es-ES"/>
        </w:rPr>
      </w:pPr>
      <w:r w:rsidRPr="00606946">
        <w:rPr>
          <w:rFonts w:ascii="Verdana" w:hAnsi="Verdana" w:eastAsia="Calibri" w:cs="Arial"/>
          <w:lang w:val="es-ES"/>
        </w:rPr>
        <w:t xml:space="preserve">Lo anterior se sustenta en las siguientes consideraciones: </w:t>
      </w:r>
    </w:p>
    <w:p w:rsidR="00724070" w:rsidP="00724070" w:rsidRDefault="00724070" w14:paraId="7B5F28B0" w14:textId="77777777">
      <w:pPr>
        <w:spacing w:after="0" w:line="276" w:lineRule="auto"/>
        <w:jc w:val="both"/>
        <w:rPr>
          <w:rFonts w:ascii="Verdana" w:hAnsi="Verdana" w:eastAsia="Calibri" w:cs="Arial"/>
          <w:lang w:val="es-ES"/>
        </w:rPr>
      </w:pPr>
    </w:p>
    <w:p w:rsidRPr="006B6A68" w:rsidR="005773E9" w:rsidP="006B6A68" w:rsidRDefault="005773E9" w14:paraId="1553E93A" w14:textId="247D7DF7">
      <w:pPr>
        <w:pStyle w:val="Prrafodelista"/>
        <w:numPr>
          <w:ilvl w:val="0"/>
          <w:numId w:val="23"/>
        </w:numPr>
        <w:spacing w:after="120" w:line="276" w:lineRule="auto"/>
        <w:jc w:val="both"/>
        <w:rPr>
          <w:rFonts w:ascii="Verdana" w:hAnsi="Verdana" w:eastAsia="Times New Roman" w:cs="Arial"/>
        </w:rPr>
      </w:pPr>
      <w:r w:rsidRPr="006B6A68">
        <w:rPr>
          <w:rFonts w:ascii="Verdana" w:hAnsi="Verdana" w:cs="Arial"/>
          <w:noProof/>
          <w:lang w:val="es-ES_tradnl"/>
        </w:rPr>
        <w:t xml:space="preserve">La Ley 2069 2020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w:t>
      </w:r>
      <w:r w:rsidRPr="006B6A68">
        <w:rPr>
          <w:rFonts w:ascii="Verdana" w:hAnsi="Verdana" w:cs="Arial"/>
          <w:b/>
          <w:bCs/>
          <w:noProof/>
          <w:lang w:val="es-ES_tradnl"/>
        </w:rPr>
        <w:t>vi) un nuevo régimen de factores de desempate</w:t>
      </w:r>
      <w:r w:rsidRPr="006B6A68">
        <w:rPr>
          <w:rFonts w:ascii="Verdana" w:hAnsi="Verdana" w:cs="Arial"/>
          <w:noProof/>
          <w:lang w:val="es-ES_tradnl"/>
        </w:rPr>
        <w:t xml:space="preserve"> y vi</w:t>
      </w:r>
      <w:r w:rsidRPr="006B6A68" w:rsidR="00204574">
        <w:rPr>
          <w:rFonts w:ascii="Verdana" w:hAnsi="Verdana" w:cs="Arial"/>
          <w:noProof/>
          <w:lang w:val="es-ES_tradnl"/>
        </w:rPr>
        <w:t>i</w:t>
      </w:r>
      <w:r w:rsidRPr="006B6A68">
        <w:rPr>
          <w:rFonts w:ascii="Verdana" w:hAnsi="Verdana" w:cs="Arial"/>
          <w:noProof/>
          <w:lang w:val="es-ES_tradnl"/>
        </w:rPr>
        <w:t>) un llamado a las entidades estatales para que promuevan compras públicas en el marco de la tecnología y la innovación.</w:t>
      </w:r>
    </w:p>
    <w:p w:rsidRPr="00FC59CF" w:rsidR="00826C01" w:rsidP="00826C01" w:rsidRDefault="00826C01" w14:paraId="7F983DEB" w14:textId="78E8F1C5">
      <w:pPr>
        <w:pStyle w:val="Prrafodelista"/>
        <w:numPr>
          <w:ilvl w:val="0"/>
          <w:numId w:val="23"/>
        </w:numPr>
        <w:spacing w:after="0" w:line="276" w:lineRule="auto"/>
        <w:jc w:val="both"/>
        <w:rPr>
          <w:rFonts w:ascii="Verdana" w:hAnsi="Verdana" w:eastAsia="Calibri" w:cs="Arial"/>
          <w:lang w:val="es-ES_tradnl" w:eastAsia="es-ES_tradnl"/>
        </w:rPr>
      </w:pPr>
      <w:r w:rsidRPr="00FC59CF">
        <w:rPr>
          <w:rFonts w:ascii="Verdana" w:hAnsi="Verdana" w:eastAsia="Calibri" w:cs="Arial"/>
          <w:lang w:eastAsia="es-ES_tradnl"/>
        </w:rPr>
        <w:t xml:space="preserve">Particularmente, el </w:t>
      </w:r>
      <w:bookmarkStart w:name="_Hlk175579539" w:id="3"/>
      <w:r w:rsidRPr="00FC59CF">
        <w:rPr>
          <w:rFonts w:ascii="Verdana" w:hAnsi="Verdana" w:eastAsia="Calibri" w:cs="Arial"/>
          <w:lang w:eastAsia="es-ES_tradnl"/>
        </w:rPr>
        <w:t xml:space="preserve">artículo 32 </w:t>
      </w:r>
      <w:bookmarkEnd w:id="3"/>
      <w:r w:rsidRPr="00FC59CF">
        <w:rPr>
          <w:rFonts w:ascii="Verdana" w:hAnsi="Verdana" w:eastAsia="Calibri" w:cs="Arial"/>
          <w:i/>
          <w:lang w:eastAsia="es-ES_tradnl"/>
        </w:rPr>
        <w:t>ibidem</w:t>
      </w:r>
      <w:r w:rsidRPr="001A3CD7">
        <w:rPr>
          <w:vertAlign w:val="superscript"/>
          <w:lang w:eastAsia="es-ES_tradnl"/>
        </w:rPr>
        <w:footnoteReference w:id="4"/>
      </w:r>
      <w:r w:rsidRPr="00FC59CF">
        <w:rPr>
          <w:rFonts w:ascii="Verdana" w:hAnsi="Verdana" w:eastAsia="Calibri" w:cs="Arial"/>
          <w:lang w:eastAsia="es-ES_tradnl"/>
        </w:rPr>
        <w:t xml:space="preserve"> regula criterios diferenciales y puntajes adicionales para los “emprendimientos y empresas de mujeres” en el sistema de compras y contratación pública. En relación con este aspecto, el inciso primero de la norma citada prescribe: </w:t>
      </w:r>
    </w:p>
    <w:p w:rsidRPr="001A3CD7" w:rsidR="00826C01" w:rsidP="00826C01" w:rsidRDefault="00826C01" w14:paraId="0E8C6958" w14:textId="77777777">
      <w:pPr>
        <w:tabs>
          <w:tab w:val="left" w:pos="709"/>
        </w:tabs>
        <w:spacing w:after="0" w:line="276" w:lineRule="auto"/>
        <w:ind w:left="709" w:right="709"/>
        <w:jc w:val="both"/>
        <w:rPr>
          <w:rFonts w:ascii="Verdana" w:hAnsi="Verdana" w:eastAsia="Calibri" w:cs="Arial"/>
          <w:bCs/>
          <w:lang w:eastAsia="es-ES_tradnl"/>
        </w:rPr>
      </w:pPr>
    </w:p>
    <w:p w:rsidR="00826C01" w:rsidP="00826C01" w:rsidRDefault="006B6A68" w14:paraId="3BB209F2" w14:textId="40A4B243">
      <w:pPr>
        <w:spacing w:after="0" w:line="240" w:lineRule="auto"/>
        <w:ind w:left="1134" w:right="709"/>
        <w:contextualSpacing/>
        <w:jc w:val="both"/>
        <w:rPr>
          <w:rFonts w:ascii="Verdana" w:hAnsi="Verdana" w:eastAsia="Calibri" w:cs="Arial"/>
          <w:bCs/>
          <w:sz w:val="20"/>
          <w:szCs w:val="20"/>
          <w:lang w:eastAsia="es-ES_tradnl"/>
        </w:rPr>
      </w:pPr>
      <w:r>
        <w:rPr>
          <w:rFonts w:ascii="Verdana" w:hAnsi="Verdana" w:eastAsia="Calibri" w:cs="Arial"/>
          <w:bCs/>
          <w:sz w:val="20"/>
          <w:szCs w:val="20"/>
          <w:lang w:eastAsia="es-ES_tradnl"/>
        </w:rPr>
        <w:t xml:space="preserve">(….) </w:t>
      </w:r>
      <w:r w:rsidRPr="001A3CD7" w:rsidR="00826C01">
        <w:rPr>
          <w:rFonts w:ascii="Verdana" w:hAnsi="Verdana" w:eastAsia="Calibri" w:cs="Arial"/>
          <w:bCs/>
          <w:sz w:val="20"/>
          <w:szCs w:val="20"/>
          <w:lang w:eastAsia="es-ES_tradnl"/>
        </w:rPr>
        <w:t xml:space="preserve">De acuerdo con el resultado del análisis del sector, las entidades estatales incluirán requisitos diferenciales y puntajes adicionales en los procesos de </w:t>
      </w:r>
      <w:bookmarkStart w:name="_Hlk63770487" w:id="4"/>
      <w:r w:rsidRPr="001A3CD7" w:rsidR="00826C01">
        <w:rPr>
          <w:rFonts w:ascii="Verdana" w:hAnsi="Verdana" w:eastAsia="Calibri" w:cs="Arial"/>
          <w:bCs/>
          <w:sz w:val="20"/>
          <w:szCs w:val="20"/>
          <w:lang w:eastAsia="es-ES_tradnl"/>
        </w:rPr>
        <w:t>licitación pública, selección abreviada de menor cuantía y concurso de méritos</w:t>
      </w:r>
      <w:bookmarkEnd w:id="4"/>
      <w:r w:rsidRPr="001A3CD7" w:rsidR="00826C01">
        <w:rPr>
          <w:rFonts w:ascii="Verdana" w:hAnsi="Verdana" w:eastAsia="Calibri"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6B6A68">
        <w:rPr>
          <w:rFonts w:ascii="Verdana" w:hAnsi="Verdana" w:eastAsia="Calibri" w:cs="Arial"/>
          <w:bCs/>
          <w:sz w:val="20"/>
          <w:szCs w:val="20"/>
          <w:lang w:eastAsia="es-ES_tradnl"/>
        </w:rPr>
        <w:t xml:space="preserve"> </w:t>
      </w:r>
      <w:r>
        <w:rPr>
          <w:rFonts w:ascii="Verdana" w:hAnsi="Verdana" w:eastAsia="Calibri" w:cs="Arial"/>
          <w:bCs/>
          <w:sz w:val="20"/>
          <w:szCs w:val="20"/>
          <w:lang w:eastAsia="es-ES_tradnl"/>
        </w:rPr>
        <w:t>(….)</w:t>
      </w:r>
    </w:p>
    <w:p w:rsidR="00826C01" w:rsidP="00871E9D" w:rsidRDefault="00826C01" w14:paraId="241DE67B" w14:textId="77777777">
      <w:pPr>
        <w:tabs>
          <w:tab w:val="left" w:pos="709"/>
        </w:tabs>
        <w:spacing w:after="0" w:line="240" w:lineRule="auto"/>
        <w:ind w:left="709" w:right="49"/>
        <w:contextualSpacing/>
        <w:jc w:val="both"/>
        <w:rPr>
          <w:rFonts w:ascii="Verdana" w:hAnsi="Verdana" w:eastAsia="Calibri" w:cs="Arial"/>
          <w:bCs/>
          <w:sz w:val="20"/>
          <w:szCs w:val="20"/>
          <w:lang w:eastAsia="es-ES_tradnl"/>
        </w:rPr>
      </w:pPr>
    </w:p>
    <w:p w:rsidRPr="00826C01" w:rsidR="00826C01" w:rsidP="00871E9D" w:rsidRDefault="00826C01" w14:paraId="1E6DB2C8" w14:textId="77777777">
      <w:pPr>
        <w:pStyle w:val="Prrafodelista"/>
        <w:numPr>
          <w:ilvl w:val="0"/>
          <w:numId w:val="24"/>
        </w:numPr>
        <w:tabs>
          <w:tab w:val="left" w:pos="709"/>
        </w:tabs>
        <w:spacing w:after="0" w:line="240" w:lineRule="auto"/>
        <w:ind w:right="49"/>
        <w:jc w:val="both"/>
        <w:rPr>
          <w:rFonts w:ascii="Verdana" w:hAnsi="Verdana" w:eastAsia="Calibri" w:cs="Arial"/>
          <w:bCs/>
          <w:sz w:val="20"/>
          <w:szCs w:val="20"/>
          <w:lang w:val="es-CO" w:eastAsia="es-ES_tradnl"/>
        </w:rPr>
      </w:pPr>
      <w:r w:rsidRPr="00FC59CF">
        <w:rPr>
          <w:rFonts w:ascii="Verdana" w:hAnsi="Verdana" w:eastAsia="Calibri"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w:t>
      </w:r>
      <w:r w:rsidRPr="00FC59CF">
        <w:rPr>
          <w:rFonts w:ascii="Verdana" w:hAnsi="Verdana" w:eastAsia="Calibri" w:cs="Arial"/>
          <w:lang w:val="es-ES_tradnl" w:eastAsia="es-ES_tradnl"/>
        </w:rPr>
        <w:lastRenderedPageBreak/>
        <w:t xml:space="preserve">1150 de 2007. Así mismo, sin distinciones ulteriores, la norma en comento también se extiende a todos los procedimientos que realicen las Entidades Estatales excluidas de la Ley 80 de 1993.  </w:t>
      </w:r>
    </w:p>
    <w:p w:rsidRPr="00FC59CF" w:rsidR="00826C01" w:rsidP="00826C01" w:rsidRDefault="00826C01" w14:paraId="38344C80" w14:textId="2A1FBBA0">
      <w:pPr>
        <w:pStyle w:val="Prrafodelista"/>
        <w:tabs>
          <w:tab w:val="left" w:pos="709"/>
        </w:tabs>
        <w:spacing w:after="0" w:line="240" w:lineRule="auto"/>
        <w:ind w:right="709"/>
        <w:jc w:val="both"/>
        <w:rPr>
          <w:rFonts w:ascii="Verdana" w:hAnsi="Verdana" w:eastAsia="Calibri" w:cs="Arial"/>
          <w:bCs/>
          <w:sz w:val="20"/>
          <w:szCs w:val="20"/>
          <w:lang w:val="es-CO" w:eastAsia="es-ES_tradnl"/>
        </w:rPr>
      </w:pPr>
      <w:r w:rsidRPr="00FC59CF">
        <w:rPr>
          <w:rFonts w:ascii="Verdana" w:hAnsi="Verdana" w:eastAsia="Calibri" w:cs="Arial"/>
          <w:lang w:val="es-ES_tradnl" w:eastAsia="es-ES_tradnl"/>
        </w:rPr>
        <w:t xml:space="preserve">   </w:t>
      </w:r>
    </w:p>
    <w:p w:rsidR="00826C01" w:rsidP="00826C01" w:rsidRDefault="00826C01" w14:paraId="49679E32" w14:textId="77777777">
      <w:pPr>
        <w:pStyle w:val="Prrafodelista"/>
        <w:numPr>
          <w:ilvl w:val="0"/>
          <w:numId w:val="24"/>
        </w:numPr>
        <w:spacing w:after="120" w:line="276" w:lineRule="auto"/>
        <w:jc w:val="both"/>
        <w:rPr>
          <w:rFonts w:ascii="Verdana" w:hAnsi="Verdana" w:eastAsia="Calibri" w:cs="Arial"/>
          <w:lang w:val="es-ES_tradnl" w:eastAsia="es-ES_tradnl"/>
        </w:rPr>
      </w:pPr>
      <w:r w:rsidRPr="00FC59CF">
        <w:rPr>
          <w:rFonts w:ascii="Verdana" w:hAnsi="Verdana" w:eastAsia="Calibri"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rsidR="00826C01" w:rsidP="00826C01" w:rsidRDefault="00826C01" w14:paraId="272CB9E2" w14:textId="77777777">
      <w:pPr>
        <w:pStyle w:val="Prrafodelista"/>
        <w:numPr>
          <w:ilvl w:val="0"/>
          <w:numId w:val="24"/>
        </w:numPr>
        <w:spacing w:after="120" w:line="276" w:lineRule="auto"/>
        <w:jc w:val="both"/>
        <w:rPr>
          <w:rFonts w:ascii="Verdana" w:hAnsi="Verdana" w:eastAsia="Calibri" w:cs="Arial"/>
          <w:lang w:val="es-ES_tradnl" w:eastAsia="es-ES_tradnl"/>
        </w:rPr>
      </w:pPr>
      <w:r w:rsidRPr="00FC59CF">
        <w:rPr>
          <w:rFonts w:ascii="Verdana" w:hAnsi="Verdana" w:eastAsia="Calibri"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name="_Hlk175579606" w:id="5"/>
      <w:r w:rsidRPr="00FC59CF">
        <w:rPr>
          <w:rFonts w:ascii="Verdana" w:hAnsi="Verdana" w:eastAsia="Calibri" w:cs="Arial"/>
          <w:lang w:val="es-ES_tradnl" w:eastAsia="es-ES_tradnl"/>
        </w:rPr>
        <w:t>artículo 3 del Decreto 1860 de 2021 adiciona los artículos 2.2.1.2.4.2.14 y 2.2.1.2.4.2.15 a la Subsección 2 de la Sección 4 del Capítulo 2 del Título 1 de la Parte 2 del Libro 2 del Decreto 1082 de 2015</w:t>
      </w:r>
      <w:bookmarkEnd w:id="5"/>
      <w:r w:rsidRPr="00FC59CF">
        <w:rPr>
          <w:rFonts w:ascii="Verdana" w:hAnsi="Verdana" w:eastAsia="Calibri" w:cs="Arial"/>
          <w:lang w:val="es-ES_tradnl" w:eastAsia="es-ES_tradnl"/>
        </w:rPr>
        <w:t xml:space="preserve">. La primera de las normas adicionadas consagra la definición de emprendimientos y empresas de mujeres, mientras que la segunda establece los criterios diferenciales incluyendo los puntajes adicionales y regula su aplicación. </w:t>
      </w:r>
    </w:p>
    <w:p w:rsidRPr="00FC59CF" w:rsidR="00826C01" w:rsidP="00826C01" w:rsidRDefault="00826C01" w14:paraId="79E3E525" w14:textId="77777777">
      <w:pPr>
        <w:pStyle w:val="Prrafodelista"/>
        <w:numPr>
          <w:ilvl w:val="0"/>
          <w:numId w:val="24"/>
        </w:numPr>
        <w:spacing w:after="120" w:line="276" w:lineRule="auto"/>
        <w:jc w:val="both"/>
        <w:rPr>
          <w:rFonts w:ascii="Verdana" w:hAnsi="Verdana" w:eastAsia="Calibri" w:cs="Arial"/>
          <w:lang w:val="es-ES_tradnl" w:eastAsia="es-ES_tradnl"/>
        </w:rPr>
      </w:pPr>
      <w:r w:rsidRPr="00FC59CF">
        <w:rPr>
          <w:rFonts w:ascii="Verdana" w:hAnsi="Verdana" w:eastAsia="Calibri" w:cs="Arial"/>
          <w:lang w:val="es-ES_tradnl" w:eastAsia="es-ES_tradnl"/>
        </w:rPr>
        <w:t xml:space="preserve">Así las cosas, el </w:t>
      </w:r>
      <w:bookmarkStart w:name="_Hlk175579627" w:id="6"/>
      <w:r w:rsidRPr="00FC59CF">
        <w:rPr>
          <w:rFonts w:ascii="Verdana" w:hAnsi="Verdana" w:eastAsia="Calibri" w:cs="Arial"/>
          <w:lang w:val="es-ES_tradnl" w:eastAsia="es-ES_tradnl"/>
        </w:rPr>
        <w:t xml:space="preserve">artículo 2.2.1.2.4.2.14 del Decreto 1082 de 2015 </w:t>
      </w:r>
      <w:bookmarkEnd w:id="6"/>
      <w:r w:rsidRPr="00FC59CF">
        <w:rPr>
          <w:rFonts w:ascii="Verdana" w:hAnsi="Verdana" w:eastAsia="Calibri"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rsidRPr="001A3CD7" w:rsidR="00826C01" w:rsidP="00826C01" w:rsidRDefault="00826C01" w14:paraId="36DAB8AC" w14:textId="77777777">
      <w:pPr>
        <w:pStyle w:val="Prrafodelista"/>
        <w:spacing w:after="0" w:line="276" w:lineRule="auto"/>
        <w:ind w:left="360"/>
        <w:contextualSpacing w:val="0"/>
        <w:jc w:val="both"/>
        <w:rPr>
          <w:rFonts w:ascii="Verdana" w:hAnsi="Verdana" w:eastAsia="Calibri" w:cs="Arial"/>
          <w:lang w:val="es-ES_tradnl" w:eastAsia="es-ES_tradnl"/>
        </w:rPr>
      </w:pPr>
    </w:p>
    <w:p w:rsidRPr="001A3CD7" w:rsidR="00826C01" w:rsidP="00826C01" w:rsidRDefault="00826C01" w14:paraId="7FEB7E9D"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r>
        <w:rPr>
          <w:rFonts w:ascii="Verdana" w:hAnsi="Verdana" w:eastAsia="Times New Roman" w:cs="Arial"/>
          <w:sz w:val="20"/>
          <w:szCs w:val="20"/>
          <w:lang w:eastAsia="es-CO"/>
        </w:rPr>
        <w:t>“</w:t>
      </w:r>
      <w:r w:rsidRPr="001A3CD7">
        <w:rPr>
          <w:rFonts w:ascii="Verdana" w:hAnsi="Verdana" w:eastAsia="Times New Roman"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rsidRPr="001A3CD7" w:rsidR="00826C01" w:rsidP="00826C01" w:rsidRDefault="00826C01" w14:paraId="08654EF7"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r w:rsidRPr="001A3CD7">
        <w:rPr>
          <w:rFonts w:ascii="Verdana" w:hAnsi="Verdana" w:eastAsia="Times New Roman" w:cs="Arial"/>
          <w:sz w:val="20"/>
          <w:szCs w:val="20"/>
          <w:lang w:eastAsia="es-CO"/>
        </w:rPr>
        <w:t>  </w:t>
      </w:r>
    </w:p>
    <w:p w:rsidRPr="001A3CD7" w:rsidR="00826C01" w:rsidP="00826C01" w:rsidRDefault="00826C01" w14:paraId="31930C02"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r w:rsidRPr="001A3CD7">
        <w:rPr>
          <w:rFonts w:ascii="Verdana" w:hAnsi="Verdana" w:eastAsia="Times New Roman" w:cs="Arial"/>
          <w:i/>
          <w:iCs/>
          <w:sz w:val="20"/>
          <w:szCs w:val="20"/>
          <w:lang w:eastAsia="es-CO"/>
        </w:rPr>
        <w:lastRenderedPageBreak/>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rsidRPr="001A3CD7" w:rsidR="00826C01" w:rsidP="00826C01" w:rsidRDefault="00826C01" w14:paraId="71407DFE"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p>
    <w:p w:rsidRPr="001A3CD7" w:rsidR="00826C01" w:rsidP="00826C01" w:rsidRDefault="00826C01" w14:paraId="522E6E3C"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r w:rsidRPr="001A3CD7">
        <w:rPr>
          <w:rFonts w:ascii="Verdana" w:hAnsi="Verdana" w:eastAsia="Times New Roman"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rsidRPr="001A3CD7" w:rsidR="00826C01" w:rsidP="00826C01" w:rsidRDefault="00826C01" w14:paraId="5A47E277"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p>
    <w:p w:rsidRPr="001A3CD7" w:rsidR="00826C01" w:rsidP="00826C01" w:rsidRDefault="00826C01" w14:paraId="12C7D3F0"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r w:rsidRPr="001A3CD7">
        <w:rPr>
          <w:rFonts w:ascii="Verdana" w:hAnsi="Verdana" w:eastAsia="Times New Roman"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rsidRPr="001A3CD7" w:rsidR="00826C01" w:rsidP="00826C01" w:rsidRDefault="00826C01" w14:paraId="171A5676"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p>
    <w:p w:rsidRPr="001A3CD7" w:rsidR="00826C01" w:rsidP="00826C01" w:rsidRDefault="00826C01" w14:paraId="6873B027"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r w:rsidRPr="001A3CD7">
        <w:rPr>
          <w:rFonts w:ascii="Verdana" w:hAnsi="Verdana" w:eastAsia="Times New Roman"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rsidRPr="001A3CD7" w:rsidR="00826C01" w:rsidP="00826C01" w:rsidRDefault="00826C01" w14:paraId="3939A65B"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p>
    <w:p w:rsidRPr="001A3CD7" w:rsidR="00826C01" w:rsidP="00826C01" w:rsidRDefault="00826C01" w14:paraId="73AFB0E5" w14:textId="77777777">
      <w:pPr>
        <w:shd w:val="clear" w:color="auto" w:fill="FFFFFF"/>
        <w:spacing w:after="0" w:line="240" w:lineRule="auto"/>
        <w:ind w:left="1134" w:right="709"/>
        <w:contextualSpacing/>
        <w:jc w:val="both"/>
        <w:textAlignment w:val="baseline"/>
        <w:rPr>
          <w:rFonts w:ascii="Verdana" w:hAnsi="Verdana" w:eastAsia="Times New Roman" w:cs="Arial"/>
          <w:i/>
          <w:iCs/>
          <w:sz w:val="20"/>
          <w:szCs w:val="20"/>
          <w:lang w:eastAsia="es-CO"/>
        </w:rPr>
      </w:pPr>
      <w:r w:rsidRPr="001A3CD7">
        <w:rPr>
          <w:rFonts w:ascii="Verdana" w:hAnsi="Verdana" w:eastAsia="Times New Roman" w:cs="Arial"/>
          <w:i/>
          <w:iCs/>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rsidRPr="001A3CD7" w:rsidR="00826C01" w:rsidP="00826C01" w:rsidRDefault="00826C01" w14:paraId="3622381B"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p>
    <w:p w:rsidRPr="001A3CD7" w:rsidR="00826C01" w:rsidP="00826C01" w:rsidRDefault="00826C01" w14:paraId="59CF2179"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r w:rsidRPr="001A3CD7">
        <w:rPr>
          <w:rFonts w:ascii="Verdana" w:hAnsi="Verdana" w:eastAsia="Times New Roman"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rsidRPr="001A3CD7" w:rsidR="00826C01" w:rsidP="00826C01" w:rsidRDefault="00826C01" w14:paraId="7A440B9A"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p>
    <w:p w:rsidRPr="001A3CD7" w:rsidR="00826C01" w:rsidP="00826C01" w:rsidRDefault="00826C01" w14:paraId="1F7DFB53"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r w:rsidRPr="001A3CD7">
        <w:rPr>
          <w:rFonts w:ascii="Verdana" w:hAnsi="Verdana" w:eastAsia="Times New Roman" w:cs="Arial"/>
          <w:sz w:val="20"/>
          <w:szCs w:val="20"/>
          <w:lang w:eastAsia="es-CO"/>
        </w:rPr>
        <w:t xml:space="preserve">4. Para las asociaciones y cooperativas, cuando más del cincuenta por ciento (50%) de los asociados sean mujeres y la participación haya </w:t>
      </w:r>
      <w:r w:rsidRPr="001A3CD7">
        <w:rPr>
          <w:rFonts w:ascii="Verdana" w:hAnsi="Verdana" w:eastAsia="Times New Roman" w:cs="Arial"/>
          <w:sz w:val="20"/>
          <w:szCs w:val="20"/>
          <w:lang w:eastAsia="es-CO"/>
        </w:rPr>
        <w:lastRenderedPageBreak/>
        <w:t>correspondido a estas durante al menos el último año anterior a la fecha de cierre del Proceso de Selección. Esta circunstancia se acreditará mediante certificación expedida por el representante legal.</w:t>
      </w:r>
    </w:p>
    <w:p w:rsidRPr="001A3CD7" w:rsidR="00826C01" w:rsidP="00826C01" w:rsidRDefault="00826C01" w14:paraId="3F1F53AD" w14:textId="77777777">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p>
    <w:p w:rsidRPr="001A3CD7" w:rsidR="00826C01" w:rsidP="00826C01" w:rsidRDefault="00826C01" w14:paraId="2FD9FA5A" w14:textId="2D91429E">
      <w:pPr>
        <w:shd w:val="clear" w:color="auto" w:fill="FFFFFF"/>
        <w:spacing w:after="0" w:line="240" w:lineRule="auto"/>
        <w:ind w:left="1134" w:right="709"/>
        <w:contextualSpacing/>
        <w:jc w:val="both"/>
        <w:textAlignment w:val="baseline"/>
        <w:rPr>
          <w:rFonts w:ascii="Verdana" w:hAnsi="Verdana" w:eastAsia="Times New Roman" w:cs="Arial"/>
          <w:sz w:val="20"/>
          <w:szCs w:val="20"/>
          <w:lang w:eastAsia="es-CO"/>
        </w:rPr>
      </w:pPr>
      <w:r w:rsidRPr="001A3CD7">
        <w:rPr>
          <w:rFonts w:ascii="Verdana" w:hAnsi="Verdana" w:eastAsia="Times New Roman"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rsidR="00826C01" w:rsidP="00826C01" w:rsidRDefault="00826C01" w14:paraId="586614C1" w14:textId="77777777">
      <w:pPr>
        <w:spacing w:after="120" w:line="276" w:lineRule="auto"/>
        <w:jc w:val="both"/>
        <w:rPr>
          <w:rFonts w:ascii="Verdana" w:hAnsi="Verdana" w:eastAsia="Calibri" w:cs="Arial"/>
          <w:lang w:val="es-ES_tradnl" w:eastAsia="es-ES_tradnl"/>
        </w:rPr>
      </w:pPr>
    </w:p>
    <w:p w:rsidR="00826C01" w:rsidP="00826C01" w:rsidRDefault="00826C01" w14:paraId="5F370395"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eastAsia="Calibri" w:cs="Arial"/>
          <w:lang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rsidRPr="00FC59CF" w:rsidR="00826C01" w:rsidP="00826C01" w:rsidRDefault="00826C01" w14:paraId="5C91524E"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eastAsia="Calibri" w:cs="Arial"/>
          <w:lang w:eastAsia="es-ES_tradnl"/>
        </w:rPr>
        <w:t xml:space="preserve">El </w:t>
      </w:r>
      <w:r w:rsidRPr="00FC59CF">
        <w:rPr>
          <w:rFonts w:ascii="Verdana" w:hAnsi="Verdana" w:eastAsia="Times New Roman" w:cs="Arial"/>
          <w:lang w:val="es-ES_tradnl" w:eastAsia="es-ES"/>
        </w:rPr>
        <w:t xml:space="preserve">numeral primero establece que </w:t>
      </w:r>
      <w:r w:rsidRPr="00FC59CF">
        <w:rPr>
          <w:rFonts w:ascii="Verdana" w:hAnsi="Verdana" w:eastAsia="Calibri"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name="_Hlk175580519" w:id="7"/>
      <w:r w:rsidRPr="00FC59CF">
        <w:rPr>
          <w:rFonts w:ascii="Verdana" w:hAnsi="Verdana" w:eastAsia="Calibri" w:cs="Arial"/>
          <w:lang w:val="es-ES_tradnl"/>
        </w:rPr>
        <w:t>Sin embargo, el supuesto de hecho de la norma transcrita, adicionalmente, exige que la titularidad de tal participación haya pertenecido a mujeres, por lo menos, durante el año anterior a la fecha de cierre del proceso de selección.</w:t>
      </w:r>
      <w:bookmarkEnd w:id="7"/>
    </w:p>
    <w:p w:rsidR="00826C01" w:rsidP="00826C01" w:rsidRDefault="00826C01" w14:paraId="4E0F58BF"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eastAsia="Calibri" w:cs="Arial"/>
        </w:rPr>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r>
        <w:rPr>
          <w:rFonts w:ascii="Verdana" w:hAnsi="Verdana" w:eastAsia="Calibri" w:cs="Arial"/>
        </w:rPr>
        <w:t>.</w:t>
      </w:r>
    </w:p>
    <w:p w:rsidRPr="00FC59CF" w:rsidR="00826C01" w:rsidP="00826C01" w:rsidRDefault="00826C01" w14:paraId="3DCC6C22"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eastAsia="Calibri" w:cs="Arial"/>
          <w:lang w:val="es-ES_tradnl"/>
        </w:rPr>
        <w:t xml:space="preserve">Así mismo, debe precisarse que la participación mayoritaria de mujeres </w:t>
      </w:r>
      <w:r w:rsidRPr="00FC59CF">
        <w:rPr>
          <w:rFonts w:ascii="Verdana" w:hAnsi="Verdana" w:cs="Arial"/>
        </w:rPr>
        <w:t xml:space="preserve">puede ser ejercida por diferentes personas durante el último año, siempre que durante dicho periodo la participación </w:t>
      </w:r>
      <w:r w:rsidRPr="00FC59CF">
        <w:rPr>
          <w:rFonts w:ascii="Verdana" w:hAnsi="Verdana" w:cs="Arial"/>
          <w:i/>
        </w:rPr>
        <w:t>mayoritaria</w:t>
      </w:r>
      <w:r w:rsidRPr="00FC59CF">
        <w:rPr>
          <w:rFonts w:ascii="Verdana" w:hAnsi="Verdana" w:cs="Arial"/>
        </w:rPr>
        <w:t xml:space="preserve"> de mujeres se haya </w:t>
      </w:r>
      <w:r w:rsidRPr="00FC59CF">
        <w:rPr>
          <w:rFonts w:ascii="Verdana" w:hAnsi="Verdana" w:cs="Arial"/>
        </w:rPr>
        <w:lastRenderedPageBreak/>
        <w:t xml:space="preserve">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rsidRPr="00FC59CF" w:rsidR="00826C01" w:rsidP="00826C01" w:rsidRDefault="00826C01" w14:paraId="665D1889"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cs="Arial"/>
        </w:rPr>
        <w:t xml:space="preserve">Como medio para la acreditación de este criterio, señala la normativa referida que: </w:t>
      </w:r>
      <w:r w:rsidRPr="00FC59CF">
        <w:rPr>
          <w:rFonts w:ascii="Verdana" w:hAnsi="Verdana" w:eastAsia="Times New Roman" w:cs="Arial"/>
          <w:i/>
          <w:lang w:val="es-ES_tradnl" w:eastAsia="es-ES"/>
        </w:rPr>
        <w:t>“</w:t>
      </w:r>
      <w:r w:rsidRPr="00FC59CF">
        <w:rPr>
          <w:rFonts w:ascii="Verdana"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FC59CF">
        <w:rPr>
          <w:rFonts w:ascii="Verdana" w:hAnsi="Verdana" w:eastAsia="Times New Roman" w:cs="Arial"/>
          <w:i/>
          <w:lang w:val="es-ES_tradnl" w:eastAsia="es-ES"/>
        </w:rPr>
        <w:t>”</w:t>
      </w:r>
      <w:r w:rsidRPr="00FC59CF">
        <w:rPr>
          <w:rFonts w:ascii="Verdana" w:hAnsi="Verdana" w:cs="Arial"/>
        </w:rPr>
        <w:t>.</w:t>
      </w:r>
    </w:p>
    <w:p w:rsidR="00C15405" w:rsidP="00C15405" w:rsidRDefault="00826C01" w14:paraId="6C1C132B" w14:textId="77777777">
      <w:pPr>
        <w:pStyle w:val="Prrafodelista"/>
        <w:numPr>
          <w:ilvl w:val="0"/>
          <w:numId w:val="25"/>
        </w:numPr>
        <w:spacing w:after="120" w:line="276" w:lineRule="auto"/>
        <w:jc w:val="both"/>
        <w:rPr>
          <w:rFonts w:ascii="Verdana" w:hAnsi="Verdana" w:eastAsia="Calibri" w:cs="Arial"/>
          <w:lang w:eastAsia="es-ES"/>
        </w:rPr>
      </w:pPr>
      <w:r w:rsidRPr="00FC59CF">
        <w:rPr>
          <w:rFonts w:ascii="Verdana" w:hAnsi="Verdana" w:eastAsia="Calibri" w:cs="Arial"/>
          <w:lang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FC59CF">
        <w:rPr>
          <w:rFonts w:ascii="Verdana" w:hAnsi="Verdana" w:eastAsia="Calibri" w:cs="Arial"/>
          <w:i/>
          <w:lang w:eastAsia="es-ES"/>
        </w:rPr>
        <w:t>primero</w:t>
      </w:r>
      <w:r w:rsidRPr="00FC59CF">
        <w:rPr>
          <w:rFonts w:ascii="Verdana" w:hAnsi="Verdana" w:eastAsia="Calibri" w:cs="Arial"/>
          <w:lang w:eastAsia="es-ES"/>
        </w:rPr>
        <w:t xml:space="preserve"> del artículo 2.2.1.2.4.2.14, les corresponde presentar la mencionada certificación con sus respectivos soportes.</w:t>
      </w:r>
    </w:p>
    <w:p w:rsidRPr="00C15405" w:rsidR="00C15405" w:rsidP="00C15405" w:rsidRDefault="00C15405" w14:paraId="23DC1DA7" w14:textId="77777777">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Ahora bien,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w:t>
      </w:r>
    </w:p>
    <w:p w:rsidRPr="00C15405" w:rsidR="00C15405" w:rsidP="00C15405" w:rsidRDefault="00C15405" w14:paraId="45BBE90F" w14:textId="01F27660">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Así, en relación con el numeral 2 del artículo 35, como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w:t>
      </w:r>
      <w:r w:rsidRPr="00C15405">
        <w:rPr>
          <w:rFonts w:ascii="Verdana" w:hAnsi="Verdana" w:eastAsia="Times New Roman" w:cs="Arial"/>
        </w:rPr>
        <w:lastRenderedPageBreak/>
        <w:t xml:space="preserve">síquica o mental» .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 </w:t>
      </w:r>
    </w:p>
    <w:p w:rsidRPr="00C15405" w:rsidR="00C15405" w:rsidP="00C15405" w:rsidRDefault="00C15405" w14:paraId="3E6018B3" w14:textId="77777777">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 . </w:t>
      </w:r>
    </w:p>
    <w:p w:rsidRPr="00C15405" w:rsidR="00C15405" w:rsidP="00C15405" w:rsidRDefault="00C15405" w14:paraId="2202B5CD" w14:textId="228C42CC">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w:t>
      </w:r>
      <w:r w:rsidR="00DA43F8">
        <w:rPr>
          <w:rFonts w:ascii="Verdana" w:hAnsi="Verdana" w:eastAsia="Times New Roman" w:cs="Arial"/>
        </w:rPr>
        <w:t>“</w:t>
      </w:r>
      <w:r w:rsidRPr="00C15405">
        <w:rPr>
          <w:rFonts w:ascii="Verdana" w:hAnsi="Verdana" w:eastAsia="Times New Roman" w:cs="Arial"/>
        </w:rPr>
        <w:t>Las situaciones de violencia que dan lugar a la atención de las mujeres, sus hijos e hijas, se acreditarán con la medida de protección expedida por la autoridad competente, sin que puedan exigirse requisitos adicionales</w:t>
      </w:r>
      <w:r w:rsidR="00DA43F8">
        <w:rPr>
          <w:rFonts w:ascii="Verdana" w:hAnsi="Verdana" w:eastAsia="Times New Roman" w:cs="Arial"/>
        </w:rPr>
        <w:t>”</w:t>
      </w:r>
      <w:r w:rsidRPr="00C15405">
        <w:rPr>
          <w:rFonts w:ascii="Verdana" w:hAnsi="Verdana" w:eastAsia="Times New Roman" w:cs="Arial"/>
        </w:rPr>
        <w:t>.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rsidRPr="00C15405" w:rsidR="00C15405" w:rsidP="00C15405" w:rsidRDefault="00C15405" w14:paraId="6A18D409" w14:textId="77777777">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lastRenderedPageBreak/>
        <w:t>Ahora bien, el numeral 2 del artículo 35 de la Ley 2069 de 2020 no establece que este factor de desempate únicamente puede aplicarse cuando en la persona jurídica existe participación mayoritaria solo de mujeres cabeza de familia o solo de mujeres víctimas de la violencia intrafamiliar. Lo que prevé el enunciado normativo es que se debe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rsidRPr="00C15405" w:rsidR="00C15405" w:rsidP="00C15405" w:rsidRDefault="00C15405" w14:paraId="1191526B" w14:textId="77777777">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rsidRPr="00C15405" w:rsidR="00C15405" w:rsidP="00C15405" w:rsidRDefault="00C15405" w14:paraId="44BCDB9E" w14:textId="77777777">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Ahora bien, el artículo 35, numeral 2, de la Ley 2069 de 2020 utiliza un concepto jurídico indeterminado, cuando se refiere a la participación mayoritaria de las mujeres cabeza de familia o mujeres víctimas de la violencia intrafamiliar en la persona jurídica o en el proponente plural,  por lo que deberá acudirse a los criterios previstos en los ya mencionados numerales del Artículo 2.2.1.2.4.2.14. del Decreto 1860 de 2021 que establece en sus cuatro numerales las condiciones alternativas que definen los emprendimientos y empresas de mujeres, a efectos de aplicar los criterios diferenciales. </w:t>
      </w:r>
    </w:p>
    <w:p w:rsidRPr="00C15405" w:rsidR="00C15405" w:rsidP="00C15405" w:rsidRDefault="00C15405" w14:paraId="7A2447B6" w14:textId="6094BA53">
      <w:pPr>
        <w:pStyle w:val="Prrafodelista"/>
        <w:numPr>
          <w:ilvl w:val="0"/>
          <w:numId w:val="25"/>
        </w:numPr>
        <w:spacing w:after="120" w:line="276" w:lineRule="auto"/>
        <w:jc w:val="both"/>
        <w:rPr>
          <w:rFonts w:ascii="Verdana" w:hAnsi="Verdana" w:eastAsia="Calibri" w:cs="Arial"/>
          <w:lang w:eastAsia="es-ES"/>
        </w:rPr>
      </w:pPr>
      <w:r w:rsidRPr="00C15405">
        <w:rPr>
          <w:rFonts w:ascii="Verdana" w:hAnsi="Verdana" w:eastAsia="Times New Roman" w:cs="Arial"/>
        </w:rPr>
        <w:t xml:space="preserve">Asi las cosas, corresponde a cada entidad pública, en ejercicio de su competencia y previa valoración de los elementos fácticos y jurídicos asi como de las disposiciones legales anteriormente mencionadas, determinar la forma de acreditación del factor de desempate previstos en el numeral 2 del artículo 35 de la Ley 2069 de 2020, lo anterior teniendo en cuenta que al tratarse de un análisis que se debe realizar en cada caso concreto, </w:t>
      </w:r>
      <w:r w:rsidRPr="00C15405">
        <w:rPr>
          <w:rFonts w:ascii="Verdana" w:hAnsi="Verdana" w:eastAsia="Times New Roman" w:cs="Arial"/>
        </w:rPr>
        <w:lastRenderedPageBreak/>
        <w:t>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y, en caso de conflicto, a las autoridades judiciales, fiscales y disciplinarias.</w:t>
      </w:r>
    </w:p>
    <w:p w:rsidR="005773E9" w:rsidP="005773E9" w:rsidRDefault="005773E9" w14:paraId="303DFF36" w14:textId="77777777">
      <w:pPr>
        <w:spacing w:after="120" w:line="276" w:lineRule="auto"/>
        <w:ind w:firstLine="708"/>
        <w:jc w:val="both"/>
        <w:rPr>
          <w:rFonts w:ascii="Verdana" w:hAnsi="Verdana" w:eastAsia="Times New Roman" w:cs="Arial"/>
        </w:rPr>
      </w:pPr>
    </w:p>
    <w:p w:rsidRPr="00593A5F" w:rsidR="007E4284" w:rsidP="005773E9" w:rsidRDefault="007E4284" w14:paraId="27355FBD" w14:textId="2F677D48">
      <w:pPr>
        <w:spacing w:after="120" w:line="276" w:lineRule="auto"/>
        <w:ind w:firstLine="708"/>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7E4284" w:rsidP="007E4284" w:rsidRDefault="007E4284" w14:paraId="45A6AF20"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7E4284" w:rsidTr="00730488" w14:paraId="5A2D1EE2" w14:textId="77777777">
        <w:trPr>
          <w:trHeight w:val="870"/>
        </w:trPr>
        <w:tc>
          <w:tcPr>
            <w:tcW w:w="8647" w:type="dxa"/>
          </w:tcPr>
          <w:p w:rsidRPr="00830FFA" w:rsidR="00C15405" w:rsidP="00C15405" w:rsidRDefault="00C15405" w14:paraId="7B033A9F" w14:textId="4015691F">
            <w:pPr>
              <w:pStyle w:val="Prrafodelista"/>
              <w:numPr>
                <w:ilvl w:val="0"/>
                <w:numId w:val="18"/>
              </w:numPr>
              <w:jc w:val="both"/>
              <w:rPr>
                <w:rFonts w:ascii="Verdana" w:hAnsi="Verdana" w:eastAsia="Calibri" w:cs="Arial"/>
                <w:lang w:eastAsia="es-ES_tradnl"/>
              </w:rPr>
            </w:pPr>
            <w:r w:rsidRPr="00830FFA">
              <w:rPr>
                <w:rFonts w:ascii="Verdana" w:hAnsi="Verdana" w:eastAsia="Calibri" w:cs="Arial"/>
                <w:lang w:val="es-ES_tradnl" w:eastAsia="es-ES_tradnl"/>
              </w:rPr>
              <w:t xml:space="preserve">Ley 2069 de 2020: </w:t>
            </w:r>
            <w:r w:rsidRPr="00830FFA">
              <w:rPr>
                <w:rFonts w:ascii="Verdana" w:hAnsi="Verdana" w:eastAsia="Calibri" w:cs="Arial"/>
                <w:lang w:eastAsia="es-ES_tradnl"/>
              </w:rPr>
              <w:t>Artículo</w:t>
            </w:r>
            <w:r>
              <w:rPr>
                <w:rFonts w:ascii="Verdana" w:hAnsi="Verdana" w:eastAsia="Calibri" w:cs="Arial"/>
                <w:lang w:eastAsia="es-ES_tradnl"/>
              </w:rPr>
              <w:t>s 30 al</w:t>
            </w:r>
            <w:r w:rsidRPr="00830FFA">
              <w:rPr>
                <w:rFonts w:ascii="Verdana" w:hAnsi="Verdana" w:eastAsia="Calibri" w:cs="Arial"/>
                <w:lang w:eastAsia="es-ES_tradnl"/>
              </w:rPr>
              <w:t xml:space="preserve"> 3</w:t>
            </w:r>
            <w:r>
              <w:rPr>
                <w:rFonts w:ascii="Verdana" w:hAnsi="Verdana" w:eastAsia="Calibri" w:cs="Arial"/>
                <w:lang w:eastAsia="es-ES_tradnl"/>
              </w:rPr>
              <w:t>5</w:t>
            </w:r>
            <w:r w:rsidRPr="00830FFA">
              <w:rPr>
                <w:rFonts w:ascii="Verdana" w:hAnsi="Verdana" w:eastAsia="Calibri" w:cs="Arial"/>
                <w:lang w:eastAsia="es-ES_tradnl"/>
              </w:rPr>
              <w:t xml:space="preserve">. </w:t>
            </w:r>
          </w:p>
          <w:p w:rsidRPr="00830FFA" w:rsidR="00C15405" w:rsidP="00C15405" w:rsidRDefault="00C15405" w14:paraId="45ECF22D" w14:textId="77777777">
            <w:pPr>
              <w:pStyle w:val="Prrafodelista"/>
              <w:ind w:left="360"/>
              <w:jc w:val="both"/>
              <w:rPr>
                <w:rFonts w:ascii="Verdana" w:hAnsi="Verdana" w:eastAsia="Calibri" w:cs="Arial"/>
                <w:lang w:eastAsia="es-ES_tradnl"/>
              </w:rPr>
            </w:pPr>
          </w:p>
          <w:p w:rsidRPr="00830FFA" w:rsidR="00C15405" w:rsidP="00C15405" w:rsidRDefault="00C15405" w14:paraId="2E139179" w14:textId="77777777">
            <w:pPr>
              <w:pStyle w:val="Prrafodelista"/>
              <w:numPr>
                <w:ilvl w:val="0"/>
                <w:numId w:val="18"/>
              </w:numPr>
              <w:jc w:val="both"/>
              <w:rPr>
                <w:rFonts w:ascii="Verdana" w:hAnsi="Verdana" w:eastAsia="Calibri" w:cs="Arial"/>
                <w:lang w:val="es-ES_tradnl" w:eastAsia="es-ES_tradnl"/>
              </w:rPr>
            </w:pPr>
            <w:r w:rsidRPr="00830FFA">
              <w:rPr>
                <w:rFonts w:ascii="Verdana" w:hAnsi="Verdana" w:eastAsia="Calibri" w:cs="Arial"/>
                <w:lang w:val="es-ES_tradnl" w:eastAsia="es-ES_tradnl"/>
              </w:rPr>
              <w:t xml:space="preserve">Decreto 1082 de 2015: Artículo 2.2.1.2.4.2.14. – adicionado por el artículo 3 del Decreto 1860 de 2021. </w:t>
            </w:r>
          </w:p>
          <w:p w:rsidRPr="00830FFA" w:rsidR="00C15405" w:rsidP="00C15405" w:rsidRDefault="00C15405" w14:paraId="3FC0A2BA" w14:textId="77777777">
            <w:pPr>
              <w:pStyle w:val="Prrafodelista"/>
              <w:ind w:left="360"/>
              <w:jc w:val="both"/>
              <w:rPr>
                <w:rFonts w:asciiTheme="minorHAnsi" w:hAnsiTheme="minorHAnsi"/>
              </w:rPr>
            </w:pPr>
          </w:p>
          <w:p w:rsidRPr="00830FFA" w:rsidR="00C15405" w:rsidP="00C15405" w:rsidRDefault="00C15405" w14:paraId="5C2F9641" w14:textId="77777777">
            <w:pPr>
              <w:pStyle w:val="Prrafodelista"/>
              <w:numPr>
                <w:ilvl w:val="0"/>
                <w:numId w:val="18"/>
              </w:numPr>
              <w:jc w:val="both"/>
              <w:rPr>
                <w:rFonts w:asciiTheme="minorHAnsi" w:hAnsiTheme="minorHAnsi"/>
              </w:rPr>
            </w:pPr>
            <w:r w:rsidRPr="00830FFA">
              <w:rPr>
                <w:rFonts w:ascii="Verdana" w:hAnsi="Verdana" w:eastAsia="Calibri" w:cs="Arial"/>
                <w:color w:val="000000" w:themeColor="text1"/>
              </w:rPr>
              <w:t xml:space="preserve">Ley 222 de 1995: Artículo 27 y 30. </w:t>
            </w:r>
          </w:p>
          <w:p w:rsidRPr="000D446F" w:rsidR="007E4284" w:rsidP="00C15405" w:rsidRDefault="007E4284" w14:paraId="08DB2528" w14:textId="20912348">
            <w:pPr>
              <w:pStyle w:val="Prrafodelista"/>
              <w:spacing w:after="120" w:line="276" w:lineRule="auto"/>
              <w:ind w:right="709"/>
              <w:jc w:val="both"/>
              <w:rPr>
                <w:rFonts w:ascii="Verdana" w:hAnsi="Verdana" w:cs="Arial"/>
              </w:rPr>
            </w:pPr>
          </w:p>
        </w:tc>
      </w:tr>
    </w:tbl>
    <w:p w:rsidRPr="00593A5F" w:rsidR="007E4284" w:rsidP="007E4284" w:rsidRDefault="007E4284" w14:paraId="1006BC84" w14:textId="77777777">
      <w:pPr>
        <w:widowControl w:val="0"/>
        <w:autoSpaceDE w:val="0"/>
        <w:autoSpaceDN w:val="0"/>
        <w:spacing w:after="0" w:line="276" w:lineRule="auto"/>
        <w:jc w:val="both"/>
        <w:rPr>
          <w:rFonts w:ascii="Verdana" w:hAnsi="Verdana" w:cs="Arial"/>
        </w:rPr>
      </w:pPr>
    </w:p>
    <w:p w:rsidRPr="00593A5F" w:rsidR="007E4284" w:rsidP="007E4284" w:rsidRDefault="007E4284" w14:paraId="6D7AC375"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7E4284" w:rsidP="007E4284" w:rsidRDefault="007E4284" w14:paraId="19A93F7D"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C15405" w:rsidP="00C15405" w:rsidRDefault="00C15405" w14:paraId="7E75184E" w14:textId="77777777">
      <w:pPr>
        <w:widowControl w:val="0"/>
        <w:autoSpaceDE w:val="0"/>
        <w:autoSpaceDN w:val="0"/>
        <w:spacing w:after="0" w:line="276" w:lineRule="auto"/>
        <w:jc w:val="both"/>
        <w:rPr>
          <w:rFonts w:ascii="Verdana" w:hAnsi="Verdana" w:cs="Arial"/>
          <w:shd w:val="clear" w:color="auto" w:fill="FFFFFF"/>
        </w:rPr>
      </w:pPr>
      <w:r w:rsidRPr="002D7ACD">
        <w:rPr>
          <w:rStyle w:val="normaltextrun"/>
          <w:rFonts w:ascii="Verdana" w:hAnsi="Verdana" w:cs="Arial"/>
          <w:shd w:val="clear" w:color="auto" w:fill="FFFFFF"/>
          <w:lang w:val="es-ES"/>
        </w:rPr>
        <w:t xml:space="preserve">Sobre </w:t>
      </w:r>
      <w:r w:rsidRPr="002D7ACD">
        <w:rPr>
          <w:rFonts w:ascii="Verdana" w:hAnsi="Verdana" w:eastAsia="Calibri" w:cs="Arial"/>
          <w:lang w:val="es-ES" w:eastAsia="es-ES"/>
        </w:rPr>
        <w:t xml:space="preserve">la </w:t>
      </w:r>
      <w:r w:rsidRPr="002D7ACD">
        <w:rPr>
          <w:rFonts w:ascii="Verdana" w:hAnsi="Verdana" w:eastAsia="Calibri" w:cs="Arial"/>
          <w:lang w:val="es-ES" w:eastAsia="es-ES_tradnl"/>
        </w:rPr>
        <w:t xml:space="preserve">definición </w:t>
      </w:r>
      <w:r w:rsidRPr="00C02094">
        <w:rPr>
          <w:rFonts w:ascii="Verdana" w:hAnsi="Verdana" w:eastAsia="Calibri" w:cs="Arial"/>
          <w:lang w:val="es-ES" w:eastAsia="es-ES_tradnl"/>
        </w:rPr>
        <w:t>de emprendimientos y empresas de mujeres en el Decreto 1860 de 2021</w:t>
      </w:r>
      <w:r w:rsidRPr="00C02094">
        <w:rPr>
          <w:rFonts w:ascii="Verdana" w:hAnsi="Verdana" w:eastAsia="Calibri" w:cs="Arial"/>
          <w:lang w:val="es-ES" w:eastAsia="es-ES"/>
        </w:rPr>
        <w:t>, esta Subdirección se ha pronunciado en los conceptos</w:t>
      </w:r>
      <w:r w:rsidRPr="00C02094">
        <w:rPr>
          <w:rFonts w:ascii="Verdana" w:hAnsi="Verdana" w:cs="Arial"/>
        </w:rPr>
        <w:t xml:space="preserve"> </w:t>
      </w:r>
      <w:r w:rsidRPr="00C02094">
        <w:rPr>
          <w:rFonts w:ascii="Verdana" w:hAnsi="Verdana" w:eastAsia="Times New Roman"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 entre otros</w:t>
      </w:r>
      <w:r w:rsidRPr="001A3CD7">
        <w:rPr>
          <w:rStyle w:val="normaltextrun"/>
          <w:rFonts w:ascii="Verdana" w:hAnsi="Verdana" w:cs="Arial"/>
          <w:color w:val="7030A0"/>
          <w:shd w:val="clear" w:color="auto" w:fill="FFFFFF"/>
          <w:lang w:val="es-ES"/>
        </w:rPr>
        <w:t xml:space="preserve">. </w:t>
      </w:r>
      <w:r w:rsidRPr="00C02094">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w:t>
      </w:r>
      <w:r w:rsidRPr="00C02094">
        <w:rPr>
          <w:rFonts w:ascii="Verdana" w:hAnsi="Verdana" w:cs="Arial"/>
          <w:shd w:val="clear" w:color="auto" w:fill="FFFFFF"/>
        </w:rPr>
        <w:lastRenderedPageBreak/>
        <w:t xml:space="preserve">enlace: </w:t>
      </w:r>
      <w:hyperlink w:tooltip="Dirección URL original: https://relatoria.colombiacompra.gov.co/. Haga clic o pulse si confía en este vínculo." w:history="1" r:id="rId13">
        <w:r w:rsidRPr="00C02094">
          <w:rPr>
            <w:rStyle w:val="Hipervnculo"/>
            <w:rFonts w:ascii="Verdana" w:hAnsi="Verdana" w:cs="Arial"/>
            <w:shd w:val="clear" w:color="auto" w:fill="FFFFFF"/>
          </w:rPr>
          <w:t>https://relatoria.colombiacompra.gov.co/</w:t>
        </w:r>
      </w:hyperlink>
      <w:r w:rsidRPr="00C02094">
        <w:rPr>
          <w:rFonts w:ascii="Verdana" w:hAnsi="Verdana" w:cs="Arial"/>
          <w:shd w:val="clear" w:color="auto" w:fill="FFFFFF"/>
        </w:rPr>
        <w:t xml:space="preserve">  </w:t>
      </w:r>
    </w:p>
    <w:p w:rsidR="0030203C" w:rsidP="00C15405" w:rsidRDefault="0030203C" w14:paraId="538F75BF" w14:textId="77777777">
      <w:pPr>
        <w:widowControl w:val="0"/>
        <w:autoSpaceDE w:val="0"/>
        <w:autoSpaceDN w:val="0"/>
        <w:spacing w:after="0" w:line="276" w:lineRule="auto"/>
        <w:jc w:val="both"/>
        <w:rPr>
          <w:rFonts w:ascii="Verdana" w:hAnsi="Verdana" w:cs="Arial"/>
          <w:shd w:val="clear" w:color="auto" w:fill="FFFFFF"/>
        </w:rPr>
      </w:pPr>
    </w:p>
    <w:p w:rsidR="0030203C" w:rsidP="00C15405" w:rsidRDefault="0030203C" w14:paraId="712BD439" w14:textId="53B8B936">
      <w:pPr>
        <w:widowControl w:val="0"/>
        <w:autoSpaceDE w:val="0"/>
        <w:autoSpaceDN w:val="0"/>
        <w:spacing w:after="0" w:line="276" w:lineRule="auto"/>
        <w:jc w:val="both"/>
        <w:rPr>
          <w:rFonts w:ascii="Verdana" w:hAnsi="Verdana" w:cs="Arial"/>
          <w:shd w:val="clear" w:color="auto" w:fill="FFFFFF"/>
        </w:rPr>
      </w:pPr>
      <w:r>
        <w:rPr>
          <w:rFonts w:ascii="Verdana" w:hAnsi="Verdana" w:cs="Arial"/>
          <w:shd w:val="clear" w:color="auto" w:fill="FFFFFF"/>
        </w:rPr>
        <w:t>Por su parte</w:t>
      </w:r>
      <w:r w:rsidRPr="0030203C">
        <w:rPr>
          <w:rFonts w:ascii="Verdana" w:hAnsi="Verdana" w:cs="Arial"/>
          <w:shd w:val="clear" w:color="auto" w:fill="FFFFFF"/>
        </w:rPr>
        <w:t xml:space="preserve"> sobre los factores de desempate en los procedimientos de contratación estatal, en los conceptos C-285 del 4 de mayo de 2020, C-481 del 27 de julio de 2020, C-514 y C-535 del 26 de agosto de 2020 y C-556 del 31 de agosto de 2020</w:t>
      </w:r>
      <w:r>
        <w:rPr>
          <w:rFonts w:ascii="Verdana" w:hAnsi="Verdana" w:cs="Arial"/>
          <w:shd w:val="clear" w:color="auto" w:fill="FFFFFF"/>
        </w:rPr>
        <w:t>.</w:t>
      </w:r>
    </w:p>
    <w:p w:rsidR="00C15405" w:rsidP="007E4284" w:rsidRDefault="00C15405" w14:paraId="1986AE2E" w14:textId="77777777">
      <w:pPr>
        <w:widowControl w:val="0"/>
        <w:autoSpaceDE w:val="0"/>
        <w:autoSpaceDN w:val="0"/>
        <w:spacing w:after="0" w:line="276" w:lineRule="auto"/>
        <w:jc w:val="both"/>
        <w:rPr>
          <w:rFonts w:ascii="Verdana" w:hAnsi="Verdana" w:cs="Arial"/>
          <w:color w:val="000000" w:themeColor="text1"/>
          <w:shd w:val="clear" w:color="auto" w:fill="FFFFFF"/>
        </w:rPr>
      </w:pPr>
    </w:p>
    <w:p w:rsidR="007E4284" w:rsidP="007E4284" w:rsidRDefault="007E4284" w14:paraId="6B8834D6" w14:textId="50138FF6">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4">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5">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rsidR="007E4284" w:rsidP="007E4284" w:rsidRDefault="007E4284" w14:paraId="635FD400"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7E4284" w:rsidP="007E4284" w:rsidRDefault="007E4284" w14:paraId="6E54F151"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6">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7E4284" w:rsidP="007E4284" w:rsidRDefault="007E4284" w14:paraId="4BBAB127" w14:textId="77777777">
      <w:pPr>
        <w:spacing w:after="0" w:line="240" w:lineRule="auto"/>
        <w:jc w:val="both"/>
        <w:rPr>
          <w:rFonts w:ascii="Verdana" w:hAnsi="Verdana"/>
        </w:rPr>
      </w:pPr>
    </w:p>
    <w:p w:rsidRPr="003E2460" w:rsidR="007E4284" w:rsidP="007E4284" w:rsidRDefault="007E4284" w14:paraId="542B0167"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7E4284" w:rsidP="007E4284" w:rsidRDefault="007E4284" w14:paraId="10E1BD43" w14:textId="77777777">
      <w:pPr>
        <w:spacing w:after="0" w:line="240" w:lineRule="auto"/>
        <w:jc w:val="both"/>
        <w:rPr>
          <w:rFonts w:ascii="Verdana" w:hAnsi="Verdana"/>
        </w:rPr>
      </w:pPr>
    </w:p>
    <w:p w:rsidRPr="003E2460" w:rsidR="007E4284" w:rsidP="007E4284" w:rsidRDefault="007E4284" w14:paraId="3F267BF2"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7E4284" w:rsidP="007E4284" w:rsidRDefault="007E4284" w14:paraId="426DCD21"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7E4284" w:rsidP="007E4284" w:rsidRDefault="007E4284" w14:paraId="09633924"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7E4284" w:rsidP="007E4284" w:rsidRDefault="007E4284" w14:paraId="3E93DEDD" w14:textId="77777777">
      <w:pPr>
        <w:widowControl w:val="0"/>
        <w:autoSpaceDE w:val="0"/>
        <w:autoSpaceDN w:val="0"/>
        <w:spacing w:after="0" w:line="276" w:lineRule="auto"/>
        <w:jc w:val="both"/>
        <w:rPr>
          <w:rFonts w:ascii="Verdana" w:hAnsi="Verdana" w:cs="Arial"/>
        </w:rPr>
      </w:pPr>
    </w:p>
    <w:p w:rsidRPr="00593A5F" w:rsidR="007E4284" w:rsidP="007E4284" w:rsidRDefault="007E4284" w14:paraId="49D99462"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E4284" w:rsidP="007E4284" w:rsidRDefault="007E4284" w14:paraId="3B1E541C" w14:textId="77777777">
      <w:pPr>
        <w:widowControl w:val="0"/>
        <w:autoSpaceDE w:val="0"/>
        <w:autoSpaceDN w:val="0"/>
        <w:spacing w:after="0" w:line="276" w:lineRule="auto"/>
        <w:jc w:val="both"/>
        <w:rPr>
          <w:rFonts w:ascii="Verdana" w:hAnsi="Verdana" w:cs="Arial"/>
        </w:rPr>
      </w:pPr>
    </w:p>
    <w:p w:rsidRPr="00593A5F" w:rsidR="007E4284" w:rsidP="007E4284" w:rsidRDefault="007E4284" w14:paraId="158D8E37"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7E4284" w:rsidP="007E4284" w:rsidRDefault="007E4284" w14:paraId="729597DD" w14:textId="64B51BE8">
      <w:pPr>
        <w:spacing w:line="276" w:lineRule="auto"/>
        <w:jc w:val="center"/>
        <w:rPr>
          <w:rFonts w:ascii="Verdana" w:hAnsi="Verdana"/>
          <w:noProof/>
        </w:rPr>
      </w:pPr>
    </w:p>
    <w:p w:rsidR="001259F2" w:rsidP="007E4284" w:rsidRDefault="001259F2" w14:paraId="7E625156" w14:textId="77777777">
      <w:pPr>
        <w:spacing w:line="276" w:lineRule="auto"/>
        <w:jc w:val="center"/>
        <w:rPr>
          <w:rFonts w:ascii="Verdana" w:hAnsi="Verdana" w:cs="Arial"/>
          <w:noProof/>
          <w:color w:val="000000"/>
          <w:lang w:val="es-ES_tradnl" w:eastAsia="es-CO"/>
        </w:rPr>
      </w:pPr>
    </w:p>
    <w:p w:rsidR="001259F2" w:rsidP="007E4284" w:rsidRDefault="001259F2" w14:paraId="3AC57B3C" w14:textId="77777777">
      <w:pPr>
        <w:spacing w:line="276" w:lineRule="auto"/>
        <w:jc w:val="center"/>
        <w:rPr>
          <w:rFonts w:ascii="Verdana" w:hAnsi="Verdana" w:cs="Arial"/>
          <w:noProof/>
          <w:color w:val="000000"/>
          <w:lang w:val="es-ES_tradnl" w:eastAsia="es-CO"/>
        </w:rPr>
      </w:pPr>
    </w:p>
    <w:p w:rsidR="001259F2" w:rsidP="007E4284" w:rsidRDefault="001259F2" w14:paraId="63AD45F9" w14:textId="77777777">
      <w:pPr>
        <w:spacing w:line="276" w:lineRule="auto"/>
        <w:jc w:val="center"/>
        <w:rPr>
          <w:rFonts w:ascii="Verdana" w:hAnsi="Verdana" w:cs="Arial"/>
          <w:noProof/>
          <w:color w:val="000000"/>
          <w:lang w:val="es-ES_tradnl" w:eastAsia="es-CO"/>
        </w:rPr>
      </w:pPr>
    </w:p>
    <w:p w:rsidRPr="001259F2" w:rsidR="001259F2" w:rsidP="001259F2" w:rsidRDefault="001259F2" w14:paraId="249D35F6" w14:textId="49B0695E">
      <w:pPr>
        <w:spacing w:line="276" w:lineRule="auto"/>
        <w:jc w:val="center"/>
        <w:rPr>
          <w:rFonts w:ascii="Verdana" w:hAnsi="Verdana" w:cs="Arial"/>
          <w:noProof/>
          <w:color w:val="000000"/>
          <w:lang w:eastAsia="es-CO"/>
        </w:rPr>
      </w:pPr>
      <w:r w:rsidRPr="001259F2">
        <w:rPr>
          <w:rFonts w:ascii="Verdana" w:hAnsi="Verdana" w:cs="Arial"/>
          <w:noProof/>
          <w:color w:val="000000"/>
          <w:lang w:eastAsia="es-CO"/>
        </w:rPr>
        <w:drawing>
          <wp:inline distT="0" distB="0" distL="0" distR="0" wp14:anchorId="0669D1AB" wp14:editId="267155AE">
            <wp:extent cx="2828925" cy="1214408"/>
            <wp:effectExtent l="0" t="0" r="0" b="5080"/>
            <wp:docPr id="14635977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289" cy="1218857"/>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7E4284" w:rsidTr="00730488" w14:paraId="10E97FCB" w14:textId="77777777">
        <w:trPr>
          <w:trHeight w:val="315"/>
        </w:trPr>
        <w:tc>
          <w:tcPr>
            <w:tcW w:w="893" w:type="dxa"/>
            <w:vAlign w:val="center"/>
            <w:hideMark/>
          </w:tcPr>
          <w:p w:rsidRPr="003751C7" w:rsidR="007E4284" w:rsidP="00730488" w:rsidRDefault="007E4284" w14:paraId="6FEFE8DA" w14:textId="64F0B40D">
            <w:pPr>
              <w:contextualSpacing/>
              <w:rPr>
                <w:rFonts w:ascii="Verdana" w:hAnsi="Verdana" w:cs="Arial"/>
                <w:sz w:val="16"/>
                <w:szCs w:val="16"/>
                <w:lang w:val="es-ES" w:eastAsia="es-ES"/>
              </w:rPr>
            </w:pPr>
            <w:r w:rsidRPr="003751C7">
              <w:rPr>
                <w:rFonts w:ascii="Verdana" w:hAnsi="Verdana" w:cs="Arial"/>
                <w:sz w:val="16"/>
                <w:szCs w:val="16"/>
                <w:lang w:val="es-ES" w:eastAsia="es-ES"/>
              </w:rPr>
              <w:t>laboró:</w:t>
            </w:r>
          </w:p>
        </w:tc>
        <w:tc>
          <w:tcPr>
            <w:tcW w:w="5628" w:type="dxa"/>
            <w:tcBorders>
              <w:top w:val="nil"/>
              <w:left w:val="nil"/>
              <w:bottom w:val="dotted" w:color="7F7F7F" w:themeColor="text1" w:themeTint="80" w:sz="4" w:space="0"/>
              <w:right w:val="nil"/>
            </w:tcBorders>
            <w:vAlign w:val="center"/>
            <w:hideMark/>
          </w:tcPr>
          <w:p w:rsidRPr="00BE4B85" w:rsidR="007E4284" w:rsidP="00730488" w:rsidRDefault="007E4284" w14:paraId="61C4DEDE"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7E4284" w:rsidP="00730488" w:rsidRDefault="007E4284" w14:paraId="58A6C53C"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0045CC" w14:textId="77777777">
        <w:trPr>
          <w:trHeight w:val="330"/>
        </w:trPr>
        <w:tc>
          <w:tcPr>
            <w:tcW w:w="893" w:type="dxa"/>
            <w:vAlign w:val="center"/>
            <w:hideMark/>
          </w:tcPr>
          <w:p w:rsidRPr="003751C7" w:rsidR="007E4284" w:rsidP="00730488" w:rsidRDefault="007E4284" w14:paraId="68D83EEC"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31103E" w:rsidR="007E4284" w:rsidP="00730488" w:rsidRDefault="0030203C" w14:paraId="4AF2DC12" w14:textId="5EC20F0D">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Juan David Cardenas</w:t>
            </w:r>
          </w:p>
          <w:p w:rsidRPr="00BE4B85" w:rsidR="007E4284" w:rsidP="00730488" w:rsidRDefault="007E4284" w14:paraId="61F16D70"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rsidTr="00730488" w14:paraId="06EB7A78" w14:textId="77777777">
        <w:trPr>
          <w:trHeight w:val="300"/>
        </w:trPr>
        <w:tc>
          <w:tcPr>
            <w:tcW w:w="893" w:type="dxa"/>
            <w:vAlign w:val="center"/>
          </w:tcPr>
          <w:p w:rsidRPr="003751C7" w:rsidR="007E4284" w:rsidP="00730488" w:rsidRDefault="007E4284" w14:paraId="538249FF"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7E4284" w:rsidP="00730488" w:rsidRDefault="007E4284" w14:paraId="485D9FE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7E4284" w:rsidP="00730488" w:rsidRDefault="007E4284" w14:paraId="4ACBC90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7E4284" w:rsidP="007E4284" w:rsidRDefault="007E4284" w14:paraId="12C6032C" w14:textId="77777777">
      <w:pPr>
        <w:spacing w:after="0" w:line="240" w:lineRule="auto"/>
        <w:rPr>
          <w:rFonts w:ascii="Verdana" w:hAnsi="Verdana" w:eastAsia="Times New Roman" w:cs="Arial"/>
          <w:sz w:val="24"/>
          <w:szCs w:val="24"/>
          <w:lang w:eastAsia="es-ES"/>
        </w:rPr>
      </w:pPr>
    </w:p>
    <w:p w:rsidRPr="00871B59" w:rsidR="007E4284" w:rsidP="007E4284" w:rsidRDefault="007E4284" w14:paraId="51745D97" w14:textId="77777777"/>
    <w:p w:rsidRPr="00A65B93" w:rsidR="007E4284" w:rsidP="007E4284" w:rsidRDefault="007E4284" w14:paraId="783742F1" w14:textId="77777777">
      <w:pPr>
        <w:spacing w:after="0"/>
        <w:rPr>
          <w:rFonts w:ascii="Verdana" w:hAnsi="Verdana"/>
          <w:lang w:val="es-ES"/>
        </w:rPr>
      </w:pPr>
    </w:p>
    <w:p w:rsidRPr="00C86D1D" w:rsidR="007E4284" w:rsidP="007E4284" w:rsidRDefault="007E4284" w14:paraId="7B1016A0" w14:textId="77777777"/>
    <w:p w:rsidRPr="0044528D" w:rsidR="00E245AB" w:rsidP="00E245AB" w:rsidRDefault="00891928" w14:paraId="3FE2184B" w14:textId="0B5F1605">
      <w:pPr>
        <w:spacing w:after="0"/>
        <w:rPr>
          <w:rFonts w:ascii="Verdana" w:hAnsi="Verdana"/>
        </w:rPr>
      </w:pPr>
      <w:r w:rsidRPr="0044528D">
        <w:rPr>
          <w:rFonts w:ascii="Verdana" w:hAnsi="Verdana"/>
        </w:rPr>
        <w:tab/>
      </w:r>
    </w:p>
    <w:p w:rsidRPr="0044528D" w:rsidR="00E245AB" w:rsidP="00E245AB" w:rsidRDefault="00E245AB" w14:paraId="5FCADBF9" w14:textId="77777777">
      <w:pPr>
        <w:spacing w:after="0"/>
        <w:rPr>
          <w:rFonts w:ascii="Verdana" w:hAnsi="Verdana"/>
        </w:rPr>
      </w:pPr>
    </w:p>
    <w:bookmarkEnd w:id="0"/>
    <w:p w:rsidRPr="0044528D" w:rsidR="00E245AB" w:rsidP="00E245AB" w:rsidRDefault="00E245AB" w14:paraId="0465BA6D" w14:textId="77777777">
      <w:pPr>
        <w:spacing w:after="0"/>
        <w:rPr>
          <w:rFonts w:ascii="Verdana" w:hAnsi="Verdana"/>
        </w:rPr>
      </w:pPr>
    </w:p>
    <w:sectPr w:rsidRPr="0044528D" w:rsidR="00E245AB" w:rsidSect="007C0C0F">
      <w:headerReference w:type="default" r:id="rId18"/>
      <w:footerReference w:type="default" r:id="rId19"/>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7CF5" w:rsidP="004A1847" w:rsidRDefault="00C97CF5" w14:paraId="49C3B286" w14:textId="77777777">
      <w:pPr>
        <w:spacing w:after="0" w:line="240" w:lineRule="auto"/>
      </w:pPr>
      <w:r>
        <w:separator/>
      </w:r>
    </w:p>
  </w:endnote>
  <w:endnote w:type="continuationSeparator" w:id="0">
    <w:p w:rsidR="00C97CF5" w:rsidP="004A1847" w:rsidRDefault="00C97CF5" w14:paraId="0D1171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7CF5" w:rsidP="004A1847" w:rsidRDefault="00C97CF5" w14:paraId="1E58E779" w14:textId="77777777">
      <w:pPr>
        <w:spacing w:after="0" w:line="240" w:lineRule="auto"/>
      </w:pPr>
      <w:r>
        <w:separator/>
      </w:r>
    </w:p>
  </w:footnote>
  <w:footnote w:type="continuationSeparator" w:id="0">
    <w:p w:rsidR="00C97CF5" w:rsidP="004A1847" w:rsidRDefault="00C97CF5" w14:paraId="58193610" w14:textId="77777777">
      <w:pPr>
        <w:spacing w:after="0" w:line="240" w:lineRule="auto"/>
      </w:pPr>
      <w:r>
        <w:continuationSeparator/>
      </w:r>
    </w:p>
  </w:footnote>
  <w:footnote w:id="1">
    <w:p w:rsidRPr="00D424EA" w:rsidR="001A5B8C" w:rsidP="00200416" w:rsidRDefault="001A5B8C" w14:paraId="328AC495" w14:textId="7CF30883">
      <w:pPr>
        <w:pStyle w:val="Textonotapie"/>
        <w:jc w:val="both"/>
        <w:rPr>
          <w:rFonts w:ascii="Verdana" w:hAnsi="Verdana" w:cs="Arial"/>
          <w:sz w:val="16"/>
          <w:szCs w:val="16"/>
          <w:lang w:val="es-CO"/>
        </w:rPr>
      </w:pPr>
      <w:r w:rsidRPr="00D424EA">
        <w:rPr>
          <w:rStyle w:val="Refdenotaalpie"/>
          <w:rFonts w:ascii="Verdana" w:hAnsi="Verdana" w:cs="Arial"/>
          <w:sz w:val="16"/>
          <w:szCs w:val="16"/>
        </w:rPr>
        <w:footnoteRef/>
      </w:r>
      <w:r w:rsidRPr="00D424EA">
        <w:rPr>
          <w:rFonts w:ascii="Verdana" w:hAnsi="Verdana" w:cs="Arial"/>
          <w:sz w:val="16"/>
          <w:szCs w:val="16"/>
        </w:rPr>
        <w:t xml:space="preserve"> </w:t>
      </w:r>
      <w:r w:rsidRPr="00D424EA">
        <w:rPr>
          <w:rFonts w:ascii="Verdana" w:hAnsi="Verdana" w:cs="Arial"/>
          <w:sz w:val="16"/>
          <w:szCs w:val="16"/>
          <w:lang w:val="es-ES"/>
        </w:rPr>
        <w:t>Sentencia T-003 de 2018. Magistrada Ponente: Cristina Pardo Schlesinger.</w:t>
      </w:r>
    </w:p>
  </w:footnote>
  <w:footnote w:id="2">
    <w:p w:rsidRPr="00D424EA" w:rsidR="001A5B8C" w:rsidP="00D424EA" w:rsidRDefault="001A5B8C" w14:paraId="0ADF74D5" w14:textId="129A8347">
      <w:pPr>
        <w:pStyle w:val="Textonotapie"/>
        <w:jc w:val="both"/>
        <w:rPr>
          <w:rFonts w:ascii="Verdana" w:hAnsi="Verdana" w:cs="Arial"/>
          <w:sz w:val="16"/>
          <w:szCs w:val="16"/>
          <w:lang w:val="es-CO"/>
        </w:rPr>
      </w:pPr>
      <w:r w:rsidRPr="00D424EA">
        <w:rPr>
          <w:rStyle w:val="Refdenotaalpie"/>
          <w:rFonts w:ascii="Verdana" w:hAnsi="Verdana" w:cs="Arial"/>
          <w:sz w:val="16"/>
          <w:szCs w:val="16"/>
        </w:rPr>
        <w:footnoteRef/>
      </w:r>
      <w:r w:rsidRPr="00D424EA">
        <w:rPr>
          <w:rFonts w:ascii="Verdana" w:hAnsi="Verdana" w:cs="Arial"/>
          <w:sz w:val="16"/>
          <w:szCs w:val="16"/>
        </w:rPr>
        <w:t xml:space="preserve"> </w:t>
      </w:r>
      <w:r w:rsidRPr="00D424EA">
        <w:rPr>
          <w:rFonts w:ascii="Verdana" w:hAnsi="Verdana" w:cs="Arial"/>
          <w:sz w:val="16"/>
          <w:szCs w:val="16"/>
          <w:lang w:val="es-ES"/>
        </w:rPr>
        <w:t>Sentencia T-967 de 2014. Magistrada Ponente: Gloria Stella Ortiz Delgado.</w:t>
      </w:r>
    </w:p>
  </w:footnote>
  <w:footnote w:id="3">
    <w:p w:rsidRPr="00200416" w:rsidR="001A5B8C" w:rsidP="00200416" w:rsidRDefault="001A5B8C" w14:paraId="3991CE52" w14:textId="77777777">
      <w:pPr>
        <w:pStyle w:val="Textonotapie"/>
        <w:jc w:val="both"/>
        <w:rPr>
          <w:rFonts w:ascii="Verdana" w:hAnsi="Verdana" w:cs="Arial"/>
          <w:sz w:val="16"/>
          <w:szCs w:val="16"/>
          <w:lang w:val="es-CO"/>
        </w:rPr>
      </w:pPr>
      <w:r w:rsidRPr="00D424EA">
        <w:rPr>
          <w:rStyle w:val="Refdenotaalpie"/>
          <w:rFonts w:ascii="Verdana" w:hAnsi="Verdana" w:cs="Arial"/>
          <w:sz w:val="16"/>
          <w:szCs w:val="16"/>
        </w:rPr>
        <w:footnoteRef/>
      </w:r>
      <w:r w:rsidRPr="00D424EA">
        <w:rPr>
          <w:rFonts w:ascii="Verdana" w:hAnsi="Verdana" w:cs="Arial"/>
          <w:sz w:val="16"/>
          <w:szCs w:val="16"/>
        </w:rPr>
        <w:t xml:space="preserve"> </w:t>
      </w:r>
      <w:r w:rsidRPr="00D424EA">
        <w:rPr>
          <w:rFonts w:ascii="Verdana" w:hAnsi="Verdana" w:cs="Arial"/>
          <w:sz w:val="16"/>
          <w:szCs w:val="16"/>
          <w:lang w:val="es-ES"/>
        </w:rPr>
        <w:t>Así lo admitió el Departamento Administrativo de la Función Pública en Concepto con radicado No. 20206000017881, del 22 de enero de 2020. Disponible en: https://www.funcionpublica.gov.co/eva/gestornormativo/norma.php?i=115437</w:t>
      </w:r>
    </w:p>
  </w:footnote>
  <w:footnote w:id="4">
    <w:p w:rsidRPr="00826C01" w:rsidR="00826C01" w:rsidP="00826C01" w:rsidRDefault="00826C01" w14:paraId="11D18D6A" w14:textId="77777777">
      <w:pPr>
        <w:pStyle w:val="Textonotapie"/>
        <w:contextualSpacing/>
        <w:jc w:val="both"/>
        <w:rPr>
          <w:rFonts w:ascii="Verdana" w:hAnsi="Verdana" w:cs="Arial"/>
          <w:color w:val="000000" w:themeColor="text1"/>
          <w:sz w:val="16"/>
          <w:szCs w:val="16"/>
        </w:rPr>
      </w:pPr>
      <w:r w:rsidRPr="00826C01">
        <w:rPr>
          <w:rStyle w:val="Refdenotaalpie"/>
          <w:rFonts w:ascii="Verdana" w:hAnsi="Verdana" w:cs="Arial"/>
          <w:color w:val="000000" w:themeColor="text1"/>
          <w:sz w:val="16"/>
          <w:szCs w:val="16"/>
        </w:rPr>
        <w:footnoteRef/>
      </w:r>
      <w:r w:rsidRPr="00826C01">
        <w:rPr>
          <w:rFonts w:ascii="Verdana" w:hAnsi="Verdana" w:cs="Arial"/>
          <w:color w:val="000000" w:themeColor="text1"/>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rsidRPr="00C02094" w:rsidR="00826C01" w:rsidP="00826C01" w:rsidRDefault="00826C01" w14:paraId="2F2AD834" w14:textId="77777777">
      <w:pPr>
        <w:pStyle w:val="Textonotapie"/>
        <w:ind w:firstLine="709"/>
        <w:contextualSpacing/>
        <w:jc w:val="both"/>
        <w:rPr>
          <w:rFonts w:ascii="Verdana" w:hAnsi="Verdana" w:cs="Arial"/>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1" style="width:11.25pt;height:11.25pt" o:bullet="t" type="#_x0000_t75">
        <v:imagedata o:title="mso1B13" r:id="rId1"/>
      </v:shape>
    </w:pict>
  </w:numPicBullet>
  <w:abstractNum w:abstractNumId="0"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CF64647"/>
    <w:multiLevelType w:val="hybridMultilevel"/>
    <w:tmpl w:val="A082085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D6515"/>
    <w:multiLevelType w:val="hybridMultilevel"/>
    <w:tmpl w:val="67407C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29C768F7"/>
    <w:multiLevelType w:val="hybridMultilevel"/>
    <w:tmpl w:val="43907F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626515E4"/>
    <w:multiLevelType w:val="hybridMultilevel"/>
    <w:tmpl w:val="8B3A906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8" w15:restartNumberingAfterBreak="0">
    <w:nsid w:val="664113CD"/>
    <w:multiLevelType w:val="multilevel"/>
    <w:tmpl w:val="713C718E"/>
    <w:lvl w:ilvl="0">
      <w:start w:val="1"/>
      <w:numFmt w:val="decimal"/>
      <w:lvlText w:val="%1."/>
      <w:lvlJc w:val="left"/>
      <w:pPr>
        <w:ind w:left="402" w:hanging="284"/>
        <w:jc w:val="left"/>
      </w:pPr>
      <w:rPr>
        <w:rFonts w:hint="default" w:ascii="Arial" w:hAnsi="Arial" w:eastAsia="Arial" w:cs="Arial"/>
        <w:b/>
        <w:bCs/>
        <w:spacing w:val="-1"/>
        <w:w w:val="100"/>
        <w:sz w:val="22"/>
        <w:szCs w:val="22"/>
        <w:lang w:val="es-ES" w:eastAsia="en-US" w:bidi="ar-SA"/>
      </w:rPr>
    </w:lvl>
    <w:lvl w:ilvl="1">
      <w:start w:val="1"/>
      <w:numFmt w:val="decimal"/>
      <w:lvlText w:val="%1.%2."/>
      <w:lvlJc w:val="left"/>
      <w:pPr>
        <w:ind w:left="545" w:hanging="428"/>
        <w:jc w:val="left"/>
      </w:pPr>
      <w:rPr>
        <w:rFonts w:hint="default" w:ascii="Arial" w:hAnsi="Arial" w:eastAsia="Arial" w:cs="Arial"/>
        <w:b/>
        <w:bCs/>
        <w:spacing w:val="-1"/>
        <w:w w:val="100"/>
        <w:sz w:val="22"/>
        <w:szCs w:val="22"/>
        <w:lang w:val="es-ES" w:eastAsia="en-US" w:bidi="ar-SA"/>
      </w:rPr>
    </w:lvl>
    <w:lvl w:ilvl="2">
      <w:start w:val="1"/>
      <w:numFmt w:val="decimal"/>
      <w:lvlText w:val="%3."/>
      <w:lvlJc w:val="left"/>
      <w:pPr>
        <w:ind w:left="827" w:hanging="233"/>
        <w:jc w:val="left"/>
      </w:pPr>
      <w:rPr>
        <w:rFonts w:hint="default" w:ascii="Arial" w:hAnsi="Arial" w:eastAsia="Arial" w:cs="Arial"/>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948779781">
    <w:abstractNumId w:val="12"/>
  </w:num>
  <w:num w:numId="2" w16cid:durableId="19822139">
    <w:abstractNumId w:val="3"/>
  </w:num>
  <w:num w:numId="3" w16cid:durableId="876742304">
    <w:abstractNumId w:val="10"/>
  </w:num>
  <w:num w:numId="4" w16cid:durableId="245186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1"/>
  </w:num>
  <w:num w:numId="7" w16cid:durableId="1946422806">
    <w:abstractNumId w:val="11"/>
  </w:num>
  <w:num w:numId="8" w16cid:durableId="152644682">
    <w:abstractNumId w:val="20"/>
  </w:num>
  <w:num w:numId="9" w16cid:durableId="1317221377">
    <w:abstractNumId w:val="13"/>
  </w:num>
  <w:num w:numId="10" w16cid:durableId="1471245386">
    <w:abstractNumId w:val="19"/>
  </w:num>
  <w:num w:numId="11" w16cid:durableId="289172385">
    <w:abstractNumId w:val="14"/>
  </w:num>
  <w:num w:numId="12" w16cid:durableId="1470781324">
    <w:abstractNumId w:val="2"/>
  </w:num>
  <w:num w:numId="13" w16cid:durableId="1512908409">
    <w:abstractNumId w:val="6"/>
  </w:num>
  <w:num w:numId="14" w16cid:durableId="895897244">
    <w:abstractNumId w:val="22"/>
  </w:num>
  <w:num w:numId="15" w16cid:durableId="390349800">
    <w:abstractNumId w:val="17"/>
  </w:num>
  <w:num w:numId="16" w16cid:durableId="1380713882">
    <w:abstractNumId w:val="1"/>
  </w:num>
  <w:num w:numId="17" w16cid:durableId="1132214699">
    <w:abstractNumId w:val="4"/>
  </w:num>
  <w:num w:numId="18" w16cid:durableId="784039179">
    <w:abstractNumId w:val="23"/>
  </w:num>
  <w:num w:numId="19" w16cid:durableId="13699161">
    <w:abstractNumId w:val="0"/>
  </w:num>
  <w:num w:numId="20" w16cid:durableId="537469537">
    <w:abstractNumId w:val="9"/>
  </w:num>
  <w:num w:numId="21" w16cid:durableId="537474378">
    <w:abstractNumId w:val="15"/>
  </w:num>
  <w:num w:numId="22" w16cid:durableId="1957522670">
    <w:abstractNumId w:val="18"/>
  </w:num>
  <w:num w:numId="23" w16cid:durableId="1619140680">
    <w:abstractNumId w:val="8"/>
  </w:num>
  <w:num w:numId="24" w16cid:durableId="2022704930">
    <w:abstractNumId w:val="16"/>
  </w:num>
  <w:num w:numId="25" w16cid:durableId="1136921567">
    <w:abstractNumId w:val="7"/>
  </w:num>
  <w:num w:numId="26" w16cid:durableId="213976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0A3"/>
    <w:rsid w:val="000429E4"/>
    <w:rsid w:val="00061B2A"/>
    <w:rsid w:val="00082362"/>
    <w:rsid w:val="000A683E"/>
    <w:rsid w:val="000B1198"/>
    <w:rsid w:val="000B19B9"/>
    <w:rsid w:val="000B4233"/>
    <w:rsid w:val="000D0334"/>
    <w:rsid w:val="000F57DE"/>
    <w:rsid w:val="000F6486"/>
    <w:rsid w:val="00125105"/>
    <w:rsid w:val="001259F2"/>
    <w:rsid w:val="00127233"/>
    <w:rsid w:val="00152D71"/>
    <w:rsid w:val="00176AD1"/>
    <w:rsid w:val="001A151B"/>
    <w:rsid w:val="001A3A8A"/>
    <w:rsid w:val="001A5B8C"/>
    <w:rsid w:val="001B48A8"/>
    <w:rsid w:val="001E4177"/>
    <w:rsid w:val="001F3969"/>
    <w:rsid w:val="001F7DC6"/>
    <w:rsid w:val="00200416"/>
    <w:rsid w:val="00204574"/>
    <w:rsid w:val="002421BB"/>
    <w:rsid w:val="0025796E"/>
    <w:rsid w:val="002627D4"/>
    <w:rsid w:val="00263A88"/>
    <w:rsid w:val="00263CE9"/>
    <w:rsid w:val="002707A2"/>
    <w:rsid w:val="002951A0"/>
    <w:rsid w:val="002962BC"/>
    <w:rsid w:val="002A093D"/>
    <w:rsid w:val="002A0DD0"/>
    <w:rsid w:val="002A49AC"/>
    <w:rsid w:val="002A64FD"/>
    <w:rsid w:val="002C7A84"/>
    <w:rsid w:val="002E4FD9"/>
    <w:rsid w:val="0030203C"/>
    <w:rsid w:val="00303188"/>
    <w:rsid w:val="00322A85"/>
    <w:rsid w:val="00324168"/>
    <w:rsid w:val="003448F4"/>
    <w:rsid w:val="00347B2E"/>
    <w:rsid w:val="00374F5E"/>
    <w:rsid w:val="00377E3E"/>
    <w:rsid w:val="003910C3"/>
    <w:rsid w:val="003A26D1"/>
    <w:rsid w:val="003A779E"/>
    <w:rsid w:val="003C6C4F"/>
    <w:rsid w:val="003D0F4D"/>
    <w:rsid w:val="003D5B0D"/>
    <w:rsid w:val="003E0499"/>
    <w:rsid w:val="003E76ED"/>
    <w:rsid w:val="003F3941"/>
    <w:rsid w:val="00406575"/>
    <w:rsid w:val="004170ED"/>
    <w:rsid w:val="004268E4"/>
    <w:rsid w:val="0042722E"/>
    <w:rsid w:val="00441752"/>
    <w:rsid w:val="0044528D"/>
    <w:rsid w:val="004455B8"/>
    <w:rsid w:val="004A1847"/>
    <w:rsid w:val="004A305D"/>
    <w:rsid w:val="004F21C4"/>
    <w:rsid w:val="004F685F"/>
    <w:rsid w:val="00500C3E"/>
    <w:rsid w:val="00504F7B"/>
    <w:rsid w:val="005434E9"/>
    <w:rsid w:val="005566E8"/>
    <w:rsid w:val="0057363F"/>
    <w:rsid w:val="00574867"/>
    <w:rsid w:val="005773E9"/>
    <w:rsid w:val="00591460"/>
    <w:rsid w:val="00592628"/>
    <w:rsid w:val="005A4341"/>
    <w:rsid w:val="005A44D7"/>
    <w:rsid w:val="005A7ADE"/>
    <w:rsid w:val="005C3777"/>
    <w:rsid w:val="005C5CDC"/>
    <w:rsid w:val="005D476C"/>
    <w:rsid w:val="005D495C"/>
    <w:rsid w:val="005E1068"/>
    <w:rsid w:val="005F30D4"/>
    <w:rsid w:val="006107D7"/>
    <w:rsid w:val="00610812"/>
    <w:rsid w:val="006219F8"/>
    <w:rsid w:val="006408EC"/>
    <w:rsid w:val="00650FF7"/>
    <w:rsid w:val="00665D70"/>
    <w:rsid w:val="00671DAC"/>
    <w:rsid w:val="006900D9"/>
    <w:rsid w:val="006B6A68"/>
    <w:rsid w:val="006D12F8"/>
    <w:rsid w:val="006D51B6"/>
    <w:rsid w:val="00706C16"/>
    <w:rsid w:val="007204CA"/>
    <w:rsid w:val="00724070"/>
    <w:rsid w:val="00727DDD"/>
    <w:rsid w:val="00756841"/>
    <w:rsid w:val="007649AB"/>
    <w:rsid w:val="00771D0C"/>
    <w:rsid w:val="007833AC"/>
    <w:rsid w:val="007B268C"/>
    <w:rsid w:val="007B7171"/>
    <w:rsid w:val="007C0C0F"/>
    <w:rsid w:val="007C3DC2"/>
    <w:rsid w:val="007D46F1"/>
    <w:rsid w:val="007E08E1"/>
    <w:rsid w:val="007E4284"/>
    <w:rsid w:val="007E5497"/>
    <w:rsid w:val="00806F5F"/>
    <w:rsid w:val="00820278"/>
    <w:rsid w:val="00826C01"/>
    <w:rsid w:val="00843C98"/>
    <w:rsid w:val="00862ACC"/>
    <w:rsid w:val="00871E9D"/>
    <w:rsid w:val="008843B6"/>
    <w:rsid w:val="00891928"/>
    <w:rsid w:val="008A247D"/>
    <w:rsid w:val="008A446D"/>
    <w:rsid w:val="008D180B"/>
    <w:rsid w:val="008D793C"/>
    <w:rsid w:val="008E678A"/>
    <w:rsid w:val="008E6A1C"/>
    <w:rsid w:val="008F0EA7"/>
    <w:rsid w:val="00923EEF"/>
    <w:rsid w:val="009419F9"/>
    <w:rsid w:val="009549FC"/>
    <w:rsid w:val="0095685E"/>
    <w:rsid w:val="00957152"/>
    <w:rsid w:val="00961B09"/>
    <w:rsid w:val="00961C58"/>
    <w:rsid w:val="00965334"/>
    <w:rsid w:val="0097093E"/>
    <w:rsid w:val="0097111E"/>
    <w:rsid w:val="009917B5"/>
    <w:rsid w:val="009940B4"/>
    <w:rsid w:val="009A0DFA"/>
    <w:rsid w:val="009A6DEA"/>
    <w:rsid w:val="009B2D26"/>
    <w:rsid w:val="009C71FA"/>
    <w:rsid w:val="009C72E7"/>
    <w:rsid w:val="009C7ED5"/>
    <w:rsid w:val="009D3058"/>
    <w:rsid w:val="009D3D7B"/>
    <w:rsid w:val="009F3A13"/>
    <w:rsid w:val="00A122D3"/>
    <w:rsid w:val="00A17F13"/>
    <w:rsid w:val="00A20739"/>
    <w:rsid w:val="00A33C78"/>
    <w:rsid w:val="00A6406E"/>
    <w:rsid w:val="00A81B68"/>
    <w:rsid w:val="00A8439D"/>
    <w:rsid w:val="00A86A9B"/>
    <w:rsid w:val="00AB0ADB"/>
    <w:rsid w:val="00AD059F"/>
    <w:rsid w:val="00B01B1A"/>
    <w:rsid w:val="00B61DC6"/>
    <w:rsid w:val="00B72CD3"/>
    <w:rsid w:val="00B72FFF"/>
    <w:rsid w:val="00B804FB"/>
    <w:rsid w:val="00BA5844"/>
    <w:rsid w:val="00BC3D36"/>
    <w:rsid w:val="00BC5684"/>
    <w:rsid w:val="00BD7F72"/>
    <w:rsid w:val="00BF35DB"/>
    <w:rsid w:val="00BF42BF"/>
    <w:rsid w:val="00C04A9C"/>
    <w:rsid w:val="00C04FB3"/>
    <w:rsid w:val="00C13B97"/>
    <w:rsid w:val="00C15405"/>
    <w:rsid w:val="00C330EB"/>
    <w:rsid w:val="00C754BE"/>
    <w:rsid w:val="00C76B1C"/>
    <w:rsid w:val="00C90A74"/>
    <w:rsid w:val="00C97CF5"/>
    <w:rsid w:val="00CB6357"/>
    <w:rsid w:val="00CC1B26"/>
    <w:rsid w:val="00CD5157"/>
    <w:rsid w:val="00CE54C6"/>
    <w:rsid w:val="00D3408D"/>
    <w:rsid w:val="00D423A2"/>
    <w:rsid w:val="00D424EA"/>
    <w:rsid w:val="00D520D8"/>
    <w:rsid w:val="00D53C81"/>
    <w:rsid w:val="00D63AC2"/>
    <w:rsid w:val="00D7383B"/>
    <w:rsid w:val="00D829A3"/>
    <w:rsid w:val="00DA231B"/>
    <w:rsid w:val="00DA23A0"/>
    <w:rsid w:val="00DA43F8"/>
    <w:rsid w:val="00DC39FC"/>
    <w:rsid w:val="00DD313F"/>
    <w:rsid w:val="00DD72BF"/>
    <w:rsid w:val="00DF5254"/>
    <w:rsid w:val="00E16408"/>
    <w:rsid w:val="00E20894"/>
    <w:rsid w:val="00E245AB"/>
    <w:rsid w:val="00E2764C"/>
    <w:rsid w:val="00E27F2E"/>
    <w:rsid w:val="00E413EA"/>
    <w:rsid w:val="00E50AFE"/>
    <w:rsid w:val="00E75C92"/>
    <w:rsid w:val="00E771DC"/>
    <w:rsid w:val="00E859C1"/>
    <w:rsid w:val="00E8772A"/>
    <w:rsid w:val="00E90F6B"/>
    <w:rsid w:val="00E92C27"/>
    <w:rsid w:val="00EA0E3D"/>
    <w:rsid w:val="00EC38A7"/>
    <w:rsid w:val="00ED23CC"/>
    <w:rsid w:val="00EE1AA8"/>
    <w:rsid w:val="00F31EDC"/>
    <w:rsid w:val="00F462B3"/>
    <w:rsid w:val="00F53FE4"/>
    <w:rsid w:val="00F5664F"/>
    <w:rsid w:val="00F666C4"/>
    <w:rsid w:val="00F70D14"/>
    <w:rsid w:val="00F76AFC"/>
    <w:rsid w:val="00FA47C0"/>
    <w:rsid w:val="00FB5DD1"/>
    <w:rsid w:val="00FB61DF"/>
    <w:rsid w:val="00FC2B5D"/>
    <w:rsid w:val="00FE2CF7"/>
    <w:rsid w:val="00FF1449"/>
    <w:rsid w:val="53EB113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rsid w:val="000429E4"/>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styleId="superscript" w:customStyle="1">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styleId="TextocomentarioCar" w:customStyle="1">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styleId="AsuntodelcomentarioCar" w:customStyle="1">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hAnsi="Century Gothic" w:eastAsia="Times New Roman" w:cs="Times New Roman"/>
      <w:szCs w:val="24"/>
      <w:lang w:val="es-ES" w:eastAsia="es-ES"/>
    </w:rPr>
  </w:style>
  <w:style w:type="character" w:styleId="TextoindependienteCar" w:customStyle="1">
    <w:name w:val="Texto independiente Car"/>
    <w:basedOn w:val="Fuentedeprrafopredeter"/>
    <w:link w:val="Textoindependiente"/>
    <w:uiPriority w:val="99"/>
    <w:rsid w:val="006408EC"/>
    <w:rPr>
      <w:rFonts w:ascii="Century Gothic" w:hAnsi="Century Gothic" w:eastAsia="Times New Roman" w:cs="Times New Roman"/>
      <w:szCs w:val="24"/>
      <w:lang w:val="es-ES" w:eastAsia="es-ES"/>
    </w:rPr>
  </w:style>
  <w:style w:type="character" w:styleId="Hipervnculo1" w:customStyle="1">
    <w:name w:val="Hipervínculo1"/>
    <w:basedOn w:val="Fuentedeprrafopredeter"/>
    <w:uiPriority w:val="99"/>
    <w:unhideWhenUsed/>
    <w:rsid w:val="00826C01"/>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02546498">
      <w:bodyDiv w:val="1"/>
      <w:marLeft w:val="0"/>
      <w:marRight w:val="0"/>
      <w:marTop w:val="0"/>
      <w:marBottom w:val="0"/>
      <w:divBdr>
        <w:top w:val="none" w:sz="0" w:space="0" w:color="auto"/>
        <w:left w:val="none" w:sz="0" w:space="0" w:color="auto"/>
        <w:bottom w:val="none" w:sz="0" w:space="0" w:color="auto"/>
        <w:right w:val="none" w:sz="0" w:space="0" w:color="auto"/>
      </w:divBdr>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07131132">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juanpablo.munoz@ingeplan.co" TargetMode="External" Id="rId12" /><Relationship Type="http://schemas.openxmlformats.org/officeDocument/2006/relationships/image" Target="media/image3.jpeg" Id="rId17" /><Relationship Type="http://schemas.openxmlformats.org/officeDocument/2006/relationships/customXml" Target="../customXml/item2.xml" Id="rId2" /><Relationship Type="http://schemas.openxmlformats.org/officeDocument/2006/relationships/hyperlink" Target="https://www.colombiacompra.gov.co/sala-de-prensa/boletin-digita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6F1A3F0C-BA34-43F2-92E5-B20E7F756413}"/>
</file>

<file path=customXml/itemProps4.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16</revision>
  <lastPrinted>2023-01-10T21:18:00.0000000Z</lastPrinted>
  <dcterms:created xsi:type="dcterms:W3CDTF">2024-09-13T16:42:00.0000000Z</dcterms:created>
  <dcterms:modified xsi:type="dcterms:W3CDTF">2024-11-05T18:03:39.6863493Z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