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98FD4" w14:textId="77777777" w:rsidR="0039126F" w:rsidRPr="00B422F2" w:rsidRDefault="0039126F" w:rsidP="0039126F">
      <w:pPr>
        <w:spacing w:after="0"/>
        <w:jc w:val="both"/>
        <w:rPr>
          <w:rFonts w:ascii="Verdana" w:hAnsi="Verdana"/>
        </w:rPr>
      </w:pPr>
      <w:bookmarkStart w:id="0" w:name="_Hlk143780582"/>
      <w:r w:rsidRPr="00B422F2">
        <w:rPr>
          <w:rFonts w:ascii="Verdana" w:eastAsia="Calibri" w:hAnsi="Verdana" w:cs="Arial"/>
          <w:b/>
          <w:bCs/>
          <w:lang w:val="es-ES" w:eastAsia="es-ES"/>
        </w:rPr>
        <w:t xml:space="preserve">DOCUMENTOS TIPO – </w:t>
      </w:r>
      <w:r w:rsidRPr="00B422F2">
        <w:rPr>
          <w:rFonts w:ascii="Verdana" w:eastAsia="Aptos" w:hAnsi="Verdana" w:cs="Times New Roman"/>
          <w:b/>
          <w:bCs/>
          <w:kern w:val="2"/>
          <w:lang w:eastAsia="es-ES"/>
          <w14:ligatures w14:val="standardContextual"/>
        </w:rPr>
        <w:t xml:space="preserve">Obligatoriedad – Actividad a contratar – Matriz – </w:t>
      </w:r>
      <w:r>
        <w:rPr>
          <w:rFonts w:ascii="Verdana" w:eastAsia="Aptos" w:hAnsi="Verdana" w:cs="Times New Roman"/>
          <w:b/>
          <w:bCs/>
          <w:kern w:val="2"/>
          <w:lang w:eastAsia="es-ES"/>
          <w14:ligatures w14:val="standardContextual"/>
        </w:rPr>
        <w:t>Licitación pública – Licitación pública modalidad llave en mano</w:t>
      </w:r>
      <w:r w:rsidRPr="00B422F2">
        <w:rPr>
          <w:rFonts w:ascii="Verdana" w:eastAsia="Aptos" w:hAnsi="Verdana" w:cs="Times New Roman"/>
          <w:b/>
          <w:bCs/>
          <w:kern w:val="2"/>
          <w:lang w:eastAsia="es-ES"/>
          <w14:ligatures w14:val="standardContextual"/>
        </w:rPr>
        <w:t xml:space="preserve"> – Infraestructura </w:t>
      </w:r>
      <w:r>
        <w:rPr>
          <w:rFonts w:ascii="Verdana" w:eastAsia="Aptos" w:hAnsi="Verdana" w:cs="Times New Roman"/>
          <w:b/>
          <w:bCs/>
          <w:kern w:val="2"/>
          <w:lang w:eastAsia="es-ES"/>
          <w14:ligatures w14:val="standardContextual"/>
        </w:rPr>
        <w:t>de APSB</w:t>
      </w:r>
    </w:p>
    <w:p w14:paraId="6F9F8809" w14:textId="77777777" w:rsidR="0039126F" w:rsidRPr="00F36C4D" w:rsidRDefault="0039126F" w:rsidP="0039126F">
      <w:pPr>
        <w:spacing w:after="0" w:line="240" w:lineRule="auto"/>
        <w:contextualSpacing/>
        <w:jc w:val="both"/>
        <w:rPr>
          <w:rFonts w:ascii="Verdana" w:hAnsi="Verdana" w:cs="Arial"/>
          <w:iCs/>
          <w:sz w:val="20"/>
          <w:szCs w:val="20"/>
          <w:lang w:val="es-ES_tradnl"/>
        </w:rPr>
      </w:pPr>
    </w:p>
    <w:p w14:paraId="5632C12C" w14:textId="77777777" w:rsidR="0039126F" w:rsidRDefault="0039126F" w:rsidP="0039126F">
      <w:pPr>
        <w:spacing w:after="0" w:line="240" w:lineRule="auto"/>
        <w:jc w:val="both"/>
        <w:rPr>
          <w:rFonts w:ascii="Verdana" w:eastAsia="Calibri" w:hAnsi="Verdana" w:cs="Arial"/>
          <w:sz w:val="20"/>
          <w:szCs w:val="20"/>
          <w:lang w:val="es-ES"/>
        </w:rPr>
      </w:pPr>
      <w:r w:rsidRPr="0012614E">
        <w:rPr>
          <w:rFonts w:ascii="Verdana" w:eastAsia="Calibri" w:hAnsi="Verdana" w:cs="Arial"/>
          <w:sz w:val="20"/>
          <w:szCs w:val="20"/>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74299138" w14:textId="77777777" w:rsidR="0039126F" w:rsidRPr="0012614E" w:rsidRDefault="0039126F" w:rsidP="0039126F">
      <w:pPr>
        <w:spacing w:after="0" w:line="240" w:lineRule="auto"/>
        <w:jc w:val="both"/>
        <w:rPr>
          <w:rFonts w:ascii="Verdana" w:eastAsia="Calibri" w:hAnsi="Verdana" w:cs="Arial"/>
          <w:sz w:val="20"/>
          <w:szCs w:val="20"/>
          <w:lang w:val="es-ES"/>
        </w:rPr>
      </w:pPr>
    </w:p>
    <w:p w14:paraId="79B5022F" w14:textId="77777777" w:rsidR="0039126F" w:rsidRDefault="0039126F" w:rsidP="0039126F">
      <w:pPr>
        <w:spacing w:after="0" w:line="240" w:lineRule="auto"/>
        <w:jc w:val="both"/>
        <w:rPr>
          <w:rFonts w:ascii="Verdana" w:eastAsia="Calibri" w:hAnsi="Verdana" w:cs="Arial"/>
          <w:sz w:val="20"/>
          <w:szCs w:val="20"/>
          <w:lang w:val="es-ES"/>
        </w:rPr>
      </w:pPr>
      <w:r>
        <w:rPr>
          <w:rFonts w:ascii="Verdana" w:eastAsia="Calibri" w:hAnsi="Verdana" w:cs="Arial"/>
          <w:sz w:val="20"/>
          <w:szCs w:val="20"/>
          <w:lang w:val="es-ES"/>
        </w:rPr>
        <w:t>[…]</w:t>
      </w:r>
    </w:p>
    <w:p w14:paraId="3021B432" w14:textId="77777777" w:rsidR="0039126F" w:rsidRPr="0012614E" w:rsidRDefault="0039126F" w:rsidP="0039126F">
      <w:pPr>
        <w:spacing w:after="0" w:line="240" w:lineRule="auto"/>
        <w:jc w:val="both"/>
        <w:rPr>
          <w:rFonts w:ascii="Verdana" w:eastAsia="Calibri" w:hAnsi="Verdana" w:cs="Arial"/>
          <w:sz w:val="20"/>
          <w:szCs w:val="20"/>
          <w:lang w:val="es-ES"/>
        </w:rPr>
      </w:pPr>
    </w:p>
    <w:p w14:paraId="180AA407" w14:textId="77777777" w:rsidR="0039126F" w:rsidRPr="00436F8B" w:rsidRDefault="0039126F" w:rsidP="0039126F">
      <w:pPr>
        <w:spacing w:after="0" w:line="240" w:lineRule="auto"/>
        <w:jc w:val="both"/>
        <w:rPr>
          <w:rFonts w:ascii="Verdana" w:eastAsia="Calibri" w:hAnsi="Verdana" w:cs="Arial"/>
          <w:sz w:val="20"/>
          <w:szCs w:val="20"/>
        </w:rPr>
      </w:pPr>
      <w:r w:rsidRPr="00436F8B">
        <w:rPr>
          <w:rFonts w:ascii="Verdana" w:eastAsia="Calibri" w:hAnsi="Verdana" w:cs="Arial"/>
          <w:sz w:val="20"/>
          <w:szCs w:val="20"/>
        </w:rPr>
        <w:t xml:space="preserve">Para el sector de infraestructura de agua potable y saneamiento básico, en desarrollo del artículo 1 de la Ley 2022 de 2020, esta Agencia expidió </w:t>
      </w:r>
      <w:r w:rsidRPr="00436F8B">
        <w:rPr>
          <w:rFonts w:ascii="Verdana" w:eastAsia="Calibri" w:hAnsi="Verdana" w:cs="Arial"/>
          <w:sz w:val="20"/>
          <w:szCs w:val="20"/>
          <w:lang w:val="es-MX"/>
        </w:rPr>
        <w:t>las Resoluciones 248 y 249 del 1 de diciembre de 2020, modificadas por las</w:t>
      </w:r>
      <w:r w:rsidRPr="00436F8B">
        <w:rPr>
          <w:rFonts w:ascii="Verdana" w:eastAsia="Calibri" w:hAnsi="Verdana" w:cs="Arial"/>
          <w:sz w:val="20"/>
          <w:szCs w:val="20"/>
        </w:rPr>
        <w:t xml:space="preserve"> Resoluciones 161 del 17 de junio de 2021, 173 del 30 de junio de 2021, 304 del 13 de octubre de 2021</w:t>
      </w:r>
      <w:r w:rsidRPr="00436F8B">
        <w:rPr>
          <w:rFonts w:ascii="Verdana" w:eastAsia="Calibri" w:hAnsi="Verdana" w:cs="Arial"/>
          <w:sz w:val="20"/>
          <w:szCs w:val="20"/>
          <w:lang w:val="es-MX"/>
        </w:rPr>
        <w:t>.</w:t>
      </w:r>
      <w:r w:rsidRPr="00436F8B">
        <w:rPr>
          <w:rFonts w:ascii="Verdana" w:eastAsia="Calibri" w:hAnsi="Verdana" w:cs="Arial"/>
          <w:sz w:val="20"/>
          <w:szCs w:val="20"/>
        </w:rPr>
        <w:t xml:space="preserve"> Mediante estos actos administrativos se adoptaron los documentos tipo para licitación de obras públicas y los documentos tipo para licitación de obras públicas, en modalidad llave en mano. Posteriormente se expide la Resolución 333 del 27 de julio de 2022 por medio de la cual se adoptaron los documentos tipo para los procesos de selección de concurso de méritos para contratar la interventoría de obras públicas también en infraestructura de agua potable y saneamiento básico.</w:t>
      </w:r>
    </w:p>
    <w:p w14:paraId="29144561" w14:textId="77777777" w:rsidR="006342EB" w:rsidRPr="0039126F" w:rsidRDefault="006342EB" w:rsidP="006342EB">
      <w:pPr>
        <w:spacing w:after="0" w:line="240" w:lineRule="auto"/>
        <w:jc w:val="both"/>
        <w:rPr>
          <w:rFonts w:ascii="Verdana" w:eastAsia="Geomanist Light" w:hAnsi="Verdana" w:cs="Arial"/>
        </w:rPr>
      </w:pPr>
    </w:p>
    <w:p w14:paraId="09B66FE3" w14:textId="77777777" w:rsidR="006342EB" w:rsidRDefault="006342EB" w:rsidP="006342EB">
      <w:pPr>
        <w:spacing w:after="0" w:line="276" w:lineRule="auto"/>
        <w:jc w:val="both"/>
        <w:rPr>
          <w:rFonts w:ascii="Verdana" w:eastAsia="Calibri" w:hAnsi="Verdana" w:cs="Arial"/>
          <w:sz w:val="20"/>
          <w:szCs w:val="20"/>
          <w:lang w:val="es-ES" w:eastAsia="es-ES"/>
        </w:rPr>
      </w:pPr>
    </w:p>
    <w:p w14:paraId="36EEFC2E" w14:textId="77777777" w:rsidR="006342EB" w:rsidRDefault="006342EB" w:rsidP="006342EB">
      <w:pPr>
        <w:spacing w:after="0" w:line="276" w:lineRule="auto"/>
        <w:jc w:val="both"/>
        <w:rPr>
          <w:rFonts w:ascii="Verdana" w:eastAsia="Calibri" w:hAnsi="Verdana" w:cs="Arial"/>
          <w:sz w:val="20"/>
          <w:szCs w:val="20"/>
          <w:lang w:val="es-ES" w:eastAsia="es-ES"/>
        </w:rPr>
      </w:pPr>
    </w:p>
    <w:p w14:paraId="354AECDE" w14:textId="77777777" w:rsidR="006342EB" w:rsidRDefault="006342EB" w:rsidP="006342EB">
      <w:pPr>
        <w:spacing w:after="0" w:line="276" w:lineRule="auto"/>
        <w:jc w:val="both"/>
        <w:rPr>
          <w:rFonts w:ascii="Verdana" w:eastAsia="Calibri" w:hAnsi="Verdana" w:cs="Arial"/>
          <w:sz w:val="20"/>
          <w:szCs w:val="20"/>
          <w:lang w:val="es-ES" w:eastAsia="es-ES"/>
        </w:rPr>
      </w:pPr>
    </w:p>
    <w:p w14:paraId="0F32E149" w14:textId="77777777" w:rsidR="006342EB" w:rsidRDefault="006342EB" w:rsidP="006342EB">
      <w:pPr>
        <w:spacing w:after="0" w:line="276" w:lineRule="auto"/>
        <w:jc w:val="both"/>
        <w:rPr>
          <w:rFonts w:ascii="Verdana" w:eastAsia="Calibri" w:hAnsi="Verdana" w:cs="Arial"/>
          <w:sz w:val="20"/>
          <w:szCs w:val="20"/>
          <w:lang w:val="es-ES" w:eastAsia="es-ES"/>
        </w:rPr>
      </w:pPr>
    </w:p>
    <w:p w14:paraId="51F9D498" w14:textId="77777777" w:rsidR="006342EB" w:rsidRDefault="006342EB" w:rsidP="006342EB">
      <w:pPr>
        <w:spacing w:after="0" w:line="276" w:lineRule="auto"/>
        <w:jc w:val="both"/>
        <w:rPr>
          <w:rFonts w:ascii="Verdana" w:eastAsia="Calibri" w:hAnsi="Verdana" w:cs="Arial"/>
          <w:sz w:val="20"/>
          <w:szCs w:val="20"/>
          <w:lang w:val="es-ES" w:eastAsia="es-ES"/>
        </w:rPr>
      </w:pPr>
    </w:p>
    <w:p w14:paraId="3CAE9551" w14:textId="77777777" w:rsidR="006342EB" w:rsidRDefault="006342EB" w:rsidP="006342EB">
      <w:pPr>
        <w:spacing w:after="0" w:line="276" w:lineRule="auto"/>
        <w:jc w:val="both"/>
        <w:rPr>
          <w:rFonts w:ascii="Verdana" w:eastAsia="Calibri" w:hAnsi="Verdana" w:cs="Arial"/>
          <w:sz w:val="20"/>
          <w:szCs w:val="20"/>
          <w:lang w:val="es-ES" w:eastAsia="es-ES"/>
        </w:rPr>
      </w:pPr>
    </w:p>
    <w:p w14:paraId="5ED810D6" w14:textId="77777777" w:rsidR="006342EB" w:rsidRDefault="006342EB" w:rsidP="006342EB">
      <w:pPr>
        <w:spacing w:after="0" w:line="276" w:lineRule="auto"/>
        <w:jc w:val="both"/>
        <w:rPr>
          <w:rFonts w:ascii="Verdana" w:eastAsia="Calibri" w:hAnsi="Verdana" w:cs="Arial"/>
          <w:sz w:val="20"/>
          <w:szCs w:val="20"/>
          <w:lang w:val="es-ES" w:eastAsia="es-ES"/>
        </w:rPr>
      </w:pPr>
    </w:p>
    <w:p w14:paraId="134EF7D6" w14:textId="77777777" w:rsidR="006342EB" w:rsidRDefault="006342EB" w:rsidP="006342EB">
      <w:pPr>
        <w:spacing w:after="0" w:line="276" w:lineRule="auto"/>
        <w:jc w:val="both"/>
        <w:rPr>
          <w:rFonts w:ascii="Verdana" w:eastAsia="Calibri" w:hAnsi="Verdana" w:cs="Arial"/>
          <w:sz w:val="20"/>
          <w:szCs w:val="20"/>
          <w:lang w:val="es-ES" w:eastAsia="es-ES"/>
        </w:rPr>
      </w:pPr>
    </w:p>
    <w:p w14:paraId="5D847AEE" w14:textId="77777777" w:rsidR="006342EB" w:rsidRDefault="006342EB" w:rsidP="006342EB">
      <w:pPr>
        <w:spacing w:after="0" w:line="276" w:lineRule="auto"/>
        <w:jc w:val="both"/>
        <w:rPr>
          <w:rFonts w:ascii="Verdana" w:eastAsia="Calibri" w:hAnsi="Verdana" w:cs="Arial"/>
          <w:sz w:val="20"/>
          <w:szCs w:val="20"/>
          <w:lang w:val="es-ES" w:eastAsia="es-ES"/>
        </w:rPr>
      </w:pPr>
    </w:p>
    <w:p w14:paraId="70CD94FC" w14:textId="77777777" w:rsidR="006342EB" w:rsidRDefault="006342EB" w:rsidP="006342EB">
      <w:pPr>
        <w:spacing w:after="0" w:line="276" w:lineRule="auto"/>
        <w:jc w:val="both"/>
        <w:rPr>
          <w:rFonts w:ascii="Verdana" w:eastAsia="Calibri" w:hAnsi="Verdana" w:cs="Arial"/>
          <w:sz w:val="20"/>
          <w:szCs w:val="20"/>
          <w:lang w:val="es-ES" w:eastAsia="es-ES"/>
        </w:rPr>
      </w:pPr>
    </w:p>
    <w:p w14:paraId="49EBDA7A" w14:textId="77777777" w:rsidR="006342EB" w:rsidRDefault="006342EB" w:rsidP="006342EB">
      <w:pPr>
        <w:spacing w:after="0" w:line="276" w:lineRule="auto"/>
        <w:jc w:val="both"/>
        <w:rPr>
          <w:rFonts w:ascii="Verdana" w:eastAsia="Calibri" w:hAnsi="Verdana" w:cs="Arial"/>
          <w:sz w:val="20"/>
          <w:szCs w:val="20"/>
          <w:lang w:val="es-ES" w:eastAsia="es-ES"/>
        </w:rPr>
      </w:pPr>
    </w:p>
    <w:p w14:paraId="677CB8CF" w14:textId="77777777" w:rsidR="006342EB" w:rsidRDefault="006342EB" w:rsidP="006342EB">
      <w:pPr>
        <w:spacing w:after="0" w:line="276" w:lineRule="auto"/>
        <w:jc w:val="both"/>
        <w:rPr>
          <w:rFonts w:ascii="Verdana" w:eastAsia="Calibri" w:hAnsi="Verdana" w:cs="Arial"/>
          <w:sz w:val="20"/>
          <w:szCs w:val="20"/>
          <w:lang w:val="es-ES" w:eastAsia="es-ES"/>
        </w:rPr>
      </w:pPr>
    </w:p>
    <w:p w14:paraId="1F578D32" w14:textId="77777777" w:rsidR="006342EB" w:rsidRDefault="006342EB" w:rsidP="006342EB">
      <w:pPr>
        <w:spacing w:after="0" w:line="276" w:lineRule="auto"/>
        <w:jc w:val="both"/>
        <w:rPr>
          <w:rFonts w:ascii="Verdana" w:eastAsia="Calibri" w:hAnsi="Verdana" w:cs="Arial"/>
          <w:sz w:val="20"/>
          <w:szCs w:val="20"/>
          <w:lang w:val="es-ES" w:eastAsia="es-ES"/>
        </w:rPr>
      </w:pPr>
    </w:p>
    <w:p w14:paraId="65D981BE" w14:textId="77777777" w:rsidR="006342EB" w:rsidRDefault="006342EB" w:rsidP="006342EB">
      <w:pPr>
        <w:spacing w:after="0" w:line="276" w:lineRule="auto"/>
        <w:jc w:val="both"/>
        <w:rPr>
          <w:rFonts w:ascii="Verdana" w:eastAsia="Calibri" w:hAnsi="Verdana" w:cs="Arial"/>
          <w:sz w:val="20"/>
          <w:szCs w:val="20"/>
          <w:lang w:val="es-ES" w:eastAsia="es-ES"/>
        </w:rPr>
      </w:pPr>
    </w:p>
    <w:p w14:paraId="52B8A31C" w14:textId="77777777" w:rsidR="006342EB" w:rsidRDefault="006342EB" w:rsidP="006342EB">
      <w:pPr>
        <w:spacing w:after="0" w:line="276" w:lineRule="auto"/>
        <w:jc w:val="both"/>
        <w:rPr>
          <w:rFonts w:ascii="Verdana" w:eastAsia="Calibri" w:hAnsi="Verdana" w:cs="Arial"/>
          <w:sz w:val="20"/>
          <w:szCs w:val="20"/>
          <w:lang w:val="es-ES" w:eastAsia="es-ES"/>
        </w:rPr>
      </w:pPr>
    </w:p>
    <w:p w14:paraId="5A01E87E" w14:textId="77777777" w:rsidR="006342EB" w:rsidRDefault="006342EB" w:rsidP="006342EB">
      <w:pPr>
        <w:spacing w:after="0" w:line="276" w:lineRule="auto"/>
        <w:jc w:val="both"/>
        <w:rPr>
          <w:rFonts w:ascii="Verdana" w:eastAsia="Calibri" w:hAnsi="Verdana" w:cs="Arial"/>
          <w:sz w:val="20"/>
          <w:szCs w:val="20"/>
          <w:lang w:val="es-ES" w:eastAsia="es-ES"/>
        </w:rPr>
      </w:pPr>
    </w:p>
    <w:p w14:paraId="571A90DF" w14:textId="77777777" w:rsidR="006342EB" w:rsidRDefault="006342EB" w:rsidP="006342EB">
      <w:pPr>
        <w:spacing w:after="0" w:line="276" w:lineRule="auto"/>
        <w:jc w:val="both"/>
        <w:rPr>
          <w:rFonts w:ascii="Verdana" w:eastAsia="Calibri" w:hAnsi="Verdana" w:cs="Arial"/>
          <w:sz w:val="20"/>
          <w:szCs w:val="20"/>
          <w:lang w:val="es-ES" w:eastAsia="es-ES"/>
        </w:rPr>
      </w:pPr>
    </w:p>
    <w:p w14:paraId="48FD23D7" w14:textId="77777777" w:rsidR="006342EB" w:rsidRDefault="006342EB" w:rsidP="006342EB">
      <w:pPr>
        <w:spacing w:after="0" w:line="276" w:lineRule="auto"/>
        <w:jc w:val="both"/>
        <w:rPr>
          <w:rFonts w:ascii="Verdana" w:eastAsia="Calibri" w:hAnsi="Verdana" w:cs="Arial"/>
          <w:sz w:val="20"/>
          <w:szCs w:val="20"/>
          <w:lang w:val="es-ES" w:eastAsia="es-ES"/>
        </w:rPr>
      </w:pPr>
    </w:p>
    <w:p w14:paraId="7C513F31" w14:textId="675226C5" w:rsidR="001B3AF1" w:rsidRDefault="001B3AF1">
      <w:pPr>
        <w:rPr>
          <w:rFonts w:ascii="Verdana" w:eastAsia="Calibri" w:hAnsi="Verdana" w:cs="Arial"/>
          <w:sz w:val="20"/>
          <w:szCs w:val="20"/>
          <w:lang w:val="es-ES" w:eastAsia="es-ES"/>
        </w:rPr>
      </w:pPr>
      <w:r>
        <w:rPr>
          <w:rFonts w:ascii="Verdana" w:eastAsia="Calibri" w:hAnsi="Verdana" w:cs="Arial"/>
          <w:sz w:val="20"/>
          <w:szCs w:val="20"/>
          <w:lang w:val="es-ES" w:eastAsia="es-ES"/>
        </w:rPr>
        <w:br w:type="page"/>
      </w:r>
    </w:p>
    <w:p w14:paraId="704E025C" w14:textId="77777777" w:rsidR="006342EB" w:rsidRPr="009C5A97" w:rsidRDefault="006342EB" w:rsidP="006342EB">
      <w:pPr>
        <w:spacing w:after="0" w:line="240" w:lineRule="auto"/>
        <w:rPr>
          <w:rFonts w:ascii="Century Gothic" w:eastAsia="Geomanist Light" w:hAnsi="Century Gothic" w:cs="Arial"/>
          <w:color w:val="201F1E"/>
          <w:lang w:val="es-MX"/>
        </w:rPr>
      </w:pPr>
      <w:r w:rsidRPr="009C5A97">
        <w:rPr>
          <w:rFonts w:ascii="Century Gothic" w:eastAsia="Geomanist Light" w:hAnsi="Century Gothic" w:cs="Arial"/>
          <w:color w:val="000000" w:themeColor="text1"/>
          <w:lang w:val="es-MX"/>
        </w:rPr>
        <w:lastRenderedPageBreak/>
        <w:t>Bogotá D.C., </w:t>
      </w:r>
      <w:r w:rsidRPr="009C5A97">
        <w:rPr>
          <w:rFonts w:ascii="Century Gothic" w:eastAsia="Geomanist Light" w:hAnsi="Century Gothic" w:cs="Arial"/>
          <w:color w:val="201F1E"/>
          <w:lang w:val="es-MX"/>
        </w:rPr>
        <w:t>[Día] de [Mes.NombreCapitalizado] de [Año]</w:t>
      </w:r>
    </w:p>
    <w:p w14:paraId="7BBD78D5" w14:textId="77777777" w:rsidR="006342EB" w:rsidRDefault="006342EB" w:rsidP="006342EB">
      <w:pPr>
        <w:spacing w:after="0" w:line="240" w:lineRule="auto"/>
        <w:jc w:val="both"/>
        <w:rPr>
          <w:rFonts w:ascii="Century Gothic" w:eastAsia="Calibri" w:hAnsi="Century Gothic" w:cs="Arial"/>
          <w:color w:val="000000"/>
          <w:lang w:val="es-ES"/>
        </w:rPr>
      </w:pPr>
    </w:p>
    <w:p w14:paraId="34955531" w14:textId="77777777" w:rsidR="006342EB" w:rsidRDefault="006342EB" w:rsidP="006342EB">
      <w:pPr>
        <w:spacing w:after="0" w:line="276" w:lineRule="auto"/>
        <w:contextualSpacing/>
        <w:textAlignment w:val="baseline"/>
        <w:rPr>
          <w:rFonts w:ascii="Verdana" w:eastAsia="Times New Roman" w:hAnsi="Verdana" w:cs="Arial"/>
          <w:lang w:val="es-ES_tradnl" w:eastAsia="es-CO"/>
        </w:rPr>
      </w:pPr>
      <w:r>
        <w:rPr>
          <w:rFonts w:ascii="Verdana" w:eastAsia="Times New Roman" w:hAnsi="Verdana" w:cs="Arial"/>
          <w:lang w:val="es-ES_tradnl" w:eastAsia="es-CO"/>
        </w:rPr>
        <w:t>Señora</w:t>
      </w:r>
    </w:p>
    <w:p w14:paraId="5FF1FA49" w14:textId="77777777" w:rsidR="006342EB" w:rsidRPr="003C1B89" w:rsidRDefault="006342EB" w:rsidP="006342EB">
      <w:pPr>
        <w:spacing w:after="0" w:line="276" w:lineRule="auto"/>
        <w:contextualSpacing/>
        <w:textAlignment w:val="baseline"/>
        <w:rPr>
          <w:rFonts w:ascii="Verdana" w:eastAsia="Times New Roman" w:hAnsi="Verdana" w:cs="Arial"/>
          <w:b/>
          <w:bCs/>
          <w:lang w:val="es-ES_tradnl" w:eastAsia="es-CO"/>
        </w:rPr>
      </w:pPr>
      <w:r w:rsidRPr="003C1B89">
        <w:rPr>
          <w:rFonts w:ascii="Verdana" w:eastAsia="Times New Roman" w:hAnsi="Verdana" w:cs="Arial"/>
          <w:b/>
          <w:bCs/>
          <w:lang w:val="es-ES_tradnl" w:eastAsia="es-CO"/>
        </w:rPr>
        <w:t>Diana Alejandra Arteaga Saldana</w:t>
      </w:r>
    </w:p>
    <w:p w14:paraId="611BB947" w14:textId="77777777" w:rsidR="006342EB" w:rsidRDefault="006342EB" w:rsidP="006342EB">
      <w:pPr>
        <w:spacing w:after="0" w:line="276" w:lineRule="auto"/>
        <w:contextualSpacing/>
        <w:textAlignment w:val="baseline"/>
        <w:rPr>
          <w:rFonts w:ascii="Verdana" w:eastAsia="Times New Roman" w:hAnsi="Verdana" w:cs="Arial"/>
          <w:lang w:val="es-ES_tradnl" w:eastAsia="es-CO"/>
        </w:rPr>
      </w:pPr>
      <w:hyperlink r:id="rId11" w:history="1">
        <w:r w:rsidRPr="00624CE7">
          <w:rPr>
            <w:rStyle w:val="Hipervnculo"/>
            <w:rFonts w:ascii="Verdana" w:eastAsia="Times New Roman" w:hAnsi="Verdana" w:cs="Arial"/>
            <w:lang w:val="es-ES_tradnl" w:eastAsia="es-CO"/>
          </w:rPr>
          <w:t>Dianaleja1385@gmail.com</w:t>
        </w:r>
      </w:hyperlink>
      <w:r>
        <w:rPr>
          <w:rFonts w:ascii="Verdana" w:eastAsia="Times New Roman" w:hAnsi="Verdana" w:cs="Arial"/>
          <w:lang w:val="es-ES_tradnl" w:eastAsia="es-CO"/>
        </w:rPr>
        <w:t xml:space="preserve"> </w:t>
      </w:r>
    </w:p>
    <w:p w14:paraId="7F9FD52C" w14:textId="77777777" w:rsidR="006342EB" w:rsidRPr="009C5A97" w:rsidRDefault="006342EB" w:rsidP="006342EB">
      <w:pPr>
        <w:spacing w:after="0" w:line="276" w:lineRule="auto"/>
        <w:contextualSpacing/>
        <w:textAlignment w:val="baseline"/>
        <w:rPr>
          <w:rFonts w:ascii="Century Gothic" w:eastAsia="Calibri" w:hAnsi="Century Gothic" w:cs="Arial"/>
          <w:b/>
          <w:bCs/>
          <w:color w:val="000000"/>
          <w:lang w:eastAsia="es-ES_tradnl"/>
        </w:rPr>
      </w:pPr>
      <w:r>
        <w:rPr>
          <w:rFonts w:ascii="Verdana" w:eastAsia="Times New Roman" w:hAnsi="Verdana" w:cs="Arial"/>
          <w:lang w:val="es-ES_tradnl" w:eastAsia="es-CO"/>
        </w:rPr>
        <w:t>San Juan de Pasto, Nariño</w:t>
      </w:r>
    </w:p>
    <w:p w14:paraId="31C1E6E8" w14:textId="4C9BE959" w:rsidR="006342EB" w:rsidRPr="009C5A97" w:rsidRDefault="00DB6A48" w:rsidP="006342EB">
      <w:pPr>
        <w:spacing w:after="0" w:line="240" w:lineRule="auto"/>
        <w:jc w:val="right"/>
        <w:rPr>
          <w:rFonts w:ascii="Century Gothic" w:eastAsia="Calibri" w:hAnsi="Century Gothic" w:cs="Arial"/>
          <w:b/>
          <w:bCs/>
          <w:color w:val="000000"/>
          <w:lang w:eastAsia="es-ES_tradnl"/>
        </w:rPr>
      </w:pPr>
      <w:r w:rsidRPr="00DB6A48">
        <w:rPr>
          <w:rFonts w:ascii="Century Gothic" w:eastAsia="Calibri" w:hAnsi="Century Gothic" w:cs="Arial"/>
          <w:b/>
          <w:bCs/>
          <w:color w:val="000000"/>
          <w:lang w:eastAsia="es-ES_tradnl"/>
        </w:rPr>
        <w:drawing>
          <wp:inline distT="0" distB="0" distL="0" distR="0" wp14:anchorId="1453E356" wp14:editId="01D895C3">
            <wp:extent cx="3305175" cy="942975"/>
            <wp:effectExtent l="0" t="0" r="9525" b="9525"/>
            <wp:docPr id="61001653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16536" name="Imagen 1" descr="Texto&#10;&#10;Descripción generada automáticamente"/>
                    <pic:cNvPicPr/>
                  </pic:nvPicPr>
                  <pic:blipFill>
                    <a:blip r:embed="rId12"/>
                    <a:stretch>
                      <a:fillRect/>
                    </a:stretch>
                  </pic:blipFill>
                  <pic:spPr>
                    <a:xfrm>
                      <a:off x="0" y="0"/>
                      <a:ext cx="3305175" cy="942975"/>
                    </a:xfrm>
                    <a:prstGeom prst="rect">
                      <a:avLst/>
                    </a:prstGeom>
                  </pic:spPr>
                </pic:pic>
              </a:graphicData>
            </a:graphic>
          </wp:inline>
        </w:drawing>
      </w:r>
    </w:p>
    <w:p w14:paraId="76C417BD" w14:textId="77777777" w:rsidR="006342EB" w:rsidRPr="009C5A97" w:rsidRDefault="006342EB" w:rsidP="006342EB">
      <w:pPr>
        <w:spacing w:after="0" w:line="240" w:lineRule="auto"/>
        <w:rPr>
          <w:rFonts w:ascii="Century Gothic" w:eastAsia="Calibri" w:hAnsi="Century Gothic" w:cs="Arial"/>
          <w:b/>
          <w:bCs/>
          <w:color w:val="000000"/>
          <w:lang w:val="es-ES_tradnl" w:eastAsia="es-ES_tradnl"/>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21"/>
      </w:tblGrid>
      <w:tr w:rsidR="006342EB" w:rsidRPr="009C5A97" w14:paraId="3AF7D8CC" w14:textId="77777777" w:rsidTr="00C4661C">
        <w:trPr>
          <w:trHeight w:val="884"/>
        </w:trPr>
        <w:tc>
          <w:tcPr>
            <w:tcW w:w="2410" w:type="dxa"/>
          </w:tcPr>
          <w:p w14:paraId="5BCF961C" w14:textId="77777777" w:rsidR="006342EB" w:rsidRPr="009C5A97" w:rsidRDefault="006342EB" w:rsidP="00C4661C">
            <w:pPr>
              <w:jc w:val="both"/>
              <w:rPr>
                <w:rFonts w:ascii="Century Gothic" w:eastAsia="Calibri" w:hAnsi="Century Gothic" w:cs="Arial"/>
                <w:b/>
                <w:bCs/>
                <w:color w:val="7030A0"/>
                <w:lang w:val="es-ES_tradnl" w:eastAsia="es-ES_tradnl"/>
              </w:rPr>
            </w:pPr>
          </w:p>
        </w:tc>
        <w:tc>
          <w:tcPr>
            <w:tcW w:w="6521" w:type="dxa"/>
          </w:tcPr>
          <w:p w14:paraId="45BE921A" w14:textId="77777777" w:rsidR="006342EB" w:rsidRPr="0039126F" w:rsidRDefault="006342EB" w:rsidP="00C4661C">
            <w:pPr>
              <w:jc w:val="both"/>
              <w:rPr>
                <w:rFonts w:ascii="Verdana" w:eastAsia="Calibri" w:hAnsi="Verdana" w:cs="Arial"/>
                <w:b/>
                <w:lang w:val="es-MX" w:eastAsia="es-ES_tradnl"/>
              </w:rPr>
            </w:pPr>
            <w:r w:rsidRPr="0039126F">
              <w:rPr>
                <w:rFonts w:ascii="Verdana" w:eastAsia="Calibri" w:hAnsi="Verdana" w:cs="Arial"/>
                <w:b/>
                <w:lang w:val="es-MX" w:eastAsia="es-ES_tradnl"/>
              </w:rPr>
              <w:t>Concepto C - 576 de 2024</w:t>
            </w:r>
          </w:p>
        </w:tc>
      </w:tr>
      <w:tr w:rsidR="006342EB" w:rsidRPr="009C5A97" w14:paraId="784A27AD" w14:textId="77777777" w:rsidTr="00C4661C">
        <w:trPr>
          <w:trHeight w:val="884"/>
        </w:trPr>
        <w:tc>
          <w:tcPr>
            <w:tcW w:w="2410" w:type="dxa"/>
          </w:tcPr>
          <w:p w14:paraId="5144CC6C" w14:textId="77777777" w:rsidR="006342EB" w:rsidRPr="005A64DD" w:rsidRDefault="006342EB" w:rsidP="00C4661C">
            <w:pPr>
              <w:jc w:val="both"/>
              <w:rPr>
                <w:rFonts w:ascii="Verdana" w:eastAsia="Calibri" w:hAnsi="Verdana" w:cs="Arial"/>
                <w:b/>
                <w:lang w:val="es-MX" w:eastAsia="es-ES_tradnl"/>
              </w:rPr>
            </w:pPr>
            <w:r w:rsidRPr="005A64DD">
              <w:rPr>
                <w:rFonts w:ascii="Verdana" w:eastAsia="Calibri" w:hAnsi="Verdana" w:cs="Arial"/>
                <w:b/>
                <w:lang w:val="es-MX" w:eastAsia="es-ES_tradnl"/>
              </w:rPr>
              <w:t xml:space="preserve">Temas:                   </w:t>
            </w:r>
          </w:p>
        </w:tc>
        <w:tc>
          <w:tcPr>
            <w:tcW w:w="6521" w:type="dxa"/>
          </w:tcPr>
          <w:p w14:paraId="41321142" w14:textId="77777777" w:rsidR="0039126F" w:rsidRPr="0039126F" w:rsidRDefault="0039126F" w:rsidP="0039126F">
            <w:pPr>
              <w:jc w:val="both"/>
              <w:rPr>
                <w:rFonts w:ascii="Verdana" w:eastAsia="Calibri" w:hAnsi="Verdana" w:cs="Arial"/>
                <w:bCs/>
                <w:lang w:val="es-MX" w:eastAsia="es-ES_tradnl"/>
              </w:rPr>
            </w:pPr>
            <w:r w:rsidRPr="0039126F">
              <w:rPr>
                <w:rFonts w:ascii="Verdana" w:eastAsia="Calibri" w:hAnsi="Verdana" w:cs="Arial"/>
                <w:bCs/>
                <w:lang w:val="es-MX" w:eastAsia="es-ES_tradnl"/>
              </w:rPr>
              <w:t>DOCUMENTOS TIPO – Obligatoriedad – Actividad a contratar – Matriz – Licitación pública – Licitación pública modalidad llave en mano – Infraestructura de APSB</w:t>
            </w:r>
          </w:p>
          <w:p w14:paraId="10250C00" w14:textId="77777777" w:rsidR="006342EB" w:rsidRPr="0039126F" w:rsidRDefault="006342EB" w:rsidP="00C4661C">
            <w:pPr>
              <w:spacing w:line="276" w:lineRule="auto"/>
              <w:jc w:val="both"/>
              <w:rPr>
                <w:rFonts w:ascii="Verdana" w:eastAsia="Calibri" w:hAnsi="Verdana" w:cs="Arial"/>
                <w:bCs/>
                <w:lang w:val="es-MX" w:eastAsia="es-ES_tradnl"/>
              </w:rPr>
            </w:pPr>
          </w:p>
        </w:tc>
      </w:tr>
      <w:tr w:rsidR="006342EB" w:rsidRPr="009C5A97" w14:paraId="2E90EA59" w14:textId="77777777" w:rsidTr="00C4661C">
        <w:tc>
          <w:tcPr>
            <w:tcW w:w="2410" w:type="dxa"/>
          </w:tcPr>
          <w:p w14:paraId="4FE10338" w14:textId="77777777" w:rsidR="006342EB" w:rsidRPr="00244892" w:rsidRDefault="006342EB" w:rsidP="00C4661C">
            <w:pPr>
              <w:jc w:val="both"/>
              <w:rPr>
                <w:rFonts w:ascii="Century Gothic" w:eastAsia="Calibri" w:hAnsi="Century Gothic" w:cs="Arial"/>
                <w:b/>
                <w:lang w:val="es-MX" w:eastAsia="es-ES_tradnl"/>
              </w:rPr>
            </w:pPr>
            <w:r w:rsidRPr="00244892">
              <w:rPr>
                <w:rFonts w:ascii="Century Gothic" w:eastAsia="Calibri" w:hAnsi="Century Gothic" w:cs="Arial"/>
                <w:b/>
                <w:lang w:val="es-MX" w:eastAsia="es-ES_tradnl"/>
              </w:rPr>
              <w:t>Radicación:</w:t>
            </w:r>
          </w:p>
        </w:tc>
        <w:tc>
          <w:tcPr>
            <w:tcW w:w="6521" w:type="dxa"/>
          </w:tcPr>
          <w:p w14:paraId="0645606D" w14:textId="77777777" w:rsidR="006342EB" w:rsidRPr="009C5A97" w:rsidRDefault="006342EB" w:rsidP="00C4661C">
            <w:pPr>
              <w:jc w:val="both"/>
              <w:rPr>
                <w:rFonts w:ascii="Verdana" w:eastAsia="Calibri" w:hAnsi="Verdana" w:cs="Arial"/>
                <w:bCs/>
                <w:lang w:val="es-MX" w:eastAsia="es-ES_tradnl"/>
              </w:rPr>
            </w:pPr>
            <w:r w:rsidRPr="009C5A97">
              <w:rPr>
                <w:rFonts w:ascii="Verdana" w:eastAsia="Calibri" w:hAnsi="Verdana" w:cs="Arial"/>
                <w:bCs/>
                <w:lang w:val="es-MX" w:eastAsia="es-ES_tradnl"/>
              </w:rPr>
              <w:t xml:space="preserve">Respuesta a consulta con radicado No. </w:t>
            </w:r>
            <w:r>
              <w:rPr>
                <w:rFonts w:ascii="Verdana" w:eastAsia="Calibri" w:hAnsi="Verdana" w:cs="Arial"/>
                <w:bCs/>
                <w:lang w:val="es-MX" w:eastAsia="es-ES_tradnl"/>
              </w:rPr>
              <w:t>P20240909009188</w:t>
            </w:r>
          </w:p>
        </w:tc>
      </w:tr>
    </w:tbl>
    <w:p w14:paraId="087B2D61" w14:textId="77777777" w:rsidR="006342EB" w:rsidRPr="009C5A97" w:rsidRDefault="006342EB" w:rsidP="006342EB">
      <w:pPr>
        <w:spacing w:after="0" w:line="240" w:lineRule="auto"/>
        <w:jc w:val="both"/>
        <w:rPr>
          <w:rFonts w:ascii="Century Gothic" w:eastAsia="Calibri" w:hAnsi="Century Gothic" w:cs="Arial"/>
          <w:color w:val="000000"/>
          <w:lang w:val="es-ES_tradnl" w:eastAsia="es-ES_tradnl"/>
        </w:rPr>
      </w:pPr>
    </w:p>
    <w:p w14:paraId="78889BEE" w14:textId="77777777" w:rsidR="006342EB" w:rsidRPr="009C5A97" w:rsidRDefault="006342EB" w:rsidP="006342EB">
      <w:pPr>
        <w:spacing w:after="0" w:line="276" w:lineRule="auto"/>
        <w:jc w:val="both"/>
        <w:rPr>
          <w:rFonts w:ascii="Century Gothic" w:eastAsia="Calibri" w:hAnsi="Century Gothic" w:cs="Arial"/>
          <w:color w:val="000000"/>
          <w:lang w:val="es-ES_tradnl" w:eastAsia="es-ES_tradnl"/>
        </w:rPr>
      </w:pPr>
    </w:p>
    <w:p w14:paraId="2BD2F46B" w14:textId="77777777" w:rsidR="006342EB" w:rsidRPr="009C5A97" w:rsidRDefault="006342EB" w:rsidP="006342EB">
      <w:pPr>
        <w:spacing w:after="0" w:line="276" w:lineRule="auto"/>
        <w:jc w:val="both"/>
        <w:textAlignment w:val="baseline"/>
        <w:rPr>
          <w:rFonts w:ascii="Verdana" w:eastAsia="Calibri" w:hAnsi="Verdana" w:cs="Arial"/>
        </w:rPr>
      </w:pPr>
      <w:r w:rsidRPr="009C5A97">
        <w:rPr>
          <w:rFonts w:ascii="Verdana" w:eastAsia="Calibri" w:hAnsi="Verdana" w:cs="Arial"/>
        </w:rPr>
        <w:t>Estimad</w:t>
      </w:r>
      <w:r>
        <w:rPr>
          <w:rFonts w:ascii="Verdana" w:eastAsia="Calibri" w:hAnsi="Verdana" w:cs="Arial"/>
        </w:rPr>
        <w:t>a señora Arteaga</w:t>
      </w:r>
      <w:r w:rsidRPr="009C5A97">
        <w:rPr>
          <w:rFonts w:ascii="Verdana" w:eastAsia="Calibri" w:hAnsi="Verdana" w:cs="Arial"/>
        </w:rPr>
        <w:t>:</w:t>
      </w:r>
    </w:p>
    <w:p w14:paraId="56F7898E" w14:textId="77777777" w:rsidR="006342EB" w:rsidRPr="009C5A97" w:rsidRDefault="006342EB" w:rsidP="006342EB">
      <w:pPr>
        <w:tabs>
          <w:tab w:val="left" w:pos="3768"/>
        </w:tabs>
        <w:spacing w:after="0" w:line="276" w:lineRule="auto"/>
        <w:jc w:val="both"/>
        <w:rPr>
          <w:rFonts w:ascii="Century Gothic" w:eastAsia="Calibri" w:hAnsi="Century Gothic" w:cs="Arial"/>
          <w:color w:val="000000" w:themeColor="text1"/>
          <w:lang w:val="es-ES" w:eastAsia="es-ES"/>
        </w:rPr>
      </w:pPr>
      <w:r w:rsidRPr="009C5A97">
        <w:rPr>
          <w:rFonts w:ascii="Century Gothic" w:eastAsia="Calibri" w:hAnsi="Century Gothic" w:cs="Arial"/>
          <w:color w:val="000000" w:themeColor="text1"/>
          <w:lang w:val="es-ES" w:eastAsia="es-ES"/>
        </w:rPr>
        <w:tab/>
      </w:r>
    </w:p>
    <w:p w14:paraId="716500DF" w14:textId="77777777" w:rsidR="006342EB" w:rsidRDefault="006342EB" w:rsidP="006342EB">
      <w:pPr>
        <w:spacing w:after="0" w:line="276" w:lineRule="auto"/>
        <w:jc w:val="both"/>
        <w:rPr>
          <w:rFonts w:ascii="Verdana" w:eastAsia="Calibri" w:hAnsi="Verdana" w:cs="Arial"/>
          <w:lang w:val="es-ES" w:eastAsia="es-ES"/>
        </w:rPr>
      </w:pPr>
      <w:r w:rsidRPr="009C5A97">
        <w:rPr>
          <w:rFonts w:ascii="Verdana" w:eastAsia="Calibri" w:hAnsi="Verdana" w:cs="Arial"/>
          <w:color w:val="000000" w:themeColor="text1"/>
          <w:lang w:val="es-ES" w:eastAsia="es-ES"/>
        </w:rPr>
        <w:t>En ejercicio de la competencia otorgada por los artículos 3, numeral 5º, y 11, numeral 8º, del Decreto Ley 4170 de 2011,</w:t>
      </w:r>
      <w:r w:rsidRPr="009C5A97">
        <w:rPr>
          <w:rFonts w:ascii="Verdana" w:eastAsia="Arial MT" w:hAnsi="Verdana" w:cs="Arial MT"/>
          <w:lang w:val="es-ES" w:eastAsia="es-ES"/>
        </w:rPr>
        <w:t xml:space="preserve"> </w:t>
      </w:r>
      <w:r w:rsidRPr="009C5A97">
        <w:rPr>
          <w:rFonts w:ascii="Verdana" w:hAnsi="Verdana" w:cs="Arial"/>
        </w:rPr>
        <w:t xml:space="preserve">así como lo establecido en el artículo 4 de la Resolución 1707 de 2018 expedida por esta Entidad, </w:t>
      </w:r>
      <w:r w:rsidRPr="009C5A97">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09</w:t>
      </w:r>
      <w:r w:rsidRPr="009C5A97">
        <w:rPr>
          <w:rFonts w:ascii="Verdana" w:eastAsia="Calibri" w:hAnsi="Verdana" w:cs="Arial"/>
          <w:lang w:val="es-ES" w:eastAsia="es-ES"/>
        </w:rPr>
        <w:t xml:space="preserve"> de </w:t>
      </w:r>
      <w:r>
        <w:rPr>
          <w:rFonts w:ascii="Verdana" w:eastAsia="Calibri" w:hAnsi="Verdana" w:cs="Arial"/>
          <w:lang w:val="es-ES" w:eastAsia="es-ES"/>
        </w:rPr>
        <w:t>septiembre de</w:t>
      </w:r>
      <w:r w:rsidRPr="009C5A97">
        <w:rPr>
          <w:rFonts w:ascii="Verdana" w:eastAsia="Calibri" w:hAnsi="Verdana" w:cs="Arial"/>
          <w:lang w:val="es-ES" w:eastAsia="es-ES"/>
        </w:rPr>
        <w:t xml:space="preserve"> 2024, en la cual manifiesta lo siguiente</w:t>
      </w:r>
      <w:r w:rsidRPr="00C56A6D">
        <w:rPr>
          <w:rFonts w:ascii="Verdana" w:eastAsia="Calibri" w:hAnsi="Verdana" w:cs="Arial"/>
          <w:lang w:val="es-ES" w:eastAsia="es-ES"/>
        </w:rPr>
        <w:t xml:space="preserve">: </w:t>
      </w:r>
    </w:p>
    <w:p w14:paraId="4ADF679E" w14:textId="77777777" w:rsidR="006342EB" w:rsidRDefault="006342EB" w:rsidP="006342EB">
      <w:pPr>
        <w:spacing w:after="0" w:line="276" w:lineRule="auto"/>
        <w:jc w:val="both"/>
        <w:rPr>
          <w:rFonts w:ascii="Verdana" w:eastAsia="Calibri" w:hAnsi="Verdana" w:cs="Arial"/>
          <w:lang w:val="es-ES" w:eastAsia="es-ES"/>
        </w:rPr>
      </w:pPr>
    </w:p>
    <w:p w14:paraId="7796F4EF" w14:textId="77777777" w:rsidR="006342EB" w:rsidRDefault="006342EB" w:rsidP="006342EB">
      <w:pPr>
        <w:spacing w:after="0" w:line="276" w:lineRule="auto"/>
        <w:jc w:val="both"/>
        <w:rPr>
          <w:rFonts w:ascii="Verdana" w:eastAsia="Calibri" w:hAnsi="Verdana" w:cs="Arial"/>
          <w:lang w:val="es-ES" w:eastAsia="es-ES"/>
        </w:rPr>
      </w:pPr>
    </w:p>
    <w:p w14:paraId="753F5B2C" w14:textId="77777777" w:rsidR="006342EB" w:rsidRDefault="006342EB" w:rsidP="00C81329">
      <w:pPr>
        <w:spacing w:after="0" w:line="276" w:lineRule="auto"/>
        <w:ind w:left="709" w:right="1041"/>
        <w:jc w:val="both"/>
        <w:rPr>
          <w:rFonts w:ascii="Verdana" w:hAnsi="Verdana" w:cs="Calibri Light"/>
          <w:sz w:val="20"/>
          <w:szCs w:val="20"/>
        </w:rPr>
      </w:pPr>
      <w:r>
        <w:rPr>
          <w:rFonts w:ascii="Verdana" w:eastAsia="Calibri" w:hAnsi="Verdana" w:cs="Arial"/>
          <w:lang w:val="es-ES" w:eastAsia="es-ES"/>
        </w:rPr>
        <w:t>“Respecto a la implementación de pliegos tipo de interventoría en el sector de agua potable, ¿se aplica pliego tipo cuando el monto del proceso corresponde a la menor cuantía?”</w:t>
      </w:r>
    </w:p>
    <w:p w14:paraId="1A99ABFC" w14:textId="77777777" w:rsidR="006342EB" w:rsidRPr="00016D36" w:rsidRDefault="006342EB" w:rsidP="006342EB">
      <w:pPr>
        <w:jc w:val="both"/>
        <w:rPr>
          <w:rFonts w:eastAsia="Calibri" w:cs="Arial"/>
          <w:lang w:eastAsia="es-ES"/>
        </w:rPr>
      </w:pPr>
      <w:r w:rsidRPr="005D701E">
        <w:rPr>
          <w:rFonts w:ascii="Verdana" w:hAnsi="Verdana" w:cs="Calibri Light"/>
          <w:sz w:val="20"/>
          <w:szCs w:val="20"/>
        </w:rPr>
        <w:t xml:space="preserve"> </w:t>
      </w:r>
    </w:p>
    <w:p w14:paraId="1467A5E9" w14:textId="77777777" w:rsidR="006342EB" w:rsidRPr="009C5A97" w:rsidRDefault="006342EB" w:rsidP="006342EB">
      <w:pPr>
        <w:spacing w:after="120" w:line="276" w:lineRule="auto"/>
        <w:ind w:firstLine="709"/>
        <w:jc w:val="both"/>
        <w:rPr>
          <w:rFonts w:ascii="Verdana" w:eastAsia="Calibri" w:hAnsi="Verdana" w:cs="Arial"/>
          <w:color w:val="000000"/>
          <w:lang w:val="es-ES_tradnl" w:eastAsia="es-ES_tradnl"/>
        </w:rPr>
      </w:pPr>
      <w:r w:rsidRPr="009C5A97">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9C5A97">
        <w:rPr>
          <w:rFonts w:ascii="Verdana" w:eastAsia="Calibri" w:hAnsi="Verdana" w:cs="Arial"/>
          <w:color w:val="000000"/>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C5A97">
        <w:rPr>
          <w:rFonts w:ascii="Verdana" w:eastAsia="Calibri" w:hAnsi="Verdana" w:cs="Arial"/>
          <w:color w:val="000000"/>
          <w:lang w:val="es-ES_tradnl" w:eastAsia="es-ES_tradnl"/>
        </w:rPr>
        <w:tab/>
      </w:r>
    </w:p>
    <w:p w14:paraId="67549A6F" w14:textId="77777777" w:rsidR="006342EB" w:rsidRPr="009C5A97" w:rsidRDefault="006342EB" w:rsidP="006342EB">
      <w:pPr>
        <w:spacing w:after="0" w:line="276" w:lineRule="auto"/>
        <w:ind w:firstLine="709"/>
        <w:jc w:val="both"/>
        <w:rPr>
          <w:rFonts w:ascii="Verdana" w:eastAsia="Calibri" w:hAnsi="Verdana" w:cs="Arial"/>
          <w:color w:val="000000"/>
          <w:lang w:val="es-ES" w:eastAsia="es-ES"/>
        </w:rPr>
      </w:pPr>
      <w:r w:rsidRPr="009C5A97">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9C5A97">
        <w:rPr>
          <w:rFonts w:ascii="Verdana" w:eastAsia="Calibri" w:hAnsi="Verdana" w:cs="Arial"/>
          <w:color w:val="7030A0"/>
          <w:lang w:val="es-ES" w:eastAsia="es-ES"/>
        </w:rPr>
        <w:t xml:space="preserve"> </w:t>
      </w:r>
      <w:r w:rsidRPr="009C5A97">
        <w:rPr>
          <w:rFonts w:ascii="Verdana" w:eastAsia="Calibri" w:hAnsi="Verdana" w:cs="Arial"/>
          <w:color w:val="000000"/>
          <w:lang w:val="es-ES" w:eastAsia="es-ES"/>
        </w:rPr>
        <w:t>problema</w:t>
      </w:r>
      <w:r w:rsidRPr="009C5A97">
        <w:rPr>
          <w:rFonts w:ascii="Verdana" w:eastAsia="Calibri" w:hAnsi="Verdana" w:cs="Arial"/>
          <w:color w:val="7030A0"/>
          <w:lang w:val="es-ES" w:eastAsia="es-ES"/>
        </w:rPr>
        <w:t xml:space="preserve"> </w:t>
      </w:r>
      <w:r w:rsidRPr="009C5A97">
        <w:rPr>
          <w:rFonts w:ascii="Verdana" w:eastAsia="Calibri" w:hAnsi="Verdana" w:cs="Arial"/>
          <w:color w:val="000000"/>
          <w:lang w:val="es-ES" w:eastAsia="es-ES"/>
        </w:rPr>
        <w:t>jurídico</w:t>
      </w:r>
      <w:r w:rsidRPr="009C5A97">
        <w:rPr>
          <w:rFonts w:ascii="Verdana" w:eastAsia="Calibri" w:hAnsi="Verdana" w:cs="Arial"/>
          <w:color w:val="7030A0"/>
          <w:lang w:val="es-ES" w:eastAsia="es-ES"/>
        </w:rPr>
        <w:t xml:space="preserve"> </w:t>
      </w:r>
      <w:r w:rsidRPr="009C5A97">
        <w:rPr>
          <w:rFonts w:ascii="Verdana" w:eastAsia="Calibri" w:hAnsi="Verdana" w:cs="Arial"/>
          <w:color w:val="000000"/>
          <w:lang w:val="es-ES" w:eastAsia="es-ES"/>
        </w:rPr>
        <w:t xml:space="preserve">de su consulta. </w:t>
      </w:r>
    </w:p>
    <w:p w14:paraId="33B57668" w14:textId="77777777" w:rsidR="006342EB" w:rsidRPr="009C5A97" w:rsidRDefault="006342EB" w:rsidP="006342EB">
      <w:pPr>
        <w:spacing w:after="0" w:line="276" w:lineRule="auto"/>
        <w:ind w:firstLine="709"/>
        <w:jc w:val="both"/>
        <w:rPr>
          <w:rFonts w:ascii="Verdana" w:eastAsia="Calibri" w:hAnsi="Verdana" w:cs="Arial"/>
          <w:color w:val="000000"/>
          <w:lang w:val="es-ES" w:eastAsia="es-ES"/>
        </w:rPr>
      </w:pPr>
    </w:p>
    <w:p w14:paraId="538C44B4" w14:textId="77777777" w:rsidR="006342EB" w:rsidRPr="00C56A6D" w:rsidRDefault="006342EB" w:rsidP="006342EB">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lang w:val="es-ES"/>
        </w:rPr>
      </w:pPr>
      <w:r w:rsidRPr="009C5A97">
        <w:rPr>
          <w:rFonts w:ascii="Verdana" w:eastAsia="Century Gothic" w:hAnsi="Verdana" w:cs="Century Gothic"/>
          <w:b/>
          <w:bCs/>
          <w:lang w:val="es-ES"/>
        </w:rPr>
        <w:t>Problema planteado</w:t>
      </w:r>
      <w:r w:rsidRPr="00C56A6D">
        <w:rPr>
          <w:rFonts w:ascii="Verdana" w:eastAsia="Century Gothic" w:hAnsi="Verdana" w:cs="Century Gothic"/>
          <w:b/>
          <w:lang w:val="es-ES"/>
        </w:rPr>
        <w:t>:</w:t>
      </w:r>
    </w:p>
    <w:p w14:paraId="47348DD3" w14:textId="77777777" w:rsidR="006342EB" w:rsidRPr="009C5A97" w:rsidRDefault="006342EB" w:rsidP="006342EB">
      <w:pPr>
        <w:tabs>
          <w:tab w:val="left" w:pos="426"/>
        </w:tabs>
        <w:spacing w:after="0" w:line="276" w:lineRule="auto"/>
        <w:jc w:val="both"/>
        <w:rPr>
          <w:rFonts w:ascii="Century Gothic" w:eastAsia="Century Gothic" w:hAnsi="Century Gothic" w:cs="Century Gothic"/>
          <w:lang w:val="es-ES"/>
        </w:rPr>
      </w:pPr>
    </w:p>
    <w:p w14:paraId="4631A8BA" w14:textId="53A8672D" w:rsidR="006342EB" w:rsidRDefault="006342EB" w:rsidP="006342EB">
      <w:pPr>
        <w:spacing w:before="1" w:after="120" w:line="276" w:lineRule="auto"/>
        <w:ind w:right="306"/>
        <w:jc w:val="both"/>
        <w:rPr>
          <w:rFonts w:ascii="Verdana" w:eastAsia="Century Gothic" w:hAnsi="Verdana" w:cs="Century Gothic"/>
        </w:rPr>
      </w:pPr>
      <w:r w:rsidRPr="009C5A97">
        <w:rPr>
          <w:rFonts w:ascii="Verdana" w:eastAsia="Century Gothic" w:hAnsi="Verdana" w:cs="Century Gothic"/>
        </w:rPr>
        <w:t xml:space="preserve">De acuerdo con el contenido de su solicitud, esta Agencia resolverá el siguiente problema </w:t>
      </w:r>
      <w:r w:rsidRPr="00E660DE">
        <w:rPr>
          <w:rFonts w:ascii="Verdana" w:eastAsia="Century Gothic" w:hAnsi="Verdana" w:cs="Century Gothic"/>
        </w:rPr>
        <w:t>jurídico: ¿</w:t>
      </w:r>
      <w:r w:rsidR="001E6322">
        <w:rPr>
          <w:rFonts w:ascii="Verdana" w:eastAsia="Century Gothic" w:hAnsi="Verdana" w:cs="Century Gothic"/>
        </w:rPr>
        <w:t>Los</w:t>
      </w:r>
      <w:r>
        <w:rPr>
          <w:rFonts w:ascii="Verdana" w:eastAsia="Century Gothic" w:hAnsi="Verdana" w:cs="Century Gothic"/>
        </w:rPr>
        <w:t xml:space="preserve"> </w:t>
      </w:r>
      <w:r w:rsidR="00CD501E" w:rsidRPr="00CD501E">
        <w:rPr>
          <w:rFonts w:ascii="Verdana" w:eastAsia="Times New Roman" w:hAnsi="Verdana" w:cs="Arial"/>
          <w:lang w:eastAsia="es-CO"/>
        </w:rPr>
        <w:t>Documentos tipo de interventoría de obra pública de infraestructura de agua potable y saneamiento básico</w:t>
      </w:r>
      <w:r w:rsidR="00CD501E">
        <w:rPr>
          <w:rFonts w:ascii="Verdana" w:eastAsia="Times New Roman" w:hAnsi="Verdana" w:cs="Arial"/>
          <w:lang w:eastAsia="es-CO"/>
        </w:rPr>
        <w:t xml:space="preserve"> </w:t>
      </w:r>
      <w:r w:rsidR="001E6322">
        <w:rPr>
          <w:rFonts w:ascii="Verdana" w:eastAsia="Century Gothic" w:hAnsi="Verdana" w:cs="Century Gothic"/>
        </w:rPr>
        <w:t>son obligatorios para los procesos cu</w:t>
      </w:r>
      <w:r w:rsidR="002E7EF8">
        <w:rPr>
          <w:rFonts w:ascii="Verdana" w:eastAsia="Century Gothic" w:hAnsi="Verdana" w:cs="Century Gothic"/>
        </w:rPr>
        <w:t>yo</w:t>
      </w:r>
      <w:r w:rsidR="001E6322">
        <w:rPr>
          <w:rFonts w:ascii="Verdana" w:eastAsia="Century Gothic" w:hAnsi="Verdana" w:cs="Century Gothic"/>
        </w:rPr>
        <w:t xml:space="preserve"> presupuesto se encuentre enmarcado en la menor cuantía de la Entidad</w:t>
      </w:r>
      <w:r>
        <w:rPr>
          <w:rFonts w:ascii="Verdana" w:eastAsia="Century Gothic" w:hAnsi="Verdana" w:cs="Century Gothic"/>
        </w:rPr>
        <w:t>?</w:t>
      </w:r>
      <w:r w:rsidRPr="009C5A97">
        <w:rPr>
          <w:rFonts w:ascii="Verdana" w:eastAsia="Century Gothic" w:hAnsi="Verdana" w:cs="Century Gothic"/>
        </w:rPr>
        <w:t xml:space="preserve"> </w:t>
      </w:r>
    </w:p>
    <w:p w14:paraId="7A22AF93" w14:textId="77777777" w:rsidR="006342EB" w:rsidRPr="009C5A97" w:rsidRDefault="006342EB" w:rsidP="006342EB">
      <w:pPr>
        <w:spacing w:before="1" w:after="120" w:line="276" w:lineRule="auto"/>
        <w:ind w:right="306"/>
        <w:jc w:val="both"/>
        <w:rPr>
          <w:rFonts w:ascii="Century Gothic" w:eastAsia="Century Gothic" w:hAnsi="Century Gothic" w:cs="Century Gothic"/>
        </w:rPr>
      </w:pPr>
    </w:p>
    <w:p w14:paraId="1FB68999" w14:textId="77777777" w:rsidR="006342EB" w:rsidRPr="009C5A97" w:rsidRDefault="006342EB" w:rsidP="006342EB">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9C5A97">
        <w:rPr>
          <w:rFonts w:ascii="Verdana" w:eastAsia="Century Gothic" w:hAnsi="Verdana" w:cs="Century Gothic"/>
          <w:b/>
          <w:bCs/>
          <w:lang w:val="es-ES"/>
        </w:rPr>
        <w:t>Respuesta:</w:t>
      </w:r>
    </w:p>
    <w:p w14:paraId="38C97B57" w14:textId="77777777" w:rsidR="006342EB" w:rsidRDefault="006342EB" w:rsidP="006342EB">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342EB" w:rsidRPr="009C5A97" w14:paraId="5CD803CC" w14:textId="77777777" w:rsidTr="00C4661C">
        <w:tc>
          <w:tcPr>
            <w:tcW w:w="8828" w:type="dxa"/>
            <w:shd w:val="clear" w:color="auto" w:fill="auto"/>
          </w:tcPr>
          <w:p w14:paraId="6F6041BB" w14:textId="77777777" w:rsidR="00D6647B" w:rsidRDefault="003A7D20" w:rsidP="00D6647B">
            <w:pPr>
              <w:spacing w:line="276" w:lineRule="auto"/>
              <w:contextualSpacing/>
              <w:jc w:val="both"/>
              <w:rPr>
                <w:rFonts w:ascii="Verdana" w:eastAsia="Calibri" w:hAnsi="Verdana" w:cs="Arial"/>
                <w:lang w:val="es-ES"/>
              </w:rPr>
            </w:pPr>
            <w:r w:rsidRPr="00B422F2">
              <w:rPr>
                <w:rFonts w:ascii="Verdana" w:eastAsia="Calibri" w:hAnsi="Verdana" w:cs="Arial"/>
                <w:lang w:val="es-ES"/>
              </w:rPr>
              <w:t xml:space="preserve">Para establecer si determinado objeto contractual se encuentra cobijado o no por los Documentos Tipo, es necesario determinar si el mismo se enmarca en los </w:t>
            </w:r>
            <w:bookmarkStart w:id="1" w:name="_Hlk176132784"/>
            <w:r w:rsidRPr="00B422F2">
              <w:rPr>
                <w:rFonts w:ascii="Verdana" w:eastAsia="Calibri" w:hAnsi="Verdana" w:cs="Arial"/>
                <w:lang w:val="es-ES"/>
              </w:rPr>
              <w:t xml:space="preserve">tipos de infraestructura, modalidades de selección y tipos de obra estandarizadas </w:t>
            </w:r>
            <w:bookmarkEnd w:id="1"/>
            <w:r w:rsidRPr="00B422F2">
              <w:rPr>
                <w:rFonts w:ascii="Verdana" w:eastAsia="Calibri" w:hAnsi="Verdana" w:cs="Arial"/>
                <w:lang w:val="es-ES"/>
              </w:rPr>
              <w:t>en las respectivas matrices de experiencia de los Documentos Tipo.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0F7EDDB5" w14:textId="77777777" w:rsidR="00D6647B" w:rsidRPr="008C0D64" w:rsidRDefault="00D6647B" w:rsidP="00D6647B">
            <w:pPr>
              <w:spacing w:line="276" w:lineRule="auto"/>
              <w:contextualSpacing/>
              <w:jc w:val="both"/>
              <w:rPr>
                <w:rFonts w:ascii="Verdana" w:eastAsia="Calibri" w:hAnsi="Verdana" w:cs="Arial"/>
                <w:lang w:val="es-ES"/>
              </w:rPr>
            </w:pPr>
          </w:p>
          <w:p w14:paraId="3694BA71" w14:textId="77777777" w:rsidR="00656B46" w:rsidRDefault="00693EEC" w:rsidP="00217DFD">
            <w:pPr>
              <w:spacing w:line="276" w:lineRule="auto"/>
              <w:contextualSpacing/>
              <w:jc w:val="both"/>
              <w:rPr>
                <w:rFonts w:ascii="Verdana" w:eastAsia="Calibri" w:hAnsi="Verdana" w:cs="Arial"/>
                <w:lang w:val="es-ES"/>
              </w:rPr>
            </w:pPr>
            <w:r w:rsidRPr="008C0D64">
              <w:rPr>
                <w:rFonts w:ascii="Verdana" w:eastAsia="Calibri" w:hAnsi="Verdana" w:cs="Arial"/>
                <w:lang w:val="es-ES"/>
              </w:rPr>
              <w:t xml:space="preserve">Ahora bien, en respuesta al problema jurídico planteado, si se pretende llevar a cabo un concurso de méritos para contratar a la interventoría de una obra de agua potable y saneamiento básico, en el que el objeto contractual se </w:t>
            </w:r>
            <w:r w:rsidRPr="008C0D64">
              <w:rPr>
                <w:rFonts w:ascii="Verdana" w:eastAsia="Calibri" w:hAnsi="Verdana" w:cs="Arial"/>
                <w:lang w:val="es-ES"/>
              </w:rPr>
              <w:lastRenderedPageBreak/>
              <w:t>encuentra incluido en alguna de las actividades contempladas en la Matriz 1- Experiencia de</w:t>
            </w:r>
            <w:r w:rsidR="00E259F3" w:rsidRPr="008C0D64">
              <w:rPr>
                <w:rFonts w:ascii="Verdana" w:eastAsia="Calibri" w:hAnsi="Verdana" w:cs="Arial"/>
                <w:lang w:val="es-ES"/>
              </w:rPr>
              <w:t xml:space="preserve"> </w:t>
            </w:r>
            <w:r w:rsidR="00CD501E">
              <w:rPr>
                <w:rFonts w:ascii="Verdana" w:eastAsia="Calibri" w:hAnsi="Verdana" w:cs="Arial"/>
                <w:lang w:val="es-ES"/>
              </w:rPr>
              <w:t xml:space="preserve">dichos </w:t>
            </w:r>
            <w:r w:rsidRPr="008C0D64">
              <w:rPr>
                <w:rFonts w:ascii="Verdana" w:eastAsia="Calibri" w:hAnsi="Verdana" w:cs="Arial"/>
                <w:lang w:val="es-ES"/>
              </w:rPr>
              <w:t>Documentos tipo, y cuyo presupuesto oficial</w:t>
            </w:r>
            <w:r w:rsidR="00E259F3" w:rsidRPr="008C0D64">
              <w:rPr>
                <w:rFonts w:ascii="Verdana" w:eastAsia="Calibri" w:hAnsi="Verdana" w:cs="Arial"/>
                <w:lang w:val="es-ES"/>
              </w:rPr>
              <w:t xml:space="preserve"> o estimado</w:t>
            </w:r>
            <w:r w:rsidR="00CD501E">
              <w:rPr>
                <w:rFonts w:ascii="Verdana" w:eastAsia="Calibri" w:hAnsi="Verdana" w:cs="Arial"/>
                <w:lang w:val="es-ES"/>
              </w:rPr>
              <w:t xml:space="preserve"> es</w:t>
            </w:r>
            <w:r w:rsidR="00E259F3" w:rsidRPr="008C0D64">
              <w:rPr>
                <w:rFonts w:ascii="Verdana" w:eastAsia="Calibri" w:hAnsi="Verdana" w:cs="Arial"/>
                <w:lang w:val="es-ES"/>
              </w:rPr>
              <w:t xml:space="preserve"> superior a la mínima cuantía</w:t>
            </w:r>
            <w:r w:rsidR="00656B46">
              <w:rPr>
                <w:rFonts w:ascii="Verdana" w:eastAsia="Calibri" w:hAnsi="Verdana" w:cs="Arial"/>
                <w:lang w:val="es-ES"/>
              </w:rPr>
              <w:t xml:space="preserve">, es decir se encuentra enmarcado en la menor cuantía </w:t>
            </w:r>
            <w:r w:rsidRPr="008C0D64">
              <w:rPr>
                <w:rFonts w:ascii="Verdana" w:eastAsia="Calibri" w:hAnsi="Verdana" w:cs="Arial"/>
                <w:lang w:val="es-ES"/>
              </w:rPr>
              <w:t>de la entidad,</w:t>
            </w:r>
            <w:r w:rsidR="00816DE4" w:rsidRPr="00B422F2">
              <w:rPr>
                <w:rFonts w:ascii="Verdana" w:eastAsia="Calibri" w:hAnsi="Verdana" w:cs="Arial"/>
                <w:lang w:val="es-ES"/>
              </w:rPr>
              <w:t xml:space="preserve"> el uso de los documentos tipo será obligatorio para la entidad estatal.</w:t>
            </w:r>
          </w:p>
          <w:p w14:paraId="4D923C77" w14:textId="77777777" w:rsidR="00656B46" w:rsidRDefault="00656B46" w:rsidP="00217DFD">
            <w:pPr>
              <w:spacing w:line="276" w:lineRule="auto"/>
              <w:contextualSpacing/>
              <w:jc w:val="both"/>
              <w:rPr>
                <w:rFonts w:ascii="Verdana" w:eastAsia="Calibri" w:hAnsi="Verdana" w:cs="Arial"/>
                <w:lang w:val="es-ES"/>
              </w:rPr>
            </w:pPr>
          </w:p>
          <w:p w14:paraId="5B2918B8" w14:textId="0E483E64" w:rsidR="00217DFD" w:rsidRDefault="00656B46" w:rsidP="00217DFD">
            <w:pPr>
              <w:spacing w:line="276" w:lineRule="auto"/>
              <w:contextualSpacing/>
              <w:jc w:val="both"/>
              <w:rPr>
                <w:rFonts w:ascii="Verdana" w:eastAsia="Calibri" w:hAnsi="Verdana" w:cs="Arial"/>
                <w:lang w:val="es-ES"/>
              </w:rPr>
            </w:pPr>
            <w:r>
              <w:rPr>
                <w:rFonts w:ascii="Verdana" w:eastAsia="Calibri" w:hAnsi="Verdana" w:cs="Arial"/>
                <w:lang w:val="es-ES"/>
              </w:rPr>
              <w:t xml:space="preserve">En este sentido, </w:t>
            </w:r>
            <w:r w:rsidR="00D565CC">
              <w:rPr>
                <w:rFonts w:ascii="Verdana" w:eastAsia="Calibri" w:hAnsi="Verdana" w:cs="Arial"/>
                <w:lang w:val="es-ES"/>
              </w:rPr>
              <w:t xml:space="preserve">los </w:t>
            </w:r>
            <w:r w:rsidR="00D565CC" w:rsidRPr="00D565CC">
              <w:rPr>
                <w:rFonts w:ascii="Verdana" w:eastAsia="Times New Roman" w:hAnsi="Verdana" w:cs="Arial"/>
                <w:lang w:eastAsia="es-CO"/>
              </w:rPr>
              <w:t>Documentos tipo de interventoría de obra pública de infraestructura de agua potable y saneamiento básico</w:t>
            </w:r>
            <w:r w:rsidR="00D565CC">
              <w:rPr>
                <w:rFonts w:ascii="Verdana" w:eastAsia="Times New Roman" w:hAnsi="Verdana" w:cs="Arial"/>
                <w:lang w:eastAsia="es-CO"/>
              </w:rPr>
              <w:t xml:space="preserve">, los encontrará en el siguiente enlace: </w:t>
            </w:r>
          </w:p>
          <w:p w14:paraId="18C007E8" w14:textId="77777777" w:rsidR="0085443E" w:rsidRDefault="0085443E" w:rsidP="00217DFD">
            <w:pPr>
              <w:spacing w:line="276" w:lineRule="auto"/>
              <w:contextualSpacing/>
              <w:jc w:val="both"/>
              <w:rPr>
                <w:rFonts w:ascii="Verdana" w:eastAsia="Calibri" w:hAnsi="Verdana" w:cs="Arial"/>
                <w:lang w:val="es-ES"/>
              </w:rPr>
            </w:pPr>
          </w:p>
          <w:p w14:paraId="5F3A5B93" w14:textId="494B83C9" w:rsidR="00D475A4" w:rsidRPr="00217DFD" w:rsidRDefault="0085443E" w:rsidP="008C0D64">
            <w:pPr>
              <w:pStyle w:val="Prrafodelista"/>
              <w:numPr>
                <w:ilvl w:val="0"/>
                <w:numId w:val="21"/>
              </w:numPr>
              <w:spacing w:after="120" w:line="276" w:lineRule="auto"/>
              <w:jc w:val="both"/>
              <w:rPr>
                <w:rFonts w:ascii="Verdana" w:eastAsia="Times New Roman" w:hAnsi="Verdana" w:cs="Arial"/>
                <w:color w:val="000000" w:themeColor="text1"/>
                <w:u w:val="single"/>
                <w:lang w:eastAsia="es-CO"/>
              </w:rPr>
            </w:pPr>
            <w:hyperlink r:id="rId13" w:history="1">
              <w:r w:rsidRPr="003609AE">
                <w:rPr>
                  <w:rStyle w:val="Hipervnculo"/>
                  <w:rFonts w:ascii="Verdana" w:eastAsia="Times New Roman" w:hAnsi="Verdana" w:cs="Arial"/>
                  <w:lang w:eastAsia="es-CO"/>
                </w:rPr>
                <w:t>Documentos tipo de interventoría de obra pública de infraestructura de agua potable y saneamiento básico.</w:t>
              </w:r>
            </w:hyperlink>
          </w:p>
        </w:tc>
      </w:tr>
    </w:tbl>
    <w:p w14:paraId="66168A70" w14:textId="77777777" w:rsidR="006342EB" w:rsidRDefault="006342EB" w:rsidP="006342EB">
      <w:pPr>
        <w:tabs>
          <w:tab w:val="left" w:pos="142"/>
          <w:tab w:val="left" w:pos="284"/>
        </w:tabs>
        <w:spacing w:after="0" w:line="276" w:lineRule="auto"/>
        <w:jc w:val="both"/>
        <w:rPr>
          <w:rFonts w:ascii="Century Gothic" w:eastAsia="Century Gothic" w:hAnsi="Century Gothic" w:cs="Century Gothic"/>
          <w:b/>
          <w:bCs/>
          <w:lang w:val="es-ES"/>
        </w:rPr>
      </w:pPr>
    </w:p>
    <w:p w14:paraId="09C9E905" w14:textId="77777777" w:rsidR="006342EB" w:rsidRDefault="006342EB" w:rsidP="006342EB">
      <w:pPr>
        <w:tabs>
          <w:tab w:val="left" w:pos="142"/>
          <w:tab w:val="left" w:pos="284"/>
        </w:tabs>
        <w:spacing w:after="0" w:line="276" w:lineRule="auto"/>
        <w:jc w:val="both"/>
        <w:rPr>
          <w:rFonts w:ascii="Century Gothic" w:eastAsia="Century Gothic" w:hAnsi="Century Gothic" w:cs="Century Gothic"/>
          <w:b/>
          <w:bCs/>
          <w:lang w:val="es-ES"/>
        </w:rPr>
      </w:pPr>
    </w:p>
    <w:p w14:paraId="21FD21BC" w14:textId="77777777" w:rsidR="006342EB" w:rsidRPr="009C5A97" w:rsidRDefault="006342EB" w:rsidP="006342EB">
      <w:pPr>
        <w:tabs>
          <w:tab w:val="left" w:pos="142"/>
          <w:tab w:val="left" w:pos="284"/>
        </w:tabs>
        <w:spacing w:after="0" w:line="276" w:lineRule="auto"/>
        <w:jc w:val="both"/>
        <w:rPr>
          <w:rFonts w:ascii="Century Gothic" w:eastAsia="Century Gothic" w:hAnsi="Century Gothic" w:cs="Century Gothic"/>
          <w:b/>
          <w:bCs/>
          <w:lang w:val="es-ES"/>
        </w:rPr>
      </w:pPr>
    </w:p>
    <w:p w14:paraId="0703F6A0" w14:textId="77777777" w:rsidR="006342EB" w:rsidRPr="00C56A6D" w:rsidRDefault="006342EB" w:rsidP="006342EB">
      <w:pPr>
        <w:numPr>
          <w:ilvl w:val="0"/>
          <w:numId w:val="16"/>
        </w:numPr>
        <w:tabs>
          <w:tab w:val="left" w:pos="142"/>
          <w:tab w:val="left" w:pos="284"/>
        </w:tabs>
        <w:spacing w:after="0" w:line="276" w:lineRule="auto"/>
        <w:ind w:left="0" w:firstLine="0"/>
        <w:jc w:val="both"/>
        <w:rPr>
          <w:rFonts w:ascii="Verdana" w:eastAsia="Century Gothic" w:hAnsi="Verdana" w:cs="Century Gothic"/>
          <w:b/>
          <w:lang w:val="es-ES"/>
        </w:rPr>
      </w:pPr>
      <w:r w:rsidRPr="00C56A6D">
        <w:rPr>
          <w:rFonts w:ascii="Verdana" w:eastAsia="Century Gothic" w:hAnsi="Verdana" w:cs="Century Gothic"/>
          <w:b/>
          <w:lang w:val="es-ES"/>
        </w:rPr>
        <w:t>Razones de la respuesta:</w:t>
      </w:r>
    </w:p>
    <w:p w14:paraId="3E191CFC" w14:textId="77777777" w:rsidR="006342EB" w:rsidRPr="00C56A6D" w:rsidRDefault="006342EB" w:rsidP="006342EB">
      <w:pPr>
        <w:spacing w:after="0" w:line="276" w:lineRule="auto"/>
        <w:jc w:val="both"/>
        <w:rPr>
          <w:rFonts w:ascii="Verdana" w:eastAsia="Calibri" w:hAnsi="Verdana" w:cs="Arial"/>
          <w:color w:val="7030A0"/>
          <w:lang w:val="es-ES"/>
        </w:rPr>
      </w:pPr>
    </w:p>
    <w:p w14:paraId="6479C69D" w14:textId="77777777" w:rsidR="006342EB" w:rsidRDefault="006342EB" w:rsidP="006342EB">
      <w:pPr>
        <w:spacing w:after="0" w:line="276" w:lineRule="auto"/>
        <w:jc w:val="both"/>
        <w:rPr>
          <w:rFonts w:ascii="Verdana" w:eastAsia="Calibri" w:hAnsi="Verdana" w:cs="Arial"/>
          <w:lang w:val="es-ES"/>
        </w:rPr>
      </w:pPr>
      <w:r w:rsidRPr="009C5A97">
        <w:rPr>
          <w:rFonts w:ascii="Verdana" w:eastAsia="Calibri" w:hAnsi="Verdana" w:cs="Arial"/>
          <w:lang w:val="es-ES"/>
        </w:rPr>
        <w:t>Lo anterior se sustenta en las siguientes consideraciones:</w:t>
      </w:r>
    </w:p>
    <w:p w14:paraId="33532EFF" w14:textId="77777777" w:rsidR="00A55315" w:rsidRDefault="00A55315" w:rsidP="006342EB">
      <w:pPr>
        <w:spacing w:after="0" w:line="276" w:lineRule="auto"/>
        <w:jc w:val="both"/>
        <w:rPr>
          <w:rFonts w:ascii="Verdana" w:eastAsia="Calibri" w:hAnsi="Verdana" w:cs="Arial"/>
          <w:lang w:val="es-ES"/>
        </w:rPr>
      </w:pPr>
    </w:p>
    <w:p w14:paraId="5F422D3B" w14:textId="77777777" w:rsidR="00A55315" w:rsidRPr="00596104" w:rsidRDefault="00A55315" w:rsidP="00A55315">
      <w:pPr>
        <w:pStyle w:val="Prrafodelista"/>
        <w:tabs>
          <w:tab w:val="left" w:pos="0"/>
          <w:tab w:val="left" w:pos="284"/>
        </w:tabs>
        <w:spacing w:line="276" w:lineRule="auto"/>
        <w:ind w:left="0"/>
        <w:jc w:val="both"/>
        <w:rPr>
          <w:rFonts w:ascii="Verdana" w:eastAsia="Calibri" w:hAnsi="Verdana" w:cs="Arial"/>
        </w:rPr>
      </w:pPr>
      <w:r w:rsidRPr="00596104">
        <w:rPr>
          <w:rFonts w:ascii="Verdana" w:eastAsia="Calibri" w:hAnsi="Verdana" w:cs="Arial"/>
        </w:rPr>
        <w:t>El artículo 1 Ley 2022 de 2020 otorgó a la Agencia Nacional de Contratación Pública – Colombia Compra Eficiente la competencia para adoptar los documentos tipo</w:t>
      </w:r>
      <w:r w:rsidRPr="00596104">
        <w:rPr>
          <w:rFonts w:ascii="Verdana" w:eastAsia="Calibri" w:hAnsi="Verdana" w:cs="Arial"/>
          <w:vertAlign w:val="superscript"/>
        </w:rPr>
        <w:footnoteReference w:id="1"/>
      </w:r>
      <w:r w:rsidRPr="00596104">
        <w:rPr>
          <w:rFonts w:ascii="Verdana" w:eastAsia="Calibri" w:hAnsi="Verdana" w:cs="Arial"/>
        </w:rPr>
        <w:t xml:space="preserve">. Así mismo, reiteró la obligatoriedad del uso de los documentos tipo para todas las entidades públicas sometidas al Estatuto General de Contratación de la Administración Pública ‒EGCAP‒. </w:t>
      </w:r>
      <w:r w:rsidRPr="00596104">
        <w:rPr>
          <w:rFonts w:ascii="Verdana" w:eastAsia="Times New Roman" w:hAnsi="Verdana" w:cs="Arial"/>
          <w:color w:val="000000"/>
          <w:bdr w:val="none" w:sz="0" w:space="0" w:color="auto" w:frame="1"/>
          <w:lang w:eastAsia="es-ES_tradnl"/>
        </w:rPr>
        <w:t xml:space="preserve">Esto implica que las autoridades deben implementar los documentos tipo que tengan por objeto las </w:t>
      </w:r>
      <w:r w:rsidRPr="00596104">
        <w:rPr>
          <w:rFonts w:ascii="Verdana" w:eastAsia="Times New Roman" w:hAnsi="Verdana" w:cs="Arial"/>
          <w:color w:val="000000"/>
          <w:bdr w:val="none" w:sz="0" w:space="0" w:color="auto" w:frame="1"/>
          <w:lang w:eastAsia="es-ES_tradnl"/>
        </w:rPr>
        <w:lastRenderedPageBreak/>
        <w:t xml:space="preserve">actividades contempladas en la </w:t>
      </w:r>
      <w:r>
        <w:rPr>
          <w:rFonts w:ascii="Verdana" w:eastAsia="Times New Roman" w:hAnsi="Verdana" w:cs="Arial"/>
          <w:color w:val="000000"/>
          <w:bdr w:val="none" w:sz="0" w:space="0" w:color="auto" w:frame="1"/>
          <w:lang w:eastAsia="es-ES_tradnl"/>
        </w:rPr>
        <w:t>“</w:t>
      </w:r>
      <w:r w:rsidRPr="00596104">
        <w:rPr>
          <w:rFonts w:ascii="Verdana" w:eastAsia="Times New Roman" w:hAnsi="Verdana" w:cs="Arial"/>
          <w:color w:val="000000"/>
          <w:bdr w:val="none" w:sz="0" w:space="0" w:color="auto" w:frame="1"/>
          <w:lang w:eastAsia="es-ES_tradnl"/>
        </w:rPr>
        <w:t>Matriz 1 ‒ Experiencia</w:t>
      </w:r>
      <w:r>
        <w:rPr>
          <w:rFonts w:ascii="Verdana" w:eastAsia="Times New Roman" w:hAnsi="Verdana" w:cs="Arial"/>
          <w:color w:val="000000"/>
          <w:bdr w:val="none" w:sz="0" w:space="0" w:color="auto" w:frame="1"/>
          <w:lang w:eastAsia="es-ES_tradnl"/>
        </w:rPr>
        <w:t>”</w:t>
      </w:r>
      <w:r w:rsidRPr="00596104">
        <w:rPr>
          <w:rFonts w:ascii="Verdana" w:eastAsia="Times New Roman" w:hAnsi="Verdana" w:cs="Arial"/>
          <w:color w:val="000000"/>
          <w:bdr w:val="none" w:sz="0" w:space="0" w:color="auto" w:frame="1"/>
          <w:lang w:eastAsia="es-ES_tradnl"/>
        </w:rPr>
        <w:t xml:space="preserve">, sin perjuicio de su </w:t>
      </w:r>
      <w:r>
        <w:rPr>
          <w:rFonts w:ascii="Verdana" w:eastAsia="Times New Roman" w:hAnsi="Verdana" w:cs="Arial"/>
          <w:color w:val="000000"/>
          <w:bdr w:val="none" w:sz="0" w:space="0" w:color="auto" w:frame="1"/>
          <w:lang w:eastAsia="es-ES_tradnl"/>
        </w:rPr>
        <w:t>“</w:t>
      </w:r>
      <w:r w:rsidRPr="00596104">
        <w:rPr>
          <w:rFonts w:ascii="Verdana" w:eastAsia="Times New Roman" w:hAnsi="Verdana" w:cs="Arial"/>
          <w:color w:val="000000"/>
          <w:bdr w:val="none" w:sz="0" w:space="0" w:color="auto" w:frame="1"/>
          <w:lang w:eastAsia="es-ES_tradnl"/>
        </w:rPr>
        <w:t>inalterabilidad</w:t>
      </w:r>
      <w:r>
        <w:rPr>
          <w:rFonts w:ascii="Verdana" w:eastAsia="Times New Roman" w:hAnsi="Verdana" w:cs="Arial"/>
          <w:color w:val="000000"/>
          <w:bdr w:val="none" w:sz="0" w:space="0" w:color="auto" w:frame="1"/>
          <w:lang w:eastAsia="es-ES_tradnl"/>
        </w:rPr>
        <w:t>”</w:t>
      </w:r>
      <w:r w:rsidRPr="00596104">
        <w:rPr>
          <w:rFonts w:ascii="Verdana" w:eastAsia="Times New Roman" w:hAnsi="Verdana" w:cs="Arial"/>
          <w:color w:val="000000"/>
          <w:bdr w:val="none" w:sz="0" w:space="0" w:color="auto" w:frame="1"/>
          <w:lang w:eastAsia="es-ES_tradnl"/>
        </w:rPr>
        <w:t xml:space="preserve">. Lo anterior significa que las entidades públicas carecen de la facultad para modificarlos, con excepción de aquellos aspectos que pueden diligenciar, es decir, las descripciones que están incluidas entre corchetes y resaltadas en gris </w:t>
      </w:r>
      <w:r w:rsidRPr="00596104">
        <w:rPr>
          <w:rFonts w:ascii="Verdana" w:eastAsia="Calibri" w:hAnsi="Verdana" w:cs="Arial"/>
        </w:rPr>
        <w:t>o cuya modificación sea permitida por los mismos documentos tipo.</w:t>
      </w:r>
    </w:p>
    <w:p w14:paraId="08CE0DDF" w14:textId="77777777" w:rsidR="00A55315" w:rsidRPr="00596104" w:rsidRDefault="00A55315" w:rsidP="00A55315">
      <w:pPr>
        <w:widowControl w:val="0"/>
        <w:tabs>
          <w:tab w:val="left" w:pos="1134"/>
        </w:tabs>
        <w:autoSpaceDE w:val="0"/>
        <w:autoSpaceDN w:val="0"/>
        <w:spacing w:before="120" w:line="276" w:lineRule="auto"/>
        <w:jc w:val="both"/>
        <w:rPr>
          <w:rFonts w:ascii="Verdana" w:eastAsia="Calibri" w:hAnsi="Verdana" w:cs="Arial"/>
        </w:rPr>
      </w:pPr>
      <w:r>
        <w:rPr>
          <w:rFonts w:ascii="Verdana" w:hAnsi="Verdana" w:cs="Arial"/>
          <w:color w:val="000000"/>
          <w:bdr w:val="none" w:sz="0" w:space="0" w:color="auto" w:frame="1"/>
        </w:rPr>
        <w:t>Para el sector de infraestructura de agua potable y saneamiento básico</w:t>
      </w:r>
      <w:r w:rsidRPr="00596104">
        <w:rPr>
          <w:rFonts w:ascii="Verdana" w:hAnsi="Verdana" w:cs="Arial"/>
          <w:color w:val="000000"/>
          <w:bdr w:val="none" w:sz="0" w:space="0" w:color="auto" w:frame="1"/>
        </w:rPr>
        <w:t xml:space="preserve">, en desarrollo del artículo 1 de la Ley 2022 de 2020, esta Agencia expidió </w:t>
      </w:r>
      <w:r w:rsidRPr="00596104">
        <w:rPr>
          <w:rFonts w:ascii="Verdana" w:eastAsia="Calibri" w:hAnsi="Verdana" w:cs="Arial"/>
          <w:lang w:val="es-MX"/>
        </w:rPr>
        <w:t>las Resoluciones 248 y 249 del 1 de diciembre de 2020, modificadas por las</w:t>
      </w:r>
      <w:r w:rsidRPr="00596104">
        <w:rPr>
          <w:rFonts w:ascii="Verdana" w:hAnsi="Verdana" w:cs="Arial"/>
          <w:color w:val="0D0D0D" w:themeColor="text1" w:themeTint="F2"/>
        </w:rPr>
        <w:t xml:space="preserve"> Resoluciones 161 del 17 de junio de 2021, 173 del 30 de junio de 2021, 304 del 13 de octubre de 2021</w:t>
      </w:r>
      <w:r w:rsidRPr="00596104">
        <w:rPr>
          <w:rFonts w:ascii="Verdana" w:eastAsia="Calibri" w:hAnsi="Verdana" w:cs="Arial"/>
          <w:vertAlign w:val="superscript"/>
          <w:lang w:val="es-MX"/>
        </w:rPr>
        <w:footnoteReference w:id="2"/>
      </w:r>
      <w:r w:rsidRPr="00596104">
        <w:rPr>
          <w:rFonts w:ascii="Verdana" w:eastAsia="Calibri" w:hAnsi="Verdana" w:cs="Arial"/>
          <w:lang w:val="es-MX"/>
        </w:rPr>
        <w:t>.</w:t>
      </w:r>
      <w:r w:rsidRPr="00596104">
        <w:rPr>
          <w:rFonts w:ascii="Verdana" w:eastAsia="Calibri" w:hAnsi="Verdana" w:cs="Arial"/>
        </w:rPr>
        <w:t xml:space="preserve"> Mediante estos actos administrativos se adoptaron los documentos tipo para licitación de obras públicas y los documentos tipo para licitación de obras públicas, en modalidad llave en mano.</w:t>
      </w:r>
      <w:r>
        <w:rPr>
          <w:rFonts w:ascii="Verdana" w:eastAsia="Calibri" w:hAnsi="Verdana" w:cs="Arial"/>
        </w:rPr>
        <w:t xml:space="preserve"> Posteriormente se expide la Resolución 333 del 27 de julio de 2022 por medio de la cual se adoptaron los documentos tipo </w:t>
      </w:r>
      <w:r w:rsidRPr="00A72BCE">
        <w:rPr>
          <w:rFonts w:ascii="Verdana" w:eastAsia="Calibri" w:hAnsi="Verdana" w:cs="Arial"/>
        </w:rPr>
        <w:t xml:space="preserve">para los procesos de selección de concurso de méritos para contratar la interventoría de obras públicas </w:t>
      </w:r>
      <w:r>
        <w:rPr>
          <w:rFonts w:ascii="Verdana" w:eastAsia="Calibri" w:hAnsi="Verdana" w:cs="Arial"/>
        </w:rPr>
        <w:t>también en</w:t>
      </w:r>
      <w:r w:rsidRPr="00596104">
        <w:rPr>
          <w:rFonts w:ascii="Verdana" w:eastAsia="Calibri" w:hAnsi="Verdana" w:cs="Arial"/>
        </w:rPr>
        <w:t xml:space="preserve"> infraestructura de agua potable y saneamiento básico</w:t>
      </w:r>
      <w:r w:rsidRPr="00A72BCE">
        <w:rPr>
          <w:rFonts w:ascii="Verdana" w:eastAsia="Calibri" w:hAnsi="Verdana" w:cs="Arial"/>
        </w:rPr>
        <w:t>.</w:t>
      </w:r>
    </w:p>
    <w:p w14:paraId="7D0E078A" w14:textId="77777777" w:rsidR="00E259F3" w:rsidRDefault="00E259F3" w:rsidP="00E259F3">
      <w:pPr>
        <w:spacing w:line="276" w:lineRule="auto"/>
        <w:contextualSpacing/>
        <w:jc w:val="both"/>
        <w:rPr>
          <w:rFonts w:ascii="Verdana" w:eastAsia="Calibri" w:hAnsi="Verdana" w:cs="Arial"/>
          <w:lang w:val="es-ES"/>
        </w:rPr>
      </w:pPr>
      <w:r w:rsidRPr="00B422F2">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los Documentos Tipo.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1E443D9C" w14:textId="77777777" w:rsidR="00E259F3" w:rsidRPr="00A55315" w:rsidRDefault="00E259F3" w:rsidP="00E259F3">
      <w:pPr>
        <w:spacing w:line="276" w:lineRule="auto"/>
        <w:contextualSpacing/>
        <w:jc w:val="both"/>
        <w:rPr>
          <w:rFonts w:ascii="Verdana" w:eastAsia="Calibri" w:hAnsi="Verdana" w:cs="Arial"/>
          <w:lang w:val="es-ES"/>
        </w:rPr>
      </w:pPr>
    </w:p>
    <w:p w14:paraId="3AFC428B" w14:textId="77777777" w:rsidR="00E259F3" w:rsidRPr="00A55315" w:rsidRDefault="00E259F3" w:rsidP="00E259F3">
      <w:pPr>
        <w:spacing w:after="120" w:line="276" w:lineRule="auto"/>
        <w:jc w:val="both"/>
        <w:rPr>
          <w:rFonts w:ascii="Verdana" w:eastAsia="Calibri" w:hAnsi="Verdana" w:cs="Arial"/>
          <w:lang w:val="es-ES"/>
        </w:rPr>
      </w:pPr>
      <w:r w:rsidRPr="00A55315">
        <w:rPr>
          <w:rFonts w:ascii="Verdana" w:eastAsia="Calibri" w:hAnsi="Verdana" w:cs="Arial"/>
          <w:lang w:val="es-ES"/>
        </w:rPr>
        <w:t xml:space="preserve">Ahora bien, en respuesta al problema jurídico planteado, si se pretende llevar a cabo un concurso de méritos para contratar a la interventoría de una obra de agua potable y saneamiento básico, en el que el objeto contractual se encuentra </w:t>
      </w:r>
      <w:r w:rsidRPr="00A55315">
        <w:rPr>
          <w:rFonts w:ascii="Verdana" w:eastAsia="Calibri" w:hAnsi="Verdana" w:cs="Arial"/>
          <w:lang w:val="es-ES"/>
        </w:rPr>
        <w:lastRenderedPageBreak/>
        <w:t>incluido en alguna de las actividades contempladas en la Matriz 1- Experiencia de los Documentos tipo de interventoría de obra pública de infraestructura de agua potable y saneamiento básico, y cuyo presupuesto oficial o estimado superior a la mínima cuantía de la entidad, se deben aplicar los documentos tipo correspondientes.</w:t>
      </w:r>
    </w:p>
    <w:p w14:paraId="402D65D6" w14:textId="77777777" w:rsidR="00E259F3" w:rsidRPr="0094668C" w:rsidRDefault="00E259F3" w:rsidP="00E259F3">
      <w:pPr>
        <w:spacing w:after="120" w:line="276" w:lineRule="auto"/>
        <w:jc w:val="both"/>
        <w:rPr>
          <w:rFonts w:ascii="Verdana" w:eastAsia="Calibri" w:hAnsi="Verdana" w:cs="Arial"/>
          <w:lang w:val="es-ES"/>
        </w:rPr>
      </w:pPr>
      <w:r w:rsidRPr="00A55315">
        <w:rPr>
          <w:rFonts w:ascii="Verdana" w:eastAsia="Calibri" w:hAnsi="Verdana" w:cs="Arial"/>
          <w:lang w:val="es-ES"/>
        </w:rPr>
        <w:t>De igual manera es menester precisar que cuando dicha contratación no supera el 10% de la menor cuantía de la entidad, es decir, se enmarca en la mínima cuantía puede considerarse que se presente concurrencia de modalidades de selección para la contratación, acorde a la modalidad establecida en el numeral 5 ibidem, esto es la mínima cuantía.</w:t>
      </w:r>
    </w:p>
    <w:p w14:paraId="28A8AC05" w14:textId="77777777" w:rsidR="00E259F3" w:rsidRPr="0094668C" w:rsidRDefault="00E259F3" w:rsidP="00E259F3">
      <w:pPr>
        <w:spacing w:after="120" w:line="276" w:lineRule="auto"/>
        <w:jc w:val="both"/>
        <w:rPr>
          <w:rFonts w:ascii="Verdana" w:eastAsia="Calibri" w:hAnsi="Verdana" w:cs="Arial"/>
          <w:lang w:val="es-ES"/>
        </w:rPr>
      </w:pPr>
      <w:r w:rsidRPr="0094668C">
        <w:rPr>
          <w:rFonts w:ascii="Verdana" w:eastAsia="Calibri" w:hAnsi="Verdana" w:cs="Arial"/>
          <w:lang w:val="es-ES"/>
        </w:rPr>
        <w:t>Al respecto la Corte Constitucional en sentencia C-004 de 2017, consideró que:</w:t>
      </w:r>
    </w:p>
    <w:p w14:paraId="69DBF728" w14:textId="3F33D49E" w:rsidR="00E259F3" w:rsidRPr="00A55315" w:rsidRDefault="00E259F3" w:rsidP="00E259F3">
      <w:pPr>
        <w:spacing w:after="120" w:line="276" w:lineRule="auto"/>
        <w:jc w:val="both"/>
        <w:rPr>
          <w:rFonts w:ascii="Verdana" w:eastAsia="Calibri" w:hAnsi="Verdana" w:cs="Arial"/>
          <w:lang w:val="es-ES"/>
        </w:rPr>
      </w:pPr>
      <w:r w:rsidRPr="0094668C">
        <w:rPr>
          <w:rFonts w:ascii="Verdana" w:eastAsia="Calibri" w:hAnsi="Verdana" w:cs="Arial"/>
          <w:lang w:val="es-ES"/>
        </w:rPr>
        <w:t>“[…] respecto del concurso de méritos, la contratación de mínima cuantía sí prevalece, ya que la especificidad del objeto a contratar mediante el concurso</w:t>
      </w:r>
      <w:r w:rsidR="00A55315">
        <w:rPr>
          <w:rFonts w:ascii="Verdana" w:eastAsia="Calibri" w:hAnsi="Verdana" w:cs="Arial"/>
          <w:lang w:val="es-ES"/>
        </w:rPr>
        <w:t xml:space="preserve"> de </w:t>
      </w:r>
      <w:r w:rsidR="00CD501E">
        <w:rPr>
          <w:rFonts w:ascii="Verdana" w:eastAsia="Calibri" w:hAnsi="Verdana" w:cs="Arial"/>
          <w:lang w:val="es-ES"/>
        </w:rPr>
        <w:t>méritos</w:t>
      </w:r>
      <w:r w:rsidRPr="0094668C">
        <w:rPr>
          <w:rFonts w:ascii="Verdana" w:eastAsia="Calibri" w:hAnsi="Verdana" w:cs="Arial"/>
          <w:lang w:val="es-ES"/>
        </w:rPr>
        <w:t xml:space="preserve"> no es suficiente para excluir la contratación de mínima cuantía, cuando el monto de la contratación no supere dicha cuantía. Esto quiere decir que el criterio relativo a la cuantía es subsidiario y se excluye cuando exista una causal específica, relativa al objeto, lo que no ocurre en el caso del concurso de méritos. Por esta razón, la selección de consultores o de proyectos, deberá realizarse, según la cuantía, mediante contratación de mínima cuantía o mediante un concurso de méritos, en aplicación del principio de economía”.</w:t>
      </w:r>
    </w:p>
    <w:p w14:paraId="36A5B457" w14:textId="165BF20F" w:rsidR="00E259F3" w:rsidRDefault="00E259F3" w:rsidP="00E259F3">
      <w:pPr>
        <w:spacing w:line="276" w:lineRule="auto"/>
        <w:contextualSpacing/>
        <w:jc w:val="both"/>
        <w:rPr>
          <w:rFonts w:ascii="Verdana" w:eastAsia="Calibri" w:hAnsi="Verdana" w:cs="Arial"/>
          <w:lang w:val="es-ES"/>
        </w:rPr>
      </w:pPr>
      <w:r w:rsidRPr="00A55315">
        <w:rPr>
          <w:rFonts w:ascii="Verdana" w:eastAsia="Calibri" w:hAnsi="Verdana" w:cs="Arial"/>
          <w:lang w:val="es-ES"/>
        </w:rPr>
        <w:t>En conclusión, si el presupuesto supera la mínima cuantía y su objeto se</w:t>
      </w:r>
      <w:r w:rsidRPr="00B422F2">
        <w:rPr>
          <w:rFonts w:ascii="Verdana" w:eastAsia="Calibri" w:hAnsi="Verdana" w:cs="Arial"/>
          <w:lang w:val="es-ES"/>
        </w:rPr>
        <w:t xml:space="preserve"> en</w:t>
      </w:r>
      <w:r>
        <w:rPr>
          <w:rFonts w:ascii="Verdana" w:eastAsia="Calibri" w:hAnsi="Verdana" w:cs="Arial"/>
          <w:lang w:val="es-ES"/>
        </w:rPr>
        <w:t>marca en</w:t>
      </w:r>
      <w:r w:rsidRPr="00B422F2">
        <w:rPr>
          <w:rFonts w:ascii="Verdana" w:eastAsia="Calibri" w:hAnsi="Verdana" w:cs="Arial"/>
          <w:lang w:val="es-ES"/>
        </w:rPr>
        <w:t xml:space="preserve"> alguna de las actividades definidas en la Matriz 1 </w:t>
      </w:r>
      <w:r w:rsidR="00EC5E98">
        <w:rPr>
          <w:rFonts w:ascii="Verdana" w:eastAsia="Calibri" w:hAnsi="Verdana" w:cs="Arial"/>
          <w:lang w:val="es-ES"/>
        </w:rPr>
        <w:t xml:space="preserve">– Experiencia </w:t>
      </w:r>
      <w:r w:rsidRPr="00B422F2">
        <w:rPr>
          <w:rFonts w:ascii="Verdana" w:eastAsia="Calibri" w:hAnsi="Verdana" w:cs="Arial"/>
          <w:lang w:val="es-ES"/>
        </w:rPr>
        <w:t xml:space="preserve">de los referidos </w:t>
      </w:r>
      <w:r w:rsidR="00EC5E98">
        <w:rPr>
          <w:rFonts w:ascii="Verdana" w:eastAsia="Calibri" w:hAnsi="Verdana" w:cs="Arial"/>
          <w:lang w:val="es-ES"/>
        </w:rPr>
        <w:t>D</w:t>
      </w:r>
      <w:r>
        <w:rPr>
          <w:rFonts w:ascii="Verdana" w:eastAsia="Calibri" w:hAnsi="Verdana" w:cs="Arial"/>
          <w:lang w:val="es-ES"/>
        </w:rPr>
        <w:t>ocumentos</w:t>
      </w:r>
      <w:r w:rsidR="00EC5E98">
        <w:rPr>
          <w:rFonts w:ascii="Verdana" w:eastAsia="Calibri" w:hAnsi="Verdana" w:cs="Arial"/>
          <w:lang w:val="es-ES"/>
        </w:rPr>
        <w:t xml:space="preserve"> Tipo</w:t>
      </w:r>
      <w:r w:rsidRPr="00B422F2">
        <w:rPr>
          <w:rFonts w:ascii="Verdana" w:eastAsia="Calibri" w:hAnsi="Verdana" w:cs="Arial"/>
          <w:lang w:val="es-ES"/>
        </w:rPr>
        <w:t>, el uso de los documentos tipo será obligatorio para la entidad estatal.</w:t>
      </w:r>
      <w:r>
        <w:rPr>
          <w:rFonts w:ascii="Verdana" w:eastAsia="Calibri" w:hAnsi="Verdana" w:cs="Arial"/>
          <w:lang w:val="es-ES"/>
        </w:rPr>
        <w:t xml:space="preserve"> Para el caso de </w:t>
      </w:r>
      <w:r w:rsidRPr="0085443E">
        <w:rPr>
          <w:rFonts w:ascii="Verdana" w:eastAsia="Calibri" w:hAnsi="Verdana" w:cs="Arial"/>
          <w:lang w:val="es-ES"/>
        </w:rPr>
        <w:t>interventoría de obra pública de infraestructura de agua potable y saneamiento básico</w:t>
      </w:r>
      <w:r>
        <w:rPr>
          <w:rFonts w:ascii="Verdana" w:eastAsia="Calibri" w:hAnsi="Verdana" w:cs="Arial"/>
          <w:lang w:val="es-ES"/>
        </w:rPr>
        <w:t>, lo encontrará en el siguiente enlace:</w:t>
      </w:r>
    </w:p>
    <w:p w14:paraId="0E043C49" w14:textId="77777777" w:rsidR="00E259F3" w:rsidRDefault="00E259F3" w:rsidP="00E259F3">
      <w:pPr>
        <w:spacing w:line="276" w:lineRule="auto"/>
        <w:contextualSpacing/>
        <w:jc w:val="both"/>
        <w:rPr>
          <w:rFonts w:ascii="Verdana" w:eastAsia="Calibri" w:hAnsi="Verdana" w:cs="Arial"/>
          <w:lang w:val="es-ES"/>
        </w:rPr>
      </w:pPr>
    </w:p>
    <w:p w14:paraId="5389655B" w14:textId="77777777" w:rsidR="00E259F3" w:rsidRPr="003A3797" w:rsidRDefault="00E259F3" w:rsidP="00E259F3">
      <w:pPr>
        <w:pStyle w:val="Prrafodelista"/>
        <w:numPr>
          <w:ilvl w:val="0"/>
          <w:numId w:val="21"/>
        </w:numPr>
        <w:spacing w:after="120" w:line="276" w:lineRule="auto"/>
        <w:jc w:val="both"/>
        <w:rPr>
          <w:rStyle w:val="Hipervnculo"/>
          <w:rFonts w:ascii="Verdana" w:eastAsia="Times New Roman" w:hAnsi="Verdana" w:cs="Arial"/>
          <w:color w:val="000000" w:themeColor="text1"/>
          <w:lang w:eastAsia="es-CO"/>
        </w:rPr>
      </w:pPr>
      <w:hyperlink r:id="rId14" w:history="1">
        <w:r w:rsidRPr="003609AE">
          <w:rPr>
            <w:rStyle w:val="Hipervnculo"/>
            <w:rFonts w:ascii="Verdana" w:eastAsia="Times New Roman" w:hAnsi="Verdana" w:cs="Arial"/>
            <w:lang w:eastAsia="es-CO"/>
          </w:rPr>
          <w:t>Documentos tipo de interventoría de obra pública de infraestructura de agua potable y saneamiento básico.</w:t>
        </w:r>
      </w:hyperlink>
    </w:p>
    <w:p w14:paraId="23FB5C3B" w14:textId="77777777" w:rsidR="00E259F3" w:rsidRPr="00E259F3" w:rsidRDefault="00E259F3" w:rsidP="00E259F3">
      <w:pPr>
        <w:spacing w:after="0"/>
        <w:jc w:val="both"/>
        <w:rPr>
          <w:rFonts w:ascii="Verdana" w:hAnsi="Verdana"/>
          <w:sz w:val="20"/>
          <w:szCs w:val="20"/>
          <w:lang w:val="es-ES"/>
        </w:rPr>
      </w:pPr>
    </w:p>
    <w:p w14:paraId="2A8F0C26" w14:textId="77777777" w:rsidR="006342EB" w:rsidRPr="00C56A6D" w:rsidRDefault="006342EB" w:rsidP="006342EB">
      <w:pPr>
        <w:tabs>
          <w:tab w:val="left" w:pos="142"/>
          <w:tab w:val="left" w:pos="284"/>
        </w:tabs>
        <w:spacing w:after="0" w:line="276" w:lineRule="auto"/>
        <w:jc w:val="both"/>
        <w:rPr>
          <w:rFonts w:ascii="Verdana" w:eastAsia="Century Gothic" w:hAnsi="Verdana" w:cs="Century Gothic"/>
          <w:b/>
          <w:lang w:val="es-ES"/>
        </w:rPr>
      </w:pPr>
      <w:r>
        <w:rPr>
          <w:rFonts w:ascii="Century Gothic" w:eastAsia="Century Gothic" w:hAnsi="Century Gothic" w:cs="Century Gothic"/>
          <w:b/>
          <w:bCs/>
          <w:lang w:val="es-ES"/>
        </w:rPr>
        <w:t xml:space="preserve">4. </w:t>
      </w:r>
      <w:r w:rsidRPr="00C56A6D">
        <w:rPr>
          <w:rFonts w:ascii="Verdana" w:eastAsia="Century Gothic" w:hAnsi="Verdana" w:cs="Century Gothic"/>
          <w:b/>
          <w:lang w:val="es-ES"/>
        </w:rPr>
        <w:t>Referencias normativas, jurisprudenciales y otras fuentes:</w:t>
      </w:r>
    </w:p>
    <w:p w14:paraId="4CD1E88B" w14:textId="77777777" w:rsidR="006342EB" w:rsidRPr="00C56A6D" w:rsidRDefault="006342EB" w:rsidP="006342EB">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342EB" w:rsidRPr="009C5A97" w14:paraId="013870C6" w14:textId="77777777" w:rsidTr="00C4661C">
        <w:trPr>
          <w:trHeight w:val="870"/>
        </w:trPr>
        <w:tc>
          <w:tcPr>
            <w:tcW w:w="8647" w:type="dxa"/>
          </w:tcPr>
          <w:p w14:paraId="564B9F07" w14:textId="77777777" w:rsidR="003C273D" w:rsidRPr="00B422F2" w:rsidRDefault="003C273D" w:rsidP="003C273D">
            <w:pPr>
              <w:widowControl w:val="0"/>
              <w:numPr>
                <w:ilvl w:val="0"/>
                <w:numId w:val="17"/>
              </w:numPr>
              <w:autoSpaceDE w:val="0"/>
              <w:autoSpaceDN w:val="0"/>
              <w:spacing w:line="276" w:lineRule="auto"/>
              <w:jc w:val="both"/>
              <w:rPr>
                <w:rFonts w:ascii="Verdana" w:eastAsia="Calibri" w:hAnsi="Verdana" w:cs="Arial"/>
              </w:rPr>
            </w:pPr>
            <w:r w:rsidRPr="00B422F2">
              <w:rPr>
                <w:rFonts w:ascii="Verdana" w:eastAsia="Calibri" w:hAnsi="Verdana" w:cs="Arial"/>
              </w:rPr>
              <w:t xml:space="preserve">Ley 2022 de 2020, artículo 1. </w:t>
            </w:r>
          </w:p>
          <w:p w14:paraId="2E20B79F" w14:textId="77777777" w:rsidR="003C273D" w:rsidRPr="00B422F2" w:rsidRDefault="003C273D" w:rsidP="003C273D">
            <w:pPr>
              <w:widowControl w:val="0"/>
              <w:numPr>
                <w:ilvl w:val="0"/>
                <w:numId w:val="17"/>
              </w:numPr>
              <w:autoSpaceDE w:val="0"/>
              <w:autoSpaceDN w:val="0"/>
              <w:spacing w:line="276" w:lineRule="auto"/>
              <w:jc w:val="both"/>
              <w:rPr>
                <w:rFonts w:ascii="Verdana" w:eastAsia="Calibri" w:hAnsi="Verdana" w:cs="Arial"/>
              </w:rPr>
            </w:pPr>
            <w:r w:rsidRPr="00B422F2">
              <w:rPr>
                <w:rFonts w:ascii="Verdana" w:eastAsia="Calibri" w:hAnsi="Verdana" w:cs="Arial"/>
              </w:rPr>
              <w:t xml:space="preserve">Ley 80 de 1993, artículo </w:t>
            </w:r>
            <w:r>
              <w:rPr>
                <w:rFonts w:ascii="Verdana" w:eastAsia="Calibri" w:hAnsi="Verdana" w:cs="Arial"/>
              </w:rPr>
              <w:t>3</w:t>
            </w:r>
            <w:r w:rsidRPr="00B422F2">
              <w:rPr>
                <w:rFonts w:ascii="Verdana" w:eastAsia="Calibri" w:hAnsi="Verdana" w:cs="Arial"/>
              </w:rPr>
              <w:t>2.</w:t>
            </w:r>
          </w:p>
          <w:p w14:paraId="31E03405" w14:textId="38310DB4" w:rsidR="006342EB" w:rsidRPr="00244C26" w:rsidRDefault="003C273D" w:rsidP="003C273D">
            <w:pPr>
              <w:widowControl w:val="0"/>
              <w:autoSpaceDE w:val="0"/>
              <w:autoSpaceDN w:val="0"/>
              <w:spacing w:after="120" w:line="276" w:lineRule="auto"/>
              <w:ind w:left="720"/>
              <w:contextualSpacing/>
              <w:jc w:val="both"/>
              <w:rPr>
                <w:rFonts w:ascii="Verdana" w:hAnsi="Verdana" w:cs="Arial"/>
              </w:rPr>
            </w:pPr>
            <w:r w:rsidRPr="00B422F2">
              <w:rPr>
                <w:rFonts w:ascii="Verdana" w:eastAsia="Calibri" w:hAnsi="Verdana" w:cs="Arial"/>
              </w:rPr>
              <w:t xml:space="preserve">Documentos Tipo de obra pública de infraestructura de transporte y agua potable y saneamiento básico. Disponibles en: </w:t>
            </w:r>
            <w:hyperlink r:id="rId15" w:history="1">
              <w:r w:rsidRPr="00B422F2">
                <w:rPr>
                  <w:rFonts w:ascii="Verdana" w:eastAsia="Calibri" w:hAnsi="Verdana" w:cs="Arial"/>
                  <w:color w:val="467886"/>
                  <w:u w:val="single"/>
                </w:rPr>
                <w:t>https://www.colombiacompra.gov.co/documentos-tipo/documentos-tipo</w:t>
              </w:r>
            </w:hyperlink>
          </w:p>
        </w:tc>
      </w:tr>
    </w:tbl>
    <w:p w14:paraId="6D4AFDF2" w14:textId="77777777" w:rsidR="006342EB" w:rsidRPr="00C56A6D" w:rsidRDefault="006342EB" w:rsidP="006342EB">
      <w:pPr>
        <w:tabs>
          <w:tab w:val="left" w:pos="142"/>
          <w:tab w:val="left" w:pos="284"/>
        </w:tabs>
        <w:spacing w:after="0" w:line="276" w:lineRule="auto"/>
        <w:jc w:val="both"/>
        <w:rPr>
          <w:rFonts w:ascii="Verdana" w:eastAsia="Century Gothic" w:hAnsi="Verdana" w:cs="Century Gothic"/>
          <w:b/>
          <w:lang w:val="es-ES"/>
        </w:rPr>
      </w:pPr>
      <w:r>
        <w:rPr>
          <w:rFonts w:ascii="Century Gothic" w:eastAsia="Century Gothic" w:hAnsi="Century Gothic" w:cs="Century Gothic"/>
          <w:b/>
          <w:bCs/>
          <w:lang w:val="es-ES"/>
        </w:rPr>
        <w:lastRenderedPageBreak/>
        <w:t xml:space="preserve">5. </w:t>
      </w:r>
      <w:r w:rsidRPr="00C56A6D">
        <w:rPr>
          <w:rFonts w:ascii="Verdana" w:eastAsia="Century Gothic" w:hAnsi="Verdana" w:cs="Century Gothic"/>
          <w:b/>
          <w:lang w:val="es-ES"/>
        </w:rPr>
        <w:t>Doctrina de la Agencia Nacional de Contratación Pública:</w:t>
      </w:r>
    </w:p>
    <w:p w14:paraId="70FD1896" w14:textId="77777777" w:rsidR="006342EB" w:rsidRPr="00C56A6D" w:rsidRDefault="006342EB" w:rsidP="006342EB">
      <w:pPr>
        <w:widowControl w:val="0"/>
        <w:autoSpaceDE w:val="0"/>
        <w:autoSpaceDN w:val="0"/>
        <w:spacing w:after="0" w:line="276" w:lineRule="auto"/>
        <w:jc w:val="both"/>
        <w:rPr>
          <w:rFonts w:ascii="Verdana" w:hAnsi="Verdana" w:cs="Arial"/>
        </w:rPr>
      </w:pPr>
    </w:p>
    <w:p w14:paraId="1441AC68" w14:textId="689BB15A" w:rsidR="006342EB" w:rsidRPr="00244892" w:rsidRDefault="00EC5E98" w:rsidP="006342EB">
      <w:pPr>
        <w:widowControl w:val="0"/>
        <w:autoSpaceDE w:val="0"/>
        <w:autoSpaceDN w:val="0"/>
        <w:spacing w:after="0" w:line="276" w:lineRule="auto"/>
        <w:jc w:val="both"/>
        <w:rPr>
          <w:rFonts w:ascii="Verdana" w:hAnsi="Verdana" w:cs="Arial"/>
          <w:color w:val="7030A0"/>
          <w:shd w:val="clear" w:color="auto" w:fill="FFFFFF"/>
          <w:lang w:val="es-ES"/>
        </w:rPr>
      </w:pPr>
      <w:r w:rsidRPr="00B422F2">
        <w:rPr>
          <w:rFonts w:ascii="Verdana" w:eastAsia="Calibri" w:hAnsi="Verdana" w:cs="Arial"/>
          <w:shd w:val="clear" w:color="auto" w:fill="FFFFFF"/>
          <w:lang w:val="es-ES"/>
        </w:rPr>
        <w:t xml:space="preserve">La Agencia Nacional de Contratación Pública – Colombia Compra Eficiente analizó el fundamento normativo de los documentos tipo en la contratación estatal, entre otros, en los siguientes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 etc. </w:t>
      </w:r>
      <w:r>
        <w:rPr>
          <w:rFonts w:ascii="Verdana" w:hAnsi="Verdana"/>
          <w:color w:val="000000"/>
          <w:shd w:val="clear" w:color="auto" w:fill="FFFFFF"/>
        </w:rPr>
        <w:t xml:space="preserve">Estos y otros conceptos se encuentran disponibles para </w:t>
      </w:r>
      <w:r>
        <w:rPr>
          <w:rFonts w:ascii="Verdana" w:hAnsi="Verdana"/>
          <w:color w:val="000000"/>
          <w:shd w:val="clear" w:color="auto" w:fill="FFFFFF"/>
        </w:rPr>
        <w:lastRenderedPageBreak/>
        <w:t>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6" w:tgtFrame="_blank" w:tooltip="Dirección URL original: https://relatoria.colombiacompra.gov.co/. Haga clic o pulse si confía en este vínculo." w:history="1">
        <w:r>
          <w:rPr>
            <w:rStyle w:val="Hipervnculo"/>
            <w:rFonts w:ascii="Verdana" w:hAnsi="Verdana"/>
            <w:bdr w:val="none" w:sz="0" w:space="0" w:color="auto" w:frame="1"/>
            <w:shd w:val="clear" w:color="auto" w:fill="FFFFFF"/>
          </w:rPr>
          <w:t>https://relatoria.colombiacompra.gov.co/</w:t>
        </w:r>
      </w:hyperlink>
      <w:r>
        <w:rPr>
          <w:rFonts w:ascii="Verdana" w:hAnsi="Verdana"/>
          <w:color w:val="000000"/>
          <w:shd w:val="clear" w:color="auto" w:fill="FFFFFF"/>
        </w:rPr>
        <w:t> .</w:t>
      </w:r>
    </w:p>
    <w:p w14:paraId="367FDBD0" w14:textId="77777777" w:rsidR="006342EB" w:rsidRPr="00244892" w:rsidRDefault="006342EB" w:rsidP="006342EB">
      <w:pPr>
        <w:widowControl w:val="0"/>
        <w:autoSpaceDE w:val="0"/>
        <w:autoSpaceDN w:val="0"/>
        <w:spacing w:after="0" w:line="276" w:lineRule="auto"/>
        <w:jc w:val="both"/>
        <w:rPr>
          <w:rFonts w:ascii="Verdana" w:hAnsi="Verdana" w:cs="Arial"/>
          <w:color w:val="7030A0"/>
          <w:shd w:val="clear" w:color="auto" w:fill="FFFFFF"/>
          <w:lang w:val="es-ES"/>
        </w:rPr>
      </w:pPr>
    </w:p>
    <w:p w14:paraId="62207FB8" w14:textId="77777777" w:rsidR="006342EB" w:rsidRPr="00215202" w:rsidRDefault="006342EB" w:rsidP="006342EB">
      <w:pPr>
        <w:widowControl w:val="0"/>
        <w:autoSpaceDE w:val="0"/>
        <w:autoSpaceDN w:val="0"/>
        <w:spacing w:after="0" w:line="276" w:lineRule="auto"/>
        <w:jc w:val="both"/>
        <w:rPr>
          <w:rFonts w:ascii="Century Gothic" w:hAnsi="Century Gothic" w:cs="Arial"/>
          <w:color w:val="FF0000"/>
          <w:shd w:val="clear" w:color="auto" w:fill="FFFFFF"/>
        </w:rPr>
      </w:pPr>
      <w:r w:rsidRPr="00215202">
        <w:rPr>
          <w:rFonts w:ascii="Verdana"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r w:rsidRPr="00215202">
        <w:rPr>
          <w:rFonts w:ascii="Century Gothic" w:hAnsi="Century Gothic" w:cs="Arial"/>
          <w:color w:val="FF0000"/>
          <w:shd w:val="clear" w:color="auto" w:fill="FFFFFF"/>
        </w:rPr>
        <w:t> </w:t>
      </w:r>
      <w:hyperlink r:id="rId17" w:tgtFrame="_blank" w:tooltip="Dirección URL original: https://www.colombiacompra.gov.co/sala-de-prensa/boletin-digital/boletin-de-relatoria-2024-iv. Haga clic o pulse si confía en este vínculo." w:history="1">
        <w:r w:rsidRPr="00215202">
          <w:rPr>
            <w:rStyle w:val="Hipervnculo"/>
            <w:rFonts w:ascii="Century Gothic" w:hAnsi="Century Gothic" w:cs="Arial"/>
            <w:shd w:val="clear" w:color="auto" w:fill="FFFFFF"/>
          </w:rPr>
          <w:t>BOLETÍN DE RELATORÍA 2024 – IV | Colombia Compra Eficiente | Agencia Nacional de Contratación Pública</w:t>
        </w:r>
      </w:hyperlink>
    </w:p>
    <w:p w14:paraId="13D0A8C9" w14:textId="77777777" w:rsidR="006342EB" w:rsidRPr="00215202" w:rsidRDefault="006342EB" w:rsidP="006342EB">
      <w:pPr>
        <w:widowControl w:val="0"/>
        <w:autoSpaceDE w:val="0"/>
        <w:autoSpaceDN w:val="0"/>
        <w:spacing w:after="0" w:line="276" w:lineRule="auto"/>
        <w:jc w:val="both"/>
        <w:rPr>
          <w:rFonts w:ascii="Century Gothic" w:hAnsi="Century Gothic" w:cs="Arial"/>
          <w:color w:val="FF0000"/>
          <w:shd w:val="clear" w:color="auto" w:fill="FFFFFF"/>
        </w:rPr>
      </w:pPr>
    </w:p>
    <w:p w14:paraId="46E7F2EC" w14:textId="77777777" w:rsidR="006342EB" w:rsidRPr="00C56A6D" w:rsidRDefault="006342EB" w:rsidP="006342EB">
      <w:pPr>
        <w:spacing w:after="0" w:line="240" w:lineRule="auto"/>
        <w:jc w:val="both"/>
        <w:rPr>
          <w:rFonts w:ascii="Verdana" w:hAnsi="Verdana"/>
        </w:rPr>
      </w:pPr>
      <w:r w:rsidRPr="00C56A6D">
        <w:rPr>
          <w:rFonts w:ascii="Verdana" w:hAnsi="Verdana"/>
        </w:rPr>
        <w:t xml:space="preserve">Por último, lo invitamos a seguirnos en las redes sociales en las cuales se difunde información institucional: </w:t>
      </w:r>
    </w:p>
    <w:p w14:paraId="4B5F21A6" w14:textId="77777777" w:rsidR="006342EB" w:rsidRPr="00C56A6D" w:rsidRDefault="006342EB" w:rsidP="006342EB">
      <w:pPr>
        <w:spacing w:after="0" w:line="240" w:lineRule="auto"/>
        <w:jc w:val="both"/>
        <w:rPr>
          <w:rFonts w:ascii="Verdana" w:hAnsi="Verdana"/>
        </w:rPr>
      </w:pPr>
    </w:p>
    <w:p w14:paraId="1B9AB5F3" w14:textId="77777777" w:rsidR="006342EB" w:rsidRPr="00C56A6D" w:rsidRDefault="006342EB" w:rsidP="006342EB">
      <w:pPr>
        <w:spacing w:after="0" w:line="240" w:lineRule="auto"/>
        <w:jc w:val="both"/>
        <w:rPr>
          <w:rFonts w:ascii="Verdana" w:hAnsi="Verdana"/>
        </w:rPr>
      </w:pPr>
      <w:r w:rsidRPr="00C56A6D">
        <w:rPr>
          <w:rFonts w:ascii="Verdana" w:hAnsi="Verdana"/>
        </w:rPr>
        <w:t xml:space="preserve">Twitter: </w:t>
      </w:r>
      <w:r w:rsidRPr="00C56A6D">
        <w:rPr>
          <w:rFonts w:ascii="Verdana" w:hAnsi="Verdana"/>
          <w:color w:val="4472C4" w:themeColor="accent1"/>
          <w:u w:val="single"/>
        </w:rPr>
        <w:t>@colombiacompra</w:t>
      </w:r>
      <w:r w:rsidRPr="00C56A6D">
        <w:rPr>
          <w:rFonts w:ascii="Verdana" w:hAnsi="Verdana"/>
          <w:color w:val="4472C4" w:themeColor="accent1"/>
        </w:rPr>
        <w:t xml:space="preserve"> </w:t>
      </w:r>
    </w:p>
    <w:p w14:paraId="1942DA2F" w14:textId="77777777" w:rsidR="006342EB" w:rsidRPr="00C56A6D" w:rsidRDefault="006342EB" w:rsidP="006342EB">
      <w:pPr>
        <w:spacing w:after="0" w:line="240" w:lineRule="auto"/>
        <w:jc w:val="both"/>
        <w:rPr>
          <w:rFonts w:ascii="Verdana" w:hAnsi="Verdana"/>
        </w:rPr>
      </w:pPr>
      <w:r w:rsidRPr="00C56A6D">
        <w:rPr>
          <w:rFonts w:ascii="Verdana" w:hAnsi="Verdana"/>
        </w:rPr>
        <w:t xml:space="preserve">Facebook: </w:t>
      </w:r>
      <w:r w:rsidRPr="00C56A6D">
        <w:rPr>
          <w:rFonts w:ascii="Verdana" w:hAnsi="Verdana"/>
          <w:color w:val="4472C4" w:themeColor="accent1"/>
          <w:u w:val="single"/>
        </w:rPr>
        <w:t>ColombiaCompraEficiente</w:t>
      </w:r>
    </w:p>
    <w:p w14:paraId="34B90BAD" w14:textId="77777777" w:rsidR="006342EB" w:rsidRPr="00C56A6D" w:rsidRDefault="006342EB" w:rsidP="006342EB">
      <w:pPr>
        <w:spacing w:after="0" w:line="240" w:lineRule="auto"/>
        <w:jc w:val="both"/>
        <w:rPr>
          <w:rFonts w:ascii="Verdana" w:hAnsi="Verdana"/>
        </w:rPr>
      </w:pPr>
      <w:r w:rsidRPr="00C56A6D">
        <w:rPr>
          <w:rFonts w:ascii="Verdana" w:hAnsi="Verdana"/>
        </w:rPr>
        <w:t xml:space="preserve">LinkedIn: </w:t>
      </w:r>
      <w:r w:rsidRPr="00C56A6D">
        <w:rPr>
          <w:rFonts w:ascii="Verdana" w:hAnsi="Verdana"/>
          <w:color w:val="4472C4" w:themeColor="accent1"/>
          <w:u w:val="single"/>
        </w:rPr>
        <w:t>Agencia Nacional de Contratación Pública - Colombia Compra Eficiente</w:t>
      </w:r>
      <w:r w:rsidRPr="00C56A6D">
        <w:rPr>
          <w:rFonts w:ascii="Verdana" w:hAnsi="Verdana"/>
          <w:color w:val="4472C4" w:themeColor="accent1"/>
        </w:rPr>
        <w:t xml:space="preserve"> </w:t>
      </w:r>
      <w:r w:rsidRPr="00C56A6D">
        <w:rPr>
          <w:rFonts w:ascii="Verdana" w:hAnsi="Verdana"/>
        </w:rPr>
        <w:t xml:space="preserve">Instagram: </w:t>
      </w:r>
      <w:r w:rsidRPr="00C56A6D">
        <w:rPr>
          <w:rFonts w:ascii="Verdana" w:hAnsi="Verdana"/>
          <w:color w:val="4472C4" w:themeColor="accent1"/>
          <w:u w:val="single"/>
        </w:rPr>
        <w:t>@colombiacompraeficiente_cce</w:t>
      </w:r>
    </w:p>
    <w:p w14:paraId="3A01B414" w14:textId="77777777" w:rsidR="006342EB" w:rsidRPr="00C56A6D" w:rsidRDefault="006342EB" w:rsidP="006342EB">
      <w:pPr>
        <w:widowControl w:val="0"/>
        <w:autoSpaceDE w:val="0"/>
        <w:autoSpaceDN w:val="0"/>
        <w:spacing w:after="0" w:line="276" w:lineRule="auto"/>
        <w:jc w:val="both"/>
        <w:rPr>
          <w:rFonts w:ascii="Verdana" w:hAnsi="Verdana" w:cs="Arial"/>
        </w:rPr>
      </w:pPr>
    </w:p>
    <w:p w14:paraId="6E664100" w14:textId="77777777" w:rsidR="006342EB" w:rsidRPr="00C56A6D" w:rsidRDefault="006342EB" w:rsidP="006342EB">
      <w:pPr>
        <w:widowControl w:val="0"/>
        <w:autoSpaceDE w:val="0"/>
        <w:autoSpaceDN w:val="0"/>
        <w:spacing w:after="0" w:line="276" w:lineRule="auto"/>
        <w:jc w:val="both"/>
        <w:rPr>
          <w:rFonts w:ascii="Verdana" w:hAnsi="Verdana" w:cs="Arial"/>
          <w:lang w:val="es-ES_tradnl"/>
        </w:rPr>
      </w:pPr>
      <w:r w:rsidRPr="00C56A6D">
        <w:rPr>
          <w:rFonts w:ascii="Verdana" w:hAnsi="Verdana" w:cs="Arial"/>
        </w:rPr>
        <w:t xml:space="preserve">Este concepto tiene el alcance previsto en el artículo 28 del Código de Procedimiento Administrativo y de lo Contencioso Administrativo </w:t>
      </w:r>
      <w:r w:rsidRPr="00C56A6D">
        <w:rPr>
          <w:rFonts w:ascii="Verdana" w:hAnsi="Verdana" w:cs="Arial"/>
          <w:lang w:val="es-ES_tradnl"/>
        </w:rPr>
        <w:t>y las expresiones aquí utilizadas con mayúscula inicial deben ser entendidas con el significado que les otorga el artículo 2.2.1.1.1.3.1. del Decreto 1082 de 2015.</w:t>
      </w:r>
    </w:p>
    <w:p w14:paraId="63D87FC1" w14:textId="77777777" w:rsidR="006342EB" w:rsidRPr="00C56A6D" w:rsidRDefault="006342EB" w:rsidP="006342EB">
      <w:pPr>
        <w:widowControl w:val="0"/>
        <w:autoSpaceDE w:val="0"/>
        <w:autoSpaceDN w:val="0"/>
        <w:spacing w:after="0" w:line="276" w:lineRule="auto"/>
        <w:jc w:val="both"/>
        <w:rPr>
          <w:rFonts w:ascii="Verdana" w:hAnsi="Verdana" w:cs="Arial"/>
        </w:rPr>
      </w:pPr>
    </w:p>
    <w:p w14:paraId="03A9F88B" w14:textId="77777777" w:rsidR="006342EB" w:rsidRPr="00C56A6D" w:rsidRDefault="006342EB" w:rsidP="006342EB">
      <w:pPr>
        <w:spacing w:after="0" w:line="240" w:lineRule="auto"/>
        <w:rPr>
          <w:rFonts w:ascii="Verdana" w:hAnsi="Verdana" w:cs="Arial"/>
          <w:lang w:eastAsia="es-CO"/>
        </w:rPr>
      </w:pPr>
      <w:r w:rsidRPr="00C56A6D">
        <w:rPr>
          <w:rFonts w:ascii="Verdana" w:eastAsia="Times New Roman" w:hAnsi="Verdana" w:cs="Arial"/>
          <w:lang w:eastAsia="es-CO"/>
        </w:rPr>
        <w:t>Atentamente,</w:t>
      </w:r>
      <w:r w:rsidRPr="00C56A6D">
        <w:rPr>
          <w:rFonts w:ascii="Verdana" w:hAnsi="Verdana" w:cs="Arial"/>
          <w:lang w:eastAsia="es-CO"/>
        </w:rPr>
        <w:t xml:space="preserve"> </w:t>
      </w:r>
    </w:p>
    <w:p w14:paraId="2AB08F6A" w14:textId="77777777" w:rsidR="006342EB" w:rsidRPr="00C56A6D" w:rsidRDefault="006342EB" w:rsidP="006342EB">
      <w:pPr>
        <w:spacing w:line="276" w:lineRule="auto"/>
        <w:jc w:val="center"/>
        <w:rPr>
          <w:rFonts w:ascii="Verdana" w:hAnsi="Verdana"/>
        </w:rPr>
      </w:pPr>
    </w:p>
    <w:p w14:paraId="527AA1B6" w14:textId="3A710BF4" w:rsidR="006342EB" w:rsidRPr="009C5A97" w:rsidRDefault="002549AB" w:rsidP="006342EB">
      <w:pPr>
        <w:spacing w:line="276" w:lineRule="auto"/>
        <w:jc w:val="center"/>
        <w:rPr>
          <w:rFonts w:ascii="Century Gothic" w:hAnsi="Century Gothic"/>
          <w:noProof/>
          <w:color w:val="000000"/>
          <w:lang w:val="es-ES_tradnl" w:eastAsia="es-CO"/>
        </w:rPr>
      </w:pPr>
      <w:r w:rsidRPr="002C3AD6">
        <w:rPr>
          <w:rFonts w:ascii="Century Gothic" w:hAnsi="Century Gothic"/>
          <w:noProof/>
        </w:rPr>
        <w:drawing>
          <wp:inline distT="0" distB="0" distL="0" distR="0" wp14:anchorId="1DE452B4" wp14:editId="5B458CAB">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p>
    <w:p w14:paraId="459A928B" w14:textId="77777777" w:rsidR="006342EB" w:rsidRPr="009C5A97" w:rsidRDefault="006342EB" w:rsidP="006342EB">
      <w:pPr>
        <w:spacing w:line="276" w:lineRule="auto"/>
        <w:jc w:val="center"/>
        <w:rPr>
          <w:rFonts w:ascii="Verdana" w:hAnsi="Verdana" w:cs="Arial"/>
          <w:color w:val="000000"/>
          <w:lang w:val="es-ES_tradnl" w:eastAsia="es-CO"/>
        </w:rPr>
      </w:pPr>
    </w:p>
    <w:tbl>
      <w:tblPr>
        <w:tblW w:w="56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
        <w:gridCol w:w="4806"/>
      </w:tblGrid>
      <w:tr w:rsidR="006342EB" w:rsidRPr="009C5A97" w14:paraId="2080156E" w14:textId="77777777" w:rsidTr="00C4661C">
        <w:trPr>
          <w:trHeight w:val="319"/>
        </w:trPr>
        <w:tc>
          <w:tcPr>
            <w:tcW w:w="882" w:type="dxa"/>
            <w:tcBorders>
              <w:top w:val="nil"/>
              <w:left w:val="nil"/>
              <w:bottom w:val="nil"/>
              <w:right w:val="nil"/>
            </w:tcBorders>
            <w:shd w:val="clear" w:color="auto" w:fill="auto"/>
            <w:vAlign w:val="center"/>
            <w:hideMark/>
          </w:tcPr>
          <w:p w14:paraId="55F4A6A7" w14:textId="77777777" w:rsidR="006342EB" w:rsidRPr="009C5A97" w:rsidRDefault="006342EB" w:rsidP="00C4661C">
            <w:pPr>
              <w:spacing w:after="0" w:line="240" w:lineRule="auto"/>
              <w:jc w:val="both"/>
              <w:textAlignment w:val="baseline"/>
              <w:rPr>
                <w:rFonts w:ascii="Verdana" w:eastAsia="Times New Roman" w:hAnsi="Verdana" w:cs="Segoe UI"/>
                <w:sz w:val="18"/>
                <w:szCs w:val="18"/>
                <w:lang w:eastAsia="es-CO"/>
              </w:rPr>
            </w:pPr>
            <w:r w:rsidRPr="009C5A97">
              <w:rPr>
                <w:rFonts w:ascii="Verdana" w:eastAsia="Times New Roman" w:hAnsi="Verdana" w:cs="Arial"/>
                <w:sz w:val="16"/>
                <w:szCs w:val="16"/>
                <w:lang w:eastAsia="es-CO"/>
              </w:rPr>
              <w:lastRenderedPageBreak/>
              <w:t>Elaboró: </w:t>
            </w:r>
            <w:r w:rsidRPr="009C5A97">
              <w:rPr>
                <w:rFonts w:ascii="Verdana" w:eastAsia="Times New Roman" w:hAnsi="Verdana" w:cs="Century Gothic"/>
                <w:sz w:val="16"/>
                <w:szCs w:val="16"/>
                <w:lang w:eastAsia="es-CO"/>
              </w:rPr>
              <w:t> </w:t>
            </w:r>
          </w:p>
        </w:tc>
        <w:tc>
          <w:tcPr>
            <w:tcW w:w="4806" w:type="dxa"/>
            <w:tcBorders>
              <w:top w:val="nil"/>
              <w:left w:val="nil"/>
              <w:bottom w:val="dotted" w:sz="6" w:space="0" w:color="7F7F7F" w:themeColor="text1" w:themeTint="80"/>
              <w:right w:val="nil"/>
            </w:tcBorders>
            <w:shd w:val="clear" w:color="auto" w:fill="auto"/>
            <w:vAlign w:val="center"/>
            <w:hideMark/>
          </w:tcPr>
          <w:p w14:paraId="25AA2B70" w14:textId="77777777" w:rsidR="006342EB" w:rsidRPr="009C5A97" w:rsidRDefault="006342EB" w:rsidP="00C4661C">
            <w:pPr>
              <w:spacing w:after="0" w:line="240" w:lineRule="auto"/>
              <w:jc w:val="both"/>
              <w:rPr>
                <w:rFonts w:ascii="Verdana" w:eastAsia="Calibri" w:hAnsi="Verdana" w:cs="Arial"/>
                <w:sz w:val="16"/>
                <w:szCs w:val="16"/>
              </w:rPr>
            </w:pPr>
            <w:r w:rsidRPr="009C5A97">
              <w:rPr>
                <w:rFonts w:ascii="Verdana" w:eastAsia="Calibri" w:hAnsi="Verdana" w:cs="Arial"/>
                <w:sz w:val="16"/>
                <w:szCs w:val="16"/>
              </w:rPr>
              <w:t>Héctor Luis Quiñones Quiñones</w:t>
            </w:r>
          </w:p>
          <w:p w14:paraId="0C512834" w14:textId="77777777" w:rsidR="006342EB" w:rsidRPr="009C5A97" w:rsidRDefault="006342EB" w:rsidP="00C4661C">
            <w:pPr>
              <w:spacing w:after="0" w:line="240" w:lineRule="auto"/>
              <w:jc w:val="both"/>
              <w:rPr>
                <w:rFonts w:ascii="Verdana" w:eastAsia="Calibri" w:hAnsi="Verdana" w:cs="Arial"/>
                <w:sz w:val="16"/>
                <w:szCs w:val="16"/>
              </w:rPr>
            </w:pPr>
            <w:r w:rsidRPr="009C5A97">
              <w:rPr>
                <w:rFonts w:ascii="Verdana" w:eastAsia="Calibri" w:hAnsi="Verdana" w:cs="Arial"/>
                <w:sz w:val="16"/>
                <w:szCs w:val="16"/>
              </w:rPr>
              <w:t>Analista T2 – 02 de la Subdirección de Gestión Contractual</w:t>
            </w:r>
          </w:p>
        </w:tc>
      </w:tr>
      <w:tr w:rsidR="006342EB" w:rsidRPr="009C5A97" w14:paraId="2A782C5A" w14:textId="77777777" w:rsidTr="00C4661C">
        <w:trPr>
          <w:trHeight w:val="319"/>
        </w:trPr>
        <w:tc>
          <w:tcPr>
            <w:tcW w:w="882" w:type="dxa"/>
            <w:tcBorders>
              <w:top w:val="nil"/>
              <w:left w:val="nil"/>
              <w:bottom w:val="nil"/>
              <w:right w:val="nil"/>
            </w:tcBorders>
            <w:shd w:val="clear" w:color="auto" w:fill="auto"/>
            <w:vAlign w:val="center"/>
            <w:hideMark/>
          </w:tcPr>
          <w:p w14:paraId="6CC2DBD3" w14:textId="77777777" w:rsidR="006342EB" w:rsidRPr="009C5A97" w:rsidRDefault="006342EB" w:rsidP="00C4661C">
            <w:pPr>
              <w:spacing w:after="0" w:line="240" w:lineRule="auto"/>
              <w:jc w:val="both"/>
              <w:textAlignment w:val="baseline"/>
              <w:rPr>
                <w:rFonts w:ascii="Verdana" w:eastAsia="Times New Roman" w:hAnsi="Verdana" w:cs="Segoe UI"/>
                <w:sz w:val="18"/>
                <w:szCs w:val="18"/>
                <w:lang w:eastAsia="es-CO"/>
              </w:rPr>
            </w:pPr>
            <w:r w:rsidRPr="009C5A97">
              <w:rPr>
                <w:rFonts w:ascii="Verdana" w:eastAsia="Times New Roman" w:hAnsi="Verdana" w:cs="Arial"/>
                <w:sz w:val="16"/>
                <w:szCs w:val="16"/>
                <w:lang w:eastAsia="es-CO"/>
              </w:rPr>
              <w:t>Revisó: </w:t>
            </w:r>
            <w:r w:rsidRPr="009C5A97">
              <w:rPr>
                <w:rFonts w:ascii="Verdana" w:eastAsia="Times New Roman" w:hAnsi="Verdana" w:cs="Century Gothic"/>
                <w:sz w:val="16"/>
                <w:szCs w:val="16"/>
                <w:lang w:eastAsia="es-CO"/>
              </w:rPr>
              <w:t> </w:t>
            </w:r>
          </w:p>
        </w:tc>
        <w:tc>
          <w:tcPr>
            <w:tcW w:w="4806"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0A7816B5" w14:textId="77777777" w:rsidR="006342EB" w:rsidRPr="009C5A97" w:rsidRDefault="006342EB" w:rsidP="00C4661C">
            <w:pPr>
              <w:spacing w:after="0" w:line="240" w:lineRule="auto"/>
              <w:jc w:val="both"/>
              <w:rPr>
                <w:rFonts w:ascii="Verdana" w:eastAsia="Calibri" w:hAnsi="Verdana" w:cs="Arial"/>
                <w:sz w:val="16"/>
                <w:szCs w:val="16"/>
              </w:rPr>
            </w:pPr>
            <w:r w:rsidRPr="009C5A97">
              <w:rPr>
                <w:rFonts w:ascii="Verdana" w:eastAsia="Calibri" w:hAnsi="Verdana" w:cs="Arial"/>
                <w:sz w:val="16"/>
                <w:szCs w:val="16"/>
              </w:rPr>
              <w:t>Martha Alicia Romero Vargas</w:t>
            </w:r>
          </w:p>
          <w:p w14:paraId="3C0BC458" w14:textId="77777777" w:rsidR="006342EB" w:rsidRPr="009C5A97" w:rsidRDefault="006342EB" w:rsidP="00C4661C">
            <w:pPr>
              <w:spacing w:after="0" w:line="240" w:lineRule="auto"/>
              <w:jc w:val="both"/>
              <w:rPr>
                <w:rFonts w:ascii="Verdana" w:eastAsia="Calibri" w:hAnsi="Verdana" w:cs="Arial"/>
                <w:sz w:val="16"/>
                <w:szCs w:val="16"/>
              </w:rPr>
            </w:pPr>
            <w:r w:rsidRPr="009C5A97">
              <w:rPr>
                <w:rFonts w:ascii="Verdana" w:eastAsia="Calibri" w:hAnsi="Verdana" w:cs="Arial"/>
                <w:sz w:val="16"/>
                <w:szCs w:val="16"/>
              </w:rPr>
              <w:t>Gestor T1- 15 de la Subdirección de Gestión Contractual</w:t>
            </w:r>
          </w:p>
        </w:tc>
      </w:tr>
      <w:tr w:rsidR="006342EB" w:rsidRPr="009C5A97" w14:paraId="2E5908B8" w14:textId="77777777" w:rsidTr="00C4661C">
        <w:trPr>
          <w:trHeight w:val="304"/>
        </w:trPr>
        <w:tc>
          <w:tcPr>
            <w:tcW w:w="882" w:type="dxa"/>
            <w:tcBorders>
              <w:top w:val="nil"/>
              <w:left w:val="nil"/>
              <w:bottom w:val="nil"/>
              <w:right w:val="nil"/>
            </w:tcBorders>
            <w:shd w:val="clear" w:color="auto" w:fill="auto"/>
            <w:vAlign w:val="center"/>
            <w:hideMark/>
          </w:tcPr>
          <w:p w14:paraId="5F4A3E01" w14:textId="77777777" w:rsidR="006342EB" w:rsidRPr="009C5A97" w:rsidRDefault="006342EB" w:rsidP="00C4661C">
            <w:pPr>
              <w:spacing w:after="0" w:line="240" w:lineRule="auto"/>
              <w:jc w:val="both"/>
              <w:textAlignment w:val="baseline"/>
              <w:rPr>
                <w:rFonts w:ascii="Verdana" w:eastAsia="Times New Roman" w:hAnsi="Verdana" w:cs="Segoe UI"/>
                <w:sz w:val="18"/>
                <w:szCs w:val="18"/>
                <w:lang w:eastAsia="es-CO"/>
              </w:rPr>
            </w:pPr>
            <w:r w:rsidRPr="009C5A97">
              <w:rPr>
                <w:rFonts w:ascii="Verdana" w:eastAsia="Times New Roman" w:hAnsi="Verdana" w:cs="Arial"/>
                <w:sz w:val="16"/>
                <w:szCs w:val="16"/>
                <w:lang w:eastAsia="es-CO"/>
              </w:rPr>
              <w:t>Aprobó: </w:t>
            </w:r>
            <w:r w:rsidRPr="009C5A97">
              <w:rPr>
                <w:rFonts w:ascii="Verdana" w:eastAsia="Times New Roman" w:hAnsi="Verdana" w:cs="Century Gothic"/>
                <w:sz w:val="16"/>
                <w:szCs w:val="16"/>
                <w:lang w:eastAsia="es-CO"/>
              </w:rPr>
              <w:t> </w:t>
            </w:r>
          </w:p>
        </w:tc>
        <w:tc>
          <w:tcPr>
            <w:tcW w:w="4806"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3E3986E1" w14:textId="77777777" w:rsidR="006342EB" w:rsidRPr="009C5A97" w:rsidRDefault="006342EB" w:rsidP="00C4661C">
            <w:pPr>
              <w:spacing w:after="0" w:line="240" w:lineRule="auto"/>
              <w:jc w:val="both"/>
              <w:textAlignment w:val="baseline"/>
              <w:rPr>
                <w:rFonts w:ascii="Verdana" w:eastAsia="Calibri" w:hAnsi="Verdana" w:cs="Arial"/>
                <w:sz w:val="16"/>
                <w:szCs w:val="16"/>
              </w:rPr>
            </w:pPr>
            <w:r w:rsidRPr="009C5A97">
              <w:rPr>
                <w:rFonts w:ascii="Verdana" w:eastAsia="Calibri" w:hAnsi="Verdana" w:cs="Arial"/>
                <w:sz w:val="16"/>
                <w:szCs w:val="16"/>
              </w:rPr>
              <w:t>Carolina Quintero Gacharná</w:t>
            </w:r>
          </w:p>
          <w:p w14:paraId="3FF82966" w14:textId="77777777" w:rsidR="006342EB" w:rsidRPr="009C5A97" w:rsidRDefault="006342EB" w:rsidP="00C4661C">
            <w:pPr>
              <w:spacing w:after="0" w:line="240" w:lineRule="auto"/>
              <w:jc w:val="both"/>
              <w:textAlignment w:val="baseline"/>
              <w:rPr>
                <w:rFonts w:ascii="Verdana" w:eastAsia="Calibri" w:hAnsi="Verdana" w:cs="Arial"/>
                <w:sz w:val="16"/>
                <w:szCs w:val="16"/>
              </w:rPr>
            </w:pPr>
            <w:r w:rsidRPr="009C5A97">
              <w:rPr>
                <w:rFonts w:ascii="Verdana" w:eastAsia="Calibri" w:hAnsi="Verdana" w:cs="Arial"/>
                <w:sz w:val="16"/>
                <w:szCs w:val="16"/>
              </w:rPr>
              <w:t>Subdirectora de Gestión Contractual ANCP-CCE </w:t>
            </w:r>
          </w:p>
        </w:tc>
      </w:tr>
    </w:tbl>
    <w:p w14:paraId="28B04C71" w14:textId="77777777" w:rsidR="006342EB" w:rsidRPr="009C5A97" w:rsidRDefault="006342EB" w:rsidP="006342EB">
      <w:pPr>
        <w:spacing w:after="0" w:line="240" w:lineRule="auto"/>
        <w:rPr>
          <w:rFonts w:ascii="Verdana" w:eastAsia="Times New Roman" w:hAnsi="Verdana" w:cs="Arial"/>
          <w:sz w:val="24"/>
          <w:szCs w:val="24"/>
          <w:lang w:eastAsia="es-ES"/>
        </w:rPr>
      </w:pPr>
    </w:p>
    <w:p w14:paraId="0E715D7A" w14:textId="77777777" w:rsidR="006342EB" w:rsidRPr="009C5A97" w:rsidRDefault="006342EB" w:rsidP="006342EB"/>
    <w:p w14:paraId="2E1BBD4E" w14:textId="77777777" w:rsidR="006342EB" w:rsidRPr="0044528D" w:rsidRDefault="006342EB" w:rsidP="006342EB">
      <w:pPr>
        <w:spacing w:after="0"/>
        <w:rPr>
          <w:rFonts w:ascii="Verdana" w:hAnsi="Verdana"/>
        </w:rPr>
      </w:pPr>
    </w:p>
    <w:p w14:paraId="793A24B6" w14:textId="77777777" w:rsidR="006342EB" w:rsidRPr="006A77E6" w:rsidRDefault="006342EB" w:rsidP="006342EB"/>
    <w:bookmarkEnd w:id="0"/>
    <w:p w14:paraId="1E93CCE0" w14:textId="77777777" w:rsidR="006342EB" w:rsidRPr="00D475A4" w:rsidRDefault="006342EB" w:rsidP="00E245AB">
      <w:pPr>
        <w:spacing w:after="0"/>
        <w:rPr>
          <w:rFonts w:ascii="Verdana" w:hAnsi="Verdana"/>
          <w:lang w:val="es-MX"/>
        </w:rPr>
      </w:pPr>
    </w:p>
    <w:sectPr w:rsidR="006342EB" w:rsidRPr="00D475A4"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864AB" w14:textId="77777777" w:rsidR="00B6271B" w:rsidRDefault="00B6271B" w:rsidP="004A1847">
      <w:pPr>
        <w:spacing w:after="0" w:line="240" w:lineRule="auto"/>
      </w:pPr>
      <w:r>
        <w:separator/>
      </w:r>
    </w:p>
  </w:endnote>
  <w:endnote w:type="continuationSeparator" w:id="0">
    <w:p w14:paraId="09F726E5" w14:textId="77777777" w:rsidR="00B6271B" w:rsidRDefault="00B6271B"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0C6A4" w14:textId="77777777" w:rsidR="00B6271B" w:rsidRDefault="00B6271B" w:rsidP="004A1847">
      <w:pPr>
        <w:spacing w:after="0" w:line="240" w:lineRule="auto"/>
      </w:pPr>
      <w:r>
        <w:separator/>
      </w:r>
    </w:p>
  </w:footnote>
  <w:footnote w:type="continuationSeparator" w:id="0">
    <w:p w14:paraId="2AD2AD9D" w14:textId="77777777" w:rsidR="00B6271B" w:rsidRDefault="00B6271B" w:rsidP="004A1847">
      <w:pPr>
        <w:spacing w:after="0" w:line="240" w:lineRule="auto"/>
      </w:pPr>
      <w:r>
        <w:continuationSeparator/>
      </w:r>
    </w:p>
  </w:footnote>
  <w:footnote w:id="1">
    <w:p w14:paraId="63F6EAE4" w14:textId="77777777" w:rsidR="00A55315" w:rsidRPr="004036F9" w:rsidRDefault="00A55315" w:rsidP="00A55315">
      <w:pPr>
        <w:pStyle w:val="Textonotapie"/>
        <w:ind w:firstLine="709"/>
        <w:jc w:val="both"/>
        <w:rPr>
          <w:rFonts w:ascii="Verdana" w:hAnsi="Verdana" w:cs="Arial"/>
          <w:sz w:val="14"/>
          <w:szCs w:val="14"/>
        </w:rPr>
      </w:pPr>
      <w:r w:rsidRPr="004036F9">
        <w:rPr>
          <w:rStyle w:val="Refdenotaalpie"/>
          <w:rFonts w:ascii="Verdana" w:hAnsi="Verdana" w:cs="Arial"/>
          <w:sz w:val="14"/>
          <w:szCs w:val="14"/>
        </w:rPr>
        <w:footnoteRef/>
      </w:r>
      <w:r w:rsidRPr="004036F9">
        <w:rPr>
          <w:rFonts w:ascii="Verdana" w:hAnsi="Verdana" w:cs="Arial"/>
          <w:sz w:val="14"/>
          <w:szCs w:val="14"/>
        </w:rPr>
        <w:t xml:space="preserve"> El artículo 1 de la Ley 2022 de 2020 modifica el artículo 4 de la Ley 1882 de 2018, el cual adiciona el parágrafo 7 al artículo 2 de la Ley 1150 de 2007 y dispone que: </w:t>
      </w:r>
      <w:r>
        <w:rPr>
          <w:rFonts w:ascii="Verdana" w:hAnsi="Verdana" w:cs="Arial"/>
          <w:sz w:val="14"/>
          <w:szCs w:val="14"/>
        </w:rPr>
        <w:t>“</w:t>
      </w:r>
      <w:r w:rsidRPr="004036F9">
        <w:rPr>
          <w:rFonts w:ascii="Verdana" w:hAnsi="Verdana" w:cs="Arial"/>
          <w:sz w:val="14"/>
          <w:szCs w:val="14"/>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29E2697" w14:textId="77777777" w:rsidR="00A55315" w:rsidRPr="004036F9" w:rsidRDefault="00A55315" w:rsidP="00A55315">
      <w:pPr>
        <w:pStyle w:val="Textonotapie"/>
        <w:ind w:firstLine="709"/>
        <w:jc w:val="both"/>
        <w:rPr>
          <w:rFonts w:ascii="Verdana" w:hAnsi="Verdana" w:cs="Arial"/>
          <w:sz w:val="14"/>
          <w:szCs w:val="14"/>
        </w:rPr>
      </w:pPr>
      <w:r w:rsidRPr="004036F9">
        <w:rPr>
          <w:rFonts w:ascii="Verdana" w:hAnsi="Verdana" w:cs="Arial"/>
          <w:sz w:val="14"/>
          <w:szCs w:val="14"/>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83B28B3" w14:textId="77777777" w:rsidR="00A55315" w:rsidRPr="004036F9" w:rsidRDefault="00A55315" w:rsidP="00A55315">
      <w:pPr>
        <w:pStyle w:val="Textonotapie"/>
        <w:ind w:firstLine="709"/>
        <w:jc w:val="both"/>
        <w:rPr>
          <w:rFonts w:ascii="Verdana" w:hAnsi="Verdana" w:cs="Arial"/>
          <w:sz w:val="14"/>
          <w:szCs w:val="14"/>
        </w:rPr>
      </w:pPr>
      <w:r w:rsidRPr="004036F9">
        <w:rPr>
          <w:rFonts w:ascii="Verdana" w:hAnsi="Verdana" w:cs="Arial"/>
          <w:sz w:val="14"/>
          <w:szCs w:val="14"/>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70953D8E" w14:textId="77777777" w:rsidR="00A55315" w:rsidRPr="004036F9" w:rsidRDefault="00A55315" w:rsidP="00A55315">
      <w:pPr>
        <w:pStyle w:val="Textonotapie"/>
        <w:ind w:firstLine="709"/>
        <w:jc w:val="both"/>
        <w:rPr>
          <w:rFonts w:ascii="Verdana" w:hAnsi="Verdana" w:cs="Arial"/>
          <w:sz w:val="14"/>
          <w:szCs w:val="14"/>
        </w:rPr>
      </w:pPr>
      <w:r w:rsidRPr="004036F9">
        <w:rPr>
          <w:rFonts w:ascii="Verdana" w:hAnsi="Verdana" w:cs="Arial"/>
          <w:sz w:val="14"/>
          <w:szCs w:val="14"/>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8676B52" w14:textId="77777777" w:rsidR="00A55315" w:rsidRDefault="00A55315" w:rsidP="00A55315">
      <w:pPr>
        <w:pStyle w:val="Textonotapie"/>
        <w:ind w:firstLine="709"/>
        <w:jc w:val="both"/>
        <w:rPr>
          <w:rFonts w:ascii="Verdana" w:hAnsi="Verdana" w:cs="Arial"/>
          <w:sz w:val="14"/>
          <w:szCs w:val="14"/>
        </w:rPr>
      </w:pPr>
      <w:r w:rsidRPr="004036F9">
        <w:rPr>
          <w:rFonts w:ascii="Verdana" w:hAnsi="Verdana" w:cs="Arial"/>
          <w:sz w:val="14"/>
          <w:szCs w:val="14"/>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Verdana" w:hAnsi="Verdana" w:cs="Arial"/>
          <w:sz w:val="14"/>
          <w:szCs w:val="14"/>
        </w:rPr>
        <w:t>”</w:t>
      </w:r>
      <w:r w:rsidRPr="004036F9">
        <w:rPr>
          <w:rFonts w:ascii="Verdana" w:hAnsi="Verdana" w:cs="Arial"/>
          <w:sz w:val="14"/>
          <w:szCs w:val="14"/>
        </w:rPr>
        <w:t>.</w:t>
      </w:r>
    </w:p>
    <w:p w14:paraId="228CF0A6" w14:textId="77777777" w:rsidR="00A55315" w:rsidRPr="004036F9" w:rsidRDefault="00A55315" w:rsidP="00A55315">
      <w:pPr>
        <w:pStyle w:val="Textonotapie"/>
        <w:ind w:firstLine="709"/>
        <w:jc w:val="both"/>
        <w:rPr>
          <w:rFonts w:ascii="Verdana" w:hAnsi="Verdana" w:cs="Arial"/>
          <w:sz w:val="14"/>
          <w:szCs w:val="14"/>
        </w:rPr>
      </w:pPr>
    </w:p>
  </w:footnote>
  <w:footnote w:id="2">
    <w:p w14:paraId="13F8CB34" w14:textId="77777777" w:rsidR="00A55315" w:rsidRPr="004036F9" w:rsidRDefault="00A55315" w:rsidP="00A55315">
      <w:pPr>
        <w:ind w:firstLine="709"/>
        <w:jc w:val="both"/>
        <w:rPr>
          <w:rFonts w:ascii="Verdana" w:hAnsi="Verdana" w:cs="Arial"/>
          <w:sz w:val="14"/>
          <w:szCs w:val="14"/>
        </w:rPr>
      </w:pPr>
      <w:r w:rsidRPr="004036F9">
        <w:rPr>
          <w:rStyle w:val="Refdenotaalpie"/>
          <w:rFonts w:ascii="Verdana" w:hAnsi="Verdana" w:cs="Arial"/>
          <w:sz w:val="14"/>
          <w:szCs w:val="14"/>
        </w:rPr>
        <w:footnoteRef/>
      </w:r>
      <w:r w:rsidRPr="004036F9">
        <w:rPr>
          <w:rFonts w:ascii="Verdana" w:hAnsi="Verdana" w:cs="Arial"/>
          <w:sz w:val="14"/>
          <w:szCs w:val="14"/>
        </w:rPr>
        <w:t xml:space="preserve"> </w:t>
      </w:r>
      <w:r w:rsidRPr="004036F9">
        <w:rPr>
          <w:rFonts w:ascii="Verdana" w:eastAsia="Calibri" w:hAnsi="Verdana" w:cs="Arial"/>
          <w:color w:val="000000" w:themeColor="text1"/>
          <w:sz w:val="14"/>
          <w:szCs w:val="14"/>
        </w:rPr>
        <w:t xml:space="preserve">Mediante la </w:t>
      </w:r>
      <w:r w:rsidRPr="004036F9">
        <w:rPr>
          <w:rFonts w:ascii="Verdana" w:eastAsia="Calibri" w:hAnsi="Verdana" w:cs="Arial"/>
          <w:color w:val="000000" w:themeColor="text1"/>
          <w:sz w:val="14"/>
          <w:szCs w:val="14"/>
          <w:lang w:val="es-ES_tradnl"/>
        </w:rPr>
        <w:t xml:space="preserve">Resolución 161 del 17 de junio de 2021 </w:t>
      </w:r>
      <w:r w:rsidRPr="004036F9">
        <w:rPr>
          <w:rFonts w:ascii="Verdana" w:eastAsia="Calibri" w:hAnsi="Verdana" w:cs="Arial"/>
          <w:bCs/>
          <w:color w:val="000000" w:themeColor="text1"/>
          <w:sz w:val="14"/>
          <w:szCs w:val="14"/>
        </w:rPr>
        <w:t xml:space="preserve">se </w:t>
      </w:r>
      <w:r w:rsidRPr="004036F9">
        <w:rPr>
          <w:rFonts w:ascii="Verdana" w:eastAsia="Calibri" w:hAnsi="Verdana" w:cs="Arial"/>
          <w:bCs/>
          <w:color w:val="000000" w:themeColor="text1"/>
          <w:sz w:val="14"/>
          <w:szCs w:val="14"/>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w:t>
      </w:r>
      <w:r w:rsidRPr="004036F9">
        <w:rPr>
          <w:rFonts w:ascii="Verdana" w:eastAsia="Calibri" w:hAnsi="Verdana" w:cs="Arial"/>
          <w:color w:val="000000" w:themeColor="text1"/>
          <w:sz w:val="14"/>
          <w:szCs w:val="14"/>
          <w:lang w:val="es-ES_tradnl"/>
        </w:rPr>
        <w:t xml:space="preserve"> Igualmente, se expidió la Resolución 173 del 30 de junio de 2021 mediante la cual se modificaron las Matrices 1 – Experiencia de los documentos tipo del sector de agua potable y saneamiento básico y su implementación resulta obligatoria para los procesos de contratación cuyo aviso de convocatoria se publique a partir del 12 de julio de 2021. Además, </w:t>
      </w:r>
      <w:r w:rsidRPr="004036F9">
        <w:rPr>
          <w:rFonts w:ascii="Verdana" w:eastAsia="Calibri" w:hAnsi="Verdana" w:cs="Arial"/>
          <w:bCs/>
          <w:color w:val="000000" w:themeColor="text1"/>
          <w:sz w:val="14"/>
          <w:szCs w:val="14"/>
          <w:lang w:val="es-ES_tradnl"/>
        </w:rPr>
        <w:t>el 13 de octubre se expidió la Resolución 304 del 2021</w:t>
      </w:r>
      <w:r w:rsidRPr="004036F9">
        <w:rPr>
          <w:rFonts w:ascii="Verdana" w:eastAsia="Calibri" w:hAnsi="Verdana" w:cs="Arial"/>
          <w:color w:val="000000" w:themeColor="text1"/>
          <w:sz w:val="14"/>
          <w:szCs w:val="14"/>
        </w:rPr>
        <w:t xml:space="preserve"> </w:t>
      </w:r>
      <w:r w:rsidRPr="004036F9">
        <w:rPr>
          <w:rFonts w:ascii="Verdana" w:eastAsia="Calibri" w:hAnsi="Verdana" w:cs="Arial"/>
          <w:bCs/>
          <w:color w:val="000000" w:themeColor="text1"/>
          <w:sz w:val="14"/>
          <w:szCs w:val="14"/>
          <w:lang w:val="es-ES_tradnl"/>
        </w:rPr>
        <w:t>«</w:t>
      </w:r>
      <w:r w:rsidRPr="004036F9">
        <w:rPr>
          <w:rFonts w:ascii="Verdana" w:eastAsia="Calibri" w:hAnsi="Verdana" w:cs="Arial"/>
          <w:bCs/>
          <w:color w:val="000000" w:themeColor="text1"/>
          <w:sz w:val="14"/>
          <w:szCs w:val="14"/>
        </w:rPr>
        <w:t>Por la cual se modifican los Documentos Tipo adoptados por la Agencia Nacional de Contratación Pública -Colombia Compra Eficiente</w:t>
      </w:r>
      <w:r w:rsidRPr="004036F9">
        <w:rPr>
          <w:rFonts w:ascii="Verdana" w:eastAsia="Calibri" w:hAnsi="Verdana" w:cs="Arial"/>
          <w:bCs/>
          <w:color w:val="000000" w:themeColor="text1"/>
          <w:sz w:val="14"/>
          <w:szCs w:val="14"/>
          <w:lang w:val="es-ES_tradnl"/>
        </w:rPr>
        <w:t>», mediante la cual se ajustan los documentos tipo de acuerdo con el Decreto 680 de 2021 y se modifican otros aspectos de estos documentos.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E775FAA"/>
    <w:multiLevelType w:val="hybridMultilevel"/>
    <w:tmpl w:val="B51687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C6E083E"/>
    <w:multiLevelType w:val="hybridMultilevel"/>
    <w:tmpl w:val="281AD6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1E1561"/>
    <w:multiLevelType w:val="hybridMultilevel"/>
    <w:tmpl w:val="FFFFFFFF"/>
    <w:lvl w:ilvl="0" w:tplc="5132694A">
      <w:start w:val="1"/>
      <w:numFmt w:val="bullet"/>
      <w:lvlText w:val=""/>
      <w:lvlJc w:val="left"/>
      <w:pPr>
        <w:ind w:left="644" w:hanging="360"/>
      </w:pPr>
      <w:rPr>
        <w:rFonts w:ascii="Symbol" w:eastAsia="Times New Roman" w:hAnsi="Symbol" w:hint="default"/>
      </w:rPr>
    </w:lvl>
    <w:lvl w:ilvl="1" w:tplc="240A0003">
      <w:start w:val="1"/>
      <w:numFmt w:val="bullet"/>
      <w:lvlText w:val="o"/>
      <w:lvlJc w:val="left"/>
      <w:pPr>
        <w:ind w:left="1364" w:hanging="360"/>
      </w:pPr>
      <w:rPr>
        <w:rFonts w:ascii="Courier New" w:hAnsi="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84165CF"/>
    <w:multiLevelType w:val="hybridMultilevel"/>
    <w:tmpl w:val="6D0CDC58"/>
    <w:lvl w:ilvl="0" w:tplc="3E4C363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3461327">
    <w:abstractNumId w:val="7"/>
  </w:num>
  <w:num w:numId="2" w16cid:durableId="2050832258">
    <w:abstractNumId w:val="2"/>
  </w:num>
  <w:num w:numId="3" w16cid:durableId="463889174">
    <w:abstractNumId w:val="5"/>
  </w:num>
  <w:num w:numId="4" w16cid:durableId="1731150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891856">
    <w:abstractNumId w:val="2"/>
  </w:num>
  <w:num w:numId="6" w16cid:durableId="518813629">
    <w:abstractNumId w:val="17"/>
  </w:num>
  <w:num w:numId="7" w16cid:durableId="930971236">
    <w:abstractNumId w:val="6"/>
  </w:num>
  <w:num w:numId="8" w16cid:durableId="3943875">
    <w:abstractNumId w:val="16"/>
  </w:num>
  <w:num w:numId="9" w16cid:durableId="2096434136">
    <w:abstractNumId w:val="8"/>
  </w:num>
  <w:num w:numId="10" w16cid:durableId="2089959043">
    <w:abstractNumId w:val="15"/>
  </w:num>
  <w:num w:numId="11" w16cid:durableId="1305547514">
    <w:abstractNumId w:val="9"/>
  </w:num>
  <w:num w:numId="12" w16cid:durableId="2052313">
    <w:abstractNumId w:val="1"/>
  </w:num>
  <w:num w:numId="13" w16cid:durableId="737554939">
    <w:abstractNumId w:val="4"/>
  </w:num>
  <w:num w:numId="14" w16cid:durableId="1477449189">
    <w:abstractNumId w:val="18"/>
  </w:num>
  <w:num w:numId="15" w16cid:durableId="250047524">
    <w:abstractNumId w:val="13"/>
  </w:num>
  <w:num w:numId="16" w16cid:durableId="2075739769">
    <w:abstractNumId w:val="0"/>
  </w:num>
  <w:num w:numId="17" w16cid:durableId="324630732">
    <w:abstractNumId w:val="10"/>
  </w:num>
  <w:num w:numId="18" w16cid:durableId="1401563990">
    <w:abstractNumId w:val="14"/>
  </w:num>
  <w:num w:numId="19" w16cid:durableId="1797287325">
    <w:abstractNumId w:val="11"/>
  </w:num>
  <w:num w:numId="20" w16cid:durableId="1375811861">
    <w:abstractNumId w:val="12"/>
  </w:num>
  <w:num w:numId="21" w16cid:durableId="1963609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83FC0"/>
    <w:rsid w:val="001B3AF1"/>
    <w:rsid w:val="001D280F"/>
    <w:rsid w:val="001E4177"/>
    <w:rsid w:val="001E6322"/>
    <w:rsid w:val="001F7DC6"/>
    <w:rsid w:val="00217DFD"/>
    <w:rsid w:val="002421BB"/>
    <w:rsid w:val="002549AB"/>
    <w:rsid w:val="0025796E"/>
    <w:rsid w:val="002707A2"/>
    <w:rsid w:val="002951A0"/>
    <w:rsid w:val="002962BC"/>
    <w:rsid w:val="002A093D"/>
    <w:rsid w:val="002A0DD0"/>
    <w:rsid w:val="002A49AC"/>
    <w:rsid w:val="002A64FD"/>
    <w:rsid w:val="002C7A84"/>
    <w:rsid w:val="002D35DA"/>
    <w:rsid w:val="002E4FD9"/>
    <w:rsid w:val="002E7EF8"/>
    <w:rsid w:val="00322A85"/>
    <w:rsid w:val="00324168"/>
    <w:rsid w:val="003448F4"/>
    <w:rsid w:val="00374F5E"/>
    <w:rsid w:val="00377E3E"/>
    <w:rsid w:val="0039126F"/>
    <w:rsid w:val="003A26D1"/>
    <w:rsid w:val="003A779E"/>
    <w:rsid w:val="003A7D20"/>
    <w:rsid w:val="003C273D"/>
    <w:rsid w:val="003D0F4D"/>
    <w:rsid w:val="003D5B0D"/>
    <w:rsid w:val="003E0499"/>
    <w:rsid w:val="003F3941"/>
    <w:rsid w:val="00406575"/>
    <w:rsid w:val="00410404"/>
    <w:rsid w:val="0042722E"/>
    <w:rsid w:val="0044528D"/>
    <w:rsid w:val="00464602"/>
    <w:rsid w:val="004845E2"/>
    <w:rsid w:val="004A1847"/>
    <w:rsid w:val="004A305D"/>
    <w:rsid w:val="004F21C4"/>
    <w:rsid w:val="004F685F"/>
    <w:rsid w:val="00504C99"/>
    <w:rsid w:val="005566E8"/>
    <w:rsid w:val="00574867"/>
    <w:rsid w:val="00591460"/>
    <w:rsid w:val="00592628"/>
    <w:rsid w:val="005C3777"/>
    <w:rsid w:val="005C5CDC"/>
    <w:rsid w:val="005D476C"/>
    <w:rsid w:val="00610812"/>
    <w:rsid w:val="006219F8"/>
    <w:rsid w:val="006342EB"/>
    <w:rsid w:val="00650FF7"/>
    <w:rsid w:val="00656B46"/>
    <w:rsid w:val="00665D70"/>
    <w:rsid w:val="00671DAC"/>
    <w:rsid w:val="006900D9"/>
    <w:rsid w:val="00691592"/>
    <w:rsid w:val="00693EEC"/>
    <w:rsid w:val="006D12F8"/>
    <w:rsid w:val="00706C16"/>
    <w:rsid w:val="00752793"/>
    <w:rsid w:val="00756841"/>
    <w:rsid w:val="007649AB"/>
    <w:rsid w:val="00771D0C"/>
    <w:rsid w:val="007833AC"/>
    <w:rsid w:val="007B268C"/>
    <w:rsid w:val="007B7171"/>
    <w:rsid w:val="007C0C0F"/>
    <w:rsid w:val="007C3DC2"/>
    <w:rsid w:val="007E5497"/>
    <w:rsid w:val="00806F5F"/>
    <w:rsid w:val="00816DE4"/>
    <w:rsid w:val="00820278"/>
    <w:rsid w:val="0085443E"/>
    <w:rsid w:val="008843B6"/>
    <w:rsid w:val="00891928"/>
    <w:rsid w:val="008A446D"/>
    <w:rsid w:val="008C0D64"/>
    <w:rsid w:val="008D180B"/>
    <w:rsid w:val="008F0EA7"/>
    <w:rsid w:val="00923EEF"/>
    <w:rsid w:val="009419F9"/>
    <w:rsid w:val="00943CF0"/>
    <w:rsid w:val="0094668C"/>
    <w:rsid w:val="0095685E"/>
    <w:rsid w:val="00961B09"/>
    <w:rsid w:val="00965334"/>
    <w:rsid w:val="0097093E"/>
    <w:rsid w:val="009A0545"/>
    <w:rsid w:val="009A0DFA"/>
    <w:rsid w:val="009B2D26"/>
    <w:rsid w:val="009C71FA"/>
    <w:rsid w:val="009C72E7"/>
    <w:rsid w:val="009D3058"/>
    <w:rsid w:val="009F3A13"/>
    <w:rsid w:val="00A102D8"/>
    <w:rsid w:val="00A122D3"/>
    <w:rsid w:val="00A17F13"/>
    <w:rsid w:val="00A20739"/>
    <w:rsid w:val="00A33C78"/>
    <w:rsid w:val="00A55315"/>
    <w:rsid w:val="00A5669E"/>
    <w:rsid w:val="00A9461E"/>
    <w:rsid w:val="00AB0ADB"/>
    <w:rsid w:val="00B01B1A"/>
    <w:rsid w:val="00B6271B"/>
    <w:rsid w:val="00B72CD3"/>
    <w:rsid w:val="00B72FFF"/>
    <w:rsid w:val="00BC3D36"/>
    <w:rsid w:val="00BD7F72"/>
    <w:rsid w:val="00C04FB3"/>
    <w:rsid w:val="00C330EB"/>
    <w:rsid w:val="00C754BE"/>
    <w:rsid w:val="00C76B1C"/>
    <w:rsid w:val="00C81329"/>
    <w:rsid w:val="00C944DC"/>
    <w:rsid w:val="00CA7D97"/>
    <w:rsid w:val="00CB6357"/>
    <w:rsid w:val="00CC1B26"/>
    <w:rsid w:val="00CD501E"/>
    <w:rsid w:val="00D1682D"/>
    <w:rsid w:val="00D423A2"/>
    <w:rsid w:val="00D475A4"/>
    <w:rsid w:val="00D520D8"/>
    <w:rsid w:val="00D565CC"/>
    <w:rsid w:val="00D63AC2"/>
    <w:rsid w:val="00D6647B"/>
    <w:rsid w:val="00D7383B"/>
    <w:rsid w:val="00D77BA0"/>
    <w:rsid w:val="00DA231B"/>
    <w:rsid w:val="00DA23A0"/>
    <w:rsid w:val="00DB6A48"/>
    <w:rsid w:val="00DC39FC"/>
    <w:rsid w:val="00DF5254"/>
    <w:rsid w:val="00E16408"/>
    <w:rsid w:val="00E20894"/>
    <w:rsid w:val="00E245AB"/>
    <w:rsid w:val="00E259F3"/>
    <w:rsid w:val="00E2764C"/>
    <w:rsid w:val="00E27F2E"/>
    <w:rsid w:val="00E413EA"/>
    <w:rsid w:val="00E50AFE"/>
    <w:rsid w:val="00E75C92"/>
    <w:rsid w:val="00E771DC"/>
    <w:rsid w:val="00E8772A"/>
    <w:rsid w:val="00E90F6B"/>
    <w:rsid w:val="00E92C27"/>
    <w:rsid w:val="00EA0E3D"/>
    <w:rsid w:val="00EA6189"/>
    <w:rsid w:val="00EB772B"/>
    <w:rsid w:val="00EC38A7"/>
    <w:rsid w:val="00EC5E98"/>
    <w:rsid w:val="00EE1AA8"/>
    <w:rsid w:val="00F15975"/>
    <w:rsid w:val="00F31EDC"/>
    <w:rsid w:val="00F3461A"/>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342EB"/>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342EB"/>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435369736">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3465736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ontent/03-documentos-tipo-de-interventoria-de-obra-publica-de-infraestructura-de-agua-potable-y"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am02.safelinks.protection.outlook.com/?url=https%3A%2F%2Fwww.colombiacompra.gov.co%2Fsala-de-prensa%2Fboletin-digital%2Fboletin-de-relatoria-2024-iv&amp;data=05%7C02%7Chector.quinones%40colombiacompra.gov.co%7C616b83c3423e4d31151908dce489c00d%7C7b09041e245149d08cb179d5e3d8c1be%7C0%7C0%7C638636527543180320%7CUnknown%7CTWFpbGZsb3d8eyJWIjoiMC4wLjAwMDAiLCJQIjoiV2luMzIiLCJBTiI6Ik1haWwiLCJXVCI6Mn0%3D%7C0%7C%7C%7C&amp;sdata=cjluQqFbINDr0SwlpwhVpYKvhIRB%2F%2BnD8mCLM2BjqPI%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relatoria.colombiacompra.gov.co%2F&amp;data=05%7C02%7Csergio.caballero%40colombiacompra.gov.co%7C5aad36a736844ec87b2108dcc1fa4639%7C7b09041e245149d08cb179d5e3d8c1be%7C0%7C0%7C638598527918222614%7CUnknown%7CTWFpbGZsb3d8eyJWIjoiMC4wLjAwMDAiLCJQIjoiV2luMzIiLCJBTiI6Ik1haWwiLCJXVCI6Mn0%3D%7C0%7C%7C%7C&amp;sdata=h8WOGB2loApehe%2F7QeGo2PCeSePiffWRTR4AMN1Rht0%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analeja1385@gmail.com" TargetMode="External"/><Relationship Id="rId5" Type="http://schemas.openxmlformats.org/officeDocument/2006/relationships/numbering" Target="numbering.xml"/><Relationship Id="rId15" Type="http://schemas.openxmlformats.org/officeDocument/2006/relationships/hyperlink" Target="https://www.colombiacompra.gov.co/documentos-tipo/documentos-tip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content/03-documentos-tipo-de-interventoria-de-obra-publica-de-infraestructura-de-agua-potable-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F36CD-8F33-4DA5-BF7E-F12127CD124B}">
  <ds:schemaRefs>
    <ds:schemaRef ds:uri="http://schemas.openxmlformats.org/officeDocument/2006/bibliography"/>
  </ds:schemaRefs>
</ds:datastoreItem>
</file>

<file path=customXml/itemProps2.xml><?xml version="1.0" encoding="utf-8"?>
<ds:datastoreItem xmlns:ds="http://schemas.openxmlformats.org/officeDocument/2006/customXml" ds:itemID="{7091E9A3-74FB-454F-B036-EBAB0978E5D7}"/>
</file>

<file path=customXml/itemProps3.xml><?xml version="1.0" encoding="utf-8"?>
<ds:datastoreItem xmlns:ds="http://schemas.openxmlformats.org/officeDocument/2006/customXml" ds:itemID="{163618BE-28CB-4D69-955E-CDA788483BED}">
  <ds:schemaRefs>
    <ds:schemaRef ds:uri="http://purl.org/dc/elements/1.1/"/>
    <ds:schemaRef ds:uri="http://schemas.microsoft.com/office/2006/documentManagement/types"/>
    <ds:schemaRef ds:uri="http://www.w3.org/XML/1998/namespace"/>
    <ds:schemaRef ds:uri="8ae15d26-076e-464e-81a7-6f76a0fb3917"/>
    <ds:schemaRef ds:uri="http://schemas.microsoft.com/office/infopath/2007/PartnerControls"/>
    <ds:schemaRef ds:uri="http://schemas.openxmlformats.org/package/2006/metadata/core-properties"/>
    <ds:schemaRef ds:uri="http://schemas.microsoft.com/office/2006/metadata/properties"/>
    <ds:schemaRef ds:uri="36c82cfe-0eda-494d-b392-a9281b89aaf0"/>
    <ds:schemaRef ds:uri="http://purl.org/dc/dcmitype/"/>
    <ds:schemaRef ds:uri="http://purl.org/dc/terms/"/>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2537</Words>
  <Characters>13955</Characters>
  <Application>Microsoft Office Word</Application>
  <DocSecurity>0</DocSecurity>
  <Lines>116</Lines>
  <Paragraphs>32</Paragraphs>
  <ScaleCrop>false</ScaleCrop>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Hector Luis Quiñones Quiñones</cp:lastModifiedBy>
  <cp:revision>4</cp:revision>
  <cp:lastPrinted>2023-01-10T21:18:00Z</cp:lastPrinted>
  <dcterms:created xsi:type="dcterms:W3CDTF">2024-10-23T11:37:00Z</dcterms:created>
  <dcterms:modified xsi:type="dcterms:W3CDTF">2024-10-30T14:29:00Z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