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4D82" w14:textId="77777777" w:rsidR="00871B59" w:rsidRDefault="00871B59" w:rsidP="00871B59">
      <w:pPr>
        <w:spacing w:after="0" w:line="240" w:lineRule="auto"/>
        <w:rPr>
          <w:rFonts w:ascii="Verdana" w:eastAsia="Geomanist Light" w:hAnsi="Verdana" w:cs="Arial"/>
          <w:color w:val="000000" w:themeColor="text1"/>
          <w:lang w:val="es-MX"/>
        </w:rPr>
      </w:pPr>
    </w:p>
    <w:p w14:paraId="4214411A" w14:textId="77777777" w:rsidR="00871B59" w:rsidRDefault="00871B59" w:rsidP="00871B59">
      <w:pPr>
        <w:spacing w:after="0" w:line="240" w:lineRule="auto"/>
        <w:rPr>
          <w:rFonts w:ascii="Verdana" w:eastAsia="Geomanist Light" w:hAnsi="Verdana" w:cs="Arial"/>
          <w:color w:val="000000" w:themeColor="text1"/>
          <w:lang w:val="es-MX"/>
        </w:rPr>
      </w:pPr>
    </w:p>
    <w:p w14:paraId="1E126A39" w14:textId="77777777" w:rsidR="00871B59" w:rsidRDefault="00871B59" w:rsidP="00871B59">
      <w:pPr>
        <w:spacing w:after="0" w:line="240" w:lineRule="auto"/>
        <w:rPr>
          <w:rFonts w:ascii="Verdana" w:eastAsia="Geomanist Light" w:hAnsi="Verdana" w:cs="Arial"/>
          <w:color w:val="000000" w:themeColor="text1"/>
          <w:lang w:val="es-MX"/>
        </w:rPr>
      </w:pPr>
    </w:p>
    <w:p w14:paraId="4381D623" w14:textId="77777777" w:rsidR="00871B59" w:rsidRDefault="00871B59" w:rsidP="00871B59">
      <w:pPr>
        <w:spacing w:after="0" w:line="240" w:lineRule="auto"/>
        <w:rPr>
          <w:rFonts w:ascii="Verdana" w:eastAsia="Geomanist Light" w:hAnsi="Verdana" w:cs="Arial"/>
          <w:color w:val="000000" w:themeColor="text1"/>
          <w:lang w:val="es-MX"/>
        </w:rPr>
      </w:pPr>
    </w:p>
    <w:p w14:paraId="488867D5" w14:textId="77046F19" w:rsidR="006716F6" w:rsidRDefault="006716F6" w:rsidP="00871B59">
      <w:pPr>
        <w:spacing w:after="0" w:line="240" w:lineRule="auto"/>
        <w:rPr>
          <w:rFonts w:ascii="Verdana" w:eastAsia="Geomanist Light" w:hAnsi="Verdana" w:cs="Arial"/>
          <w:color w:val="000000" w:themeColor="text1"/>
          <w:lang w:val="es-MX"/>
        </w:rPr>
      </w:pPr>
      <w:r w:rsidRPr="006716F6">
        <w:rPr>
          <w:rFonts w:ascii="Verdana" w:eastAsia="Geomanist Light" w:hAnsi="Verdana" w:cs="Arial"/>
          <w:b/>
          <w:bCs/>
          <w:color w:val="000000" w:themeColor="text1"/>
          <w:lang w:val="es-ES"/>
        </w:rPr>
        <w:t>CONTRAT</w:t>
      </w:r>
      <w:r>
        <w:rPr>
          <w:rFonts w:ascii="Verdana" w:eastAsia="Geomanist Light" w:hAnsi="Verdana" w:cs="Arial"/>
          <w:b/>
          <w:bCs/>
          <w:color w:val="000000" w:themeColor="text1"/>
          <w:lang w:val="es-ES"/>
        </w:rPr>
        <w:t>ACIÓN DIRECTA</w:t>
      </w:r>
      <w:r w:rsidRPr="006716F6">
        <w:rPr>
          <w:rFonts w:ascii="Verdana" w:eastAsia="Geomanist Light" w:hAnsi="Verdana" w:cs="Arial"/>
          <w:b/>
          <w:bCs/>
          <w:color w:val="000000" w:themeColor="text1"/>
          <w:lang w:val="es-ES"/>
        </w:rPr>
        <w:t>- Concepto</w:t>
      </w:r>
    </w:p>
    <w:p w14:paraId="1EFA0EAF" w14:textId="77777777" w:rsidR="006716F6" w:rsidRDefault="006716F6" w:rsidP="00871B59">
      <w:pPr>
        <w:spacing w:after="0" w:line="240" w:lineRule="auto"/>
        <w:rPr>
          <w:rFonts w:ascii="Verdana" w:eastAsia="Geomanist Light" w:hAnsi="Verdana" w:cs="Arial"/>
          <w:color w:val="000000" w:themeColor="text1"/>
          <w:lang w:val="es-MX"/>
        </w:rPr>
      </w:pPr>
    </w:p>
    <w:p w14:paraId="588790BA" w14:textId="77777777" w:rsidR="00942AD8" w:rsidRPr="00822AEF" w:rsidRDefault="00942AD8" w:rsidP="00942AD8">
      <w:pPr>
        <w:pStyle w:val="ListParagraph"/>
        <w:tabs>
          <w:tab w:val="left" w:pos="284"/>
        </w:tabs>
        <w:spacing w:after="0" w:line="276" w:lineRule="auto"/>
        <w:ind w:left="0"/>
        <w:jc w:val="both"/>
        <w:rPr>
          <w:rFonts w:ascii="Verdana" w:eastAsia="Century Gothic" w:hAnsi="Verdana" w:cs="Century Gothic"/>
        </w:rPr>
      </w:pPr>
      <w:r w:rsidRPr="00822AEF">
        <w:rPr>
          <w:rFonts w:ascii="Verdana" w:eastAsia="Century Gothic" w:hAnsi="Verdana" w:cs="Century Gothic"/>
        </w:rPr>
        <w:t>La contratación directa es una excepción al principio de libre concurrencia y competencia, que se aplica en los procesos de contratación, para que cualquier persona interesada en satisfacer la necesidad de una entidad pueda presentar una oferta. Por ello, es de aplicación restrictiva, esto es, solo procede por las causales señaladas taxativamente en el numeral 4 del artículo 2 de la Ley 1150 de 2007. En tal</w:t>
      </w:r>
      <w:r w:rsidRPr="00822AEF">
        <w:rPr>
          <w:rFonts w:ascii="Verdana" w:eastAsia="Century Gothic" w:hAnsi="Verdana" w:cs="Century Gothic"/>
          <w:b/>
          <w:bCs/>
        </w:rPr>
        <w:t xml:space="preserve"> </w:t>
      </w:r>
      <w:r w:rsidRPr="00822AEF">
        <w:rPr>
          <w:rFonts w:ascii="Verdana" w:eastAsia="Century Gothic" w:hAnsi="Verdana" w:cs="Century Gothic"/>
        </w:rPr>
        <w:t>sentido, su aplicación no puede efectuarse por fuera del contenido normativo citado, ni operar más allá de lo que la misma norma dispone, dentro del contexto del ordenamiento jurídico de la contratación estatal.</w:t>
      </w:r>
    </w:p>
    <w:p w14:paraId="211CEF1C" w14:textId="77777777" w:rsidR="006716F6" w:rsidRPr="00942AD8" w:rsidRDefault="006716F6" w:rsidP="00871B59">
      <w:pPr>
        <w:spacing w:after="0" w:line="240" w:lineRule="auto"/>
        <w:rPr>
          <w:rFonts w:ascii="Verdana" w:eastAsia="Geomanist Light" w:hAnsi="Verdana" w:cs="Arial"/>
          <w:color w:val="000000" w:themeColor="text1"/>
        </w:rPr>
      </w:pPr>
    </w:p>
    <w:p w14:paraId="23F515FD" w14:textId="04730388" w:rsidR="006716F6" w:rsidRPr="00942AD8" w:rsidRDefault="00942AD8" w:rsidP="00942AD8">
      <w:pPr>
        <w:rPr>
          <w:rFonts w:ascii="Verdana" w:eastAsia="Geomanist Light" w:hAnsi="Verdana" w:cs="Arial"/>
          <w:b/>
          <w:bCs/>
          <w:color w:val="000000" w:themeColor="text1"/>
        </w:rPr>
      </w:pPr>
      <w:r w:rsidRPr="006716F6">
        <w:rPr>
          <w:rFonts w:ascii="Verdana" w:eastAsia="Geomanist Light" w:hAnsi="Verdana" w:cs="Arial"/>
          <w:b/>
          <w:bCs/>
          <w:color w:val="000000" w:themeColor="text1"/>
          <w:lang w:val="es-ES"/>
        </w:rPr>
        <w:t>CONTRAT</w:t>
      </w:r>
      <w:r>
        <w:rPr>
          <w:rFonts w:ascii="Verdana" w:eastAsia="Geomanist Light" w:hAnsi="Verdana" w:cs="Arial"/>
          <w:b/>
          <w:bCs/>
          <w:color w:val="000000" w:themeColor="text1"/>
          <w:lang w:val="es-ES"/>
        </w:rPr>
        <w:t xml:space="preserve">O DE PRESTACIÓN DE SERVICIOS </w:t>
      </w:r>
      <w:r w:rsidRPr="006716F6">
        <w:rPr>
          <w:rFonts w:ascii="Verdana" w:eastAsia="Geomanist Light" w:hAnsi="Verdana" w:cs="Arial"/>
          <w:b/>
          <w:bCs/>
          <w:color w:val="000000" w:themeColor="text1"/>
          <w:lang w:val="es-ES"/>
        </w:rPr>
        <w:t xml:space="preserve">- </w:t>
      </w:r>
      <w:r w:rsidRPr="00942AD8">
        <w:rPr>
          <w:rFonts w:ascii="Verdana" w:eastAsia="Geomanist Light" w:hAnsi="Verdana" w:cs="Arial"/>
          <w:b/>
          <w:bCs/>
          <w:color w:val="000000" w:themeColor="text1"/>
          <w:lang w:val="es-MX"/>
        </w:rPr>
        <w:t>Generalidades – Ley 80 de 1993</w:t>
      </w:r>
    </w:p>
    <w:p w14:paraId="312E4E66" w14:textId="77777777" w:rsidR="00942AD8" w:rsidRPr="00942AD8" w:rsidRDefault="00942AD8" w:rsidP="00942AD8">
      <w:pPr>
        <w:tabs>
          <w:tab w:val="left" w:pos="426"/>
        </w:tabs>
        <w:spacing w:after="0" w:line="276" w:lineRule="auto"/>
        <w:jc w:val="both"/>
        <w:rPr>
          <w:rFonts w:ascii="Verdana" w:hAnsi="Verdana" w:cs="Arial"/>
          <w:noProof/>
          <w:lang w:val="es-ES_tradnl"/>
        </w:rPr>
      </w:pPr>
      <w:r w:rsidRPr="00942AD8">
        <w:rPr>
          <w:rFonts w:ascii="Verdana" w:hAnsi="Verdana" w:cs="Arial"/>
          <w:noProof/>
          <w:lang w:val="es-ES_tradnl"/>
        </w:rPr>
        <w:t>El contrato de prestación de servicios es un contrato estatal típico, regulado en el numeral 3º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literal h) numeral 4 del artículo 2 de la Ley 1150 de 2007</w:t>
      </w:r>
    </w:p>
    <w:p w14:paraId="5B5B785A" w14:textId="77777777" w:rsidR="006716F6" w:rsidRDefault="006716F6" w:rsidP="00871B59">
      <w:pPr>
        <w:spacing w:after="0" w:line="240" w:lineRule="auto"/>
        <w:rPr>
          <w:rFonts w:ascii="Verdana" w:eastAsia="Geomanist Light" w:hAnsi="Verdana" w:cs="Arial"/>
          <w:color w:val="000000" w:themeColor="text1"/>
          <w:lang w:val="es-MX"/>
        </w:rPr>
      </w:pPr>
    </w:p>
    <w:p w14:paraId="2B12DF13" w14:textId="62937177" w:rsidR="006716F6" w:rsidRDefault="00942AD8" w:rsidP="00942AD8">
      <w:pPr>
        <w:spacing w:after="0" w:line="240" w:lineRule="auto"/>
        <w:jc w:val="both"/>
        <w:rPr>
          <w:rFonts w:ascii="Verdana" w:eastAsia="Geomanist Light" w:hAnsi="Verdana" w:cs="Arial"/>
          <w:b/>
          <w:bCs/>
          <w:color w:val="000000" w:themeColor="text1"/>
          <w:lang w:val="es-ES"/>
        </w:rPr>
      </w:pPr>
      <w:r w:rsidRPr="006716F6">
        <w:rPr>
          <w:rFonts w:ascii="Verdana" w:eastAsia="Geomanist Light" w:hAnsi="Verdana" w:cs="Arial"/>
          <w:b/>
          <w:bCs/>
          <w:color w:val="000000" w:themeColor="text1"/>
          <w:lang w:val="es-ES"/>
        </w:rPr>
        <w:t>CONTRAT</w:t>
      </w:r>
      <w:r>
        <w:rPr>
          <w:rFonts w:ascii="Verdana" w:eastAsia="Geomanist Light" w:hAnsi="Verdana" w:cs="Arial"/>
          <w:b/>
          <w:bCs/>
          <w:color w:val="000000" w:themeColor="text1"/>
          <w:lang w:val="es-ES"/>
        </w:rPr>
        <w:t>O DE PRESTACIÓN DE SERVICIOS – Pluralidad de contratos de prestación de servicios – Inhabilidades</w:t>
      </w:r>
    </w:p>
    <w:p w14:paraId="641FF2BF" w14:textId="77777777" w:rsidR="00942AD8" w:rsidRDefault="00942AD8" w:rsidP="00942AD8">
      <w:pPr>
        <w:spacing w:after="0" w:line="240" w:lineRule="auto"/>
        <w:jc w:val="both"/>
        <w:rPr>
          <w:rFonts w:ascii="Verdana" w:eastAsia="Geomanist Light" w:hAnsi="Verdana" w:cs="Arial"/>
          <w:b/>
          <w:bCs/>
          <w:color w:val="000000" w:themeColor="text1"/>
          <w:lang w:val="es-ES"/>
        </w:rPr>
      </w:pPr>
    </w:p>
    <w:p w14:paraId="31BB6154" w14:textId="03FE2406" w:rsidR="00942AD8" w:rsidRDefault="00942AD8" w:rsidP="00942AD8">
      <w:pPr>
        <w:pStyle w:val="ListParagraph"/>
        <w:tabs>
          <w:tab w:val="left" w:pos="142"/>
          <w:tab w:val="left" w:pos="284"/>
        </w:tabs>
        <w:spacing w:line="276" w:lineRule="auto"/>
        <w:ind w:left="0"/>
        <w:jc w:val="both"/>
        <w:rPr>
          <w:rFonts w:ascii="Verdana" w:hAnsi="Verdana"/>
        </w:rPr>
      </w:pPr>
      <w:r>
        <w:rPr>
          <w:rFonts w:ascii="Verdana" w:hAnsi="Verdana"/>
        </w:rPr>
        <w:t>L</w:t>
      </w:r>
      <w:r w:rsidRPr="00E9721A">
        <w:rPr>
          <w:rFonts w:ascii="Verdana" w:hAnsi="Verdana"/>
        </w:rPr>
        <w:t>os contratistas de prestación de servicios no están subsumidos en el contexto de la función pública, por lo tanto, no son considerados servidores públicos.</w:t>
      </w:r>
      <w:r>
        <w:rPr>
          <w:rFonts w:ascii="Verdana" w:hAnsi="Verdana"/>
        </w:rPr>
        <w:t xml:space="preserve"> </w:t>
      </w:r>
      <w:r w:rsidRPr="00156839">
        <w:rPr>
          <w:rFonts w:ascii="Verdana" w:hAnsi="Verdana"/>
        </w:rPr>
        <w:t>Es decir, que no existe inhabilidad alguna para que quien ha suscrito un contrato de prestación de servicios, pueda simultáneamente suscribir otro contrato estatal con la misma u otra entidad pública.</w:t>
      </w:r>
    </w:p>
    <w:p w14:paraId="7C9194DA" w14:textId="77777777" w:rsidR="00942AD8" w:rsidRDefault="00942AD8" w:rsidP="00942AD8">
      <w:pPr>
        <w:pStyle w:val="ListParagraph"/>
        <w:tabs>
          <w:tab w:val="left" w:pos="142"/>
          <w:tab w:val="left" w:pos="284"/>
        </w:tabs>
        <w:spacing w:line="276" w:lineRule="auto"/>
        <w:ind w:left="709"/>
        <w:jc w:val="both"/>
        <w:rPr>
          <w:rFonts w:ascii="Verdana" w:hAnsi="Verdana"/>
        </w:rPr>
      </w:pPr>
    </w:p>
    <w:p w14:paraId="78085804" w14:textId="77777777" w:rsidR="00942AD8" w:rsidRPr="00B10B47" w:rsidRDefault="00942AD8" w:rsidP="00942AD8">
      <w:pPr>
        <w:pStyle w:val="ListParagraph"/>
        <w:tabs>
          <w:tab w:val="left" w:pos="142"/>
          <w:tab w:val="left" w:pos="284"/>
        </w:tabs>
        <w:spacing w:line="276" w:lineRule="auto"/>
        <w:ind w:left="0"/>
        <w:jc w:val="both"/>
        <w:rPr>
          <w:rFonts w:ascii="Verdana" w:hAnsi="Verdana"/>
        </w:rPr>
      </w:pPr>
      <w:r>
        <w:rPr>
          <w:rFonts w:ascii="Verdana" w:hAnsi="Verdana"/>
        </w:rPr>
        <w:t>Es así como se hace necesario resaltar que l</w:t>
      </w:r>
      <w:r w:rsidRPr="00B10B47">
        <w:rPr>
          <w:rFonts w:ascii="Verdana" w:hAnsi="Verdana"/>
        </w:rPr>
        <w:t xml:space="preserve">as inhabilidades e incompatibilidades son taxativas, expresas y de interpretación restrictiva, sin que puedan buscarse analogías o aducirse razones para hacerlas extensivas a casos no comprendidos por el legislador, pues la voluntad de este no puede ser suplantada, en detrimento de derechos de terceros o de intereses sociales que exigen la sujeción estricta al texto de la ley prohibitiva. </w:t>
      </w:r>
    </w:p>
    <w:p w14:paraId="130688B7" w14:textId="77777777" w:rsidR="00942AD8" w:rsidRDefault="00942AD8" w:rsidP="00942AD8">
      <w:pPr>
        <w:spacing w:after="0" w:line="240" w:lineRule="auto"/>
        <w:jc w:val="both"/>
        <w:rPr>
          <w:rFonts w:ascii="Verdana" w:eastAsia="Geomanist Light" w:hAnsi="Verdana" w:cs="Arial"/>
          <w:color w:val="000000" w:themeColor="text1"/>
        </w:rPr>
      </w:pPr>
    </w:p>
    <w:p w14:paraId="48B18E0B" w14:textId="77777777" w:rsidR="00E36919" w:rsidRDefault="00E36919" w:rsidP="00942AD8">
      <w:pPr>
        <w:spacing w:after="0" w:line="240" w:lineRule="auto"/>
        <w:jc w:val="both"/>
        <w:rPr>
          <w:rFonts w:ascii="Verdana" w:eastAsia="Geomanist Light" w:hAnsi="Verdana" w:cs="Arial"/>
          <w:color w:val="000000" w:themeColor="text1"/>
        </w:rPr>
      </w:pPr>
    </w:p>
    <w:p w14:paraId="31EB4005" w14:textId="77777777" w:rsidR="00E36919" w:rsidRDefault="00E36919" w:rsidP="00942AD8">
      <w:pPr>
        <w:spacing w:after="0" w:line="240" w:lineRule="auto"/>
        <w:jc w:val="both"/>
        <w:rPr>
          <w:rFonts w:ascii="Verdana" w:eastAsia="Geomanist Light" w:hAnsi="Verdana" w:cs="Arial"/>
          <w:color w:val="000000" w:themeColor="text1"/>
        </w:rPr>
      </w:pPr>
    </w:p>
    <w:p w14:paraId="0FF07FAD" w14:textId="77777777" w:rsidR="00E36919" w:rsidRDefault="00E36919" w:rsidP="00942AD8">
      <w:pPr>
        <w:spacing w:after="0" w:line="240" w:lineRule="auto"/>
        <w:jc w:val="both"/>
        <w:rPr>
          <w:rFonts w:ascii="Verdana" w:eastAsia="Geomanist Light" w:hAnsi="Verdana" w:cs="Arial"/>
          <w:color w:val="000000" w:themeColor="text1"/>
        </w:rPr>
      </w:pPr>
    </w:p>
    <w:p w14:paraId="096936F2" w14:textId="77777777" w:rsidR="00E36919" w:rsidRDefault="00E36919" w:rsidP="00942AD8">
      <w:pPr>
        <w:spacing w:after="0" w:line="240" w:lineRule="auto"/>
        <w:jc w:val="both"/>
        <w:rPr>
          <w:rFonts w:ascii="Verdana" w:eastAsia="Geomanist Light" w:hAnsi="Verdana" w:cs="Arial"/>
          <w:color w:val="000000" w:themeColor="text1"/>
        </w:rPr>
      </w:pPr>
    </w:p>
    <w:p w14:paraId="1A22F959" w14:textId="77777777" w:rsidR="00E36919" w:rsidRDefault="00E36919" w:rsidP="00942AD8">
      <w:pPr>
        <w:spacing w:after="0" w:line="240" w:lineRule="auto"/>
        <w:jc w:val="both"/>
        <w:rPr>
          <w:rFonts w:ascii="Verdana" w:eastAsia="Geomanist Light" w:hAnsi="Verdana" w:cs="Arial"/>
          <w:color w:val="000000" w:themeColor="text1"/>
        </w:rPr>
      </w:pPr>
    </w:p>
    <w:p w14:paraId="729A3654" w14:textId="77777777" w:rsidR="00E36919" w:rsidRDefault="00E36919" w:rsidP="00942AD8">
      <w:pPr>
        <w:spacing w:after="0" w:line="240" w:lineRule="auto"/>
        <w:jc w:val="both"/>
        <w:rPr>
          <w:rFonts w:ascii="Verdana" w:eastAsia="Geomanist Light" w:hAnsi="Verdana" w:cs="Arial"/>
          <w:color w:val="000000" w:themeColor="text1"/>
        </w:rPr>
      </w:pPr>
    </w:p>
    <w:p w14:paraId="5E87CA24" w14:textId="77777777" w:rsidR="00E36919" w:rsidRDefault="00E36919" w:rsidP="00942AD8">
      <w:pPr>
        <w:spacing w:after="0" w:line="240" w:lineRule="auto"/>
        <w:jc w:val="both"/>
        <w:rPr>
          <w:rFonts w:ascii="Verdana" w:eastAsia="Geomanist Light" w:hAnsi="Verdana" w:cs="Arial"/>
          <w:color w:val="000000" w:themeColor="text1"/>
        </w:rPr>
      </w:pPr>
    </w:p>
    <w:p w14:paraId="5767AAA6" w14:textId="77777777" w:rsidR="00E36919" w:rsidRDefault="00E36919" w:rsidP="00942AD8">
      <w:pPr>
        <w:spacing w:after="0" w:line="240" w:lineRule="auto"/>
        <w:jc w:val="both"/>
        <w:rPr>
          <w:rFonts w:ascii="Verdana" w:eastAsia="Geomanist Light" w:hAnsi="Verdana" w:cs="Arial"/>
          <w:color w:val="000000" w:themeColor="text1"/>
        </w:rPr>
      </w:pPr>
    </w:p>
    <w:p w14:paraId="149097D8" w14:textId="77777777" w:rsidR="00E36919" w:rsidRDefault="00E36919" w:rsidP="00942AD8">
      <w:pPr>
        <w:spacing w:after="0" w:line="240" w:lineRule="auto"/>
        <w:jc w:val="both"/>
        <w:rPr>
          <w:rFonts w:ascii="Verdana" w:eastAsia="Geomanist Light" w:hAnsi="Verdana" w:cs="Arial"/>
          <w:color w:val="000000" w:themeColor="text1"/>
        </w:rPr>
      </w:pPr>
    </w:p>
    <w:p w14:paraId="3970ED94" w14:textId="77777777" w:rsidR="00E36919" w:rsidRDefault="00E36919" w:rsidP="00942AD8">
      <w:pPr>
        <w:spacing w:after="0" w:line="240" w:lineRule="auto"/>
        <w:jc w:val="both"/>
        <w:rPr>
          <w:rFonts w:ascii="Verdana" w:eastAsia="Geomanist Light" w:hAnsi="Verdana" w:cs="Arial"/>
          <w:color w:val="000000" w:themeColor="text1"/>
        </w:rPr>
      </w:pPr>
    </w:p>
    <w:p w14:paraId="7393A29C" w14:textId="77777777" w:rsidR="00E36919" w:rsidRDefault="00E36919" w:rsidP="00942AD8">
      <w:pPr>
        <w:spacing w:after="0" w:line="240" w:lineRule="auto"/>
        <w:jc w:val="both"/>
        <w:rPr>
          <w:rFonts w:ascii="Verdana" w:eastAsia="Geomanist Light" w:hAnsi="Verdana" w:cs="Arial"/>
          <w:color w:val="000000" w:themeColor="text1"/>
        </w:rPr>
      </w:pPr>
    </w:p>
    <w:p w14:paraId="77F0234A" w14:textId="77777777" w:rsidR="00E36919" w:rsidRDefault="00E36919" w:rsidP="00942AD8">
      <w:pPr>
        <w:spacing w:after="0" w:line="240" w:lineRule="auto"/>
        <w:jc w:val="both"/>
        <w:rPr>
          <w:rFonts w:ascii="Verdana" w:eastAsia="Geomanist Light" w:hAnsi="Verdana" w:cs="Arial"/>
          <w:color w:val="000000" w:themeColor="text1"/>
        </w:rPr>
      </w:pPr>
    </w:p>
    <w:p w14:paraId="18F626BC" w14:textId="77777777" w:rsidR="00E36919" w:rsidRDefault="00E36919" w:rsidP="00942AD8">
      <w:pPr>
        <w:spacing w:after="0" w:line="240" w:lineRule="auto"/>
        <w:jc w:val="both"/>
        <w:rPr>
          <w:rFonts w:ascii="Verdana" w:eastAsia="Geomanist Light" w:hAnsi="Verdana" w:cs="Arial"/>
          <w:color w:val="000000" w:themeColor="text1"/>
        </w:rPr>
      </w:pPr>
    </w:p>
    <w:p w14:paraId="3AE78EA4" w14:textId="77777777" w:rsidR="00E36919" w:rsidRDefault="00E36919" w:rsidP="00942AD8">
      <w:pPr>
        <w:spacing w:after="0" w:line="240" w:lineRule="auto"/>
        <w:jc w:val="both"/>
        <w:rPr>
          <w:rFonts w:ascii="Verdana" w:eastAsia="Geomanist Light" w:hAnsi="Verdana" w:cs="Arial"/>
          <w:color w:val="000000" w:themeColor="text1"/>
        </w:rPr>
      </w:pPr>
    </w:p>
    <w:p w14:paraId="2A5A1F20" w14:textId="77777777" w:rsidR="00E36919" w:rsidRDefault="00E36919" w:rsidP="00942AD8">
      <w:pPr>
        <w:spacing w:after="0" w:line="240" w:lineRule="auto"/>
        <w:jc w:val="both"/>
        <w:rPr>
          <w:rFonts w:ascii="Verdana" w:eastAsia="Geomanist Light" w:hAnsi="Verdana" w:cs="Arial"/>
          <w:color w:val="000000" w:themeColor="text1"/>
        </w:rPr>
      </w:pPr>
    </w:p>
    <w:p w14:paraId="7574FF66" w14:textId="77777777" w:rsidR="00E36919" w:rsidRDefault="00E36919" w:rsidP="00942AD8">
      <w:pPr>
        <w:spacing w:after="0" w:line="240" w:lineRule="auto"/>
        <w:jc w:val="both"/>
        <w:rPr>
          <w:rFonts w:ascii="Verdana" w:eastAsia="Geomanist Light" w:hAnsi="Verdana" w:cs="Arial"/>
          <w:color w:val="000000" w:themeColor="text1"/>
        </w:rPr>
      </w:pPr>
    </w:p>
    <w:p w14:paraId="7D224209" w14:textId="77777777" w:rsidR="00E36919" w:rsidRDefault="00E36919" w:rsidP="00942AD8">
      <w:pPr>
        <w:spacing w:after="0" w:line="240" w:lineRule="auto"/>
        <w:jc w:val="both"/>
        <w:rPr>
          <w:rFonts w:ascii="Verdana" w:eastAsia="Geomanist Light" w:hAnsi="Verdana" w:cs="Arial"/>
          <w:color w:val="000000" w:themeColor="text1"/>
        </w:rPr>
      </w:pPr>
    </w:p>
    <w:p w14:paraId="55D56130" w14:textId="77777777" w:rsidR="00E36919" w:rsidRDefault="00E36919" w:rsidP="00942AD8">
      <w:pPr>
        <w:spacing w:after="0" w:line="240" w:lineRule="auto"/>
        <w:jc w:val="both"/>
        <w:rPr>
          <w:rFonts w:ascii="Verdana" w:eastAsia="Geomanist Light" w:hAnsi="Verdana" w:cs="Arial"/>
          <w:color w:val="000000" w:themeColor="text1"/>
        </w:rPr>
      </w:pPr>
    </w:p>
    <w:p w14:paraId="38A02C86" w14:textId="77777777" w:rsidR="00E36919" w:rsidRDefault="00E36919" w:rsidP="00942AD8">
      <w:pPr>
        <w:spacing w:after="0" w:line="240" w:lineRule="auto"/>
        <w:jc w:val="both"/>
        <w:rPr>
          <w:rFonts w:ascii="Verdana" w:eastAsia="Geomanist Light" w:hAnsi="Verdana" w:cs="Arial"/>
          <w:color w:val="000000" w:themeColor="text1"/>
        </w:rPr>
      </w:pPr>
    </w:p>
    <w:p w14:paraId="6331076B" w14:textId="77777777" w:rsidR="00E36919" w:rsidRDefault="00E36919" w:rsidP="00942AD8">
      <w:pPr>
        <w:spacing w:after="0" w:line="240" w:lineRule="auto"/>
        <w:jc w:val="both"/>
        <w:rPr>
          <w:rFonts w:ascii="Verdana" w:eastAsia="Geomanist Light" w:hAnsi="Verdana" w:cs="Arial"/>
          <w:color w:val="000000" w:themeColor="text1"/>
        </w:rPr>
      </w:pPr>
    </w:p>
    <w:p w14:paraId="0DBB8FAF" w14:textId="77777777" w:rsidR="00E36919" w:rsidRDefault="00E36919" w:rsidP="00942AD8">
      <w:pPr>
        <w:spacing w:after="0" w:line="240" w:lineRule="auto"/>
        <w:jc w:val="both"/>
        <w:rPr>
          <w:rFonts w:ascii="Verdana" w:eastAsia="Geomanist Light" w:hAnsi="Verdana" w:cs="Arial"/>
          <w:color w:val="000000" w:themeColor="text1"/>
        </w:rPr>
      </w:pPr>
    </w:p>
    <w:p w14:paraId="340B83CE" w14:textId="77777777" w:rsidR="00E36919" w:rsidRDefault="00E36919" w:rsidP="00942AD8">
      <w:pPr>
        <w:spacing w:after="0" w:line="240" w:lineRule="auto"/>
        <w:jc w:val="both"/>
        <w:rPr>
          <w:rFonts w:ascii="Verdana" w:eastAsia="Geomanist Light" w:hAnsi="Verdana" w:cs="Arial"/>
          <w:color w:val="000000" w:themeColor="text1"/>
        </w:rPr>
      </w:pPr>
    </w:p>
    <w:p w14:paraId="10A676B2" w14:textId="77777777" w:rsidR="00E36919" w:rsidRDefault="00E36919" w:rsidP="00942AD8">
      <w:pPr>
        <w:spacing w:after="0" w:line="240" w:lineRule="auto"/>
        <w:jc w:val="both"/>
        <w:rPr>
          <w:rFonts w:ascii="Verdana" w:eastAsia="Geomanist Light" w:hAnsi="Verdana" w:cs="Arial"/>
          <w:color w:val="000000" w:themeColor="text1"/>
        </w:rPr>
      </w:pPr>
    </w:p>
    <w:p w14:paraId="541469DE" w14:textId="77777777" w:rsidR="00E36919" w:rsidRDefault="00E36919" w:rsidP="00942AD8">
      <w:pPr>
        <w:spacing w:after="0" w:line="240" w:lineRule="auto"/>
        <w:jc w:val="both"/>
        <w:rPr>
          <w:rFonts w:ascii="Verdana" w:eastAsia="Geomanist Light" w:hAnsi="Verdana" w:cs="Arial"/>
          <w:color w:val="000000" w:themeColor="text1"/>
        </w:rPr>
      </w:pPr>
    </w:p>
    <w:p w14:paraId="41A04FE8" w14:textId="77777777" w:rsidR="00E36919" w:rsidRPr="00942AD8" w:rsidRDefault="00E36919" w:rsidP="00942AD8">
      <w:pPr>
        <w:spacing w:after="0" w:line="240" w:lineRule="auto"/>
        <w:jc w:val="both"/>
        <w:rPr>
          <w:rFonts w:ascii="Verdana" w:eastAsia="Geomanist Light" w:hAnsi="Verdana" w:cs="Arial"/>
          <w:color w:val="000000" w:themeColor="text1"/>
        </w:rPr>
      </w:pPr>
    </w:p>
    <w:p w14:paraId="1B87DF74" w14:textId="77777777" w:rsidR="006716F6" w:rsidRDefault="006716F6" w:rsidP="00871B59">
      <w:pPr>
        <w:spacing w:after="0" w:line="240" w:lineRule="auto"/>
        <w:rPr>
          <w:rFonts w:ascii="Verdana" w:eastAsia="Geomanist Light" w:hAnsi="Verdana" w:cs="Arial"/>
          <w:color w:val="000000" w:themeColor="text1"/>
          <w:lang w:val="es-MX"/>
        </w:rPr>
      </w:pPr>
    </w:p>
    <w:p w14:paraId="39D79EB4" w14:textId="77777777" w:rsidR="006716F6" w:rsidRDefault="006716F6" w:rsidP="00871B59">
      <w:pPr>
        <w:spacing w:after="0" w:line="240" w:lineRule="auto"/>
        <w:rPr>
          <w:rFonts w:ascii="Verdana" w:eastAsia="Geomanist Light" w:hAnsi="Verdana" w:cs="Arial"/>
          <w:color w:val="000000" w:themeColor="text1"/>
          <w:lang w:val="es-MX"/>
        </w:rPr>
      </w:pPr>
    </w:p>
    <w:p w14:paraId="6700D6DA" w14:textId="13007CE7" w:rsidR="00871B59" w:rsidRPr="00593A5F" w:rsidRDefault="002465D6" w:rsidP="00871B59">
      <w:pPr>
        <w:spacing w:after="0" w:line="240" w:lineRule="auto"/>
        <w:rPr>
          <w:rFonts w:ascii="Verdana" w:eastAsia="Geomanist Light" w:hAnsi="Verdana" w:cs="Arial"/>
          <w:color w:val="201F1E"/>
          <w:lang w:val="es-MX"/>
        </w:rPr>
      </w:pPr>
      <w:r w:rsidRPr="002465D6">
        <w:rPr>
          <w:rFonts w:ascii="Verdana" w:eastAsia="Geomanist Light" w:hAnsi="Verdana" w:cs="Arial"/>
          <w:color w:val="000000" w:themeColor="text1"/>
        </w:rPr>
        <w:t>Bogotá D.C., 23 Octubre 2024</w:t>
      </w:r>
    </w:p>
    <w:p w14:paraId="263F56BE" w14:textId="3ED51030" w:rsidR="00871B59" w:rsidRDefault="00CE7A27" w:rsidP="00871B59">
      <w:pPr>
        <w:spacing w:after="0" w:line="240" w:lineRule="auto"/>
        <w:jc w:val="both"/>
        <w:rPr>
          <w:rFonts w:ascii="Verdana" w:eastAsia="Calibri" w:hAnsi="Verdana" w:cs="Arial"/>
          <w:color w:val="000000"/>
          <w:lang w:val="es-ES"/>
        </w:rPr>
      </w:pPr>
      <w:r w:rsidRPr="00CE7A27">
        <w:rPr>
          <w:rFonts w:ascii="Verdana" w:eastAsia="Calibri" w:hAnsi="Verdana" w:cs="Arial"/>
          <w:color w:val="000000"/>
          <w:lang w:val="es-ES"/>
        </w:rPr>
        <w:drawing>
          <wp:anchor distT="0" distB="0" distL="114300" distR="114300" simplePos="0" relativeHeight="251658240" behindDoc="1" locked="0" layoutInCell="1" allowOverlap="1" wp14:anchorId="29EE68F4" wp14:editId="1686E71C">
            <wp:simplePos x="0" y="0"/>
            <wp:positionH relativeFrom="column">
              <wp:posOffset>2672715</wp:posOffset>
            </wp:positionH>
            <wp:positionV relativeFrom="paragraph">
              <wp:posOffset>73025</wp:posOffset>
            </wp:positionV>
            <wp:extent cx="3381375" cy="1028700"/>
            <wp:effectExtent l="0" t="0" r="9525" b="0"/>
            <wp:wrapTight wrapText="bothSides">
              <wp:wrapPolygon edited="0">
                <wp:start x="0" y="0"/>
                <wp:lineTo x="0" y="21200"/>
                <wp:lineTo x="21539" y="21200"/>
                <wp:lineTo x="21539" y="0"/>
                <wp:lineTo x="0" y="0"/>
              </wp:wrapPolygon>
            </wp:wrapTight>
            <wp:docPr id="83815901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901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81375" cy="1028700"/>
                    </a:xfrm>
                    <a:prstGeom prst="rect">
                      <a:avLst/>
                    </a:prstGeom>
                  </pic:spPr>
                </pic:pic>
              </a:graphicData>
            </a:graphic>
          </wp:anchor>
        </w:drawing>
      </w:r>
    </w:p>
    <w:p w14:paraId="4289938D" w14:textId="049CA908" w:rsidR="00B40071" w:rsidRDefault="00B40071" w:rsidP="00871B59">
      <w:pPr>
        <w:spacing w:after="0" w:line="240" w:lineRule="auto"/>
        <w:jc w:val="both"/>
        <w:rPr>
          <w:rFonts w:ascii="Verdana" w:eastAsia="Calibri" w:hAnsi="Verdana" w:cs="Arial"/>
          <w:color w:val="000000"/>
          <w:lang w:val="es-ES"/>
        </w:rPr>
      </w:pPr>
    </w:p>
    <w:p w14:paraId="7E826DFD" w14:textId="00FFB752" w:rsidR="00B40071" w:rsidRDefault="00B40071" w:rsidP="00871B59">
      <w:pPr>
        <w:spacing w:after="0" w:line="240" w:lineRule="auto"/>
        <w:jc w:val="both"/>
        <w:rPr>
          <w:rFonts w:ascii="Verdana" w:eastAsia="Calibri" w:hAnsi="Verdana" w:cs="Arial"/>
          <w:color w:val="000000"/>
          <w:lang w:val="es-ES"/>
        </w:rPr>
      </w:pPr>
    </w:p>
    <w:p w14:paraId="7DAE1B62" w14:textId="77777777" w:rsidR="00B40071" w:rsidRDefault="00B40071" w:rsidP="00871B59">
      <w:pPr>
        <w:spacing w:after="0" w:line="240" w:lineRule="auto"/>
        <w:jc w:val="both"/>
        <w:rPr>
          <w:rFonts w:ascii="Verdana" w:eastAsia="Calibri" w:hAnsi="Verdana" w:cs="Arial"/>
          <w:color w:val="000000"/>
          <w:lang w:val="es-ES"/>
        </w:rPr>
      </w:pPr>
    </w:p>
    <w:p w14:paraId="6DBC6C3C" w14:textId="77777777" w:rsidR="00B40071" w:rsidRDefault="00B40071" w:rsidP="00871B59">
      <w:pPr>
        <w:spacing w:after="0" w:line="240" w:lineRule="auto"/>
        <w:jc w:val="both"/>
        <w:rPr>
          <w:rFonts w:ascii="Verdana" w:eastAsia="Calibri" w:hAnsi="Verdana" w:cs="Arial"/>
          <w:color w:val="000000"/>
          <w:lang w:val="es-ES"/>
        </w:rPr>
      </w:pPr>
    </w:p>
    <w:p w14:paraId="19B3F98E" w14:textId="7C575E99" w:rsidR="00E45649" w:rsidRDefault="00E45649" w:rsidP="00871B59">
      <w:pPr>
        <w:spacing w:after="0" w:line="240" w:lineRule="auto"/>
        <w:jc w:val="both"/>
        <w:rPr>
          <w:rFonts w:ascii="Verdana" w:eastAsia="Calibri" w:hAnsi="Verdana" w:cs="Arial"/>
          <w:color w:val="000000"/>
          <w:lang w:val="es-ES"/>
        </w:rPr>
      </w:pPr>
    </w:p>
    <w:p w14:paraId="582B6C32" w14:textId="0118363F" w:rsidR="00E45649" w:rsidRPr="00593A5F" w:rsidRDefault="00E45649" w:rsidP="00871B59">
      <w:pPr>
        <w:spacing w:after="0" w:line="240" w:lineRule="auto"/>
        <w:jc w:val="both"/>
        <w:rPr>
          <w:rFonts w:ascii="Verdana" w:eastAsia="Calibri" w:hAnsi="Verdana" w:cs="Arial"/>
          <w:color w:val="000000"/>
          <w:lang w:val="es-ES"/>
        </w:rPr>
      </w:pPr>
    </w:p>
    <w:p w14:paraId="7D827FCE" w14:textId="77777777" w:rsidR="00CE7A27" w:rsidRDefault="00CE7A27" w:rsidP="00871B59">
      <w:pPr>
        <w:spacing w:after="0" w:line="240" w:lineRule="auto"/>
        <w:jc w:val="both"/>
        <w:rPr>
          <w:rFonts w:ascii="Verdana" w:eastAsia="Calibri" w:hAnsi="Verdana" w:cs="Arial"/>
          <w:lang w:val="es-ES" w:eastAsia="es-ES"/>
        </w:rPr>
      </w:pPr>
    </w:p>
    <w:p w14:paraId="66EF7FED" w14:textId="0EDADDFA" w:rsidR="00871B59" w:rsidRPr="00B96799" w:rsidRDefault="00871B59" w:rsidP="00871B5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D0B9D30" w14:textId="27D6BB27" w:rsidR="00871B59" w:rsidRPr="00B96799" w:rsidRDefault="00871B59" w:rsidP="00871B59">
      <w:pPr>
        <w:spacing w:after="0" w:line="240" w:lineRule="auto"/>
        <w:rPr>
          <w:rFonts w:ascii="Verdana" w:eastAsia="Calibri" w:hAnsi="Verdana" w:cs="Arial"/>
          <w:b/>
          <w:lang w:val="es-ES_tradnl" w:eastAsia="es-ES_tradnl"/>
        </w:rPr>
      </w:pPr>
      <w:r w:rsidRPr="00B96799">
        <w:rPr>
          <w:rFonts w:ascii="Verdana" w:eastAsia="Calibri" w:hAnsi="Verdana" w:cs="Arial"/>
          <w:b/>
          <w:lang w:val="es-ES_tradnl" w:eastAsia="es-ES_tradnl"/>
        </w:rPr>
        <w:t>J</w:t>
      </w:r>
      <w:r w:rsidR="003C0C09">
        <w:rPr>
          <w:rFonts w:ascii="Verdana" w:eastAsia="Calibri" w:hAnsi="Verdana" w:cs="Arial"/>
          <w:b/>
          <w:lang w:val="es-ES_tradnl" w:eastAsia="es-ES_tradnl"/>
        </w:rPr>
        <w:t>avier Andrés Martínez Rocha</w:t>
      </w:r>
    </w:p>
    <w:p w14:paraId="01CAE797" w14:textId="1512C8BE" w:rsidR="003C0C09" w:rsidRDefault="003C0C09" w:rsidP="00871B59">
      <w:pPr>
        <w:spacing w:after="0" w:line="240" w:lineRule="auto"/>
        <w:rPr>
          <w:rFonts w:ascii="Verdana" w:eastAsia="Calibri" w:hAnsi="Verdana" w:cs="Arial"/>
          <w:u w:val="single"/>
          <w:lang w:val="es-MX" w:eastAsia="es-ES"/>
        </w:rPr>
      </w:pPr>
      <w:hyperlink r:id="rId12" w:history="1">
        <w:r w:rsidRPr="007226D3">
          <w:rPr>
            <w:rStyle w:val="Hyperlink"/>
            <w:rFonts w:ascii="Verdana" w:eastAsia="Calibri" w:hAnsi="Verdana" w:cs="Arial"/>
            <w:lang w:val="es-MX" w:eastAsia="es-ES"/>
          </w:rPr>
          <w:t>javiermr1516@gmail.com</w:t>
        </w:r>
      </w:hyperlink>
    </w:p>
    <w:p w14:paraId="5ACFEA17" w14:textId="09E7B88D" w:rsidR="00871B59" w:rsidRPr="00B96799" w:rsidRDefault="003C0C09" w:rsidP="00871B59">
      <w:pPr>
        <w:spacing w:after="0" w:line="240" w:lineRule="auto"/>
        <w:rPr>
          <w:rFonts w:ascii="Verdana" w:eastAsia="Calibri" w:hAnsi="Verdana" w:cs="Arial"/>
          <w:b/>
          <w:bCs/>
          <w:lang w:val="es-ES" w:eastAsia="es-ES"/>
        </w:rPr>
      </w:pPr>
      <w:r>
        <w:rPr>
          <w:rFonts w:ascii="Verdana" w:eastAsia="Calibri" w:hAnsi="Verdana" w:cs="Arial"/>
          <w:lang w:val="es-ES" w:eastAsia="es-ES"/>
        </w:rPr>
        <w:t>Valledupar, Cesar</w:t>
      </w:r>
    </w:p>
    <w:p w14:paraId="75545CBA"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3A5F" w14:paraId="6AC1791A" w14:textId="77777777" w:rsidTr="00F13F98">
        <w:trPr>
          <w:trHeight w:val="884"/>
        </w:trPr>
        <w:tc>
          <w:tcPr>
            <w:tcW w:w="2689" w:type="dxa"/>
          </w:tcPr>
          <w:p w14:paraId="156B1AEC" w14:textId="77777777" w:rsidR="00871B59" w:rsidRPr="00C00976" w:rsidRDefault="00871B59" w:rsidP="00F13F98">
            <w:pPr>
              <w:jc w:val="both"/>
              <w:rPr>
                <w:rFonts w:ascii="Verdana" w:eastAsia="Calibri" w:hAnsi="Verdana" w:cs="Arial"/>
                <w:b/>
                <w:bCs/>
                <w:color w:val="7030A0"/>
                <w:lang w:val="es-ES_tradnl" w:eastAsia="es-ES_tradnl"/>
              </w:rPr>
            </w:pPr>
          </w:p>
        </w:tc>
        <w:tc>
          <w:tcPr>
            <w:tcW w:w="6100" w:type="dxa"/>
          </w:tcPr>
          <w:p w14:paraId="48F499EA" w14:textId="1C99A44C" w:rsidR="00871B59" w:rsidRPr="00C00976" w:rsidRDefault="00871B59" w:rsidP="00F13F98">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sidR="00C47E8A">
              <w:rPr>
                <w:rFonts w:ascii="Verdana" w:eastAsia="Calibri" w:hAnsi="Verdana" w:cs="Arial"/>
                <w:b/>
                <w:bCs/>
                <w:lang w:val="es-ES" w:eastAsia="es-ES"/>
              </w:rPr>
              <w:t>577</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822AEF">
              <w:rPr>
                <w:rFonts w:ascii="Verdana" w:eastAsia="Calibri" w:hAnsi="Verdana" w:cs="Arial"/>
                <w:b/>
                <w:bCs/>
                <w:color w:val="000000" w:themeColor="text1"/>
                <w:lang w:val="es-ES" w:eastAsia="es-ES"/>
              </w:rPr>
              <w:t>2024</w:t>
            </w:r>
          </w:p>
        </w:tc>
      </w:tr>
      <w:tr w:rsidR="00871B59" w:rsidRPr="00593A5F" w14:paraId="0DD246A7" w14:textId="77777777" w:rsidTr="00F13F98">
        <w:trPr>
          <w:trHeight w:val="884"/>
        </w:trPr>
        <w:tc>
          <w:tcPr>
            <w:tcW w:w="2689" w:type="dxa"/>
          </w:tcPr>
          <w:p w14:paraId="1B4FC525" w14:textId="77777777" w:rsidR="00871B59" w:rsidRPr="00593A5F" w:rsidRDefault="00871B59" w:rsidP="00F13F98">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D475105" w14:textId="76712CF5" w:rsidR="00BF1927" w:rsidRPr="003C0C09" w:rsidRDefault="00BF1927" w:rsidP="00F13F98">
            <w:pPr>
              <w:spacing w:line="276" w:lineRule="auto"/>
              <w:jc w:val="both"/>
              <w:rPr>
                <w:rFonts w:ascii="Verdana" w:eastAsia="Calibri" w:hAnsi="Verdana" w:cs="Arial"/>
                <w:color w:val="000000" w:themeColor="text1"/>
                <w:lang w:val="es-ES" w:eastAsia="es-ES"/>
              </w:rPr>
            </w:pPr>
            <w:r w:rsidRPr="003C0C09">
              <w:rPr>
                <w:rFonts w:ascii="Verdana" w:eastAsia="Calibri" w:hAnsi="Verdana" w:cs="Arial"/>
                <w:color w:val="000000" w:themeColor="text1"/>
                <w:lang w:val="es-ES" w:eastAsia="es-ES"/>
              </w:rPr>
              <w:t>CONTRATACIÓN DIRECTA</w:t>
            </w:r>
            <w:r>
              <w:rPr>
                <w:rFonts w:ascii="Verdana" w:eastAsia="Calibri" w:hAnsi="Verdana" w:cs="Arial"/>
                <w:color w:val="000000" w:themeColor="text1"/>
                <w:lang w:val="es-ES" w:eastAsia="es-ES"/>
              </w:rPr>
              <w:t xml:space="preserve"> – Contrato de Prestación de Servicios</w:t>
            </w:r>
            <w:r w:rsidR="00247C8F">
              <w:rPr>
                <w:rFonts w:ascii="Verdana" w:eastAsia="Calibri" w:hAnsi="Verdana" w:cs="Arial"/>
                <w:color w:val="000000" w:themeColor="text1"/>
                <w:lang w:val="es-ES" w:eastAsia="es-ES"/>
              </w:rPr>
              <w:t xml:space="preserve"> – Inhabilidades e incompatibilidades</w:t>
            </w:r>
          </w:p>
          <w:p w14:paraId="7ADD1096" w14:textId="77777777" w:rsidR="00871B59" w:rsidRPr="003C0C09" w:rsidRDefault="00871B59" w:rsidP="00F13F98">
            <w:pPr>
              <w:spacing w:line="276" w:lineRule="auto"/>
              <w:jc w:val="both"/>
              <w:rPr>
                <w:rFonts w:ascii="Verdana" w:eastAsia="Calibri" w:hAnsi="Verdana" w:cs="Arial"/>
                <w:color w:val="000000" w:themeColor="text1"/>
                <w:lang w:val="es-ES" w:eastAsia="es-ES"/>
              </w:rPr>
            </w:pPr>
          </w:p>
        </w:tc>
      </w:tr>
      <w:tr w:rsidR="00871B59" w:rsidRPr="00593A5F" w14:paraId="0A874006" w14:textId="77777777" w:rsidTr="00F13F98">
        <w:tc>
          <w:tcPr>
            <w:tcW w:w="2689" w:type="dxa"/>
          </w:tcPr>
          <w:p w14:paraId="56ED2765" w14:textId="77777777" w:rsidR="00871B59" w:rsidRPr="00B96799" w:rsidRDefault="00871B59" w:rsidP="00F13F98">
            <w:pPr>
              <w:jc w:val="both"/>
              <w:rPr>
                <w:rFonts w:ascii="Verdana" w:eastAsia="Calibri" w:hAnsi="Verdana" w:cs="Arial"/>
                <w:b/>
                <w:color w:val="7030A0"/>
                <w:lang w:val="es-ES_tradnl" w:eastAsia="es-ES_tradnl"/>
              </w:rPr>
            </w:pPr>
            <w:r w:rsidRPr="003C0C09">
              <w:rPr>
                <w:rFonts w:ascii="Verdana" w:eastAsia="Calibri" w:hAnsi="Verdana" w:cs="Arial"/>
                <w:b/>
                <w:color w:val="000000" w:themeColor="text1"/>
                <w:lang w:val="es-ES_tradnl" w:eastAsia="es-ES_tradnl"/>
              </w:rPr>
              <w:t>Radicación:</w:t>
            </w:r>
            <w:r w:rsidRPr="003C0C09">
              <w:rPr>
                <w:rFonts w:ascii="Verdana" w:eastAsia="Calibri" w:hAnsi="Verdana" w:cs="Arial"/>
                <w:color w:val="000000" w:themeColor="text1"/>
                <w:lang w:val="es-ES_tradnl" w:eastAsia="es-ES_tradnl"/>
              </w:rPr>
              <w:t xml:space="preserve">               </w:t>
            </w:r>
          </w:p>
        </w:tc>
        <w:tc>
          <w:tcPr>
            <w:tcW w:w="6100" w:type="dxa"/>
          </w:tcPr>
          <w:p w14:paraId="630D2668" w14:textId="1B58563F" w:rsidR="00871B59" w:rsidRPr="003C0C09" w:rsidRDefault="00871B59" w:rsidP="00F13F98">
            <w:pPr>
              <w:jc w:val="both"/>
              <w:rPr>
                <w:rFonts w:ascii="Verdana" w:eastAsia="Calibri" w:hAnsi="Verdana" w:cs="Arial"/>
                <w:color w:val="000000" w:themeColor="text1"/>
                <w:lang w:val="es-ES_tradnl" w:eastAsia="es-ES_tradnl"/>
              </w:rPr>
            </w:pPr>
            <w:r w:rsidRPr="003C0C09">
              <w:rPr>
                <w:rFonts w:ascii="Verdana" w:eastAsia="Calibri" w:hAnsi="Verdana" w:cs="Arial"/>
                <w:color w:val="000000" w:themeColor="text1"/>
                <w:lang w:val="es-ES_tradnl" w:eastAsia="es-ES_tradnl"/>
              </w:rPr>
              <w:t xml:space="preserve">Respuesta a consulta con radicado No. </w:t>
            </w:r>
            <w:r w:rsidR="00DC17FB">
              <w:rPr>
                <w:rFonts w:ascii="Verdana" w:eastAsia="Calibri" w:hAnsi="Verdana" w:cs="Arial"/>
                <w:color w:val="000000" w:themeColor="text1"/>
                <w:lang w:val="es-ES_tradnl" w:eastAsia="es-ES_tradnl"/>
              </w:rPr>
              <w:t>P</w:t>
            </w:r>
            <w:r w:rsidR="003C0C09" w:rsidRPr="003C0C09">
              <w:rPr>
                <w:rFonts w:ascii="Verdana" w:eastAsia="Calibri" w:hAnsi="Verdana" w:cs="Arial"/>
                <w:color w:val="000000" w:themeColor="text1"/>
                <w:lang w:val="es-MX" w:eastAsia="es-ES_tradnl"/>
              </w:rPr>
              <w:t>2024</w:t>
            </w:r>
            <w:r w:rsidR="00822AEF">
              <w:rPr>
                <w:rFonts w:ascii="Verdana" w:eastAsia="Calibri" w:hAnsi="Verdana" w:cs="Arial"/>
                <w:color w:val="000000" w:themeColor="text1"/>
                <w:lang w:val="es-MX" w:eastAsia="es-ES_tradnl"/>
              </w:rPr>
              <w:t>40815009195</w:t>
            </w:r>
          </w:p>
        </w:tc>
      </w:tr>
    </w:tbl>
    <w:p w14:paraId="01AFCA4D"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7A384EF9"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Estimado señor</w:t>
      </w:r>
      <w:r w:rsidRPr="003C0C09">
        <w:rPr>
          <w:rFonts w:ascii="Verdana" w:eastAsia="Calibri" w:hAnsi="Verdana" w:cs="Arial"/>
          <w:color w:val="000000" w:themeColor="text1"/>
          <w:lang w:val="es-ES" w:eastAsia="es-ES"/>
        </w:rPr>
        <w:t xml:space="preserve">(a) </w:t>
      </w:r>
      <w:r w:rsidR="003C0C09" w:rsidRPr="003C0C09">
        <w:rPr>
          <w:rFonts w:ascii="Verdana" w:eastAsia="Calibri" w:hAnsi="Verdana" w:cs="Arial"/>
          <w:color w:val="000000" w:themeColor="text1"/>
          <w:lang w:val="es-ES" w:eastAsia="es-ES"/>
        </w:rPr>
        <w:t>Martínez</w:t>
      </w:r>
      <w:r w:rsidRPr="003C0C09">
        <w:rPr>
          <w:rFonts w:ascii="Verdana" w:eastAsia="Calibri" w:hAnsi="Verdana" w:cs="Arial"/>
          <w:color w:val="000000" w:themeColor="text1"/>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F1D9A82" w14:textId="7AE31D6F" w:rsidR="00871B59" w:rsidRPr="00593A5F" w:rsidRDefault="00871B59" w:rsidP="00871B59">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fecha</w:t>
      </w:r>
      <w:r w:rsidRPr="00593A5F">
        <w:rPr>
          <w:rFonts w:ascii="Verdana" w:eastAsia="Calibri" w:hAnsi="Verdana" w:cs="Arial"/>
          <w:color w:val="000000" w:themeColor="text1"/>
          <w:lang w:val="es-ES" w:eastAsia="es-ES"/>
        </w:rPr>
        <w:t xml:space="preserve"> </w:t>
      </w:r>
      <w:r w:rsidR="003C0C09" w:rsidRPr="003C0C09">
        <w:rPr>
          <w:rFonts w:ascii="Verdana" w:eastAsia="Calibri" w:hAnsi="Verdana" w:cs="Arial"/>
          <w:color w:val="000000" w:themeColor="text1"/>
          <w:lang w:val="es-ES" w:eastAsia="es-ES"/>
        </w:rPr>
        <w:t>02</w:t>
      </w:r>
      <w:r w:rsidRPr="003C0C09">
        <w:rPr>
          <w:rFonts w:ascii="Verdana" w:eastAsia="Calibri" w:hAnsi="Verdana" w:cs="Arial"/>
          <w:color w:val="000000" w:themeColor="text1"/>
          <w:lang w:val="es-ES" w:eastAsia="es-ES"/>
        </w:rPr>
        <w:t xml:space="preserve"> de </w:t>
      </w:r>
      <w:r w:rsidR="003C0C09" w:rsidRPr="003C0C09">
        <w:rPr>
          <w:rFonts w:ascii="Verdana" w:eastAsia="Calibri" w:hAnsi="Verdana" w:cs="Arial"/>
          <w:color w:val="000000" w:themeColor="text1"/>
          <w:lang w:val="es-ES" w:eastAsia="es-ES"/>
        </w:rPr>
        <w:t>septiembre</w:t>
      </w:r>
      <w:r w:rsidRPr="003C0C09">
        <w:rPr>
          <w:rFonts w:ascii="Verdana" w:eastAsia="Calibri" w:hAnsi="Verdana" w:cs="Arial"/>
          <w:color w:val="000000" w:themeColor="text1"/>
          <w:lang w:val="es-ES" w:eastAsia="es-ES"/>
        </w:rPr>
        <w:t xml:space="preserve"> de 20</w:t>
      </w:r>
      <w:r w:rsidR="003C0C09" w:rsidRPr="003C0C09">
        <w:rPr>
          <w:rFonts w:ascii="Verdana" w:eastAsia="Calibri" w:hAnsi="Verdana" w:cs="Arial"/>
          <w:color w:val="000000" w:themeColor="text1"/>
          <w:lang w:val="es-ES" w:eastAsia="es-ES"/>
        </w:rPr>
        <w:t>24</w:t>
      </w:r>
      <w:r w:rsidRPr="003C0C09">
        <w:rPr>
          <w:rFonts w:ascii="Verdana" w:eastAsia="Calibri" w:hAnsi="Verdana" w:cs="Arial"/>
          <w:color w:val="000000" w:themeColor="text1"/>
          <w:lang w:val="es-ES" w:eastAsia="es-ES"/>
        </w:rPr>
        <w:t xml:space="preserve">, en la cual manifiesta lo siguiente: </w:t>
      </w:r>
    </w:p>
    <w:p w14:paraId="6DBD3E26" w14:textId="77777777" w:rsidR="00871B59" w:rsidRPr="00BF1927" w:rsidRDefault="00871B59" w:rsidP="00871B59">
      <w:pPr>
        <w:pStyle w:val="ListParagraph"/>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44C05ECE" w14:textId="2B029ABC" w:rsidR="003C0C09" w:rsidRPr="00BF1927"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bookmarkStart w:id="0" w:name="_Hlk95313578"/>
      <w:r w:rsidRPr="00BF1927">
        <w:rPr>
          <w:rStyle w:val="normaltextrun"/>
          <w:rFonts w:ascii="Verdana" w:hAnsi="Verdana" w:cs="Arial"/>
          <w:color w:val="000000" w:themeColor="text1"/>
          <w:sz w:val="20"/>
          <w:szCs w:val="20"/>
          <w:shd w:val="clear" w:color="auto" w:fill="FFFFFF"/>
          <w:lang w:val="es-ES"/>
        </w:rPr>
        <w:t>“</w:t>
      </w:r>
      <w:r w:rsidRPr="00BF1927">
        <w:rPr>
          <w:rFonts w:ascii="Verdana" w:hAnsi="Verdana" w:cs="Arial"/>
          <w:color w:val="000000" w:themeColor="text1"/>
          <w:sz w:val="20"/>
          <w:szCs w:val="20"/>
          <w:shd w:val="clear" w:color="auto" w:fill="FFFFFF"/>
          <w:lang w:val="es-MX"/>
        </w:rPr>
        <w:t>Cordial saludo de manera respetuosa solicito me sean contestadas las siguientes preguntas:</w:t>
      </w:r>
    </w:p>
    <w:p w14:paraId="2301E07A" w14:textId="77777777"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Que es la modalidad de selección de contratación directa y su normatividad?</w:t>
      </w:r>
    </w:p>
    <w:p w14:paraId="1A0D616B" w14:textId="77777777"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Que contratos le es aplicable esta modalidad de selección y porque?</w:t>
      </w:r>
    </w:p>
    <w:p w14:paraId="0E5F0916" w14:textId="2B0F5FBE"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Que son los contratos de prestación de servicios y cuales tipos de contrato existen bajo esta figura en</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la contratación publica?</w:t>
      </w:r>
    </w:p>
    <w:p w14:paraId="78A6E5CA" w14:textId="295257F2"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¿Por qué la modalidad de contratación directa es la modalidad de selección idónea para la escogencia</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del contratista en los contratos de prestación de servicios con las entidades publicas?</w:t>
      </w:r>
    </w:p>
    <w:p w14:paraId="31C43ACB" w14:textId="217E72B4"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Cual es el procedimiento pertinente y las reglas establecidas por la ley para realizar el proceso de</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contratación cuando se trata de contratos de prestación de servicios?</w:t>
      </w:r>
    </w:p>
    <w:p w14:paraId="1D870C78" w14:textId="06DB25B6"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Que se debe tener en cuenta con respecto al futuro contratista para celebrar un contrato de prestación</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de servicios con una entidad publica?</w:t>
      </w:r>
    </w:p>
    <w:p w14:paraId="5C554937" w14:textId="4F7AA7CB"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Que documentos deben estar públicamente en el secop en los procesos de contratación de prestación</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de servicios al momento de la etapa precontractual , contractual y poscontractual?</w:t>
      </w:r>
    </w:p>
    <w:p w14:paraId="02627BB6" w14:textId="4AD66A52"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Puede un contratista tener varios contratos de prestación de servicios con la misma entidad en</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diferentes dependencias de esta?</w:t>
      </w:r>
    </w:p>
    <w:p w14:paraId="41CBF4DE" w14:textId="027A3D61" w:rsidR="003C0C09" w:rsidRPr="003C0C09" w:rsidRDefault="003C0C09" w:rsidP="003C0C09">
      <w:pPr>
        <w:spacing w:after="0" w:line="240" w:lineRule="auto"/>
        <w:ind w:left="709" w:right="709"/>
        <w:jc w:val="both"/>
        <w:rPr>
          <w:rFonts w:ascii="Verdana" w:hAnsi="Verdana" w:cs="Arial"/>
          <w:color w:val="000000" w:themeColor="text1"/>
          <w:sz w:val="20"/>
          <w:szCs w:val="20"/>
          <w:shd w:val="clear" w:color="auto" w:fill="FFFFFF"/>
          <w:lang w:val="es-MX"/>
        </w:rPr>
      </w:pPr>
      <w:r w:rsidRPr="003C0C09">
        <w:rPr>
          <w:rFonts w:ascii="Verdana" w:hAnsi="Verdana" w:cs="Arial"/>
          <w:color w:val="000000" w:themeColor="text1"/>
          <w:sz w:val="20"/>
          <w:szCs w:val="20"/>
          <w:shd w:val="clear" w:color="auto" w:fill="FFFFFF"/>
          <w:lang w:val="es-MX"/>
        </w:rPr>
        <w:t>¿ Puede un contratista tener varios contratos de prestación de servicios con diferentes entidades</w:t>
      </w:r>
      <w:r w:rsidRPr="00BF1927">
        <w:rPr>
          <w:rFonts w:ascii="Verdana" w:hAnsi="Verdana" w:cs="Arial"/>
          <w:color w:val="000000" w:themeColor="text1"/>
          <w:sz w:val="20"/>
          <w:szCs w:val="20"/>
          <w:shd w:val="clear" w:color="auto" w:fill="FFFFFF"/>
          <w:lang w:val="es-MX"/>
        </w:rPr>
        <w:t xml:space="preserve"> </w:t>
      </w:r>
      <w:r w:rsidRPr="003C0C09">
        <w:rPr>
          <w:rFonts w:ascii="Verdana" w:hAnsi="Verdana" w:cs="Arial"/>
          <w:color w:val="000000" w:themeColor="text1"/>
          <w:sz w:val="20"/>
          <w:szCs w:val="20"/>
          <w:shd w:val="clear" w:color="auto" w:fill="FFFFFF"/>
          <w:lang w:val="es-MX"/>
        </w:rPr>
        <w:t>publicas?</w:t>
      </w:r>
    </w:p>
    <w:p w14:paraId="1006183E" w14:textId="02ABA321" w:rsidR="00871B59" w:rsidRPr="00BF1927" w:rsidRDefault="003C0C09" w:rsidP="003C0C09">
      <w:pPr>
        <w:spacing w:after="0" w:line="240" w:lineRule="auto"/>
        <w:ind w:left="709" w:right="709"/>
        <w:jc w:val="both"/>
        <w:rPr>
          <w:rFonts w:ascii="Verdana" w:eastAsia="Century Gothic" w:hAnsi="Verdana" w:cs="Century Gothic"/>
          <w:color w:val="000000" w:themeColor="text1"/>
          <w:sz w:val="20"/>
          <w:szCs w:val="20"/>
          <w:lang w:val="es-ES"/>
        </w:rPr>
      </w:pPr>
      <w:r w:rsidRPr="00BF1927">
        <w:rPr>
          <w:rFonts w:ascii="Verdana" w:hAnsi="Verdana" w:cs="Arial"/>
          <w:color w:val="000000" w:themeColor="text1"/>
          <w:sz w:val="20"/>
          <w:szCs w:val="20"/>
          <w:shd w:val="clear" w:color="auto" w:fill="FFFFFF"/>
          <w:lang w:val="es-MX"/>
        </w:rPr>
        <w:t>¿ Puede un servidor publico de elección popular tener contratos de prestación de servicios?</w:t>
      </w:r>
      <w:r w:rsidRPr="00BF1927">
        <w:rPr>
          <w:rFonts w:ascii="Verdana" w:hAnsi="Verdana" w:cs="Arial"/>
          <w:color w:val="000000" w:themeColor="text1"/>
          <w:sz w:val="20"/>
          <w:szCs w:val="20"/>
          <w:shd w:val="clear" w:color="auto" w:fill="FFFFFF"/>
          <w:lang w:val="es-ES"/>
        </w:rPr>
        <w:t xml:space="preserve"> </w:t>
      </w:r>
      <w:r w:rsidR="00871B59" w:rsidRPr="00BF1927">
        <w:rPr>
          <w:rFonts w:ascii="Verdana" w:eastAsia="Century Gothic" w:hAnsi="Verdana" w:cs="Century Gothic"/>
          <w:color w:val="000000" w:themeColor="text1"/>
          <w:sz w:val="20"/>
          <w:szCs w:val="20"/>
          <w:lang w:val="es-ES"/>
        </w:rPr>
        <w:t>”</w:t>
      </w:r>
      <w:bookmarkEnd w:id="0"/>
      <w:r w:rsidR="00871B59" w:rsidRPr="00BF1927">
        <w:rPr>
          <w:rFonts w:ascii="Verdana" w:eastAsia="Century Gothic" w:hAnsi="Verdana" w:cs="Century Gothic"/>
          <w:color w:val="000000" w:themeColor="text1"/>
          <w:sz w:val="20"/>
          <w:szCs w:val="20"/>
          <w:lang w:val="es-ES"/>
        </w:rPr>
        <w:t>.</w:t>
      </w:r>
    </w:p>
    <w:p w14:paraId="54DCAD4E" w14:textId="77777777" w:rsidR="00871B59" w:rsidRPr="00BF1927" w:rsidRDefault="00871B59" w:rsidP="00871B59">
      <w:pPr>
        <w:pStyle w:val="ListParagraph"/>
        <w:tabs>
          <w:tab w:val="left" w:pos="142"/>
          <w:tab w:val="left" w:pos="284"/>
        </w:tabs>
        <w:spacing w:line="276" w:lineRule="auto"/>
        <w:ind w:left="0"/>
        <w:jc w:val="both"/>
        <w:rPr>
          <w:rFonts w:ascii="Verdana" w:eastAsia="Century Gothic" w:hAnsi="Verdana" w:cs="Century Gothic"/>
          <w:b/>
          <w:bCs/>
          <w:color w:val="000000" w:themeColor="text1"/>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77F8E40C"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sidR="00822AEF">
        <w:rPr>
          <w:rFonts w:ascii="Verdana" w:eastAsia="Calibri" w:hAnsi="Verdana" w:cs="Arial"/>
          <w:color w:val="000000"/>
          <w:lang w:val="es-ES" w:eastAsia="es-ES"/>
        </w:rPr>
        <w:t xml:space="preserve">los </w:t>
      </w:r>
      <w:r>
        <w:rPr>
          <w:rFonts w:ascii="Verdana" w:eastAsia="Calibri" w:hAnsi="Verdana" w:cs="Arial"/>
          <w:color w:val="000000"/>
          <w:lang w:val="es-ES" w:eastAsia="es-ES"/>
        </w:rPr>
        <w:t>problema</w:t>
      </w:r>
      <w:r w:rsidR="00822AEF">
        <w:rPr>
          <w:rFonts w:ascii="Verdana" w:eastAsia="Calibri" w:hAnsi="Verdana" w:cs="Arial"/>
          <w:color w:val="7030A0"/>
          <w:lang w:val="es-ES" w:eastAsia="es-ES"/>
        </w:rPr>
        <w:t xml:space="preserve">s </w:t>
      </w:r>
      <w:r>
        <w:rPr>
          <w:rFonts w:ascii="Verdana" w:eastAsia="Calibri" w:hAnsi="Verdana" w:cs="Arial"/>
          <w:color w:val="000000"/>
          <w:lang w:val="es-ES" w:eastAsia="es-ES"/>
        </w:rPr>
        <w:t>jurídico</w:t>
      </w:r>
      <w:r w:rsidR="00822AEF" w:rsidRPr="00822AEF">
        <w:rPr>
          <w:rFonts w:ascii="Verdana" w:eastAsia="Calibri" w:hAnsi="Verdana" w:cs="Arial"/>
          <w:color w:val="000000" w:themeColor="text1"/>
          <w:lang w:val="es-ES" w:eastAsia="es-ES"/>
        </w:rPr>
        <w:t>s</w:t>
      </w:r>
      <w:r w:rsidRPr="00822AEF">
        <w:rPr>
          <w:rFonts w:ascii="Verdana" w:eastAsia="Calibri" w:hAnsi="Verdana" w:cs="Arial"/>
          <w:color w:val="000000" w:themeColor="text1"/>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48C451BD" w:rsidR="00871B59" w:rsidRPr="00593A5F" w:rsidRDefault="00871B59" w:rsidP="00871B59">
      <w:pPr>
        <w:pStyle w:val="ListParagraph"/>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w:t>
      </w:r>
      <w:r w:rsidR="0078433D">
        <w:rPr>
          <w:rFonts w:ascii="Verdana" w:eastAsia="Century Gothic" w:hAnsi="Verdana" w:cs="Century Gothic"/>
          <w:b/>
          <w:bCs/>
          <w:lang w:val="es-ES"/>
        </w:rPr>
        <w:t>s</w:t>
      </w:r>
      <w:r w:rsidRPr="00593A5F">
        <w:rPr>
          <w:rFonts w:ascii="Verdana" w:eastAsia="Century Gothic" w:hAnsi="Verdana" w:cs="Century Gothic"/>
          <w:b/>
          <w:bCs/>
          <w:lang w:val="es-ES"/>
        </w:rPr>
        <w:t xml:space="preserve"> planteado</w:t>
      </w:r>
      <w:r w:rsidR="0078433D">
        <w:rPr>
          <w:rFonts w:ascii="Verdana" w:eastAsia="Century Gothic" w:hAnsi="Verdana" w:cs="Century Gothic"/>
          <w:b/>
          <w:bCs/>
          <w:lang w:val="es-ES"/>
        </w:rPr>
        <w:t>s</w:t>
      </w:r>
      <w:r w:rsidRPr="00593A5F">
        <w:rPr>
          <w:rFonts w:ascii="Verdana" w:eastAsia="Century Gothic" w:hAnsi="Verdana" w:cs="Century Gothic"/>
          <w:b/>
          <w:bCs/>
          <w:lang w:val="es-ES"/>
        </w:rPr>
        <w:t>:</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BF8A6C9" w14:textId="26F163F0" w:rsidR="0078433D" w:rsidRDefault="00871B59" w:rsidP="00822AE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los siguiente</w:t>
      </w:r>
      <w:r w:rsidR="0078433D">
        <w:rPr>
          <w:rFonts w:ascii="Verdana" w:eastAsia="Century Gothic" w:hAnsi="Verdana" w:cs="Century Gothic"/>
        </w:rPr>
        <w:t>s</w:t>
      </w:r>
      <w:r w:rsidRPr="00593A5F">
        <w:rPr>
          <w:rFonts w:ascii="Verdana" w:eastAsia="Century Gothic" w:hAnsi="Verdana" w:cs="Century Gothic"/>
        </w:rPr>
        <w:t xml:space="preserve"> problemas jurídico</w:t>
      </w:r>
      <w:r w:rsidR="0078433D">
        <w:rPr>
          <w:rFonts w:ascii="Verdana" w:eastAsia="Century Gothic" w:hAnsi="Verdana" w:cs="Century Gothic"/>
        </w:rPr>
        <w:t>s</w:t>
      </w:r>
      <w:r w:rsidRPr="00593A5F">
        <w:rPr>
          <w:rFonts w:ascii="Verdana" w:eastAsia="Century Gothic" w:hAnsi="Verdana" w:cs="Century Gothic"/>
        </w:rPr>
        <w:t xml:space="preserve">: </w:t>
      </w:r>
    </w:p>
    <w:p w14:paraId="28BCF198" w14:textId="77777777" w:rsidR="00822AEF" w:rsidRPr="00233056" w:rsidRDefault="00822AEF" w:rsidP="00822AEF">
      <w:pPr>
        <w:pStyle w:val="ListParagraph"/>
        <w:numPr>
          <w:ilvl w:val="0"/>
          <w:numId w:val="13"/>
        </w:numPr>
        <w:spacing w:after="0" w:line="240" w:lineRule="auto"/>
        <w:jc w:val="both"/>
        <w:rPr>
          <w:rFonts w:ascii="Verdana" w:eastAsia="Calibri" w:hAnsi="Verdana" w:cs="Arial"/>
          <w:lang w:val="es-ES_tradnl"/>
        </w:rPr>
      </w:pPr>
      <w:r w:rsidRPr="00233056">
        <w:rPr>
          <w:rFonts w:ascii="Verdana" w:eastAsia="Calibri" w:hAnsi="Verdana" w:cs="Arial"/>
          <w:lang w:val="es-ES_tradnl"/>
        </w:rPr>
        <w:t>¿Qué es la modalidad de selección de contratación directa y su</w:t>
      </w:r>
      <w:r>
        <w:rPr>
          <w:rFonts w:ascii="Verdana" w:eastAsia="Calibri" w:hAnsi="Verdana" w:cs="Arial"/>
          <w:lang w:val="es-ES_tradnl"/>
        </w:rPr>
        <w:t>s</w:t>
      </w:r>
      <w:r w:rsidRPr="00233056">
        <w:rPr>
          <w:rFonts w:ascii="Verdana" w:eastAsia="Calibri" w:hAnsi="Verdana" w:cs="Arial"/>
          <w:lang w:val="es-ES_tradnl"/>
        </w:rPr>
        <w:t xml:space="preserve"> </w:t>
      </w:r>
      <w:r>
        <w:rPr>
          <w:rFonts w:ascii="Verdana" w:eastAsia="Calibri" w:hAnsi="Verdana" w:cs="Arial"/>
          <w:lang w:val="es-ES_tradnl"/>
        </w:rPr>
        <w:t>causales</w:t>
      </w:r>
      <w:r w:rsidRPr="00233056">
        <w:rPr>
          <w:rFonts w:ascii="Verdana" w:eastAsia="Calibri" w:hAnsi="Verdana" w:cs="Arial"/>
          <w:lang w:val="es-ES_tradnl"/>
        </w:rPr>
        <w:t>?</w:t>
      </w:r>
    </w:p>
    <w:p w14:paraId="738D0D3D" w14:textId="77777777" w:rsidR="00822AEF" w:rsidRPr="00233056" w:rsidRDefault="00822AEF" w:rsidP="00822AEF">
      <w:pPr>
        <w:pStyle w:val="ListParagraph"/>
        <w:numPr>
          <w:ilvl w:val="0"/>
          <w:numId w:val="13"/>
        </w:numPr>
        <w:spacing w:after="0" w:line="240" w:lineRule="auto"/>
        <w:jc w:val="both"/>
        <w:rPr>
          <w:rFonts w:ascii="Verdana" w:eastAsia="Calibri" w:hAnsi="Verdana" w:cs="Arial"/>
          <w:lang w:val="es-ES_tradnl"/>
        </w:rPr>
      </w:pPr>
      <w:r w:rsidRPr="00233056">
        <w:rPr>
          <w:rFonts w:ascii="Verdana" w:eastAsia="Calibri" w:hAnsi="Verdana" w:cs="Arial"/>
          <w:lang w:val="es-ES_tradnl"/>
        </w:rPr>
        <w:t>¿Qu</w:t>
      </w:r>
      <w:r>
        <w:rPr>
          <w:rFonts w:ascii="Verdana" w:eastAsia="Calibri" w:hAnsi="Verdana" w:cs="Arial"/>
          <w:lang w:val="es-ES_tradnl"/>
        </w:rPr>
        <w:t>é</w:t>
      </w:r>
      <w:r w:rsidRPr="00233056">
        <w:rPr>
          <w:rFonts w:ascii="Verdana" w:eastAsia="Calibri" w:hAnsi="Verdana" w:cs="Arial"/>
          <w:lang w:val="es-ES_tradnl"/>
        </w:rPr>
        <w:t xml:space="preserve"> son los contratos de prestación de servicios y </w:t>
      </w:r>
      <w:r>
        <w:rPr>
          <w:rFonts w:ascii="Verdana" w:eastAsia="Calibri" w:hAnsi="Verdana" w:cs="Arial"/>
          <w:lang w:val="es-ES_tradnl"/>
        </w:rPr>
        <w:t>sus</w:t>
      </w:r>
      <w:r w:rsidRPr="00233056">
        <w:rPr>
          <w:rFonts w:ascii="Verdana" w:eastAsia="Calibri" w:hAnsi="Verdana" w:cs="Arial"/>
          <w:lang w:val="es-ES_tradnl"/>
        </w:rPr>
        <w:t xml:space="preserve"> tipo</w:t>
      </w:r>
      <w:r>
        <w:rPr>
          <w:rFonts w:ascii="Verdana" w:eastAsia="Calibri" w:hAnsi="Verdana" w:cs="Arial"/>
          <w:lang w:val="es-ES_tradnl"/>
        </w:rPr>
        <w:t>logía</w:t>
      </w:r>
      <w:r w:rsidRPr="00233056">
        <w:rPr>
          <w:rFonts w:ascii="Verdana" w:eastAsia="Calibri" w:hAnsi="Verdana" w:cs="Arial"/>
          <w:lang w:val="es-ES_tradnl"/>
        </w:rPr>
        <w:t>s?</w:t>
      </w:r>
    </w:p>
    <w:p w14:paraId="0541BFC5" w14:textId="77777777" w:rsidR="00822AEF" w:rsidRPr="00822AEF" w:rsidRDefault="00822AEF" w:rsidP="00822AEF">
      <w:pPr>
        <w:pStyle w:val="ListParagraph"/>
        <w:numPr>
          <w:ilvl w:val="0"/>
          <w:numId w:val="13"/>
        </w:numPr>
        <w:spacing w:after="0" w:line="240" w:lineRule="auto"/>
        <w:jc w:val="both"/>
        <w:rPr>
          <w:rFonts w:ascii="Verdana" w:eastAsia="Calibri" w:hAnsi="Verdana"/>
          <w:lang w:val="es-ES_tradnl" w:eastAsia="es-MX"/>
        </w:rPr>
      </w:pPr>
      <w:r w:rsidRPr="00822AEF">
        <w:rPr>
          <w:rFonts w:ascii="Verdana" w:eastAsia="Calibri" w:hAnsi="Verdana"/>
          <w:lang w:val="es-ES_tradnl" w:eastAsia="es-MX"/>
        </w:rPr>
        <w:t>¿Qué se debe tener en cuenta con respecto al futuro contratista para celebrar un contrato de prestación de servicios con una entidad pública?</w:t>
      </w:r>
    </w:p>
    <w:p w14:paraId="46669D8A" w14:textId="77777777" w:rsidR="00822AEF" w:rsidRPr="00233056" w:rsidRDefault="00822AEF" w:rsidP="4F7A2B85">
      <w:pPr>
        <w:pStyle w:val="ListParagraph"/>
        <w:numPr>
          <w:ilvl w:val="0"/>
          <w:numId w:val="13"/>
        </w:numPr>
        <w:spacing w:after="0" w:line="240" w:lineRule="auto"/>
        <w:jc w:val="both"/>
        <w:rPr>
          <w:rFonts w:ascii="Verdana" w:eastAsia="Calibri" w:hAnsi="Verdana" w:cs="Arial"/>
          <w:lang w:val="es-ES"/>
        </w:rPr>
      </w:pPr>
      <w:r w:rsidRPr="4F7A2B85">
        <w:rPr>
          <w:rFonts w:ascii="Verdana" w:eastAsia="Calibri" w:hAnsi="Verdana" w:cs="Arial"/>
          <w:lang w:val="es-ES"/>
        </w:rPr>
        <w:t>¿Qué documentos deben estar públicamente en el secop en los procesos de contratación de prestación de servicios al momento de la etapa precontractual, contractual y poscontractual?</w:t>
      </w:r>
    </w:p>
    <w:p w14:paraId="69B6A114" w14:textId="77777777" w:rsidR="00822AEF" w:rsidRPr="0044163E" w:rsidRDefault="00822AEF" w:rsidP="00822AEF">
      <w:pPr>
        <w:pStyle w:val="ListParagraph"/>
        <w:numPr>
          <w:ilvl w:val="0"/>
          <w:numId w:val="13"/>
        </w:numPr>
        <w:spacing w:after="0" w:line="240" w:lineRule="auto"/>
        <w:jc w:val="both"/>
        <w:rPr>
          <w:rFonts w:ascii="Verdana" w:eastAsia="Calibri" w:hAnsi="Verdana" w:cs="Arial"/>
          <w:lang w:val="es-ES_tradnl"/>
        </w:rPr>
      </w:pPr>
      <w:r w:rsidRPr="00233056">
        <w:rPr>
          <w:rFonts w:ascii="Verdana" w:eastAsia="Calibri" w:hAnsi="Verdana" w:cs="Arial"/>
          <w:lang w:val="es-ES_tradnl"/>
        </w:rPr>
        <w:t xml:space="preserve">¿Puede un contratista tener varios contratos de prestación de </w:t>
      </w:r>
      <w:r>
        <w:rPr>
          <w:rFonts w:ascii="Verdana" w:eastAsia="Calibri" w:hAnsi="Verdana" w:cs="Arial"/>
          <w:lang w:val="es-ES_tradnl"/>
        </w:rPr>
        <w:t>servicios</w:t>
      </w:r>
      <w:r w:rsidRPr="00233056">
        <w:rPr>
          <w:rFonts w:ascii="Verdana" w:eastAsia="Calibri" w:hAnsi="Verdana" w:cs="Arial"/>
          <w:lang w:val="es-ES_tradnl"/>
        </w:rPr>
        <w:t xml:space="preserve"> con la misma entidad en diferentes dependencias</w:t>
      </w:r>
      <w:r>
        <w:rPr>
          <w:rFonts w:ascii="Verdana" w:eastAsia="Calibri" w:hAnsi="Verdana" w:cs="Arial"/>
          <w:lang w:val="es-ES_tradnl"/>
        </w:rPr>
        <w:t>, o con varias entidades estatales?</w:t>
      </w:r>
    </w:p>
    <w:p w14:paraId="0191B072" w14:textId="277670BD" w:rsidR="0078433D" w:rsidRPr="00822AEF" w:rsidRDefault="00822AEF" w:rsidP="047FD8C6">
      <w:pPr>
        <w:pStyle w:val="ListParagraph"/>
        <w:ind w:left="1134" w:hanging="774"/>
        <w:jc w:val="both"/>
        <w:rPr>
          <w:rFonts w:ascii="Verdana" w:eastAsia="Calibri" w:hAnsi="Verdana" w:cs="Arial"/>
        </w:rPr>
      </w:pPr>
      <w:r w:rsidRPr="047FD8C6">
        <w:rPr>
          <w:rFonts w:ascii="Verdana" w:eastAsia="Calibri" w:hAnsi="Verdana" w:cs="Arial"/>
        </w:rPr>
        <w:t>vi)     ¿Puede un servidor público de elección popular tener contratos de prestación de servicios?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ListParagraph"/>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124D9B9B" w14:textId="38A98804" w:rsidR="00822AEF" w:rsidRPr="00822AEF" w:rsidRDefault="00822AEF" w:rsidP="005953A4">
      <w:pPr>
        <w:pStyle w:val="ListParagraph"/>
        <w:numPr>
          <w:ilvl w:val="0"/>
          <w:numId w:val="14"/>
        </w:numPr>
        <w:tabs>
          <w:tab w:val="left" w:pos="142"/>
          <w:tab w:val="left" w:pos="284"/>
        </w:tabs>
        <w:spacing w:after="0" w:line="276" w:lineRule="auto"/>
        <w:ind w:left="142" w:hanging="142"/>
        <w:jc w:val="both"/>
        <w:rPr>
          <w:rFonts w:ascii="Verdana" w:eastAsia="Century Gothic" w:hAnsi="Verdana" w:cs="Century Gothic"/>
        </w:rPr>
      </w:pPr>
      <w:r w:rsidRPr="00822AEF">
        <w:rPr>
          <w:rFonts w:ascii="Verdana" w:eastAsia="Century Gothic" w:hAnsi="Verdana" w:cs="Century Gothic"/>
        </w:rPr>
        <w:t>La contratación directa es una excepción al principio de libre concurrencia y competencia, que se aplica en los procesos de contratación, para que cualquier persona interesada en satisfacer la necesidad de una entidad pueda presentar una oferta. Por ello, es de aplicación restrictiva, esto es, solo procede por las causales señaladas taxativamente en el numeral 4 del artículo 2 de la Ley 1150 de 2007. En tal</w:t>
      </w:r>
      <w:r w:rsidRPr="00822AEF">
        <w:rPr>
          <w:rFonts w:ascii="Verdana" w:eastAsia="Century Gothic" w:hAnsi="Verdana" w:cs="Century Gothic"/>
          <w:b/>
          <w:bCs/>
        </w:rPr>
        <w:t xml:space="preserve"> </w:t>
      </w:r>
      <w:r w:rsidRPr="00822AEF">
        <w:rPr>
          <w:rFonts w:ascii="Verdana" w:eastAsia="Century Gothic" w:hAnsi="Verdana" w:cs="Century Gothic"/>
        </w:rPr>
        <w:t>sentido, su aplicación no puede efectuarse por fuera del contenido normativo citado, ni operar más allá de lo que la misma norma dispone, dentro del contexto del ordenamiento jurídico de la contratación estatal.</w:t>
      </w:r>
    </w:p>
    <w:p w14:paraId="01A7633E" w14:textId="0D96F3CE" w:rsidR="005953A4" w:rsidRDefault="005953A4" w:rsidP="005953A4">
      <w:pPr>
        <w:pStyle w:val="ListParagraph"/>
        <w:tabs>
          <w:tab w:val="left" w:pos="142"/>
          <w:tab w:val="left" w:pos="284"/>
        </w:tabs>
        <w:spacing w:line="276" w:lineRule="auto"/>
        <w:ind w:left="142"/>
        <w:jc w:val="both"/>
        <w:rPr>
          <w:rFonts w:ascii="Verdana" w:eastAsia="Century Gothic" w:hAnsi="Verdana" w:cs="Century Gothic"/>
        </w:rPr>
      </w:pPr>
    </w:p>
    <w:p w14:paraId="1C143913" w14:textId="14F3E552" w:rsidR="00822AEF" w:rsidRPr="00544496" w:rsidRDefault="005953A4" w:rsidP="005953A4">
      <w:pPr>
        <w:pStyle w:val="ListParagraph"/>
        <w:tabs>
          <w:tab w:val="left" w:pos="142"/>
          <w:tab w:val="left" w:pos="284"/>
        </w:tabs>
        <w:spacing w:line="276" w:lineRule="auto"/>
        <w:ind w:left="142" w:hanging="142"/>
        <w:jc w:val="both"/>
        <w:rPr>
          <w:rFonts w:ascii="Verdana" w:eastAsia="Century Gothic" w:hAnsi="Verdana" w:cs="Century Gothic"/>
        </w:rPr>
      </w:pPr>
      <w:r>
        <w:rPr>
          <w:rFonts w:ascii="Verdana" w:eastAsia="Century Gothic" w:hAnsi="Verdana" w:cs="Century Gothic"/>
        </w:rPr>
        <w:t xml:space="preserve">  </w:t>
      </w:r>
      <w:r w:rsidR="00822AEF" w:rsidRPr="005541AF">
        <w:rPr>
          <w:rFonts w:ascii="Verdana" w:eastAsia="Century Gothic" w:hAnsi="Verdana" w:cs="Century Gothic"/>
        </w:rPr>
        <w:t>De este modo, en la contratación directa no es necesario que la entidad reciba más de una oferta, pues la contratación se realiza con quien la entidad escoja libremente, bajo criterios que permitan adoptar una decisión objetiva en procura del cumplimiento de las necesidades de la administración. Esta contratación puede estar fundada en que el proponente es único, o en que el legislador privilegió algunos objetos contractuales u oferentes para contratarlos de manera directa, teniendo en cuenta las causales expresamente señaladas en la ley.</w:t>
      </w:r>
    </w:p>
    <w:p w14:paraId="3F623934" w14:textId="09903E20" w:rsidR="00822AEF" w:rsidRPr="00822AEF" w:rsidRDefault="005953A4" w:rsidP="005953A4">
      <w:pPr>
        <w:tabs>
          <w:tab w:val="left" w:pos="142"/>
          <w:tab w:val="left" w:pos="284"/>
        </w:tabs>
        <w:spacing w:line="276" w:lineRule="auto"/>
        <w:ind w:left="142" w:hanging="142"/>
        <w:jc w:val="both"/>
        <w:rPr>
          <w:rFonts w:ascii="Verdana" w:eastAsia="Aptos" w:hAnsi="Verdana" w:cs="Arial"/>
          <w:lang w:eastAsia="es-MX"/>
        </w:rPr>
      </w:pPr>
      <w:r>
        <w:rPr>
          <w:rFonts w:ascii="Verdana" w:eastAsia="Aptos" w:hAnsi="Verdana" w:cs="Arial"/>
          <w:lang w:val="es-MX" w:eastAsia="es-MX"/>
        </w:rPr>
        <w:t xml:space="preserve">  </w:t>
      </w:r>
      <w:r w:rsidR="00822AEF" w:rsidRPr="00822AEF">
        <w:rPr>
          <w:rFonts w:ascii="Verdana" w:eastAsia="Aptos" w:hAnsi="Verdana" w:cs="Arial"/>
          <w:lang w:val="es-MX" w:eastAsia="es-MX"/>
        </w:rPr>
        <w:t xml:space="preserve">En lo relativo al procedimiento para adelantar la contratación directa, se debe recurrir a </w:t>
      </w:r>
      <w:r w:rsidR="00822AEF" w:rsidRPr="00822AEF">
        <w:rPr>
          <w:rFonts w:ascii="Verdana" w:eastAsia="Aptos" w:hAnsi="Verdana" w:cs="Arial"/>
          <w:lang w:eastAsia="es-MX"/>
        </w:rPr>
        <w:t>la planeación contractual como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w:t>
      </w:r>
    </w:p>
    <w:p w14:paraId="51902877" w14:textId="4100CAC2" w:rsidR="00822AEF" w:rsidRPr="005953A4" w:rsidRDefault="005953A4" w:rsidP="005953A4">
      <w:pPr>
        <w:tabs>
          <w:tab w:val="left" w:pos="142"/>
          <w:tab w:val="left" w:pos="284"/>
        </w:tabs>
        <w:spacing w:line="276" w:lineRule="auto"/>
        <w:ind w:left="142" w:hanging="142"/>
        <w:jc w:val="both"/>
        <w:rPr>
          <w:rFonts w:ascii="Verdana" w:hAnsi="Verdana"/>
        </w:rPr>
      </w:pPr>
      <w:r>
        <w:rPr>
          <w:rFonts w:ascii="Verdana" w:hAnsi="Verdana"/>
        </w:rPr>
        <w:t xml:space="preserve">  También, e</w:t>
      </w:r>
      <w:r w:rsidR="00822AEF" w:rsidRPr="00822AEF">
        <w:rPr>
          <w:rFonts w:ascii="Verdana" w:hAnsi="Verdana"/>
        </w:rPr>
        <w:t>l Decreto 1082 de 2015 indica los requisitos necesarios para adelantar una contratación bajo esta modalidad, es así como, se debe expedir un acto administrativo de justificación, realizar un estudio del mercado, estudio previo, contar con la Certificación de Disponibilidad Presupuestal, entre otros documentos que son solicitados por las Entidades según lo dispuesto en el manual de contratación correspondiente.</w:t>
      </w:r>
    </w:p>
    <w:p w14:paraId="55254800" w14:textId="561C20C6" w:rsidR="00822AEF" w:rsidRPr="00822AEF" w:rsidRDefault="00822AEF" w:rsidP="005953A4">
      <w:pPr>
        <w:pStyle w:val="ListParagraph"/>
        <w:numPr>
          <w:ilvl w:val="0"/>
          <w:numId w:val="14"/>
        </w:numPr>
        <w:tabs>
          <w:tab w:val="left" w:pos="426"/>
        </w:tabs>
        <w:spacing w:after="0" w:line="276" w:lineRule="auto"/>
        <w:ind w:left="142" w:hanging="142"/>
        <w:jc w:val="both"/>
        <w:rPr>
          <w:rFonts w:ascii="Verdana" w:hAnsi="Verdana" w:cs="Arial"/>
          <w:noProof/>
          <w:lang w:val="es-ES_tradnl"/>
        </w:rPr>
      </w:pPr>
      <w:r w:rsidRPr="00822AEF">
        <w:rPr>
          <w:rFonts w:ascii="Verdana" w:hAnsi="Verdana" w:cs="Arial"/>
          <w:noProof/>
          <w:lang w:val="es-ES_tradnl"/>
        </w:rPr>
        <w:t>El contrato de prestación de servicios es un contrato estatal típico, regulado en el numeral 3º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Así lo dispone el  literal h) numeral 4 del artículo 2 de la Ley 1150 de 2007</w:t>
      </w:r>
    </w:p>
    <w:p w14:paraId="224547DB" w14:textId="77777777" w:rsidR="00822AEF" w:rsidRDefault="00822AEF" w:rsidP="005953A4">
      <w:pPr>
        <w:pStyle w:val="ListParagraph"/>
        <w:tabs>
          <w:tab w:val="left" w:pos="142"/>
          <w:tab w:val="left" w:pos="284"/>
        </w:tabs>
        <w:spacing w:line="276" w:lineRule="auto"/>
        <w:ind w:left="709"/>
        <w:jc w:val="both"/>
        <w:rPr>
          <w:rFonts w:ascii="Verdana" w:hAnsi="Verdana"/>
        </w:rPr>
      </w:pPr>
    </w:p>
    <w:p w14:paraId="56E255F4" w14:textId="77777777" w:rsidR="00822AEF" w:rsidRDefault="00822AEF" w:rsidP="005953A4">
      <w:pPr>
        <w:pStyle w:val="ListParagraph"/>
        <w:tabs>
          <w:tab w:val="left" w:pos="142"/>
          <w:tab w:val="left" w:pos="284"/>
        </w:tabs>
        <w:spacing w:line="276" w:lineRule="auto"/>
        <w:ind w:left="142"/>
        <w:jc w:val="both"/>
        <w:rPr>
          <w:rFonts w:ascii="Verdana" w:hAnsi="Verdana" w:cs="Arial"/>
          <w:noProof/>
          <w:lang w:val="es-ES_tradnl"/>
        </w:rPr>
      </w:pPr>
      <w:r w:rsidRPr="003D219C">
        <w:rPr>
          <w:rFonts w:ascii="Verdana" w:hAnsi="Verdana"/>
        </w:rPr>
        <w:t>El contrato de prestación de servicio</w:t>
      </w:r>
      <w:r>
        <w:rPr>
          <w:rFonts w:ascii="Verdana" w:hAnsi="Verdana"/>
        </w:rPr>
        <w:t>s</w:t>
      </w:r>
      <w:r w:rsidRPr="003D219C">
        <w:rPr>
          <w:rFonts w:ascii="Verdana" w:hAnsi="Verdana"/>
        </w:rPr>
        <w:t xml:space="preserve"> al tener un objeto espec</w:t>
      </w:r>
      <w:r>
        <w:rPr>
          <w:rFonts w:ascii="Verdana" w:hAnsi="Verdana"/>
        </w:rPr>
        <w:t>í</w:t>
      </w:r>
      <w:r w:rsidRPr="003D219C">
        <w:rPr>
          <w:rFonts w:ascii="Verdana" w:hAnsi="Verdana"/>
        </w:rPr>
        <w:t>fico, le asiste a la parte contratista cumplir con este conforme con las estipulaciones de los documentos precontractuales, en especial las obligaciones generales y específicas allí pactadas</w:t>
      </w:r>
      <w:r>
        <w:rPr>
          <w:rFonts w:ascii="Verdana" w:hAnsi="Verdana"/>
        </w:rPr>
        <w:t>.</w:t>
      </w:r>
      <w:r w:rsidRPr="00B8689C">
        <w:rPr>
          <w:rFonts w:ascii="Verdana" w:hAnsi="Verdana" w:cs="Arial"/>
          <w:noProof/>
          <w:lang w:val="es-ES_tradnl"/>
        </w:rPr>
        <w:t xml:space="preserve"> </w:t>
      </w:r>
      <w:r w:rsidRPr="009C6440">
        <w:rPr>
          <w:rFonts w:ascii="Verdana" w:hAnsi="Verdana" w:cs="Arial"/>
          <w:noProof/>
          <w:lang w:val="es-ES_tradnl"/>
        </w:rPr>
        <w:t>Los contratos de prestación de servicios profesionales se caracterizan por ser temporales, intuito persona, gozan de autonomía e independencia en la ejecución de la labor y su objeto debe versar sobre la administración o funcionamiento de la entidad, entre otras.</w:t>
      </w:r>
    </w:p>
    <w:p w14:paraId="440850BA" w14:textId="77777777" w:rsidR="00822AEF" w:rsidRDefault="00822AEF" w:rsidP="005953A4">
      <w:pPr>
        <w:pStyle w:val="ListParagraph"/>
        <w:tabs>
          <w:tab w:val="left" w:pos="142"/>
          <w:tab w:val="left" w:pos="284"/>
        </w:tabs>
        <w:spacing w:line="276" w:lineRule="auto"/>
        <w:ind w:left="709"/>
        <w:jc w:val="both"/>
        <w:rPr>
          <w:rFonts w:ascii="Verdana" w:hAnsi="Verdana" w:cs="Arial"/>
          <w:noProof/>
          <w:lang w:val="es-ES_tradnl"/>
        </w:rPr>
      </w:pPr>
    </w:p>
    <w:p w14:paraId="0E0DB64E" w14:textId="77777777" w:rsidR="00822AEF" w:rsidRDefault="00822AEF" w:rsidP="005953A4">
      <w:pPr>
        <w:pStyle w:val="ListParagraph"/>
        <w:tabs>
          <w:tab w:val="left" w:pos="142"/>
          <w:tab w:val="left" w:pos="284"/>
        </w:tabs>
        <w:spacing w:line="276" w:lineRule="auto"/>
        <w:ind w:left="142"/>
        <w:jc w:val="both"/>
        <w:rPr>
          <w:rFonts w:ascii="Verdana" w:hAnsi="Verdana" w:cs="Arial"/>
          <w:noProof/>
          <w:lang w:val="es-ES_tradnl"/>
        </w:rPr>
      </w:pPr>
      <w:r>
        <w:rPr>
          <w:rFonts w:ascii="Verdana" w:hAnsi="Verdana" w:cs="Arial"/>
          <w:noProof/>
          <w:lang w:val="es-ES_tradnl"/>
        </w:rPr>
        <w:t xml:space="preserve">El Decreto 1082 de 2015, en su articulo </w:t>
      </w:r>
      <w:r w:rsidRPr="009465C1">
        <w:rPr>
          <w:rFonts w:ascii="Verdana" w:hAnsi="Verdana" w:cs="Arial"/>
          <w:noProof/>
        </w:rPr>
        <w:t>ARTÍCULO </w:t>
      </w:r>
      <w:bookmarkStart w:id="1" w:name="2.2.1.2.1.4.9"/>
      <w:bookmarkEnd w:id="1"/>
      <w:r w:rsidRPr="009465C1">
        <w:rPr>
          <w:rFonts w:ascii="Verdana" w:hAnsi="Verdana" w:cs="Arial"/>
          <w:noProof/>
        </w:rPr>
        <w:t>2.2.1.2.1.4.9. </w:t>
      </w:r>
      <w:r>
        <w:rPr>
          <w:rFonts w:ascii="Verdana" w:hAnsi="Verdana" w:cs="Arial"/>
          <w:noProof/>
        </w:rPr>
        <w:t xml:space="preserve">menciona los tipos de contrato de prestación de sevicios, los cuales clasifica así: </w:t>
      </w:r>
      <w:r w:rsidRPr="009465C1">
        <w:rPr>
          <w:rFonts w:ascii="Verdana" w:hAnsi="Verdana" w:cs="Arial"/>
          <w:i/>
          <w:iCs/>
          <w:noProof/>
        </w:rPr>
        <w:t>Contratos de prestación de servicios profesionales y de apoyo a la gestión, o para la ejecución de trabajos artísticos que solo pueden encomendarse a determinadas personas naturales.</w:t>
      </w:r>
    </w:p>
    <w:p w14:paraId="5F532D5F" w14:textId="77777777" w:rsidR="00822AEF" w:rsidRPr="00822AEF" w:rsidRDefault="00822AEF" w:rsidP="005953A4">
      <w:pPr>
        <w:tabs>
          <w:tab w:val="left" w:pos="142"/>
          <w:tab w:val="left" w:pos="284"/>
        </w:tabs>
        <w:spacing w:after="0" w:line="276" w:lineRule="auto"/>
        <w:ind w:left="709"/>
        <w:jc w:val="both"/>
        <w:rPr>
          <w:rFonts w:ascii="Verdana" w:eastAsia="Century Gothic" w:hAnsi="Verdana" w:cs="Century Gothic"/>
          <w:b/>
          <w:bCs/>
          <w:lang w:val="es-MX"/>
        </w:rPr>
      </w:pPr>
    </w:p>
    <w:p w14:paraId="07802AB9" w14:textId="5B5A5275" w:rsidR="00822AEF" w:rsidRPr="00822AEF" w:rsidRDefault="00822AEF" w:rsidP="005953A4">
      <w:pPr>
        <w:pStyle w:val="ListParagraph"/>
        <w:numPr>
          <w:ilvl w:val="0"/>
          <w:numId w:val="14"/>
        </w:numPr>
        <w:tabs>
          <w:tab w:val="left" w:pos="142"/>
          <w:tab w:val="left" w:pos="284"/>
          <w:tab w:val="left" w:pos="567"/>
        </w:tabs>
        <w:spacing w:after="0" w:line="276" w:lineRule="auto"/>
        <w:ind w:left="0" w:firstLine="0"/>
        <w:jc w:val="both"/>
        <w:rPr>
          <w:rFonts w:ascii="Verdana" w:eastAsia="Century Gothic" w:hAnsi="Verdana" w:cs="Century Gothic"/>
          <w:b/>
          <w:bCs/>
          <w:lang w:val="es-ES"/>
        </w:rPr>
      </w:pPr>
      <w:r w:rsidRPr="00822AEF">
        <w:rPr>
          <w:rFonts w:ascii="Verdana" w:hAnsi="Verdana" w:cs="Arial"/>
          <w:noProof/>
          <w:lang w:val="es-ES_tradnl"/>
        </w:rPr>
        <w:t>El futuro contratista deberá cumplir con todos los requisitos de experiencia, capacidad e idoneidad solicitados por la entidad contratante; así como, no deberá estar incurso en alguna de las causales de inhabilidad e incompatibilidad para suscribir contratos con entidades públicas que se encuentren en la normativa vigente.</w:t>
      </w:r>
    </w:p>
    <w:p w14:paraId="16F61EA7" w14:textId="77777777" w:rsidR="00822AEF" w:rsidRDefault="00822AEF" w:rsidP="005953A4">
      <w:pPr>
        <w:tabs>
          <w:tab w:val="left" w:pos="142"/>
          <w:tab w:val="left" w:pos="284"/>
        </w:tabs>
        <w:spacing w:after="0" w:line="276" w:lineRule="auto"/>
        <w:ind w:left="709"/>
        <w:jc w:val="both"/>
        <w:rPr>
          <w:rFonts w:ascii="Verdana" w:eastAsia="Century Gothic" w:hAnsi="Verdana" w:cs="Century Gothic"/>
          <w:b/>
          <w:bCs/>
          <w:lang w:val="es-ES"/>
        </w:rPr>
      </w:pPr>
    </w:p>
    <w:p w14:paraId="2DFBC3C3" w14:textId="77777777" w:rsidR="00822AEF" w:rsidRPr="00544496" w:rsidRDefault="00822AEF" w:rsidP="005953A4">
      <w:pPr>
        <w:pStyle w:val="ListParagraph"/>
        <w:numPr>
          <w:ilvl w:val="0"/>
          <w:numId w:val="14"/>
        </w:numPr>
        <w:tabs>
          <w:tab w:val="left" w:pos="0"/>
          <w:tab w:val="left" w:pos="142"/>
          <w:tab w:val="left" w:pos="567"/>
        </w:tabs>
        <w:spacing w:line="276" w:lineRule="auto"/>
        <w:ind w:left="0" w:firstLine="0"/>
        <w:jc w:val="both"/>
        <w:rPr>
          <w:rFonts w:ascii="Verdana" w:hAnsi="Verdana"/>
        </w:rPr>
      </w:pPr>
      <w:r w:rsidRPr="00836B8A">
        <w:rPr>
          <w:rFonts w:ascii="Verdana" w:hAnsi="Verdana"/>
        </w:rPr>
        <w:t>La Agencia Nacional de Contratación Pública Colombia Compra Eficiente como ente rector en la materia, y, en cumplimiento de las funciones otorgadas por el numeral 5 del artículo 3 del Decreto Ley 4170 de 2011, expidió la Circular Externa Única. Documento, en el que estableció que todas las Entidades Estatales tienen el deber de publicar oportunamente la información oficial de la contratación en el SECOP, sin distinción de su régimen jurídico, naturaleza jurídica o la pertenencia a una u otra rama del poder público</w:t>
      </w:r>
      <w:r>
        <w:rPr>
          <w:rFonts w:ascii="Verdana" w:hAnsi="Verdana"/>
        </w:rPr>
        <w:t xml:space="preserve">. </w:t>
      </w:r>
    </w:p>
    <w:p w14:paraId="2E91C9E9" w14:textId="1043F625" w:rsidR="00822AEF" w:rsidRPr="00822AEF" w:rsidRDefault="00822AEF" w:rsidP="005953A4">
      <w:pPr>
        <w:tabs>
          <w:tab w:val="left" w:pos="142"/>
          <w:tab w:val="left" w:pos="284"/>
        </w:tabs>
        <w:spacing w:line="276" w:lineRule="auto"/>
        <w:jc w:val="both"/>
        <w:rPr>
          <w:rFonts w:ascii="Verdana" w:hAnsi="Verdana"/>
          <w:lang w:val="es-ES_tradnl"/>
        </w:rPr>
      </w:pPr>
      <w:r w:rsidRPr="00822AEF">
        <w:rPr>
          <w:rFonts w:ascii="Verdana" w:hAnsi="Verdana"/>
          <w:lang w:val="es-ES_tradnl"/>
        </w:rPr>
        <w:t xml:space="preserve">Con base en los fundamentos normativos, las entidades estatales están obligadas a publicar en el SECOP todos los Documentos del Proceso en cualquiera de sus etapas, así como, los actos administrativos del Proceso de Contratación, dentro de los tres (3) días siguientes a su expedición. </w:t>
      </w:r>
    </w:p>
    <w:p w14:paraId="29FBC0B8" w14:textId="7D4A0E48" w:rsidR="00822AEF" w:rsidRDefault="00822AEF" w:rsidP="4F7A2B85">
      <w:pPr>
        <w:pStyle w:val="ListParagraph"/>
        <w:tabs>
          <w:tab w:val="left" w:pos="142"/>
          <w:tab w:val="left" w:pos="284"/>
        </w:tabs>
        <w:spacing w:line="276" w:lineRule="auto"/>
        <w:ind w:left="0"/>
        <w:jc w:val="both"/>
        <w:rPr>
          <w:rFonts w:ascii="Verdana" w:hAnsi="Verdana"/>
          <w:lang w:val="es-ES"/>
        </w:rPr>
      </w:pPr>
      <w:r w:rsidRPr="4F7A2B85">
        <w:rPr>
          <w:rFonts w:ascii="Verdana" w:hAnsi="Verdana"/>
          <w:lang w:val="es-ES"/>
        </w:rPr>
        <w:t xml:space="preserve">Sin perjuicio de lo anterior, no debe perderse de vista que en virtud del principio de transparencia, específicamente por cuenta de lo dispuesto en el numeral 4 del artículo 24 de la Ley 80 de 1993, así como por el principio de máxima publicidad establecido en el artículo 2 de la Ley 1712 de 2014, el contenido del expediente en el que reposa la actuación es información pública, independientemente de si se trata de documentos que deban ser publicados en SECOP.  </w:t>
      </w:r>
    </w:p>
    <w:p w14:paraId="3A1D1ADA" w14:textId="77777777" w:rsidR="00822AEF" w:rsidRDefault="00822AEF" w:rsidP="005953A4">
      <w:pPr>
        <w:pStyle w:val="ListParagraph"/>
        <w:tabs>
          <w:tab w:val="left" w:pos="142"/>
          <w:tab w:val="left" w:pos="284"/>
        </w:tabs>
        <w:spacing w:line="276" w:lineRule="auto"/>
        <w:ind w:left="709"/>
        <w:jc w:val="both"/>
        <w:rPr>
          <w:rFonts w:ascii="Verdana" w:hAnsi="Verdana"/>
          <w:lang w:val="es-ES_tradnl"/>
        </w:rPr>
      </w:pPr>
    </w:p>
    <w:p w14:paraId="099BE607" w14:textId="3DE6D93D" w:rsidR="00822AEF" w:rsidRDefault="00822AEF" w:rsidP="005953A4">
      <w:pPr>
        <w:pStyle w:val="ListParagraph"/>
        <w:tabs>
          <w:tab w:val="left" w:pos="142"/>
          <w:tab w:val="left" w:pos="567"/>
        </w:tabs>
        <w:spacing w:line="276" w:lineRule="auto"/>
        <w:ind w:left="0"/>
        <w:jc w:val="both"/>
        <w:rPr>
          <w:rFonts w:ascii="Verdana" w:hAnsi="Verdana"/>
          <w:lang w:val="es-ES_tradnl"/>
        </w:rPr>
      </w:pPr>
      <w:r w:rsidRPr="00112463">
        <w:rPr>
          <w:rFonts w:ascii="Verdana" w:hAnsi="Verdana"/>
          <w:lang w:val="es-ES_tradnl"/>
        </w:rPr>
        <w:t>En cuanto a los documentos que</w:t>
      </w:r>
      <w:r>
        <w:rPr>
          <w:rFonts w:ascii="Verdana" w:hAnsi="Verdana"/>
          <w:lang w:val="es-ES_tradnl"/>
        </w:rPr>
        <w:t xml:space="preserve"> se deben publicar en relación con el proceso de contratación directa y su ejecución, estos siguen la línea normativa mencionada, por lo cual, se deberá publicar los estudios previos y sus anexos, el CDP, la oferta del contratista, los informes de ejecución contractual y todos los demás documentos relativos al contrato y su ejecución, así como el acta de liquidación (Si aplica).</w:t>
      </w:r>
    </w:p>
    <w:p w14:paraId="605601D6" w14:textId="6DCE9BC5" w:rsidR="00822AEF" w:rsidRPr="00822AEF" w:rsidRDefault="00822AEF" w:rsidP="005953A4">
      <w:pPr>
        <w:pStyle w:val="ListParagraph"/>
        <w:tabs>
          <w:tab w:val="left" w:pos="142"/>
          <w:tab w:val="left" w:pos="284"/>
        </w:tabs>
        <w:spacing w:after="0" w:line="276" w:lineRule="auto"/>
        <w:ind w:left="709"/>
        <w:jc w:val="both"/>
        <w:rPr>
          <w:rFonts w:ascii="Verdana" w:eastAsia="Century Gothic" w:hAnsi="Verdana" w:cs="Century Gothic"/>
          <w:b/>
          <w:bCs/>
          <w:lang w:val="es-ES"/>
        </w:rPr>
      </w:pPr>
    </w:p>
    <w:p w14:paraId="62DD1A04" w14:textId="23EEA74A" w:rsidR="00822AEF" w:rsidRPr="00156839" w:rsidRDefault="00822AEF" w:rsidP="00390479">
      <w:pPr>
        <w:pStyle w:val="ListParagraph"/>
        <w:numPr>
          <w:ilvl w:val="0"/>
          <w:numId w:val="14"/>
        </w:numPr>
        <w:tabs>
          <w:tab w:val="left" w:pos="142"/>
          <w:tab w:val="left" w:pos="284"/>
          <w:tab w:val="left" w:pos="426"/>
        </w:tabs>
        <w:spacing w:line="276" w:lineRule="auto"/>
        <w:ind w:left="0" w:firstLine="0"/>
        <w:jc w:val="both"/>
        <w:rPr>
          <w:rFonts w:ascii="Verdana" w:hAnsi="Verdana"/>
        </w:rPr>
      </w:pPr>
      <w:r>
        <w:rPr>
          <w:rFonts w:ascii="Verdana" w:hAnsi="Verdana"/>
        </w:rPr>
        <w:t xml:space="preserve">   </w:t>
      </w:r>
      <w:r w:rsidRPr="00156839">
        <w:rPr>
          <w:rFonts w:ascii="Verdana" w:hAnsi="Verdana"/>
        </w:rPr>
        <w:t>Respecto a si un particular puede tener varios contratos estatales en una entidad</w:t>
      </w:r>
      <w:r>
        <w:rPr>
          <w:rFonts w:ascii="Verdana" w:hAnsi="Verdana"/>
        </w:rPr>
        <w:t xml:space="preserve"> o en varias entidades</w:t>
      </w:r>
      <w:r w:rsidRPr="00156839">
        <w:rPr>
          <w:rFonts w:ascii="Verdana" w:hAnsi="Verdana"/>
        </w:rPr>
        <w:t>, el Consejo de Estado en concepto de la Sala de Consulta y Servicio Civil, radicación No 1344 de mayo 10 de 2001, Consejero Ponente Flavio Augusto Rodríguez Arce, relativo al Artículo 128 de la Carta Política, expresó:</w:t>
      </w:r>
    </w:p>
    <w:p w14:paraId="573BF613" w14:textId="77777777" w:rsidR="00822AEF" w:rsidRPr="00156839" w:rsidRDefault="00822AEF" w:rsidP="005953A4">
      <w:pPr>
        <w:pStyle w:val="ListParagraph"/>
        <w:tabs>
          <w:tab w:val="left" w:pos="142"/>
          <w:tab w:val="left" w:pos="284"/>
        </w:tabs>
        <w:spacing w:line="276" w:lineRule="auto"/>
        <w:ind w:left="709"/>
        <w:rPr>
          <w:rFonts w:ascii="Verdana" w:hAnsi="Verdana"/>
        </w:rPr>
      </w:pPr>
      <w:r w:rsidRPr="00156839">
        <w:rPr>
          <w:rFonts w:ascii="Verdana" w:hAnsi="Verdana"/>
        </w:rPr>
        <w:t> </w:t>
      </w:r>
    </w:p>
    <w:p w14:paraId="325C22F3" w14:textId="4EA1576D" w:rsidR="00822AEF" w:rsidRPr="00156839" w:rsidRDefault="00822AEF" w:rsidP="005953A4">
      <w:pPr>
        <w:pStyle w:val="ListParagraph"/>
        <w:tabs>
          <w:tab w:val="left" w:pos="142"/>
          <w:tab w:val="left" w:pos="284"/>
        </w:tabs>
        <w:spacing w:line="276" w:lineRule="auto"/>
        <w:ind w:left="709"/>
        <w:jc w:val="both"/>
        <w:rPr>
          <w:rFonts w:ascii="Verdana" w:hAnsi="Verdana"/>
        </w:rPr>
      </w:pPr>
      <w:r w:rsidRPr="00156839">
        <w:rPr>
          <w:rFonts w:ascii="Verdana" w:hAnsi="Verdana"/>
          <w:i/>
          <w:iCs/>
        </w:rPr>
        <w:t>“.... los Artículos </w:t>
      </w:r>
      <w:r w:rsidR="002768E9">
        <w:rPr>
          <w:rFonts w:ascii="Verdana" w:hAnsi="Verdana"/>
          <w:i/>
          <w:iCs/>
        </w:rPr>
        <w:t>128</w:t>
      </w:r>
      <w:r w:rsidRPr="00156839">
        <w:rPr>
          <w:rFonts w:ascii="Verdana" w:hAnsi="Verdana"/>
          <w:i/>
          <w:iCs/>
        </w:rPr>
        <w:t> de la Constitución Política y </w:t>
      </w:r>
      <w:r w:rsidR="002768E9">
        <w:rPr>
          <w:rFonts w:ascii="Verdana" w:hAnsi="Verdana"/>
          <w:i/>
          <w:iCs/>
        </w:rPr>
        <w:t xml:space="preserve">19 </w:t>
      </w:r>
      <w:r w:rsidRPr="00156839">
        <w:rPr>
          <w:rFonts w:ascii="Verdana" w:hAnsi="Verdana"/>
          <w:i/>
          <w:iCs/>
        </w:rPr>
        <w:t>de la ley 4a de 1992, no son aplicables al particular que celebra contratos con una entidad estatal. No sobra advertir, que no existe norma que establezca incompatibilidad al respecto por lo que, conforme al Artículo </w:t>
      </w:r>
      <w:r w:rsidR="002768E9">
        <w:rPr>
          <w:rFonts w:ascii="Verdana" w:hAnsi="Verdana"/>
          <w:i/>
          <w:iCs/>
        </w:rPr>
        <w:t>6</w:t>
      </w:r>
      <w:r w:rsidRPr="00156839">
        <w:rPr>
          <w:rFonts w:ascii="Verdana" w:hAnsi="Verdana"/>
          <w:i/>
          <w:iCs/>
        </w:rPr>
        <w:t>° constitucional, al particular contratista sólo le es exigible la responsabilidad ante las autoridades por infringir la Constitución y la ley, en los términos que ellas señalen, circunstancia que impide, por lo demás, toda aplicación analógica o extensiva de las prohibiciones establecidas para los servidores públicos Por lo demás, el Artículo 8° ibídem regula lo relativo a las inhabilidades e incompatibilidades para participar en licitaciones o concursos y para celebrar contratos con las entidades estatales. Estas mismas razones explican </w:t>
      </w:r>
      <w:r w:rsidRPr="00156839">
        <w:rPr>
          <w:rFonts w:ascii="Verdana" w:hAnsi="Verdana"/>
          <w:i/>
          <w:iCs/>
          <w:u w:val="single"/>
        </w:rPr>
        <w:t>la inexistencia de incompatibilidad</w:t>
      </w:r>
      <w:r w:rsidRPr="00156839">
        <w:rPr>
          <w:rFonts w:ascii="Verdana" w:hAnsi="Verdana"/>
          <w:i/>
          <w:iCs/>
        </w:rPr>
        <w:t> para que una misma persona natural celebre más de un contrato de prestación de servicios.” (Subraya fuera de texto)</w:t>
      </w:r>
    </w:p>
    <w:p w14:paraId="13B59B46" w14:textId="77777777" w:rsidR="00822AEF" w:rsidRDefault="00822AEF" w:rsidP="005953A4">
      <w:pPr>
        <w:pStyle w:val="ListParagraph"/>
        <w:tabs>
          <w:tab w:val="left" w:pos="142"/>
          <w:tab w:val="left" w:pos="284"/>
        </w:tabs>
        <w:spacing w:line="276" w:lineRule="auto"/>
        <w:ind w:left="709"/>
        <w:jc w:val="both"/>
        <w:rPr>
          <w:rFonts w:ascii="Verdana" w:hAnsi="Verdana"/>
        </w:rPr>
      </w:pPr>
    </w:p>
    <w:p w14:paraId="39127B7C" w14:textId="77777777" w:rsidR="00822AEF" w:rsidRDefault="00822AEF" w:rsidP="00390479">
      <w:pPr>
        <w:pStyle w:val="ListParagraph"/>
        <w:tabs>
          <w:tab w:val="left" w:pos="142"/>
          <w:tab w:val="left" w:pos="284"/>
        </w:tabs>
        <w:spacing w:line="276" w:lineRule="auto"/>
        <w:ind w:left="0"/>
        <w:jc w:val="both"/>
        <w:rPr>
          <w:rFonts w:ascii="Verdana" w:hAnsi="Verdana"/>
        </w:rPr>
      </w:pPr>
      <w:r w:rsidRPr="00E9721A">
        <w:rPr>
          <w:rFonts w:ascii="Verdana" w:hAnsi="Verdana"/>
        </w:rPr>
        <w:t>De acuerdo a lo expuesto, los contratistas de prestación de servicios no están subsumidos en el contexto de la función pública, por lo tanto, no son considerados servidores públicos.</w:t>
      </w:r>
      <w:r>
        <w:rPr>
          <w:rFonts w:ascii="Verdana" w:hAnsi="Verdana"/>
        </w:rPr>
        <w:t xml:space="preserve"> </w:t>
      </w:r>
      <w:r w:rsidRPr="00156839">
        <w:rPr>
          <w:rFonts w:ascii="Verdana" w:hAnsi="Verdana"/>
        </w:rPr>
        <w:t>Es decir, que no existe inhabilidad alguna para que quien ha suscrito un contrato de prestación de servicios, pueda simultáneamente suscribir otro contrato estatal con la misma u otra entidad pública.</w:t>
      </w:r>
    </w:p>
    <w:p w14:paraId="15182096" w14:textId="77777777" w:rsidR="00822AEF" w:rsidRDefault="00822AEF" w:rsidP="005953A4">
      <w:pPr>
        <w:pStyle w:val="ListParagraph"/>
        <w:tabs>
          <w:tab w:val="left" w:pos="142"/>
          <w:tab w:val="left" w:pos="284"/>
        </w:tabs>
        <w:spacing w:line="276" w:lineRule="auto"/>
        <w:ind w:left="709"/>
        <w:jc w:val="both"/>
        <w:rPr>
          <w:rFonts w:ascii="Verdana" w:hAnsi="Verdana"/>
        </w:rPr>
      </w:pPr>
    </w:p>
    <w:p w14:paraId="59A6DA7B" w14:textId="77777777" w:rsidR="00822AEF" w:rsidRPr="00B10B47" w:rsidRDefault="00822AEF" w:rsidP="00390479">
      <w:pPr>
        <w:pStyle w:val="ListParagraph"/>
        <w:tabs>
          <w:tab w:val="left" w:pos="142"/>
          <w:tab w:val="left" w:pos="284"/>
        </w:tabs>
        <w:spacing w:line="276" w:lineRule="auto"/>
        <w:ind w:left="0"/>
        <w:jc w:val="both"/>
        <w:rPr>
          <w:rFonts w:ascii="Verdana" w:hAnsi="Verdana"/>
        </w:rPr>
      </w:pPr>
      <w:r>
        <w:rPr>
          <w:rFonts w:ascii="Verdana" w:hAnsi="Verdana"/>
        </w:rPr>
        <w:t>Es así como se hace necesario resaltar que l</w:t>
      </w:r>
      <w:r w:rsidRPr="00B10B47">
        <w:rPr>
          <w:rFonts w:ascii="Verdana" w:hAnsi="Verdana"/>
        </w:rPr>
        <w:t xml:space="preserve">as inhabilidades e incompatibilidades son taxativas, expresas y de interpretación restrictiva, sin que puedan buscarse analogías o aducirse razones para hacerlas extensivas a casos no comprendidos por el legislador, pues la voluntad de este no puede ser suplantada, en detrimento de derechos de terceros o de intereses sociales que exigen la sujeción estricta al texto de la ley prohibitiva. </w:t>
      </w:r>
    </w:p>
    <w:p w14:paraId="71187F2A" w14:textId="77777777" w:rsidR="00822AEF" w:rsidRDefault="00822AEF" w:rsidP="005953A4">
      <w:pPr>
        <w:pStyle w:val="ListParagraph"/>
        <w:tabs>
          <w:tab w:val="left" w:pos="142"/>
          <w:tab w:val="left" w:pos="284"/>
        </w:tabs>
        <w:spacing w:line="276" w:lineRule="auto"/>
        <w:ind w:left="709"/>
        <w:jc w:val="both"/>
        <w:rPr>
          <w:rFonts w:ascii="Verdana" w:hAnsi="Verdana"/>
        </w:rPr>
      </w:pPr>
    </w:p>
    <w:p w14:paraId="631089E6" w14:textId="5F01328C" w:rsidR="00822AEF" w:rsidRPr="00822AEF" w:rsidRDefault="00822AEF" w:rsidP="00390479">
      <w:pPr>
        <w:pStyle w:val="ListParagraph"/>
        <w:numPr>
          <w:ilvl w:val="0"/>
          <w:numId w:val="14"/>
        </w:numPr>
        <w:tabs>
          <w:tab w:val="left" w:pos="567"/>
        </w:tabs>
        <w:spacing w:after="0" w:line="240" w:lineRule="auto"/>
        <w:ind w:left="0" w:right="357" w:firstLine="0"/>
        <w:jc w:val="both"/>
        <w:rPr>
          <w:rFonts w:ascii="Verdana" w:eastAsia="Century Gothic" w:hAnsi="Verdana" w:cs="Century Gothic"/>
        </w:rPr>
      </w:pPr>
      <w:r w:rsidRPr="00822AEF">
        <w:rPr>
          <w:rFonts w:ascii="Verdana" w:eastAsia="Century Gothic" w:hAnsi="Verdana" w:cs="Century Gothic"/>
        </w:rPr>
        <w:t>La Constitución Política en sus artículo 123 hace una definición de quienes son servidores públicos, seguidamente en su artículo 127  prohíbe que estos puedan desempeñar más de un empleo público y recibir más de una asignación proveniente del Erario. No obstante, la Ley estableció algunas excepciones a esta limitación. Adicionalmente, también está prohibido para todo servidor público contratar con cualquier entidad pública de cualquier nivel.</w:t>
      </w:r>
    </w:p>
    <w:p w14:paraId="0C8726BB"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p>
    <w:p w14:paraId="37E5962C" w14:textId="77777777" w:rsidR="00822AEF" w:rsidRPr="00822AEF" w:rsidRDefault="00822AEF" w:rsidP="00390479">
      <w:pPr>
        <w:spacing w:after="0" w:line="240" w:lineRule="auto"/>
        <w:ind w:right="357"/>
        <w:contextualSpacing/>
        <w:jc w:val="both"/>
        <w:rPr>
          <w:rFonts w:ascii="Verdana" w:eastAsia="Century Gothic" w:hAnsi="Verdana" w:cs="Century Gothic"/>
        </w:rPr>
      </w:pPr>
      <w:r w:rsidRPr="00822AEF">
        <w:rPr>
          <w:rFonts w:ascii="Verdana" w:eastAsia="Century Gothic" w:hAnsi="Verdana" w:cs="Century Gothic"/>
        </w:rPr>
        <w:t>En relación con las inhabilidades e incompatibilidades relacionadas con la suscripción de los contratos de prestación de servicios la Ley 80 de 1993 preceptúa lo siguiente:</w:t>
      </w:r>
    </w:p>
    <w:p w14:paraId="7DBEDF56"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p>
    <w:p w14:paraId="1E8ADFC7"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r w:rsidRPr="00822AEF">
        <w:rPr>
          <w:rFonts w:ascii="Verdana" w:eastAsia="Century Gothic" w:hAnsi="Verdana" w:cs="Century Gothic"/>
        </w:rPr>
        <w:t>“</w:t>
      </w:r>
      <w:r w:rsidRPr="00822AEF">
        <w:rPr>
          <w:rFonts w:ascii="Verdana" w:eastAsia="Century Gothic" w:hAnsi="Verdana" w:cs="Century Gothic"/>
          <w:b/>
          <w:bCs/>
          <w:i/>
          <w:iCs/>
        </w:rPr>
        <w:t>ARTÍCULO 8.- De las Inhabilidades e Incompatibilidades para Contratar:</w:t>
      </w:r>
    </w:p>
    <w:p w14:paraId="50B7A0BF"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r w:rsidRPr="00822AEF">
        <w:rPr>
          <w:rFonts w:ascii="Verdana" w:eastAsia="Century Gothic" w:hAnsi="Verdana" w:cs="Century Gothic"/>
        </w:rPr>
        <w:t>1o. Son inhábiles para participar en licitaciones o </w:t>
      </w:r>
      <w:r w:rsidRPr="00822AEF">
        <w:rPr>
          <w:rFonts w:ascii="Verdana" w:eastAsia="Century Gothic" w:hAnsi="Verdana" w:cs="Century Gothic"/>
          <w:u w:val="single"/>
        </w:rPr>
        <w:t>concursos</w:t>
      </w:r>
      <w:r w:rsidRPr="00822AEF">
        <w:rPr>
          <w:rFonts w:ascii="Verdana" w:eastAsia="Century Gothic" w:hAnsi="Verdana" w:cs="Century Gothic"/>
        </w:rPr>
        <w:t> y para celebrar contratos con las entidades estatales:</w:t>
      </w:r>
    </w:p>
    <w:p w14:paraId="2F9E95DB"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r w:rsidRPr="00822AEF">
        <w:rPr>
          <w:rFonts w:ascii="Verdana" w:eastAsia="Century Gothic" w:hAnsi="Verdana" w:cs="Century Gothic"/>
        </w:rPr>
        <w:t>(…)</w:t>
      </w:r>
    </w:p>
    <w:p w14:paraId="71E7BD8F"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p>
    <w:p w14:paraId="62601055" w14:textId="77777777" w:rsidR="00822AEF" w:rsidRDefault="00822AEF" w:rsidP="005953A4">
      <w:pPr>
        <w:spacing w:after="0" w:line="240" w:lineRule="auto"/>
        <w:ind w:left="709" w:right="357"/>
        <w:contextualSpacing/>
        <w:jc w:val="both"/>
        <w:rPr>
          <w:rFonts w:ascii="Verdana" w:eastAsia="Century Gothic" w:hAnsi="Verdana" w:cs="Century Gothic"/>
        </w:rPr>
      </w:pPr>
      <w:r w:rsidRPr="00822AEF">
        <w:rPr>
          <w:rFonts w:ascii="Verdana" w:eastAsia="Century Gothic" w:hAnsi="Verdana" w:cs="Century Gothic"/>
        </w:rPr>
        <w:t>f) Los servidores públicos.</w:t>
      </w:r>
    </w:p>
    <w:p w14:paraId="10A44278" w14:textId="77777777" w:rsidR="00822AEF" w:rsidRPr="00822AEF" w:rsidRDefault="00822AEF" w:rsidP="005953A4">
      <w:pPr>
        <w:spacing w:after="0" w:line="240" w:lineRule="auto"/>
        <w:ind w:left="709" w:right="357"/>
        <w:contextualSpacing/>
        <w:jc w:val="both"/>
        <w:rPr>
          <w:rFonts w:ascii="Verdana" w:eastAsia="Century Gothic" w:hAnsi="Verdana" w:cs="Century Gothic"/>
        </w:rPr>
      </w:pPr>
    </w:p>
    <w:p w14:paraId="662B6A42" w14:textId="577BEC44" w:rsidR="002768E9" w:rsidRPr="002768E9" w:rsidRDefault="00822AEF" w:rsidP="005953A4">
      <w:pPr>
        <w:spacing w:after="0" w:line="240" w:lineRule="auto"/>
        <w:ind w:left="709" w:right="357"/>
        <w:contextualSpacing/>
        <w:jc w:val="both"/>
        <w:rPr>
          <w:rFonts w:ascii="Verdana" w:eastAsia="Century Gothic" w:hAnsi="Verdana" w:cs="Century Gothic"/>
        </w:rPr>
      </w:pPr>
      <w:r w:rsidRPr="00822AEF">
        <w:rPr>
          <w:rFonts w:ascii="Verdana" w:eastAsia="Century Gothic" w:hAnsi="Verdana" w:cs="Century Gothic"/>
        </w:rPr>
        <w:t>(…)</w:t>
      </w:r>
    </w:p>
    <w:p w14:paraId="306FE898" w14:textId="77777777" w:rsidR="002768E9" w:rsidRDefault="002768E9" w:rsidP="005953A4">
      <w:pPr>
        <w:tabs>
          <w:tab w:val="left" w:pos="142"/>
          <w:tab w:val="left" w:pos="284"/>
        </w:tabs>
        <w:spacing w:after="0" w:line="276" w:lineRule="auto"/>
        <w:ind w:left="709"/>
        <w:jc w:val="both"/>
        <w:rPr>
          <w:rFonts w:ascii="Verdana" w:eastAsia="Century Gothic" w:hAnsi="Verdana" w:cs="Century Gothic"/>
          <w:b/>
          <w:bCs/>
          <w:lang w:val="es-ES"/>
        </w:rPr>
      </w:pPr>
    </w:p>
    <w:p w14:paraId="263A77C5" w14:textId="77777777" w:rsidR="00822AEF" w:rsidRDefault="00822AEF" w:rsidP="00822AEF">
      <w:pPr>
        <w:tabs>
          <w:tab w:val="left" w:pos="142"/>
          <w:tab w:val="left" w:pos="284"/>
        </w:tabs>
        <w:spacing w:after="0" w:line="276" w:lineRule="auto"/>
        <w:jc w:val="both"/>
        <w:rPr>
          <w:rFonts w:ascii="Verdana" w:eastAsia="Century Gothic" w:hAnsi="Verdana" w:cs="Century Gothic"/>
          <w:b/>
          <w:bCs/>
          <w:lang w:val="es-ES"/>
        </w:rPr>
      </w:pPr>
    </w:p>
    <w:p w14:paraId="6678B80A" w14:textId="7F84D709" w:rsidR="00871B59" w:rsidRPr="00822AEF" w:rsidRDefault="00871B59" w:rsidP="00822AEF">
      <w:pPr>
        <w:tabs>
          <w:tab w:val="left" w:pos="142"/>
          <w:tab w:val="left" w:pos="284"/>
        </w:tabs>
        <w:spacing w:after="0" w:line="276" w:lineRule="auto"/>
        <w:jc w:val="both"/>
        <w:rPr>
          <w:rFonts w:ascii="Verdana" w:eastAsia="Century Gothic" w:hAnsi="Verdana" w:cs="Century Gothic"/>
          <w:b/>
          <w:bCs/>
          <w:lang w:val="es-ES"/>
        </w:rPr>
      </w:pPr>
      <w:r w:rsidRPr="00822AE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6DB5BA6B" w14:textId="77777777" w:rsidR="00871B59"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13982B54" w14:textId="77777777" w:rsidR="00390479" w:rsidRDefault="00390479" w:rsidP="00871B59">
      <w:pPr>
        <w:spacing w:after="0" w:line="276" w:lineRule="auto"/>
        <w:jc w:val="both"/>
        <w:rPr>
          <w:rFonts w:ascii="Verdana" w:eastAsia="Calibri" w:hAnsi="Verdana" w:cs="Arial"/>
          <w:lang w:val="es-ES"/>
        </w:rPr>
      </w:pPr>
    </w:p>
    <w:p w14:paraId="3D8D6FA1" w14:textId="77777777" w:rsidR="00390479" w:rsidRPr="00390479" w:rsidRDefault="00390479" w:rsidP="00390479">
      <w:pPr>
        <w:pStyle w:val="ListParagraph"/>
        <w:numPr>
          <w:ilvl w:val="0"/>
          <w:numId w:val="17"/>
        </w:numPr>
        <w:spacing w:after="0" w:line="276" w:lineRule="auto"/>
        <w:ind w:left="142"/>
        <w:jc w:val="both"/>
        <w:rPr>
          <w:rFonts w:ascii="Verdana" w:eastAsia="Calibri" w:hAnsi="Verdana" w:cs="Arial"/>
          <w:lang w:val="es-ES"/>
        </w:rPr>
      </w:pPr>
      <w:r w:rsidRPr="00390479">
        <w:rPr>
          <w:rFonts w:ascii="Verdana" w:eastAsia="Calibri" w:hAnsi="Verdana" w:cs="Arial"/>
        </w:rPr>
        <w:t xml:space="preserve">Sobre la contratación directa, se pronunció el Consejo de Estado, Sala de consulta y servicio civil, radicado No. 1.727, del 20 de febrero de 2006, Consejero Ponente: Enrique José Arboleda Perdomo: </w:t>
      </w:r>
    </w:p>
    <w:p w14:paraId="018A04E3" w14:textId="77777777" w:rsidR="00390479" w:rsidRDefault="00390479" w:rsidP="00390479">
      <w:pPr>
        <w:pStyle w:val="ListParagraph"/>
        <w:spacing w:after="0" w:line="276" w:lineRule="auto"/>
        <w:ind w:left="142"/>
        <w:jc w:val="both"/>
        <w:rPr>
          <w:rFonts w:ascii="Verdana" w:eastAsia="Calibri" w:hAnsi="Verdana" w:cs="Arial"/>
          <w:lang w:val="es-ES"/>
        </w:rPr>
      </w:pPr>
    </w:p>
    <w:p w14:paraId="0279F512" w14:textId="760038A5" w:rsidR="00390479" w:rsidRPr="00390479" w:rsidRDefault="00390479" w:rsidP="00390479">
      <w:pPr>
        <w:pStyle w:val="ListParagraph"/>
        <w:spacing w:after="0" w:line="276" w:lineRule="auto"/>
        <w:ind w:left="567"/>
        <w:jc w:val="both"/>
        <w:rPr>
          <w:rFonts w:ascii="Verdana" w:eastAsia="Calibri" w:hAnsi="Verdana" w:cs="Arial"/>
          <w:i/>
          <w:iCs/>
          <w:lang w:val="es-ES"/>
        </w:rPr>
      </w:pPr>
      <w:r w:rsidRPr="00390479">
        <w:rPr>
          <w:rFonts w:ascii="Verdana" w:eastAsia="Calibri" w:hAnsi="Verdana" w:cs="Arial"/>
          <w:i/>
          <w:iCs/>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p>
    <w:p w14:paraId="51F9EDC3" w14:textId="77777777" w:rsidR="006346A5" w:rsidRDefault="006346A5" w:rsidP="00871B59">
      <w:pPr>
        <w:spacing w:after="0" w:line="276" w:lineRule="auto"/>
        <w:jc w:val="both"/>
        <w:rPr>
          <w:rFonts w:ascii="Verdana" w:eastAsia="Calibri" w:hAnsi="Verdana" w:cs="Arial"/>
          <w:color w:val="7030A0"/>
        </w:rPr>
      </w:pPr>
    </w:p>
    <w:p w14:paraId="5E19C964" w14:textId="36F87DE8" w:rsidR="00390479" w:rsidRDefault="00390479" w:rsidP="00562B6F">
      <w:pPr>
        <w:pStyle w:val="ListParagraph"/>
        <w:numPr>
          <w:ilvl w:val="0"/>
          <w:numId w:val="16"/>
        </w:numPr>
        <w:spacing w:after="0" w:line="276" w:lineRule="auto"/>
        <w:ind w:left="142"/>
        <w:jc w:val="both"/>
        <w:rPr>
          <w:rFonts w:ascii="Verdana" w:eastAsia="Calibri" w:hAnsi="Verdana" w:cs="Arial"/>
          <w:color w:val="000000" w:themeColor="text1"/>
        </w:rPr>
      </w:pPr>
      <w:r w:rsidRPr="00390479">
        <w:rPr>
          <w:rFonts w:ascii="Verdana" w:eastAsia="Calibri" w:hAnsi="Verdana" w:cs="Arial"/>
          <w:color w:val="000000" w:themeColor="text1"/>
        </w:rPr>
        <w:t>Adicionalmente el Decreto 1082 de 2015, en el artículo 2.2.1.2.1.4.1. y siguientes regula el procedimiento de la contratación directa, particularmente lo correspondiente al acto administrativo de justificación de la contratación directa, y particularidades respecto de diferentes causales como urgencia manifiesta, la contratación de empréstitos, los contratos interadministrativos que celebre el Ministerio de Hacienda y Crédito Público con el Banco de la República, los contratos sobre bienes y Servicios en el Sector Defensa, la Dirección Nacional de Inteligencia y la Unidad Nacional de Protección que necesiten reserva para su adquisición, entre otras causales. También regula la no obligatoriedad de garantías.</w:t>
      </w:r>
    </w:p>
    <w:p w14:paraId="1622D2BF" w14:textId="39B649A5" w:rsidR="00180CB8" w:rsidRPr="00562B6F" w:rsidRDefault="00390479" w:rsidP="00562B6F">
      <w:pPr>
        <w:pStyle w:val="ListParagraph"/>
        <w:numPr>
          <w:ilvl w:val="0"/>
          <w:numId w:val="16"/>
        </w:numPr>
        <w:spacing w:after="0" w:line="276" w:lineRule="auto"/>
        <w:ind w:left="142"/>
        <w:jc w:val="both"/>
        <w:rPr>
          <w:rFonts w:ascii="Verdana" w:eastAsia="Calibri" w:hAnsi="Verdana" w:cs="Arial"/>
          <w:color w:val="000000" w:themeColor="text1"/>
        </w:rPr>
      </w:pPr>
      <w:r>
        <w:rPr>
          <w:rFonts w:ascii="Verdana" w:eastAsia="Calibri" w:hAnsi="Verdana" w:cs="Arial"/>
          <w:color w:val="000000" w:themeColor="text1"/>
        </w:rPr>
        <w:t>Por otra parte, e</w:t>
      </w:r>
      <w:r w:rsidR="00180CB8" w:rsidRPr="00562B6F">
        <w:rPr>
          <w:rFonts w:ascii="Verdana" w:eastAsia="Calibri" w:hAnsi="Verdana" w:cs="Arial"/>
          <w:color w:val="000000" w:themeColor="text1"/>
        </w:rPr>
        <w:t xml:space="preserv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 </w:t>
      </w:r>
      <w:r w:rsidRPr="00390479">
        <w:rPr>
          <w:rFonts w:ascii="Verdana" w:eastAsia="Calibri" w:hAnsi="Verdana" w:cs="Arial"/>
          <w:color w:val="000000" w:themeColor="text1"/>
        </w:rPr>
        <w:t>De otro lado, la celebración de dicho contrato se debe efectuar a través de la modalidad de la contratación directa. Así lo prevé el artículo 2, numeral 4º, literal h), de la Ley 1150 de 2007, que dispone:</w:t>
      </w:r>
    </w:p>
    <w:p w14:paraId="31ABCD20" w14:textId="77777777" w:rsidR="006346A5" w:rsidRDefault="006346A5" w:rsidP="00871B59">
      <w:pPr>
        <w:spacing w:after="0" w:line="276" w:lineRule="auto"/>
        <w:jc w:val="both"/>
        <w:rPr>
          <w:rFonts w:ascii="Verdana" w:eastAsia="Calibri" w:hAnsi="Verdana" w:cs="Arial"/>
          <w:color w:val="000000" w:themeColor="text1"/>
        </w:rPr>
      </w:pPr>
    </w:p>
    <w:p w14:paraId="53F59E6F" w14:textId="77777777" w:rsidR="006346A5" w:rsidRDefault="00180CB8" w:rsidP="006346A5">
      <w:pPr>
        <w:spacing w:after="0" w:line="276" w:lineRule="auto"/>
        <w:ind w:left="426"/>
        <w:jc w:val="both"/>
        <w:rPr>
          <w:rFonts w:ascii="Verdana" w:eastAsia="Calibri" w:hAnsi="Verdana" w:cs="Arial"/>
          <w:color w:val="000000" w:themeColor="text1"/>
        </w:rPr>
      </w:pPr>
      <w:r w:rsidRPr="006346A5">
        <w:rPr>
          <w:rFonts w:ascii="Verdana" w:eastAsia="Calibri" w:hAnsi="Verdana" w:cs="Arial"/>
          <w:color w:val="000000" w:themeColor="text1"/>
        </w:rPr>
        <w:t xml:space="preserve">“[…] Contratación directa. La modalidad de selección de contratación directa, solamente procederá en los siguientes casos: </w:t>
      </w:r>
    </w:p>
    <w:p w14:paraId="7970CE43" w14:textId="77777777" w:rsidR="006346A5" w:rsidRDefault="00180CB8" w:rsidP="006346A5">
      <w:pPr>
        <w:spacing w:after="0" w:line="276" w:lineRule="auto"/>
        <w:ind w:left="426"/>
        <w:jc w:val="both"/>
        <w:rPr>
          <w:rFonts w:ascii="Verdana" w:eastAsia="Calibri" w:hAnsi="Verdana" w:cs="Arial"/>
          <w:color w:val="000000" w:themeColor="text1"/>
        </w:rPr>
      </w:pPr>
      <w:r w:rsidRPr="006346A5">
        <w:rPr>
          <w:rFonts w:ascii="Verdana" w:eastAsia="Calibri" w:hAnsi="Verdana" w:cs="Arial"/>
          <w:color w:val="000000" w:themeColor="text1"/>
        </w:rPr>
        <w:t xml:space="preserve">[…] h) Para la prestación de servicios profesionales y de apoyo a la gestión, o para la ejecución de trabajos artísticos que sólo puedan encomendarse a determinadas personas naturales; […]”. </w:t>
      </w:r>
    </w:p>
    <w:p w14:paraId="30707402" w14:textId="77777777" w:rsidR="006346A5" w:rsidRDefault="006346A5" w:rsidP="00871B59">
      <w:pPr>
        <w:spacing w:after="0" w:line="276" w:lineRule="auto"/>
        <w:jc w:val="both"/>
        <w:rPr>
          <w:rFonts w:ascii="Verdana" w:eastAsia="Calibri" w:hAnsi="Verdana" w:cs="Arial"/>
          <w:color w:val="000000" w:themeColor="text1"/>
        </w:rPr>
      </w:pPr>
    </w:p>
    <w:p w14:paraId="420E2399" w14:textId="77777777" w:rsidR="006346A5" w:rsidRPr="00562B6F" w:rsidRDefault="00180CB8" w:rsidP="00562B6F">
      <w:pPr>
        <w:pStyle w:val="ListParagraph"/>
        <w:numPr>
          <w:ilvl w:val="0"/>
          <w:numId w:val="16"/>
        </w:numPr>
        <w:spacing w:after="0" w:line="276" w:lineRule="auto"/>
        <w:ind w:left="0"/>
        <w:jc w:val="both"/>
        <w:rPr>
          <w:rFonts w:ascii="Verdana" w:eastAsia="Calibri" w:hAnsi="Verdana" w:cs="Arial"/>
          <w:color w:val="000000" w:themeColor="text1"/>
        </w:rPr>
      </w:pPr>
      <w:r w:rsidRPr="00562B6F">
        <w:rPr>
          <w:rFonts w:ascii="Verdana" w:eastAsia="Calibri" w:hAnsi="Verdana" w:cs="Arial"/>
          <w:color w:val="000000" w:themeColor="text1"/>
        </w:rPr>
        <w:t xml:space="preserve">A partir de estos enunciados normativos, entre otros, de carácter legal y reglamentario, que complementan su regulación, y de los pronunciamientos judiciales más destacados sobre el tema, es posible señalar las siguientes características del contrato de prestación de servicios: </w:t>
      </w:r>
    </w:p>
    <w:p w14:paraId="2E2702F9" w14:textId="29A9C966" w:rsidR="006346A5" w:rsidRPr="006346A5" w:rsidRDefault="00180CB8" w:rsidP="006346A5">
      <w:pPr>
        <w:pStyle w:val="ListParagraph"/>
        <w:numPr>
          <w:ilvl w:val="0"/>
          <w:numId w:val="12"/>
        </w:numPr>
        <w:spacing w:after="0" w:line="276" w:lineRule="auto"/>
        <w:jc w:val="both"/>
        <w:rPr>
          <w:rFonts w:ascii="Verdana" w:eastAsia="Calibri" w:hAnsi="Verdana" w:cs="Arial"/>
          <w:color w:val="000000" w:themeColor="text1"/>
        </w:rPr>
      </w:pPr>
      <w:r w:rsidRPr="006346A5">
        <w:rPr>
          <w:rFonts w:ascii="Verdana" w:eastAsia="Calibri" w:hAnsi="Verdana" w:cs="Arial"/>
          <w:color w:val="000000" w:themeColor="text1"/>
        </w:rPr>
        <w:t xml:space="preserve">Solo puede celebrarse para realizar “actividades relacionadas con la administración o funcionamiento de la entidad”, es decir, que hagan parte de su giro ordinario o quehacer cotidiano. </w:t>
      </w:r>
    </w:p>
    <w:p w14:paraId="6FBD94A1" w14:textId="30CD8C6A" w:rsidR="00871B59" w:rsidRPr="006346A5" w:rsidRDefault="00180CB8" w:rsidP="006346A5">
      <w:pPr>
        <w:pStyle w:val="ListParagraph"/>
        <w:numPr>
          <w:ilvl w:val="0"/>
          <w:numId w:val="12"/>
        </w:numPr>
        <w:spacing w:after="0" w:line="276" w:lineRule="auto"/>
        <w:jc w:val="both"/>
        <w:rPr>
          <w:rFonts w:ascii="Verdana" w:eastAsia="Calibri" w:hAnsi="Verdana" w:cs="Arial"/>
          <w:color w:val="000000" w:themeColor="text1"/>
          <w:lang w:val="es-ES"/>
        </w:rPr>
      </w:pPr>
      <w:r w:rsidRPr="006346A5">
        <w:rPr>
          <w:rFonts w:ascii="Verdana" w:eastAsia="Calibri" w:hAnsi="Verdana" w:cs="Arial"/>
          <w:color w:val="000000" w:themeColor="text1"/>
        </w:rPr>
        <w:t>Admite que se suscriba tanto con personas naturales como con personas jurídicas. Y requiere que la Entidad Estatal justifique en los Estudios Previos que las actividades que buscan encomendarse a aquella “no puedan realizarse con personal de</w:t>
      </w:r>
      <w:r w:rsidR="006346A5" w:rsidRPr="006346A5">
        <w:t xml:space="preserve"> </w:t>
      </w:r>
      <w:r w:rsidR="006346A5" w:rsidRPr="006346A5">
        <w:rPr>
          <w:rFonts w:ascii="Verdana" w:eastAsia="Calibri" w:hAnsi="Verdana" w:cs="Arial"/>
          <w:color w:val="000000" w:themeColor="text1"/>
        </w:rPr>
        <w:t>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76062439" w14:textId="77777777" w:rsidR="006346A5" w:rsidRDefault="006346A5" w:rsidP="006346A5">
      <w:pPr>
        <w:pStyle w:val="ListParagraph"/>
        <w:widowControl w:val="0"/>
        <w:numPr>
          <w:ilvl w:val="0"/>
          <w:numId w:val="12"/>
        </w:numPr>
        <w:autoSpaceDE w:val="0"/>
        <w:autoSpaceDN w:val="0"/>
        <w:spacing w:after="0" w:line="276" w:lineRule="auto"/>
        <w:jc w:val="both"/>
        <w:rPr>
          <w:rFonts w:ascii="Verdana" w:hAnsi="Verdana" w:cs="Arial"/>
        </w:rPr>
      </w:pPr>
      <w:r w:rsidRPr="006346A5">
        <w:rPr>
          <w:rFonts w:ascii="Verdana" w:hAnsi="Verdana" w:cs="Arial"/>
        </w:rPr>
        <w:t>Si bien se celebran para obtener la prestación personal de un servicio, se diferencian del contrato de trabajo4 en que quien celebra el contrato de prestación de servicios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w:t>
      </w:r>
      <w:r w:rsidRPr="006346A5">
        <w:t xml:space="preserve"> </w:t>
      </w:r>
      <w:r w:rsidRPr="006346A5">
        <w:rPr>
          <w:rFonts w:ascii="Verdana" w:hAnsi="Verdana" w:cs="Arial"/>
        </w:rPr>
        <w:t xml:space="preserve">por la cual deberán ser declaradas exequibles, salvo que se acredite por parte del contratista la existencia de una relación laboral subordinada”5 . </w:t>
      </w:r>
    </w:p>
    <w:p w14:paraId="524C4581" w14:textId="145403E8" w:rsidR="00871B59" w:rsidRPr="006346A5" w:rsidRDefault="006346A5" w:rsidP="00562B6F">
      <w:pPr>
        <w:widowControl w:val="0"/>
        <w:autoSpaceDE w:val="0"/>
        <w:autoSpaceDN w:val="0"/>
        <w:spacing w:after="0" w:line="276" w:lineRule="auto"/>
        <w:ind w:left="993" w:hanging="426"/>
        <w:jc w:val="both"/>
        <w:rPr>
          <w:rFonts w:ascii="Verdana" w:hAnsi="Verdana" w:cs="Arial"/>
        </w:rPr>
      </w:pPr>
      <w:r w:rsidRPr="006346A5">
        <w:rPr>
          <w:rFonts w:ascii="Verdana" w:hAnsi="Verdana" w:cs="Arial"/>
        </w:rPr>
        <w:t xml:space="preserve">iv) </w:t>
      </w:r>
      <w:r>
        <w:rPr>
          <w:rFonts w:ascii="Verdana" w:hAnsi="Verdana" w:cs="Arial"/>
        </w:rPr>
        <w:t xml:space="preserve"> </w:t>
      </w:r>
      <w:r w:rsidRPr="006346A5">
        <w:rPr>
          <w:rFonts w:ascii="Verdana" w:hAnsi="Verdana" w:cs="Arial"/>
        </w:rPr>
        <w:t xml:space="preserve">Deben ser temporales. Así lo señaló la Corte Constitucional en la </w:t>
      </w:r>
      <w:r w:rsidR="00562B6F">
        <w:rPr>
          <w:rFonts w:ascii="Verdana" w:hAnsi="Verdana" w:cs="Arial"/>
        </w:rPr>
        <w:t xml:space="preserve"> </w:t>
      </w:r>
      <w:r w:rsidRPr="006346A5">
        <w:rPr>
          <w:rFonts w:ascii="Verdana" w:hAnsi="Verdana" w:cs="Arial"/>
        </w:rPr>
        <w:t xml:space="preserve">misma </w:t>
      </w:r>
      <w:r>
        <w:rPr>
          <w:rFonts w:ascii="Verdana" w:hAnsi="Verdana" w:cs="Arial"/>
        </w:rPr>
        <w:t xml:space="preserve"> </w:t>
      </w:r>
      <w:r w:rsidRPr="006346A5">
        <w:rPr>
          <w:rFonts w:ascii="Verdana" w:hAnsi="Verdana" w:cs="Arial"/>
        </w:rPr>
        <w:t>providencia a la que se aludió previamente, expresando que:</w:t>
      </w:r>
    </w:p>
    <w:p w14:paraId="24987E44" w14:textId="62AC53CE" w:rsidR="006346A5" w:rsidRDefault="006346A5" w:rsidP="006346A5">
      <w:pPr>
        <w:pStyle w:val="ListParagraph"/>
        <w:widowControl w:val="0"/>
        <w:autoSpaceDE w:val="0"/>
        <w:autoSpaceDN w:val="0"/>
        <w:spacing w:after="0" w:line="276" w:lineRule="auto"/>
        <w:ind w:left="1418"/>
        <w:jc w:val="both"/>
        <w:rPr>
          <w:rFonts w:ascii="Verdana" w:hAnsi="Verdana" w:cs="Arial"/>
        </w:rPr>
      </w:pPr>
      <w:r w:rsidRPr="006346A5">
        <w:rPr>
          <w:rFonts w:ascii="Verdana" w:hAnsi="Verdana" w:cs="Aria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p>
    <w:p w14:paraId="3AB21FB2" w14:textId="393958F1" w:rsidR="00562B6F" w:rsidRPr="00562B6F" w:rsidRDefault="006346A5" w:rsidP="00562B6F">
      <w:pPr>
        <w:pStyle w:val="ListParagraph"/>
        <w:widowControl w:val="0"/>
        <w:numPr>
          <w:ilvl w:val="0"/>
          <w:numId w:val="12"/>
        </w:numPr>
        <w:autoSpaceDE w:val="0"/>
        <w:autoSpaceDN w:val="0"/>
        <w:spacing w:after="0" w:line="276" w:lineRule="auto"/>
        <w:jc w:val="both"/>
        <w:rPr>
          <w:rFonts w:ascii="Verdana" w:hAnsi="Verdana" w:cs="Arial"/>
        </w:rPr>
      </w:pPr>
      <w:r w:rsidRPr="006346A5">
        <w:rPr>
          <w:rFonts w:ascii="Verdana" w:hAnsi="Verdana" w:cs="Arial"/>
        </w:rPr>
        <w:t xml:space="preserve">Los contratos de prestación de servicios constituyen un género que incluye, como especies, los contratos de prestación de servicios profesionales, los contratos de prestación de servicios de apoyo a la gestión y los contratos de prestación de servicios artísticos que solo pueden encomendarse a determinadas personas naturales. </w:t>
      </w:r>
    </w:p>
    <w:p w14:paraId="196DC4AF" w14:textId="4F884B00" w:rsidR="006346A5" w:rsidRDefault="006346A5" w:rsidP="00C90DA7">
      <w:pPr>
        <w:pStyle w:val="ListParagraph"/>
        <w:widowControl w:val="0"/>
        <w:autoSpaceDE w:val="0"/>
        <w:autoSpaceDN w:val="0"/>
        <w:spacing w:after="0" w:line="276" w:lineRule="auto"/>
        <w:ind w:left="1080"/>
        <w:jc w:val="both"/>
        <w:rPr>
          <w:rFonts w:ascii="Verdana" w:hAnsi="Verdana" w:cs="Arial"/>
        </w:rPr>
      </w:pPr>
      <w:r w:rsidRPr="006346A5">
        <w:rPr>
          <w:rFonts w:ascii="Verdana" w:hAnsi="Verdana" w:cs="Arial"/>
        </w:rPr>
        <w:t>La diferencia entre el contrato de prestación de servicios profesionales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0D96119E" w14:textId="77777777" w:rsidR="00562B6F" w:rsidRDefault="00562B6F" w:rsidP="00C90DA7">
      <w:pPr>
        <w:pStyle w:val="ListParagraph"/>
        <w:widowControl w:val="0"/>
        <w:autoSpaceDE w:val="0"/>
        <w:autoSpaceDN w:val="0"/>
        <w:spacing w:after="0" w:line="276" w:lineRule="auto"/>
        <w:ind w:left="1080"/>
        <w:jc w:val="both"/>
        <w:rPr>
          <w:rFonts w:ascii="Verdana" w:hAnsi="Verdana" w:cs="Arial"/>
        </w:rPr>
      </w:pPr>
    </w:p>
    <w:p w14:paraId="7C749F31" w14:textId="35401A02" w:rsidR="006346A5" w:rsidRDefault="006346A5" w:rsidP="006346A5">
      <w:pPr>
        <w:pStyle w:val="ListParagraph"/>
        <w:widowControl w:val="0"/>
        <w:autoSpaceDE w:val="0"/>
        <w:autoSpaceDN w:val="0"/>
        <w:spacing w:after="0" w:line="276" w:lineRule="auto"/>
        <w:ind w:left="1418"/>
        <w:jc w:val="both"/>
        <w:rPr>
          <w:rFonts w:ascii="Verdana" w:hAnsi="Verdana" w:cs="Arial"/>
        </w:rPr>
      </w:pPr>
      <w:r w:rsidRPr="006346A5">
        <w:rPr>
          <w:rFonts w:ascii="Verdana" w:hAnsi="Verdana" w:cs="Aria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w:t>
      </w:r>
      <w:r w:rsidRPr="006346A5">
        <w:t xml:space="preserve"> </w:t>
      </w:r>
      <w:r w:rsidRPr="006346A5">
        <w:rPr>
          <w:rFonts w:ascii="Verdana" w:hAnsi="Verdana" w:cs="Arial"/>
        </w:rPr>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p>
    <w:p w14:paraId="023C3998" w14:textId="77777777" w:rsidR="00562B6F" w:rsidRDefault="00562B6F" w:rsidP="00EE5D65">
      <w:pPr>
        <w:pStyle w:val="ListParagraph"/>
        <w:widowControl w:val="0"/>
        <w:autoSpaceDE w:val="0"/>
        <w:autoSpaceDN w:val="0"/>
        <w:spacing w:after="0" w:line="276" w:lineRule="auto"/>
        <w:ind w:left="993"/>
        <w:jc w:val="both"/>
        <w:rPr>
          <w:rFonts w:ascii="Verdana" w:hAnsi="Verdana" w:cs="Arial"/>
        </w:rPr>
      </w:pPr>
    </w:p>
    <w:p w14:paraId="310B8E36" w14:textId="512E8F4C" w:rsidR="00EE5D65" w:rsidRDefault="006346A5" w:rsidP="00EE5D65">
      <w:pPr>
        <w:pStyle w:val="ListParagraph"/>
        <w:widowControl w:val="0"/>
        <w:autoSpaceDE w:val="0"/>
        <w:autoSpaceDN w:val="0"/>
        <w:spacing w:after="0" w:line="276" w:lineRule="auto"/>
        <w:ind w:left="993"/>
        <w:jc w:val="both"/>
        <w:rPr>
          <w:rFonts w:ascii="Verdana" w:hAnsi="Verdana" w:cs="Arial"/>
        </w:rPr>
      </w:pPr>
      <w:r w:rsidRPr="006346A5">
        <w:rPr>
          <w:rFonts w:ascii="Verdana" w:hAnsi="Verdana" w:cs="Arial"/>
        </w:rPr>
        <w:t xml:space="preserve">Objeto que, según la sentencia que se cita, se diferencia del objeto del contrato de prestación de servicios de apoyo a la gestión, porque en este: </w:t>
      </w:r>
    </w:p>
    <w:p w14:paraId="7936F4D4" w14:textId="77777777" w:rsidR="00562B6F" w:rsidRDefault="00562B6F" w:rsidP="00EE5D65">
      <w:pPr>
        <w:pStyle w:val="ListParagraph"/>
        <w:widowControl w:val="0"/>
        <w:autoSpaceDE w:val="0"/>
        <w:autoSpaceDN w:val="0"/>
        <w:spacing w:after="0" w:line="276" w:lineRule="auto"/>
        <w:ind w:left="993"/>
        <w:jc w:val="both"/>
        <w:rPr>
          <w:rFonts w:ascii="Verdana" w:hAnsi="Verdana" w:cs="Arial"/>
        </w:rPr>
      </w:pPr>
    </w:p>
    <w:p w14:paraId="082673AA" w14:textId="77777777" w:rsidR="00EE5D65" w:rsidRDefault="006346A5" w:rsidP="00EE5D65">
      <w:pPr>
        <w:pStyle w:val="ListParagraph"/>
        <w:widowControl w:val="0"/>
        <w:autoSpaceDE w:val="0"/>
        <w:autoSpaceDN w:val="0"/>
        <w:spacing w:after="0" w:line="276" w:lineRule="auto"/>
        <w:ind w:left="1418"/>
        <w:jc w:val="both"/>
        <w:rPr>
          <w:rFonts w:ascii="Verdana" w:hAnsi="Verdana" w:cs="Arial"/>
        </w:rPr>
      </w:pPr>
      <w:r w:rsidRPr="006346A5">
        <w:rPr>
          <w:rFonts w:ascii="Verdana" w:hAnsi="Verdana" w:cs="Arial"/>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 Aunque también se caracteriza por el desempeño de actividad intelectiva, ésta se enmarca dentro de un saber propiamente técnico; igualmente involucra actividades en donde prima el esfuerzo físico o mecánico, en donde no se requiere de personal profesional. Dentro de su objeto contractual pueden tener lugar actividades operativas, logísticas o asistenciales, siempre que satisfaga los requisitos antes mencionados y sea acorde con las necesidades de la Administración y el principio de planeación”. </w:t>
      </w:r>
    </w:p>
    <w:p w14:paraId="66EF3CF9" w14:textId="77777777" w:rsidR="00562B6F" w:rsidRDefault="00562B6F" w:rsidP="00EE5D65">
      <w:pPr>
        <w:pStyle w:val="ListParagraph"/>
        <w:widowControl w:val="0"/>
        <w:autoSpaceDE w:val="0"/>
        <w:autoSpaceDN w:val="0"/>
        <w:spacing w:after="0" w:line="276" w:lineRule="auto"/>
        <w:ind w:left="993"/>
        <w:jc w:val="both"/>
        <w:rPr>
          <w:rFonts w:ascii="Verdana" w:hAnsi="Verdana" w:cs="Arial"/>
        </w:rPr>
      </w:pPr>
    </w:p>
    <w:p w14:paraId="38D6322D" w14:textId="4C5B5596" w:rsidR="00EE5D65" w:rsidRDefault="006346A5" w:rsidP="00EE5D65">
      <w:pPr>
        <w:pStyle w:val="ListParagraph"/>
        <w:widowControl w:val="0"/>
        <w:autoSpaceDE w:val="0"/>
        <w:autoSpaceDN w:val="0"/>
        <w:spacing w:after="0" w:line="276" w:lineRule="auto"/>
        <w:ind w:left="993"/>
        <w:jc w:val="both"/>
        <w:rPr>
          <w:rFonts w:ascii="Verdana" w:hAnsi="Verdana" w:cs="Arial"/>
        </w:rPr>
      </w:pPr>
      <w:r w:rsidRPr="006346A5">
        <w:rPr>
          <w:rFonts w:ascii="Verdana" w:hAnsi="Verdana" w:cs="Arial"/>
        </w:rPr>
        <w:t xml:space="preserve">En relación con el contrato de prestación de servicios artísticos que solo pueden encomendarse a determinadas personas naturales, señala el mencionado fallo que: </w:t>
      </w:r>
    </w:p>
    <w:p w14:paraId="257E5E76" w14:textId="77777777" w:rsidR="00562B6F" w:rsidRDefault="00562B6F" w:rsidP="00EE5D65">
      <w:pPr>
        <w:pStyle w:val="ListParagraph"/>
        <w:widowControl w:val="0"/>
        <w:autoSpaceDE w:val="0"/>
        <w:autoSpaceDN w:val="0"/>
        <w:spacing w:after="0" w:line="276" w:lineRule="auto"/>
        <w:ind w:left="993"/>
        <w:jc w:val="both"/>
        <w:rPr>
          <w:rFonts w:ascii="Verdana" w:hAnsi="Verdana" w:cs="Arial"/>
        </w:rPr>
      </w:pPr>
    </w:p>
    <w:p w14:paraId="0B21D0E8" w14:textId="462FF4FC" w:rsidR="00EE5D65" w:rsidRPr="00EE5D65" w:rsidRDefault="006346A5" w:rsidP="00EE5D65">
      <w:pPr>
        <w:pStyle w:val="ListParagraph"/>
        <w:widowControl w:val="0"/>
        <w:autoSpaceDE w:val="0"/>
        <w:autoSpaceDN w:val="0"/>
        <w:spacing w:after="0" w:line="276" w:lineRule="auto"/>
        <w:ind w:left="1418"/>
        <w:jc w:val="both"/>
        <w:rPr>
          <w:rFonts w:ascii="Verdana" w:hAnsi="Verdana" w:cs="Arial"/>
        </w:rPr>
      </w:pPr>
      <w:r w:rsidRPr="006346A5">
        <w:rPr>
          <w:rFonts w:ascii="Verdana" w:hAnsi="Verdana" w:cs="Aria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p>
    <w:p w14:paraId="49C21E34" w14:textId="7BFAA2F1" w:rsidR="00DC17FB" w:rsidRDefault="00EE5D65" w:rsidP="00DC17FB">
      <w:pPr>
        <w:pStyle w:val="ListParagraph"/>
        <w:widowControl w:val="0"/>
        <w:autoSpaceDE w:val="0"/>
        <w:autoSpaceDN w:val="0"/>
        <w:spacing w:after="0" w:line="276" w:lineRule="auto"/>
        <w:ind w:left="993" w:hanging="567"/>
        <w:jc w:val="both"/>
        <w:rPr>
          <w:rFonts w:ascii="Verdana" w:hAnsi="Verdana" w:cs="Arial"/>
        </w:rPr>
      </w:pPr>
      <w:r w:rsidRPr="00DC17FB">
        <w:rPr>
          <w:rFonts w:ascii="Verdana" w:hAnsi="Verdana" w:cs="Arial"/>
        </w:rPr>
        <w:t>vi)</w:t>
      </w:r>
      <w:r w:rsidRPr="00EE5D65">
        <w:rPr>
          <w:rFonts w:ascii="Verdana" w:hAnsi="Verdana" w:cs="Arial"/>
        </w:rPr>
        <w:t xml:space="preserve">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w:t>
      </w:r>
      <w:r w:rsidRPr="00EE5D65">
        <w:t xml:space="preserve"> </w:t>
      </w:r>
      <w:r w:rsidRPr="00EE5D65">
        <w:rPr>
          <w:rFonts w:ascii="Verdana" w:hAnsi="Verdana" w:cs="Arial"/>
        </w:rPr>
        <w:t xml:space="preserve">un componente intelectual intangible, el objeto del contrato de consultoría es especial y debe celebrarse, por regla general, precedido de un concurso de méritos.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 </w:t>
      </w:r>
    </w:p>
    <w:p w14:paraId="1DBDF78A" w14:textId="5949F2BB" w:rsidR="00DC17FB" w:rsidRDefault="00EE5D65" w:rsidP="00DC17FB">
      <w:pPr>
        <w:pStyle w:val="ListParagraph"/>
        <w:widowControl w:val="0"/>
        <w:autoSpaceDE w:val="0"/>
        <w:autoSpaceDN w:val="0"/>
        <w:spacing w:after="0" w:line="276" w:lineRule="auto"/>
        <w:ind w:left="993" w:hanging="567"/>
        <w:jc w:val="both"/>
        <w:rPr>
          <w:rFonts w:ascii="Verdana" w:hAnsi="Verdana" w:cs="Arial"/>
        </w:rPr>
      </w:pPr>
      <w:r w:rsidRPr="00EE5D65">
        <w:rPr>
          <w:rFonts w:ascii="Verdana" w:hAnsi="Verdana" w:cs="Arial"/>
        </w:rPr>
        <w:t xml:space="preserve">vii) </w:t>
      </w:r>
      <w:r w:rsidR="00822AEF">
        <w:rPr>
          <w:rFonts w:ascii="Verdana" w:hAnsi="Verdana" w:cs="Arial"/>
        </w:rPr>
        <w:t xml:space="preserve"> </w:t>
      </w:r>
      <w:r w:rsidRPr="00EE5D65">
        <w:rPr>
          <w:rFonts w:ascii="Verdana" w:hAnsi="Verdana" w:cs="Arial"/>
        </w:rPr>
        <w:t xml:space="preserve">Para su celebración no se requiere en algunos casos la expedición del acto administrativo de justificación de la contratación directa. </w:t>
      </w:r>
    </w:p>
    <w:p w14:paraId="6DE8EFB8" w14:textId="370D8BEE" w:rsidR="00EE5D65" w:rsidRDefault="00EE5D65" w:rsidP="00DC17FB">
      <w:pPr>
        <w:pStyle w:val="ListParagraph"/>
        <w:widowControl w:val="0"/>
        <w:autoSpaceDE w:val="0"/>
        <w:autoSpaceDN w:val="0"/>
        <w:spacing w:after="0" w:line="276" w:lineRule="auto"/>
        <w:ind w:left="993" w:hanging="567"/>
        <w:jc w:val="both"/>
        <w:rPr>
          <w:rFonts w:ascii="Verdana" w:hAnsi="Verdana" w:cs="Arial"/>
        </w:rPr>
      </w:pPr>
      <w:r w:rsidRPr="00EE5D65">
        <w:rPr>
          <w:rFonts w:ascii="Verdana" w:hAnsi="Verdana" w:cs="Arial"/>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p>
    <w:p w14:paraId="0D04BDE2" w14:textId="2BF547DB" w:rsidR="00EE5D65" w:rsidRDefault="00EE5D65" w:rsidP="00562B6F">
      <w:pPr>
        <w:pStyle w:val="ListParagraph"/>
        <w:widowControl w:val="0"/>
        <w:tabs>
          <w:tab w:val="left" w:pos="993"/>
        </w:tabs>
        <w:autoSpaceDE w:val="0"/>
        <w:autoSpaceDN w:val="0"/>
        <w:spacing w:after="0" w:line="276" w:lineRule="auto"/>
        <w:ind w:left="993" w:hanging="567"/>
        <w:jc w:val="both"/>
        <w:rPr>
          <w:rFonts w:ascii="Verdana" w:hAnsi="Verdana" w:cs="Arial"/>
        </w:rPr>
      </w:pPr>
      <w:r w:rsidRPr="00DC17FB">
        <w:rPr>
          <w:rFonts w:ascii="Verdana" w:hAnsi="Verdana" w:cs="Arial"/>
        </w:rPr>
        <w:t>ix)</w:t>
      </w:r>
      <w:r w:rsidR="00822AEF">
        <w:rPr>
          <w:rFonts w:ascii="Verdana" w:hAnsi="Verdana" w:cs="Arial"/>
        </w:rPr>
        <w:t xml:space="preserve"> </w:t>
      </w:r>
      <w:r w:rsidRPr="00EE5D65">
        <w:rPr>
          <w:rFonts w:ascii="Verdana" w:hAnsi="Verdana" w:cs="Arial"/>
        </w:rPr>
        <w:t xml:space="preserve"> </w:t>
      </w:r>
      <w:r w:rsidR="00562B6F">
        <w:rPr>
          <w:rFonts w:ascii="Verdana" w:hAnsi="Verdana" w:cs="Arial"/>
        </w:rPr>
        <w:t xml:space="preserve"> </w:t>
      </w:r>
      <w:r w:rsidRPr="00EE5D65">
        <w:rPr>
          <w:rFonts w:ascii="Verdana" w:hAnsi="Verdana" w:cs="Arial"/>
        </w:rPr>
        <w:t xml:space="preserve">En algunos casos no es obligatoria la liquidación, pues así lo estableció el artículo 217 del Decreto 019 de 2012, que modificó el artículo 60 de la Ley 80 de 199314, refiriéndose a los contratos de prestación de servicios profesionales y de apoyo a la gestión. </w:t>
      </w:r>
    </w:p>
    <w:p w14:paraId="1EEC3BEA" w14:textId="6224E274" w:rsidR="00EE5D65" w:rsidRDefault="00EE5D65" w:rsidP="00822AEF">
      <w:pPr>
        <w:pStyle w:val="ListParagraph"/>
        <w:widowControl w:val="0"/>
        <w:autoSpaceDE w:val="0"/>
        <w:autoSpaceDN w:val="0"/>
        <w:spacing w:after="0" w:line="276" w:lineRule="auto"/>
        <w:ind w:left="993" w:hanging="567"/>
        <w:jc w:val="both"/>
        <w:rPr>
          <w:rFonts w:ascii="Verdana" w:hAnsi="Verdana" w:cs="Arial"/>
        </w:rPr>
      </w:pPr>
      <w:r w:rsidRPr="00DC17FB">
        <w:rPr>
          <w:rFonts w:ascii="Verdana" w:hAnsi="Verdana" w:cs="Arial"/>
        </w:rPr>
        <w:t>x)</w:t>
      </w:r>
      <w:r w:rsidRPr="00EE5D65">
        <w:rPr>
          <w:rFonts w:ascii="Verdana" w:hAnsi="Verdana" w:cs="Arial"/>
        </w:rPr>
        <w:t xml:space="preserve"> </w:t>
      </w:r>
      <w:r w:rsidR="00822AEF">
        <w:rPr>
          <w:rFonts w:ascii="Verdana" w:hAnsi="Verdana" w:cs="Arial"/>
        </w:rPr>
        <w:t xml:space="preserve">   </w:t>
      </w:r>
      <w:r w:rsidRPr="00EE5D65">
        <w:rPr>
          <w:rFonts w:ascii="Verdana" w:hAnsi="Verdana" w:cs="Arial"/>
        </w:rPr>
        <w:t>Para su celebración no se requiere inscripción en el Registro Único</w:t>
      </w:r>
      <w:r w:rsidR="00822AEF">
        <w:rPr>
          <w:rFonts w:ascii="Verdana" w:hAnsi="Verdana" w:cs="Arial"/>
        </w:rPr>
        <w:t xml:space="preserve"> </w:t>
      </w:r>
      <w:r w:rsidRPr="00EE5D65">
        <w:rPr>
          <w:rFonts w:ascii="Verdana" w:hAnsi="Verdana" w:cs="Arial"/>
        </w:rPr>
        <w:t xml:space="preserve">de Proponentes (RUP), según lo prevé el artículo 6 de la Ley 1150 de 200715. </w:t>
      </w:r>
    </w:p>
    <w:p w14:paraId="134B13AA" w14:textId="0CC164DC" w:rsidR="00EE5D65" w:rsidRDefault="00EE5D65" w:rsidP="00822AEF">
      <w:pPr>
        <w:pStyle w:val="ListParagraph"/>
        <w:widowControl w:val="0"/>
        <w:autoSpaceDE w:val="0"/>
        <w:autoSpaceDN w:val="0"/>
        <w:spacing w:after="0" w:line="276" w:lineRule="auto"/>
        <w:ind w:left="993" w:hanging="567"/>
        <w:jc w:val="both"/>
        <w:rPr>
          <w:rFonts w:ascii="Verdana" w:hAnsi="Verdana" w:cs="Arial"/>
        </w:rPr>
      </w:pPr>
      <w:r w:rsidRPr="00DC17FB">
        <w:rPr>
          <w:rFonts w:ascii="Verdana" w:hAnsi="Verdana" w:cs="Arial"/>
        </w:rPr>
        <w:t>xi)</w:t>
      </w:r>
      <w:r w:rsidRPr="00EE5D65">
        <w:rPr>
          <w:rFonts w:ascii="Verdana" w:hAnsi="Verdana" w:cs="Arial"/>
        </w:rPr>
        <w:t xml:space="preserve"> </w:t>
      </w:r>
      <w:r w:rsidR="00822AEF">
        <w:rPr>
          <w:rFonts w:ascii="Verdana" w:hAnsi="Verdana" w:cs="Arial"/>
        </w:rPr>
        <w:t xml:space="preserve"> </w:t>
      </w:r>
      <w:r w:rsidRPr="00EE5D65">
        <w:rPr>
          <w:rFonts w:ascii="Verdana" w:hAnsi="Verdana" w:cs="Arial"/>
        </w:rPr>
        <w:t>En ellos no son necesarias las garantías. Teniendo en cuenta las anteriores características del contrato de prestación de servicios, se analizará a continuación la posibilidad de celebrar varios contratos de prestación de servicios con Entidades Estatales</w:t>
      </w:r>
      <w:r w:rsidR="00562B6F">
        <w:rPr>
          <w:rFonts w:ascii="Verdana" w:hAnsi="Verdana" w:cs="Arial"/>
        </w:rPr>
        <w:t>.</w:t>
      </w:r>
    </w:p>
    <w:p w14:paraId="2A674AB8" w14:textId="77777777" w:rsidR="00562B6F" w:rsidRDefault="00562B6F" w:rsidP="00822AEF">
      <w:pPr>
        <w:pStyle w:val="ListParagraph"/>
        <w:widowControl w:val="0"/>
        <w:autoSpaceDE w:val="0"/>
        <w:autoSpaceDN w:val="0"/>
        <w:spacing w:after="0" w:line="276" w:lineRule="auto"/>
        <w:ind w:left="993" w:hanging="567"/>
        <w:jc w:val="both"/>
        <w:rPr>
          <w:rFonts w:ascii="Verdana" w:hAnsi="Verdana" w:cs="Arial"/>
        </w:rPr>
      </w:pPr>
    </w:p>
    <w:p w14:paraId="0D305DD7" w14:textId="77777777" w:rsidR="007B173B" w:rsidRPr="007B173B" w:rsidRDefault="00562B6F" w:rsidP="00562B6F">
      <w:pPr>
        <w:pStyle w:val="ListParagraph"/>
        <w:numPr>
          <w:ilvl w:val="0"/>
          <w:numId w:val="15"/>
        </w:numPr>
        <w:tabs>
          <w:tab w:val="left" w:pos="142"/>
          <w:tab w:val="left" w:pos="284"/>
        </w:tabs>
        <w:spacing w:line="276" w:lineRule="auto"/>
        <w:ind w:left="426"/>
        <w:jc w:val="both"/>
        <w:rPr>
          <w:rFonts w:ascii="Verdana" w:hAnsi="Verdana"/>
          <w:lang w:val="es-ES_tradnl"/>
        </w:rPr>
      </w:pPr>
      <w:r>
        <w:rPr>
          <w:rFonts w:ascii="Verdana" w:hAnsi="Verdana" w:cs="Arial"/>
        </w:rPr>
        <w:t xml:space="preserve">  </w:t>
      </w:r>
      <w:r w:rsidR="007B173B" w:rsidRPr="007B173B">
        <w:rPr>
          <w:rFonts w:ascii="Verdana" w:hAnsi="Verdana" w:cs="Arial"/>
        </w:rPr>
        <w:t xml:space="preserve">Además, el Decreto 1082 de 2015 dispone: </w:t>
      </w:r>
    </w:p>
    <w:p w14:paraId="169139F8" w14:textId="77777777" w:rsidR="007B173B" w:rsidRPr="007B173B" w:rsidRDefault="007B173B" w:rsidP="007B173B">
      <w:pPr>
        <w:pStyle w:val="ListParagraph"/>
        <w:tabs>
          <w:tab w:val="left" w:pos="142"/>
          <w:tab w:val="left" w:pos="284"/>
        </w:tabs>
        <w:spacing w:line="276" w:lineRule="auto"/>
        <w:ind w:left="426"/>
        <w:jc w:val="both"/>
        <w:rPr>
          <w:rFonts w:ascii="Verdana" w:hAnsi="Verdana"/>
          <w:lang w:val="es-ES_tradnl"/>
        </w:rPr>
      </w:pPr>
    </w:p>
    <w:p w14:paraId="53929DEC" w14:textId="77777777" w:rsidR="007B173B" w:rsidRDefault="007B173B" w:rsidP="007B173B">
      <w:pPr>
        <w:pStyle w:val="ListParagraph"/>
        <w:tabs>
          <w:tab w:val="left" w:pos="142"/>
          <w:tab w:val="left" w:pos="284"/>
        </w:tabs>
        <w:spacing w:line="276" w:lineRule="auto"/>
        <w:ind w:left="851"/>
        <w:jc w:val="both"/>
        <w:rPr>
          <w:rFonts w:ascii="Verdana" w:hAnsi="Verdana" w:cs="Arial"/>
          <w:i/>
          <w:iCs/>
        </w:rPr>
      </w:pPr>
      <w:r w:rsidRPr="007B173B">
        <w:rPr>
          <w:rFonts w:ascii="Verdana" w:hAnsi="Verdana" w:cs="Arial"/>
          <w:i/>
          <w:iCs/>
        </w:rPr>
        <w:t xml:space="preserve">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w:t>
      </w:r>
    </w:p>
    <w:p w14:paraId="25DF3628" w14:textId="77777777" w:rsidR="007B173B" w:rsidRDefault="007B173B" w:rsidP="007B173B">
      <w:pPr>
        <w:pStyle w:val="ListParagraph"/>
        <w:tabs>
          <w:tab w:val="left" w:pos="142"/>
          <w:tab w:val="left" w:pos="284"/>
        </w:tabs>
        <w:spacing w:line="276" w:lineRule="auto"/>
        <w:ind w:left="851"/>
        <w:jc w:val="both"/>
        <w:rPr>
          <w:rFonts w:ascii="Verdana" w:hAnsi="Verdana" w:cs="Arial"/>
          <w:i/>
          <w:iCs/>
        </w:rPr>
      </w:pPr>
      <w:r w:rsidRPr="007B173B">
        <w:rPr>
          <w:rFonts w:ascii="Verdana" w:hAnsi="Verdana" w:cs="Arial"/>
          <w:i/>
          <w:iCs/>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038C5FC7" w14:textId="3AC154CE" w:rsidR="00390479" w:rsidRPr="007B173B" w:rsidRDefault="007B173B" w:rsidP="007B173B">
      <w:pPr>
        <w:pStyle w:val="ListParagraph"/>
        <w:tabs>
          <w:tab w:val="left" w:pos="142"/>
          <w:tab w:val="left" w:pos="284"/>
        </w:tabs>
        <w:spacing w:line="276" w:lineRule="auto"/>
        <w:ind w:left="851"/>
        <w:jc w:val="both"/>
        <w:rPr>
          <w:rFonts w:ascii="Verdana" w:hAnsi="Verdana"/>
          <w:i/>
          <w:iCs/>
          <w:lang w:val="es-ES_tradnl"/>
        </w:rPr>
      </w:pPr>
      <w:r w:rsidRPr="007B173B">
        <w:rPr>
          <w:rFonts w:ascii="Verdana" w:hAnsi="Verdana" w:cs="Arial"/>
          <w:i/>
          <w:iCs/>
        </w:rPr>
        <w:t>La Entidad Estatal, para la contratación de trabajos artísticos que solamente puedan encomendarse a determinadas personas naturales, debe justificar esta situación en los estudios y documentos previos.</w:t>
      </w:r>
    </w:p>
    <w:p w14:paraId="61A72EAF" w14:textId="31C8E881" w:rsidR="00822AEF" w:rsidRPr="00FA7E92" w:rsidRDefault="00822AEF" w:rsidP="00562B6F">
      <w:pPr>
        <w:pStyle w:val="ListParagraph"/>
        <w:numPr>
          <w:ilvl w:val="0"/>
          <w:numId w:val="15"/>
        </w:numPr>
        <w:tabs>
          <w:tab w:val="left" w:pos="142"/>
          <w:tab w:val="left" w:pos="284"/>
        </w:tabs>
        <w:spacing w:line="276" w:lineRule="auto"/>
        <w:ind w:left="426"/>
        <w:jc w:val="both"/>
        <w:rPr>
          <w:rFonts w:ascii="Verdana" w:hAnsi="Verdana"/>
          <w:lang w:val="es-ES_tradnl"/>
        </w:rPr>
      </w:pPr>
      <w:r>
        <w:rPr>
          <w:rFonts w:ascii="Verdana" w:hAnsi="Verdana" w:cs="Arial"/>
        </w:rPr>
        <w:t>En lo referente a la publicidad de este tipo de contratos y en general</w:t>
      </w:r>
      <w:r>
        <w:rPr>
          <w:rFonts w:ascii="Verdana" w:hAnsi="Verdana"/>
          <w:lang w:val="es-ES_tradnl"/>
        </w:rPr>
        <w:t xml:space="preserve"> a la publicidad de la</w:t>
      </w:r>
      <w:r w:rsidRPr="008D5261">
        <w:rPr>
          <w:rFonts w:ascii="Verdana" w:hAnsi="Verdana"/>
          <w:lang w:val="es-ES_tradnl"/>
        </w:rPr>
        <w:t xml:space="preserve"> actividad contractual de las entidades estatales</w:t>
      </w:r>
      <w:r>
        <w:rPr>
          <w:rFonts w:ascii="Verdana" w:hAnsi="Verdana"/>
          <w:lang w:val="es-ES_tradnl"/>
        </w:rPr>
        <w:t>,</w:t>
      </w:r>
      <w:r w:rsidRPr="008D5261">
        <w:rPr>
          <w:rFonts w:ascii="Verdana" w:hAnsi="Verdana"/>
          <w:lang w:val="es-ES_tradnl"/>
        </w:rPr>
        <w:t xml:space="preserve"> no solo está regulad</w:t>
      </w:r>
      <w:r w:rsidR="00562B6F">
        <w:rPr>
          <w:rFonts w:ascii="Verdana" w:hAnsi="Verdana"/>
          <w:lang w:val="es-ES_tradnl"/>
        </w:rPr>
        <w:t>a</w:t>
      </w:r>
      <w:r w:rsidRPr="008D5261">
        <w:rPr>
          <w:rFonts w:ascii="Verdana" w:hAnsi="Verdana"/>
          <w:lang w:val="es-ES_tradnl"/>
        </w:rPr>
        <w:t xml:space="preserve"> en el artículo 3 de la Ley 1150 de 2007, y en el artículo 2.2.1.1.1.7.1. del Decreto 1082 de 2015, sino también en la Ley 1712 de 2014, y en el Decreto 1081 de 2015. Estas normas no solo refuerzan y complementan al régimen de contratación estatal en cuanto a la publicidad, sino que lo amplía, para incluir la publicación de los “procedimientos” y la información relativa a la “gestión contractual”, sin el condicionamiento de tratarse exclusivamente de los Documentos del Proceso expedidos por la “entidad estatal”. </w:t>
      </w:r>
    </w:p>
    <w:p w14:paraId="7980FAFF" w14:textId="77777777" w:rsidR="00562B6F" w:rsidRDefault="00562B6F" w:rsidP="00822AEF">
      <w:pPr>
        <w:pStyle w:val="ListParagraph"/>
        <w:tabs>
          <w:tab w:val="left" w:pos="142"/>
          <w:tab w:val="left" w:pos="284"/>
        </w:tabs>
        <w:spacing w:line="276" w:lineRule="auto"/>
        <w:ind w:left="426"/>
        <w:jc w:val="both"/>
        <w:rPr>
          <w:rFonts w:ascii="Verdana" w:hAnsi="Verdana"/>
          <w:lang w:val="es-ES_tradnl"/>
        </w:rPr>
      </w:pPr>
    </w:p>
    <w:p w14:paraId="65B6CF8E" w14:textId="4F4A8945" w:rsidR="00822AEF" w:rsidRPr="00C90DA7" w:rsidRDefault="00822AEF" w:rsidP="4F7A2B85">
      <w:pPr>
        <w:pStyle w:val="ListParagraph"/>
        <w:numPr>
          <w:ilvl w:val="0"/>
          <w:numId w:val="15"/>
        </w:numPr>
        <w:tabs>
          <w:tab w:val="left" w:pos="142"/>
          <w:tab w:val="left" w:pos="284"/>
        </w:tabs>
        <w:spacing w:line="276" w:lineRule="auto"/>
        <w:ind w:left="426"/>
        <w:jc w:val="both"/>
        <w:rPr>
          <w:rFonts w:ascii="Verdana" w:hAnsi="Verdana"/>
          <w:lang w:val="es-ES"/>
        </w:rPr>
      </w:pPr>
      <w:r w:rsidRPr="4F7A2B85">
        <w:rPr>
          <w:rFonts w:ascii="Verdana" w:hAnsi="Verdana"/>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Documentos del Proceso. Esto 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Proceso de Contratación. Esto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3C6E08BF" w14:textId="77777777" w:rsidR="00562B6F" w:rsidRDefault="00562B6F" w:rsidP="00822AEF">
      <w:pPr>
        <w:pStyle w:val="ListParagraph"/>
        <w:tabs>
          <w:tab w:val="left" w:pos="142"/>
          <w:tab w:val="left" w:pos="284"/>
        </w:tabs>
        <w:spacing w:line="276" w:lineRule="auto"/>
        <w:ind w:left="426"/>
        <w:jc w:val="both"/>
        <w:rPr>
          <w:rFonts w:ascii="Verdana" w:hAnsi="Verdana"/>
          <w:lang w:val="es-ES_tradnl"/>
        </w:rPr>
      </w:pPr>
    </w:p>
    <w:p w14:paraId="31456E93" w14:textId="3CAE557F" w:rsidR="00822AEF" w:rsidRPr="00C90DA7" w:rsidRDefault="007B173B" w:rsidP="4F7A2B85">
      <w:pPr>
        <w:pStyle w:val="ListParagraph"/>
        <w:numPr>
          <w:ilvl w:val="0"/>
          <w:numId w:val="15"/>
        </w:numPr>
        <w:tabs>
          <w:tab w:val="left" w:pos="142"/>
          <w:tab w:val="left" w:pos="284"/>
        </w:tabs>
        <w:spacing w:line="276" w:lineRule="auto"/>
        <w:ind w:left="426"/>
        <w:jc w:val="both"/>
        <w:rPr>
          <w:rFonts w:ascii="Verdana" w:hAnsi="Verdana"/>
          <w:lang w:val="es-ES"/>
        </w:rPr>
      </w:pPr>
      <w:r w:rsidRPr="4F7A2B85">
        <w:rPr>
          <w:rFonts w:ascii="Verdana" w:hAnsi="Verdana"/>
          <w:lang w:val="es-ES"/>
        </w:rPr>
        <w:t xml:space="preserve">  </w:t>
      </w:r>
      <w:r w:rsidR="00822AEF" w:rsidRPr="4F7A2B85">
        <w:rPr>
          <w:rFonts w:ascii="Verdana" w:hAnsi="Verdana"/>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artículo 2.2.1.1.1.7.1. del Decreto 1082 de 2015. </w:t>
      </w:r>
    </w:p>
    <w:p w14:paraId="647B1DDF" w14:textId="4FAFDE22" w:rsidR="00EE5D65" w:rsidRPr="00822AEF" w:rsidRDefault="00EE5D65" w:rsidP="00822AEF">
      <w:pPr>
        <w:widowControl w:val="0"/>
        <w:autoSpaceDE w:val="0"/>
        <w:autoSpaceDN w:val="0"/>
        <w:spacing w:after="0" w:line="276" w:lineRule="auto"/>
        <w:jc w:val="both"/>
        <w:rPr>
          <w:rFonts w:ascii="Verdana" w:hAnsi="Verdana" w:cs="Arial"/>
          <w:lang w:val="es-ES_tradnl"/>
        </w:rPr>
      </w:pPr>
    </w:p>
    <w:p w14:paraId="766F49CC" w14:textId="06DCBE79" w:rsidR="00562B6F" w:rsidRPr="00562B6F" w:rsidRDefault="00562B6F" w:rsidP="00562B6F">
      <w:pPr>
        <w:pStyle w:val="ListParagraph"/>
        <w:widowControl w:val="0"/>
        <w:numPr>
          <w:ilvl w:val="0"/>
          <w:numId w:val="15"/>
        </w:numPr>
        <w:autoSpaceDE w:val="0"/>
        <w:autoSpaceDN w:val="0"/>
        <w:spacing w:after="0" w:line="276" w:lineRule="auto"/>
        <w:ind w:left="426"/>
        <w:jc w:val="both"/>
        <w:rPr>
          <w:rFonts w:ascii="Verdana" w:hAnsi="Verdana" w:cs="Arial"/>
        </w:rPr>
      </w:pPr>
      <w:r w:rsidRPr="00562B6F">
        <w:rPr>
          <w:rFonts w:ascii="Verdana" w:hAnsi="Verdana" w:cs="Arial"/>
        </w:rPr>
        <w:t xml:space="preserve">También es importante resaltar que no existe inhabilidad o impedimento alguno para que una misma persona celebre más de un contrato de prestación de servicios con una o más Entidades públicas, lo anterior, </w:t>
      </w:r>
      <w:r>
        <w:rPr>
          <w:rFonts w:ascii="Verdana" w:hAnsi="Verdana" w:cs="Arial"/>
        </w:rPr>
        <w:t>ha sido abordado por el Honorable</w:t>
      </w:r>
      <w:r w:rsidRPr="00562B6F">
        <w:rPr>
          <w:rFonts w:ascii="Verdana" w:hAnsi="Verdana" w:cs="Arial"/>
        </w:rPr>
        <w:t xml:space="preserve"> Consejo de Estado mediante Concepto de la Sala de Consulta y Servicio Civil de Mayo 10 de 2001, Radicación No</w:t>
      </w:r>
      <w:r>
        <w:rPr>
          <w:rFonts w:ascii="Verdana" w:hAnsi="Verdana" w:cs="Arial"/>
        </w:rPr>
        <w:t xml:space="preserve"> 1.344</w:t>
      </w:r>
      <w:r w:rsidRPr="00562B6F">
        <w:rPr>
          <w:rFonts w:ascii="Verdana" w:hAnsi="Verdana" w:cs="Arial"/>
        </w:rPr>
        <w:t>, Consejero Ponente: Flavio Augusto Rodríguez Arce, señaló:</w:t>
      </w:r>
    </w:p>
    <w:p w14:paraId="266EFCDD" w14:textId="753FBADE" w:rsidR="00562B6F" w:rsidRPr="00562B6F" w:rsidRDefault="00562B6F" w:rsidP="00562B6F">
      <w:pPr>
        <w:pStyle w:val="ListParagraph"/>
        <w:widowControl w:val="0"/>
        <w:autoSpaceDE w:val="0"/>
        <w:autoSpaceDN w:val="0"/>
        <w:spacing w:after="0" w:line="276" w:lineRule="auto"/>
        <w:ind w:left="851"/>
        <w:rPr>
          <w:rFonts w:ascii="Verdana" w:hAnsi="Verdana" w:cs="Arial"/>
        </w:rPr>
      </w:pPr>
    </w:p>
    <w:p w14:paraId="6CE1A705" w14:textId="532D99CD" w:rsidR="00562B6F" w:rsidRPr="00562B6F" w:rsidRDefault="00562B6F" w:rsidP="00562B6F">
      <w:pPr>
        <w:pStyle w:val="ListParagraph"/>
        <w:widowControl w:val="0"/>
        <w:autoSpaceDE w:val="0"/>
        <w:autoSpaceDN w:val="0"/>
        <w:spacing w:after="0" w:line="276" w:lineRule="auto"/>
        <w:ind w:left="851"/>
        <w:jc w:val="both"/>
        <w:rPr>
          <w:rFonts w:ascii="Verdana" w:hAnsi="Verdana" w:cs="Arial"/>
        </w:rPr>
      </w:pPr>
      <w:r w:rsidRPr="00562B6F">
        <w:rPr>
          <w:rFonts w:ascii="Verdana" w:hAnsi="Verdana" w:cs="Arial"/>
          <w:i/>
          <w:iCs/>
        </w:rPr>
        <w:t> “La vinculación jurídica derivada del contrato de prestación de servicios es diferente de la que emana de la relación laboral de origen contractual con los trabajadores oficiales. En efecto, el de prestación se refiere a actividades relacionadas con la administración y funcionamiento de la entidad; el contratista es autónomo para ejecutar el contrato; no se causan prestaciones sociales y no responde disciplinariamente -Sentencia C-280/96-,mientras que el trabajador oficial, en su orden, labora en la construcción y sostenimiento de obras públicas o está vinculado a una empresa industrial o comercial del Estado; está, por esencia, subordinado a la administración; las prestaciones sociales le son consustanciales y responde disciplinariamente.</w:t>
      </w:r>
    </w:p>
    <w:p w14:paraId="27D16C5F" w14:textId="77777777" w:rsidR="00562B6F" w:rsidRPr="00562B6F" w:rsidRDefault="00562B6F" w:rsidP="00562B6F">
      <w:pPr>
        <w:pStyle w:val="ListParagraph"/>
        <w:widowControl w:val="0"/>
        <w:autoSpaceDE w:val="0"/>
        <w:autoSpaceDN w:val="0"/>
        <w:spacing w:after="0" w:line="276" w:lineRule="auto"/>
        <w:ind w:left="851"/>
        <w:jc w:val="both"/>
        <w:rPr>
          <w:rFonts w:ascii="Verdana" w:hAnsi="Verdana" w:cs="Arial"/>
        </w:rPr>
      </w:pPr>
      <w:r w:rsidRPr="00562B6F">
        <w:rPr>
          <w:rFonts w:ascii="Verdana" w:hAnsi="Verdana" w:cs="Arial"/>
          <w:i/>
          <w:iCs/>
        </w:rPr>
        <w:t>Es así como los trabajadores oficiales perciben por sus servicios un salario, que constituye asignación, la retribución de los contratistas de prestación de servicios son los honorarios, que no tienen tal carácter. Así, la fuente del reconocimiento es bien distinta: en el primero, la vinculación laboral administrativa y, en el segundo, el negocio jurídico, fundado en la autonomía de la voluntad.</w:t>
      </w:r>
    </w:p>
    <w:p w14:paraId="28372E3D" w14:textId="6FAADC63" w:rsidR="00562B6F" w:rsidRPr="00562B6F" w:rsidRDefault="00562B6F" w:rsidP="00562B6F">
      <w:pPr>
        <w:pStyle w:val="ListParagraph"/>
        <w:widowControl w:val="0"/>
        <w:autoSpaceDE w:val="0"/>
        <w:autoSpaceDN w:val="0"/>
        <w:spacing w:after="0" w:line="276" w:lineRule="auto"/>
        <w:ind w:left="851"/>
        <w:jc w:val="both"/>
        <w:rPr>
          <w:rFonts w:ascii="Verdana" w:hAnsi="Verdana" w:cs="Arial"/>
        </w:rPr>
      </w:pPr>
    </w:p>
    <w:p w14:paraId="67F596B3" w14:textId="77777777" w:rsidR="00562B6F" w:rsidRPr="00562B6F" w:rsidRDefault="00562B6F" w:rsidP="00562B6F">
      <w:pPr>
        <w:pStyle w:val="ListParagraph"/>
        <w:widowControl w:val="0"/>
        <w:autoSpaceDE w:val="0"/>
        <w:autoSpaceDN w:val="0"/>
        <w:spacing w:after="0" w:line="276" w:lineRule="auto"/>
        <w:ind w:left="851"/>
        <w:jc w:val="both"/>
        <w:rPr>
          <w:rFonts w:ascii="Verdana" w:hAnsi="Verdana" w:cs="Arial"/>
        </w:rPr>
      </w:pPr>
      <w:r w:rsidRPr="00562B6F">
        <w:rPr>
          <w:rFonts w:ascii="Verdana" w:hAnsi="Verdana" w:cs="Arial"/>
          <w:i/>
          <w:iCs/>
        </w:rPr>
        <w:t>De los presupuestos de la definición legal y de los elementos analizados, se concluye que particulares que colaboran con el Estado mediante un contrato de prestación de servicios o cualquier otro, tipificado en la ley 80 de 1993 o producto de la autonomía de la voluntad, no están subsumidos en el contexto de la función pública, ni son, por tanto, servidores públicos y, por lo mismo, no reciben "asignación" en los términos establecidos, lo que hace imposible aplicarles el régimen de estos.”</w:t>
      </w:r>
    </w:p>
    <w:p w14:paraId="250B4052" w14:textId="77777777" w:rsidR="00562B6F" w:rsidRPr="00DA5D11" w:rsidRDefault="00562B6F" w:rsidP="00DA5D11">
      <w:pPr>
        <w:widowControl w:val="0"/>
        <w:autoSpaceDE w:val="0"/>
        <w:autoSpaceDN w:val="0"/>
        <w:spacing w:after="0" w:line="276" w:lineRule="auto"/>
        <w:rPr>
          <w:rFonts w:ascii="Verdana" w:hAnsi="Verdana" w:cs="Arial"/>
        </w:rPr>
      </w:pPr>
      <w:r w:rsidRPr="00DA5D11">
        <w:rPr>
          <w:rFonts w:ascii="Verdana" w:hAnsi="Verdana" w:cs="Arial"/>
        </w:rPr>
        <w:t> </w:t>
      </w:r>
    </w:p>
    <w:p w14:paraId="7572C6A1" w14:textId="4B1B0FC2"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Por otra parte, del análisis realizado sobre los requisitos y límites de los contratos de prestación de servicios profesionales, se concluye que es posible celebrar cinco (5) o más contratos de prestación de servicios profesionales con objetos diferentes para una misma entidad. Pero, para que ello sea viable deben cumplirse los requisitos mencionados anteriormente, pues se recuerda que la celebración del contrato de prestación de servicios profesionales con una persona natural o jurídica es excepcional, ya que solo es admisible cuando las “actividades no puedan realizarse con personal de planta o requieran conocimientos especializados”, lo cual debe justificarse satisfactoriamente en los estudios previos. Además, dicho contrato debe ser temporal y no puede servir para la creación de nóminas paralelas.</w:t>
      </w:r>
    </w:p>
    <w:p w14:paraId="24625412"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71720288" w14:textId="13458EB0"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El Decreto 1068 de 2015 artículo 2.8.4.4.5 en su último inciso establece una prohibición general, de conformidad con la cual no es posible que se celebren</w:t>
      </w:r>
      <w:r>
        <w:rPr>
          <w:rFonts w:ascii="Verdana" w:hAnsi="Verdana" w:cs="Arial"/>
        </w:rPr>
        <w:t xml:space="preserve"> </w:t>
      </w:r>
      <w:r w:rsidRPr="007B173B">
        <w:rPr>
          <w:rFonts w:ascii="Verdana" w:hAnsi="Verdana" w:cs="Arial"/>
        </w:rPr>
        <w:t>contratos de prestación de servicios con objeto similar a otros que se encuentren vigentes. La excepción a esta prohibición general está condicionada a la existencia de una autorización expresa por parte del “jefe del respectivo órgano, ente o entidad contratante”</w:t>
      </w:r>
    </w:p>
    <w:p w14:paraId="12541B56"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196D497D"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 xml:space="preserve">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puntual de los ministerios, de conformidad con los literales a), b) y c) del numeral 3 del artículo 11 de la Ley 80 de 1993. </w:t>
      </w:r>
    </w:p>
    <w:p w14:paraId="3B8D298D"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312329BC" w14:textId="10A8ECB2"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De manera que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w:t>
      </w:r>
    </w:p>
    <w:p w14:paraId="2F420076"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137E4392" w14:textId="2603096D"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Por otra parte, el régimen de inhabilidades e incompatibilidades en la contratación pública responde al propósito de asegurar que la actividad de adquisición y provisión de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“neopunitivo” 5 .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D78D085"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07A6D8C3" w14:textId="4F6F22E0"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Ahora bien, las inhabilidades e incompatibilidades, al ser restricciones o límites especiales a la capacidad para presentar ofertas y celebrar contratos estatales, solo pueden tipificarse en la ley y su interpretación debe ser restrictiva</w:t>
      </w:r>
    </w:p>
    <w:p w14:paraId="29E7415B"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05BFD94B" w14:textId="23B3ED3B"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02B9DEBF"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1C992C49" w14:textId="7D85DEC1"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En efecto, el máximo tribunal constitucional ha indicado que, al tratar de precisar el sentido de este tipo de normas, “[…] el intérprete de las disposiciones legislativas enla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 7 .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 8 . En tal sentido, la Sección Tercera ha señalado que:</w:t>
      </w:r>
    </w:p>
    <w:p w14:paraId="562D439B"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6334C1D4" w14:textId="2B22162C" w:rsidR="007B173B" w:rsidRPr="007B173B" w:rsidRDefault="007B173B" w:rsidP="007B173B">
      <w:pPr>
        <w:pStyle w:val="ListParagraph"/>
        <w:widowControl w:val="0"/>
        <w:autoSpaceDE w:val="0"/>
        <w:autoSpaceDN w:val="0"/>
        <w:spacing w:after="0" w:line="276" w:lineRule="auto"/>
        <w:ind w:left="851"/>
        <w:jc w:val="both"/>
        <w:rPr>
          <w:rFonts w:ascii="Verdana" w:hAnsi="Verdana" w:cs="Arial"/>
          <w:i/>
          <w:iCs/>
        </w:rPr>
      </w:pPr>
      <w:r w:rsidRPr="007B173B">
        <w:rPr>
          <w:rFonts w:ascii="Verdana" w:hAnsi="Verdana" w:cs="Arial"/>
          <w:i/>
          <w:iC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supuestosno contemplados por el ordenamiento</w:t>
      </w:r>
    </w:p>
    <w:p w14:paraId="7257945A"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3E403DAA" w14:textId="366836F3"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En el mismo sentido ha expuesto que:</w:t>
      </w:r>
    </w:p>
    <w:p w14:paraId="75FDCC3B"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38C2A109" w14:textId="26287948" w:rsidR="007B173B" w:rsidRDefault="007B173B" w:rsidP="007B173B">
      <w:pPr>
        <w:pStyle w:val="ListParagraph"/>
        <w:widowControl w:val="0"/>
        <w:autoSpaceDE w:val="0"/>
        <w:autoSpaceDN w:val="0"/>
        <w:spacing w:after="0" w:line="276" w:lineRule="auto"/>
        <w:ind w:left="851"/>
        <w:jc w:val="both"/>
        <w:rPr>
          <w:rFonts w:ascii="Verdana" w:hAnsi="Verdana" w:cs="Arial"/>
        </w:rPr>
      </w:pPr>
      <w:r w:rsidRPr="007B173B">
        <w:rPr>
          <w:rFonts w:ascii="Verdana" w:hAnsi="Verdana" w:cs="Arial"/>
        </w:rPr>
        <w:t>[…] la aplicación de estos preceptos exige una interpretación restrictiva, dado que según el principio hermenéutico pro libertate, entre varias interpretaciones posibles de una norma que regula una inhabilidad,</w:t>
      </w:r>
      <w:r w:rsidRPr="007B173B">
        <w:t xml:space="preserve"> </w:t>
      </w:r>
      <w:r w:rsidRPr="007B173B">
        <w:rPr>
          <w:rFonts w:ascii="Verdana" w:hAnsi="Verdana" w:cs="Arial"/>
        </w:rPr>
        <w:t>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p>
    <w:p w14:paraId="6B1CF7FB"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419885BC" w14:textId="05BFF6ED"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De igual forma, la Corte Constitucional en jurisprudencia citada a su vez por el Consejo de Estado12 ,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 la inhabilidad no es una pena sino una garantía de que el comportamiento anterior no afectará el desempeño de la función o cargo, de protección del interés general y de la idoneidad, probidad y moralidad del aspirante”;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64619BCF"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05CA7D89" w14:textId="48126D0C" w:rsidR="007B173B" w:rsidRDefault="007B173B" w:rsidP="00DA5D11">
      <w:pPr>
        <w:pStyle w:val="ListParagraph"/>
        <w:widowControl w:val="0"/>
        <w:autoSpaceDE w:val="0"/>
        <w:autoSpaceDN w:val="0"/>
        <w:spacing w:after="0" w:line="276" w:lineRule="auto"/>
        <w:ind w:left="426"/>
        <w:jc w:val="both"/>
        <w:rPr>
          <w:rFonts w:ascii="Verdana" w:hAnsi="Verdana" w:cs="Arial"/>
        </w:rPr>
      </w:pPr>
      <w:r w:rsidRPr="007B173B">
        <w:rPr>
          <w:rFonts w:ascii="Verdana" w:hAnsi="Verdana" w:cs="Arial"/>
        </w:rPr>
        <w:t>Como se aprecia, el principio pro libertate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33DC234A"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5B0F570B" w14:textId="2FCEF11D" w:rsidR="007B173B" w:rsidRDefault="007B173B" w:rsidP="007B173B">
      <w:pPr>
        <w:pStyle w:val="ListParagraph"/>
        <w:widowControl w:val="0"/>
        <w:autoSpaceDE w:val="0"/>
        <w:autoSpaceDN w:val="0"/>
        <w:spacing w:after="0" w:line="276" w:lineRule="auto"/>
        <w:ind w:left="851"/>
        <w:jc w:val="both"/>
        <w:rPr>
          <w:rFonts w:ascii="Verdana" w:hAnsi="Verdana" w:cs="Arial"/>
        </w:rPr>
      </w:pPr>
      <w:r w:rsidRPr="007B173B">
        <w:rPr>
          <w:rFonts w:ascii="Verdana" w:hAnsi="Verdana" w:cs="Arial"/>
        </w:rPr>
        <w:t>[…]</w:t>
      </w:r>
    </w:p>
    <w:p w14:paraId="514F3863" w14:textId="07337C60" w:rsidR="007B173B" w:rsidRPr="007B173B" w:rsidRDefault="007B173B" w:rsidP="007B173B">
      <w:pPr>
        <w:pStyle w:val="ListParagraph"/>
        <w:widowControl w:val="0"/>
        <w:autoSpaceDE w:val="0"/>
        <w:autoSpaceDN w:val="0"/>
        <w:spacing w:after="0" w:line="276" w:lineRule="auto"/>
        <w:ind w:left="851"/>
        <w:jc w:val="both"/>
        <w:rPr>
          <w:rFonts w:ascii="Verdana" w:hAnsi="Verdana" w:cs="Arial"/>
          <w:i/>
          <w:iCs/>
        </w:rPr>
      </w:pPr>
      <w:r w:rsidRPr="007B173B">
        <w:rPr>
          <w:rFonts w:ascii="Verdana" w:hAnsi="Verdana" w:cs="Arial"/>
          <w:i/>
          <w:iCs/>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 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p>
    <w:p w14:paraId="2E659CFD"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64504F08" w14:textId="77777777" w:rsidR="007B173B" w:rsidRDefault="007B173B" w:rsidP="00DA5D11">
      <w:pPr>
        <w:pStyle w:val="ListParagraph"/>
        <w:widowControl w:val="0"/>
        <w:autoSpaceDE w:val="0"/>
        <w:autoSpaceDN w:val="0"/>
        <w:spacing w:after="0" w:line="276" w:lineRule="auto"/>
        <w:ind w:left="426"/>
        <w:jc w:val="both"/>
        <w:rPr>
          <w:rFonts w:ascii="Verdana" w:hAnsi="Verdana" w:cs="Arial"/>
        </w:rPr>
      </w:pPr>
    </w:p>
    <w:p w14:paraId="6EA608AD" w14:textId="47A61CCC" w:rsidR="00F07BBB" w:rsidRPr="00E719DD" w:rsidRDefault="00E719DD" w:rsidP="00E719DD">
      <w:pPr>
        <w:pStyle w:val="ListParagraph"/>
        <w:widowControl w:val="0"/>
        <w:autoSpaceDE w:val="0"/>
        <w:autoSpaceDN w:val="0"/>
        <w:spacing w:after="0" w:line="276" w:lineRule="auto"/>
        <w:ind w:left="0"/>
        <w:jc w:val="both"/>
        <w:rPr>
          <w:rFonts w:ascii="Verdana" w:hAnsi="Verdana" w:cs="Arial"/>
        </w:rPr>
      </w:pPr>
      <w:r w:rsidRPr="00E719DD">
        <w:rPr>
          <w:rFonts w:ascii="Verdana" w:hAnsi="Verdana" w:cs="Arial"/>
        </w:rPr>
        <w:t>En suma, el régimen de inhabilidades e incompatibilidades se origina en la prerrogativa legislativa, obedece al principio de legalidad y su interpretación es restrictiva, como quiera que su aplicación implica limitaciones para el acceso a cargos o ejercicio funciones públicas y para participar en procesos de contratación pública adelantados por las entidades estatales, según sea el caso.</w:t>
      </w:r>
    </w:p>
    <w:p w14:paraId="6C031936" w14:textId="77777777" w:rsidR="00F07BBB" w:rsidRPr="00F07BBB" w:rsidRDefault="00F07BBB" w:rsidP="00F07BBB">
      <w:pPr>
        <w:pStyle w:val="ListParagraph"/>
        <w:widowControl w:val="0"/>
        <w:autoSpaceDE w:val="0"/>
        <w:autoSpaceDN w:val="0"/>
        <w:spacing w:after="0" w:line="276" w:lineRule="auto"/>
        <w:ind w:left="426"/>
        <w:jc w:val="both"/>
        <w:rPr>
          <w:rFonts w:ascii="Verdana" w:hAnsi="Verdana" w:cs="Arial"/>
        </w:rPr>
      </w:pPr>
    </w:p>
    <w:p w14:paraId="318B5FF8" w14:textId="5AAE95A8" w:rsidR="00612603" w:rsidRDefault="00E719DD" w:rsidP="00612603">
      <w:pPr>
        <w:widowControl w:val="0"/>
        <w:autoSpaceDE w:val="0"/>
        <w:autoSpaceDN w:val="0"/>
        <w:spacing w:after="0" w:line="276" w:lineRule="auto"/>
        <w:jc w:val="both"/>
        <w:rPr>
          <w:rFonts w:ascii="Verdana" w:hAnsi="Verdana" w:cs="Arial"/>
        </w:rPr>
      </w:pPr>
      <w:r w:rsidRPr="00E719DD">
        <w:rPr>
          <w:rFonts w:ascii="Verdana" w:hAnsi="Verdana" w:cs="Arial"/>
        </w:rPr>
        <w:t>Finalmente, en lo que hace referencia a las inhabilidades e incompatibilidades de orden constitucional, respecto de su pregunta esta la siguiente disposición:</w:t>
      </w:r>
    </w:p>
    <w:p w14:paraId="37581A7C" w14:textId="77777777" w:rsidR="00612603" w:rsidRDefault="00612603" w:rsidP="00612603">
      <w:pPr>
        <w:pStyle w:val="ListParagraph"/>
        <w:tabs>
          <w:tab w:val="left" w:pos="142"/>
          <w:tab w:val="left" w:pos="709"/>
        </w:tabs>
        <w:spacing w:line="276" w:lineRule="auto"/>
        <w:ind w:left="709" w:hanging="567"/>
        <w:jc w:val="both"/>
        <w:rPr>
          <w:rFonts w:ascii="Verdana" w:hAnsi="Verdana"/>
        </w:rPr>
      </w:pPr>
    </w:p>
    <w:p w14:paraId="20434527" w14:textId="77777777" w:rsidR="00612603" w:rsidRPr="00612603" w:rsidRDefault="00612603" w:rsidP="00612603">
      <w:pPr>
        <w:pStyle w:val="ListParagraph"/>
        <w:tabs>
          <w:tab w:val="left" w:pos="142"/>
          <w:tab w:val="left" w:pos="709"/>
        </w:tabs>
        <w:spacing w:line="276" w:lineRule="auto"/>
        <w:ind w:left="851" w:hanging="567"/>
        <w:jc w:val="both"/>
        <w:rPr>
          <w:rFonts w:ascii="Verdana" w:hAnsi="Verdana"/>
          <w:i/>
          <w:iCs/>
        </w:rPr>
      </w:pPr>
      <w:r w:rsidRPr="00AF4233">
        <w:rPr>
          <w:rFonts w:ascii="Verdana" w:hAnsi="Verdana"/>
        </w:rPr>
        <w:tab/>
      </w:r>
      <w:r w:rsidRPr="00AF4233">
        <w:rPr>
          <w:rFonts w:ascii="Verdana" w:hAnsi="Verdana"/>
        </w:rPr>
        <w:tab/>
      </w:r>
      <w:r w:rsidRPr="00612603">
        <w:rPr>
          <w:rFonts w:ascii="Verdana" w:hAnsi="Verdana"/>
          <w:b/>
          <w:bCs/>
          <w:i/>
          <w:iCs/>
        </w:rPr>
        <w:t>ARTÍCULO </w:t>
      </w:r>
      <w:hyperlink r:id="rId13" w:anchor="127" w:tooltip="vinculo" w:history="1">
        <w:r w:rsidRPr="00612603">
          <w:rPr>
            <w:rFonts w:ascii="Verdana" w:hAnsi="Verdana"/>
            <w:b/>
            <w:bCs/>
            <w:i/>
            <w:iCs/>
          </w:rPr>
          <w:t>127</w:t>
        </w:r>
      </w:hyperlink>
      <w:r w:rsidRPr="00612603">
        <w:rPr>
          <w:rFonts w:ascii="Verdana" w:hAnsi="Verdana"/>
          <w:i/>
          <w:iCs/>
        </w:rPr>
        <w:t>. Los servidores públicos no podrán celebrar, por sí o por interpuesta persona, o en representación de otro, contrato alguno con entidades públicas o con personas privadas que manejen o administren recursos públicos, salvo las excepciones legales.</w:t>
      </w:r>
    </w:p>
    <w:p w14:paraId="4FC0AC74" w14:textId="77777777" w:rsidR="00612603" w:rsidRPr="00F07BBB" w:rsidRDefault="00612603" w:rsidP="00612603">
      <w:pPr>
        <w:pStyle w:val="ListParagraph"/>
        <w:tabs>
          <w:tab w:val="left" w:pos="142"/>
          <w:tab w:val="left" w:pos="709"/>
        </w:tabs>
        <w:spacing w:line="276" w:lineRule="auto"/>
        <w:ind w:left="709" w:hanging="567"/>
        <w:jc w:val="both"/>
        <w:rPr>
          <w:rFonts w:ascii="Verdana" w:hAnsi="Verdana"/>
        </w:rPr>
      </w:pPr>
    </w:p>
    <w:p w14:paraId="456ED2A2" w14:textId="77777777" w:rsidR="00EE5D65" w:rsidRPr="006346A5" w:rsidRDefault="00EE5D65" w:rsidP="006346A5">
      <w:pPr>
        <w:pStyle w:val="ListParagraph"/>
        <w:widowControl w:val="0"/>
        <w:autoSpaceDE w:val="0"/>
        <w:autoSpaceDN w:val="0"/>
        <w:spacing w:after="0" w:line="276" w:lineRule="auto"/>
        <w:ind w:left="1080"/>
        <w:jc w:val="both"/>
        <w:rPr>
          <w:rFonts w:ascii="Verdana" w:hAnsi="Verdana" w:cs="Arial"/>
        </w:rPr>
      </w:pPr>
    </w:p>
    <w:p w14:paraId="53133908" w14:textId="77777777" w:rsidR="00871B59" w:rsidRPr="00593A5F" w:rsidRDefault="00871B59" w:rsidP="00871B59">
      <w:pPr>
        <w:pStyle w:val="ListParagraph"/>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F13F98">
        <w:trPr>
          <w:trHeight w:val="870"/>
        </w:trPr>
        <w:tc>
          <w:tcPr>
            <w:tcW w:w="8647" w:type="dxa"/>
          </w:tcPr>
          <w:p w14:paraId="6B7661A1" w14:textId="34A46F58" w:rsidR="00A7587D" w:rsidRDefault="00A7587D"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Pr>
                <w:rFonts w:ascii="Verdana" w:hAnsi="Verdana" w:cs="Arial"/>
              </w:rPr>
              <w:t>Constitución Política de Colombia</w:t>
            </w:r>
          </w:p>
          <w:p w14:paraId="0DAF280E" w14:textId="3DCC8E28" w:rsidR="00101813" w:rsidRDefault="00101813"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101813">
              <w:rPr>
                <w:rFonts w:ascii="Verdana" w:hAnsi="Verdana" w:cs="Arial"/>
              </w:rPr>
              <w:t>Ley 80 de 1993</w:t>
            </w:r>
          </w:p>
          <w:p w14:paraId="036E4157" w14:textId="77777777" w:rsidR="00101813" w:rsidRPr="00101813" w:rsidRDefault="00101813" w:rsidP="00EE5D65">
            <w:pPr>
              <w:pStyle w:val="ListParagraph"/>
              <w:widowControl w:val="0"/>
              <w:numPr>
                <w:ilvl w:val="0"/>
                <w:numId w:val="8"/>
              </w:numPr>
              <w:autoSpaceDE w:val="0"/>
              <w:autoSpaceDN w:val="0"/>
              <w:spacing w:after="120" w:line="276" w:lineRule="auto"/>
              <w:contextualSpacing w:val="0"/>
              <w:jc w:val="both"/>
              <w:rPr>
                <w:rStyle w:val="Hyperlink"/>
                <w:rFonts w:ascii="Verdana" w:hAnsi="Verdana" w:cs="Arial"/>
                <w:color w:val="auto"/>
                <w:u w:val="none"/>
              </w:rPr>
            </w:pPr>
            <w:r w:rsidRPr="009C6440">
              <w:rPr>
                <w:rFonts w:ascii="Verdana" w:hAnsi="Verdana" w:cs="Arial"/>
                <w:noProof/>
                <w:lang w:val="es-ES_tradnl"/>
              </w:rPr>
              <w:t xml:space="preserve">artículo 2, numeral 4º, literal h) de la Ley 1150 de 2007 </w:t>
            </w:r>
            <w:hyperlink r:id="rId14" w:history="1">
              <w:r w:rsidRPr="009C6440">
                <w:rPr>
                  <w:rStyle w:val="Hyperlink"/>
                  <w:rFonts w:ascii="Verdana" w:hAnsi="Verdana" w:cs="Arial"/>
                  <w:noProof/>
                  <w:lang w:val="es-ES_tradnl"/>
                </w:rPr>
                <w:t>https://relatoria.colombiacompra.gov.co/normativa/ley-1150-de-2007/</w:t>
              </w:r>
            </w:hyperlink>
          </w:p>
          <w:p w14:paraId="54AD8FB7" w14:textId="2CEC61BC" w:rsidR="00101813" w:rsidRDefault="00101813"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101813">
              <w:rPr>
                <w:rFonts w:ascii="Verdana" w:hAnsi="Verdana" w:cs="Arial"/>
              </w:rPr>
              <w:t>Decreto 019 de 2012</w:t>
            </w:r>
          </w:p>
          <w:p w14:paraId="6A5B02CC" w14:textId="0972A1A0" w:rsidR="00871B59" w:rsidRDefault="00EE5D65"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EE5D65">
              <w:rPr>
                <w:rFonts w:ascii="Verdana" w:hAnsi="Verdana" w:cs="Arial"/>
              </w:rPr>
              <w:t>Decreto 1068 de 2015</w:t>
            </w:r>
          </w:p>
          <w:p w14:paraId="4C034B90" w14:textId="7167D801" w:rsidR="00EE5D65" w:rsidRDefault="00EE5D65"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EE5D65">
              <w:rPr>
                <w:rFonts w:ascii="Verdana" w:hAnsi="Verdana" w:cs="Arial"/>
              </w:rPr>
              <w:t>El Decreto 1082 de 2015</w:t>
            </w:r>
          </w:p>
          <w:p w14:paraId="3CF24D6C" w14:textId="4A198654" w:rsidR="002768E9" w:rsidRDefault="002768E9"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836B8A">
              <w:rPr>
                <w:rFonts w:ascii="Verdana" w:hAnsi="Verdana"/>
              </w:rPr>
              <w:t>Decreto Ley 4170 de 2011</w:t>
            </w:r>
          </w:p>
          <w:p w14:paraId="0DB04832" w14:textId="77777777" w:rsidR="00EE5D65" w:rsidRDefault="00EE5D65"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EE5D65">
              <w:rPr>
                <w:rFonts w:ascii="Verdana" w:hAnsi="Verdana" w:cs="Arial"/>
              </w:rPr>
              <w:t>CORTE CONSTITUCIONAL. Sentencia C-154 de 1997. Magistrado Ponente: Hernando Herrera Vergara</w:t>
            </w:r>
          </w:p>
          <w:p w14:paraId="68A0856D" w14:textId="77777777" w:rsidR="00EE5D65" w:rsidRDefault="00EE5D65" w:rsidP="00EE5D65">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EE5D65">
              <w:rPr>
                <w:rFonts w:ascii="Verdana" w:hAnsi="Verdana" w:cs="Arial"/>
              </w:rPr>
              <w:t>CONSEJO DE ESTADO. Sección Tercera. Subsección C. Sentencia del 2 de diciembre de 2013. Exp. 41719. Consejero Ponente: Jaime Orlando Santofimio Gamboa.</w:t>
            </w:r>
          </w:p>
          <w:p w14:paraId="6ACEA7FD" w14:textId="7ADD35ED" w:rsidR="00101813" w:rsidRPr="00623902" w:rsidRDefault="00101813" w:rsidP="00623902">
            <w:pPr>
              <w:pStyle w:val="ListParagraph"/>
              <w:widowControl w:val="0"/>
              <w:numPr>
                <w:ilvl w:val="0"/>
                <w:numId w:val="8"/>
              </w:numPr>
              <w:autoSpaceDE w:val="0"/>
              <w:autoSpaceDN w:val="0"/>
              <w:spacing w:after="120" w:line="276" w:lineRule="auto"/>
              <w:contextualSpacing w:val="0"/>
              <w:jc w:val="both"/>
              <w:rPr>
                <w:rFonts w:ascii="Verdana" w:hAnsi="Verdana" w:cs="Arial"/>
              </w:rPr>
            </w:pPr>
            <w:r w:rsidRPr="00101813">
              <w:rPr>
                <w:rFonts w:ascii="Verdana" w:hAnsi="Verdana" w:cs="Arial"/>
              </w:rPr>
              <w:t>Consejo de Estado, Sala de Consulta y servicio Civil, concepto No 1.344, del 10 de mayo de 2001.</w:t>
            </w:r>
          </w:p>
        </w:tc>
      </w:tr>
    </w:tbl>
    <w:p w14:paraId="0E1B166D" w14:textId="77777777" w:rsidR="00871B59" w:rsidRDefault="00871B59" w:rsidP="00871B59">
      <w:pPr>
        <w:widowControl w:val="0"/>
        <w:autoSpaceDE w:val="0"/>
        <w:autoSpaceDN w:val="0"/>
        <w:spacing w:after="0" w:line="276" w:lineRule="auto"/>
        <w:jc w:val="both"/>
        <w:rPr>
          <w:rFonts w:ascii="Verdana" w:hAnsi="Verdana" w:cs="Arial"/>
        </w:rPr>
      </w:pPr>
    </w:p>
    <w:p w14:paraId="2E694E33" w14:textId="77777777" w:rsidR="00C90DA7" w:rsidRPr="00593A5F" w:rsidRDefault="00C90DA7"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ListParagraph"/>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3E2C9735" w14:textId="77777777" w:rsidR="00EB0590" w:rsidRPr="009C6440" w:rsidRDefault="00EB0590" w:rsidP="00EB0590">
      <w:pPr>
        <w:pStyle w:val="NormalWeb"/>
        <w:spacing w:before="120" w:after="0" w:line="276" w:lineRule="auto"/>
        <w:jc w:val="both"/>
        <w:rPr>
          <w:rFonts w:ascii="Verdana" w:hAnsi="Verdana" w:cs="Arial"/>
          <w:sz w:val="22"/>
          <w:szCs w:val="22"/>
          <w:lang w:val="es-ES"/>
        </w:rPr>
      </w:pPr>
      <w:r w:rsidRPr="009C6440">
        <w:rPr>
          <w:rFonts w:ascii="Verdana" w:hAnsi="Verdana" w:cs="Arial"/>
          <w:sz w:val="22"/>
          <w:szCs w:val="22"/>
          <w:lang w:val="es-ES"/>
        </w:rPr>
        <w:t xml:space="preserve">Sobre el contrato de prestación de servicios profesionales se ha pronunciado esta Subdirección en los conceptos </w:t>
      </w:r>
      <w:r w:rsidRPr="009C6440">
        <w:rPr>
          <w:rFonts w:ascii="Verdana" w:hAnsi="Verdana"/>
        </w:rPr>
        <w:t xml:space="preserve">4201912000005478 del 25 de septiembre de 2019, 4201912000006692 del 12 de noviembre de 2019, C-090 del 24 de febrero de 2020, C-734 del 28 de noviembre de 2022, C-783 del 05 de diciembre de 2022, C-936 del 19 de diciembre de 2022, C-826 del 22 de diciembre de 2022, C-780 del 22 de diciembre de 2022, C-103 del 05 de mayo de 2023, C-286 del 26 de julio de 2023, C-334 del 17 de agosto de 2023, C-443 del 31 de octubre de 2023, C-463 del 22 de noviembre de 2023, C-472 del 11 de diciembre de 2023, C-067 del 16 de mayo de 2024, </w:t>
      </w:r>
      <w:r w:rsidRPr="009C6440">
        <w:rPr>
          <w:rStyle w:val="normaltextrun"/>
          <w:rFonts w:ascii="Verdana" w:hAnsi="Verdana" w:cs="Arial"/>
          <w:shd w:val="clear" w:color="auto" w:fill="FFFFFF"/>
          <w:lang w:val="es-ES"/>
        </w:rPr>
        <w:t>Es</w:t>
      </w:r>
      <w:r w:rsidRPr="009C6440">
        <w:rPr>
          <w:rFonts w:ascii="Verdana" w:hAnsi="Verdana"/>
        </w:rPr>
        <w:t>tos y otros conceptos se encuentran disponibles para consulta en el Sistema de relatoría de la Agencia, al cual se puede acceder a través del siguiente enlace:</w:t>
      </w:r>
      <w:r w:rsidRPr="009C6440">
        <w:rPr>
          <w:rStyle w:val="normaltextrun"/>
          <w:rFonts w:ascii="Verdana" w:hAnsi="Verdana" w:cs="Arial"/>
          <w:shd w:val="clear" w:color="auto" w:fill="FFFFFF"/>
          <w:lang w:val="es-ES"/>
        </w:rPr>
        <w:t xml:space="preserve"> </w:t>
      </w:r>
      <w:hyperlink r:id="rId15" w:history="1">
        <w:r w:rsidRPr="009C6440">
          <w:rPr>
            <w:rStyle w:val="Hyperlink"/>
            <w:rFonts w:ascii="Verdana" w:hAnsi="Verdana" w:cs="Arial"/>
            <w:shd w:val="clear" w:color="auto" w:fill="FFFFFF"/>
            <w:lang w:val="es-ES"/>
          </w:rPr>
          <w:t>https://relatoria.colombiacompra.gov.co/busqueda/conceptos</w:t>
        </w:r>
      </w:hyperlink>
      <w:r w:rsidRPr="009C6440">
        <w:rPr>
          <w:rStyle w:val="normaltextrun"/>
          <w:rFonts w:ascii="Verdana" w:hAnsi="Verdana" w:cs="Arial"/>
          <w:shd w:val="clear" w:color="auto" w:fill="FFFFFF"/>
          <w:lang w:val="es-ES"/>
        </w:rPr>
        <w:t>.</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6" w:history="1">
        <w:r w:rsidRPr="003705EA">
          <w:rPr>
            <w:rStyle w:val="Hyperlink"/>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yperlink"/>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r w:rsidRPr="003E2460">
        <w:rPr>
          <w:rStyle w:val="Hyperlink"/>
          <w:rFonts w:ascii="Verdana" w:hAnsi="Verdana"/>
          <w:color w:val="4472C4" w:themeColor="accent1"/>
        </w:rPr>
        <w:t>ColombiaCompraEficiente</w:t>
      </w:r>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yperlink"/>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yperlink"/>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6DA90002" w:rsidR="00871B59" w:rsidRPr="00593A5F" w:rsidRDefault="00F13F98" w:rsidP="00871B59">
      <w:pPr>
        <w:spacing w:line="276" w:lineRule="auto"/>
        <w:jc w:val="center"/>
        <w:rPr>
          <w:rFonts w:ascii="Verdana" w:hAnsi="Verdana" w:cs="Arial"/>
          <w:color w:val="000000"/>
          <w:lang w:val="es-ES_tradnl" w:eastAsia="es-CO"/>
        </w:rPr>
      </w:pPr>
      <w:r>
        <w:rPr>
          <w:noProof/>
        </w:rPr>
        <w:drawing>
          <wp:inline distT="0" distB="0" distL="0" distR="0" wp14:anchorId="07723242" wp14:editId="42FEC63F">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7"/>
                    <a:stretch>
                      <a:fillRect/>
                    </a:stretch>
                  </pic:blipFill>
                  <pic:spPr>
                    <a:xfrm>
                      <a:off x="0" y="0"/>
                      <a:ext cx="3771900" cy="1400175"/>
                    </a:xfrm>
                    <a:prstGeom prst="rect">
                      <a:avLst/>
                    </a:prstGeom>
                  </pic:spPr>
                </pic:pic>
              </a:graphicData>
            </a:graphic>
          </wp:inline>
        </w:drawing>
      </w:r>
    </w:p>
    <w:p w14:paraId="1C0E80D5" w14:textId="77777777" w:rsidR="00DC17FB" w:rsidRPr="00E14313" w:rsidRDefault="00DC17FB" w:rsidP="00DC17FB">
      <w:pPr>
        <w:spacing w:after="0" w:line="240" w:lineRule="auto"/>
        <w:jc w:val="center"/>
        <w:rPr>
          <w:rFonts w:ascii="Verdana" w:eastAsia="Times New Roman" w:hAnsi="Verdana" w:cs="Arial"/>
          <w:color w:val="000000" w:themeColor="text1"/>
          <w:lang w:val="es-ES_tradnl" w:eastAsia="es-CO"/>
        </w:rPr>
      </w:pPr>
    </w:p>
    <w:tbl>
      <w:tblPr>
        <w:tblW w:w="60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286"/>
      </w:tblGrid>
      <w:tr w:rsidR="00DC17FB" w:rsidRPr="00E14313" w14:paraId="2CF7ACA0" w14:textId="77777777" w:rsidTr="00F13F98">
        <w:trPr>
          <w:trHeight w:val="315"/>
        </w:trPr>
        <w:tc>
          <w:tcPr>
            <w:tcW w:w="810" w:type="dxa"/>
            <w:tcBorders>
              <w:top w:val="nil"/>
              <w:left w:val="nil"/>
              <w:bottom w:val="nil"/>
              <w:right w:val="nil"/>
            </w:tcBorders>
            <w:shd w:val="clear" w:color="auto" w:fill="auto"/>
            <w:vAlign w:val="center"/>
            <w:hideMark/>
          </w:tcPr>
          <w:p w14:paraId="73713C00"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E14313">
              <w:rPr>
                <w:rFonts w:ascii="Verdana" w:eastAsia="Times New Roman" w:hAnsi="Verdana" w:cs="Arial"/>
                <w:lang w:eastAsia="es-CO"/>
              </w:rPr>
              <w:t> </w:t>
            </w:r>
            <w:r w:rsidRPr="00E14313">
              <w:rPr>
                <w:rFonts w:ascii="Verdana" w:eastAsia="Calibri" w:hAnsi="Verdana" w:cs="Arial"/>
                <w:sz w:val="16"/>
                <w:szCs w:val="16"/>
              </w:rPr>
              <w:t>Elaboró: </w:t>
            </w:r>
          </w:p>
        </w:tc>
        <w:tc>
          <w:tcPr>
            <w:tcW w:w="5286" w:type="dxa"/>
            <w:tcBorders>
              <w:top w:val="nil"/>
              <w:left w:val="nil"/>
              <w:bottom w:val="dotted" w:sz="6" w:space="0" w:color="7F7F7F"/>
              <w:right w:val="nil"/>
            </w:tcBorders>
            <w:shd w:val="clear" w:color="auto" w:fill="auto"/>
            <w:vAlign w:val="center"/>
            <w:hideMark/>
          </w:tcPr>
          <w:p w14:paraId="5A17B6EC" w14:textId="77777777" w:rsidR="00DC17FB" w:rsidRPr="008417F3" w:rsidRDefault="00DC17FB" w:rsidP="00F13F98">
            <w:pPr>
              <w:spacing w:after="0" w:line="240" w:lineRule="auto"/>
              <w:jc w:val="both"/>
              <w:rPr>
                <w:rFonts w:ascii="Verdana" w:eastAsia="Calibri" w:hAnsi="Verdana" w:cs="Arial"/>
                <w:sz w:val="16"/>
                <w:szCs w:val="16"/>
              </w:rPr>
            </w:pPr>
            <w:r w:rsidRPr="008417F3">
              <w:rPr>
                <w:rFonts w:ascii="Verdana" w:eastAsia="Calibri" w:hAnsi="Verdana" w:cs="Arial"/>
                <w:sz w:val="16"/>
                <w:szCs w:val="16"/>
              </w:rPr>
              <w:t>Diego Jesús Ortega Cruz</w:t>
            </w:r>
          </w:p>
          <w:p w14:paraId="5AD15D5D"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8417F3">
              <w:rPr>
                <w:rFonts w:ascii="Verdana" w:eastAsia="Calibri" w:hAnsi="Verdana" w:cs="Arial"/>
                <w:color w:val="000000" w:themeColor="text1"/>
                <w:sz w:val="16"/>
                <w:szCs w:val="16"/>
              </w:rPr>
              <w:t xml:space="preserve">Contratista </w:t>
            </w:r>
            <w:r w:rsidRPr="00E14313">
              <w:rPr>
                <w:rFonts w:ascii="Verdana" w:eastAsia="Calibri" w:hAnsi="Verdana" w:cs="Arial"/>
                <w:sz w:val="16"/>
                <w:szCs w:val="16"/>
              </w:rPr>
              <w:t>de la Subdirección de Gestión Contractual</w:t>
            </w:r>
          </w:p>
        </w:tc>
      </w:tr>
      <w:tr w:rsidR="00DC17FB" w:rsidRPr="00E14313" w14:paraId="1275505E" w14:textId="77777777" w:rsidTr="00F13F98">
        <w:trPr>
          <w:trHeight w:val="315"/>
        </w:trPr>
        <w:tc>
          <w:tcPr>
            <w:tcW w:w="810" w:type="dxa"/>
            <w:tcBorders>
              <w:top w:val="nil"/>
              <w:left w:val="nil"/>
              <w:bottom w:val="nil"/>
              <w:right w:val="nil"/>
            </w:tcBorders>
            <w:shd w:val="clear" w:color="auto" w:fill="auto"/>
            <w:vAlign w:val="center"/>
            <w:hideMark/>
          </w:tcPr>
          <w:p w14:paraId="34A648EC"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E14313">
              <w:rPr>
                <w:rFonts w:ascii="Verdana" w:eastAsia="Calibri" w:hAnsi="Verdana" w:cs="Arial"/>
                <w:sz w:val="16"/>
                <w:szCs w:val="16"/>
              </w:rPr>
              <w:t>Revisó: </w:t>
            </w:r>
          </w:p>
        </w:tc>
        <w:tc>
          <w:tcPr>
            <w:tcW w:w="5286" w:type="dxa"/>
            <w:tcBorders>
              <w:top w:val="dotted" w:sz="6" w:space="0" w:color="7F7F7F"/>
              <w:left w:val="nil"/>
              <w:bottom w:val="dotted" w:sz="6" w:space="0" w:color="7F7F7F"/>
              <w:right w:val="nil"/>
            </w:tcBorders>
            <w:shd w:val="clear" w:color="auto" w:fill="auto"/>
            <w:vAlign w:val="center"/>
            <w:hideMark/>
          </w:tcPr>
          <w:p w14:paraId="6A48548F" w14:textId="7A7A6AF4" w:rsidR="00DC17FB" w:rsidRPr="00A37605" w:rsidRDefault="00B57590" w:rsidP="00F13F98">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Ximena Ríos López</w:t>
            </w:r>
          </w:p>
          <w:p w14:paraId="73E0CF15"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A37605">
              <w:rPr>
                <w:rFonts w:ascii="Verdana" w:eastAsia="Times New Roman" w:hAnsi="Verdana" w:cs="Arial"/>
                <w:sz w:val="16"/>
                <w:szCs w:val="16"/>
                <w:lang w:val="es-ES" w:eastAsia="es-ES_tradnl"/>
              </w:rPr>
              <w:t>Gestor T1</w:t>
            </w:r>
            <w:r>
              <w:rPr>
                <w:rFonts w:ascii="Verdana" w:eastAsia="Times New Roman" w:hAnsi="Verdana" w:cs="Arial"/>
                <w:sz w:val="16"/>
                <w:szCs w:val="16"/>
                <w:lang w:val="es-ES" w:eastAsia="es-ES_tradnl"/>
              </w:rPr>
              <w:t>-1</w:t>
            </w:r>
            <w:r w:rsidRPr="00A37605">
              <w:rPr>
                <w:rFonts w:ascii="Verdana" w:eastAsia="Times New Roman" w:hAnsi="Verdana" w:cs="Arial"/>
                <w:sz w:val="16"/>
                <w:szCs w:val="16"/>
                <w:lang w:val="es-ES" w:eastAsia="es-ES_tradnl"/>
              </w:rPr>
              <w:t>5 de la Subdirección de Gestión Contractual</w:t>
            </w:r>
            <w:r w:rsidRPr="00A37605">
              <w:rPr>
                <w:rFonts w:ascii="Verdana" w:eastAsia="Times New Roman" w:hAnsi="Verdana" w:cs="Arial"/>
                <w:sz w:val="16"/>
                <w:szCs w:val="16"/>
                <w:lang w:eastAsia="es-ES_tradnl"/>
              </w:rPr>
              <w:t> </w:t>
            </w:r>
          </w:p>
        </w:tc>
      </w:tr>
      <w:tr w:rsidR="00DC17FB" w:rsidRPr="00E14313" w14:paraId="70C2797A" w14:textId="77777777" w:rsidTr="00F13F98">
        <w:trPr>
          <w:trHeight w:val="300"/>
        </w:trPr>
        <w:tc>
          <w:tcPr>
            <w:tcW w:w="810" w:type="dxa"/>
            <w:tcBorders>
              <w:top w:val="nil"/>
              <w:left w:val="nil"/>
              <w:bottom w:val="nil"/>
              <w:right w:val="nil"/>
            </w:tcBorders>
            <w:shd w:val="clear" w:color="auto" w:fill="auto"/>
            <w:vAlign w:val="center"/>
            <w:hideMark/>
          </w:tcPr>
          <w:p w14:paraId="3998E3D1"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E14313">
              <w:rPr>
                <w:rFonts w:ascii="Verdana" w:eastAsia="Calibri" w:hAnsi="Verdana" w:cs="Arial"/>
                <w:sz w:val="16"/>
                <w:szCs w:val="16"/>
              </w:rPr>
              <w:t>Aprobó: </w:t>
            </w:r>
          </w:p>
        </w:tc>
        <w:tc>
          <w:tcPr>
            <w:tcW w:w="5286" w:type="dxa"/>
            <w:tcBorders>
              <w:top w:val="dotted" w:sz="6" w:space="0" w:color="7F7F7F"/>
              <w:left w:val="nil"/>
              <w:bottom w:val="dotted" w:sz="6" w:space="0" w:color="7F7F7F"/>
              <w:right w:val="nil"/>
            </w:tcBorders>
            <w:shd w:val="clear" w:color="auto" w:fill="auto"/>
            <w:vAlign w:val="center"/>
            <w:hideMark/>
          </w:tcPr>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tblGrid>
            <w:tr w:rsidR="00DC17FB" w:rsidRPr="00E14313" w14:paraId="7F99174C" w14:textId="77777777" w:rsidTr="00F13F98">
              <w:trPr>
                <w:trHeight w:val="300"/>
              </w:trPr>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9688F36"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E14313">
                    <w:rPr>
                      <w:rFonts w:ascii="Verdana" w:eastAsia="Calibri" w:hAnsi="Verdana" w:cs="Arial"/>
                      <w:sz w:val="16"/>
                      <w:szCs w:val="16"/>
                    </w:rPr>
                    <w:t>Carolina Quintero Gacharná</w:t>
                  </w:r>
                </w:p>
                <w:p w14:paraId="7B4ACCA0"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r w:rsidRPr="00E14313">
                    <w:rPr>
                      <w:rFonts w:ascii="Verdana" w:eastAsia="Calibri" w:hAnsi="Verdana" w:cs="Arial"/>
                      <w:sz w:val="16"/>
                      <w:szCs w:val="16"/>
                    </w:rPr>
                    <w:t>Subdirectora de Gestión Contractual ANCP-CCE</w:t>
                  </w:r>
                </w:p>
              </w:tc>
            </w:tr>
          </w:tbl>
          <w:p w14:paraId="2F1FC482" w14:textId="77777777" w:rsidR="00DC17FB" w:rsidRPr="00E14313" w:rsidRDefault="00DC17FB" w:rsidP="00F13F98">
            <w:pPr>
              <w:autoSpaceDE w:val="0"/>
              <w:autoSpaceDN w:val="0"/>
              <w:adjustRightInd w:val="0"/>
              <w:spacing w:after="0" w:line="240" w:lineRule="auto"/>
              <w:jc w:val="both"/>
              <w:rPr>
                <w:rFonts w:ascii="Verdana" w:eastAsia="Calibri" w:hAnsi="Verdana" w:cs="Arial"/>
                <w:sz w:val="16"/>
                <w:szCs w:val="16"/>
              </w:rPr>
            </w:pP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822AEF">
      <w:headerReference w:type="default" r:id="rId18"/>
      <w:footerReference w:type="default" r:id="rId19"/>
      <w:pgSz w:w="12240" w:h="15840" w:code="1"/>
      <w:pgMar w:top="1418" w:right="20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4DE3" w14:textId="77777777" w:rsidR="00AF49BB" w:rsidRDefault="00AF49BB" w:rsidP="00B30448">
      <w:pPr>
        <w:spacing w:after="0" w:line="240" w:lineRule="auto"/>
      </w:pPr>
      <w:r>
        <w:separator/>
      </w:r>
    </w:p>
  </w:endnote>
  <w:endnote w:type="continuationSeparator" w:id="0">
    <w:p w14:paraId="3E36898F" w14:textId="77777777" w:rsidR="00AF49BB" w:rsidRDefault="00AF49BB" w:rsidP="00B30448">
      <w:pPr>
        <w:spacing w:after="0" w:line="240" w:lineRule="auto"/>
      </w:pPr>
      <w:r>
        <w:continuationSeparator/>
      </w:r>
    </w:p>
  </w:endnote>
  <w:endnote w:type="continuationNotice" w:id="1">
    <w:p w14:paraId="5D3134CF" w14:textId="77777777" w:rsidR="00AF49BB" w:rsidRDefault="00AF4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Foote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Footer"/>
    </w:pPr>
  </w:p>
  <w:p w14:paraId="769219E2" w14:textId="77777777" w:rsidR="00B30448" w:rsidRPr="000849D5" w:rsidRDefault="00B30448" w:rsidP="00084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23ED" w14:textId="77777777" w:rsidR="00AF49BB" w:rsidRDefault="00AF49BB" w:rsidP="00B30448">
      <w:pPr>
        <w:spacing w:after="0" w:line="240" w:lineRule="auto"/>
      </w:pPr>
      <w:r>
        <w:separator/>
      </w:r>
    </w:p>
  </w:footnote>
  <w:footnote w:type="continuationSeparator" w:id="0">
    <w:p w14:paraId="0EECD0CD" w14:textId="77777777" w:rsidR="00AF49BB" w:rsidRDefault="00AF49BB" w:rsidP="00B30448">
      <w:pPr>
        <w:spacing w:after="0" w:line="240" w:lineRule="auto"/>
      </w:pPr>
      <w:r>
        <w:continuationSeparator/>
      </w:r>
    </w:p>
  </w:footnote>
  <w:footnote w:type="continuationNotice" w:id="1">
    <w:p w14:paraId="277E204A" w14:textId="77777777" w:rsidR="00AF49BB" w:rsidRDefault="00AF4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Header"/>
    </w:pPr>
  </w:p>
  <w:p w14:paraId="10CE77C0" w14:textId="77777777" w:rsidR="00515FB5" w:rsidRDefault="00515FB5" w:rsidP="00515FB5">
    <w:pPr>
      <w:pStyle w:val="Header"/>
    </w:pPr>
  </w:p>
  <w:p w14:paraId="5BD4CAA1" w14:textId="77777777" w:rsidR="00515FB5" w:rsidRDefault="00515FB5" w:rsidP="00515FB5">
    <w:pPr>
      <w:pStyle w:val="Header"/>
    </w:pPr>
  </w:p>
  <w:p w14:paraId="0D6E6014" w14:textId="77777777" w:rsidR="00515FB5" w:rsidRPr="00AB7B56" w:rsidRDefault="00515FB5" w:rsidP="00515FB5">
    <w:pPr>
      <w:pStyle w:val="Header"/>
    </w:pPr>
  </w:p>
  <w:p w14:paraId="68E0C024" w14:textId="77777777" w:rsidR="00B30448" w:rsidRPr="00515FB5" w:rsidRDefault="00B30448" w:rsidP="00515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BA1352"/>
    <w:multiLevelType w:val="hybridMultilevel"/>
    <w:tmpl w:val="E4C297BC"/>
    <w:lvl w:ilvl="0" w:tplc="A22E7040">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CE31D39"/>
    <w:multiLevelType w:val="hybridMultilevel"/>
    <w:tmpl w:val="622A3B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0F07E5B"/>
    <w:multiLevelType w:val="hybridMultilevel"/>
    <w:tmpl w:val="BE36C234"/>
    <w:lvl w:ilvl="0" w:tplc="F5D69B34">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C90817"/>
    <w:multiLevelType w:val="hybridMultilevel"/>
    <w:tmpl w:val="645800E8"/>
    <w:lvl w:ilvl="0" w:tplc="203AA6C6">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40A82"/>
    <w:multiLevelType w:val="hybridMultilevel"/>
    <w:tmpl w:val="0F32385A"/>
    <w:lvl w:ilvl="0" w:tplc="240889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363E12"/>
    <w:multiLevelType w:val="hybridMultilevel"/>
    <w:tmpl w:val="0CB60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202B46"/>
    <w:multiLevelType w:val="hybridMultilevel"/>
    <w:tmpl w:val="8C4C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5B336E61"/>
    <w:multiLevelType w:val="hybridMultilevel"/>
    <w:tmpl w:val="8C0C18C0"/>
    <w:lvl w:ilvl="0" w:tplc="BEBCCA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90670214">
    <w:abstractNumId w:val="12"/>
  </w:num>
  <w:num w:numId="2" w16cid:durableId="4285022">
    <w:abstractNumId w:val="3"/>
  </w:num>
  <w:num w:numId="3" w16cid:durableId="881983949">
    <w:abstractNumId w:val="6"/>
  </w:num>
  <w:num w:numId="4" w16cid:durableId="341274352">
    <w:abstractNumId w:val="0"/>
  </w:num>
  <w:num w:numId="5" w16cid:durableId="1887524674">
    <w:abstractNumId w:val="14"/>
  </w:num>
  <w:num w:numId="6" w16cid:durableId="1082990391">
    <w:abstractNumId w:val="2"/>
  </w:num>
  <w:num w:numId="7" w16cid:durableId="1492209491">
    <w:abstractNumId w:val="11"/>
  </w:num>
  <w:num w:numId="8" w16cid:durableId="679089576">
    <w:abstractNumId w:val="13"/>
  </w:num>
  <w:num w:numId="9" w16cid:durableId="1512062437">
    <w:abstractNumId w:val="7"/>
  </w:num>
  <w:num w:numId="10" w16cid:durableId="1091896638">
    <w:abstractNumId w:val="16"/>
  </w:num>
  <w:num w:numId="11" w16cid:durableId="1938319981">
    <w:abstractNumId w:val="1"/>
  </w:num>
  <w:num w:numId="12" w16cid:durableId="805666294">
    <w:abstractNumId w:val="8"/>
  </w:num>
  <w:num w:numId="13" w16cid:durableId="939293963">
    <w:abstractNumId w:val="15"/>
  </w:num>
  <w:num w:numId="14" w16cid:durableId="762339252">
    <w:abstractNumId w:val="5"/>
  </w:num>
  <w:num w:numId="15" w16cid:durableId="413666915">
    <w:abstractNumId w:val="4"/>
  </w:num>
  <w:num w:numId="16" w16cid:durableId="1040864028">
    <w:abstractNumId w:val="9"/>
  </w:num>
  <w:num w:numId="17" w16cid:durableId="1763067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9D0"/>
    <w:rsid w:val="00032A0E"/>
    <w:rsid w:val="00037347"/>
    <w:rsid w:val="000442CC"/>
    <w:rsid w:val="000556D4"/>
    <w:rsid w:val="000716AB"/>
    <w:rsid w:val="00082E4C"/>
    <w:rsid w:val="000849D5"/>
    <w:rsid w:val="0008528F"/>
    <w:rsid w:val="000A6E0C"/>
    <w:rsid w:val="000A7A56"/>
    <w:rsid w:val="000B1FF7"/>
    <w:rsid w:val="000B2513"/>
    <w:rsid w:val="000B4024"/>
    <w:rsid w:val="000C3C51"/>
    <w:rsid w:val="000C7262"/>
    <w:rsid w:val="000D2A7F"/>
    <w:rsid w:val="000D4FCE"/>
    <w:rsid w:val="000F611A"/>
    <w:rsid w:val="000F7127"/>
    <w:rsid w:val="00101813"/>
    <w:rsid w:val="001060E8"/>
    <w:rsid w:val="0011037E"/>
    <w:rsid w:val="001363C7"/>
    <w:rsid w:val="00141AC5"/>
    <w:rsid w:val="00146B11"/>
    <w:rsid w:val="00147A04"/>
    <w:rsid w:val="0015476D"/>
    <w:rsid w:val="00161E13"/>
    <w:rsid w:val="00164AE0"/>
    <w:rsid w:val="00165E83"/>
    <w:rsid w:val="00166CD7"/>
    <w:rsid w:val="0017120C"/>
    <w:rsid w:val="00172F3A"/>
    <w:rsid w:val="00180CB8"/>
    <w:rsid w:val="0019532A"/>
    <w:rsid w:val="0019670E"/>
    <w:rsid w:val="00197205"/>
    <w:rsid w:val="001A5DD4"/>
    <w:rsid w:val="001A67E9"/>
    <w:rsid w:val="001B143B"/>
    <w:rsid w:val="001B21CA"/>
    <w:rsid w:val="001C04FC"/>
    <w:rsid w:val="001C25A3"/>
    <w:rsid w:val="001C5D03"/>
    <w:rsid w:val="001C7771"/>
    <w:rsid w:val="001D1AC4"/>
    <w:rsid w:val="001D62FF"/>
    <w:rsid w:val="001D7ED8"/>
    <w:rsid w:val="001F3F48"/>
    <w:rsid w:val="002000AA"/>
    <w:rsid w:val="00204109"/>
    <w:rsid w:val="00211E6E"/>
    <w:rsid w:val="00211F6E"/>
    <w:rsid w:val="00212A46"/>
    <w:rsid w:val="0021401D"/>
    <w:rsid w:val="002146B8"/>
    <w:rsid w:val="00215516"/>
    <w:rsid w:val="002465D6"/>
    <w:rsid w:val="00247C8F"/>
    <w:rsid w:val="002527C2"/>
    <w:rsid w:val="00270443"/>
    <w:rsid w:val="00270EE2"/>
    <w:rsid w:val="00272972"/>
    <w:rsid w:val="002768E9"/>
    <w:rsid w:val="00286491"/>
    <w:rsid w:val="002A0F8D"/>
    <w:rsid w:val="002B6E44"/>
    <w:rsid w:val="002E1DB5"/>
    <w:rsid w:val="002F6CCB"/>
    <w:rsid w:val="0030461E"/>
    <w:rsid w:val="0032756A"/>
    <w:rsid w:val="00334EF8"/>
    <w:rsid w:val="00336408"/>
    <w:rsid w:val="00340DFB"/>
    <w:rsid w:val="0034404F"/>
    <w:rsid w:val="00356980"/>
    <w:rsid w:val="00366225"/>
    <w:rsid w:val="00367462"/>
    <w:rsid w:val="00371ECA"/>
    <w:rsid w:val="00372748"/>
    <w:rsid w:val="0037332A"/>
    <w:rsid w:val="0038151A"/>
    <w:rsid w:val="00390479"/>
    <w:rsid w:val="0039082A"/>
    <w:rsid w:val="00390C21"/>
    <w:rsid w:val="003A37BD"/>
    <w:rsid w:val="003B6D94"/>
    <w:rsid w:val="003C0C09"/>
    <w:rsid w:val="003C4C96"/>
    <w:rsid w:val="003C55E0"/>
    <w:rsid w:val="003F519B"/>
    <w:rsid w:val="0040544F"/>
    <w:rsid w:val="00406A19"/>
    <w:rsid w:val="0041222D"/>
    <w:rsid w:val="0041483E"/>
    <w:rsid w:val="00415369"/>
    <w:rsid w:val="00430492"/>
    <w:rsid w:val="00450BE7"/>
    <w:rsid w:val="0046741E"/>
    <w:rsid w:val="00472CC6"/>
    <w:rsid w:val="004770BC"/>
    <w:rsid w:val="0048026E"/>
    <w:rsid w:val="004807A9"/>
    <w:rsid w:val="004813EE"/>
    <w:rsid w:val="00493278"/>
    <w:rsid w:val="004943D9"/>
    <w:rsid w:val="004A05EF"/>
    <w:rsid w:val="004A0E7B"/>
    <w:rsid w:val="004A3498"/>
    <w:rsid w:val="004B0C45"/>
    <w:rsid w:val="004C0AB2"/>
    <w:rsid w:val="004C1619"/>
    <w:rsid w:val="004C1A26"/>
    <w:rsid w:val="004C1CC9"/>
    <w:rsid w:val="004C3755"/>
    <w:rsid w:val="004C4485"/>
    <w:rsid w:val="004C564C"/>
    <w:rsid w:val="004D11AF"/>
    <w:rsid w:val="004D278C"/>
    <w:rsid w:val="00500DFA"/>
    <w:rsid w:val="005019AA"/>
    <w:rsid w:val="005021BB"/>
    <w:rsid w:val="005139E7"/>
    <w:rsid w:val="005147DA"/>
    <w:rsid w:val="00515FB5"/>
    <w:rsid w:val="0052365C"/>
    <w:rsid w:val="005271EB"/>
    <w:rsid w:val="005426DB"/>
    <w:rsid w:val="0055082B"/>
    <w:rsid w:val="00552503"/>
    <w:rsid w:val="00552B57"/>
    <w:rsid w:val="005541AF"/>
    <w:rsid w:val="00557DA1"/>
    <w:rsid w:val="00562B6F"/>
    <w:rsid w:val="0056322C"/>
    <w:rsid w:val="0058743A"/>
    <w:rsid w:val="005953A4"/>
    <w:rsid w:val="005A4DB0"/>
    <w:rsid w:val="005A7B8E"/>
    <w:rsid w:val="005B012B"/>
    <w:rsid w:val="005B0C87"/>
    <w:rsid w:val="005C12C6"/>
    <w:rsid w:val="005D23F6"/>
    <w:rsid w:val="005D2FA8"/>
    <w:rsid w:val="005E2281"/>
    <w:rsid w:val="005E667C"/>
    <w:rsid w:val="005F077C"/>
    <w:rsid w:val="005F63D0"/>
    <w:rsid w:val="005F7973"/>
    <w:rsid w:val="00612603"/>
    <w:rsid w:val="0061690E"/>
    <w:rsid w:val="00623902"/>
    <w:rsid w:val="00627361"/>
    <w:rsid w:val="0063017E"/>
    <w:rsid w:val="00631B28"/>
    <w:rsid w:val="006346A5"/>
    <w:rsid w:val="00645B90"/>
    <w:rsid w:val="00650991"/>
    <w:rsid w:val="006511D7"/>
    <w:rsid w:val="00663D75"/>
    <w:rsid w:val="00670AEF"/>
    <w:rsid w:val="006716F6"/>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22CE2"/>
    <w:rsid w:val="00735062"/>
    <w:rsid w:val="0073588F"/>
    <w:rsid w:val="00746BA5"/>
    <w:rsid w:val="0075061E"/>
    <w:rsid w:val="00751D23"/>
    <w:rsid w:val="00770577"/>
    <w:rsid w:val="00777666"/>
    <w:rsid w:val="0078159B"/>
    <w:rsid w:val="00782E10"/>
    <w:rsid w:val="0078433D"/>
    <w:rsid w:val="0078706B"/>
    <w:rsid w:val="00790836"/>
    <w:rsid w:val="00797131"/>
    <w:rsid w:val="007A3C1D"/>
    <w:rsid w:val="007B173B"/>
    <w:rsid w:val="007B285D"/>
    <w:rsid w:val="007C6BC6"/>
    <w:rsid w:val="00807D79"/>
    <w:rsid w:val="00813501"/>
    <w:rsid w:val="00813634"/>
    <w:rsid w:val="00822821"/>
    <w:rsid w:val="00822AEF"/>
    <w:rsid w:val="008309C0"/>
    <w:rsid w:val="00831C29"/>
    <w:rsid w:val="008431EF"/>
    <w:rsid w:val="008468E0"/>
    <w:rsid w:val="00871B59"/>
    <w:rsid w:val="00877D03"/>
    <w:rsid w:val="00877E96"/>
    <w:rsid w:val="008806CA"/>
    <w:rsid w:val="008815E5"/>
    <w:rsid w:val="00887B37"/>
    <w:rsid w:val="008909B9"/>
    <w:rsid w:val="00891DFC"/>
    <w:rsid w:val="00894207"/>
    <w:rsid w:val="008B12B4"/>
    <w:rsid w:val="008B7914"/>
    <w:rsid w:val="008C505E"/>
    <w:rsid w:val="008C5D2A"/>
    <w:rsid w:val="008C7AF4"/>
    <w:rsid w:val="008D5261"/>
    <w:rsid w:val="008D529F"/>
    <w:rsid w:val="008F3868"/>
    <w:rsid w:val="008F5CC8"/>
    <w:rsid w:val="009061B8"/>
    <w:rsid w:val="00906B13"/>
    <w:rsid w:val="0091008B"/>
    <w:rsid w:val="00911EA2"/>
    <w:rsid w:val="00916C7D"/>
    <w:rsid w:val="0092575D"/>
    <w:rsid w:val="009341DA"/>
    <w:rsid w:val="00942AD8"/>
    <w:rsid w:val="009430F9"/>
    <w:rsid w:val="009442E8"/>
    <w:rsid w:val="00946BD0"/>
    <w:rsid w:val="0095426C"/>
    <w:rsid w:val="00970087"/>
    <w:rsid w:val="00971074"/>
    <w:rsid w:val="00995D86"/>
    <w:rsid w:val="009A5453"/>
    <w:rsid w:val="009B198D"/>
    <w:rsid w:val="009B4D94"/>
    <w:rsid w:val="009C2871"/>
    <w:rsid w:val="009D3C33"/>
    <w:rsid w:val="009D7F3A"/>
    <w:rsid w:val="009E4885"/>
    <w:rsid w:val="00A0795D"/>
    <w:rsid w:val="00A07DB6"/>
    <w:rsid w:val="00A10A73"/>
    <w:rsid w:val="00A170B3"/>
    <w:rsid w:val="00A223D5"/>
    <w:rsid w:val="00A37D1C"/>
    <w:rsid w:val="00A447B4"/>
    <w:rsid w:val="00A5453E"/>
    <w:rsid w:val="00A56F6C"/>
    <w:rsid w:val="00A7060A"/>
    <w:rsid w:val="00A7587D"/>
    <w:rsid w:val="00A76C8C"/>
    <w:rsid w:val="00A85F30"/>
    <w:rsid w:val="00A9099E"/>
    <w:rsid w:val="00A91FB7"/>
    <w:rsid w:val="00A9298F"/>
    <w:rsid w:val="00AA0351"/>
    <w:rsid w:val="00AA5F4A"/>
    <w:rsid w:val="00AB1984"/>
    <w:rsid w:val="00AB52B1"/>
    <w:rsid w:val="00AC4CB3"/>
    <w:rsid w:val="00AC780D"/>
    <w:rsid w:val="00AD036B"/>
    <w:rsid w:val="00AD1996"/>
    <w:rsid w:val="00AD4099"/>
    <w:rsid w:val="00AD4901"/>
    <w:rsid w:val="00AF49BB"/>
    <w:rsid w:val="00B02FE0"/>
    <w:rsid w:val="00B057B6"/>
    <w:rsid w:val="00B1115F"/>
    <w:rsid w:val="00B30448"/>
    <w:rsid w:val="00B34786"/>
    <w:rsid w:val="00B40071"/>
    <w:rsid w:val="00B400EC"/>
    <w:rsid w:val="00B40162"/>
    <w:rsid w:val="00B41ACE"/>
    <w:rsid w:val="00B50156"/>
    <w:rsid w:val="00B518AD"/>
    <w:rsid w:val="00B57590"/>
    <w:rsid w:val="00B60A96"/>
    <w:rsid w:val="00B61788"/>
    <w:rsid w:val="00B678EC"/>
    <w:rsid w:val="00B76C94"/>
    <w:rsid w:val="00B772D0"/>
    <w:rsid w:val="00B836EA"/>
    <w:rsid w:val="00B84C05"/>
    <w:rsid w:val="00B8689C"/>
    <w:rsid w:val="00B91B81"/>
    <w:rsid w:val="00B97135"/>
    <w:rsid w:val="00BB3072"/>
    <w:rsid w:val="00BC7632"/>
    <w:rsid w:val="00BD48A9"/>
    <w:rsid w:val="00BD630F"/>
    <w:rsid w:val="00BD7EC6"/>
    <w:rsid w:val="00BE73FA"/>
    <w:rsid w:val="00BF1927"/>
    <w:rsid w:val="00BF6B4B"/>
    <w:rsid w:val="00C0511C"/>
    <w:rsid w:val="00C20ACF"/>
    <w:rsid w:val="00C22307"/>
    <w:rsid w:val="00C23469"/>
    <w:rsid w:val="00C30C62"/>
    <w:rsid w:val="00C371DF"/>
    <w:rsid w:val="00C42055"/>
    <w:rsid w:val="00C44431"/>
    <w:rsid w:val="00C44B4C"/>
    <w:rsid w:val="00C46734"/>
    <w:rsid w:val="00C47A86"/>
    <w:rsid w:val="00C47E8A"/>
    <w:rsid w:val="00C53220"/>
    <w:rsid w:val="00C90DA7"/>
    <w:rsid w:val="00C96878"/>
    <w:rsid w:val="00CA3347"/>
    <w:rsid w:val="00CC299A"/>
    <w:rsid w:val="00CD03E3"/>
    <w:rsid w:val="00CE6BDA"/>
    <w:rsid w:val="00CE7A27"/>
    <w:rsid w:val="00D03DBE"/>
    <w:rsid w:val="00D072C0"/>
    <w:rsid w:val="00D15742"/>
    <w:rsid w:val="00D34C82"/>
    <w:rsid w:val="00D3757A"/>
    <w:rsid w:val="00D504A9"/>
    <w:rsid w:val="00D5206D"/>
    <w:rsid w:val="00D559F9"/>
    <w:rsid w:val="00D7177D"/>
    <w:rsid w:val="00D81311"/>
    <w:rsid w:val="00D96950"/>
    <w:rsid w:val="00DA5D11"/>
    <w:rsid w:val="00DB201E"/>
    <w:rsid w:val="00DC0E68"/>
    <w:rsid w:val="00DC17FB"/>
    <w:rsid w:val="00DD25ED"/>
    <w:rsid w:val="00DE0D6E"/>
    <w:rsid w:val="00E1610C"/>
    <w:rsid w:val="00E16D73"/>
    <w:rsid w:val="00E23E9E"/>
    <w:rsid w:val="00E25722"/>
    <w:rsid w:val="00E27F0A"/>
    <w:rsid w:val="00E36919"/>
    <w:rsid w:val="00E4231E"/>
    <w:rsid w:val="00E4302C"/>
    <w:rsid w:val="00E44AC7"/>
    <w:rsid w:val="00E45649"/>
    <w:rsid w:val="00E45F4B"/>
    <w:rsid w:val="00E60A16"/>
    <w:rsid w:val="00E719DD"/>
    <w:rsid w:val="00E82B6E"/>
    <w:rsid w:val="00E901F7"/>
    <w:rsid w:val="00E94258"/>
    <w:rsid w:val="00E96C18"/>
    <w:rsid w:val="00EA2E61"/>
    <w:rsid w:val="00EA7D7F"/>
    <w:rsid w:val="00EB02F4"/>
    <w:rsid w:val="00EB0590"/>
    <w:rsid w:val="00EB2FA2"/>
    <w:rsid w:val="00EB769A"/>
    <w:rsid w:val="00EC3A35"/>
    <w:rsid w:val="00EE17F2"/>
    <w:rsid w:val="00EE3138"/>
    <w:rsid w:val="00EE5D65"/>
    <w:rsid w:val="00EF2AC7"/>
    <w:rsid w:val="00EF400A"/>
    <w:rsid w:val="00EF6BE4"/>
    <w:rsid w:val="00EF6E5D"/>
    <w:rsid w:val="00F07764"/>
    <w:rsid w:val="00F07BBB"/>
    <w:rsid w:val="00F12517"/>
    <w:rsid w:val="00F131DD"/>
    <w:rsid w:val="00F13F98"/>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A0716"/>
    <w:rsid w:val="00FA7E92"/>
    <w:rsid w:val="00FB4629"/>
    <w:rsid w:val="00FB6FB1"/>
    <w:rsid w:val="00FB7063"/>
    <w:rsid w:val="00FC7056"/>
    <w:rsid w:val="00FE1A00"/>
    <w:rsid w:val="024D7E2C"/>
    <w:rsid w:val="047FD8C6"/>
    <w:rsid w:val="0D2EB883"/>
    <w:rsid w:val="0D8163B6"/>
    <w:rsid w:val="13A69650"/>
    <w:rsid w:val="1BB32F19"/>
    <w:rsid w:val="1F2C3AF5"/>
    <w:rsid w:val="1FF4886A"/>
    <w:rsid w:val="22D2584A"/>
    <w:rsid w:val="28751A95"/>
    <w:rsid w:val="29FA8189"/>
    <w:rsid w:val="2C00A012"/>
    <w:rsid w:val="389994B3"/>
    <w:rsid w:val="3B30A011"/>
    <w:rsid w:val="3B93C128"/>
    <w:rsid w:val="3CFBE104"/>
    <w:rsid w:val="4F7A2B85"/>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9BEE073-D80E-43A9-A4F7-A09EBB32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AD8"/>
  </w:style>
  <w:style w:type="paragraph" w:styleId="Heading1">
    <w:name w:val="heading 1"/>
    <w:basedOn w:val="Normal"/>
    <w:link w:val="Heading1Ch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B3044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B30448"/>
    <w:pPr>
      <w:spacing w:after="0" w:line="240" w:lineRule="auto"/>
    </w:pPr>
    <w:rPr>
      <w:sz w:val="20"/>
      <w:szCs w:val="20"/>
      <w:lang w:val="es-MX"/>
    </w:rPr>
  </w:style>
  <w:style w:type="character" w:customStyle="1" w:styleId="TextonotapieCar1">
    <w:name w:val="Texto nota pie Car1"/>
    <w:basedOn w:val="DefaultParagraphFont"/>
    <w:uiPriority w:val="99"/>
    <w:semiHidden/>
    <w:rsid w:val="00B3044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B30448"/>
    <w:rPr>
      <w:vertAlign w:val="superscript"/>
    </w:rPr>
  </w:style>
  <w:style w:type="paragraph" w:customStyle="1" w:styleId="Appelnotedebasde">
    <w:name w:val="Appel note de bas de..."/>
    <w:basedOn w:val="Normal"/>
    <w:link w:val="FootnoteReference"/>
    <w:uiPriority w:val="99"/>
    <w:rsid w:val="00B30448"/>
    <w:pPr>
      <w:spacing w:line="240" w:lineRule="exact"/>
    </w:pPr>
    <w:rPr>
      <w:vertAlign w:val="superscript"/>
    </w:rPr>
  </w:style>
  <w:style w:type="paragraph" w:styleId="Header">
    <w:name w:val="header"/>
    <w:basedOn w:val="Normal"/>
    <w:link w:val="HeaderChar"/>
    <w:uiPriority w:val="99"/>
    <w:unhideWhenUsed/>
    <w:rsid w:val="00B3044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30448"/>
  </w:style>
  <w:style w:type="paragraph" w:styleId="Footer">
    <w:name w:val="footer"/>
    <w:basedOn w:val="Normal"/>
    <w:link w:val="FooterChar"/>
    <w:uiPriority w:val="99"/>
    <w:unhideWhenUsed/>
    <w:rsid w:val="00B30448"/>
    <w:pPr>
      <w:tabs>
        <w:tab w:val="center" w:pos="4419"/>
        <w:tab w:val="right" w:pos="8838"/>
      </w:tabs>
      <w:spacing w:after="0" w:line="240" w:lineRule="auto"/>
    </w:pPr>
  </w:style>
  <w:style w:type="character" w:customStyle="1" w:styleId="FooterChar">
    <w:name w:val="Footer Char"/>
    <w:basedOn w:val="DefaultParagraphFont"/>
    <w:link w:val="Footer"/>
    <w:uiPriority w:val="99"/>
    <w:rsid w:val="00B30448"/>
  </w:style>
  <w:style w:type="table" w:styleId="TableGrid">
    <w:name w:val="Table Grid"/>
    <w:basedOn w:val="Table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307"/>
    <w:rPr>
      <w:color w:val="0563C1" w:themeColor="hyperlink"/>
      <w:u w:val="single"/>
    </w:rPr>
  </w:style>
  <w:style w:type="character" w:styleId="UnresolvedMention">
    <w:name w:val="Unresolved Mention"/>
    <w:basedOn w:val="DefaultParagraphFont"/>
    <w:uiPriority w:val="99"/>
    <w:semiHidden/>
    <w:unhideWhenUsed/>
    <w:rsid w:val="00C22307"/>
    <w:rPr>
      <w:color w:val="605E5C"/>
      <w:shd w:val="clear" w:color="auto" w:fill="E1DFDD"/>
    </w:rPr>
  </w:style>
  <w:style w:type="character" w:styleId="FollowedHyperlink">
    <w:name w:val="FollowedHyperlink"/>
    <w:basedOn w:val="DefaultParagraphFont"/>
    <w:uiPriority w:val="99"/>
    <w:semiHidden/>
    <w:unhideWhenUsed/>
    <w:rsid w:val="00C22307"/>
    <w:rPr>
      <w:color w:val="954F72" w:themeColor="followedHyperlink"/>
      <w:u w:val="single"/>
    </w:rPr>
  </w:style>
  <w:style w:type="character" w:styleId="CommentReference">
    <w:name w:val="annotation reference"/>
    <w:basedOn w:val="DefaultParagraphFont"/>
    <w:uiPriority w:val="99"/>
    <w:semiHidden/>
    <w:unhideWhenUsed/>
    <w:rsid w:val="00A37D1C"/>
    <w:rPr>
      <w:sz w:val="16"/>
      <w:szCs w:val="16"/>
    </w:rPr>
  </w:style>
  <w:style w:type="paragraph" w:styleId="CommentText">
    <w:name w:val="annotation text"/>
    <w:basedOn w:val="Normal"/>
    <w:link w:val="CommentTextChar"/>
    <w:uiPriority w:val="99"/>
    <w:unhideWhenUsed/>
    <w:rsid w:val="00A37D1C"/>
    <w:pPr>
      <w:spacing w:line="240" w:lineRule="auto"/>
    </w:pPr>
    <w:rPr>
      <w:sz w:val="20"/>
      <w:szCs w:val="20"/>
    </w:rPr>
  </w:style>
  <w:style w:type="character" w:customStyle="1" w:styleId="CommentTextChar">
    <w:name w:val="Comment Text Char"/>
    <w:basedOn w:val="DefaultParagraphFont"/>
    <w:link w:val="CommentText"/>
    <w:uiPriority w:val="99"/>
    <w:rsid w:val="00A37D1C"/>
    <w:rPr>
      <w:sz w:val="20"/>
      <w:szCs w:val="20"/>
    </w:rPr>
  </w:style>
  <w:style w:type="paragraph" w:styleId="CommentSubject">
    <w:name w:val="annotation subject"/>
    <w:basedOn w:val="CommentText"/>
    <w:next w:val="CommentText"/>
    <w:link w:val="CommentSubjectChar"/>
    <w:uiPriority w:val="99"/>
    <w:semiHidden/>
    <w:unhideWhenUsed/>
    <w:rsid w:val="00A37D1C"/>
    <w:rPr>
      <w:b/>
      <w:bCs/>
    </w:rPr>
  </w:style>
  <w:style w:type="character" w:customStyle="1" w:styleId="CommentSubjectChar">
    <w:name w:val="Comment Subject Char"/>
    <w:basedOn w:val="CommentTextChar"/>
    <w:link w:val="CommentSubject"/>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on">
    <w:name w:val="Revision"/>
    <w:hidden/>
    <w:uiPriority w:val="99"/>
    <w:semiHidden/>
    <w:rsid w:val="00F64D5A"/>
    <w:pPr>
      <w:spacing w:after="0" w:line="240" w:lineRule="auto"/>
    </w:pPr>
  </w:style>
  <w:style w:type="character" w:customStyle="1" w:styleId="cf01">
    <w:name w:val="cf01"/>
    <w:basedOn w:val="DefaultParagraphFont"/>
    <w:rsid w:val="005019AA"/>
    <w:rPr>
      <w:rFonts w:ascii="Segoe UI" w:hAnsi="Segoe UI" w:cs="Segoe UI" w:hint="default"/>
      <w:i/>
      <w:iCs/>
      <w:sz w:val="18"/>
      <w:szCs w:val="18"/>
    </w:rPr>
  </w:style>
  <w:style w:type="character" w:customStyle="1" w:styleId="normaltextrun">
    <w:name w:val="normaltextrun"/>
    <w:basedOn w:val="DefaultParagraphFont"/>
    <w:rsid w:val="5D8505AD"/>
  </w:style>
  <w:style w:type="character" w:customStyle="1" w:styleId="eop">
    <w:name w:val="eop"/>
    <w:basedOn w:val="DefaultParagraphFont"/>
    <w:rsid w:val="5D8505AD"/>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082E4C"/>
    <w:pPr>
      <w:ind w:left="720"/>
      <w:contextualSpacing/>
    </w:pPr>
  </w:style>
  <w:style w:type="character" w:customStyle="1" w:styleId="Hipervnculo1">
    <w:name w:val="Hipervínculo1"/>
    <w:basedOn w:val="DefaultParagraphFont"/>
    <w:uiPriority w:val="99"/>
    <w:unhideWhenUsed/>
    <w:rsid w:val="000C3C51"/>
    <w:rPr>
      <w:color w:val="F2F2F2"/>
      <w:u w:val="single"/>
    </w:rPr>
  </w:style>
  <w:style w:type="paragraph" w:styleId="NormalWeb">
    <w:name w:val="Normal (Web)"/>
    <w:basedOn w:val="Normal"/>
    <w:link w:val="NormalWebChar"/>
    <w:uiPriority w:val="99"/>
    <w:unhideWhenUsed/>
    <w:rsid w:val="000C3C51"/>
    <w:rPr>
      <w:rFonts w:ascii="Times New Roman" w:hAnsi="Times New Roman" w:cs="Times New Roman"/>
      <w:sz w:val="24"/>
      <w:szCs w:val="24"/>
    </w:rPr>
  </w:style>
  <w:style w:type="character" w:styleId="Strong">
    <w:name w:val="Strong"/>
    <w:basedOn w:val="DefaultParagraphFont"/>
    <w:uiPriority w:val="22"/>
    <w:qFormat/>
    <w:rsid w:val="000C3C51"/>
    <w:rPr>
      <w:b/>
      <w:bCs/>
    </w:rPr>
  </w:style>
  <w:style w:type="character" w:styleId="Emphasis">
    <w:name w:val="Emphasis"/>
    <w:basedOn w:val="DefaultParagraphFont"/>
    <w:uiPriority w:val="20"/>
    <w:qFormat/>
    <w:rsid w:val="000C3C51"/>
    <w:rPr>
      <w:i/>
      <w:iCs/>
    </w:rPr>
  </w:style>
  <w:style w:type="paragraph" w:styleId="BodyText">
    <w:name w:val="Body Text"/>
    <w:basedOn w:val="Normal"/>
    <w:link w:val="BodyTextChar"/>
    <w:uiPriority w:val="1"/>
    <w:unhideWhenUsed/>
    <w:qFormat/>
    <w:rsid w:val="00430492"/>
    <w:pPr>
      <w:spacing w:after="120"/>
    </w:pPr>
  </w:style>
  <w:style w:type="character" w:customStyle="1" w:styleId="BodyTextChar">
    <w:name w:val="Body Text Char"/>
    <w:basedOn w:val="DefaultParagraphFont"/>
    <w:link w:val="BodyText"/>
    <w:uiPriority w:val="99"/>
    <w:rsid w:val="00430492"/>
  </w:style>
  <w:style w:type="paragraph" w:customStyle="1" w:styleId="Car1">
    <w:name w:val="Car1"/>
    <w:basedOn w:val="Normal"/>
    <w:next w:val="FootnoteText"/>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eNormal"/>
    <w:next w:val="TableGrid"/>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NoList"/>
    <w:uiPriority w:val="99"/>
    <w:semiHidden/>
    <w:unhideWhenUsed/>
    <w:rsid w:val="00B34786"/>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eNormal"/>
    <w:next w:val="TableGrid"/>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5021BB"/>
  </w:style>
  <w:style w:type="character" w:customStyle="1" w:styleId="NormalWebChar">
    <w:name w:val="Normal (Web) Char"/>
    <w:link w:val="NormalWeb"/>
    <w:uiPriority w:val="99"/>
    <w:rsid w:val="00EB0590"/>
    <w:rPr>
      <w:rFonts w:ascii="Times New Roman" w:hAnsi="Times New Roman" w:cs="Times New Roman"/>
      <w:sz w:val="24"/>
      <w:szCs w:val="24"/>
    </w:rPr>
  </w:style>
  <w:style w:type="paragraph" w:styleId="BodyText2">
    <w:name w:val="Body Text 2"/>
    <w:basedOn w:val="Normal"/>
    <w:link w:val="BodyText2Char"/>
    <w:uiPriority w:val="99"/>
    <w:semiHidden/>
    <w:unhideWhenUsed/>
    <w:rsid w:val="00562B6F"/>
    <w:pPr>
      <w:spacing w:after="120" w:line="480" w:lineRule="auto"/>
    </w:pPr>
  </w:style>
  <w:style w:type="character" w:customStyle="1" w:styleId="BodyText2Char">
    <w:name w:val="Body Text 2 Char"/>
    <w:basedOn w:val="DefaultParagraphFont"/>
    <w:link w:val="BodyText2"/>
    <w:uiPriority w:val="99"/>
    <w:semiHidden/>
    <w:rsid w:val="00562B6F"/>
  </w:style>
  <w:style w:type="table" w:customStyle="1" w:styleId="TableNormal1">
    <w:name w:val="Table Normal1"/>
    <w:uiPriority w:val="2"/>
    <w:semiHidden/>
    <w:unhideWhenUsed/>
    <w:qFormat/>
    <w:rsid w:val="005C12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3582">
      <w:bodyDiv w:val="1"/>
      <w:marLeft w:val="0"/>
      <w:marRight w:val="0"/>
      <w:marTop w:val="0"/>
      <w:marBottom w:val="0"/>
      <w:divBdr>
        <w:top w:val="none" w:sz="0" w:space="0" w:color="auto"/>
        <w:left w:val="none" w:sz="0" w:space="0" w:color="auto"/>
        <w:bottom w:val="none" w:sz="0" w:space="0" w:color="auto"/>
        <w:right w:val="none" w:sz="0" w:space="0" w:color="auto"/>
      </w:divBdr>
    </w:div>
    <w:div w:id="39785816">
      <w:bodyDiv w:val="1"/>
      <w:marLeft w:val="0"/>
      <w:marRight w:val="0"/>
      <w:marTop w:val="0"/>
      <w:marBottom w:val="0"/>
      <w:divBdr>
        <w:top w:val="none" w:sz="0" w:space="0" w:color="auto"/>
        <w:left w:val="none" w:sz="0" w:space="0" w:color="auto"/>
        <w:bottom w:val="none" w:sz="0" w:space="0" w:color="auto"/>
        <w:right w:val="none" w:sz="0" w:space="0" w:color="auto"/>
      </w:divBdr>
      <w:divsChild>
        <w:div w:id="1631208696">
          <w:marLeft w:val="0"/>
          <w:marRight w:val="0"/>
          <w:marTop w:val="0"/>
          <w:marBottom w:val="0"/>
          <w:divBdr>
            <w:top w:val="none" w:sz="0" w:space="0" w:color="auto"/>
            <w:left w:val="none" w:sz="0" w:space="0" w:color="auto"/>
            <w:bottom w:val="none" w:sz="0" w:space="0" w:color="auto"/>
            <w:right w:val="none" w:sz="0" w:space="0" w:color="auto"/>
          </w:divBdr>
        </w:div>
        <w:div w:id="1975670783">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21940481">
      <w:bodyDiv w:val="1"/>
      <w:marLeft w:val="0"/>
      <w:marRight w:val="0"/>
      <w:marTop w:val="0"/>
      <w:marBottom w:val="0"/>
      <w:divBdr>
        <w:top w:val="none" w:sz="0" w:space="0" w:color="auto"/>
        <w:left w:val="none" w:sz="0" w:space="0" w:color="auto"/>
        <w:bottom w:val="none" w:sz="0" w:space="0" w:color="auto"/>
        <w:right w:val="none" w:sz="0" w:space="0" w:color="auto"/>
      </w:divBdr>
      <w:divsChild>
        <w:div w:id="112135003">
          <w:marLeft w:val="0"/>
          <w:marRight w:val="0"/>
          <w:marTop w:val="0"/>
          <w:marBottom w:val="0"/>
          <w:divBdr>
            <w:top w:val="none" w:sz="0" w:space="0" w:color="auto"/>
            <w:left w:val="none" w:sz="0" w:space="0" w:color="auto"/>
            <w:bottom w:val="none" w:sz="0" w:space="0" w:color="auto"/>
            <w:right w:val="none" w:sz="0" w:space="0" w:color="auto"/>
          </w:divBdr>
        </w:div>
        <w:div w:id="134951031">
          <w:marLeft w:val="0"/>
          <w:marRight w:val="0"/>
          <w:marTop w:val="0"/>
          <w:marBottom w:val="0"/>
          <w:divBdr>
            <w:top w:val="none" w:sz="0" w:space="0" w:color="auto"/>
            <w:left w:val="none" w:sz="0" w:space="0" w:color="auto"/>
            <w:bottom w:val="none" w:sz="0" w:space="0" w:color="auto"/>
            <w:right w:val="none" w:sz="0" w:space="0" w:color="auto"/>
          </w:divBdr>
        </w:div>
        <w:div w:id="200560617">
          <w:marLeft w:val="0"/>
          <w:marRight w:val="0"/>
          <w:marTop w:val="0"/>
          <w:marBottom w:val="0"/>
          <w:divBdr>
            <w:top w:val="none" w:sz="0" w:space="0" w:color="auto"/>
            <w:left w:val="none" w:sz="0" w:space="0" w:color="auto"/>
            <w:bottom w:val="none" w:sz="0" w:space="0" w:color="auto"/>
            <w:right w:val="none" w:sz="0" w:space="0" w:color="auto"/>
          </w:divBdr>
        </w:div>
        <w:div w:id="254821893">
          <w:marLeft w:val="0"/>
          <w:marRight w:val="0"/>
          <w:marTop w:val="0"/>
          <w:marBottom w:val="0"/>
          <w:divBdr>
            <w:top w:val="none" w:sz="0" w:space="0" w:color="auto"/>
            <w:left w:val="none" w:sz="0" w:space="0" w:color="auto"/>
            <w:bottom w:val="none" w:sz="0" w:space="0" w:color="auto"/>
            <w:right w:val="none" w:sz="0" w:space="0" w:color="auto"/>
          </w:divBdr>
        </w:div>
        <w:div w:id="531117480">
          <w:marLeft w:val="0"/>
          <w:marRight w:val="0"/>
          <w:marTop w:val="0"/>
          <w:marBottom w:val="0"/>
          <w:divBdr>
            <w:top w:val="none" w:sz="0" w:space="0" w:color="auto"/>
            <w:left w:val="none" w:sz="0" w:space="0" w:color="auto"/>
            <w:bottom w:val="none" w:sz="0" w:space="0" w:color="auto"/>
            <w:right w:val="none" w:sz="0" w:space="0" w:color="auto"/>
          </w:divBdr>
        </w:div>
        <w:div w:id="577792364">
          <w:marLeft w:val="0"/>
          <w:marRight w:val="0"/>
          <w:marTop w:val="0"/>
          <w:marBottom w:val="0"/>
          <w:divBdr>
            <w:top w:val="none" w:sz="0" w:space="0" w:color="auto"/>
            <w:left w:val="none" w:sz="0" w:space="0" w:color="auto"/>
            <w:bottom w:val="none" w:sz="0" w:space="0" w:color="auto"/>
            <w:right w:val="none" w:sz="0" w:space="0" w:color="auto"/>
          </w:divBdr>
        </w:div>
        <w:div w:id="589435436">
          <w:marLeft w:val="0"/>
          <w:marRight w:val="0"/>
          <w:marTop w:val="0"/>
          <w:marBottom w:val="0"/>
          <w:divBdr>
            <w:top w:val="none" w:sz="0" w:space="0" w:color="auto"/>
            <w:left w:val="none" w:sz="0" w:space="0" w:color="auto"/>
            <w:bottom w:val="none" w:sz="0" w:space="0" w:color="auto"/>
            <w:right w:val="none" w:sz="0" w:space="0" w:color="auto"/>
          </w:divBdr>
        </w:div>
        <w:div w:id="654997400">
          <w:marLeft w:val="0"/>
          <w:marRight w:val="0"/>
          <w:marTop w:val="0"/>
          <w:marBottom w:val="0"/>
          <w:divBdr>
            <w:top w:val="none" w:sz="0" w:space="0" w:color="auto"/>
            <w:left w:val="none" w:sz="0" w:space="0" w:color="auto"/>
            <w:bottom w:val="none" w:sz="0" w:space="0" w:color="auto"/>
            <w:right w:val="none" w:sz="0" w:space="0" w:color="auto"/>
          </w:divBdr>
        </w:div>
        <w:div w:id="682900791">
          <w:marLeft w:val="0"/>
          <w:marRight w:val="0"/>
          <w:marTop w:val="0"/>
          <w:marBottom w:val="0"/>
          <w:divBdr>
            <w:top w:val="none" w:sz="0" w:space="0" w:color="auto"/>
            <w:left w:val="none" w:sz="0" w:space="0" w:color="auto"/>
            <w:bottom w:val="none" w:sz="0" w:space="0" w:color="auto"/>
            <w:right w:val="none" w:sz="0" w:space="0" w:color="auto"/>
          </w:divBdr>
        </w:div>
        <w:div w:id="766732639">
          <w:marLeft w:val="0"/>
          <w:marRight w:val="0"/>
          <w:marTop w:val="0"/>
          <w:marBottom w:val="0"/>
          <w:divBdr>
            <w:top w:val="none" w:sz="0" w:space="0" w:color="auto"/>
            <w:left w:val="none" w:sz="0" w:space="0" w:color="auto"/>
            <w:bottom w:val="none" w:sz="0" w:space="0" w:color="auto"/>
            <w:right w:val="none" w:sz="0" w:space="0" w:color="auto"/>
          </w:divBdr>
        </w:div>
        <w:div w:id="779644858">
          <w:marLeft w:val="0"/>
          <w:marRight w:val="0"/>
          <w:marTop w:val="0"/>
          <w:marBottom w:val="0"/>
          <w:divBdr>
            <w:top w:val="none" w:sz="0" w:space="0" w:color="auto"/>
            <w:left w:val="none" w:sz="0" w:space="0" w:color="auto"/>
            <w:bottom w:val="none" w:sz="0" w:space="0" w:color="auto"/>
            <w:right w:val="none" w:sz="0" w:space="0" w:color="auto"/>
          </w:divBdr>
        </w:div>
        <w:div w:id="810057362">
          <w:marLeft w:val="0"/>
          <w:marRight w:val="0"/>
          <w:marTop w:val="0"/>
          <w:marBottom w:val="0"/>
          <w:divBdr>
            <w:top w:val="none" w:sz="0" w:space="0" w:color="auto"/>
            <w:left w:val="none" w:sz="0" w:space="0" w:color="auto"/>
            <w:bottom w:val="none" w:sz="0" w:space="0" w:color="auto"/>
            <w:right w:val="none" w:sz="0" w:space="0" w:color="auto"/>
          </w:divBdr>
        </w:div>
        <w:div w:id="849101241">
          <w:marLeft w:val="0"/>
          <w:marRight w:val="0"/>
          <w:marTop w:val="0"/>
          <w:marBottom w:val="0"/>
          <w:divBdr>
            <w:top w:val="none" w:sz="0" w:space="0" w:color="auto"/>
            <w:left w:val="none" w:sz="0" w:space="0" w:color="auto"/>
            <w:bottom w:val="none" w:sz="0" w:space="0" w:color="auto"/>
            <w:right w:val="none" w:sz="0" w:space="0" w:color="auto"/>
          </w:divBdr>
        </w:div>
        <w:div w:id="961811421">
          <w:marLeft w:val="0"/>
          <w:marRight w:val="0"/>
          <w:marTop w:val="0"/>
          <w:marBottom w:val="0"/>
          <w:divBdr>
            <w:top w:val="none" w:sz="0" w:space="0" w:color="auto"/>
            <w:left w:val="none" w:sz="0" w:space="0" w:color="auto"/>
            <w:bottom w:val="none" w:sz="0" w:space="0" w:color="auto"/>
            <w:right w:val="none" w:sz="0" w:space="0" w:color="auto"/>
          </w:divBdr>
        </w:div>
        <w:div w:id="1109815032">
          <w:marLeft w:val="0"/>
          <w:marRight w:val="0"/>
          <w:marTop w:val="0"/>
          <w:marBottom w:val="0"/>
          <w:divBdr>
            <w:top w:val="none" w:sz="0" w:space="0" w:color="auto"/>
            <w:left w:val="none" w:sz="0" w:space="0" w:color="auto"/>
            <w:bottom w:val="none" w:sz="0" w:space="0" w:color="auto"/>
            <w:right w:val="none" w:sz="0" w:space="0" w:color="auto"/>
          </w:divBdr>
        </w:div>
        <w:div w:id="1171602422">
          <w:marLeft w:val="0"/>
          <w:marRight w:val="0"/>
          <w:marTop w:val="0"/>
          <w:marBottom w:val="0"/>
          <w:divBdr>
            <w:top w:val="none" w:sz="0" w:space="0" w:color="auto"/>
            <w:left w:val="none" w:sz="0" w:space="0" w:color="auto"/>
            <w:bottom w:val="none" w:sz="0" w:space="0" w:color="auto"/>
            <w:right w:val="none" w:sz="0" w:space="0" w:color="auto"/>
          </w:divBdr>
        </w:div>
        <w:div w:id="1225144354">
          <w:marLeft w:val="0"/>
          <w:marRight w:val="0"/>
          <w:marTop w:val="0"/>
          <w:marBottom w:val="0"/>
          <w:divBdr>
            <w:top w:val="none" w:sz="0" w:space="0" w:color="auto"/>
            <w:left w:val="none" w:sz="0" w:space="0" w:color="auto"/>
            <w:bottom w:val="none" w:sz="0" w:space="0" w:color="auto"/>
            <w:right w:val="none" w:sz="0" w:space="0" w:color="auto"/>
          </w:divBdr>
        </w:div>
        <w:div w:id="1249383066">
          <w:marLeft w:val="0"/>
          <w:marRight w:val="0"/>
          <w:marTop w:val="0"/>
          <w:marBottom w:val="0"/>
          <w:divBdr>
            <w:top w:val="none" w:sz="0" w:space="0" w:color="auto"/>
            <w:left w:val="none" w:sz="0" w:space="0" w:color="auto"/>
            <w:bottom w:val="none" w:sz="0" w:space="0" w:color="auto"/>
            <w:right w:val="none" w:sz="0" w:space="0" w:color="auto"/>
          </w:divBdr>
        </w:div>
        <w:div w:id="1263730932">
          <w:marLeft w:val="0"/>
          <w:marRight w:val="0"/>
          <w:marTop w:val="0"/>
          <w:marBottom w:val="0"/>
          <w:divBdr>
            <w:top w:val="none" w:sz="0" w:space="0" w:color="auto"/>
            <w:left w:val="none" w:sz="0" w:space="0" w:color="auto"/>
            <w:bottom w:val="none" w:sz="0" w:space="0" w:color="auto"/>
            <w:right w:val="none" w:sz="0" w:space="0" w:color="auto"/>
          </w:divBdr>
        </w:div>
        <w:div w:id="1329678076">
          <w:marLeft w:val="0"/>
          <w:marRight w:val="0"/>
          <w:marTop w:val="0"/>
          <w:marBottom w:val="0"/>
          <w:divBdr>
            <w:top w:val="none" w:sz="0" w:space="0" w:color="auto"/>
            <w:left w:val="none" w:sz="0" w:space="0" w:color="auto"/>
            <w:bottom w:val="none" w:sz="0" w:space="0" w:color="auto"/>
            <w:right w:val="none" w:sz="0" w:space="0" w:color="auto"/>
          </w:divBdr>
        </w:div>
        <w:div w:id="1342197420">
          <w:marLeft w:val="0"/>
          <w:marRight w:val="0"/>
          <w:marTop w:val="0"/>
          <w:marBottom w:val="0"/>
          <w:divBdr>
            <w:top w:val="none" w:sz="0" w:space="0" w:color="auto"/>
            <w:left w:val="none" w:sz="0" w:space="0" w:color="auto"/>
            <w:bottom w:val="none" w:sz="0" w:space="0" w:color="auto"/>
            <w:right w:val="none" w:sz="0" w:space="0" w:color="auto"/>
          </w:divBdr>
        </w:div>
        <w:div w:id="1453135615">
          <w:marLeft w:val="0"/>
          <w:marRight w:val="0"/>
          <w:marTop w:val="0"/>
          <w:marBottom w:val="0"/>
          <w:divBdr>
            <w:top w:val="none" w:sz="0" w:space="0" w:color="auto"/>
            <w:left w:val="none" w:sz="0" w:space="0" w:color="auto"/>
            <w:bottom w:val="none" w:sz="0" w:space="0" w:color="auto"/>
            <w:right w:val="none" w:sz="0" w:space="0" w:color="auto"/>
          </w:divBdr>
        </w:div>
        <w:div w:id="1644771645">
          <w:marLeft w:val="0"/>
          <w:marRight w:val="0"/>
          <w:marTop w:val="0"/>
          <w:marBottom w:val="0"/>
          <w:divBdr>
            <w:top w:val="none" w:sz="0" w:space="0" w:color="auto"/>
            <w:left w:val="none" w:sz="0" w:space="0" w:color="auto"/>
            <w:bottom w:val="none" w:sz="0" w:space="0" w:color="auto"/>
            <w:right w:val="none" w:sz="0" w:space="0" w:color="auto"/>
          </w:divBdr>
        </w:div>
        <w:div w:id="1682656177">
          <w:marLeft w:val="0"/>
          <w:marRight w:val="0"/>
          <w:marTop w:val="0"/>
          <w:marBottom w:val="0"/>
          <w:divBdr>
            <w:top w:val="none" w:sz="0" w:space="0" w:color="auto"/>
            <w:left w:val="none" w:sz="0" w:space="0" w:color="auto"/>
            <w:bottom w:val="none" w:sz="0" w:space="0" w:color="auto"/>
            <w:right w:val="none" w:sz="0" w:space="0" w:color="auto"/>
          </w:divBdr>
        </w:div>
        <w:div w:id="1746754347">
          <w:marLeft w:val="0"/>
          <w:marRight w:val="0"/>
          <w:marTop w:val="0"/>
          <w:marBottom w:val="0"/>
          <w:divBdr>
            <w:top w:val="none" w:sz="0" w:space="0" w:color="auto"/>
            <w:left w:val="none" w:sz="0" w:space="0" w:color="auto"/>
            <w:bottom w:val="none" w:sz="0" w:space="0" w:color="auto"/>
            <w:right w:val="none" w:sz="0" w:space="0" w:color="auto"/>
          </w:divBdr>
        </w:div>
        <w:div w:id="1781410769">
          <w:marLeft w:val="0"/>
          <w:marRight w:val="0"/>
          <w:marTop w:val="0"/>
          <w:marBottom w:val="0"/>
          <w:divBdr>
            <w:top w:val="none" w:sz="0" w:space="0" w:color="auto"/>
            <w:left w:val="none" w:sz="0" w:space="0" w:color="auto"/>
            <w:bottom w:val="none" w:sz="0" w:space="0" w:color="auto"/>
            <w:right w:val="none" w:sz="0" w:space="0" w:color="auto"/>
          </w:divBdr>
        </w:div>
        <w:div w:id="1843624427">
          <w:marLeft w:val="0"/>
          <w:marRight w:val="0"/>
          <w:marTop w:val="0"/>
          <w:marBottom w:val="0"/>
          <w:divBdr>
            <w:top w:val="none" w:sz="0" w:space="0" w:color="auto"/>
            <w:left w:val="none" w:sz="0" w:space="0" w:color="auto"/>
            <w:bottom w:val="none" w:sz="0" w:space="0" w:color="auto"/>
            <w:right w:val="none" w:sz="0" w:space="0" w:color="auto"/>
          </w:divBdr>
        </w:div>
        <w:div w:id="1873498468">
          <w:marLeft w:val="0"/>
          <w:marRight w:val="0"/>
          <w:marTop w:val="0"/>
          <w:marBottom w:val="0"/>
          <w:divBdr>
            <w:top w:val="none" w:sz="0" w:space="0" w:color="auto"/>
            <w:left w:val="none" w:sz="0" w:space="0" w:color="auto"/>
            <w:bottom w:val="none" w:sz="0" w:space="0" w:color="auto"/>
            <w:right w:val="none" w:sz="0" w:space="0" w:color="auto"/>
          </w:divBdr>
        </w:div>
        <w:div w:id="1977371101">
          <w:marLeft w:val="0"/>
          <w:marRight w:val="0"/>
          <w:marTop w:val="0"/>
          <w:marBottom w:val="0"/>
          <w:divBdr>
            <w:top w:val="none" w:sz="0" w:space="0" w:color="auto"/>
            <w:left w:val="none" w:sz="0" w:space="0" w:color="auto"/>
            <w:bottom w:val="none" w:sz="0" w:space="0" w:color="auto"/>
            <w:right w:val="none" w:sz="0" w:space="0" w:color="auto"/>
          </w:divBdr>
        </w:div>
        <w:div w:id="2021161083">
          <w:marLeft w:val="0"/>
          <w:marRight w:val="0"/>
          <w:marTop w:val="0"/>
          <w:marBottom w:val="0"/>
          <w:divBdr>
            <w:top w:val="none" w:sz="0" w:space="0" w:color="auto"/>
            <w:left w:val="none" w:sz="0" w:space="0" w:color="auto"/>
            <w:bottom w:val="none" w:sz="0" w:space="0" w:color="auto"/>
            <w:right w:val="none" w:sz="0" w:space="0" w:color="auto"/>
          </w:divBdr>
        </w:div>
        <w:div w:id="2041779510">
          <w:marLeft w:val="0"/>
          <w:marRight w:val="0"/>
          <w:marTop w:val="0"/>
          <w:marBottom w:val="0"/>
          <w:divBdr>
            <w:top w:val="none" w:sz="0" w:space="0" w:color="auto"/>
            <w:left w:val="none" w:sz="0" w:space="0" w:color="auto"/>
            <w:bottom w:val="none" w:sz="0" w:space="0" w:color="auto"/>
            <w:right w:val="none" w:sz="0" w:space="0" w:color="auto"/>
          </w:divBdr>
        </w:div>
        <w:div w:id="2045599316">
          <w:marLeft w:val="0"/>
          <w:marRight w:val="0"/>
          <w:marTop w:val="0"/>
          <w:marBottom w:val="0"/>
          <w:divBdr>
            <w:top w:val="none" w:sz="0" w:space="0" w:color="auto"/>
            <w:left w:val="none" w:sz="0" w:space="0" w:color="auto"/>
            <w:bottom w:val="none" w:sz="0" w:space="0" w:color="auto"/>
            <w:right w:val="none" w:sz="0" w:space="0" w:color="auto"/>
          </w:divBdr>
        </w:div>
        <w:div w:id="2071272300">
          <w:marLeft w:val="0"/>
          <w:marRight w:val="0"/>
          <w:marTop w:val="0"/>
          <w:marBottom w:val="0"/>
          <w:divBdr>
            <w:top w:val="none" w:sz="0" w:space="0" w:color="auto"/>
            <w:left w:val="none" w:sz="0" w:space="0" w:color="auto"/>
            <w:bottom w:val="none" w:sz="0" w:space="0" w:color="auto"/>
            <w:right w:val="none" w:sz="0" w:space="0" w:color="auto"/>
          </w:divBdr>
        </w:div>
      </w:divsChild>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52584473">
      <w:bodyDiv w:val="1"/>
      <w:marLeft w:val="0"/>
      <w:marRight w:val="0"/>
      <w:marTop w:val="0"/>
      <w:marBottom w:val="0"/>
      <w:divBdr>
        <w:top w:val="none" w:sz="0" w:space="0" w:color="auto"/>
        <w:left w:val="none" w:sz="0" w:space="0" w:color="auto"/>
        <w:bottom w:val="none" w:sz="0" w:space="0" w:color="auto"/>
        <w:right w:val="none" w:sz="0" w:space="0" w:color="auto"/>
      </w:divBdr>
      <w:divsChild>
        <w:div w:id="106823698">
          <w:marLeft w:val="0"/>
          <w:marRight w:val="0"/>
          <w:marTop w:val="0"/>
          <w:marBottom w:val="0"/>
          <w:divBdr>
            <w:top w:val="none" w:sz="0" w:space="0" w:color="auto"/>
            <w:left w:val="none" w:sz="0" w:space="0" w:color="auto"/>
            <w:bottom w:val="none" w:sz="0" w:space="0" w:color="auto"/>
            <w:right w:val="none" w:sz="0" w:space="0" w:color="auto"/>
          </w:divBdr>
        </w:div>
        <w:div w:id="175117442">
          <w:marLeft w:val="0"/>
          <w:marRight w:val="0"/>
          <w:marTop w:val="0"/>
          <w:marBottom w:val="0"/>
          <w:divBdr>
            <w:top w:val="none" w:sz="0" w:space="0" w:color="auto"/>
            <w:left w:val="none" w:sz="0" w:space="0" w:color="auto"/>
            <w:bottom w:val="none" w:sz="0" w:space="0" w:color="auto"/>
            <w:right w:val="none" w:sz="0" w:space="0" w:color="auto"/>
          </w:divBdr>
        </w:div>
        <w:div w:id="344789956">
          <w:marLeft w:val="0"/>
          <w:marRight w:val="0"/>
          <w:marTop w:val="0"/>
          <w:marBottom w:val="0"/>
          <w:divBdr>
            <w:top w:val="none" w:sz="0" w:space="0" w:color="auto"/>
            <w:left w:val="none" w:sz="0" w:space="0" w:color="auto"/>
            <w:bottom w:val="none" w:sz="0" w:space="0" w:color="auto"/>
            <w:right w:val="none" w:sz="0" w:space="0" w:color="auto"/>
          </w:divBdr>
        </w:div>
        <w:div w:id="350840179">
          <w:marLeft w:val="0"/>
          <w:marRight w:val="0"/>
          <w:marTop w:val="0"/>
          <w:marBottom w:val="0"/>
          <w:divBdr>
            <w:top w:val="none" w:sz="0" w:space="0" w:color="auto"/>
            <w:left w:val="none" w:sz="0" w:space="0" w:color="auto"/>
            <w:bottom w:val="none" w:sz="0" w:space="0" w:color="auto"/>
            <w:right w:val="none" w:sz="0" w:space="0" w:color="auto"/>
          </w:divBdr>
        </w:div>
        <w:div w:id="437068207">
          <w:marLeft w:val="0"/>
          <w:marRight w:val="0"/>
          <w:marTop w:val="0"/>
          <w:marBottom w:val="0"/>
          <w:divBdr>
            <w:top w:val="none" w:sz="0" w:space="0" w:color="auto"/>
            <w:left w:val="none" w:sz="0" w:space="0" w:color="auto"/>
            <w:bottom w:val="none" w:sz="0" w:space="0" w:color="auto"/>
            <w:right w:val="none" w:sz="0" w:space="0" w:color="auto"/>
          </w:divBdr>
        </w:div>
        <w:div w:id="506016790">
          <w:marLeft w:val="0"/>
          <w:marRight w:val="0"/>
          <w:marTop w:val="0"/>
          <w:marBottom w:val="0"/>
          <w:divBdr>
            <w:top w:val="none" w:sz="0" w:space="0" w:color="auto"/>
            <w:left w:val="none" w:sz="0" w:space="0" w:color="auto"/>
            <w:bottom w:val="none" w:sz="0" w:space="0" w:color="auto"/>
            <w:right w:val="none" w:sz="0" w:space="0" w:color="auto"/>
          </w:divBdr>
        </w:div>
        <w:div w:id="558982400">
          <w:marLeft w:val="0"/>
          <w:marRight w:val="0"/>
          <w:marTop w:val="0"/>
          <w:marBottom w:val="0"/>
          <w:divBdr>
            <w:top w:val="none" w:sz="0" w:space="0" w:color="auto"/>
            <w:left w:val="none" w:sz="0" w:space="0" w:color="auto"/>
            <w:bottom w:val="none" w:sz="0" w:space="0" w:color="auto"/>
            <w:right w:val="none" w:sz="0" w:space="0" w:color="auto"/>
          </w:divBdr>
        </w:div>
        <w:div w:id="758719219">
          <w:marLeft w:val="0"/>
          <w:marRight w:val="0"/>
          <w:marTop w:val="0"/>
          <w:marBottom w:val="0"/>
          <w:divBdr>
            <w:top w:val="none" w:sz="0" w:space="0" w:color="auto"/>
            <w:left w:val="none" w:sz="0" w:space="0" w:color="auto"/>
            <w:bottom w:val="none" w:sz="0" w:space="0" w:color="auto"/>
            <w:right w:val="none" w:sz="0" w:space="0" w:color="auto"/>
          </w:divBdr>
        </w:div>
        <w:div w:id="804202467">
          <w:marLeft w:val="0"/>
          <w:marRight w:val="0"/>
          <w:marTop w:val="0"/>
          <w:marBottom w:val="0"/>
          <w:divBdr>
            <w:top w:val="none" w:sz="0" w:space="0" w:color="auto"/>
            <w:left w:val="none" w:sz="0" w:space="0" w:color="auto"/>
            <w:bottom w:val="none" w:sz="0" w:space="0" w:color="auto"/>
            <w:right w:val="none" w:sz="0" w:space="0" w:color="auto"/>
          </w:divBdr>
        </w:div>
        <w:div w:id="852955962">
          <w:marLeft w:val="0"/>
          <w:marRight w:val="0"/>
          <w:marTop w:val="0"/>
          <w:marBottom w:val="0"/>
          <w:divBdr>
            <w:top w:val="none" w:sz="0" w:space="0" w:color="auto"/>
            <w:left w:val="none" w:sz="0" w:space="0" w:color="auto"/>
            <w:bottom w:val="none" w:sz="0" w:space="0" w:color="auto"/>
            <w:right w:val="none" w:sz="0" w:space="0" w:color="auto"/>
          </w:divBdr>
        </w:div>
        <w:div w:id="933168852">
          <w:marLeft w:val="0"/>
          <w:marRight w:val="0"/>
          <w:marTop w:val="0"/>
          <w:marBottom w:val="0"/>
          <w:divBdr>
            <w:top w:val="none" w:sz="0" w:space="0" w:color="auto"/>
            <w:left w:val="none" w:sz="0" w:space="0" w:color="auto"/>
            <w:bottom w:val="none" w:sz="0" w:space="0" w:color="auto"/>
            <w:right w:val="none" w:sz="0" w:space="0" w:color="auto"/>
          </w:divBdr>
        </w:div>
        <w:div w:id="947548528">
          <w:marLeft w:val="0"/>
          <w:marRight w:val="0"/>
          <w:marTop w:val="0"/>
          <w:marBottom w:val="0"/>
          <w:divBdr>
            <w:top w:val="none" w:sz="0" w:space="0" w:color="auto"/>
            <w:left w:val="none" w:sz="0" w:space="0" w:color="auto"/>
            <w:bottom w:val="none" w:sz="0" w:space="0" w:color="auto"/>
            <w:right w:val="none" w:sz="0" w:space="0" w:color="auto"/>
          </w:divBdr>
        </w:div>
        <w:div w:id="955798556">
          <w:marLeft w:val="0"/>
          <w:marRight w:val="0"/>
          <w:marTop w:val="0"/>
          <w:marBottom w:val="0"/>
          <w:divBdr>
            <w:top w:val="none" w:sz="0" w:space="0" w:color="auto"/>
            <w:left w:val="none" w:sz="0" w:space="0" w:color="auto"/>
            <w:bottom w:val="none" w:sz="0" w:space="0" w:color="auto"/>
            <w:right w:val="none" w:sz="0" w:space="0" w:color="auto"/>
          </w:divBdr>
        </w:div>
        <w:div w:id="972173979">
          <w:marLeft w:val="0"/>
          <w:marRight w:val="0"/>
          <w:marTop w:val="0"/>
          <w:marBottom w:val="0"/>
          <w:divBdr>
            <w:top w:val="none" w:sz="0" w:space="0" w:color="auto"/>
            <w:left w:val="none" w:sz="0" w:space="0" w:color="auto"/>
            <w:bottom w:val="none" w:sz="0" w:space="0" w:color="auto"/>
            <w:right w:val="none" w:sz="0" w:space="0" w:color="auto"/>
          </w:divBdr>
        </w:div>
        <w:div w:id="1041781313">
          <w:marLeft w:val="0"/>
          <w:marRight w:val="0"/>
          <w:marTop w:val="0"/>
          <w:marBottom w:val="0"/>
          <w:divBdr>
            <w:top w:val="none" w:sz="0" w:space="0" w:color="auto"/>
            <w:left w:val="none" w:sz="0" w:space="0" w:color="auto"/>
            <w:bottom w:val="none" w:sz="0" w:space="0" w:color="auto"/>
            <w:right w:val="none" w:sz="0" w:space="0" w:color="auto"/>
          </w:divBdr>
        </w:div>
        <w:div w:id="1086849760">
          <w:marLeft w:val="0"/>
          <w:marRight w:val="0"/>
          <w:marTop w:val="0"/>
          <w:marBottom w:val="0"/>
          <w:divBdr>
            <w:top w:val="none" w:sz="0" w:space="0" w:color="auto"/>
            <w:left w:val="none" w:sz="0" w:space="0" w:color="auto"/>
            <w:bottom w:val="none" w:sz="0" w:space="0" w:color="auto"/>
            <w:right w:val="none" w:sz="0" w:space="0" w:color="auto"/>
          </w:divBdr>
        </w:div>
        <w:div w:id="1166826581">
          <w:marLeft w:val="0"/>
          <w:marRight w:val="0"/>
          <w:marTop w:val="0"/>
          <w:marBottom w:val="0"/>
          <w:divBdr>
            <w:top w:val="none" w:sz="0" w:space="0" w:color="auto"/>
            <w:left w:val="none" w:sz="0" w:space="0" w:color="auto"/>
            <w:bottom w:val="none" w:sz="0" w:space="0" w:color="auto"/>
            <w:right w:val="none" w:sz="0" w:space="0" w:color="auto"/>
          </w:divBdr>
        </w:div>
        <w:div w:id="1195000210">
          <w:marLeft w:val="0"/>
          <w:marRight w:val="0"/>
          <w:marTop w:val="0"/>
          <w:marBottom w:val="0"/>
          <w:divBdr>
            <w:top w:val="none" w:sz="0" w:space="0" w:color="auto"/>
            <w:left w:val="none" w:sz="0" w:space="0" w:color="auto"/>
            <w:bottom w:val="none" w:sz="0" w:space="0" w:color="auto"/>
            <w:right w:val="none" w:sz="0" w:space="0" w:color="auto"/>
          </w:divBdr>
        </w:div>
        <w:div w:id="1214734095">
          <w:marLeft w:val="0"/>
          <w:marRight w:val="0"/>
          <w:marTop w:val="0"/>
          <w:marBottom w:val="0"/>
          <w:divBdr>
            <w:top w:val="none" w:sz="0" w:space="0" w:color="auto"/>
            <w:left w:val="none" w:sz="0" w:space="0" w:color="auto"/>
            <w:bottom w:val="none" w:sz="0" w:space="0" w:color="auto"/>
            <w:right w:val="none" w:sz="0" w:space="0" w:color="auto"/>
          </w:divBdr>
        </w:div>
        <w:div w:id="1277830366">
          <w:marLeft w:val="0"/>
          <w:marRight w:val="0"/>
          <w:marTop w:val="0"/>
          <w:marBottom w:val="0"/>
          <w:divBdr>
            <w:top w:val="none" w:sz="0" w:space="0" w:color="auto"/>
            <w:left w:val="none" w:sz="0" w:space="0" w:color="auto"/>
            <w:bottom w:val="none" w:sz="0" w:space="0" w:color="auto"/>
            <w:right w:val="none" w:sz="0" w:space="0" w:color="auto"/>
          </w:divBdr>
        </w:div>
        <w:div w:id="1345671706">
          <w:marLeft w:val="0"/>
          <w:marRight w:val="0"/>
          <w:marTop w:val="0"/>
          <w:marBottom w:val="0"/>
          <w:divBdr>
            <w:top w:val="none" w:sz="0" w:space="0" w:color="auto"/>
            <w:left w:val="none" w:sz="0" w:space="0" w:color="auto"/>
            <w:bottom w:val="none" w:sz="0" w:space="0" w:color="auto"/>
            <w:right w:val="none" w:sz="0" w:space="0" w:color="auto"/>
          </w:divBdr>
        </w:div>
        <w:div w:id="1366827082">
          <w:marLeft w:val="0"/>
          <w:marRight w:val="0"/>
          <w:marTop w:val="0"/>
          <w:marBottom w:val="0"/>
          <w:divBdr>
            <w:top w:val="none" w:sz="0" w:space="0" w:color="auto"/>
            <w:left w:val="none" w:sz="0" w:space="0" w:color="auto"/>
            <w:bottom w:val="none" w:sz="0" w:space="0" w:color="auto"/>
            <w:right w:val="none" w:sz="0" w:space="0" w:color="auto"/>
          </w:divBdr>
        </w:div>
        <w:div w:id="1374697348">
          <w:marLeft w:val="0"/>
          <w:marRight w:val="0"/>
          <w:marTop w:val="0"/>
          <w:marBottom w:val="0"/>
          <w:divBdr>
            <w:top w:val="none" w:sz="0" w:space="0" w:color="auto"/>
            <w:left w:val="none" w:sz="0" w:space="0" w:color="auto"/>
            <w:bottom w:val="none" w:sz="0" w:space="0" w:color="auto"/>
            <w:right w:val="none" w:sz="0" w:space="0" w:color="auto"/>
          </w:divBdr>
        </w:div>
        <w:div w:id="1411149752">
          <w:marLeft w:val="0"/>
          <w:marRight w:val="0"/>
          <w:marTop w:val="0"/>
          <w:marBottom w:val="0"/>
          <w:divBdr>
            <w:top w:val="none" w:sz="0" w:space="0" w:color="auto"/>
            <w:left w:val="none" w:sz="0" w:space="0" w:color="auto"/>
            <w:bottom w:val="none" w:sz="0" w:space="0" w:color="auto"/>
            <w:right w:val="none" w:sz="0" w:space="0" w:color="auto"/>
          </w:divBdr>
        </w:div>
        <w:div w:id="1444225922">
          <w:marLeft w:val="0"/>
          <w:marRight w:val="0"/>
          <w:marTop w:val="0"/>
          <w:marBottom w:val="0"/>
          <w:divBdr>
            <w:top w:val="none" w:sz="0" w:space="0" w:color="auto"/>
            <w:left w:val="none" w:sz="0" w:space="0" w:color="auto"/>
            <w:bottom w:val="none" w:sz="0" w:space="0" w:color="auto"/>
            <w:right w:val="none" w:sz="0" w:space="0" w:color="auto"/>
          </w:divBdr>
        </w:div>
        <w:div w:id="1491023622">
          <w:marLeft w:val="0"/>
          <w:marRight w:val="0"/>
          <w:marTop w:val="0"/>
          <w:marBottom w:val="0"/>
          <w:divBdr>
            <w:top w:val="none" w:sz="0" w:space="0" w:color="auto"/>
            <w:left w:val="none" w:sz="0" w:space="0" w:color="auto"/>
            <w:bottom w:val="none" w:sz="0" w:space="0" w:color="auto"/>
            <w:right w:val="none" w:sz="0" w:space="0" w:color="auto"/>
          </w:divBdr>
        </w:div>
        <w:div w:id="1505895878">
          <w:marLeft w:val="0"/>
          <w:marRight w:val="0"/>
          <w:marTop w:val="0"/>
          <w:marBottom w:val="0"/>
          <w:divBdr>
            <w:top w:val="none" w:sz="0" w:space="0" w:color="auto"/>
            <w:left w:val="none" w:sz="0" w:space="0" w:color="auto"/>
            <w:bottom w:val="none" w:sz="0" w:space="0" w:color="auto"/>
            <w:right w:val="none" w:sz="0" w:space="0" w:color="auto"/>
          </w:divBdr>
        </w:div>
        <w:div w:id="1660234830">
          <w:marLeft w:val="0"/>
          <w:marRight w:val="0"/>
          <w:marTop w:val="0"/>
          <w:marBottom w:val="0"/>
          <w:divBdr>
            <w:top w:val="none" w:sz="0" w:space="0" w:color="auto"/>
            <w:left w:val="none" w:sz="0" w:space="0" w:color="auto"/>
            <w:bottom w:val="none" w:sz="0" w:space="0" w:color="auto"/>
            <w:right w:val="none" w:sz="0" w:space="0" w:color="auto"/>
          </w:divBdr>
        </w:div>
        <w:div w:id="1765371635">
          <w:marLeft w:val="0"/>
          <w:marRight w:val="0"/>
          <w:marTop w:val="0"/>
          <w:marBottom w:val="0"/>
          <w:divBdr>
            <w:top w:val="none" w:sz="0" w:space="0" w:color="auto"/>
            <w:left w:val="none" w:sz="0" w:space="0" w:color="auto"/>
            <w:bottom w:val="none" w:sz="0" w:space="0" w:color="auto"/>
            <w:right w:val="none" w:sz="0" w:space="0" w:color="auto"/>
          </w:divBdr>
        </w:div>
        <w:div w:id="1799520010">
          <w:marLeft w:val="0"/>
          <w:marRight w:val="0"/>
          <w:marTop w:val="0"/>
          <w:marBottom w:val="0"/>
          <w:divBdr>
            <w:top w:val="none" w:sz="0" w:space="0" w:color="auto"/>
            <w:left w:val="none" w:sz="0" w:space="0" w:color="auto"/>
            <w:bottom w:val="none" w:sz="0" w:space="0" w:color="auto"/>
            <w:right w:val="none" w:sz="0" w:space="0" w:color="auto"/>
          </w:divBdr>
        </w:div>
        <w:div w:id="1886136901">
          <w:marLeft w:val="0"/>
          <w:marRight w:val="0"/>
          <w:marTop w:val="0"/>
          <w:marBottom w:val="0"/>
          <w:divBdr>
            <w:top w:val="none" w:sz="0" w:space="0" w:color="auto"/>
            <w:left w:val="none" w:sz="0" w:space="0" w:color="auto"/>
            <w:bottom w:val="none" w:sz="0" w:space="0" w:color="auto"/>
            <w:right w:val="none" w:sz="0" w:space="0" w:color="auto"/>
          </w:divBdr>
        </w:div>
        <w:div w:id="1972973436">
          <w:marLeft w:val="0"/>
          <w:marRight w:val="0"/>
          <w:marTop w:val="0"/>
          <w:marBottom w:val="0"/>
          <w:divBdr>
            <w:top w:val="none" w:sz="0" w:space="0" w:color="auto"/>
            <w:left w:val="none" w:sz="0" w:space="0" w:color="auto"/>
            <w:bottom w:val="none" w:sz="0" w:space="0" w:color="auto"/>
            <w:right w:val="none" w:sz="0" w:space="0" w:color="auto"/>
          </w:divBdr>
        </w:div>
        <w:div w:id="2014523820">
          <w:marLeft w:val="0"/>
          <w:marRight w:val="0"/>
          <w:marTop w:val="0"/>
          <w:marBottom w:val="0"/>
          <w:divBdr>
            <w:top w:val="none" w:sz="0" w:space="0" w:color="auto"/>
            <w:left w:val="none" w:sz="0" w:space="0" w:color="auto"/>
            <w:bottom w:val="none" w:sz="0" w:space="0" w:color="auto"/>
            <w:right w:val="none" w:sz="0" w:space="0" w:color="auto"/>
          </w:divBdr>
        </w:div>
      </w:divsChild>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445155271">
      <w:bodyDiv w:val="1"/>
      <w:marLeft w:val="0"/>
      <w:marRight w:val="0"/>
      <w:marTop w:val="0"/>
      <w:marBottom w:val="0"/>
      <w:divBdr>
        <w:top w:val="none" w:sz="0" w:space="0" w:color="auto"/>
        <w:left w:val="none" w:sz="0" w:space="0" w:color="auto"/>
        <w:bottom w:val="none" w:sz="0" w:space="0" w:color="auto"/>
        <w:right w:val="none" w:sz="0" w:space="0" w:color="auto"/>
      </w:divBdr>
      <w:divsChild>
        <w:div w:id="402990035">
          <w:marLeft w:val="0"/>
          <w:marRight w:val="0"/>
          <w:marTop w:val="0"/>
          <w:marBottom w:val="0"/>
          <w:divBdr>
            <w:top w:val="none" w:sz="0" w:space="0" w:color="auto"/>
            <w:left w:val="none" w:sz="0" w:space="0" w:color="auto"/>
            <w:bottom w:val="none" w:sz="0" w:space="0" w:color="auto"/>
            <w:right w:val="none" w:sz="0" w:space="0" w:color="auto"/>
          </w:divBdr>
        </w:div>
        <w:div w:id="1233082184">
          <w:marLeft w:val="0"/>
          <w:marRight w:val="0"/>
          <w:marTop w:val="0"/>
          <w:marBottom w:val="0"/>
          <w:divBdr>
            <w:top w:val="none" w:sz="0" w:space="0" w:color="auto"/>
            <w:left w:val="none" w:sz="0" w:space="0" w:color="auto"/>
            <w:bottom w:val="none" w:sz="0" w:space="0" w:color="auto"/>
            <w:right w:val="none" w:sz="0" w:space="0" w:color="auto"/>
          </w:divBdr>
        </w:div>
      </w:divsChild>
    </w:div>
    <w:div w:id="1575434862">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752777744">
      <w:bodyDiv w:val="1"/>
      <w:marLeft w:val="0"/>
      <w:marRight w:val="0"/>
      <w:marTop w:val="0"/>
      <w:marBottom w:val="0"/>
      <w:divBdr>
        <w:top w:val="none" w:sz="0" w:space="0" w:color="auto"/>
        <w:left w:val="none" w:sz="0" w:space="0" w:color="auto"/>
        <w:bottom w:val="none" w:sz="0" w:space="0" w:color="auto"/>
        <w:right w:val="none" w:sz="0" w:space="0" w:color="auto"/>
      </w:divBdr>
    </w:div>
    <w:div w:id="176884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41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viermr1516@gmail.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9d85dbaf-23eb-4e57-a637-93dcacc8b1a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a6cb9e4b-f1d1-4245-83ec-6cad768d538a"/>
    <ds:schemaRef ds:uri="http://purl.org/dc/elements/1.1/"/>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6838</Words>
  <Characters>38981</Characters>
  <Application>Microsoft Office Word</Application>
  <DocSecurity>4</DocSecurity>
  <Lines>324</Lines>
  <Paragraphs>91</Paragraphs>
  <ScaleCrop>false</ScaleCrop>
  <Company/>
  <LinksUpToDate>false</LinksUpToDate>
  <CharactersWithSpaces>45728</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1245202</vt:i4>
      </vt:variant>
      <vt:variant>
        <vt:i4>3</vt:i4>
      </vt:variant>
      <vt:variant>
        <vt:i4>0</vt:i4>
      </vt:variant>
      <vt:variant>
        <vt:i4>5</vt:i4>
      </vt:variant>
      <vt:variant>
        <vt:lpwstr>https://www.funcionpublica.gov.co/eva/gestornormativo/norma.php?i=4125</vt:lpwstr>
      </vt:variant>
      <vt:variant>
        <vt:lpwstr>127</vt:lpwstr>
      </vt:variant>
      <vt:variant>
        <vt:i4>7536712</vt:i4>
      </vt:variant>
      <vt:variant>
        <vt:i4>0</vt:i4>
      </vt:variant>
      <vt:variant>
        <vt:i4>0</vt:i4>
      </vt:variant>
      <vt:variant>
        <vt:i4>5</vt:i4>
      </vt:variant>
      <vt:variant>
        <vt:lpwstr>mailto:javiermr1516@gmail.com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17</cp:revision>
  <dcterms:created xsi:type="dcterms:W3CDTF">2024-10-29T23:53:00Z</dcterms:created>
  <dcterms:modified xsi:type="dcterms:W3CDTF">2024-11-06T14:40:00Z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