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A327F" w14:textId="77777777" w:rsidR="0054605A" w:rsidRPr="0072077A" w:rsidRDefault="0054605A" w:rsidP="0054605A">
      <w:pPr>
        <w:spacing w:after="0" w:line="240" w:lineRule="auto"/>
        <w:jc w:val="both"/>
        <w:rPr>
          <w:rFonts w:ascii="Verdana" w:eastAsia="Calibri" w:hAnsi="Verdana" w:cs="Arial"/>
          <w:b/>
          <w:bCs/>
          <w:color w:val="000000" w:themeColor="text1"/>
          <w:lang w:val="es-ES"/>
        </w:rPr>
      </w:pPr>
      <w:bookmarkStart w:id="0" w:name="_Hlk143780582"/>
      <w:r w:rsidRPr="0072077A">
        <w:rPr>
          <w:rFonts w:ascii="Verdana" w:eastAsia="Calibri" w:hAnsi="Verdana" w:cs="Arial"/>
          <w:b/>
          <w:bCs/>
          <w:lang w:val="es-ES"/>
        </w:rPr>
        <w:t xml:space="preserve">CONTRATACIÓN ESTATAL – </w:t>
      </w:r>
      <w:r w:rsidRPr="0072077A">
        <w:rPr>
          <w:rFonts w:ascii="Verdana" w:eastAsia="Calibri" w:hAnsi="Verdana" w:cs="Arial"/>
          <w:b/>
          <w:bCs/>
          <w:color w:val="000000" w:themeColor="text1"/>
          <w:lang w:val="es-ES"/>
        </w:rPr>
        <w:t xml:space="preserve">Capacidad – Validez contratos – Régimen de contratación – Limitación de la capacidad </w:t>
      </w:r>
    </w:p>
    <w:p w14:paraId="25D00F46" w14:textId="77777777" w:rsidR="0054605A" w:rsidRPr="0072077A" w:rsidRDefault="0054605A" w:rsidP="0054605A">
      <w:pPr>
        <w:spacing w:after="0" w:line="240" w:lineRule="auto"/>
        <w:jc w:val="both"/>
        <w:rPr>
          <w:rFonts w:ascii="Verdana" w:eastAsia="Calibri" w:hAnsi="Verdana" w:cs="Arial"/>
          <w:b/>
          <w:bCs/>
          <w:color w:val="000000" w:themeColor="text1"/>
          <w:lang w:val="es-ES"/>
        </w:rPr>
      </w:pPr>
    </w:p>
    <w:p w14:paraId="39E6C1CD" w14:textId="77777777" w:rsidR="0054605A" w:rsidRPr="0072077A" w:rsidRDefault="0054605A" w:rsidP="0054605A">
      <w:pPr>
        <w:spacing w:after="0" w:line="240" w:lineRule="auto"/>
        <w:jc w:val="both"/>
        <w:rPr>
          <w:rFonts w:ascii="Verdana" w:eastAsia="Calibri" w:hAnsi="Verdana" w:cs="Arial"/>
          <w:color w:val="000000" w:themeColor="text1"/>
          <w:sz w:val="20"/>
          <w:szCs w:val="20"/>
          <w:lang w:val="es-ES"/>
        </w:rPr>
      </w:pPr>
      <w:r w:rsidRPr="0072077A">
        <w:rPr>
          <w:rFonts w:ascii="Verdana" w:eastAsia="Calibri" w:hAnsi="Verdana" w:cs="Arial"/>
          <w:color w:val="000000" w:themeColor="text1"/>
          <w:sz w:val="20"/>
          <w:szCs w:val="20"/>
          <w:lang w:val="es-ES"/>
        </w:rPr>
        <w:t xml:space="preserve">En la contratación estatal, la </w:t>
      </w:r>
      <w:r w:rsidRPr="0072077A">
        <w:rPr>
          <w:rFonts w:ascii="Verdana" w:eastAsia="Calibri" w:hAnsi="Verdana" w:cs="Arial"/>
          <w:i/>
          <w:color w:val="000000" w:themeColor="text1"/>
          <w:sz w:val="20"/>
          <w:szCs w:val="20"/>
          <w:lang w:val="es-ES"/>
        </w:rPr>
        <w:t>capacidad</w:t>
      </w:r>
      <w:r w:rsidRPr="0072077A">
        <w:rPr>
          <w:rFonts w:ascii="Verdana" w:eastAsia="Calibri" w:hAnsi="Verdana" w:cs="Arial"/>
          <w:color w:val="000000" w:themeColor="text1"/>
          <w:sz w:val="20"/>
          <w:szCs w:val="20"/>
          <w:lang w:val="es-ES"/>
        </w:rPr>
        <w:t xml:space="preserve"> también es un requisito de validez de los contratos, tanto en el régimen de las entidades sujetas al Estatuto General de Contratación de la Administración Pública como en el de las entidades exceptuadas de aquel. Si bien la regulación de la capacidad se integra por varias disposiciones y exigencias especiales –, se destaca el régimen de inhabilidades e incompatibilidades como un conjunto de normas que imponen restricciones para los sujetos que, eventualmente, pretendan participar en los procedimientos de selección o celebrar contratos con las entidades estatales.</w:t>
      </w:r>
    </w:p>
    <w:p w14:paraId="64A5B95A" w14:textId="77777777" w:rsidR="0054605A" w:rsidRPr="0072077A" w:rsidRDefault="0054605A" w:rsidP="0054605A">
      <w:pPr>
        <w:spacing w:after="0" w:line="240" w:lineRule="auto"/>
        <w:jc w:val="both"/>
        <w:rPr>
          <w:rFonts w:ascii="Verdana" w:eastAsia="Calibri" w:hAnsi="Verdana" w:cs="Arial"/>
          <w:color w:val="000000" w:themeColor="text1"/>
          <w:sz w:val="20"/>
          <w:szCs w:val="20"/>
          <w:lang w:val="es-ES_tradnl"/>
        </w:rPr>
      </w:pPr>
    </w:p>
    <w:p w14:paraId="44C49068" w14:textId="77777777" w:rsidR="0054605A" w:rsidRPr="0072077A" w:rsidRDefault="0054605A" w:rsidP="0054605A">
      <w:pPr>
        <w:spacing w:after="0" w:line="240" w:lineRule="auto"/>
        <w:jc w:val="both"/>
        <w:rPr>
          <w:rFonts w:ascii="Verdana" w:eastAsia="Calibri" w:hAnsi="Verdana" w:cs="Arial"/>
          <w:color w:val="000000" w:themeColor="text1"/>
          <w:sz w:val="20"/>
          <w:szCs w:val="20"/>
          <w:lang w:val="es-ES"/>
        </w:rPr>
      </w:pPr>
      <w:r w:rsidRPr="0072077A">
        <w:rPr>
          <w:rFonts w:ascii="Verdana" w:eastAsia="Calibri" w:hAnsi="Verdana" w:cs="Arial"/>
          <w:color w:val="000000" w:themeColor="text1"/>
          <w:sz w:val="20"/>
          <w:szCs w:val="20"/>
          <w:lang w:val="es-ES"/>
        </w:rPr>
        <w:t>Las inhabilidades son prohibiciones para concurrir a los procedimientos de selección y para contratar con el Estado, que se derivan: i) de la existencia de comportamientos reprochables o de sanciones anteriormente impuestas, ii) de vínculos personales relativos al parentesco o al estado civil o iii) de una actividad u oficio que se desempeñó en el pasado.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En todo caso, a pesar de la existencia de distintos criterios para diferenciar las inhabilidades de las incompatibilidades, de la presencia de ellas se derivan las mismas consecuencias jurídicas, esto es, la limitación de la capacidad contractual, como se desarrolló en el numeral 2.1. de este concepto. De manera que la presencia de ellas impide que se puedan celebrar contratos con el Estado o participar en procedimientos de selección de las entidades estatales, por lo que de cualquiera de ellas se derivan los mismos efectos jurídicos.</w:t>
      </w:r>
    </w:p>
    <w:p w14:paraId="43E4B009" w14:textId="77777777" w:rsidR="0054605A" w:rsidRPr="0072077A" w:rsidRDefault="0054605A" w:rsidP="0054605A">
      <w:pPr>
        <w:spacing w:after="0"/>
        <w:jc w:val="both"/>
        <w:rPr>
          <w:rFonts w:ascii="Verdana" w:eastAsia="Arial" w:hAnsi="Verdana"/>
          <w:b/>
          <w:sz w:val="20"/>
          <w:szCs w:val="20"/>
          <w:lang w:val="es-ES" w:eastAsia="es-ES_tradnl"/>
        </w:rPr>
      </w:pPr>
    </w:p>
    <w:p w14:paraId="37422356" w14:textId="77777777" w:rsidR="0054605A" w:rsidRPr="0072077A" w:rsidRDefault="0054605A" w:rsidP="0054605A">
      <w:pPr>
        <w:spacing w:after="0"/>
        <w:jc w:val="both"/>
        <w:rPr>
          <w:rFonts w:ascii="Verdana" w:eastAsia="Arial" w:hAnsi="Verdana"/>
          <w:b/>
          <w:bCs/>
          <w:lang w:val="es-ES" w:eastAsia="es-ES_tradnl"/>
        </w:rPr>
      </w:pPr>
      <w:r w:rsidRPr="0072077A">
        <w:rPr>
          <w:rFonts w:ascii="Verdana" w:eastAsia="Arial" w:hAnsi="Verdana"/>
          <w:b/>
          <w:bCs/>
          <w:lang w:val="es-ES" w:eastAsia="es-ES_tradnl"/>
        </w:rPr>
        <w:t xml:space="preserve">RÉGIMEN DE INHABILIDAD E INCOMPATIBILIDAD – Concepto  </w:t>
      </w:r>
    </w:p>
    <w:p w14:paraId="7F525A74" w14:textId="77777777" w:rsidR="0054605A" w:rsidRPr="0072077A" w:rsidRDefault="0054605A" w:rsidP="0054605A">
      <w:pPr>
        <w:spacing w:after="0"/>
        <w:jc w:val="both"/>
        <w:rPr>
          <w:rFonts w:ascii="Verdana" w:eastAsia="Arial" w:hAnsi="Verdana"/>
          <w:b/>
          <w:bCs/>
          <w:lang w:val="es-ES" w:eastAsia="es-ES_tradnl"/>
        </w:rPr>
      </w:pPr>
    </w:p>
    <w:p w14:paraId="15650788" w14:textId="77777777" w:rsidR="0054605A" w:rsidRPr="0072077A" w:rsidRDefault="0054605A" w:rsidP="0054605A">
      <w:pPr>
        <w:spacing w:after="0" w:line="240" w:lineRule="auto"/>
        <w:jc w:val="both"/>
        <w:rPr>
          <w:rFonts w:ascii="Verdana" w:eastAsia="Calibri" w:hAnsi="Verdana" w:cs="Arial"/>
          <w:color w:val="000000" w:themeColor="text1"/>
          <w:sz w:val="20"/>
          <w:szCs w:val="20"/>
          <w:lang w:val="es-ES"/>
        </w:rPr>
      </w:pPr>
      <w:r w:rsidRPr="0072077A">
        <w:rPr>
          <w:rFonts w:ascii="Verdana" w:eastAsia="Calibri" w:hAnsi="Verdana" w:cs="Arial"/>
          <w:color w:val="000000" w:themeColor="text1"/>
          <w:sz w:val="20"/>
          <w:szCs w:val="20"/>
          <w:lang w:val="es-ES"/>
        </w:rPr>
        <w:t>Las inhabilidades son prohibiciones para concurrir a los procedimientos de selección y para contratar con el Estado, que se derivan: i) de la existencia de comportamientos reprochables o de sanciones anteriormente impuestas, ii) de vínculos personales relativos al parentesco o al estado civil o iii) de una actividad u oficio que se desempeñó en el pasado.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En todo caso, a pesar de la existencia de distintos criterios para diferenciar las inhabilidades de las incompatibilidades, de la presencia de ellas se derivan las mismas consecuencias jurídicas, esto es, la limitación de la capacidad contractual. De manera que la presencia de ellas impide que se puedan celebrar contratos con el Estado o participar en procedimientos de selección de las entidades estatales, por lo que de cualquiera de ellas se derivan los mismos efectos jurídicos.</w:t>
      </w:r>
    </w:p>
    <w:p w14:paraId="5FDEBBC1" w14:textId="77777777" w:rsidR="0054605A" w:rsidRPr="0072077A" w:rsidRDefault="0054605A" w:rsidP="0054605A">
      <w:pPr>
        <w:spacing w:after="0"/>
        <w:jc w:val="both"/>
        <w:rPr>
          <w:rFonts w:ascii="Verdana" w:eastAsia="Arial" w:hAnsi="Verdana"/>
          <w:b/>
          <w:bCs/>
          <w:lang w:val="es-ES" w:eastAsia="es-ES_tradnl"/>
        </w:rPr>
      </w:pPr>
    </w:p>
    <w:p w14:paraId="7ED5C2A9" w14:textId="77777777" w:rsidR="0054605A" w:rsidRPr="0072077A" w:rsidRDefault="0054605A" w:rsidP="0054605A">
      <w:pPr>
        <w:spacing w:after="0" w:line="240" w:lineRule="auto"/>
        <w:jc w:val="both"/>
        <w:rPr>
          <w:rFonts w:ascii="Verdana" w:eastAsia="Calibri" w:hAnsi="Verdana" w:cs="Arial"/>
          <w:b/>
          <w:bCs/>
          <w:color w:val="000000" w:themeColor="text1"/>
          <w:lang w:val="es-ES_tradnl"/>
        </w:rPr>
      </w:pPr>
      <w:r w:rsidRPr="0072077A">
        <w:rPr>
          <w:rFonts w:ascii="Verdana" w:eastAsia="Calibri" w:hAnsi="Verdana" w:cs="Arial"/>
          <w:b/>
          <w:bCs/>
          <w:color w:val="000000" w:themeColor="text1"/>
          <w:lang w:val="es-ES_tradnl"/>
        </w:rPr>
        <w:t>INHABILIDADES E INCOMPATIBILIDADES ― Interpretación restrictiva</w:t>
      </w:r>
    </w:p>
    <w:p w14:paraId="6999CEA5" w14:textId="77777777" w:rsidR="0054605A" w:rsidRPr="0072077A" w:rsidRDefault="0054605A" w:rsidP="0054605A">
      <w:pPr>
        <w:spacing w:after="0" w:line="240" w:lineRule="auto"/>
        <w:jc w:val="both"/>
        <w:rPr>
          <w:rFonts w:ascii="Verdana" w:eastAsia="Calibri" w:hAnsi="Verdana" w:cs="Arial"/>
          <w:color w:val="000000" w:themeColor="text1"/>
          <w:lang w:val="es-ES_tradnl"/>
        </w:rPr>
      </w:pPr>
    </w:p>
    <w:p w14:paraId="4C997685" w14:textId="77777777" w:rsidR="0054605A" w:rsidRPr="0072077A" w:rsidRDefault="0054605A" w:rsidP="0054605A">
      <w:pPr>
        <w:spacing w:after="0" w:line="240" w:lineRule="auto"/>
        <w:jc w:val="both"/>
        <w:rPr>
          <w:rFonts w:ascii="Verdana" w:eastAsia="Calibri" w:hAnsi="Verdana" w:cs="Arial"/>
          <w:color w:val="000000" w:themeColor="text1"/>
          <w:sz w:val="20"/>
          <w:szCs w:val="20"/>
          <w:lang w:val="es-ES"/>
        </w:rPr>
      </w:pPr>
      <w:r w:rsidRPr="0072077A">
        <w:rPr>
          <w:rFonts w:ascii="Verdana" w:eastAsia="Calibri" w:hAnsi="Verdana" w:cs="Arial"/>
          <w:color w:val="000000" w:themeColor="text1"/>
          <w:sz w:val="20"/>
          <w:szCs w:val="20"/>
          <w:lang w:val="es-ES"/>
        </w:rPr>
        <w:t>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restrictiva. En efecto,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w:t>
      </w:r>
    </w:p>
    <w:p w14:paraId="36649958" w14:textId="77777777" w:rsidR="0054605A" w:rsidRPr="0072077A" w:rsidRDefault="0054605A" w:rsidP="0054605A">
      <w:pPr>
        <w:spacing w:after="0" w:line="240" w:lineRule="auto"/>
        <w:jc w:val="both"/>
        <w:rPr>
          <w:rFonts w:ascii="Verdana" w:eastAsia="Calibri" w:hAnsi="Verdana" w:cs="Arial"/>
          <w:color w:val="000000" w:themeColor="text1"/>
          <w:sz w:val="20"/>
          <w:szCs w:val="20"/>
          <w:lang w:val="es-ES"/>
        </w:rPr>
      </w:pPr>
      <w:r w:rsidRPr="0072077A">
        <w:rPr>
          <w:rFonts w:ascii="Verdana" w:eastAsia="Calibri" w:hAnsi="Verdana" w:cs="Arial"/>
          <w:color w:val="000000" w:themeColor="text1"/>
          <w:sz w:val="20"/>
          <w:szCs w:val="20"/>
          <w:lang w:val="es-ES"/>
        </w:rPr>
        <w:t>(…)</w:t>
      </w:r>
    </w:p>
    <w:p w14:paraId="4C5B9451" w14:textId="194C5F52" w:rsidR="0054605A" w:rsidRPr="0072077A" w:rsidRDefault="0054605A" w:rsidP="0054605A">
      <w:pPr>
        <w:spacing w:after="0" w:line="240" w:lineRule="auto"/>
        <w:jc w:val="both"/>
        <w:rPr>
          <w:rFonts w:ascii="Verdana" w:eastAsia="Calibri" w:hAnsi="Verdana" w:cs="Arial"/>
          <w:color w:val="000000" w:themeColor="text1"/>
          <w:sz w:val="20"/>
          <w:szCs w:val="20"/>
          <w:lang w:val="es-ES"/>
        </w:rPr>
      </w:pPr>
      <w:r w:rsidRPr="0072077A">
        <w:rPr>
          <w:rFonts w:ascii="Verdana" w:eastAsia="Calibri" w:hAnsi="Verdana" w:cs="Arial"/>
          <w:color w:val="000000" w:themeColor="text1"/>
          <w:sz w:val="20"/>
          <w:szCs w:val="20"/>
          <w:lang w:val="es-ES"/>
        </w:rPr>
        <w:t xml:space="preserve">Como se aprecia, el principio pro libertate es el que debe dirigir la interpretación de las disposiciones normativas que consagran restricciones de derechos, como sucede con las causales de inhabilidad e incompatibilidad en la contratación estatal. </w:t>
      </w:r>
    </w:p>
    <w:p w14:paraId="21F185BD" w14:textId="77777777" w:rsidR="0054605A" w:rsidRPr="0072077A" w:rsidRDefault="0054605A">
      <w:pPr>
        <w:rPr>
          <w:rFonts w:ascii="Verdana" w:eastAsia="Calibri" w:hAnsi="Verdana" w:cs="Arial"/>
          <w:color w:val="000000" w:themeColor="text1"/>
          <w:sz w:val="20"/>
          <w:szCs w:val="20"/>
          <w:lang w:val="es-ES"/>
        </w:rPr>
      </w:pPr>
      <w:r w:rsidRPr="0072077A">
        <w:rPr>
          <w:rFonts w:ascii="Verdana" w:eastAsia="Calibri" w:hAnsi="Verdana" w:cs="Arial"/>
          <w:color w:val="000000" w:themeColor="text1"/>
          <w:sz w:val="20"/>
          <w:szCs w:val="20"/>
          <w:lang w:val="es-ES"/>
        </w:rPr>
        <w:br w:type="page"/>
      </w:r>
    </w:p>
    <w:p w14:paraId="071059A9" w14:textId="77777777" w:rsidR="0054605A" w:rsidRPr="0072077A" w:rsidRDefault="0054605A" w:rsidP="0054605A">
      <w:pPr>
        <w:spacing w:after="0" w:line="240" w:lineRule="auto"/>
        <w:jc w:val="both"/>
        <w:rPr>
          <w:rFonts w:ascii="Verdana" w:eastAsia="Calibri" w:hAnsi="Verdana" w:cs="Arial"/>
          <w:color w:val="000000" w:themeColor="text1"/>
          <w:sz w:val="20"/>
          <w:szCs w:val="20"/>
          <w:lang w:val="es-ES"/>
        </w:rPr>
      </w:pPr>
    </w:p>
    <w:p w14:paraId="7D9661EB" w14:textId="77777777" w:rsidR="00FC59CF" w:rsidRPr="0072077A" w:rsidRDefault="00FC59CF" w:rsidP="00FC59CF">
      <w:pPr>
        <w:spacing w:after="0" w:line="240" w:lineRule="auto"/>
        <w:rPr>
          <w:rFonts w:ascii="Verdana" w:eastAsia="Geomanist Light" w:hAnsi="Verdana" w:cs="Arial"/>
          <w:color w:val="201F1E"/>
          <w:lang w:val="es-MX"/>
        </w:rPr>
      </w:pPr>
      <w:r w:rsidRPr="0072077A">
        <w:rPr>
          <w:rFonts w:ascii="Verdana" w:eastAsia="Geomanist Light" w:hAnsi="Verdana" w:cs="Arial"/>
          <w:color w:val="000000" w:themeColor="text1"/>
          <w:lang w:val="es-MX"/>
        </w:rPr>
        <w:t>Bogotá D.C., </w:t>
      </w:r>
      <w:r w:rsidRPr="0072077A">
        <w:rPr>
          <w:rFonts w:ascii="Verdana" w:eastAsia="Geomanist Light" w:hAnsi="Verdana" w:cs="Arial"/>
          <w:color w:val="201F1E"/>
          <w:lang w:val="es-MX"/>
        </w:rPr>
        <w:t>[Día] de [Mes.NombreCapitalizado] de [Año]</w:t>
      </w:r>
    </w:p>
    <w:p w14:paraId="3A656106" w14:textId="7996E05E" w:rsidR="004C0691" w:rsidRPr="0072077A" w:rsidRDefault="004C0691" w:rsidP="00722C90">
      <w:pPr>
        <w:spacing w:after="0" w:line="240" w:lineRule="auto"/>
        <w:jc w:val="right"/>
        <w:rPr>
          <w:rFonts w:ascii="Verdana" w:eastAsia="Calibri" w:hAnsi="Verdana" w:cs="Arial"/>
          <w:lang w:val="es-MX"/>
        </w:rPr>
      </w:pPr>
    </w:p>
    <w:p w14:paraId="6F76CC26" w14:textId="77777777" w:rsidR="0054605A" w:rsidRPr="0072077A" w:rsidRDefault="00D818FA" w:rsidP="0054605A">
      <w:pPr>
        <w:spacing w:after="0" w:line="240" w:lineRule="auto"/>
        <w:jc w:val="both"/>
        <w:rPr>
          <w:rFonts w:ascii="Verdana" w:eastAsia="Calibri" w:hAnsi="Verdana" w:cs="Arial"/>
          <w:lang w:val="es-ES" w:eastAsia="es-ES"/>
        </w:rPr>
      </w:pPr>
      <w:r w:rsidRPr="0072077A">
        <w:rPr>
          <w:rFonts w:ascii="Verdana" w:eastAsia="Calibri" w:hAnsi="Verdana" w:cs="Arial"/>
          <w:lang w:val="es-ES" w:eastAsia="es-ES"/>
        </w:rPr>
        <w:t>Señor</w:t>
      </w:r>
    </w:p>
    <w:p w14:paraId="20DE9A3D" w14:textId="67F18B10" w:rsidR="0054605A" w:rsidRPr="0072077A" w:rsidRDefault="0054605A" w:rsidP="0054605A">
      <w:pPr>
        <w:spacing w:after="0" w:line="240" w:lineRule="auto"/>
        <w:jc w:val="both"/>
        <w:rPr>
          <w:rFonts w:ascii="Verdana" w:eastAsia="Calibri" w:hAnsi="Verdana" w:cs="Arial"/>
          <w:lang w:val="es-ES" w:eastAsia="es-ES"/>
        </w:rPr>
      </w:pPr>
      <w:r w:rsidRPr="0072077A">
        <w:rPr>
          <w:rFonts w:ascii="Verdana" w:eastAsia="Calibri" w:hAnsi="Verdana" w:cs="Arial"/>
          <w:lang w:val="es-ES" w:eastAsia="es-ES"/>
        </w:rPr>
        <w:t xml:space="preserve">Henry Armando Velasco Aldana </w:t>
      </w:r>
    </w:p>
    <w:p w14:paraId="58A51A75" w14:textId="5FE9D2F1" w:rsidR="0054605A" w:rsidRPr="0072077A" w:rsidRDefault="0054605A" w:rsidP="004C0691">
      <w:pPr>
        <w:spacing w:after="0" w:line="240" w:lineRule="auto"/>
        <w:rPr>
          <w:rFonts w:ascii="Verdana" w:eastAsia="Calibri" w:hAnsi="Verdana" w:cs="Arial"/>
          <w:u w:val="single"/>
          <w:lang w:val="es-ES" w:eastAsia="es-ES"/>
        </w:rPr>
      </w:pPr>
      <w:r w:rsidRPr="0072077A">
        <w:rPr>
          <w:rFonts w:ascii="Verdana" w:eastAsia="Calibri" w:hAnsi="Verdana" w:cs="Arial"/>
          <w:u w:val="single"/>
          <w:lang w:val="es-ES" w:eastAsia="es-ES"/>
        </w:rPr>
        <w:t>hearveal@gmail.com</w:t>
      </w:r>
    </w:p>
    <w:p w14:paraId="1099821A" w14:textId="3870C0E6" w:rsidR="004C0691" w:rsidRPr="0072077A" w:rsidRDefault="004C0691" w:rsidP="004C0691">
      <w:pPr>
        <w:spacing w:after="0" w:line="240" w:lineRule="auto"/>
        <w:rPr>
          <w:rFonts w:ascii="Verdana" w:eastAsia="Calibri" w:hAnsi="Verdana" w:cs="Arial"/>
          <w:b/>
          <w:bCs/>
          <w:lang w:val="es-ES" w:eastAsia="es-ES"/>
        </w:rPr>
      </w:pPr>
      <w:r w:rsidRPr="0072077A">
        <w:rPr>
          <w:rFonts w:ascii="Verdana" w:eastAsia="Calibri" w:hAnsi="Verdana" w:cs="Arial"/>
          <w:lang w:val="es-ES" w:eastAsia="es-ES"/>
        </w:rPr>
        <w:t>Ciudad</w:t>
      </w:r>
    </w:p>
    <w:p w14:paraId="6C20DF48" w14:textId="77777777" w:rsidR="004C0691" w:rsidRDefault="004C0691" w:rsidP="004C0691">
      <w:pPr>
        <w:spacing w:after="0" w:line="240" w:lineRule="auto"/>
        <w:rPr>
          <w:rFonts w:ascii="Verdana" w:eastAsia="Calibri" w:hAnsi="Verdana" w:cs="Arial"/>
          <w:b/>
          <w:bCs/>
          <w:lang w:val="es-ES_tradnl" w:eastAsia="es-ES_tradnl"/>
        </w:rPr>
      </w:pPr>
    </w:p>
    <w:p w14:paraId="5E8C09A8" w14:textId="668A7840" w:rsidR="00915397" w:rsidRPr="0072077A" w:rsidRDefault="00915397" w:rsidP="00915397">
      <w:pPr>
        <w:spacing w:after="0" w:line="240" w:lineRule="auto"/>
        <w:jc w:val="right"/>
        <w:rPr>
          <w:rFonts w:ascii="Verdana" w:eastAsia="Calibri" w:hAnsi="Verdana" w:cs="Arial"/>
          <w:b/>
          <w:bCs/>
          <w:lang w:val="es-ES_tradnl" w:eastAsia="es-ES_tradnl"/>
        </w:rPr>
      </w:pPr>
      <w:r w:rsidRPr="00915397">
        <w:rPr>
          <w:rFonts w:ascii="Verdana" w:eastAsia="Calibri" w:hAnsi="Verdana" w:cs="Arial"/>
          <w:b/>
          <w:bCs/>
          <w:lang w:val="es-ES_tradnl" w:eastAsia="es-ES_tradnl"/>
        </w:rPr>
        <w:drawing>
          <wp:inline distT="0" distB="0" distL="0" distR="0" wp14:anchorId="693421BD" wp14:editId="0FFF3E7B">
            <wp:extent cx="3475021" cy="1066892"/>
            <wp:effectExtent l="0" t="0" r="0" b="0"/>
            <wp:docPr id="14199401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940142" name=""/>
                    <pic:cNvPicPr/>
                  </pic:nvPicPr>
                  <pic:blipFill>
                    <a:blip r:embed="rId10"/>
                    <a:stretch>
                      <a:fillRect/>
                    </a:stretch>
                  </pic:blipFill>
                  <pic:spPr>
                    <a:xfrm>
                      <a:off x="0" y="0"/>
                      <a:ext cx="3475021" cy="1066892"/>
                    </a:xfrm>
                    <a:prstGeom prst="rect">
                      <a:avLst/>
                    </a:prstGeom>
                  </pic:spPr>
                </pic:pic>
              </a:graphicData>
            </a:graphic>
          </wp:inline>
        </w:drawing>
      </w:r>
    </w:p>
    <w:p w14:paraId="4422C411" w14:textId="77777777" w:rsidR="004C0691" w:rsidRPr="0072077A" w:rsidRDefault="004C0691" w:rsidP="004C0691">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4C0691" w:rsidRPr="0072077A" w14:paraId="0841F942" w14:textId="77777777" w:rsidTr="002D7ACD">
        <w:trPr>
          <w:trHeight w:val="369"/>
        </w:trPr>
        <w:tc>
          <w:tcPr>
            <w:tcW w:w="2689" w:type="dxa"/>
          </w:tcPr>
          <w:p w14:paraId="04C8A436" w14:textId="77777777" w:rsidR="004C0691" w:rsidRPr="0072077A" w:rsidRDefault="004C0691" w:rsidP="002D7ACD">
            <w:pPr>
              <w:jc w:val="both"/>
              <w:rPr>
                <w:rFonts w:ascii="Verdana" w:eastAsia="Calibri" w:hAnsi="Verdana" w:cs="Arial"/>
                <w:b/>
                <w:bCs/>
                <w:lang w:val="es-ES_tradnl" w:eastAsia="es-ES_tradnl"/>
              </w:rPr>
            </w:pPr>
          </w:p>
        </w:tc>
        <w:tc>
          <w:tcPr>
            <w:tcW w:w="6100" w:type="dxa"/>
          </w:tcPr>
          <w:p w14:paraId="20504B8A" w14:textId="245B9DCD" w:rsidR="004C0691" w:rsidRPr="0072077A" w:rsidRDefault="004C0691" w:rsidP="002D7ACD">
            <w:pPr>
              <w:jc w:val="both"/>
              <w:rPr>
                <w:rFonts w:ascii="Verdana" w:eastAsia="Calibri" w:hAnsi="Verdana" w:cs="Arial"/>
                <w:b/>
                <w:bCs/>
                <w:lang w:val="es-ES" w:eastAsia="es-ES"/>
              </w:rPr>
            </w:pPr>
            <w:r w:rsidRPr="0072077A">
              <w:rPr>
                <w:rFonts w:ascii="Verdana" w:eastAsia="Calibri" w:hAnsi="Verdana" w:cs="Arial"/>
                <w:b/>
                <w:bCs/>
                <w:lang w:val="es-ES" w:eastAsia="es-ES"/>
              </w:rPr>
              <w:t xml:space="preserve">Concepto C- </w:t>
            </w:r>
            <w:r w:rsidR="00D818FA" w:rsidRPr="0072077A">
              <w:rPr>
                <w:rFonts w:ascii="Verdana" w:eastAsia="Calibri" w:hAnsi="Verdana" w:cs="Arial"/>
                <w:b/>
                <w:bCs/>
                <w:lang w:val="es-ES" w:eastAsia="es-ES"/>
              </w:rPr>
              <w:t>5</w:t>
            </w:r>
            <w:r w:rsidR="0054605A" w:rsidRPr="0072077A">
              <w:rPr>
                <w:rFonts w:ascii="Verdana" w:eastAsia="Calibri" w:hAnsi="Verdana" w:cs="Arial"/>
                <w:b/>
                <w:bCs/>
                <w:lang w:val="es-ES" w:eastAsia="es-ES"/>
              </w:rPr>
              <w:t>80</w:t>
            </w:r>
            <w:r w:rsidRPr="0072077A">
              <w:rPr>
                <w:rFonts w:ascii="Verdana" w:eastAsia="Calibri" w:hAnsi="Verdana" w:cs="Arial"/>
                <w:b/>
                <w:bCs/>
                <w:lang w:val="es-ES" w:eastAsia="es-ES"/>
              </w:rPr>
              <w:t xml:space="preserve"> de 2024</w:t>
            </w:r>
          </w:p>
          <w:p w14:paraId="436EAF25" w14:textId="77777777" w:rsidR="004C0691" w:rsidRPr="0072077A" w:rsidRDefault="004C0691" w:rsidP="002D7ACD">
            <w:pPr>
              <w:jc w:val="both"/>
              <w:rPr>
                <w:rFonts w:ascii="Verdana" w:eastAsia="Calibri" w:hAnsi="Verdana" w:cs="Arial"/>
                <w:b/>
                <w:bCs/>
                <w:lang w:val="es-ES" w:eastAsia="es-ES"/>
              </w:rPr>
            </w:pPr>
          </w:p>
        </w:tc>
      </w:tr>
      <w:tr w:rsidR="00D818FA" w:rsidRPr="0072077A" w14:paraId="2C3FE947" w14:textId="77777777" w:rsidTr="00D818FA">
        <w:trPr>
          <w:trHeight w:val="884"/>
        </w:trPr>
        <w:tc>
          <w:tcPr>
            <w:tcW w:w="2689" w:type="dxa"/>
            <w:shd w:val="clear" w:color="auto" w:fill="auto"/>
          </w:tcPr>
          <w:p w14:paraId="66041225" w14:textId="77777777" w:rsidR="00D818FA" w:rsidRPr="0072077A" w:rsidRDefault="00D818FA" w:rsidP="00D818FA">
            <w:pPr>
              <w:jc w:val="both"/>
              <w:rPr>
                <w:rFonts w:ascii="Verdana" w:eastAsia="Calibri" w:hAnsi="Verdana" w:cs="Arial"/>
                <w:lang w:val="es-ES_tradnl" w:eastAsia="es-ES_tradnl"/>
              </w:rPr>
            </w:pPr>
            <w:r w:rsidRPr="0072077A">
              <w:rPr>
                <w:rFonts w:ascii="Verdana" w:eastAsia="Calibri" w:hAnsi="Verdana" w:cs="Arial"/>
                <w:b/>
                <w:lang w:val="es-ES_tradnl" w:eastAsia="es-ES_tradnl"/>
              </w:rPr>
              <w:t>Temas:</w:t>
            </w:r>
            <w:r w:rsidRPr="0072077A">
              <w:rPr>
                <w:rFonts w:ascii="Verdana" w:eastAsia="Calibri" w:hAnsi="Verdana" w:cs="Arial"/>
                <w:lang w:val="es-ES_tradnl" w:eastAsia="es-ES_tradnl"/>
              </w:rPr>
              <w:t xml:space="preserve">                   </w:t>
            </w:r>
          </w:p>
        </w:tc>
        <w:tc>
          <w:tcPr>
            <w:tcW w:w="6100" w:type="dxa"/>
            <w:shd w:val="clear" w:color="auto" w:fill="auto"/>
          </w:tcPr>
          <w:p w14:paraId="5579FBB7" w14:textId="6CB6C38B" w:rsidR="00D818FA" w:rsidRPr="0072077A" w:rsidRDefault="0054605A" w:rsidP="00D818FA">
            <w:pPr>
              <w:spacing w:line="276" w:lineRule="auto"/>
              <w:jc w:val="both"/>
              <w:rPr>
                <w:rFonts w:ascii="Verdana" w:eastAsia="Calibri" w:hAnsi="Verdana" w:cs="Arial"/>
                <w:lang w:val="es-ES" w:eastAsia="es-ES"/>
              </w:rPr>
            </w:pPr>
            <w:r w:rsidRPr="0072077A">
              <w:rPr>
                <w:rFonts w:ascii="Verdana" w:eastAsia="Times New Roman" w:hAnsi="Verdana" w:cs="Arial"/>
                <w:lang w:val="es-ES_tradnl" w:eastAsia="es-ES_tradnl"/>
              </w:rPr>
              <w:t xml:space="preserve">CONTRATACIÓN ESTATAL – Capacidad – Validez contratos – Régimen de contratación – Limitación de la capacidad / RÉGIMEN DE INHABILIDAD E INCOMPATIBILIDAD – Concepto / INHABILIDADES E INCOMPATIBILIDADES ― Interpretación restrictiva / PROHIBICIÓN PARA CONTRATAR </w:t>
            </w:r>
            <w:r w:rsidR="00D818FA" w:rsidRPr="0072077A">
              <w:rPr>
                <w:rFonts w:ascii="Verdana" w:eastAsia="Calibri" w:hAnsi="Verdana" w:cs="Arial"/>
                <w:lang w:val="es-ES" w:eastAsia="es-ES"/>
              </w:rPr>
              <w:t xml:space="preserve">– </w:t>
            </w:r>
          </w:p>
          <w:p w14:paraId="37A767A5" w14:textId="77777777" w:rsidR="00D818FA" w:rsidRPr="0072077A" w:rsidRDefault="00D818FA" w:rsidP="00D818FA">
            <w:pPr>
              <w:jc w:val="both"/>
              <w:rPr>
                <w:rFonts w:ascii="Verdana" w:eastAsia="Calibri" w:hAnsi="Verdana" w:cs="Arial"/>
                <w:lang w:val="es-ES_tradnl" w:eastAsia="es-ES"/>
              </w:rPr>
            </w:pPr>
          </w:p>
        </w:tc>
      </w:tr>
      <w:tr w:rsidR="00D818FA" w:rsidRPr="0072077A" w14:paraId="5EC38B50" w14:textId="77777777" w:rsidTr="002D7ACD">
        <w:tc>
          <w:tcPr>
            <w:tcW w:w="2689" w:type="dxa"/>
          </w:tcPr>
          <w:p w14:paraId="2AE51572" w14:textId="77777777" w:rsidR="00D818FA" w:rsidRPr="0072077A" w:rsidRDefault="00D818FA" w:rsidP="00D818FA">
            <w:pPr>
              <w:jc w:val="both"/>
              <w:rPr>
                <w:rFonts w:ascii="Verdana" w:eastAsia="Calibri" w:hAnsi="Verdana" w:cs="Arial"/>
                <w:b/>
                <w:lang w:val="es-ES_tradnl" w:eastAsia="es-ES_tradnl"/>
              </w:rPr>
            </w:pPr>
            <w:r w:rsidRPr="0072077A">
              <w:rPr>
                <w:rFonts w:ascii="Verdana" w:eastAsia="Calibri" w:hAnsi="Verdana" w:cs="Arial"/>
                <w:b/>
                <w:lang w:val="es-ES_tradnl" w:eastAsia="es-ES_tradnl"/>
              </w:rPr>
              <w:t>Radicación:</w:t>
            </w:r>
            <w:r w:rsidRPr="0072077A">
              <w:rPr>
                <w:rFonts w:ascii="Verdana" w:eastAsia="Calibri" w:hAnsi="Verdana" w:cs="Arial"/>
                <w:lang w:val="es-ES_tradnl" w:eastAsia="es-ES_tradnl"/>
              </w:rPr>
              <w:t xml:space="preserve">               </w:t>
            </w:r>
          </w:p>
        </w:tc>
        <w:tc>
          <w:tcPr>
            <w:tcW w:w="6100" w:type="dxa"/>
          </w:tcPr>
          <w:p w14:paraId="31748949" w14:textId="76175E01" w:rsidR="00D818FA" w:rsidRPr="0072077A" w:rsidRDefault="00D818FA" w:rsidP="00D818FA">
            <w:pPr>
              <w:jc w:val="both"/>
              <w:rPr>
                <w:rFonts w:ascii="Verdana" w:eastAsia="Calibri" w:hAnsi="Verdana" w:cs="Arial"/>
                <w:lang w:val="es-ES_tradnl" w:eastAsia="es-ES_tradnl"/>
              </w:rPr>
            </w:pPr>
            <w:r w:rsidRPr="0072077A">
              <w:rPr>
                <w:rFonts w:ascii="Verdana" w:eastAsia="Calibri" w:hAnsi="Verdana" w:cs="Arial"/>
                <w:lang w:val="es-ES_tradnl" w:eastAsia="es-ES_tradnl"/>
              </w:rPr>
              <w:t xml:space="preserve">Respuesta a consulta con radicado No. </w:t>
            </w:r>
            <w:r w:rsidR="0054605A" w:rsidRPr="0072077A">
              <w:rPr>
                <w:rFonts w:ascii="Verdana" w:eastAsia="Calibri" w:hAnsi="Verdana" w:cs="Arial"/>
                <w:lang w:eastAsia="es-ES_tradnl"/>
              </w:rPr>
              <w:t>P20240910009204</w:t>
            </w:r>
          </w:p>
        </w:tc>
      </w:tr>
    </w:tbl>
    <w:p w14:paraId="0EC45515" w14:textId="77777777" w:rsidR="004C0691" w:rsidRPr="0072077A" w:rsidRDefault="004C0691" w:rsidP="004C0691">
      <w:pPr>
        <w:spacing w:after="0" w:line="276" w:lineRule="auto"/>
        <w:jc w:val="both"/>
        <w:rPr>
          <w:rFonts w:ascii="Verdana" w:eastAsia="Calibri" w:hAnsi="Verdana" w:cs="Arial"/>
          <w:lang w:val="es-ES_tradnl" w:eastAsia="es-ES_tradnl"/>
        </w:rPr>
      </w:pPr>
    </w:p>
    <w:p w14:paraId="1D00B204" w14:textId="77777777" w:rsidR="004C0691" w:rsidRPr="0072077A" w:rsidRDefault="004C0691" w:rsidP="004C0691">
      <w:pPr>
        <w:spacing w:after="0" w:line="276" w:lineRule="auto"/>
        <w:jc w:val="both"/>
        <w:rPr>
          <w:rFonts w:ascii="Verdana" w:eastAsia="Calibri" w:hAnsi="Verdana" w:cs="Arial"/>
          <w:lang w:val="es-ES_tradnl" w:eastAsia="es-ES_tradnl"/>
        </w:rPr>
      </w:pPr>
    </w:p>
    <w:p w14:paraId="3EB9FD73" w14:textId="36D69027" w:rsidR="004C0691" w:rsidRPr="0072077A" w:rsidRDefault="004C0691" w:rsidP="004C0691">
      <w:pPr>
        <w:spacing w:after="0" w:line="276" w:lineRule="auto"/>
        <w:jc w:val="both"/>
        <w:rPr>
          <w:rFonts w:ascii="Verdana" w:eastAsia="Calibri" w:hAnsi="Verdana" w:cs="Arial"/>
          <w:lang w:val="es-ES" w:eastAsia="es-ES"/>
        </w:rPr>
      </w:pPr>
      <w:r w:rsidRPr="0072077A">
        <w:rPr>
          <w:rFonts w:ascii="Verdana" w:eastAsia="Calibri" w:hAnsi="Verdana" w:cs="Arial"/>
          <w:lang w:val="es-ES" w:eastAsia="es-ES"/>
        </w:rPr>
        <w:t>Estimad</w:t>
      </w:r>
      <w:r w:rsidR="0054605A" w:rsidRPr="0072077A">
        <w:rPr>
          <w:rFonts w:ascii="Verdana" w:eastAsia="Calibri" w:hAnsi="Verdana" w:cs="Arial"/>
          <w:lang w:val="es-ES" w:eastAsia="es-ES"/>
        </w:rPr>
        <w:t>o</w:t>
      </w:r>
      <w:r w:rsidRPr="0072077A">
        <w:rPr>
          <w:rFonts w:ascii="Verdana" w:eastAsia="Calibri" w:hAnsi="Verdana" w:cs="Arial"/>
          <w:lang w:val="es-ES" w:eastAsia="es-ES"/>
        </w:rPr>
        <w:t xml:space="preserve"> señor</w:t>
      </w:r>
      <w:r w:rsidR="00D818FA" w:rsidRPr="0072077A">
        <w:rPr>
          <w:rFonts w:ascii="Verdana" w:eastAsia="Calibri" w:hAnsi="Verdana" w:cs="Arial"/>
          <w:lang w:val="es-ES" w:eastAsia="es-ES"/>
        </w:rPr>
        <w:t xml:space="preserve"> </w:t>
      </w:r>
      <w:r w:rsidR="0054605A" w:rsidRPr="0072077A">
        <w:rPr>
          <w:rFonts w:ascii="Verdana" w:eastAsia="Calibri" w:hAnsi="Verdana" w:cs="Arial"/>
          <w:lang w:val="es-ES" w:eastAsia="es-ES"/>
        </w:rPr>
        <w:t>Velasco</w:t>
      </w:r>
      <w:r w:rsidRPr="0072077A">
        <w:rPr>
          <w:rFonts w:ascii="Verdana" w:eastAsia="Calibri" w:hAnsi="Verdana" w:cs="Arial"/>
          <w:lang w:val="es-ES" w:eastAsia="es-ES"/>
        </w:rPr>
        <w:t xml:space="preserve">: </w:t>
      </w:r>
    </w:p>
    <w:p w14:paraId="003CEEE3" w14:textId="77777777" w:rsidR="004C0691" w:rsidRPr="0072077A" w:rsidRDefault="004C0691" w:rsidP="004C0691">
      <w:pPr>
        <w:tabs>
          <w:tab w:val="left" w:pos="3768"/>
        </w:tabs>
        <w:spacing w:after="0" w:line="276" w:lineRule="auto"/>
        <w:jc w:val="both"/>
        <w:rPr>
          <w:rFonts w:ascii="Verdana" w:eastAsia="Calibri" w:hAnsi="Verdana" w:cs="Arial"/>
          <w:lang w:val="es-ES" w:eastAsia="es-ES"/>
        </w:rPr>
      </w:pPr>
      <w:r w:rsidRPr="0072077A">
        <w:rPr>
          <w:rFonts w:ascii="Verdana" w:eastAsia="Calibri" w:hAnsi="Verdana" w:cs="Arial"/>
          <w:lang w:val="es-ES" w:eastAsia="es-ES"/>
        </w:rPr>
        <w:tab/>
      </w:r>
    </w:p>
    <w:p w14:paraId="3CA5203B" w14:textId="3E96EB18" w:rsidR="004C0691" w:rsidRPr="0072077A" w:rsidRDefault="004C0691" w:rsidP="004C0691">
      <w:pPr>
        <w:spacing w:after="0" w:line="276" w:lineRule="auto"/>
        <w:jc w:val="both"/>
        <w:rPr>
          <w:rFonts w:ascii="Verdana" w:eastAsia="Calibri" w:hAnsi="Verdana" w:cs="Arial"/>
          <w:lang w:val="es-ES" w:eastAsia="es-ES"/>
        </w:rPr>
      </w:pPr>
      <w:r w:rsidRPr="0072077A">
        <w:rPr>
          <w:rFonts w:ascii="Verdana" w:eastAsia="Calibri" w:hAnsi="Verdana" w:cs="Arial"/>
          <w:lang w:val="es-ES" w:eastAsia="es-ES"/>
        </w:rPr>
        <w:t>En ejercicio de la competencia otorgada por los artículos 3, numeral 5º, y 11, numeral 8º, del Decreto Ley 4170 de 2011,</w:t>
      </w:r>
      <w:r w:rsidRPr="0072077A">
        <w:rPr>
          <w:rFonts w:ascii="Verdana" w:eastAsia="Arial MT" w:hAnsi="Verdana" w:cs="Arial MT"/>
          <w:lang w:val="es-ES" w:eastAsia="es-ES"/>
        </w:rPr>
        <w:t xml:space="preserve"> </w:t>
      </w:r>
      <w:r w:rsidRPr="0072077A">
        <w:rPr>
          <w:rFonts w:ascii="Verdana" w:hAnsi="Verdana" w:cs="Arial"/>
        </w:rPr>
        <w:t xml:space="preserve">así como lo establecido en el artículo 4 de la Resolución 1707 de 2018 expedida por esta Entidad, </w:t>
      </w:r>
      <w:r w:rsidRPr="0072077A">
        <w:rPr>
          <w:rFonts w:ascii="Verdana" w:eastAsia="Calibri" w:hAnsi="Verdana" w:cs="Arial"/>
          <w:lang w:val="es-ES" w:eastAsia="es-ES"/>
        </w:rPr>
        <w:t xml:space="preserve">la Agencia Nacional de Contratación Pública – Colombia Compra Eficiente – responde su solicitud de consulta, </w:t>
      </w:r>
      <w:r w:rsidR="00677BC5" w:rsidRPr="0072077A">
        <w:rPr>
          <w:rFonts w:ascii="Verdana" w:eastAsia="Calibri" w:hAnsi="Verdana" w:cs="Arial"/>
          <w:lang w:val="es-ES" w:eastAsia="es-ES"/>
        </w:rPr>
        <w:t>d</w:t>
      </w:r>
      <w:r w:rsidRPr="0072077A">
        <w:rPr>
          <w:rFonts w:ascii="Verdana" w:eastAsia="Calibri" w:hAnsi="Verdana" w:cs="Arial"/>
          <w:lang w:val="es-ES" w:eastAsia="es-ES"/>
        </w:rPr>
        <w:t xml:space="preserve">el </w:t>
      </w:r>
      <w:r w:rsidR="0054605A" w:rsidRPr="0072077A">
        <w:rPr>
          <w:rFonts w:ascii="Verdana" w:eastAsia="Calibri" w:hAnsi="Verdana" w:cs="Arial"/>
          <w:lang w:val="es-ES" w:eastAsia="es-ES"/>
        </w:rPr>
        <w:t>1</w:t>
      </w:r>
      <w:r w:rsidR="00D91E01">
        <w:rPr>
          <w:rFonts w:ascii="Verdana" w:eastAsia="Calibri" w:hAnsi="Verdana" w:cs="Arial"/>
          <w:lang w:val="es-ES" w:eastAsia="es-ES"/>
        </w:rPr>
        <w:t>0</w:t>
      </w:r>
      <w:r w:rsidR="00677BC5" w:rsidRPr="0072077A">
        <w:rPr>
          <w:rFonts w:ascii="Verdana" w:eastAsia="Calibri" w:hAnsi="Verdana" w:cs="Arial"/>
          <w:lang w:val="es-ES" w:eastAsia="es-ES"/>
        </w:rPr>
        <w:t xml:space="preserve"> de </w:t>
      </w:r>
      <w:r w:rsidR="00D91E01">
        <w:rPr>
          <w:rFonts w:ascii="Verdana" w:eastAsia="Calibri" w:hAnsi="Verdana" w:cs="Arial"/>
          <w:lang w:val="es-ES" w:eastAsia="es-ES"/>
        </w:rPr>
        <w:t>septiembre</w:t>
      </w:r>
      <w:r w:rsidR="00D818FA" w:rsidRPr="0072077A">
        <w:rPr>
          <w:rFonts w:ascii="Verdana" w:eastAsia="Calibri" w:hAnsi="Verdana" w:cs="Arial"/>
          <w:lang w:val="es-ES" w:eastAsia="es-ES"/>
        </w:rPr>
        <w:t xml:space="preserve"> </w:t>
      </w:r>
      <w:r w:rsidRPr="0072077A">
        <w:rPr>
          <w:rFonts w:ascii="Verdana" w:eastAsia="Calibri" w:hAnsi="Verdana" w:cs="Arial"/>
          <w:lang w:val="es-ES" w:eastAsia="es-ES"/>
        </w:rPr>
        <w:t xml:space="preserve">de 2024, en la cual manifiesta lo siguiente: </w:t>
      </w:r>
    </w:p>
    <w:p w14:paraId="583A34EA" w14:textId="77777777" w:rsidR="00D818FA" w:rsidRPr="0072077A" w:rsidRDefault="00D818FA" w:rsidP="00D818FA">
      <w:pPr>
        <w:spacing w:after="0" w:line="240" w:lineRule="auto"/>
        <w:ind w:left="709" w:right="709"/>
        <w:jc w:val="both"/>
        <w:rPr>
          <w:rFonts w:ascii="Verdana" w:eastAsia="Century Gothic" w:hAnsi="Verdana" w:cs="Century Gothic"/>
          <w:sz w:val="20"/>
          <w:szCs w:val="20"/>
          <w:lang w:val="es-ES"/>
        </w:rPr>
      </w:pPr>
      <w:bookmarkStart w:id="1" w:name="_Hlk95313578"/>
    </w:p>
    <w:p w14:paraId="3B65E0D1" w14:textId="481E3C30" w:rsidR="00D818FA" w:rsidRPr="0072077A" w:rsidRDefault="00D818FA" w:rsidP="00D818FA">
      <w:pPr>
        <w:spacing w:after="0" w:line="240" w:lineRule="auto"/>
        <w:ind w:left="709" w:right="709"/>
        <w:jc w:val="both"/>
        <w:rPr>
          <w:rFonts w:ascii="Verdana" w:eastAsia="Century Gothic" w:hAnsi="Verdana" w:cs="Century Gothic"/>
          <w:sz w:val="20"/>
          <w:szCs w:val="20"/>
          <w:lang w:val="es-ES"/>
        </w:rPr>
      </w:pPr>
      <w:r w:rsidRPr="0072077A">
        <w:rPr>
          <w:rFonts w:ascii="Verdana" w:eastAsia="Century Gothic" w:hAnsi="Verdana" w:cs="Century Gothic"/>
          <w:sz w:val="20"/>
          <w:szCs w:val="20"/>
          <w:lang w:val="es-ES"/>
        </w:rPr>
        <w:t>“</w:t>
      </w:r>
      <w:r w:rsidR="0054605A" w:rsidRPr="0072077A">
        <w:rPr>
          <w:rFonts w:ascii="Verdana" w:eastAsia="Century Gothic" w:hAnsi="Verdana" w:cs="Century Gothic"/>
          <w:sz w:val="20"/>
          <w:szCs w:val="20"/>
          <w:lang w:val="es-ES"/>
        </w:rPr>
        <w:t xml:space="preserve">deseo saber o que me den un concepto de que una persona que ha sido condenada y cumplido sentencia en cárcel o una persona que ah estado en la cárcel y esta libre por cumplimento de términos en espera de resolución de su situación jurídica puede ser contratista del estado o en su defecto tener una OPS con una alcaldía </w:t>
      </w:r>
      <w:r w:rsidRPr="0072077A">
        <w:rPr>
          <w:rStyle w:val="normaltextrun"/>
          <w:rFonts w:ascii="Verdana" w:hAnsi="Verdana" w:cs="Arial"/>
          <w:sz w:val="20"/>
          <w:szCs w:val="20"/>
          <w:shd w:val="clear" w:color="auto" w:fill="FFFFFF"/>
          <w:lang w:val="es-ES"/>
        </w:rPr>
        <w:t xml:space="preserve"> […]</w:t>
      </w:r>
      <w:r w:rsidRPr="0072077A">
        <w:rPr>
          <w:rFonts w:ascii="Verdana" w:eastAsia="Century Gothic" w:hAnsi="Verdana" w:cs="Century Gothic"/>
          <w:sz w:val="20"/>
          <w:szCs w:val="20"/>
          <w:lang w:val="es-ES"/>
        </w:rPr>
        <w:t>”</w:t>
      </w:r>
      <w:bookmarkEnd w:id="1"/>
      <w:r w:rsidRPr="0072077A">
        <w:rPr>
          <w:rFonts w:ascii="Verdana" w:eastAsia="Century Gothic" w:hAnsi="Verdana" w:cs="Century Gothic"/>
          <w:sz w:val="20"/>
          <w:szCs w:val="20"/>
          <w:lang w:val="es-ES"/>
        </w:rPr>
        <w:t>.</w:t>
      </w:r>
    </w:p>
    <w:p w14:paraId="2CA3CE86" w14:textId="77777777" w:rsidR="00677BC5" w:rsidRPr="0072077A" w:rsidRDefault="00677BC5" w:rsidP="00677BC5">
      <w:pPr>
        <w:pStyle w:val="Prrafodelista"/>
        <w:tabs>
          <w:tab w:val="left" w:pos="142"/>
          <w:tab w:val="left" w:pos="284"/>
        </w:tabs>
        <w:spacing w:after="0" w:line="276" w:lineRule="auto"/>
        <w:jc w:val="both"/>
        <w:rPr>
          <w:rFonts w:ascii="Verdana" w:eastAsia="Century Gothic" w:hAnsi="Verdana" w:cs="Century Gothic"/>
          <w:b/>
          <w:bCs/>
        </w:rPr>
      </w:pPr>
    </w:p>
    <w:p w14:paraId="7DA69962" w14:textId="77777777" w:rsidR="00B2670E" w:rsidRPr="0072077A" w:rsidRDefault="004C0691" w:rsidP="00BC3155">
      <w:pPr>
        <w:spacing w:after="120" w:line="276" w:lineRule="auto"/>
        <w:jc w:val="both"/>
        <w:rPr>
          <w:rFonts w:ascii="Verdana" w:eastAsia="Calibri" w:hAnsi="Verdana" w:cs="Arial"/>
          <w:lang w:val="es-ES_tradnl" w:eastAsia="es-ES_tradnl"/>
        </w:rPr>
      </w:pPr>
      <w:r w:rsidRPr="0072077A">
        <w:rPr>
          <w:rFonts w:ascii="Verdana" w:eastAsia="Calibri" w:hAnsi="Verdana" w:cs="Arial"/>
          <w:lang w:val="es-ES" w:eastAsia="es-E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72077A">
        <w:rPr>
          <w:rFonts w:ascii="Verdana" w:eastAsia="Calibri" w:hAnsi="Verdana" w:cs="Arial"/>
          <w:lang w:val="es-ES_tradnl" w:eastAsia="es-ES_tradnl"/>
        </w:rPr>
        <w:tab/>
      </w:r>
    </w:p>
    <w:p w14:paraId="5BA75627" w14:textId="77777777" w:rsidR="004C0691" w:rsidRPr="0072077A" w:rsidRDefault="004C0691" w:rsidP="00B2670E">
      <w:pPr>
        <w:spacing w:after="0" w:line="276" w:lineRule="auto"/>
        <w:ind w:firstLine="708"/>
        <w:jc w:val="both"/>
        <w:rPr>
          <w:rFonts w:ascii="Verdana" w:eastAsia="Calibri" w:hAnsi="Verdana" w:cs="Arial"/>
          <w:lang w:val="es-ES_tradnl" w:eastAsia="es-ES_tradnl"/>
        </w:rPr>
      </w:pPr>
      <w:r w:rsidRPr="0072077A">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3DA0EB83" w14:textId="77777777" w:rsidR="004C0691" w:rsidRPr="0072077A" w:rsidRDefault="004C0691" w:rsidP="004C0691">
      <w:pPr>
        <w:spacing w:after="0" w:line="276" w:lineRule="auto"/>
        <w:ind w:firstLine="709"/>
        <w:jc w:val="both"/>
        <w:rPr>
          <w:rFonts w:ascii="Verdana" w:eastAsia="Calibri" w:hAnsi="Verdana" w:cs="Arial"/>
          <w:lang w:val="es-ES" w:eastAsia="es-ES"/>
        </w:rPr>
      </w:pPr>
    </w:p>
    <w:p w14:paraId="6177D628" w14:textId="77777777" w:rsidR="004C0691" w:rsidRPr="0072077A" w:rsidRDefault="004C0691" w:rsidP="004C069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72077A">
        <w:rPr>
          <w:rFonts w:ascii="Verdana" w:eastAsia="Century Gothic" w:hAnsi="Verdana" w:cs="Century Gothic"/>
          <w:b/>
          <w:bCs/>
        </w:rPr>
        <w:t>Problema planteado:</w:t>
      </w:r>
    </w:p>
    <w:p w14:paraId="4D5FA701" w14:textId="77777777" w:rsidR="004C0691" w:rsidRPr="0072077A" w:rsidRDefault="004C0691" w:rsidP="004C0691">
      <w:pPr>
        <w:tabs>
          <w:tab w:val="left" w:pos="426"/>
        </w:tabs>
        <w:spacing w:after="0" w:line="276" w:lineRule="auto"/>
        <w:jc w:val="both"/>
        <w:rPr>
          <w:rFonts w:ascii="Verdana" w:eastAsia="Century Gothic" w:hAnsi="Verdana" w:cs="Century Gothic"/>
          <w:lang w:val="es-ES"/>
        </w:rPr>
      </w:pPr>
    </w:p>
    <w:p w14:paraId="6996AF79" w14:textId="5B4AA7E5" w:rsidR="004C0691" w:rsidRPr="0072077A" w:rsidRDefault="004C0691" w:rsidP="004C0691">
      <w:pPr>
        <w:spacing w:after="0" w:line="276" w:lineRule="auto"/>
        <w:jc w:val="both"/>
        <w:rPr>
          <w:rFonts w:ascii="Verdana" w:hAnsi="Verdana" w:cs="Arial"/>
          <w:shd w:val="clear" w:color="auto" w:fill="FFFFFF"/>
        </w:rPr>
      </w:pPr>
      <w:r w:rsidRPr="0072077A">
        <w:rPr>
          <w:rFonts w:ascii="Verdana" w:eastAsia="Century Gothic" w:hAnsi="Verdana" w:cs="Century Gothic"/>
        </w:rPr>
        <w:t xml:space="preserve">De acuerdo con el contenido de su solicitud, esta Agencia resolverá los siguientes problemas jurídicos: </w:t>
      </w:r>
      <w:r w:rsidR="0054605A" w:rsidRPr="0072077A">
        <w:rPr>
          <w:rFonts w:ascii="Verdana" w:hAnsi="Verdana"/>
          <w:lang w:val="es-ES"/>
        </w:rPr>
        <w:t>¿Existe inhabilidad o incompatibilidad para celebrar un contrato</w:t>
      </w:r>
      <w:r w:rsidR="0072077A">
        <w:rPr>
          <w:rFonts w:ascii="Verdana" w:hAnsi="Verdana"/>
          <w:lang w:val="es-ES"/>
        </w:rPr>
        <w:t xml:space="preserve"> de prestación de servicios u otro</w:t>
      </w:r>
      <w:r w:rsidR="00E52AFD" w:rsidRPr="0072077A">
        <w:rPr>
          <w:rFonts w:ascii="Verdana" w:hAnsi="Verdana"/>
          <w:lang w:val="es-ES"/>
        </w:rPr>
        <w:t xml:space="preserve"> con personas condenadas o con antecedentes penales</w:t>
      </w:r>
      <w:r w:rsidR="0054605A" w:rsidRPr="0072077A">
        <w:rPr>
          <w:rFonts w:ascii="Verdana" w:hAnsi="Verdana"/>
          <w:lang w:val="es-ES"/>
        </w:rPr>
        <w:t>?</w:t>
      </w:r>
    </w:p>
    <w:p w14:paraId="54D69431" w14:textId="77777777" w:rsidR="004C0691" w:rsidRPr="0072077A" w:rsidRDefault="004C0691" w:rsidP="004C0691">
      <w:pPr>
        <w:spacing w:after="0" w:line="276" w:lineRule="auto"/>
        <w:jc w:val="both"/>
        <w:rPr>
          <w:rFonts w:ascii="Verdana" w:eastAsia="Calibri" w:hAnsi="Verdana" w:cs="Arial"/>
        </w:rPr>
      </w:pPr>
    </w:p>
    <w:p w14:paraId="46FFF078" w14:textId="77777777" w:rsidR="004C0691" w:rsidRPr="0072077A" w:rsidRDefault="004C0691" w:rsidP="004C069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72077A">
        <w:rPr>
          <w:rFonts w:ascii="Verdana" w:eastAsia="Century Gothic" w:hAnsi="Verdana" w:cs="Century Gothic"/>
          <w:b/>
          <w:bCs/>
        </w:rPr>
        <w:t>Respuesta:</w:t>
      </w:r>
    </w:p>
    <w:p w14:paraId="63B90F2C" w14:textId="77777777" w:rsidR="004C0691" w:rsidRPr="0072077A" w:rsidRDefault="004C0691" w:rsidP="004C0691">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4C0691" w:rsidRPr="0072077A" w14:paraId="54D39579" w14:textId="77777777" w:rsidTr="002D7ACD">
        <w:tc>
          <w:tcPr>
            <w:tcW w:w="8828" w:type="dxa"/>
            <w:shd w:val="clear" w:color="auto" w:fill="auto"/>
          </w:tcPr>
          <w:p w14:paraId="659A61F9" w14:textId="77777777" w:rsidR="0054605A" w:rsidRPr="0072077A" w:rsidRDefault="0054605A" w:rsidP="0054605A">
            <w:pPr>
              <w:spacing w:line="276" w:lineRule="auto"/>
              <w:jc w:val="both"/>
              <w:rPr>
                <w:rFonts w:ascii="Verdana" w:eastAsia="Calibri" w:hAnsi="Verdana" w:cs="Arial"/>
                <w:color w:val="000000" w:themeColor="text1"/>
                <w:lang w:val="es-ES_tradnl"/>
              </w:rPr>
            </w:pPr>
            <w:r w:rsidRPr="0072077A">
              <w:rPr>
                <w:rFonts w:ascii="Verdana" w:eastAsia="Calibri" w:hAnsi="Verdana" w:cs="Arial"/>
                <w:color w:val="000000" w:themeColor="text1"/>
                <w:lang w:val="es-ES_tradnl"/>
              </w:rPr>
              <w:t xml:space="preserve">Como se aprecia, el principio </w:t>
            </w:r>
            <w:r w:rsidRPr="0072077A">
              <w:rPr>
                <w:rFonts w:ascii="Verdana" w:eastAsia="Calibri" w:hAnsi="Verdana" w:cs="Arial"/>
                <w:i/>
                <w:iCs/>
                <w:color w:val="000000" w:themeColor="text1"/>
                <w:lang w:val="es-ES_tradnl"/>
              </w:rPr>
              <w:t>pro libertate</w:t>
            </w:r>
            <w:r w:rsidRPr="0072077A">
              <w:rPr>
                <w:rFonts w:ascii="Verdana" w:eastAsia="Calibri" w:hAnsi="Verdana" w:cs="Arial"/>
                <w:color w:val="000000" w:themeColor="text1"/>
                <w:lang w:val="es-ES_tradnl"/>
              </w:rPr>
              <w:t xml:space="preserve"> es el que debe dirigir la interpretación de las disposiciones normativas que consagran restricciones de derechos, como sucede con las causales de inhabilidad e incompatibilidad en la contratación estatal. En ese sentido, las disposiciones que integran el régimen de inhabilidades e incompatibilidades exigen una interpretación que garantice el referido principio, lo que significa una aplicación sintonizada con lo expresamente señalado en la norma.</w:t>
            </w:r>
          </w:p>
          <w:p w14:paraId="61AB24FC" w14:textId="77777777" w:rsidR="0054605A" w:rsidRPr="0072077A" w:rsidRDefault="0054605A" w:rsidP="0054605A">
            <w:pPr>
              <w:spacing w:line="276" w:lineRule="auto"/>
              <w:jc w:val="both"/>
              <w:rPr>
                <w:rFonts w:ascii="Verdana" w:eastAsia="Calibri" w:hAnsi="Verdana" w:cs="Arial"/>
                <w:color w:val="000000" w:themeColor="text1"/>
                <w:lang w:val="es-ES_tradnl"/>
              </w:rPr>
            </w:pPr>
          </w:p>
          <w:p w14:paraId="6EAD8BC9" w14:textId="77777777" w:rsidR="0054605A" w:rsidRPr="0072077A" w:rsidRDefault="0054605A" w:rsidP="0054605A">
            <w:pPr>
              <w:spacing w:line="276" w:lineRule="auto"/>
              <w:jc w:val="both"/>
              <w:rPr>
                <w:rFonts w:ascii="Verdana" w:eastAsia="Calibri" w:hAnsi="Verdana" w:cs="Arial"/>
                <w:color w:val="000000" w:themeColor="text1"/>
                <w:lang w:val="es-ES_tradnl"/>
              </w:rPr>
            </w:pPr>
            <w:r w:rsidRPr="0072077A">
              <w:rPr>
                <w:rFonts w:ascii="Verdana" w:eastAsia="Calibri" w:hAnsi="Verdana" w:cs="Arial"/>
                <w:color w:val="000000" w:themeColor="text1"/>
                <w:lang w:val="es-ES_tradnl"/>
              </w:rPr>
              <w:t xml:space="preserve">Conforme a lo anterior, respecto a la cuestión especifica objeto de consulta es preciso advertir que, los antecedentes penales de una persona podrían </w:t>
            </w:r>
            <w:r w:rsidRPr="0072077A">
              <w:rPr>
                <w:rFonts w:ascii="Verdana" w:eastAsia="Calibri" w:hAnsi="Verdana" w:cs="Arial"/>
                <w:color w:val="000000" w:themeColor="text1"/>
                <w:lang w:val="es-ES_tradnl"/>
              </w:rPr>
              <w:lastRenderedPageBreak/>
              <w:t>condicionar la posibilidad de que suscriba contratos estatales, teniendo en cuenta que existen inhabilidades que contemplan supuestos de hecho alusivos a eventuales condenas en materia penal, como es el caso de los literales d) y j) de del numeral 1 del artículo 8 de la Ley 80 de 1993</w:t>
            </w:r>
            <w:r w:rsidRPr="0072077A">
              <w:rPr>
                <w:rStyle w:val="Refdenotaalpie"/>
                <w:rFonts w:ascii="Verdana" w:eastAsia="Calibri" w:hAnsi="Verdana" w:cs="Arial"/>
                <w:color w:val="000000" w:themeColor="text1"/>
                <w:lang w:val="es-ES_tradnl"/>
              </w:rPr>
              <w:footnoteReference w:id="2"/>
            </w:r>
            <w:r w:rsidRPr="0072077A">
              <w:rPr>
                <w:rFonts w:ascii="Verdana" w:eastAsia="Calibri" w:hAnsi="Verdana" w:cs="Arial"/>
                <w:color w:val="000000" w:themeColor="text1"/>
                <w:lang w:val="es-ES_tradnl"/>
              </w:rPr>
              <w:t xml:space="preserve">. Es por esto por lo que, es relevante analizar de cara a la suscripción de contratos los antecedentes penales del virtual contratista, comoquiera que estos podrían condicionar la capacidad jurídica.   </w:t>
            </w:r>
          </w:p>
          <w:p w14:paraId="655B2DA7" w14:textId="77777777" w:rsidR="0054605A" w:rsidRPr="0072077A" w:rsidRDefault="0054605A" w:rsidP="0054605A">
            <w:pPr>
              <w:spacing w:line="276" w:lineRule="auto"/>
              <w:jc w:val="both"/>
              <w:rPr>
                <w:rFonts w:ascii="Verdana" w:eastAsia="Calibri" w:hAnsi="Verdana" w:cs="Arial"/>
                <w:color w:val="000000" w:themeColor="text1"/>
                <w:lang w:val="es-ES_tradnl"/>
              </w:rPr>
            </w:pPr>
          </w:p>
          <w:p w14:paraId="12D8814D" w14:textId="77777777" w:rsidR="0054605A" w:rsidRPr="0072077A" w:rsidRDefault="0054605A" w:rsidP="0054605A">
            <w:pPr>
              <w:spacing w:line="276" w:lineRule="auto"/>
              <w:jc w:val="both"/>
              <w:rPr>
                <w:rFonts w:ascii="Verdana" w:hAnsi="Verdana" w:cs="Arial"/>
                <w:color w:val="000000"/>
                <w:shd w:val="clear" w:color="auto" w:fill="FFFFFF"/>
              </w:rPr>
            </w:pPr>
            <w:r w:rsidRPr="0072077A">
              <w:rPr>
                <w:rFonts w:ascii="Verdana" w:hAnsi="Verdana" w:cs="Arial"/>
                <w:color w:val="000000" w:themeColor="text1"/>
              </w:rPr>
              <w:t>Con todo,</w:t>
            </w:r>
            <w:r w:rsidRPr="0072077A">
              <w:rPr>
                <w:rFonts w:ascii="Verdana" w:hAnsi="Verdana" w:cs="Arial"/>
                <w:color w:val="000000"/>
                <w:shd w:val="clear" w:color="auto" w:fill="FFFFFF"/>
              </w:rPr>
              <w:t xml:space="preserve"> es preciso advertir que, es necesario detenerse a revisar el alcance particular de las condenas respectivas, para establecer si se configura o no alguna de inhabilidad y/o incompatibilidad que impida celebrar contratos con la persona en cuestión. Al tratarse esto de un análisis que se debe realizar en cada caso específico, la Subdirección de Gestión Contractual no puede definir un criterio universal y absoluto para los casos que se subsuman dentro de la hipótesis objeto de consulta, </w:t>
            </w:r>
            <w:r w:rsidRPr="0072077A">
              <w:rPr>
                <w:rFonts w:ascii="Verdana" w:hAnsi="Verdana" w:cs="Arial"/>
                <w:color w:val="000000" w:themeColor="text1"/>
              </w:rPr>
              <w:t xml:space="preserve">sino que debe brindar las consideraciones jurídicas pertinentes sobre el alcance del marco normativo relevante, para que los partícipes del sistema de compras y contratación pública adopten la decisión que corresponda en el marco de la autonomía que les asiste. </w:t>
            </w:r>
            <w:r w:rsidRPr="0072077A">
              <w:rPr>
                <w:rFonts w:ascii="Verdana" w:hAnsi="Verdana" w:cs="Arial"/>
                <w:color w:val="000000"/>
                <w:shd w:val="clear" w:color="auto" w:fill="FFFFFF"/>
              </w:rPr>
              <w:t>Por lo anterior, previo concepto de sus órganos asesores, la solución de casos particulares corresponde a la entidad de adoptar la decisión correspondiente y, en caso de conflicto, a las autoridades judiciales, fiscales y disciplinarias.</w:t>
            </w:r>
          </w:p>
          <w:p w14:paraId="071F3F7F" w14:textId="117F8EEA" w:rsidR="00D818FA" w:rsidRPr="0072077A" w:rsidRDefault="00D818FA" w:rsidP="00D818FA">
            <w:pPr>
              <w:spacing w:line="276" w:lineRule="auto"/>
              <w:jc w:val="both"/>
              <w:rPr>
                <w:rFonts w:ascii="Verdana" w:eastAsia="Calibri" w:hAnsi="Verdana" w:cs="Arial"/>
                <w:color w:val="000000" w:themeColor="text1"/>
              </w:rPr>
            </w:pPr>
          </w:p>
        </w:tc>
      </w:tr>
    </w:tbl>
    <w:p w14:paraId="541A257A" w14:textId="77777777" w:rsidR="004C0691" w:rsidRPr="0072077A" w:rsidRDefault="004C0691" w:rsidP="004C0691">
      <w:pPr>
        <w:tabs>
          <w:tab w:val="left" w:pos="142"/>
          <w:tab w:val="left" w:pos="284"/>
        </w:tabs>
        <w:spacing w:after="0" w:line="276" w:lineRule="auto"/>
        <w:jc w:val="both"/>
        <w:rPr>
          <w:rFonts w:ascii="Verdana" w:eastAsia="Century Gothic" w:hAnsi="Verdana" w:cs="Century Gothic"/>
          <w:b/>
          <w:bCs/>
        </w:rPr>
      </w:pPr>
    </w:p>
    <w:p w14:paraId="0A1CA4C5" w14:textId="77777777" w:rsidR="004C0691" w:rsidRPr="0072077A" w:rsidRDefault="004C0691" w:rsidP="004C069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72077A">
        <w:rPr>
          <w:rFonts w:ascii="Verdana" w:eastAsia="Century Gothic" w:hAnsi="Verdana" w:cs="Century Gothic"/>
          <w:b/>
          <w:bCs/>
        </w:rPr>
        <w:t>Razones de la respuesta:</w:t>
      </w:r>
    </w:p>
    <w:p w14:paraId="07E9DF2E" w14:textId="77777777" w:rsidR="004C0691" w:rsidRPr="0072077A" w:rsidRDefault="004C0691" w:rsidP="004C0691">
      <w:pPr>
        <w:spacing w:after="0" w:line="276" w:lineRule="auto"/>
        <w:jc w:val="both"/>
        <w:rPr>
          <w:rFonts w:ascii="Verdana" w:eastAsia="Calibri" w:hAnsi="Verdana" w:cs="Arial"/>
          <w:color w:val="7030A0"/>
          <w:lang w:val="es-ES"/>
        </w:rPr>
      </w:pPr>
    </w:p>
    <w:p w14:paraId="3223915F" w14:textId="77777777" w:rsidR="004C0691" w:rsidRPr="0072077A" w:rsidRDefault="004C0691" w:rsidP="004C0691">
      <w:pPr>
        <w:spacing w:after="0" w:line="276" w:lineRule="auto"/>
        <w:jc w:val="both"/>
        <w:rPr>
          <w:rFonts w:ascii="Verdana" w:eastAsia="Calibri" w:hAnsi="Verdana" w:cs="Arial"/>
          <w:lang w:val="es-ES"/>
        </w:rPr>
      </w:pPr>
      <w:r w:rsidRPr="0072077A">
        <w:rPr>
          <w:rFonts w:ascii="Verdana" w:eastAsia="Calibri" w:hAnsi="Verdana" w:cs="Arial"/>
          <w:lang w:val="es-ES"/>
        </w:rPr>
        <w:t xml:space="preserve">Lo anterior se sustenta en las siguientes consideraciones: </w:t>
      </w:r>
    </w:p>
    <w:p w14:paraId="5C8F0C68" w14:textId="77777777" w:rsidR="004C0691" w:rsidRPr="0072077A" w:rsidRDefault="004C0691" w:rsidP="004C0691">
      <w:pPr>
        <w:widowControl w:val="0"/>
        <w:autoSpaceDE w:val="0"/>
        <w:autoSpaceDN w:val="0"/>
        <w:spacing w:after="0" w:line="276" w:lineRule="auto"/>
        <w:jc w:val="both"/>
        <w:rPr>
          <w:rFonts w:ascii="Verdana" w:eastAsia="Calibri" w:hAnsi="Verdana" w:cs="Arial"/>
          <w:lang w:val="es-ES"/>
        </w:rPr>
      </w:pPr>
    </w:p>
    <w:p w14:paraId="5DE2846C" w14:textId="77777777" w:rsidR="00E52AFD" w:rsidRPr="0072077A" w:rsidRDefault="00E52AFD" w:rsidP="00E52AFD">
      <w:pPr>
        <w:pStyle w:val="Prrafodelista"/>
        <w:numPr>
          <w:ilvl w:val="0"/>
          <w:numId w:val="27"/>
        </w:numPr>
        <w:spacing w:after="120" w:line="276" w:lineRule="auto"/>
        <w:jc w:val="both"/>
        <w:rPr>
          <w:rFonts w:ascii="Verdana" w:hAnsi="Verdana"/>
          <w:color w:val="000000"/>
          <w:shd w:val="clear" w:color="auto" w:fill="FFFFFF"/>
        </w:rPr>
      </w:pPr>
      <w:r w:rsidRPr="0072077A">
        <w:rPr>
          <w:rFonts w:ascii="Verdana" w:hAnsi="Verdana" w:cs="Arial"/>
          <w:bCs/>
          <w:lang w:eastAsia="es-MX"/>
        </w:rPr>
        <w:t>Es de resaltar que la norma transcrita distingue entre los contratos de prestación de servicios profesionales y los contratos de prestación de servicios de apoyo a la gestión, tal y como se explicará. Los primeros, a la luz de la jurisprudencia unificada de la Sección Tercera del Consejo de Estado</w:t>
      </w:r>
      <w:r w:rsidRPr="0072077A">
        <w:rPr>
          <w:rStyle w:val="Refdenotaalpie"/>
          <w:rFonts w:ascii="Verdana" w:hAnsi="Verdana" w:cs="Arial"/>
          <w:sz w:val="18"/>
          <w:szCs w:val="18"/>
        </w:rPr>
        <w:footnoteReference w:id="3"/>
      </w:r>
      <w:r w:rsidRPr="0072077A">
        <w:rPr>
          <w:rFonts w:ascii="Verdana" w:hAnsi="Verdana" w:cs="Arial"/>
          <w:bCs/>
          <w:lang w:eastAsia="es-MX"/>
        </w:rPr>
        <w:t xml:space="preserve">, se denominan contratos propiamente dichos de prestación de servicios profesionales, y son </w:t>
      </w:r>
      <w:r w:rsidRPr="0072077A">
        <w:rPr>
          <w:rFonts w:ascii="Verdana" w:hAnsi="Verdana" w:cs="Arial"/>
          <w:bCs/>
          <w:i/>
          <w:iCs/>
          <w:lang w:eastAsia="es-MX"/>
        </w:rPr>
        <w:t>“todos aquellos cuyo objeto esté determinado materialmente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al igual que a desarrollar estas mismas actividades en aras de proporcionar, aportar, apuntalar, reforzar la gestión administrativa o su funcionamiento con conocimientos especializados, siempre y cuando dichos objetos estén encomendados a personas catalogadas de acuerdo con el ordenamiento jurídico como profesionales</w:t>
      </w:r>
      <w:r w:rsidRPr="0072077A">
        <w:rPr>
          <w:rFonts w:ascii="Verdana" w:hAnsi="Verdana" w:cs="Arial"/>
          <w:bCs/>
          <w:lang w:eastAsia="es-MX"/>
        </w:rPr>
        <w:t>”. Este tipo de contrato, entonces, se caracteriza porque su objeto guarda relación con el desarrollo de actividades que demandan competencias y habilidades profesionales o especializadas de la persona natural o jurídica a contratar, de manera “</w:t>
      </w:r>
      <w:r w:rsidRPr="0072077A">
        <w:rPr>
          <w:rFonts w:ascii="Verdana" w:hAnsi="Verdana" w:cs="Arial"/>
          <w:bCs/>
          <w:i/>
          <w:iCs/>
          <w:lang w:eastAsia="es-MX"/>
        </w:rPr>
        <w:t>que se trata de un saber intelectivo cualificad”.</w:t>
      </w:r>
      <w:r w:rsidRPr="0072077A">
        <w:rPr>
          <w:rFonts w:ascii="Verdana" w:hAnsi="Verdana" w:cs="Arial"/>
          <w:bCs/>
          <w:lang w:eastAsia="es-MX"/>
        </w:rPr>
        <w:t xml:space="preserve"> </w:t>
      </w:r>
    </w:p>
    <w:p w14:paraId="0A626AAF" w14:textId="77777777" w:rsidR="00E52AFD" w:rsidRPr="0072077A" w:rsidRDefault="00E52AFD" w:rsidP="00E52AFD">
      <w:pPr>
        <w:pStyle w:val="Prrafodelista"/>
        <w:numPr>
          <w:ilvl w:val="0"/>
          <w:numId w:val="27"/>
        </w:numPr>
        <w:spacing w:after="120" w:line="276" w:lineRule="auto"/>
        <w:jc w:val="both"/>
        <w:rPr>
          <w:rFonts w:ascii="Verdana" w:hAnsi="Verdana"/>
          <w:color w:val="000000"/>
          <w:shd w:val="clear" w:color="auto" w:fill="FFFFFF"/>
        </w:rPr>
      </w:pPr>
      <w:r w:rsidRPr="0072077A">
        <w:rPr>
          <w:rFonts w:ascii="Verdana" w:hAnsi="Verdana" w:cs="Arial"/>
          <w:bCs/>
          <w:lang w:eastAsia="es-MX"/>
        </w:rPr>
        <w:t>Los segundos, son denominados contratos de prestación de servicios de simple apoyo a la gestión</w:t>
      </w:r>
      <w:r w:rsidRPr="0072077A">
        <w:rPr>
          <w:rStyle w:val="Refdenotaalpie"/>
          <w:rFonts w:ascii="Verdana" w:hAnsi="Verdana" w:cs="Arial"/>
          <w:sz w:val="18"/>
          <w:szCs w:val="18"/>
        </w:rPr>
        <w:footnoteReference w:id="4"/>
      </w:r>
      <w:r w:rsidRPr="0072077A">
        <w:rPr>
          <w:rFonts w:ascii="Verdana" w:hAnsi="Verdana" w:cs="Arial"/>
          <w:bCs/>
          <w:lang w:eastAsia="es-MX"/>
        </w:rPr>
        <w:t>. Estos, según lo que establece el artículo 2.2.1.2.1.4.9. del Decreto 1082 de 2015, corresponden a “</w:t>
      </w:r>
      <w:r w:rsidRPr="0072077A">
        <w:rPr>
          <w:rFonts w:ascii="Verdana" w:hAnsi="Verdana" w:cs="Arial"/>
          <w:bCs/>
          <w:i/>
          <w:iCs/>
          <w:lang w:eastAsia="es-MX"/>
        </w:rPr>
        <w:t>aquellos de naturaleza intelectual diferentes a los de consultoría que se derivan del cumplimiento de las funciones de la Entidad Estatal, así como los relacionados con actividades operativas, logísticas, o asistenciales</w:t>
      </w:r>
      <w:r w:rsidRPr="0072077A">
        <w:rPr>
          <w:rFonts w:ascii="Verdana" w:hAnsi="Verdana" w:cs="Arial"/>
          <w:bCs/>
          <w:lang w:eastAsia="es-MX"/>
        </w:rPr>
        <w:t xml:space="preserve">”. Son servicios de apoyo a la gestión todos aquellos servicios que involucren actividades requeridas para la Entidad Estatal y que impliquen el desempeño de un esfuerzo o actividad de apoyo, acompañamiento o soporte, que puede ser de carácter técnico, operacional, o logístico, y que tiendan a satisfacer las necesidades relacionadas con la gestión </w:t>
      </w:r>
      <w:r w:rsidRPr="0072077A">
        <w:rPr>
          <w:rFonts w:ascii="Verdana" w:hAnsi="Verdana" w:cs="Arial"/>
          <w:bCs/>
          <w:lang w:eastAsia="es-MX"/>
        </w:rPr>
        <w:lastRenderedPageBreak/>
        <w:t xml:space="preserve">administrativa o funcionamiento de entidad. La ejecución de esos contratos, entonces, no implica conocimientos profesionales. </w:t>
      </w:r>
    </w:p>
    <w:p w14:paraId="40B88573" w14:textId="6B432800" w:rsidR="00E52AFD" w:rsidRPr="0072077A" w:rsidRDefault="00E52AFD" w:rsidP="00E52AFD">
      <w:pPr>
        <w:pStyle w:val="Prrafodelista"/>
        <w:numPr>
          <w:ilvl w:val="0"/>
          <w:numId w:val="27"/>
        </w:numPr>
        <w:spacing w:after="120" w:line="276" w:lineRule="auto"/>
        <w:jc w:val="both"/>
        <w:rPr>
          <w:rFonts w:ascii="Verdana" w:hAnsi="Verdana"/>
          <w:color w:val="000000"/>
          <w:shd w:val="clear" w:color="auto" w:fill="FFFFFF"/>
        </w:rPr>
      </w:pPr>
      <w:r w:rsidRPr="0072077A">
        <w:rPr>
          <w:rFonts w:ascii="Verdana" w:hAnsi="Verdana" w:cs="Arial"/>
          <w:bCs/>
          <w:lang w:eastAsia="es-MX"/>
        </w:rPr>
        <w:t>A partir de disposiciones de rango legal y reglamentario que complementan su regulación y de los pronunciamientos judiciales</w:t>
      </w:r>
      <w:r w:rsidRPr="0072077A">
        <w:rPr>
          <w:rStyle w:val="Refdenotaalpie"/>
          <w:rFonts w:ascii="Verdana" w:hAnsi="Verdana" w:cs="Arial"/>
          <w:sz w:val="18"/>
          <w:szCs w:val="18"/>
        </w:rPr>
        <w:footnoteReference w:id="5"/>
      </w:r>
      <w:r w:rsidRPr="0072077A">
        <w:rPr>
          <w:rFonts w:ascii="Verdana" w:hAnsi="Verdana" w:cs="Arial"/>
          <w:bCs/>
          <w:lang w:eastAsia="es-MX"/>
        </w:rPr>
        <w:t xml:space="preserve"> más destacados, es posible resaltar las siguientes características de este contrato:</w:t>
      </w:r>
    </w:p>
    <w:p w14:paraId="01E47083" w14:textId="77777777" w:rsidR="00E52AFD" w:rsidRPr="00D651E9" w:rsidRDefault="00E52AFD" w:rsidP="00E52AFD">
      <w:pPr>
        <w:spacing w:after="120" w:line="240" w:lineRule="auto"/>
        <w:ind w:left="709" w:right="709"/>
        <w:jc w:val="both"/>
        <w:rPr>
          <w:rFonts w:ascii="Verdana" w:hAnsi="Verdana" w:cs="Arial"/>
          <w:sz w:val="20"/>
          <w:szCs w:val="20"/>
          <w:lang w:eastAsia="es-MX"/>
        </w:rPr>
      </w:pPr>
      <w:r w:rsidRPr="00D651E9">
        <w:rPr>
          <w:rFonts w:ascii="Verdana" w:hAnsi="Verdana" w:cs="Arial"/>
          <w:sz w:val="20"/>
          <w:szCs w:val="20"/>
          <w:lang w:eastAsia="es-MX"/>
        </w:rPr>
        <w:t xml:space="preserve">“i) Pueden ser celebrados por cualquier entidad estatal que tenga capacidad para contratar, en los términos del artículo 2, numeral 1º, de la Ley 80 de 1993; </w:t>
      </w:r>
    </w:p>
    <w:p w14:paraId="33BCFC00" w14:textId="77777777" w:rsidR="00E52AFD" w:rsidRPr="00D651E9" w:rsidRDefault="00E52AFD" w:rsidP="00E52AFD">
      <w:pPr>
        <w:spacing w:after="120" w:line="240" w:lineRule="auto"/>
        <w:ind w:left="709" w:right="709"/>
        <w:jc w:val="both"/>
        <w:rPr>
          <w:rFonts w:ascii="Verdana" w:hAnsi="Verdana" w:cs="Arial"/>
          <w:sz w:val="20"/>
          <w:szCs w:val="20"/>
          <w:lang w:eastAsia="es-MX"/>
        </w:rPr>
      </w:pPr>
      <w:r w:rsidRPr="00D651E9">
        <w:rPr>
          <w:rFonts w:ascii="Verdana" w:hAnsi="Verdana" w:cs="Arial"/>
          <w:sz w:val="20"/>
          <w:szCs w:val="20"/>
          <w:lang w:eastAsia="es-MX"/>
        </w:rPr>
        <w:t xml:space="preserve">ii) Se pueden celebrar con personas naturales o con personas jurídicas. Con aquellas para desarrollar actividades relacionadas con la administración o el funcionamiento de la entidad, siempre que estas no puedan realizarse con personal de planta o requieran conocimientos especializados. Con las personas jurídicas, por disposición del artículo 2, numeral 4º, literal h, de la Ley 1150 de 2007 y del artículo 2.2.1.2.1.4.9. del Decreto 1082 de 2015. Esta última norma establece que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w:t>
      </w:r>
    </w:p>
    <w:p w14:paraId="741C5E7F" w14:textId="77777777" w:rsidR="00E52AFD" w:rsidRPr="00D651E9" w:rsidRDefault="00E52AFD" w:rsidP="00E52AFD">
      <w:pPr>
        <w:spacing w:after="120" w:line="240" w:lineRule="auto"/>
        <w:ind w:left="709" w:right="709"/>
        <w:jc w:val="both"/>
        <w:rPr>
          <w:rFonts w:ascii="Verdana" w:hAnsi="Verdana" w:cs="Arial"/>
          <w:sz w:val="20"/>
          <w:szCs w:val="20"/>
          <w:lang w:eastAsia="es-MX"/>
        </w:rPr>
      </w:pPr>
      <w:r w:rsidRPr="00D651E9">
        <w:rPr>
          <w:rFonts w:ascii="Verdana" w:hAnsi="Verdana" w:cs="Arial"/>
          <w:sz w:val="20"/>
          <w:szCs w:val="20"/>
          <w:lang w:eastAsia="es-MX"/>
        </w:rPr>
        <w:t>iii) Tienen por objeto desarrollar actividades relacionadas con la atención de los negocios o el cumplimiento de las funciones a cargo de la entidad contratante, siempre que tales actividades o funciones no puedan cumplirse con el personal de planta, bien por ser insuficiente o bien porque se requieran conocimientos especializados;</w:t>
      </w:r>
    </w:p>
    <w:p w14:paraId="7F621E73" w14:textId="77777777" w:rsidR="00E52AFD" w:rsidRPr="00D651E9" w:rsidRDefault="00E52AFD" w:rsidP="00E52AFD">
      <w:pPr>
        <w:spacing w:after="120" w:line="240" w:lineRule="auto"/>
        <w:ind w:left="709" w:right="709"/>
        <w:jc w:val="both"/>
        <w:rPr>
          <w:rFonts w:ascii="Verdana" w:hAnsi="Verdana" w:cs="Arial"/>
          <w:sz w:val="20"/>
          <w:szCs w:val="20"/>
          <w:lang w:eastAsia="es-MX"/>
        </w:rPr>
      </w:pPr>
      <w:r w:rsidRPr="00D651E9">
        <w:rPr>
          <w:rFonts w:ascii="Verdana" w:hAnsi="Verdana" w:cs="Arial"/>
          <w:sz w:val="20"/>
          <w:szCs w:val="20"/>
          <w:lang w:eastAsia="es-MX"/>
        </w:rPr>
        <w:t>iv) La relación entre la entidad contratante y el contratista no es de carácter laboral; Si bien se celebran para obtener la prestación personal de un servicio, se diferencian del contrato de trabajo</w:t>
      </w:r>
      <w:r w:rsidRPr="00D651E9">
        <w:rPr>
          <w:rStyle w:val="Refdenotaalpie"/>
          <w:rFonts w:ascii="Verdana" w:hAnsi="Verdana" w:cs="Arial"/>
          <w:sz w:val="20"/>
          <w:szCs w:val="20"/>
        </w:rPr>
        <w:footnoteReference w:id="6"/>
      </w:r>
      <w:r w:rsidRPr="00D651E9">
        <w:rPr>
          <w:rStyle w:val="Refdenotaalpie"/>
          <w:rFonts w:ascii="Verdana" w:hAnsi="Verdana" w:cs="Arial"/>
          <w:sz w:val="20"/>
          <w:szCs w:val="20"/>
        </w:rPr>
        <w:t xml:space="preserve"> </w:t>
      </w:r>
      <w:r w:rsidRPr="00D651E9">
        <w:rPr>
          <w:rFonts w:ascii="Verdana" w:hAnsi="Verdana" w:cs="Arial"/>
          <w:sz w:val="20"/>
          <w:szCs w:val="20"/>
          <w:lang w:eastAsia="es-MX"/>
        </w:rPr>
        <w:t>en que quien celebra el contrato de prestación de servicios debe mantener autonomía e independencia en la ejecución de la labor, lo que significa que no debe existir subordinación ni dependencia, que es uno de los elementos constitutivos del vínculo laboral.</w:t>
      </w:r>
    </w:p>
    <w:p w14:paraId="72372CC4" w14:textId="77777777" w:rsidR="00E52AFD" w:rsidRPr="00D651E9" w:rsidRDefault="00E52AFD" w:rsidP="00E52AFD">
      <w:pPr>
        <w:spacing w:after="120" w:line="240" w:lineRule="auto"/>
        <w:ind w:left="709" w:right="709"/>
        <w:jc w:val="both"/>
        <w:rPr>
          <w:rFonts w:ascii="Verdana" w:hAnsi="Verdana" w:cs="Arial"/>
          <w:sz w:val="20"/>
          <w:szCs w:val="20"/>
          <w:lang w:eastAsia="es-MX"/>
        </w:rPr>
      </w:pPr>
      <w:r w:rsidRPr="00D651E9">
        <w:rPr>
          <w:rFonts w:ascii="Verdana" w:hAnsi="Verdana" w:cs="Arial"/>
          <w:sz w:val="20"/>
          <w:szCs w:val="20"/>
          <w:lang w:eastAsia="es-MX"/>
        </w:rPr>
        <w:t xml:space="preserve">v) Deben ser temporales, no pueden pactarse por término indefinido, esto es, deben suscribirse por el plazo estrictamente necesario e indispensable, </w:t>
      </w:r>
      <w:r w:rsidRPr="00D651E9">
        <w:rPr>
          <w:rFonts w:ascii="Verdana" w:hAnsi="Verdana" w:cs="Arial"/>
          <w:sz w:val="20"/>
          <w:szCs w:val="20"/>
          <w:lang w:eastAsia="es-MX"/>
        </w:rPr>
        <w:lastRenderedPageBreak/>
        <w:t>tal y como lo dispone el artículo 32, numeral 3º, inciso 2º, de la Ley 80 de 1993.</w:t>
      </w:r>
    </w:p>
    <w:p w14:paraId="49BD594F" w14:textId="77777777" w:rsidR="00E52AFD" w:rsidRPr="00D651E9" w:rsidRDefault="00E52AFD" w:rsidP="00E52AFD">
      <w:pPr>
        <w:spacing w:after="120" w:line="240" w:lineRule="auto"/>
        <w:ind w:left="709" w:right="709"/>
        <w:jc w:val="both"/>
        <w:rPr>
          <w:rFonts w:ascii="Verdana" w:hAnsi="Verdana" w:cs="Arial"/>
          <w:sz w:val="20"/>
          <w:szCs w:val="20"/>
          <w:lang w:eastAsia="es-MX"/>
        </w:rPr>
      </w:pPr>
      <w:r w:rsidRPr="00D651E9">
        <w:rPr>
          <w:rFonts w:ascii="Verdana" w:hAnsi="Verdana" w:cs="Arial"/>
          <w:sz w:val="20"/>
          <w:szCs w:val="20"/>
          <w:lang w:eastAsia="es-MX"/>
        </w:rPr>
        <w:t xml:space="preserve">vi) Se rigen por las disposiciones civiles y comerciales que disciplinan el tipo negocial utilizado por la administración y las especiales previstas en dicho estatuto público contractual, según lo que se deriva de los artículos 13, 32 y 40 de la Ley 80 de 1993; </w:t>
      </w:r>
    </w:p>
    <w:p w14:paraId="0017FA27" w14:textId="77777777" w:rsidR="00E52AFD" w:rsidRPr="00D651E9" w:rsidRDefault="00E52AFD" w:rsidP="00E52AFD">
      <w:pPr>
        <w:spacing w:after="120" w:line="240" w:lineRule="auto"/>
        <w:ind w:left="709" w:right="709"/>
        <w:jc w:val="both"/>
        <w:rPr>
          <w:rFonts w:ascii="Verdana" w:hAnsi="Verdana" w:cs="Arial"/>
          <w:sz w:val="20"/>
          <w:szCs w:val="20"/>
          <w:lang w:eastAsia="es-MX"/>
        </w:rPr>
      </w:pPr>
      <w:r w:rsidRPr="00D651E9">
        <w:rPr>
          <w:rFonts w:ascii="Verdana" w:hAnsi="Verdana" w:cs="Arial"/>
          <w:sz w:val="20"/>
          <w:szCs w:val="20"/>
          <w:lang w:eastAsia="es-MX"/>
        </w:rPr>
        <w:t xml:space="preserve">vii) En estos contratos es potestativa la inclusión de cláusulas excepcionales al derecho común de terminación, interpretación y modificación unilaterales, de sometimiento a las leyes nacionales y de caducidad. </w:t>
      </w:r>
    </w:p>
    <w:p w14:paraId="32E46477" w14:textId="77777777" w:rsidR="00E52AFD" w:rsidRPr="00D651E9" w:rsidRDefault="00E52AFD" w:rsidP="00E52AFD">
      <w:pPr>
        <w:spacing w:after="120" w:line="240" w:lineRule="auto"/>
        <w:ind w:left="709" w:right="709"/>
        <w:jc w:val="both"/>
        <w:rPr>
          <w:rFonts w:ascii="Verdana" w:hAnsi="Verdana" w:cs="Arial"/>
          <w:sz w:val="20"/>
          <w:szCs w:val="20"/>
          <w:lang w:eastAsia="es-MX"/>
        </w:rPr>
      </w:pPr>
      <w:r w:rsidRPr="00D651E9">
        <w:rPr>
          <w:rFonts w:ascii="Verdana" w:hAnsi="Verdana" w:cs="Arial"/>
          <w:sz w:val="20"/>
          <w:szCs w:val="20"/>
          <w:lang w:eastAsia="es-MX"/>
        </w:rPr>
        <w:t>ix) Se celebran a través de la modalidad de contratación directa, independientemente de la cuantía y del tipo de servicio profesional, siempre que su objeto no sea la consultoría, pues, como lo indicó el Consejo de Estado</w:t>
      </w:r>
      <w:r w:rsidRPr="00D651E9">
        <w:rPr>
          <w:rStyle w:val="Refdenotaalpie"/>
          <w:rFonts w:ascii="Verdana" w:hAnsi="Verdana" w:cs="Arial"/>
          <w:sz w:val="20"/>
          <w:szCs w:val="20"/>
        </w:rPr>
        <w:footnoteReference w:id="7"/>
      </w:r>
      <w:r w:rsidRPr="00D651E9">
        <w:rPr>
          <w:rFonts w:ascii="Verdana" w:hAnsi="Verdana" w:cs="Arial"/>
          <w:sz w:val="20"/>
          <w:szCs w:val="20"/>
          <w:lang w:eastAsia="es-MX"/>
        </w:rPr>
        <w:t>, si bien en ambos existe un componente intelectual y profesional, el objeto del contrato de consultoría es especial y debe celebrarse, por regla general, mediante un concurso de méritos</w:t>
      </w:r>
      <w:r w:rsidRPr="00D651E9">
        <w:rPr>
          <w:rStyle w:val="Refdenotaalpie"/>
          <w:rFonts w:ascii="Verdana" w:hAnsi="Verdana" w:cs="Arial"/>
          <w:sz w:val="20"/>
          <w:szCs w:val="20"/>
        </w:rPr>
        <w:footnoteReference w:id="8"/>
      </w:r>
      <w:r w:rsidRPr="00D651E9">
        <w:rPr>
          <w:rFonts w:ascii="Verdana" w:hAnsi="Verdana" w:cs="Arial"/>
          <w:sz w:val="20"/>
          <w:szCs w:val="20"/>
          <w:lang w:eastAsia="es-MX"/>
        </w:rPr>
        <w:t xml:space="preserve">. </w:t>
      </w:r>
    </w:p>
    <w:p w14:paraId="7EEEE8D8" w14:textId="77777777" w:rsidR="00E52AFD" w:rsidRPr="00D651E9" w:rsidRDefault="00E52AFD" w:rsidP="00E52AFD">
      <w:pPr>
        <w:spacing w:after="120" w:line="240" w:lineRule="auto"/>
        <w:ind w:left="709" w:right="709"/>
        <w:jc w:val="both"/>
        <w:rPr>
          <w:rFonts w:ascii="Verdana" w:hAnsi="Verdana" w:cs="Arial"/>
          <w:sz w:val="20"/>
          <w:szCs w:val="20"/>
          <w:lang w:eastAsia="es-MX"/>
        </w:rPr>
      </w:pPr>
      <w:r w:rsidRPr="00D651E9">
        <w:rPr>
          <w:rFonts w:ascii="Verdana" w:hAnsi="Verdana" w:cs="Arial"/>
          <w:sz w:val="20"/>
          <w:szCs w:val="20"/>
          <w:lang w:eastAsia="es-MX"/>
        </w:rPr>
        <w:t>x) Para celebrarlos no se requiere estar inscrito en el Registro Único de Proponentes –RUP–, como lo expresa el artículo 6 de la Ley 1150 de 2007</w:t>
      </w:r>
      <w:r w:rsidRPr="00D651E9">
        <w:rPr>
          <w:rStyle w:val="Refdenotaalpie"/>
          <w:rFonts w:ascii="Verdana" w:hAnsi="Verdana" w:cs="Arial"/>
          <w:sz w:val="20"/>
          <w:szCs w:val="20"/>
        </w:rPr>
        <w:footnoteReference w:id="9"/>
      </w:r>
      <w:r w:rsidRPr="00D651E9">
        <w:rPr>
          <w:rStyle w:val="Refdenotaalpie"/>
          <w:rFonts w:ascii="Verdana" w:hAnsi="Verdana" w:cs="Arial"/>
          <w:sz w:val="20"/>
          <w:szCs w:val="20"/>
        </w:rPr>
        <w:t>.</w:t>
      </w:r>
    </w:p>
    <w:p w14:paraId="2E67961D" w14:textId="77777777" w:rsidR="00E52AFD" w:rsidRPr="00D651E9" w:rsidRDefault="00E52AFD" w:rsidP="00E52AFD">
      <w:pPr>
        <w:spacing w:after="120" w:line="240" w:lineRule="auto"/>
        <w:ind w:left="709" w:right="709"/>
        <w:jc w:val="both"/>
        <w:rPr>
          <w:rFonts w:ascii="Verdana" w:hAnsi="Verdana" w:cs="Arial"/>
          <w:sz w:val="20"/>
          <w:szCs w:val="20"/>
          <w:lang w:eastAsia="es-MX"/>
        </w:rPr>
      </w:pPr>
      <w:r w:rsidRPr="00D651E9">
        <w:rPr>
          <w:rFonts w:ascii="Verdana" w:hAnsi="Verdana" w:cs="Arial"/>
          <w:sz w:val="20"/>
          <w:szCs w:val="20"/>
          <w:lang w:eastAsia="es-MX"/>
        </w:rPr>
        <w:t>xi) No es necesario que el Estado exija garantías</w:t>
      </w:r>
      <w:r w:rsidRPr="00D651E9">
        <w:rPr>
          <w:rStyle w:val="Refdenotaalpie"/>
          <w:rFonts w:ascii="Verdana" w:hAnsi="Verdana" w:cs="Arial"/>
          <w:sz w:val="20"/>
          <w:szCs w:val="20"/>
        </w:rPr>
        <w:footnoteReference w:id="10"/>
      </w:r>
      <w:r w:rsidRPr="00D651E9">
        <w:rPr>
          <w:rStyle w:val="Refdenotaalpie"/>
          <w:rFonts w:ascii="Verdana" w:hAnsi="Verdana" w:cs="Arial"/>
          <w:sz w:val="20"/>
          <w:szCs w:val="20"/>
        </w:rPr>
        <w:t>.</w:t>
      </w:r>
    </w:p>
    <w:p w14:paraId="56F6A2E3" w14:textId="77777777" w:rsidR="00E52AFD" w:rsidRPr="00D651E9" w:rsidRDefault="00E52AFD" w:rsidP="00E52AFD">
      <w:pPr>
        <w:spacing w:after="120" w:line="240" w:lineRule="auto"/>
        <w:ind w:left="709" w:right="709"/>
        <w:jc w:val="both"/>
        <w:rPr>
          <w:rFonts w:ascii="Verdana" w:hAnsi="Verdana" w:cs="Arial"/>
          <w:sz w:val="20"/>
          <w:szCs w:val="20"/>
          <w:lang w:eastAsia="es-MX"/>
        </w:rPr>
      </w:pPr>
      <w:r w:rsidRPr="00D651E9">
        <w:rPr>
          <w:rFonts w:ascii="Verdana" w:hAnsi="Verdana" w:cs="Arial"/>
          <w:sz w:val="20"/>
          <w:szCs w:val="20"/>
          <w:lang w:eastAsia="es-MX"/>
        </w:rPr>
        <w:t xml:space="preserve">xii) el contrato de prestación de servicios profesionales, como cualquier otro contrato estatal se encuentra sujeto a la supervisión del cumplimiento del objeto contractual y de las obligaciones por parte de las entidades públicas.” </w:t>
      </w:r>
    </w:p>
    <w:p w14:paraId="4ED3BBD3" w14:textId="77777777" w:rsidR="00E52AFD" w:rsidRPr="0072077A" w:rsidRDefault="00E52AFD" w:rsidP="00E52AFD">
      <w:pPr>
        <w:spacing w:after="120" w:line="240" w:lineRule="auto"/>
        <w:ind w:left="709" w:right="709"/>
        <w:rPr>
          <w:rFonts w:ascii="Verdana" w:hAnsi="Verdana" w:cs="Arial"/>
          <w:sz w:val="21"/>
          <w:szCs w:val="21"/>
          <w:lang w:eastAsia="es-MX"/>
        </w:rPr>
      </w:pPr>
    </w:p>
    <w:p w14:paraId="2BD973EE" w14:textId="77777777" w:rsidR="00E52AFD" w:rsidRPr="0072077A" w:rsidRDefault="00E52AFD" w:rsidP="00E52AFD">
      <w:pPr>
        <w:pStyle w:val="Prrafodelista"/>
        <w:numPr>
          <w:ilvl w:val="0"/>
          <w:numId w:val="28"/>
        </w:numPr>
        <w:spacing w:after="120" w:line="276" w:lineRule="auto"/>
        <w:jc w:val="both"/>
        <w:rPr>
          <w:rFonts w:ascii="Verdana" w:eastAsia="Calibri" w:hAnsi="Verdana" w:cs="Arial"/>
          <w:lang w:val="es-ES_tradnl"/>
        </w:rPr>
      </w:pPr>
      <w:r w:rsidRPr="0072077A">
        <w:rPr>
          <w:rFonts w:ascii="Verdana" w:eastAsia="Calibri" w:hAnsi="Verdana" w:cs="Arial"/>
          <w:lang w:val="es-ES_tradnl"/>
        </w:rPr>
        <w:lastRenderedPageBreak/>
        <w:t xml:space="preserve">Ahora, frente al objeto de su consulta, se resalta que, en la contratación estatal, la </w:t>
      </w:r>
      <w:r w:rsidRPr="0072077A">
        <w:rPr>
          <w:rFonts w:ascii="Verdana" w:eastAsia="Calibri" w:hAnsi="Verdana" w:cs="Arial"/>
          <w:i/>
          <w:iCs/>
          <w:lang w:val="es-ES_tradnl"/>
        </w:rPr>
        <w:t>capacidad</w:t>
      </w:r>
      <w:r w:rsidRPr="0072077A">
        <w:rPr>
          <w:rFonts w:ascii="Verdana" w:eastAsia="Calibri" w:hAnsi="Verdana" w:cs="Arial"/>
          <w:lang w:val="es-ES_tradnl"/>
        </w:rPr>
        <w:t xml:space="preserve"> también es un requisito de validez de los contratos, tanto en el régimen de las entidades sujetas al Estatuto General de Contratación de la Administración Pública</w:t>
      </w:r>
      <w:r w:rsidRPr="0072077A">
        <w:rPr>
          <w:rFonts w:ascii="Verdana" w:hAnsi="Verdana"/>
          <w:vertAlign w:val="superscript"/>
        </w:rPr>
        <w:footnoteReference w:id="11"/>
      </w:r>
      <w:r w:rsidRPr="0072077A">
        <w:rPr>
          <w:rFonts w:ascii="Verdana" w:eastAsia="Calibri" w:hAnsi="Verdana" w:cs="Arial"/>
          <w:lang w:val="es-ES_tradnl"/>
        </w:rPr>
        <w:t xml:space="preserve"> como en el de las entidades exceptuadas de aquel</w:t>
      </w:r>
      <w:r w:rsidRPr="0072077A">
        <w:rPr>
          <w:rFonts w:ascii="Verdana" w:hAnsi="Verdana"/>
          <w:vertAlign w:val="superscript"/>
        </w:rPr>
        <w:footnoteReference w:id="12"/>
      </w:r>
      <w:r w:rsidRPr="0072077A">
        <w:rPr>
          <w:rFonts w:ascii="Verdana" w:eastAsia="Calibri" w:hAnsi="Verdana" w:cs="Arial"/>
          <w:lang w:val="es-ES_tradnl"/>
        </w:rPr>
        <w:t>. Se destaca el régimen de inhabilidades e incompatibilidades como un conjunto de normas que imponen restricciones para los sujetos que, eventualmente, pretendan participar en los procedimientos de selección o celebrar contratos con las entidades estatales</w:t>
      </w:r>
      <w:r w:rsidRPr="0072077A">
        <w:rPr>
          <w:rFonts w:ascii="Verdana" w:hAnsi="Verdana"/>
          <w:vertAlign w:val="superscript"/>
        </w:rPr>
        <w:footnoteReference w:id="13"/>
      </w:r>
      <w:r w:rsidRPr="0072077A">
        <w:rPr>
          <w:rFonts w:ascii="Verdana" w:eastAsia="Calibri" w:hAnsi="Verdana" w:cs="Arial"/>
          <w:lang w:val="es-ES_tradnl"/>
        </w:rPr>
        <w:t>.</w:t>
      </w:r>
    </w:p>
    <w:p w14:paraId="504148FA" w14:textId="77777777" w:rsidR="00E52AFD" w:rsidRPr="0072077A" w:rsidRDefault="00E52AFD" w:rsidP="00E52AFD">
      <w:pPr>
        <w:pStyle w:val="Prrafodelista"/>
        <w:numPr>
          <w:ilvl w:val="0"/>
          <w:numId w:val="28"/>
        </w:numPr>
        <w:spacing w:before="120" w:after="120" w:line="276" w:lineRule="auto"/>
        <w:jc w:val="both"/>
        <w:rPr>
          <w:rFonts w:ascii="Verdana" w:eastAsia="Calibri" w:hAnsi="Verdana" w:cs="Arial"/>
          <w:lang w:val="es-ES_tradnl"/>
        </w:rPr>
      </w:pPr>
      <w:r w:rsidRPr="0072077A">
        <w:rPr>
          <w:rFonts w:ascii="Verdana" w:eastAsia="Calibri" w:hAnsi="Verdana" w:cs="Arial"/>
          <w:lang w:val="es-ES_tradnl"/>
        </w:rPr>
        <w:t xml:space="preserve">Las inhabilidades son prohibiciones para concurrir a los procedimientos de selección y para contratar con el Estado, que se derivan: i) de la existencia de comportamientos reprochables o de sanciones anteriormente impuestas, ii) de vínculos personales relativos al parentesco o al estado civil o iii) de una actividad u oficio que se desempeñó en el pasado. De otro lado, las incompatibilidades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En todo caso, a pesar de la existencia de distintos criterios para diferenciar las inhabilidades de las incompatibilidades, de la presencia de ellas se derivan las mismas consecuencias jurídicas, esto es, la limitación de la capacidad contractual. De manera que la presencia de ellas impide que se puedan celebrar contratos con el Estado o participar en procedimientos de selección de las </w:t>
      </w:r>
      <w:r w:rsidRPr="0072077A">
        <w:rPr>
          <w:rFonts w:ascii="Verdana" w:eastAsia="Calibri" w:hAnsi="Verdana" w:cs="Arial"/>
          <w:lang w:val="es-ES_tradnl"/>
        </w:rPr>
        <w:lastRenderedPageBreak/>
        <w:t>entidades estatales, por lo que de cualquiera de ellas se derivan los mismos efectos jurídicos</w:t>
      </w:r>
      <w:r w:rsidRPr="0072077A">
        <w:rPr>
          <w:rStyle w:val="Refdenotaalpie"/>
          <w:rFonts w:ascii="Verdana" w:eastAsia="Calibri" w:hAnsi="Verdana" w:cs="Arial"/>
          <w:lang w:val="es-ES_tradnl"/>
        </w:rPr>
        <w:footnoteReference w:id="14"/>
      </w:r>
      <w:r w:rsidRPr="0072077A">
        <w:rPr>
          <w:rFonts w:ascii="Verdana" w:eastAsia="Calibri" w:hAnsi="Verdana" w:cs="Arial"/>
          <w:lang w:val="es-ES_tradnl"/>
        </w:rPr>
        <w:t>.</w:t>
      </w:r>
    </w:p>
    <w:p w14:paraId="73997EA7" w14:textId="77777777" w:rsidR="00E52AFD" w:rsidRPr="0072077A" w:rsidRDefault="00E52AFD" w:rsidP="00E52AFD">
      <w:pPr>
        <w:pStyle w:val="Prrafodelista"/>
        <w:numPr>
          <w:ilvl w:val="0"/>
          <w:numId w:val="28"/>
        </w:numPr>
        <w:spacing w:before="120" w:after="120" w:line="276" w:lineRule="auto"/>
        <w:jc w:val="both"/>
        <w:rPr>
          <w:rFonts w:ascii="Verdana" w:eastAsia="Calibri" w:hAnsi="Verdana" w:cs="Arial"/>
          <w:lang w:val="es-ES_tradnl"/>
        </w:rPr>
      </w:pPr>
      <w:r w:rsidRPr="0072077A">
        <w:rPr>
          <w:rFonts w:ascii="Verdana" w:eastAsia="Calibri" w:hAnsi="Verdana" w:cs="Arial"/>
          <w:lang w:val="es-ES_tradnl"/>
        </w:rPr>
        <w:t>De otro lado, el régimen de inhabilidades e incompatibilidades en la contratación pública responde a la tendencia, vigente desde hace varias décadas en nuestro país, pero que se ha reforzado en los últimos años, de asegurar que la actividad de provisión de los bienes, obras y servicios por parte de las entidades estatales se efectúe cumpliendo con los principios de la función administrativa y de la gestión fiscal, especialmente con probidad y transparencia. Por ello, como destaca la doctrina, las inhabilidades e incompatibilidades son herramientas en la lucha contra la corrupción, adoptando paulatinamente una naturaleza sancionatoria o “neopunitiva”</w:t>
      </w:r>
      <w:r w:rsidRPr="0072077A">
        <w:rPr>
          <w:rFonts w:ascii="Verdana" w:hAnsi="Verdana"/>
          <w:vertAlign w:val="superscript"/>
        </w:rPr>
        <w:footnoteReference w:id="15"/>
      </w:r>
      <w:r w:rsidRPr="0072077A">
        <w:rPr>
          <w:rFonts w:ascii="Verdana" w:eastAsia="Calibri" w:hAnsi="Verdana" w:cs="Arial"/>
          <w:lang w:val="es-ES_tradnl"/>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629CB2B8" w14:textId="1F609A74" w:rsidR="00E52AFD" w:rsidRPr="0072077A" w:rsidRDefault="00E52AFD" w:rsidP="00E52AFD">
      <w:pPr>
        <w:pStyle w:val="Prrafodelista"/>
        <w:numPr>
          <w:ilvl w:val="0"/>
          <w:numId w:val="28"/>
        </w:numPr>
        <w:spacing w:after="120" w:line="276" w:lineRule="auto"/>
        <w:jc w:val="both"/>
        <w:rPr>
          <w:rFonts w:ascii="Verdana" w:eastAsia="Calibri" w:hAnsi="Verdana" w:cs="Arial"/>
          <w:color w:val="000000" w:themeColor="text1"/>
          <w:lang w:val="es-ES_tradnl"/>
        </w:rPr>
      </w:pPr>
      <w:r w:rsidRPr="0072077A">
        <w:rPr>
          <w:rFonts w:ascii="Verdana" w:eastAsia="Calibri" w:hAnsi="Verdana" w:cs="Arial"/>
          <w:lang w:val="es-ES_tradnl"/>
        </w:rPr>
        <w:t xml:space="preserve">Ahora bien, las inhabilidades e incompatibilidades al ser restricciones o límites especiales a la capacidad para presentar ofertas y celebrar contratos estatales, solo pueden tipificarse en la ley o la Constitución –o sea, deben satisfacer el principio de legalidad– y su interpretación debe ser </w:t>
      </w:r>
      <w:r w:rsidRPr="0072077A">
        <w:rPr>
          <w:rFonts w:ascii="Verdana" w:eastAsia="Calibri" w:hAnsi="Verdana" w:cs="Arial"/>
          <w:i/>
          <w:iCs/>
          <w:lang w:val="es-ES_tradnl"/>
        </w:rPr>
        <w:t>restrictiva</w:t>
      </w:r>
      <w:r w:rsidRPr="0072077A">
        <w:rPr>
          <w:rFonts w:ascii="Verdana" w:hAnsi="Verdana"/>
          <w:vertAlign w:val="superscript"/>
        </w:rPr>
        <w:footnoteReference w:id="16"/>
      </w:r>
      <w:r w:rsidRPr="0072077A">
        <w:rPr>
          <w:rFonts w:ascii="Verdana" w:eastAsia="Calibri" w:hAnsi="Verdana" w:cs="Arial"/>
          <w:lang w:val="es-ES_tradnl"/>
        </w:rPr>
        <w:t xml:space="preserve">,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seguridad jurídica, la libre concurrencia y el ejercicio de la profesión u oficio. </w:t>
      </w:r>
      <w:r w:rsidRPr="0072077A">
        <w:rPr>
          <w:rFonts w:ascii="Verdana" w:eastAsia="Calibri" w:hAnsi="Verdana" w:cs="Arial"/>
          <w:color w:val="000000" w:themeColor="text1"/>
          <w:lang w:val="es-ES_tradnl"/>
        </w:rPr>
        <w:t xml:space="preserve"> Tal ha sido la postura al interior de la </w:t>
      </w:r>
      <w:r w:rsidRPr="0072077A">
        <w:rPr>
          <w:rFonts w:ascii="Verdana" w:eastAsia="Calibri" w:hAnsi="Verdana" w:cs="Arial"/>
          <w:color w:val="000000" w:themeColor="text1"/>
          <w:lang w:val="es-ES_tradnl"/>
        </w:rPr>
        <w:lastRenderedPageBreak/>
        <w:t xml:space="preserve">jurisprudencia, tanto de la Corte Constitucional como de la Sección Tercera del Consejo de Estado. </w:t>
      </w:r>
    </w:p>
    <w:p w14:paraId="308125F8" w14:textId="77777777" w:rsidR="00E52AFD" w:rsidRPr="0072077A" w:rsidRDefault="00E52AFD" w:rsidP="00E52AFD">
      <w:pPr>
        <w:pStyle w:val="Prrafodelista"/>
        <w:numPr>
          <w:ilvl w:val="0"/>
          <w:numId w:val="28"/>
        </w:numPr>
        <w:spacing w:line="276" w:lineRule="auto"/>
        <w:jc w:val="both"/>
        <w:rPr>
          <w:rFonts w:ascii="Verdana" w:eastAsia="Calibri" w:hAnsi="Verdana" w:cs="Arial"/>
          <w:color w:val="000000" w:themeColor="text1"/>
          <w:lang w:val="es-ES_tradnl"/>
        </w:rPr>
      </w:pPr>
      <w:r w:rsidRPr="0072077A">
        <w:rPr>
          <w:rFonts w:ascii="Verdana" w:eastAsia="Calibri" w:hAnsi="Verdana" w:cs="Arial"/>
          <w:color w:val="000000" w:themeColor="text1"/>
          <w:lang w:val="es-ES_tradnl"/>
        </w:rPr>
        <w:t>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72077A">
        <w:rPr>
          <w:rFonts w:ascii="Verdana" w:hAnsi="Verdana"/>
          <w:vertAlign w:val="superscript"/>
        </w:rPr>
        <w:footnoteReference w:id="17"/>
      </w:r>
      <w:r w:rsidRPr="0072077A">
        <w:rPr>
          <w:rFonts w:ascii="Verdana" w:eastAsia="Calibri" w:hAnsi="Verdana" w:cs="Arial"/>
          <w:color w:val="000000" w:themeColor="text1"/>
          <w:lang w:val="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72077A">
        <w:rPr>
          <w:rFonts w:ascii="Verdana" w:hAnsi="Verdana"/>
          <w:vertAlign w:val="superscript"/>
        </w:rPr>
        <w:footnoteReference w:id="18"/>
      </w:r>
      <w:r w:rsidRPr="0072077A">
        <w:rPr>
          <w:rFonts w:ascii="Verdana" w:eastAsia="Calibri" w:hAnsi="Verdana" w:cs="Arial"/>
          <w:color w:val="000000" w:themeColor="text1"/>
          <w:lang w:val="es-ES_tradnl"/>
        </w:rPr>
        <w:t>. En tal sentido, la Sección Tercera ha señalado que:</w:t>
      </w:r>
    </w:p>
    <w:p w14:paraId="659A6EDD" w14:textId="77777777" w:rsidR="00E52AFD" w:rsidRPr="00D651E9" w:rsidRDefault="00E52AFD" w:rsidP="00E52AFD">
      <w:pPr>
        <w:ind w:left="709" w:right="709"/>
        <w:jc w:val="both"/>
        <w:rPr>
          <w:rFonts w:ascii="Verdana" w:hAnsi="Verdana" w:cs="Arial"/>
          <w:color w:val="000000" w:themeColor="text1"/>
          <w:sz w:val="20"/>
          <w:szCs w:val="20"/>
          <w:lang w:val="es-ES_tradnl"/>
        </w:rPr>
      </w:pPr>
      <w:r w:rsidRPr="00D651E9">
        <w:rPr>
          <w:rFonts w:ascii="Verdana" w:hAnsi="Verdana" w:cs="Arial"/>
          <w:color w:val="000000" w:themeColor="text1"/>
          <w:sz w:val="20"/>
          <w:szCs w:val="20"/>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D651E9">
        <w:rPr>
          <w:rFonts w:ascii="Verdana" w:hAnsi="Verdana" w:cs="Arial"/>
          <w:color w:val="000000" w:themeColor="text1"/>
          <w:sz w:val="20"/>
          <w:szCs w:val="20"/>
          <w:vertAlign w:val="superscript"/>
          <w:lang w:val="es-ES_tradnl"/>
        </w:rPr>
        <w:footnoteReference w:id="19"/>
      </w:r>
      <w:r w:rsidRPr="00D651E9">
        <w:rPr>
          <w:rFonts w:ascii="Verdana" w:hAnsi="Verdana" w:cs="Arial"/>
          <w:color w:val="000000" w:themeColor="text1"/>
          <w:sz w:val="20"/>
          <w:szCs w:val="20"/>
          <w:lang w:val="es-ES_tradnl"/>
        </w:rPr>
        <w:t>.</w:t>
      </w:r>
    </w:p>
    <w:p w14:paraId="709BF0F8" w14:textId="77777777" w:rsidR="00E52AFD" w:rsidRPr="00D651E9" w:rsidRDefault="00E52AFD" w:rsidP="00E52AFD">
      <w:pPr>
        <w:spacing w:line="276" w:lineRule="auto"/>
        <w:ind w:firstLine="709"/>
        <w:jc w:val="both"/>
        <w:rPr>
          <w:rFonts w:ascii="Verdana" w:eastAsia="Calibri" w:hAnsi="Verdana" w:cs="Arial"/>
          <w:color w:val="000000" w:themeColor="text1"/>
          <w:sz w:val="20"/>
          <w:szCs w:val="20"/>
          <w:lang w:val="es-ES_tradnl"/>
        </w:rPr>
      </w:pPr>
      <w:r w:rsidRPr="00D651E9">
        <w:rPr>
          <w:rFonts w:ascii="Verdana" w:eastAsia="Calibri" w:hAnsi="Verdana" w:cs="Arial"/>
          <w:color w:val="000000" w:themeColor="text1"/>
          <w:sz w:val="20"/>
          <w:szCs w:val="20"/>
          <w:lang w:val="es-ES_tradnl"/>
        </w:rPr>
        <w:t>También ha dicho que:</w:t>
      </w:r>
    </w:p>
    <w:p w14:paraId="29784E62" w14:textId="77777777" w:rsidR="00E52AFD" w:rsidRPr="00D651E9" w:rsidRDefault="00E52AFD" w:rsidP="00E52AFD">
      <w:pPr>
        <w:spacing w:line="240" w:lineRule="auto"/>
        <w:ind w:left="709" w:right="709"/>
        <w:jc w:val="both"/>
        <w:rPr>
          <w:rFonts w:ascii="Verdana" w:hAnsi="Verdana" w:cs="Arial"/>
          <w:color w:val="000000" w:themeColor="text1"/>
          <w:sz w:val="20"/>
          <w:szCs w:val="20"/>
          <w:lang w:val="es-ES_tradnl"/>
        </w:rPr>
      </w:pPr>
      <w:r w:rsidRPr="00D651E9">
        <w:rPr>
          <w:rFonts w:ascii="Verdana" w:hAnsi="Verdana" w:cs="Arial"/>
          <w:color w:val="000000" w:themeColor="text1"/>
          <w:sz w:val="20"/>
          <w:szCs w:val="20"/>
          <w:lang w:val="es-ES_tradnl"/>
        </w:rPr>
        <w:t xml:space="preserve">“[…] la aplicación de estos preceptos exige una interpretación restrictiva, dado que según el principio hermenéutico </w:t>
      </w:r>
      <w:r w:rsidRPr="00D651E9">
        <w:rPr>
          <w:rFonts w:ascii="Verdana" w:hAnsi="Verdana" w:cs="Arial"/>
          <w:i/>
          <w:iCs/>
          <w:color w:val="000000" w:themeColor="text1"/>
          <w:sz w:val="20"/>
          <w:szCs w:val="20"/>
          <w:lang w:val="es-ES_tradnl"/>
        </w:rPr>
        <w:t>pro libertate</w:t>
      </w:r>
      <w:r w:rsidRPr="00D651E9">
        <w:rPr>
          <w:rFonts w:ascii="Verdana" w:hAnsi="Verdana" w:cs="Arial"/>
          <w:color w:val="000000" w:themeColor="text1"/>
          <w:sz w:val="20"/>
          <w:szCs w:val="20"/>
          <w:lang w:val="es-ES_tradnl"/>
        </w:rPr>
        <w:t xml:space="preserve">,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w:t>
      </w:r>
      <w:r w:rsidRPr="00D651E9">
        <w:rPr>
          <w:rFonts w:ascii="Verdana" w:hAnsi="Verdana" w:cs="Arial"/>
          <w:color w:val="000000" w:themeColor="text1"/>
          <w:sz w:val="20"/>
          <w:szCs w:val="20"/>
          <w:lang w:val="es-ES_tradnl"/>
        </w:rPr>
        <w:lastRenderedPageBreak/>
        <w:t>de las mismas, pues de hacerlo se vulnerarían los derechos fundamentales al debido proceso (art. 29 CN) y a la igualdad (art. 13 Ibid.); […]”</w:t>
      </w:r>
      <w:r w:rsidRPr="00D651E9">
        <w:rPr>
          <w:rFonts w:ascii="Verdana" w:hAnsi="Verdana" w:cs="Arial"/>
          <w:color w:val="000000" w:themeColor="text1"/>
          <w:sz w:val="20"/>
          <w:szCs w:val="20"/>
          <w:vertAlign w:val="superscript"/>
          <w:lang w:val="es-ES_tradnl"/>
        </w:rPr>
        <w:footnoteReference w:id="20"/>
      </w:r>
      <w:r w:rsidRPr="00D651E9">
        <w:rPr>
          <w:rFonts w:ascii="Verdana" w:hAnsi="Verdana" w:cs="Arial"/>
          <w:color w:val="000000" w:themeColor="text1"/>
          <w:sz w:val="20"/>
          <w:szCs w:val="20"/>
          <w:lang w:val="es-ES_tradnl"/>
        </w:rPr>
        <w:t>.</w:t>
      </w:r>
    </w:p>
    <w:p w14:paraId="0763DBD9" w14:textId="77777777" w:rsidR="00E52AFD" w:rsidRPr="0072077A" w:rsidRDefault="00E52AFD" w:rsidP="00E52AFD">
      <w:pPr>
        <w:pStyle w:val="Prrafodelista"/>
        <w:numPr>
          <w:ilvl w:val="0"/>
          <w:numId w:val="29"/>
        </w:numPr>
        <w:spacing w:line="276" w:lineRule="auto"/>
        <w:jc w:val="both"/>
        <w:rPr>
          <w:rFonts w:ascii="Verdana" w:eastAsia="Calibri" w:hAnsi="Verdana" w:cs="Arial"/>
          <w:color w:val="000000" w:themeColor="text1"/>
          <w:lang w:val="es-ES_tradnl"/>
        </w:rPr>
      </w:pPr>
      <w:r w:rsidRPr="0072077A">
        <w:rPr>
          <w:rFonts w:ascii="Verdana" w:eastAsia="Calibri" w:hAnsi="Verdana" w:cs="Arial"/>
          <w:color w:val="000000" w:themeColor="text1"/>
          <w:lang w:val="es-ES_tradnl"/>
        </w:rPr>
        <w:t xml:space="preserve">Como se aprecia, el principio </w:t>
      </w:r>
      <w:r w:rsidRPr="0072077A">
        <w:rPr>
          <w:rFonts w:ascii="Verdana" w:eastAsia="Calibri" w:hAnsi="Verdana" w:cs="Arial"/>
          <w:i/>
          <w:iCs/>
          <w:color w:val="000000" w:themeColor="text1"/>
          <w:lang w:val="es-ES_tradnl"/>
        </w:rPr>
        <w:t>pro libertate</w:t>
      </w:r>
      <w:r w:rsidRPr="0072077A">
        <w:rPr>
          <w:rFonts w:ascii="Verdana" w:eastAsia="Calibri" w:hAnsi="Verdana" w:cs="Arial"/>
          <w:color w:val="000000" w:themeColor="text1"/>
          <w:lang w:val="es-ES_tradnl"/>
        </w:rPr>
        <w:t xml:space="preserve"> es el que debe dirigir la interpretación de las disposiciones normativas que consagran restricciones de derechos, como sucede con las causales de inhabilidad e incompatibilidad en la contratación estatal. En ese sentido, las disposiciones que integran el régimen de inhabilidades e incompatibilidades exigen una interpretación que garantice el referido principio, lo que significa una aplicación sintonizada con lo expresamente señalado en la norma.</w:t>
      </w:r>
    </w:p>
    <w:p w14:paraId="1CF5C9EF" w14:textId="77777777" w:rsidR="00E52AFD" w:rsidRPr="0072077A" w:rsidRDefault="00E52AFD" w:rsidP="00E52AFD">
      <w:pPr>
        <w:pStyle w:val="Prrafodelista"/>
        <w:numPr>
          <w:ilvl w:val="0"/>
          <w:numId w:val="29"/>
        </w:numPr>
        <w:spacing w:line="276" w:lineRule="auto"/>
        <w:jc w:val="both"/>
        <w:rPr>
          <w:rFonts w:ascii="Verdana" w:eastAsia="Calibri" w:hAnsi="Verdana" w:cs="Arial"/>
          <w:color w:val="000000" w:themeColor="text1"/>
          <w:lang w:val="es-ES_tradnl"/>
        </w:rPr>
      </w:pPr>
      <w:r w:rsidRPr="0072077A">
        <w:rPr>
          <w:rFonts w:ascii="Verdana" w:eastAsia="Calibri" w:hAnsi="Verdana" w:cs="Arial"/>
          <w:color w:val="000000" w:themeColor="text1"/>
          <w:lang w:val="es-ES_tradnl"/>
        </w:rPr>
        <w:t>Conforme a lo anterior, respecto a la cuestión especifica objeto de consulta es preciso advertir que, los antecedentes penales de una persona podrían condicionar la posibilidad de que suscriba contratos estatales, teniendo en cuenta que existen inhabilidades que contemplan supuestos de hecho alusivos a eventuales condenas en materia penal, como es el caso de los literales d) y j) de del numeral 1 del artículo 8 de la Ley 80 de 1993</w:t>
      </w:r>
      <w:r w:rsidRPr="0072077A">
        <w:rPr>
          <w:rStyle w:val="Refdenotaalpie"/>
          <w:rFonts w:ascii="Verdana" w:eastAsia="Calibri" w:hAnsi="Verdana" w:cs="Arial"/>
          <w:color w:val="000000" w:themeColor="text1"/>
          <w:lang w:val="es-ES_tradnl"/>
        </w:rPr>
        <w:footnoteReference w:id="21"/>
      </w:r>
      <w:r w:rsidRPr="0072077A">
        <w:rPr>
          <w:rFonts w:ascii="Verdana" w:eastAsia="Calibri" w:hAnsi="Verdana" w:cs="Arial"/>
          <w:color w:val="000000" w:themeColor="text1"/>
          <w:lang w:val="es-ES_tradnl"/>
        </w:rPr>
        <w:t xml:space="preserve">. Es por esto por lo que, es relevante analizar de cara a la suscripción de contratos los antecedentes penales del virtual contratista, comoquiera que estos podrían condicionar la capacidad jurídica.   </w:t>
      </w:r>
    </w:p>
    <w:p w14:paraId="1C508ED9" w14:textId="77777777" w:rsidR="00E52AFD" w:rsidRPr="0072077A" w:rsidRDefault="00E52AFD" w:rsidP="00E52AFD">
      <w:pPr>
        <w:pStyle w:val="Prrafodelista"/>
        <w:numPr>
          <w:ilvl w:val="0"/>
          <w:numId w:val="29"/>
        </w:numPr>
        <w:spacing w:after="0" w:line="276" w:lineRule="auto"/>
        <w:jc w:val="both"/>
        <w:rPr>
          <w:rFonts w:ascii="Verdana" w:hAnsi="Verdana" w:cs="Arial"/>
          <w:color w:val="000000"/>
          <w:shd w:val="clear" w:color="auto" w:fill="FFFFFF"/>
        </w:rPr>
      </w:pPr>
      <w:r w:rsidRPr="0072077A">
        <w:rPr>
          <w:rFonts w:ascii="Verdana" w:hAnsi="Verdana" w:cs="Arial"/>
          <w:color w:val="000000" w:themeColor="text1"/>
        </w:rPr>
        <w:t>Con todo,</w:t>
      </w:r>
      <w:r w:rsidRPr="0072077A">
        <w:rPr>
          <w:rFonts w:ascii="Verdana" w:hAnsi="Verdana" w:cs="Arial"/>
          <w:color w:val="000000"/>
          <w:shd w:val="clear" w:color="auto" w:fill="FFFFFF"/>
        </w:rPr>
        <w:t xml:space="preserve"> es preciso advertir que, es necesario detenerse a revisar el alcance particular de las condenas respectivas, para establecer si se configura o no alguna de inhabilidad y/o incompatibilidad que impida celebrar contratos con la persona en cuestión. Al tratarse esto de un </w:t>
      </w:r>
      <w:r w:rsidRPr="0072077A">
        <w:rPr>
          <w:rFonts w:ascii="Verdana" w:hAnsi="Verdana" w:cs="Arial"/>
          <w:color w:val="000000"/>
          <w:shd w:val="clear" w:color="auto" w:fill="FFFFFF"/>
        </w:rPr>
        <w:lastRenderedPageBreak/>
        <w:t xml:space="preserve">análisis que se debe realizar en cada caso específico, la Subdirección de Gestión Contractual no puede definir un criterio universal y absoluto para los casos que se subsuman dentro de la hipótesis objeto de consulta, </w:t>
      </w:r>
      <w:r w:rsidRPr="0072077A">
        <w:rPr>
          <w:rFonts w:ascii="Verdana" w:hAnsi="Verdana" w:cs="Arial"/>
          <w:color w:val="000000" w:themeColor="text1"/>
        </w:rPr>
        <w:t xml:space="preserve">sino que debe brindar las consideraciones jurídicas pertinentes sobre el alcance del marco normativo relevante, para que los partícipes del sistema de compras y contratación pública adopten la decisión que corresponda en el marco de la autonomía que les asiste. </w:t>
      </w:r>
      <w:r w:rsidRPr="0072077A">
        <w:rPr>
          <w:rFonts w:ascii="Verdana" w:hAnsi="Verdana" w:cs="Arial"/>
          <w:color w:val="000000"/>
          <w:shd w:val="clear" w:color="auto" w:fill="FFFFFF"/>
        </w:rPr>
        <w:t>Por lo anterior, previo concepto de sus órganos asesores, la solución de casos particulares corresponde a la entidad de adoptar la decisión correspondiente y, en caso de conflicto, a las autoridades judiciales, fiscales y disciplinarias.</w:t>
      </w:r>
    </w:p>
    <w:p w14:paraId="31C59D10" w14:textId="77777777" w:rsidR="0014123B" w:rsidRPr="0072077A" w:rsidRDefault="0014123B" w:rsidP="004C0691">
      <w:pPr>
        <w:widowControl w:val="0"/>
        <w:autoSpaceDE w:val="0"/>
        <w:autoSpaceDN w:val="0"/>
        <w:spacing w:after="0" w:line="276" w:lineRule="auto"/>
        <w:jc w:val="both"/>
        <w:rPr>
          <w:rFonts w:ascii="Verdana" w:hAnsi="Verdana" w:cs="Arial"/>
        </w:rPr>
      </w:pPr>
    </w:p>
    <w:p w14:paraId="76DBE697" w14:textId="77777777" w:rsidR="004C0691" w:rsidRPr="0072077A" w:rsidRDefault="004C0691" w:rsidP="004C069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72077A">
        <w:rPr>
          <w:rFonts w:ascii="Verdana" w:eastAsia="Century Gothic" w:hAnsi="Verdana" w:cs="Century Gothic"/>
          <w:b/>
          <w:bCs/>
        </w:rPr>
        <w:t>Referencias normativas, jurisprudenciales y otras fuentes:</w:t>
      </w:r>
    </w:p>
    <w:p w14:paraId="6D2A35E0" w14:textId="77777777" w:rsidR="004C0691" w:rsidRPr="0072077A" w:rsidRDefault="004C0691" w:rsidP="004C0691">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4C0691" w:rsidRPr="0072077A" w14:paraId="18042C4E" w14:textId="77777777" w:rsidTr="002D7ACD">
        <w:trPr>
          <w:trHeight w:val="870"/>
        </w:trPr>
        <w:tc>
          <w:tcPr>
            <w:tcW w:w="8647" w:type="dxa"/>
          </w:tcPr>
          <w:p w14:paraId="3E661C3F" w14:textId="77777777" w:rsidR="004C0691" w:rsidRPr="0072077A" w:rsidRDefault="00E52AFD" w:rsidP="0014123B">
            <w:pPr>
              <w:pStyle w:val="Prrafodelista"/>
              <w:numPr>
                <w:ilvl w:val="0"/>
                <w:numId w:val="19"/>
              </w:numPr>
              <w:jc w:val="both"/>
              <w:rPr>
                <w:rFonts w:ascii="Verdana" w:hAnsi="Verdana" w:cs="Arial"/>
              </w:rPr>
            </w:pPr>
            <w:r w:rsidRPr="0072077A">
              <w:rPr>
                <w:rFonts w:ascii="Verdana" w:hAnsi="Verdana" w:cs="Arial"/>
                <w:sz w:val="21"/>
                <w:szCs w:val="21"/>
                <w:lang w:eastAsia="es-MX"/>
              </w:rPr>
              <w:t>Ley 80 de 1993</w:t>
            </w:r>
          </w:p>
          <w:p w14:paraId="272F61F4" w14:textId="5FCDA7DA" w:rsidR="0072077A" w:rsidRPr="0072077A" w:rsidRDefault="0072077A" w:rsidP="0014123B">
            <w:pPr>
              <w:pStyle w:val="Prrafodelista"/>
              <w:numPr>
                <w:ilvl w:val="0"/>
                <w:numId w:val="19"/>
              </w:numPr>
              <w:jc w:val="both"/>
              <w:rPr>
                <w:rFonts w:ascii="Verdana" w:hAnsi="Verdana" w:cs="Arial"/>
              </w:rPr>
            </w:pPr>
            <w:r w:rsidRPr="0072077A">
              <w:rPr>
                <w:rFonts w:ascii="Verdana" w:hAnsi="Verdana" w:cs="Arial"/>
                <w:bCs/>
                <w:lang w:eastAsia="es-MX"/>
              </w:rPr>
              <w:t>artículo 2, numeral 4º, literal h, de la Ley 1150 de 2007</w:t>
            </w:r>
          </w:p>
          <w:p w14:paraId="0042F906" w14:textId="77777777" w:rsidR="00E52AFD" w:rsidRPr="0072077A" w:rsidRDefault="00E52AFD" w:rsidP="0014123B">
            <w:pPr>
              <w:pStyle w:val="Prrafodelista"/>
              <w:numPr>
                <w:ilvl w:val="0"/>
                <w:numId w:val="19"/>
              </w:numPr>
              <w:jc w:val="both"/>
              <w:rPr>
                <w:rFonts w:ascii="Verdana" w:hAnsi="Verdana" w:cs="Arial"/>
              </w:rPr>
            </w:pPr>
            <w:r w:rsidRPr="0072077A">
              <w:rPr>
                <w:rFonts w:ascii="Verdana" w:hAnsi="Verdana" w:cs="Arial"/>
                <w:color w:val="000000" w:themeColor="text1"/>
                <w:sz w:val="16"/>
                <w:szCs w:val="16"/>
              </w:rPr>
              <w:t>Decreto 1082 de 2015</w:t>
            </w:r>
          </w:p>
          <w:p w14:paraId="30A551A6" w14:textId="77777777" w:rsidR="0072077A" w:rsidRPr="0072077A" w:rsidRDefault="0072077A" w:rsidP="0072077A">
            <w:pPr>
              <w:pStyle w:val="Prrafodelista"/>
              <w:widowControl w:val="0"/>
              <w:numPr>
                <w:ilvl w:val="0"/>
                <w:numId w:val="19"/>
              </w:numPr>
              <w:tabs>
                <w:tab w:val="left" w:pos="8419"/>
              </w:tabs>
              <w:autoSpaceDE w:val="0"/>
              <w:autoSpaceDN w:val="0"/>
              <w:spacing w:after="160" w:line="276" w:lineRule="auto"/>
              <w:contextualSpacing w:val="0"/>
              <w:jc w:val="both"/>
              <w:rPr>
                <w:rFonts w:ascii="Verdana" w:hAnsi="Verdana" w:cs="Arial"/>
              </w:rPr>
            </w:pPr>
            <w:hyperlink r:id="rId11" w:history="1">
              <w:r w:rsidRPr="0072077A">
                <w:rPr>
                  <w:rStyle w:val="Hipervnculo"/>
                  <w:rFonts w:ascii="Verdana" w:hAnsi="Verdana" w:cs="Arial"/>
                </w:rPr>
                <w:t>https://relatoria.colombiacompra.gov.co/providencias-consejo-de-estado/</w:t>
              </w:r>
            </w:hyperlink>
            <w:r w:rsidRPr="0072077A">
              <w:rPr>
                <w:rFonts w:ascii="Verdana" w:hAnsi="Verdana" w:cs="Arial"/>
              </w:rPr>
              <w:t xml:space="preserve"> </w:t>
            </w:r>
          </w:p>
          <w:p w14:paraId="1CD44FC0" w14:textId="1B3DE5CB" w:rsidR="0072077A" w:rsidRPr="0072077A" w:rsidRDefault="0072077A" w:rsidP="0072077A">
            <w:pPr>
              <w:pStyle w:val="Prrafodelista"/>
              <w:widowControl w:val="0"/>
              <w:numPr>
                <w:ilvl w:val="0"/>
                <w:numId w:val="19"/>
              </w:numPr>
              <w:tabs>
                <w:tab w:val="left" w:pos="8419"/>
              </w:tabs>
              <w:autoSpaceDE w:val="0"/>
              <w:autoSpaceDN w:val="0"/>
              <w:spacing w:after="160" w:line="276" w:lineRule="auto"/>
              <w:contextualSpacing w:val="0"/>
              <w:jc w:val="both"/>
              <w:rPr>
                <w:rFonts w:ascii="Verdana" w:hAnsi="Verdana" w:cs="Arial"/>
              </w:rPr>
            </w:pPr>
            <w:r w:rsidRPr="0072077A">
              <w:rPr>
                <w:rFonts w:ascii="Verdana" w:hAnsi="Verdana" w:cs="Arial"/>
              </w:rPr>
              <w:t>Guías y manuales expedidos por la ANCP-CCE. Disponible en</w:t>
            </w:r>
            <w:r w:rsidRPr="0072077A">
              <w:rPr>
                <w:rFonts w:ascii="Verdana" w:hAnsi="Verdana" w:cs="Arial"/>
                <w:color w:val="7030A0"/>
              </w:rPr>
              <w:t>:</w:t>
            </w:r>
            <w:r w:rsidRPr="0072077A">
              <w:rPr>
                <w:rFonts w:ascii="Verdana" w:hAnsi="Verdana"/>
                <w:color w:val="7030A0"/>
              </w:rPr>
              <w:t xml:space="preserve"> </w:t>
            </w:r>
            <w:hyperlink r:id="rId12" w:history="1">
              <w:r w:rsidRPr="0072077A">
                <w:rPr>
                  <w:rStyle w:val="Hipervnculo"/>
                  <w:rFonts w:ascii="Verdana" w:hAnsi="Verdana" w:cs="Arial"/>
                </w:rPr>
                <w:t>https://www.colombiacompra.gov.co/manuales-guias-y-pliegos-tipo/manuales-y-guias</w:t>
              </w:r>
            </w:hyperlink>
          </w:p>
        </w:tc>
      </w:tr>
    </w:tbl>
    <w:p w14:paraId="73245E9C" w14:textId="77777777" w:rsidR="004C0691" w:rsidRPr="0072077A" w:rsidRDefault="004C0691" w:rsidP="004C0691">
      <w:pPr>
        <w:widowControl w:val="0"/>
        <w:autoSpaceDE w:val="0"/>
        <w:autoSpaceDN w:val="0"/>
        <w:spacing w:after="0" w:line="276" w:lineRule="auto"/>
        <w:jc w:val="both"/>
        <w:rPr>
          <w:rFonts w:ascii="Verdana" w:hAnsi="Verdana" w:cs="Arial"/>
        </w:rPr>
      </w:pPr>
    </w:p>
    <w:p w14:paraId="203C9B58" w14:textId="77777777" w:rsidR="00D818FA" w:rsidRPr="0072077A" w:rsidRDefault="00D818FA" w:rsidP="004C0691">
      <w:pPr>
        <w:widowControl w:val="0"/>
        <w:autoSpaceDE w:val="0"/>
        <w:autoSpaceDN w:val="0"/>
        <w:spacing w:after="0" w:line="276" w:lineRule="auto"/>
        <w:jc w:val="both"/>
        <w:rPr>
          <w:rFonts w:ascii="Verdana" w:hAnsi="Verdana" w:cs="Arial"/>
        </w:rPr>
      </w:pPr>
    </w:p>
    <w:p w14:paraId="554E824D" w14:textId="77777777" w:rsidR="004C0691" w:rsidRPr="0072077A" w:rsidRDefault="004C0691" w:rsidP="004C069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72077A">
        <w:rPr>
          <w:rFonts w:ascii="Verdana" w:eastAsia="Century Gothic" w:hAnsi="Verdana" w:cs="Century Gothic"/>
          <w:b/>
          <w:bCs/>
        </w:rPr>
        <w:t>Doctrina de la Agencia Nacional de Contratación Pública:</w:t>
      </w:r>
    </w:p>
    <w:p w14:paraId="3FE9B916" w14:textId="77777777" w:rsidR="004C0691" w:rsidRPr="0072077A" w:rsidRDefault="004C0691" w:rsidP="004C0691">
      <w:pPr>
        <w:widowControl w:val="0"/>
        <w:autoSpaceDE w:val="0"/>
        <w:autoSpaceDN w:val="0"/>
        <w:spacing w:after="0" w:line="276" w:lineRule="auto"/>
        <w:jc w:val="both"/>
        <w:rPr>
          <w:rFonts w:ascii="Verdana" w:hAnsi="Verdana" w:cs="Arial"/>
        </w:rPr>
      </w:pPr>
    </w:p>
    <w:p w14:paraId="451249F8" w14:textId="185949AB" w:rsidR="0023510A" w:rsidRDefault="0014123B" w:rsidP="0023510A">
      <w:pPr>
        <w:widowControl w:val="0"/>
        <w:autoSpaceDE w:val="0"/>
        <w:autoSpaceDN w:val="0"/>
        <w:spacing w:after="0" w:line="276" w:lineRule="auto"/>
        <w:jc w:val="both"/>
        <w:rPr>
          <w:rFonts w:ascii="Verdana" w:hAnsi="Verdana" w:cs="Arial"/>
          <w:shd w:val="clear" w:color="auto" w:fill="FFFFFF"/>
        </w:rPr>
      </w:pPr>
      <w:r w:rsidRPr="0072077A">
        <w:rPr>
          <w:rFonts w:ascii="Verdana" w:eastAsia="Calibri" w:hAnsi="Verdana" w:cs="Arial"/>
          <w:lang w:val="es-ES_tradnl" w:eastAsia="es-ES_tradnl"/>
        </w:rPr>
        <w:t xml:space="preserve">Sobre el régimen de inhabilidades e incompatibilidades se pronunció esta Subdirección en los conceptos No. </w:t>
      </w:r>
      <w:r w:rsidR="00E52AFD" w:rsidRPr="0072077A">
        <w:rPr>
          <w:rFonts w:ascii="Verdana" w:eastAsia="Calibri" w:hAnsi="Verdana" w:cs="Arial"/>
          <w:lang w:val="es-ES_tradnl" w:eastAsia="es-ES_tradnl"/>
        </w:rPr>
        <w:t xml:space="preserve">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 C−032 del 19 de febrero de 2020,  C−402 del 26 de junio de 2020, C−365 del 30 de junio de 2020, C−386 del 24 de julio de 2020, C-585 del 14 de septiembre de 2020, C–592 del 14 de septiembre de 2020, C−551 de 24 de septiembre de 2020, C−709 del 7 de </w:t>
      </w:r>
      <w:r w:rsidR="00E52AFD" w:rsidRPr="0072077A">
        <w:rPr>
          <w:rFonts w:ascii="Verdana" w:eastAsia="Calibri" w:hAnsi="Verdana" w:cs="Arial"/>
          <w:lang w:val="es-ES_tradnl" w:eastAsia="es-ES_tradnl"/>
        </w:rPr>
        <w:lastRenderedPageBreak/>
        <w:t>diciembre de 2020, C–721 de 14 de diciembre de 2020, C–004 del 12 de febrero de 2021, C-815 del 18 de febrero de 2021, C-047 del 8 de marzo de 2021, C-113 del 30 de marzo de 2021, C–122 del 30 de marzo de 2021, C–178 del 28 de abril de 20211, entre otros</w:t>
      </w:r>
      <w:r w:rsidR="0023510A">
        <w:rPr>
          <w:rFonts w:ascii="Verdana" w:eastAsia="Calibri" w:hAnsi="Verdana" w:cs="Arial"/>
          <w:lang w:val="es-ES_tradnl" w:eastAsia="es-ES_tradnl"/>
        </w:rPr>
        <w:t>.</w:t>
      </w:r>
      <w:r w:rsidR="0023510A" w:rsidRPr="0023510A">
        <w:rPr>
          <w:rFonts w:ascii="Verdana" w:hAnsi="Verdana" w:cs="Arial"/>
          <w:shd w:val="clear" w:color="auto" w:fill="FFFFFF"/>
        </w:rPr>
        <w:t xml:space="preserve"> </w:t>
      </w:r>
      <w:r w:rsidR="0023510A" w:rsidRPr="00C02094">
        <w:rPr>
          <w:rFonts w:ascii="Verdana" w:hAnsi="Verdana" w:cs="Arial"/>
          <w:shd w:val="clear" w:color="auto" w:fill="FFFFFF"/>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3" w:tooltip="Dirección URL original: https://relatoria.colombiacompra.gov.co/. Haga clic o pulse si confía en este vínculo." w:history="1">
        <w:r w:rsidR="0023510A" w:rsidRPr="00C02094">
          <w:rPr>
            <w:rStyle w:val="Hipervnculo"/>
            <w:rFonts w:ascii="Verdana" w:hAnsi="Verdana" w:cs="Arial"/>
            <w:shd w:val="clear" w:color="auto" w:fill="FFFFFF"/>
          </w:rPr>
          <w:t>https://relatoria.colombiacompra.gov.co/</w:t>
        </w:r>
      </w:hyperlink>
      <w:r w:rsidR="0023510A" w:rsidRPr="00C02094">
        <w:rPr>
          <w:rFonts w:ascii="Verdana" w:hAnsi="Verdana" w:cs="Arial"/>
          <w:shd w:val="clear" w:color="auto" w:fill="FFFFFF"/>
        </w:rPr>
        <w:t xml:space="preserve">  </w:t>
      </w:r>
    </w:p>
    <w:p w14:paraId="18129564" w14:textId="69AC76DF" w:rsidR="004C0691" w:rsidRPr="0072077A" w:rsidRDefault="004C0691" w:rsidP="004C0691">
      <w:pPr>
        <w:widowControl w:val="0"/>
        <w:autoSpaceDE w:val="0"/>
        <w:autoSpaceDN w:val="0"/>
        <w:spacing w:after="0" w:line="276" w:lineRule="auto"/>
        <w:jc w:val="both"/>
        <w:rPr>
          <w:rFonts w:ascii="Verdana" w:hAnsi="Verdana"/>
          <w:color w:val="000000"/>
          <w:shd w:val="clear" w:color="auto" w:fill="FFFFFF"/>
        </w:rPr>
      </w:pPr>
    </w:p>
    <w:p w14:paraId="3050324B" w14:textId="77777777" w:rsidR="00D818FA" w:rsidRPr="0072077A" w:rsidRDefault="00D818FA" w:rsidP="00D818FA">
      <w:pPr>
        <w:spacing w:after="0" w:line="240" w:lineRule="auto"/>
        <w:jc w:val="both"/>
        <w:rPr>
          <w:rFonts w:ascii="Verdana" w:hAnsi="Verdana" w:cs="Arial"/>
          <w:shd w:val="clear" w:color="auto" w:fill="FFFFFF"/>
        </w:rPr>
      </w:pPr>
      <w:r w:rsidRPr="0072077A">
        <w:rPr>
          <w:rFonts w:ascii="Verdana" w:hAnsi="Verdana" w:cs="Arial"/>
          <w:shd w:val="clear" w:color="auto" w:fill="FFFFFF"/>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 </w:t>
      </w:r>
      <w:hyperlink r:id="rId14" w:tgtFrame="_blank" w:tooltip="Dirección URL original: https://www.colombiacompra.gov.co/sala-de-prensa/boletin-digital/boletin-de-relatoria-2024-iv. Haga clic o pulse si confía en este vínculo." w:history="1">
        <w:r w:rsidRPr="0072077A">
          <w:rPr>
            <w:rStyle w:val="Hipervnculo"/>
            <w:rFonts w:ascii="Verdana" w:hAnsi="Verdana" w:cs="Arial"/>
            <w:shd w:val="clear" w:color="auto" w:fill="FFFFFF"/>
          </w:rPr>
          <w:t>BOLETÍN DE RELATORÍA 2024 – IV | Colombia Compra Eficiente | Agencia Nacional de Contratación Pública</w:t>
        </w:r>
      </w:hyperlink>
    </w:p>
    <w:p w14:paraId="786DA9C7" w14:textId="77777777" w:rsidR="004C0691" w:rsidRPr="0072077A" w:rsidRDefault="004C0691" w:rsidP="004C0691">
      <w:pPr>
        <w:widowControl w:val="0"/>
        <w:autoSpaceDE w:val="0"/>
        <w:autoSpaceDN w:val="0"/>
        <w:spacing w:after="0" w:line="276" w:lineRule="auto"/>
        <w:jc w:val="both"/>
        <w:rPr>
          <w:rFonts w:ascii="Verdana" w:hAnsi="Verdana" w:cs="Arial"/>
        </w:rPr>
      </w:pPr>
    </w:p>
    <w:p w14:paraId="22172F7B" w14:textId="77777777" w:rsidR="004C0691" w:rsidRPr="0072077A" w:rsidRDefault="004C0691" w:rsidP="004C0691">
      <w:pPr>
        <w:widowControl w:val="0"/>
        <w:autoSpaceDE w:val="0"/>
        <w:autoSpaceDN w:val="0"/>
        <w:spacing w:after="0" w:line="276" w:lineRule="auto"/>
        <w:jc w:val="both"/>
        <w:rPr>
          <w:rFonts w:ascii="Verdana" w:hAnsi="Verdana" w:cs="Arial"/>
          <w:lang w:val="es-ES_tradnl"/>
        </w:rPr>
      </w:pPr>
      <w:r w:rsidRPr="0072077A">
        <w:rPr>
          <w:rFonts w:ascii="Verdana" w:hAnsi="Verdana" w:cs="Arial"/>
        </w:rPr>
        <w:t xml:space="preserve">Este concepto tiene el alcance previsto en el artículo 28 del Código de Procedimiento Administrativo y de lo Contencioso Administrativo </w:t>
      </w:r>
      <w:r w:rsidRPr="0072077A">
        <w:rPr>
          <w:rFonts w:ascii="Verdana" w:hAnsi="Verdana" w:cs="Arial"/>
          <w:lang w:val="es-ES_tradnl"/>
        </w:rPr>
        <w:t>y las expresiones aquí utilizadas con mayúscula inicial deben ser entendidas con el significado que les otorga el artículo 2.2.1.1.1.3.1. del Decreto 1082 de 2015.</w:t>
      </w:r>
    </w:p>
    <w:p w14:paraId="6E8542A5" w14:textId="77777777" w:rsidR="004C0691" w:rsidRPr="0072077A" w:rsidRDefault="004C0691" w:rsidP="004C0691">
      <w:pPr>
        <w:widowControl w:val="0"/>
        <w:autoSpaceDE w:val="0"/>
        <w:autoSpaceDN w:val="0"/>
        <w:spacing w:after="0" w:line="276" w:lineRule="auto"/>
        <w:jc w:val="both"/>
        <w:rPr>
          <w:rFonts w:ascii="Verdana" w:hAnsi="Verdana" w:cs="Arial"/>
        </w:rPr>
      </w:pPr>
    </w:p>
    <w:p w14:paraId="095AA04B" w14:textId="77777777" w:rsidR="004C0691" w:rsidRPr="0072077A" w:rsidRDefault="004C0691" w:rsidP="004C0691">
      <w:pPr>
        <w:spacing w:after="0" w:line="276" w:lineRule="auto"/>
        <w:rPr>
          <w:rFonts w:ascii="Verdana" w:hAnsi="Verdana" w:cs="Arial"/>
          <w:lang w:eastAsia="es-CO"/>
        </w:rPr>
      </w:pPr>
      <w:r w:rsidRPr="0072077A">
        <w:rPr>
          <w:rFonts w:ascii="Verdana" w:eastAsia="Times New Roman" w:hAnsi="Verdana" w:cs="Arial"/>
          <w:lang w:eastAsia="es-CO"/>
        </w:rPr>
        <w:t>Atentamente,</w:t>
      </w:r>
      <w:r w:rsidRPr="0072077A">
        <w:rPr>
          <w:rFonts w:ascii="Verdana" w:hAnsi="Verdana" w:cs="Arial"/>
          <w:lang w:eastAsia="es-CO"/>
        </w:rPr>
        <w:t xml:space="preserve"> </w:t>
      </w:r>
    </w:p>
    <w:p w14:paraId="0DCCC0E2" w14:textId="3BA840FF" w:rsidR="00FC59CF" w:rsidRPr="0072077A" w:rsidRDefault="00915397" w:rsidP="00FC59CF">
      <w:pPr>
        <w:widowControl w:val="0"/>
        <w:autoSpaceDE w:val="0"/>
        <w:autoSpaceDN w:val="0"/>
        <w:spacing w:after="0" w:line="276" w:lineRule="auto"/>
        <w:jc w:val="center"/>
        <w:rPr>
          <w:rFonts w:ascii="Verdana" w:hAnsi="Verdana" w:cs="Arial"/>
          <w:lang w:val="es-ES_tradnl"/>
        </w:rPr>
      </w:pPr>
      <w:r w:rsidRPr="002C3AD6">
        <w:rPr>
          <w:rFonts w:ascii="Century Gothic" w:hAnsi="Century Gothic"/>
          <w:noProof/>
        </w:rPr>
        <w:drawing>
          <wp:inline distT="0" distB="0" distL="0" distR="0" wp14:anchorId="40D23773" wp14:editId="5BA61530">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5"/>
                    <a:stretch>
                      <a:fillRect/>
                    </a:stretch>
                  </pic:blipFill>
                  <pic:spPr>
                    <a:xfrm>
                      <a:off x="0" y="0"/>
                      <a:ext cx="3772426" cy="1400370"/>
                    </a:xfrm>
                    <a:prstGeom prst="rect">
                      <a:avLst/>
                    </a:prstGeom>
                  </pic:spPr>
                </pic:pic>
              </a:graphicData>
            </a:graphic>
          </wp:inline>
        </w:drawing>
      </w:r>
    </w:p>
    <w:p w14:paraId="6D394405" w14:textId="77777777" w:rsidR="00FC59CF" w:rsidRPr="0072077A" w:rsidRDefault="00FC59CF" w:rsidP="00D91E01">
      <w:pPr>
        <w:spacing w:line="276" w:lineRule="auto"/>
        <w:rPr>
          <w:rFonts w:ascii="Verdana" w:hAnsi="Verdana" w:cs="Arial"/>
          <w:sz w:val="16"/>
          <w:szCs w:val="16"/>
          <w:lang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FC59CF" w:rsidRPr="0072077A" w14:paraId="4A7CFA1B" w14:textId="77777777" w:rsidTr="008D1647">
        <w:trPr>
          <w:trHeight w:val="315"/>
        </w:trPr>
        <w:tc>
          <w:tcPr>
            <w:tcW w:w="893" w:type="dxa"/>
            <w:vAlign w:val="center"/>
            <w:hideMark/>
          </w:tcPr>
          <w:p w14:paraId="48F3772A" w14:textId="77777777" w:rsidR="00FC59CF" w:rsidRPr="0072077A" w:rsidRDefault="00FC59CF" w:rsidP="008D1647">
            <w:pPr>
              <w:contextualSpacing/>
              <w:rPr>
                <w:rFonts w:ascii="Verdana" w:hAnsi="Verdana" w:cs="Arial"/>
                <w:sz w:val="16"/>
                <w:szCs w:val="16"/>
                <w:lang w:eastAsia="es-CO"/>
              </w:rPr>
            </w:pPr>
            <w:r w:rsidRPr="0072077A">
              <w:rPr>
                <w:rFonts w:ascii="Verdana" w:hAnsi="Verdana" w:cs="Arial"/>
                <w:sz w:val="16"/>
                <w:szCs w:val="16"/>
                <w:lang w:eastAsia="es-CO"/>
              </w:rPr>
              <w:t>Elaboró:</w:t>
            </w:r>
          </w:p>
        </w:tc>
        <w:tc>
          <w:tcPr>
            <w:tcW w:w="5628" w:type="dxa"/>
            <w:tcBorders>
              <w:top w:val="nil"/>
              <w:left w:val="nil"/>
              <w:bottom w:val="dotted" w:sz="4" w:space="0" w:color="7F7F7F" w:themeColor="text1" w:themeTint="80"/>
              <w:right w:val="nil"/>
            </w:tcBorders>
            <w:vAlign w:val="center"/>
            <w:hideMark/>
          </w:tcPr>
          <w:p w14:paraId="3F2F7022" w14:textId="77777777" w:rsidR="00FC59CF" w:rsidRPr="0072077A" w:rsidRDefault="00FC59CF" w:rsidP="008D1647">
            <w:pPr>
              <w:contextualSpacing/>
              <w:rPr>
                <w:rFonts w:ascii="Verdana" w:hAnsi="Verdana" w:cs="Arial"/>
                <w:sz w:val="16"/>
                <w:szCs w:val="16"/>
                <w:lang w:eastAsia="es-CO"/>
              </w:rPr>
            </w:pPr>
            <w:r w:rsidRPr="0072077A">
              <w:rPr>
                <w:rFonts w:ascii="Verdana" w:hAnsi="Verdana" w:cs="Arial"/>
                <w:sz w:val="16"/>
                <w:szCs w:val="16"/>
                <w:lang w:eastAsia="es-CO"/>
              </w:rPr>
              <w:t xml:space="preserve">Diana Carolina Blanco Rodriguez </w:t>
            </w:r>
          </w:p>
          <w:p w14:paraId="19ED9515" w14:textId="77777777" w:rsidR="00FC59CF" w:rsidRPr="0072077A" w:rsidRDefault="00FC59CF" w:rsidP="008D1647">
            <w:pPr>
              <w:contextualSpacing/>
              <w:rPr>
                <w:rFonts w:ascii="Verdana" w:hAnsi="Verdana" w:cs="Arial"/>
                <w:sz w:val="16"/>
                <w:szCs w:val="16"/>
                <w:lang w:eastAsia="es-CO"/>
              </w:rPr>
            </w:pPr>
            <w:r w:rsidRPr="0072077A">
              <w:rPr>
                <w:rFonts w:ascii="Verdana" w:hAnsi="Verdana" w:cs="Arial"/>
                <w:sz w:val="16"/>
                <w:szCs w:val="16"/>
                <w:lang w:eastAsia="es-CO"/>
              </w:rPr>
              <w:t>Contratista de la Subdirección de Gestión Contractual</w:t>
            </w:r>
          </w:p>
        </w:tc>
      </w:tr>
      <w:tr w:rsidR="00FC59CF" w:rsidRPr="0072077A" w14:paraId="11DD5BBE" w14:textId="77777777" w:rsidTr="008D1647">
        <w:trPr>
          <w:trHeight w:val="330"/>
        </w:trPr>
        <w:tc>
          <w:tcPr>
            <w:tcW w:w="893" w:type="dxa"/>
            <w:vAlign w:val="center"/>
            <w:hideMark/>
          </w:tcPr>
          <w:p w14:paraId="3793AF7B" w14:textId="77777777" w:rsidR="00FC59CF" w:rsidRPr="0072077A" w:rsidRDefault="00FC59CF" w:rsidP="008D1647">
            <w:pPr>
              <w:contextualSpacing/>
              <w:rPr>
                <w:rFonts w:ascii="Verdana" w:hAnsi="Verdana" w:cs="Arial"/>
                <w:sz w:val="16"/>
                <w:szCs w:val="16"/>
                <w:lang w:eastAsia="es-CO"/>
              </w:rPr>
            </w:pPr>
            <w:r w:rsidRPr="0072077A">
              <w:rPr>
                <w:rFonts w:ascii="Verdana" w:hAnsi="Verdana" w:cs="Arial"/>
                <w:sz w:val="16"/>
                <w:szCs w:val="16"/>
                <w:lang w:eastAsia="es-CO"/>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7BFDB13" w14:textId="02E9CE1B" w:rsidR="00FC59CF" w:rsidRPr="0072077A" w:rsidRDefault="00D818FA" w:rsidP="008D1647">
            <w:pPr>
              <w:contextualSpacing/>
              <w:textAlignment w:val="baseline"/>
              <w:rPr>
                <w:rFonts w:ascii="Verdana" w:hAnsi="Verdana" w:cs="Arial"/>
                <w:sz w:val="16"/>
                <w:szCs w:val="16"/>
                <w:lang w:eastAsia="es-CO"/>
              </w:rPr>
            </w:pPr>
            <w:r w:rsidRPr="0072077A">
              <w:rPr>
                <w:rFonts w:ascii="Verdana" w:hAnsi="Verdana" w:cs="Arial"/>
                <w:sz w:val="16"/>
                <w:szCs w:val="16"/>
                <w:lang w:eastAsia="es-CO"/>
              </w:rPr>
              <w:t>Juan David Cárdenas</w:t>
            </w:r>
            <w:r w:rsidR="00D91E01">
              <w:rPr>
                <w:rFonts w:ascii="Verdana" w:hAnsi="Verdana" w:cs="Arial"/>
                <w:sz w:val="16"/>
                <w:szCs w:val="16"/>
                <w:lang w:eastAsia="es-CO"/>
              </w:rPr>
              <w:t xml:space="preserve"> Cabeza</w:t>
            </w:r>
            <w:r w:rsidRPr="0072077A">
              <w:rPr>
                <w:rFonts w:ascii="Verdana" w:hAnsi="Verdana" w:cs="Arial"/>
                <w:sz w:val="16"/>
                <w:szCs w:val="16"/>
                <w:lang w:eastAsia="es-CO"/>
              </w:rPr>
              <w:t xml:space="preserve"> </w:t>
            </w:r>
          </w:p>
          <w:p w14:paraId="56443620" w14:textId="77777777" w:rsidR="00FC59CF" w:rsidRPr="0072077A" w:rsidRDefault="00FC59CF" w:rsidP="008D1647">
            <w:pPr>
              <w:contextualSpacing/>
              <w:textAlignment w:val="baseline"/>
              <w:rPr>
                <w:rFonts w:ascii="Verdana" w:hAnsi="Verdana" w:cs="Arial"/>
                <w:sz w:val="16"/>
                <w:szCs w:val="16"/>
                <w:lang w:eastAsia="es-CO"/>
              </w:rPr>
            </w:pPr>
            <w:r w:rsidRPr="0072077A">
              <w:rPr>
                <w:rFonts w:ascii="Verdana" w:hAnsi="Verdana" w:cs="Arial"/>
                <w:sz w:val="16"/>
                <w:szCs w:val="16"/>
                <w:lang w:eastAsia="es-CO"/>
              </w:rPr>
              <w:t>Contratista de la Subdirección de Gestión Contractual </w:t>
            </w:r>
          </w:p>
        </w:tc>
      </w:tr>
      <w:tr w:rsidR="00FC59CF" w:rsidRPr="0072077A" w14:paraId="7210B759" w14:textId="77777777" w:rsidTr="008D1647">
        <w:trPr>
          <w:trHeight w:val="300"/>
        </w:trPr>
        <w:tc>
          <w:tcPr>
            <w:tcW w:w="893" w:type="dxa"/>
            <w:vAlign w:val="center"/>
          </w:tcPr>
          <w:p w14:paraId="741553FF" w14:textId="77777777" w:rsidR="00FC59CF" w:rsidRPr="0072077A" w:rsidRDefault="00FC59CF" w:rsidP="008D1647">
            <w:pPr>
              <w:contextualSpacing/>
              <w:rPr>
                <w:rFonts w:ascii="Verdana" w:hAnsi="Verdana" w:cs="Arial"/>
                <w:sz w:val="16"/>
                <w:szCs w:val="16"/>
                <w:lang w:eastAsia="es-CO"/>
              </w:rPr>
            </w:pPr>
            <w:r w:rsidRPr="0072077A">
              <w:rPr>
                <w:rFonts w:ascii="Verdana" w:hAnsi="Verdana" w:cs="Arial"/>
                <w:sz w:val="16"/>
                <w:szCs w:val="16"/>
                <w:lang w:eastAsia="es-CO"/>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14464E1" w14:textId="77777777" w:rsidR="00FC59CF" w:rsidRPr="0072077A" w:rsidRDefault="00FC59CF" w:rsidP="008D1647">
            <w:pPr>
              <w:contextualSpacing/>
              <w:rPr>
                <w:rFonts w:ascii="Verdana" w:hAnsi="Verdana" w:cs="Arial"/>
                <w:sz w:val="16"/>
                <w:szCs w:val="16"/>
                <w:lang w:eastAsia="es-CO"/>
              </w:rPr>
            </w:pPr>
            <w:r w:rsidRPr="0072077A">
              <w:rPr>
                <w:rFonts w:ascii="Verdana" w:hAnsi="Verdana" w:cs="Arial"/>
                <w:sz w:val="16"/>
                <w:szCs w:val="16"/>
                <w:lang w:eastAsia="es-CO"/>
              </w:rPr>
              <w:t>Carolina Quintero Gacharná</w:t>
            </w:r>
          </w:p>
          <w:p w14:paraId="67DF06B2" w14:textId="77777777" w:rsidR="00FC59CF" w:rsidRPr="0072077A" w:rsidRDefault="00FC59CF" w:rsidP="008D1647">
            <w:pPr>
              <w:contextualSpacing/>
              <w:rPr>
                <w:rFonts w:ascii="Verdana" w:hAnsi="Verdana" w:cs="Arial"/>
                <w:sz w:val="16"/>
                <w:szCs w:val="16"/>
                <w:lang w:eastAsia="es-CO"/>
              </w:rPr>
            </w:pPr>
            <w:r w:rsidRPr="0072077A">
              <w:rPr>
                <w:rFonts w:ascii="Verdana" w:hAnsi="Verdana" w:cs="Arial"/>
                <w:sz w:val="16"/>
                <w:szCs w:val="16"/>
                <w:lang w:eastAsia="es-CO"/>
              </w:rPr>
              <w:t>Subdirectora de Gestión Contractual ANCP – CCE</w:t>
            </w:r>
          </w:p>
        </w:tc>
      </w:tr>
      <w:bookmarkEnd w:id="0"/>
    </w:tbl>
    <w:p w14:paraId="0656C5A0" w14:textId="77777777" w:rsidR="00FC59CF" w:rsidRPr="0072077A" w:rsidRDefault="00FC59CF" w:rsidP="00D818FA">
      <w:pPr>
        <w:rPr>
          <w:rFonts w:ascii="Verdana" w:hAnsi="Verdana"/>
          <w:lang w:val="es-ES_tradnl"/>
        </w:rPr>
      </w:pPr>
    </w:p>
    <w:sectPr w:rsidR="00FC59CF" w:rsidRPr="0072077A"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338B2" w14:textId="77777777" w:rsidR="008A2890" w:rsidRDefault="008A2890" w:rsidP="004A1847">
      <w:pPr>
        <w:spacing w:after="0" w:line="240" w:lineRule="auto"/>
      </w:pPr>
      <w:r>
        <w:separator/>
      </w:r>
    </w:p>
  </w:endnote>
  <w:endnote w:type="continuationSeparator" w:id="0">
    <w:p w14:paraId="77E348CC" w14:textId="77777777" w:rsidR="008A2890" w:rsidRDefault="008A2890" w:rsidP="004A1847">
      <w:pPr>
        <w:spacing w:after="0" w:line="240" w:lineRule="auto"/>
      </w:pPr>
      <w:r>
        <w:continuationSeparator/>
      </w:r>
    </w:p>
  </w:endnote>
  <w:endnote w:type="continuationNotice" w:id="1">
    <w:p w14:paraId="17795DB5" w14:textId="77777777" w:rsidR="008A2890" w:rsidRDefault="008A28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A9449" w14:textId="77777777" w:rsidR="008A2890" w:rsidRDefault="008A2890" w:rsidP="004A1847">
      <w:pPr>
        <w:spacing w:after="0" w:line="240" w:lineRule="auto"/>
      </w:pPr>
      <w:r>
        <w:separator/>
      </w:r>
    </w:p>
  </w:footnote>
  <w:footnote w:type="continuationSeparator" w:id="0">
    <w:p w14:paraId="235326C0" w14:textId="77777777" w:rsidR="008A2890" w:rsidRDefault="008A2890" w:rsidP="004A1847">
      <w:pPr>
        <w:spacing w:after="0" w:line="240" w:lineRule="auto"/>
      </w:pPr>
      <w:r>
        <w:continuationSeparator/>
      </w:r>
    </w:p>
  </w:footnote>
  <w:footnote w:type="continuationNotice" w:id="1">
    <w:p w14:paraId="1CB7F39F" w14:textId="77777777" w:rsidR="008A2890" w:rsidRDefault="008A2890">
      <w:pPr>
        <w:spacing w:after="0" w:line="240" w:lineRule="auto"/>
      </w:pPr>
    </w:p>
  </w:footnote>
  <w:footnote w:id="2">
    <w:p w14:paraId="16E53460" w14:textId="77777777" w:rsidR="0054605A" w:rsidRPr="00F83911" w:rsidRDefault="0054605A" w:rsidP="0054605A">
      <w:pPr>
        <w:pStyle w:val="Textonotapie"/>
        <w:ind w:firstLine="708"/>
        <w:rPr>
          <w:rFonts w:ascii="Verdana" w:hAnsi="Verdana"/>
          <w:sz w:val="14"/>
          <w:szCs w:val="14"/>
        </w:rPr>
      </w:pPr>
    </w:p>
    <w:p w14:paraId="721712B3" w14:textId="77777777" w:rsidR="0054605A" w:rsidRPr="00F83911" w:rsidRDefault="0054605A" w:rsidP="0054605A">
      <w:pPr>
        <w:pStyle w:val="Textonotapie"/>
        <w:ind w:firstLine="708"/>
        <w:jc w:val="both"/>
        <w:rPr>
          <w:rFonts w:ascii="Verdana" w:hAnsi="Verdana"/>
          <w:sz w:val="14"/>
          <w:szCs w:val="14"/>
        </w:rPr>
      </w:pPr>
      <w:r w:rsidRPr="00F83911">
        <w:rPr>
          <w:rStyle w:val="Refdenotaalpie"/>
          <w:rFonts w:ascii="Verdana" w:hAnsi="Verdana"/>
          <w:sz w:val="14"/>
          <w:szCs w:val="14"/>
        </w:rPr>
        <w:footnoteRef/>
      </w:r>
      <w:r w:rsidRPr="00F83911">
        <w:rPr>
          <w:rFonts w:ascii="Verdana" w:hAnsi="Verdana"/>
          <w:sz w:val="14"/>
          <w:szCs w:val="14"/>
        </w:rPr>
        <w:t xml:space="preserve"> Ley 80 de 1993: “Artículo 8º. de las inhabilidades e incompatibilidades para contratar.</w:t>
      </w:r>
    </w:p>
    <w:p w14:paraId="7A355655" w14:textId="77777777" w:rsidR="0054605A" w:rsidRPr="00F83911" w:rsidRDefault="0054605A" w:rsidP="0054605A">
      <w:pPr>
        <w:pStyle w:val="Textonotapie"/>
        <w:ind w:firstLine="708"/>
        <w:jc w:val="both"/>
        <w:rPr>
          <w:rFonts w:ascii="Verdana" w:hAnsi="Verdana"/>
          <w:sz w:val="14"/>
          <w:szCs w:val="14"/>
        </w:rPr>
      </w:pPr>
      <w:r w:rsidRPr="00F83911">
        <w:rPr>
          <w:rFonts w:ascii="Verdana" w:hAnsi="Verdana"/>
          <w:sz w:val="14"/>
          <w:szCs w:val="14"/>
        </w:rPr>
        <w:t>1º. Son inhábiles para participar en licitaciones o concursos y para celebrar contratos con las entidades estatales:</w:t>
      </w:r>
    </w:p>
    <w:p w14:paraId="6B3DFE13" w14:textId="77777777" w:rsidR="0054605A" w:rsidRPr="00F83911" w:rsidRDefault="0054605A" w:rsidP="0054605A">
      <w:pPr>
        <w:pStyle w:val="Textonotapie"/>
        <w:ind w:firstLine="708"/>
        <w:jc w:val="both"/>
        <w:rPr>
          <w:rFonts w:ascii="Verdana" w:hAnsi="Verdana"/>
          <w:sz w:val="14"/>
          <w:szCs w:val="14"/>
        </w:rPr>
      </w:pPr>
      <w:r w:rsidRPr="00F83911">
        <w:rPr>
          <w:rFonts w:ascii="Verdana" w:hAnsi="Verdana"/>
          <w:sz w:val="14"/>
          <w:szCs w:val="14"/>
        </w:rPr>
        <w:t>[…]</w:t>
      </w:r>
    </w:p>
    <w:p w14:paraId="44492134" w14:textId="77777777" w:rsidR="0054605A" w:rsidRPr="00F83911" w:rsidRDefault="0054605A" w:rsidP="0054605A">
      <w:pPr>
        <w:pStyle w:val="Textonotapie"/>
        <w:ind w:firstLine="708"/>
        <w:jc w:val="both"/>
        <w:rPr>
          <w:rFonts w:ascii="Verdana" w:hAnsi="Verdana"/>
          <w:sz w:val="14"/>
          <w:szCs w:val="14"/>
        </w:rPr>
      </w:pPr>
      <w:r w:rsidRPr="00F83911">
        <w:rPr>
          <w:rFonts w:ascii="Verdana" w:hAnsi="Verdana"/>
          <w:sz w:val="14"/>
          <w:szCs w:val="14"/>
        </w:rPr>
        <w:t>d) Quienes en sentencia judicial hayan sido condenados a la pena accesoria de interdicción de derechos y funciones públicas y quienes hayan sido sancionados disciplinariamente con destitución.</w:t>
      </w:r>
    </w:p>
    <w:p w14:paraId="448B9CEF" w14:textId="77777777" w:rsidR="0054605A" w:rsidRPr="00F83911" w:rsidRDefault="0054605A" w:rsidP="0054605A">
      <w:pPr>
        <w:pStyle w:val="Textonotapie"/>
        <w:ind w:firstLine="708"/>
        <w:jc w:val="both"/>
        <w:rPr>
          <w:rFonts w:ascii="Verdana" w:hAnsi="Verdana"/>
          <w:sz w:val="14"/>
          <w:szCs w:val="14"/>
        </w:rPr>
      </w:pPr>
      <w:r w:rsidRPr="00F83911">
        <w:rPr>
          <w:rFonts w:ascii="Verdana" w:hAnsi="Verdana"/>
          <w:sz w:val="14"/>
          <w:szCs w:val="14"/>
        </w:rPr>
        <w:t>[….]</w:t>
      </w:r>
    </w:p>
    <w:p w14:paraId="3B105CE2" w14:textId="77777777" w:rsidR="0054605A" w:rsidRPr="00F83911" w:rsidRDefault="0054605A" w:rsidP="0054605A">
      <w:pPr>
        <w:pStyle w:val="Textonotapie"/>
        <w:ind w:firstLine="708"/>
        <w:jc w:val="both"/>
        <w:rPr>
          <w:rFonts w:ascii="Verdana" w:hAnsi="Verdana"/>
          <w:sz w:val="14"/>
          <w:szCs w:val="14"/>
        </w:rPr>
      </w:pPr>
      <w:r w:rsidRPr="00F83911">
        <w:rPr>
          <w:rFonts w:ascii="Verdana" w:hAnsi="Verdana"/>
          <w:sz w:val="14"/>
          <w:szCs w:val="14"/>
        </w:rPr>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w:t>
      </w:r>
    </w:p>
    <w:p w14:paraId="7DC81EB1" w14:textId="77777777" w:rsidR="0054605A" w:rsidRPr="00F83911" w:rsidRDefault="0054605A" w:rsidP="0054605A">
      <w:pPr>
        <w:pStyle w:val="Textonotapie"/>
        <w:ind w:firstLine="708"/>
        <w:jc w:val="both"/>
        <w:rPr>
          <w:rFonts w:ascii="Verdana" w:hAnsi="Verdana"/>
          <w:sz w:val="14"/>
          <w:szCs w:val="14"/>
        </w:rPr>
      </w:pPr>
      <w:r w:rsidRPr="00F83911">
        <w:rPr>
          <w:rFonts w:ascii="Verdana" w:hAnsi="Verdana"/>
          <w:sz w:val="14"/>
          <w:szCs w:val="14"/>
        </w:rPr>
        <w:t>Esta inhabilidad procederá preventivamente aún en los casos en los que esté pendiente la decisión sobre la impugnación de la sentencia condenatoria.</w:t>
      </w:r>
    </w:p>
    <w:p w14:paraId="014E6F48" w14:textId="77777777" w:rsidR="0054605A" w:rsidRPr="00F83911" w:rsidRDefault="0054605A" w:rsidP="0054605A">
      <w:pPr>
        <w:pStyle w:val="Textonotapie"/>
        <w:ind w:firstLine="708"/>
        <w:jc w:val="both"/>
        <w:rPr>
          <w:rFonts w:ascii="Verdana" w:hAnsi="Verdana"/>
          <w:sz w:val="14"/>
          <w:szCs w:val="14"/>
        </w:rPr>
      </w:pPr>
      <w:r w:rsidRPr="00F83911">
        <w:rPr>
          <w:rFonts w:ascii="Verdana" w:hAnsi="Verdana"/>
          <w:sz w:val="14"/>
          <w:szCs w:val="14"/>
        </w:rPr>
        <w:t>Asimismo, la inhabilidad se extenderá a las sociedades de las que hagan parte dichas personas en calidad de administradores, represen­tantes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ex­cepción de las sociedades anónimas abiertas.</w:t>
      </w:r>
    </w:p>
    <w:p w14:paraId="390FBDC0" w14:textId="77777777" w:rsidR="0054605A" w:rsidRPr="00F83911" w:rsidRDefault="0054605A" w:rsidP="0054605A">
      <w:pPr>
        <w:pStyle w:val="Textonotapie"/>
        <w:ind w:firstLine="708"/>
        <w:jc w:val="both"/>
        <w:rPr>
          <w:rFonts w:ascii="Verdana" w:hAnsi="Verdana"/>
          <w:sz w:val="14"/>
          <w:szCs w:val="14"/>
        </w:rPr>
      </w:pPr>
      <w:r w:rsidRPr="00F83911">
        <w:rPr>
          <w:rFonts w:ascii="Verdana" w:hAnsi="Verdana"/>
          <w:sz w:val="14"/>
          <w:szCs w:val="14"/>
        </w:rPr>
        <w:t>También se considerarán inhabilitadas para contratar, las personas jurídicas sobre las cuales se haya ordenado la suspensión de la perso­nería jurídica en los términos de ley, o cuyos representantes legales, ad­ministradores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w:t>
      </w:r>
    </w:p>
    <w:p w14:paraId="2BEF491E" w14:textId="77777777" w:rsidR="0054605A" w:rsidRPr="00561BE9" w:rsidRDefault="0054605A" w:rsidP="0054605A">
      <w:pPr>
        <w:pStyle w:val="Textonotapie"/>
        <w:ind w:firstLine="708"/>
        <w:rPr>
          <w:rFonts w:ascii="Century Gothic" w:hAnsi="Century Gothic"/>
          <w:sz w:val="16"/>
          <w:szCs w:val="16"/>
        </w:rPr>
      </w:pPr>
      <w:r w:rsidRPr="00561BE9">
        <w:rPr>
          <w:rFonts w:ascii="Century Gothic" w:hAnsi="Century Gothic"/>
          <w:sz w:val="16"/>
          <w:szCs w:val="16"/>
        </w:rPr>
        <w:t xml:space="preserve"> </w:t>
      </w:r>
    </w:p>
  </w:footnote>
  <w:footnote w:id="3">
    <w:p w14:paraId="5984D713" w14:textId="77777777" w:rsidR="00E52AFD" w:rsidRPr="00F83911" w:rsidRDefault="00E52AFD" w:rsidP="00E52AFD">
      <w:pPr>
        <w:pStyle w:val="Textonotapie"/>
        <w:ind w:firstLine="708"/>
        <w:jc w:val="both"/>
        <w:rPr>
          <w:rFonts w:ascii="Verdana" w:hAnsi="Verdana" w:cs="Arial"/>
          <w:color w:val="000000" w:themeColor="text1"/>
          <w:sz w:val="14"/>
          <w:szCs w:val="14"/>
        </w:rPr>
      </w:pPr>
      <w:r w:rsidRPr="00F83911">
        <w:rPr>
          <w:rStyle w:val="Refdenotaalpie"/>
          <w:rFonts w:ascii="Verdana" w:hAnsi="Verdana" w:cs="Arial"/>
          <w:color w:val="000000" w:themeColor="text1"/>
          <w:sz w:val="14"/>
          <w:szCs w:val="14"/>
        </w:rPr>
        <w:footnoteRef/>
      </w:r>
      <w:r w:rsidRPr="00F83911">
        <w:rPr>
          <w:rFonts w:ascii="Verdana" w:hAnsi="Verdana" w:cs="Arial"/>
          <w:color w:val="000000" w:themeColor="text1"/>
          <w:sz w:val="14"/>
          <w:szCs w:val="14"/>
        </w:rPr>
        <w:t xml:space="preserve"> CONSEJO DE ESTADO. Sección Tercera. Sentencia de unificación del 2 de diciembre de 2013, Exp. 41719. M.P. Dr. Jaime Orlando Santofimio Gamboa. </w:t>
      </w:r>
    </w:p>
    <w:p w14:paraId="583BCF3D" w14:textId="77777777" w:rsidR="00E52AFD" w:rsidRPr="00F83911" w:rsidRDefault="00E52AFD" w:rsidP="00E52AFD">
      <w:pPr>
        <w:pStyle w:val="Textonotapie"/>
        <w:ind w:firstLine="708"/>
        <w:jc w:val="both"/>
        <w:rPr>
          <w:rFonts w:ascii="Verdana" w:hAnsi="Verdana" w:cs="Arial"/>
          <w:color w:val="000000" w:themeColor="text1"/>
          <w:sz w:val="14"/>
          <w:szCs w:val="14"/>
          <w:lang w:val="es-ES"/>
        </w:rPr>
      </w:pPr>
    </w:p>
  </w:footnote>
  <w:footnote w:id="4">
    <w:p w14:paraId="098A411D" w14:textId="77777777" w:rsidR="00E52AFD" w:rsidRPr="00F83911" w:rsidRDefault="00E52AFD" w:rsidP="00E52AFD">
      <w:pPr>
        <w:pStyle w:val="Textonotapie"/>
        <w:ind w:firstLine="708"/>
        <w:jc w:val="both"/>
        <w:rPr>
          <w:rFonts w:ascii="Century Gothic" w:hAnsi="Century Gothic" w:cs="Arial"/>
          <w:color w:val="000000" w:themeColor="text1"/>
          <w:sz w:val="14"/>
          <w:szCs w:val="14"/>
          <w:lang w:val="es-ES"/>
        </w:rPr>
      </w:pPr>
      <w:r w:rsidRPr="00F83911">
        <w:rPr>
          <w:rStyle w:val="Refdenotaalpie"/>
          <w:rFonts w:ascii="Verdana" w:hAnsi="Verdana" w:cs="Arial"/>
          <w:color w:val="000000" w:themeColor="text1"/>
          <w:sz w:val="14"/>
          <w:szCs w:val="14"/>
        </w:rPr>
        <w:footnoteRef/>
      </w:r>
      <w:r w:rsidRPr="00F83911">
        <w:rPr>
          <w:rFonts w:ascii="Verdana" w:hAnsi="Verdana" w:cs="Arial"/>
          <w:color w:val="000000" w:themeColor="text1"/>
          <w:sz w:val="14"/>
          <w:szCs w:val="14"/>
        </w:rPr>
        <w:t xml:space="preserve"> Ibidem.</w:t>
      </w:r>
      <w:r w:rsidRPr="00F83911">
        <w:rPr>
          <w:rFonts w:ascii="Century Gothic" w:hAnsi="Century Gothic" w:cs="Arial"/>
          <w:color w:val="000000" w:themeColor="text1"/>
          <w:sz w:val="14"/>
          <w:szCs w:val="14"/>
        </w:rPr>
        <w:t xml:space="preserve"> </w:t>
      </w:r>
    </w:p>
  </w:footnote>
  <w:footnote w:id="5">
    <w:p w14:paraId="17F0A2DF" w14:textId="77777777" w:rsidR="00E52AFD" w:rsidRPr="00F83911" w:rsidRDefault="00E52AFD" w:rsidP="00E52AFD">
      <w:pPr>
        <w:pStyle w:val="Textonotapie"/>
        <w:ind w:firstLine="708"/>
        <w:jc w:val="both"/>
        <w:rPr>
          <w:rFonts w:ascii="Verdana" w:hAnsi="Verdana" w:cs="Arial"/>
          <w:color w:val="000000" w:themeColor="text1"/>
          <w:sz w:val="14"/>
          <w:szCs w:val="14"/>
        </w:rPr>
      </w:pPr>
      <w:r w:rsidRPr="00F83911">
        <w:rPr>
          <w:rStyle w:val="Refdenotaalpie"/>
          <w:rFonts w:ascii="Verdana" w:hAnsi="Verdana" w:cs="Arial"/>
          <w:sz w:val="14"/>
          <w:szCs w:val="14"/>
        </w:rPr>
        <w:footnoteRef/>
      </w:r>
      <w:r w:rsidRPr="00F83911">
        <w:rPr>
          <w:rFonts w:ascii="Verdana" w:hAnsi="Verdana" w:cs="Arial"/>
          <w:sz w:val="14"/>
          <w:szCs w:val="14"/>
        </w:rPr>
        <w:t xml:space="preserve"> </w:t>
      </w:r>
      <w:r w:rsidRPr="00F83911">
        <w:rPr>
          <w:rFonts w:ascii="Verdana" w:hAnsi="Verdana" w:cs="Arial"/>
          <w:color w:val="000000" w:themeColor="text1"/>
          <w:sz w:val="14"/>
          <w:szCs w:val="14"/>
        </w:rPr>
        <w:t xml:space="preserve">CONSEJO DE ESTADO. Sección Tercera. Sentencia del 3 de diciembre de 2007. Exp. 24715. C.P. Ruth Stella Correa Palacio. </w:t>
      </w:r>
    </w:p>
    <w:p w14:paraId="05A4F45F" w14:textId="77777777" w:rsidR="00E52AFD" w:rsidRPr="00F83911" w:rsidRDefault="00E52AFD" w:rsidP="00E52AFD">
      <w:pPr>
        <w:pStyle w:val="Textonotapie"/>
        <w:rPr>
          <w:rFonts w:ascii="Verdana" w:hAnsi="Verdana" w:cs="Arial"/>
          <w:sz w:val="14"/>
          <w:szCs w:val="14"/>
        </w:rPr>
      </w:pPr>
    </w:p>
  </w:footnote>
  <w:footnote w:id="6">
    <w:p w14:paraId="243F8C32" w14:textId="77777777" w:rsidR="00E52AFD" w:rsidRPr="00F83911" w:rsidRDefault="00E52AFD" w:rsidP="00E52AFD">
      <w:pPr>
        <w:pStyle w:val="Textonotapie"/>
        <w:ind w:firstLine="709"/>
        <w:jc w:val="both"/>
        <w:rPr>
          <w:rFonts w:ascii="Verdana" w:hAnsi="Verdana" w:cs="Arial"/>
          <w:color w:val="000000" w:themeColor="text1"/>
          <w:sz w:val="14"/>
          <w:szCs w:val="14"/>
        </w:rPr>
      </w:pPr>
      <w:r w:rsidRPr="00F83911">
        <w:rPr>
          <w:rStyle w:val="Refdenotaalpie"/>
          <w:rFonts w:ascii="Verdana" w:hAnsi="Verdana" w:cs="Arial"/>
          <w:color w:val="000000" w:themeColor="text1"/>
          <w:sz w:val="14"/>
          <w:szCs w:val="14"/>
        </w:rPr>
        <w:footnoteRef/>
      </w:r>
      <w:r w:rsidRPr="00F83911">
        <w:rPr>
          <w:rFonts w:ascii="Verdana" w:hAnsi="Verdana" w:cs="Arial"/>
          <w:color w:val="000000" w:themeColor="text1"/>
          <w:sz w:val="14"/>
          <w:szCs w:val="14"/>
        </w:rPr>
        <w:t xml:space="preserve"> 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34F23008" w14:textId="77777777" w:rsidR="00E52AFD" w:rsidRPr="00F83911" w:rsidRDefault="00E52AFD" w:rsidP="00E52AFD">
      <w:pPr>
        <w:pStyle w:val="Textonotapie"/>
        <w:ind w:firstLine="709"/>
        <w:jc w:val="both"/>
        <w:rPr>
          <w:rFonts w:ascii="Verdana" w:hAnsi="Verdana" w:cs="Arial"/>
          <w:color w:val="000000" w:themeColor="text1"/>
          <w:sz w:val="14"/>
          <w:szCs w:val="14"/>
        </w:rPr>
      </w:pPr>
      <w:r w:rsidRPr="00F83911">
        <w:rPr>
          <w:rFonts w:ascii="Verdana" w:hAnsi="Verdana" w:cs="Arial"/>
          <w:color w:val="000000" w:themeColor="text1"/>
          <w:sz w:val="14"/>
          <w:szCs w:val="14"/>
        </w:rPr>
        <w:t>“2. Quien presta el servicio se denomina trabajador, quien lo recibe y remunera, empleador, y la remuneración, cualquiera que sea su forma, salario”.</w:t>
      </w:r>
    </w:p>
    <w:p w14:paraId="4A2982E4" w14:textId="77777777" w:rsidR="00E52AFD" w:rsidRPr="0028282F" w:rsidRDefault="00E52AFD" w:rsidP="00E52AFD">
      <w:pPr>
        <w:pStyle w:val="Textonotapie"/>
        <w:ind w:firstLine="709"/>
        <w:jc w:val="both"/>
        <w:rPr>
          <w:rFonts w:ascii="Century Gothic" w:hAnsi="Century Gothic" w:cs="Arial"/>
          <w:color w:val="000000" w:themeColor="text1"/>
          <w:sz w:val="16"/>
          <w:szCs w:val="16"/>
        </w:rPr>
      </w:pPr>
    </w:p>
  </w:footnote>
  <w:footnote w:id="7">
    <w:p w14:paraId="358F3274" w14:textId="77777777" w:rsidR="00E52AFD" w:rsidRPr="00F83911" w:rsidRDefault="00E52AFD" w:rsidP="00E52AFD">
      <w:pPr>
        <w:pStyle w:val="Textonotapie"/>
        <w:ind w:firstLine="709"/>
        <w:jc w:val="both"/>
        <w:rPr>
          <w:rFonts w:ascii="Verdana" w:hAnsi="Verdana" w:cs="Arial"/>
          <w:color w:val="000000" w:themeColor="text1"/>
          <w:sz w:val="14"/>
          <w:szCs w:val="14"/>
        </w:rPr>
      </w:pPr>
      <w:r w:rsidRPr="00F83911">
        <w:rPr>
          <w:rStyle w:val="Refdenotaalpie"/>
          <w:rFonts w:ascii="Verdana" w:hAnsi="Verdana" w:cs="Arial"/>
          <w:sz w:val="14"/>
          <w:szCs w:val="14"/>
        </w:rPr>
        <w:footnoteRef/>
      </w:r>
      <w:r w:rsidRPr="00F83911">
        <w:rPr>
          <w:rFonts w:ascii="Verdana" w:hAnsi="Verdana" w:cs="Arial"/>
          <w:sz w:val="14"/>
          <w:szCs w:val="14"/>
        </w:rPr>
        <w:t xml:space="preserve"> </w:t>
      </w:r>
      <w:r w:rsidRPr="00F83911">
        <w:rPr>
          <w:rFonts w:ascii="Verdana" w:hAnsi="Verdana" w:cs="Arial"/>
          <w:color w:val="000000" w:themeColor="text1"/>
          <w:sz w:val="14"/>
          <w:szCs w:val="14"/>
        </w:rPr>
        <w:t>CONSEJO DE ESTADO. Sección Tercera. Subsección C. Sentencia del 2 de diciembre de 2013. Exp. 41719. C.P. Jaime Orlando Santofimio Gamboa.</w:t>
      </w:r>
    </w:p>
    <w:p w14:paraId="518F6CDF" w14:textId="77777777" w:rsidR="00E52AFD" w:rsidRPr="00F83911" w:rsidRDefault="00E52AFD" w:rsidP="00E52AFD">
      <w:pPr>
        <w:pStyle w:val="Textonotapie"/>
        <w:rPr>
          <w:rFonts w:ascii="Verdana" w:hAnsi="Verdana" w:cs="Arial"/>
          <w:sz w:val="14"/>
          <w:szCs w:val="14"/>
        </w:rPr>
      </w:pPr>
    </w:p>
  </w:footnote>
  <w:footnote w:id="8">
    <w:p w14:paraId="065093F6" w14:textId="77777777" w:rsidR="00E52AFD" w:rsidRPr="00F83911" w:rsidRDefault="00E52AFD" w:rsidP="00E52AFD">
      <w:pPr>
        <w:pStyle w:val="Textonotapie"/>
        <w:ind w:firstLine="709"/>
        <w:jc w:val="both"/>
        <w:rPr>
          <w:rFonts w:ascii="Verdana" w:hAnsi="Verdana" w:cs="Arial"/>
          <w:color w:val="000000" w:themeColor="text1"/>
          <w:sz w:val="14"/>
          <w:szCs w:val="14"/>
        </w:rPr>
      </w:pPr>
      <w:r w:rsidRPr="00F83911">
        <w:rPr>
          <w:rStyle w:val="Refdenotaalpie"/>
          <w:rFonts w:ascii="Verdana" w:hAnsi="Verdana" w:cs="Arial"/>
          <w:color w:val="000000" w:themeColor="text1"/>
          <w:sz w:val="14"/>
          <w:szCs w:val="14"/>
        </w:rPr>
        <w:footnoteRef/>
      </w:r>
      <w:r w:rsidRPr="00F83911">
        <w:rPr>
          <w:rFonts w:ascii="Verdana" w:hAnsi="Verdana" w:cs="Arial"/>
          <w:color w:val="000000" w:themeColor="text1"/>
          <w:sz w:val="14"/>
          <w:szCs w:val="14"/>
        </w:rPr>
        <w:t xml:space="preserve"> Ibídem.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5C48FBE3" w14:textId="77777777" w:rsidR="00E52AFD" w:rsidRPr="00F83911" w:rsidRDefault="00E52AFD" w:rsidP="00E52AFD">
      <w:pPr>
        <w:pStyle w:val="Textonotapie"/>
        <w:ind w:firstLine="709"/>
        <w:jc w:val="both"/>
        <w:rPr>
          <w:rFonts w:ascii="Verdana" w:hAnsi="Verdana" w:cs="Arial"/>
          <w:color w:val="000000" w:themeColor="text1"/>
          <w:sz w:val="14"/>
          <w:szCs w:val="14"/>
        </w:rPr>
      </w:pPr>
      <w:r w:rsidRPr="00F83911">
        <w:rPr>
          <w:rFonts w:ascii="Verdana" w:hAnsi="Verdana" w:cs="Arial"/>
          <w:color w:val="000000" w:themeColor="text1"/>
          <w:sz w:val="14"/>
          <w:szCs w:val="14"/>
        </w:rPr>
        <w:t>“ Son también contratos de consultoría los que tienen por objeto la interventoría, asesoría, gerencia de obra o de proyectos, dirección, programación y la ejecución de diseños, planos, anteproyectos y proyectos.</w:t>
      </w:r>
    </w:p>
    <w:p w14:paraId="76F42427" w14:textId="77777777" w:rsidR="00E52AFD" w:rsidRPr="00F83911" w:rsidRDefault="00E52AFD" w:rsidP="00E52AFD">
      <w:pPr>
        <w:pStyle w:val="Textonotapie"/>
        <w:ind w:firstLine="709"/>
        <w:jc w:val="both"/>
        <w:rPr>
          <w:rFonts w:ascii="Verdana" w:hAnsi="Verdana" w:cs="Arial"/>
          <w:color w:val="000000" w:themeColor="text1"/>
          <w:sz w:val="14"/>
          <w:szCs w:val="14"/>
        </w:rPr>
      </w:pPr>
      <w:r w:rsidRPr="00F83911">
        <w:rPr>
          <w:rFonts w:ascii="Verdana" w:hAnsi="Verdana" w:cs="Arial"/>
          <w:color w:val="000000" w:themeColor="text1"/>
          <w:sz w:val="14"/>
          <w:szCs w:val="14"/>
        </w:rPr>
        <w:t>“ Ninguna orden del interventor de una obra podrá darse verbalmente. Es obligatorio para el interventor entregar por escrito sus órdenes o sugerencias y ellas deben enmarcarse dentro de los términos del respectivo contrato”.</w:t>
      </w:r>
    </w:p>
  </w:footnote>
  <w:footnote w:id="9">
    <w:p w14:paraId="0F1BF391" w14:textId="77777777" w:rsidR="00E52AFD" w:rsidRPr="00F83911" w:rsidRDefault="00E52AFD" w:rsidP="00E52AFD">
      <w:pPr>
        <w:pStyle w:val="Textonotapie"/>
        <w:ind w:firstLine="709"/>
        <w:jc w:val="both"/>
        <w:rPr>
          <w:rFonts w:ascii="Verdana" w:hAnsi="Verdana" w:cs="Arial"/>
          <w:color w:val="000000" w:themeColor="text1"/>
          <w:sz w:val="14"/>
          <w:szCs w:val="14"/>
        </w:rPr>
      </w:pPr>
      <w:r w:rsidRPr="00F83911">
        <w:rPr>
          <w:rStyle w:val="Refdenotaalpie"/>
          <w:rFonts w:ascii="Verdana" w:hAnsi="Verdana" w:cs="Arial"/>
          <w:color w:val="000000" w:themeColor="text1"/>
          <w:sz w:val="14"/>
          <w:szCs w:val="14"/>
        </w:rPr>
        <w:footnoteRef/>
      </w:r>
      <w:r w:rsidRPr="00F83911">
        <w:rPr>
          <w:rFonts w:ascii="Verdana" w:hAnsi="Verdana" w:cs="Arial"/>
          <w:color w:val="000000" w:themeColor="text1"/>
          <w:sz w:val="14"/>
          <w:szCs w:val="14"/>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3E5BBDD8" w14:textId="77777777" w:rsidR="00E52AFD" w:rsidRPr="00F83911" w:rsidRDefault="00E52AFD" w:rsidP="00E52AFD">
      <w:pPr>
        <w:pStyle w:val="Textonotapie"/>
        <w:ind w:firstLine="709"/>
        <w:jc w:val="both"/>
        <w:rPr>
          <w:rFonts w:ascii="Verdana" w:hAnsi="Verdana" w:cs="Arial"/>
          <w:color w:val="000000" w:themeColor="text1"/>
          <w:sz w:val="14"/>
          <w:szCs w:val="14"/>
        </w:rPr>
      </w:pPr>
      <w:r w:rsidRPr="00F83911">
        <w:rPr>
          <w:rFonts w:ascii="Verdana" w:hAnsi="Verdana" w:cs="Arial"/>
          <w:color w:val="000000" w:themeColor="text1"/>
          <w:sz w:val="14"/>
          <w:szCs w:val="14"/>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608EDBD6" w14:textId="77777777" w:rsidR="00E52AFD" w:rsidRPr="00F83911" w:rsidRDefault="00E52AFD" w:rsidP="00E52AFD">
      <w:pPr>
        <w:pStyle w:val="Textonotapie"/>
        <w:ind w:firstLine="709"/>
        <w:jc w:val="both"/>
        <w:rPr>
          <w:rFonts w:ascii="Verdana" w:hAnsi="Verdana" w:cs="Arial"/>
          <w:color w:val="000000" w:themeColor="text1"/>
          <w:sz w:val="14"/>
          <w:szCs w:val="14"/>
        </w:rPr>
      </w:pPr>
      <w:r w:rsidRPr="00F83911">
        <w:rPr>
          <w:rFonts w:ascii="Verdana" w:hAnsi="Verdana" w:cs="Arial"/>
          <w:color w:val="000000" w:themeColor="text1"/>
          <w:sz w:val="14"/>
          <w:szCs w:val="14"/>
        </w:rPr>
        <w:t>[…]”.</w:t>
      </w:r>
    </w:p>
    <w:p w14:paraId="63948ECF" w14:textId="77777777" w:rsidR="00E52AFD" w:rsidRPr="00F83911" w:rsidRDefault="00E52AFD" w:rsidP="00E52AFD">
      <w:pPr>
        <w:pStyle w:val="Textonotapie"/>
        <w:ind w:firstLine="709"/>
        <w:jc w:val="both"/>
        <w:rPr>
          <w:rFonts w:ascii="Century Gothic" w:hAnsi="Century Gothic" w:cs="Arial"/>
          <w:color w:val="000000" w:themeColor="text1"/>
          <w:sz w:val="14"/>
          <w:szCs w:val="14"/>
        </w:rPr>
      </w:pPr>
    </w:p>
  </w:footnote>
  <w:footnote w:id="10">
    <w:p w14:paraId="553794E2" w14:textId="77777777" w:rsidR="00E52AFD" w:rsidRPr="00F83911" w:rsidRDefault="00E52AFD" w:rsidP="00E52AFD">
      <w:pPr>
        <w:pStyle w:val="Textonotapie"/>
        <w:ind w:firstLine="709"/>
        <w:jc w:val="both"/>
        <w:rPr>
          <w:rFonts w:ascii="Verdana" w:hAnsi="Verdana" w:cs="Arial"/>
          <w:color w:val="000000" w:themeColor="text1"/>
          <w:sz w:val="14"/>
          <w:szCs w:val="14"/>
        </w:rPr>
      </w:pPr>
      <w:r w:rsidRPr="00F83911">
        <w:rPr>
          <w:rStyle w:val="Refdenotaalpie"/>
          <w:rFonts w:ascii="Verdana" w:hAnsi="Verdana" w:cs="Arial"/>
          <w:color w:val="000000" w:themeColor="text1"/>
          <w:sz w:val="14"/>
          <w:szCs w:val="14"/>
        </w:rPr>
        <w:footnoteRef/>
      </w:r>
      <w:r w:rsidRPr="00F83911">
        <w:rPr>
          <w:rFonts w:ascii="Verdana" w:hAnsi="Verdana" w:cs="Arial"/>
          <w:color w:val="000000" w:themeColor="text1"/>
          <w:sz w:val="14"/>
          <w:szCs w:val="14"/>
        </w:rPr>
        <w:t xml:space="preserve"> 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footnote>
  <w:footnote w:id="11">
    <w:p w14:paraId="50577B57" w14:textId="77777777" w:rsidR="00E52AFD" w:rsidRPr="00F83911" w:rsidRDefault="00E52AFD" w:rsidP="00E52AFD">
      <w:pPr>
        <w:pStyle w:val="Textonotapie"/>
        <w:ind w:firstLine="709"/>
        <w:jc w:val="both"/>
        <w:rPr>
          <w:rFonts w:ascii="Verdana" w:hAnsi="Verdana" w:cs="Arial"/>
          <w:sz w:val="14"/>
          <w:szCs w:val="14"/>
        </w:rPr>
      </w:pPr>
      <w:r w:rsidRPr="00F83911">
        <w:rPr>
          <w:rStyle w:val="Refdenotaalpie"/>
          <w:rFonts w:ascii="Verdana" w:hAnsi="Verdana" w:cs="Arial"/>
          <w:sz w:val="14"/>
          <w:szCs w:val="14"/>
        </w:rPr>
        <w:footnoteRef/>
      </w:r>
      <w:r w:rsidRPr="00F83911">
        <w:rPr>
          <w:rFonts w:ascii="Verdana" w:hAnsi="Verdana" w:cs="Arial"/>
          <w:sz w:val="14"/>
          <w:szCs w:val="14"/>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47239F42" w14:textId="77777777" w:rsidR="00E52AFD" w:rsidRPr="00F83911" w:rsidRDefault="00E52AFD" w:rsidP="00E52AFD">
      <w:pPr>
        <w:pStyle w:val="Textonotapie"/>
        <w:ind w:firstLine="709"/>
        <w:jc w:val="both"/>
        <w:rPr>
          <w:rFonts w:ascii="Verdana" w:hAnsi="Verdana" w:cs="Arial"/>
          <w:sz w:val="14"/>
          <w:szCs w:val="14"/>
        </w:rPr>
      </w:pPr>
      <w:r w:rsidRPr="00F83911">
        <w:rPr>
          <w:rFonts w:ascii="Verdana" w:hAnsi="Verdana" w:cs="Arial"/>
          <w:sz w:val="14"/>
          <w:szCs w:val="14"/>
        </w:rPr>
        <w:t>“Las personas jurídicas nacionales y extranjeras deberán acreditar que su duración no será inferior a la del plazo del contrato y un año más”.</w:t>
      </w:r>
    </w:p>
    <w:p w14:paraId="3CA17AF9" w14:textId="77777777" w:rsidR="00E52AFD" w:rsidRPr="00F83911" w:rsidRDefault="00E52AFD" w:rsidP="00E52AFD">
      <w:pPr>
        <w:pStyle w:val="Textonotapie"/>
        <w:ind w:firstLine="709"/>
        <w:jc w:val="both"/>
        <w:rPr>
          <w:rFonts w:ascii="Verdana" w:hAnsi="Verdana" w:cs="Arial"/>
          <w:sz w:val="14"/>
          <w:szCs w:val="14"/>
        </w:rPr>
      </w:pPr>
    </w:p>
  </w:footnote>
  <w:footnote w:id="12">
    <w:p w14:paraId="19F76DB0" w14:textId="77777777" w:rsidR="00E52AFD" w:rsidRPr="00F83911" w:rsidRDefault="00E52AFD" w:rsidP="00E52AFD">
      <w:pPr>
        <w:pStyle w:val="Textonotapie"/>
        <w:ind w:firstLine="709"/>
        <w:jc w:val="both"/>
        <w:rPr>
          <w:rFonts w:ascii="Verdana" w:hAnsi="Verdana" w:cs="Arial"/>
          <w:sz w:val="14"/>
          <w:szCs w:val="14"/>
        </w:rPr>
      </w:pPr>
      <w:r w:rsidRPr="00F83911">
        <w:rPr>
          <w:rStyle w:val="Refdenotaalpie"/>
          <w:rFonts w:ascii="Verdana" w:hAnsi="Verdana" w:cs="Arial"/>
          <w:sz w:val="14"/>
          <w:szCs w:val="14"/>
        </w:rPr>
        <w:footnoteRef/>
      </w:r>
      <w:r w:rsidRPr="00F83911">
        <w:rPr>
          <w:rFonts w:ascii="Verdana" w:hAnsi="Verdana" w:cs="Arial"/>
          <w:sz w:val="14"/>
          <w:szCs w:val="14"/>
        </w:rPr>
        <w:t xml:space="preserve"> Código Civil: “Artículo 1502. Requisitos para obligarse. Para que una persona se obligue a otra por un acto o declaración de voluntad, es necesario:</w:t>
      </w:r>
    </w:p>
    <w:p w14:paraId="4437BA80" w14:textId="77777777" w:rsidR="00E52AFD" w:rsidRPr="00F83911" w:rsidRDefault="00E52AFD" w:rsidP="00E52AFD">
      <w:pPr>
        <w:pStyle w:val="Textonotapie"/>
        <w:ind w:firstLine="709"/>
        <w:jc w:val="both"/>
        <w:rPr>
          <w:rFonts w:ascii="Verdana" w:hAnsi="Verdana" w:cs="Arial"/>
          <w:sz w:val="14"/>
          <w:szCs w:val="14"/>
        </w:rPr>
      </w:pPr>
      <w:r w:rsidRPr="00F83911">
        <w:rPr>
          <w:rFonts w:ascii="Verdana" w:hAnsi="Verdana" w:cs="Arial"/>
          <w:sz w:val="14"/>
          <w:szCs w:val="14"/>
        </w:rPr>
        <w:t>“1o.) que sea legalmente capaz.</w:t>
      </w:r>
    </w:p>
    <w:p w14:paraId="28FA97DE" w14:textId="77777777" w:rsidR="00E52AFD" w:rsidRPr="00F83911" w:rsidRDefault="00E52AFD" w:rsidP="00E52AFD">
      <w:pPr>
        <w:pStyle w:val="Textonotapie"/>
        <w:ind w:firstLine="709"/>
        <w:jc w:val="both"/>
        <w:rPr>
          <w:rFonts w:ascii="Verdana" w:hAnsi="Verdana" w:cs="Arial"/>
          <w:sz w:val="14"/>
          <w:szCs w:val="14"/>
        </w:rPr>
      </w:pPr>
      <w:r w:rsidRPr="00F83911">
        <w:rPr>
          <w:rFonts w:ascii="Verdana" w:hAnsi="Verdana" w:cs="Arial"/>
          <w:sz w:val="14"/>
          <w:szCs w:val="14"/>
        </w:rPr>
        <w:t>[…]</w:t>
      </w:r>
    </w:p>
    <w:p w14:paraId="30A0F18C" w14:textId="2B28FD04" w:rsidR="00E52AFD" w:rsidRPr="00F83911" w:rsidRDefault="00E52AFD" w:rsidP="00E52AFD">
      <w:pPr>
        <w:pStyle w:val="Textonotapie"/>
        <w:ind w:firstLine="709"/>
        <w:jc w:val="both"/>
        <w:rPr>
          <w:rFonts w:ascii="Verdana" w:hAnsi="Verdana" w:cs="Arial"/>
          <w:sz w:val="14"/>
          <w:szCs w:val="14"/>
        </w:rPr>
      </w:pPr>
      <w:r w:rsidRPr="00F83911">
        <w:rPr>
          <w:rFonts w:ascii="Verdana" w:hAnsi="Verdana" w:cs="Arial"/>
          <w:sz w:val="14"/>
          <w:szCs w:val="14"/>
        </w:rPr>
        <w:t>“La capacidad legal de una persona consiste en poderse obligar por sí misma, sin el ministerio o la autorización de otra</w:t>
      </w:r>
      <w:r w:rsidR="00D91E01" w:rsidRPr="00F83911">
        <w:rPr>
          <w:rFonts w:ascii="Verdana" w:hAnsi="Verdana" w:cs="Arial"/>
          <w:sz w:val="14"/>
          <w:szCs w:val="14"/>
        </w:rPr>
        <w:t>”</w:t>
      </w:r>
      <w:r w:rsidRPr="00F83911">
        <w:rPr>
          <w:rFonts w:ascii="Verdana" w:hAnsi="Verdana" w:cs="Arial"/>
          <w:sz w:val="14"/>
          <w:szCs w:val="14"/>
        </w:rPr>
        <w:t>.</w:t>
      </w:r>
    </w:p>
  </w:footnote>
  <w:footnote w:id="13">
    <w:p w14:paraId="295F4FCB" w14:textId="77777777" w:rsidR="00E52AFD" w:rsidRPr="00F83911" w:rsidRDefault="00E52AFD" w:rsidP="00E52AFD">
      <w:pPr>
        <w:pStyle w:val="Textonotapie"/>
        <w:ind w:firstLine="709"/>
        <w:jc w:val="both"/>
        <w:rPr>
          <w:rFonts w:ascii="Verdana" w:hAnsi="Verdana" w:cs="Arial"/>
          <w:sz w:val="14"/>
          <w:szCs w:val="14"/>
          <w:lang w:val="es-ES"/>
        </w:rPr>
      </w:pPr>
      <w:r w:rsidRPr="00F83911">
        <w:rPr>
          <w:rStyle w:val="Refdenotaalpie"/>
          <w:rFonts w:ascii="Verdana" w:hAnsi="Verdana" w:cs="Arial"/>
          <w:sz w:val="14"/>
          <w:szCs w:val="14"/>
        </w:rPr>
        <w:footnoteRef/>
      </w:r>
      <w:r w:rsidRPr="00F83911">
        <w:rPr>
          <w:rFonts w:ascii="Verdana" w:hAnsi="Verdana" w:cs="Arial"/>
          <w:sz w:val="14"/>
          <w:szCs w:val="14"/>
        </w:rPr>
        <w:t xml:space="preserve"> </w:t>
      </w:r>
      <w:r w:rsidRPr="00F83911">
        <w:rPr>
          <w:rFonts w:ascii="Verdana" w:hAnsi="Verdana" w:cs="Arial"/>
          <w:sz w:val="14"/>
          <w:szCs w:val="14"/>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F83911">
        <w:rPr>
          <w:rFonts w:ascii="Verdana" w:hAnsi="Verdana" w:cs="Arial"/>
          <w:i/>
          <w:iCs/>
          <w:sz w:val="14"/>
          <w:szCs w:val="14"/>
          <w:lang w:val="es-ES"/>
        </w:rPr>
        <w:t>el régimen de inhabilidades e incompatibilidades</w:t>
      </w:r>
      <w:r w:rsidRPr="00F83911">
        <w:rPr>
          <w:rFonts w:ascii="Verdana" w:hAnsi="Verdana" w:cs="Arial"/>
          <w:sz w:val="14"/>
          <w:szCs w:val="14"/>
          <w:lang w:val="es-ES"/>
        </w:rPr>
        <w:t xml:space="preserve"> (1) y la obligación de ciertos proponentes de inscribirse en el </w:t>
      </w:r>
      <w:r w:rsidRPr="00F83911">
        <w:rPr>
          <w:rFonts w:ascii="Verdana" w:hAnsi="Verdana" w:cs="Arial"/>
          <w:i/>
          <w:iCs/>
          <w:sz w:val="14"/>
          <w:szCs w:val="14"/>
          <w:lang w:val="es-ES"/>
        </w:rPr>
        <w:t>registro único</w:t>
      </w:r>
      <w:r w:rsidRPr="00F83911">
        <w:rPr>
          <w:rFonts w:ascii="Verdana" w:hAnsi="Verdana" w:cs="Arial"/>
          <w:sz w:val="14"/>
          <w:szCs w:val="14"/>
          <w:lang w:val="es-ES"/>
        </w:rPr>
        <w:t xml:space="preserve"> (2)” (BENAVIDES, José Luis. El contrato estatal. Entre el Derecho público y el Derecho privado. 2ª ed. Bogotá: Universidad Externado de Colombia, 2004. p. 278). </w:t>
      </w:r>
    </w:p>
    <w:p w14:paraId="4884E09C" w14:textId="77777777" w:rsidR="00E52AFD" w:rsidRPr="00F83911" w:rsidRDefault="00E52AFD" w:rsidP="00E52AFD">
      <w:pPr>
        <w:pStyle w:val="Textonotapie"/>
        <w:ind w:firstLine="709"/>
        <w:jc w:val="both"/>
        <w:rPr>
          <w:rFonts w:ascii="Century Gothic" w:hAnsi="Century Gothic" w:cs="Arial"/>
          <w:sz w:val="14"/>
          <w:szCs w:val="14"/>
          <w:lang w:val="es-ES"/>
        </w:rPr>
      </w:pPr>
    </w:p>
  </w:footnote>
  <w:footnote w:id="14">
    <w:p w14:paraId="2CA98D8D" w14:textId="77777777" w:rsidR="00E52AFD" w:rsidRPr="00F83911" w:rsidRDefault="00E52AFD" w:rsidP="00E52AFD">
      <w:pPr>
        <w:pStyle w:val="Textonotapie"/>
        <w:ind w:firstLine="708"/>
        <w:jc w:val="both"/>
        <w:rPr>
          <w:rFonts w:ascii="Verdana" w:hAnsi="Verdana" w:cs="Arial"/>
          <w:sz w:val="14"/>
          <w:szCs w:val="14"/>
        </w:rPr>
      </w:pPr>
      <w:r w:rsidRPr="00F83911">
        <w:rPr>
          <w:rStyle w:val="Refdenotaalpie"/>
          <w:rFonts w:ascii="Verdana" w:hAnsi="Verdana" w:cs="Arial"/>
          <w:sz w:val="14"/>
          <w:szCs w:val="14"/>
        </w:rPr>
        <w:footnoteRef/>
      </w:r>
      <w:r w:rsidRPr="00F83911">
        <w:rPr>
          <w:rFonts w:ascii="Verdana" w:hAnsi="Verdana" w:cs="Arial"/>
          <w:sz w:val="14"/>
          <w:szCs w:val="14"/>
        </w:rPr>
        <w:t xml:space="preserve"> En esta línea Dávila Vinueza Expresa: “El legislador para calificar estas prohibiciones emplea dos vocablos: Inhabilidades o incompatibilidades, los cuales en un examen desprevenido podrían sugerir ideas diferentes y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que ante la semejanza de las figuras, conviene emplear un único vocablo, con lo cual serían innecesarias los intentos y las elucubraciones y explicaciones, algunas novedosas que podrían ensayarse. (DÁVILA VINUEZA, Luis Guillermo. Régimen jurídico de la contratación estatal. 3ª ed. Bogotá: Legis, 2016. p. 148).</w:t>
      </w:r>
    </w:p>
    <w:p w14:paraId="7FA81BA2" w14:textId="77777777" w:rsidR="00E52AFD" w:rsidRPr="00F83911" w:rsidRDefault="00E52AFD" w:rsidP="00E52AFD">
      <w:pPr>
        <w:pStyle w:val="Textonotapie"/>
        <w:ind w:firstLine="708"/>
        <w:jc w:val="both"/>
        <w:rPr>
          <w:rFonts w:ascii="Verdana" w:hAnsi="Verdana" w:cs="Arial"/>
          <w:sz w:val="14"/>
          <w:szCs w:val="14"/>
        </w:rPr>
      </w:pPr>
    </w:p>
  </w:footnote>
  <w:footnote w:id="15">
    <w:p w14:paraId="6F3905A4" w14:textId="77777777" w:rsidR="00E52AFD" w:rsidRPr="00F83911" w:rsidRDefault="00E52AFD" w:rsidP="00E52AFD">
      <w:pPr>
        <w:pStyle w:val="Textonotapie"/>
        <w:ind w:firstLine="709"/>
        <w:jc w:val="both"/>
        <w:rPr>
          <w:rFonts w:ascii="Verdana" w:hAnsi="Verdana" w:cs="Arial"/>
          <w:sz w:val="14"/>
          <w:szCs w:val="14"/>
          <w:lang w:val="es-ES"/>
        </w:rPr>
      </w:pPr>
      <w:r w:rsidRPr="00F83911">
        <w:rPr>
          <w:rStyle w:val="Refdenotaalpie"/>
          <w:rFonts w:ascii="Verdana" w:hAnsi="Verdana" w:cs="Arial"/>
          <w:sz w:val="14"/>
          <w:szCs w:val="14"/>
        </w:rPr>
        <w:footnoteRef/>
      </w:r>
      <w:r w:rsidRPr="00F83911">
        <w:rPr>
          <w:rFonts w:ascii="Verdana" w:hAnsi="Verdana" w:cs="Arial"/>
          <w:sz w:val="14"/>
          <w:szCs w:val="14"/>
        </w:rPr>
        <w:t xml:space="preserve"> </w:t>
      </w:r>
      <w:r w:rsidRPr="00F83911">
        <w:rPr>
          <w:rFonts w:ascii="Verdana" w:hAnsi="Verdana" w:cs="Arial"/>
          <w:sz w:val="14"/>
          <w:szCs w:val="14"/>
          <w:lang w:val="es-ES"/>
        </w:rPr>
        <w:t>BARRETO ROZO, Antonio Alejandro. Inhabilidades de la contratación estatal, efectos y neopunitivismo en el Estatuto Anticorrupción. En: ALVIAR GARCÍA, Helena (Coordinadora). Nuevas tendencias del Derecho administrativo. Bogotá: Universidad de los Andes; Temis, 2016. pp. 63-99.</w:t>
      </w:r>
    </w:p>
    <w:p w14:paraId="799A6514" w14:textId="77777777" w:rsidR="00E52AFD" w:rsidRPr="00F83911" w:rsidRDefault="00E52AFD" w:rsidP="00E52AFD">
      <w:pPr>
        <w:pStyle w:val="Textonotapie"/>
        <w:ind w:firstLine="709"/>
        <w:jc w:val="both"/>
        <w:rPr>
          <w:rFonts w:ascii="Century Gothic" w:hAnsi="Century Gothic" w:cs="Arial"/>
          <w:sz w:val="14"/>
          <w:szCs w:val="14"/>
          <w:lang w:val="es-ES"/>
        </w:rPr>
      </w:pPr>
    </w:p>
  </w:footnote>
  <w:footnote w:id="16">
    <w:p w14:paraId="33249DE3" w14:textId="77777777" w:rsidR="00E52AFD" w:rsidRPr="00F83911" w:rsidRDefault="00E52AFD" w:rsidP="00E52AFD">
      <w:pPr>
        <w:pStyle w:val="Textonotapie"/>
        <w:ind w:firstLine="709"/>
        <w:jc w:val="both"/>
        <w:rPr>
          <w:rFonts w:ascii="Verdana" w:hAnsi="Verdana" w:cs="Arial"/>
          <w:sz w:val="14"/>
          <w:szCs w:val="14"/>
          <w:lang w:val="es-ES"/>
        </w:rPr>
      </w:pPr>
      <w:r w:rsidRPr="00F83911">
        <w:rPr>
          <w:rStyle w:val="Refdenotaalpie"/>
          <w:rFonts w:ascii="Verdana" w:hAnsi="Verdana" w:cs="Arial"/>
          <w:sz w:val="14"/>
          <w:szCs w:val="14"/>
        </w:rPr>
        <w:footnoteRef/>
      </w:r>
      <w:r w:rsidRPr="00F83911">
        <w:rPr>
          <w:rFonts w:ascii="Verdana" w:hAnsi="Verdana" w:cs="Arial"/>
          <w:sz w:val="14"/>
          <w:szCs w:val="14"/>
        </w:rPr>
        <w:t xml:space="preserve"> </w:t>
      </w:r>
      <w:r w:rsidRPr="00F83911">
        <w:rPr>
          <w:rFonts w:ascii="Verdana" w:hAnsi="Verdana" w:cs="Arial"/>
          <w:sz w:val="14"/>
          <w:szCs w:val="14"/>
          <w:lang w:val="es-ES"/>
        </w:rPr>
        <w:t>Ibídem. p. 69.</w:t>
      </w:r>
    </w:p>
    <w:p w14:paraId="1EC9DD6A" w14:textId="77777777" w:rsidR="00E52AFD" w:rsidRPr="00D91E01" w:rsidRDefault="00E52AFD" w:rsidP="00E52AFD">
      <w:pPr>
        <w:pStyle w:val="Textonotapie"/>
        <w:ind w:firstLine="709"/>
        <w:jc w:val="both"/>
        <w:rPr>
          <w:rFonts w:ascii="Verdana" w:hAnsi="Verdana" w:cs="Arial"/>
          <w:sz w:val="10"/>
          <w:szCs w:val="10"/>
          <w:lang w:val="es-ES"/>
        </w:rPr>
      </w:pPr>
    </w:p>
  </w:footnote>
  <w:footnote w:id="17">
    <w:p w14:paraId="413FFE14" w14:textId="77777777" w:rsidR="00E52AFD" w:rsidRPr="00F83911" w:rsidRDefault="00E52AFD" w:rsidP="00E52AFD">
      <w:pPr>
        <w:pStyle w:val="Textonotapie"/>
        <w:ind w:firstLine="709"/>
        <w:jc w:val="both"/>
        <w:rPr>
          <w:rFonts w:ascii="Verdana" w:hAnsi="Verdana" w:cs="Arial"/>
          <w:color w:val="000000" w:themeColor="text1"/>
          <w:sz w:val="14"/>
          <w:szCs w:val="14"/>
          <w:lang w:val="es-ES"/>
        </w:rPr>
      </w:pPr>
      <w:r w:rsidRPr="00F83911">
        <w:rPr>
          <w:rStyle w:val="Refdenotaalpie"/>
          <w:rFonts w:ascii="Verdana" w:hAnsi="Verdana" w:cs="Arial"/>
          <w:color w:val="000000" w:themeColor="text1"/>
          <w:sz w:val="14"/>
          <w:szCs w:val="14"/>
        </w:rPr>
        <w:footnoteRef/>
      </w:r>
      <w:r w:rsidRPr="00F83911">
        <w:rPr>
          <w:rFonts w:ascii="Verdana" w:hAnsi="Verdana" w:cs="Arial"/>
          <w:color w:val="000000" w:themeColor="text1"/>
          <w:sz w:val="14"/>
          <w:szCs w:val="14"/>
        </w:rPr>
        <w:t xml:space="preserve"> </w:t>
      </w:r>
      <w:r w:rsidRPr="00F83911">
        <w:rPr>
          <w:rFonts w:ascii="Verdana" w:hAnsi="Verdana" w:cs="Arial"/>
          <w:color w:val="000000" w:themeColor="text1"/>
          <w:sz w:val="14"/>
          <w:szCs w:val="14"/>
          <w:lang w:val="es-ES"/>
        </w:rPr>
        <w:t xml:space="preserve">CORTE CONSTITUCIONAL. Sentencia T-1039 de 2006. Magistrado Ponente: Humberto Sierra Porto. La Corte ha mantenido este criterio en las sentencias: C-903 de 2008. Magistrado Ponente: Jaime Araujo Rentería; C-101 de 2018. Magistrada Ponente Gloria Stella Ortiz Delgado; entre otras. </w:t>
      </w:r>
    </w:p>
    <w:p w14:paraId="4F03258C" w14:textId="77777777" w:rsidR="00E52AFD" w:rsidRPr="00F83911" w:rsidRDefault="00E52AFD" w:rsidP="00E52AFD">
      <w:pPr>
        <w:pStyle w:val="Textonotapie"/>
        <w:ind w:firstLine="709"/>
        <w:jc w:val="both"/>
        <w:rPr>
          <w:rFonts w:ascii="Verdana" w:hAnsi="Verdana" w:cs="Arial"/>
          <w:color w:val="000000" w:themeColor="text1"/>
          <w:sz w:val="14"/>
          <w:szCs w:val="14"/>
          <w:lang w:val="es-ES"/>
        </w:rPr>
      </w:pPr>
    </w:p>
  </w:footnote>
  <w:footnote w:id="18">
    <w:p w14:paraId="46C4555C" w14:textId="77777777" w:rsidR="00E52AFD" w:rsidRPr="00F83911" w:rsidRDefault="00E52AFD" w:rsidP="00E52AFD">
      <w:pPr>
        <w:pStyle w:val="Textonotapie"/>
        <w:ind w:firstLine="709"/>
        <w:jc w:val="both"/>
        <w:rPr>
          <w:rFonts w:ascii="Verdana" w:hAnsi="Verdana" w:cs="Arial"/>
          <w:color w:val="000000" w:themeColor="text1"/>
          <w:sz w:val="14"/>
          <w:szCs w:val="14"/>
          <w:lang w:val="es-ES"/>
        </w:rPr>
      </w:pPr>
      <w:r w:rsidRPr="00F83911">
        <w:rPr>
          <w:rStyle w:val="Refdenotaalpie"/>
          <w:rFonts w:ascii="Verdana" w:hAnsi="Verdana" w:cs="Arial"/>
          <w:color w:val="000000" w:themeColor="text1"/>
          <w:sz w:val="14"/>
          <w:szCs w:val="14"/>
        </w:rPr>
        <w:footnoteRef/>
      </w:r>
      <w:r w:rsidRPr="00F83911">
        <w:rPr>
          <w:rFonts w:ascii="Verdana" w:hAnsi="Verdana" w:cs="Arial"/>
          <w:color w:val="000000" w:themeColor="text1"/>
          <w:sz w:val="14"/>
          <w:szCs w:val="14"/>
        </w:rPr>
        <w:t xml:space="preserve"> </w:t>
      </w:r>
      <w:r w:rsidRPr="00F83911">
        <w:rPr>
          <w:rFonts w:ascii="Verdana" w:hAnsi="Verdana" w:cs="Arial"/>
          <w:color w:val="000000" w:themeColor="text1"/>
          <w:sz w:val="14"/>
          <w:szCs w:val="14"/>
          <w:lang w:val="es-ES"/>
        </w:rPr>
        <w:t>CONSEJO DE ESTADO. Sala de Consulta y Servicio Civil. Concepto del 30 de abril de 2015. Expediente: 2251. Consejero Ponente: Álvaro Namén Vargas.</w:t>
      </w:r>
    </w:p>
    <w:p w14:paraId="750B7AAB" w14:textId="77777777" w:rsidR="00E52AFD" w:rsidRPr="00F83911" w:rsidRDefault="00E52AFD" w:rsidP="00E52AFD">
      <w:pPr>
        <w:pStyle w:val="Textonotapie"/>
        <w:ind w:firstLine="709"/>
        <w:jc w:val="both"/>
        <w:rPr>
          <w:rFonts w:ascii="Verdana" w:hAnsi="Verdana" w:cs="Arial"/>
          <w:color w:val="000000" w:themeColor="text1"/>
          <w:sz w:val="14"/>
          <w:szCs w:val="14"/>
          <w:lang w:val="es-ES"/>
        </w:rPr>
      </w:pPr>
    </w:p>
  </w:footnote>
  <w:footnote w:id="19">
    <w:p w14:paraId="546DE091" w14:textId="77777777" w:rsidR="00E52AFD" w:rsidRPr="00F83911" w:rsidRDefault="00E52AFD" w:rsidP="00E52AFD">
      <w:pPr>
        <w:pStyle w:val="Textonotapie"/>
        <w:ind w:firstLine="709"/>
        <w:jc w:val="both"/>
        <w:rPr>
          <w:rFonts w:ascii="Century Gothic" w:hAnsi="Century Gothic" w:cs="Arial"/>
          <w:color w:val="000000" w:themeColor="text1"/>
          <w:sz w:val="14"/>
          <w:szCs w:val="14"/>
          <w:lang w:val="es-ES"/>
        </w:rPr>
      </w:pPr>
      <w:r w:rsidRPr="00F83911">
        <w:rPr>
          <w:rStyle w:val="Refdenotaalpie"/>
          <w:rFonts w:ascii="Verdana" w:hAnsi="Verdana" w:cs="Arial"/>
          <w:color w:val="000000" w:themeColor="text1"/>
          <w:sz w:val="14"/>
          <w:szCs w:val="14"/>
        </w:rPr>
        <w:footnoteRef/>
      </w:r>
      <w:r w:rsidRPr="00F83911">
        <w:rPr>
          <w:rFonts w:ascii="Verdana" w:hAnsi="Verdana" w:cs="Arial"/>
          <w:color w:val="000000" w:themeColor="text1"/>
          <w:sz w:val="14"/>
          <w:szCs w:val="14"/>
        </w:rPr>
        <w:t xml:space="preserve"> CONSEJO DE ESTADO. Sección Tercera. Subsección A. Sentencia del 24 de junio de 2015. Exp. 40.635. Consejero Ponente: Hernán Andrade Rincón (E).</w:t>
      </w:r>
    </w:p>
  </w:footnote>
  <w:footnote w:id="20">
    <w:p w14:paraId="164CEAA1" w14:textId="77777777" w:rsidR="00E52AFD" w:rsidRPr="00D91E01" w:rsidRDefault="00E52AFD" w:rsidP="00E52AFD">
      <w:pPr>
        <w:pStyle w:val="Textonotapie"/>
        <w:ind w:firstLine="708"/>
        <w:jc w:val="both"/>
        <w:rPr>
          <w:rFonts w:ascii="Verdana" w:hAnsi="Verdana" w:cs="Arial"/>
          <w:color w:val="000000" w:themeColor="text1"/>
          <w:sz w:val="10"/>
          <w:szCs w:val="10"/>
          <w:lang w:val="es-ES"/>
        </w:rPr>
      </w:pPr>
      <w:r w:rsidRPr="00F83911">
        <w:rPr>
          <w:rStyle w:val="Refdenotaalpie"/>
          <w:rFonts w:ascii="Verdana" w:hAnsi="Verdana" w:cs="Arial"/>
          <w:color w:val="000000" w:themeColor="text1"/>
          <w:sz w:val="14"/>
          <w:szCs w:val="14"/>
        </w:rPr>
        <w:footnoteRef/>
      </w:r>
      <w:r w:rsidRPr="00F83911">
        <w:rPr>
          <w:rFonts w:ascii="Verdana" w:hAnsi="Verdana" w:cs="Arial"/>
          <w:color w:val="000000" w:themeColor="text1"/>
          <w:sz w:val="14"/>
          <w:szCs w:val="14"/>
        </w:rPr>
        <w:t xml:space="preserve"> CONSEJO DE ESTADO. Sección Tercera. Subsección C. Sentencia del 22 de mayo de 2013. Exp. 24.057. Consejera Ponente: Olga Melida Valle De La Hoz.</w:t>
      </w:r>
    </w:p>
  </w:footnote>
  <w:footnote w:id="21">
    <w:p w14:paraId="1FD1CEB3" w14:textId="77777777" w:rsidR="00E52AFD" w:rsidRPr="00F83911" w:rsidRDefault="00E52AFD" w:rsidP="00E52AFD">
      <w:pPr>
        <w:pStyle w:val="Textonotapie"/>
        <w:ind w:firstLine="708"/>
        <w:rPr>
          <w:rFonts w:ascii="Verdana" w:hAnsi="Verdana"/>
          <w:sz w:val="14"/>
          <w:szCs w:val="14"/>
        </w:rPr>
      </w:pPr>
    </w:p>
    <w:p w14:paraId="4EF362F2" w14:textId="77777777" w:rsidR="00E52AFD" w:rsidRPr="00F83911" w:rsidRDefault="00E52AFD" w:rsidP="00E52AFD">
      <w:pPr>
        <w:pStyle w:val="Textonotapie"/>
        <w:ind w:firstLine="708"/>
        <w:jc w:val="both"/>
        <w:rPr>
          <w:rFonts w:ascii="Verdana" w:hAnsi="Verdana"/>
          <w:sz w:val="14"/>
          <w:szCs w:val="14"/>
        </w:rPr>
      </w:pPr>
      <w:r w:rsidRPr="00F83911">
        <w:rPr>
          <w:rStyle w:val="Refdenotaalpie"/>
          <w:rFonts w:ascii="Verdana" w:hAnsi="Verdana"/>
          <w:sz w:val="14"/>
          <w:szCs w:val="14"/>
        </w:rPr>
        <w:footnoteRef/>
      </w:r>
      <w:r w:rsidRPr="00F83911">
        <w:rPr>
          <w:rFonts w:ascii="Verdana" w:hAnsi="Verdana"/>
          <w:sz w:val="14"/>
          <w:szCs w:val="14"/>
        </w:rPr>
        <w:t xml:space="preserve"> Ley 80 de 1993: “Artículo 8º. de las inhabilidades e incompatibilidades para contratar.</w:t>
      </w:r>
    </w:p>
    <w:p w14:paraId="6A27C769" w14:textId="77777777" w:rsidR="00E52AFD" w:rsidRPr="00F83911" w:rsidRDefault="00E52AFD" w:rsidP="00E52AFD">
      <w:pPr>
        <w:pStyle w:val="Textonotapie"/>
        <w:ind w:firstLine="708"/>
        <w:jc w:val="both"/>
        <w:rPr>
          <w:rFonts w:ascii="Verdana" w:hAnsi="Verdana"/>
          <w:sz w:val="14"/>
          <w:szCs w:val="14"/>
        </w:rPr>
      </w:pPr>
      <w:r w:rsidRPr="00F83911">
        <w:rPr>
          <w:rFonts w:ascii="Verdana" w:hAnsi="Verdana"/>
          <w:sz w:val="14"/>
          <w:szCs w:val="14"/>
        </w:rPr>
        <w:t>1º. Son inhábiles para participar en licitaciones o concursos y para celebrar contratos con las entidades estatales:</w:t>
      </w:r>
    </w:p>
    <w:p w14:paraId="1319FDC2" w14:textId="77777777" w:rsidR="00E52AFD" w:rsidRPr="00F83911" w:rsidRDefault="00E52AFD" w:rsidP="00E52AFD">
      <w:pPr>
        <w:pStyle w:val="Textonotapie"/>
        <w:ind w:firstLine="708"/>
        <w:jc w:val="both"/>
        <w:rPr>
          <w:rFonts w:ascii="Verdana" w:hAnsi="Verdana"/>
          <w:sz w:val="14"/>
          <w:szCs w:val="14"/>
        </w:rPr>
      </w:pPr>
      <w:r w:rsidRPr="00F83911">
        <w:rPr>
          <w:rFonts w:ascii="Verdana" w:hAnsi="Verdana"/>
          <w:sz w:val="14"/>
          <w:szCs w:val="14"/>
        </w:rPr>
        <w:t>[…]</w:t>
      </w:r>
    </w:p>
    <w:p w14:paraId="6728C38E" w14:textId="77777777" w:rsidR="00E52AFD" w:rsidRPr="00F83911" w:rsidRDefault="00E52AFD" w:rsidP="00E52AFD">
      <w:pPr>
        <w:pStyle w:val="Textonotapie"/>
        <w:ind w:firstLine="708"/>
        <w:jc w:val="both"/>
        <w:rPr>
          <w:rFonts w:ascii="Verdana" w:hAnsi="Verdana"/>
          <w:sz w:val="14"/>
          <w:szCs w:val="14"/>
        </w:rPr>
      </w:pPr>
      <w:r w:rsidRPr="00F83911">
        <w:rPr>
          <w:rFonts w:ascii="Verdana" w:hAnsi="Verdana"/>
          <w:sz w:val="14"/>
          <w:szCs w:val="14"/>
        </w:rPr>
        <w:t>d) Quienes en sentencia judicial hayan sido condenados a la pena accesoria de interdicción de derechos y funciones públicas y quienes hayan sido sancionados disciplinariamente con destitución.</w:t>
      </w:r>
    </w:p>
    <w:p w14:paraId="21E314C0" w14:textId="77777777" w:rsidR="00E52AFD" w:rsidRPr="00F83911" w:rsidRDefault="00E52AFD" w:rsidP="00E52AFD">
      <w:pPr>
        <w:pStyle w:val="Textonotapie"/>
        <w:ind w:firstLine="708"/>
        <w:jc w:val="both"/>
        <w:rPr>
          <w:rFonts w:ascii="Verdana" w:hAnsi="Verdana"/>
          <w:sz w:val="14"/>
          <w:szCs w:val="14"/>
        </w:rPr>
      </w:pPr>
      <w:r w:rsidRPr="00F83911">
        <w:rPr>
          <w:rFonts w:ascii="Verdana" w:hAnsi="Verdana"/>
          <w:sz w:val="14"/>
          <w:szCs w:val="14"/>
        </w:rPr>
        <w:t>[….]</w:t>
      </w:r>
    </w:p>
    <w:p w14:paraId="1F9FCE63" w14:textId="77777777" w:rsidR="00E52AFD" w:rsidRPr="00F83911" w:rsidRDefault="00E52AFD" w:rsidP="00E52AFD">
      <w:pPr>
        <w:pStyle w:val="Textonotapie"/>
        <w:ind w:firstLine="708"/>
        <w:jc w:val="both"/>
        <w:rPr>
          <w:rFonts w:ascii="Verdana" w:hAnsi="Verdana"/>
          <w:sz w:val="14"/>
          <w:szCs w:val="14"/>
        </w:rPr>
      </w:pPr>
      <w:r w:rsidRPr="00F83911">
        <w:rPr>
          <w:rFonts w:ascii="Verdana" w:hAnsi="Verdana"/>
          <w:sz w:val="14"/>
          <w:szCs w:val="14"/>
        </w:rPr>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w:t>
      </w:r>
    </w:p>
    <w:p w14:paraId="50BD6E20" w14:textId="77777777" w:rsidR="00E52AFD" w:rsidRPr="00F83911" w:rsidRDefault="00E52AFD" w:rsidP="00E52AFD">
      <w:pPr>
        <w:pStyle w:val="Textonotapie"/>
        <w:ind w:firstLine="708"/>
        <w:jc w:val="both"/>
        <w:rPr>
          <w:rFonts w:ascii="Verdana" w:hAnsi="Verdana"/>
          <w:sz w:val="14"/>
          <w:szCs w:val="14"/>
        </w:rPr>
      </w:pPr>
      <w:r w:rsidRPr="00F83911">
        <w:rPr>
          <w:rFonts w:ascii="Verdana" w:hAnsi="Verdana"/>
          <w:sz w:val="14"/>
          <w:szCs w:val="14"/>
        </w:rPr>
        <w:t>Esta inhabilidad procederá preventivamente aún en los casos en los que esté pendiente la decisión sobre la impugnación de la sentencia condenatoria.</w:t>
      </w:r>
    </w:p>
    <w:p w14:paraId="0E36AA61" w14:textId="77777777" w:rsidR="00E52AFD" w:rsidRPr="00F83911" w:rsidRDefault="00E52AFD" w:rsidP="00E52AFD">
      <w:pPr>
        <w:pStyle w:val="Textonotapie"/>
        <w:ind w:firstLine="708"/>
        <w:jc w:val="both"/>
        <w:rPr>
          <w:rFonts w:ascii="Verdana" w:hAnsi="Verdana"/>
          <w:sz w:val="14"/>
          <w:szCs w:val="14"/>
        </w:rPr>
      </w:pPr>
      <w:r w:rsidRPr="00F83911">
        <w:rPr>
          <w:rFonts w:ascii="Verdana" w:hAnsi="Verdana"/>
          <w:sz w:val="14"/>
          <w:szCs w:val="14"/>
        </w:rPr>
        <w:t>Asimismo, la inhabilidad se extenderá a las sociedades de las que hagan parte dichas personas en calidad de administradores, represen­tantes legales, miembros de junta directiva o de socios controlantes, a sus</w:t>
      </w:r>
      <w:r w:rsidRPr="00F83911">
        <w:rPr>
          <w:rFonts w:ascii="Century Gothic" w:hAnsi="Century Gothic"/>
          <w:sz w:val="14"/>
          <w:szCs w:val="14"/>
        </w:rPr>
        <w:t xml:space="preserve"> </w:t>
      </w:r>
      <w:r w:rsidRPr="00F83911">
        <w:rPr>
          <w:rFonts w:ascii="Verdana" w:hAnsi="Verdana"/>
          <w:sz w:val="14"/>
          <w:szCs w:val="14"/>
        </w:rPr>
        <w:t>matrices y a sus subordinadas, a los grupos empresariales a los que estas pertenezcan cuando la conducta delictiva haya sido parte de una política del grupo y a las sucursales de sociedades extranjeras, con ex­cepción de las sociedades anónimas abiertas.</w:t>
      </w:r>
    </w:p>
    <w:p w14:paraId="6232FC2A" w14:textId="77777777" w:rsidR="00E52AFD" w:rsidRPr="00F83911" w:rsidRDefault="00E52AFD" w:rsidP="00E52AFD">
      <w:pPr>
        <w:pStyle w:val="Textonotapie"/>
        <w:ind w:firstLine="708"/>
        <w:jc w:val="both"/>
        <w:rPr>
          <w:rFonts w:ascii="Verdana" w:hAnsi="Verdana"/>
          <w:sz w:val="14"/>
          <w:szCs w:val="14"/>
        </w:rPr>
      </w:pPr>
      <w:r w:rsidRPr="00F83911">
        <w:rPr>
          <w:rFonts w:ascii="Verdana" w:hAnsi="Verdana"/>
          <w:sz w:val="14"/>
          <w:szCs w:val="14"/>
        </w:rPr>
        <w:t>También se considerarán inhabilitadas para contratar, las personas jurídicas sobre las cuales se haya ordenado la suspensión de la perso­nería jurídica en los términos de ley, o cuyos representantes legales, ad­ministradores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w:t>
      </w:r>
    </w:p>
    <w:p w14:paraId="5900C88C" w14:textId="77777777" w:rsidR="00E52AFD" w:rsidRPr="0028282F" w:rsidRDefault="00E52AFD" w:rsidP="00E52AFD">
      <w:pPr>
        <w:pStyle w:val="Textonotapie"/>
        <w:ind w:firstLine="708"/>
        <w:rPr>
          <w:rFonts w:ascii="Century Gothic" w:hAnsi="Century Gothic"/>
          <w:sz w:val="16"/>
          <w:szCs w:val="16"/>
        </w:rPr>
      </w:pPr>
      <w:r w:rsidRPr="00F83911">
        <w:rPr>
          <w:rFonts w:ascii="Century Gothic" w:hAnsi="Century Gothic"/>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8pt;height:10.8pt" o:bullet="t">
        <v:imagedata r:id="rId1" o:title="mso1B13"/>
      </v:shape>
    </w:pict>
  </w:numPicBullet>
  <w:abstractNum w:abstractNumId="0" w15:restartNumberingAfterBreak="0">
    <w:nsid w:val="01C06310"/>
    <w:multiLevelType w:val="multilevel"/>
    <w:tmpl w:val="F48E76D0"/>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7A1800"/>
    <w:multiLevelType w:val="hybridMultilevel"/>
    <w:tmpl w:val="9706291C"/>
    <w:lvl w:ilvl="0" w:tplc="7546996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CF64647"/>
    <w:multiLevelType w:val="hybridMultilevel"/>
    <w:tmpl w:val="A08208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22362711"/>
    <w:multiLevelType w:val="hybridMultilevel"/>
    <w:tmpl w:val="ECE6E2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8D6515"/>
    <w:multiLevelType w:val="hybridMultilevel"/>
    <w:tmpl w:val="67407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C768F7"/>
    <w:multiLevelType w:val="hybridMultilevel"/>
    <w:tmpl w:val="1B42F5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52630D0"/>
    <w:multiLevelType w:val="hybridMultilevel"/>
    <w:tmpl w:val="B6C2A4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43AC6107"/>
    <w:multiLevelType w:val="hybridMultilevel"/>
    <w:tmpl w:val="40D22840"/>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7" w15:restartNumberingAfterBreak="0">
    <w:nsid w:val="4DA91B5C"/>
    <w:multiLevelType w:val="hybridMultilevel"/>
    <w:tmpl w:val="A6A6B7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26515E4"/>
    <w:multiLevelType w:val="hybridMultilevel"/>
    <w:tmpl w:val="8B3A90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0" w15:restartNumberingAfterBreak="0">
    <w:nsid w:val="65A82EE9"/>
    <w:multiLevelType w:val="hybridMultilevel"/>
    <w:tmpl w:val="4516BA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6076C83"/>
    <w:multiLevelType w:val="hybridMultilevel"/>
    <w:tmpl w:val="6C6A9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4F451B"/>
    <w:multiLevelType w:val="hybridMultilevel"/>
    <w:tmpl w:val="A2482FF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948779781">
    <w:abstractNumId w:val="11"/>
  </w:num>
  <w:num w:numId="2" w16cid:durableId="19822139">
    <w:abstractNumId w:val="2"/>
  </w:num>
  <w:num w:numId="3" w16cid:durableId="876742304">
    <w:abstractNumId w:val="9"/>
  </w:num>
  <w:num w:numId="4" w16cid:durableId="2451864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24"/>
  </w:num>
  <w:num w:numId="7" w16cid:durableId="1946422806">
    <w:abstractNumId w:val="10"/>
  </w:num>
  <w:num w:numId="8" w16cid:durableId="152644682">
    <w:abstractNumId w:val="23"/>
  </w:num>
  <w:num w:numId="9" w16cid:durableId="1317221377">
    <w:abstractNumId w:val="13"/>
  </w:num>
  <w:num w:numId="10" w16cid:durableId="1471245386">
    <w:abstractNumId w:val="22"/>
  </w:num>
  <w:num w:numId="11" w16cid:durableId="289172385">
    <w:abstractNumId w:val="14"/>
  </w:num>
  <w:num w:numId="12" w16cid:durableId="1470781324">
    <w:abstractNumId w:val="1"/>
  </w:num>
  <w:num w:numId="13" w16cid:durableId="1512908409">
    <w:abstractNumId w:val="6"/>
  </w:num>
  <w:num w:numId="14" w16cid:durableId="895897244">
    <w:abstractNumId w:val="25"/>
  </w:num>
  <w:num w:numId="15" w16cid:durableId="390349800">
    <w:abstractNumId w:val="19"/>
  </w:num>
  <w:num w:numId="16" w16cid:durableId="1330140246">
    <w:abstractNumId w:val="0"/>
  </w:num>
  <w:num w:numId="17" w16cid:durableId="66273114">
    <w:abstractNumId w:val="5"/>
  </w:num>
  <w:num w:numId="18" w16cid:durableId="258559934">
    <w:abstractNumId w:val="21"/>
  </w:num>
  <w:num w:numId="19" w16cid:durableId="2139764406">
    <w:abstractNumId w:val="4"/>
  </w:num>
  <w:num w:numId="20" w16cid:durableId="1619140680">
    <w:abstractNumId w:val="8"/>
  </w:num>
  <w:num w:numId="21" w16cid:durableId="1932084371">
    <w:abstractNumId w:val="26"/>
  </w:num>
  <w:num w:numId="22" w16cid:durableId="1419712614">
    <w:abstractNumId w:val="16"/>
  </w:num>
  <w:num w:numId="23" w16cid:durableId="2022704930">
    <w:abstractNumId w:val="18"/>
  </w:num>
  <w:num w:numId="24" w16cid:durableId="1136921567">
    <w:abstractNumId w:val="7"/>
  </w:num>
  <w:num w:numId="25" w16cid:durableId="679089576">
    <w:abstractNumId w:val="15"/>
  </w:num>
  <w:num w:numId="26" w16cid:durableId="991132821">
    <w:abstractNumId w:val="3"/>
  </w:num>
  <w:num w:numId="27" w16cid:durableId="2145468945">
    <w:abstractNumId w:val="17"/>
  </w:num>
  <w:num w:numId="28" w16cid:durableId="2037340824">
    <w:abstractNumId w:val="12"/>
  </w:num>
  <w:num w:numId="29" w16cid:durableId="9902580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2F7F"/>
    <w:rsid w:val="00061B2A"/>
    <w:rsid w:val="00082362"/>
    <w:rsid w:val="000A683E"/>
    <w:rsid w:val="000B19B9"/>
    <w:rsid w:val="000C2D8B"/>
    <w:rsid w:val="000D0334"/>
    <w:rsid w:val="000F6486"/>
    <w:rsid w:val="001062C7"/>
    <w:rsid w:val="00125105"/>
    <w:rsid w:val="00127233"/>
    <w:rsid w:val="0014123B"/>
    <w:rsid w:val="0015686B"/>
    <w:rsid w:val="00156A37"/>
    <w:rsid w:val="001B5D67"/>
    <w:rsid w:val="001D28E1"/>
    <w:rsid w:val="001E4177"/>
    <w:rsid w:val="001F7DC6"/>
    <w:rsid w:val="002229FD"/>
    <w:rsid w:val="0023510A"/>
    <w:rsid w:val="002421BB"/>
    <w:rsid w:val="002512E6"/>
    <w:rsid w:val="0025796E"/>
    <w:rsid w:val="002630EB"/>
    <w:rsid w:val="00265FF1"/>
    <w:rsid w:val="002707A2"/>
    <w:rsid w:val="00270F25"/>
    <w:rsid w:val="002915F7"/>
    <w:rsid w:val="002951A0"/>
    <w:rsid w:val="002962BC"/>
    <w:rsid w:val="002A093D"/>
    <w:rsid w:val="002A0DD0"/>
    <w:rsid w:val="002A49AC"/>
    <w:rsid w:val="002A64FD"/>
    <w:rsid w:val="002C7A84"/>
    <w:rsid w:val="002D31CB"/>
    <w:rsid w:val="002D7ACD"/>
    <w:rsid w:val="002E4FD9"/>
    <w:rsid w:val="00301B02"/>
    <w:rsid w:val="003202B0"/>
    <w:rsid w:val="00322A85"/>
    <w:rsid w:val="00324168"/>
    <w:rsid w:val="003448F4"/>
    <w:rsid w:val="00354270"/>
    <w:rsid w:val="003549C7"/>
    <w:rsid w:val="003604CA"/>
    <w:rsid w:val="00374F5E"/>
    <w:rsid w:val="00377E3E"/>
    <w:rsid w:val="003966C4"/>
    <w:rsid w:val="003A26D1"/>
    <w:rsid w:val="003A779E"/>
    <w:rsid w:val="003D0F4D"/>
    <w:rsid w:val="003D5B0D"/>
    <w:rsid w:val="003E0499"/>
    <w:rsid w:val="003E0D5B"/>
    <w:rsid w:val="003F3941"/>
    <w:rsid w:val="00406575"/>
    <w:rsid w:val="00423F75"/>
    <w:rsid w:val="0042722E"/>
    <w:rsid w:val="00435B89"/>
    <w:rsid w:val="0044528D"/>
    <w:rsid w:val="00473468"/>
    <w:rsid w:val="00474475"/>
    <w:rsid w:val="00495734"/>
    <w:rsid w:val="004A1847"/>
    <w:rsid w:val="004A305D"/>
    <w:rsid w:val="004C0691"/>
    <w:rsid w:val="004C1444"/>
    <w:rsid w:val="004F21C4"/>
    <w:rsid w:val="004F685F"/>
    <w:rsid w:val="005025B5"/>
    <w:rsid w:val="00536F5E"/>
    <w:rsid w:val="0054605A"/>
    <w:rsid w:val="005564B4"/>
    <w:rsid w:val="005566E8"/>
    <w:rsid w:val="00574867"/>
    <w:rsid w:val="00591460"/>
    <w:rsid w:val="00592628"/>
    <w:rsid w:val="00594C74"/>
    <w:rsid w:val="005A3DDB"/>
    <w:rsid w:val="005C3777"/>
    <w:rsid w:val="005C5CDC"/>
    <w:rsid w:val="005D476C"/>
    <w:rsid w:val="00610812"/>
    <w:rsid w:val="006219F8"/>
    <w:rsid w:val="00643635"/>
    <w:rsid w:val="00650FF7"/>
    <w:rsid w:val="00665D70"/>
    <w:rsid w:val="00671DAC"/>
    <w:rsid w:val="00675C32"/>
    <w:rsid w:val="00677740"/>
    <w:rsid w:val="00677BC5"/>
    <w:rsid w:val="00687F9B"/>
    <w:rsid w:val="006900D9"/>
    <w:rsid w:val="006A54ED"/>
    <w:rsid w:val="006C452C"/>
    <w:rsid w:val="006D12F8"/>
    <w:rsid w:val="006E2954"/>
    <w:rsid w:val="006F40EE"/>
    <w:rsid w:val="00706C16"/>
    <w:rsid w:val="0071428C"/>
    <w:rsid w:val="0072077A"/>
    <w:rsid w:val="00722C90"/>
    <w:rsid w:val="00756841"/>
    <w:rsid w:val="007649AB"/>
    <w:rsid w:val="00771D0C"/>
    <w:rsid w:val="00775DA5"/>
    <w:rsid w:val="007833AC"/>
    <w:rsid w:val="007923A5"/>
    <w:rsid w:val="00795C9F"/>
    <w:rsid w:val="007B268C"/>
    <w:rsid w:val="007B7171"/>
    <w:rsid w:val="007C0C0F"/>
    <w:rsid w:val="007C3DC2"/>
    <w:rsid w:val="007D038D"/>
    <w:rsid w:val="007E5497"/>
    <w:rsid w:val="00806F5F"/>
    <w:rsid w:val="00811C35"/>
    <w:rsid w:val="00820278"/>
    <w:rsid w:val="008843B6"/>
    <w:rsid w:val="00891928"/>
    <w:rsid w:val="008A2890"/>
    <w:rsid w:val="008A446D"/>
    <w:rsid w:val="008D180B"/>
    <w:rsid w:val="008F0EA7"/>
    <w:rsid w:val="008F7C78"/>
    <w:rsid w:val="00915397"/>
    <w:rsid w:val="0092125B"/>
    <w:rsid w:val="00923EEF"/>
    <w:rsid w:val="009419F9"/>
    <w:rsid w:val="0095685E"/>
    <w:rsid w:val="00961B09"/>
    <w:rsid w:val="00965334"/>
    <w:rsid w:val="0097093E"/>
    <w:rsid w:val="009A0DFA"/>
    <w:rsid w:val="009A7D9F"/>
    <w:rsid w:val="009B2D26"/>
    <w:rsid w:val="009C19C8"/>
    <w:rsid w:val="009C71FA"/>
    <w:rsid w:val="009C72E7"/>
    <w:rsid w:val="009D3058"/>
    <w:rsid w:val="009F3A13"/>
    <w:rsid w:val="00A122D3"/>
    <w:rsid w:val="00A17F13"/>
    <w:rsid w:val="00A20739"/>
    <w:rsid w:val="00A24957"/>
    <w:rsid w:val="00A33C78"/>
    <w:rsid w:val="00A35389"/>
    <w:rsid w:val="00A4771A"/>
    <w:rsid w:val="00A6168A"/>
    <w:rsid w:val="00A97925"/>
    <w:rsid w:val="00AB0ADB"/>
    <w:rsid w:val="00AC0CA2"/>
    <w:rsid w:val="00B01B1A"/>
    <w:rsid w:val="00B074A2"/>
    <w:rsid w:val="00B2670E"/>
    <w:rsid w:val="00B41186"/>
    <w:rsid w:val="00B60FF3"/>
    <w:rsid w:val="00B72CD3"/>
    <w:rsid w:val="00B72FFF"/>
    <w:rsid w:val="00B9402C"/>
    <w:rsid w:val="00BC3155"/>
    <w:rsid w:val="00BC3D36"/>
    <w:rsid w:val="00BC56AD"/>
    <w:rsid w:val="00BD7F72"/>
    <w:rsid w:val="00C04FB3"/>
    <w:rsid w:val="00C330EB"/>
    <w:rsid w:val="00C37A4F"/>
    <w:rsid w:val="00C45D38"/>
    <w:rsid w:val="00C47B6C"/>
    <w:rsid w:val="00C538A4"/>
    <w:rsid w:val="00C754BE"/>
    <w:rsid w:val="00C76B1C"/>
    <w:rsid w:val="00CB6357"/>
    <w:rsid w:val="00CC1B26"/>
    <w:rsid w:val="00CD14D0"/>
    <w:rsid w:val="00CD520B"/>
    <w:rsid w:val="00CD5441"/>
    <w:rsid w:val="00CE2E2F"/>
    <w:rsid w:val="00D31CB8"/>
    <w:rsid w:val="00D423A2"/>
    <w:rsid w:val="00D46D35"/>
    <w:rsid w:val="00D520D8"/>
    <w:rsid w:val="00D63AC2"/>
    <w:rsid w:val="00D651E9"/>
    <w:rsid w:val="00D7383B"/>
    <w:rsid w:val="00D818FA"/>
    <w:rsid w:val="00D91E01"/>
    <w:rsid w:val="00D9404A"/>
    <w:rsid w:val="00DA231B"/>
    <w:rsid w:val="00DA23A0"/>
    <w:rsid w:val="00DC1E75"/>
    <w:rsid w:val="00DC39FC"/>
    <w:rsid w:val="00DF5254"/>
    <w:rsid w:val="00E10985"/>
    <w:rsid w:val="00E16408"/>
    <w:rsid w:val="00E20894"/>
    <w:rsid w:val="00E22D89"/>
    <w:rsid w:val="00E245AB"/>
    <w:rsid w:val="00E2764C"/>
    <w:rsid w:val="00E27F2E"/>
    <w:rsid w:val="00E413EA"/>
    <w:rsid w:val="00E50AFE"/>
    <w:rsid w:val="00E52AFD"/>
    <w:rsid w:val="00E75C92"/>
    <w:rsid w:val="00E771DC"/>
    <w:rsid w:val="00E8772A"/>
    <w:rsid w:val="00E90F6B"/>
    <w:rsid w:val="00E92C27"/>
    <w:rsid w:val="00EA0E3D"/>
    <w:rsid w:val="00EC38A7"/>
    <w:rsid w:val="00EE1AA8"/>
    <w:rsid w:val="00F31EDC"/>
    <w:rsid w:val="00F462B3"/>
    <w:rsid w:val="00F50C6C"/>
    <w:rsid w:val="00F5664F"/>
    <w:rsid w:val="00F666C4"/>
    <w:rsid w:val="00F76AFC"/>
    <w:rsid w:val="00F83911"/>
    <w:rsid w:val="00FA07B5"/>
    <w:rsid w:val="00FA47C0"/>
    <w:rsid w:val="00FA5A59"/>
    <w:rsid w:val="00FB5DD1"/>
    <w:rsid w:val="00FB6216"/>
    <w:rsid w:val="00FC2B5D"/>
    <w:rsid w:val="00FC59CF"/>
    <w:rsid w:val="00FF1449"/>
    <w:rsid w:val="5CEADB7B"/>
    <w:rsid w:val="78528F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F4E8639C-433A-4CAD-907B-C4B82BB1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4C0691"/>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C0691"/>
    <w:rPr>
      <w:rFonts w:ascii="Geomanist Light" w:hAnsi="Geomanist Light"/>
      <w:lang w:val="es-ES"/>
    </w:rPr>
  </w:style>
  <w:style w:type="character" w:customStyle="1" w:styleId="Hipervnculo1">
    <w:name w:val="Hipervínculo1"/>
    <w:basedOn w:val="Fuentedeprrafopredeter"/>
    <w:uiPriority w:val="99"/>
    <w:unhideWhenUsed/>
    <w:rsid w:val="004C0691"/>
    <w:rPr>
      <w:color w:val="F2F2F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26277108">
      <w:bodyDiv w:val="1"/>
      <w:marLeft w:val="0"/>
      <w:marRight w:val="0"/>
      <w:marTop w:val="0"/>
      <w:marBottom w:val="0"/>
      <w:divBdr>
        <w:top w:val="none" w:sz="0" w:space="0" w:color="auto"/>
        <w:left w:val="none" w:sz="0" w:space="0" w:color="auto"/>
        <w:bottom w:val="none" w:sz="0" w:space="0" w:color="auto"/>
        <w:right w:val="none" w:sz="0" w:space="0" w:color="auto"/>
      </w:divBdr>
    </w:div>
    <w:div w:id="706375426">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relatoria.colombiacompra.gov.co%2F&amp;data=05%7C02%7Cdiana.saavedra%40colombiacompra.gov.co%7C5aad36a736844ec87b2108dcc1fa4639%7C7b09041e245149d08cb179d5e3d8c1be%7C0%7C0%7C638598527919381538%7CUnknown%7CTWFpbGZsb3d8eyJWIjoiMC4wLjAwMDAiLCJQIjoiV2luMzIiLCJBTiI6Ik1haWwiLCJXVCI6Mn0%3D%7C0%7C%7C%7C&amp;sdata=SERqhYSkJwg8ErCStGLk4AEF5F37T6rV9QxmABE7T84%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manuales-guias-y-pliegos-tipo/manuales-y-guia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providencias-consejo-de-estado/"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sala-de-prensa%2Fboletin-digital%2Fboletin-de-relatoria-2024-iv&amp;data=05%7C02%7Cmartha.romero%40colombiacompra.gov.co%7C616b83c3423e4d31151908dce489c00d%7C7b09041e245149d08cb179d5e3d8c1be%7C0%7C0%7C638636527543104822%7CUnknown%7CTWFpbGZsb3d8eyJWIjoiMC4wLjAwMDAiLCJQIjoiV2luMzIiLCJBTiI6Ik1haWwiLCJXVCI6Mn0%3D%7C0%7C%7C%7C&amp;sdata=jQbIixzKnvlTxK08x1im6W1SukgnBeTEqeQT2ezV5aU%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473E04-F91F-4AB8-9E4E-0CEF1A36E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4234</Words>
  <Characters>23293</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27473</CharactersWithSpaces>
  <SharedDoc>false</SharedDoc>
  <HLinks>
    <vt:vector size="36" baseType="variant">
      <vt:variant>
        <vt:i4>3407924</vt:i4>
      </vt:variant>
      <vt:variant>
        <vt:i4>9</vt:i4>
      </vt:variant>
      <vt:variant>
        <vt:i4>0</vt:i4>
      </vt:variant>
      <vt:variant>
        <vt:i4>5</vt:i4>
      </vt:variant>
      <vt:variant>
        <vt:lpwstr>https://nam02.safelinks.protection.outlook.com/?url=https%3A%2F%2Fwww.colombiacompra.gov.co%2Fcontent%2Fconvocatorias&amp;data=05%7C02%7Cdiana.saavedra%40colombiacompra.gov.co%7C5aad36a736844ec87b2108dcc1fa4639%7C7b09041e245149d08cb179d5e3d8c1be%7C0%7C0%7C638598527919437775%7CUnknown%7CTWFpbGZsb3d8eyJWIjoiMC4wLjAwMDAiLCJQIjoiV2luMzIiLCJBTiI6Ik1haWwiLCJXVCI6Mn0%3D%7C0%7C%7C%7C&amp;sdata=5F4DKBMEurgclHpynNYDpoZPUmSTEZqPsTnUZQrdqTc%3D&amp;reserved=0</vt:lpwstr>
      </vt:variant>
      <vt:variant>
        <vt:lpwstr/>
      </vt:variant>
      <vt:variant>
        <vt:i4>7012469</vt:i4>
      </vt:variant>
      <vt:variant>
        <vt:i4>6</vt:i4>
      </vt:variant>
      <vt:variant>
        <vt:i4>0</vt:i4>
      </vt:variant>
      <vt:variant>
        <vt:i4>5</vt:i4>
      </vt:variant>
      <vt:variant>
        <vt:lpwstr>https://nam02.safelinks.protection.outlook.com/?url=https%3A%2F%2Fwww.sucop.gov.co%2Fentidades%2Fcolombiacompra%2FNormativa%3FIDNorma%3D17363&amp;data=05%7C02%7Cdiana.saavedra%40colombiacompra.gov.co%7C5aad36a736844ec87b2108dcc1fa4639%7C7b09041e245149d08cb179d5e3d8c1be%7C0%7C0%7C638598527919420052%7CUnknown%7CTWFpbGZsb3d8eyJWIjoiMC4wLjAwMDAiLCJQIjoiV2luMzIiLCJBTiI6Ik1haWwiLCJXVCI6Mn0%3D%7C0%7C%7C%7C&amp;sdata=lT1BXAfzktrCvXgnEvwjkmKzSdEPzZQPVjh76XtinQw%3D&amp;reserved=0</vt:lpwstr>
      </vt:variant>
      <vt:variant>
        <vt:lpwstr/>
      </vt:variant>
      <vt:variant>
        <vt:i4>2752605</vt:i4>
      </vt:variant>
      <vt:variant>
        <vt:i4>3</vt:i4>
      </vt:variant>
      <vt:variant>
        <vt:i4>0</vt:i4>
      </vt:variant>
      <vt:variant>
        <vt:i4>5</vt:i4>
      </vt:variant>
      <vt:variant>
        <vt:lpwstr>https://nam02.safelinks.protection.outlook.com/?url=https%3A%2F%2Fwww.colombiacompra.gov.co%2Fsites%2Fcce_public%2Ffiles%2Ffiles_2020%2Fboletin_de_realtoria_iii.pdf&amp;data=05%7C02%7Cdiana.saavedra%40colombiacompra.gov.co%7C5aad36a736844ec87b2108dcc1fa4639%7C7b09041e245149d08cb179d5e3d8c1be%7C0%7C0%7C638598527919402581%7CUnknown%7CTWFpbGZsb3d8eyJWIjoiMC4wLjAwMDAiLCJQIjoiV2luMzIiLCJBTiI6Ik1haWwiLCJXVCI6Mn0%3D%7C0%7C%7C%7C&amp;sdata=BZILiaeV6pxeIU4Au6MiDpHHdo%2F8ahiTHLAWqSylEg8%3D&amp;reserved=0</vt:lpwstr>
      </vt:variant>
      <vt:variant>
        <vt:lpwstr/>
      </vt:variant>
      <vt:variant>
        <vt:i4>7143486</vt:i4>
      </vt:variant>
      <vt:variant>
        <vt:i4>0</vt:i4>
      </vt:variant>
      <vt:variant>
        <vt:i4>0</vt:i4>
      </vt:variant>
      <vt:variant>
        <vt:i4>5</vt:i4>
      </vt:variant>
      <vt:variant>
        <vt:lpwstr>https://nam02.safelinks.protection.outlook.com/?url=https%3A%2F%2Frelatoria.colombiacompra.gov.co%2F&amp;data=05%7C02%7Cdiana.saavedra%40colombiacompra.gov.co%7C5aad36a736844ec87b2108dcc1fa4639%7C7b09041e245149d08cb179d5e3d8c1be%7C0%7C0%7C638598527919381538%7CUnknown%7CTWFpbGZsb3d8eyJWIjoiMC4wLjAwMDAiLCJQIjoiV2luMzIiLCJBTiI6Ik1haWwiLCJXVCI6Mn0%3D%7C0%7C%7C%7C&amp;sdata=SERqhYSkJwg8ErCStGLk4AEF5F37T6rV9QxmABE7T84%3D&amp;reserved=0</vt:lpwstr>
      </vt:variant>
      <vt:variant>
        <vt:lpwstr/>
      </vt:variant>
      <vt:variant>
        <vt:i4>1769551</vt:i4>
      </vt:variant>
      <vt:variant>
        <vt:i4>3</vt:i4>
      </vt:variant>
      <vt:variant>
        <vt:i4>0</vt:i4>
      </vt:variant>
      <vt:variant>
        <vt:i4>5</vt:i4>
      </vt:variant>
      <vt:variant>
        <vt:lpwstr>https://www.supersociedades.gov.co/documents/20122/1229078/Guia-Practica-Regimen-Matrices-y-Subordinadas.pdf/6c4a9d36-224c-e72e-8bb5-eec20d380f4a?t=1654295200749</vt:lpwstr>
      </vt:variant>
      <vt:variant>
        <vt:lpwstr/>
      </vt:variant>
      <vt:variant>
        <vt:i4>2752611</vt:i4>
      </vt:variant>
      <vt:variant>
        <vt:i4>0</vt:i4>
      </vt:variant>
      <vt:variant>
        <vt:i4>0</vt:i4>
      </vt:variant>
      <vt:variant>
        <vt:i4>5</vt:i4>
      </vt:variant>
      <vt:variant>
        <vt:lpwstr>http://leyes.senado.gov.co/proyectos/index.php/textos-radicados-senado/p-ley-2020-2021/1957-proyecto-de-ley-161-de-2020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Carolina Blanco Rodriguez</cp:lastModifiedBy>
  <cp:revision>4</cp:revision>
  <cp:lastPrinted>2023-01-11T00:18:00Z</cp:lastPrinted>
  <dcterms:created xsi:type="dcterms:W3CDTF">2024-10-23T20:17:00Z</dcterms:created>
  <dcterms:modified xsi:type="dcterms:W3CDTF">2024-10-31T03:09:00Z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