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B576" w14:textId="00DD5EF4" w:rsidR="00444C6B" w:rsidRPr="00444C6B" w:rsidRDefault="00444C6B" w:rsidP="00444C6B">
      <w:pPr>
        <w:spacing w:after="0"/>
        <w:jc w:val="both"/>
        <w:rPr>
          <w:rFonts w:ascii="Verdana" w:hAnsi="Verdana"/>
        </w:rPr>
      </w:pPr>
      <w:r w:rsidRPr="00444C6B">
        <w:rPr>
          <w:rFonts w:ascii="Verdana" w:eastAsia="Calibri" w:hAnsi="Verdana" w:cs="Arial"/>
          <w:b/>
          <w:bCs/>
          <w:lang w:val="es-ES_tradnl" w:eastAsia="es-ES"/>
        </w:rPr>
        <w:t xml:space="preserve">DOCUMENTOS TIPO – </w:t>
      </w:r>
      <w:r w:rsidRPr="00444C6B">
        <w:rPr>
          <w:rFonts w:ascii="Verdana" w:eastAsia="Aptos" w:hAnsi="Verdana" w:cs="Times New Roman"/>
          <w:b/>
          <w:bCs/>
          <w:kern w:val="2"/>
          <w:lang w:val="es-ES_tradnl" w:eastAsia="es-ES"/>
          <w14:ligatures w14:val="standardContextual"/>
        </w:rPr>
        <w:t xml:space="preserve">Obligatoriedad – Aplicación – Actividad a contratar – Matriz 1 – Experiencia – Infraestructura de transporte – Glosario </w:t>
      </w:r>
    </w:p>
    <w:p w14:paraId="72D9401D" w14:textId="77777777" w:rsidR="00444C6B" w:rsidRPr="00444C6B" w:rsidRDefault="00444C6B" w:rsidP="00444C6B">
      <w:pPr>
        <w:spacing w:after="0" w:line="276" w:lineRule="auto"/>
        <w:jc w:val="both"/>
        <w:rPr>
          <w:rFonts w:ascii="Verdana" w:eastAsia="Calibri" w:hAnsi="Verdana" w:cs="Arial"/>
          <w:b/>
          <w:bCs/>
          <w:lang w:val="es-ES_tradnl" w:eastAsia="es-ES"/>
        </w:rPr>
      </w:pPr>
    </w:p>
    <w:p w14:paraId="4EE6D555" w14:textId="68EBCFA5" w:rsidR="00222DDB" w:rsidRPr="00222DDB" w:rsidRDefault="00222DDB" w:rsidP="00222DDB">
      <w:pPr>
        <w:spacing w:after="0" w:line="240" w:lineRule="auto"/>
        <w:jc w:val="both"/>
        <w:rPr>
          <w:rFonts w:ascii="Verdana" w:eastAsia="Calibri" w:hAnsi="Verdana" w:cs="Arial"/>
          <w:sz w:val="20"/>
          <w:szCs w:val="20"/>
          <w:lang w:val="es-ES_tradnl"/>
        </w:rPr>
      </w:pPr>
      <w:r w:rsidRPr="00222DDB">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08329400" w14:textId="77777777" w:rsidR="00222DDB" w:rsidRDefault="00222DDB" w:rsidP="00222DDB">
      <w:pPr>
        <w:spacing w:after="0" w:line="240" w:lineRule="auto"/>
        <w:jc w:val="both"/>
        <w:rPr>
          <w:rFonts w:ascii="Verdana" w:eastAsia="Calibri" w:hAnsi="Verdana" w:cs="Arial"/>
          <w:sz w:val="20"/>
          <w:szCs w:val="20"/>
          <w:lang w:val="es-ES_tradnl"/>
        </w:rPr>
      </w:pPr>
    </w:p>
    <w:p w14:paraId="6C0DB9EC" w14:textId="0F67479A" w:rsidR="00444C6B" w:rsidRPr="00444C6B" w:rsidRDefault="00222DDB" w:rsidP="00222DDB">
      <w:pPr>
        <w:spacing w:after="0" w:line="240" w:lineRule="auto"/>
        <w:jc w:val="both"/>
        <w:rPr>
          <w:rFonts w:ascii="Verdana" w:eastAsia="Calibri" w:hAnsi="Verdana" w:cs="Arial"/>
          <w:sz w:val="20"/>
          <w:szCs w:val="20"/>
          <w:lang w:val="es-ES"/>
        </w:rPr>
      </w:pPr>
      <w:r w:rsidRPr="00222DDB">
        <w:rPr>
          <w:rFonts w:ascii="Verdana" w:eastAsia="Calibri" w:hAnsi="Verdana" w:cs="Arial"/>
          <w:sz w:val="20"/>
          <w:szCs w:val="20"/>
          <w:lang w:val="es-ES_tradnl"/>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65A27304" w14:textId="77777777" w:rsidR="00444C6B" w:rsidRPr="00444C6B" w:rsidRDefault="00444C6B" w:rsidP="00444C6B">
      <w:pPr>
        <w:spacing w:after="0" w:line="240" w:lineRule="auto"/>
        <w:rPr>
          <w:rFonts w:ascii="Verdana" w:eastAsia="Geomanist Light" w:hAnsi="Verdana" w:cs="Arial"/>
          <w:lang w:val="es-ES_tradnl"/>
        </w:rPr>
      </w:pPr>
    </w:p>
    <w:p w14:paraId="24234A07" w14:textId="2A136F99" w:rsidR="00444C6B" w:rsidRPr="00444C6B" w:rsidRDefault="00444C6B" w:rsidP="00444C6B">
      <w:pPr>
        <w:spacing w:after="0" w:line="276" w:lineRule="auto"/>
        <w:jc w:val="both"/>
        <w:rPr>
          <w:rFonts w:ascii="Verdana" w:eastAsia="Geomanist Light" w:hAnsi="Verdana" w:cs="Arial"/>
          <w:b/>
          <w:bCs/>
          <w:lang w:val="es-ES_tradnl"/>
        </w:rPr>
      </w:pPr>
      <w:r w:rsidRPr="00444C6B">
        <w:rPr>
          <w:rFonts w:ascii="Verdana" w:eastAsia="Geomanist Light" w:hAnsi="Verdana" w:cs="Arial"/>
          <w:b/>
          <w:bCs/>
          <w:lang w:val="es-ES_tradnl"/>
        </w:rPr>
        <w:t>DOCUMENTOS TIPO – Combinación de experiencia – Bienes o servicios adicionales a la obra públic</w:t>
      </w:r>
      <w:r w:rsidR="000D51F7">
        <w:rPr>
          <w:rFonts w:ascii="Verdana" w:eastAsia="Geomanist Light" w:hAnsi="Verdana" w:cs="Arial"/>
          <w:b/>
          <w:bCs/>
          <w:lang w:val="es-ES_tradnl"/>
        </w:rPr>
        <w:t>a –</w:t>
      </w:r>
      <w:r w:rsidRPr="00444C6B">
        <w:rPr>
          <w:rFonts w:ascii="Verdana" w:eastAsia="Geomanist Light" w:hAnsi="Verdana" w:cs="Arial"/>
          <w:b/>
          <w:bCs/>
          <w:lang w:val="es-ES_tradnl"/>
        </w:rPr>
        <w:t xml:space="preserve"> Estudios y diseños – Llave en mano</w:t>
      </w:r>
    </w:p>
    <w:p w14:paraId="78DBC5C2" w14:textId="77777777" w:rsidR="00444C6B" w:rsidRPr="00444C6B" w:rsidRDefault="00444C6B" w:rsidP="00444C6B">
      <w:pPr>
        <w:spacing w:after="0" w:line="240" w:lineRule="auto"/>
        <w:jc w:val="both"/>
        <w:rPr>
          <w:rFonts w:ascii="Verdana" w:eastAsia="Geomanist Light" w:hAnsi="Verdana" w:cs="Arial"/>
          <w:lang w:val="es-ES_tradnl"/>
        </w:rPr>
      </w:pPr>
    </w:p>
    <w:p w14:paraId="49D02C87" w14:textId="407EF813" w:rsidR="00222DDB" w:rsidRPr="00222DDB" w:rsidRDefault="00222DDB" w:rsidP="00222DDB">
      <w:pPr>
        <w:spacing w:after="0" w:line="240" w:lineRule="auto"/>
        <w:jc w:val="both"/>
        <w:rPr>
          <w:rFonts w:ascii="Verdana" w:eastAsia="Geomanist Light" w:hAnsi="Verdana" w:cs="Arial"/>
          <w:sz w:val="20"/>
          <w:szCs w:val="20"/>
          <w:lang w:val="es-ES_tradnl"/>
        </w:rPr>
      </w:pPr>
      <w:r w:rsidRPr="00222DDB">
        <w:rPr>
          <w:rFonts w:ascii="Verdana" w:eastAsia="Geomanist Light" w:hAnsi="Verdana" w:cs="Arial"/>
          <w:sz w:val="20"/>
          <w:szCs w:val="20"/>
          <w:lang w:val="es-ES_tradnl"/>
        </w:rPr>
        <w:t>Adicionalmente, respecto a su apreciación sobre la modalidad de llave en mano, es importante señalar que, en el ordenamiento jurídico existen diversas opciones para la contratación de los estudios y diseños necesarios para la ejecución de una obra pública. En ese sentido, es viable afirmar que los estudios y diseños pueden contratarse aparte de la construcción de la obra o conjuntamente a través de un contrato de obra en la modalidad de “llave en mano”. Mediante esta modalidad, el contratista seleccionado para ejecutar el proyecto será el encargado de elaborar los estudios y diseños. Esto, en la medida en que, dependiendo del alcance de las obligaciones, el contrato llave en mano involucra todas las labores relacionadas con la obra, incluyendo los diseños, estudios de factibilidad, construcción, contratación del personal, instalaciones y suministros, y la contraprestación a cargo del contratista es la obra terminada y en funcionamiento.</w:t>
      </w:r>
    </w:p>
    <w:p w14:paraId="1A6B4BD7" w14:textId="77777777" w:rsidR="00222DDB" w:rsidRDefault="00222DDB" w:rsidP="00222DDB">
      <w:pPr>
        <w:spacing w:after="0" w:line="240" w:lineRule="auto"/>
        <w:jc w:val="both"/>
        <w:rPr>
          <w:rFonts w:ascii="Verdana" w:eastAsia="Geomanist Light" w:hAnsi="Verdana" w:cs="Arial"/>
          <w:sz w:val="20"/>
          <w:szCs w:val="20"/>
          <w:lang w:val="es-ES_tradnl"/>
        </w:rPr>
      </w:pPr>
    </w:p>
    <w:p w14:paraId="345E9E4A" w14:textId="7D17F051" w:rsidR="00444C6B" w:rsidRPr="00444C6B" w:rsidRDefault="00222DDB" w:rsidP="00222DDB">
      <w:pPr>
        <w:spacing w:after="0" w:line="240" w:lineRule="auto"/>
        <w:jc w:val="both"/>
        <w:rPr>
          <w:rFonts w:ascii="Verdana" w:eastAsia="Geomanist Light" w:hAnsi="Verdana" w:cs="Arial"/>
          <w:sz w:val="20"/>
          <w:szCs w:val="20"/>
          <w:lang w:val="es-ES_tradnl"/>
        </w:rPr>
      </w:pPr>
      <w:r w:rsidRPr="00222DDB">
        <w:rPr>
          <w:rFonts w:ascii="Verdana" w:eastAsia="Geomanist Light" w:hAnsi="Verdana" w:cs="Arial"/>
          <w:sz w:val="20"/>
          <w:szCs w:val="20"/>
          <w:lang w:val="es-ES_tradnl"/>
        </w:rPr>
        <w:t>Por lo tanto, si la obra que la entidad pretende ejecutar se enmarca en alguno de los tipos de proyectos o actividades incluidas en alguna de las matrices de experiencia de los documentos tipo relacionados con infraestructura de transporte u otro sector, el proceso de selección debe adelantarse utilizando dichos documentos. Esto aplica, incluso, para los contratos de obra “llave en mano” para infraestructura de transporte.</w:t>
      </w:r>
    </w:p>
    <w:p w14:paraId="2CEB4CAF" w14:textId="77777777" w:rsidR="00444C6B" w:rsidRPr="00444C6B" w:rsidRDefault="00444C6B" w:rsidP="00444C6B">
      <w:pPr>
        <w:spacing w:after="0" w:line="240" w:lineRule="auto"/>
        <w:rPr>
          <w:rFonts w:ascii="Verdana" w:eastAsia="Geomanist Light" w:hAnsi="Verdana" w:cs="Arial"/>
          <w:lang w:val="es-ES_tradnl"/>
        </w:rPr>
      </w:pPr>
    </w:p>
    <w:p w14:paraId="59E99A35" w14:textId="77777777" w:rsidR="00444C6B" w:rsidRPr="00444C6B" w:rsidRDefault="00444C6B" w:rsidP="00444C6B">
      <w:pPr>
        <w:spacing w:after="0" w:line="240" w:lineRule="auto"/>
        <w:rPr>
          <w:rFonts w:ascii="Verdana" w:eastAsia="Geomanist Light" w:hAnsi="Verdana" w:cs="Arial"/>
          <w:lang w:val="es-ES_tradnl"/>
        </w:rPr>
      </w:pPr>
    </w:p>
    <w:p w14:paraId="71CDCBC7" w14:textId="77777777" w:rsidR="00444C6B" w:rsidRPr="00444C6B" w:rsidRDefault="00444C6B" w:rsidP="00444C6B">
      <w:pPr>
        <w:spacing w:after="0" w:line="240" w:lineRule="auto"/>
        <w:rPr>
          <w:rFonts w:ascii="Verdana" w:eastAsia="Geomanist Light" w:hAnsi="Verdana" w:cs="Arial"/>
          <w:lang w:val="es-ES_tradnl"/>
        </w:rPr>
      </w:pPr>
    </w:p>
    <w:p w14:paraId="7F0F7A0A" w14:textId="77777777" w:rsidR="00444C6B" w:rsidRPr="00444C6B" w:rsidRDefault="00444C6B" w:rsidP="00444C6B">
      <w:pPr>
        <w:spacing w:after="0" w:line="240" w:lineRule="auto"/>
        <w:rPr>
          <w:rFonts w:ascii="Verdana" w:eastAsia="Calibri" w:hAnsi="Verdana" w:cs="Times New Roman"/>
          <w:lang w:val="es-ES_tradnl"/>
        </w:rPr>
      </w:pPr>
    </w:p>
    <w:p w14:paraId="0FC9CF71" w14:textId="77777777" w:rsidR="00444C6B" w:rsidRPr="00444C6B" w:rsidRDefault="00444C6B" w:rsidP="00444C6B">
      <w:pPr>
        <w:spacing w:after="0" w:line="240" w:lineRule="auto"/>
        <w:rPr>
          <w:rFonts w:ascii="Verdana" w:eastAsia="Calibri" w:hAnsi="Verdana" w:cs="Times New Roman"/>
          <w:lang w:val="es-ES_tradnl"/>
        </w:rPr>
      </w:pPr>
    </w:p>
    <w:p w14:paraId="2F14EF45" w14:textId="77777777" w:rsidR="00444C6B" w:rsidRDefault="00444C6B" w:rsidP="00444C6B">
      <w:pPr>
        <w:spacing w:after="0" w:line="240" w:lineRule="auto"/>
        <w:jc w:val="both"/>
        <w:rPr>
          <w:rFonts w:ascii="Verdana" w:eastAsia="Calibri" w:hAnsi="Verdana" w:cs="Times New Roman"/>
        </w:rPr>
      </w:pPr>
    </w:p>
    <w:p w14:paraId="070EF3BB" w14:textId="1C56DCB7" w:rsidR="00444C6B" w:rsidRPr="00444C6B" w:rsidRDefault="00444C6B" w:rsidP="00444C6B">
      <w:pPr>
        <w:spacing w:after="0" w:line="240" w:lineRule="auto"/>
        <w:jc w:val="both"/>
        <w:rPr>
          <w:rFonts w:ascii="Verdana" w:eastAsia="Calibri" w:hAnsi="Verdana" w:cs="Arial"/>
          <w:lang w:val="es-ES_tradnl"/>
        </w:rPr>
      </w:pPr>
      <w:r w:rsidRPr="0044528D">
        <w:rPr>
          <w:rFonts w:ascii="Verdana" w:hAnsi="Verdana"/>
        </w:rPr>
        <w:lastRenderedPageBreak/>
        <w:t>Bogotá D.C.</w:t>
      </w:r>
    </w:p>
    <w:p w14:paraId="512BE82E" w14:textId="77777777" w:rsidR="00444C6B" w:rsidRDefault="00444C6B" w:rsidP="00444C6B">
      <w:pPr>
        <w:spacing w:after="0" w:line="240" w:lineRule="auto"/>
        <w:jc w:val="both"/>
        <w:rPr>
          <w:rFonts w:ascii="Verdana" w:eastAsia="Calibri" w:hAnsi="Verdana" w:cs="Arial"/>
          <w:lang w:val="es-ES_tradnl" w:eastAsia="es-ES"/>
        </w:rPr>
      </w:pPr>
    </w:p>
    <w:p w14:paraId="73D7D256" w14:textId="3F7990FE" w:rsidR="000351B8" w:rsidRDefault="000351B8" w:rsidP="000351B8">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35BC3458" wp14:editId="2602C690">
            <wp:extent cx="3451225" cy="1021023"/>
            <wp:effectExtent l="0" t="0" r="3175" b="0"/>
            <wp:docPr id="356481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81609" name="Imagen 356481609"/>
                    <pic:cNvPicPr/>
                  </pic:nvPicPr>
                  <pic:blipFill>
                    <a:blip r:embed="rId10">
                      <a:extLst>
                        <a:ext uri="{28A0092B-C50C-407E-A947-70E740481C1C}">
                          <a14:useLocalDpi xmlns:a14="http://schemas.microsoft.com/office/drawing/2010/main" val="0"/>
                        </a:ext>
                      </a:extLst>
                    </a:blip>
                    <a:stretch>
                      <a:fillRect/>
                    </a:stretch>
                  </pic:blipFill>
                  <pic:spPr>
                    <a:xfrm>
                      <a:off x="0" y="0"/>
                      <a:ext cx="3463979" cy="1024796"/>
                    </a:xfrm>
                    <a:prstGeom prst="rect">
                      <a:avLst/>
                    </a:prstGeom>
                  </pic:spPr>
                </pic:pic>
              </a:graphicData>
            </a:graphic>
          </wp:inline>
        </w:drawing>
      </w:r>
    </w:p>
    <w:p w14:paraId="004B0C6F" w14:textId="77777777" w:rsidR="00444C6B" w:rsidRPr="00444C6B" w:rsidRDefault="00444C6B" w:rsidP="00444C6B">
      <w:pPr>
        <w:spacing w:after="0" w:line="240" w:lineRule="auto"/>
        <w:jc w:val="both"/>
        <w:rPr>
          <w:rFonts w:ascii="Verdana" w:eastAsia="Calibri" w:hAnsi="Verdana" w:cs="Arial"/>
          <w:lang w:val="es-ES_tradnl" w:eastAsia="es-ES"/>
        </w:rPr>
      </w:pPr>
    </w:p>
    <w:p w14:paraId="1C771CCE" w14:textId="77777777" w:rsidR="00444C6B" w:rsidRPr="00444C6B" w:rsidRDefault="00444C6B" w:rsidP="00444C6B">
      <w:pPr>
        <w:spacing w:after="0" w:line="240" w:lineRule="auto"/>
        <w:jc w:val="both"/>
        <w:rPr>
          <w:rFonts w:ascii="Verdana" w:eastAsia="Calibri" w:hAnsi="Verdana" w:cs="Arial"/>
          <w:lang w:val="es-ES_tradnl" w:eastAsia="es-ES"/>
        </w:rPr>
      </w:pPr>
      <w:r w:rsidRPr="00444C6B">
        <w:rPr>
          <w:rFonts w:ascii="Verdana" w:eastAsia="Calibri" w:hAnsi="Verdana" w:cs="Arial"/>
          <w:lang w:val="es-ES_tradnl" w:eastAsia="es-ES"/>
        </w:rPr>
        <w:t>Señora</w:t>
      </w:r>
    </w:p>
    <w:p w14:paraId="2098DA7D" w14:textId="77777777" w:rsidR="00444C6B" w:rsidRPr="00444C6B" w:rsidRDefault="00444C6B" w:rsidP="00444C6B">
      <w:pPr>
        <w:spacing w:after="0" w:line="240" w:lineRule="auto"/>
        <w:rPr>
          <w:rFonts w:ascii="Verdana" w:eastAsia="Calibri" w:hAnsi="Verdana" w:cs="Arial"/>
          <w:b/>
          <w:lang w:val="es-ES_tradnl" w:eastAsia="es-ES_tradnl"/>
        </w:rPr>
      </w:pPr>
      <w:r w:rsidRPr="00444C6B">
        <w:rPr>
          <w:rFonts w:ascii="Verdana" w:eastAsia="Calibri" w:hAnsi="Verdana" w:cs="Arial"/>
          <w:b/>
          <w:lang w:val="es-ES_tradnl" w:eastAsia="es-ES_tradnl"/>
        </w:rPr>
        <w:t>Laura Vanessa Vega Barrios</w:t>
      </w:r>
    </w:p>
    <w:p w14:paraId="2302A41C" w14:textId="77777777" w:rsidR="00444C6B" w:rsidRPr="00444C6B" w:rsidRDefault="00444C6B" w:rsidP="00444C6B">
      <w:pPr>
        <w:spacing w:after="0" w:line="240" w:lineRule="auto"/>
        <w:rPr>
          <w:rFonts w:ascii="Verdana" w:eastAsia="Calibri" w:hAnsi="Verdana" w:cs="Arial"/>
          <w:lang w:val="es-ES_tradnl" w:eastAsia="es-ES"/>
        </w:rPr>
      </w:pPr>
      <w:r w:rsidRPr="00444C6B">
        <w:rPr>
          <w:rFonts w:ascii="Verdana" w:eastAsia="Calibri" w:hAnsi="Verdana" w:cs="Arial"/>
          <w:lang w:val="es-ES_tradnl" w:eastAsia="es-ES"/>
        </w:rPr>
        <w:t>Cartagena, Bolívar</w:t>
      </w:r>
    </w:p>
    <w:p w14:paraId="375E9094" w14:textId="77777777" w:rsidR="00444C6B" w:rsidRPr="00444C6B" w:rsidRDefault="00444C6B" w:rsidP="00444C6B">
      <w:pPr>
        <w:spacing w:after="0" w:line="240" w:lineRule="auto"/>
        <w:rPr>
          <w:rFonts w:ascii="Verdana" w:eastAsia="Calibri" w:hAnsi="Verdana" w:cs="Arial"/>
          <w:b/>
          <w:bCs/>
          <w:lang w:val="es-ES_tradnl" w:eastAsia="es-ES_tradnl"/>
        </w:rPr>
      </w:pPr>
    </w:p>
    <w:p w14:paraId="41DD3F67" w14:textId="77777777" w:rsidR="00444C6B" w:rsidRPr="00444C6B" w:rsidRDefault="00444C6B" w:rsidP="00444C6B">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44C6B" w:rsidRPr="00444C6B" w14:paraId="5B68D822" w14:textId="77777777" w:rsidTr="00153B2D">
        <w:trPr>
          <w:trHeight w:val="884"/>
        </w:trPr>
        <w:tc>
          <w:tcPr>
            <w:tcW w:w="2689" w:type="dxa"/>
          </w:tcPr>
          <w:p w14:paraId="5FD630C0" w14:textId="77777777" w:rsidR="00444C6B" w:rsidRPr="00444C6B" w:rsidRDefault="00444C6B" w:rsidP="00444C6B">
            <w:pPr>
              <w:jc w:val="both"/>
              <w:rPr>
                <w:rFonts w:ascii="Verdana" w:eastAsia="Calibri" w:hAnsi="Verdana" w:cs="Arial"/>
                <w:b/>
                <w:bCs/>
                <w:lang w:val="es-ES_tradnl" w:eastAsia="es-ES_tradnl"/>
              </w:rPr>
            </w:pPr>
          </w:p>
        </w:tc>
        <w:tc>
          <w:tcPr>
            <w:tcW w:w="6100" w:type="dxa"/>
          </w:tcPr>
          <w:p w14:paraId="371929E4" w14:textId="77777777" w:rsidR="00444C6B" w:rsidRPr="00444C6B" w:rsidRDefault="00444C6B" w:rsidP="00444C6B">
            <w:pPr>
              <w:jc w:val="both"/>
              <w:rPr>
                <w:rFonts w:ascii="Verdana" w:eastAsia="Calibri" w:hAnsi="Verdana" w:cs="Arial"/>
                <w:b/>
                <w:bCs/>
                <w:lang w:val="es-ES_tradnl" w:eastAsia="es-ES"/>
              </w:rPr>
            </w:pPr>
            <w:r w:rsidRPr="00444C6B">
              <w:rPr>
                <w:rFonts w:ascii="Verdana" w:eastAsia="Calibri" w:hAnsi="Verdana" w:cs="Arial"/>
                <w:b/>
                <w:bCs/>
                <w:lang w:val="es-ES_tradnl" w:eastAsia="es-ES"/>
              </w:rPr>
              <w:t>Concepto C – 587 de 2024</w:t>
            </w:r>
          </w:p>
        </w:tc>
      </w:tr>
      <w:tr w:rsidR="00444C6B" w:rsidRPr="00444C6B" w14:paraId="7ADA041B" w14:textId="77777777" w:rsidTr="00153B2D">
        <w:trPr>
          <w:trHeight w:val="884"/>
        </w:trPr>
        <w:tc>
          <w:tcPr>
            <w:tcW w:w="2689" w:type="dxa"/>
          </w:tcPr>
          <w:p w14:paraId="6038750E" w14:textId="77777777" w:rsidR="00444C6B" w:rsidRPr="00444C6B" w:rsidRDefault="00444C6B" w:rsidP="00444C6B">
            <w:pPr>
              <w:jc w:val="both"/>
              <w:rPr>
                <w:rFonts w:ascii="Verdana" w:eastAsia="Calibri" w:hAnsi="Verdana" w:cs="Arial"/>
                <w:lang w:val="es-ES_tradnl" w:eastAsia="es-ES_tradnl"/>
              </w:rPr>
            </w:pPr>
            <w:r w:rsidRPr="00444C6B">
              <w:rPr>
                <w:rFonts w:ascii="Verdana" w:eastAsia="Calibri" w:hAnsi="Verdana" w:cs="Arial"/>
                <w:b/>
                <w:lang w:val="es-ES_tradnl" w:eastAsia="es-ES_tradnl"/>
              </w:rPr>
              <w:t>Temas:</w:t>
            </w:r>
            <w:r w:rsidRPr="00444C6B">
              <w:rPr>
                <w:rFonts w:ascii="Verdana" w:eastAsia="Calibri" w:hAnsi="Verdana" w:cs="Arial"/>
                <w:lang w:val="es-ES_tradnl" w:eastAsia="es-ES_tradnl"/>
              </w:rPr>
              <w:t xml:space="preserve">                   </w:t>
            </w:r>
          </w:p>
        </w:tc>
        <w:tc>
          <w:tcPr>
            <w:tcW w:w="6100" w:type="dxa"/>
          </w:tcPr>
          <w:p w14:paraId="70EF78B8" w14:textId="77777777" w:rsidR="00444C6B" w:rsidRPr="00444C6B" w:rsidRDefault="00444C6B" w:rsidP="00444C6B">
            <w:pPr>
              <w:spacing w:line="276" w:lineRule="auto"/>
              <w:jc w:val="both"/>
              <w:rPr>
                <w:rFonts w:ascii="Verdana" w:eastAsia="Geomanist Light" w:hAnsi="Verdana" w:cs="Arial"/>
                <w:lang w:val="es-ES_tradnl"/>
              </w:rPr>
            </w:pPr>
            <w:r w:rsidRPr="00444C6B">
              <w:rPr>
                <w:rFonts w:ascii="Verdana" w:eastAsia="Calibri" w:hAnsi="Verdana" w:cs="Arial"/>
                <w:lang w:val="es-ES_tradnl" w:eastAsia="es-ES"/>
              </w:rPr>
              <w:t xml:space="preserve">DOCUMENTOS TIPO – </w:t>
            </w:r>
            <w:r w:rsidRPr="00444C6B">
              <w:rPr>
                <w:rFonts w:ascii="Verdana" w:eastAsia="Aptos" w:hAnsi="Verdana" w:cs="Times New Roman"/>
                <w:lang w:val="es-ES_tradnl" w:eastAsia="es-ES"/>
              </w:rPr>
              <w:t xml:space="preserve">Obligatoriedad – Aplicación – Actividad a contratar – Matriz 1 – Experiencia – Infraestructura de transporte – Glosario / </w:t>
            </w:r>
            <w:r w:rsidRPr="00444C6B">
              <w:rPr>
                <w:rFonts w:ascii="Verdana" w:eastAsia="Geomanist Light" w:hAnsi="Verdana" w:cs="Arial"/>
                <w:lang w:val="es-ES_tradnl"/>
              </w:rPr>
              <w:t>DOCUMENTOS TIPO – Combinación de experiencia – Bienes o servicios adicionales a la obra pública- Estudios y diseños – Llave en mano</w:t>
            </w:r>
          </w:p>
          <w:p w14:paraId="2DF7147E" w14:textId="77777777" w:rsidR="00444C6B" w:rsidRPr="00444C6B" w:rsidRDefault="00444C6B" w:rsidP="00444C6B">
            <w:pPr>
              <w:spacing w:line="276" w:lineRule="auto"/>
              <w:jc w:val="both"/>
              <w:rPr>
                <w:rFonts w:ascii="Verdana" w:eastAsia="Calibri" w:hAnsi="Verdana" w:cs="Arial"/>
                <w:highlight w:val="yellow"/>
                <w:lang w:val="es-ES_tradnl" w:eastAsia="es-ES"/>
              </w:rPr>
            </w:pPr>
          </w:p>
        </w:tc>
      </w:tr>
      <w:tr w:rsidR="00444C6B" w:rsidRPr="00444C6B" w14:paraId="5C716D93" w14:textId="77777777" w:rsidTr="00153B2D">
        <w:tc>
          <w:tcPr>
            <w:tcW w:w="2689" w:type="dxa"/>
          </w:tcPr>
          <w:p w14:paraId="18DC73F3" w14:textId="77777777" w:rsidR="00444C6B" w:rsidRPr="00444C6B" w:rsidRDefault="00444C6B" w:rsidP="00444C6B">
            <w:pPr>
              <w:jc w:val="both"/>
              <w:rPr>
                <w:rFonts w:ascii="Verdana" w:eastAsia="Calibri" w:hAnsi="Verdana" w:cs="Arial"/>
                <w:b/>
                <w:lang w:val="es-ES_tradnl" w:eastAsia="es-ES_tradnl"/>
              </w:rPr>
            </w:pPr>
            <w:r w:rsidRPr="00444C6B">
              <w:rPr>
                <w:rFonts w:ascii="Verdana" w:eastAsia="Calibri" w:hAnsi="Verdana" w:cs="Arial"/>
                <w:b/>
                <w:lang w:val="es-ES_tradnl" w:eastAsia="es-ES_tradnl"/>
              </w:rPr>
              <w:t>Radicación:</w:t>
            </w:r>
            <w:r w:rsidRPr="00444C6B">
              <w:rPr>
                <w:rFonts w:ascii="Verdana" w:eastAsia="Calibri" w:hAnsi="Verdana" w:cs="Arial"/>
                <w:lang w:val="es-ES_tradnl" w:eastAsia="es-ES_tradnl"/>
              </w:rPr>
              <w:t xml:space="preserve">               </w:t>
            </w:r>
          </w:p>
        </w:tc>
        <w:tc>
          <w:tcPr>
            <w:tcW w:w="6100" w:type="dxa"/>
          </w:tcPr>
          <w:p w14:paraId="5C58F9BB" w14:textId="77777777" w:rsidR="00444C6B" w:rsidRPr="00444C6B" w:rsidRDefault="00444C6B" w:rsidP="00444C6B">
            <w:pPr>
              <w:jc w:val="both"/>
              <w:rPr>
                <w:rFonts w:ascii="Verdana" w:eastAsia="Calibri" w:hAnsi="Verdana" w:cs="Arial"/>
                <w:lang w:val="es-ES_tradnl" w:eastAsia="es-ES_tradnl"/>
              </w:rPr>
            </w:pPr>
            <w:r w:rsidRPr="00444C6B">
              <w:rPr>
                <w:rFonts w:ascii="Verdana" w:eastAsia="Calibri" w:hAnsi="Verdana" w:cs="Arial"/>
                <w:lang w:val="es-ES_tradnl" w:eastAsia="es-ES_tradnl"/>
              </w:rPr>
              <w:t>Respuesta a consulta con radicado No. P20240910009227</w:t>
            </w:r>
          </w:p>
        </w:tc>
      </w:tr>
    </w:tbl>
    <w:p w14:paraId="068576CC" w14:textId="77777777" w:rsidR="00444C6B" w:rsidRPr="00444C6B" w:rsidRDefault="00444C6B" w:rsidP="00444C6B">
      <w:pPr>
        <w:spacing w:after="0" w:line="240" w:lineRule="auto"/>
        <w:jc w:val="both"/>
        <w:rPr>
          <w:rFonts w:ascii="Verdana" w:eastAsia="Calibri" w:hAnsi="Verdana" w:cs="Arial"/>
          <w:lang w:val="es-ES_tradnl" w:eastAsia="es-ES_tradnl"/>
        </w:rPr>
      </w:pPr>
    </w:p>
    <w:p w14:paraId="492B3425" w14:textId="77777777" w:rsidR="00444C6B" w:rsidRPr="00444C6B" w:rsidRDefault="00444C6B" w:rsidP="00444C6B">
      <w:pPr>
        <w:spacing w:after="0" w:line="240" w:lineRule="auto"/>
        <w:jc w:val="both"/>
        <w:rPr>
          <w:rFonts w:ascii="Verdana" w:eastAsia="Calibri" w:hAnsi="Verdana" w:cs="Arial"/>
          <w:lang w:val="es-ES_tradnl" w:eastAsia="es-ES_tradnl"/>
        </w:rPr>
      </w:pPr>
    </w:p>
    <w:p w14:paraId="197C4696" w14:textId="77777777" w:rsidR="00444C6B" w:rsidRPr="00444C6B" w:rsidRDefault="00444C6B" w:rsidP="00444C6B">
      <w:pPr>
        <w:spacing w:after="0" w:line="276" w:lineRule="auto"/>
        <w:jc w:val="both"/>
        <w:rPr>
          <w:rFonts w:ascii="Verdana" w:eastAsia="Calibri" w:hAnsi="Verdana" w:cs="Arial"/>
          <w:lang w:val="es-ES_tradnl" w:eastAsia="es-ES"/>
        </w:rPr>
      </w:pPr>
      <w:r w:rsidRPr="00444C6B">
        <w:rPr>
          <w:rFonts w:ascii="Verdana" w:eastAsia="Calibri" w:hAnsi="Verdana" w:cs="Arial"/>
          <w:lang w:val="es-ES_tradnl" w:eastAsia="es-ES"/>
        </w:rPr>
        <w:t xml:space="preserve">Estimada señora Vega Barrios: </w:t>
      </w:r>
    </w:p>
    <w:p w14:paraId="4FACA57C" w14:textId="77777777" w:rsidR="00444C6B" w:rsidRPr="00444C6B" w:rsidRDefault="00444C6B" w:rsidP="00444C6B">
      <w:pPr>
        <w:tabs>
          <w:tab w:val="left" w:pos="3768"/>
        </w:tabs>
        <w:spacing w:after="0" w:line="276" w:lineRule="auto"/>
        <w:jc w:val="both"/>
        <w:rPr>
          <w:rFonts w:ascii="Verdana" w:eastAsia="Calibri" w:hAnsi="Verdana" w:cs="Arial"/>
          <w:lang w:val="es-ES_tradnl" w:eastAsia="es-ES"/>
        </w:rPr>
      </w:pPr>
      <w:r w:rsidRPr="00444C6B">
        <w:rPr>
          <w:rFonts w:ascii="Verdana" w:eastAsia="Calibri" w:hAnsi="Verdana" w:cs="Arial"/>
          <w:lang w:val="es-ES_tradnl" w:eastAsia="es-ES"/>
        </w:rPr>
        <w:tab/>
      </w:r>
    </w:p>
    <w:p w14:paraId="2D555A58" w14:textId="77777777" w:rsidR="00444C6B" w:rsidRPr="00444C6B" w:rsidRDefault="00444C6B" w:rsidP="00444C6B">
      <w:pPr>
        <w:snapToGrid w:val="0"/>
        <w:spacing w:after="0" w:line="276" w:lineRule="auto"/>
        <w:jc w:val="both"/>
        <w:rPr>
          <w:rFonts w:ascii="Verdana" w:eastAsia="Calibri" w:hAnsi="Verdana" w:cs="Arial"/>
          <w:lang w:val="es-ES_tradnl" w:eastAsia="es-ES"/>
        </w:rPr>
      </w:pPr>
      <w:r w:rsidRPr="00444C6B">
        <w:rPr>
          <w:rFonts w:ascii="Verdana" w:eastAsia="Calibri" w:hAnsi="Verdana" w:cs="Arial"/>
          <w:lang w:val="es-ES_tradnl" w:eastAsia="es-ES"/>
        </w:rPr>
        <w:t>En ejercicio de la competencia otorgada por los artículos 3, numeral 5º, y 11, numeral 8º, del Decreto Ley 4170 de 2011,</w:t>
      </w:r>
      <w:r w:rsidRPr="00444C6B">
        <w:rPr>
          <w:rFonts w:ascii="Verdana" w:eastAsia="Arial MT" w:hAnsi="Verdana" w:cs="Arial MT"/>
          <w:lang w:val="es-ES_tradnl" w:eastAsia="es-ES"/>
        </w:rPr>
        <w:t xml:space="preserve"> </w:t>
      </w:r>
      <w:r w:rsidRPr="00444C6B">
        <w:rPr>
          <w:rFonts w:ascii="Verdana" w:eastAsia="Calibri" w:hAnsi="Verdana" w:cs="Arial"/>
          <w:lang w:val="es-ES_tradnl"/>
        </w:rPr>
        <w:t xml:space="preserve">así como lo establecido en el artículo 4 de la Resolución 1707 de 2018 expedida por esta Entidad, </w:t>
      </w:r>
      <w:r w:rsidRPr="00444C6B">
        <w:rPr>
          <w:rFonts w:ascii="Verdana" w:eastAsia="Calibri" w:hAnsi="Verdana" w:cs="Arial"/>
          <w:lang w:val="es-ES_tradnl" w:eastAsia="es-ES"/>
        </w:rPr>
        <w:t>la Agencia Nacional de Contratación Pública – Colombia Compra Eficiente– responde su solicitud de consulta de fecha 10 de septiembre de 2024, en la cual manifiesta lo siguiente:</w:t>
      </w:r>
    </w:p>
    <w:p w14:paraId="3E77A2B5" w14:textId="77777777" w:rsidR="00444C6B" w:rsidRPr="00444C6B" w:rsidRDefault="00444C6B" w:rsidP="00444C6B">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0EA9D133" w14:textId="77777777" w:rsidR="00444C6B" w:rsidRPr="00444C6B" w:rsidRDefault="00444C6B" w:rsidP="00444C6B">
      <w:pPr>
        <w:snapToGrid w:val="0"/>
        <w:spacing w:after="0" w:line="240" w:lineRule="auto"/>
        <w:ind w:left="720" w:right="709"/>
        <w:jc w:val="both"/>
        <w:rPr>
          <w:rFonts w:ascii="Verdana" w:eastAsia="Century Gothic" w:hAnsi="Verdana" w:cs="Century Gothic"/>
          <w:sz w:val="21"/>
          <w:szCs w:val="21"/>
          <w:lang w:val="es-ES_tradnl"/>
        </w:rPr>
      </w:pPr>
      <w:r w:rsidRPr="00444C6B">
        <w:rPr>
          <w:rFonts w:ascii="Verdana" w:eastAsia="Century Gothic" w:hAnsi="Verdana" w:cs="Century Gothic"/>
          <w:sz w:val="21"/>
          <w:szCs w:val="21"/>
          <w:lang w:val="es-ES_tradnl"/>
        </w:rPr>
        <w:t xml:space="preserve">“Solicitamos se precise si la construcción de un malecón esta cobijada en la aplicación de los documentos tipo </w:t>
      </w:r>
    </w:p>
    <w:p w14:paraId="23CB4408" w14:textId="77777777" w:rsidR="00444C6B" w:rsidRPr="00444C6B" w:rsidRDefault="00444C6B" w:rsidP="00444C6B">
      <w:pPr>
        <w:snapToGrid w:val="0"/>
        <w:spacing w:after="0" w:line="240" w:lineRule="auto"/>
        <w:ind w:left="720" w:right="709"/>
        <w:jc w:val="both"/>
        <w:rPr>
          <w:rFonts w:ascii="Verdana" w:eastAsia="Century Gothic" w:hAnsi="Verdana" w:cs="Century Gothic"/>
          <w:sz w:val="21"/>
          <w:szCs w:val="21"/>
          <w:lang w:val="es-ES_tradnl"/>
        </w:rPr>
      </w:pPr>
      <w:r w:rsidRPr="00444C6B">
        <w:rPr>
          <w:rFonts w:ascii="Verdana" w:eastAsia="Century Gothic" w:hAnsi="Verdana" w:cs="Century Gothic"/>
          <w:sz w:val="21"/>
          <w:szCs w:val="21"/>
          <w:lang w:val="es-ES_tradnl"/>
        </w:rPr>
        <w:t>solicitamos se precisa si sobre la modalidad llave en mano de obras de infraestructura vial para estudios, diseños y obra esta cobijada en la aplicación de los documentos tipo”.</w:t>
      </w:r>
    </w:p>
    <w:p w14:paraId="47FDAAB7" w14:textId="77777777" w:rsidR="00444C6B" w:rsidRPr="00444C6B" w:rsidRDefault="00444C6B" w:rsidP="00444C6B">
      <w:pPr>
        <w:tabs>
          <w:tab w:val="left" w:pos="142"/>
          <w:tab w:val="left" w:pos="284"/>
        </w:tabs>
        <w:spacing w:line="276" w:lineRule="auto"/>
        <w:contextualSpacing/>
        <w:jc w:val="both"/>
        <w:rPr>
          <w:rFonts w:ascii="Verdana" w:eastAsia="Century Gothic" w:hAnsi="Verdana" w:cs="Century Gothic"/>
          <w:b/>
          <w:bCs/>
          <w:lang w:val="es-ES_tradnl"/>
        </w:rPr>
      </w:pPr>
    </w:p>
    <w:p w14:paraId="698B1714" w14:textId="77777777" w:rsidR="00444C6B" w:rsidRPr="00444C6B" w:rsidRDefault="00444C6B" w:rsidP="00444C6B">
      <w:pPr>
        <w:spacing w:after="120" w:line="276" w:lineRule="auto"/>
        <w:ind w:firstLine="709"/>
        <w:jc w:val="both"/>
        <w:rPr>
          <w:rFonts w:ascii="Verdana" w:eastAsia="Calibri" w:hAnsi="Verdana" w:cs="Arial"/>
          <w:lang w:val="es-ES" w:eastAsia="es-ES"/>
        </w:rPr>
      </w:pPr>
      <w:r w:rsidRPr="007CD0A2">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180149FD" w14:textId="77777777" w:rsidR="00444C6B" w:rsidRPr="00444C6B" w:rsidRDefault="00444C6B" w:rsidP="00444C6B">
      <w:pPr>
        <w:snapToGrid w:val="0"/>
        <w:spacing w:after="0" w:line="276" w:lineRule="auto"/>
        <w:ind w:firstLine="709"/>
        <w:jc w:val="both"/>
        <w:rPr>
          <w:rFonts w:ascii="Verdana" w:eastAsia="Calibri" w:hAnsi="Verdana" w:cs="Arial"/>
          <w:lang w:val="es-ES_tradnl" w:eastAsia="es-ES"/>
        </w:rPr>
      </w:pPr>
      <w:r w:rsidRPr="00444C6B">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4801BB9" w14:textId="77777777" w:rsidR="00444C6B" w:rsidRPr="00444C6B" w:rsidRDefault="00444C6B" w:rsidP="00444C6B">
      <w:pPr>
        <w:snapToGrid w:val="0"/>
        <w:spacing w:after="0" w:line="276" w:lineRule="auto"/>
        <w:ind w:firstLine="709"/>
        <w:jc w:val="both"/>
        <w:rPr>
          <w:rFonts w:ascii="Verdana" w:eastAsia="Calibri" w:hAnsi="Verdana" w:cs="Arial"/>
          <w:lang w:val="es-ES_tradnl" w:eastAsia="es-ES"/>
        </w:rPr>
      </w:pPr>
    </w:p>
    <w:p w14:paraId="41B42D26" w14:textId="77777777" w:rsidR="00444C6B" w:rsidRPr="00444C6B" w:rsidRDefault="00444C6B" w:rsidP="00444C6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44C6B">
        <w:rPr>
          <w:rFonts w:ascii="Verdana" w:eastAsia="Century Gothic" w:hAnsi="Verdana" w:cs="Century Gothic"/>
          <w:b/>
          <w:bCs/>
          <w:lang w:val="es-ES_tradnl"/>
        </w:rPr>
        <w:t>Problema planteado:</w:t>
      </w:r>
    </w:p>
    <w:p w14:paraId="3834D356" w14:textId="77777777" w:rsidR="00444C6B" w:rsidRPr="00444C6B" w:rsidRDefault="00444C6B" w:rsidP="00444C6B">
      <w:pPr>
        <w:tabs>
          <w:tab w:val="left" w:pos="426"/>
        </w:tabs>
        <w:snapToGrid w:val="0"/>
        <w:spacing w:after="0" w:line="276" w:lineRule="auto"/>
        <w:jc w:val="both"/>
        <w:rPr>
          <w:rFonts w:ascii="Verdana" w:eastAsia="Century Gothic" w:hAnsi="Verdana" w:cs="Century Gothic"/>
          <w:lang w:val="es-ES_tradnl"/>
        </w:rPr>
      </w:pPr>
    </w:p>
    <w:p w14:paraId="5D9C5D7C" w14:textId="77777777" w:rsidR="00444C6B" w:rsidRPr="00444C6B" w:rsidRDefault="00444C6B" w:rsidP="00444C6B">
      <w:pPr>
        <w:snapToGrid w:val="0"/>
        <w:spacing w:after="0" w:line="276" w:lineRule="auto"/>
        <w:jc w:val="both"/>
        <w:rPr>
          <w:rFonts w:ascii="Verdana" w:eastAsia="Century Gothic" w:hAnsi="Verdana" w:cs="Century Gothic"/>
          <w:lang w:val="es-ES_tradnl"/>
        </w:rPr>
      </w:pPr>
      <w:r w:rsidRPr="00444C6B">
        <w:rPr>
          <w:rFonts w:ascii="Verdana" w:eastAsia="Century Gothic" w:hAnsi="Verdana" w:cs="Century Gothic"/>
          <w:lang w:val="es-ES_tradnl"/>
        </w:rPr>
        <w:t>De acuerdo con el contenido de su solicitud, esta Agencia resolverá el siguiente problema jurídico:</w:t>
      </w:r>
      <w:r w:rsidRPr="00444C6B">
        <w:rPr>
          <w:rFonts w:ascii="Verdana" w:eastAsia="Aptos" w:hAnsi="Verdana" w:cs="Times New Roman"/>
          <w:kern w:val="2"/>
          <w14:ligatures w14:val="standardContextual"/>
        </w:rPr>
        <w:t xml:space="preserve"> ¿la construcción de un malecón y la modalidad llave en mano de infraestructura transporte para estudios, diseños y obras, se encuentran cobijadas por los documentos tipo expedidos por la Agencia Nacional de Contratación Pública – Colombia Compra Eficiente?</w:t>
      </w:r>
    </w:p>
    <w:p w14:paraId="52BB56AE" w14:textId="77777777" w:rsidR="00444C6B" w:rsidRPr="00444C6B" w:rsidRDefault="00444C6B" w:rsidP="00444C6B">
      <w:pPr>
        <w:snapToGrid w:val="0"/>
        <w:spacing w:after="0" w:line="276" w:lineRule="auto"/>
        <w:jc w:val="both"/>
        <w:rPr>
          <w:rFonts w:ascii="Verdana" w:eastAsia="Calibri" w:hAnsi="Verdana" w:cs="Arial"/>
          <w:lang w:val="es-ES_tradnl"/>
        </w:rPr>
      </w:pPr>
    </w:p>
    <w:p w14:paraId="77F93BFB" w14:textId="77777777" w:rsidR="00444C6B" w:rsidRPr="00444C6B" w:rsidRDefault="00444C6B" w:rsidP="00444C6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44C6B">
        <w:rPr>
          <w:rFonts w:ascii="Verdana" w:eastAsia="Century Gothic" w:hAnsi="Verdana" w:cs="Century Gothic"/>
          <w:b/>
          <w:bCs/>
          <w:lang w:val="es-ES_tradnl"/>
        </w:rPr>
        <w:t>Respuesta:</w:t>
      </w:r>
    </w:p>
    <w:p w14:paraId="2F7F062B" w14:textId="77777777" w:rsidR="00444C6B" w:rsidRPr="00444C6B" w:rsidRDefault="00444C6B" w:rsidP="00444C6B">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44C6B" w:rsidRPr="00444C6B" w14:paraId="64B1958A" w14:textId="77777777" w:rsidTr="00153B2D">
        <w:tc>
          <w:tcPr>
            <w:tcW w:w="8828" w:type="dxa"/>
            <w:shd w:val="clear" w:color="auto" w:fill="auto"/>
          </w:tcPr>
          <w:p w14:paraId="371C6E5F" w14:textId="77777777" w:rsidR="00444C6B" w:rsidRPr="00444C6B" w:rsidRDefault="00444C6B" w:rsidP="00444C6B">
            <w:pPr>
              <w:snapToGrid w:val="0"/>
              <w:spacing w:line="276" w:lineRule="auto"/>
              <w:jc w:val="both"/>
              <w:rPr>
                <w:rFonts w:ascii="Verdana" w:eastAsia="Calibri" w:hAnsi="Verdana" w:cs="Arial"/>
                <w:lang w:val="es-ES"/>
              </w:rPr>
            </w:pPr>
            <w:r w:rsidRPr="007CD0A2">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o consultoría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58C308AE" w14:textId="77777777" w:rsidR="00444C6B" w:rsidRPr="00444C6B" w:rsidRDefault="00444C6B" w:rsidP="00444C6B">
            <w:pPr>
              <w:snapToGrid w:val="0"/>
              <w:spacing w:line="276" w:lineRule="auto"/>
              <w:jc w:val="both"/>
              <w:rPr>
                <w:rFonts w:ascii="Verdana" w:eastAsia="Calibri" w:hAnsi="Verdana" w:cs="Arial"/>
                <w:lang w:val="es-ES_tradnl"/>
              </w:rPr>
            </w:pPr>
          </w:p>
          <w:p w14:paraId="4D30D0B4" w14:textId="77777777" w:rsidR="00444C6B" w:rsidRPr="00444C6B" w:rsidRDefault="00444C6B" w:rsidP="00444C6B">
            <w:pPr>
              <w:spacing w:line="276" w:lineRule="auto"/>
              <w:jc w:val="both"/>
              <w:rPr>
                <w:rFonts w:ascii="Verdana" w:eastAsia="Times New Roman" w:hAnsi="Verdana" w:cs="Calibri"/>
                <w:lang w:val="es-ES" w:eastAsia="es-ES_tradnl"/>
              </w:rPr>
            </w:pPr>
            <w:r w:rsidRPr="00444C6B">
              <w:rPr>
                <w:rFonts w:ascii="Verdana" w:eastAsia="Times New Roman" w:hAnsi="Verdana" w:cs="Calibri"/>
                <w:lang w:val="es-ES" w:eastAsia="es-ES_tradnl"/>
              </w:rPr>
              <w:lastRenderedPageBreak/>
              <w:t xml:space="preserve">En concordancia con lo anterior, la “Matriz 1 – Experiencia” del sector de infraestructura de transporte, en su Capítulo 6 “OBRAS DE INFRAESTRUCTURA VIAL URBANA”, contiene la actividad “6.4 PROYECTOS DE CONSTRUCCIÓN O MEJORAMIENTO O REHABILITACIÓN DE ESPACIO PÚBLICO ASOCIADO A LA INFRAESTRUCTURA DE TRANSPORTE”. Conforme a esta actividad, podría considerarse que a la </w:t>
            </w:r>
            <w:r w:rsidRPr="00444C6B">
              <w:rPr>
                <w:rFonts w:ascii="Verdana" w:eastAsia="Times New Roman" w:hAnsi="Verdana" w:cs="Calibri"/>
                <w:i/>
                <w:iCs/>
                <w:lang w:val="es-ES" w:eastAsia="es-ES_tradnl"/>
              </w:rPr>
              <w:t>“</w:t>
            </w:r>
            <w:r w:rsidRPr="00444C6B">
              <w:rPr>
                <w:rFonts w:ascii="Verdana" w:eastAsia="Calibri" w:hAnsi="Verdana" w:cs="Calibri"/>
                <w:i/>
                <w:iCs/>
                <w:lang w:val="es-MX"/>
              </w:rPr>
              <w:t>construcción de un malecón</w:t>
            </w:r>
            <w:r w:rsidRPr="00444C6B">
              <w:rPr>
                <w:rFonts w:ascii="Verdana" w:eastAsia="Calibri" w:hAnsi="Verdana" w:cs="Calibri"/>
                <w:lang w:val="es-MX"/>
              </w:rPr>
              <w:t xml:space="preserve">” le </w:t>
            </w:r>
            <w:r w:rsidRPr="00444C6B">
              <w:rPr>
                <w:rFonts w:ascii="Verdana" w:eastAsia="Times New Roman" w:hAnsi="Verdana" w:cs="Calibri"/>
                <w:lang w:val="es-ES" w:eastAsia="es-ES_tradnl"/>
              </w:rPr>
              <w:t>aplicarían los documentos tipo, teniendo en cuenta, adicionalmente, lo establecido en la parte introductoria del Documento Base de los documentos tipo de infraestructura de transporte.</w:t>
            </w:r>
          </w:p>
          <w:p w14:paraId="64C36CE5" w14:textId="77777777" w:rsidR="00444C6B" w:rsidRPr="00444C6B" w:rsidRDefault="00444C6B" w:rsidP="00444C6B">
            <w:pPr>
              <w:spacing w:line="276" w:lineRule="auto"/>
              <w:jc w:val="both"/>
              <w:rPr>
                <w:rFonts w:ascii="Verdana" w:eastAsia="Calibri" w:hAnsi="Verdana" w:cs="Calibri"/>
                <w:lang w:val="es-MX"/>
              </w:rPr>
            </w:pPr>
          </w:p>
          <w:p w14:paraId="38356F6C" w14:textId="77777777" w:rsidR="00444C6B" w:rsidRPr="00444C6B" w:rsidRDefault="00444C6B" w:rsidP="00444C6B">
            <w:pPr>
              <w:spacing w:line="276" w:lineRule="auto"/>
              <w:jc w:val="both"/>
              <w:rPr>
                <w:rFonts w:ascii="Verdana" w:eastAsia="Calibri" w:hAnsi="Verdana" w:cs="Calibri"/>
                <w:lang w:val="es-MX" w:eastAsia="es-ES_tradnl"/>
              </w:rPr>
            </w:pPr>
            <w:r w:rsidRPr="00444C6B">
              <w:rPr>
                <w:rFonts w:ascii="Verdana" w:eastAsia="Calibri" w:hAnsi="Verdana" w:cs="Calibri"/>
                <w:lang w:val="es-MX" w:eastAsia="es-ES_tradnl"/>
              </w:rPr>
              <w:t>Por otra parte, es importante señalar que, si la obra que la entidad pretende ejecutar se enmarca en alguno de los tipos de proyectos o actividades incluidas en alguna de las matrices de experiencia de los documentos tipo relacionados con infraestructura de transporte u otro sector, el proceso de selección debe adelantarse utilizando dichos documentos. Esto aplica, incluso, para los contratos de obra “llave en mano” para infraestructura de transporte.</w:t>
            </w:r>
          </w:p>
          <w:p w14:paraId="75006117" w14:textId="77777777" w:rsidR="00444C6B" w:rsidRPr="00444C6B" w:rsidRDefault="00444C6B" w:rsidP="00444C6B">
            <w:pPr>
              <w:ind w:left="720"/>
              <w:contextualSpacing/>
              <w:rPr>
                <w:rFonts w:ascii="Verdana" w:eastAsia="Calibri" w:hAnsi="Verdana" w:cs="Calibri"/>
                <w:lang w:val="es-MX" w:eastAsia="es-ES_tradnl"/>
              </w:rPr>
            </w:pPr>
          </w:p>
          <w:p w14:paraId="2A99ADE9" w14:textId="77777777" w:rsidR="00444C6B" w:rsidRPr="00444C6B" w:rsidRDefault="00444C6B" w:rsidP="00444C6B">
            <w:pPr>
              <w:spacing w:line="276" w:lineRule="auto"/>
              <w:jc w:val="both"/>
              <w:rPr>
                <w:rFonts w:ascii="Verdana" w:eastAsia="Calibri" w:hAnsi="Verdana" w:cs="Calibri"/>
                <w:lang w:val="es-MX" w:eastAsia="es-ES_tradnl"/>
              </w:rPr>
            </w:pPr>
            <w:r w:rsidRPr="00444C6B">
              <w:rPr>
                <w:rFonts w:ascii="Verdana" w:eastAsia="Calibri" w:hAnsi="Verdana" w:cs="Calibri"/>
                <w:lang w:val="es-MX" w:eastAsia="es-ES_tradnl"/>
              </w:rPr>
              <w:t xml:space="preserve">Es decir, en caso de que se considere necesario exigir experiencia adicional para la contratación de bienes o servicios adicionales a la obra pública, como la realización de los diseños de la obra, procede la aplicación del artículo 4 de la Resolución 240 de 2020 “Por la cual se actualizan los Documentos Tipo para los procesos de selección de licitación de obra pública de infraestructura de transporte y se deroga la Resolución 0045 de 2020”. Esta norma dispone que, en los eventos en los que el objeto contractual incluya bienes o servicios ajenos a la obra pública, la entidad estatal deberá aplicar los Documentos Tipo, por lo que la entidad puede incluir experiencia adicional para evaluar la idoneidad respecto de los bienes o servicios ajenos a la obra pública de infraestructura de transporte, como sería la realización de los diseños de la obra.  </w:t>
            </w:r>
          </w:p>
        </w:tc>
      </w:tr>
    </w:tbl>
    <w:p w14:paraId="0BC2BD6E" w14:textId="77777777" w:rsidR="00444C6B" w:rsidRPr="00444C6B" w:rsidRDefault="00444C6B" w:rsidP="00444C6B">
      <w:pPr>
        <w:tabs>
          <w:tab w:val="left" w:pos="142"/>
          <w:tab w:val="left" w:pos="284"/>
        </w:tabs>
        <w:snapToGrid w:val="0"/>
        <w:spacing w:after="0" w:line="276" w:lineRule="auto"/>
        <w:jc w:val="both"/>
        <w:rPr>
          <w:rFonts w:ascii="Verdana" w:eastAsia="Century Gothic" w:hAnsi="Verdana" w:cs="Century Gothic"/>
          <w:b/>
          <w:bCs/>
          <w:lang w:val="es-ES_tradnl"/>
        </w:rPr>
      </w:pPr>
    </w:p>
    <w:p w14:paraId="48E9E6D3" w14:textId="77777777" w:rsidR="00444C6B" w:rsidRPr="00444C6B" w:rsidRDefault="00444C6B" w:rsidP="00444C6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44C6B">
        <w:rPr>
          <w:rFonts w:ascii="Verdana" w:eastAsia="Century Gothic" w:hAnsi="Verdana" w:cs="Century Gothic"/>
          <w:b/>
          <w:bCs/>
          <w:lang w:val="es-ES_tradnl"/>
        </w:rPr>
        <w:t>Razones de la respuesta:</w:t>
      </w:r>
    </w:p>
    <w:p w14:paraId="5048F987" w14:textId="77777777" w:rsidR="00444C6B" w:rsidRPr="00444C6B" w:rsidRDefault="00444C6B" w:rsidP="00444C6B">
      <w:pPr>
        <w:snapToGrid w:val="0"/>
        <w:spacing w:after="0" w:line="276" w:lineRule="auto"/>
        <w:jc w:val="both"/>
        <w:rPr>
          <w:rFonts w:ascii="Verdana" w:eastAsia="Calibri" w:hAnsi="Verdana" w:cs="Arial"/>
          <w:lang w:val="es-ES_tradnl"/>
        </w:rPr>
      </w:pPr>
    </w:p>
    <w:p w14:paraId="1A9997D2" w14:textId="77777777" w:rsidR="00444C6B" w:rsidRPr="00444C6B" w:rsidRDefault="00444C6B" w:rsidP="00444C6B">
      <w:pPr>
        <w:snapToGrid w:val="0"/>
        <w:spacing w:after="0" w:line="276" w:lineRule="auto"/>
        <w:jc w:val="both"/>
        <w:rPr>
          <w:rFonts w:ascii="Verdana" w:eastAsia="Calibri" w:hAnsi="Verdana" w:cs="Arial"/>
          <w:lang w:val="es-ES_tradnl"/>
        </w:rPr>
      </w:pPr>
      <w:r w:rsidRPr="00444C6B">
        <w:rPr>
          <w:rFonts w:ascii="Verdana" w:eastAsia="Calibri" w:hAnsi="Verdana" w:cs="Arial"/>
          <w:lang w:val="es-ES_tradnl"/>
        </w:rPr>
        <w:t xml:space="preserve">Lo anterior se sustenta en las siguientes consideraciones: </w:t>
      </w:r>
    </w:p>
    <w:p w14:paraId="11621CB9" w14:textId="77777777" w:rsidR="00444C6B" w:rsidRPr="00444C6B" w:rsidRDefault="00444C6B" w:rsidP="00444C6B">
      <w:pPr>
        <w:snapToGrid w:val="0"/>
        <w:spacing w:after="0" w:line="276" w:lineRule="auto"/>
        <w:jc w:val="both"/>
        <w:rPr>
          <w:rFonts w:ascii="Verdana" w:eastAsia="Calibri" w:hAnsi="Verdana" w:cs="Arial"/>
          <w:lang w:val="es-ES_tradnl"/>
        </w:rPr>
      </w:pPr>
    </w:p>
    <w:p w14:paraId="7BF498FB" w14:textId="77777777" w:rsidR="00444C6B" w:rsidRPr="00444C6B" w:rsidRDefault="00444C6B" w:rsidP="00444C6B">
      <w:pPr>
        <w:numPr>
          <w:ilvl w:val="0"/>
          <w:numId w:val="17"/>
        </w:numPr>
        <w:snapToGrid w:val="0"/>
        <w:spacing w:after="0" w:line="276" w:lineRule="auto"/>
        <w:jc w:val="both"/>
        <w:rPr>
          <w:rFonts w:ascii="Verdana" w:eastAsia="Calibri" w:hAnsi="Verdana" w:cs="Arial"/>
          <w:lang w:val="es-ES_tradnl"/>
        </w:rPr>
      </w:pPr>
      <w:r w:rsidRPr="00444C6B">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w:t>
      </w:r>
      <w:r w:rsidRPr="00444C6B">
        <w:rPr>
          <w:rFonts w:ascii="Verdana" w:eastAsia="Calibri" w:hAnsi="Verdana" w:cs="Arial"/>
          <w:lang w:val="es-ES_tradnl"/>
        </w:rPr>
        <w:lastRenderedPageBreak/>
        <w:t xml:space="preserve">desarrollar los Procesos de Contratación en los objetos y modalidades cobijadas por los Documentos Tipo. </w:t>
      </w:r>
    </w:p>
    <w:p w14:paraId="719DC2BA" w14:textId="77777777" w:rsidR="00444C6B" w:rsidRPr="00444C6B" w:rsidRDefault="00444C6B" w:rsidP="00444C6B">
      <w:pPr>
        <w:snapToGrid w:val="0"/>
        <w:spacing w:after="0" w:line="276" w:lineRule="auto"/>
        <w:ind w:left="720"/>
        <w:jc w:val="both"/>
        <w:rPr>
          <w:rFonts w:ascii="Verdana" w:eastAsia="Calibri" w:hAnsi="Verdana" w:cs="Arial"/>
          <w:lang w:val="es-ES_tradnl"/>
        </w:rPr>
      </w:pPr>
    </w:p>
    <w:p w14:paraId="4C4448FD" w14:textId="77777777" w:rsidR="00444C6B" w:rsidRPr="00444C6B" w:rsidRDefault="00444C6B" w:rsidP="00444C6B">
      <w:pPr>
        <w:numPr>
          <w:ilvl w:val="0"/>
          <w:numId w:val="17"/>
        </w:numPr>
        <w:snapToGrid w:val="0"/>
        <w:spacing w:after="0" w:line="276" w:lineRule="auto"/>
        <w:jc w:val="both"/>
        <w:rPr>
          <w:rFonts w:ascii="Verdana" w:eastAsia="Calibri" w:hAnsi="Verdana" w:cs="Arial"/>
          <w:lang w:val="es-ES"/>
        </w:rPr>
      </w:pPr>
      <w:r w:rsidRPr="007CD0A2">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72B0EFA5" w14:textId="77777777" w:rsidR="00444C6B" w:rsidRPr="00444C6B" w:rsidRDefault="00444C6B" w:rsidP="00444C6B">
      <w:pPr>
        <w:snapToGrid w:val="0"/>
        <w:spacing w:after="0" w:line="276" w:lineRule="auto"/>
        <w:ind w:left="720"/>
        <w:rPr>
          <w:rFonts w:ascii="Verdana" w:eastAsia="Calibri" w:hAnsi="Verdana" w:cs="Times New Roman"/>
          <w:lang w:val="es-ES_tradnl"/>
        </w:rPr>
      </w:pPr>
    </w:p>
    <w:p w14:paraId="08E66FB3" w14:textId="77777777" w:rsidR="00444C6B" w:rsidRPr="00444C6B" w:rsidRDefault="00444C6B" w:rsidP="00444C6B">
      <w:pPr>
        <w:numPr>
          <w:ilvl w:val="0"/>
          <w:numId w:val="17"/>
        </w:numPr>
        <w:snapToGrid w:val="0"/>
        <w:spacing w:after="0" w:line="276" w:lineRule="auto"/>
        <w:jc w:val="both"/>
        <w:rPr>
          <w:rFonts w:ascii="Verdana" w:eastAsia="Calibri" w:hAnsi="Verdana" w:cs="Arial"/>
          <w:lang w:val="es-ES_tradnl"/>
        </w:rPr>
      </w:pPr>
      <w:r w:rsidRPr="00444C6B">
        <w:rPr>
          <w:rFonts w:ascii="Verdana" w:eastAsia="Calibri" w:hAnsi="Verdana" w:cs="Times New Roman"/>
          <w:lang w:val="es-ES_tradnl"/>
        </w:rPr>
        <w:t>Para el sector de infraestructura de transporte, la Agencia Nacional de Contratación Pública – Colombia Compra Eficiente ha expedido Documentos Tipo</w:t>
      </w:r>
      <w:r w:rsidRPr="00444C6B">
        <w:rPr>
          <w:rFonts w:ascii="Verdana" w:eastAsia="Calibri" w:hAnsi="Verdana" w:cs="Times New Roman"/>
          <w:vertAlign w:val="superscript"/>
          <w:lang w:val="es-ES_tradnl"/>
        </w:rPr>
        <w:footnoteReference w:id="2"/>
      </w:r>
      <w:r w:rsidRPr="00444C6B">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0B57E917" w14:textId="77777777" w:rsidR="00444C6B" w:rsidRPr="00444C6B" w:rsidRDefault="00444C6B" w:rsidP="00444C6B">
      <w:pPr>
        <w:snapToGrid w:val="0"/>
        <w:spacing w:after="0" w:line="276" w:lineRule="auto"/>
        <w:jc w:val="both"/>
        <w:rPr>
          <w:rFonts w:ascii="Verdana" w:eastAsia="Calibri" w:hAnsi="Verdana" w:cs="Arial"/>
          <w:lang w:val="es-ES_tradnl"/>
        </w:rPr>
      </w:pPr>
    </w:p>
    <w:p w14:paraId="4695E0A3" w14:textId="77777777" w:rsidR="00444C6B" w:rsidRPr="00444C6B" w:rsidRDefault="00444C6B" w:rsidP="00444C6B">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444C6B">
        <w:rPr>
          <w:rFonts w:ascii="Verdana" w:eastAsia="Aptos" w:hAnsi="Verdana" w:cs="Arial"/>
          <w:bCs/>
          <w:kern w:val="2"/>
          <w:lang w:val="es-ES_tradnl"/>
          <w14:ligatures w14:val="standardContextual"/>
        </w:rPr>
        <w:t xml:space="preserve">Las matrices de experiencia de esos documentos tipo establecen los tipos de obra de infraestructura de transporte. Con respecto a la actividad a contratar, la Matriz 1 establece cuáles son las actividades que corresponden a cada uno de los tipos obra, con el fin de que la entidad identifique aquellas en las cuales se enmarca, de mejor forma, el objeto que pretende ejecutar y determine los requisitos de experiencia exigibles. Por último, el documento establece los rangos dentro de los cuales se debe identificar el presupuesto del proceso de contratación. </w:t>
      </w:r>
    </w:p>
    <w:p w14:paraId="7ED7996A" w14:textId="77777777" w:rsidR="00444C6B" w:rsidRPr="00444C6B" w:rsidRDefault="00444C6B" w:rsidP="00444C6B">
      <w:pPr>
        <w:snapToGrid w:val="0"/>
        <w:spacing w:after="0" w:line="276" w:lineRule="auto"/>
        <w:rPr>
          <w:rFonts w:ascii="Verdana" w:eastAsia="Aptos" w:hAnsi="Verdana" w:cs="Arial"/>
          <w:bCs/>
          <w:kern w:val="2"/>
          <w:lang w:val="es-ES_tradnl"/>
          <w14:ligatures w14:val="standardContextual"/>
        </w:rPr>
      </w:pPr>
    </w:p>
    <w:p w14:paraId="30256D4C" w14:textId="77777777" w:rsidR="00444C6B" w:rsidRPr="00444C6B" w:rsidRDefault="00444C6B" w:rsidP="00444C6B">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444C6B">
        <w:rPr>
          <w:rFonts w:ascii="Verdana" w:eastAsia="Aptos" w:hAnsi="Verdana" w:cs="Arial"/>
          <w:bCs/>
          <w:kern w:val="2"/>
          <w:lang w:val="es-ES_tradnl"/>
          <w14:ligatures w14:val="standardContextual"/>
        </w:rPr>
        <w:t xml:space="preserve">Así las cosas, en la etapa de planeación, la entidad estatal debe identificar el tipo de obra y las actividades definidas en la “Matriz 1 – Experiencia”, atendiendo al alcance del objeto a contratar. De esta manera, la “experiencia general” y la “experiencia específica” se solicitarán de </w:t>
      </w:r>
      <w:r w:rsidRPr="00444C6B">
        <w:rPr>
          <w:rFonts w:ascii="Verdana" w:eastAsia="Aptos" w:hAnsi="Verdana" w:cs="Arial"/>
          <w:bCs/>
          <w:kern w:val="2"/>
          <w:lang w:val="es-ES_tradnl"/>
          <w14:ligatures w14:val="standardContextual"/>
        </w:rPr>
        <w:lastRenderedPageBreak/>
        <w:t>acuerdo con la actividad a contratar, con la cuantía del procedimiento y teniendo en cuenta las condiciones técnicas requeridas por la entidad, aspecto que deberá acreditarse de acuerdo con las instrucciones establecidas en dicha matriz para cada actividad.</w:t>
      </w:r>
    </w:p>
    <w:p w14:paraId="26DEC4C4" w14:textId="77777777" w:rsidR="00444C6B" w:rsidRPr="00444C6B" w:rsidRDefault="00444C6B" w:rsidP="00444C6B">
      <w:pPr>
        <w:snapToGrid w:val="0"/>
        <w:spacing w:after="0" w:line="276" w:lineRule="auto"/>
        <w:ind w:left="720"/>
        <w:rPr>
          <w:rFonts w:ascii="Verdana" w:eastAsia="Aptos" w:hAnsi="Verdana" w:cs="Arial"/>
          <w:bCs/>
          <w:kern w:val="2"/>
          <w:lang w:val="es-ES_tradnl"/>
          <w14:ligatures w14:val="standardContextual"/>
        </w:rPr>
      </w:pPr>
    </w:p>
    <w:p w14:paraId="4B2F69F8" w14:textId="77777777" w:rsidR="00444C6B" w:rsidRPr="00444C6B" w:rsidRDefault="00444C6B" w:rsidP="00444C6B">
      <w:pPr>
        <w:numPr>
          <w:ilvl w:val="0"/>
          <w:numId w:val="20"/>
        </w:numPr>
        <w:spacing w:after="0" w:line="276" w:lineRule="auto"/>
        <w:contextualSpacing/>
        <w:jc w:val="both"/>
        <w:rPr>
          <w:rFonts w:ascii="Verdana" w:eastAsia="Calibri" w:hAnsi="Verdana" w:cs="Calibri"/>
          <w:lang w:val="es-MX"/>
        </w:rPr>
      </w:pPr>
      <w:r w:rsidRPr="00444C6B">
        <w:rPr>
          <w:rFonts w:ascii="Verdana" w:eastAsia="Calibri" w:hAnsi="Verdana" w:cs="Arial"/>
          <w:kern w:val="2"/>
          <w:lang w:val="es-ES_tradnl"/>
          <w14:ligatures w14:val="standardContextual"/>
        </w:rPr>
        <w:t xml:space="preserve">Teniendo en cuenta el objeto de su consulta, para poder </w:t>
      </w:r>
      <w:r w:rsidRPr="00444C6B">
        <w:rPr>
          <w:rFonts w:ascii="Verdana" w:eastAsia="Calibri" w:hAnsi="Verdana" w:cs="Calibri"/>
          <w:lang w:val="es-MX"/>
        </w:rPr>
        <w:t>determinar si a la “</w:t>
      </w:r>
      <w:r w:rsidRPr="00444C6B">
        <w:rPr>
          <w:rFonts w:ascii="Verdana" w:eastAsia="Calibri" w:hAnsi="Verdana" w:cs="Calibri"/>
          <w:i/>
          <w:iCs/>
          <w:lang w:val="es-MX"/>
        </w:rPr>
        <w:t>construcción de un malecón</w:t>
      </w:r>
      <w:r w:rsidRPr="00444C6B">
        <w:rPr>
          <w:rFonts w:ascii="Verdana" w:eastAsia="Calibri" w:hAnsi="Verdana" w:cs="Calibri"/>
          <w:lang w:val="es-MX"/>
        </w:rPr>
        <w:t xml:space="preserve">” le pueden aplicar los documentos tipo, es importante señalar la definición de </w:t>
      </w:r>
      <w:r w:rsidRPr="00444C6B">
        <w:rPr>
          <w:rFonts w:ascii="Verdana" w:eastAsia="Calibri" w:hAnsi="Verdana" w:cs="Calibri"/>
          <w:i/>
          <w:iCs/>
          <w:lang w:val="es-MX"/>
        </w:rPr>
        <w:t>“malecón”</w:t>
      </w:r>
      <w:r w:rsidRPr="00444C6B">
        <w:rPr>
          <w:rFonts w:ascii="Verdana" w:eastAsia="Calibri" w:hAnsi="Verdana" w:cs="Calibri"/>
          <w:lang w:val="es-MX"/>
        </w:rPr>
        <w:t xml:space="preserve"> según el Diccionario de la Real Academia Española</w:t>
      </w:r>
      <w:r w:rsidRPr="00444C6B">
        <w:rPr>
          <w:rFonts w:ascii="Verdana" w:eastAsia="Calibri" w:hAnsi="Verdana" w:cs="Calibri"/>
          <w:vertAlign w:val="superscript"/>
          <w:lang w:val="es-MX"/>
        </w:rPr>
        <w:footnoteReference w:id="3"/>
      </w:r>
      <w:r w:rsidRPr="00444C6B">
        <w:rPr>
          <w:rFonts w:ascii="Verdana" w:eastAsia="Calibri" w:hAnsi="Verdana" w:cs="Calibri"/>
          <w:lang w:val="es-MX"/>
        </w:rPr>
        <w:t>: “</w:t>
      </w:r>
      <w:r w:rsidRPr="00444C6B">
        <w:rPr>
          <w:rFonts w:ascii="Verdana" w:eastAsia="Calibri" w:hAnsi="Verdana" w:cs="Calibri"/>
          <w:i/>
          <w:iCs/>
          <w:lang w:val="es-MX"/>
        </w:rPr>
        <w:t xml:space="preserve">Murallón o terraplén que se hace para defenderse de las aguas. […] Paseo que corre paralelo a la orilla del mar o de un río.” </w:t>
      </w:r>
      <w:r w:rsidRPr="00444C6B">
        <w:rPr>
          <w:rFonts w:ascii="Verdana" w:eastAsia="Calibri" w:hAnsi="Verdana" w:cs="Calibri"/>
          <w:lang w:val="es-MX"/>
        </w:rPr>
        <w:t xml:space="preserve">Asimismo, el referido Diccionario establece como sinónimos de </w:t>
      </w:r>
      <w:r w:rsidRPr="00444C6B">
        <w:rPr>
          <w:rFonts w:ascii="Verdana" w:eastAsia="Calibri" w:hAnsi="Verdana" w:cs="Calibri"/>
          <w:i/>
          <w:iCs/>
          <w:lang w:val="es-MX"/>
        </w:rPr>
        <w:t>“malecón”</w:t>
      </w:r>
      <w:r w:rsidRPr="00444C6B">
        <w:rPr>
          <w:rFonts w:ascii="Verdana" w:eastAsia="Calibri" w:hAnsi="Verdana" w:cs="Calibri"/>
          <w:lang w:val="es-MX"/>
        </w:rPr>
        <w:t xml:space="preserve"> los siguientes:</w:t>
      </w:r>
      <w:r w:rsidRPr="00444C6B">
        <w:rPr>
          <w:rFonts w:ascii="Verdana" w:eastAsia="Aptos" w:hAnsi="Verdana" w:cs="Times New Roman"/>
          <w:kern w:val="2"/>
          <w:sz w:val="24"/>
          <w:szCs w:val="24"/>
          <w14:ligatures w14:val="standardContextual"/>
        </w:rPr>
        <w:t xml:space="preserve"> </w:t>
      </w:r>
      <w:r w:rsidRPr="00444C6B">
        <w:rPr>
          <w:rFonts w:ascii="Verdana" w:eastAsia="Calibri" w:hAnsi="Verdana" w:cs="Calibri"/>
          <w:lang w:val="es-MX"/>
        </w:rPr>
        <w:t>dique, escollera, espigón, rompeolas, molo, tajamar.</w:t>
      </w:r>
      <w:r w:rsidRPr="00444C6B">
        <w:rPr>
          <w:rFonts w:ascii="Verdana" w:eastAsia="Calibri" w:hAnsi="Verdana" w:cs="Calibri"/>
          <w:i/>
          <w:iCs/>
          <w:lang w:val="es-MX"/>
        </w:rPr>
        <w:t xml:space="preserve">  </w:t>
      </w:r>
    </w:p>
    <w:p w14:paraId="750135F8" w14:textId="77777777" w:rsidR="00444C6B" w:rsidRPr="00444C6B" w:rsidRDefault="00444C6B" w:rsidP="00444C6B">
      <w:pPr>
        <w:spacing w:after="0" w:line="276" w:lineRule="auto"/>
        <w:jc w:val="both"/>
        <w:rPr>
          <w:rFonts w:ascii="Verdana" w:eastAsia="Calibri" w:hAnsi="Verdana" w:cs="Calibri"/>
          <w:lang w:val="es-MX"/>
        </w:rPr>
      </w:pPr>
    </w:p>
    <w:p w14:paraId="4A8053FE" w14:textId="77777777" w:rsidR="00444C6B" w:rsidRPr="00444C6B" w:rsidRDefault="00444C6B" w:rsidP="00444C6B">
      <w:pPr>
        <w:numPr>
          <w:ilvl w:val="0"/>
          <w:numId w:val="20"/>
        </w:numPr>
        <w:spacing w:after="0" w:line="276" w:lineRule="auto"/>
        <w:contextualSpacing/>
        <w:jc w:val="both"/>
        <w:rPr>
          <w:rFonts w:ascii="Verdana" w:eastAsia="Calibri" w:hAnsi="Verdana" w:cs="Calibri"/>
          <w:lang w:val="es-MX"/>
        </w:rPr>
      </w:pPr>
      <w:r w:rsidRPr="00444C6B">
        <w:rPr>
          <w:rFonts w:ascii="Verdana" w:eastAsia="Calibri" w:hAnsi="Verdana" w:cs="Calibri"/>
          <w:lang w:val="es-MX"/>
        </w:rPr>
        <w:t>Por otra parte, debe indicarse que el “Anexo 3 – Glosario” que hace parte de los documentos tipo de infraestructura de transporte, establece la siguiente definición de Espacio Público Asociado a la Infraestructura de Transporte y, particularmente, en su numeral 2.39, incluyen los malecones como este tipo de espacio público:</w:t>
      </w:r>
    </w:p>
    <w:p w14:paraId="38231C81" w14:textId="77777777" w:rsidR="00444C6B" w:rsidRPr="00444C6B" w:rsidRDefault="00444C6B" w:rsidP="00444C6B">
      <w:pPr>
        <w:spacing w:after="0" w:line="276" w:lineRule="auto"/>
        <w:jc w:val="both"/>
        <w:rPr>
          <w:rFonts w:ascii="Verdana" w:eastAsia="Calibri" w:hAnsi="Verdana" w:cs="Calibri"/>
          <w:lang w:val="es-MX"/>
        </w:rPr>
      </w:pPr>
    </w:p>
    <w:p w14:paraId="3609438D" w14:textId="77777777" w:rsidR="00444C6B" w:rsidRPr="00444C6B" w:rsidRDefault="00444C6B" w:rsidP="00444C6B">
      <w:pPr>
        <w:autoSpaceDE w:val="0"/>
        <w:autoSpaceDN w:val="0"/>
        <w:adjustRightInd w:val="0"/>
        <w:spacing w:after="0" w:line="240" w:lineRule="auto"/>
        <w:ind w:left="709" w:right="709"/>
        <w:jc w:val="both"/>
        <w:rPr>
          <w:rFonts w:ascii="Verdana" w:eastAsia="Times New Roman" w:hAnsi="Verdana" w:cs="Calibri"/>
          <w:sz w:val="21"/>
          <w:szCs w:val="21"/>
          <w:lang w:val="es-ES" w:eastAsia="es-ES"/>
        </w:rPr>
      </w:pPr>
      <w:r w:rsidRPr="00444C6B">
        <w:rPr>
          <w:rFonts w:ascii="Verdana" w:eastAsia="Times New Roman" w:hAnsi="Verdana" w:cs="Calibri"/>
          <w:b/>
          <w:sz w:val="21"/>
          <w:szCs w:val="21"/>
          <w:lang w:val="es-ES" w:eastAsia="es-ES"/>
        </w:rPr>
        <w:t xml:space="preserve">“2.39. Espacio Público Asociado a la Infraestructura de Transporte: </w:t>
      </w:r>
      <w:r w:rsidRPr="00444C6B">
        <w:rPr>
          <w:rFonts w:ascii="Verdana" w:eastAsia="Times New Roman" w:hAnsi="Verdana" w:cs="Calibri"/>
          <w:sz w:val="21"/>
          <w:szCs w:val="21"/>
          <w:lang w:val="es-ES" w:eastAsia="es-ES"/>
        </w:rPr>
        <w:t>Elementos constitutivos artificiales o construidos</w:t>
      </w:r>
      <w:r w:rsidRPr="00444C6B">
        <w:rPr>
          <w:rFonts w:ascii="Verdana" w:eastAsia="Times New Roman" w:hAnsi="Verdana" w:cs="Calibri"/>
          <w:sz w:val="21"/>
          <w:szCs w:val="21"/>
          <w:vertAlign w:val="superscript"/>
          <w:lang w:val="es-ES" w:eastAsia="es-ES"/>
        </w:rPr>
        <w:footnoteReference w:id="4"/>
      </w:r>
      <w:r w:rsidRPr="00444C6B">
        <w:rPr>
          <w:rFonts w:ascii="Verdana" w:eastAsia="Times New Roman" w:hAnsi="Verdana" w:cs="Calibri"/>
          <w:sz w:val="21"/>
          <w:szCs w:val="21"/>
          <w:lang w:val="es-ES" w:eastAsia="es-ES"/>
        </w:rPr>
        <w:t xml:space="preserve">, tales como:  </w:t>
      </w:r>
    </w:p>
    <w:p w14:paraId="1C714507" w14:textId="77777777" w:rsidR="00444C6B" w:rsidRPr="00444C6B" w:rsidRDefault="00444C6B" w:rsidP="00444C6B">
      <w:pPr>
        <w:autoSpaceDE w:val="0"/>
        <w:autoSpaceDN w:val="0"/>
        <w:adjustRightInd w:val="0"/>
        <w:spacing w:after="0" w:line="240" w:lineRule="auto"/>
        <w:ind w:left="709" w:right="709"/>
        <w:jc w:val="both"/>
        <w:rPr>
          <w:rFonts w:ascii="Verdana" w:eastAsia="Times New Roman" w:hAnsi="Verdana" w:cs="Calibri"/>
          <w:sz w:val="21"/>
          <w:szCs w:val="21"/>
          <w:lang w:val="es-ES" w:eastAsia="es-ES"/>
        </w:rPr>
      </w:pPr>
    </w:p>
    <w:p w14:paraId="4071D7FD" w14:textId="77777777" w:rsidR="00444C6B" w:rsidRPr="00444C6B" w:rsidRDefault="00444C6B" w:rsidP="00444C6B">
      <w:pPr>
        <w:numPr>
          <w:ilvl w:val="0"/>
          <w:numId w:val="19"/>
        </w:numPr>
        <w:spacing w:after="0" w:line="240" w:lineRule="auto"/>
        <w:ind w:right="709"/>
        <w:contextualSpacing/>
        <w:rPr>
          <w:rFonts w:ascii="Verdana" w:eastAsia="Calibri" w:hAnsi="Verdana" w:cs="Calibri"/>
          <w:sz w:val="21"/>
          <w:szCs w:val="21"/>
          <w:lang w:val="es-ES"/>
        </w:rPr>
      </w:pPr>
      <w:r w:rsidRPr="00444C6B">
        <w:rPr>
          <w:rFonts w:ascii="Verdana" w:eastAsia="Calibri" w:hAnsi="Verdana" w:cs="Calibri"/>
          <w:sz w:val="21"/>
          <w:szCs w:val="21"/>
          <w:lang w:val="es-ES"/>
        </w:rPr>
        <w:t xml:space="preserve">Áreas integrantes de los perfiles viales peatonal y vehicular, constituidas por: </w:t>
      </w:r>
    </w:p>
    <w:p w14:paraId="6A77D275" w14:textId="77777777" w:rsidR="00444C6B" w:rsidRPr="00444C6B" w:rsidRDefault="00444C6B" w:rsidP="00444C6B">
      <w:pPr>
        <w:spacing w:after="0" w:line="240" w:lineRule="auto"/>
        <w:ind w:left="709" w:right="709"/>
        <w:rPr>
          <w:rFonts w:ascii="Verdana" w:eastAsia="Calibri" w:hAnsi="Verdana" w:cs="Calibri"/>
          <w:sz w:val="21"/>
          <w:szCs w:val="21"/>
          <w:lang w:val="es-ES"/>
        </w:rPr>
      </w:pPr>
    </w:p>
    <w:p w14:paraId="11D1D2A2" w14:textId="77777777" w:rsidR="00444C6B" w:rsidRPr="00444C6B" w:rsidRDefault="00444C6B" w:rsidP="00444C6B">
      <w:pPr>
        <w:numPr>
          <w:ilvl w:val="1"/>
          <w:numId w:val="19"/>
        </w:numPr>
        <w:spacing w:after="0" w:line="240" w:lineRule="auto"/>
        <w:ind w:right="709"/>
        <w:jc w:val="both"/>
        <w:rPr>
          <w:rFonts w:ascii="Verdana" w:eastAsia="Calibri" w:hAnsi="Verdana" w:cs="Calibri"/>
          <w:sz w:val="21"/>
          <w:szCs w:val="21"/>
          <w:lang w:val="es-ES"/>
        </w:rPr>
      </w:pPr>
      <w:r w:rsidRPr="00444C6B">
        <w:rPr>
          <w:rFonts w:ascii="Verdana" w:eastAsia="Calibri" w:hAnsi="Verdana" w:cs="Calibri"/>
          <w:sz w:val="21"/>
          <w:szCs w:val="21"/>
          <w:lang w:val="es-ES"/>
        </w:rPr>
        <w:t xml:space="preserve">Los componentes de los perfiles viales tales como: áreas de control ambiental, zonas de mobiliario urbano y señalización, cárcamos y ductos, túneles peatonales, puentes peatonales, escalinatas, bulevares, alamedas, rampas para discapacitados, andenes, </w:t>
      </w:r>
      <w:r w:rsidRPr="00444C6B">
        <w:rPr>
          <w:rFonts w:ascii="Verdana" w:eastAsia="Calibri" w:hAnsi="Verdana" w:cs="Calibri"/>
          <w:b/>
          <w:bCs/>
          <w:i/>
          <w:iCs/>
          <w:sz w:val="21"/>
          <w:szCs w:val="21"/>
          <w:u w:val="single"/>
          <w:lang w:val="es-ES"/>
        </w:rPr>
        <w:t>malecones,</w:t>
      </w:r>
      <w:r w:rsidRPr="00444C6B">
        <w:rPr>
          <w:rFonts w:ascii="Verdana" w:eastAsia="Calibri" w:hAnsi="Verdana" w:cs="Calibri"/>
          <w:sz w:val="21"/>
          <w:szCs w:val="21"/>
          <w:lang w:val="es-ES"/>
        </w:rPr>
        <w:t xml:space="preserve"> paseos marítimos, camellones, sardineles, cunetas, </w:t>
      </w:r>
      <w:proofErr w:type="spellStart"/>
      <w:r w:rsidRPr="00444C6B">
        <w:rPr>
          <w:rFonts w:ascii="Verdana" w:eastAsia="Calibri" w:hAnsi="Verdana" w:cs="Calibri"/>
          <w:sz w:val="21"/>
          <w:szCs w:val="21"/>
          <w:lang w:val="es-ES"/>
        </w:rPr>
        <w:t>ciclopistas</w:t>
      </w:r>
      <w:proofErr w:type="spellEnd"/>
      <w:r w:rsidRPr="00444C6B">
        <w:rPr>
          <w:rFonts w:ascii="Verdana" w:eastAsia="Calibri" w:hAnsi="Verdana" w:cs="Calibri"/>
          <w:sz w:val="21"/>
          <w:szCs w:val="21"/>
          <w:lang w:val="es-ES"/>
        </w:rPr>
        <w:t xml:space="preserve">, ciclovías, estacionamiento para bicicletas, estacionamiento para motocicletas, estacionamiento bajo espacio público, zonas azules, bahías de estacionamiento, bermas, separadores, reductores de velocidad, calzadas, carriles. </w:t>
      </w:r>
    </w:p>
    <w:p w14:paraId="398A5B8E" w14:textId="77777777" w:rsidR="00444C6B" w:rsidRPr="00444C6B" w:rsidRDefault="00444C6B" w:rsidP="00444C6B">
      <w:pPr>
        <w:spacing w:after="0" w:line="240" w:lineRule="auto"/>
        <w:ind w:left="1931" w:right="709"/>
        <w:jc w:val="both"/>
        <w:rPr>
          <w:rFonts w:ascii="Verdana" w:eastAsia="Calibri" w:hAnsi="Verdana" w:cs="Calibri"/>
          <w:sz w:val="21"/>
          <w:szCs w:val="21"/>
          <w:lang w:val="es-ES"/>
        </w:rPr>
      </w:pPr>
    </w:p>
    <w:p w14:paraId="0BE7341A" w14:textId="77777777" w:rsidR="00444C6B" w:rsidRPr="00444C6B" w:rsidRDefault="00444C6B" w:rsidP="00444C6B">
      <w:pPr>
        <w:numPr>
          <w:ilvl w:val="1"/>
          <w:numId w:val="19"/>
        </w:numPr>
        <w:spacing w:after="0" w:line="240" w:lineRule="auto"/>
        <w:ind w:right="709"/>
        <w:jc w:val="both"/>
        <w:rPr>
          <w:rFonts w:ascii="Verdana" w:eastAsia="Calibri" w:hAnsi="Verdana" w:cs="Calibri"/>
          <w:sz w:val="21"/>
          <w:szCs w:val="21"/>
          <w:lang w:val="es-ES"/>
        </w:rPr>
      </w:pPr>
      <w:r w:rsidRPr="00444C6B">
        <w:rPr>
          <w:rFonts w:ascii="Verdana" w:eastAsia="Calibri" w:hAnsi="Verdana" w:cs="Calibri"/>
          <w:sz w:val="21"/>
          <w:szCs w:val="21"/>
          <w:lang w:val="es-ES"/>
        </w:rPr>
        <w:lastRenderedPageBreak/>
        <w:t xml:space="preserve">Los componentes de los cruces o intersecciones, tales como: esquinas, glorietas, orejas, puentes vehiculares, túneles y viaductos. </w:t>
      </w:r>
    </w:p>
    <w:p w14:paraId="3FC670EF" w14:textId="77777777" w:rsidR="00444C6B" w:rsidRPr="00444C6B" w:rsidRDefault="00444C6B" w:rsidP="00444C6B">
      <w:pPr>
        <w:spacing w:after="0" w:line="240" w:lineRule="auto"/>
        <w:ind w:left="709" w:right="709"/>
        <w:jc w:val="both"/>
        <w:rPr>
          <w:rFonts w:ascii="Verdana" w:eastAsia="Calibri" w:hAnsi="Verdana" w:cs="Calibri"/>
          <w:sz w:val="21"/>
          <w:szCs w:val="21"/>
          <w:lang w:val="es-ES"/>
        </w:rPr>
      </w:pPr>
    </w:p>
    <w:p w14:paraId="3AE75019" w14:textId="77777777" w:rsidR="00444C6B" w:rsidRPr="00444C6B" w:rsidRDefault="00444C6B" w:rsidP="00444C6B">
      <w:pPr>
        <w:spacing w:after="0" w:line="240" w:lineRule="auto"/>
        <w:ind w:left="709" w:right="709"/>
        <w:jc w:val="both"/>
        <w:rPr>
          <w:rFonts w:ascii="Verdana" w:eastAsia="Calibri" w:hAnsi="Verdana" w:cs="Calibri"/>
          <w:sz w:val="21"/>
          <w:szCs w:val="21"/>
          <w:lang w:val="es-MX"/>
        </w:rPr>
      </w:pPr>
      <w:r w:rsidRPr="00444C6B">
        <w:rPr>
          <w:rFonts w:ascii="Verdana" w:eastAsia="Times New Roman" w:hAnsi="Verdana" w:cs="Calibri"/>
          <w:sz w:val="21"/>
          <w:szCs w:val="21"/>
          <w:lang w:val="es-ES" w:eastAsia="es-ES_tradnl"/>
        </w:rPr>
        <w:t>Para los fines de los Documentos Tipo se entiende que estos elementos del Espacio Público deberán estar asociados o vinculados a una infraestructura de transporte.” (Énfasis fuera del texto original).</w:t>
      </w:r>
    </w:p>
    <w:p w14:paraId="56F8AFAA" w14:textId="77777777" w:rsidR="00444C6B" w:rsidRPr="00444C6B" w:rsidRDefault="00444C6B" w:rsidP="00444C6B">
      <w:pPr>
        <w:spacing w:after="0" w:line="276" w:lineRule="auto"/>
        <w:jc w:val="both"/>
        <w:rPr>
          <w:rFonts w:ascii="Verdana" w:eastAsia="Calibri" w:hAnsi="Verdana" w:cs="Calibri"/>
          <w:lang w:val="es-MX"/>
        </w:rPr>
      </w:pPr>
    </w:p>
    <w:p w14:paraId="1D77EBC5"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rPr>
      </w:pPr>
      <w:r w:rsidRPr="00444C6B">
        <w:rPr>
          <w:rFonts w:ascii="Verdana" w:eastAsia="Times New Roman" w:hAnsi="Verdana" w:cs="Calibri"/>
          <w:lang w:val="es-ES" w:eastAsia="es-ES_tradnl"/>
        </w:rPr>
        <w:t xml:space="preserve">En concordancia con lo anterior, la “Matriz 1 – Experiencia” del sector de infraestructura de transporte, en su Capítulo 6 “OBRAS DE INFRAESTRUCTURA VIAL URBANA”, contiene la actividad “6.4 PROYECTOS DE CONSTRUCCIÓN O MEJORAMIENTO O REHABILITACIÓN DE ESPACIO PÚBLICO ASOCIADO A LA INFRAESTRUCTURA DE TRANSPORTE”. Conforme a esta actividad, podría considerarse que a la </w:t>
      </w:r>
      <w:r w:rsidRPr="00444C6B">
        <w:rPr>
          <w:rFonts w:ascii="Verdana" w:eastAsia="Times New Roman" w:hAnsi="Verdana" w:cs="Calibri"/>
          <w:i/>
          <w:iCs/>
          <w:lang w:val="es-ES" w:eastAsia="es-ES_tradnl"/>
        </w:rPr>
        <w:t>“</w:t>
      </w:r>
      <w:r w:rsidRPr="00444C6B">
        <w:rPr>
          <w:rFonts w:ascii="Verdana" w:eastAsia="Calibri" w:hAnsi="Verdana" w:cs="Calibri"/>
          <w:i/>
          <w:iCs/>
          <w:lang w:val="es-MX"/>
        </w:rPr>
        <w:t>construcción de un malecón</w:t>
      </w:r>
      <w:r w:rsidRPr="00444C6B">
        <w:rPr>
          <w:rFonts w:ascii="Verdana" w:eastAsia="Calibri" w:hAnsi="Verdana" w:cs="Calibri"/>
          <w:lang w:val="es-MX"/>
        </w:rPr>
        <w:t xml:space="preserve">” le </w:t>
      </w:r>
      <w:r w:rsidRPr="00444C6B">
        <w:rPr>
          <w:rFonts w:ascii="Verdana" w:eastAsia="Times New Roman" w:hAnsi="Verdana" w:cs="Calibri"/>
          <w:lang w:val="es-ES" w:eastAsia="es-ES_tradnl"/>
        </w:rPr>
        <w:t>aplicarían los documentos tipo, teniendo en cuenta, adicionalmente, lo establecido en la parte introductoria del Documento Base de los documentos tipo de infraestructura de transporte, en la cual se indica lo siguiente:</w:t>
      </w:r>
    </w:p>
    <w:p w14:paraId="1C9CA455" w14:textId="77777777" w:rsidR="00444C6B" w:rsidRPr="00444C6B" w:rsidRDefault="00444C6B" w:rsidP="00444C6B">
      <w:pPr>
        <w:spacing w:after="0" w:line="276" w:lineRule="auto"/>
        <w:jc w:val="both"/>
        <w:rPr>
          <w:rFonts w:ascii="Verdana" w:eastAsia="Times New Roman" w:hAnsi="Verdana" w:cs="Calibri"/>
          <w:lang w:val="es-ES" w:eastAsia="es-ES_tradnl"/>
        </w:rPr>
      </w:pPr>
    </w:p>
    <w:p w14:paraId="40591A75" w14:textId="77777777" w:rsidR="00444C6B" w:rsidRPr="00444C6B" w:rsidRDefault="00444C6B" w:rsidP="00444C6B">
      <w:pPr>
        <w:spacing w:after="0" w:line="240" w:lineRule="auto"/>
        <w:ind w:left="709" w:right="709"/>
        <w:jc w:val="both"/>
        <w:rPr>
          <w:rFonts w:ascii="Verdana" w:eastAsia="Times New Roman" w:hAnsi="Verdana" w:cs="Times New Roman"/>
          <w:sz w:val="21"/>
          <w:szCs w:val="21"/>
          <w:lang w:val="es-MX" w:eastAsia="es-ES_tradnl"/>
        </w:rPr>
      </w:pPr>
      <w:r w:rsidRPr="00444C6B">
        <w:rPr>
          <w:rFonts w:ascii="Verdana" w:eastAsia="Times New Roman" w:hAnsi="Verdana" w:cs="Calibri"/>
          <w:sz w:val="21"/>
          <w:szCs w:val="21"/>
          <w:lang w:val="es-ES" w:eastAsia="es-ES_tradnl"/>
        </w:rPr>
        <w:t>“Los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3558E295" w14:textId="77777777" w:rsidR="00444C6B" w:rsidRPr="00444C6B" w:rsidRDefault="00444C6B" w:rsidP="00444C6B">
      <w:pPr>
        <w:spacing w:after="0" w:line="276" w:lineRule="auto"/>
        <w:jc w:val="both"/>
        <w:rPr>
          <w:rFonts w:ascii="Verdana" w:eastAsia="Times New Roman" w:hAnsi="Verdana" w:cs="Calibri"/>
          <w:lang w:val="es-MX" w:eastAsia="es-ES_tradnl"/>
        </w:rPr>
      </w:pPr>
    </w:p>
    <w:p w14:paraId="2DF92D12"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eastAsia="es-ES_tradnl"/>
        </w:rPr>
      </w:pPr>
      <w:r w:rsidRPr="00444C6B">
        <w:rPr>
          <w:rFonts w:ascii="Verdana" w:eastAsia="Calibri" w:hAnsi="Verdana" w:cs="Calibri"/>
          <w:lang w:val="es-MX"/>
        </w:rPr>
        <w:t xml:space="preserve">Adicionalmente, respecto a su apreciación sobre la modalidad de llave en mano, es importante señalar que, en </w:t>
      </w:r>
      <w:r w:rsidRPr="00444C6B">
        <w:rPr>
          <w:rFonts w:ascii="Verdana" w:eastAsia="Calibri" w:hAnsi="Verdana" w:cs="Calibri"/>
          <w:lang w:val="es-MX" w:eastAsia="es-ES_tradnl"/>
        </w:rPr>
        <w:t xml:space="preserve">el ordenamiento jurídico existen diversas opciones para la contratación de los estudios y diseños necesarios para la ejecución de una obra pública. En ese sentido, es viable afirmar que los estudios y diseños pueden contratarse aparte de la construcción de la obra o conjuntamente a través de un contrato de obra en la modalidad de “llave en mano”. Mediante esta modalidad, el contratista seleccionado para ejecutar el proyecto será el encargado de elaborar los estudios y diseños. Esto, en la medida en que, dependiendo del alcance de las obligaciones, el contrato llave en mano involucra todas las labores relacionadas con la obra, incluyendo los diseños, estudios de factibilidad, construcción, contratación del personal, instalaciones y </w:t>
      </w:r>
      <w:r w:rsidRPr="00444C6B">
        <w:rPr>
          <w:rFonts w:ascii="Verdana" w:eastAsia="Calibri" w:hAnsi="Verdana" w:cs="Calibri"/>
          <w:lang w:val="es-MX" w:eastAsia="es-ES_tradnl"/>
        </w:rPr>
        <w:lastRenderedPageBreak/>
        <w:t>suministros, y la contraprestación a cargo del contratista es la obra terminada y en funcionamiento.</w:t>
      </w:r>
    </w:p>
    <w:p w14:paraId="4B42D531" w14:textId="77777777" w:rsidR="00444C6B" w:rsidRPr="00444C6B" w:rsidRDefault="00444C6B" w:rsidP="00444C6B">
      <w:pPr>
        <w:spacing w:after="0" w:line="276" w:lineRule="auto"/>
        <w:jc w:val="both"/>
        <w:rPr>
          <w:rFonts w:ascii="Verdana" w:eastAsia="Calibri" w:hAnsi="Verdana" w:cs="Calibri"/>
          <w:lang w:val="es-MX" w:eastAsia="es-ES_tradnl"/>
        </w:rPr>
      </w:pPr>
    </w:p>
    <w:p w14:paraId="5DF9A7D8"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eastAsia="es-ES_tradnl"/>
        </w:rPr>
      </w:pPr>
      <w:r w:rsidRPr="00444C6B">
        <w:rPr>
          <w:rFonts w:ascii="Verdana" w:eastAsia="Calibri" w:hAnsi="Verdana" w:cs="Calibri"/>
          <w:lang w:val="es-MX" w:eastAsia="es-ES_tradnl"/>
        </w:rPr>
        <w:t>Por lo tanto, si la obra que la entidad pretende ejecutar se enmarca en alguno de los tipos de proyectos o actividades incluidas en alguna de las matrices de experiencia de los documentos tipo relacionados con infraestructura de transporte u otro sector, el proceso de selección debe adelantarse utilizando dichos documentos. Esto aplica, incluso, para los contratos de obra “llave en mano” para infraestructura de transporte.</w:t>
      </w:r>
    </w:p>
    <w:p w14:paraId="4DA8EAA6" w14:textId="77777777" w:rsidR="00444C6B" w:rsidRPr="00444C6B" w:rsidRDefault="00444C6B" w:rsidP="00444C6B">
      <w:pPr>
        <w:spacing w:line="278" w:lineRule="auto"/>
        <w:ind w:left="720"/>
        <w:contextualSpacing/>
        <w:rPr>
          <w:rFonts w:ascii="Verdana" w:eastAsia="Calibri" w:hAnsi="Verdana" w:cs="Calibri"/>
          <w:lang w:val="es-MX" w:eastAsia="es-ES_tradnl"/>
        </w:rPr>
      </w:pPr>
    </w:p>
    <w:p w14:paraId="643ED2B2"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eastAsia="es-ES_tradnl"/>
        </w:rPr>
      </w:pPr>
      <w:r w:rsidRPr="00444C6B">
        <w:rPr>
          <w:rFonts w:ascii="Verdana" w:eastAsia="Calibri" w:hAnsi="Verdana" w:cs="Calibri"/>
          <w:lang w:val="es-MX" w:eastAsia="es-ES_tradnl"/>
        </w:rPr>
        <w:t xml:space="preserve">Es decir, en caso de que se considere necesario exigir experiencia adicional para la contratación de bienes o servicios adicionales a la obra pública, como la realización de los diseños de la obra, procede la aplicación del artículo 4 de la Resolución 240 de 2020 “Por la cual se actualizan los Documentos Tipo para los procesos de selección de licitación de obra pública de infraestructura de transporte y se deroga la Resolución 0045 de 2020”. Esta norma dispone que, en los eventos en los que el objeto contractual incluya bienes o servicios ajenos a la obra pública, la entidad estatal deberá aplicar los Documentos Tipo, por lo que la entidad puede incluir experiencia adicional para evaluar la idoneidad respecto de los bienes o servicios ajenos a la obra pública de infraestructura de transporte, como sería la realización de los diseños de la obra.  </w:t>
      </w:r>
    </w:p>
    <w:p w14:paraId="5925E22F" w14:textId="77777777" w:rsidR="00444C6B" w:rsidRPr="00444C6B" w:rsidRDefault="00444C6B" w:rsidP="00444C6B">
      <w:pPr>
        <w:spacing w:line="278" w:lineRule="auto"/>
        <w:ind w:left="720"/>
        <w:contextualSpacing/>
        <w:rPr>
          <w:rFonts w:ascii="Verdana" w:eastAsia="Calibri" w:hAnsi="Verdana" w:cs="Calibri"/>
          <w:lang w:val="es-MX" w:eastAsia="es-ES_tradnl"/>
        </w:rPr>
      </w:pPr>
    </w:p>
    <w:p w14:paraId="1D631804"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eastAsia="es-ES_tradnl"/>
        </w:rPr>
      </w:pPr>
      <w:r w:rsidRPr="00444C6B">
        <w:rPr>
          <w:rFonts w:ascii="Verdana" w:eastAsia="Calibri" w:hAnsi="Verdana" w:cs="Calibri"/>
          <w:lang w:val="es-MX" w:eastAsia="es-ES_tradnl"/>
        </w:rPr>
        <w:t>En armonía con el artículo señalado, si de manera excepcional la entidad estatal considera que el contratista de la obra que debe contratarse a través de la aplicación de los documentos tipo de infraestructura de transporte debe ejecutar bienes o servicios adicionales, como en el caso de los diseños necesarios para la obra, puede incluir la experiencia adicional para evaluar la idoneidad de los proponentes, cumpliendo con los requisitos establecidos en los documentos tipo aplicables.</w:t>
      </w:r>
    </w:p>
    <w:p w14:paraId="7D9D1D5A" w14:textId="77777777" w:rsidR="00444C6B" w:rsidRPr="00444C6B" w:rsidRDefault="00444C6B" w:rsidP="00444C6B">
      <w:pPr>
        <w:spacing w:line="278" w:lineRule="auto"/>
        <w:ind w:left="720"/>
        <w:contextualSpacing/>
        <w:rPr>
          <w:rFonts w:ascii="Verdana" w:eastAsia="Calibri" w:hAnsi="Verdana" w:cs="Calibri"/>
          <w:lang w:val="es-MX" w:eastAsia="es-ES_tradnl"/>
        </w:rPr>
      </w:pPr>
    </w:p>
    <w:p w14:paraId="0F7C05FA"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eastAsia="es-ES_tradnl"/>
        </w:rPr>
      </w:pPr>
      <w:r w:rsidRPr="00444C6B">
        <w:rPr>
          <w:rFonts w:ascii="Verdana" w:eastAsia="Calibri" w:hAnsi="Verdana" w:cs="Calibri"/>
          <w:lang w:val="es-MX" w:eastAsia="es-ES_tradnl"/>
        </w:rPr>
        <w:t>De todas maneras, debe resaltarse que la regla general frente a la aplicación de los documentos tipo es su inalterabilidad. Por lo tanto, no se podrán incluir o modificar dentro de los documentos del proceso las condiciones habilitantes, los factores técnicos y económicos de escogencia y los sistemas de ponderación señalados en los documentos tipo.</w:t>
      </w:r>
    </w:p>
    <w:p w14:paraId="23FDFA19" w14:textId="77777777" w:rsidR="00444C6B" w:rsidRPr="00444C6B" w:rsidRDefault="00444C6B" w:rsidP="00444C6B">
      <w:pPr>
        <w:spacing w:line="278" w:lineRule="auto"/>
        <w:ind w:left="720"/>
        <w:contextualSpacing/>
        <w:rPr>
          <w:rFonts w:ascii="Verdana" w:eastAsia="Calibri" w:hAnsi="Verdana" w:cs="Calibri"/>
          <w:lang w:val="es-MX" w:eastAsia="es-ES_tradnl"/>
        </w:rPr>
      </w:pPr>
    </w:p>
    <w:p w14:paraId="61706659" w14:textId="77777777" w:rsidR="00444C6B" w:rsidRPr="00444C6B" w:rsidRDefault="00444C6B" w:rsidP="00444C6B">
      <w:pPr>
        <w:numPr>
          <w:ilvl w:val="0"/>
          <w:numId w:val="21"/>
        </w:numPr>
        <w:spacing w:after="0" w:line="276" w:lineRule="auto"/>
        <w:contextualSpacing/>
        <w:jc w:val="both"/>
        <w:rPr>
          <w:rFonts w:ascii="Verdana" w:eastAsia="Calibri" w:hAnsi="Verdana" w:cs="Calibri"/>
          <w:lang w:val="es-MX" w:eastAsia="es-ES_tradnl"/>
        </w:rPr>
      </w:pPr>
      <w:r w:rsidRPr="00444C6B">
        <w:rPr>
          <w:rFonts w:ascii="Verdana" w:eastAsia="Calibri" w:hAnsi="Verdana" w:cs="Calibri"/>
          <w:lang w:val="es-MX" w:eastAsia="es-ES_tradnl"/>
        </w:rPr>
        <w:lastRenderedPageBreak/>
        <w:t>Teniendo en cuenta las consideraciones anteriores, corresponde a cada entidad definir la conveniencia técnica, jurídica y financiera de contratar la realización de los estudios y diseños de forma conjunta con la obra, o hacerlo mediante procesos de contratación separados, de acuerdo con lo expuesto.</w:t>
      </w:r>
    </w:p>
    <w:p w14:paraId="3013594C" w14:textId="77777777" w:rsidR="00444C6B" w:rsidRPr="00444C6B" w:rsidRDefault="00444C6B" w:rsidP="00444C6B">
      <w:pPr>
        <w:spacing w:after="0" w:line="276" w:lineRule="auto"/>
        <w:ind w:left="720"/>
        <w:contextualSpacing/>
        <w:jc w:val="both"/>
        <w:rPr>
          <w:rFonts w:ascii="Verdana" w:eastAsia="Calibri" w:hAnsi="Verdana" w:cs="Arial"/>
          <w:lang w:val="es-ES_tradnl"/>
        </w:rPr>
      </w:pPr>
    </w:p>
    <w:p w14:paraId="715580D6" w14:textId="77777777" w:rsidR="00444C6B" w:rsidRPr="00444C6B" w:rsidRDefault="00444C6B" w:rsidP="00444C6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444C6B">
        <w:rPr>
          <w:rFonts w:ascii="Verdana" w:eastAsia="Century Gothic" w:hAnsi="Verdana" w:cs="Century Gothic"/>
          <w:b/>
          <w:bCs/>
          <w:lang w:val="es-ES_tradnl"/>
        </w:rPr>
        <w:t>Referencias normativas, jurisprudenciales y otras fuentes:</w:t>
      </w:r>
    </w:p>
    <w:p w14:paraId="783C95D6" w14:textId="77777777" w:rsidR="00444C6B" w:rsidRPr="00444C6B" w:rsidRDefault="00444C6B" w:rsidP="00444C6B">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444C6B" w:rsidRPr="00444C6B" w14:paraId="3DA0B9A2" w14:textId="77777777" w:rsidTr="00153B2D">
        <w:trPr>
          <w:trHeight w:val="870"/>
        </w:trPr>
        <w:tc>
          <w:tcPr>
            <w:tcW w:w="8647" w:type="dxa"/>
          </w:tcPr>
          <w:p w14:paraId="474D3BF0" w14:textId="77777777" w:rsidR="00444C6B" w:rsidRPr="00444C6B" w:rsidRDefault="00444C6B" w:rsidP="00444C6B">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444C6B">
              <w:rPr>
                <w:rFonts w:ascii="Verdana" w:eastAsia="Calibri" w:hAnsi="Verdana" w:cs="Arial"/>
                <w:lang w:val="es-ES_tradnl"/>
              </w:rPr>
              <w:t xml:space="preserve">Ley 2022 de 2020, artículo 1. </w:t>
            </w:r>
          </w:p>
          <w:p w14:paraId="79013023" w14:textId="77777777" w:rsidR="00444C6B" w:rsidRPr="00444C6B" w:rsidRDefault="00444C6B" w:rsidP="00444C6B">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444C6B">
              <w:rPr>
                <w:rFonts w:ascii="Verdana" w:eastAsia="Calibri" w:hAnsi="Verdana" w:cs="Arial"/>
                <w:lang w:val="es-ES_tradnl"/>
              </w:rPr>
              <w:t xml:space="preserve">Documentos Tipo de licitación de obra pública de infraestructura de transporte –versión 3–. Disponibles en: </w:t>
            </w:r>
            <w:hyperlink r:id="rId11" w:history="1">
              <w:r w:rsidRPr="00444C6B">
                <w:rPr>
                  <w:rFonts w:ascii="Verdana" w:eastAsia="Calibri" w:hAnsi="Verdana" w:cs="Arial"/>
                  <w:color w:val="0000FF"/>
                  <w:u w:val="single"/>
                  <w:lang w:val="es-ES_tradnl"/>
                </w:rPr>
                <w:t>https://www.colombiacompra.gov.co/content/04-documentos-tipo-para-licitacion-de-obra-publica-de-infraestructura-de-transporte-version</w:t>
              </w:r>
            </w:hyperlink>
            <w:r w:rsidRPr="00444C6B">
              <w:rPr>
                <w:rFonts w:ascii="Verdana" w:eastAsia="Calibri" w:hAnsi="Verdana" w:cs="Arial"/>
                <w:lang w:val="es-ES_tradnl"/>
              </w:rPr>
              <w:t xml:space="preserve">. </w:t>
            </w:r>
          </w:p>
        </w:tc>
      </w:tr>
    </w:tbl>
    <w:p w14:paraId="59FE4CB3" w14:textId="77777777" w:rsidR="00444C6B" w:rsidRPr="00444C6B" w:rsidRDefault="00444C6B" w:rsidP="00444C6B">
      <w:pPr>
        <w:widowControl w:val="0"/>
        <w:autoSpaceDE w:val="0"/>
        <w:autoSpaceDN w:val="0"/>
        <w:snapToGrid w:val="0"/>
        <w:spacing w:after="0" w:line="276" w:lineRule="auto"/>
        <w:jc w:val="both"/>
        <w:rPr>
          <w:rFonts w:ascii="Verdana" w:eastAsia="Calibri" w:hAnsi="Verdana" w:cs="Arial"/>
          <w:lang w:val="es-ES_tradnl"/>
        </w:rPr>
      </w:pPr>
    </w:p>
    <w:p w14:paraId="0BD1487F" w14:textId="77777777" w:rsidR="00444C6B" w:rsidRPr="00444C6B" w:rsidRDefault="00444C6B" w:rsidP="00444C6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44C6B">
        <w:rPr>
          <w:rFonts w:ascii="Verdana" w:eastAsia="Century Gothic" w:hAnsi="Verdana" w:cs="Century Gothic"/>
          <w:b/>
          <w:bCs/>
          <w:lang w:val="es-ES_tradnl"/>
        </w:rPr>
        <w:t>Doctrina de la Agencia Nacional de Contratación Pública:</w:t>
      </w:r>
    </w:p>
    <w:p w14:paraId="76D6DEF7" w14:textId="77777777" w:rsidR="00444C6B" w:rsidRPr="00444C6B" w:rsidRDefault="00444C6B" w:rsidP="00444C6B">
      <w:pPr>
        <w:widowControl w:val="0"/>
        <w:autoSpaceDE w:val="0"/>
        <w:autoSpaceDN w:val="0"/>
        <w:snapToGrid w:val="0"/>
        <w:spacing w:after="0" w:line="276" w:lineRule="auto"/>
        <w:jc w:val="both"/>
        <w:rPr>
          <w:rFonts w:ascii="Verdana" w:eastAsia="Calibri" w:hAnsi="Verdana" w:cs="Arial"/>
          <w:lang w:val="es-ES_tradnl"/>
        </w:rPr>
      </w:pPr>
    </w:p>
    <w:p w14:paraId="2C3497BA" w14:textId="77777777" w:rsidR="00444C6B" w:rsidRPr="00444C6B" w:rsidRDefault="00444C6B" w:rsidP="00444C6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444C6B">
        <w:rPr>
          <w:rFonts w:ascii="Verdana" w:eastAsia="Calibri" w:hAnsi="Verdana" w:cs="Arial"/>
          <w:shd w:val="clear" w:color="auto" w:fill="FFFFFF"/>
          <w:lang w:val="es-ES_tradnl"/>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w:t>
      </w:r>
      <w:r w:rsidRPr="00444C6B">
        <w:rPr>
          <w:rFonts w:ascii="Verdana" w:eastAsia="Calibri" w:hAnsi="Verdana" w:cs="Arial"/>
          <w:shd w:val="clear" w:color="auto" w:fill="FFFFFF"/>
          <w:lang w:val="es-ES_tradnl"/>
        </w:rPr>
        <w:lastRenderedPageBreak/>
        <w:t xml:space="preserve">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r w:rsidRPr="00444C6B">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78AD86EB" w14:textId="77777777" w:rsidR="00444C6B" w:rsidRPr="00444C6B" w:rsidRDefault="00444C6B" w:rsidP="00444C6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341DE919" w14:textId="77777777" w:rsidR="00444C6B" w:rsidRPr="00444C6B" w:rsidRDefault="00444C6B" w:rsidP="00444C6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444C6B">
        <w:rPr>
          <w:rFonts w:ascii="Verdana" w:eastAsia="Calibri" w:hAnsi="Verdana" w:cs="Arial"/>
          <w:kern w:val="2"/>
          <w:shd w:val="clear" w:color="auto" w:fill="FFFFFF"/>
          <w14:ligatures w14:val="standardContextual"/>
        </w:rPr>
        <w:t>La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2" w:tgtFrame="_blank" w:tooltip="Original URL: https://www.colombiacompra.gov.co/sala-de-prensa/boletin-digital/boletin-de-relatoria-2024-iv. Click or tap if you trust this link." w:history="1">
        <w:r w:rsidRPr="00444C6B">
          <w:rPr>
            <w:rFonts w:ascii="Verdana" w:eastAsia="Calibri" w:hAnsi="Verdana" w:cs="Arial"/>
            <w:color w:val="467886"/>
            <w:kern w:val="2"/>
            <w:u w:val="single"/>
            <w:shd w:val="clear" w:color="auto" w:fill="FFFFFF"/>
            <w14:ligatures w14:val="standardContextual"/>
          </w:rPr>
          <w:t>BOLETÍN DE RELATORÍA 2024 – IV | Colombia Compra Eficiente | Agencia Nacional de Contratación Pública</w:t>
        </w:r>
      </w:hyperlink>
    </w:p>
    <w:p w14:paraId="7A842424" w14:textId="77777777" w:rsidR="00444C6B" w:rsidRPr="00444C6B" w:rsidRDefault="00444C6B" w:rsidP="00444C6B">
      <w:pPr>
        <w:widowControl w:val="0"/>
        <w:autoSpaceDE w:val="0"/>
        <w:autoSpaceDN w:val="0"/>
        <w:spacing w:after="0" w:line="276" w:lineRule="auto"/>
        <w:jc w:val="both"/>
        <w:rPr>
          <w:rFonts w:ascii="Verdana" w:eastAsia="Calibri" w:hAnsi="Verdana" w:cs="Arial"/>
          <w:shd w:val="clear" w:color="auto" w:fill="FFFFFF"/>
          <w:lang w:val="es-ES_tradnl"/>
        </w:rPr>
      </w:pPr>
    </w:p>
    <w:p w14:paraId="3A6B84E5" w14:textId="77777777" w:rsidR="00444C6B" w:rsidRPr="00444C6B" w:rsidRDefault="00444C6B" w:rsidP="00444C6B">
      <w:pPr>
        <w:spacing w:after="0" w:line="240" w:lineRule="auto"/>
        <w:jc w:val="both"/>
        <w:rPr>
          <w:rFonts w:ascii="Verdana" w:eastAsia="Calibri" w:hAnsi="Verdana" w:cs="Times New Roman"/>
          <w:lang w:val="es-ES_tradnl"/>
        </w:rPr>
      </w:pPr>
      <w:r w:rsidRPr="00444C6B">
        <w:rPr>
          <w:rFonts w:ascii="Verdana" w:eastAsia="Calibri" w:hAnsi="Verdana" w:cs="Times New Roman"/>
          <w:lang w:val="es-ES_tradnl"/>
        </w:rPr>
        <w:t xml:space="preserve">Por último, los invitamos a seguirnos en las redes sociales, en las cuales se difunde información institucional: </w:t>
      </w:r>
    </w:p>
    <w:p w14:paraId="49D61CEF" w14:textId="77777777" w:rsidR="00444C6B" w:rsidRPr="00444C6B" w:rsidRDefault="00444C6B" w:rsidP="00444C6B">
      <w:pPr>
        <w:spacing w:after="0" w:line="240" w:lineRule="auto"/>
        <w:jc w:val="both"/>
        <w:rPr>
          <w:rFonts w:ascii="Verdana" w:eastAsia="Calibri" w:hAnsi="Verdana" w:cs="Times New Roman"/>
          <w:lang w:val="es-ES_tradnl"/>
        </w:rPr>
      </w:pPr>
    </w:p>
    <w:p w14:paraId="3620CB33" w14:textId="77777777" w:rsidR="00444C6B" w:rsidRPr="00444C6B" w:rsidRDefault="00444C6B" w:rsidP="00444C6B">
      <w:pPr>
        <w:spacing w:after="0" w:line="240" w:lineRule="auto"/>
        <w:jc w:val="both"/>
        <w:rPr>
          <w:rFonts w:ascii="Verdana" w:eastAsia="Calibri" w:hAnsi="Verdana" w:cs="Times New Roman"/>
          <w:lang w:val="es-ES_tradnl"/>
        </w:rPr>
      </w:pPr>
      <w:r w:rsidRPr="00444C6B">
        <w:rPr>
          <w:rFonts w:ascii="Verdana" w:eastAsia="Calibri" w:hAnsi="Verdana" w:cs="Times New Roman"/>
          <w:lang w:val="es-ES_tradnl"/>
        </w:rPr>
        <w:t xml:space="preserve">Twitter: </w:t>
      </w:r>
      <w:r w:rsidRPr="00444C6B">
        <w:rPr>
          <w:rFonts w:ascii="Verdana" w:eastAsia="Calibri" w:hAnsi="Verdana" w:cs="Times New Roman"/>
          <w:u w:val="single"/>
          <w:lang w:val="es-ES_tradnl"/>
        </w:rPr>
        <w:t>@colombiacompra</w:t>
      </w:r>
      <w:r w:rsidRPr="00444C6B">
        <w:rPr>
          <w:rFonts w:ascii="Verdana" w:eastAsia="Calibri" w:hAnsi="Verdana" w:cs="Times New Roman"/>
          <w:lang w:val="es-ES_tradnl"/>
        </w:rPr>
        <w:t xml:space="preserve"> </w:t>
      </w:r>
    </w:p>
    <w:p w14:paraId="23203D38" w14:textId="77777777" w:rsidR="00444C6B" w:rsidRPr="00444C6B" w:rsidRDefault="00444C6B" w:rsidP="00444C6B">
      <w:pPr>
        <w:spacing w:after="0" w:line="240" w:lineRule="auto"/>
        <w:jc w:val="both"/>
        <w:rPr>
          <w:rFonts w:ascii="Verdana" w:eastAsia="Calibri" w:hAnsi="Verdana" w:cs="Times New Roman"/>
          <w:lang w:val="es-ES"/>
        </w:rPr>
      </w:pPr>
      <w:r w:rsidRPr="007CD0A2">
        <w:rPr>
          <w:rFonts w:ascii="Verdana" w:eastAsia="Calibri" w:hAnsi="Verdana" w:cs="Times New Roman"/>
          <w:lang w:val="es-ES"/>
        </w:rPr>
        <w:t xml:space="preserve">Facebook: </w:t>
      </w:r>
      <w:r w:rsidRPr="007CD0A2">
        <w:rPr>
          <w:rFonts w:ascii="Verdana" w:eastAsia="Calibri" w:hAnsi="Verdana" w:cs="Times New Roman"/>
          <w:u w:val="single"/>
          <w:lang w:val="es-ES"/>
        </w:rPr>
        <w:t>ColombiaCompraEficiente</w:t>
      </w:r>
    </w:p>
    <w:p w14:paraId="26D95115" w14:textId="77777777" w:rsidR="00444C6B" w:rsidRPr="00444C6B" w:rsidRDefault="00444C6B" w:rsidP="00444C6B">
      <w:pPr>
        <w:spacing w:after="0" w:line="240" w:lineRule="auto"/>
        <w:jc w:val="both"/>
        <w:rPr>
          <w:rFonts w:ascii="Verdana" w:eastAsia="Calibri" w:hAnsi="Verdana" w:cs="Times New Roman"/>
          <w:lang w:val="es-ES_tradnl"/>
        </w:rPr>
      </w:pPr>
      <w:r w:rsidRPr="00444C6B">
        <w:rPr>
          <w:rFonts w:ascii="Verdana" w:eastAsia="Calibri" w:hAnsi="Verdana" w:cs="Times New Roman"/>
          <w:lang w:val="es-ES_tradnl"/>
        </w:rPr>
        <w:t xml:space="preserve">LinkedIn: </w:t>
      </w:r>
      <w:r w:rsidRPr="00444C6B">
        <w:rPr>
          <w:rFonts w:ascii="Verdana" w:eastAsia="Calibri" w:hAnsi="Verdana" w:cs="Times New Roman"/>
          <w:u w:val="single"/>
          <w:lang w:val="es-ES_tradnl"/>
        </w:rPr>
        <w:t>Agencia Nacional de Contratación Pública - Colombia Compra Eficiente</w:t>
      </w:r>
      <w:r w:rsidRPr="00444C6B">
        <w:rPr>
          <w:rFonts w:ascii="Verdana" w:eastAsia="Calibri" w:hAnsi="Verdana" w:cs="Times New Roman"/>
          <w:lang w:val="es-ES_tradnl"/>
        </w:rPr>
        <w:t xml:space="preserve"> Instagram: </w:t>
      </w:r>
      <w:r w:rsidRPr="00444C6B">
        <w:rPr>
          <w:rFonts w:ascii="Verdana" w:eastAsia="Calibri" w:hAnsi="Verdana" w:cs="Times New Roman"/>
          <w:u w:val="single"/>
          <w:lang w:val="es-ES_tradnl"/>
        </w:rPr>
        <w:t>@colombiacompraeficiente_cce</w:t>
      </w:r>
    </w:p>
    <w:p w14:paraId="7A084DE5" w14:textId="77777777" w:rsidR="00444C6B" w:rsidRPr="00444C6B" w:rsidRDefault="00444C6B" w:rsidP="00444C6B">
      <w:pPr>
        <w:widowControl w:val="0"/>
        <w:autoSpaceDE w:val="0"/>
        <w:autoSpaceDN w:val="0"/>
        <w:spacing w:after="0" w:line="276" w:lineRule="auto"/>
        <w:jc w:val="both"/>
        <w:rPr>
          <w:rFonts w:ascii="Verdana" w:eastAsia="Calibri" w:hAnsi="Verdana" w:cs="Arial"/>
          <w:lang w:val="es-ES_tradnl"/>
        </w:rPr>
      </w:pPr>
    </w:p>
    <w:p w14:paraId="2BA13E08" w14:textId="77777777" w:rsidR="00444C6B" w:rsidRPr="00444C6B" w:rsidRDefault="00444C6B" w:rsidP="00444C6B">
      <w:pPr>
        <w:widowControl w:val="0"/>
        <w:autoSpaceDE w:val="0"/>
        <w:autoSpaceDN w:val="0"/>
        <w:spacing w:after="0" w:line="276" w:lineRule="auto"/>
        <w:jc w:val="both"/>
        <w:rPr>
          <w:rFonts w:ascii="Verdana" w:eastAsia="Calibri" w:hAnsi="Verdana" w:cs="Arial"/>
          <w:lang w:val="es-ES_tradnl"/>
        </w:rPr>
      </w:pPr>
      <w:r w:rsidRPr="00444C6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3D58BDA" w14:textId="77777777" w:rsidR="00444C6B" w:rsidRPr="00444C6B" w:rsidRDefault="00444C6B" w:rsidP="00444C6B">
      <w:pPr>
        <w:widowControl w:val="0"/>
        <w:autoSpaceDE w:val="0"/>
        <w:autoSpaceDN w:val="0"/>
        <w:spacing w:after="0" w:line="276" w:lineRule="auto"/>
        <w:jc w:val="both"/>
        <w:rPr>
          <w:rFonts w:ascii="Verdana" w:eastAsia="Calibri" w:hAnsi="Verdana" w:cs="Arial"/>
          <w:lang w:val="es-ES_tradnl"/>
        </w:rPr>
      </w:pPr>
    </w:p>
    <w:p w14:paraId="126306F6" w14:textId="77777777" w:rsidR="00444C6B" w:rsidRPr="00444C6B" w:rsidRDefault="00444C6B" w:rsidP="00444C6B">
      <w:pPr>
        <w:spacing w:after="0" w:line="240" w:lineRule="auto"/>
        <w:rPr>
          <w:rFonts w:ascii="Verdana" w:eastAsia="Calibri" w:hAnsi="Verdana" w:cs="Arial"/>
          <w:lang w:val="es-ES_tradnl" w:eastAsia="es-CO"/>
        </w:rPr>
      </w:pPr>
      <w:r w:rsidRPr="00444C6B">
        <w:rPr>
          <w:rFonts w:ascii="Verdana" w:eastAsia="Times New Roman" w:hAnsi="Verdana" w:cs="Arial"/>
          <w:lang w:val="es-ES_tradnl" w:eastAsia="es-CO"/>
        </w:rPr>
        <w:lastRenderedPageBreak/>
        <w:t>Atentamente,</w:t>
      </w:r>
      <w:r w:rsidRPr="00444C6B">
        <w:rPr>
          <w:rFonts w:ascii="Verdana" w:eastAsia="Calibri" w:hAnsi="Verdana" w:cs="Arial"/>
          <w:lang w:val="es-ES_tradnl" w:eastAsia="es-CO"/>
        </w:rPr>
        <w:t xml:space="preserve"> </w:t>
      </w:r>
    </w:p>
    <w:p w14:paraId="7C0EB9E5" w14:textId="5924830E" w:rsidR="00444C6B" w:rsidRPr="00444C6B" w:rsidRDefault="00403A12" w:rsidP="00444C6B">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68C48700" wp14:editId="567BFFD0">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44C6B" w:rsidRPr="00444C6B" w14:paraId="4F31A125" w14:textId="77777777" w:rsidTr="007CD0A2">
        <w:trPr>
          <w:trHeight w:val="315"/>
        </w:trPr>
        <w:tc>
          <w:tcPr>
            <w:tcW w:w="893" w:type="dxa"/>
            <w:vAlign w:val="center"/>
            <w:hideMark/>
          </w:tcPr>
          <w:p w14:paraId="5BFE7EAD" w14:textId="77777777" w:rsidR="00444C6B" w:rsidRPr="00444C6B" w:rsidRDefault="00444C6B" w:rsidP="00444C6B">
            <w:pPr>
              <w:rPr>
                <w:rFonts w:ascii="Verdana" w:eastAsia="Calibri" w:hAnsi="Verdana" w:cs="Arial"/>
                <w:sz w:val="16"/>
                <w:szCs w:val="16"/>
                <w:lang w:val="es-ES_tradnl" w:eastAsia="es-ES"/>
              </w:rPr>
            </w:pPr>
            <w:r w:rsidRPr="00444C6B">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4D4E8FAF" w14:textId="77777777" w:rsidR="00444C6B" w:rsidRPr="00444C6B" w:rsidRDefault="00444C6B" w:rsidP="00444C6B">
            <w:pPr>
              <w:rPr>
                <w:rFonts w:ascii="Verdana" w:eastAsia="Arial" w:hAnsi="Verdana" w:cs="Arial"/>
                <w:sz w:val="16"/>
                <w:szCs w:val="16"/>
                <w:lang w:val="es-ES"/>
              </w:rPr>
            </w:pPr>
            <w:r w:rsidRPr="007CD0A2">
              <w:rPr>
                <w:rFonts w:ascii="Verdana" w:eastAsia="Arial" w:hAnsi="Verdana" w:cs="Arial"/>
                <w:sz w:val="16"/>
                <w:szCs w:val="16"/>
                <w:lang w:val="es-ES"/>
              </w:rPr>
              <w:t>Kevin Arlid Herrera Santa</w:t>
            </w:r>
          </w:p>
          <w:p w14:paraId="59EB086F" w14:textId="77777777" w:rsidR="00444C6B" w:rsidRPr="00444C6B" w:rsidRDefault="00444C6B" w:rsidP="00444C6B">
            <w:pPr>
              <w:rPr>
                <w:rFonts w:ascii="Verdana" w:eastAsia="Arial" w:hAnsi="Verdana" w:cs="Arial"/>
                <w:sz w:val="16"/>
                <w:szCs w:val="16"/>
                <w:lang w:val="es-ES_tradnl"/>
              </w:rPr>
            </w:pPr>
            <w:r w:rsidRPr="00444C6B">
              <w:rPr>
                <w:rFonts w:ascii="Verdana" w:eastAsia="Arial" w:hAnsi="Verdana" w:cs="Arial"/>
                <w:sz w:val="16"/>
                <w:szCs w:val="16"/>
                <w:lang w:val="es-ES_tradnl"/>
              </w:rPr>
              <w:t>Contratista de la Subdirección de Gestión Contractual</w:t>
            </w:r>
          </w:p>
          <w:p w14:paraId="28AF7EB1" w14:textId="77777777" w:rsidR="00444C6B" w:rsidRPr="00444C6B" w:rsidRDefault="00444C6B" w:rsidP="00444C6B">
            <w:pPr>
              <w:rPr>
                <w:rFonts w:ascii="Verdana" w:eastAsia="Arial" w:hAnsi="Verdana" w:cs="Arial"/>
                <w:sz w:val="16"/>
                <w:szCs w:val="16"/>
                <w:lang w:val="es-ES"/>
              </w:rPr>
            </w:pPr>
            <w:r w:rsidRPr="007CD0A2">
              <w:rPr>
                <w:rFonts w:ascii="Verdana" w:eastAsia="Arial" w:hAnsi="Verdana" w:cs="Arial"/>
                <w:sz w:val="16"/>
                <w:szCs w:val="16"/>
                <w:lang w:val="es-ES"/>
              </w:rPr>
              <w:t xml:space="preserve">Lida Milena </w:t>
            </w:r>
            <w:proofErr w:type="spellStart"/>
            <w:r w:rsidRPr="007CD0A2">
              <w:rPr>
                <w:rFonts w:ascii="Verdana" w:eastAsia="Arial" w:hAnsi="Verdana" w:cs="Arial"/>
                <w:sz w:val="16"/>
                <w:szCs w:val="16"/>
                <w:lang w:val="es-ES"/>
              </w:rPr>
              <w:t>Guanumen</w:t>
            </w:r>
            <w:proofErr w:type="spellEnd"/>
            <w:r w:rsidRPr="007CD0A2">
              <w:rPr>
                <w:rFonts w:ascii="Verdana" w:eastAsia="Arial" w:hAnsi="Verdana" w:cs="Arial"/>
                <w:sz w:val="16"/>
                <w:szCs w:val="16"/>
                <w:lang w:val="es-ES"/>
              </w:rPr>
              <w:t xml:space="preserve"> Pacheco</w:t>
            </w:r>
          </w:p>
          <w:p w14:paraId="6F9C0325" w14:textId="77777777" w:rsidR="00444C6B" w:rsidRPr="00444C6B" w:rsidRDefault="00444C6B" w:rsidP="00444C6B">
            <w:pPr>
              <w:rPr>
                <w:rFonts w:ascii="Verdana" w:eastAsia="Arial" w:hAnsi="Verdana" w:cs="Arial"/>
                <w:sz w:val="16"/>
                <w:szCs w:val="16"/>
                <w:lang w:val="es-ES_tradnl"/>
              </w:rPr>
            </w:pPr>
            <w:r w:rsidRPr="00444C6B">
              <w:rPr>
                <w:rFonts w:ascii="Verdana" w:eastAsia="Arial" w:hAnsi="Verdana" w:cs="Arial"/>
                <w:sz w:val="16"/>
                <w:szCs w:val="16"/>
                <w:lang w:val="es-ES_tradnl"/>
              </w:rPr>
              <w:t xml:space="preserve">Contratista de la Subdirección de Gestión Contractual </w:t>
            </w:r>
          </w:p>
        </w:tc>
      </w:tr>
      <w:tr w:rsidR="00444C6B" w:rsidRPr="00444C6B" w14:paraId="5E25F73A" w14:textId="77777777" w:rsidTr="007CD0A2">
        <w:trPr>
          <w:trHeight w:val="330"/>
        </w:trPr>
        <w:tc>
          <w:tcPr>
            <w:tcW w:w="893" w:type="dxa"/>
            <w:vAlign w:val="center"/>
            <w:hideMark/>
          </w:tcPr>
          <w:p w14:paraId="3DFFE846" w14:textId="77777777" w:rsidR="00444C6B" w:rsidRPr="00444C6B" w:rsidRDefault="00444C6B" w:rsidP="00444C6B">
            <w:pPr>
              <w:rPr>
                <w:rFonts w:ascii="Verdana" w:eastAsia="Calibri" w:hAnsi="Verdana" w:cs="Arial"/>
                <w:sz w:val="16"/>
                <w:szCs w:val="16"/>
                <w:lang w:val="es-ES_tradnl" w:eastAsia="es-ES"/>
              </w:rPr>
            </w:pPr>
            <w:r w:rsidRPr="00444C6B">
              <w:rPr>
                <w:rFonts w:ascii="Verdana" w:eastAsia="Calibri"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D7EAB7C" w14:textId="77777777" w:rsidR="00444C6B" w:rsidRPr="00444C6B" w:rsidRDefault="00444C6B" w:rsidP="00444C6B">
            <w:pPr>
              <w:textAlignment w:val="baseline"/>
              <w:rPr>
                <w:rFonts w:ascii="Verdana" w:eastAsia="Times New Roman" w:hAnsi="Verdana" w:cs="Segoe UI"/>
                <w:sz w:val="16"/>
                <w:szCs w:val="16"/>
                <w:lang w:val="es-ES_tradnl" w:eastAsia="es-ES_tradnl"/>
              </w:rPr>
            </w:pPr>
            <w:r w:rsidRPr="00444C6B">
              <w:rPr>
                <w:rFonts w:ascii="Verdana" w:eastAsia="Times New Roman" w:hAnsi="Verdana" w:cs="Segoe UI"/>
                <w:sz w:val="16"/>
                <w:szCs w:val="16"/>
                <w:lang w:val="es-ES_tradnl" w:eastAsia="es-ES_tradnl"/>
              </w:rPr>
              <w:t>Juan David Cárdenas Cabeza</w:t>
            </w:r>
          </w:p>
          <w:p w14:paraId="1F8576A9" w14:textId="77777777" w:rsidR="00444C6B" w:rsidRPr="00444C6B" w:rsidRDefault="00444C6B" w:rsidP="00444C6B">
            <w:pPr>
              <w:textAlignment w:val="baseline"/>
              <w:rPr>
                <w:rFonts w:ascii="Verdana" w:eastAsia="Times New Roman" w:hAnsi="Verdana" w:cs="Segoe UI"/>
                <w:sz w:val="16"/>
                <w:szCs w:val="16"/>
                <w:lang w:val="es-ES_tradnl" w:eastAsia="es-ES_tradnl"/>
              </w:rPr>
            </w:pPr>
            <w:r w:rsidRPr="00444C6B">
              <w:rPr>
                <w:rFonts w:ascii="Verdana" w:eastAsia="Times New Roman" w:hAnsi="Verdana" w:cs="Arial"/>
                <w:sz w:val="16"/>
                <w:szCs w:val="16"/>
                <w:lang w:val="es-ES_tradnl" w:eastAsia="es-ES_tradnl"/>
              </w:rPr>
              <w:t>Contratista de la Subdirección de Gestión Contractual </w:t>
            </w:r>
          </w:p>
        </w:tc>
      </w:tr>
      <w:tr w:rsidR="00444C6B" w:rsidRPr="00444C6B" w14:paraId="07ADBEE8" w14:textId="77777777" w:rsidTr="007CD0A2">
        <w:trPr>
          <w:trHeight w:val="300"/>
        </w:trPr>
        <w:tc>
          <w:tcPr>
            <w:tcW w:w="893" w:type="dxa"/>
            <w:vAlign w:val="center"/>
          </w:tcPr>
          <w:p w14:paraId="718A50FF" w14:textId="77777777" w:rsidR="00444C6B" w:rsidRPr="00444C6B" w:rsidRDefault="00444C6B" w:rsidP="00444C6B">
            <w:pPr>
              <w:rPr>
                <w:rFonts w:ascii="Verdana" w:eastAsia="Calibri" w:hAnsi="Verdana" w:cs="Arial"/>
                <w:sz w:val="16"/>
                <w:szCs w:val="16"/>
                <w:lang w:val="es-ES_tradnl" w:eastAsia="es-ES"/>
              </w:rPr>
            </w:pPr>
            <w:r w:rsidRPr="00444C6B">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523A2D" w14:textId="77777777" w:rsidR="00444C6B" w:rsidRPr="00444C6B" w:rsidRDefault="00444C6B" w:rsidP="00444C6B">
            <w:pPr>
              <w:rPr>
                <w:rFonts w:ascii="Verdana" w:eastAsia="Calibri" w:hAnsi="Verdana" w:cs="Arial"/>
                <w:sz w:val="16"/>
                <w:szCs w:val="16"/>
                <w:lang w:val="es-ES" w:eastAsia="es-ES"/>
              </w:rPr>
            </w:pPr>
            <w:r w:rsidRPr="007CD0A2">
              <w:rPr>
                <w:rFonts w:ascii="Verdana" w:eastAsia="Calibri" w:hAnsi="Verdana" w:cs="Arial"/>
                <w:sz w:val="16"/>
                <w:szCs w:val="16"/>
                <w:lang w:val="es-ES" w:eastAsia="es-ES"/>
              </w:rPr>
              <w:t>Carolina Quintero Gacharná</w:t>
            </w:r>
          </w:p>
          <w:p w14:paraId="078EADC9" w14:textId="77777777" w:rsidR="00444C6B" w:rsidRPr="00444C6B" w:rsidRDefault="00444C6B" w:rsidP="00444C6B">
            <w:pPr>
              <w:rPr>
                <w:rFonts w:ascii="Verdana" w:eastAsia="Calibri" w:hAnsi="Verdana" w:cs="Arial"/>
                <w:sz w:val="16"/>
                <w:szCs w:val="16"/>
                <w:lang w:val="es-ES_tradnl" w:eastAsia="es-ES"/>
              </w:rPr>
            </w:pPr>
            <w:r w:rsidRPr="00444C6B">
              <w:rPr>
                <w:rFonts w:ascii="Verdana" w:eastAsia="Calibri" w:hAnsi="Verdana" w:cs="Arial"/>
                <w:sz w:val="16"/>
                <w:szCs w:val="16"/>
                <w:lang w:val="es-ES_tradnl" w:eastAsia="es-ES"/>
              </w:rPr>
              <w:t>Subdirectora de Gestión Contractual ANCP – CCE</w:t>
            </w:r>
          </w:p>
        </w:tc>
      </w:tr>
    </w:tbl>
    <w:p w14:paraId="0F293BF4" w14:textId="534EA9CC" w:rsidR="00127233" w:rsidRPr="00444C6B" w:rsidRDefault="00127233" w:rsidP="00444C6B">
      <w:pPr>
        <w:spacing w:after="0" w:line="240" w:lineRule="auto"/>
        <w:jc w:val="both"/>
        <w:textAlignment w:val="baseline"/>
        <w:rPr>
          <w:rFonts w:ascii="Verdana" w:eastAsia="Times New Roman" w:hAnsi="Verdana" w:cs="Segoe UI"/>
          <w:sz w:val="18"/>
          <w:szCs w:val="18"/>
          <w:lang w:eastAsia="es-CO"/>
        </w:rPr>
      </w:pPr>
    </w:p>
    <w:sectPr w:rsidR="00127233" w:rsidRPr="00444C6B"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C8B6D" w14:textId="77777777" w:rsidR="00C367F3" w:rsidRDefault="00C367F3" w:rsidP="004A1847">
      <w:pPr>
        <w:spacing w:after="0" w:line="240" w:lineRule="auto"/>
      </w:pPr>
      <w:r>
        <w:separator/>
      </w:r>
    </w:p>
  </w:endnote>
  <w:endnote w:type="continuationSeparator" w:id="0">
    <w:p w14:paraId="0ECB2464" w14:textId="77777777" w:rsidR="00C367F3" w:rsidRDefault="00C367F3" w:rsidP="004A1847">
      <w:pPr>
        <w:spacing w:after="0" w:line="240" w:lineRule="auto"/>
      </w:pPr>
      <w:r>
        <w:continuationSeparator/>
      </w:r>
    </w:p>
  </w:endnote>
  <w:endnote w:type="continuationNotice" w:id="1">
    <w:p w14:paraId="05F3A8BB" w14:textId="77777777" w:rsidR="00C367F3" w:rsidRDefault="00C36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60E1" w14:textId="77777777" w:rsidR="00C367F3" w:rsidRDefault="00C367F3" w:rsidP="004A1847">
      <w:pPr>
        <w:spacing w:after="0" w:line="240" w:lineRule="auto"/>
      </w:pPr>
      <w:r>
        <w:separator/>
      </w:r>
    </w:p>
  </w:footnote>
  <w:footnote w:type="continuationSeparator" w:id="0">
    <w:p w14:paraId="0982605B" w14:textId="77777777" w:rsidR="00C367F3" w:rsidRDefault="00C367F3" w:rsidP="004A1847">
      <w:pPr>
        <w:spacing w:after="0" w:line="240" w:lineRule="auto"/>
      </w:pPr>
      <w:r>
        <w:continuationSeparator/>
      </w:r>
    </w:p>
  </w:footnote>
  <w:footnote w:type="continuationNotice" w:id="1">
    <w:p w14:paraId="37C1D444" w14:textId="77777777" w:rsidR="00C367F3" w:rsidRDefault="00C367F3">
      <w:pPr>
        <w:spacing w:after="0" w:line="240" w:lineRule="auto"/>
      </w:pPr>
    </w:p>
  </w:footnote>
  <w:footnote w:id="2">
    <w:p w14:paraId="17D358D2" w14:textId="77777777" w:rsidR="00444C6B" w:rsidRPr="00590BB7" w:rsidRDefault="00444C6B" w:rsidP="00444C6B">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3">
    <w:p w14:paraId="22033B98" w14:textId="77777777" w:rsidR="00444C6B" w:rsidRPr="00E4723C" w:rsidRDefault="00444C6B" w:rsidP="00444C6B">
      <w:pPr>
        <w:pStyle w:val="Textonotapie"/>
        <w:ind w:firstLine="709"/>
        <w:jc w:val="both"/>
        <w:rPr>
          <w:rFonts w:ascii="Verdana" w:hAnsi="Verdana"/>
          <w:sz w:val="18"/>
          <w:szCs w:val="18"/>
        </w:rPr>
      </w:pPr>
      <w:r w:rsidRPr="00E4723C">
        <w:rPr>
          <w:rStyle w:val="Refdenotaalpie"/>
          <w:rFonts w:ascii="Verdana" w:hAnsi="Verdana"/>
          <w:sz w:val="18"/>
          <w:szCs w:val="18"/>
        </w:rPr>
        <w:footnoteRef/>
      </w:r>
      <w:r w:rsidRPr="00E4723C">
        <w:rPr>
          <w:rFonts w:ascii="Verdana" w:hAnsi="Verdana"/>
          <w:sz w:val="18"/>
          <w:szCs w:val="18"/>
        </w:rPr>
        <w:t xml:space="preserve"> Disponible en: https://dle.rae.es/</w:t>
      </w:r>
    </w:p>
  </w:footnote>
  <w:footnote w:id="4">
    <w:p w14:paraId="7111FEBF" w14:textId="77777777" w:rsidR="00444C6B" w:rsidRPr="00CC50D2" w:rsidRDefault="00444C6B" w:rsidP="00444C6B">
      <w:pPr>
        <w:pStyle w:val="Textonotapie"/>
        <w:ind w:firstLine="709"/>
        <w:jc w:val="both"/>
        <w:rPr>
          <w:sz w:val="16"/>
          <w:lang w:val="es-CO"/>
        </w:rPr>
      </w:pPr>
      <w:r w:rsidRPr="00E4723C">
        <w:rPr>
          <w:rStyle w:val="Refdenotaalpie"/>
          <w:rFonts w:ascii="Verdana" w:hAnsi="Verdana"/>
          <w:sz w:val="18"/>
          <w:szCs w:val="18"/>
        </w:rPr>
        <w:footnoteRef/>
      </w:r>
      <w:r w:rsidRPr="00E4723C">
        <w:rPr>
          <w:rFonts w:ascii="Verdana" w:hAnsi="Verdana"/>
          <w:sz w:val="18"/>
          <w:szCs w:val="18"/>
        </w:rPr>
        <w:t xml:space="preserve"> Decreto 1077 de 2015. Artículo 2.2.3.1.5. Numeral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7"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E5216D8"/>
    <w:multiLevelType w:val="hybridMultilevel"/>
    <w:tmpl w:val="35487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8371A1"/>
    <w:multiLevelType w:val="hybridMultilevel"/>
    <w:tmpl w:val="9BDA6666"/>
    <w:lvl w:ilvl="0" w:tplc="BDC0FB50">
      <w:start w:val="1"/>
      <w:numFmt w:val="lowerLetter"/>
      <w:lvlText w:val="%1."/>
      <w:lvlJc w:val="left"/>
      <w:pPr>
        <w:ind w:left="1069" w:hanging="360"/>
      </w:pPr>
      <w:rPr>
        <w:rFonts w:ascii="Verdana" w:eastAsia="Times New Roman" w:hAnsi="Verdana" w:cstheme="minorHAnsi" w:hint="default"/>
        <w:sz w:val="21"/>
        <w:szCs w:val="21"/>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4142726"/>
    <w:multiLevelType w:val="hybridMultilevel"/>
    <w:tmpl w:val="333A8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6"/>
  </w:num>
  <w:num w:numId="9" w16cid:durableId="1317221377">
    <w:abstractNumId w:val="8"/>
  </w:num>
  <w:num w:numId="10" w16cid:durableId="1471245386">
    <w:abstractNumId w:val="15"/>
  </w:num>
  <w:num w:numId="11" w16cid:durableId="289172385">
    <w:abstractNumId w:val="9"/>
  </w:num>
  <w:num w:numId="12" w16cid:durableId="1470781324">
    <w:abstractNumId w:val="1"/>
  </w:num>
  <w:num w:numId="13" w16cid:durableId="1512908409">
    <w:abstractNumId w:val="3"/>
  </w:num>
  <w:num w:numId="14" w16cid:durableId="895897244">
    <w:abstractNumId w:val="18"/>
  </w:num>
  <w:num w:numId="15" w16cid:durableId="390349800">
    <w:abstractNumId w:val="13"/>
  </w:num>
  <w:num w:numId="16" w16cid:durableId="341274352">
    <w:abstractNumId w:val="0"/>
  </w:num>
  <w:num w:numId="17" w16cid:durableId="1492209491">
    <w:abstractNumId w:val="5"/>
  </w:num>
  <w:num w:numId="18" w16cid:durableId="679089576">
    <w:abstractNumId w:val="10"/>
  </w:num>
  <w:num w:numId="19" w16cid:durableId="1090781443">
    <w:abstractNumId w:val="12"/>
  </w:num>
  <w:num w:numId="20" w16cid:durableId="364449945">
    <w:abstractNumId w:val="14"/>
  </w:num>
  <w:num w:numId="21" w16cid:durableId="590622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51B8"/>
    <w:rsid w:val="00061B2A"/>
    <w:rsid w:val="00082362"/>
    <w:rsid w:val="000A683E"/>
    <w:rsid w:val="000B19B9"/>
    <w:rsid w:val="000D0334"/>
    <w:rsid w:val="000D51F7"/>
    <w:rsid w:val="000F6486"/>
    <w:rsid w:val="00125105"/>
    <w:rsid w:val="00127233"/>
    <w:rsid w:val="001E4177"/>
    <w:rsid w:val="001F7DC6"/>
    <w:rsid w:val="00214CA9"/>
    <w:rsid w:val="00222DDB"/>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3A12"/>
    <w:rsid w:val="00406575"/>
    <w:rsid w:val="00407854"/>
    <w:rsid w:val="0042722E"/>
    <w:rsid w:val="00437E48"/>
    <w:rsid w:val="00444C6B"/>
    <w:rsid w:val="0044528D"/>
    <w:rsid w:val="004536C4"/>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DC2"/>
    <w:rsid w:val="007CD0A2"/>
    <w:rsid w:val="007D3731"/>
    <w:rsid w:val="007E5497"/>
    <w:rsid w:val="00806F5F"/>
    <w:rsid w:val="00820278"/>
    <w:rsid w:val="008843B6"/>
    <w:rsid w:val="00891928"/>
    <w:rsid w:val="008A446D"/>
    <w:rsid w:val="008B5C9F"/>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0224C"/>
    <w:rsid w:val="00A122D3"/>
    <w:rsid w:val="00A17F13"/>
    <w:rsid w:val="00A20739"/>
    <w:rsid w:val="00A33C78"/>
    <w:rsid w:val="00AA6B24"/>
    <w:rsid w:val="00AB0ADB"/>
    <w:rsid w:val="00B01B1A"/>
    <w:rsid w:val="00B72CD3"/>
    <w:rsid w:val="00B72FFF"/>
    <w:rsid w:val="00BC3D36"/>
    <w:rsid w:val="00BD7F72"/>
    <w:rsid w:val="00C04FB3"/>
    <w:rsid w:val="00C330EB"/>
    <w:rsid w:val="00C367F3"/>
    <w:rsid w:val="00C754BE"/>
    <w:rsid w:val="00C76B1C"/>
    <w:rsid w:val="00C87F37"/>
    <w:rsid w:val="00CA2F5B"/>
    <w:rsid w:val="00CB0C14"/>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46777"/>
    <w:rsid w:val="00E50AFE"/>
    <w:rsid w:val="00E75C92"/>
    <w:rsid w:val="00E771DC"/>
    <w:rsid w:val="00E8772A"/>
    <w:rsid w:val="00E90F6B"/>
    <w:rsid w:val="00E92C27"/>
    <w:rsid w:val="00EA0E3D"/>
    <w:rsid w:val="00EC38A7"/>
    <w:rsid w:val="00EE1AA8"/>
    <w:rsid w:val="00EF084C"/>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44C6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2Fboletin-de-relatoria-2024-iv&amp;data=05%7C02%7Ckevin.herrera%40colombiacompra.gov.co%7C616b83c3423e4d31151908dce489c00d%7C7b09041e245149d08cb179d5e3d8c1be%7C0%7C0%7C638636527545132190%7CUnknown%7CTWFpbGZsb3d8eyJWIjoiMC4wLjAwMDAiLCJQIjoiV2luMzIiLCJBTiI6Ik1haWwiLCJXVCI6Mn0%3D%7C0%7C%7C%7C&amp;sdata=ZRYa5zZu2bdJ72ucA5RnY1qOEOv5odLYKbXBlCip0p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openxmlformats.org/package/2006/metadata/core-properties"/>
    <ds:schemaRef ds:uri="http://purl.org/dc/terms/"/>
    <ds:schemaRef ds:uri="http://purl.org/dc/dcmitype/"/>
    <ds:schemaRef ds:uri="http://schemas.microsoft.com/office/2006/documentManagement/types"/>
    <ds:schemaRef ds:uri="a6cb9e4b-f1d1-4245-83ec-6cad768d538a"/>
    <ds:schemaRef ds:uri="http://purl.org/dc/elements/1.1/"/>
    <ds:schemaRef ds:uri="http://www.w3.org/XML/1998/namespace"/>
    <ds:schemaRef ds:uri="http://schemas.microsoft.com/office/infopath/2007/PartnerControls"/>
    <ds:schemaRef ds:uri="9d85dbaf-23eb-4e57-a637-93dcacc8b1a1"/>
    <ds:schemaRef ds:uri="http://schemas.microsoft.com/office/2006/metadata/properties"/>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30F2B35-0955-4CA8-91A1-338CFCB1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3579</Words>
  <Characters>19257</Characters>
  <Application>Microsoft Office Word</Application>
  <DocSecurity>0</DocSecurity>
  <Lines>1283</Lines>
  <Paragraphs>671</Paragraphs>
  <ScaleCrop>false</ScaleCrop>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2024-11-05T21:45:00Z</dcterms:created>
  <dcterms:modified xsi:type="dcterms:W3CDTF">2024-11-05T21:45:00Z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