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47B09" w14:textId="77777777" w:rsidR="00483F66" w:rsidRDefault="00483F66" w:rsidP="00483F66">
      <w:pPr>
        <w:spacing w:after="0" w:line="240" w:lineRule="auto"/>
        <w:jc w:val="both"/>
        <w:rPr>
          <w:rFonts w:ascii="Verdana" w:eastAsia="Geomanist Light" w:hAnsi="Verdana" w:cs="Arial"/>
          <w:b/>
          <w:bCs/>
          <w:lang w:val="es-MX"/>
        </w:rPr>
      </w:pPr>
      <w:r w:rsidRPr="00483F66">
        <w:rPr>
          <w:rFonts w:ascii="Verdana" w:eastAsia="Geomanist Light" w:hAnsi="Verdana" w:cs="Arial"/>
          <w:b/>
          <w:bCs/>
          <w:lang w:val="es-MX"/>
        </w:rPr>
        <w:t>CONTRATO DE CONCESIÓN ― Contrato estatal ― Concepto</w:t>
      </w:r>
    </w:p>
    <w:p w14:paraId="5B3571FB" w14:textId="77777777" w:rsidR="00483F66" w:rsidRPr="00483F66" w:rsidRDefault="00483F66" w:rsidP="00483F66">
      <w:pPr>
        <w:spacing w:after="0" w:line="240" w:lineRule="auto"/>
        <w:jc w:val="both"/>
        <w:rPr>
          <w:rFonts w:ascii="Verdana" w:eastAsia="Geomanist Light" w:hAnsi="Verdana" w:cs="Arial"/>
          <w:b/>
          <w:bCs/>
          <w:lang w:val="es-MX"/>
        </w:rPr>
      </w:pPr>
    </w:p>
    <w:p w14:paraId="2290F0DF" w14:textId="77777777" w:rsidR="00483F66" w:rsidRPr="00483F66" w:rsidRDefault="00483F66" w:rsidP="00483F66">
      <w:pPr>
        <w:spacing w:after="0" w:line="240" w:lineRule="auto"/>
        <w:jc w:val="both"/>
        <w:rPr>
          <w:rFonts w:ascii="Verdana" w:eastAsia="Geomanist Light" w:hAnsi="Verdana" w:cs="Arial"/>
          <w:lang w:val="es-MX"/>
        </w:rPr>
      </w:pPr>
      <w:r w:rsidRPr="00483F66">
        <w:rPr>
          <w:rFonts w:ascii="Verdana" w:eastAsia="Geomanist Light" w:hAnsi="Verdana" w:cs="Arial"/>
          <w:lang w:val="es-MX"/>
        </w:rPr>
        <w:t>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w:t>
      </w:r>
    </w:p>
    <w:p w14:paraId="6088610F" w14:textId="2D75645E" w:rsidR="00483F66" w:rsidRDefault="00483F66" w:rsidP="00483F66">
      <w:pPr>
        <w:spacing w:after="0" w:line="240" w:lineRule="auto"/>
        <w:jc w:val="both"/>
        <w:rPr>
          <w:rFonts w:ascii="Verdana" w:eastAsia="Geomanist Light" w:hAnsi="Verdana" w:cs="Arial"/>
          <w:lang w:val="es-MX"/>
        </w:rPr>
      </w:pPr>
      <w:r w:rsidRPr="00483F66">
        <w:rPr>
          <w:rFonts w:ascii="Verdana" w:eastAsia="Geomanist Light" w:hAnsi="Verdana" w:cs="Arial"/>
          <w:lang w:val="es-MX"/>
        </w:rPr>
        <w:t>Como se observa, en este tipo de contratos el contratista es, en principio, quien por su cuenta y riesgo ejecuta la prestación, operación, explotación u organización del servicio, así como la construcción, explotación o conservación del bien, a cambio de una remuneración.</w:t>
      </w:r>
    </w:p>
    <w:p w14:paraId="4FC67078" w14:textId="77777777" w:rsidR="00483F66" w:rsidRDefault="00483F66" w:rsidP="00483F66">
      <w:pPr>
        <w:spacing w:after="0" w:line="240" w:lineRule="auto"/>
        <w:jc w:val="both"/>
        <w:rPr>
          <w:rFonts w:ascii="Verdana" w:eastAsia="Geomanist Light" w:hAnsi="Verdana" w:cs="Arial"/>
          <w:b/>
          <w:lang w:val="es-ES_tradnl"/>
        </w:rPr>
      </w:pPr>
    </w:p>
    <w:p w14:paraId="0AA759E3" w14:textId="3F7AA1D2" w:rsidR="00483F66" w:rsidRPr="00483F66" w:rsidRDefault="00483F66" w:rsidP="00483F66">
      <w:pPr>
        <w:spacing w:after="0" w:line="240" w:lineRule="auto"/>
        <w:jc w:val="both"/>
        <w:rPr>
          <w:rFonts w:ascii="Verdana" w:eastAsia="Geomanist Light" w:hAnsi="Verdana" w:cs="Arial"/>
          <w:b/>
          <w:lang w:val="es-ES_tradnl"/>
        </w:rPr>
      </w:pPr>
      <w:r w:rsidRPr="00483F66">
        <w:rPr>
          <w:rFonts w:ascii="Verdana" w:eastAsia="Geomanist Light" w:hAnsi="Verdana" w:cs="Arial"/>
          <w:b/>
          <w:lang w:val="es-ES_tradnl"/>
        </w:rPr>
        <w:t xml:space="preserve">ADICIÓN Y PRÓRROGA – No son automáticas </w:t>
      </w:r>
    </w:p>
    <w:p w14:paraId="513017BB" w14:textId="77777777" w:rsidR="00483F66" w:rsidRPr="00483F66" w:rsidRDefault="00483F66" w:rsidP="00483F66">
      <w:pPr>
        <w:spacing w:after="0" w:line="240" w:lineRule="auto"/>
        <w:jc w:val="both"/>
        <w:rPr>
          <w:rFonts w:ascii="Verdana" w:eastAsia="Geomanist Light" w:hAnsi="Verdana" w:cs="Arial"/>
          <w:lang w:val="es-ES_tradnl"/>
        </w:rPr>
      </w:pPr>
    </w:p>
    <w:p w14:paraId="0A342171" w14:textId="3D0B389A" w:rsidR="00483F66" w:rsidRDefault="00483F66" w:rsidP="00483F66">
      <w:pPr>
        <w:spacing w:after="0" w:line="240" w:lineRule="auto"/>
        <w:jc w:val="both"/>
        <w:rPr>
          <w:rFonts w:ascii="Verdana" w:eastAsia="Geomanist Light" w:hAnsi="Verdana" w:cs="Arial"/>
          <w:lang w:val="es-ES_tradnl"/>
        </w:rPr>
      </w:pPr>
      <w:r w:rsidRPr="00483F66">
        <w:rPr>
          <w:rFonts w:ascii="Verdana" w:eastAsia="Geomanist Light" w:hAnsi="Verdana" w:cs="Arial"/>
          <w:lang w:val="es-ES_tradnl"/>
        </w:rPr>
        <w:t>Además, en la realización de las adiciones y prórrogas, o en cualquier modificación que se surta sobre un contrato estatal, las entidades públicas deben hacer un serio análisis de oportunidad y conveniencia. Solo con fundamento en este examen pueden tomar la decisión de ampliar el valor, el plazo o cualquier cláusula del contrato. Adicionalmente, el principio de planeación irradia sus efectos sobre la fase de ejecución del contrato. Por esta razón, las adiciones, prórrogas y modificaciones en general, deben ser excepcionales y justificarse adecuadamente. En consecuencia, la prórroga de un contrato de concesión de un servicio público no debe ser una decisión automática e irreflexiva. Lo anterior, por cuanto, la prórroga debe consultar los riesgos, los costos adicionales y no utilizarse para burlar la licitación pública, exigida en el parágrafo del artículo 31 de la Ley 142 de 1994. De hecho, hay un precedente constitucional definido, en el sentido de que la posibilidad de prórroga automática de los contratos de concesión desconoce el principio de libre concurrencia.</w:t>
      </w:r>
    </w:p>
    <w:p w14:paraId="63675F12" w14:textId="77777777" w:rsidR="000C7D07" w:rsidRDefault="000C7D07" w:rsidP="00483F66">
      <w:pPr>
        <w:spacing w:after="0" w:line="240" w:lineRule="auto"/>
        <w:jc w:val="both"/>
        <w:rPr>
          <w:rFonts w:ascii="Verdana" w:eastAsia="Geomanist Light" w:hAnsi="Verdana" w:cs="Arial"/>
          <w:lang w:val="es-ES_tradnl"/>
        </w:rPr>
      </w:pPr>
    </w:p>
    <w:p w14:paraId="46E2DFFB" w14:textId="77777777" w:rsidR="000C7D07" w:rsidRPr="000C7D07" w:rsidRDefault="000C7D07" w:rsidP="000C7D07">
      <w:pPr>
        <w:spacing w:after="0" w:line="240" w:lineRule="auto"/>
        <w:jc w:val="both"/>
        <w:rPr>
          <w:rFonts w:ascii="Verdana" w:eastAsia="Geomanist Light" w:hAnsi="Verdana" w:cs="Arial"/>
          <w:b/>
        </w:rPr>
      </w:pPr>
      <w:r w:rsidRPr="000C7D07">
        <w:rPr>
          <w:rFonts w:ascii="Verdana" w:eastAsia="Geomanist Light" w:hAnsi="Verdana" w:cs="Arial"/>
          <w:b/>
        </w:rPr>
        <w:t>ASOCIACIONES PÚBLICO PRIVADAS – Concepto – Ley 1508 de 2012</w:t>
      </w:r>
    </w:p>
    <w:p w14:paraId="08B77A53" w14:textId="77777777" w:rsidR="000C7D07" w:rsidRPr="000C7D07" w:rsidRDefault="000C7D07" w:rsidP="000C7D07">
      <w:pPr>
        <w:spacing w:after="0" w:line="240" w:lineRule="auto"/>
        <w:jc w:val="both"/>
        <w:rPr>
          <w:rFonts w:ascii="Verdana" w:eastAsia="Geomanist Light" w:hAnsi="Verdana" w:cs="Arial"/>
          <w:lang w:val="es-ES_tradnl"/>
        </w:rPr>
      </w:pPr>
    </w:p>
    <w:p w14:paraId="01DC8957" w14:textId="4A5E1E3F" w:rsidR="000C7D07" w:rsidRPr="000C7D07" w:rsidRDefault="000C7D07" w:rsidP="000C7D07">
      <w:pPr>
        <w:spacing w:after="0" w:line="240" w:lineRule="auto"/>
        <w:jc w:val="both"/>
        <w:rPr>
          <w:rFonts w:ascii="Verdana" w:eastAsia="Geomanist Light" w:hAnsi="Verdana" w:cs="Arial"/>
          <w:lang w:val="es-ES_tradnl"/>
        </w:rPr>
      </w:pPr>
      <w:r w:rsidRPr="000C7D07">
        <w:rPr>
          <w:rFonts w:ascii="Verdana" w:eastAsia="Geomanist Light" w:hAnsi="Verdana" w:cs="Arial"/>
        </w:rPr>
        <w:t xml:space="preserve">La Ley 1508 de 2012, </w:t>
      </w:r>
      <w:r>
        <w:rPr>
          <w:rFonts w:ascii="Verdana" w:eastAsia="Geomanist Light" w:hAnsi="Verdana" w:cs="Arial"/>
        </w:rPr>
        <w:t>“</w:t>
      </w:r>
      <w:r w:rsidRPr="000C7D07">
        <w:rPr>
          <w:rFonts w:ascii="Verdana" w:eastAsia="Geomanist Light" w:hAnsi="Verdana" w:cs="Arial"/>
        </w:rPr>
        <w:t xml:space="preserve">Por la cual se establece el régimen jurídico de las Asociaciones </w:t>
      </w:r>
      <w:proofErr w:type="gramStart"/>
      <w:r w:rsidRPr="000C7D07">
        <w:rPr>
          <w:rFonts w:ascii="Verdana" w:eastAsia="Geomanist Light" w:hAnsi="Verdana" w:cs="Arial"/>
        </w:rPr>
        <w:t>Público Privadas</w:t>
      </w:r>
      <w:proofErr w:type="gramEnd"/>
      <w:r w:rsidRPr="000C7D07">
        <w:rPr>
          <w:rFonts w:ascii="Verdana" w:eastAsia="Geomanist Light" w:hAnsi="Verdana" w:cs="Arial"/>
        </w:rPr>
        <w:t>, se dictan normas orgánicas de presupuesto y se dictan otras disposiciones</w:t>
      </w:r>
      <w:r>
        <w:rPr>
          <w:rFonts w:ascii="Verdana" w:eastAsia="Geomanist Light" w:hAnsi="Verdana" w:cs="Arial"/>
        </w:rPr>
        <w:t>”</w:t>
      </w:r>
      <w:r w:rsidRPr="000C7D07">
        <w:rPr>
          <w:rFonts w:ascii="Verdana" w:eastAsia="Geomanist Light" w:hAnsi="Verdana" w:cs="Arial"/>
        </w:rPr>
        <w:t>, en el artículo 1, definió las asociaciones público privadas –APP– de la siguiente manera:</w:t>
      </w:r>
    </w:p>
    <w:p w14:paraId="048D7127" w14:textId="77777777" w:rsidR="000C7D07" w:rsidRPr="000C7D07" w:rsidRDefault="000C7D07" w:rsidP="000C7D07">
      <w:pPr>
        <w:spacing w:after="0" w:line="240" w:lineRule="auto"/>
        <w:jc w:val="both"/>
        <w:rPr>
          <w:rFonts w:ascii="Verdana" w:eastAsia="Geomanist Light" w:hAnsi="Verdana" w:cs="Arial"/>
        </w:rPr>
      </w:pPr>
    </w:p>
    <w:p w14:paraId="792F368E" w14:textId="02A8287D" w:rsidR="00483F66" w:rsidRPr="000C7D07" w:rsidRDefault="000C7D07" w:rsidP="000C7D07">
      <w:pPr>
        <w:spacing w:after="0" w:line="240" w:lineRule="auto"/>
        <w:jc w:val="both"/>
        <w:rPr>
          <w:rFonts w:ascii="Verdana" w:eastAsia="Geomanist Light" w:hAnsi="Verdana" w:cs="Arial"/>
        </w:rPr>
      </w:pPr>
      <w:r w:rsidRPr="000C7D07">
        <w:rPr>
          <w:rFonts w:ascii="Verdana" w:eastAsia="Geomanist Light" w:hAnsi="Verdana" w:cs="Arial"/>
        </w:rPr>
        <w:t xml:space="preserve">Las Asociaciones </w:t>
      </w:r>
      <w:proofErr w:type="gramStart"/>
      <w:r w:rsidRPr="000C7D07">
        <w:rPr>
          <w:rFonts w:ascii="Verdana" w:eastAsia="Geomanist Light" w:hAnsi="Verdana" w:cs="Arial"/>
        </w:rPr>
        <w:t>Público Privadas</w:t>
      </w:r>
      <w:proofErr w:type="gramEnd"/>
      <w:r w:rsidRPr="000C7D07">
        <w:rPr>
          <w:rFonts w:ascii="Verdana" w:eastAsia="Geomanist Light" w:hAnsi="Verdana" w:cs="Arial"/>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04F5C31F" w14:textId="77777777" w:rsidR="00483F66" w:rsidRDefault="00483F66" w:rsidP="00753E1B">
      <w:pPr>
        <w:spacing w:after="0" w:line="240" w:lineRule="auto"/>
        <w:rPr>
          <w:rFonts w:ascii="Verdana" w:eastAsia="Geomanist Light" w:hAnsi="Verdana" w:cs="Arial"/>
          <w:lang w:val="es-MX"/>
        </w:rPr>
      </w:pPr>
    </w:p>
    <w:p w14:paraId="45E10E17" w14:textId="1CC321D6" w:rsidR="00753E1B" w:rsidRPr="009322DA" w:rsidRDefault="00753E1B" w:rsidP="00753E1B">
      <w:pPr>
        <w:spacing w:after="0" w:line="240" w:lineRule="auto"/>
        <w:rPr>
          <w:rFonts w:ascii="Verdana" w:eastAsia="Geomanist Light" w:hAnsi="Verdana" w:cs="Arial"/>
          <w:lang w:val="es-MX"/>
        </w:rPr>
      </w:pPr>
      <w:r w:rsidRPr="009322DA">
        <w:rPr>
          <w:rFonts w:ascii="Verdana" w:eastAsia="Geomanist Light" w:hAnsi="Verdana" w:cs="Arial"/>
          <w:lang w:val="es-MX"/>
        </w:rPr>
        <w:t>Bogotá D.C., [Día] de [</w:t>
      </w:r>
      <w:proofErr w:type="spellStart"/>
      <w:r w:rsidRPr="009322DA">
        <w:rPr>
          <w:rFonts w:ascii="Verdana" w:eastAsia="Geomanist Light" w:hAnsi="Verdana" w:cs="Arial"/>
          <w:lang w:val="es-MX"/>
        </w:rPr>
        <w:t>Mes.NombreCapitalizado</w:t>
      </w:r>
      <w:proofErr w:type="spellEnd"/>
      <w:r w:rsidRPr="009322DA">
        <w:rPr>
          <w:rFonts w:ascii="Verdana" w:eastAsia="Geomanist Light" w:hAnsi="Verdana" w:cs="Arial"/>
          <w:lang w:val="es-MX"/>
        </w:rPr>
        <w:t>] de [Año]</w:t>
      </w:r>
    </w:p>
    <w:p w14:paraId="65E66E7B" w14:textId="4B3696C5" w:rsidR="00753E1B" w:rsidRDefault="00753E1B" w:rsidP="00753E1B">
      <w:pPr>
        <w:spacing w:after="0" w:line="240" w:lineRule="auto"/>
        <w:jc w:val="both"/>
        <w:rPr>
          <w:rFonts w:ascii="Verdana" w:eastAsia="Calibri" w:hAnsi="Verdana" w:cs="Arial"/>
          <w:lang w:val="es-ES"/>
        </w:rPr>
      </w:pPr>
    </w:p>
    <w:p w14:paraId="250EB1DC" w14:textId="0842DC5C" w:rsidR="00483F66" w:rsidRDefault="00483F66" w:rsidP="00753E1B">
      <w:pPr>
        <w:spacing w:after="0" w:line="240" w:lineRule="auto"/>
        <w:jc w:val="both"/>
        <w:rPr>
          <w:rFonts w:ascii="Verdana" w:eastAsia="Calibri" w:hAnsi="Verdana" w:cs="Arial"/>
          <w:lang w:val="es-ES"/>
        </w:rPr>
      </w:pPr>
      <w:r w:rsidRPr="00483F66">
        <w:rPr>
          <w:rFonts w:ascii="Verdana" w:eastAsia="Calibri" w:hAnsi="Verdana" w:cs="Arial"/>
          <w:lang w:val="es-ES"/>
        </w:rPr>
        <w:drawing>
          <wp:anchor distT="0" distB="0" distL="114300" distR="114300" simplePos="0" relativeHeight="251658240" behindDoc="1" locked="0" layoutInCell="1" allowOverlap="1" wp14:anchorId="5CBDEA00" wp14:editId="55A1DC1E">
            <wp:simplePos x="0" y="0"/>
            <wp:positionH relativeFrom="column">
              <wp:posOffset>2752725</wp:posOffset>
            </wp:positionH>
            <wp:positionV relativeFrom="paragraph">
              <wp:posOffset>8890</wp:posOffset>
            </wp:positionV>
            <wp:extent cx="3696216" cy="1076475"/>
            <wp:effectExtent l="0" t="0" r="0" b="9525"/>
            <wp:wrapTight wrapText="bothSides">
              <wp:wrapPolygon edited="0">
                <wp:start x="0" y="0"/>
                <wp:lineTo x="0" y="21409"/>
                <wp:lineTo x="21489" y="21409"/>
                <wp:lineTo x="21489" y="0"/>
                <wp:lineTo x="0" y="0"/>
              </wp:wrapPolygon>
            </wp:wrapTight>
            <wp:docPr id="882820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0197" name=""/>
                    <pic:cNvPicPr/>
                  </pic:nvPicPr>
                  <pic:blipFill>
                    <a:blip r:embed="rId10">
                      <a:extLst>
                        <a:ext uri="{28A0092B-C50C-407E-A947-70E740481C1C}">
                          <a14:useLocalDpi xmlns:a14="http://schemas.microsoft.com/office/drawing/2010/main" val="0"/>
                        </a:ext>
                      </a:extLst>
                    </a:blip>
                    <a:stretch>
                      <a:fillRect/>
                    </a:stretch>
                  </pic:blipFill>
                  <pic:spPr>
                    <a:xfrm>
                      <a:off x="0" y="0"/>
                      <a:ext cx="3696216" cy="1076475"/>
                    </a:xfrm>
                    <a:prstGeom prst="rect">
                      <a:avLst/>
                    </a:prstGeom>
                  </pic:spPr>
                </pic:pic>
              </a:graphicData>
            </a:graphic>
          </wp:anchor>
        </w:drawing>
      </w:r>
    </w:p>
    <w:p w14:paraId="443F5C39" w14:textId="77777777" w:rsidR="00483F66" w:rsidRDefault="00483F66" w:rsidP="00753E1B">
      <w:pPr>
        <w:spacing w:after="0" w:line="240" w:lineRule="auto"/>
        <w:jc w:val="both"/>
        <w:rPr>
          <w:rFonts w:ascii="Verdana" w:eastAsia="Calibri" w:hAnsi="Verdana" w:cs="Arial"/>
          <w:lang w:val="es-ES"/>
        </w:rPr>
      </w:pPr>
    </w:p>
    <w:p w14:paraId="211F48E0" w14:textId="77777777" w:rsidR="00483F66" w:rsidRDefault="00483F66" w:rsidP="00753E1B">
      <w:pPr>
        <w:spacing w:after="0" w:line="240" w:lineRule="auto"/>
        <w:jc w:val="both"/>
        <w:rPr>
          <w:rFonts w:ascii="Verdana" w:eastAsia="Calibri" w:hAnsi="Verdana" w:cs="Arial"/>
          <w:lang w:val="es-ES"/>
        </w:rPr>
      </w:pPr>
    </w:p>
    <w:p w14:paraId="2E974D28" w14:textId="77777777" w:rsidR="00483F66" w:rsidRDefault="00483F66" w:rsidP="00753E1B">
      <w:pPr>
        <w:spacing w:after="0" w:line="240" w:lineRule="auto"/>
        <w:jc w:val="both"/>
        <w:rPr>
          <w:rFonts w:ascii="Verdana" w:eastAsia="Calibri" w:hAnsi="Verdana" w:cs="Arial"/>
          <w:lang w:val="es-ES"/>
        </w:rPr>
      </w:pPr>
    </w:p>
    <w:p w14:paraId="76D09064" w14:textId="77777777" w:rsidR="00483F66" w:rsidRDefault="00483F66" w:rsidP="00753E1B">
      <w:pPr>
        <w:spacing w:after="0" w:line="240" w:lineRule="auto"/>
        <w:jc w:val="both"/>
        <w:rPr>
          <w:rFonts w:ascii="Verdana" w:eastAsia="Calibri" w:hAnsi="Verdana" w:cs="Arial"/>
          <w:lang w:val="es-ES"/>
        </w:rPr>
      </w:pPr>
    </w:p>
    <w:p w14:paraId="5855642E" w14:textId="77777777" w:rsidR="00340BC0" w:rsidRPr="009322DA" w:rsidRDefault="00340BC0" w:rsidP="00340BC0">
      <w:pPr>
        <w:spacing w:after="0" w:line="240" w:lineRule="auto"/>
        <w:rPr>
          <w:rFonts w:ascii="Verdana" w:eastAsia="Calibri" w:hAnsi="Verdana" w:cs="Arial"/>
          <w:lang w:val="es-MX" w:eastAsia="es-ES"/>
        </w:rPr>
      </w:pPr>
      <w:r w:rsidRPr="009322DA">
        <w:rPr>
          <w:rFonts w:ascii="Verdana" w:eastAsia="Calibri" w:hAnsi="Verdana" w:cs="Arial"/>
          <w:lang w:val="es-MX" w:eastAsia="es-ES"/>
        </w:rPr>
        <w:t>Señor</w:t>
      </w:r>
      <w:r>
        <w:rPr>
          <w:rFonts w:ascii="Verdana" w:eastAsia="Calibri" w:hAnsi="Verdana" w:cs="Arial"/>
          <w:lang w:val="es-MX" w:eastAsia="es-ES"/>
        </w:rPr>
        <w:t>a</w:t>
      </w:r>
    </w:p>
    <w:p w14:paraId="5EF1159F" w14:textId="0C5AD89D" w:rsidR="00340BC0" w:rsidRPr="009322DA" w:rsidRDefault="00340BC0" w:rsidP="00340BC0">
      <w:pPr>
        <w:spacing w:after="0" w:line="240" w:lineRule="auto"/>
        <w:rPr>
          <w:rFonts w:ascii="Verdana" w:eastAsia="Calibri" w:hAnsi="Verdana" w:cs="Arial"/>
          <w:b/>
          <w:bCs/>
          <w:lang w:val="es-MX" w:eastAsia="es-ES"/>
        </w:rPr>
      </w:pPr>
      <w:r>
        <w:rPr>
          <w:rFonts w:ascii="Verdana" w:eastAsia="Calibri" w:hAnsi="Verdana" w:cs="Arial"/>
          <w:b/>
          <w:bCs/>
          <w:lang w:val="es-MX" w:eastAsia="es-ES"/>
        </w:rPr>
        <w:t xml:space="preserve">Erika Andrea Martinez </w:t>
      </w:r>
      <w:r w:rsidR="00D219E2">
        <w:rPr>
          <w:rFonts w:ascii="Verdana" w:eastAsia="Calibri" w:hAnsi="Verdana" w:cs="Arial"/>
          <w:b/>
          <w:bCs/>
          <w:lang w:val="es-MX" w:eastAsia="es-ES"/>
        </w:rPr>
        <w:t>Márquez</w:t>
      </w:r>
    </w:p>
    <w:p w14:paraId="61D75797" w14:textId="77777777" w:rsidR="00340BC0" w:rsidRPr="009322DA" w:rsidRDefault="00340BC0" w:rsidP="00340BC0">
      <w:pPr>
        <w:spacing w:after="0" w:line="240" w:lineRule="auto"/>
        <w:rPr>
          <w:rFonts w:ascii="Verdana" w:eastAsia="Calibri" w:hAnsi="Verdana" w:cs="Arial"/>
          <w:lang w:val="es-MX" w:eastAsia="es-ES"/>
        </w:rPr>
      </w:pPr>
      <w:hyperlink r:id="rId11" w:history="1">
        <w:r w:rsidRPr="0078314D">
          <w:rPr>
            <w:rStyle w:val="Hipervnculo"/>
            <w:rFonts w:ascii="Verdana" w:eastAsia="Calibri" w:hAnsi="Verdana" w:cs="Arial"/>
            <w:lang w:val="es-MX" w:eastAsia="es-ES"/>
          </w:rPr>
          <w:t>emartinez@mestremendieta.com</w:t>
        </w:r>
      </w:hyperlink>
    </w:p>
    <w:p w14:paraId="1D482C1A" w14:textId="77777777" w:rsidR="00340BC0" w:rsidRPr="001E5720" w:rsidRDefault="00340BC0" w:rsidP="00340BC0">
      <w:pPr>
        <w:spacing w:after="0" w:line="240" w:lineRule="auto"/>
        <w:rPr>
          <w:rFonts w:ascii="Verdana" w:eastAsia="Calibri" w:hAnsi="Verdana" w:cs="Arial"/>
          <w:lang w:val="es-ES" w:eastAsia="es-ES"/>
        </w:rPr>
      </w:pPr>
      <w:r w:rsidRPr="001E5720">
        <w:rPr>
          <w:rFonts w:ascii="Verdana" w:eastAsia="Calibri" w:hAnsi="Verdana" w:cs="Arial"/>
          <w:lang w:val="es-ES" w:eastAsia="es-ES"/>
        </w:rPr>
        <w:t>Ciudad</w:t>
      </w:r>
    </w:p>
    <w:p w14:paraId="74D098AA" w14:textId="77777777" w:rsidR="00340BC0" w:rsidRPr="009322DA" w:rsidRDefault="00340BC0" w:rsidP="00340BC0">
      <w:pPr>
        <w:spacing w:after="0" w:line="240" w:lineRule="auto"/>
        <w:rPr>
          <w:rFonts w:ascii="Verdana" w:eastAsia="Calibri" w:hAnsi="Verdana" w:cs="Arial"/>
          <w:b/>
          <w:bCs/>
          <w:lang w:val="es-ES_tradnl" w:eastAsia="es-ES_tradnl"/>
        </w:rPr>
      </w:pPr>
    </w:p>
    <w:p w14:paraId="017DACF2" w14:textId="77777777" w:rsidR="00340BC0" w:rsidRPr="009322DA" w:rsidRDefault="00340BC0" w:rsidP="00340BC0">
      <w:pPr>
        <w:spacing w:after="0" w:line="240" w:lineRule="auto"/>
        <w:rPr>
          <w:rFonts w:ascii="Verdana" w:eastAsia="Calibri" w:hAnsi="Verdana" w:cs="Arial"/>
          <w:b/>
          <w:bCs/>
          <w:lang w:val="es-ES_tradnl" w:eastAsia="es-ES_tradnl"/>
        </w:rPr>
      </w:pPr>
    </w:p>
    <w:tbl>
      <w:tblPr>
        <w:tblStyle w:val="Tablaconcuadrcula1"/>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340BC0" w:rsidRPr="009322DA" w14:paraId="6972F348" w14:textId="77777777" w:rsidTr="00423848">
        <w:trPr>
          <w:trHeight w:val="884"/>
        </w:trPr>
        <w:tc>
          <w:tcPr>
            <w:tcW w:w="2689" w:type="dxa"/>
          </w:tcPr>
          <w:p w14:paraId="4D6064B4" w14:textId="77777777" w:rsidR="00340BC0" w:rsidRPr="009322DA" w:rsidRDefault="00340BC0" w:rsidP="00423848">
            <w:pPr>
              <w:jc w:val="both"/>
              <w:rPr>
                <w:rFonts w:ascii="Verdana" w:hAnsi="Verdana" w:cs="Arial"/>
                <w:b/>
                <w:bCs/>
                <w:lang w:val="es-ES_tradnl" w:eastAsia="es-ES_tradnl"/>
              </w:rPr>
            </w:pPr>
          </w:p>
        </w:tc>
        <w:tc>
          <w:tcPr>
            <w:tcW w:w="6100" w:type="dxa"/>
            <w:hideMark/>
          </w:tcPr>
          <w:p w14:paraId="06042E5A" w14:textId="77777777" w:rsidR="00340BC0" w:rsidRPr="009322DA" w:rsidRDefault="00340BC0" w:rsidP="00423848">
            <w:pPr>
              <w:jc w:val="both"/>
              <w:rPr>
                <w:rFonts w:ascii="Verdana" w:hAnsi="Verdana" w:cs="Arial"/>
                <w:b/>
                <w:bCs/>
                <w:lang w:val="es-ES" w:eastAsia="es-ES"/>
              </w:rPr>
            </w:pPr>
            <w:r w:rsidRPr="009322DA">
              <w:rPr>
                <w:rFonts w:ascii="Verdana" w:hAnsi="Verdana" w:cs="Arial"/>
                <w:b/>
                <w:bCs/>
                <w:lang w:val="es-ES" w:eastAsia="es-ES"/>
              </w:rPr>
              <w:t xml:space="preserve">Concepto </w:t>
            </w:r>
            <w:r>
              <w:rPr>
                <w:rFonts w:ascii="Verdana" w:hAnsi="Verdana" w:cs="Arial"/>
                <w:b/>
                <w:bCs/>
                <w:lang w:val="es-ES" w:eastAsia="es-ES"/>
              </w:rPr>
              <w:t>C-588</w:t>
            </w:r>
            <w:r w:rsidRPr="009322DA">
              <w:rPr>
                <w:rFonts w:ascii="Verdana" w:hAnsi="Verdana" w:cs="Arial"/>
                <w:b/>
                <w:bCs/>
                <w:lang w:val="es-ES" w:eastAsia="es-ES"/>
              </w:rPr>
              <w:t xml:space="preserve"> de 2024</w:t>
            </w:r>
          </w:p>
        </w:tc>
      </w:tr>
      <w:tr w:rsidR="00340BC0" w:rsidRPr="009322DA" w14:paraId="75312644" w14:textId="77777777" w:rsidTr="00423848">
        <w:trPr>
          <w:trHeight w:val="884"/>
        </w:trPr>
        <w:tc>
          <w:tcPr>
            <w:tcW w:w="2689" w:type="dxa"/>
            <w:hideMark/>
          </w:tcPr>
          <w:p w14:paraId="79EC0105" w14:textId="77777777" w:rsidR="00340BC0" w:rsidRPr="009322DA" w:rsidRDefault="00340BC0" w:rsidP="00423848">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14:paraId="6DF02449" w14:textId="0A723726" w:rsidR="00340BC0" w:rsidRDefault="00340BC0" w:rsidP="00423848">
            <w:pPr>
              <w:jc w:val="both"/>
              <w:rPr>
                <w:rFonts w:ascii="Verdana" w:eastAsia="Calibri" w:hAnsi="Verdana" w:cs="Arial"/>
                <w:bCs/>
                <w:lang w:val="es-ES_tradnl" w:eastAsia="es-ES"/>
              </w:rPr>
            </w:pPr>
            <w:r w:rsidRPr="00105287">
              <w:rPr>
                <w:rFonts w:ascii="Verdana" w:eastAsia="Calibri" w:hAnsi="Verdana" w:cs="Arial"/>
                <w:bCs/>
                <w:lang w:val="es-ES" w:eastAsia="es-ES"/>
              </w:rPr>
              <w:t>CONTRATO DE CONCESIÓN ― Contrato estatal ― Concepto / ADICIÓN Y PRÓRROGA</w:t>
            </w:r>
            <w:r w:rsidR="00CA4632">
              <w:rPr>
                <w:rFonts w:ascii="Verdana" w:eastAsia="Calibri" w:hAnsi="Verdana" w:cs="Arial"/>
                <w:bCs/>
                <w:lang w:val="es-ES" w:eastAsia="es-ES"/>
              </w:rPr>
              <w:t xml:space="preserve"> </w:t>
            </w:r>
            <w:r w:rsidR="00CA4632" w:rsidRPr="00CA4632">
              <w:rPr>
                <w:rFonts w:ascii="Verdana" w:eastAsia="Calibri" w:hAnsi="Verdana" w:cs="Arial"/>
                <w:bCs/>
                <w:lang w:val="es-ES" w:eastAsia="es-ES"/>
              </w:rPr>
              <w:t>―</w:t>
            </w:r>
            <w:r w:rsidR="00CA4632">
              <w:rPr>
                <w:rFonts w:ascii="Verdana" w:eastAsia="Calibri" w:hAnsi="Verdana" w:cs="Arial"/>
                <w:bCs/>
                <w:lang w:val="es-ES" w:eastAsia="es-ES"/>
              </w:rPr>
              <w:t xml:space="preserve"> </w:t>
            </w:r>
            <w:r w:rsidR="00CA4632">
              <w:rPr>
                <w:rFonts w:ascii="Verdana" w:eastAsia="Calibri" w:hAnsi="Verdana" w:cs="Arial"/>
                <w:bCs/>
                <w:lang w:val="es-ES_tradnl" w:eastAsia="es-ES"/>
              </w:rPr>
              <w:t xml:space="preserve">Definición </w:t>
            </w:r>
            <w:r w:rsidR="00CA4632" w:rsidRPr="00105287">
              <w:rPr>
                <w:rFonts w:ascii="Verdana" w:eastAsia="Calibri" w:hAnsi="Verdana" w:cs="Arial"/>
                <w:bCs/>
                <w:lang w:val="es-ES" w:eastAsia="es-ES"/>
              </w:rPr>
              <w:t>―</w:t>
            </w:r>
            <w:r w:rsidR="00483F66">
              <w:rPr>
                <w:rFonts w:ascii="Verdana" w:eastAsia="Calibri" w:hAnsi="Verdana" w:cs="Arial"/>
                <w:bCs/>
                <w:lang w:val="es-ES" w:eastAsia="es-ES"/>
              </w:rPr>
              <w:t xml:space="preserve"> </w:t>
            </w:r>
            <w:r w:rsidR="00CA4632" w:rsidRPr="00CA4632">
              <w:rPr>
                <w:rFonts w:ascii="Verdana" w:eastAsia="Calibri" w:hAnsi="Verdana" w:cs="Arial"/>
                <w:bCs/>
                <w:lang w:val="es-ES_tradnl" w:eastAsia="es-ES"/>
              </w:rPr>
              <w:t>No son automáticas</w:t>
            </w:r>
            <w:r w:rsidR="00CA4632">
              <w:rPr>
                <w:rFonts w:ascii="Verdana" w:eastAsia="Calibri" w:hAnsi="Verdana" w:cs="Arial"/>
                <w:bCs/>
                <w:lang w:val="es-ES_tradnl" w:eastAsia="es-ES"/>
              </w:rPr>
              <w:t xml:space="preserve"> </w:t>
            </w:r>
            <w:r>
              <w:rPr>
                <w:rFonts w:ascii="Verdana" w:eastAsia="Calibri" w:hAnsi="Verdana" w:cs="Arial"/>
                <w:bCs/>
                <w:lang w:val="es-ES" w:eastAsia="es-ES"/>
              </w:rPr>
              <w:t xml:space="preserve">/ </w:t>
            </w:r>
            <w:r w:rsidRPr="001E5720">
              <w:rPr>
                <w:rFonts w:ascii="Verdana" w:eastAsia="Calibri" w:hAnsi="Verdana" w:cs="Arial"/>
                <w:bCs/>
                <w:lang w:val="es-ES_tradnl" w:eastAsia="es-ES"/>
              </w:rPr>
              <w:t>ASOCIACIONES PÚBLICO PRIVADAS – Concepto – Ley 1508 de 2012</w:t>
            </w:r>
            <w:r>
              <w:rPr>
                <w:rFonts w:ascii="Verdana" w:eastAsia="Calibri" w:hAnsi="Verdana" w:cs="Arial"/>
                <w:bCs/>
                <w:lang w:val="es-ES_tradnl" w:eastAsia="es-ES"/>
              </w:rPr>
              <w:t xml:space="preserve">  </w:t>
            </w:r>
          </w:p>
          <w:p w14:paraId="30ACEDF2" w14:textId="77777777" w:rsidR="00340BC0" w:rsidRPr="00EB3000" w:rsidRDefault="00340BC0" w:rsidP="00423848">
            <w:pPr>
              <w:jc w:val="both"/>
              <w:rPr>
                <w:rFonts w:ascii="Verdana" w:hAnsi="Verdana" w:cs="Arial"/>
                <w:lang w:val="es-ES_tradnl" w:eastAsia="es-ES"/>
              </w:rPr>
            </w:pPr>
          </w:p>
        </w:tc>
      </w:tr>
      <w:tr w:rsidR="00340BC0" w:rsidRPr="009322DA" w14:paraId="231C0E0E" w14:textId="77777777" w:rsidTr="00423848">
        <w:tc>
          <w:tcPr>
            <w:tcW w:w="2689" w:type="dxa"/>
            <w:hideMark/>
          </w:tcPr>
          <w:p w14:paraId="7995F83C" w14:textId="77777777" w:rsidR="00340BC0" w:rsidRPr="009322DA" w:rsidRDefault="00340BC0" w:rsidP="00423848">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14:paraId="0961079E" w14:textId="77777777" w:rsidR="00340BC0" w:rsidRPr="001E5720" w:rsidRDefault="00340BC0" w:rsidP="00423848">
            <w:pPr>
              <w:jc w:val="both"/>
              <w:rPr>
                <w:rFonts w:ascii="Verdana" w:hAnsi="Verdana"/>
                <w:b/>
                <w:bCs/>
                <w:lang w:eastAsia="es-ES_tradnl"/>
              </w:rPr>
            </w:pPr>
            <w:r w:rsidRPr="009322DA">
              <w:rPr>
                <w:rFonts w:ascii="Verdana" w:hAnsi="Verdana" w:cs="Arial"/>
                <w:lang w:val="es-ES_tradnl" w:eastAsia="es-ES_tradnl"/>
              </w:rPr>
              <w:t xml:space="preserve">Respuesta a consulta con radicado No. </w:t>
            </w:r>
            <w:r w:rsidRPr="001E5720">
              <w:rPr>
                <w:rFonts w:ascii="Verdana" w:hAnsi="Verdana"/>
                <w:lang w:eastAsia="es-ES_tradnl"/>
              </w:rPr>
              <w:t>P20240910009231</w:t>
            </w:r>
          </w:p>
          <w:p w14:paraId="158047BD" w14:textId="77777777" w:rsidR="00340BC0" w:rsidRPr="00347A72" w:rsidRDefault="00340BC0" w:rsidP="00423848">
            <w:pPr>
              <w:jc w:val="both"/>
              <w:rPr>
                <w:rFonts w:ascii="Verdana" w:hAnsi="Verdana"/>
                <w:b/>
                <w:bCs/>
                <w:lang w:eastAsia="es-ES_tradnl"/>
              </w:rPr>
            </w:pPr>
          </w:p>
          <w:p w14:paraId="754CEC8F" w14:textId="77777777" w:rsidR="00340BC0" w:rsidRPr="009322DA" w:rsidRDefault="00340BC0" w:rsidP="00423848">
            <w:pPr>
              <w:jc w:val="both"/>
              <w:rPr>
                <w:rFonts w:ascii="Verdana" w:hAnsi="Verdana" w:cs="Arial"/>
                <w:lang w:val="es-ES_tradnl" w:eastAsia="es-ES_tradnl"/>
              </w:rPr>
            </w:pPr>
          </w:p>
        </w:tc>
      </w:tr>
    </w:tbl>
    <w:p w14:paraId="4A37A478" w14:textId="1A2E29E8" w:rsidR="00753E1B" w:rsidRPr="009322DA" w:rsidRDefault="00753E1B" w:rsidP="00753E1B">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Estimad</w:t>
      </w:r>
      <w:r>
        <w:rPr>
          <w:rFonts w:ascii="Verdana" w:eastAsia="Calibri" w:hAnsi="Verdana" w:cs="Arial"/>
          <w:lang w:val="es-ES" w:eastAsia="es-ES"/>
        </w:rPr>
        <w:t>a</w:t>
      </w:r>
      <w:r w:rsidRPr="009322DA">
        <w:rPr>
          <w:rFonts w:ascii="Verdana" w:eastAsia="Calibri" w:hAnsi="Verdana" w:cs="Arial"/>
          <w:lang w:val="es-ES" w:eastAsia="es-ES"/>
        </w:rPr>
        <w:t xml:space="preserve"> señor</w:t>
      </w:r>
      <w:r>
        <w:rPr>
          <w:rFonts w:ascii="Verdana" w:eastAsia="Calibri" w:hAnsi="Verdana" w:cs="Arial"/>
          <w:lang w:val="es-ES" w:eastAsia="es-ES"/>
        </w:rPr>
        <w:t xml:space="preserve">a </w:t>
      </w:r>
      <w:r w:rsidR="0067266E">
        <w:rPr>
          <w:rFonts w:ascii="Verdana" w:eastAsia="Calibri" w:hAnsi="Verdana" w:cs="Arial"/>
          <w:lang w:val="es-ES" w:eastAsia="es-ES"/>
        </w:rPr>
        <w:t>Martínez</w:t>
      </w:r>
      <w:r w:rsidRPr="009322DA">
        <w:rPr>
          <w:rFonts w:ascii="Verdana" w:eastAsia="Calibri" w:hAnsi="Verdana" w:cs="Arial"/>
          <w:lang w:val="es-ES" w:eastAsia="es-ES"/>
        </w:rPr>
        <w:t xml:space="preserve">: </w:t>
      </w:r>
    </w:p>
    <w:p w14:paraId="53AD62C3" w14:textId="77777777" w:rsidR="00753E1B" w:rsidRPr="009322DA" w:rsidRDefault="00753E1B" w:rsidP="00753E1B">
      <w:pPr>
        <w:tabs>
          <w:tab w:val="left" w:pos="3768"/>
        </w:tabs>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ab/>
      </w:r>
    </w:p>
    <w:p w14:paraId="3DB2C482" w14:textId="77777777" w:rsidR="00753E1B" w:rsidRPr="009322DA" w:rsidRDefault="00753E1B" w:rsidP="00753E1B">
      <w:pPr>
        <w:spacing w:after="0" w:line="276" w:lineRule="auto"/>
        <w:jc w:val="both"/>
        <w:rPr>
          <w:rFonts w:ascii="Verdana" w:eastAsia="Calibri" w:hAnsi="Verdana" w:cs="Arial"/>
          <w:lang w:val="es-ES" w:eastAsia="es-ES"/>
        </w:rPr>
      </w:pPr>
      <w:r w:rsidRPr="009322DA">
        <w:rPr>
          <w:rFonts w:ascii="Verdana" w:eastAsia="Calibri" w:hAnsi="Verdana" w:cs="Arial"/>
          <w:lang w:val="es-ES" w:eastAsia="es-ES"/>
        </w:rPr>
        <w:t>En ejercicio de la competencia otorgada por los artículos 3, numeral 5º, y 11, numeral 8º, del Decreto Ley 4170 de 2011,</w:t>
      </w:r>
      <w:r w:rsidRPr="009322DA">
        <w:rPr>
          <w:rFonts w:ascii="Verdana" w:eastAsia="Arial MT" w:hAnsi="Verdana" w:cs="Arial MT"/>
          <w:lang w:val="es-ES" w:eastAsia="es-ES"/>
        </w:rPr>
        <w:t xml:space="preserve"> </w:t>
      </w:r>
      <w:r w:rsidRPr="009322DA">
        <w:rPr>
          <w:rFonts w:ascii="Verdana" w:eastAsia="Calibri" w:hAnsi="Verdana" w:cs="Arial"/>
        </w:rPr>
        <w:t xml:space="preserve">así como lo establecido en el artículo 4 de la Resolución 1707 de 2018 expedida por esta Entidad, </w:t>
      </w:r>
      <w:r w:rsidRPr="009322DA">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10</w:t>
      </w:r>
      <w:r w:rsidRPr="009322DA">
        <w:rPr>
          <w:rFonts w:ascii="Verdana" w:eastAsia="Calibri" w:hAnsi="Verdana" w:cs="Arial"/>
          <w:lang w:val="es-ES" w:eastAsia="es-ES"/>
        </w:rPr>
        <w:t xml:space="preserve"> de </w:t>
      </w:r>
      <w:r>
        <w:rPr>
          <w:rFonts w:ascii="Verdana" w:eastAsia="Calibri" w:hAnsi="Verdana" w:cs="Arial"/>
          <w:lang w:val="es-ES" w:eastAsia="es-ES"/>
        </w:rPr>
        <w:t>septiembre</w:t>
      </w:r>
      <w:r w:rsidRPr="009322DA">
        <w:rPr>
          <w:rFonts w:ascii="Verdana" w:eastAsia="Calibri" w:hAnsi="Verdana" w:cs="Arial"/>
          <w:lang w:val="es-ES" w:eastAsia="es-ES"/>
        </w:rPr>
        <w:t xml:space="preserve"> de 2024, en la cual manifiesta lo siguiente: </w:t>
      </w:r>
    </w:p>
    <w:p w14:paraId="0E2977C3" w14:textId="77777777" w:rsidR="00753E1B" w:rsidRPr="009322DA" w:rsidRDefault="00753E1B" w:rsidP="00753E1B">
      <w:pPr>
        <w:spacing w:after="0" w:line="240" w:lineRule="auto"/>
        <w:ind w:left="709" w:right="709"/>
        <w:jc w:val="both"/>
        <w:rPr>
          <w:rFonts w:ascii="Verdana" w:eastAsia="Century Gothic" w:hAnsi="Verdana" w:cs="Century Gothic"/>
          <w:sz w:val="20"/>
          <w:szCs w:val="20"/>
          <w:lang w:val="es-ES"/>
        </w:rPr>
      </w:pPr>
      <w:bookmarkStart w:id="0" w:name="_Hlk95313578"/>
    </w:p>
    <w:p w14:paraId="67E420B8" w14:textId="77777777" w:rsidR="00753E1B" w:rsidRDefault="00753E1B" w:rsidP="00753E1B">
      <w:pPr>
        <w:spacing w:line="240" w:lineRule="auto"/>
        <w:ind w:left="709" w:right="709"/>
        <w:jc w:val="both"/>
        <w:rPr>
          <w:rFonts w:ascii="Verdana" w:eastAsia="Century Gothic" w:hAnsi="Verdana" w:cs="Century Gothic"/>
          <w:i/>
          <w:iCs/>
          <w:sz w:val="20"/>
          <w:szCs w:val="20"/>
        </w:rPr>
      </w:pPr>
      <w:r w:rsidRPr="00772836">
        <w:rPr>
          <w:rFonts w:ascii="Verdana" w:eastAsia="Century Gothic" w:hAnsi="Verdana" w:cs="Century Gothic"/>
          <w:i/>
          <w:iCs/>
          <w:sz w:val="20"/>
          <w:szCs w:val="20"/>
          <w:lang w:val="es-ES"/>
        </w:rPr>
        <w:t>“</w:t>
      </w:r>
      <w:r w:rsidRPr="001E5720">
        <w:rPr>
          <w:rFonts w:ascii="Verdana" w:eastAsia="Century Gothic" w:hAnsi="Verdana" w:cs="Century Gothic"/>
          <w:i/>
          <w:iCs/>
          <w:sz w:val="20"/>
          <w:szCs w:val="20"/>
        </w:rPr>
        <w:t xml:space="preserve">1. ¿Cuáles son los efectos de la derogatoria del inciso segundo del artículo 28 de la Ley 1150 de 2007? </w:t>
      </w:r>
    </w:p>
    <w:p w14:paraId="35C82B7B" w14:textId="77777777" w:rsidR="00753E1B" w:rsidRPr="009D4BCF" w:rsidRDefault="00753E1B" w:rsidP="00753E1B">
      <w:pPr>
        <w:spacing w:line="240" w:lineRule="auto"/>
        <w:ind w:left="709" w:right="709"/>
        <w:jc w:val="both"/>
        <w:rPr>
          <w:rFonts w:ascii="Verdana" w:eastAsia="Century Gothic" w:hAnsi="Verdana" w:cs="Century Gothic"/>
          <w:i/>
          <w:iCs/>
          <w:sz w:val="20"/>
          <w:szCs w:val="20"/>
        </w:rPr>
      </w:pPr>
      <w:r w:rsidRPr="001E5720">
        <w:rPr>
          <w:rFonts w:ascii="Verdana" w:eastAsia="Century Gothic" w:hAnsi="Verdana" w:cs="Century Gothic"/>
          <w:i/>
          <w:iCs/>
          <w:sz w:val="20"/>
          <w:szCs w:val="20"/>
        </w:rPr>
        <w:t xml:space="preserve">2. Teniendo en cuenta la derogatoria del inciso segundo del artículo 28 de la Ley 1150 de 2007, ¿cuál es el procedimiento general que deben seguir las entidades públicas </w:t>
      </w:r>
      <w:bookmarkStart w:id="1" w:name="_Hlk178861588"/>
      <w:r w:rsidRPr="001E5720">
        <w:rPr>
          <w:rFonts w:ascii="Verdana" w:eastAsia="Century Gothic" w:hAnsi="Verdana" w:cs="Century Gothic"/>
          <w:i/>
          <w:iCs/>
          <w:sz w:val="20"/>
          <w:szCs w:val="20"/>
        </w:rPr>
        <w:t>para realizar prórrogas o adiciones a contratos de concesión de obra pública</w:t>
      </w:r>
      <w:bookmarkEnd w:id="1"/>
      <w:r w:rsidRPr="001E5720">
        <w:rPr>
          <w:rFonts w:ascii="Verdana" w:eastAsia="Century Gothic" w:hAnsi="Verdana" w:cs="Century Gothic"/>
          <w:i/>
          <w:iCs/>
          <w:sz w:val="20"/>
          <w:szCs w:val="20"/>
        </w:rPr>
        <w:t>?</w:t>
      </w:r>
      <w:r w:rsidRPr="009D4BCF">
        <w:rPr>
          <w:rFonts w:ascii="Verdana" w:eastAsia="Century Gothic" w:hAnsi="Verdana" w:cs="Century Gothic"/>
          <w:i/>
          <w:iCs/>
          <w:sz w:val="20"/>
          <w:szCs w:val="20"/>
        </w:rPr>
        <w:t>”</w:t>
      </w:r>
      <w:bookmarkEnd w:id="0"/>
      <w:r w:rsidRPr="009D4BCF">
        <w:rPr>
          <w:rFonts w:ascii="Verdana" w:eastAsia="Century Gothic" w:hAnsi="Verdana" w:cs="Century Gothic"/>
          <w:i/>
          <w:iCs/>
          <w:sz w:val="20"/>
          <w:szCs w:val="20"/>
        </w:rPr>
        <w:t>.</w:t>
      </w:r>
    </w:p>
    <w:p w14:paraId="5B38D217" w14:textId="77777777" w:rsidR="00753E1B" w:rsidRPr="00D6203F" w:rsidRDefault="00753E1B" w:rsidP="00753E1B">
      <w:pPr>
        <w:spacing w:line="240" w:lineRule="auto"/>
        <w:ind w:left="709" w:right="709"/>
        <w:jc w:val="both"/>
        <w:rPr>
          <w:rFonts w:ascii="Verdana" w:eastAsia="Calibri" w:hAnsi="Verdana" w:cs="Arial"/>
          <w:i/>
          <w:iCs/>
          <w:sz w:val="20"/>
          <w:szCs w:val="20"/>
          <w:shd w:val="clear" w:color="auto" w:fill="FFFFFF"/>
        </w:rPr>
      </w:pPr>
    </w:p>
    <w:p w14:paraId="2DE0B657" w14:textId="77777777" w:rsidR="00753E1B" w:rsidRPr="009322DA" w:rsidRDefault="00753E1B" w:rsidP="00753E1B">
      <w:pPr>
        <w:spacing w:after="120" w:line="276" w:lineRule="auto"/>
        <w:ind w:firstLine="709"/>
        <w:jc w:val="both"/>
        <w:rPr>
          <w:rFonts w:ascii="Verdana" w:eastAsia="Calibri" w:hAnsi="Verdana" w:cs="Arial"/>
          <w:szCs w:val="24"/>
          <w:lang w:val="es-ES_tradnl" w:eastAsia="es-ES_tradnl"/>
        </w:rPr>
      </w:pPr>
      <w:r w:rsidRPr="009322DA">
        <w:rPr>
          <w:rFonts w:ascii="Verdana" w:eastAsia="Calibri" w:hAnsi="Verdana" w:cs="Arial"/>
          <w:lang w:val="es-ES" w:eastAsia="es-ES"/>
        </w:rPr>
        <w:lastRenderedPageBreak/>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eastAsia="Calibri" w:hAnsi="Verdana" w:cs="Arial"/>
          <w:szCs w:val="24"/>
          <w:lang w:val="es-ES_tradnl" w:eastAsia="es-ES_tradnl"/>
        </w:rPr>
        <w:tab/>
      </w:r>
    </w:p>
    <w:p w14:paraId="20BFF65B" w14:textId="77777777" w:rsidR="00753E1B" w:rsidRPr="009322DA" w:rsidRDefault="00753E1B" w:rsidP="00753E1B">
      <w:pPr>
        <w:spacing w:after="0" w:line="276" w:lineRule="auto"/>
        <w:ind w:firstLine="708"/>
        <w:jc w:val="both"/>
        <w:rPr>
          <w:rFonts w:ascii="Verdana" w:eastAsia="Calibri" w:hAnsi="Verdana" w:cs="Arial"/>
          <w:lang w:val="es-ES" w:eastAsia="es-ES"/>
        </w:rPr>
      </w:pPr>
      <w:r w:rsidRPr="009322DA">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F5AD739" w14:textId="77777777" w:rsidR="00753E1B" w:rsidRPr="009322DA" w:rsidRDefault="00753E1B" w:rsidP="00753E1B">
      <w:pPr>
        <w:spacing w:after="0" w:line="276" w:lineRule="auto"/>
        <w:ind w:firstLine="709"/>
        <w:jc w:val="both"/>
        <w:rPr>
          <w:rFonts w:ascii="Verdana" w:eastAsia="Calibri" w:hAnsi="Verdana" w:cs="Arial"/>
          <w:lang w:val="es-ES" w:eastAsia="es-ES"/>
        </w:rPr>
      </w:pPr>
    </w:p>
    <w:p w14:paraId="5AFFA190" w14:textId="77777777" w:rsidR="00753E1B" w:rsidRPr="009322DA" w:rsidRDefault="00753E1B" w:rsidP="00753E1B">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Problema planteado:</w:t>
      </w:r>
    </w:p>
    <w:p w14:paraId="1BE5F4E5" w14:textId="77777777" w:rsidR="00753E1B" w:rsidRPr="009322DA" w:rsidRDefault="00753E1B" w:rsidP="00753E1B">
      <w:pPr>
        <w:tabs>
          <w:tab w:val="left" w:pos="426"/>
        </w:tabs>
        <w:spacing w:after="0" w:line="276" w:lineRule="auto"/>
        <w:jc w:val="both"/>
        <w:rPr>
          <w:rFonts w:ascii="Verdana" w:eastAsia="Century Gothic" w:hAnsi="Verdana" w:cs="Century Gothic"/>
          <w:lang w:val="es-ES"/>
        </w:rPr>
      </w:pPr>
    </w:p>
    <w:p w14:paraId="5FF0B807" w14:textId="43BE0485" w:rsidR="00753E1B" w:rsidRDefault="00753E1B" w:rsidP="00753E1B">
      <w:pPr>
        <w:spacing w:after="0" w:line="276" w:lineRule="auto"/>
        <w:jc w:val="both"/>
        <w:rPr>
          <w:rFonts w:ascii="Verdana" w:eastAsia="Century Gothic" w:hAnsi="Verdana" w:cs="Century Gothic"/>
        </w:rPr>
      </w:pPr>
      <w:r w:rsidRPr="009322DA">
        <w:rPr>
          <w:rFonts w:ascii="Verdana" w:eastAsia="Century Gothic" w:hAnsi="Verdana" w:cs="Century Gothic"/>
        </w:rPr>
        <w:t xml:space="preserve">De acuerdo con el contenido de su solicitud, esta Agencia resolverá </w:t>
      </w:r>
      <w:r w:rsidR="004D4D85">
        <w:rPr>
          <w:rFonts w:ascii="Verdana" w:eastAsia="Century Gothic" w:hAnsi="Verdana" w:cs="Century Gothic"/>
        </w:rPr>
        <w:t>el</w:t>
      </w:r>
      <w:r w:rsidRPr="009322DA">
        <w:rPr>
          <w:rFonts w:ascii="Verdana" w:eastAsia="Century Gothic" w:hAnsi="Verdana" w:cs="Century Gothic"/>
        </w:rPr>
        <w:t xml:space="preserve"> siguiente problema jurídico:</w:t>
      </w:r>
    </w:p>
    <w:p w14:paraId="30D0BF48" w14:textId="77777777" w:rsidR="00753E1B" w:rsidRDefault="00753E1B" w:rsidP="00753E1B">
      <w:pPr>
        <w:spacing w:after="0" w:line="276" w:lineRule="auto"/>
        <w:jc w:val="both"/>
        <w:rPr>
          <w:rFonts w:ascii="Verdana" w:eastAsia="Century Gothic" w:hAnsi="Verdana" w:cs="Century Gothic"/>
        </w:rPr>
      </w:pPr>
    </w:p>
    <w:p w14:paraId="08E6C994" w14:textId="7B4B9603" w:rsidR="00E57838" w:rsidRPr="005D5A94" w:rsidRDefault="00E57838" w:rsidP="005D5A94">
      <w:pPr>
        <w:pStyle w:val="Prrafodelista"/>
        <w:numPr>
          <w:ilvl w:val="0"/>
          <w:numId w:val="24"/>
        </w:numPr>
        <w:jc w:val="both"/>
        <w:rPr>
          <w:rFonts w:ascii="Verdana" w:hAnsi="Verdana" w:cs="Arial"/>
        </w:rPr>
      </w:pPr>
      <w:r w:rsidRPr="005D5A94">
        <w:rPr>
          <w:rFonts w:ascii="Verdana" w:hAnsi="Verdana" w:cs="Arial"/>
        </w:rPr>
        <w:t>¿Cómo deben proceder las entidades públicas para realizar prórrogas o adiciones a contratos de concesión de obra pública, de acuerdo con la derogatoria del inciso 2 del artículo 28 de la Ley 1150 de 2007?</w:t>
      </w:r>
    </w:p>
    <w:p w14:paraId="66B35881" w14:textId="77777777" w:rsidR="00753E1B" w:rsidRPr="000534D6" w:rsidRDefault="00753E1B" w:rsidP="00753E1B">
      <w:pPr>
        <w:pStyle w:val="Prrafodelista"/>
        <w:spacing w:after="0" w:line="276" w:lineRule="auto"/>
        <w:ind w:left="1080"/>
        <w:jc w:val="both"/>
        <w:rPr>
          <w:rFonts w:ascii="Verdana" w:eastAsia="Calibri" w:hAnsi="Verdana" w:cs="Arial"/>
        </w:rPr>
      </w:pPr>
    </w:p>
    <w:p w14:paraId="095745F3" w14:textId="77777777" w:rsidR="00753E1B" w:rsidRDefault="00753E1B" w:rsidP="00753E1B">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Respuesta:</w:t>
      </w:r>
    </w:p>
    <w:p w14:paraId="74234321" w14:textId="77777777" w:rsidR="00753E1B" w:rsidRPr="009322DA" w:rsidRDefault="00753E1B" w:rsidP="00753E1B">
      <w:pPr>
        <w:tabs>
          <w:tab w:val="left" w:pos="142"/>
          <w:tab w:val="left" w:pos="284"/>
        </w:tabs>
        <w:spacing w:after="0" w:line="276" w:lineRule="auto"/>
        <w:contextualSpacing/>
        <w:jc w:val="both"/>
        <w:rPr>
          <w:rFonts w:ascii="Verdana" w:eastAsia="Century Gothic" w:hAnsi="Verdana" w:cs="Century Gothic"/>
          <w:b/>
          <w:bCs/>
          <w:lang w:val="es-ES"/>
        </w:rPr>
      </w:pPr>
    </w:p>
    <w:tbl>
      <w:tblPr>
        <w:tblStyle w:val="Tablaconcuadrcu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53E1B" w:rsidRPr="009322DA" w14:paraId="50EEC969" w14:textId="77777777" w:rsidTr="00D92A35">
        <w:tc>
          <w:tcPr>
            <w:tcW w:w="8828" w:type="dxa"/>
            <w:tcBorders>
              <w:top w:val="dotted" w:sz="4" w:space="0" w:color="auto"/>
              <w:left w:val="dotted" w:sz="4" w:space="0" w:color="auto"/>
              <w:bottom w:val="dotted" w:sz="4" w:space="0" w:color="auto"/>
              <w:right w:val="dotted" w:sz="4" w:space="0" w:color="auto"/>
            </w:tcBorders>
          </w:tcPr>
          <w:p w14:paraId="72103846" w14:textId="77777777" w:rsidR="00035E3E" w:rsidRDefault="00035E3E" w:rsidP="00035E3E">
            <w:pPr>
              <w:spacing w:line="276" w:lineRule="auto"/>
              <w:contextualSpacing/>
              <w:jc w:val="both"/>
              <w:rPr>
                <w:rFonts w:ascii="Verdana" w:hAnsi="Verdana" w:cs="Arial"/>
                <w:lang w:val="es-MX" w:eastAsia="es-MX"/>
              </w:rPr>
            </w:pPr>
            <w:r>
              <w:rPr>
                <w:rFonts w:ascii="Verdana" w:hAnsi="Verdana" w:cs="Arial"/>
                <w:lang w:val="es-MX" w:eastAsia="es-MX"/>
              </w:rPr>
              <w:t xml:space="preserve">El contrato de concesión está consagrado en el artículo 32 de la Ley 80 de 1993, numeral 4 y hace parte de aquellos que se denominan típicos de la contratación estatal. Por otro lado, el artículo 28 de la Ley 1150 de 2007 estipulaba las reglas sobre la adición y prórroga de la concesión, hasta la </w:t>
            </w:r>
            <w:proofErr w:type="gramStart"/>
            <w:r>
              <w:rPr>
                <w:rFonts w:ascii="Verdana" w:hAnsi="Verdana" w:cs="Arial"/>
                <w:lang w:val="es-MX" w:eastAsia="es-MX"/>
              </w:rPr>
              <w:t>entrada en vigencia</w:t>
            </w:r>
            <w:proofErr w:type="gramEnd"/>
            <w:r>
              <w:rPr>
                <w:rFonts w:ascii="Verdana" w:hAnsi="Verdana" w:cs="Arial"/>
                <w:lang w:val="es-MX" w:eastAsia="es-MX"/>
              </w:rPr>
              <w:t xml:space="preserve"> de la Ley 1508 de 2012, la cual derogó dicha disposición, al crear el régimen de las APP, como figuras asociativas entre el sector público y privado para el desarrollo de obras públicas en infraestructura. </w:t>
            </w:r>
          </w:p>
          <w:p w14:paraId="734BDBC6" w14:textId="77777777" w:rsidR="00035E3E" w:rsidRDefault="00035E3E" w:rsidP="00035E3E">
            <w:pPr>
              <w:spacing w:line="276" w:lineRule="auto"/>
              <w:contextualSpacing/>
              <w:jc w:val="both"/>
              <w:rPr>
                <w:rFonts w:ascii="Verdana" w:hAnsi="Verdana" w:cs="Arial"/>
                <w:lang w:val="es-MX" w:eastAsia="es-MX"/>
              </w:rPr>
            </w:pPr>
          </w:p>
          <w:p w14:paraId="403B2EFE" w14:textId="1C7120C2" w:rsidR="00035E3E" w:rsidRDefault="00035E3E" w:rsidP="00035E3E">
            <w:pPr>
              <w:spacing w:line="276" w:lineRule="auto"/>
              <w:contextualSpacing/>
              <w:jc w:val="both"/>
              <w:rPr>
                <w:rFonts w:ascii="Verdana" w:hAnsi="Verdana" w:cs="Arial"/>
                <w:lang w:val="es-MX" w:eastAsia="es-MX"/>
              </w:rPr>
            </w:pPr>
            <w:r>
              <w:rPr>
                <w:rFonts w:ascii="Verdana" w:hAnsi="Verdana" w:cs="Arial"/>
                <w:lang w:val="es-MX" w:eastAsia="es-MX"/>
              </w:rPr>
              <w:lastRenderedPageBreak/>
              <w:t xml:space="preserve">Sin embargo, se aclara que el artículo 28 de la Ley 1150 de 2007 tuvo aplicación para los contratos celebrados entre la vigencia de dicha norma (16/1/2008 según lo estipulado por el artículo 29 de la misma norma) hasta la </w:t>
            </w:r>
            <w:proofErr w:type="gramStart"/>
            <w:r>
              <w:rPr>
                <w:rFonts w:ascii="Verdana" w:hAnsi="Verdana" w:cs="Arial"/>
                <w:lang w:val="es-MX" w:eastAsia="es-MX"/>
              </w:rPr>
              <w:t>entrada en vigencia</w:t>
            </w:r>
            <w:proofErr w:type="gramEnd"/>
            <w:r>
              <w:rPr>
                <w:rFonts w:ascii="Verdana" w:hAnsi="Verdana" w:cs="Arial"/>
                <w:lang w:val="es-MX" w:eastAsia="es-MX"/>
              </w:rPr>
              <w:t xml:space="preserve"> de la Ley 1508 de 2012 (10 /1/2012) y tuvo como fundamento jurídico para su aplicación la Sentencia C-300 de 2012</w:t>
            </w:r>
            <w:r w:rsidR="00B03847">
              <w:rPr>
                <w:rFonts w:ascii="Verdana" w:hAnsi="Verdana" w:cs="Arial"/>
                <w:lang w:val="es-MX" w:eastAsia="es-MX"/>
              </w:rPr>
              <w:t xml:space="preserve"> de la Corte Constitucional</w:t>
            </w:r>
            <w:r>
              <w:rPr>
                <w:rFonts w:ascii="Verdana" w:hAnsi="Verdana" w:cs="Arial"/>
                <w:lang w:val="es-MX" w:eastAsia="es-MX"/>
              </w:rPr>
              <w:t>. Posteriormente, con la derogatoria del artículo 28, todos aquellos contratos de concesión suscritos con posterioridad debían regirse por lo consignado en el artículo 40 de la Ley 80 de 1993, en lo relacionado con las adiciones en los contratos estatales.</w:t>
            </w:r>
          </w:p>
          <w:p w14:paraId="2D91E444" w14:textId="36AA9C9D" w:rsidR="00753E1B" w:rsidRPr="004F44AA" w:rsidRDefault="00753E1B" w:rsidP="00B578CE">
            <w:pPr>
              <w:spacing w:line="276" w:lineRule="auto"/>
              <w:contextualSpacing/>
              <w:jc w:val="both"/>
              <w:rPr>
                <w:rFonts w:ascii="Verdana" w:eastAsia="Calibri" w:hAnsi="Verdana" w:cs="Arial"/>
              </w:rPr>
            </w:pPr>
          </w:p>
        </w:tc>
      </w:tr>
    </w:tbl>
    <w:p w14:paraId="02D241D9" w14:textId="77777777" w:rsidR="00753E1B" w:rsidRPr="009322DA" w:rsidRDefault="00753E1B" w:rsidP="00753E1B">
      <w:pPr>
        <w:tabs>
          <w:tab w:val="left" w:pos="142"/>
          <w:tab w:val="left" w:pos="284"/>
        </w:tabs>
        <w:spacing w:after="0" w:line="276" w:lineRule="auto"/>
        <w:jc w:val="both"/>
        <w:rPr>
          <w:rFonts w:ascii="Verdana" w:eastAsia="Century Gothic" w:hAnsi="Verdana" w:cs="Century Gothic"/>
          <w:b/>
          <w:bCs/>
          <w:lang w:val="es-ES"/>
        </w:rPr>
      </w:pPr>
    </w:p>
    <w:p w14:paraId="5734D335" w14:textId="77777777" w:rsidR="00753E1B" w:rsidRPr="009322DA" w:rsidRDefault="00753E1B" w:rsidP="00753E1B">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9322DA">
        <w:rPr>
          <w:rFonts w:ascii="Verdana" w:eastAsia="Century Gothic" w:hAnsi="Verdana" w:cs="Century Gothic"/>
          <w:b/>
          <w:bCs/>
          <w:lang w:val="es-ES"/>
        </w:rPr>
        <w:t>Razones de la respuesta:</w:t>
      </w:r>
    </w:p>
    <w:p w14:paraId="20978CFF" w14:textId="77777777" w:rsidR="00753E1B" w:rsidRPr="009322DA" w:rsidRDefault="00753E1B" w:rsidP="00753E1B">
      <w:pPr>
        <w:spacing w:after="0" w:line="276" w:lineRule="auto"/>
        <w:jc w:val="both"/>
        <w:rPr>
          <w:rFonts w:ascii="Verdana" w:eastAsia="Calibri" w:hAnsi="Verdana" w:cs="Arial"/>
          <w:lang w:val="es-ES"/>
        </w:rPr>
      </w:pPr>
    </w:p>
    <w:p w14:paraId="7108DCF7" w14:textId="77777777" w:rsidR="00753E1B" w:rsidRDefault="00753E1B" w:rsidP="00753E1B">
      <w:pPr>
        <w:spacing w:after="0" w:line="276" w:lineRule="auto"/>
        <w:jc w:val="both"/>
        <w:rPr>
          <w:rFonts w:ascii="Verdana" w:eastAsia="Calibri" w:hAnsi="Verdana" w:cs="Arial"/>
          <w:lang w:val="es-ES"/>
        </w:rPr>
      </w:pPr>
      <w:r w:rsidRPr="009322DA">
        <w:rPr>
          <w:rFonts w:ascii="Verdana" w:eastAsia="Calibri" w:hAnsi="Verdana" w:cs="Arial"/>
          <w:lang w:val="es-ES"/>
        </w:rPr>
        <w:t xml:space="preserve">Lo anterior se sustenta en las siguientes consideraciones: </w:t>
      </w:r>
    </w:p>
    <w:p w14:paraId="7C11D0C2" w14:textId="77777777" w:rsidR="00753E1B" w:rsidRDefault="00753E1B" w:rsidP="00753E1B">
      <w:pPr>
        <w:spacing w:after="0" w:line="276" w:lineRule="auto"/>
        <w:jc w:val="both"/>
        <w:rPr>
          <w:rFonts w:ascii="Verdana" w:eastAsia="Calibri" w:hAnsi="Verdana" w:cs="Arial"/>
          <w:lang w:val="es-ES"/>
        </w:rPr>
      </w:pPr>
    </w:p>
    <w:p w14:paraId="297D72BA" w14:textId="77777777" w:rsidR="001D5CDE" w:rsidRPr="00F20E7D" w:rsidRDefault="001D5CDE" w:rsidP="00F40734">
      <w:pPr>
        <w:spacing w:line="276" w:lineRule="auto"/>
        <w:jc w:val="both"/>
        <w:rPr>
          <w:rFonts w:ascii="Verdana" w:hAnsi="Verdana" w:cs="Arial"/>
          <w:lang w:val="es-ES" w:eastAsia="es-MX"/>
        </w:rPr>
      </w:pPr>
      <w:r w:rsidRPr="00F20E7D">
        <w:rPr>
          <w:rFonts w:ascii="Verdana" w:hAnsi="Verdana" w:cs="Arial"/>
          <w:lang w:val="es-ES" w:eastAsia="es-MX"/>
        </w:rPr>
        <w:t>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 En tal sentido, el artículo 32, numeral 4º, de la Ley 80 de 1993, los define así:</w:t>
      </w:r>
    </w:p>
    <w:p w14:paraId="4CA70BE2" w14:textId="77777777" w:rsidR="001D5CDE" w:rsidRPr="00F20E7D" w:rsidRDefault="001D5CDE" w:rsidP="001D5CDE">
      <w:pPr>
        <w:spacing w:line="276" w:lineRule="auto"/>
        <w:ind w:firstLine="360"/>
        <w:jc w:val="both"/>
        <w:rPr>
          <w:rFonts w:ascii="Verdana" w:hAnsi="Verdana" w:cs="Arial"/>
          <w:lang w:val="es-ES" w:eastAsia="es-MX"/>
        </w:rPr>
      </w:pPr>
    </w:p>
    <w:p w14:paraId="3F7FAD6D" w14:textId="77777777" w:rsidR="001D5CDE" w:rsidRPr="0087090B" w:rsidRDefault="001D5CDE" w:rsidP="0087090B">
      <w:pPr>
        <w:spacing w:line="240" w:lineRule="auto"/>
        <w:ind w:left="709" w:right="709"/>
        <w:jc w:val="both"/>
        <w:rPr>
          <w:rFonts w:ascii="Verdana" w:hAnsi="Verdana" w:cs="Arial"/>
          <w:sz w:val="21"/>
          <w:szCs w:val="21"/>
          <w:lang w:val="es-ES" w:eastAsia="es-MX"/>
        </w:rPr>
      </w:pPr>
      <w:r w:rsidRPr="0087090B">
        <w:rPr>
          <w:rFonts w:ascii="Verdana" w:hAnsi="Verdana" w:cs="Arial"/>
          <w:sz w:val="21"/>
          <w:szCs w:val="21"/>
          <w:lang w:val="es-ES" w:eastAsia="es-MX"/>
        </w:rPr>
        <w:t>“4.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202CFDA6" w14:textId="77777777" w:rsidR="001D5CDE" w:rsidRPr="00F20E7D" w:rsidRDefault="001D5CDE" w:rsidP="001D5CDE">
      <w:pPr>
        <w:spacing w:line="276" w:lineRule="auto"/>
        <w:ind w:firstLine="360"/>
        <w:jc w:val="both"/>
        <w:rPr>
          <w:rFonts w:ascii="Verdana" w:hAnsi="Verdana" w:cs="Arial"/>
          <w:lang w:val="es-ES" w:eastAsia="es-MX"/>
        </w:rPr>
      </w:pPr>
    </w:p>
    <w:p w14:paraId="790B94FB" w14:textId="77777777" w:rsidR="001D5CDE" w:rsidRPr="00F20E7D" w:rsidRDefault="001D5CDE" w:rsidP="00011029">
      <w:pPr>
        <w:ind w:firstLine="708"/>
        <w:jc w:val="both"/>
        <w:rPr>
          <w:rFonts w:ascii="Verdana" w:hAnsi="Verdana" w:cs="Arial"/>
          <w:lang w:val="es-ES" w:eastAsia="es-MX"/>
        </w:rPr>
      </w:pPr>
      <w:r w:rsidRPr="00F20E7D">
        <w:rPr>
          <w:rFonts w:ascii="Verdana" w:hAnsi="Verdana" w:cs="Arial"/>
          <w:lang w:val="es-ES" w:eastAsia="es-MX"/>
        </w:rPr>
        <w:lastRenderedPageBreak/>
        <w:t>Como se observa, en este tipo de contratos el contratista es, en principio, quien por su cuenta y riesgo ejecuta la prestación, operación, explotación u organización del servicio,</w:t>
      </w:r>
      <w:r>
        <w:rPr>
          <w:rFonts w:ascii="Verdana" w:hAnsi="Verdana" w:cs="Arial"/>
          <w:lang w:val="es-ES" w:eastAsia="es-MX"/>
        </w:rPr>
        <w:t xml:space="preserve"> </w:t>
      </w:r>
      <w:r w:rsidRPr="00F20E7D">
        <w:rPr>
          <w:rFonts w:ascii="Verdana" w:hAnsi="Verdana" w:cs="Arial"/>
          <w:lang w:val="es-ES" w:eastAsia="es-MX"/>
        </w:rPr>
        <w:t>así como la construcción, explotación o conservación del bien, a cambio de una remuneración</w:t>
      </w:r>
      <w:r>
        <w:rPr>
          <w:rStyle w:val="Refdenotaalpie"/>
          <w:rFonts w:ascii="Verdana" w:hAnsi="Verdana" w:cs="Arial"/>
          <w:lang w:val="es-ES" w:eastAsia="es-MX"/>
        </w:rPr>
        <w:footnoteReference w:id="2"/>
      </w:r>
      <w:r w:rsidRPr="00F20E7D">
        <w:rPr>
          <w:rFonts w:ascii="Verdana" w:hAnsi="Verdana" w:cs="Arial"/>
          <w:lang w:val="es-ES" w:eastAsia="es-MX"/>
        </w:rPr>
        <w:t>. En palabras de la Corte Constitucional:</w:t>
      </w:r>
    </w:p>
    <w:p w14:paraId="4C5F4C8E" w14:textId="77777777" w:rsidR="001D5CDE" w:rsidRPr="00F20E7D" w:rsidRDefault="001D5CDE" w:rsidP="001D5CDE">
      <w:pPr>
        <w:spacing w:line="276" w:lineRule="auto"/>
        <w:ind w:firstLine="360"/>
        <w:jc w:val="both"/>
        <w:rPr>
          <w:rFonts w:ascii="Verdana" w:hAnsi="Verdana" w:cs="Arial"/>
          <w:lang w:val="es-ES" w:eastAsia="es-MX"/>
        </w:rPr>
      </w:pPr>
    </w:p>
    <w:p w14:paraId="7F08C8A9" w14:textId="77777777" w:rsidR="001D5CDE" w:rsidRPr="00011029" w:rsidRDefault="001D5CDE" w:rsidP="00011029">
      <w:pPr>
        <w:spacing w:line="240" w:lineRule="auto"/>
        <w:ind w:left="709" w:right="709"/>
        <w:jc w:val="both"/>
        <w:rPr>
          <w:rFonts w:ascii="Verdana" w:hAnsi="Verdana" w:cs="Arial"/>
          <w:sz w:val="21"/>
          <w:szCs w:val="21"/>
          <w:lang w:val="es-ES" w:eastAsia="es-MX"/>
        </w:rPr>
      </w:pPr>
      <w:r w:rsidRPr="00011029">
        <w:rPr>
          <w:rFonts w:ascii="Verdana" w:hAnsi="Verdana" w:cs="Arial"/>
          <w:sz w:val="21"/>
          <w:szCs w:val="21"/>
          <w:lang w:val="es-ES" w:eastAsia="es-MX"/>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Pr="00011029">
        <w:rPr>
          <w:sz w:val="21"/>
          <w:szCs w:val="21"/>
          <w:vertAlign w:val="superscript"/>
        </w:rPr>
        <w:footnoteReference w:id="3"/>
      </w:r>
      <w:r w:rsidRPr="00011029">
        <w:rPr>
          <w:rFonts w:ascii="Verdana" w:hAnsi="Verdana" w:cs="Arial"/>
          <w:sz w:val="21"/>
          <w:szCs w:val="21"/>
          <w:lang w:val="es-ES" w:eastAsia="es-MX"/>
        </w:rPr>
        <w:t>.</w:t>
      </w:r>
    </w:p>
    <w:p w14:paraId="0F06FCE0" w14:textId="77777777" w:rsidR="001D5CDE" w:rsidRPr="00F20E7D" w:rsidRDefault="001D5CDE" w:rsidP="001D5CDE">
      <w:pPr>
        <w:spacing w:line="276" w:lineRule="auto"/>
        <w:ind w:firstLine="360"/>
        <w:jc w:val="both"/>
        <w:rPr>
          <w:rFonts w:ascii="Verdana" w:hAnsi="Verdana" w:cs="Arial"/>
          <w:lang w:val="es-ES" w:eastAsia="es-MX"/>
        </w:rPr>
      </w:pPr>
    </w:p>
    <w:p w14:paraId="1A1FCC0F" w14:textId="77777777" w:rsidR="001D5CDE" w:rsidRDefault="001D5CDE" w:rsidP="00011029">
      <w:pPr>
        <w:spacing w:line="276" w:lineRule="auto"/>
        <w:ind w:firstLine="708"/>
        <w:jc w:val="both"/>
        <w:rPr>
          <w:rFonts w:ascii="Verdana" w:hAnsi="Verdana" w:cs="Arial"/>
          <w:lang w:val="es-ES" w:eastAsia="es-MX"/>
        </w:rPr>
      </w:pPr>
      <w:r w:rsidRPr="00F20E7D">
        <w:rPr>
          <w:rFonts w:ascii="Verdana" w:hAnsi="Verdana" w:cs="Arial"/>
          <w:lang w:val="es-ES" w:eastAsia="es-MX"/>
        </w:rPr>
        <w:t>De esta manera, como característica fundamental de estos contratos se resalta “</w:t>
      </w:r>
      <w:r w:rsidRPr="00F20E7D">
        <w:rPr>
          <w:rFonts w:ascii="Verdana" w:hAnsi="Verdana" w:cs="Arial"/>
          <w:i/>
          <w:lang w:val="es-ES" w:eastAsia="es-MX"/>
        </w:rPr>
        <w:t>la vinculación de recursos del sector privado, a manera de inversión, en proyectos de interés público que permitan maximizar el gasto estatal en la satisfacción de otras necesidades”</w:t>
      </w:r>
      <w:r>
        <w:rPr>
          <w:rStyle w:val="Refdenotaalpie"/>
          <w:rFonts w:ascii="Verdana" w:hAnsi="Verdana" w:cs="Arial"/>
          <w:i/>
          <w:lang w:val="es-ES" w:eastAsia="es-MX"/>
        </w:rPr>
        <w:footnoteReference w:id="4"/>
      </w:r>
      <w:r w:rsidRPr="00F20E7D">
        <w:rPr>
          <w:rFonts w:ascii="Verdana" w:hAnsi="Verdana" w:cs="Arial"/>
          <w:i/>
          <w:lang w:val="es-ES" w:eastAsia="es-MX"/>
        </w:rPr>
        <w:t xml:space="preserve">. </w:t>
      </w:r>
      <w:r w:rsidRPr="00F20E7D">
        <w:rPr>
          <w:rFonts w:ascii="Verdana" w:hAnsi="Verdana" w:cs="Arial"/>
          <w:lang w:val="es-ES" w:eastAsia="es-MX"/>
        </w:rPr>
        <w:t>Así mismo, es de la esencia del contrato de concesión la asunción de riesgos por parte del concesionario, lo que significa que tendrá derecho a la utilidad generada pero también asumirá las pérdidas derivadas de la gestión del servicio o bien concesionado.</w:t>
      </w:r>
    </w:p>
    <w:p w14:paraId="50E41525" w14:textId="77777777" w:rsidR="001D5CDE" w:rsidRDefault="001D5CDE" w:rsidP="00341C68">
      <w:pPr>
        <w:spacing w:line="276" w:lineRule="auto"/>
        <w:ind w:firstLine="708"/>
        <w:jc w:val="both"/>
        <w:rPr>
          <w:rFonts w:ascii="Verdana" w:hAnsi="Verdana" w:cs="Arial"/>
          <w:lang w:val="es-ES" w:eastAsia="es-MX"/>
        </w:rPr>
      </w:pPr>
      <w:r>
        <w:rPr>
          <w:rFonts w:ascii="Verdana" w:hAnsi="Verdana" w:cs="Arial"/>
          <w:lang w:val="es-ES" w:eastAsia="es-MX"/>
        </w:rPr>
        <w:t xml:space="preserve">A </w:t>
      </w:r>
      <w:r w:rsidRPr="00F20E7D">
        <w:rPr>
          <w:rFonts w:ascii="Verdana" w:hAnsi="Verdana" w:cs="Arial"/>
          <w:lang w:val="es-ES" w:eastAsia="es-MX"/>
        </w:rPr>
        <w:t xml:space="preserve">partir de la tipificación de este contrato, en el artículo citado, y sin perjuicio de la existencia de regímenes especiales, las disposiciones del EGCAP eran las que aplicaban principalmente las Entidades Públicas en la celebración de los contratos de concesión. Sin embargo, con posterioridad se expidió la Ley 1508 de 2012, </w:t>
      </w:r>
      <w:r w:rsidRPr="00F20E7D">
        <w:rPr>
          <w:rFonts w:ascii="Verdana" w:hAnsi="Verdana" w:cs="Arial"/>
          <w:i/>
          <w:lang w:val="es-ES" w:eastAsia="es-MX"/>
        </w:rPr>
        <w:t>“Por la cual se establece el régimen jurídico de las Asociaciones Público-Privadas, se dictan normas orgánicas de presupuesto y se dictan otras disposiciones”</w:t>
      </w:r>
      <w:r w:rsidRPr="00F20E7D">
        <w:rPr>
          <w:rFonts w:ascii="Verdana" w:hAnsi="Verdana" w:cs="Arial"/>
          <w:lang w:val="es-ES" w:eastAsia="es-MX"/>
        </w:rPr>
        <w:t>, que en el artículo 1 definió las asociaciones público-privadas –APP– de la siguiente manera</w:t>
      </w:r>
      <w:r>
        <w:rPr>
          <w:rFonts w:ascii="Verdana" w:hAnsi="Verdana" w:cs="Arial"/>
          <w:lang w:val="es-ES" w:eastAsia="es-MX"/>
        </w:rPr>
        <w:t>:</w:t>
      </w:r>
    </w:p>
    <w:p w14:paraId="590C0109" w14:textId="7B629723" w:rsidR="001D5CDE" w:rsidRPr="00D7568E" w:rsidRDefault="001D5CDE" w:rsidP="00D7568E">
      <w:pPr>
        <w:spacing w:line="240" w:lineRule="auto"/>
        <w:ind w:left="709" w:right="709"/>
        <w:jc w:val="both"/>
        <w:rPr>
          <w:rFonts w:ascii="Verdana" w:hAnsi="Verdana" w:cs="Arial"/>
          <w:sz w:val="21"/>
          <w:szCs w:val="21"/>
          <w:lang w:val="es-ES" w:eastAsia="es-MX"/>
        </w:rPr>
      </w:pPr>
      <w:r w:rsidRPr="00D7568E">
        <w:rPr>
          <w:rFonts w:ascii="Verdana" w:hAnsi="Verdana" w:cs="Arial"/>
          <w:sz w:val="21"/>
          <w:szCs w:val="21"/>
          <w:lang w:val="es-ES" w:eastAsia="es-MX"/>
        </w:rPr>
        <w:lastRenderedPageBreak/>
        <w:t>“Artículo 1. Las Asociaciones Público-Privadas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14:paraId="0664DFF7" w14:textId="77777777" w:rsidR="00093898" w:rsidRDefault="001D5CDE" w:rsidP="00D7568E">
      <w:pPr>
        <w:spacing w:line="276" w:lineRule="auto"/>
        <w:ind w:firstLine="708"/>
        <w:jc w:val="both"/>
        <w:rPr>
          <w:rFonts w:ascii="Verdana" w:hAnsi="Verdana" w:cs="Arial"/>
          <w:lang w:val="es-ES" w:eastAsia="es-MX"/>
        </w:rPr>
      </w:pPr>
      <w:r w:rsidRPr="00F20E7D">
        <w:rPr>
          <w:rFonts w:ascii="Verdana" w:hAnsi="Verdana" w:cs="Arial"/>
          <w:lang w:val="es-ES" w:eastAsia="es-MX"/>
        </w:rPr>
        <w:t>Con fundamento en dicha noción, el legislador entendió que, cuando se den los presupuestos de la Ley 1508 de 2012, la concesión sería el medio por el cual se contratarían estas colaboraciones público-privadas</w:t>
      </w:r>
      <w:r>
        <w:rPr>
          <w:rStyle w:val="Refdenotaalpie"/>
          <w:rFonts w:ascii="Verdana" w:hAnsi="Verdana" w:cs="Arial"/>
          <w:lang w:val="es-ES" w:eastAsia="es-MX"/>
        </w:rPr>
        <w:footnoteReference w:id="5"/>
      </w:r>
      <w:r w:rsidRPr="00F20E7D">
        <w:rPr>
          <w:rFonts w:ascii="Verdana" w:hAnsi="Verdana" w:cs="Arial"/>
          <w:lang w:val="es-ES" w:eastAsia="es-MX"/>
        </w:rPr>
        <w:t xml:space="preserve">, es decir, como un mecanismo a través del cual el sector privado participaría en la gestión pública, representada en la ejecución de actividades de infraestructura o de otros servicios, vinculando capital, conocimientos y experiencia, así como un mayor riesgo que el que ordinariamente se asume en otras tipologías contractuales. </w:t>
      </w:r>
    </w:p>
    <w:p w14:paraId="3C9092E2" w14:textId="54DEE786" w:rsidR="001D5CDE" w:rsidRPr="00F20E7D" w:rsidRDefault="001D5CDE" w:rsidP="00D7568E">
      <w:pPr>
        <w:spacing w:line="276" w:lineRule="auto"/>
        <w:ind w:firstLine="708"/>
        <w:jc w:val="both"/>
        <w:rPr>
          <w:rFonts w:ascii="Verdana" w:hAnsi="Verdana" w:cs="Arial"/>
          <w:lang w:val="es-ES" w:eastAsia="es-MX"/>
        </w:rPr>
      </w:pPr>
      <w:r w:rsidRPr="00F20E7D">
        <w:rPr>
          <w:rFonts w:ascii="Verdana" w:hAnsi="Verdana" w:cs="Arial"/>
          <w:lang w:val="es-ES" w:eastAsia="es-MX"/>
        </w:rPr>
        <w:t>Esta idea se consagró en el artículo 2 de la Ley 1508 de 2012, que expresa que las concesiones ingresan en la categoría de la asociación público-privada</w:t>
      </w:r>
      <w:r>
        <w:rPr>
          <w:rStyle w:val="Refdenotaalpie"/>
          <w:rFonts w:ascii="Verdana" w:hAnsi="Verdana" w:cs="Arial"/>
          <w:lang w:val="es-ES" w:eastAsia="es-MX"/>
        </w:rPr>
        <w:footnoteReference w:id="6"/>
      </w:r>
      <w:r w:rsidR="003A7B64">
        <w:rPr>
          <w:rFonts w:ascii="Verdana" w:hAnsi="Verdana" w:cs="Arial"/>
          <w:lang w:val="es-ES" w:eastAsia="es-MX"/>
        </w:rPr>
        <w:t>, pero no son las únicas que se pueden celebrar porque aquellas concesiones que no correspondan a dicho esquema seguirán las reglas generales del Estatuto General de Contratación de la Administración Pública - EGCAP</w:t>
      </w:r>
      <w:r w:rsidRPr="00F20E7D">
        <w:rPr>
          <w:rFonts w:ascii="Verdana" w:hAnsi="Verdana" w:cs="Arial"/>
          <w:lang w:val="es-ES" w:eastAsia="es-MX"/>
        </w:rPr>
        <w:t>.</w:t>
      </w:r>
    </w:p>
    <w:p w14:paraId="115FAF10" w14:textId="38A5EBF6" w:rsidR="001D5CDE" w:rsidRDefault="001D5CDE" w:rsidP="00B2706E">
      <w:pPr>
        <w:spacing w:line="276" w:lineRule="auto"/>
        <w:ind w:firstLine="708"/>
        <w:jc w:val="both"/>
        <w:rPr>
          <w:rFonts w:ascii="Verdana" w:hAnsi="Verdana" w:cs="Arial"/>
          <w:lang w:val="es-ES" w:eastAsia="es-MX"/>
        </w:rPr>
      </w:pPr>
      <w:r w:rsidRPr="00F20E7D">
        <w:rPr>
          <w:rFonts w:ascii="Verdana" w:hAnsi="Verdana" w:cs="Arial"/>
          <w:lang w:val="es-ES" w:eastAsia="es-MX"/>
        </w:rPr>
        <w:t>Por lo anterior, la doctrina nacional ha expresado que “</w:t>
      </w:r>
      <w:r w:rsidRPr="00F20E7D">
        <w:rPr>
          <w:rFonts w:ascii="Verdana" w:hAnsi="Verdana" w:cs="Arial"/>
          <w:i/>
          <w:lang w:val="es-ES" w:eastAsia="es-MX"/>
        </w:rPr>
        <w:t>las APP no constituyen un instrumento absolutamente novedoso en el derecho colombiano, pues los contratos con los que se pretende instrumentarlas –ya sea el caso de una concesión o una obra pública– son figuras que ya existían en nuestra legislación”</w:t>
      </w:r>
      <w:r>
        <w:rPr>
          <w:rStyle w:val="Refdenotaalpie"/>
          <w:rFonts w:ascii="Verdana" w:hAnsi="Verdana" w:cs="Arial"/>
          <w:i/>
          <w:lang w:val="es-ES" w:eastAsia="es-MX"/>
        </w:rPr>
        <w:footnoteReference w:id="7"/>
      </w:r>
      <w:r w:rsidRPr="00F20E7D">
        <w:rPr>
          <w:rFonts w:ascii="Verdana" w:hAnsi="Verdana" w:cs="Arial"/>
          <w:i/>
          <w:lang w:val="es-ES" w:eastAsia="es-MX"/>
        </w:rPr>
        <w:t xml:space="preserve">. </w:t>
      </w:r>
      <w:r w:rsidRPr="00F20E7D">
        <w:rPr>
          <w:rFonts w:ascii="Verdana" w:hAnsi="Verdana" w:cs="Arial"/>
          <w:lang w:val="es-ES" w:eastAsia="es-MX"/>
        </w:rPr>
        <w:t>En otras palabras, la colaboración público-privada no es exclusivamente la regulada en la Ley 1508 de 2012, pues la tendencia de vinculación de los particulares en la actividad contractual del Estado, a través de mecanismos como la obra, la prestación de servicios o la concesión, se encontraba prevista en Colombia, como, de hecho, lo continúa estando.</w:t>
      </w:r>
    </w:p>
    <w:p w14:paraId="1ED59A78" w14:textId="77777777" w:rsidR="001D5CDE" w:rsidRPr="00AD5046" w:rsidRDefault="001D5CDE" w:rsidP="004D7A4C">
      <w:pPr>
        <w:spacing w:line="276" w:lineRule="auto"/>
        <w:ind w:firstLine="708"/>
        <w:jc w:val="both"/>
        <w:rPr>
          <w:rFonts w:ascii="Verdana" w:hAnsi="Verdana" w:cs="Arial"/>
          <w:lang w:val="es-ES" w:eastAsia="es-MX"/>
        </w:rPr>
      </w:pPr>
      <w:r w:rsidRPr="00AD5046">
        <w:rPr>
          <w:rFonts w:ascii="Verdana" w:hAnsi="Verdana" w:cs="Arial"/>
          <w:lang w:val="es-ES" w:eastAsia="es-MX"/>
        </w:rPr>
        <w:lastRenderedPageBreak/>
        <w:t xml:space="preserve">En armonía con lo anterior, en relación con las </w:t>
      </w:r>
      <w:r w:rsidRPr="00AD5046">
        <w:rPr>
          <w:rFonts w:ascii="Verdana" w:hAnsi="Verdana" w:cs="Arial"/>
          <w:i/>
          <w:lang w:val="es-ES" w:eastAsia="es-MX"/>
        </w:rPr>
        <w:t>adiciones</w:t>
      </w:r>
      <w:r w:rsidRPr="00AD5046">
        <w:rPr>
          <w:rFonts w:ascii="Verdana" w:hAnsi="Verdana" w:cs="Arial"/>
          <w:lang w:val="es-ES" w:eastAsia="es-MX"/>
        </w:rPr>
        <w:t>, el segundo inciso del parágrafo del artículo 40 de la Ley 80 de 1993 establece que “Los contratos no podrán adicionarse en más del cincuenta por ciento (50%) de su valor inicial, expresado éste en salarios mínimos legales mensuales”. Esta regla es aplicable a los contratos de concesión.</w:t>
      </w:r>
    </w:p>
    <w:p w14:paraId="776543A6" w14:textId="77777777" w:rsidR="00E31F29" w:rsidRDefault="001D5CDE" w:rsidP="00DA092E">
      <w:pPr>
        <w:spacing w:line="276" w:lineRule="auto"/>
        <w:ind w:firstLine="708"/>
        <w:jc w:val="both"/>
        <w:rPr>
          <w:rFonts w:ascii="Verdana" w:hAnsi="Verdana" w:cs="Arial"/>
          <w:lang w:val="es-ES" w:eastAsia="es-MX"/>
        </w:rPr>
      </w:pPr>
      <w:r w:rsidRPr="00AD5046">
        <w:rPr>
          <w:rFonts w:ascii="Verdana" w:hAnsi="Verdana" w:cs="Arial"/>
          <w:lang w:val="es-ES" w:eastAsia="es-MX"/>
        </w:rPr>
        <w:t xml:space="preserve">Además, en la realización de las adiciones y prórrogas, o en cualquier modificación que se surta sobre un contrato estatal, las </w:t>
      </w:r>
      <w:r w:rsidR="00DA092E">
        <w:rPr>
          <w:rFonts w:ascii="Verdana" w:hAnsi="Verdana" w:cs="Arial"/>
          <w:lang w:val="es-ES" w:eastAsia="es-MX"/>
        </w:rPr>
        <w:t>e</w:t>
      </w:r>
      <w:r w:rsidRPr="00AD5046">
        <w:rPr>
          <w:rFonts w:ascii="Verdana" w:hAnsi="Verdana" w:cs="Arial"/>
          <w:lang w:val="es-ES" w:eastAsia="es-MX"/>
        </w:rPr>
        <w:t xml:space="preserve">ntidades </w:t>
      </w:r>
      <w:r w:rsidR="00DA092E">
        <w:rPr>
          <w:rFonts w:ascii="Verdana" w:hAnsi="Verdana" w:cs="Arial"/>
          <w:lang w:val="es-ES" w:eastAsia="es-MX"/>
        </w:rPr>
        <w:t>p</w:t>
      </w:r>
      <w:r w:rsidRPr="00AD5046">
        <w:rPr>
          <w:rFonts w:ascii="Verdana" w:hAnsi="Verdana" w:cs="Arial"/>
          <w:lang w:val="es-ES" w:eastAsia="es-MX"/>
        </w:rPr>
        <w:t>úblicas deben hacer un análisis serio de oportunidad y conveniencia. Solo con fundamento en este examen pueden tomar la decisión de ampliar el valor, el plazo o modificar cualquier cláusula del contrato.</w:t>
      </w:r>
      <w:r>
        <w:rPr>
          <w:rFonts w:ascii="Verdana" w:hAnsi="Verdana" w:cs="Arial"/>
          <w:lang w:val="es-ES" w:eastAsia="es-MX"/>
        </w:rPr>
        <w:t xml:space="preserve"> E</w:t>
      </w:r>
      <w:r w:rsidRPr="00AD5046">
        <w:rPr>
          <w:rFonts w:ascii="Verdana" w:hAnsi="Verdana" w:cs="Arial"/>
          <w:lang w:val="es-ES" w:eastAsia="es-MX"/>
        </w:rPr>
        <w:t xml:space="preserve">l numeral 12 del artículo 25 de la Ley 80 de 1993, establece el deber de las entidades de realizar estudios previos en dos (2) momentos específicos: i) previo a la apertura de un proceso de selección y </w:t>
      </w:r>
      <w:proofErr w:type="spellStart"/>
      <w:r w:rsidRPr="00AD5046">
        <w:rPr>
          <w:rFonts w:ascii="Verdana" w:hAnsi="Verdana" w:cs="Arial"/>
          <w:lang w:val="es-ES" w:eastAsia="es-MX"/>
        </w:rPr>
        <w:t>ii</w:t>
      </w:r>
      <w:proofErr w:type="spellEnd"/>
      <w:r w:rsidRPr="00AD5046">
        <w:rPr>
          <w:rFonts w:ascii="Verdana" w:hAnsi="Verdana" w:cs="Arial"/>
          <w:lang w:val="es-ES" w:eastAsia="es-MX"/>
        </w:rPr>
        <w:t xml:space="preserve">) previo a la firma del contrato en el caso en que la modalidad de selección sea contratación directa, lo cual excluye la obligación de realizar estudios previos para prorrogar el contrato de concesión, en la medida que no se va a celebrar un nuevo contrato, lo cierto es que el principio de planeación irradia sus efectos sobre la fase de ejecución del contrato. </w:t>
      </w:r>
    </w:p>
    <w:p w14:paraId="0393A0B3" w14:textId="3084F2D9" w:rsidR="001D5CDE" w:rsidRPr="00AD5046" w:rsidRDefault="001D5CDE" w:rsidP="00DA092E">
      <w:pPr>
        <w:spacing w:line="276" w:lineRule="auto"/>
        <w:ind w:firstLine="708"/>
        <w:jc w:val="both"/>
        <w:rPr>
          <w:rFonts w:ascii="Verdana" w:hAnsi="Verdana" w:cs="Arial"/>
          <w:lang w:val="es-ES" w:eastAsia="es-MX"/>
        </w:rPr>
      </w:pPr>
      <w:r w:rsidRPr="00AD5046">
        <w:rPr>
          <w:rFonts w:ascii="Verdana" w:hAnsi="Verdana" w:cs="Arial"/>
          <w:lang w:val="es-ES" w:eastAsia="es-MX"/>
        </w:rPr>
        <w:t>Por esta razón, las adiciones, prórrogas y modificaciones en general, deben ser excepcionales y justificarse adecuadamente. En consecuencia, la prórroga de un contrato de concesión no debe ser una decisión automática, gratuita e irreflexiva. Lo anterior, por cuanto la prórroga debe consultar los riesgos, los costos adicionales y no utilizarse para burlar el proceso de selección. De hecho, existe un precedente constitucional definido, en el sentido de que la</w:t>
      </w:r>
      <w:r>
        <w:rPr>
          <w:rFonts w:ascii="Verdana" w:hAnsi="Verdana" w:cs="Arial"/>
          <w:lang w:val="es-ES" w:eastAsia="es-MX"/>
        </w:rPr>
        <w:t xml:space="preserve"> </w:t>
      </w:r>
      <w:r w:rsidRPr="00AD5046">
        <w:rPr>
          <w:rFonts w:ascii="Verdana" w:hAnsi="Verdana" w:cs="Arial"/>
          <w:lang w:val="es-ES" w:eastAsia="es-MX"/>
        </w:rPr>
        <w:t>posibilidad de prórroga automática de los contratos de concesión desconoce el principio de libre concurrencia y el derecho a la igualdad de los eventuales interesados</w:t>
      </w:r>
      <w:r>
        <w:rPr>
          <w:rStyle w:val="Refdenotaalpie"/>
          <w:rFonts w:ascii="Verdana" w:hAnsi="Verdana" w:cs="Arial"/>
          <w:lang w:val="es-ES" w:eastAsia="es-MX"/>
        </w:rPr>
        <w:footnoteReference w:id="8"/>
      </w:r>
      <w:r w:rsidRPr="00AD5046">
        <w:rPr>
          <w:rFonts w:ascii="Verdana" w:hAnsi="Verdana" w:cs="Arial"/>
          <w:lang w:val="es-ES" w:eastAsia="es-MX"/>
        </w:rPr>
        <w:t>.</w:t>
      </w:r>
    </w:p>
    <w:p w14:paraId="52BC36B1" w14:textId="0825F70A" w:rsidR="001D5CDE" w:rsidRPr="000C7D07" w:rsidRDefault="001D5CDE" w:rsidP="000C7D07">
      <w:pPr>
        <w:spacing w:line="276" w:lineRule="auto"/>
        <w:ind w:firstLine="708"/>
        <w:jc w:val="both"/>
        <w:rPr>
          <w:rFonts w:ascii="Verdana" w:hAnsi="Verdana" w:cs="Arial"/>
          <w:lang w:val="es-ES" w:eastAsia="es-MX"/>
        </w:rPr>
      </w:pPr>
      <w:r w:rsidRPr="00AD5046">
        <w:rPr>
          <w:rFonts w:ascii="Verdana" w:hAnsi="Verdana" w:cs="Arial"/>
          <w:lang w:val="es-ES" w:eastAsia="es-MX"/>
        </w:rPr>
        <w:lastRenderedPageBreak/>
        <w:t>De igual manera, la jurisprudencia</w:t>
      </w:r>
      <w:r>
        <w:rPr>
          <w:rStyle w:val="Refdenotaalpie"/>
          <w:rFonts w:ascii="Verdana" w:hAnsi="Verdana" w:cs="Arial"/>
          <w:lang w:val="es-ES" w:eastAsia="es-MX"/>
        </w:rPr>
        <w:footnoteReference w:id="9"/>
      </w:r>
      <w:r w:rsidRPr="00AD5046">
        <w:rPr>
          <w:rFonts w:ascii="Verdana" w:hAnsi="Verdana" w:cs="Arial"/>
          <w:lang w:val="es-ES" w:eastAsia="es-MX"/>
        </w:rPr>
        <w:t xml:space="preserve"> ha sido constante al indicar que otra razón para no admitir la prórroga automática es que en el momento de efectuar este tipo de acuerdos–que, como se dijo, deben ser expresos–, deben quedar claras las consecuencias de la ampliación del plazo en la economía del contrato estatal. Por ello, al suscribir la prórroga, las partes del contrato deben analizar los efectos del incremento del plazo, el motivo de la ampliación, así como el impacto técnico y financiero que pudiera traer. Es más, el instante de realización de la prórroga constituye la oportunidad para que la parte del contrato que se considere afectada con la ampliación del plazo, lo manifieste o deje la salvedad del caso. Por tal razón, el Consejo de Estado ha dicho que: “En consecuencia, si las solicitudes, reclamaciones o salvedades fundadas en la alteración del equilibrio económico no se hacen al momento de suscribir las suspensiones, adiciones o prórrogas del plazo contractual,</w:t>
      </w:r>
      <w:r>
        <w:rPr>
          <w:rFonts w:ascii="Verdana" w:hAnsi="Verdana" w:cs="Arial"/>
          <w:lang w:val="es-ES" w:eastAsia="es-MX"/>
        </w:rPr>
        <w:t xml:space="preserve"> </w:t>
      </w:r>
      <w:r w:rsidRPr="00AD5046">
        <w:rPr>
          <w:rFonts w:ascii="Verdana" w:hAnsi="Verdana" w:cs="Arial"/>
          <w:lang w:val="es-ES" w:eastAsia="es-MX"/>
        </w:rPr>
        <w:t>contratos adicionales, otrosíes, etc., que por tal motivo se convinieren, cualquier solicitud, reclamación o pretensión ulterior es extemporánea, improcedente e impróspera por vulnerar el principio de la buena fe contractual”</w:t>
      </w:r>
      <w:r>
        <w:rPr>
          <w:rStyle w:val="Refdenotaalpie"/>
          <w:rFonts w:ascii="Verdana" w:hAnsi="Verdana" w:cs="Arial"/>
          <w:lang w:val="es-ES" w:eastAsia="es-MX"/>
        </w:rPr>
        <w:footnoteReference w:id="10"/>
      </w:r>
      <w:r w:rsidRPr="00AD5046">
        <w:rPr>
          <w:rFonts w:ascii="Verdana" w:hAnsi="Verdana" w:cs="Arial"/>
          <w:lang w:val="es-ES" w:eastAsia="es-MX"/>
        </w:rPr>
        <w:t>.</w:t>
      </w:r>
    </w:p>
    <w:p w14:paraId="2124A8BF" w14:textId="0B4AE191" w:rsidR="00753E1B" w:rsidRPr="009322DA" w:rsidRDefault="00753E1B" w:rsidP="00753E1B">
      <w:pPr>
        <w:jc w:val="both"/>
        <w:rPr>
          <w:rFonts w:ascii="Verdana" w:eastAsia="Calibri" w:hAnsi="Verdana" w:cs="Arial"/>
          <w:b/>
          <w:bCs/>
        </w:rPr>
      </w:pPr>
      <w:r w:rsidRPr="009322DA">
        <w:rPr>
          <w:rFonts w:ascii="Verdana" w:eastAsia="Calibri" w:hAnsi="Verdana" w:cs="Arial"/>
          <w:b/>
          <w:bCs/>
        </w:rPr>
        <w:t>4. Referencias</w:t>
      </w:r>
      <w:r>
        <w:rPr>
          <w:rFonts w:ascii="Verdana" w:eastAsia="Calibri" w:hAnsi="Verdana" w:cs="Arial"/>
          <w:b/>
          <w:bCs/>
        </w:rPr>
        <w:t xml:space="preserve"> </w:t>
      </w:r>
      <w:r w:rsidRPr="009322DA">
        <w:rPr>
          <w:rFonts w:ascii="Verdana" w:eastAsia="Calibri" w:hAnsi="Verdana" w:cs="Arial"/>
          <w:b/>
          <w:bCs/>
        </w:rPr>
        <w:t>normativas, jurisprudenciales y otras fuentes:</w:t>
      </w:r>
    </w:p>
    <w:tbl>
      <w:tblPr>
        <w:tblStyle w:val="Tablaconcuadrcula1"/>
        <w:tblW w:w="864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0"/>
      </w:tblGrid>
      <w:tr w:rsidR="00753E1B" w:rsidRPr="009322DA" w14:paraId="629379B0" w14:textId="77777777" w:rsidTr="00D92A35">
        <w:trPr>
          <w:trHeight w:val="1068"/>
        </w:trPr>
        <w:tc>
          <w:tcPr>
            <w:tcW w:w="8647" w:type="dxa"/>
            <w:tcBorders>
              <w:top w:val="dotted" w:sz="4" w:space="0" w:color="auto"/>
              <w:left w:val="dotted" w:sz="4" w:space="0" w:color="auto"/>
              <w:bottom w:val="dotted" w:sz="4" w:space="0" w:color="auto"/>
              <w:right w:val="dotted" w:sz="4" w:space="0" w:color="auto"/>
            </w:tcBorders>
          </w:tcPr>
          <w:p w14:paraId="166A5DA3" w14:textId="6773EF56" w:rsidR="00753E1B"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 xml:space="preserve">Ley 1508 de 2012, artículos </w:t>
            </w:r>
            <w:r w:rsidR="001D5CDE">
              <w:rPr>
                <w:rFonts w:ascii="Verdana" w:hAnsi="Verdana" w:cs="Arial"/>
                <w:lang w:val="es-MX"/>
              </w:rPr>
              <w:t xml:space="preserve">2, </w:t>
            </w:r>
            <w:r>
              <w:rPr>
                <w:rFonts w:ascii="Verdana" w:hAnsi="Verdana" w:cs="Arial"/>
                <w:lang w:val="es-MX"/>
              </w:rPr>
              <w:t>7 y 16.</w:t>
            </w:r>
          </w:p>
          <w:p w14:paraId="0996FD2D" w14:textId="77777777" w:rsidR="00753E1B"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Ley 1150 de 2007.</w:t>
            </w:r>
          </w:p>
          <w:p w14:paraId="007B5B5A" w14:textId="17749F13" w:rsidR="00753E1B"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Ley 80 de 1993</w:t>
            </w:r>
            <w:r w:rsidR="005D5A94">
              <w:rPr>
                <w:rFonts w:ascii="Verdana" w:hAnsi="Verdana" w:cs="Arial"/>
                <w:lang w:val="es-MX"/>
              </w:rPr>
              <w:t>, articulo 32 numeral 4, artículo 40.</w:t>
            </w:r>
          </w:p>
          <w:p w14:paraId="176C416C" w14:textId="65DE727E" w:rsidR="00753E1B"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Pr>
                <w:rFonts w:ascii="Verdana" w:hAnsi="Verdana" w:cs="Arial"/>
                <w:lang w:val="es-MX"/>
              </w:rPr>
              <w:t>Sentencia C-</w:t>
            </w:r>
            <w:r w:rsidR="001D5CDE">
              <w:rPr>
                <w:rFonts w:ascii="Verdana" w:hAnsi="Verdana" w:cs="Arial"/>
                <w:lang w:val="es-MX"/>
              </w:rPr>
              <w:t xml:space="preserve">300 </w:t>
            </w:r>
            <w:r>
              <w:rPr>
                <w:rFonts w:ascii="Verdana" w:hAnsi="Verdana" w:cs="Arial"/>
                <w:lang w:val="es-MX"/>
              </w:rPr>
              <w:t>de 201</w:t>
            </w:r>
            <w:r w:rsidR="001D5CDE">
              <w:rPr>
                <w:rFonts w:ascii="Verdana" w:hAnsi="Verdana" w:cs="Arial"/>
                <w:lang w:val="es-MX"/>
              </w:rPr>
              <w:t>2</w:t>
            </w:r>
            <w:r>
              <w:rPr>
                <w:rFonts w:ascii="Verdana" w:hAnsi="Verdana" w:cs="Arial"/>
                <w:lang w:val="es-MX"/>
              </w:rPr>
              <w:t>, de la Corte Constitucional, MP. Jorge Pretelt Chaljub.</w:t>
            </w:r>
          </w:p>
          <w:p w14:paraId="2F1688C7" w14:textId="77777777" w:rsidR="00753E1B"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sidRPr="00306FB5">
              <w:rPr>
                <w:rFonts w:ascii="Verdana" w:hAnsi="Verdana" w:cs="Arial"/>
              </w:rPr>
              <w:t>Consejo de Estado. Sala de Consulta y Servicio Civil. Concepto del 8 de mayo de 2018. Número único: 11001-03-06-000-2018-00095-00. Radicación interna: 2382</w:t>
            </w:r>
            <w:r>
              <w:rPr>
                <w:rFonts w:ascii="Verdana" w:hAnsi="Verdana" w:cs="Arial"/>
              </w:rPr>
              <w:t>.</w:t>
            </w:r>
          </w:p>
          <w:p w14:paraId="0E8A16A5" w14:textId="77777777" w:rsidR="00753E1B" w:rsidRPr="00306FB5" w:rsidRDefault="00753E1B" w:rsidP="00753E1B">
            <w:pPr>
              <w:widowControl w:val="0"/>
              <w:numPr>
                <w:ilvl w:val="0"/>
                <w:numId w:val="17"/>
              </w:numPr>
              <w:autoSpaceDE w:val="0"/>
              <w:autoSpaceDN w:val="0"/>
              <w:spacing w:after="120" w:line="276" w:lineRule="auto"/>
              <w:contextualSpacing/>
              <w:jc w:val="both"/>
              <w:rPr>
                <w:rFonts w:ascii="Verdana" w:hAnsi="Verdana" w:cs="Arial"/>
                <w:lang w:val="es-MX"/>
              </w:rPr>
            </w:pPr>
            <w:r w:rsidRPr="00306FB5">
              <w:rPr>
                <w:rFonts w:ascii="Verdana" w:hAnsi="Verdana" w:cs="Arial"/>
                <w:lang w:val="es-ES"/>
              </w:rPr>
              <w:t>BENAVIDES, José Luis. Presentación. En: BENAVIDES, José Luis (compilador). Estudio sobre el régimen jurídico de las asociaciones público-privadas. Bogotá: Universidad Externado de Colombia, 2014, p. 13</w:t>
            </w:r>
            <w:r>
              <w:rPr>
                <w:rFonts w:ascii="Verdana" w:hAnsi="Verdana" w:cs="Arial"/>
                <w:lang w:val="es-ES"/>
              </w:rPr>
              <w:t>.</w:t>
            </w:r>
          </w:p>
        </w:tc>
      </w:tr>
    </w:tbl>
    <w:p w14:paraId="4EB050E8" w14:textId="77777777" w:rsidR="00753E1B" w:rsidRPr="009322DA" w:rsidRDefault="00753E1B" w:rsidP="00753E1B">
      <w:pPr>
        <w:tabs>
          <w:tab w:val="left" w:pos="142"/>
          <w:tab w:val="left" w:pos="284"/>
        </w:tabs>
        <w:spacing w:after="0" w:line="276" w:lineRule="auto"/>
        <w:jc w:val="both"/>
        <w:rPr>
          <w:rFonts w:ascii="Verdana" w:eastAsia="Calibri" w:hAnsi="Verdana" w:cs="Arial"/>
        </w:rPr>
      </w:pPr>
    </w:p>
    <w:p w14:paraId="5D1CAF18" w14:textId="77777777" w:rsidR="00753E1B" w:rsidRDefault="00753E1B" w:rsidP="00753E1B">
      <w:pPr>
        <w:tabs>
          <w:tab w:val="left" w:pos="142"/>
          <w:tab w:val="left" w:pos="284"/>
        </w:tabs>
        <w:spacing w:after="0" w:line="276" w:lineRule="auto"/>
        <w:jc w:val="both"/>
        <w:rPr>
          <w:rFonts w:ascii="Verdana" w:eastAsia="Century Gothic" w:hAnsi="Verdana" w:cs="Century Gothic"/>
          <w:b/>
          <w:bCs/>
          <w:lang w:val="es-ES"/>
        </w:rPr>
      </w:pPr>
      <w:r w:rsidRPr="00196A7A">
        <w:rPr>
          <w:rFonts w:ascii="Verdana" w:eastAsia="Calibri" w:hAnsi="Verdana" w:cs="Arial"/>
          <w:b/>
          <w:bCs/>
        </w:rPr>
        <w:t>5.</w:t>
      </w:r>
      <w:r>
        <w:rPr>
          <w:rFonts w:ascii="Verdana" w:eastAsia="Calibri" w:hAnsi="Verdana" w:cs="Arial"/>
          <w:b/>
          <w:bCs/>
        </w:rPr>
        <w:t xml:space="preserve"> </w:t>
      </w:r>
      <w:r w:rsidRPr="00196A7A">
        <w:rPr>
          <w:rFonts w:ascii="Verdana" w:eastAsia="Century Gothic" w:hAnsi="Verdana" w:cs="Century Gothic"/>
          <w:b/>
          <w:bCs/>
          <w:lang w:val="es-ES"/>
        </w:rPr>
        <w:t>Doctrina</w:t>
      </w:r>
      <w:r w:rsidRPr="009322DA">
        <w:rPr>
          <w:rFonts w:ascii="Verdana" w:eastAsia="Century Gothic" w:hAnsi="Verdana" w:cs="Century Gothic"/>
          <w:b/>
          <w:bCs/>
          <w:lang w:val="es-ES"/>
        </w:rPr>
        <w:t xml:space="preserve"> de la Agencia Nacional de Contratación Pública:</w:t>
      </w:r>
    </w:p>
    <w:p w14:paraId="30760B41" w14:textId="77777777" w:rsidR="00753E1B" w:rsidRPr="009322DA" w:rsidRDefault="00753E1B" w:rsidP="00753E1B">
      <w:pPr>
        <w:tabs>
          <w:tab w:val="left" w:pos="142"/>
          <w:tab w:val="left" w:pos="284"/>
        </w:tabs>
        <w:spacing w:after="0" w:line="276" w:lineRule="auto"/>
        <w:jc w:val="both"/>
        <w:rPr>
          <w:rFonts w:ascii="Verdana" w:eastAsia="Century Gothic" w:hAnsi="Verdana" w:cs="Century Gothic"/>
          <w:b/>
          <w:bCs/>
          <w:lang w:val="es-ES"/>
        </w:rPr>
      </w:pPr>
    </w:p>
    <w:p w14:paraId="3B9A86CB" w14:textId="30BD300E" w:rsidR="00753E1B" w:rsidRPr="0013343A" w:rsidRDefault="00753E1B" w:rsidP="008078AC">
      <w:pPr>
        <w:spacing w:after="0" w:line="276" w:lineRule="auto"/>
        <w:jc w:val="both"/>
        <w:rPr>
          <w:rFonts w:ascii="Verdana" w:hAnsi="Verdana" w:cs="Arial"/>
          <w:shd w:val="clear" w:color="auto" w:fill="FFFFFF"/>
          <w:lang w:val="es-ES"/>
        </w:rPr>
      </w:pPr>
      <w:r w:rsidRPr="00F80DEF">
        <w:rPr>
          <w:rFonts w:ascii="Verdana" w:hAnsi="Verdana" w:cs="Arial"/>
          <w:shd w:val="clear" w:color="auto" w:fill="FFFFFF"/>
        </w:rPr>
        <w:t>L</w:t>
      </w:r>
      <w:r w:rsidRPr="00F80DEF">
        <w:rPr>
          <w:rFonts w:ascii="Verdana" w:hAnsi="Verdana" w:cs="Arial"/>
          <w:shd w:val="clear" w:color="auto" w:fill="FFFFFF"/>
          <w:lang w:val="es-ES"/>
        </w:rPr>
        <w:t xml:space="preserve">a Agencia Nacional de Contratación Pública – Colombia Compra Eficiente, </w:t>
      </w:r>
      <w:r w:rsidRPr="007D436C">
        <w:rPr>
          <w:rFonts w:ascii="Verdana" w:hAnsi="Verdana" w:cs="Arial"/>
          <w:shd w:val="clear" w:color="auto" w:fill="FFFFFF"/>
          <w:lang w:val="es-ES_tradnl"/>
        </w:rPr>
        <w:t xml:space="preserve">analizó el régimen de las asociaciones público-privadas –APP– en el concepto </w:t>
      </w:r>
      <w:r w:rsidRPr="007D436C">
        <w:rPr>
          <w:rFonts w:ascii="Verdana" w:hAnsi="Verdana" w:cs="Arial"/>
          <w:shd w:val="clear" w:color="auto" w:fill="FFFFFF"/>
          <w:lang w:val="es-ES_tradnl"/>
        </w:rPr>
        <w:lastRenderedPageBreak/>
        <w:t>con radicado 2201913000009321 del 17 de diciembre de 2019, así como en los conceptos C-507 del 13 de agosto de 2020, C-663 del 30 de noviembre de 2020, C-706 del 2 de diciembre de 2020, C-386 del 3 de agosto de 2021, C-457 del 3 de septiembre de 2021, C-549 del 5 de noviembre de 2021</w:t>
      </w:r>
      <w:r>
        <w:rPr>
          <w:rFonts w:ascii="Verdana" w:hAnsi="Verdana" w:cs="Arial"/>
          <w:shd w:val="clear" w:color="auto" w:fill="FFFFFF"/>
          <w:lang w:val="es-ES_tradnl"/>
        </w:rPr>
        <w:t xml:space="preserve">, </w:t>
      </w:r>
      <w:r w:rsidRPr="007D436C">
        <w:rPr>
          <w:rFonts w:ascii="Verdana" w:hAnsi="Verdana" w:cs="Arial"/>
          <w:shd w:val="clear" w:color="auto" w:fill="FFFFFF"/>
          <w:lang w:val="es-ES_tradnl"/>
        </w:rPr>
        <w:t>C-129 del 22 de marzo de 2022</w:t>
      </w:r>
      <w:r>
        <w:rPr>
          <w:rFonts w:ascii="Verdana" w:hAnsi="Verdana" w:cs="Arial"/>
          <w:shd w:val="clear" w:color="auto" w:fill="FFFFFF"/>
          <w:lang w:val="es-ES_tradnl"/>
        </w:rPr>
        <w:t xml:space="preserve"> y C-500 de agosto de 2022</w:t>
      </w:r>
      <w:r w:rsidR="00DC7D2B">
        <w:rPr>
          <w:rStyle w:val="normaltextrun"/>
          <w:rFonts w:ascii="Verdana" w:hAnsi="Verdana" w:cs="Arial"/>
          <w:shd w:val="clear" w:color="auto" w:fill="FFFFFF"/>
          <w:lang w:val="es-ES"/>
        </w:rPr>
        <w:t xml:space="preserve">. </w:t>
      </w:r>
      <w:r w:rsidR="00DC7D2B" w:rsidRPr="00DC7D2B">
        <w:rPr>
          <w:rFonts w:ascii="Verdana" w:hAnsi="Verdana" w:cs="Arial"/>
          <w:shd w:val="clear" w:color="auto" w:fill="FFFFFF"/>
          <w:lang w:val="es-ES"/>
        </w:rPr>
        <w:t xml:space="preserve">Igualmente, en los conceptos con radicado C-251 del 27 de mayo de 2020, C-400 del 30 de junio de 2020, C-507 del 13 de agosto de 2020, C-718 del 20 </w:t>
      </w:r>
      <w:r w:rsidR="0013343A" w:rsidRPr="0013343A">
        <w:rPr>
          <w:rFonts w:ascii="Verdana" w:hAnsi="Verdana" w:cs="Arial"/>
          <w:shd w:val="clear" w:color="auto" w:fill="FFFFFF"/>
          <w:lang w:val="es-ES"/>
        </w:rPr>
        <w:t>diciembre de 2020 y C-077 del 16 de marzo de 2021, C-129 del 22 de marzo de 2022</w:t>
      </w:r>
      <w:r w:rsidR="007E27DC">
        <w:rPr>
          <w:rFonts w:ascii="Verdana" w:hAnsi="Verdana" w:cs="Arial"/>
          <w:shd w:val="clear" w:color="auto" w:fill="FFFFFF"/>
          <w:lang w:val="es-ES"/>
        </w:rPr>
        <w:t>,</w:t>
      </w:r>
      <w:r w:rsidR="0013343A" w:rsidRPr="0013343A">
        <w:rPr>
          <w:rFonts w:ascii="Verdana" w:hAnsi="Verdana" w:cs="Arial"/>
          <w:shd w:val="clear" w:color="auto" w:fill="FFFFFF"/>
          <w:lang w:val="es-ES"/>
        </w:rPr>
        <w:t xml:space="preserve"> C- 554 del 5 de septiembre de 2022</w:t>
      </w:r>
      <w:r w:rsidR="007E27DC">
        <w:rPr>
          <w:rFonts w:ascii="Verdana" w:hAnsi="Verdana" w:cs="Arial"/>
          <w:shd w:val="clear" w:color="auto" w:fill="FFFFFF"/>
          <w:lang w:val="es-ES"/>
        </w:rPr>
        <w:t xml:space="preserve"> y C-249 de julio de 2023</w:t>
      </w:r>
      <w:r w:rsidR="0013343A" w:rsidRPr="0013343A">
        <w:rPr>
          <w:rFonts w:ascii="Verdana" w:hAnsi="Verdana" w:cs="Arial"/>
          <w:shd w:val="clear" w:color="auto" w:fill="FFFFFF"/>
          <w:lang w:val="es-ES"/>
        </w:rPr>
        <w:t>, analizó algunos temas asociados al contrato de concesión</w:t>
      </w:r>
      <w:r w:rsidR="004D3D83">
        <w:rPr>
          <w:rFonts w:ascii="Verdana" w:hAnsi="Verdana" w:cs="Arial"/>
          <w:shd w:val="clear" w:color="auto" w:fill="FFFFFF"/>
          <w:lang w:val="es-ES"/>
        </w:rPr>
        <w:t>. E</w:t>
      </w:r>
      <w:proofErr w:type="spellStart"/>
      <w:r w:rsidR="007165C7" w:rsidRPr="008328CE">
        <w:rPr>
          <w:rFonts w:ascii="Verdana" w:eastAsia="Calibri" w:hAnsi="Verdana" w:cs="Arial"/>
          <w:color w:val="000000" w:themeColor="text1"/>
          <w:shd w:val="clear" w:color="auto" w:fill="FFFFFF"/>
        </w:rPr>
        <w:t>stos</w:t>
      </w:r>
      <w:proofErr w:type="spellEnd"/>
      <w:r w:rsidRPr="008328CE">
        <w:rPr>
          <w:rFonts w:ascii="Verdana" w:eastAsia="Calibri" w:hAnsi="Verdana" w:cs="Arial"/>
          <w:color w:val="000000" w:themeColor="text1"/>
          <w:shd w:val="clear" w:color="auto" w:fill="FFFFFF"/>
        </w:rPr>
        <w:t xml:space="preserve">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2" w:tgtFrame="_blank" w:tooltip="Dirección URL original: https://relatoria.colombiacompra.gov.co/. Haga clic o pulse si confía en este vínculo." w:history="1">
        <w:r w:rsidRPr="008328CE">
          <w:rPr>
            <w:rStyle w:val="Hipervnculo"/>
            <w:rFonts w:ascii="Verdana" w:eastAsia="Calibri" w:hAnsi="Verdana" w:cs="Arial"/>
            <w:color w:val="000000" w:themeColor="text1"/>
            <w:shd w:val="clear" w:color="auto" w:fill="FFFFFF"/>
          </w:rPr>
          <w:t>https://relatoria.colombiacompra.gov.co/</w:t>
        </w:r>
      </w:hyperlink>
      <w:r>
        <w:rPr>
          <w:rFonts w:ascii="Verdana" w:eastAsia="Calibri" w:hAnsi="Verdana" w:cs="Arial"/>
          <w:color w:val="000000" w:themeColor="text1"/>
          <w:shd w:val="clear" w:color="auto" w:fill="FFFFFF"/>
        </w:rPr>
        <w:t>.</w:t>
      </w:r>
      <w:r w:rsidRPr="008328CE">
        <w:rPr>
          <w:rFonts w:ascii="Verdana" w:eastAsia="Calibri" w:hAnsi="Verdana" w:cs="Arial"/>
          <w:color w:val="000000" w:themeColor="text1"/>
          <w:shd w:val="clear" w:color="auto" w:fill="FFFFFF"/>
        </w:rPr>
        <w:t xml:space="preserve"> </w:t>
      </w:r>
    </w:p>
    <w:p w14:paraId="7BFFE614" w14:textId="77777777" w:rsidR="00DB315B" w:rsidRDefault="00DB315B" w:rsidP="00753E1B">
      <w:pPr>
        <w:spacing w:after="0" w:line="276" w:lineRule="auto"/>
        <w:jc w:val="both"/>
        <w:rPr>
          <w:rFonts w:ascii="Verdana" w:eastAsia="Calibri" w:hAnsi="Verdana" w:cs="Arial"/>
          <w:color w:val="000000" w:themeColor="text1"/>
          <w:shd w:val="clear" w:color="auto" w:fill="FFFFFF"/>
        </w:rPr>
      </w:pPr>
    </w:p>
    <w:p w14:paraId="79362683" w14:textId="381CB533" w:rsidR="00DB315B" w:rsidRPr="008328CE" w:rsidRDefault="00DB315B" w:rsidP="00DB315B">
      <w:pPr>
        <w:spacing w:after="0" w:line="276" w:lineRule="auto"/>
        <w:jc w:val="both"/>
        <w:rPr>
          <w:rFonts w:ascii="Verdana" w:eastAsia="Calibri" w:hAnsi="Verdana" w:cs="Arial"/>
          <w:color w:val="000000" w:themeColor="text1"/>
          <w:shd w:val="clear" w:color="auto" w:fill="FFFFFF"/>
        </w:rPr>
      </w:pPr>
      <w:r w:rsidRPr="00E83B93">
        <w:rPr>
          <w:rFonts w:ascii="Verdana" w:eastAsia="Calibri" w:hAnsi="Verdana" w:cs="Arial"/>
          <w:color w:val="000000" w:themeColor="text1"/>
          <w:shd w:val="clear" w:color="auto" w:fill="FFFFFF"/>
        </w:rPr>
        <w:t xml:space="preserve">Te invitamos a revisar la </w:t>
      </w:r>
      <w:r w:rsidR="008078AC">
        <w:rPr>
          <w:rFonts w:ascii="Verdana" w:eastAsia="Calibri" w:hAnsi="Verdana" w:cs="Arial"/>
          <w:color w:val="000000" w:themeColor="text1"/>
          <w:shd w:val="clear" w:color="auto" w:fill="FFFFFF"/>
        </w:rPr>
        <w:t>sexta</w:t>
      </w:r>
      <w:r w:rsidRPr="00E83B93">
        <w:rPr>
          <w:rFonts w:ascii="Verdana" w:eastAsia="Calibri" w:hAnsi="Verdana" w:cs="Arial"/>
          <w:color w:val="000000" w:themeColor="text1"/>
          <w:shd w:val="clear" w:color="auto" w:fill="FFFFFF"/>
        </w:rPr>
        <w:t xml:space="preserve"> edición del Boletín de Relatoría de 2024. Puede consultarlo en el siguiente enlace:</w:t>
      </w:r>
      <w:r w:rsidR="001267ED">
        <w:rPr>
          <w:rFonts w:ascii="Verdana" w:eastAsia="Calibri" w:hAnsi="Verdana" w:cs="Arial"/>
          <w:color w:val="000000" w:themeColor="text1"/>
          <w:shd w:val="clear" w:color="auto" w:fill="FFFFFF"/>
        </w:rPr>
        <w:t xml:space="preserve"> </w:t>
      </w:r>
      <w:hyperlink r:id="rId13" w:history="1">
        <w:r w:rsidR="001267ED" w:rsidRPr="001D2FF2">
          <w:rPr>
            <w:rStyle w:val="Hipervnculo"/>
            <w:rFonts w:ascii="Verdana" w:eastAsia="Calibri" w:hAnsi="Verdana" w:cs="Arial"/>
            <w:shd w:val="clear" w:color="auto" w:fill="FFFFFF"/>
          </w:rPr>
          <w:t>https://www.colombiacompra.gov.co/sala-de-prensa/boletin-digital/boletin-de-relatoria-2024-vi-modalidad-de-seleccion-de-seleccion-de</w:t>
        </w:r>
      </w:hyperlink>
      <w:r w:rsidR="001267ED">
        <w:rPr>
          <w:rFonts w:ascii="Verdana" w:eastAsia="Calibri" w:hAnsi="Verdana" w:cs="Arial"/>
          <w:color w:val="000000" w:themeColor="text1"/>
          <w:shd w:val="clear" w:color="auto" w:fill="FFFFFF"/>
        </w:rPr>
        <w:t xml:space="preserve"> </w:t>
      </w:r>
      <w:r w:rsidR="001267ED" w:rsidRPr="008328CE">
        <w:rPr>
          <w:rFonts w:ascii="Verdana" w:eastAsia="Calibri" w:hAnsi="Verdana" w:cs="Arial"/>
          <w:color w:val="000000" w:themeColor="text1"/>
          <w:shd w:val="clear" w:color="auto" w:fill="FFFFFF"/>
        </w:rPr>
        <w:t xml:space="preserve"> </w:t>
      </w:r>
    </w:p>
    <w:p w14:paraId="4B38B108" w14:textId="77777777" w:rsidR="00DB315B" w:rsidRPr="008328CE" w:rsidRDefault="00DB315B" w:rsidP="00753E1B">
      <w:pPr>
        <w:spacing w:after="0" w:line="276" w:lineRule="auto"/>
        <w:jc w:val="both"/>
        <w:rPr>
          <w:rFonts w:ascii="Verdana" w:eastAsia="Calibri" w:hAnsi="Verdana" w:cs="Arial"/>
          <w:color w:val="000000" w:themeColor="text1"/>
          <w:shd w:val="clear" w:color="auto" w:fill="FFFFFF"/>
        </w:rPr>
      </w:pPr>
    </w:p>
    <w:p w14:paraId="4057DECE" w14:textId="77777777" w:rsidR="00753E1B" w:rsidRPr="009322DA" w:rsidRDefault="00753E1B" w:rsidP="001267ED">
      <w:pPr>
        <w:spacing w:after="0" w:line="276" w:lineRule="auto"/>
        <w:jc w:val="both"/>
        <w:rPr>
          <w:rFonts w:ascii="Calibri" w:eastAsia="Calibri" w:hAnsi="Calibri" w:cs="Times New Roman"/>
        </w:rPr>
      </w:pPr>
      <w:r w:rsidRPr="0044528D">
        <w:rPr>
          <w:rFonts w:ascii="Verdana" w:hAnsi="Verdana"/>
        </w:rPr>
        <w:t xml:space="preserve">Por último, lo invitamos a seguirnos en las redes sociales en las cuales se difunde información institucional: </w:t>
      </w:r>
    </w:p>
    <w:p w14:paraId="060B517E" w14:textId="77777777" w:rsidR="00753E1B" w:rsidRPr="0044528D" w:rsidRDefault="00753E1B" w:rsidP="001267ED">
      <w:pPr>
        <w:spacing w:after="0" w:line="276" w:lineRule="auto"/>
        <w:jc w:val="both"/>
        <w:rPr>
          <w:rFonts w:ascii="Verdana" w:hAnsi="Verdana"/>
        </w:rPr>
      </w:pPr>
    </w:p>
    <w:p w14:paraId="7B41FB47" w14:textId="77777777" w:rsidR="00753E1B" w:rsidRPr="0044528D" w:rsidRDefault="00753E1B" w:rsidP="001267ED">
      <w:pPr>
        <w:spacing w:after="0" w:line="276" w:lineRule="auto"/>
        <w:jc w:val="both"/>
        <w:rPr>
          <w:rFonts w:ascii="Verdana" w:hAnsi="Verdana"/>
        </w:rPr>
      </w:pPr>
      <w:r w:rsidRPr="0044528D">
        <w:rPr>
          <w:rFonts w:ascii="Verdana" w:hAnsi="Verdana"/>
        </w:rPr>
        <w:t xml:space="preserve">Twitter: </w:t>
      </w:r>
      <w:r w:rsidRPr="009322DA">
        <w:rPr>
          <w:rFonts w:ascii="Verdana" w:eastAsia="Calibri" w:hAnsi="Verdana" w:cs="Times New Roman"/>
          <w:color w:val="4472C4" w:themeColor="accent1"/>
          <w:u w:val="single"/>
        </w:rPr>
        <w:t>@colombiacompra</w:t>
      </w:r>
      <w:r w:rsidRPr="009322DA">
        <w:rPr>
          <w:rFonts w:ascii="Verdana" w:eastAsia="Calibri" w:hAnsi="Verdana" w:cs="Times New Roman"/>
          <w:color w:val="4472C4" w:themeColor="accent1"/>
        </w:rPr>
        <w:t xml:space="preserve"> </w:t>
      </w:r>
    </w:p>
    <w:p w14:paraId="2D51CEF3" w14:textId="77777777" w:rsidR="00753E1B" w:rsidRPr="0044528D" w:rsidRDefault="00753E1B" w:rsidP="001267ED">
      <w:pPr>
        <w:spacing w:after="0" w:line="276" w:lineRule="auto"/>
        <w:jc w:val="both"/>
        <w:rPr>
          <w:rFonts w:ascii="Verdana" w:hAnsi="Verdana"/>
        </w:rPr>
      </w:pPr>
      <w:r w:rsidRPr="0044528D">
        <w:rPr>
          <w:rFonts w:ascii="Verdana" w:hAnsi="Verdana"/>
        </w:rPr>
        <w:t xml:space="preserve">Facebook: </w:t>
      </w:r>
      <w:proofErr w:type="spellStart"/>
      <w:r w:rsidRPr="009322DA">
        <w:rPr>
          <w:rFonts w:ascii="Verdana" w:eastAsia="Calibri" w:hAnsi="Verdana" w:cs="Times New Roman"/>
          <w:color w:val="4472C4" w:themeColor="accent1"/>
          <w:u w:val="single"/>
        </w:rPr>
        <w:t>ColombiaCompraEficiente</w:t>
      </w:r>
      <w:proofErr w:type="spellEnd"/>
    </w:p>
    <w:p w14:paraId="367D195E" w14:textId="77777777" w:rsidR="00753E1B" w:rsidRPr="0044528D" w:rsidRDefault="00753E1B" w:rsidP="001267ED">
      <w:pPr>
        <w:spacing w:after="0" w:line="276" w:lineRule="auto"/>
        <w:jc w:val="both"/>
        <w:rPr>
          <w:rFonts w:ascii="Verdana" w:hAnsi="Verdana"/>
        </w:rPr>
      </w:pPr>
      <w:r w:rsidRPr="0044528D">
        <w:rPr>
          <w:rFonts w:ascii="Verdana" w:hAnsi="Verdana"/>
        </w:rPr>
        <w:t xml:space="preserve">LinkedIn: </w:t>
      </w:r>
      <w:r w:rsidRPr="009322DA">
        <w:rPr>
          <w:rFonts w:ascii="Verdana" w:eastAsia="Calibri" w:hAnsi="Verdana" w:cs="Times New Roman"/>
          <w:color w:val="4472C4" w:themeColor="accent1"/>
          <w:u w:val="single"/>
        </w:rPr>
        <w:t>Agencia Nacional de Contratación Pública - Colombia Compra Eficiente</w:t>
      </w:r>
      <w:r w:rsidRPr="009322DA">
        <w:rPr>
          <w:rFonts w:ascii="Verdana" w:eastAsia="Calibri" w:hAnsi="Verdana" w:cs="Times New Roman"/>
          <w:color w:val="4472C4" w:themeColor="accent1"/>
        </w:rPr>
        <w:t xml:space="preserve"> </w:t>
      </w:r>
      <w:r w:rsidRPr="0044528D">
        <w:rPr>
          <w:rFonts w:ascii="Verdana" w:hAnsi="Verdana"/>
        </w:rPr>
        <w:t xml:space="preserve">Instagram: </w:t>
      </w:r>
      <w:r w:rsidRPr="009322DA">
        <w:rPr>
          <w:rFonts w:ascii="Verdana" w:eastAsia="Calibri" w:hAnsi="Verdana" w:cs="Times New Roman"/>
          <w:color w:val="4472C4" w:themeColor="accent1"/>
          <w:u w:val="single"/>
        </w:rPr>
        <w:t>@colombiacompraeficiente_cce</w:t>
      </w:r>
    </w:p>
    <w:p w14:paraId="784303DC" w14:textId="77777777" w:rsidR="00753E1B" w:rsidRPr="0044528D" w:rsidRDefault="00753E1B" w:rsidP="00753E1B">
      <w:pPr>
        <w:widowControl w:val="0"/>
        <w:autoSpaceDE w:val="0"/>
        <w:autoSpaceDN w:val="0"/>
        <w:spacing w:after="0" w:line="276" w:lineRule="auto"/>
        <w:jc w:val="both"/>
        <w:rPr>
          <w:rFonts w:ascii="Verdana" w:hAnsi="Verdana"/>
        </w:rPr>
      </w:pPr>
    </w:p>
    <w:p w14:paraId="3DF81186" w14:textId="77777777" w:rsidR="00753E1B" w:rsidRPr="009322DA" w:rsidRDefault="00753E1B" w:rsidP="00753E1B">
      <w:pPr>
        <w:widowControl w:val="0"/>
        <w:autoSpaceDE w:val="0"/>
        <w:autoSpaceDN w:val="0"/>
        <w:spacing w:after="0" w:line="276" w:lineRule="auto"/>
        <w:jc w:val="both"/>
        <w:rPr>
          <w:rFonts w:ascii="Verdana" w:eastAsia="Calibri" w:hAnsi="Verdana" w:cs="Arial"/>
          <w:lang w:val="es-ES_tradnl"/>
        </w:rPr>
      </w:pPr>
      <w:r w:rsidRPr="009322DA">
        <w:rPr>
          <w:rFonts w:ascii="Verdana" w:eastAsia="Calibri" w:hAnsi="Verdana" w:cs="Arial"/>
        </w:rPr>
        <w:t>Este concepto tiene el alcance previsto en el artículo 28 del Código de Procedimiento Administrativo y de lo Contencioso Administrativo.</w:t>
      </w:r>
    </w:p>
    <w:p w14:paraId="70C50C3B" w14:textId="77777777" w:rsidR="00753E1B" w:rsidRPr="009322DA" w:rsidRDefault="00753E1B" w:rsidP="00753E1B">
      <w:pPr>
        <w:widowControl w:val="0"/>
        <w:autoSpaceDE w:val="0"/>
        <w:autoSpaceDN w:val="0"/>
        <w:spacing w:after="0" w:line="276" w:lineRule="auto"/>
        <w:jc w:val="both"/>
        <w:rPr>
          <w:rFonts w:ascii="Verdana" w:eastAsia="Calibri" w:hAnsi="Verdana" w:cs="Arial"/>
        </w:rPr>
      </w:pPr>
    </w:p>
    <w:p w14:paraId="5273295F" w14:textId="77777777" w:rsidR="00753E1B" w:rsidRPr="009322DA" w:rsidRDefault="00753E1B" w:rsidP="00753E1B">
      <w:pPr>
        <w:spacing w:after="0" w:line="240" w:lineRule="auto"/>
        <w:rPr>
          <w:rFonts w:ascii="Verdana" w:eastAsia="Calibri" w:hAnsi="Verdana" w:cs="Arial"/>
          <w:lang w:eastAsia="es-CO"/>
        </w:rPr>
      </w:pPr>
      <w:r w:rsidRPr="009322DA">
        <w:rPr>
          <w:rFonts w:ascii="Verdana" w:eastAsia="Times New Roman" w:hAnsi="Verdana" w:cs="Arial"/>
          <w:lang w:eastAsia="es-CO"/>
        </w:rPr>
        <w:t>Atentamente,</w:t>
      </w:r>
      <w:r w:rsidRPr="009322DA">
        <w:rPr>
          <w:rFonts w:ascii="Verdana" w:eastAsia="Calibri" w:hAnsi="Verdana" w:cs="Arial"/>
          <w:lang w:eastAsia="es-CO"/>
        </w:rPr>
        <w:t xml:space="preserve"> </w:t>
      </w:r>
    </w:p>
    <w:p w14:paraId="2706F7C2" w14:textId="6D45E1CA" w:rsidR="00753E1B" w:rsidRPr="009322DA" w:rsidRDefault="000C7D07" w:rsidP="00753E1B">
      <w:pPr>
        <w:spacing w:line="276" w:lineRule="auto"/>
        <w:jc w:val="center"/>
        <w:rPr>
          <w:rFonts w:ascii="Verdana" w:eastAsia="Calibri" w:hAnsi="Verdana" w:cs="Arial"/>
          <w:color w:val="000000"/>
          <w:lang w:val="es-ES_tradnl" w:eastAsia="es-CO"/>
        </w:rPr>
      </w:pPr>
      <w:r w:rsidRPr="002C3AD6">
        <w:rPr>
          <w:rFonts w:ascii="Century Gothic" w:hAnsi="Century Gothic"/>
          <w:noProof/>
        </w:rPr>
        <w:lastRenderedPageBreak/>
        <w:drawing>
          <wp:inline distT="0" distB="0" distL="0" distR="0" wp14:anchorId="28452899" wp14:editId="00333D4B">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53E1B" w:rsidRPr="009322DA" w14:paraId="16405777" w14:textId="77777777" w:rsidTr="00D92A35">
        <w:trPr>
          <w:trHeight w:val="315"/>
        </w:trPr>
        <w:tc>
          <w:tcPr>
            <w:tcW w:w="893" w:type="dxa"/>
            <w:vAlign w:val="center"/>
            <w:hideMark/>
          </w:tcPr>
          <w:p w14:paraId="515B8393" w14:textId="77777777" w:rsidR="00753E1B" w:rsidRPr="009322DA" w:rsidRDefault="00753E1B" w:rsidP="00D92A35">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ED37DC9" w14:textId="77777777" w:rsidR="00753E1B" w:rsidRPr="009322DA" w:rsidRDefault="00753E1B" w:rsidP="00D92A35">
            <w:pPr>
              <w:spacing w:after="255"/>
              <w:contextualSpacing/>
              <w:rPr>
                <w:rFonts w:ascii="Verdana" w:eastAsia="Arial" w:hAnsi="Verdana" w:cs="Arial"/>
                <w:sz w:val="16"/>
                <w:szCs w:val="16"/>
              </w:rPr>
            </w:pPr>
            <w:r w:rsidRPr="009322DA">
              <w:rPr>
                <w:rFonts w:ascii="Verdana" w:hAnsi="Verdana"/>
                <w:sz w:val="16"/>
                <w:szCs w:val="16"/>
              </w:rPr>
              <w:t>Juan Manuel Avendaño Robles</w:t>
            </w:r>
          </w:p>
          <w:p w14:paraId="528D6AA0" w14:textId="77777777" w:rsidR="00753E1B" w:rsidRPr="009322DA" w:rsidRDefault="00753E1B" w:rsidP="00D92A35">
            <w:pPr>
              <w:spacing w:after="255"/>
              <w:contextualSpacing/>
              <w:rPr>
                <w:rFonts w:ascii="Verdana" w:eastAsia="Arial" w:hAnsi="Verdana" w:cs="Arial"/>
                <w:sz w:val="16"/>
                <w:szCs w:val="16"/>
              </w:rPr>
            </w:pPr>
            <w:r w:rsidRPr="009322DA">
              <w:rPr>
                <w:rFonts w:ascii="Verdana" w:eastAsia="Arial" w:hAnsi="Verdana" w:cs="Arial"/>
                <w:sz w:val="16"/>
                <w:szCs w:val="16"/>
              </w:rPr>
              <w:t>Contratista de la Subdirección de Gestión Contractual</w:t>
            </w:r>
          </w:p>
        </w:tc>
      </w:tr>
      <w:tr w:rsidR="00753E1B" w:rsidRPr="009322DA" w14:paraId="1461B1BC" w14:textId="77777777" w:rsidTr="00D92A35">
        <w:trPr>
          <w:trHeight w:val="330"/>
        </w:trPr>
        <w:tc>
          <w:tcPr>
            <w:tcW w:w="893" w:type="dxa"/>
            <w:vAlign w:val="center"/>
            <w:hideMark/>
          </w:tcPr>
          <w:p w14:paraId="3D6833D1" w14:textId="77777777" w:rsidR="00753E1B" w:rsidRPr="009322DA" w:rsidRDefault="00753E1B" w:rsidP="00D92A35">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198AC9E" w14:textId="77777777" w:rsidR="00753E1B" w:rsidRPr="00F80DEF" w:rsidRDefault="00753E1B" w:rsidP="00D92A35">
            <w:pPr>
              <w:contextualSpacing/>
              <w:textAlignment w:val="baseline"/>
              <w:rPr>
                <w:rFonts w:ascii="Verdana" w:eastAsia="Times New Roman" w:hAnsi="Verdana" w:cs="Arial"/>
                <w:sz w:val="16"/>
                <w:szCs w:val="16"/>
                <w:lang w:eastAsia="es-ES_tradnl"/>
              </w:rPr>
            </w:pPr>
            <w:r>
              <w:rPr>
                <w:rFonts w:ascii="Verdana" w:eastAsia="Times New Roman" w:hAnsi="Verdana" w:cs="Arial"/>
                <w:sz w:val="16"/>
                <w:szCs w:val="16"/>
                <w:lang w:eastAsia="es-ES_tradnl"/>
              </w:rPr>
              <w:t>Ximena Ríos López</w:t>
            </w:r>
          </w:p>
          <w:p w14:paraId="3923257B" w14:textId="77777777" w:rsidR="00753E1B" w:rsidRPr="00F80DEF" w:rsidRDefault="00753E1B" w:rsidP="00D92A35">
            <w:pPr>
              <w:contextualSpacing/>
              <w:textAlignment w:val="baseline"/>
              <w:rPr>
                <w:rFonts w:ascii="Verdana" w:eastAsia="Times New Roman" w:hAnsi="Verdana" w:cs="Segoe UI"/>
                <w:sz w:val="16"/>
                <w:szCs w:val="16"/>
                <w:lang w:eastAsia="es-ES_tradnl"/>
              </w:rPr>
            </w:pPr>
            <w:r>
              <w:rPr>
                <w:rFonts w:ascii="Verdana" w:eastAsia="Times New Roman" w:hAnsi="Verdana" w:cs="Arial"/>
                <w:sz w:val="16"/>
                <w:szCs w:val="16"/>
                <w:lang w:eastAsia="es-ES_tradnl"/>
              </w:rPr>
              <w:t>Gestor Código T1 Grado 11</w:t>
            </w:r>
            <w:r w:rsidRPr="00F80DEF">
              <w:rPr>
                <w:rFonts w:ascii="Verdana" w:eastAsia="Times New Roman" w:hAnsi="Verdana" w:cs="Arial"/>
                <w:sz w:val="16"/>
                <w:szCs w:val="16"/>
                <w:lang w:eastAsia="es-ES_tradnl"/>
              </w:rPr>
              <w:t xml:space="preserve"> de la Subdirección de Gestión Contractual</w:t>
            </w:r>
          </w:p>
        </w:tc>
      </w:tr>
      <w:tr w:rsidR="00753E1B" w:rsidRPr="009322DA" w14:paraId="682A47B9" w14:textId="77777777" w:rsidTr="00D92A35">
        <w:trPr>
          <w:trHeight w:val="300"/>
        </w:trPr>
        <w:tc>
          <w:tcPr>
            <w:tcW w:w="893" w:type="dxa"/>
            <w:vAlign w:val="center"/>
            <w:hideMark/>
          </w:tcPr>
          <w:p w14:paraId="02EC28CE" w14:textId="77777777" w:rsidR="00753E1B" w:rsidRPr="009322DA" w:rsidRDefault="00753E1B" w:rsidP="00D92A35">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8E62075" w14:textId="77777777" w:rsidR="00753E1B" w:rsidRPr="009322DA" w:rsidRDefault="00753E1B" w:rsidP="00D92A35">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14:paraId="6F77F621" w14:textId="77777777" w:rsidR="00753E1B" w:rsidRPr="009322DA" w:rsidRDefault="00753E1B" w:rsidP="00D92A35">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14:paraId="390E683D" w14:textId="77777777" w:rsidR="00753E1B" w:rsidRPr="002C290C" w:rsidRDefault="00753E1B" w:rsidP="00753E1B"/>
    <w:p w14:paraId="78C1B271" w14:textId="77777777" w:rsidR="00753E1B" w:rsidRPr="00FF1ECE" w:rsidRDefault="00753E1B" w:rsidP="00753E1B"/>
    <w:p w14:paraId="0F293BF4" w14:textId="7BBFAB11" w:rsidR="00127233" w:rsidRPr="00753E1B" w:rsidRDefault="00127233" w:rsidP="00753E1B"/>
    <w:sectPr w:rsidR="00127233" w:rsidRPr="00753E1B"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AEDE" w14:textId="77777777" w:rsidR="00D45F5B" w:rsidRDefault="00D45F5B" w:rsidP="004A1847">
      <w:pPr>
        <w:spacing w:after="0" w:line="240" w:lineRule="auto"/>
      </w:pPr>
      <w:r>
        <w:separator/>
      </w:r>
    </w:p>
  </w:endnote>
  <w:endnote w:type="continuationSeparator" w:id="0">
    <w:p w14:paraId="1A912E39" w14:textId="77777777" w:rsidR="00D45F5B" w:rsidRDefault="00D45F5B" w:rsidP="004A1847">
      <w:pPr>
        <w:spacing w:after="0" w:line="240" w:lineRule="auto"/>
      </w:pPr>
      <w:r>
        <w:continuationSeparator/>
      </w:r>
    </w:p>
  </w:endnote>
  <w:endnote w:type="continuationNotice" w:id="1">
    <w:p w14:paraId="788A82DE" w14:textId="77777777" w:rsidR="00D45F5B" w:rsidRDefault="00D45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Yu Mincho">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0D6F" w14:textId="77777777" w:rsidR="00D45F5B" w:rsidRDefault="00D45F5B" w:rsidP="004A1847">
      <w:pPr>
        <w:spacing w:after="0" w:line="240" w:lineRule="auto"/>
      </w:pPr>
      <w:r>
        <w:separator/>
      </w:r>
    </w:p>
  </w:footnote>
  <w:footnote w:type="continuationSeparator" w:id="0">
    <w:p w14:paraId="7659E8BC" w14:textId="77777777" w:rsidR="00D45F5B" w:rsidRDefault="00D45F5B" w:rsidP="004A1847">
      <w:pPr>
        <w:spacing w:after="0" w:line="240" w:lineRule="auto"/>
      </w:pPr>
      <w:r>
        <w:continuationSeparator/>
      </w:r>
    </w:p>
  </w:footnote>
  <w:footnote w:type="continuationNotice" w:id="1">
    <w:p w14:paraId="79979E7D" w14:textId="77777777" w:rsidR="00D45F5B" w:rsidRDefault="00D45F5B">
      <w:pPr>
        <w:spacing w:after="0" w:line="240" w:lineRule="auto"/>
      </w:pPr>
    </w:p>
  </w:footnote>
  <w:footnote w:id="2">
    <w:p w14:paraId="398E1324" w14:textId="77777777" w:rsidR="001D5CDE" w:rsidRPr="00EB31A3" w:rsidRDefault="001D5CDE" w:rsidP="00EB31A3">
      <w:pPr>
        <w:pStyle w:val="Textonotapie"/>
        <w:ind w:firstLine="708"/>
        <w:jc w:val="both"/>
        <w:rPr>
          <w:rFonts w:ascii="Verdana" w:hAnsi="Verdana"/>
          <w:i/>
          <w:sz w:val="12"/>
          <w:szCs w:val="12"/>
          <w:lang w:val="es-ES"/>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 xml:space="preserve">El Consejo de Estado, Sección Tercera en Sentencia del 23 de octubre de 2017 con consejero ponente: Jaime Orlando Santofimio Gamboa. </w:t>
      </w:r>
      <w:proofErr w:type="spellStart"/>
      <w:r w:rsidRPr="00EB31A3">
        <w:rPr>
          <w:rFonts w:ascii="Verdana" w:hAnsi="Verdana"/>
          <w:sz w:val="12"/>
          <w:szCs w:val="12"/>
          <w:lang w:val="es-ES"/>
        </w:rPr>
        <w:t>Exp</w:t>
      </w:r>
      <w:proofErr w:type="spellEnd"/>
      <w:r w:rsidRPr="00EB31A3">
        <w:rPr>
          <w:rFonts w:ascii="Verdana" w:hAnsi="Verdana"/>
          <w:sz w:val="12"/>
          <w:szCs w:val="12"/>
          <w:lang w:val="es-ES"/>
        </w:rPr>
        <w:t>. 53.477, .ha destacado sus características</w:t>
      </w:r>
      <w:r w:rsidRPr="00EB31A3">
        <w:rPr>
          <w:rFonts w:ascii="Verdana" w:hAnsi="Verdana"/>
          <w:i/>
          <w:sz w:val="12"/>
          <w:szCs w:val="12"/>
          <w:lang w:val="es-ES"/>
        </w:rPr>
        <w:t xml:space="preserve">: “[…] 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w:t>
      </w:r>
      <w:proofErr w:type="spellStart"/>
      <w:r w:rsidRPr="00EB31A3">
        <w:rPr>
          <w:rFonts w:ascii="Verdana" w:hAnsi="Verdana"/>
          <w:i/>
          <w:sz w:val="12"/>
          <w:szCs w:val="12"/>
          <w:lang w:val="es-ES"/>
        </w:rPr>
        <w:t>ii</w:t>
      </w:r>
      <w:proofErr w:type="spellEnd"/>
      <w:r w:rsidRPr="00EB31A3">
        <w:rPr>
          <w:rFonts w:ascii="Verdana" w:hAnsi="Verdana"/>
          <w:i/>
          <w:sz w:val="12"/>
          <w:szCs w:val="12"/>
          <w:lang w:val="es-ES"/>
        </w:rPr>
        <w:t xml:space="preserve">) El concesionario es quien asume la gestión y riesgo de un servicio que corresponde al Estado sustituyendo a éste en el cumplimiento de dicha carga; </w:t>
      </w:r>
      <w:proofErr w:type="spellStart"/>
      <w:r w:rsidRPr="00EB31A3">
        <w:rPr>
          <w:rFonts w:ascii="Verdana" w:hAnsi="Verdana"/>
          <w:i/>
          <w:sz w:val="12"/>
          <w:szCs w:val="12"/>
          <w:lang w:val="es-ES"/>
        </w:rPr>
        <w:t>iii</w:t>
      </w:r>
      <w:proofErr w:type="spellEnd"/>
      <w:r w:rsidRPr="00EB31A3">
        <w:rPr>
          <w:rFonts w:ascii="Verdana" w:hAnsi="Verdana"/>
          <w:i/>
          <w:sz w:val="12"/>
          <w:szCs w:val="12"/>
          <w:lang w:val="es-ES"/>
        </w:rPr>
        <w:t xml:space="preserve">) La entidad estatal mantiene durante la ejecución del contrato la inspección, vigilancia y control de la labor a ejecutar por parte del concesionario; </w:t>
      </w:r>
      <w:proofErr w:type="spellStart"/>
      <w:r w:rsidRPr="00EB31A3">
        <w:rPr>
          <w:rFonts w:ascii="Verdana" w:hAnsi="Verdana"/>
          <w:i/>
          <w:sz w:val="12"/>
          <w:szCs w:val="12"/>
          <w:lang w:val="es-ES"/>
        </w:rPr>
        <w:t>iv</w:t>
      </w:r>
      <w:proofErr w:type="spellEnd"/>
      <w:r w:rsidRPr="00EB31A3">
        <w:rPr>
          <w:rFonts w:ascii="Verdana" w:hAnsi="Verdana"/>
          <w:i/>
          <w:sz w:val="12"/>
          <w:szCs w:val="12"/>
          <w:lang w:val="es-ES"/>
        </w:rPr>
        <w:t>)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w:t>
      </w:r>
    </w:p>
    <w:p w14:paraId="1A811A88" w14:textId="77777777" w:rsidR="001D5CDE" w:rsidRPr="00EB31A3" w:rsidRDefault="001D5CDE" w:rsidP="001D5CDE">
      <w:pPr>
        <w:pStyle w:val="Textonotapie"/>
        <w:jc w:val="both"/>
        <w:rPr>
          <w:rFonts w:ascii="Verdana" w:hAnsi="Verdana"/>
          <w:sz w:val="12"/>
          <w:szCs w:val="12"/>
          <w:lang w:val="es-CO"/>
        </w:rPr>
      </w:pPr>
    </w:p>
  </w:footnote>
  <w:footnote w:id="3">
    <w:p w14:paraId="65E38DB3" w14:textId="77777777" w:rsidR="001D5CDE" w:rsidRPr="003B09B1" w:rsidRDefault="001D5CDE" w:rsidP="00EB31A3">
      <w:pPr>
        <w:pStyle w:val="Textonotapie"/>
        <w:ind w:firstLine="708"/>
        <w:jc w:val="both"/>
        <w:rPr>
          <w:rFonts w:ascii="Verdana" w:hAnsi="Verdana"/>
          <w:sz w:val="12"/>
          <w:szCs w:val="12"/>
          <w:lang w:val="pt-BR"/>
        </w:rPr>
      </w:pPr>
      <w:r w:rsidRPr="00EB31A3">
        <w:rPr>
          <w:rStyle w:val="Refdenotaalpie"/>
          <w:rFonts w:ascii="Verdana" w:hAnsi="Verdana"/>
          <w:sz w:val="12"/>
          <w:szCs w:val="12"/>
        </w:rPr>
        <w:footnoteRef/>
      </w:r>
      <w:r w:rsidRPr="003B09B1">
        <w:rPr>
          <w:rFonts w:ascii="Verdana" w:hAnsi="Verdana"/>
          <w:sz w:val="12"/>
          <w:szCs w:val="12"/>
          <w:lang w:val="pt-BR"/>
        </w:rPr>
        <w:t xml:space="preserve"> </w:t>
      </w:r>
      <w:bookmarkStart w:id="2" w:name="_Hlk180502673"/>
      <w:r w:rsidRPr="003B09B1">
        <w:rPr>
          <w:rFonts w:ascii="Verdana" w:hAnsi="Verdana"/>
          <w:sz w:val="12"/>
          <w:szCs w:val="12"/>
          <w:lang w:val="pt-BR"/>
        </w:rPr>
        <w:t>Corte Constitucional, Sentencia C-300 de 2012. Magistrado Ponente: Jorge Ignacio Pretelt Chaljub</w:t>
      </w:r>
      <w:bookmarkEnd w:id="2"/>
      <w:r w:rsidRPr="003B09B1">
        <w:rPr>
          <w:rFonts w:ascii="Verdana" w:hAnsi="Verdana"/>
          <w:sz w:val="12"/>
          <w:szCs w:val="12"/>
          <w:lang w:val="pt-BR"/>
        </w:rPr>
        <w:t>.</w:t>
      </w:r>
    </w:p>
  </w:footnote>
  <w:footnote w:id="4">
    <w:p w14:paraId="4A117C61" w14:textId="77777777" w:rsidR="00EB31A3" w:rsidRPr="003B09B1" w:rsidRDefault="00EB31A3" w:rsidP="001D5CDE">
      <w:pPr>
        <w:pStyle w:val="Textonotapie"/>
        <w:jc w:val="both"/>
        <w:rPr>
          <w:rFonts w:ascii="Verdana" w:hAnsi="Verdana"/>
          <w:sz w:val="12"/>
          <w:szCs w:val="12"/>
          <w:lang w:val="pt-BR"/>
        </w:rPr>
      </w:pPr>
    </w:p>
    <w:p w14:paraId="65BFF201" w14:textId="775319CB" w:rsidR="001D5CDE" w:rsidRPr="00EB31A3" w:rsidRDefault="001D5CDE" w:rsidP="00EB31A3">
      <w:pPr>
        <w:pStyle w:val="Textonotapie"/>
        <w:ind w:firstLine="708"/>
        <w:jc w:val="both"/>
        <w:rPr>
          <w:rFonts w:ascii="Verdana" w:hAnsi="Verdana"/>
          <w:sz w:val="12"/>
          <w:szCs w:val="12"/>
          <w:lang w:val="es-CO"/>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QUIÑONES GUZMAN, Juan Carlos. Contratos de Asociación Publico – Privada e Infraestructura de Transporte. Primera edición 20202. p. 6).</w:t>
      </w:r>
    </w:p>
  </w:footnote>
  <w:footnote w:id="5">
    <w:p w14:paraId="0FB3F25F" w14:textId="77777777" w:rsidR="001D5CDE" w:rsidRPr="00EB31A3" w:rsidRDefault="001D5CDE" w:rsidP="00EB31A3">
      <w:pPr>
        <w:pStyle w:val="Textonotapie"/>
        <w:ind w:firstLine="708"/>
        <w:jc w:val="both"/>
        <w:rPr>
          <w:rFonts w:ascii="Verdana" w:hAnsi="Verdana"/>
          <w:sz w:val="12"/>
          <w:szCs w:val="12"/>
          <w:lang w:val="es-CO"/>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 xml:space="preserve">La doctrina ha señalado que “[…] durante la década de los ochenta y de los noventa, las más variadas instituciones anglosajonas empiezan a proponer toda una serie de definiciones de la citada colaboración público privada (o en términos anglosajones </w:t>
      </w:r>
      <w:proofErr w:type="spellStart"/>
      <w:r w:rsidRPr="00EB31A3">
        <w:rPr>
          <w:rFonts w:ascii="Verdana" w:hAnsi="Verdana"/>
          <w:i/>
          <w:sz w:val="12"/>
          <w:szCs w:val="12"/>
          <w:lang w:val="es-ES"/>
        </w:rPr>
        <w:t>public</w:t>
      </w:r>
      <w:proofErr w:type="spellEnd"/>
      <w:r w:rsidRPr="00EB31A3">
        <w:rPr>
          <w:rFonts w:ascii="Verdana" w:hAnsi="Verdana"/>
          <w:i/>
          <w:sz w:val="12"/>
          <w:szCs w:val="12"/>
          <w:lang w:val="es-ES"/>
        </w:rPr>
        <w:t xml:space="preserve"> </w:t>
      </w:r>
      <w:proofErr w:type="spellStart"/>
      <w:r w:rsidRPr="00EB31A3">
        <w:rPr>
          <w:rFonts w:ascii="Verdana" w:hAnsi="Verdana"/>
          <w:i/>
          <w:sz w:val="12"/>
          <w:szCs w:val="12"/>
          <w:lang w:val="es-ES"/>
        </w:rPr>
        <w:t>private</w:t>
      </w:r>
      <w:proofErr w:type="spellEnd"/>
      <w:r w:rsidRPr="00EB31A3">
        <w:rPr>
          <w:rFonts w:ascii="Verdana" w:hAnsi="Verdana"/>
          <w:i/>
          <w:sz w:val="12"/>
          <w:szCs w:val="12"/>
          <w:lang w:val="es-ES"/>
        </w:rPr>
        <w:t xml:space="preserve"> </w:t>
      </w:r>
      <w:proofErr w:type="spellStart"/>
      <w:r w:rsidRPr="00EB31A3">
        <w:rPr>
          <w:rFonts w:ascii="Verdana" w:hAnsi="Verdana"/>
          <w:i/>
          <w:sz w:val="12"/>
          <w:szCs w:val="12"/>
          <w:lang w:val="es-ES"/>
        </w:rPr>
        <w:t>partnerships</w:t>
      </w:r>
      <w:proofErr w:type="spellEnd"/>
      <w:r w:rsidRPr="00EB31A3">
        <w:rPr>
          <w:rFonts w:ascii="Verdana" w:hAnsi="Verdana"/>
          <w:i/>
          <w:sz w:val="12"/>
          <w:szCs w:val="12"/>
          <w:lang w:val="es-ES"/>
        </w:rPr>
        <w:t xml:space="preserve"> –</w:t>
      </w:r>
      <w:r w:rsidRPr="00EB31A3">
        <w:rPr>
          <w:rFonts w:ascii="Verdana" w:hAnsi="Verdana"/>
          <w:sz w:val="12"/>
          <w:szCs w:val="12"/>
          <w:lang w:val="es-ES"/>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público-privada. Fórmulas contractuales. Madrid: </w:t>
      </w:r>
      <w:proofErr w:type="spellStart"/>
      <w:r w:rsidRPr="00EB31A3">
        <w:rPr>
          <w:rFonts w:ascii="Verdana" w:hAnsi="Verdana"/>
          <w:sz w:val="12"/>
          <w:szCs w:val="12"/>
          <w:lang w:val="es-ES"/>
        </w:rPr>
        <w:t>Civitas</w:t>
      </w:r>
      <w:proofErr w:type="spellEnd"/>
      <w:r w:rsidRPr="00EB31A3">
        <w:rPr>
          <w:rFonts w:ascii="Verdana" w:hAnsi="Verdana"/>
          <w:sz w:val="12"/>
          <w:szCs w:val="12"/>
          <w:lang w:val="es-ES"/>
        </w:rPr>
        <w:t>. pp. 37-38).</w:t>
      </w:r>
    </w:p>
  </w:footnote>
  <w:footnote w:id="6">
    <w:p w14:paraId="57CEEEA4" w14:textId="77777777" w:rsidR="00B2706E" w:rsidRPr="00EB31A3" w:rsidRDefault="00B2706E" w:rsidP="001D5CDE">
      <w:pPr>
        <w:pStyle w:val="Textonotapie"/>
        <w:jc w:val="both"/>
        <w:rPr>
          <w:rFonts w:ascii="Verdana" w:hAnsi="Verdana"/>
          <w:sz w:val="12"/>
          <w:szCs w:val="12"/>
        </w:rPr>
      </w:pPr>
    </w:p>
    <w:p w14:paraId="0565F078" w14:textId="6F3ED06E" w:rsidR="001D5CDE" w:rsidRPr="00EB31A3" w:rsidRDefault="001D5CDE" w:rsidP="00EB31A3">
      <w:pPr>
        <w:pStyle w:val="Textonotapie"/>
        <w:ind w:firstLine="708"/>
        <w:jc w:val="both"/>
        <w:rPr>
          <w:rFonts w:ascii="Verdana" w:hAnsi="Verdana"/>
          <w:sz w:val="12"/>
          <w:szCs w:val="12"/>
          <w:lang w:val="es-ES"/>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Dicho artículo dispone: “Las concesiones de que trata el numeral 4 del artículo 32 de la Ley 80 de 1993, se encuentran comprendidas dentro de los esquemas de Asociación Público Privadas.</w:t>
      </w:r>
    </w:p>
    <w:p w14:paraId="32C6E9C9" w14:textId="77777777" w:rsidR="001D5CDE" w:rsidRPr="00EB31A3" w:rsidRDefault="001D5CDE" w:rsidP="001D5CDE">
      <w:pPr>
        <w:pStyle w:val="Textonotapie"/>
        <w:jc w:val="both"/>
        <w:rPr>
          <w:rFonts w:ascii="Verdana" w:hAnsi="Verdana"/>
          <w:sz w:val="12"/>
          <w:szCs w:val="12"/>
          <w:lang w:val="es-ES"/>
        </w:rPr>
      </w:pPr>
      <w:r w:rsidRPr="00EB31A3">
        <w:rPr>
          <w:rFonts w:ascii="Verdana" w:hAnsi="Verdana"/>
          <w:sz w:val="12"/>
          <w:szCs w:val="12"/>
          <w:lang w:val="es-ES"/>
        </w:rPr>
        <w:t>Las concesiones vigentes al momento de la promulgación de la presente ley se seguirán rigiendo por las normas vigentes al momento de su celebración”.</w:t>
      </w:r>
    </w:p>
    <w:p w14:paraId="140394B8" w14:textId="77777777" w:rsidR="001D5CDE" w:rsidRPr="00EB31A3" w:rsidRDefault="001D5CDE" w:rsidP="001D5CDE">
      <w:pPr>
        <w:pStyle w:val="Textonotapie"/>
        <w:jc w:val="both"/>
        <w:rPr>
          <w:rFonts w:ascii="Verdana" w:hAnsi="Verdana"/>
          <w:sz w:val="12"/>
          <w:szCs w:val="12"/>
          <w:lang w:val="es-CO"/>
        </w:rPr>
      </w:pPr>
    </w:p>
  </w:footnote>
  <w:footnote w:id="7">
    <w:p w14:paraId="686D225F" w14:textId="77777777" w:rsidR="001D5CDE" w:rsidRPr="00EB31A3" w:rsidRDefault="001D5CDE" w:rsidP="00EB31A3">
      <w:pPr>
        <w:pStyle w:val="Textonotapie"/>
        <w:ind w:firstLine="708"/>
        <w:jc w:val="both"/>
        <w:rPr>
          <w:rFonts w:ascii="Verdana" w:hAnsi="Verdana"/>
          <w:sz w:val="12"/>
          <w:szCs w:val="12"/>
          <w:lang w:val="es-ES"/>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BENAVIDES, José Luis. Presentación. En: BENAVIDES, José Luis (compilador). Estudio sobre el régimen jurídico de las asociaciones público-privadas. Bogotá: Universidad Externado de Colombia, 2014, p. 13.</w:t>
      </w:r>
    </w:p>
    <w:p w14:paraId="3DCC73F3" w14:textId="77777777" w:rsidR="001D5CDE" w:rsidRPr="00EB31A3" w:rsidRDefault="001D5CDE" w:rsidP="001D5CDE">
      <w:pPr>
        <w:pStyle w:val="Textonotapie"/>
        <w:jc w:val="both"/>
        <w:rPr>
          <w:rFonts w:ascii="Verdana" w:hAnsi="Verdana"/>
          <w:sz w:val="12"/>
          <w:szCs w:val="12"/>
          <w:lang w:val="es-CO"/>
        </w:rPr>
      </w:pPr>
    </w:p>
  </w:footnote>
  <w:footnote w:id="8">
    <w:p w14:paraId="7AB92872" w14:textId="77777777" w:rsidR="001D5CDE" w:rsidRPr="00EB31A3" w:rsidRDefault="001D5CDE" w:rsidP="00EF6C60">
      <w:pPr>
        <w:pStyle w:val="Textonotapie"/>
        <w:ind w:firstLine="708"/>
        <w:jc w:val="both"/>
        <w:rPr>
          <w:rFonts w:ascii="Verdana" w:hAnsi="Verdana"/>
          <w:sz w:val="12"/>
          <w:szCs w:val="12"/>
          <w:lang w:val="es-ES"/>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Así, en la Sentencia C-300 de 2012, la Corte Constitucional indicó: “[...], en la sentencia C-949 de 2001, la Corte declaró inexequible la expresión “automática” del artículo 36 de la ley 80, en tanto autorizaba la prórroga automática de los contratos de concesión de telecomunicaciones. A juicio de la Corte, la prórroga automática de dichos contratos por un lapso igual al del contrato inicial, vulneraba el principio de libre concurrencia y restringía la igualdad de oportunidades para acceder al espectro electromagnético, lo que constituía un desconocimiento de los artículos 333 y 75 superiores. La Corte sostuvo:</w:t>
      </w:r>
    </w:p>
    <w:p w14:paraId="2C51971A" w14:textId="77777777" w:rsidR="001D5CDE" w:rsidRPr="00EB31A3" w:rsidRDefault="001D5CDE" w:rsidP="001D5CDE">
      <w:pPr>
        <w:pStyle w:val="Textonotapie"/>
        <w:jc w:val="both"/>
        <w:rPr>
          <w:rFonts w:ascii="Verdana" w:hAnsi="Verdana"/>
          <w:sz w:val="12"/>
          <w:szCs w:val="12"/>
          <w:lang w:val="es-ES"/>
        </w:rPr>
      </w:pPr>
    </w:p>
    <w:p w14:paraId="511E7EDC" w14:textId="77777777" w:rsidR="001D5CDE" w:rsidRPr="00EB31A3" w:rsidRDefault="001D5CDE" w:rsidP="001D5CDE">
      <w:pPr>
        <w:pStyle w:val="Textonotapie"/>
        <w:jc w:val="both"/>
        <w:rPr>
          <w:rFonts w:ascii="Verdana" w:hAnsi="Verdana"/>
          <w:sz w:val="12"/>
          <w:szCs w:val="12"/>
          <w:lang w:val="es-ES"/>
        </w:rPr>
      </w:pPr>
      <w:r w:rsidRPr="00EB31A3">
        <w:rPr>
          <w:rFonts w:ascii="Verdana" w:hAnsi="Verdana"/>
          <w:sz w:val="12"/>
          <w:szCs w:val="12"/>
          <w:lang w:val="es-ES"/>
        </w:rPr>
        <w:t xml:space="preserve">En efecto, </w:t>
      </w:r>
      <w:proofErr w:type="spellStart"/>
      <w:r w:rsidRPr="00EB31A3">
        <w:rPr>
          <w:rFonts w:ascii="Verdana" w:hAnsi="Verdana"/>
          <w:sz w:val="12"/>
          <w:szCs w:val="12"/>
          <w:lang w:val="es-ES"/>
        </w:rPr>
        <w:t>aún</w:t>
      </w:r>
      <w:proofErr w:type="spellEnd"/>
      <w:r w:rsidRPr="00EB31A3">
        <w:rPr>
          <w:rFonts w:ascii="Verdana" w:hAnsi="Verdana"/>
          <w:sz w:val="12"/>
          <w:szCs w:val="12"/>
          <w:lang w:val="es-ES"/>
        </w:rPr>
        <w:t xml:space="preserve"> cuando en materia de la contratación estatal el legislador está dotado de un amplio margen de configuración normativa, que en principio lo habilitaría para diseñar mecanismos que le permitan a las entidades estatales lograr la continuidad en la prestación de los servicios públicos -como el de la prórroga de los contratos de concesión para la prestación de servicios y actividades de telecomunicaciones-, no encuentra la Corte una justificación objetiva y razonable para restringir mediante la medida cuestionada el derecho a la libre competencia de los demás oferentes que se encuentren condiciones técnicas y financieras para desarrollar este objeto contractual.”</w:t>
      </w:r>
    </w:p>
    <w:p w14:paraId="19F5A387" w14:textId="77777777" w:rsidR="001D5CDE" w:rsidRPr="00EB31A3" w:rsidRDefault="001D5CDE" w:rsidP="001D5CDE">
      <w:pPr>
        <w:pStyle w:val="Textonotapie"/>
        <w:jc w:val="both"/>
        <w:rPr>
          <w:rFonts w:ascii="Verdana" w:hAnsi="Verdana"/>
          <w:sz w:val="12"/>
          <w:szCs w:val="12"/>
          <w:lang w:val="es-ES"/>
        </w:rPr>
      </w:pPr>
    </w:p>
    <w:p w14:paraId="7F8F3134" w14:textId="77777777" w:rsidR="001D5CDE" w:rsidRPr="00EB31A3" w:rsidRDefault="001D5CDE" w:rsidP="001D5CDE">
      <w:pPr>
        <w:pStyle w:val="Textonotapie"/>
        <w:jc w:val="both"/>
        <w:rPr>
          <w:rFonts w:ascii="Verdana" w:hAnsi="Verdana"/>
          <w:sz w:val="12"/>
          <w:szCs w:val="12"/>
          <w:lang w:val="es-ES"/>
        </w:rPr>
      </w:pPr>
      <w:r w:rsidRPr="00EB31A3">
        <w:rPr>
          <w:rFonts w:ascii="Verdana" w:hAnsi="Verdana"/>
          <w:sz w:val="12"/>
          <w:szCs w:val="12"/>
          <w:lang w:val="es-ES"/>
        </w:rPr>
        <w:t>[...]</w:t>
      </w:r>
    </w:p>
    <w:p w14:paraId="335F9CD1" w14:textId="77777777" w:rsidR="001D5CDE" w:rsidRPr="00EB31A3" w:rsidRDefault="001D5CDE" w:rsidP="001D5CDE">
      <w:pPr>
        <w:pStyle w:val="Textonotapie"/>
        <w:jc w:val="both"/>
        <w:rPr>
          <w:rFonts w:ascii="Verdana" w:hAnsi="Verdana"/>
          <w:sz w:val="12"/>
          <w:szCs w:val="12"/>
          <w:lang w:val="es-ES"/>
        </w:rPr>
      </w:pPr>
    </w:p>
    <w:p w14:paraId="760FBA64" w14:textId="77777777" w:rsidR="001D5CDE" w:rsidRPr="00EB31A3" w:rsidRDefault="001D5CDE" w:rsidP="001D5CDE">
      <w:pPr>
        <w:pStyle w:val="Textonotapie"/>
        <w:jc w:val="both"/>
        <w:rPr>
          <w:rFonts w:ascii="Verdana" w:hAnsi="Verdana"/>
          <w:sz w:val="12"/>
          <w:szCs w:val="12"/>
          <w:lang w:val="es-ES"/>
        </w:rPr>
      </w:pPr>
      <w:r w:rsidRPr="00EB31A3">
        <w:rPr>
          <w:rFonts w:ascii="Verdana" w:hAnsi="Verdana"/>
          <w:sz w:val="12"/>
          <w:szCs w:val="12"/>
          <w:lang w:val="es-ES"/>
        </w:rPr>
        <w:t>Por razones similares, en la sentencia C-068 de 2009, la Corte declaró inexequible, entre otras, la expresión “y sucesivamente” contenida en el inciso primero del artículo 8º de la ley 1º de 1991, en tanto permitía la prórroga sucesiva de los contratos de concesión portuaria sin limitación en términos de número. A juicio de la Corte, la prórroga sucesiva desconoce los derechos a la participación en condiciones de igualdad y a la libre competencia económica, “(…) pues benefician en términos desproporcionados al concesionario parte en el contrato inicial, al privar de su ejercicio efectivo a quienes no participaron o no resultaron escogidos en el proceso que culminó con su otorgamiento, así como a nuevos oferentes que se encuentren en condiciones técnicas y financieras habilitantes para competir en el desarrollo del objeto contractual de la concesión portuaria “.</w:t>
      </w:r>
    </w:p>
    <w:p w14:paraId="546E7E92" w14:textId="77777777" w:rsidR="001D5CDE" w:rsidRPr="00EB31A3" w:rsidRDefault="001D5CDE" w:rsidP="001D5CDE">
      <w:pPr>
        <w:pStyle w:val="Textonotapie"/>
        <w:jc w:val="both"/>
        <w:rPr>
          <w:rFonts w:ascii="Verdana" w:hAnsi="Verdana"/>
          <w:sz w:val="12"/>
          <w:szCs w:val="12"/>
          <w:lang w:val="es-CO"/>
        </w:rPr>
      </w:pPr>
    </w:p>
  </w:footnote>
  <w:footnote w:id="9">
    <w:p w14:paraId="2DFA84C7" w14:textId="77777777" w:rsidR="001D5CDE" w:rsidRPr="00EB31A3" w:rsidRDefault="001D5CDE" w:rsidP="00F14291">
      <w:pPr>
        <w:pStyle w:val="Textonotapie"/>
        <w:ind w:firstLine="708"/>
        <w:jc w:val="both"/>
        <w:rPr>
          <w:rFonts w:ascii="Verdana" w:hAnsi="Verdana"/>
          <w:sz w:val="12"/>
          <w:szCs w:val="12"/>
          <w:lang w:val="es-ES"/>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Al respecto, ver: Consejo de Estado. Sección Tercera. Sentencia del 29 de enero de 2018. Consejero Ponente: Jaime Orlando Santofimio Gamboa. Expediente: 52.666 y Sentencia del 31 de julio de 2014. Consejero Ponente: Ramiro Pazos Guerrero. Expediente: 21.184.</w:t>
      </w:r>
    </w:p>
    <w:p w14:paraId="7EC482AF" w14:textId="77777777" w:rsidR="001D5CDE" w:rsidRPr="00EB31A3" w:rsidRDefault="001D5CDE" w:rsidP="001D5CDE">
      <w:pPr>
        <w:pStyle w:val="Textonotapie"/>
        <w:jc w:val="both"/>
        <w:rPr>
          <w:rFonts w:ascii="Verdana" w:hAnsi="Verdana"/>
          <w:sz w:val="12"/>
          <w:szCs w:val="12"/>
          <w:lang w:val="es-CO"/>
        </w:rPr>
      </w:pPr>
    </w:p>
  </w:footnote>
  <w:footnote w:id="10">
    <w:p w14:paraId="53D65CD9" w14:textId="77777777" w:rsidR="001D5CDE" w:rsidRPr="00EB31A3" w:rsidRDefault="001D5CDE" w:rsidP="00F14291">
      <w:pPr>
        <w:pStyle w:val="Textonotapie"/>
        <w:ind w:firstLine="708"/>
        <w:jc w:val="both"/>
        <w:rPr>
          <w:rFonts w:ascii="Verdana" w:hAnsi="Verdana"/>
          <w:lang w:val="es-CO"/>
        </w:rPr>
      </w:pPr>
      <w:r w:rsidRPr="00EB31A3">
        <w:rPr>
          <w:rStyle w:val="Refdenotaalpie"/>
          <w:rFonts w:ascii="Verdana" w:hAnsi="Verdana"/>
          <w:sz w:val="12"/>
          <w:szCs w:val="12"/>
        </w:rPr>
        <w:footnoteRef/>
      </w:r>
      <w:r w:rsidRPr="00EB31A3">
        <w:rPr>
          <w:rFonts w:ascii="Verdana" w:hAnsi="Verdana"/>
          <w:sz w:val="12"/>
          <w:szCs w:val="12"/>
        </w:rPr>
        <w:t xml:space="preserve"> </w:t>
      </w:r>
      <w:r w:rsidRPr="00EB31A3">
        <w:rPr>
          <w:rFonts w:ascii="Verdana" w:hAnsi="Verdana"/>
          <w:sz w:val="12"/>
          <w:szCs w:val="12"/>
          <w:lang w:val="es-ES"/>
        </w:rPr>
        <w:t>Consejo de Estado. Sección Tercera. Sentencia del 29 de enero de 2018. Consejero Ponente: Jaime Orlando Santofimio Gamboa. Expediente: 52.666.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262C42"/>
    <w:multiLevelType w:val="hybridMultilevel"/>
    <w:tmpl w:val="044AF5C8"/>
    <w:lvl w:ilvl="0" w:tplc="956A96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BC7074"/>
    <w:multiLevelType w:val="hybridMultilevel"/>
    <w:tmpl w:val="548E4D16"/>
    <w:lvl w:ilvl="0" w:tplc="295054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255078A"/>
    <w:multiLevelType w:val="hybridMultilevel"/>
    <w:tmpl w:val="9E325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1D6E8A"/>
    <w:multiLevelType w:val="hybridMultilevel"/>
    <w:tmpl w:val="835E43C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CED7626"/>
    <w:multiLevelType w:val="hybridMultilevel"/>
    <w:tmpl w:val="47D29DB0"/>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5143464E"/>
    <w:multiLevelType w:val="hybridMultilevel"/>
    <w:tmpl w:val="B9B4E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9B0351"/>
    <w:multiLevelType w:val="hybridMultilevel"/>
    <w:tmpl w:val="E0FA9472"/>
    <w:lvl w:ilvl="0" w:tplc="C5C0FF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7"/>
  </w:num>
  <w:num w:numId="8" w16cid:durableId="152644682">
    <w:abstractNumId w:val="18"/>
  </w:num>
  <w:num w:numId="9" w16cid:durableId="1317221377">
    <w:abstractNumId w:val="9"/>
  </w:num>
  <w:num w:numId="10" w16cid:durableId="1471245386">
    <w:abstractNumId w:val="17"/>
  </w:num>
  <w:num w:numId="11" w16cid:durableId="289172385">
    <w:abstractNumId w:val="10"/>
  </w:num>
  <w:num w:numId="12" w16cid:durableId="1470781324">
    <w:abstractNumId w:val="1"/>
  </w:num>
  <w:num w:numId="13" w16cid:durableId="1512908409">
    <w:abstractNumId w:val="5"/>
  </w:num>
  <w:num w:numId="14" w16cid:durableId="895897244">
    <w:abstractNumId w:val="20"/>
  </w:num>
  <w:num w:numId="15" w16cid:durableId="390349800">
    <w:abstractNumId w:val="16"/>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089576">
    <w:abstractNumId w:val="11"/>
  </w:num>
  <w:num w:numId="18" w16cid:durableId="510485053">
    <w:abstractNumId w:val="4"/>
  </w:num>
  <w:num w:numId="19" w16cid:durableId="312367605">
    <w:abstractNumId w:val="12"/>
  </w:num>
  <w:num w:numId="20" w16cid:durableId="2081251636">
    <w:abstractNumId w:val="15"/>
  </w:num>
  <w:num w:numId="21" w16cid:durableId="210464253">
    <w:abstractNumId w:val="13"/>
  </w:num>
  <w:num w:numId="22" w16cid:durableId="7411714">
    <w:abstractNumId w:val="14"/>
  </w:num>
  <w:num w:numId="23" w16cid:durableId="900018885">
    <w:abstractNumId w:val="21"/>
  </w:num>
  <w:num w:numId="24" w16cid:durableId="189808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1029"/>
    <w:rsid w:val="00035E3E"/>
    <w:rsid w:val="00061B2A"/>
    <w:rsid w:val="00082362"/>
    <w:rsid w:val="0008686D"/>
    <w:rsid w:val="00093898"/>
    <w:rsid w:val="00094B3C"/>
    <w:rsid w:val="000A683E"/>
    <w:rsid w:val="000B19B9"/>
    <w:rsid w:val="000C7D07"/>
    <w:rsid w:val="000D0334"/>
    <w:rsid w:val="000F6486"/>
    <w:rsid w:val="00125105"/>
    <w:rsid w:val="001267ED"/>
    <w:rsid w:val="00127233"/>
    <w:rsid w:val="0013343A"/>
    <w:rsid w:val="00180E5E"/>
    <w:rsid w:val="001A41F8"/>
    <w:rsid w:val="001B5B82"/>
    <w:rsid w:val="001D5CDE"/>
    <w:rsid w:val="001E4177"/>
    <w:rsid w:val="001E44DA"/>
    <w:rsid w:val="001F7DC6"/>
    <w:rsid w:val="002204EC"/>
    <w:rsid w:val="002421BB"/>
    <w:rsid w:val="0024548D"/>
    <w:rsid w:val="0025796E"/>
    <w:rsid w:val="00266406"/>
    <w:rsid w:val="002707A2"/>
    <w:rsid w:val="002951A0"/>
    <w:rsid w:val="00295FF8"/>
    <w:rsid w:val="002962BC"/>
    <w:rsid w:val="002A093D"/>
    <w:rsid w:val="002A0DD0"/>
    <w:rsid w:val="002A49AC"/>
    <w:rsid w:val="002A64FD"/>
    <w:rsid w:val="002C7A84"/>
    <w:rsid w:val="002E2EEE"/>
    <w:rsid w:val="002E4FD9"/>
    <w:rsid w:val="00322A85"/>
    <w:rsid w:val="00324168"/>
    <w:rsid w:val="00340BC0"/>
    <w:rsid w:val="00341C68"/>
    <w:rsid w:val="003448F4"/>
    <w:rsid w:val="00354885"/>
    <w:rsid w:val="00357D2F"/>
    <w:rsid w:val="00374F5E"/>
    <w:rsid w:val="00377E3E"/>
    <w:rsid w:val="003A26D1"/>
    <w:rsid w:val="003A779E"/>
    <w:rsid w:val="003A7B64"/>
    <w:rsid w:val="003B09B1"/>
    <w:rsid w:val="003D0F4D"/>
    <w:rsid w:val="003D5B0D"/>
    <w:rsid w:val="003E0499"/>
    <w:rsid w:val="003F3941"/>
    <w:rsid w:val="00400FB4"/>
    <w:rsid w:val="00406575"/>
    <w:rsid w:val="0042722E"/>
    <w:rsid w:val="0044528D"/>
    <w:rsid w:val="00476EBA"/>
    <w:rsid w:val="00483F66"/>
    <w:rsid w:val="00491ADE"/>
    <w:rsid w:val="0049651E"/>
    <w:rsid w:val="004A1847"/>
    <w:rsid w:val="004A305D"/>
    <w:rsid w:val="004D3CA4"/>
    <w:rsid w:val="004D3D83"/>
    <w:rsid w:val="004D4D85"/>
    <w:rsid w:val="004D7A4C"/>
    <w:rsid w:val="004F21C4"/>
    <w:rsid w:val="004F685F"/>
    <w:rsid w:val="00541101"/>
    <w:rsid w:val="00551616"/>
    <w:rsid w:val="005566E8"/>
    <w:rsid w:val="00574867"/>
    <w:rsid w:val="00581975"/>
    <w:rsid w:val="00584FF1"/>
    <w:rsid w:val="00591460"/>
    <w:rsid w:val="00592628"/>
    <w:rsid w:val="005C0D5F"/>
    <w:rsid w:val="005C3777"/>
    <w:rsid w:val="005C3FB4"/>
    <w:rsid w:val="005C5CDC"/>
    <w:rsid w:val="005D476C"/>
    <w:rsid w:val="005D5A94"/>
    <w:rsid w:val="006037F1"/>
    <w:rsid w:val="00610812"/>
    <w:rsid w:val="006219F8"/>
    <w:rsid w:val="00650FF7"/>
    <w:rsid w:val="00665D70"/>
    <w:rsid w:val="00671DAC"/>
    <w:rsid w:val="0067266E"/>
    <w:rsid w:val="006900D9"/>
    <w:rsid w:val="006C0CAB"/>
    <w:rsid w:val="006D12F8"/>
    <w:rsid w:val="006D284B"/>
    <w:rsid w:val="00706C16"/>
    <w:rsid w:val="007165C7"/>
    <w:rsid w:val="00750840"/>
    <w:rsid w:val="00750F7C"/>
    <w:rsid w:val="00753E1B"/>
    <w:rsid w:val="00756841"/>
    <w:rsid w:val="007649AB"/>
    <w:rsid w:val="007655B9"/>
    <w:rsid w:val="00771D0C"/>
    <w:rsid w:val="007833AC"/>
    <w:rsid w:val="007B268C"/>
    <w:rsid w:val="007B7171"/>
    <w:rsid w:val="007C0C0F"/>
    <w:rsid w:val="007C3DC2"/>
    <w:rsid w:val="007E27DC"/>
    <w:rsid w:val="007E5497"/>
    <w:rsid w:val="00806F5F"/>
    <w:rsid w:val="008078AC"/>
    <w:rsid w:val="00820278"/>
    <w:rsid w:val="008261BA"/>
    <w:rsid w:val="00830DF9"/>
    <w:rsid w:val="0087090B"/>
    <w:rsid w:val="00870AA0"/>
    <w:rsid w:val="008843B6"/>
    <w:rsid w:val="00891928"/>
    <w:rsid w:val="008A03E5"/>
    <w:rsid w:val="008A446D"/>
    <w:rsid w:val="008D180B"/>
    <w:rsid w:val="008F0688"/>
    <w:rsid w:val="008F0EA7"/>
    <w:rsid w:val="00923EEF"/>
    <w:rsid w:val="00935783"/>
    <w:rsid w:val="009414E6"/>
    <w:rsid w:val="009419F9"/>
    <w:rsid w:val="0095685E"/>
    <w:rsid w:val="00961B09"/>
    <w:rsid w:val="00965334"/>
    <w:rsid w:val="0097093E"/>
    <w:rsid w:val="00982E26"/>
    <w:rsid w:val="009A0DFA"/>
    <w:rsid w:val="009B2D26"/>
    <w:rsid w:val="009C71FA"/>
    <w:rsid w:val="009C72E7"/>
    <w:rsid w:val="009C755D"/>
    <w:rsid w:val="009D3058"/>
    <w:rsid w:val="009E70E9"/>
    <w:rsid w:val="009F3A13"/>
    <w:rsid w:val="00A122D3"/>
    <w:rsid w:val="00A17F13"/>
    <w:rsid w:val="00A20739"/>
    <w:rsid w:val="00A33C78"/>
    <w:rsid w:val="00A719CC"/>
    <w:rsid w:val="00A91769"/>
    <w:rsid w:val="00AB0ADB"/>
    <w:rsid w:val="00AC2F54"/>
    <w:rsid w:val="00AE6A26"/>
    <w:rsid w:val="00B01B1A"/>
    <w:rsid w:val="00B03847"/>
    <w:rsid w:val="00B2517E"/>
    <w:rsid w:val="00B2706E"/>
    <w:rsid w:val="00B578CE"/>
    <w:rsid w:val="00B6269F"/>
    <w:rsid w:val="00B72CD3"/>
    <w:rsid w:val="00B72FFF"/>
    <w:rsid w:val="00B94197"/>
    <w:rsid w:val="00B96084"/>
    <w:rsid w:val="00BC3D36"/>
    <w:rsid w:val="00BC5769"/>
    <w:rsid w:val="00BC6661"/>
    <w:rsid w:val="00BD3B48"/>
    <w:rsid w:val="00BD7F72"/>
    <w:rsid w:val="00BF4605"/>
    <w:rsid w:val="00C04FB3"/>
    <w:rsid w:val="00C21D35"/>
    <w:rsid w:val="00C330EB"/>
    <w:rsid w:val="00C754BE"/>
    <w:rsid w:val="00C76B1C"/>
    <w:rsid w:val="00C93938"/>
    <w:rsid w:val="00CA4632"/>
    <w:rsid w:val="00CB6357"/>
    <w:rsid w:val="00CC1B26"/>
    <w:rsid w:val="00CF25CF"/>
    <w:rsid w:val="00D219E2"/>
    <w:rsid w:val="00D32A67"/>
    <w:rsid w:val="00D423A2"/>
    <w:rsid w:val="00D45F5B"/>
    <w:rsid w:val="00D51B4D"/>
    <w:rsid w:val="00D520D8"/>
    <w:rsid w:val="00D63AC2"/>
    <w:rsid w:val="00D7383B"/>
    <w:rsid w:val="00D7568E"/>
    <w:rsid w:val="00D92A35"/>
    <w:rsid w:val="00DA092E"/>
    <w:rsid w:val="00DA231B"/>
    <w:rsid w:val="00DA23A0"/>
    <w:rsid w:val="00DB315B"/>
    <w:rsid w:val="00DC39FC"/>
    <w:rsid w:val="00DC7D2B"/>
    <w:rsid w:val="00DF5254"/>
    <w:rsid w:val="00DF5EDA"/>
    <w:rsid w:val="00E16408"/>
    <w:rsid w:val="00E20894"/>
    <w:rsid w:val="00E245AB"/>
    <w:rsid w:val="00E2764C"/>
    <w:rsid w:val="00E27F2E"/>
    <w:rsid w:val="00E31F29"/>
    <w:rsid w:val="00E413EA"/>
    <w:rsid w:val="00E50AFE"/>
    <w:rsid w:val="00E57838"/>
    <w:rsid w:val="00E621DB"/>
    <w:rsid w:val="00E75C92"/>
    <w:rsid w:val="00E771DC"/>
    <w:rsid w:val="00E8772A"/>
    <w:rsid w:val="00E90F6B"/>
    <w:rsid w:val="00E92C27"/>
    <w:rsid w:val="00EA0E3D"/>
    <w:rsid w:val="00EB31A3"/>
    <w:rsid w:val="00EC38A7"/>
    <w:rsid w:val="00ED3116"/>
    <w:rsid w:val="00EE1AA8"/>
    <w:rsid w:val="00EE1B56"/>
    <w:rsid w:val="00EE4B4F"/>
    <w:rsid w:val="00EF6C60"/>
    <w:rsid w:val="00F14291"/>
    <w:rsid w:val="00F31994"/>
    <w:rsid w:val="00F31EDC"/>
    <w:rsid w:val="00F37437"/>
    <w:rsid w:val="00F40734"/>
    <w:rsid w:val="00F462B3"/>
    <w:rsid w:val="00F5664F"/>
    <w:rsid w:val="00F666C4"/>
    <w:rsid w:val="00F76AFC"/>
    <w:rsid w:val="00FA47C0"/>
    <w:rsid w:val="00FA4B7E"/>
    <w:rsid w:val="00FB5DD1"/>
    <w:rsid w:val="00FC2B5D"/>
    <w:rsid w:val="00FD00EC"/>
    <w:rsid w:val="00FF1449"/>
    <w:rsid w:val="51A04DEA"/>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51B6E2F5-7294-4A65-8A84-975630C4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53E1B"/>
    <w:pPr>
      <w:spacing w:line="240" w:lineRule="exact"/>
    </w:pPr>
    <w:rPr>
      <w:vertAlign w:val="superscript"/>
    </w:rPr>
  </w:style>
  <w:style w:type="table" w:customStyle="1" w:styleId="Tablaconcuadrcula1">
    <w:name w:val="Tabla con cuadrícula1"/>
    <w:basedOn w:val="Tablanormal"/>
    <w:next w:val="Tablaconcuadrcula"/>
    <w:uiPriority w:val="39"/>
    <w:qFormat/>
    <w:rsid w:val="0075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53E1B"/>
    <w:rPr>
      <w:rFonts w:ascii="Geomanist Light" w:hAnsi="Geomanist Light"/>
      <w:lang w:val="es-ES"/>
    </w:rPr>
  </w:style>
  <w:style w:type="character" w:styleId="Refdecomentario">
    <w:name w:val="annotation reference"/>
    <w:basedOn w:val="Fuentedeprrafopredeter"/>
    <w:uiPriority w:val="99"/>
    <w:semiHidden/>
    <w:unhideWhenUsed/>
    <w:rsid w:val="009E70E9"/>
    <w:rPr>
      <w:sz w:val="16"/>
      <w:szCs w:val="16"/>
    </w:rPr>
  </w:style>
  <w:style w:type="paragraph" w:styleId="Textocomentario">
    <w:name w:val="annotation text"/>
    <w:basedOn w:val="Normal"/>
    <w:link w:val="TextocomentarioCar"/>
    <w:uiPriority w:val="99"/>
    <w:unhideWhenUsed/>
    <w:rsid w:val="009E70E9"/>
    <w:pPr>
      <w:spacing w:line="240" w:lineRule="auto"/>
    </w:pPr>
    <w:rPr>
      <w:sz w:val="20"/>
      <w:szCs w:val="20"/>
    </w:rPr>
  </w:style>
  <w:style w:type="character" w:customStyle="1" w:styleId="TextocomentarioCar">
    <w:name w:val="Texto comentario Car"/>
    <w:basedOn w:val="Fuentedeprrafopredeter"/>
    <w:link w:val="Textocomentario"/>
    <w:uiPriority w:val="99"/>
    <w:rsid w:val="009E70E9"/>
    <w:rPr>
      <w:sz w:val="20"/>
      <w:szCs w:val="20"/>
    </w:rPr>
  </w:style>
  <w:style w:type="paragraph" w:styleId="Asuntodelcomentario">
    <w:name w:val="annotation subject"/>
    <w:basedOn w:val="Textocomentario"/>
    <w:next w:val="Textocomentario"/>
    <w:link w:val="AsuntodelcomentarioCar"/>
    <w:uiPriority w:val="99"/>
    <w:semiHidden/>
    <w:unhideWhenUsed/>
    <w:rsid w:val="009E70E9"/>
    <w:rPr>
      <w:b/>
      <w:bCs/>
    </w:rPr>
  </w:style>
  <w:style w:type="character" w:customStyle="1" w:styleId="AsuntodelcomentarioCar">
    <w:name w:val="Asunto del comentario Car"/>
    <w:basedOn w:val="TextocomentarioCar"/>
    <w:link w:val="Asuntodelcomentario"/>
    <w:uiPriority w:val="99"/>
    <w:semiHidden/>
    <w:rsid w:val="009E70E9"/>
    <w:rPr>
      <w:b/>
      <w:bCs/>
      <w:sz w:val="20"/>
      <w:szCs w:val="20"/>
    </w:rPr>
  </w:style>
  <w:style w:type="paragraph" w:styleId="Textoindependiente">
    <w:name w:val="Body Text"/>
    <w:basedOn w:val="Normal"/>
    <w:link w:val="TextoindependienteCar"/>
    <w:uiPriority w:val="99"/>
    <w:semiHidden/>
    <w:unhideWhenUsed/>
    <w:rsid w:val="0013343A"/>
    <w:pPr>
      <w:spacing w:after="120"/>
    </w:pPr>
  </w:style>
  <w:style w:type="character" w:customStyle="1" w:styleId="TextoindependienteCar">
    <w:name w:val="Texto independiente Car"/>
    <w:basedOn w:val="Fuentedeprrafopredeter"/>
    <w:link w:val="Textoindependiente"/>
    <w:uiPriority w:val="99"/>
    <w:semiHidden/>
    <w:rsid w:val="0013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24724321">
      <w:bodyDiv w:val="1"/>
      <w:marLeft w:val="0"/>
      <w:marRight w:val="0"/>
      <w:marTop w:val="0"/>
      <w:marBottom w:val="0"/>
      <w:divBdr>
        <w:top w:val="none" w:sz="0" w:space="0" w:color="auto"/>
        <w:left w:val="none" w:sz="0" w:space="0" w:color="auto"/>
        <w:bottom w:val="none" w:sz="0" w:space="0" w:color="auto"/>
        <w:right w:val="none" w:sz="0" w:space="0" w:color="auto"/>
      </w:divBdr>
    </w:div>
    <w:div w:id="547179792">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boletin-de-relatoria-2024-vi-modalidad-de-seleccion-de-seleccion-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artinez@mestremendiet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3E42854A-41A7-493F-86F8-B794E1F08C9E}"/>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2940</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Avendaño Robles</cp:lastModifiedBy>
  <cp:revision>2</cp:revision>
  <cp:lastPrinted>2023-01-10T21:18:00Z</cp:lastPrinted>
  <dcterms:created xsi:type="dcterms:W3CDTF">2024-10-30T17:48:00Z</dcterms:created>
  <dcterms:modified xsi:type="dcterms:W3CDTF">2024-10-30T17:48:00Z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