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DF35" w14:textId="77777777" w:rsidR="00C04209" w:rsidRPr="00C04209" w:rsidRDefault="00C04209" w:rsidP="00C04209">
      <w:pPr>
        <w:spacing w:after="0" w:line="240" w:lineRule="auto"/>
        <w:contextualSpacing/>
        <w:jc w:val="both"/>
        <w:rPr>
          <w:rFonts w:ascii="Verdana" w:eastAsia="Arial" w:hAnsi="Verdana" w:cs="Arial"/>
          <w:b/>
          <w:lang w:val="es-MX" w:eastAsia="es-ES_tradnl"/>
        </w:rPr>
      </w:pPr>
      <w:bookmarkStart w:id="0" w:name="_Hlk143780582"/>
      <w:r w:rsidRPr="00C04209">
        <w:rPr>
          <w:rFonts w:ascii="Verdana" w:eastAsia="Arial" w:hAnsi="Verdana" w:cs="Arial"/>
          <w:b/>
          <w:lang w:val="es-MX" w:eastAsia="es-ES_tradnl"/>
        </w:rPr>
        <w:t>CONTRATACIÓN DIRECTA – Causales</w:t>
      </w:r>
    </w:p>
    <w:p w14:paraId="6C30F760" w14:textId="77777777" w:rsidR="00C04209" w:rsidRPr="00C04209" w:rsidRDefault="00C04209" w:rsidP="00C04209">
      <w:pPr>
        <w:spacing w:after="0" w:line="240" w:lineRule="auto"/>
        <w:contextualSpacing/>
        <w:jc w:val="both"/>
        <w:rPr>
          <w:rFonts w:ascii="Verdana" w:eastAsia="Arial" w:hAnsi="Verdana" w:cs="Arial"/>
          <w:b/>
          <w:lang w:val="es-MX" w:eastAsia="es-ES_tradnl"/>
        </w:rPr>
      </w:pPr>
    </w:p>
    <w:p w14:paraId="2D8F1949" w14:textId="77777777" w:rsidR="00C04209" w:rsidRPr="00C04209" w:rsidRDefault="00C04209" w:rsidP="00C04209">
      <w:pPr>
        <w:spacing w:after="0" w:line="240" w:lineRule="auto"/>
        <w:contextualSpacing/>
        <w:jc w:val="both"/>
        <w:rPr>
          <w:rFonts w:ascii="Verdana" w:eastAsia="Times New Roman" w:hAnsi="Verdana" w:cs="Arial"/>
        </w:rPr>
      </w:pPr>
      <w:bookmarkStart w:id="1" w:name="_gjdgxs" w:colFirst="0" w:colLast="0"/>
      <w:bookmarkEnd w:id="1"/>
      <w:r w:rsidRPr="00C04209">
        <w:rPr>
          <w:rFonts w:ascii="Verdana" w:eastAsia="Arial" w:hAnsi="Verdana" w:cs="Arial"/>
        </w:rPr>
        <w:t xml:space="preserve">Según el numeral 4 del artículo 2 de la Ley 1150 de 2007, las causales para acudir a la modalidad de selección de contratación directa son: i) la urgencia manifiesta. ii) La contratación entre entidades estatales. iii) Cuando no exista pluralidad de oferentes. iv) Contratos de prestación de servicios profesionales y de apoyo a la gestión.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x) Contratos de encargo fiduciario que celebren las entidades territoriales cuando inicien el acuerdo de reestructuración de pasivos. xi) La contratación de bienes y servicios de la Dirección Nacional de Inteligencia (DNI), que requieran reserva para su adquisición. xii) La selección de peritos expertos o asesores técnicos para presentar o contradecir el dictamen pericial en procesos judiciales. xiii)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xiv)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xv)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 Sin perjuicio del listado consagrado en el citado artículo 2 de la Ley 1150 de 2007, como se mencionó anteriormente, el legislador puede establecer otras causales en leyes especiales, en las cuales opera la contratación directa.  </w:t>
      </w:r>
    </w:p>
    <w:p w14:paraId="65C9BF4A" w14:textId="77777777" w:rsidR="00C04209" w:rsidRPr="00C04209" w:rsidRDefault="00C04209" w:rsidP="00C04209">
      <w:pPr>
        <w:tabs>
          <w:tab w:val="left" w:pos="426"/>
        </w:tabs>
        <w:spacing w:after="0" w:line="240" w:lineRule="auto"/>
        <w:contextualSpacing/>
        <w:jc w:val="both"/>
        <w:rPr>
          <w:rFonts w:ascii="Verdana" w:eastAsia="Arial" w:hAnsi="Verdana" w:cs="Arial"/>
          <w:b/>
          <w:lang w:val="es-MX" w:eastAsia="es-ES_tradnl"/>
        </w:rPr>
      </w:pPr>
    </w:p>
    <w:p w14:paraId="07BC5573" w14:textId="77777777" w:rsidR="00C04209" w:rsidRPr="00C04209" w:rsidRDefault="00C04209" w:rsidP="00C04209">
      <w:pPr>
        <w:tabs>
          <w:tab w:val="left" w:pos="426"/>
        </w:tabs>
        <w:spacing w:after="0" w:line="240" w:lineRule="auto"/>
        <w:contextualSpacing/>
        <w:jc w:val="both"/>
        <w:rPr>
          <w:rFonts w:ascii="Verdana" w:eastAsia="Arial" w:hAnsi="Verdana" w:cs="Arial"/>
          <w:b/>
          <w:lang w:val="es-MX" w:eastAsia="es-ES_tradnl"/>
        </w:rPr>
      </w:pPr>
    </w:p>
    <w:p w14:paraId="5F26CEE7" w14:textId="77777777" w:rsidR="00C04209" w:rsidRPr="00C04209" w:rsidRDefault="00C04209" w:rsidP="00C04209">
      <w:pPr>
        <w:tabs>
          <w:tab w:val="left" w:pos="426"/>
        </w:tabs>
        <w:spacing w:after="0" w:line="240" w:lineRule="auto"/>
        <w:contextualSpacing/>
        <w:jc w:val="both"/>
        <w:rPr>
          <w:rFonts w:ascii="Verdana" w:eastAsia="Arial" w:hAnsi="Verdana" w:cs="Arial"/>
          <w:b/>
          <w:lang w:val="es-MX" w:eastAsia="es-ES_tradnl"/>
        </w:rPr>
      </w:pPr>
    </w:p>
    <w:p w14:paraId="6EDC619C" w14:textId="77777777" w:rsidR="00C04209" w:rsidRPr="00C04209" w:rsidRDefault="00C04209" w:rsidP="00C04209">
      <w:pPr>
        <w:jc w:val="both"/>
        <w:rPr>
          <w:rFonts w:ascii="Verdana" w:hAnsi="Verdana" w:cs="Arial"/>
          <w:b/>
          <w:bCs/>
          <w:color w:val="000000" w:themeColor="text1"/>
          <w:lang w:val="es-ES_tradnl"/>
        </w:rPr>
      </w:pPr>
      <w:r w:rsidRPr="00C04209">
        <w:rPr>
          <w:rFonts w:ascii="Verdana" w:hAnsi="Verdana" w:cs="Arial"/>
          <w:b/>
          <w:bCs/>
          <w:color w:val="000000" w:themeColor="text1"/>
          <w:lang w:val="es-ES_tradnl"/>
        </w:rPr>
        <w:lastRenderedPageBreak/>
        <w:t xml:space="preserve">CONTRATO DE PRESTACIÓN DE SERVICIOS </w:t>
      </w:r>
      <w:bookmarkStart w:id="2" w:name="_Hlk39666823"/>
      <w:r w:rsidRPr="00C04209">
        <w:rPr>
          <w:rFonts w:ascii="Verdana" w:eastAsia="Calibri" w:hAnsi="Verdana" w:cs="Arial"/>
          <w:b/>
          <w:color w:val="000000" w:themeColor="text1"/>
        </w:rPr>
        <w:t>–</w:t>
      </w:r>
      <w:bookmarkEnd w:id="2"/>
      <w:r w:rsidRPr="00C04209">
        <w:rPr>
          <w:rFonts w:ascii="Verdana" w:hAnsi="Verdana" w:cs="Arial"/>
          <w:b/>
          <w:bCs/>
          <w:color w:val="000000" w:themeColor="text1"/>
          <w:lang w:val="es-ES_tradnl"/>
        </w:rPr>
        <w:t xml:space="preserve"> Concepto − Características generales</w:t>
      </w:r>
    </w:p>
    <w:p w14:paraId="17999AE1" w14:textId="289A5F42" w:rsidR="00C04209" w:rsidRPr="00C04209" w:rsidRDefault="00C04209" w:rsidP="00C04209">
      <w:pPr>
        <w:jc w:val="both"/>
        <w:rPr>
          <w:rFonts w:ascii="Verdana" w:hAnsi="Verdana" w:cs="Arial"/>
          <w:color w:val="000000" w:themeColor="text1"/>
          <w:lang w:val="es-ES_tradnl"/>
        </w:rPr>
      </w:pPr>
      <w:r w:rsidRPr="00C04209">
        <w:rPr>
          <w:rFonts w:ascii="Verdana" w:hAnsi="Verdana" w:cs="Arial"/>
          <w:color w:val="000000" w:themeColor="text1"/>
          <w:lang w:val="es-ES_tradnl"/>
        </w:rPr>
        <w:t>El contrato de prestación de servicios es un contrato estatal típico regulado en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 es posible señalar las siguientes características del contrato de prestación de servicios: i) Solo puede celebrarse para realizar “actividades relacionadas con la administración o funcionamiento de la entidad”, es decir, que hagan parte de su giro ordinario o quehacer cotidiano. ii) Respecto del tipo de personas que pueden ser contratadas, admite que se suscriba con personas naturales o jurídicas. […] 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subordinación ni dependencia, que es uno de los elementos constitutivos del vínculo laboral […] iv) Deben ser temporales. […] v) Se celebran a través de la modalidad de contratación directa, independientemente de la cuantía y del tipo de servicio profesional, siempre que su objeto no sea la consultoría. […]. vi) Para su celebración no se requiere expedir un acto administrativo de justificación de la contratación directa. vii) El contrato admite la inclusión de cláusulas excepcionales. viii) No es obligatorio liquidar estos contratos […]. ix) Para su celebración el contratista no requiere estar inscrito en el Registro Único de Proponentes –RUP– […]. x) No es obligatoria la exigencia de garantías; xi) Como los demás contratos estatales, se trata de un contrato solemne que debe constar por escrito y debe ser publicado en el SECOP; xii) Como especies del género prestación de servicios, se incluyen los contratos de prestación de servicios profesionales, los contratos de prestación de servicios apoyo a la gestión y los contratos de prestación de servicios artísticos que solo pueden encomendarse a determinadas personas naturales.</w:t>
      </w:r>
    </w:p>
    <w:p w14:paraId="7AD7714B" w14:textId="77777777" w:rsidR="00C04209" w:rsidRPr="00C04209" w:rsidRDefault="00C04209" w:rsidP="00C04209">
      <w:pPr>
        <w:ind w:right="709"/>
        <w:jc w:val="both"/>
        <w:rPr>
          <w:rFonts w:ascii="Verdana" w:hAnsi="Verdana" w:cs="Arial"/>
          <w:b/>
          <w:bCs/>
          <w:color w:val="000000" w:themeColor="text1"/>
          <w:lang w:val="es-ES_tradnl"/>
        </w:rPr>
      </w:pPr>
      <w:r w:rsidRPr="00C04209">
        <w:rPr>
          <w:rFonts w:ascii="Verdana" w:hAnsi="Verdana" w:cs="Arial"/>
          <w:b/>
          <w:bCs/>
          <w:color w:val="000000" w:themeColor="text1"/>
          <w:lang w:val="es-ES_tradnl"/>
        </w:rPr>
        <w:t>FORMATO HOJA DE VIDA DE LA FUNCIÓN PÚBLICA-Persona Jurídica</w:t>
      </w:r>
    </w:p>
    <w:p w14:paraId="362235FE" w14:textId="77777777" w:rsidR="00C04209" w:rsidRPr="00C04209" w:rsidRDefault="00C04209" w:rsidP="00C04209">
      <w:pPr>
        <w:spacing w:after="0" w:line="240" w:lineRule="auto"/>
        <w:contextualSpacing/>
        <w:jc w:val="both"/>
        <w:rPr>
          <w:rFonts w:ascii="Verdana" w:hAnsi="Verdana" w:cs="Arial"/>
          <w:color w:val="000000" w:themeColor="text1"/>
          <w:lang w:val="es-ES_tradnl"/>
        </w:rPr>
      </w:pPr>
      <w:r w:rsidRPr="00C04209">
        <w:rPr>
          <w:rFonts w:ascii="Verdana" w:hAnsi="Verdana" w:cs="Arial"/>
          <w:color w:val="000000" w:themeColor="text1"/>
          <w:lang w:val="es-ES_tradnl"/>
        </w:rPr>
        <w:t xml:space="preserve">De acuerdo con los artículos 10 y 11 del Decreto 1571 de 1998, las entidades de todas las ramas del poder público, los organismos de control, la organización </w:t>
      </w:r>
      <w:r w:rsidRPr="00C04209">
        <w:rPr>
          <w:rFonts w:ascii="Verdana" w:hAnsi="Verdana" w:cs="Arial"/>
          <w:color w:val="000000" w:themeColor="text1"/>
          <w:lang w:val="es-ES_tradnl"/>
        </w:rPr>
        <w:lastRenderedPageBreak/>
        <w:t>electoral, los entes universitarios autónomos y las corporaciones autónomas regionales y de desarrollo sostenible, en los órdenes nacional, departamental, distrital y municipal, deberán exigir la presentación del Formato Único de Hoja de Vida, a todos los servidores públicos, y a los contratistas de prestación de servicios, en el momento previo a la posesión o de la celebración del contrato, respectivamente.</w:t>
      </w:r>
    </w:p>
    <w:p w14:paraId="597E32E7" w14:textId="77777777" w:rsidR="00C04209" w:rsidRPr="00C04209" w:rsidRDefault="00C04209" w:rsidP="00C04209">
      <w:pPr>
        <w:spacing w:after="0" w:line="276" w:lineRule="auto"/>
        <w:contextualSpacing/>
        <w:jc w:val="both"/>
        <w:rPr>
          <w:rFonts w:ascii="Verdana" w:hAnsi="Verdana" w:cs="Arial"/>
          <w:color w:val="000000" w:themeColor="text1"/>
          <w:lang w:val="es-ES_tradnl"/>
        </w:rPr>
      </w:pPr>
    </w:p>
    <w:p w14:paraId="5973BBC2" w14:textId="77777777" w:rsidR="00C04209" w:rsidRPr="00C04209" w:rsidRDefault="00C04209" w:rsidP="00C04209">
      <w:pPr>
        <w:pStyle w:val="NormalWeb"/>
        <w:shd w:val="clear" w:color="auto" w:fill="FFFFFF"/>
        <w:spacing w:before="0" w:beforeAutospacing="0"/>
        <w:jc w:val="both"/>
        <w:rPr>
          <w:rFonts w:ascii="Verdana" w:eastAsiaTheme="minorHAnsi" w:hAnsi="Verdana" w:cs="Arial"/>
          <w:color w:val="000000" w:themeColor="text1"/>
          <w:sz w:val="22"/>
          <w:szCs w:val="22"/>
          <w:lang w:val="es-ES_tradnl" w:eastAsia="en-US"/>
        </w:rPr>
      </w:pPr>
      <w:r w:rsidRPr="00C04209">
        <w:rPr>
          <w:rFonts w:ascii="Verdana" w:eastAsiaTheme="minorHAnsi" w:hAnsi="Verdana" w:cs="Arial"/>
          <w:color w:val="000000" w:themeColor="text1"/>
          <w:sz w:val="22"/>
          <w:szCs w:val="22"/>
          <w:lang w:val="es-ES_tradnl" w:eastAsia="en-US"/>
        </w:rPr>
        <w:t>A su vez el artículo 1 de la Ley 190 de 1995, señaló que:</w:t>
      </w:r>
    </w:p>
    <w:p w14:paraId="47F6D446" w14:textId="77777777" w:rsidR="00C04209" w:rsidRPr="00C04209" w:rsidRDefault="00C04209" w:rsidP="00C04209">
      <w:pPr>
        <w:pStyle w:val="NormalWeb"/>
        <w:shd w:val="clear" w:color="auto" w:fill="FFFFFF"/>
        <w:spacing w:before="0" w:beforeAutospacing="0"/>
        <w:jc w:val="both"/>
        <w:rPr>
          <w:rFonts w:ascii="Verdana" w:eastAsiaTheme="minorHAnsi" w:hAnsi="Verdana" w:cs="Arial"/>
          <w:i/>
          <w:iCs/>
          <w:color w:val="000000" w:themeColor="text1"/>
          <w:sz w:val="22"/>
          <w:szCs w:val="22"/>
          <w:lang w:val="es-ES_tradnl" w:eastAsia="en-US"/>
        </w:rPr>
      </w:pPr>
      <w:r w:rsidRPr="00C04209">
        <w:rPr>
          <w:rFonts w:ascii="Verdana" w:eastAsiaTheme="minorHAnsi" w:hAnsi="Verdana" w:cs="Arial"/>
          <w:i/>
          <w:iCs/>
          <w:color w:val="000000" w:themeColor="text1"/>
          <w:sz w:val="22"/>
          <w:szCs w:val="22"/>
          <w:lang w:val="es-ES_tradnl" w:eastAsia="en-US"/>
        </w:rPr>
        <w:t>“Todo aspirante a ocupar un cargo o empleo público, o a celebrar un contrato de prestación de servicios con la administración deberá presentar ante la unidad de personal de la correspondiente entidad, o ante la dependencia que haga sus veces, el </w:t>
      </w:r>
      <w:hyperlink r:id="rId8" w:history="1">
        <w:r w:rsidRPr="00C04209">
          <w:rPr>
            <w:rFonts w:ascii="Verdana" w:eastAsiaTheme="minorHAnsi" w:hAnsi="Verdana" w:cs="Arial"/>
            <w:i/>
            <w:iCs/>
            <w:color w:val="000000" w:themeColor="text1"/>
            <w:sz w:val="22"/>
            <w:szCs w:val="22"/>
            <w:lang w:val="es-ES_tradnl" w:eastAsia="en-US"/>
          </w:rPr>
          <w:t>formato único de hojas de vida</w:t>
        </w:r>
      </w:hyperlink>
      <w:r w:rsidRPr="00C04209">
        <w:rPr>
          <w:rFonts w:ascii="Verdana" w:eastAsiaTheme="minorHAnsi" w:hAnsi="Verdana" w:cs="Arial"/>
          <w:i/>
          <w:iCs/>
          <w:color w:val="000000" w:themeColor="text1"/>
          <w:sz w:val="22"/>
          <w:szCs w:val="22"/>
          <w:lang w:val="es-ES_tradnl" w:eastAsia="en-US"/>
        </w:rPr>
        <w:t> debidamente diligenciado en el cual consignará la información completa que en ella se solicita:1. Su formación académica, indicando los años de estudio cursados en los distintos niveles de educación y los títulos y certificados obtenidos.2. Su experiencia laboral, relacionando todos y cada uno de los empleos o cargos desempeñados, tanto en el sector público como en el privado, así como la dirección, el número del teléfono o el apartado postal en los que sea posible verificar la información.3. Inexistencia de cualquier hecho o circunstancia que implique una inhabilidad o incompatibilidad del orden constitucional o legal para ocupar el empleo o cargo al que se aspira o para celebrar contrato de prestación de servicios con la administración.4. En caso de personas jurídicas, el correspondiente certificado que acredite la representación legal, (…)</w:t>
      </w:r>
    </w:p>
    <w:p w14:paraId="633A5041" w14:textId="23BA2E6E" w:rsidR="00C04209" w:rsidRPr="00C04209" w:rsidRDefault="00C04209" w:rsidP="00C04209">
      <w:pPr>
        <w:spacing w:after="0" w:line="240" w:lineRule="auto"/>
        <w:contextualSpacing/>
        <w:jc w:val="both"/>
        <w:rPr>
          <w:rFonts w:ascii="Verdana" w:eastAsia="Times New Roman" w:hAnsi="Verdana" w:cs="Arial"/>
          <w:i/>
          <w:iCs/>
          <w:color w:val="333333"/>
          <w:lang w:eastAsia="es-CO"/>
        </w:rPr>
      </w:pPr>
      <w:r w:rsidRPr="00C04209">
        <w:rPr>
          <w:rFonts w:ascii="Verdana" w:eastAsia="Arial" w:hAnsi="Verdana" w:cs="Arial"/>
        </w:rPr>
        <w:t xml:space="preserve">De igual manera, la Resolución 580 del 19 de agosto de 1999, expedida por el Departamento Administrativo de la Función Pública, actualizó el </w:t>
      </w:r>
      <w:r w:rsidRPr="00C04209">
        <w:rPr>
          <w:rFonts w:ascii="Verdana" w:eastAsia="Times New Roman" w:hAnsi="Verdana" w:cs="Arial"/>
          <w:color w:val="333333"/>
          <w:lang w:eastAsia="es-CO"/>
        </w:rPr>
        <w:t>Formato Único de Hoja de Vida para persona jurídica contenido en el artículo 4o. de la Resolución 009 de 1996, también expedida por la misma entidad, indicando que el</w:t>
      </w:r>
      <w:r w:rsidRPr="00C04209">
        <w:rPr>
          <w:rFonts w:ascii="Verdana" w:eastAsia="Times New Roman" w:hAnsi="Verdana" w:cs="Arial"/>
          <w:i/>
          <w:iCs/>
          <w:color w:val="333333"/>
          <w:lang w:eastAsia="es-CO"/>
        </w:rPr>
        <w:t xml:space="preserve"> “formato deberá ser diligenciado por toda persona jurídica en el momento de celebrar un contrato de prestación de servicios con la administración, independiente de su término de duración”.</w:t>
      </w:r>
    </w:p>
    <w:p w14:paraId="3893F0D4" w14:textId="77777777" w:rsidR="00C04209" w:rsidRPr="00C04209" w:rsidRDefault="00C04209">
      <w:pPr>
        <w:rPr>
          <w:rFonts w:ascii="Verdana" w:eastAsia="Times New Roman" w:hAnsi="Verdana" w:cs="Arial"/>
          <w:i/>
          <w:iCs/>
          <w:color w:val="333333"/>
          <w:lang w:eastAsia="es-CO"/>
        </w:rPr>
      </w:pPr>
      <w:r w:rsidRPr="00C04209">
        <w:rPr>
          <w:rFonts w:ascii="Verdana" w:eastAsia="Times New Roman" w:hAnsi="Verdana" w:cs="Arial"/>
          <w:i/>
          <w:iCs/>
          <w:color w:val="333333"/>
          <w:lang w:eastAsia="es-CO"/>
        </w:rPr>
        <w:br w:type="page"/>
      </w:r>
    </w:p>
    <w:p w14:paraId="7D2C3355" w14:textId="77777777" w:rsidR="00C04209" w:rsidRPr="00C04209" w:rsidRDefault="00C04209" w:rsidP="00C04209">
      <w:pPr>
        <w:spacing w:after="0" w:line="240" w:lineRule="auto"/>
        <w:contextualSpacing/>
        <w:jc w:val="both"/>
        <w:rPr>
          <w:rFonts w:ascii="Verdana" w:eastAsia="Times New Roman" w:hAnsi="Verdana" w:cs="Arial"/>
          <w:i/>
          <w:iCs/>
          <w:color w:val="333333"/>
          <w:lang w:eastAsia="es-CO"/>
        </w:rPr>
      </w:pPr>
    </w:p>
    <w:p w14:paraId="131A973B" w14:textId="56937114" w:rsidR="00AB64A5" w:rsidRPr="00C04209" w:rsidRDefault="00AB64A5" w:rsidP="00CD258B">
      <w:pPr>
        <w:rPr>
          <w:rFonts w:ascii="Verdana" w:eastAsia="Calibri" w:hAnsi="Verdana" w:cs="Arial"/>
          <w:bCs/>
          <w:sz w:val="20"/>
          <w:szCs w:val="20"/>
          <w:lang w:val="es-ES_tradnl"/>
        </w:rPr>
      </w:pPr>
      <w:r w:rsidRPr="00C04209">
        <w:rPr>
          <w:rFonts w:ascii="Verdana" w:hAnsi="Verdana"/>
        </w:rPr>
        <w:t>Bogo</w:t>
      </w:r>
      <w:r w:rsidR="00FC3EC1" w:rsidRPr="00C04209">
        <w:rPr>
          <w:rFonts w:ascii="Verdana" w:hAnsi="Verdana"/>
        </w:rPr>
        <w:t>t</w:t>
      </w:r>
      <w:r w:rsidRPr="00C04209">
        <w:rPr>
          <w:rFonts w:ascii="Verdana" w:hAnsi="Verdana"/>
        </w:rPr>
        <w:t>á D.C., [Día] [Mes.NombreCapitalizado] [Año]</w:t>
      </w:r>
      <w:r w:rsidRPr="00C04209">
        <w:rPr>
          <w:rFonts w:ascii="Verdana" w:hAnsi="Verdana"/>
        </w:rPr>
        <w:tab/>
      </w:r>
    </w:p>
    <w:p w14:paraId="6F8CA54C" w14:textId="77777777" w:rsidR="00AB64A5" w:rsidRPr="00C04209" w:rsidRDefault="00AB64A5" w:rsidP="00AB64A5">
      <w:pPr>
        <w:spacing w:after="0"/>
        <w:rPr>
          <w:rFonts w:ascii="Verdana" w:hAnsi="Verdana"/>
        </w:rPr>
      </w:pPr>
    </w:p>
    <w:p w14:paraId="01AE3B0A" w14:textId="29595644" w:rsidR="00AB64A5" w:rsidRPr="00C04209" w:rsidRDefault="00AB64A5" w:rsidP="00AB64A5">
      <w:pPr>
        <w:spacing w:after="0" w:line="240" w:lineRule="auto"/>
        <w:jc w:val="both"/>
        <w:rPr>
          <w:rFonts w:ascii="Verdana" w:eastAsia="Calibri" w:hAnsi="Verdana" w:cs="Arial"/>
          <w:lang w:eastAsia="es-ES"/>
        </w:rPr>
      </w:pPr>
      <w:r w:rsidRPr="00C04209">
        <w:rPr>
          <w:rFonts w:ascii="Verdana" w:eastAsia="Calibri" w:hAnsi="Verdana" w:cs="Arial"/>
          <w:lang w:eastAsia="es-ES"/>
        </w:rPr>
        <w:t>Señor</w:t>
      </w:r>
      <w:r w:rsidR="00FC3EC1" w:rsidRPr="00C04209">
        <w:rPr>
          <w:rFonts w:ascii="Verdana" w:eastAsia="Calibri" w:hAnsi="Verdana" w:cs="Arial"/>
          <w:lang w:eastAsia="es-ES"/>
        </w:rPr>
        <w:t>a</w:t>
      </w:r>
    </w:p>
    <w:p w14:paraId="28F0A0ED" w14:textId="0D3EEA24" w:rsidR="00FC3EC1" w:rsidRPr="00C04209" w:rsidRDefault="00A97F09" w:rsidP="00FC3EC1">
      <w:pPr>
        <w:spacing w:after="0" w:line="240" w:lineRule="auto"/>
        <w:rPr>
          <w:rFonts w:ascii="Verdana" w:hAnsi="Verdana"/>
          <w:b/>
          <w:bCs/>
        </w:rPr>
      </w:pPr>
      <w:r>
        <w:rPr>
          <w:rFonts w:ascii="Verdana" w:hAnsi="Verdana"/>
          <w:b/>
          <w:bCs/>
        </w:rPr>
        <w:t>Liliana Zambrano</w:t>
      </w:r>
    </w:p>
    <w:p w14:paraId="4E7A5799" w14:textId="670E9A37" w:rsidR="00A97F09" w:rsidRDefault="00A97F09" w:rsidP="00FC3EC1">
      <w:pPr>
        <w:spacing w:after="0" w:line="240" w:lineRule="auto"/>
        <w:rPr>
          <w:rFonts w:ascii="Verdana" w:hAnsi="Verdana"/>
        </w:rPr>
      </w:pPr>
      <w:r>
        <w:rPr>
          <w:rFonts w:ascii="Verdana" w:hAnsi="Verdana"/>
        </w:rPr>
        <w:t>Lilianazambrano16@gmail.com</w:t>
      </w:r>
    </w:p>
    <w:p w14:paraId="38021ECE" w14:textId="12CFF1C2" w:rsidR="00AB64A5" w:rsidRPr="00C04209" w:rsidRDefault="00AB64A5" w:rsidP="00FC3EC1">
      <w:pPr>
        <w:spacing w:after="0" w:line="240" w:lineRule="auto"/>
        <w:rPr>
          <w:rFonts w:ascii="Verdana" w:eastAsia="Calibri" w:hAnsi="Verdana" w:cs="Arial"/>
          <w:b/>
          <w:bCs/>
          <w:lang w:val="es-ES" w:eastAsia="es-ES"/>
        </w:rPr>
      </w:pPr>
      <w:r w:rsidRPr="00C04209">
        <w:rPr>
          <w:rFonts w:ascii="Verdana" w:eastAsia="Calibri" w:hAnsi="Verdana" w:cs="Arial"/>
          <w:lang w:val="es-ES" w:eastAsia="es-ES"/>
        </w:rPr>
        <w:t>Bogotá D.C.</w:t>
      </w:r>
    </w:p>
    <w:p w14:paraId="44649E13" w14:textId="77777777" w:rsidR="00AB64A5" w:rsidRDefault="00AB64A5" w:rsidP="00AB64A5">
      <w:pPr>
        <w:spacing w:after="0" w:line="240" w:lineRule="auto"/>
        <w:rPr>
          <w:rFonts w:ascii="Verdana" w:eastAsia="Calibri" w:hAnsi="Verdana" w:cs="Arial"/>
          <w:b/>
          <w:bCs/>
          <w:color w:val="000000"/>
          <w:lang w:val="es-ES_tradnl" w:eastAsia="es-ES_tradnl"/>
        </w:rPr>
      </w:pPr>
    </w:p>
    <w:p w14:paraId="42129F93" w14:textId="77777777" w:rsidR="001E544D" w:rsidRDefault="001E544D" w:rsidP="00AB64A5">
      <w:pPr>
        <w:spacing w:after="0" w:line="240" w:lineRule="auto"/>
        <w:rPr>
          <w:rFonts w:ascii="Verdana" w:eastAsia="Calibri" w:hAnsi="Verdana" w:cs="Arial"/>
          <w:b/>
          <w:bCs/>
          <w:color w:val="000000"/>
          <w:lang w:val="es-ES_tradnl" w:eastAsia="es-ES_tradnl"/>
        </w:rPr>
      </w:pPr>
    </w:p>
    <w:p w14:paraId="65940B69" w14:textId="3A0380BE" w:rsidR="001E544D" w:rsidRPr="00C04209" w:rsidRDefault="001E544D" w:rsidP="001E544D">
      <w:pPr>
        <w:spacing w:after="0" w:line="240" w:lineRule="auto"/>
        <w:jc w:val="right"/>
        <w:rPr>
          <w:rFonts w:ascii="Verdana" w:eastAsia="Calibri" w:hAnsi="Verdana" w:cs="Arial"/>
          <w:b/>
          <w:bCs/>
          <w:color w:val="000000"/>
          <w:lang w:val="es-ES_tradnl" w:eastAsia="es-ES_tradnl"/>
        </w:rPr>
      </w:pPr>
      <w:r w:rsidRPr="001E544D">
        <w:rPr>
          <w:rFonts w:ascii="Verdana" w:eastAsia="Calibri" w:hAnsi="Verdana" w:cs="Arial"/>
          <w:b/>
          <w:bCs/>
          <w:color w:val="000000"/>
          <w:lang w:val="es-ES_tradnl" w:eastAsia="es-ES_tradnl"/>
        </w:rPr>
        <w:drawing>
          <wp:inline distT="0" distB="0" distL="0" distR="0" wp14:anchorId="336EBD95" wp14:editId="3A6BDEB0">
            <wp:extent cx="3436918" cy="998307"/>
            <wp:effectExtent l="0" t="0" r="0" b="0"/>
            <wp:docPr id="1945980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8041" name=""/>
                    <pic:cNvPicPr/>
                  </pic:nvPicPr>
                  <pic:blipFill>
                    <a:blip r:embed="rId9"/>
                    <a:stretch>
                      <a:fillRect/>
                    </a:stretch>
                  </pic:blipFill>
                  <pic:spPr>
                    <a:xfrm>
                      <a:off x="0" y="0"/>
                      <a:ext cx="3436918" cy="998307"/>
                    </a:xfrm>
                    <a:prstGeom prst="rect">
                      <a:avLst/>
                    </a:prstGeom>
                  </pic:spPr>
                </pic:pic>
              </a:graphicData>
            </a:graphic>
          </wp:inline>
        </w:drawing>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C04209" w14:paraId="124FFB5C" w14:textId="77777777" w:rsidTr="007B0B27">
        <w:trPr>
          <w:trHeight w:val="884"/>
        </w:trPr>
        <w:tc>
          <w:tcPr>
            <w:tcW w:w="2268" w:type="dxa"/>
          </w:tcPr>
          <w:p w14:paraId="6311258D" w14:textId="77777777" w:rsidR="00AB64A5" w:rsidRPr="00C04209" w:rsidRDefault="00AB64A5" w:rsidP="007B0B27">
            <w:pPr>
              <w:jc w:val="both"/>
              <w:rPr>
                <w:rFonts w:ascii="Verdana" w:eastAsia="Calibri" w:hAnsi="Verdana" w:cs="Arial"/>
                <w:b/>
                <w:bCs/>
                <w:color w:val="7030A0"/>
                <w:lang w:val="es-ES_tradnl" w:eastAsia="es-ES_tradnl"/>
              </w:rPr>
            </w:pPr>
          </w:p>
        </w:tc>
        <w:tc>
          <w:tcPr>
            <w:tcW w:w="6946" w:type="dxa"/>
          </w:tcPr>
          <w:p w14:paraId="23DA8C95" w14:textId="1FAFA538" w:rsidR="00AB64A5" w:rsidRPr="00C04209" w:rsidRDefault="00AB64A5" w:rsidP="007B0B27">
            <w:pPr>
              <w:jc w:val="both"/>
              <w:rPr>
                <w:rFonts w:ascii="Verdana" w:eastAsia="Calibri" w:hAnsi="Verdana" w:cs="Arial"/>
                <w:b/>
                <w:bCs/>
                <w:color w:val="7030A0"/>
                <w:lang w:val="es-ES" w:eastAsia="es-ES"/>
              </w:rPr>
            </w:pPr>
            <w:r w:rsidRPr="00C04209">
              <w:rPr>
                <w:rFonts w:ascii="Verdana" w:eastAsia="Calibri" w:hAnsi="Verdana" w:cs="Arial"/>
                <w:b/>
                <w:bCs/>
                <w:lang w:val="es-ES" w:eastAsia="es-ES"/>
              </w:rPr>
              <w:t xml:space="preserve">Concepto C- </w:t>
            </w:r>
            <w:r w:rsidR="00CD258B" w:rsidRPr="00C04209">
              <w:rPr>
                <w:rFonts w:ascii="Verdana" w:eastAsia="Calibri" w:hAnsi="Verdana" w:cs="Arial"/>
                <w:b/>
                <w:bCs/>
                <w:lang w:val="es-ES" w:eastAsia="es-ES"/>
              </w:rPr>
              <w:t>5</w:t>
            </w:r>
            <w:r w:rsidR="00A97F09">
              <w:rPr>
                <w:rFonts w:ascii="Verdana" w:eastAsia="Calibri" w:hAnsi="Verdana" w:cs="Arial"/>
                <w:b/>
                <w:bCs/>
                <w:lang w:val="es-ES" w:eastAsia="es-ES"/>
              </w:rPr>
              <w:t>89</w:t>
            </w:r>
            <w:r w:rsidRPr="00C04209">
              <w:rPr>
                <w:rFonts w:ascii="Verdana" w:eastAsia="Calibri" w:hAnsi="Verdana" w:cs="Arial"/>
                <w:b/>
                <w:bCs/>
                <w:lang w:val="es-ES" w:eastAsia="es-ES"/>
              </w:rPr>
              <w:t xml:space="preserve"> de 2024</w:t>
            </w:r>
          </w:p>
        </w:tc>
      </w:tr>
      <w:tr w:rsidR="00AB64A5" w:rsidRPr="00C04209" w14:paraId="317258D8" w14:textId="77777777" w:rsidTr="007B0B27">
        <w:trPr>
          <w:trHeight w:val="884"/>
        </w:trPr>
        <w:tc>
          <w:tcPr>
            <w:tcW w:w="2268" w:type="dxa"/>
          </w:tcPr>
          <w:p w14:paraId="216AB9FC" w14:textId="77777777" w:rsidR="00AB64A5" w:rsidRPr="00C04209" w:rsidRDefault="00AB64A5" w:rsidP="007B0B27">
            <w:pPr>
              <w:jc w:val="both"/>
              <w:rPr>
                <w:rFonts w:ascii="Verdana" w:eastAsia="Calibri" w:hAnsi="Verdana" w:cs="Arial"/>
                <w:b/>
                <w:bCs/>
                <w:lang w:val="es-ES_tradnl" w:eastAsia="es-ES_tradnl"/>
              </w:rPr>
            </w:pPr>
            <w:r w:rsidRPr="00C04209">
              <w:rPr>
                <w:rFonts w:ascii="Verdana" w:eastAsia="Calibri" w:hAnsi="Verdana" w:cs="Arial"/>
                <w:b/>
                <w:bCs/>
                <w:lang w:val="es-ES_tradnl" w:eastAsia="es-ES_tradnl"/>
              </w:rPr>
              <w:t xml:space="preserve">Temas:                   </w:t>
            </w:r>
          </w:p>
        </w:tc>
        <w:tc>
          <w:tcPr>
            <w:tcW w:w="6946" w:type="dxa"/>
          </w:tcPr>
          <w:p w14:paraId="7A836770" w14:textId="3F17858A" w:rsidR="00C04209" w:rsidRPr="00D20A46" w:rsidRDefault="00C04209" w:rsidP="00C04209">
            <w:pPr>
              <w:spacing w:line="276" w:lineRule="auto"/>
              <w:contextualSpacing/>
              <w:jc w:val="both"/>
              <w:rPr>
                <w:rFonts w:ascii="Arial" w:eastAsia="Arial" w:hAnsi="Arial" w:cs="Arial"/>
                <w:bCs/>
                <w:lang w:val="es-MX" w:eastAsia="es-ES_tradnl"/>
              </w:rPr>
            </w:pPr>
            <w:r w:rsidRPr="00D20A46">
              <w:rPr>
                <w:rFonts w:ascii="Arial" w:eastAsia="Arial" w:hAnsi="Arial" w:cs="Arial"/>
                <w:bCs/>
                <w:lang w:val="es-MX" w:eastAsia="es-ES_tradnl"/>
              </w:rPr>
              <w:t>CONTRATACIÓN DIRECTA – Causales / CONTRATO DE PRESTACIÓN DE SERVICIOS ― Concepto ― Características generales/ -Persona Jurídica</w:t>
            </w:r>
          </w:p>
          <w:p w14:paraId="362B2D37" w14:textId="77777777" w:rsidR="00AB64A5" w:rsidRPr="00C04209" w:rsidRDefault="00AB64A5" w:rsidP="007B0B27">
            <w:pPr>
              <w:spacing w:line="276" w:lineRule="auto"/>
              <w:jc w:val="both"/>
              <w:rPr>
                <w:rFonts w:ascii="Verdana" w:eastAsia="Calibri" w:hAnsi="Verdana" w:cs="Arial"/>
                <w:lang w:val="es-MX" w:eastAsia="es-ES_tradnl"/>
              </w:rPr>
            </w:pPr>
          </w:p>
        </w:tc>
      </w:tr>
      <w:tr w:rsidR="00AB64A5" w:rsidRPr="00C04209" w14:paraId="6B3F3ED0" w14:textId="77777777" w:rsidTr="007B0B27">
        <w:tc>
          <w:tcPr>
            <w:tcW w:w="2268" w:type="dxa"/>
          </w:tcPr>
          <w:p w14:paraId="0AC72359" w14:textId="77777777" w:rsidR="00AB64A5" w:rsidRPr="00C04209" w:rsidRDefault="00AB64A5" w:rsidP="007B0B27">
            <w:pPr>
              <w:jc w:val="both"/>
              <w:rPr>
                <w:rFonts w:ascii="Verdana" w:eastAsia="Calibri" w:hAnsi="Verdana" w:cs="Arial"/>
                <w:b/>
                <w:lang w:val="es-ES_tradnl" w:eastAsia="es-ES_tradnl"/>
              </w:rPr>
            </w:pPr>
            <w:r w:rsidRPr="00C04209">
              <w:rPr>
                <w:rFonts w:ascii="Verdana" w:eastAsia="Calibri" w:hAnsi="Verdana" w:cs="Arial"/>
                <w:b/>
                <w:lang w:val="es-ES_tradnl" w:eastAsia="es-ES_tradnl"/>
              </w:rPr>
              <w:t>Radicación:</w:t>
            </w:r>
            <w:r w:rsidRPr="00C04209">
              <w:rPr>
                <w:rFonts w:ascii="Verdana" w:eastAsia="Calibri" w:hAnsi="Verdana" w:cs="Arial"/>
                <w:lang w:val="es-ES_tradnl" w:eastAsia="es-ES_tradnl"/>
              </w:rPr>
              <w:t xml:space="preserve">               </w:t>
            </w:r>
          </w:p>
        </w:tc>
        <w:tc>
          <w:tcPr>
            <w:tcW w:w="6946" w:type="dxa"/>
          </w:tcPr>
          <w:p w14:paraId="3BC81AFB" w14:textId="0FDEAE37" w:rsidR="00F02EBB" w:rsidRPr="00C04209" w:rsidRDefault="00AB64A5" w:rsidP="00F02EBB">
            <w:pPr>
              <w:rPr>
                <w:rFonts w:ascii="Verdana" w:eastAsia="Times New Roman" w:hAnsi="Verdana" w:cs="Calibri"/>
                <w:color w:val="000000"/>
                <w:lang w:val="es-419" w:eastAsia="es-419"/>
              </w:rPr>
            </w:pPr>
            <w:r w:rsidRPr="00C04209">
              <w:rPr>
                <w:rFonts w:ascii="Verdana" w:eastAsia="Calibri" w:hAnsi="Verdana" w:cs="Arial"/>
                <w:lang w:val="es-ES_tradnl" w:eastAsia="es-ES_tradnl"/>
              </w:rPr>
              <w:t xml:space="preserve">Respuesta a consulta con radicado No. </w:t>
            </w:r>
            <w:r w:rsidR="00C04209" w:rsidRPr="00C04209">
              <w:rPr>
                <w:rFonts w:ascii="Verdana" w:eastAsia="Times New Roman" w:hAnsi="Verdana" w:cs="Calibri"/>
                <w:color w:val="000000"/>
                <w:lang w:val="es-419" w:eastAsia="es-419"/>
              </w:rPr>
              <w:t>P20240910009233</w:t>
            </w:r>
          </w:p>
          <w:p w14:paraId="14A3CEBF" w14:textId="06BFF59D" w:rsidR="00AB64A5" w:rsidRPr="00C04209" w:rsidRDefault="00AB64A5" w:rsidP="007B0B27">
            <w:pPr>
              <w:jc w:val="both"/>
              <w:rPr>
                <w:rFonts w:ascii="Verdana" w:eastAsia="Calibri" w:hAnsi="Verdana" w:cs="Arial"/>
                <w:lang w:val="es-ES_tradnl" w:eastAsia="es-ES_tradnl"/>
              </w:rPr>
            </w:pPr>
          </w:p>
        </w:tc>
      </w:tr>
    </w:tbl>
    <w:p w14:paraId="7459B210" w14:textId="77777777" w:rsidR="00AB64A5" w:rsidRPr="00C04209" w:rsidRDefault="00AB64A5" w:rsidP="00AB64A5">
      <w:pPr>
        <w:spacing w:after="0" w:line="240" w:lineRule="auto"/>
        <w:jc w:val="both"/>
        <w:rPr>
          <w:rFonts w:ascii="Verdana" w:eastAsia="Calibri" w:hAnsi="Verdana" w:cs="Arial"/>
          <w:color w:val="000000"/>
          <w:lang w:val="es-ES_tradnl" w:eastAsia="es-ES_tradnl"/>
        </w:rPr>
      </w:pPr>
    </w:p>
    <w:p w14:paraId="3010FD6F" w14:textId="77777777" w:rsidR="00AB64A5" w:rsidRPr="00C04209" w:rsidRDefault="00AB64A5" w:rsidP="00AB64A5">
      <w:pPr>
        <w:spacing w:after="0" w:line="240" w:lineRule="auto"/>
        <w:jc w:val="both"/>
        <w:rPr>
          <w:rFonts w:ascii="Verdana" w:eastAsia="Calibri" w:hAnsi="Verdana" w:cs="Arial"/>
          <w:color w:val="000000"/>
          <w:lang w:val="es-ES_tradnl" w:eastAsia="es-ES_tradnl"/>
        </w:rPr>
      </w:pPr>
    </w:p>
    <w:p w14:paraId="16D75B47" w14:textId="224D14C0" w:rsidR="00AB64A5" w:rsidRPr="00C04209" w:rsidRDefault="00AB64A5" w:rsidP="00AB64A5">
      <w:pPr>
        <w:spacing w:after="0" w:line="276" w:lineRule="auto"/>
        <w:jc w:val="both"/>
        <w:rPr>
          <w:rFonts w:ascii="Verdana" w:eastAsia="Calibri" w:hAnsi="Verdana" w:cs="Arial"/>
          <w:lang w:val="es-ES" w:eastAsia="es-ES"/>
        </w:rPr>
      </w:pPr>
      <w:r w:rsidRPr="00C04209">
        <w:rPr>
          <w:rFonts w:ascii="Verdana" w:eastAsia="Calibri" w:hAnsi="Verdana" w:cs="Arial"/>
          <w:lang w:val="es-ES" w:eastAsia="es-ES"/>
        </w:rPr>
        <w:t>Estimad</w:t>
      </w:r>
      <w:r w:rsidR="00F02EBB" w:rsidRPr="00C04209">
        <w:rPr>
          <w:rFonts w:ascii="Verdana" w:eastAsia="Calibri" w:hAnsi="Verdana" w:cs="Arial"/>
          <w:lang w:val="es-ES" w:eastAsia="es-ES"/>
        </w:rPr>
        <w:t>a</w:t>
      </w:r>
      <w:r w:rsidRPr="00C04209">
        <w:rPr>
          <w:rFonts w:ascii="Verdana" w:eastAsia="Calibri" w:hAnsi="Verdana" w:cs="Arial"/>
          <w:lang w:val="es-ES" w:eastAsia="es-ES"/>
        </w:rPr>
        <w:t xml:space="preserve"> </w:t>
      </w:r>
      <w:r w:rsidR="00F02EBB" w:rsidRPr="00C04209">
        <w:rPr>
          <w:rFonts w:ascii="Verdana" w:hAnsi="Verdana"/>
          <w:lang w:val="es-MX"/>
        </w:rPr>
        <w:t>señora</w:t>
      </w:r>
      <w:r w:rsidR="00A97F09">
        <w:rPr>
          <w:rFonts w:ascii="Verdana" w:hAnsi="Verdana"/>
          <w:lang w:val="es-MX"/>
        </w:rPr>
        <w:t xml:space="preserve"> Zambrano</w:t>
      </w:r>
      <w:r w:rsidRPr="00C04209">
        <w:rPr>
          <w:rFonts w:ascii="Verdana" w:eastAsia="Calibri" w:hAnsi="Verdana" w:cs="Arial"/>
          <w:lang w:val="es-ES" w:eastAsia="es-ES"/>
        </w:rPr>
        <w:t xml:space="preserve">; </w:t>
      </w:r>
    </w:p>
    <w:p w14:paraId="5ED55F00" w14:textId="77777777" w:rsidR="00AB64A5" w:rsidRPr="00C04209"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C04209">
        <w:rPr>
          <w:rFonts w:ascii="Verdana" w:eastAsia="Calibri" w:hAnsi="Verdana" w:cs="Arial"/>
          <w:color w:val="000000" w:themeColor="text1"/>
          <w:lang w:val="es-ES" w:eastAsia="es-ES"/>
        </w:rPr>
        <w:tab/>
      </w:r>
    </w:p>
    <w:p w14:paraId="3AAA6349" w14:textId="39A531C5" w:rsidR="00AB64A5" w:rsidRPr="00C04209" w:rsidRDefault="00AB64A5" w:rsidP="00AB64A5">
      <w:pPr>
        <w:spacing w:after="0" w:line="276" w:lineRule="auto"/>
        <w:jc w:val="both"/>
        <w:rPr>
          <w:rFonts w:ascii="Verdana" w:eastAsia="Calibri" w:hAnsi="Verdana" w:cs="Arial"/>
          <w:lang w:val="es-ES" w:eastAsia="es-ES"/>
        </w:rPr>
      </w:pPr>
      <w:r w:rsidRPr="00C04209">
        <w:rPr>
          <w:rFonts w:ascii="Verdana" w:eastAsia="Calibri" w:hAnsi="Verdana" w:cs="Arial"/>
          <w:lang w:val="es-ES" w:eastAsia="es-ES"/>
        </w:rPr>
        <w:t>En ejercicio de la competencia otorgada por los artículos 3, numeral 5º, y 11, numeral 8º, del Decreto Ley 4170 de 2011,</w:t>
      </w:r>
      <w:r w:rsidRPr="00C04209">
        <w:rPr>
          <w:rFonts w:ascii="Verdana" w:eastAsia="Arial MT" w:hAnsi="Verdana" w:cs="Arial MT"/>
          <w:lang w:val="es-ES" w:eastAsia="es-ES"/>
        </w:rPr>
        <w:t xml:space="preserve"> </w:t>
      </w:r>
      <w:r w:rsidRPr="00C04209">
        <w:rPr>
          <w:rFonts w:ascii="Verdana" w:hAnsi="Verdana" w:cs="Arial"/>
        </w:rPr>
        <w:t xml:space="preserve">así como lo establecido en el artículo 4 de la Resolución 1707 de 2018 expedida por esta Entidad, </w:t>
      </w:r>
      <w:r w:rsidRPr="00C04209">
        <w:rPr>
          <w:rFonts w:ascii="Verdana" w:eastAsia="Calibri" w:hAnsi="Verdana" w:cs="Arial"/>
          <w:lang w:val="es-ES" w:eastAsia="es-ES"/>
        </w:rPr>
        <w:t xml:space="preserve">la Agencia Nacional de Contratación Pública – Colombia Compra Eficiente– responde su solicitud radicada en esta entidad el </w:t>
      </w:r>
      <w:r w:rsidR="005E0B8B">
        <w:rPr>
          <w:rFonts w:ascii="Verdana" w:eastAsia="Calibri" w:hAnsi="Verdana" w:cs="Arial"/>
          <w:lang w:val="es-ES" w:eastAsia="es-ES"/>
        </w:rPr>
        <w:t>10</w:t>
      </w:r>
      <w:r w:rsidRPr="00C04209">
        <w:rPr>
          <w:rFonts w:ascii="Verdana" w:eastAsia="Calibri" w:hAnsi="Verdana" w:cs="Arial"/>
          <w:lang w:val="es-ES" w:eastAsia="es-ES"/>
        </w:rPr>
        <w:t xml:space="preserve"> de </w:t>
      </w:r>
      <w:r w:rsidR="00A97F09">
        <w:rPr>
          <w:rFonts w:ascii="Verdana" w:eastAsia="Calibri" w:hAnsi="Verdana" w:cs="Arial"/>
          <w:lang w:val="es-ES" w:eastAsia="es-ES"/>
        </w:rPr>
        <w:t>septiembre</w:t>
      </w:r>
      <w:r w:rsidRPr="00C04209">
        <w:rPr>
          <w:rFonts w:ascii="Verdana" w:eastAsia="Calibri" w:hAnsi="Verdana" w:cs="Arial"/>
          <w:lang w:val="es-ES" w:eastAsia="es-ES"/>
        </w:rPr>
        <w:t xml:space="preserve"> de 2024, en la cual manifiesta lo siguiente: </w:t>
      </w:r>
    </w:p>
    <w:p w14:paraId="35AFAAA8" w14:textId="77777777" w:rsidR="00AB64A5" w:rsidRPr="00C04209" w:rsidRDefault="00AB64A5" w:rsidP="00AB64A5">
      <w:pPr>
        <w:spacing w:after="0" w:line="240" w:lineRule="auto"/>
        <w:ind w:left="709" w:right="709"/>
        <w:jc w:val="both"/>
        <w:rPr>
          <w:rFonts w:ascii="Verdana" w:hAnsi="Verdana" w:cs="Arial"/>
          <w:shd w:val="clear" w:color="auto" w:fill="FFFFFF"/>
        </w:rPr>
      </w:pPr>
      <w:bookmarkStart w:id="3" w:name="_Hlk95313578"/>
    </w:p>
    <w:bookmarkEnd w:id="3"/>
    <w:p w14:paraId="4E543B6E" w14:textId="261ED15E" w:rsidR="00AB64A5" w:rsidRPr="00C04209" w:rsidRDefault="00FC3EC1" w:rsidP="00A97F09">
      <w:pPr>
        <w:spacing w:after="0" w:line="276" w:lineRule="auto"/>
        <w:ind w:left="709" w:right="758"/>
        <w:jc w:val="both"/>
        <w:rPr>
          <w:rFonts w:ascii="Verdana" w:eastAsia="Calibri" w:hAnsi="Verdana" w:cs="Arial"/>
          <w:sz w:val="21"/>
          <w:szCs w:val="21"/>
          <w:lang w:val="es-ES" w:eastAsia="es-ES"/>
        </w:rPr>
      </w:pPr>
      <w:r w:rsidRPr="00C04209">
        <w:rPr>
          <w:rFonts w:ascii="Verdana" w:eastAsia="Calibri" w:hAnsi="Verdana" w:cs="Arial"/>
          <w:sz w:val="21"/>
          <w:szCs w:val="21"/>
          <w:lang w:val="es-ES" w:eastAsia="es-ES"/>
        </w:rPr>
        <w:t xml:space="preserve">“1. </w:t>
      </w:r>
      <w:r w:rsidR="00A97F09">
        <w:rPr>
          <w:rFonts w:ascii="Verdana" w:eastAsia="Calibri" w:hAnsi="Verdana" w:cs="Arial"/>
          <w:sz w:val="21"/>
          <w:szCs w:val="21"/>
          <w:lang w:val="es-ES" w:eastAsia="es-ES"/>
        </w:rPr>
        <w:t>C</w:t>
      </w:r>
      <w:r w:rsidR="00A97F09" w:rsidRPr="00A97F09">
        <w:rPr>
          <w:rFonts w:ascii="Verdana" w:eastAsia="Calibri" w:hAnsi="Verdana" w:cs="Arial"/>
          <w:sz w:val="21"/>
          <w:szCs w:val="21"/>
          <w:lang w:val="es-ES" w:eastAsia="es-ES"/>
        </w:rPr>
        <w:t>on objeto de solicitar información, si las entidades publicas, al firmar un contrato con una Persona</w:t>
      </w:r>
      <w:r w:rsidR="00A97F09">
        <w:rPr>
          <w:rFonts w:ascii="Verdana" w:eastAsia="Calibri" w:hAnsi="Verdana" w:cs="Arial"/>
          <w:sz w:val="21"/>
          <w:szCs w:val="21"/>
          <w:lang w:val="es-ES" w:eastAsia="es-ES"/>
        </w:rPr>
        <w:t xml:space="preserve"> </w:t>
      </w:r>
      <w:r w:rsidR="00A97F09" w:rsidRPr="00A97F09">
        <w:rPr>
          <w:rFonts w:ascii="Verdana" w:eastAsia="Calibri" w:hAnsi="Verdana" w:cs="Arial"/>
          <w:sz w:val="21"/>
          <w:szCs w:val="21"/>
          <w:lang w:val="es-ES" w:eastAsia="es-ES"/>
        </w:rPr>
        <w:t>Jurídica, pueden solicitar como soporte documental RUT, RIT y Formato de Función Publica del</w:t>
      </w:r>
      <w:r w:rsidR="00A97F09">
        <w:rPr>
          <w:rFonts w:ascii="Verdana" w:eastAsia="Calibri" w:hAnsi="Verdana" w:cs="Arial"/>
          <w:sz w:val="21"/>
          <w:szCs w:val="21"/>
          <w:lang w:val="es-ES" w:eastAsia="es-ES"/>
        </w:rPr>
        <w:t xml:space="preserve"> </w:t>
      </w:r>
      <w:r w:rsidR="00A97F09" w:rsidRPr="00A97F09">
        <w:rPr>
          <w:rFonts w:ascii="Verdana" w:eastAsia="Calibri" w:hAnsi="Verdana" w:cs="Arial"/>
          <w:sz w:val="21"/>
          <w:szCs w:val="21"/>
          <w:lang w:val="es-ES" w:eastAsia="es-ES"/>
        </w:rPr>
        <w:lastRenderedPageBreak/>
        <w:t>Representante legal de la misma, y en que disposición normativa se sustenta esto, pues es claro que la</w:t>
      </w:r>
      <w:r w:rsidR="00A97F09">
        <w:rPr>
          <w:rFonts w:ascii="Verdana" w:eastAsia="Calibri" w:hAnsi="Verdana" w:cs="Arial"/>
          <w:sz w:val="21"/>
          <w:szCs w:val="21"/>
          <w:lang w:val="es-ES" w:eastAsia="es-ES"/>
        </w:rPr>
        <w:t xml:space="preserve"> </w:t>
      </w:r>
      <w:r w:rsidR="00A97F09" w:rsidRPr="00A97F09">
        <w:rPr>
          <w:rFonts w:ascii="Verdana" w:eastAsia="Calibri" w:hAnsi="Verdana" w:cs="Arial"/>
          <w:sz w:val="21"/>
          <w:szCs w:val="21"/>
          <w:lang w:val="es-ES" w:eastAsia="es-ES"/>
        </w:rPr>
        <w:t>Persona Jurídica es una persona diferente de la Persona natural que la crea o la representa, por lo que no</w:t>
      </w:r>
      <w:r w:rsidR="00A97F09">
        <w:rPr>
          <w:rFonts w:ascii="Verdana" w:eastAsia="Calibri" w:hAnsi="Verdana" w:cs="Arial"/>
          <w:sz w:val="21"/>
          <w:szCs w:val="21"/>
          <w:lang w:val="es-ES" w:eastAsia="es-ES"/>
        </w:rPr>
        <w:t xml:space="preserve"> </w:t>
      </w:r>
      <w:r w:rsidR="00A97F09" w:rsidRPr="00A97F09">
        <w:rPr>
          <w:rFonts w:ascii="Verdana" w:eastAsia="Calibri" w:hAnsi="Verdana" w:cs="Arial"/>
          <w:sz w:val="21"/>
          <w:szCs w:val="21"/>
          <w:lang w:val="es-ES" w:eastAsia="es-ES"/>
        </w:rPr>
        <w:t>es claro si estos documentos también pueden ser solicitados.</w:t>
      </w:r>
      <w:r w:rsidRPr="00C04209">
        <w:rPr>
          <w:rFonts w:ascii="Verdana" w:eastAsia="Calibri" w:hAnsi="Verdana" w:cs="Arial"/>
          <w:sz w:val="21"/>
          <w:szCs w:val="21"/>
          <w:lang w:val="es-ES" w:eastAsia="es-ES"/>
        </w:rPr>
        <w:t>?” [sic]</w:t>
      </w:r>
    </w:p>
    <w:p w14:paraId="59ACC790" w14:textId="77777777" w:rsidR="00FC3EC1" w:rsidRPr="00C04209" w:rsidRDefault="00FC3EC1" w:rsidP="00FC3EC1">
      <w:pPr>
        <w:spacing w:after="0" w:line="276" w:lineRule="auto"/>
        <w:ind w:left="709" w:right="758"/>
        <w:jc w:val="both"/>
        <w:rPr>
          <w:rFonts w:ascii="Verdana" w:eastAsia="Century Gothic" w:hAnsi="Verdana" w:cs="Century Gothic"/>
          <w:i/>
          <w:iCs/>
        </w:rPr>
      </w:pPr>
    </w:p>
    <w:p w14:paraId="1078C241" w14:textId="77777777" w:rsidR="00AB64A5" w:rsidRPr="00C04209" w:rsidRDefault="00AB64A5" w:rsidP="00AB64A5">
      <w:pPr>
        <w:spacing w:after="120" w:line="276" w:lineRule="auto"/>
        <w:ind w:firstLine="709"/>
        <w:jc w:val="both"/>
        <w:rPr>
          <w:rFonts w:ascii="Verdana" w:eastAsia="Calibri" w:hAnsi="Verdana" w:cs="Arial"/>
          <w:color w:val="000000"/>
          <w:lang w:val="es-ES_tradnl" w:eastAsia="es-ES_tradnl"/>
        </w:rPr>
      </w:pPr>
      <w:r w:rsidRPr="00C04209">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04209">
        <w:rPr>
          <w:rFonts w:ascii="Verdana" w:eastAsia="Calibri" w:hAnsi="Verdana" w:cs="Arial"/>
          <w:color w:val="000000"/>
          <w:lang w:val="es-ES_tradnl" w:eastAsia="es-ES_tradnl"/>
        </w:rPr>
        <w:tab/>
      </w:r>
    </w:p>
    <w:p w14:paraId="03C1028C" w14:textId="77777777" w:rsidR="00AB64A5" w:rsidRPr="00C04209" w:rsidRDefault="00AB64A5" w:rsidP="00AB64A5">
      <w:pPr>
        <w:spacing w:after="0" w:line="276" w:lineRule="auto"/>
        <w:ind w:firstLine="709"/>
        <w:jc w:val="both"/>
        <w:rPr>
          <w:rFonts w:ascii="Verdana" w:eastAsia="Calibri" w:hAnsi="Verdana" w:cs="Arial"/>
          <w:color w:val="000000"/>
          <w:lang w:val="es-ES" w:eastAsia="es-ES"/>
        </w:rPr>
      </w:pPr>
      <w:r w:rsidRPr="00C04209">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C04209">
        <w:rPr>
          <w:rFonts w:ascii="Verdana" w:eastAsia="Calibri" w:hAnsi="Verdana" w:cs="Arial"/>
          <w:color w:val="7030A0"/>
          <w:lang w:val="es-ES" w:eastAsia="es-ES"/>
        </w:rPr>
        <w:t xml:space="preserve"> </w:t>
      </w:r>
      <w:r w:rsidRPr="00C04209">
        <w:rPr>
          <w:rFonts w:ascii="Verdana" w:eastAsia="Calibri" w:hAnsi="Verdana" w:cs="Arial"/>
          <w:color w:val="000000"/>
          <w:lang w:val="es-ES" w:eastAsia="es-ES"/>
        </w:rPr>
        <w:t>jurídico</w:t>
      </w:r>
      <w:r w:rsidRPr="00C04209">
        <w:rPr>
          <w:rFonts w:ascii="Verdana" w:eastAsia="Calibri" w:hAnsi="Verdana" w:cs="Arial"/>
          <w:color w:val="7030A0"/>
          <w:lang w:val="es-ES" w:eastAsia="es-ES"/>
        </w:rPr>
        <w:t xml:space="preserve"> </w:t>
      </w:r>
      <w:r w:rsidRPr="00C04209">
        <w:rPr>
          <w:rFonts w:ascii="Verdana" w:eastAsia="Calibri" w:hAnsi="Verdana" w:cs="Arial"/>
          <w:color w:val="000000"/>
          <w:lang w:val="es-ES" w:eastAsia="es-ES"/>
        </w:rPr>
        <w:t xml:space="preserve">de su consulta. </w:t>
      </w:r>
    </w:p>
    <w:p w14:paraId="1E8B5A8D" w14:textId="77777777" w:rsidR="00AB64A5" w:rsidRPr="00C04209"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C04209"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C04209">
        <w:rPr>
          <w:rFonts w:ascii="Verdana" w:eastAsia="Century Gothic" w:hAnsi="Verdana" w:cs="Century Gothic"/>
          <w:b/>
          <w:bCs/>
        </w:rPr>
        <w:t>Problema planteado:</w:t>
      </w:r>
    </w:p>
    <w:p w14:paraId="00DEDA85" w14:textId="77777777" w:rsidR="00AB64A5" w:rsidRPr="00C04209" w:rsidRDefault="00AB64A5" w:rsidP="00AB64A5">
      <w:pPr>
        <w:tabs>
          <w:tab w:val="left" w:pos="426"/>
        </w:tabs>
        <w:spacing w:after="0" w:line="276" w:lineRule="auto"/>
        <w:jc w:val="both"/>
        <w:rPr>
          <w:rFonts w:ascii="Verdana" w:eastAsia="Century Gothic" w:hAnsi="Verdana" w:cs="Century Gothic"/>
          <w:lang w:val="es-ES"/>
        </w:rPr>
      </w:pPr>
    </w:p>
    <w:p w14:paraId="6C677CB7" w14:textId="0348AD63" w:rsidR="00FC3EC1" w:rsidRPr="00C04209" w:rsidRDefault="00AB64A5" w:rsidP="00553F39">
      <w:pPr>
        <w:spacing w:after="0" w:line="276" w:lineRule="auto"/>
        <w:ind w:right="49"/>
        <w:jc w:val="both"/>
        <w:rPr>
          <w:rFonts w:ascii="Verdana" w:eastAsia="Calibri" w:hAnsi="Verdana" w:cs="Arial"/>
          <w:lang w:val="es-ES" w:eastAsia="es-ES"/>
        </w:rPr>
      </w:pPr>
      <w:r w:rsidRPr="00C04209">
        <w:rPr>
          <w:rFonts w:ascii="Verdana" w:eastAsia="Century Gothic" w:hAnsi="Verdana" w:cs="Century Gothic"/>
        </w:rPr>
        <w:t>De acuerdo con el contenido de su solicitud, esta Agencia resolverá el siguiente problema jurídico:</w:t>
      </w:r>
      <w:r w:rsidR="00FC3EC1" w:rsidRPr="00C04209">
        <w:rPr>
          <w:rFonts w:ascii="Verdana" w:eastAsia="Century Gothic" w:hAnsi="Verdana" w:cs="Century Gothic"/>
        </w:rPr>
        <w:t xml:space="preserve"> </w:t>
      </w:r>
      <w:r w:rsidR="00FC3EC1" w:rsidRPr="00C04209">
        <w:rPr>
          <w:rFonts w:ascii="Verdana" w:eastAsia="Calibri" w:hAnsi="Verdana" w:cs="Arial"/>
          <w:lang w:val="es-ES" w:eastAsia="es-ES"/>
        </w:rPr>
        <w:t>¿</w:t>
      </w:r>
      <w:r w:rsidR="00A97F09">
        <w:rPr>
          <w:rFonts w:ascii="Verdana" w:eastAsia="Calibri" w:hAnsi="Verdana" w:cs="Arial"/>
          <w:lang w:val="es-ES" w:eastAsia="es-ES"/>
        </w:rPr>
        <w:t>Es obligatoria la presentación de formato de hoja de vida de función pública, Registro Único Tributario y Registro único tributario para la suscripción de un contrato estatal</w:t>
      </w:r>
      <w:r w:rsidR="00553F39" w:rsidRPr="00C04209">
        <w:rPr>
          <w:rFonts w:ascii="Verdana" w:eastAsia="Calibri" w:hAnsi="Verdana" w:cs="Arial"/>
          <w:lang w:val="es-ES" w:eastAsia="es-ES"/>
        </w:rPr>
        <w:t>?</w:t>
      </w:r>
    </w:p>
    <w:p w14:paraId="510EDFE3" w14:textId="77777777" w:rsidR="00CD258B" w:rsidRPr="00C04209" w:rsidRDefault="00CD258B" w:rsidP="00CD258B">
      <w:pPr>
        <w:spacing w:after="0" w:line="276" w:lineRule="auto"/>
        <w:jc w:val="both"/>
        <w:rPr>
          <w:rFonts w:ascii="Verdana" w:eastAsia="Century Gothic" w:hAnsi="Verdana" w:cs="Century Gothic"/>
          <w:lang w:val="es-ES"/>
        </w:rPr>
      </w:pPr>
    </w:p>
    <w:p w14:paraId="7105E377" w14:textId="77777777" w:rsidR="00AB64A5" w:rsidRPr="00C04209"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4209">
        <w:rPr>
          <w:rFonts w:ascii="Verdana" w:eastAsia="Century Gothic" w:hAnsi="Verdana" w:cs="Century Gothic"/>
          <w:b/>
          <w:bCs/>
        </w:rPr>
        <w:t>Respuesta:</w:t>
      </w:r>
    </w:p>
    <w:p w14:paraId="09F450DC" w14:textId="77777777" w:rsidR="00AB64A5" w:rsidRPr="00C04209"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C04209" w14:paraId="7E3B28CD" w14:textId="77777777" w:rsidTr="007B0B27">
        <w:tc>
          <w:tcPr>
            <w:tcW w:w="8828" w:type="dxa"/>
            <w:shd w:val="clear" w:color="auto" w:fill="auto"/>
          </w:tcPr>
          <w:p w14:paraId="2F8AC8E0" w14:textId="083418E2" w:rsidR="00C04209" w:rsidRPr="00C04209" w:rsidRDefault="00C04209" w:rsidP="00C04209">
            <w:pPr>
              <w:spacing w:after="120" w:line="276" w:lineRule="auto"/>
              <w:jc w:val="both"/>
              <w:rPr>
                <w:rFonts w:ascii="Verdana" w:hAnsi="Verdana" w:cs="Arial"/>
                <w:i/>
                <w:iCs/>
                <w:color w:val="000000" w:themeColor="text1"/>
                <w:lang w:val="es-ES_tradnl"/>
              </w:rPr>
            </w:pPr>
            <w:r w:rsidRPr="00C04209">
              <w:rPr>
                <w:rFonts w:ascii="Verdana" w:eastAsia="Arial" w:hAnsi="Verdana" w:cs="Arial"/>
              </w:rPr>
              <w:t xml:space="preserve">Conforme a lo expuesto previamente, </w:t>
            </w:r>
            <w:r w:rsidRPr="00C04209">
              <w:rPr>
                <w:rFonts w:ascii="Verdana" w:eastAsia="Calibri" w:hAnsi="Verdana" w:cs="Arial"/>
                <w:bCs/>
                <w:lang w:val="es-ES_tradnl"/>
              </w:rPr>
              <w:t xml:space="preserve">la obligación de solicitar el Formato de Hoja de Vida de la Función Pública tanto para personas naturales como para </w:t>
            </w:r>
            <w:r w:rsidRPr="00C04209">
              <w:rPr>
                <w:rFonts w:ascii="Verdana" w:eastAsia="Calibri" w:hAnsi="Verdana" w:cs="Arial"/>
                <w:bCs/>
                <w:lang w:val="es-ES_tradnl"/>
              </w:rPr>
              <w:lastRenderedPageBreak/>
              <w:t xml:space="preserve">personas jurídicas tiene un carácter obligatorio, única y exclusivamente para los contratos de prestación de servicios, tal como lo establece la Ley 190 de 1995 y el Decreto 1571 de 1998. Ahora bien, frente a los contratos de prestación de servicios, la norma en mención tan sólo se refiere a los </w:t>
            </w:r>
            <w:r w:rsidRPr="00C04209">
              <w:rPr>
                <w:rFonts w:ascii="Verdana" w:hAnsi="Verdana" w:cs="Arial"/>
                <w:color w:val="000000" w:themeColor="text1"/>
                <w:lang w:val="es-ES_tradnl"/>
              </w:rPr>
              <w:t>regulados en numeral 3 del artículo 32 de la Ley 80 de 1993, el cual es definido como aquel que “</w:t>
            </w:r>
            <w:r w:rsidRPr="00C04209">
              <w:rPr>
                <w:rFonts w:ascii="Verdana" w:hAnsi="Verdana" w:cs="Arial"/>
                <w:i/>
                <w:iCs/>
                <w:color w:val="000000" w:themeColor="text1"/>
                <w:lang w:val="es-ES_tradnl"/>
              </w:rPr>
              <w:t>celebren las entidades estatales para desarrollar actividades relacionadas con la administración o funcionamiento de la entidad. Estos contratos sólo podrán celebrarse con personas naturales y jurídicas cuando dichas actividades no puedan realizarse con personal de planta o requieran conocimientos especializados.”.</w:t>
            </w:r>
          </w:p>
          <w:p w14:paraId="7A490FB0" w14:textId="39FC7328" w:rsidR="00C04209" w:rsidRPr="00C04209" w:rsidRDefault="00C04209" w:rsidP="00A97F09">
            <w:pPr>
              <w:spacing w:before="240" w:line="276" w:lineRule="auto"/>
              <w:contextualSpacing/>
              <w:jc w:val="both"/>
              <w:rPr>
                <w:rStyle w:val="normaltextrun"/>
                <w:rFonts w:ascii="Verdana" w:hAnsi="Verdana" w:cs="Arial"/>
                <w:color w:val="000000"/>
                <w:shd w:val="clear" w:color="auto" w:fill="FFFFFF"/>
                <w:lang w:val="es-ES"/>
              </w:rPr>
            </w:pPr>
            <w:r w:rsidRPr="00C04209">
              <w:rPr>
                <w:rFonts w:ascii="Verdana" w:eastAsia="Calibri" w:hAnsi="Verdana" w:cs="Arial"/>
                <w:bCs/>
                <w:lang w:val="es-ES_tradnl"/>
              </w:rPr>
              <w:t>Para los otros Procesos de Contratación, no existe en nuestro ordenamiento jurídico norma expresa que obligue a las Entidades Estatales el contemplar en los pliegos de condiciones o los documentos que hagan sus veces, la presentación de hoja de vida o Registro de Información Tributaria – RIT</w:t>
            </w:r>
            <w:r w:rsidR="00A97F09">
              <w:rPr>
                <w:rFonts w:ascii="Verdana" w:eastAsia="Calibri" w:hAnsi="Verdana" w:cs="Arial"/>
                <w:bCs/>
                <w:lang w:val="es-ES_tradnl"/>
              </w:rPr>
              <w:t xml:space="preserve"> y Registro Único Tributario</w:t>
            </w:r>
            <w:r w:rsidRPr="00C04209">
              <w:rPr>
                <w:rFonts w:ascii="Verdana" w:eastAsia="Calibri" w:hAnsi="Verdana" w:cs="Arial"/>
                <w:bCs/>
                <w:lang w:val="es-ES_tradnl"/>
              </w:rPr>
              <w:t xml:space="preserve">  previo a la celebración del contrato, sin embargo, como se enunció previamente, las Entidades Estatales tienen la autonomía y discrecionalidad de solicitar en los procesos de selección los requisitos habilitantes dentro de los pliegos de condiciones, con el fin de que los procesos contractuales sean objetivos y transparentes. </w:t>
            </w:r>
            <w:r w:rsidRPr="00C04209">
              <w:rPr>
                <w:rStyle w:val="normaltextrun"/>
                <w:rFonts w:ascii="Verdana" w:hAnsi="Verdana" w:cs="Arial"/>
                <w:color w:val="000000"/>
                <w:shd w:val="clear" w:color="auto" w:fill="FFFFFF"/>
                <w:lang w:val="es-ES"/>
              </w:rPr>
              <w:t>De esta manera, siempre y cuando sean adecuados y proporcionales, en virtud de lo estipulado en el artículo 5 de la Ley 1150 de 2007, la Entidad Estatal tiene plena autonomía en la estructuración de sus pliegos condiciones y podrá establecer los requisitos habilitantes en sus Procesos de Contratación, estos deben ser adecuados y proporcionales.</w:t>
            </w:r>
          </w:p>
          <w:p w14:paraId="7AF0604D" w14:textId="77777777" w:rsidR="00A97F09" w:rsidRDefault="00A97F09" w:rsidP="00553F39">
            <w:pPr>
              <w:widowControl w:val="0"/>
              <w:tabs>
                <w:tab w:val="left" w:pos="2143"/>
              </w:tabs>
              <w:autoSpaceDE w:val="0"/>
              <w:autoSpaceDN w:val="0"/>
              <w:spacing w:after="120" w:line="276" w:lineRule="auto"/>
              <w:jc w:val="both"/>
              <w:rPr>
                <w:rFonts w:ascii="Verdana" w:eastAsia="Calibri" w:hAnsi="Verdana" w:cs="Arial"/>
              </w:rPr>
            </w:pPr>
          </w:p>
          <w:p w14:paraId="48AB4CE2" w14:textId="074701A8" w:rsidR="00A97F09" w:rsidRDefault="00A97F09" w:rsidP="00553F39">
            <w:pPr>
              <w:widowControl w:val="0"/>
              <w:tabs>
                <w:tab w:val="left" w:pos="2143"/>
              </w:tabs>
              <w:autoSpaceDE w:val="0"/>
              <w:autoSpaceDN w:val="0"/>
              <w:spacing w:after="120" w:line="276" w:lineRule="auto"/>
              <w:jc w:val="both"/>
              <w:rPr>
                <w:rFonts w:ascii="Verdana" w:eastAsia="Calibri" w:hAnsi="Verdana" w:cs="Arial"/>
              </w:rPr>
            </w:pPr>
            <w:r>
              <w:rPr>
                <w:rFonts w:ascii="Verdana" w:eastAsia="Calibri" w:hAnsi="Verdana" w:cs="Arial"/>
              </w:rPr>
              <w:t xml:space="preserve">De igual forma se le invita a consultar la </w:t>
            </w:r>
            <w:r w:rsidRPr="00A97F09">
              <w:rPr>
                <w:rFonts w:ascii="Verdana" w:eastAsia="Calibri" w:hAnsi="Verdana" w:cs="Arial"/>
              </w:rPr>
              <w:t>GUÍA PARA LA INCORPORACIÓN DE LINEAMIENTOS DE INTEGRIDAD EN LA CONTRATACIÓN DE PRESTACIÓN DE SERVICIOS</w:t>
            </w:r>
            <w:r>
              <w:rPr>
                <w:rFonts w:ascii="Verdana" w:eastAsia="Calibri" w:hAnsi="Verdana" w:cs="Arial"/>
              </w:rPr>
              <w:t>, la cual encontrará en el siguiente enlace:</w:t>
            </w:r>
          </w:p>
          <w:p w14:paraId="7ACD1CCE" w14:textId="77777777" w:rsidR="00A97F09" w:rsidRDefault="00A97F09" w:rsidP="00553F39">
            <w:pPr>
              <w:widowControl w:val="0"/>
              <w:tabs>
                <w:tab w:val="left" w:pos="2143"/>
              </w:tabs>
              <w:autoSpaceDE w:val="0"/>
              <w:autoSpaceDN w:val="0"/>
              <w:spacing w:after="120" w:line="276" w:lineRule="auto"/>
              <w:jc w:val="both"/>
              <w:rPr>
                <w:rFonts w:ascii="Verdana" w:eastAsia="Calibri" w:hAnsi="Verdana" w:cs="Arial"/>
              </w:rPr>
            </w:pPr>
          </w:p>
          <w:p w14:paraId="4108809F" w14:textId="33A86114" w:rsidR="00A97F09" w:rsidRPr="00A97F09" w:rsidRDefault="00A97F09" w:rsidP="00553F39">
            <w:pPr>
              <w:widowControl w:val="0"/>
              <w:tabs>
                <w:tab w:val="left" w:pos="2143"/>
              </w:tabs>
              <w:autoSpaceDE w:val="0"/>
              <w:autoSpaceDN w:val="0"/>
              <w:spacing w:after="120" w:line="276" w:lineRule="auto"/>
              <w:jc w:val="both"/>
              <w:rPr>
                <w:rFonts w:ascii="Verdana" w:eastAsia="Calibri" w:hAnsi="Verdana" w:cs="Arial"/>
                <w:u w:val="single"/>
              </w:rPr>
            </w:pPr>
            <w:r w:rsidRPr="00A97F09">
              <w:rPr>
                <w:rFonts w:ascii="Verdana" w:eastAsia="Calibri" w:hAnsi="Verdana" w:cs="Arial"/>
                <w:u w:val="single"/>
              </w:rPr>
              <w:t>https://colombiacompra.gov.co/sites/cce_public/files/cce_documents/cce-eicp-gi-23_guia_contratacion_prestacion_de_servicios_v1_11-07-2023_def_1_1.pdf</w:t>
            </w:r>
          </w:p>
        </w:tc>
      </w:tr>
    </w:tbl>
    <w:p w14:paraId="25FD70A0" w14:textId="77777777" w:rsidR="00C04209" w:rsidRPr="00C04209" w:rsidRDefault="00C04209" w:rsidP="00C0420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94193F0" w14:textId="1CFCB6CC" w:rsidR="00AB64A5" w:rsidRPr="00C04209"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4209">
        <w:rPr>
          <w:rFonts w:ascii="Verdana" w:eastAsia="Century Gothic" w:hAnsi="Verdana" w:cs="Century Gothic"/>
          <w:b/>
          <w:bCs/>
        </w:rPr>
        <w:lastRenderedPageBreak/>
        <w:t>Razones de la respuesta:</w:t>
      </w:r>
    </w:p>
    <w:p w14:paraId="03D52260" w14:textId="77777777" w:rsidR="00AB64A5" w:rsidRPr="00C04209" w:rsidRDefault="00AB64A5" w:rsidP="00AB64A5">
      <w:pPr>
        <w:spacing w:after="0" w:line="276" w:lineRule="auto"/>
        <w:jc w:val="both"/>
        <w:rPr>
          <w:rFonts w:ascii="Verdana" w:eastAsia="Calibri" w:hAnsi="Verdana" w:cs="Arial"/>
          <w:color w:val="7030A0"/>
          <w:lang w:val="es-ES"/>
        </w:rPr>
      </w:pPr>
    </w:p>
    <w:p w14:paraId="22947B98" w14:textId="77777777" w:rsidR="00AB64A5" w:rsidRPr="00C04209" w:rsidRDefault="00AB64A5" w:rsidP="00AB64A5">
      <w:pPr>
        <w:spacing w:after="0" w:line="276" w:lineRule="auto"/>
        <w:jc w:val="both"/>
        <w:rPr>
          <w:rFonts w:ascii="Verdana" w:eastAsia="Calibri" w:hAnsi="Verdana" w:cs="Arial"/>
          <w:lang w:val="es-ES"/>
        </w:rPr>
      </w:pPr>
      <w:r w:rsidRPr="00C04209">
        <w:rPr>
          <w:rFonts w:ascii="Verdana" w:eastAsia="Calibri" w:hAnsi="Verdana" w:cs="Arial"/>
          <w:lang w:val="es-ES"/>
        </w:rPr>
        <w:t xml:space="preserve">Lo anterior se sustenta en las siguientes consideraciones: </w:t>
      </w:r>
    </w:p>
    <w:p w14:paraId="1B0B6DAD" w14:textId="77777777" w:rsidR="000E2148" w:rsidRPr="00C04209" w:rsidRDefault="000E2148" w:rsidP="00AB64A5">
      <w:pPr>
        <w:spacing w:after="0" w:line="276" w:lineRule="auto"/>
        <w:jc w:val="both"/>
        <w:rPr>
          <w:rFonts w:ascii="Verdana" w:eastAsia="Calibri" w:hAnsi="Verdana" w:cs="Arial"/>
          <w:lang w:val="es-ES"/>
        </w:rPr>
      </w:pPr>
    </w:p>
    <w:p w14:paraId="430E082E" w14:textId="77777777" w:rsidR="00C04209" w:rsidRPr="00C04209" w:rsidRDefault="00C04209" w:rsidP="00C04209">
      <w:pPr>
        <w:spacing w:before="240" w:line="276" w:lineRule="auto"/>
        <w:contextualSpacing/>
        <w:jc w:val="both"/>
        <w:rPr>
          <w:rStyle w:val="normaltextrun"/>
          <w:rFonts w:ascii="Verdana" w:hAnsi="Verdana" w:cs="Arial"/>
          <w:color w:val="000000"/>
          <w:shd w:val="clear" w:color="auto" w:fill="FFFFFF"/>
          <w:lang w:val="es-ES"/>
        </w:rPr>
      </w:pPr>
      <w:r w:rsidRPr="00C04209">
        <w:rPr>
          <w:rStyle w:val="normaltextrun"/>
          <w:rFonts w:ascii="Verdana" w:hAnsi="Verdana" w:cs="Arial"/>
          <w:color w:val="000000"/>
          <w:shd w:val="clear" w:color="auto" w:fill="FFFFFF"/>
          <w:lang w:val="es-ES"/>
        </w:rPr>
        <w:t xml:space="preserve">La Ley 1150 de 2007, en el artículo 5, </w:t>
      </w:r>
      <w:r w:rsidRPr="00C04209">
        <w:rPr>
          <w:rStyle w:val="normaltextrun"/>
          <w:rFonts w:ascii="Verdana" w:hAnsi="Verdana" w:cs="Arial"/>
          <w:lang w:val="es-MX"/>
        </w:rPr>
        <w:t>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w:t>
      </w:r>
      <w:r w:rsidRPr="00C04209">
        <w:rPr>
          <w:rStyle w:val="normaltextrun"/>
          <w:rFonts w:ascii="Verdana" w:hAnsi="Verdana" w:cs="Arial"/>
          <w:color w:val="000000"/>
          <w:shd w:val="clear" w:color="auto" w:fill="FFFFFF"/>
          <w:lang w:val="es-ES"/>
        </w:rPr>
        <w:t>. Dichos requisitos miden la aptitud del proponente para participar en un Proceso de Contratación como oferente, pues su propósito no es más que establecer unas condiciones mínimas para los proponentes de tal manera que la Entidad Estatal sólo evalúe las ofertas de aquellos que están en condiciones de cumplir con el objeto del Proceso de Contratación, por tal razón, los requisitos habilitantes siempre se refieren a las condiciones de un oferente y nunca de la oferta.</w:t>
      </w:r>
    </w:p>
    <w:p w14:paraId="0C5C9FF6" w14:textId="77777777" w:rsidR="00C04209" w:rsidRPr="00C04209" w:rsidRDefault="00C04209" w:rsidP="00C04209">
      <w:pPr>
        <w:spacing w:before="240" w:line="276" w:lineRule="auto"/>
        <w:contextualSpacing/>
        <w:jc w:val="both"/>
        <w:rPr>
          <w:rStyle w:val="normaltextrun"/>
          <w:rFonts w:ascii="Verdana" w:hAnsi="Verdana" w:cs="Arial"/>
          <w:color w:val="000000"/>
          <w:shd w:val="clear" w:color="auto" w:fill="FFFFFF"/>
          <w:lang w:val="es-ES"/>
        </w:rPr>
      </w:pPr>
    </w:p>
    <w:p w14:paraId="58714C46" w14:textId="77777777" w:rsidR="00C04209" w:rsidRPr="00C04209" w:rsidRDefault="00C04209" w:rsidP="00C04209">
      <w:pPr>
        <w:spacing w:before="240" w:line="276" w:lineRule="auto"/>
        <w:contextualSpacing/>
        <w:jc w:val="both"/>
        <w:rPr>
          <w:rStyle w:val="normaltextrun"/>
          <w:rFonts w:ascii="Verdana" w:hAnsi="Verdana" w:cs="Arial"/>
          <w:color w:val="000000"/>
          <w:shd w:val="clear" w:color="auto" w:fill="FFFFFF"/>
          <w:lang w:val="es-ES"/>
        </w:rPr>
      </w:pPr>
      <w:r w:rsidRPr="00C04209">
        <w:rPr>
          <w:rStyle w:val="normaltextrun"/>
          <w:rFonts w:ascii="Verdana" w:hAnsi="Verdana" w:cs="Arial"/>
          <w:color w:val="000000"/>
          <w:shd w:val="clear" w:color="auto" w:fill="FFFFFF"/>
          <w:lang w:val="es-ES"/>
        </w:rPr>
        <w:t>La entidad estatal, como responsable de la estructuración de su procedimiento de selección, es autónoma para determinar los requisitos habilitantes necesarios, de acuerdo con la naturaleza del contrato que se pretende suscribir y a su valor. Para esto, la entidad, según el artículo 2.2.1.1.1.6.2. del Decreto 1082 de 2015, deberá tener en cuenta el estudio del sector y sus componentes. Sin embargo, si el Proceso de Contratación requiere que los oferentes cuenten con RUP, la Entidad Estatal debe exigir en los Documentos del Proceso como mínimo los indicadores establecidos en este registro. Sin embargo, puede pedir indicadores adicionales, caso en el cual debe verificarlos directamente mediante documentos adicionales en virtud de lo dispuesto en el artículo 5 y 6 de la Ley 1150 de 2007.</w:t>
      </w:r>
    </w:p>
    <w:p w14:paraId="0D880435" w14:textId="77777777" w:rsidR="00C04209" w:rsidRPr="00C04209" w:rsidRDefault="00C04209" w:rsidP="00C04209">
      <w:pPr>
        <w:spacing w:before="240" w:line="276" w:lineRule="auto"/>
        <w:contextualSpacing/>
        <w:jc w:val="both"/>
        <w:rPr>
          <w:rStyle w:val="normaltextrun"/>
          <w:rFonts w:ascii="Verdana" w:hAnsi="Verdana" w:cs="Arial"/>
          <w:color w:val="000000"/>
          <w:shd w:val="clear" w:color="auto" w:fill="FFFFFF"/>
          <w:lang w:val="es-ES"/>
        </w:rPr>
      </w:pPr>
    </w:p>
    <w:p w14:paraId="36161283" w14:textId="77777777" w:rsidR="00C04209" w:rsidRPr="00C04209" w:rsidRDefault="00C04209" w:rsidP="00C04209">
      <w:pPr>
        <w:spacing w:before="240" w:line="276" w:lineRule="auto"/>
        <w:contextualSpacing/>
        <w:jc w:val="both"/>
        <w:rPr>
          <w:rStyle w:val="normaltextrun"/>
          <w:rFonts w:ascii="Verdana" w:hAnsi="Verdana" w:cs="Arial"/>
          <w:color w:val="000000"/>
          <w:shd w:val="clear" w:color="auto" w:fill="FFFFFF"/>
          <w:lang w:val="es-ES"/>
        </w:rPr>
      </w:pPr>
      <w:r w:rsidRPr="00C04209">
        <w:rPr>
          <w:rStyle w:val="normaltextrun"/>
          <w:rFonts w:ascii="Verdana" w:hAnsi="Verdana" w:cs="Arial"/>
          <w:color w:val="000000"/>
          <w:shd w:val="clear" w:color="auto" w:fill="FFFFFF"/>
          <w:lang w:val="es-ES"/>
        </w:rPr>
        <w:t>Por el contrario, si en el Proceso de Contratación no es obligatorio que los oferentes cuenten con RUP, la Entidad Estatal de forma autónoma debe definir la forma de acreditar los requisitos habilitantes de experiencia, capacidad jurídica, capacidad financiera y capacidad organizacional. En este caso, la Entidad Estatal debe establecer en los Documentos del Proceso los requisitos habilitantes exigidos y la forma de acreditarlos y verificarlos.</w:t>
      </w:r>
    </w:p>
    <w:p w14:paraId="07D0FA58" w14:textId="77777777" w:rsidR="00C04209" w:rsidRPr="00C04209" w:rsidRDefault="00C04209" w:rsidP="00C04209">
      <w:pPr>
        <w:spacing w:before="240" w:line="276" w:lineRule="auto"/>
        <w:contextualSpacing/>
        <w:jc w:val="both"/>
        <w:rPr>
          <w:rStyle w:val="normaltextrun"/>
          <w:rFonts w:ascii="Verdana" w:hAnsi="Verdana" w:cs="Arial"/>
          <w:color w:val="000000"/>
          <w:shd w:val="clear" w:color="auto" w:fill="FFFFFF"/>
          <w:lang w:val="es-ES"/>
        </w:rPr>
      </w:pPr>
    </w:p>
    <w:p w14:paraId="7720B1C5" w14:textId="349CB425" w:rsidR="00C04209" w:rsidRPr="00C04209" w:rsidRDefault="00C04209" w:rsidP="00C04209">
      <w:pPr>
        <w:spacing w:before="240" w:line="276" w:lineRule="auto"/>
        <w:contextualSpacing/>
        <w:jc w:val="both"/>
        <w:rPr>
          <w:rStyle w:val="normaltextrun"/>
          <w:rFonts w:ascii="Verdana" w:hAnsi="Verdana" w:cs="Arial"/>
          <w:color w:val="000000"/>
          <w:shd w:val="clear" w:color="auto" w:fill="FFFFFF"/>
          <w:lang w:val="es-ES"/>
        </w:rPr>
      </w:pPr>
      <w:r w:rsidRPr="00C04209">
        <w:rPr>
          <w:rStyle w:val="normaltextrun"/>
          <w:rFonts w:ascii="Verdana" w:hAnsi="Verdana" w:cs="Arial"/>
          <w:color w:val="000000"/>
          <w:shd w:val="clear" w:color="auto" w:fill="FFFFFF"/>
          <w:lang w:val="es-ES"/>
        </w:rPr>
        <w:lastRenderedPageBreak/>
        <w:t xml:space="preserve">De esta manera, es claro que la ley le da un amplio margen de discrecionalidad a las Entidades Estatales para determinar en sus Procesos de Contratación los requisitos habilitantes, por lo que es importante comprender el alcance de la expresión </w:t>
      </w:r>
      <w:r w:rsidRPr="00C04209">
        <w:rPr>
          <w:rStyle w:val="normaltextrun"/>
          <w:rFonts w:ascii="Verdana" w:hAnsi="Verdana" w:cs="Arial"/>
          <w:i/>
          <w:iCs/>
          <w:color w:val="000000"/>
          <w:shd w:val="clear" w:color="auto" w:fill="FFFFFF"/>
          <w:lang w:val="es-ES"/>
        </w:rPr>
        <w:t>“adecuada y proporcional”</w:t>
      </w:r>
      <w:r w:rsidRPr="00C04209">
        <w:rPr>
          <w:rStyle w:val="normaltextrun"/>
          <w:rFonts w:ascii="Verdana" w:hAnsi="Verdana" w:cs="Arial"/>
          <w:color w:val="000000"/>
          <w:shd w:val="clear" w:color="auto" w:fill="FFFFFF"/>
          <w:lang w:val="es-ES"/>
        </w:rPr>
        <w:t xml:space="preserve"> del artículo 5 de la Ley 1150 de 2007, que busca que haya una relación entre el contrato y la experiencia del proponente y su capacidad jurídica, financiera y organizacional. Es decir, los requisitos habilitantes exigidos deben guardar proporción no sólo con el objeto del contrato y su valor, sino también con su complejidad, plazo, forma de pago y el Riesgo asociado al Proceso de Contratación, toda vez que la promoción de la competencia es uno de los objetivos del sistema de compras y contratación pública, por lo cual es muy importante tener en cuenta que los requisitos habilitantes no son ni pueden ser una forma de restringir la participación en los Procesos de Contratación. </w:t>
      </w:r>
    </w:p>
    <w:p w14:paraId="3C50CE6C" w14:textId="77777777" w:rsidR="00C04209" w:rsidRPr="00C04209" w:rsidRDefault="00C04209" w:rsidP="00C04209">
      <w:pPr>
        <w:spacing w:after="0" w:line="276" w:lineRule="auto"/>
        <w:contextualSpacing/>
        <w:jc w:val="both"/>
        <w:rPr>
          <w:rStyle w:val="normaltextrun"/>
          <w:rFonts w:ascii="Verdana" w:hAnsi="Verdana" w:cs="Arial"/>
          <w:color w:val="000000"/>
          <w:shd w:val="clear" w:color="auto" w:fill="FFFFFF"/>
          <w:lang w:val="es-ES"/>
        </w:rPr>
      </w:pPr>
    </w:p>
    <w:p w14:paraId="030BE8D1" w14:textId="748CC509" w:rsidR="00C04209" w:rsidRPr="00C04209" w:rsidRDefault="00C04209" w:rsidP="00C04209">
      <w:pPr>
        <w:spacing w:after="0" w:line="276" w:lineRule="auto"/>
        <w:contextualSpacing/>
        <w:jc w:val="both"/>
        <w:rPr>
          <w:rStyle w:val="normaltextrun"/>
          <w:rFonts w:ascii="Verdana" w:hAnsi="Verdana" w:cs="Arial"/>
          <w:color w:val="000000"/>
          <w:shd w:val="clear" w:color="auto" w:fill="FFFFFF"/>
          <w:lang w:val="es-ES"/>
        </w:rPr>
      </w:pPr>
      <w:r w:rsidRPr="00C04209">
        <w:rPr>
          <w:rStyle w:val="normaltextrun"/>
          <w:rFonts w:ascii="Verdana" w:hAnsi="Verdana" w:cs="Arial"/>
          <w:color w:val="000000"/>
          <w:shd w:val="clear" w:color="auto" w:fill="FFFFFF"/>
          <w:lang w:val="es-ES"/>
        </w:rPr>
        <w:t xml:space="preserve">Para determinar si los requisitos habilitantes son adecuados y proporcionales, la Agencia de Contratación Pública - Colombia Compra Eficiente recomienda a la Entidad Estatal hacerse las preguntas contempladas en el </w:t>
      </w:r>
      <w:r w:rsidRPr="00C04209">
        <w:rPr>
          <w:rStyle w:val="normaltextrun"/>
          <w:rFonts w:ascii="Verdana" w:hAnsi="Verdana" w:cs="Arial"/>
          <w:i/>
          <w:iCs/>
          <w:color w:val="000000"/>
          <w:shd w:val="clear" w:color="auto" w:fill="FFFFFF"/>
          <w:lang w:val="es-ES"/>
        </w:rPr>
        <w:t>“Manual para determinar y verificar los requisitos habilitantes en los Procesos de Contratación”</w:t>
      </w:r>
      <w:r w:rsidRPr="00C04209">
        <w:rPr>
          <w:rStyle w:val="Refdenotaalpie"/>
          <w:rFonts w:ascii="Verdana" w:hAnsi="Verdana" w:cs="Arial"/>
          <w:color w:val="000000"/>
          <w:shd w:val="clear" w:color="auto" w:fill="FFFFFF"/>
          <w:lang w:val="es-ES"/>
        </w:rPr>
        <w:footnoteReference w:id="1"/>
      </w:r>
      <w:r w:rsidRPr="00C04209">
        <w:rPr>
          <w:rStyle w:val="normaltextrun"/>
          <w:rFonts w:ascii="Verdana" w:hAnsi="Verdana" w:cs="Arial"/>
          <w:color w:val="000000"/>
          <w:shd w:val="clear" w:color="auto" w:fill="FFFFFF"/>
          <w:lang w:val="es-ES"/>
        </w:rPr>
        <w:t xml:space="preserve"> con el fin de que al momento de la estructuración de los Procesos de Contratación realice un análisis que le permita fijar unos requisitos mínimos que debe tener y acreditar el proponente, para que pueda verificarse su aptitud para participar en el procedimiento de contratación y, si se le adjudica, ejecutar el contrato estatal</w:t>
      </w:r>
      <w:r w:rsidRPr="00C04209">
        <w:rPr>
          <w:rStyle w:val="eop"/>
          <w:rFonts w:ascii="Verdana" w:hAnsi="Verdana" w:cs="Arial"/>
        </w:rPr>
        <w:t xml:space="preserve">, fijando como lineamiento que el </w:t>
      </w:r>
      <w:r w:rsidRPr="00C04209">
        <w:rPr>
          <w:rStyle w:val="normaltextrun"/>
          <w:rFonts w:ascii="Verdana" w:hAnsi="Verdana" w:cs="Arial"/>
          <w:color w:val="000000"/>
          <w:shd w:val="clear" w:color="auto" w:fill="FFFFFF"/>
          <w:lang w:val="es-ES"/>
        </w:rPr>
        <w:t>sistema de compras y contratación pública debe promover la participación de más proponentes y el crecimiento de la industria nacional de bienes y servicios y, por eso, si bien las Entidades Estatales cuentan con cierta autonomía para establecer los requisitos habilitantes en sus Procesos de Contratación, estos deben ser adecuados y proporcionales.</w:t>
      </w:r>
    </w:p>
    <w:p w14:paraId="7AEF5CC2" w14:textId="77777777" w:rsidR="00C04209" w:rsidRPr="00C04209" w:rsidRDefault="00C04209" w:rsidP="00C04209">
      <w:pPr>
        <w:spacing w:after="0" w:line="276" w:lineRule="auto"/>
        <w:contextualSpacing/>
        <w:jc w:val="both"/>
        <w:rPr>
          <w:rFonts w:ascii="Verdana" w:eastAsia="Arial" w:hAnsi="Verdana" w:cs="Arial"/>
        </w:rPr>
      </w:pPr>
    </w:p>
    <w:p w14:paraId="19194056" w14:textId="7BEA710B" w:rsidR="00C04209" w:rsidRPr="00C04209" w:rsidRDefault="00C04209" w:rsidP="00C04209">
      <w:pPr>
        <w:tabs>
          <w:tab w:val="left" w:pos="0"/>
        </w:tabs>
        <w:spacing w:line="276" w:lineRule="auto"/>
        <w:jc w:val="both"/>
        <w:rPr>
          <w:rFonts w:ascii="Verdana" w:eastAsia="Calibri" w:hAnsi="Verdana" w:cs="Arial"/>
          <w:color w:val="000000" w:themeColor="text1"/>
          <w:lang w:val="es-ES_tradnl"/>
        </w:rPr>
      </w:pPr>
      <w:r w:rsidRPr="00C04209">
        <w:rPr>
          <w:rFonts w:ascii="Verdana" w:hAnsi="Verdana" w:cs="Arial"/>
          <w:color w:val="000000" w:themeColor="text1"/>
        </w:rPr>
        <w:t xml:space="preserve">Ahora bien, el contrato de prestación de servicios es un contrato estatal típico, regulado en el numeral 3 del artículo 32 de la Ley 80 de 1993. Es definido como aquel que </w:t>
      </w:r>
      <w:r w:rsidRPr="00C04209">
        <w:rPr>
          <w:rFonts w:ascii="Verdana" w:hAnsi="Verdana" w:cs="Arial"/>
          <w:i/>
          <w:iCs/>
          <w:color w:val="000000" w:themeColor="text1"/>
        </w:rPr>
        <w:t xml:space="preserve">“celebren las entidades estatales para desarrollar actividades relacionadas con la administración o funcionamiento de la entidad. Estos </w:t>
      </w:r>
      <w:r w:rsidRPr="00C04209">
        <w:rPr>
          <w:rFonts w:ascii="Verdana" w:hAnsi="Verdana" w:cs="Arial"/>
          <w:i/>
          <w:iCs/>
          <w:color w:val="000000" w:themeColor="text1"/>
        </w:rPr>
        <w:lastRenderedPageBreak/>
        <w:t>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C04209">
        <w:rPr>
          <w:rFonts w:ascii="Verdana" w:eastAsia="Calibri" w:hAnsi="Verdana"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78C5E879" w14:textId="014BDBE2" w:rsidR="00C04209" w:rsidRPr="00C04209" w:rsidRDefault="00C04209" w:rsidP="00C04209">
      <w:pPr>
        <w:spacing w:line="276" w:lineRule="auto"/>
        <w:ind w:left="709" w:right="758"/>
        <w:jc w:val="both"/>
        <w:rPr>
          <w:rFonts w:ascii="Verdana" w:eastAsia="Calibri" w:hAnsi="Verdana" w:cs="Arial"/>
          <w:color w:val="000000" w:themeColor="text1"/>
          <w:sz w:val="20"/>
          <w:szCs w:val="20"/>
        </w:rPr>
      </w:pPr>
      <w:r w:rsidRPr="00C04209">
        <w:rPr>
          <w:rFonts w:ascii="Verdana" w:eastAsia="Calibri" w:hAnsi="Verdana" w:cs="Arial"/>
          <w:color w:val="000000" w:themeColor="text1"/>
          <w:sz w:val="20"/>
          <w:szCs w:val="20"/>
        </w:rPr>
        <w:t>“La escogencia del contratista se efectuará con arreglo a las modalidades de selección de licitación pública, selección abreviada, concurso de méritos y contratación directa, con base en las siguientes reglas:</w:t>
      </w:r>
    </w:p>
    <w:p w14:paraId="5B7463DD" w14:textId="77777777" w:rsidR="00C04209" w:rsidRPr="00C04209" w:rsidRDefault="00C04209" w:rsidP="00C04209">
      <w:pPr>
        <w:spacing w:after="120" w:line="276" w:lineRule="auto"/>
        <w:ind w:left="709" w:right="760"/>
        <w:jc w:val="both"/>
        <w:rPr>
          <w:rFonts w:ascii="Verdana" w:eastAsia="Calibri" w:hAnsi="Verdana" w:cs="Arial"/>
          <w:color w:val="000000" w:themeColor="text1"/>
          <w:sz w:val="20"/>
          <w:szCs w:val="20"/>
        </w:rPr>
      </w:pPr>
      <w:r w:rsidRPr="00C04209">
        <w:rPr>
          <w:rFonts w:ascii="Verdana" w:eastAsia="Calibri" w:hAnsi="Verdana" w:cs="Arial"/>
          <w:color w:val="000000" w:themeColor="text1"/>
          <w:sz w:val="20"/>
          <w:szCs w:val="20"/>
        </w:rPr>
        <w:t>[…]</w:t>
      </w:r>
    </w:p>
    <w:p w14:paraId="1B280382" w14:textId="77777777" w:rsidR="00C04209" w:rsidRPr="00C04209" w:rsidRDefault="00C04209" w:rsidP="00C04209">
      <w:pPr>
        <w:spacing w:line="276" w:lineRule="auto"/>
        <w:ind w:left="709" w:right="758"/>
        <w:jc w:val="both"/>
        <w:rPr>
          <w:rFonts w:ascii="Verdana" w:eastAsia="Calibri" w:hAnsi="Verdana" w:cs="Arial"/>
          <w:color w:val="000000" w:themeColor="text1"/>
          <w:sz w:val="20"/>
          <w:szCs w:val="20"/>
        </w:rPr>
      </w:pPr>
      <w:r w:rsidRPr="00C04209">
        <w:rPr>
          <w:rFonts w:ascii="Verdana" w:eastAsia="Calibri" w:hAnsi="Verdana" w:cs="Arial"/>
          <w:color w:val="000000" w:themeColor="text1"/>
          <w:sz w:val="20"/>
          <w:szCs w:val="20"/>
        </w:rPr>
        <w:t>4. Contratación directa. La modalidad de selección de contratación directa solamente procederá en los siguientes casos:</w:t>
      </w:r>
    </w:p>
    <w:p w14:paraId="691B4D1E" w14:textId="77777777" w:rsidR="00C04209" w:rsidRPr="00C04209" w:rsidRDefault="00C04209" w:rsidP="00C04209">
      <w:pPr>
        <w:spacing w:after="120" w:line="276" w:lineRule="auto"/>
        <w:ind w:left="709" w:right="760"/>
        <w:jc w:val="both"/>
        <w:rPr>
          <w:rFonts w:ascii="Verdana" w:eastAsia="Calibri" w:hAnsi="Verdana" w:cs="Arial"/>
          <w:color w:val="000000" w:themeColor="text1"/>
          <w:sz w:val="20"/>
          <w:szCs w:val="20"/>
        </w:rPr>
      </w:pPr>
      <w:r w:rsidRPr="00C04209">
        <w:rPr>
          <w:rFonts w:ascii="Verdana" w:eastAsia="Calibri" w:hAnsi="Verdana" w:cs="Arial"/>
          <w:color w:val="000000" w:themeColor="text1"/>
          <w:sz w:val="20"/>
          <w:szCs w:val="20"/>
        </w:rPr>
        <w:t>[…]</w:t>
      </w:r>
    </w:p>
    <w:p w14:paraId="576A6F42" w14:textId="4D48094E" w:rsidR="00C04209" w:rsidRPr="00C04209" w:rsidRDefault="00C04209" w:rsidP="00C04209">
      <w:pPr>
        <w:spacing w:line="276" w:lineRule="auto"/>
        <w:ind w:left="709" w:right="758"/>
        <w:jc w:val="both"/>
        <w:rPr>
          <w:rFonts w:ascii="Verdana" w:eastAsia="Calibri" w:hAnsi="Verdana" w:cs="Arial"/>
          <w:color w:val="000000" w:themeColor="text1"/>
          <w:sz w:val="20"/>
          <w:szCs w:val="20"/>
        </w:rPr>
      </w:pPr>
      <w:r w:rsidRPr="00C04209">
        <w:rPr>
          <w:rFonts w:ascii="Verdana" w:eastAsia="Calibri" w:hAnsi="Verdana" w:cs="Arial"/>
          <w:color w:val="000000" w:themeColor="text1"/>
          <w:sz w:val="20"/>
          <w:szCs w:val="20"/>
        </w:rPr>
        <w:t>h) Para la prestación de servicios profesionales y de apoyo a la gestión, o para la ejecución de trabajos artísticos que sólo puedan encomendarse a determinadas personas naturales.”</w:t>
      </w:r>
    </w:p>
    <w:p w14:paraId="293B1E61" w14:textId="77777777" w:rsidR="00C04209" w:rsidRPr="00C04209" w:rsidRDefault="00C04209" w:rsidP="00C04209">
      <w:pPr>
        <w:tabs>
          <w:tab w:val="left" w:pos="0"/>
        </w:tabs>
        <w:spacing w:line="276" w:lineRule="auto"/>
        <w:jc w:val="both"/>
        <w:rPr>
          <w:rFonts w:ascii="Verdana" w:hAnsi="Verdana" w:cs="Arial"/>
          <w:noProof/>
          <w:lang w:val="es-ES_tradnl"/>
        </w:rPr>
      </w:pPr>
      <w:r w:rsidRPr="00C04209">
        <w:rPr>
          <w:rFonts w:ascii="Verdana" w:hAnsi="Verdana" w:cs="Arial"/>
          <w:noProof/>
          <w:lang w:val="es-ES_tradnl"/>
        </w:rPr>
        <w:tab/>
        <w:t>En tal sentido, 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5C093C30" w14:textId="4F3BFAA7" w:rsidR="00C04209" w:rsidRPr="00C04209" w:rsidRDefault="00C04209" w:rsidP="00C04209">
      <w:pPr>
        <w:spacing w:line="276" w:lineRule="auto"/>
        <w:ind w:left="709" w:right="758"/>
        <w:jc w:val="both"/>
        <w:rPr>
          <w:rFonts w:ascii="Verdana" w:hAnsi="Verdana" w:cs="Arial"/>
          <w:sz w:val="20"/>
          <w:szCs w:val="20"/>
        </w:rPr>
      </w:pPr>
      <w:r w:rsidRPr="00C04209">
        <w:rPr>
          <w:rFonts w:ascii="Verdana" w:hAnsi="Verdana" w:cs="Arial"/>
          <w:sz w:val="20"/>
          <w:szCs w:val="20"/>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956EC2E" w14:textId="77777777" w:rsidR="00C04209" w:rsidRPr="00C04209" w:rsidRDefault="00C04209" w:rsidP="00C04209">
      <w:pPr>
        <w:spacing w:line="276" w:lineRule="auto"/>
        <w:ind w:left="709" w:right="758"/>
        <w:jc w:val="both"/>
        <w:rPr>
          <w:rFonts w:ascii="Verdana" w:hAnsi="Verdana" w:cs="Arial"/>
          <w:sz w:val="20"/>
          <w:szCs w:val="20"/>
        </w:rPr>
      </w:pPr>
      <w:r w:rsidRPr="00C04209">
        <w:rPr>
          <w:rFonts w:ascii="Verdana" w:hAnsi="Verdana" w:cs="Arial"/>
          <w:sz w:val="20"/>
          <w:szCs w:val="20"/>
        </w:rPr>
        <w:t xml:space="preserve">Los servicios profesionales y de apoyo a la gestión corresponden a aquellos de naturaleza intelectual diferentes a los de consultoría que se </w:t>
      </w:r>
      <w:r w:rsidRPr="00C04209">
        <w:rPr>
          <w:rFonts w:ascii="Verdana" w:hAnsi="Verdana" w:cs="Arial"/>
          <w:sz w:val="20"/>
          <w:szCs w:val="20"/>
        </w:rPr>
        <w:lastRenderedPageBreak/>
        <w:t>derivan del cumplimiento de las funciones de la Entidad Estatal, así como los relacionados con actividades operativas, logísticas, o asistenciales.</w:t>
      </w:r>
    </w:p>
    <w:p w14:paraId="46AF8C62" w14:textId="28F8D6AE" w:rsidR="00C04209" w:rsidRPr="00C04209" w:rsidRDefault="00C04209" w:rsidP="00C04209">
      <w:pPr>
        <w:spacing w:line="276" w:lineRule="auto"/>
        <w:ind w:left="709" w:right="758"/>
        <w:jc w:val="both"/>
        <w:rPr>
          <w:rFonts w:ascii="Verdana" w:hAnsi="Verdana" w:cs="Arial"/>
          <w:sz w:val="20"/>
          <w:szCs w:val="20"/>
        </w:rPr>
      </w:pPr>
      <w:r w:rsidRPr="00C04209">
        <w:rPr>
          <w:rFonts w:ascii="Verdana" w:hAnsi="Verdana" w:cs="Arial"/>
          <w:sz w:val="20"/>
          <w:szCs w:val="20"/>
        </w:rPr>
        <w:t>La Entidad Estatal, para la contratación de trabajos artísticos que solamente puedan en</w:t>
      </w:r>
      <w:r w:rsidRPr="00C04209">
        <w:rPr>
          <w:rFonts w:ascii="Verdana" w:hAnsi="Verdana" w:cs="Arial"/>
          <w:sz w:val="20"/>
          <w:szCs w:val="20"/>
        </w:rPr>
        <w:softHyphen/>
        <w:t>comendarse a determinadas personas naturales, debe justificar esta situación en los estudios y documentos previos.”</w:t>
      </w:r>
    </w:p>
    <w:p w14:paraId="57A9661D" w14:textId="77777777" w:rsidR="00C04209" w:rsidRPr="00C04209" w:rsidRDefault="00C04209" w:rsidP="00C04209">
      <w:pPr>
        <w:tabs>
          <w:tab w:val="left" w:pos="0"/>
        </w:tabs>
        <w:spacing w:line="276" w:lineRule="auto"/>
        <w:jc w:val="both"/>
        <w:rPr>
          <w:rFonts w:ascii="Verdana" w:hAnsi="Verdana" w:cs="Arial"/>
          <w:color w:val="000000" w:themeColor="text1"/>
          <w:lang w:val="es-ES_tradnl"/>
        </w:rPr>
      </w:pPr>
      <w:r w:rsidRPr="00C04209">
        <w:rPr>
          <w:rFonts w:ascii="Verdana" w:hAnsi="Verdana" w:cs="Arial"/>
          <w:color w:val="000000" w:themeColor="text1"/>
          <w:lang w:val="es-ES_tradnl"/>
        </w:rPr>
        <w:t>A partir de las disposiciones citadas, así como de la reciente Sentencia de Unificación de Jurisprudencial del 9 de septiembre de 2021, proferida por el Consejo de Estado</w:t>
      </w:r>
      <w:r w:rsidRPr="00C04209">
        <w:rPr>
          <w:rStyle w:val="Refdenotaalpie"/>
          <w:rFonts w:ascii="Verdana" w:hAnsi="Verdana" w:cs="Arial"/>
          <w:bCs/>
          <w:lang w:val="es-ES"/>
        </w:rPr>
        <w:footnoteReference w:id="2"/>
      </w:r>
      <w:r w:rsidRPr="00C04209">
        <w:rPr>
          <w:rFonts w:ascii="Verdana" w:hAnsi="Verdana" w:cs="Arial"/>
          <w:color w:val="000000" w:themeColor="text1"/>
          <w:lang w:val="es-ES_tradnl"/>
        </w:rPr>
        <w:t>, es posible señalar las siguientes características del contrato de prestación de servicios</w:t>
      </w:r>
      <w:r w:rsidRPr="00C04209">
        <w:rPr>
          <w:rFonts w:ascii="Verdana" w:hAnsi="Verdana" w:cs="Arial"/>
          <w:noProof/>
          <w:lang w:val="es-ES_tradnl"/>
        </w:rPr>
        <w:t>:</w:t>
      </w:r>
    </w:p>
    <w:p w14:paraId="18BF5090" w14:textId="46D0D0A9" w:rsidR="00C04209" w:rsidRPr="00C04209" w:rsidRDefault="00C04209" w:rsidP="00C04209">
      <w:pPr>
        <w:spacing w:before="120" w:line="276" w:lineRule="auto"/>
        <w:ind w:firstLine="709"/>
        <w:jc w:val="both"/>
        <w:rPr>
          <w:rFonts w:ascii="Verdana" w:hAnsi="Verdana" w:cs="Arial"/>
          <w:noProof/>
          <w:lang w:val="es-ES_tradnl"/>
        </w:rPr>
      </w:pPr>
      <w:r w:rsidRPr="00C04209">
        <w:rPr>
          <w:rFonts w:ascii="Verdana" w:hAnsi="Verdana" w:cs="Arial"/>
          <w:noProof/>
          <w:lang w:val="es-ES_tradnl"/>
        </w:rPr>
        <w:t>i) Solo puede celebrarse para realizar “actividades relacionadas con la administración o funcionamiento de la entidad”, es decir, que hagan parte de su giro ordinario o quehacer cotidiano</w:t>
      </w:r>
      <w:r w:rsidRPr="00C04209">
        <w:rPr>
          <w:rStyle w:val="Refdenotaalpie"/>
          <w:rFonts w:ascii="Verdana" w:hAnsi="Verdana" w:cs="Arial"/>
          <w:noProof/>
          <w:lang w:val="es-ES_tradnl"/>
        </w:rPr>
        <w:footnoteReference w:id="3"/>
      </w:r>
      <w:r w:rsidRPr="00C04209">
        <w:rPr>
          <w:rFonts w:ascii="Verdana" w:hAnsi="Verdana" w:cs="Arial"/>
          <w:noProof/>
          <w:lang w:val="es-ES_tradnl"/>
        </w:rPr>
        <w:t>.</w:t>
      </w:r>
    </w:p>
    <w:p w14:paraId="7E82589C" w14:textId="13C413E4" w:rsidR="00C04209" w:rsidRPr="00C04209" w:rsidRDefault="00C04209" w:rsidP="00C04209">
      <w:pPr>
        <w:spacing w:before="120" w:line="276" w:lineRule="auto"/>
        <w:ind w:firstLine="709"/>
        <w:jc w:val="both"/>
        <w:rPr>
          <w:rFonts w:ascii="Verdana" w:hAnsi="Verdana" w:cs="Arial"/>
          <w:noProof/>
          <w:lang w:val="es-ES_tradnl"/>
        </w:rPr>
      </w:pPr>
      <w:r w:rsidRPr="00C04209">
        <w:rPr>
          <w:rFonts w:ascii="Verdana" w:hAnsi="Verdana" w:cs="Arial"/>
          <w:noProof/>
          <w:lang w:val="es-ES_tradnl"/>
        </w:rPr>
        <w:t xml:space="preserve">ii) Respecto del tipo de personas que pueden ser contratadas, admite que se suscriba con personas naturales o jurídicas. Sin embargo, cuando se celebre con aquellas, la entidad estatal debe justificar, en los estudios previos, que las actividades </w:t>
      </w:r>
      <w:r w:rsidRPr="00C04209">
        <w:rPr>
          <w:rFonts w:ascii="Verdana" w:hAnsi="Verdana" w:cs="Arial"/>
          <w:i/>
          <w:iCs/>
          <w:noProof/>
          <w:lang w:val="es-ES_tradnl"/>
        </w:rPr>
        <w:t>“no puedan realizarse con personal de planta o requieran conocimientos especializados”.</w:t>
      </w:r>
      <w:r w:rsidRPr="00C04209">
        <w:rPr>
          <w:rFonts w:ascii="Verdana" w:hAnsi="Verdana" w:cs="Arial"/>
          <w:noProof/>
          <w:lang w:val="es-ES_tradnl"/>
        </w:rPr>
        <w:t xml:space="preserve"> </w:t>
      </w:r>
    </w:p>
    <w:p w14:paraId="698E50A1" w14:textId="64420642" w:rsidR="00C04209" w:rsidRPr="00C04209" w:rsidRDefault="00C04209" w:rsidP="00C04209">
      <w:pPr>
        <w:spacing w:before="120" w:line="276" w:lineRule="auto"/>
        <w:ind w:firstLine="709"/>
        <w:jc w:val="both"/>
        <w:rPr>
          <w:rFonts w:ascii="Verdana" w:hAnsi="Verdana" w:cs="Arial"/>
          <w:noProof/>
          <w:lang w:val="es-ES_tradnl"/>
        </w:rPr>
      </w:pPr>
      <w:r w:rsidRPr="00C04209">
        <w:rPr>
          <w:rFonts w:ascii="Verdana" w:hAnsi="Verdana"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C04209">
        <w:rPr>
          <w:rFonts w:ascii="Verdana" w:hAnsi="Verdana" w:cs="Arial"/>
          <w:i/>
          <w:noProof/>
          <w:lang w:val="es-ES_tradnl"/>
        </w:rPr>
        <w:t xml:space="preserve">subordinación </w:t>
      </w:r>
      <w:r w:rsidRPr="00C04209">
        <w:rPr>
          <w:rFonts w:ascii="Verdana" w:hAnsi="Verdana" w:cs="Arial"/>
          <w:iCs/>
          <w:noProof/>
          <w:lang w:val="es-ES_tradnl"/>
        </w:rPr>
        <w:t>ni</w:t>
      </w:r>
      <w:r w:rsidRPr="00C04209">
        <w:rPr>
          <w:rFonts w:ascii="Verdana" w:hAnsi="Verdana" w:cs="Arial"/>
          <w:i/>
          <w:noProof/>
          <w:lang w:val="es-ES_tradnl"/>
        </w:rPr>
        <w:t xml:space="preserve"> dependencia</w:t>
      </w:r>
      <w:r w:rsidRPr="00C04209">
        <w:rPr>
          <w:rFonts w:ascii="Verdana" w:hAnsi="Verdana" w:cs="Arial"/>
          <w:iCs/>
          <w:noProof/>
          <w:lang w:val="es-ES_tradnl"/>
        </w:rPr>
        <w:t>,</w:t>
      </w:r>
      <w:r w:rsidRPr="00C04209">
        <w:rPr>
          <w:rFonts w:ascii="Verdana" w:hAnsi="Verdana" w:cs="Arial"/>
          <w:noProof/>
          <w:lang w:val="es-ES_tradnl"/>
        </w:rPr>
        <w:t xml:space="preserve"> que es uno de los elementos constitutivos del vínculo laboral</w:t>
      </w:r>
      <w:r w:rsidRPr="00C04209">
        <w:rPr>
          <w:rStyle w:val="Refdenotaalpie"/>
          <w:rFonts w:ascii="Verdana" w:hAnsi="Verdana" w:cs="Arial"/>
          <w:noProof/>
          <w:lang w:val="es-ES_tradnl"/>
        </w:rPr>
        <w:footnoteReference w:id="4"/>
      </w:r>
      <w:r w:rsidRPr="00C04209">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w:t>
      </w:r>
      <w:r w:rsidRPr="00C04209">
        <w:rPr>
          <w:rFonts w:ascii="Verdana" w:hAnsi="Verdana" w:cs="Arial"/>
          <w:noProof/>
          <w:lang w:val="es-ES_tradnl"/>
        </w:rPr>
        <w:lastRenderedPageBreak/>
        <w:t xml:space="preserve">debe interpretarse en el sentido de que los contratos de prestación de servicios profesionales </w:t>
      </w:r>
      <w:r w:rsidRPr="00C04209">
        <w:rPr>
          <w:rFonts w:ascii="Verdana" w:hAnsi="Verdana" w:cs="Arial"/>
          <w:i/>
          <w:noProof/>
          <w:lang w:val="es-ES_tradnl"/>
        </w:rPr>
        <w:t>no pueden</w:t>
      </w:r>
      <w:r w:rsidRPr="00C04209">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C04209">
        <w:rPr>
          <w:rStyle w:val="Refdenotaalpie"/>
          <w:rFonts w:ascii="Verdana" w:hAnsi="Verdana" w:cs="Arial"/>
          <w:noProof/>
          <w:lang w:val="es-ES_tradnl"/>
        </w:rPr>
        <w:footnoteReference w:id="5"/>
      </w:r>
      <w:r w:rsidRPr="00C04209">
        <w:rPr>
          <w:rFonts w:ascii="Verdana" w:hAnsi="Verdana" w:cs="Arial"/>
          <w:noProof/>
          <w:lang w:val="es-ES_tradnl"/>
        </w:rPr>
        <w:t xml:space="preserve">. </w:t>
      </w:r>
    </w:p>
    <w:p w14:paraId="13B8295A" w14:textId="46D4F3A7" w:rsidR="00C04209" w:rsidRPr="00C04209" w:rsidRDefault="00C04209" w:rsidP="00C04209">
      <w:pPr>
        <w:spacing w:before="120" w:line="276" w:lineRule="auto"/>
        <w:jc w:val="both"/>
        <w:rPr>
          <w:rFonts w:ascii="Verdana" w:hAnsi="Verdana" w:cs="Arial"/>
          <w:noProof/>
          <w:lang w:val="es-ES_tradnl"/>
        </w:rPr>
      </w:pPr>
      <w:r w:rsidRPr="00C04209">
        <w:rPr>
          <w:rFonts w:ascii="Verdana" w:hAnsi="Verdana" w:cs="Arial"/>
          <w:noProof/>
          <w:lang w:val="es-ES_tradnl"/>
        </w:rPr>
        <w:t xml:space="preserve">A pesar de este mandato deontológico, es posible que en la práctica se configure una relación laboral, pues el contrato de trabajo es </w:t>
      </w:r>
      <w:r w:rsidRPr="00C04209">
        <w:rPr>
          <w:rFonts w:ascii="Verdana" w:hAnsi="Verdana" w:cs="Arial"/>
          <w:i/>
          <w:iCs/>
          <w:noProof/>
          <w:lang w:val="es-ES_tradnl"/>
        </w:rPr>
        <w:t xml:space="preserve">de </w:t>
      </w:r>
      <w:r w:rsidRPr="00C04209">
        <w:rPr>
          <w:rFonts w:ascii="Verdana" w:hAnsi="Verdana" w:cs="Arial"/>
          <w:i/>
          <w:noProof/>
          <w:lang w:val="es-ES_tradnl"/>
        </w:rPr>
        <w:t>realidad</w:t>
      </w:r>
      <w:r w:rsidRPr="00C04209">
        <w:rPr>
          <w:rFonts w:ascii="Verdana" w:hAnsi="Verdana" w:cs="Arial"/>
          <w:noProof/>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C04209">
        <w:rPr>
          <w:rStyle w:val="Refdenotaalpie"/>
          <w:rFonts w:ascii="Verdana" w:hAnsi="Verdana" w:cs="Arial"/>
          <w:noProof/>
          <w:lang w:val="es-ES_tradnl"/>
        </w:rPr>
        <w:footnoteReference w:id="6"/>
      </w:r>
      <w:r w:rsidRPr="00C04209">
        <w:rPr>
          <w:rFonts w:ascii="Verdana" w:hAnsi="Verdana" w:cs="Arial"/>
          <w:noProof/>
          <w:lang w:val="es-ES_tradnl"/>
        </w:rPr>
        <w:t>.</w:t>
      </w:r>
    </w:p>
    <w:p w14:paraId="1B1714A6" w14:textId="70338066" w:rsidR="00C04209" w:rsidRPr="00C04209" w:rsidRDefault="00C04209" w:rsidP="00C04209">
      <w:pPr>
        <w:spacing w:before="120" w:line="276" w:lineRule="auto"/>
        <w:ind w:firstLine="709"/>
        <w:jc w:val="both"/>
        <w:rPr>
          <w:rFonts w:ascii="Verdana" w:hAnsi="Verdana" w:cs="Arial"/>
          <w:noProof/>
          <w:lang w:val="es-ES_tradnl"/>
        </w:rPr>
      </w:pPr>
      <w:r w:rsidRPr="00C04209">
        <w:rPr>
          <w:rFonts w:ascii="Verdana" w:hAnsi="Verdana" w:cs="Arial"/>
          <w:noProof/>
          <w:lang w:val="es-ES_tradnl"/>
        </w:rPr>
        <w:t xml:space="preserve">iv) Deben ser temporales. La sentencia de unificacion jurisprudencial del Consejo de Estado mencionada, frente a la duración del contrato de prestación de servicios señaló que solo puede celebrarse por un “término estrictamente indispensable”. En ese entendido, unificó el sentido y alcance del término estrictamente indispensable como “aquel que aparece expresamente estipulado </w:t>
      </w:r>
      <w:r w:rsidRPr="00C04209">
        <w:rPr>
          <w:rFonts w:ascii="Verdana" w:hAnsi="Verdana" w:cs="Arial"/>
          <w:noProof/>
          <w:lang w:val="es-ES_tradnl"/>
        </w:rPr>
        <w:lastRenderedPageBreak/>
        <w:t>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5F7FEB8F" w14:textId="43FD87EA" w:rsidR="00C04209" w:rsidRPr="00C04209" w:rsidRDefault="00C04209" w:rsidP="00C04209">
      <w:pPr>
        <w:spacing w:line="276" w:lineRule="auto"/>
        <w:ind w:firstLine="708"/>
        <w:jc w:val="both"/>
        <w:rPr>
          <w:rFonts w:ascii="Verdana" w:hAnsi="Verdana" w:cs="Arial"/>
          <w:noProof/>
          <w:lang w:val="es-ES_tradnl"/>
        </w:rPr>
      </w:pPr>
      <w:r w:rsidRPr="00C04209">
        <w:rPr>
          <w:rFonts w:ascii="Verdana" w:hAnsi="Verdana" w:cs="Arial"/>
        </w:rPr>
        <w:t xml:space="preserve">De igual manera, señaló que “no cabe su empleo para la cobertura indefinida de necesidades permanentes o recurrentes”. </w:t>
      </w:r>
      <w:r w:rsidRPr="00C04209">
        <w:rPr>
          <w:rFonts w:ascii="Verdana" w:hAnsi="Verdana" w:cs="Arial"/>
          <w:noProof/>
          <w:lang w:val="es-ES_tradnl"/>
        </w:rPr>
        <w:t>En sentido similar se manifestó la Corte Constitucional en la sentencia C-154 de 1997, expresando que:</w:t>
      </w:r>
    </w:p>
    <w:p w14:paraId="497CC330" w14:textId="60C64619" w:rsidR="00C04209" w:rsidRPr="00C04209" w:rsidRDefault="00C04209" w:rsidP="00C04209">
      <w:pPr>
        <w:spacing w:line="276" w:lineRule="auto"/>
        <w:ind w:left="709" w:right="709"/>
        <w:jc w:val="both"/>
        <w:rPr>
          <w:rFonts w:ascii="Verdana" w:hAnsi="Verdana" w:cs="Arial"/>
          <w:noProof/>
          <w:sz w:val="20"/>
          <w:szCs w:val="20"/>
          <w:lang w:val="es-ES_tradnl"/>
        </w:rPr>
      </w:pPr>
      <w:r w:rsidRPr="00C04209">
        <w:rPr>
          <w:rFonts w:ascii="Verdana" w:hAnsi="Verdana" w:cs="Arial"/>
          <w:noProof/>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C04209">
        <w:rPr>
          <w:rStyle w:val="Refdenotaalpie"/>
          <w:rFonts w:ascii="Verdana" w:hAnsi="Verdana" w:cs="Arial"/>
          <w:noProof/>
          <w:sz w:val="20"/>
          <w:szCs w:val="20"/>
          <w:lang w:val="es-ES_tradnl"/>
        </w:rPr>
        <w:footnoteReference w:id="7"/>
      </w:r>
      <w:r w:rsidRPr="00C04209">
        <w:rPr>
          <w:rFonts w:ascii="Verdana" w:hAnsi="Verdana" w:cs="Arial"/>
          <w:noProof/>
          <w:sz w:val="20"/>
          <w:szCs w:val="20"/>
          <w:lang w:val="es-ES_tradnl"/>
        </w:rPr>
        <w:t>.”</w:t>
      </w:r>
    </w:p>
    <w:p w14:paraId="5258D40A" w14:textId="77777777" w:rsidR="00C04209" w:rsidRPr="00C04209" w:rsidRDefault="00C04209" w:rsidP="00C04209">
      <w:pPr>
        <w:spacing w:after="120" w:line="276" w:lineRule="auto"/>
        <w:ind w:firstLine="709"/>
        <w:jc w:val="both"/>
        <w:rPr>
          <w:rFonts w:ascii="Verdana" w:hAnsi="Verdana" w:cs="Arial"/>
          <w:noProof/>
          <w:lang w:val="es-ES_tradnl"/>
        </w:rPr>
      </w:pPr>
      <w:r w:rsidRPr="00C04209">
        <w:rPr>
          <w:rFonts w:ascii="Verdana" w:hAnsi="Verdana"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C04209">
        <w:rPr>
          <w:rStyle w:val="Refdenotaalpie"/>
          <w:rFonts w:ascii="Verdana" w:hAnsi="Verdana" w:cs="Arial"/>
          <w:noProof/>
          <w:lang w:val="es-ES_tradnl"/>
        </w:rPr>
        <w:footnoteReference w:id="8"/>
      </w:r>
      <w:r w:rsidRPr="00C04209">
        <w:rPr>
          <w:rFonts w:ascii="Verdana" w:hAnsi="Verdana" w:cs="Arial"/>
          <w:noProof/>
          <w:lang w:val="es-ES_tradnl"/>
        </w:rPr>
        <w:t>. Esto también se deriva d</w:t>
      </w:r>
      <w:r w:rsidRPr="00C04209">
        <w:rPr>
          <w:rFonts w:ascii="Verdana" w:eastAsia="Calibri" w:hAnsi="Verdana" w:cs="Arial"/>
          <w:color w:val="000000" w:themeColor="text1"/>
          <w:lang w:val="es-ES_tradnl"/>
        </w:rPr>
        <w:t xml:space="preserve">el artículo 2, numeral 4º, literal </w:t>
      </w:r>
      <w:r w:rsidRPr="00C04209">
        <w:rPr>
          <w:rFonts w:ascii="Verdana" w:eastAsia="Calibri" w:hAnsi="Verdana" w:cs="Arial"/>
          <w:color w:val="000000" w:themeColor="text1"/>
          <w:lang w:val="es-ES_tradnl"/>
        </w:rPr>
        <w:lastRenderedPageBreak/>
        <w:t>h) de la Ley 1150 de 2007, al señalar que procede la contratación directa para la prestación de servicios profesionales y de apoyo a la gestión, o para la ejecución de trabajos artísticos que solo pueden encomendarse a determinadas personas.</w:t>
      </w:r>
    </w:p>
    <w:p w14:paraId="34CB680A" w14:textId="77777777" w:rsidR="00C04209" w:rsidRPr="00C04209" w:rsidRDefault="00C04209" w:rsidP="00C04209">
      <w:pPr>
        <w:spacing w:after="120" w:line="276" w:lineRule="auto"/>
        <w:ind w:firstLine="709"/>
        <w:jc w:val="both"/>
        <w:rPr>
          <w:rFonts w:ascii="Verdana" w:hAnsi="Verdana" w:cs="Arial"/>
          <w:noProof/>
          <w:lang w:val="es-ES_tradnl"/>
        </w:rPr>
      </w:pPr>
      <w:r w:rsidRPr="00C04209">
        <w:rPr>
          <w:rFonts w:ascii="Verdana" w:hAnsi="Verdana" w:cs="Arial"/>
          <w:noProof/>
          <w:lang w:val="es-ES_tradnl"/>
        </w:rPr>
        <w:t>vi) Para su celebración no se requiere expedir un acto administrativo de justificación de la contratación directa</w:t>
      </w:r>
      <w:r w:rsidRPr="00C04209">
        <w:rPr>
          <w:rStyle w:val="Refdenotaalpie"/>
          <w:rFonts w:ascii="Verdana" w:hAnsi="Verdana" w:cs="Arial"/>
          <w:noProof/>
          <w:lang w:val="es-ES_tradnl"/>
        </w:rPr>
        <w:footnoteReference w:id="9"/>
      </w:r>
      <w:r w:rsidRPr="00C04209">
        <w:rPr>
          <w:rFonts w:ascii="Verdana" w:hAnsi="Verdana" w:cs="Arial"/>
          <w:noProof/>
          <w:lang w:val="es-ES_tradnl"/>
        </w:rPr>
        <w:t>.</w:t>
      </w:r>
    </w:p>
    <w:p w14:paraId="7A630A64" w14:textId="77777777" w:rsidR="00C04209" w:rsidRPr="00C04209" w:rsidRDefault="00C04209" w:rsidP="00C04209">
      <w:pPr>
        <w:spacing w:before="120" w:line="276" w:lineRule="auto"/>
        <w:ind w:firstLine="709"/>
        <w:jc w:val="both"/>
        <w:rPr>
          <w:rFonts w:ascii="Verdana" w:hAnsi="Verdana" w:cs="Arial"/>
          <w:noProof/>
          <w:lang w:val="es-ES_tradnl"/>
        </w:rPr>
      </w:pPr>
      <w:r w:rsidRPr="00C04209">
        <w:rPr>
          <w:rFonts w:ascii="Verdana" w:hAnsi="Verdana"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C04209">
        <w:rPr>
          <w:rStyle w:val="Refdenotaalpie"/>
          <w:rFonts w:ascii="Verdana" w:hAnsi="Verdana" w:cs="Arial"/>
          <w:noProof/>
          <w:lang w:val="es-ES_tradnl"/>
        </w:rPr>
        <w:footnoteReference w:id="10"/>
      </w:r>
      <w:r w:rsidRPr="00C04209">
        <w:rPr>
          <w:rFonts w:ascii="Verdana" w:hAnsi="Verdana" w:cs="Arial"/>
          <w:noProof/>
          <w:lang w:val="es-ES_tradnl"/>
        </w:rPr>
        <w:t>.</w:t>
      </w:r>
    </w:p>
    <w:p w14:paraId="44929876" w14:textId="77777777" w:rsidR="00C04209" w:rsidRPr="00C04209" w:rsidRDefault="00C04209" w:rsidP="00C04209">
      <w:pPr>
        <w:spacing w:before="120" w:line="276" w:lineRule="auto"/>
        <w:ind w:firstLine="709"/>
        <w:jc w:val="both"/>
        <w:rPr>
          <w:rFonts w:ascii="Verdana" w:hAnsi="Verdana" w:cs="Arial"/>
          <w:noProof/>
          <w:lang w:val="es-ES_tradnl"/>
        </w:rPr>
      </w:pPr>
      <w:r w:rsidRPr="00C04209">
        <w:rPr>
          <w:rFonts w:ascii="Verdana" w:hAnsi="Verdana" w:cs="Arial"/>
          <w:noProof/>
          <w:lang w:val="es-ES_tradnl"/>
        </w:rPr>
        <w:lastRenderedPageBreak/>
        <w:t>viii) No es obligatoria la liquidación de estos contratos, como lo establece el artículo 217 del Decreto 019 de 2012, que modificó el artículo 60 de la Ley 80 de 1993</w:t>
      </w:r>
      <w:r w:rsidRPr="00C04209">
        <w:rPr>
          <w:rStyle w:val="Refdenotaalpie"/>
          <w:rFonts w:ascii="Verdana" w:hAnsi="Verdana" w:cs="Arial"/>
          <w:noProof/>
          <w:lang w:val="es-ES_tradnl"/>
        </w:rPr>
        <w:footnoteReference w:id="11"/>
      </w:r>
      <w:r w:rsidRPr="00C04209">
        <w:rPr>
          <w:rFonts w:ascii="Verdana" w:hAnsi="Verdana" w:cs="Arial"/>
          <w:noProof/>
          <w:lang w:val="es-ES_tradnl"/>
        </w:rPr>
        <w:t>.</w:t>
      </w:r>
    </w:p>
    <w:p w14:paraId="46EFC3B4" w14:textId="77777777" w:rsidR="00C04209" w:rsidRPr="00C04209" w:rsidRDefault="00C04209" w:rsidP="00C04209">
      <w:pPr>
        <w:spacing w:before="120" w:line="276" w:lineRule="auto"/>
        <w:ind w:firstLine="709"/>
        <w:jc w:val="both"/>
        <w:rPr>
          <w:rFonts w:ascii="Verdana" w:hAnsi="Verdana" w:cs="Arial"/>
          <w:noProof/>
          <w:lang w:val="es-ES_tradnl"/>
        </w:rPr>
      </w:pPr>
      <w:r w:rsidRPr="00C04209">
        <w:rPr>
          <w:rFonts w:ascii="Verdana" w:hAnsi="Verdana" w:cs="Arial"/>
          <w:noProof/>
          <w:lang w:val="es-ES_tradnl"/>
        </w:rPr>
        <w:t>ix) Para su celebración el contratista no requiere estar inscrito en el Registro Único de Proponentes –RUP–, como lo señala el artículo 6 de la Ley 1150 de 2007</w:t>
      </w:r>
      <w:r w:rsidRPr="00C04209">
        <w:rPr>
          <w:rStyle w:val="Refdenotaalpie"/>
          <w:rFonts w:ascii="Verdana" w:hAnsi="Verdana" w:cs="Arial"/>
          <w:noProof/>
          <w:lang w:val="es-ES_tradnl"/>
        </w:rPr>
        <w:footnoteReference w:id="12"/>
      </w:r>
      <w:r w:rsidRPr="00C04209">
        <w:rPr>
          <w:rFonts w:ascii="Verdana" w:hAnsi="Verdana" w:cs="Arial"/>
          <w:noProof/>
          <w:lang w:val="es-ES_tradnl"/>
        </w:rPr>
        <w:t>.</w:t>
      </w:r>
    </w:p>
    <w:p w14:paraId="7733AC40" w14:textId="77777777" w:rsidR="00C04209" w:rsidRPr="00C04209" w:rsidRDefault="00C04209" w:rsidP="00C04209">
      <w:pPr>
        <w:spacing w:before="120" w:line="276" w:lineRule="auto"/>
        <w:ind w:firstLine="708"/>
        <w:jc w:val="both"/>
        <w:rPr>
          <w:rFonts w:ascii="Verdana" w:hAnsi="Verdana" w:cs="Arial"/>
          <w:noProof/>
          <w:lang w:val="es-ES_tradnl"/>
        </w:rPr>
      </w:pPr>
      <w:r w:rsidRPr="00C04209">
        <w:rPr>
          <w:rFonts w:ascii="Verdana" w:hAnsi="Verdana" w:cs="Arial"/>
          <w:noProof/>
          <w:lang w:val="es-ES_tradnl"/>
        </w:rPr>
        <w:t>x) No es obligtoria la exigencia de garantías</w:t>
      </w:r>
      <w:r w:rsidRPr="00C04209">
        <w:rPr>
          <w:rStyle w:val="Refdenotaalpie"/>
          <w:rFonts w:ascii="Verdana" w:hAnsi="Verdana" w:cs="Arial"/>
          <w:noProof/>
          <w:lang w:val="es-ES_tradnl"/>
        </w:rPr>
        <w:footnoteReference w:id="13"/>
      </w:r>
      <w:r w:rsidRPr="00C04209">
        <w:rPr>
          <w:rFonts w:ascii="Verdana" w:hAnsi="Verdana" w:cs="Arial"/>
          <w:noProof/>
          <w:lang w:val="es-ES_tradnl"/>
        </w:rPr>
        <w:t>.</w:t>
      </w:r>
    </w:p>
    <w:p w14:paraId="1464079E" w14:textId="77777777" w:rsidR="00C04209" w:rsidRPr="00C04209" w:rsidRDefault="00C04209" w:rsidP="00C04209">
      <w:pPr>
        <w:spacing w:before="120" w:line="276" w:lineRule="auto"/>
        <w:ind w:firstLine="708"/>
        <w:jc w:val="both"/>
        <w:rPr>
          <w:rFonts w:ascii="Verdana" w:hAnsi="Verdana" w:cs="Arial"/>
          <w:noProof/>
          <w:lang w:val="es-ES"/>
        </w:rPr>
      </w:pPr>
      <w:r w:rsidRPr="00C04209">
        <w:rPr>
          <w:rFonts w:ascii="Verdana" w:hAnsi="Verdana" w:cs="Arial"/>
          <w:noProof/>
          <w:lang w:val="es-ES_tradnl"/>
        </w:rPr>
        <w:t>xi) Como los demás contratos estatales, se trata de un contrato solemne que debe constar por escrito y debe ser publicado en el SECOP.</w:t>
      </w:r>
    </w:p>
    <w:p w14:paraId="5C84EF52" w14:textId="77777777" w:rsidR="00C04209" w:rsidRPr="00C04209" w:rsidRDefault="00C04209" w:rsidP="00C04209">
      <w:pPr>
        <w:tabs>
          <w:tab w:val="left" w:pos="0"/>
        </w:tabs>
        <w:spacing w:before="120" w:line="276" w:lineRule="auto"/>
        <w:ind w:firstLine="709"/>
        <w:jc w:val="both"/>
        <w:rPr>
          <w:rFonts w:ascii="Verdana" w:hAnsi="Verdana" w:cs="Arial"/>
          <w:color w:val="000000" w:themeColor="text1"/>
        </w:rPr>
      </w:pPr>
      <w:r w:rsidRPr="00C04209">
        <w:rPr>
          <w:rFonts w:ascii="Verdana" w:hAnsi="Verdana" w:cs="Arial"/>
          <w:color w:val="000000" w:themeColor="text1"/>
          <w:lang w:val="es-ES"/>
        </w:rPr>
        <w:t>xii) Como</w:t>
      </w:r>
      <w:r w:rsidRPr="00C04209">
        <w:rPr>
          <w:rFonts w:ascii="Verdana" w:hAnsi="Verdana" w:cs="Arial"/>
          <w:color w:val="000000" w:themeColor="text1"/>
        </w:rPr>
        <w:t xml:space="preserve"> especies del género </w:t>
      </w:r>
      <w:r w:rsidRPr="00C04209">
        <w:rPr>
          <w:rFonts w:ascii="Verdana" w:hAnsi="Verdana" w:cs="Arial"/>
          <w:i/>
          <w:color w:val="000000" w:themeColor="text1"/>
        </w:rPr>
        <w:t>prestación de servicios,</w:t>
      </w:r>
      <w:r w:rsidRPr="00C04209">
        <w:rPr>
          <w:rFonts w:ascii="Verdana" w:hAnsi="Verdana" w:cs="Arial"/>
          <w:color w:val="000000" w:themeColor="text1"/>
        </w:rPr>
        <w:t xml:space="preserve"> se incluyen </w:t>
      </w:r>
      <w:r w:rsidRPr="00C04209">
        <w:rPr>
          <w:rFonts w:ascii="Verdana" w:hAnsi="Verdana" w:cs="Arial"/>
          <w:color w:val="000000" w:themeColor="text1"/>
          <w:lang w:val="es-ES_tradnl"/>
        </w:rPr>
        <w:t xml:space="preserve">los </w:t>
      </w:r>
      <w:r w:rsidRPr="00C04209">
        <w:rPr>
          <w:rFonts w:ascii="Verdana" w:hAnsi="Verdana" w:cs="Arial"/>
          <w:i/>
          <w:iCs/>
          <w:color w:val="000000" w:themeColor="text1"/>
          <w:lang w:val="es-ES_tradnl"/>
        </w:rPr>
        <w:t>contratos de prestación de servicios profesionales, los contratos de prestación de servicios de apoyo a la gestión</w:t>
      </w:r>
      <w:r w:rsidRPr="00C04209">
        <w:rPr>
          <w:rFonts w:ascii="Verdana" w:hAnsi="Verdana" w:cs="Arial"/>
          <w:color w:val="000000" w:themeColor="text1"/>
          <w:lang w:val="es-ES_tradnl"/>
        </w:rPr>
        <w:t xml:space="preserve"> y los </w:t>
      </w:r>
      <w:r w:rsidRPr="00C04209">
        <w:rPr>
          <w:rFonts w:ascii="Verdana" w:hAnsi="Verdana" w:cs="Arial"/>
          <w:i/>
          <w:iCs/>
          <w:color w:val="000000" w:themeColor="text1"/>
          <w:lang w:val="es-ES_tradnl"/>
        </w:rPr>
        <w:t>contratos de prestación de servicios artísticos que solo pueden encomendarse a determinadas personas naturales</w:t>
      </w:r>
      <w:r w:rsidRPr="00C04209">
        <w:rPr>
          <w:rFonts w:ascii="Verdana" w:hAnsi="Verdana" w:cs="Arial"/>
          <w:color w:val="000000" w:themeColor="text1"/>
          <w:vertAlign w:val="superscript"/>
          <w:lang w:val="es-ES_tradnl"/>
        </w:rPr>
        <w:footnoteReference w:id="14"/>
      </w:r>
      <w:r w:rsidRPr="00C04209">
        <w:rPr>
          <w:rFonts w:ascii="Verdana" w:hAnsi="Verdana" w:cs="Arial"/>
          <w:color w:val="000000" w:themeColor="text1"/>
        </w:rPr>
        <w:t xml:space="preserve">. </w:t>
      </w:r>
      <w:r w:rsidRPr="00C04209">
        <w:rPr>
          <w:rFonts w:ascii="Verdana" w:hAnsi="Verdana" w:cs="Arial"/>
          <w:color w:val="000000" w:themeColor="text1"/>
          <w:lang w:val="es-ES_tradnl"/>
        </w:rPr>
        <w:lastRenderedPageBreak/>
        <w:t xml:space="preserve">La diferencia entre el contrato de prestación de servicios </w:t>
      </w:r>
      <w:r w:rsidRPr="00C04209">
        <w:rPr>
          <w:rFonts w:ascii="Verdana" w:hAnsi="Verdana" w:cs="Arial"/>
          <w:i/>
          <w:color w:val="000000" w:themeColor="text1"/>
          <w:lang w:val="es-ES_tradnl"/>
        </w:rPr>
        <w:t>profesionales</w:t>
      </w:r>
      <w:r w:rsidRPr="00C04209">
        <w:rPr>
          <w:rFonts w:ascii="Verdana" w:hAnsi="Verdana"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72DDFC18" w14:textId="0294AA32" w:rsidR="00C04209" w:rsidRPr="00C04209" w:rsidRDefault="00C04209" w:rsidP="00C04209">
      <w:pPr>
        <w:spacing w:line="276" w:lineRule="auto"/>
        <w:ind w:left="709" w:right="709"/>
        <w:jc w:val="both"/>
        <w:rPr>
          <w:rFonts w:ascii="Verdana" w:hAnsi="Verdana" w:cs="Arial"/>
          <w:color w:val="000000" w:themeColor="text1"/>
          <w:sz w:val="20"/>
          <w:szCs w:val="20"/>
          <w:lang w:val="es-ES_tradnl"/>
        </w:rPr>
      </w:pPr>
      <w:r w:rsidRPr="00C04209">
        <w:rPr>
          <w:rFonts w:ascii="Verdana" w:hAnsi="Verdana" w:cs="Arial"/>
          <w:color w:val="000000" w:themeColor="text1"/>
          <w:sz w:val="20"/>
          <w:szCs w:val="20"/>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C04209">
        <w:rPr>
          <w:rStyle w:val="Refdenotaalpie"/>
          <w:rFonts w:ascii="Verdana" w:hAnsi="Verdana" w:cs="Arial"/>
          <w:color w:val="000000" w:themeColor="text1"/>
          <w:sz w:val="20"/>
          <w:szCs w:val="20"/>
          <w:lang w:val="es-ES_tradnl"/>
        </w:rPr>
        <w:footnoteReference w:id="15"/>
      </w:r>
      <w:r w:rsidRPr="00C04209">
        <w:rPr>
          <w:rFonts w:ascii="Verdana" w:hAnsi="Verdana" w:cs="Arial"/>
          <w:color w:val="000000" w:themeColor="text1"/>
          <w:sz w:val="20"/>
          <w:szCs w:val="20"/>
          <w:lang w:val="es-ES_tradnl"/>
        </w:rPr>
        <w:t>.”</w:t>
      </w:r>
    </w:p>
    <w:p w14:paraId="491D26B8" w14:textId="77777777" w:rsidR="00C04209" w:rsidRPr="00C04209" w:rsidRDefault="00C04209" w:rsidP="00C04209">
      <w:pPr>
        <w:spacing w:line="276" w:lineRule="auto"/>
        <w:jc w:val="both"/>
        <w:rPr>
          <w:rFonts w:ascii="Verdana" w:hAnsi="Verdana" w:cs="Arial"/>
          <w:color w:val="000000" w:themeColor="text1"/>
          <w:lang w:val="es-ES_tradnl"/>
        </w:rPr>
      </w:pPr>
      <w:r w:rsidRPr="00C04209">
        <w:rPr>
          <w:rFonts w:ascii="Verdana" w:hAnsi="Verdana" w:cs="Arial"/>
          <w:color w:val="000000" w:themeColor="text1"/>
          <w:lang w:val="es-ES_tradnl"/>
        </w:rPr>
        <w:t xml:space="preserve">Lo expuesto, según la jurisprudencia citada, se diferencia del objeto del </w:t>
      </w:r>
      <w:r w:rsidRPr="00C04209">
        <w:rPr>
          <w:rFonts w:ascii="Verdana" w:hAnsi="Verdana" w:cs="Arial"/>
          <w:i/>
          <w:iCs/>
          <w:color w:val="000000" w:themeColor="text1"/>
          <w:lang w:val="es-ES_tradnl"/>
        </w:rPr>
        <w:t>contrato de prestación de servicios de apoyo a la gestión</w:t>
      </w:r>
      <w:r w:rsidRPr="00C04209">
        <w:rPr>
          <w:rFonts w:ascii="Verdana" w:hAnsi="Verdana" w:cs="Arial"/>
          <w:color w:val="000000" w:themeColor="text1"/>
          <w:lang w:val="es-ES_tradnl"/>
        </w:rPr>
        <w:t>, en los siguientes aspectos:</w:t>
      </w:r>
    </w:p>
    <w:p w14:paraId="7E634060" w14:textId="0427DDA2" w:rsidR="00C04209" w:rsidRPr="00C04209" w:rsidRDefault="00C04209" w:rsidP="00C04209">
      <w:pPr>
        <w:spacing w:after="120" w:line="276" w:lineRule="auto"/>
        <w:ind w:left="709" w:right="709"/>
        <w:jc w:val="both"/>
        <w:rPr>
          <w:rFonts w:ascii="Verdana" w:hAnsi="Verdana" w:cs="Arial"/>
          <w:color w:val="000000" w:themeColor="text1"/>
          <w:sz w:val="20"/>
          <w:szCs w:val="20"/>
          <w:lang w:val="es-ES_tradnl"/>
        </w:rPr>
      </w:pPr>
      <w:r w:rsidRPr="00C04209">
        <w:rPr>
          <w:rFonts w:ascii="Verdana" w:hAnsi="Verdana" w:cs="Arial"/>
          <w:color w:val="000000" w:themeColor="text1"/>
          <w:sz w:val="20"/>
          <w:szCs w:val="20"/>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40A9936B" w14:textId="77777777" w:rsidR="00C04209" w:rsidRPr="00C04209" w:rsidRDefault="00C04209" w:rsidP="00C04209">
      <w:pPr>
        <w:spacing w:after="120" w:line="276" w:lineRule="auto"/>
        <w:ind w:left="709" w:right="709"/>
        <w:jc w:val="both"/>
        <w:rPr>
          <w:rFonts w:ascii="Verdana" w:hAnsi="Verdana" w:cs="Arial"/>
          <w:color w:val="000000" w:themeColor="text1"/>
          <w:sz w:val="20"/>
          <w:szCs w:val="20"/>
          <w:lang w:val="es-ES_tradnl"/>
        </w:rPr>
      </w:pPr>
      <w:r w:rsidRPr="00C04209">
        <w:rPr>
          <w:rFonts w:ascii="Verdana" w:hAnsi="Verdana" w:cs="Arial"/>
          <w:color w:val="000000" w:themeColor="text1"/>
          <w:sz w:val="20"/>
          <w:szCs w:val="20"/>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4489431E" w14:textId="1191CE83" w:rsidR="00C04209" w:rsidRPr="00C04209" w:rsidRDefault="00C04209" w:rsidP="00C04209">
      <w:pPr>
        <w:spacing w:line="276" w:lineRule="auto"/>
        <w:ind w:left="709" w:right="709"/>
        <w:jc w:val="both"/>
        <w:rPr>
          <w:rFonts w:ascii="Verdana" w:eastAsia="Malgun Gothic" w:hAnsi="Verdana" w:cs="Malgun Gothic"/>
          <w:color w:val="000000" w:themeColor="text1"/>
          <w:sz w:val="20"/>
          <w:szCs w:val="20"/>
          <w:lang w:val="es-ES_tradnl"/>
        </w:rPr>
      </w:pPr>
      <w:r w:rsidRPr="00C04209">
        <w:rPr>
          <w:rFonts w:ascii="Verdana" w:hAnsi="Verdana" w:cs="Arial"/>
          <w:color w:val="000000" w:themeColor="text1"/>
          <w:sz w:val="20"/>
          <w:szCs w:val="20"/>
          <w:lang w:val="es-ES_tradnl"/>
        </w:rPr>
        <w:t xml:space="preserve">Dentro de su objeto contractual pueden tener lugar actividades operativas, logísticas o asistenciales, siempre que satisfaga los requisitos antes </w:t>
      </w:r>
      <w:r w:rsidRPr="00C04209">
        <w:rPr>
          <w:rFonts w:ascii="Verdana" w:hAnsi="Verdana" w:cs="Arial"/>
          <w:color w:val="000000" w:themeColor="text1"/>
          <w:sz w:val="20"/>
          <w:szCs w:val="20"/>
          <w:lang w:val="es-ES_tradnl"/>
        </w:rPr>
        <w:lastRenderedPageBreak/>
        <w:t>mencionados y sea acorde con las necesidades de la Administración y el principio de planeación</w:t>
      </w:r>
      <w:r w:rsidRPr="00C04209">
        <w:rPr>
          <w:rStyle w:val="Refdenotaalpie"/>
          <w:rFonts w:ascii="Verdana" w:hAnsi="Verdana" w:cs="Arial"/>
          <w:color w:val="000000" w:themeColor="text1"/>
          <w:sz w:val="20"/>
          <w:szCs w:val="20"/>
          <w:lang w:val="es-ES_tradnl"/>
        </w:rPr>
        <w:footnoteReference w:id="16"/>
      </w:r>
      <w:r w:rsidRPr="00C04209">
        <w:rPr>
          <w:rFonts w:ascii="Verdana" w:hAnsi="Verdana" w:cs="Arial"/>
          <w:color w:val="000000" w:themeColor="text1"/>
          <w:sz w:val="20"/>
          <w:szCs w:val="20"/>
          <w:lang w:val="es-ES_tradnl"/>
        </w:rPr>
        <w:t>.</w:t>
      </w:r>
      <w:r w:rsidRPr="00C04209">
        <w:rPr>
          <w:rFonts w:ascii="Verdana" w:eastAsia="Malgun Gothic" w:hAnsi="Verdana" w:cs="Malgun Gothic"/>
          <w:color w:val="000000" w:themeColor="text1"/>
          <w:sz w:val="20"/>
          <w:szCs w:val="20"/>
          <w:lang w:val="es-ES_tradnl"/>
        </w:rPr>
        <w:t>”</w:t>
      </w:r>
    </w:p>
    <w:p w14:paraId="25A06465" w14:textId="77777777" w:rsidR="00C04209" w:rsidRPr="00C04209" w:rsidRDefault="00C04209" w:rsidP="00C04209">
      <w:pPr>
        <w:spacing w:after="0" w:line="276" w:lineRule="auto"/>
        <w:contextualSpacing/>
        <w:jc w:val="both"/>
        <w:rPr>
          <w:rFonts w:ascii="Verdana" w:hAnsi="Verdana" w:cs="Arial"/>
          <w:color w:val="000000" w:themeColor="text1"/>
          <w:lang w:val="es-ES_tradnl"/>
        </w:rPr>
      </w:pPr>
      <w:r w:rsidRPr="00C04209">
        <w:rPr>
          <w:rFonts w:ascii="Verdana" w:hAnsi="Verdana" w:cs="Arial"/>
          <w:color w:val="000000" w:themeColor="text1"/>
          <w:lang w:val="es-ES_tradnl"/>
        </w:rPr>
        <w:t xml:space="preserve">De acuerdo con los artículos 10 y 11 del Decreto 1571 de 1998, las entidades de todas las ramas del poder público, los organismos de control, la organización electoral, los entes universitarios autónomos y las corporaciones autónomas regionales y de desarrollo sostenible, en los órdenes nacional, departamental, distrital y municipal, deberán exigir la presentación del Formato Único de Hoja de Vida, a todos los servidores públicos, </w:t>
      </w:r>
      <w:r w:rsidRPr="00C04209">
        <w:rPr>
          <w:rFonts w:ascii="Verdana" w:hAnsi="Verdana" w:cs="Arial"/>
          <w:b/>
          <w:bCs/>
          <w:color w:val="000000" w:themeColor="text1"/>
          <w:u w:val="single"/>
          <w:lang w:val="es-ES_tradnl"/>
        </w:rPr>
        <w:t>y a los contratistas de prestación de servicios, en el momento previo a la posesión o de la celebración del contrato</w:t>
      </w:r>
      <w:r w:rsidRPr="00C04209">
        <w:rPr>
          <w:rFonts w:ascii="Verdana" w:hAnsi="Verdana" w:cs="Arial"/>
          <w:color w:val="000000" w:themeColor="text1"/>
          <w:lang w:val="es-ES_tradnl"/>
        </w:rPr>
        <w:t>, respectivamente.</w:t>
      </w:r>
    </w:p>
    <w:p w14:paraId="15384A50" w14:textId="77777777" w:rsidR="00C04209" w:rsidRPr="00C04209" w:rsidRDefault="00C04209" w:rsidP="00C04209">
      <w:pPr>
        <w:spacing w:after="0" w:line="276" w:lineRule="auto"/>
        <w:contextualSpacing/>
        <w:jc w:val="both"/>
        <w:rPr>
          <w:rFonts w:ascii="Verdana" w:hAnsi="Verdana" w:cs="Arial"/>
          <w:color w:val="000000" w:themeColor="text1"/>
          <w:lang w:val="es-ES_tradnl"/>
        </w:rPr>
      </w:pPr>
    </w:p>
    <w:p w14:paraId="2B87ADD0" w14:textId="77777777" w:rsidR="00C04209" w:rsidRPr="00C04209" w:rsidRDefault="00C04209" w:rsidP="00C04209">
      <w:pPr>
        <w:pStyle w:val="NormalWeb"/>
        <w:shd w:val="clear" w:color="auto" w:fill="FFFFFF"/>
        <w:spacing w:before="0" w:beforeAutospacing="0" w:line="276" w:lineRule="auto"/>
        <w:jc w:val="both"/>
        <w:rPr>
          <w:rFonts w:ascii="Verdana" w:eastAsiaTheme="minorHAnsi" w:hAnsi="Verdana" w:cs="Arial"/>
          <w:color w:val="000000" w:themeColor="text1"/>
          <w:sz w:val="22"/>
          <w:szCs w:val="22"/>
          <w:lang w:val="es-ES_tradnl" w:eastAsia="en-US"/>
        </w:rPr>
      </w:pPr>
      <w:r w:rsidRPr="00C04209">
        <w:rPr>
          <w:rFonts w:ascii="Verdana" w:eastAsiaTheme="minorHAnsi" w:hAnsi="Verdana" w:cs="Arial"/>
          <w:color w:val="000000" w:themeColor="text1"/>
          <w:sz w:val="22"/>
          <w:szCs w:val="22"/>
          <w:lang w:val="es-ES_tradnl" w:eastAsia="en-US"/>
        </w:rPr>
        <w:t>A su vez el artículo 1 de la Ley 190 de 1995, señaló que:</w:t>
      </w:r>
    </w:p>
    <w:p w14:paraId="0F23DABC" w14:textId="0A27F309" w:rsidR="00C04209" w:rsidRPr="00C04209" w:rsidRDefault="00C04209" w:rsidP="00C04209">
      <w:pPr>
        <w:pStyle w:val="NormalWeb"/>
        <w:shd w:val="clear" w:color="auto" w:fill="FFFFFF"/>
        <w:spacing w:before="0" w:beforeAutospacing="0" w:line="276" w:lineRule="auto"/>
        <w:ind w:left="709" w:right="709"/>
        <w:jc w:val="both"/>
        <w:rPr>
          <w:rFonts w:ascii="Verdana" w:eastAsiaTheme="minorHAnsi" w:hAnsi="Verdana" w:cs="Arial"/>
          <w:color w:val="000000" w:themeColor="text1"/>
          <w:sz w:val="20"/>
          <w:szCs w:val="20"/>
          <w:lang w:val="es-ES_tradnl" w:eastAsia="en-US"/>
        </w:rPr>
      </w:pPr>
      <w:r w:rsidRPr="00C04209">
        <w:rPr>
          <w:rFonts w:ascii="Verdana" w:eastAsiaTheme="minorHAnsi" w:hAnsi="Verdana" w:cs="Arial"/>
          <w:color w:val="000000" w:themeColor="text1"/>
          <w:sz w:val="20"/>
          <w:szCs w:val="20"/>
          <w:lang w:val="es-ES_tradnl" w:eastAsia="en-US"/>
        </w:rPr>
        <w:t>“Todo aspirante a ocupar un cargo o empleo público, o a celebrar un contrato de prestación de servicios con la administración deberá presentar ante la unidad de personal de la correspondiente entidad, o ante la dependencia que haga sus veces, el </w:t>
      </w:r>
      <w:hyperlink r:id="rId10" w:history="1">
        <w:r w:rsidRPr="00C04209">
          <w:rPr>
            <w:rFonts w:ascii="Verdana" w:eastAsiaTheme="minorHAnsi" w:hAnsi="Verdana" w:cs="Arial"/>
            <w:color w:val="000000" w:themeColor="text1"/>
            <w:sz w:val="20"/>
            <w:szCs w:val="20"/>
            <w:lang w:val="es-ES_tradnl" w:eastAsia="en-US"/>
          </w:rPr>
          <w:t>formato único de hojas de vida</w:t>
        </w:r>
      </w:hyperlink>
      <w:r w:rsidRPr="00C04209">
        <w:rPr>
          <w:rFonts w:ascii="Verdana" w:eastAsiaTheme="minorHAnsi" w:hAnsi="Verdana" w:cs="Arial"/>
          <w:color w:val="000000" w:themeColor="text1"/>
          <w:sz w:val="20"/>
          <w:szCs w:val="20"/>
          <w:lang w:val="es-ES_tradnl" w:eastAsia="en-US"/>
        </w:rPr>
        <w:t> debidamente diligenciado en el cual consignará la información completa que en ella se solicita:</w:t>
      </w:r>
    </w:p>
    <w:p w14:paraId="6D8B0D6D" w14:textId="77777777" w:rsidR="00C04209" w:rsidRPr="00C04209" w:rsidRDefault="00C04209" w:rsidP="00C04209">
      <w:pPr>
        <w:pStyle w:val="NormalWeb"/>
        <w:shd w:val="clear" w:color="auto" w:fill="FFFFFF"/>
        <w:spacing w:before="0" w:beforeAutospacing="0" w:line="276" w:lineRule="auto"/>
        <w:ind w:left="709" w:right="709"/>
        <w:jc w:val="both"/>
        <w:rPr>
          <w:rFonts w:ascii="Verdana" w:eastAsiaTheme="minorHAnsi" w:hAnsi="Verdana" w:cs="Arial"/>
          <w:color w:val="000000" w:themeColor="text1"/>
          <w:sz w:val="20"/>
          <w:szCs w:val="20"/>
          <w:lang w:val="es-ES_tradnl" w:eastAsia="en-US"/>
        </w:rPr>
      </w:pPr>
      <w:r w:rsidRPr="00C04209">
        <w:rPr>
          <w:rFonts w:ascii="Verdana" w:eastAsiaTheme="minorHAnsi" w:hAnsi="Verdana" w:cs="Arial"/>
          <w:color w:val="000000" w:themeColor="text1"/>
          <w:sz w:val="20"/>
          <w:szCs w:val="20"/>
          <w:lang w:val="es-ES_tradnl" w:eastAsia="en-US"/>
        </w:rPr>
        <w:t>1. Su formación académica, indicando los años de estudio cursados en los distintos niveles de educación y los títulos y certificados obtenidos.</w:t>
      </w:r>
    </w:p>
    <w:p w14:paraId="0A8EF21B" w14:textId="77777777" w:rsidR="00C04209" w:rsidRPr="00C04209" w:rsidRDefault="00C04209" w:rsidP="00C04209">
      <w:pPr>
        <w:pStyle w:val="NormalWeb"/>
        <w:shd w:val="clear" w:color="auto" w:fill="FFFFFF"/>
        <w:spacing w:before="0" w:beforeAutospacing="0" w:line="276" w:lineRule="auto"/>
        <w:ind w:left="709" w:right="709"/>
        <w:jc w:val="both"/>
        <w:rPr>
          <w:rFonts w:ascii="Verdana" w:eastAsiaTheme="minorHAnsi" w:hAnsi="Verdana" w:cs="Arial"/>
          <w:color w:val="000000" w:themeColor="text1"/>
          <w:sz w:val="20"/>
          <w:szCs w:val="20"/>
          <w:lang w:val="es-ES_tradnl" w:eastAsia="en-US"/>
        </w:rPr>
      </w:pPr>
      <w:r w:rsidRPr="00C04209">
        <w:rPr>
          <w:rFonts w:ascii="Verdana" w:eastAsiaTheme="minorHAnsi" w:hAnsi="Verdana" w:cs="Arial"/>
          <w:color w:val="000000" w:themeColor="text1"/>
          <w:sz w:val="20"/>
          <w:szCs w:val="20"/>
          <w:lang w:val="es-ES_tradnl" w:eastAsia="en-US"/>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28EAB1AE" w14:textId="77777777" w:rsidR="00C04209" w:rsidRPr="00C04209" w:rsidRDefault="00C04209" w:rsidP="00C04209">
      <w:pPr>
        <w:pStyle w:val="NormalWeb"/>
        <w:shd w:val="clear" w:color="auto" w:fill="FFFFFF"/>
        <w:spacing w:before="0" w:beforeAutospacing="0" w:line="276" w:lineRule="auto"/>
        <w:ind w:left="709" w:right="709"/>
        <w:jc w:val="both"/>
        <w:rPr>
          <w:rFonts w:ascii="Verdana" w:eastAsiaTheme="minorHAnsi" w:hAnsi="Verdana" w:cs="Arial"/>
          <w:color w:val="000000" w:themeColor="text1"/>
          <w:sz w:val="20"/>
          <w:szCs w:val="20"/>
          <w:lang w:val="es-ES_tradnl" w:eastAsia="en-US"/>
        </w:rPr>
      </w:pPr>
      <w:r w:rsidRPr="00C04209">
        <w:rPr>
          <w:rFonts w:ascii="Verdana" w:eastAsiaTheme="minorHAnsi" w:hAnsi="Verdana" w:cs="Arial"/>
          <w:color w:val="000000" w:themeColor="text1"/>
          <w:sz w:val="20"/>
          <w:szCs w:val="20"/>
          <w:lang w:val="es-ES_tradnl" w:eastAsia="en-US"/>
        </w:rPr>
        <w:t>3. Inexistencia de cualquier hecho o circunstancia que implique una inhabilidad o incompatibilidad del orden constitucional o legal para ocupar el empleo o cargo al que se aspira o para celebrar contrato de prestación de servicios con la administración.</w:t>
      </w:r>
    </w:p>
    <w:p w14:paraId="4EAF18B5" w14:textId="644DA4BC" w:rsidR="00C04209" w:rsidRPr="00C04209" w:rsidRDefault="00C04209" w:rsidP="00C04209">
      <w:pPr>
        <w:pStyle w:val="NormalWeb"/>
        <w:shd w:val="clear" w:color="auto" w:fill="FFFFFF"/>
        <w:spacing w:before="0" w:beforeAutospacing="0" w:line="276" w:lineRule="auto"/>
        <w:ind w:left="709" w:right="709"/>
        <w:jc w:val="both"/>
        <w:rPr>
          <w:rFonts w:ascii="Verdana" w:eastAsiaTheme="minorHAnsi" w:hAnsi="Verdana" w:cs="Arial"/>
          <w:color w:val="000000" w:themeColor="text1"/>
          <w:sz w:val="20"/>
          <w:szCs w:val="20"/>
          <w:lang w:val="es-ES_tradnl" w:eastAsia="en-US"/>
        </w:rPr>
      </w:pPr>
      <w:r w:rsidRPr="00C04209">
        <w:rPr>
          <w:rFonts w:ascii="Verdana" w:eastAsiaTheme="minorHAnsi" w:hAnsi="Verdana" w:cs="Arial"/>
          <w:color w:val="000000" w:themeColor="text1"/>
          <w:sz w:val="20"/>
          <w:szCs w:val="20"/>
          <w:lang w:val="es-ES_tradnl" w:eastAsia="en-US"/>
        </w:rPr>
        <w:lastRenderedPageBreak/>
        <w:t>4. En caso de personas jurídicas, el correspondiente certificado que acredite la representación legal, (…)”</w:t>
      </w:r>
    </w:p>
    <w:p w14:paraId="2E53AFF2" w14:textId="02033E91" w:rsidR="00C04209" w:rsidRPr="00C04209" w:rsidRDefault="00C04209" w:rsidP="00C04209">
      <w:pPr>
        <w:spacing w:after="0" w:line="276" w:lineRule="auto"/>
        <w:contextualSpacing/>
        <w:jc w:val="both"/>
        <w:rPr>
          <w:rFonts w:ascii="Verdana" w:eastAsia="Times New Roman" w:hAnsi="Verdana" w:cs="Arial"/>
          <w:color w:val="333333"/>
          <w:lang w:eastAsia="es-CO"/>
        </w:rPr>
      </w:pPr>
      <w:r w:rsidRPr="00C04209">
        <w:rPr>
          <w:rFonts w:ascii="Verdana" w:eastAsia="Arial" w:hAnsi="Verdana" w:cs="Arial"/>
        </w:rPr>
        <w:t xml:space="preserve">De igual manera, la Resolución 580 del 19 de agosto de 1999, expedida por el Departamento Administrativo de la Función Pública, actualizó el </w:t>
      </w:r>
      <w:r w:rsidRPr="00C04209">
        <w:rPr>
          <w:rFonts w:ascii="Verdana" w:eastAsia="Times New Roman" w:hAnsi="Verdana" w:cs="Arial"/>
          <w:color w:val="333333"/>
          <w:lang w:eastAsia="es-CO"/>
        </w:rPr>
        <w:t>Formato Único de Hoja de Vida para persona jurídica contenido en el artículo 4o. de la Resolución 009 de 1996, también expedida por la misma entidad, indicando que el</w:t>
      </w:r>
      <w:r w:rsidRPr="00C04209">
        <w:rPr>
          <w:rFonts w:ascii="Verdana" w:eastAsia="Times New Roman" w:hAnsi="Verdana" w:cs="Arial"/>
          <w:i/>
          <w:iCs/>
          <w:color w:val="333333"/>
          <w:lang w:eastAsia="es-CO"/>
        </w:rPr>
        <w:t xml:space="preserve"> “formato deberá ser diligenciado por toda persona jurídica </w:t>
      </w:r>
      <w:r w:rsidRPr="00C04209">
        <w:rPr>
          <w:rFonts w:ascii="Verdana" w:eastAsia="Times New Roman" w:hAnsi="Verdana" w:cs="Arial"/>
          <w:b/>
          <w:bCs/>
          <w:i/>
          <w:iCs/>
          <w:color w:val="333333"/>
          <w:u w:val="single"/>
          <w:lang w:eastAsia="es-CO"/>
        </w:rPr>
        <w:t>en el momento de celebrar un contrato de prestación de servicios con la administración</w:t>
      </w:r>
      <w:r w:rsidRPr="00C04209">
        <w:rPr>
          <w:rFonts w:ascii="Verdana" w:eastAsia="Times New Roman" w:hAnsi="Verdana" w:cs="Arial"/>
          <w:i/>
          <w:iCs/>
          <w:color w:val="333333"/>
          <w:lang w:eastAsia="es-CO"/>
        </w:rPr>
        <w:t>, independiente de su término de duración”.(</w:t>
      </w:r>
      <w:r w:rsidRPr="00C04209">
        <w:rPr>
          <w:rFonts w:ascii="Verdana" w:eastAsia="Times New Roman" w:hAnsi="Verdana" w:cs="Arial"/>
          <w:color w:val="333333"/>
          <w:lang w:eastAsia="es-CO"/>
        </w:rPr>
        <w:t>negrilla y subrayado fuera de texto)</w:t>
      </w:r>
    </w:p>
    <w:p w14:paraId="5B91A8BC" w14:textId="77777777" w:rsidR="00C04209" w:rsidRPr="00C04209" w:rsidRDefault="00C04209" w:rsidP="00C04209">
      <w:pPr>
        <w:spacing w:after="0" w:line="276" w:lineRule="auto"/>
        <w:contextualSpacing/>
        <w:jc w:val="both"/>
        <w:rPr>
          <w:rFonts w:ascii="Verdana" w:eastAsia="Times New Roman" w:hAnsi="Verdana" w:cs="Arial"/>
          <w:color w:val="333333"/>
          <w:lang w:eastAsia="es-CO"/>
        </w:rPr>
      </w:pPr>
    </w:p>
    <w:p w14:paraId="7E031B9F" w14:textId="4F905E74" w:rsidR="00C04209" w:rsidRPr="00C04209" w:rsidRDefault="00C04209" w:rsidP="00C04209">
      <w:pPr>
        <w:spacing w:after="0" w:line="276" w:lineRule="auto"/>
        <w:contextualSpacing/>
        <w:jc w:val="both"/>
        <w:rPr>
          <w:rFonts w:ascii="Verdana" w:eastAsia="Arial" w:hAnsi="Verdana" w:cs="Arial"/>
          <w:i/>
          <w:iCs/>
        </w:rPr>
      </w:pPr>
      <w:r w:rsidRPr="00C04209">
        <w:rPr>
          <w:rFonts w:ascii="Verdana" w:eastAsia="Times New Roman" w:hAnsi="Verdana" w:cs="Arial"/>
          <w:color w:val="333333"/>
          <w:lang w:eastAsia="es-CO"/>
        </w:rPr>
        <w:t>Respecto a la utilización del Formato Único de Hoja de Vida, la Corte Constitucional en sentencia C-326 de 1997</w:t>
      </w:r>
      <w:r w:rsidRPr="00C04209">
        <w:rPr>
          <w:rStyle w:val="Refdenotaalpie"/>
          <w:rFonts w:ascii="Verdana" w:eastAsia="Times New Roman" w:hAnsi="Verdana" w:cs="Arial"/>
          <w:color w:val="333333"/>
          <w:lang w:eastAsia="es-CO"/>
        </w:rPr>
        <w:footnoteReference w:id="17"/>
      </w:r>
      <w:r w:rsidRPr="00C04209">
        <w:rPr>
          <w:rFonts w:ascii="Verdana" w:eastAsia="Times New Roman" w:hAnsi="Verdana" w:cs="Arial"/>
          <w:color w:val="333333"/>
          <w:lang w:eastAsia="es-CO"/>
        </w:rPr>
        <w:t xml:space="preserve"> señaló que constituye un instrumento técnico tendiente a verificar las condiciones </w:t>
      </w:r>
      <w:r w:rsidRPr="00C04209">
        <w:rPr>
          <w:rFonts w:ascii="Verdana" w:eastAsia="Arial" w:hAnsi="Verdana" w:cs="Arial"/>
        </w:rPr>
        <w:t xml:space="preserve">profesionales, éticas y morales de los contratistas de prestación de servicios del estado y de los servidores públicos, </w:t>
      </w:r>
      <w:r w:rsidRPr="00C04209">
        <w:rPr>
          <w:rFonts w:ascii="Verdana" w:eastAsia="Arial" w:hAnsi="Verdana" w:cs="Arial"/>
          <w:i/>
          <w:iCs/>
        </w:rPr>
        <w:t>“sin que ello implique que los primeros se confundan o asimilen con los segundos, o que las consecuencias jurídicas que se derivan de la vinculación como servidores públicos se extiendan a los contratistas.”</w:t>
      </w:r>
    </w:p>
    <w:p w14:paraId="0AC1AE60" w14:textId="77777777" w:rsidR="009F5FB8" w:rsidRPr="00C04209" w:rsidRDefault="009F5FB8" w:rsidP="009F5FB8">
      <w:pPr>
        <w:spacing w:after="0" w:line="276" w:lineRule="auto"/>
        <w:jc w:val="both"/>
        <w:rPr>
          <w:rFonts w:ascii="Verdana" w:eastAsia="Calibri" w:hAnsi="Verdana" w:cs="Arial"/>
        </w:rPr>
      </w:pPr>
    </w:p>
    <w:p w14:paraId="51691684" w14:textId="77777777" w:rsidR="00AB64A5" w:rsidRPr="00C04209"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4209">
        <w:rPr>
          <w:rFonts w:ascii="Verdana" w:eastAsia="Century Gothic" w:hAnsi="Verdana" w:cs="Century Gothic"/>
          <w:b/>
          <w:bCs/>
        </w:rPr>
        <w:t>Referencias normativas, jurisprudenciales y otras fuentes:</w:t>
      </w:r>
    </w:p>
    <w:p w14:paraId="4791A111" w14:textId="77777777" w:rsidR="00AB64A5" w:rsidRPr="00C04209"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C04209" w14:paraId="713E4602" w14:textId="77777777" w:rsidTr="007B0B27">
        <w:trPr>
          <w:trHeight w:val="870"/>
        </w:trPr>
        <w:tc>
          <w:tcPr>
            <w:tcW w:w="8647" w:type="dxa"/>
          </w:tcPr>
          <w:p w14:paraId="0D03D6D3" w14:textId="3F841E12" w:rsidR="00C04209" w:rsidRPr="00C04209" w:rsidRDefault="00C04209" w:rsidP="009F5FB8">
            <w:pPr>
              <w:pStyle w:val="Prrafodelista"/>
              <w:widowControl w:val="0"/>
              <w:numPr>
                <w:ilvl w:val="0"/>
                <w:numId w:val="2"/>
              </w:numPr>
              <w:autoSpaceDE w:val="0"/>
              <w:autoSpaceDN w:val="0"/>
              <w:spacing w:after="120" w:line="276" w:lineRule="auto"/>
              <w:contextualSpacing w:val="0"/>
              <w:jc w:val="both"/>
              <w:rPr>
                <w:rStyle w:val="normaltextrun"/>
                <w:rFonts w:ascii="Verdana" w:hAnsi="Verdana" w:cs="Arial"/>
              </w:rPr>
            </w:pPr>
            <w:r w:rsidRPr="00C04209">
              <w:rPr>
                <w:rFonts w:ascii="Verdana" w:hAnsi="Verdana" w:cs="Arial"/>
                <w:color w:val="000000" w:themeColor="text1"/>
              </w:rPr>
              <w:t>numeral 3 del artículo 32 de la Ley 80 de 1993”</w:t>
            </w:r>
          </w:p>
          <w:p w14:paraId="7D8B4559" w14:textId="77FBAC09" w:rsidR="00AB64A5" w:rsidRPr="00C04209" w:rsidRDefault="00C04209" w:rsidP="009F5FB8">
            <w:pPr>
              <w:pStyle w:val="Prrafodelista"/>
              <w:widowControl w:val="0"/>
              <w:numPr>
                <w:ilvl w:val="0"/>
                <w:numId w:val="2"/>
              </w:numPr>
              <w:autoSpaceDE w:val="0"/>
              <w:autoSpaceDN w:val="0"/>
              <w:spacing w:after="120" w:line="276" w:lineRule="auto"/>
              <w:contextualSpacing w:val="0"/>
              <w:jc w:val="both"/>
              <w:rPr>
                <w:rStyle w:val="normaltextrun"/>
                <w:rFonts w:ascii="Verdana" w:hAnsi="Verdana" w:cs="Arial"/>
              </w:rPr>
            </w:pPr>
            <w:r w:rsidRPr="00C04209">
              <w:rPr>
                <w:rStyle w:val="normaltextrun"/>
                <w:rFonts w:ascii="Verdana" w:hAnsi="Verdana" w:cs="Arial"/>
                <w:color w:val="000000"/>
                <w:shd w:val="clear" w:color="auto" w:fill="FFFFFF"/>
                <w:lang w:val="es-ES"/>
              </w:rPr>
              <w:t>artículo 2.2.1.1.1.6.2. del Decreto 1082 de 2015</w:t>
            </w:r>
          </w:p>
          <w:p w14:paraId="0C45EA68" w14:textId="77008AD7" w:rsidR="00C04209" w:rsidRPr="00C04209" w:rsidRDefault="00C04209" w:rsidP="009F5FB8">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C04209">
              <w:rPr>
                <w:rStyle w:val="normaltextrun"/>
                <w:rFonts w:ascii="Verdana" w:hAnsi="Verdana" w:cs="Arial"/>
                <w:color w:val="000000"/>
                <w:shd w:val="clear" w:color="auto" w:fill="FFFFFF"/>
                <w:lang w:val="es-ES"/>
              </w:rPr>
              <w:t>artículo 5 y 6 de la Ley 1150 de 2007</w:t>
            </w:r>
          </w:p>
        </w:tc>
      </w:tr>
    </w:tbl>
    <w:p w14:paraId="7D10BDB3" w14:textId="77777777" w:rsidR="00AB64A5" w:rsidRPr="00C04209"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C04209"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4209">
        <w:rPr>
          <w:rFonts w:ascii="Verdana" w:eastAsia="Century Gothic" w:hAnsi="Verdana" w:cs="Century Gothic"/>
          <w:b/>
          <w:bCs/>
        </w:rPr>
        <w:t>Doctrina de la Agencia Nacional de Contratación Pública:</w:t>
      </w:r>
    </w:p>
    <w:p w14:paraId="6FB855C5" w14:textId="77777777" w:rsidR="00AB64A5" w:rsidRPr="00C04209"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76831F0F" w14:textId="3F1BBF9F" w:rsidR="009F5FB8" w:rsidRPr="00C04209" w:rsidRDefault="009F5FB8" w:rsidP="009F5FB8">
      <w:pPr>
        <w:spacing w:after="0" w:line="276" w:lineRule="auto"/>
        <w:jc w:val="both"/>
        <w:rPr>
          <w:rFonts w:ascii="Verdana" w:eastAsia="Calibri" w:hAnsi="Verdana" w:cs="Arial"/>
          <w:shd w:val="clear" w:color="auto" w:fill="FFFFFF"/>
          <w:lang w:val="es-ES"/>
        </w:rPr>
      </w:pPr>
      <w:r w:rsidRPr="00C04209">
        <w:rPr>
          <w:rFonts w:ascii="Verdana" w:eastAsia="Calibri" w:hAnsi="Verdana" w:cs="Arial"/>
          <w:shd w:val="clear" w:color="auto" w:fill="FFFFFF"/>
          <w:lang w:val="es-ES"/>
        </w:rPr>
        <w:t>La Agencia Nacional de Contratación Pública – Colombia Compra Eficiente</w:t>
      </w:r>
      <w:r w:rsidR="00553F39" w:rsidRPr="00C04209">
        <w:rPr>
          <w:rFonts w:ascii="Verdana" w:eastAsia="Calibri" w:hAnsi="Verdana" w:cs="Arial"/>
          <w:shd w:val="clear" w:color="auto" w:fill="FFFFFF"/>
          <w:lang w:val="es-ES"/>
        </w:rPr>
        <w:t xml:space="preserve"> analizó </w:t>
      </w:r>
      <w:r w:rsidR="00C04209" w:rsidRPr="00C04209">
        <w:rPr>
          <w:rFonts w:ascii="Verdana" w:eastAsia="Calibri" w:hAnsi="Verdana" w:cs="Arial"/>
          <w:shd w:val="clear" w:color="auto" w:fill="FFFFFF"/>
          <w:lang w:val="es-ES"/>
        </w:rPr>
        <w:t xml:space="preserve">los </w:t>
      </w:r>
      <w:r w:rsidR="00C04209" w:rsidRPr="00C04209">
        <w:rPr>
          <w:rStyle w:val="normaltextrun"/>
          <w:rFonts w:ascii="Verdana" w:hAnsi="Verdana" w:cs="Arial"/>
          <w:color w:val="000000"/>
          <w:shd w:val="clear" w:color="auto" w:fill="FFFFFF"/>
        </w:rPr>
        <w:t xml:space="preserve">conceptos </w:t>
      </w:r>
      <w:r w:rsidR="00C04209" w:rsidRPr="00C04209">
        <w:rPr>
          <w:rFonts w:ascii="Verdana" w:eastAsia="Arial" w:hAnsi="Verdana" w:cs="Arial"/>
          <w:lang w:val="es-MX" w:eastAsia="es-ES_tradnl"/>
        </w:rPr>
        <w:t xml:space="preserve">C−107 del 24 de febrero de 2020, C−108 del 03 de marzo de 2020, C−166 del 13 de abril de 2020, C−469 del 27 de julio de 2020, C-708 del 9 de diciembre de 2020, C-767 del 07 de enero de 2021, C-059 del 10 de marzo de 2021, C-283 de 15 de junio de 2021, C-326 del 02 de julio de 2021, C-415 del 10 de agosto de 2021, C-432 del 27 de septiembre de 2021, C-572 del 12 </w:t>
      </w:r>
      <w:r w:rsidR="00C04209" w:rsidRPr="00C04209">
        <w:rPr>
          <w:rFonts w:ascii="Verdana" w:eastAsia="Arial" w:hAnsi="Verdana" w:cs="Arial"/>
          <w:lang w:val="es-MX" w:eastAsia="es-ES_tradnl"/>
        </w:rPr>
        <w:lastRenderedPageBreak/>
        <w:t>de octubre de 2021, C-710 del 10 de diciembre de 2021, C-034 del 02 de marzo de 2022, C-084 del 22 de marzo de 2022, C-144 del 29 de marzo de 2022, C-239 del 25 de abril de 2022, C-278 del 09 de mayo de 2022, C-434 del 08 de julio de 2022</w:t>
      </w:r>
      <w:r w:rsidRPr="00C04209">
        <w:rPr>
          <w:rFonts w:ascii="Verdana" w:eastAsia="Calibri" w:hAnsi="Verdana" w:cs="Arial"/>
          <w:shd w:val="clear" w:color="auto" w:fill="FFFFFF"/>
          <w:lang w:val="es-ES"/>
        </w:rPr>
        <w:t xml:space="preserve">, etc.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03479624" w14:textId="77777777" w:rsidR="00AB64A5" w:rsidRPr="00C04209" w:rsidRDefault="00AB64A5"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6671EC" w14:textId="5E6D6634" w:rsidR="009F5FB8" w:rsidRPr="00C04209" w:rsidRDefault="009F5FB8" w:rsidP="00AB64A5">
      <w:pPr>
        <w:widowControl w:val="0"/>
        <w:autoSpaceDE w:val="0"/>
        <w:autoSpaceDN w:val="0"/>
        <w:spacing w:after="0" w:line="276" w:lineRule="auto"/>
        <w:jc w:val="both"/>
        <w:rPr>
          <w:rFonts w:ascii="Verdana" w:hAnsi="Verdana" w:cs="Arial"/>
          <w:shd w:val="clear" w:color="auto" w:fill="FFFFFF"/>
          <w:lang w:val="es-ES"/>
        </w:rPr>
      </w:pPr>
      <w:r w:rsidRPr="00C04209">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1" w:tgtFrame="_blank" w:tooltip="Dirección URL original: https://www.colombiacompra.gov.co/sala-de-prensa/boletin-digital/boletin-de-relatoria-2024-iv. Haga clic o pulse si confía en este vínculo." w:history="1">
        <w:r w:rsidRPr="00C04209">
          <w:rPr>
            <w:rStyle w:val="Hipervnculo"/>
            <w:rFonts w:ascii="Verdana" w:hAnsi="Verdana" w:cs="Arial"/>
            <w:color w:val="auto"/>
            <w:shd w:val="clear" w:color="auto" w:fill="FFFFFF"/>
          </w:rPr>
          <w:t>BOLETÍN DE RELATORÍA 2024 – IV | Colombia Compra Eficiente | Agencia Nacional de Contratación Pública</w:t>
        </w:r>
      </w:hyperlink>
    </w:p>
    <w:p w14:paraId="15129E5B" w14:textId="77777777" w:rsidR="009F5FB8" w:rsidRPr="00C04209" w:rsidRDefault="009F5FB8"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400B5C" w14:textId="77777777" w:rsidR="00AB64A5" w:rsidRPr="00C04209" w:rsidRDefault="00AB64A5" w:rsidP="00AB64A5">
      <w:pPr>
        <w:spacing w:after="0" w:line="240" w:lineRule="auto"/>
        <w:jc w:val="both"/>
        <w:rPr>
          <w:rFonts w:ascii="Verdana" w:hAnsi="Verdana"/>
        </w:rPr>
      </w:pPr>
      <w:r w:rsidRPr="00C04209">
        <w:rPr>
          <w:rFonts w:ascii="Verdana" w:hAnsi="Verdana"/>
        </w:rPr>
        <w:t xml:space="preserve">Por último, lo invitamos a seguirnos en las redes sociales en las cuales se difunde información institucional: </w:t>
      </w:r>
    </w:p>
    <w:p w14:paraId="4C00BD62" w14:textId="77777777" w:rsidR="00AB64A5" w:rsidRPr="00C04209" w:rsidRDefault="00AB64A5" w:rsidP="00AB64A5">
      <w:pPr>
        <w:spacing w:after="0" w:line="240" w:lineRule="auto"/>
        <w:jc w:val="both"/>
        <w:rPr>
          <w:rFonts w:ascii="Verdana" w:hAnsi="Verdana"/>
        </w:rPr>
      </w:pPr>
    </w:p>
    <w:p w14:paraId="536E4745" w14:textId="77777777" w:rsidR="00AB64A5" w:rsidRPr="00C04209" w:rsidRDefault="00AB64A5" w:rsidP="00AB64A5">
      <w:pPr>
        <w:spacing w:after="0" w:line="240" w:lineRule="auto"/>
        <w:jc w:val="both"/>
        <w:rPr>
          <w:rFonts w:ascii="Verdana" w:hAnsi="Verdana"/>
        </w:rPr>
      </w:pPr>
      <w:r w:rsidRPr="00C04209">
        <w:rPr>
          <w:rFonts w:ascii="Verdana" w:hAnsi="Verdana"/>
        </w:rPr>
        <w:t xml:space="preserve">Twitter: </w:t>
      </w:r>
      <w:r w:rsidRPr="00C04209">
        <w:rPr>
          <w:rStyle w:val="Hipervnculo"/>
          <w:rFonts w:ascii="Verdana" w:hAnsi="Verdana"/>
          <w:color w:val="156082" w:themeColor="accent1"/>
        </w:rPr>
        <w:t>@colombiacompra</w:t>
      </w:r>
      <w:r w:rsidRPr="00C04209">
        <w:rPr>
          <w:rFonts w:ascii="Verdana" w:hAnsi="Verdana"/>
          <w:color w:val="156082" w:themeColor="accent1"/>
        </w:rPr>
        <w:t xml:space="preserve"> </w:t>
      </w:r>
    </w:p>
    <w:p w14:paraId="48B106C5" w14:textId="77777777" w:rsidR="00AB64A5" w:rsidRPr="00C04209" w:rsidRDefault="00AB64A5" w:rsidP="00AB64A5">
      <w:pPr>
        <w:spacing w:after="0" w:line="240" w:lineRule="auto"/>
        <w:jc w:val="both"/>
        <w:rPr>
          <w:rFonts w:ascii="Verdana" w:hAnsi="Verdana"/>
        </w:rPr>
      </w:pPr>
      <w:r w:rsidRPr="00C04209">
        <w:rPr>
          <w:rFonts w:ascii="Verdana" w:hAnsi="Verdana"/>
        </w:rPr>
        <w:t xml:space="preserve">Facebook: </w:t>
      </w:r>
      <w:r w:rsidRPr="00C04209">
        <w:rPr>
          <w:rStyle w:val="Hipervnculo"/>
          <w:rFonts w:ascii="Verdana" w:hAnsi="Verdana"/>
          <w:color w:val="156082" w:themeColor="accent1"/>
        </w:rPr>
        <w:t>ColombiaCompraEficiente</w:t>
      </w:r>
    </w:p>
    <w:p w14:paraId="4A5D9233" w14:textId="77777777" w:rsidR="00AB64A5" w:rsidRPr="00C04209" w:rsidRDefault="00AB64A5" w:rsidP="00AB64A5">
      <w:pPr>
        <w:spacing w:after="0" w:line="240" w:lineRule="auto"/>
        <w:jc w:val="both"/>
        <w:rPr>
          <w:rFonts w:ascii="Verdana" w:hAnsi="Verdana"/>
        </w:rPr>
      </w:pPr>
      <w:r w:rsidRPr="00C04209">
        <w:rPr>
          <w:rFonts w:ascii="Verdana" w:hAnsi="Verdana"/>
        </w:rPr>
        <w:t xml:space="preserve">LinkedIn: </w:t>
      </w:r>
      <w:r w:rsidRPr="00C04209">
        <w:rPr>
          <w:rStyle w:val="Hipervnculo"/>
          <w:rFonts w:ascii="Verdana" w:hAnsi="Verdana"/>
          <w:color w:val="156082" w:themeColor="accent1"/>
        </w:rPr>
        <w:t>Agencia Nacional de Contratación Pública - Colombia Compra Eficiente</w:t>
      </w:r>
      <w:r w:rsidRPr="00C04209">
        <w:rPr>
          <w:rFonts w:ascii="Verdana" w:hAnsi="Verdana"/>
          <w:color w:val="156082" w:themeColor="accent1"/>
        </w:rPr>
        <w:t xml:space="preserve"> </w:t>
      </w:r>
      <w:r w:rsidRPr="00C04209">
        <w:rPr>
          <w:rFonts w:ascii="Verdana" w:hAnsi="Verdana"/>
        </w:rPr>
        <w:t xml:space="preserve">Instagram: </w:t>
      </w:r>
      <w:r w:rsidRPr="00C04209">
        <w:rPr>
          <w:rStyle w:val="Hipervnculo"/>
          <w:rFonts w:ascii="Verdana" w:hAnsi="Verdana"/>
          <w:color w:val="156082" w:themeColor="accent1"/>
        </w:rPr>
        <w:t>@colombiacompraeficiente_cce</w:t>
      </w:r>
    </w:p>
    <w:p w14:paraId="02BE982E" w14:textId="77777777" w:rsidR="00AB64A5" w:rsidRPr="00C04209" w:rsidRDefault="00AB64A5" w:rsidP="00AB64A5">
      <w:pPr>
        <w:widowControl w:val="0"/>
        <w:autoSpaceDE w:val="0"/>
        <w:autoSpaceDN w:val="0"/>
        <w:spacing w:after="0" w:line="276" w:lineRule="auto"/>
        <w:jc w:val="both"/>
        <w:rPr>
          <w:rFonts w:ascii="Verdana" w:hAnsi="Verdana" w:cs="Arial"/>
        </w:rPr>
      </w:pPr>
    </w:p>
    <w:p w14:paraId="64E0D488" w14:textId="77777777" w:rsidR="00AB64A5" w:rsidRPr="00C04209" w:rsidRDefault="00AB64A5" w:rsidP="00AB64A5">
      <w:pPr>
        <w:widowControl w:val="0"/>
        <w:autoSpaceDE w:val="0"/>
        <w:autoSpaceDN w:val="0"/>
        <w:spacing w:after="0" w:line="276" w:lineRule="auto"/>
        <w:jc w:val="both"/>
        <w:rPr>
          <w:rFonts w:ascii="Verdana" w:hAnsi="Verdana" w:cs="Arial"/>
          <w:lang w:val="es-ES_tradnl"/>
        </w:rPr>
      </w:pPr>
      <w:r w:rsidRPr="00C04209">
        <w:rPr>
          <w:rFonts w:ascii="Verdana" w:hAnsi="Verdana" w:cs="Arial"/>
        </w:rPr>
        <w:t xml:space="preserve">Este concepto tiene el alcance previsto en el artículo 28 del Código de Procedimiento Administrativo y de lo Contencioso Administrativo </w:t>
      </w:r>
      <w:r w:rsidRPr="00C04209">
        <w:rPr>
          <w:rFonts w:ascii="Verdana"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C04209" w:rsidRDefault="00AB64A5" w:rsidP="00AB64A5">
      <w:pPr>
        <w:widowControl w:val="0"/>
        <w:autoSpaceDE w:val="0"/>
        <w:autoSpaceDN w:val="0"/>
        <w:spacing w:after="0" w:line="276" w:lineRule="auto"/>
        <w:jc w:val="both"/>
        <w:rPr>
          <w:rFonts w:ascii="Verdana" w:hAnsi="Verdana" w:cs="Arial"/>
        </w:rPr>
      </w:pPr>
    </w:p>
    <w:p w14:paraId="43CF8739" w14:textId="77777777" w:rsidR="00AB64A5" w:rsidRPr="00C04209" w:rsidRDefault="00AB64A5" w:rsidP="00AB64A5">
      <w:pPr>
        <w:spacing w:after="0" w:line="240" w:lineRule="auto"/>
        <w:rPr>
          <w:rFonts w:ascii="Verdana" w:hAnsi="Verdana" w:cs="Arial"/>
          <w:lang w:eastAsia="es-CO"/>
        </w:rPr>
      </w:pPr>
      <w:r w:rsidRPr="00C04209">
        <w:rPr>
          <w:rFonts w:ascii="Verdana" w:eastAsia="Times New Roman" w:hAnsi="Verdana" w:cs="Arial"/>
          <w:lang w:eastAsia="es-CO"/>
        </w:rPr>
        <w:t>Atentamente,</w:t>
      </w:r>
      <w:r w:rsidRPr="00C04209">
        <w:rPr>
          <w:rFonts w:ascii="Verdana" w:hAnsi="Verdana" w:cs="Arial"/>
          <w:lang w:eastAsia="es-CO"/>
        </w:rPr>
        <w:t xml:space="preserve"> </w:t>
      </w:r>
    </w:p>
    <w:p w14:paraId="0B837099" w14:textId="417C406A" w:rsidR="00AB64A5" w:rsidRPr="00C04209" w:rsidRDefault="001E544D" w:rsidP="00AB64A5">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56BFFAC6" wp14:editId="1E0456B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2"/>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C04209" w14:paraId="1CCF7B2A" w14:textId="77777777" w:rsidTr="005A5AFA">
        <w:trPr>
          <w:trHeight w:val="315"/>
        </w:trPr>
        <w:tc>
          <w:tcPr>
            <w:tcW w:w="893" w:type="dxa"/>
            <w:vAlign w:val="center"/>
            <w:hideMark/>
          </w:tcPr>
          <w:p w14:paraId="4C835DB8" w14:textId="77777777" w:rsidR="00AB64A5" w:rsidRPr="00C04209" w:rsidRDefault="00AB64A5" w:rsidP="007B0B27">
            <w:pPr>
              <w:contextualSpacing/>
              <w:rPr>
                <w:rFonts w:ascii="Verdana" w:hAnsi="Verdana" w:cs="Arial"/>
                <w:sz w:val="16"/>
                <w:szCs w:val="16"/>
                <w:lang w:val="es-ES" w:eastAsia="es-ES"/>
              </w:rPr>
            </w:pPr>
            <w:r w:rsidRPr="00C04209">
              <w:rPr>
                <w:rFonts w:ascii="Verdana" w:hAnsi="Verdana" w:cs="Arial"/>
                <w:sz w:val="16"/>
                <w:szCs w:val="16"/>
                <w:lang w:val="es-ES" w:eastAsia="es-ES"/>
              </w:rPr>
              <w:t>Elaboró:</w:t>
            </w:r>
          </w:p>
        </w:tc>
        <w:tc>
          <w:tcPr>
            <w:tcW w:w="5628" w:type="dxa"/>
            <w:tcBorders>
              <w:top w:val="nil"/>
              <w:left w:val="nil"/>
              <w:right w:val="nil"/>
            </w:tcBorders>
            <w:vAlign w:val="center"/>
            <w:hideMark/>
          </w:tcPr>
          <w:p w14:paraId="66AF4843" w14:textId="7996F4B7" w:rsidR="00AB64A5" w:rsidRPr="00C04209" w:rsidRDefault="005E0B8B" w:rsidP="007B0B27">
            <w:pPr>
              <w:contextualSpacing/>
              <w:rPr>
                <w:rStyle w:val="normaltextrun"/>
                <w:rFonts w:ascii="Verdana" w:hAnsi="Verdana"/>
                <w:sz w:val="16"/>
                <w:szCs w:val="16"/>
              </w:rPr>
            </w:pPr>
            <w:r>
              <w:rPr>
                <w:rStyle w:val="normaltextrun"/>
                <w:rFonts w:ascii="Verdana" w:hAnsi="Verdana"/>
                <w:sz w:val="16"/>
                <w:szCs w:val="16"/>
              </w:rPr>
              <w:t>D</w:t>
            </w:r>
            <w:r>
              <w:rPr>
                <w:rStyle w:val="normaltextrun"/>
                <w:sz w:val="16"/>
                <w:szCs w:val="16"/>
              </w:rPr>
              <w:t xml:space="preserve">iana </w:t>
            </w:r>
            <w:r w:rsidR="005A5AFA" w:rsidRPr="00C04209">
              <w:rPr>
                <w:rStyle w:val="normaltextrun"/>
                <w:rFonts w:ascii="Verdana" w:hAnsi="Verdana"/>
                <w:sz w:val="16"/>
                <w:szCs w:val="16"/>
              </w:rPr>
              <w:t xml:space="preserve">Carolina Blanco Rodriguez </w:t>
            </w:r>
          </w:p>
          <w:p w14:paraId="05D16EFD" w14:textId="77777777" w:rsidR="00AB64A5" w:rsidRPr="00C04209" w:rsidRDefault="00AB64A5" w:rsidP="007B0B27">
            <w:pPr>
              <w:contextualSpacing/>
              <w:rPr>
                <w:rStyle w:val="normaltextrun"/>
                <w:rFonts w:ascii="Verdana" w:hAnsi="Verdana"/>
                <w:sz w:val="16"/>
                <w:szCs w:val="16"/>
              </w:rPr>
            </w:pPr>
            <w:r w:rsidRPr="00C04209">
              <w:rPr>
                <w:rStyle w:val="normaltextrun"/>
                <w:rFonts w:ascii="Verdana" w:hAnsi="Verdana"/>
                <w:sz w:val="16"/>
                <w:szCs w:val="16"/>
              </w:rPr>
              <w:t>Contratista de la Subdirección de Gestión Contractual</w:t>
            </w:r>
          </w:p>
          <w:p w14:paraId="6D742C2C" w14:textId="33389542" w:rsidR="009F5FB8" w:rsidRPr="00C04209" w:rsidRDefault="009F5FB8" w:rsidP="007B0B27">
            <w:pPr>
              <w:contextualSpacing/>
              <w:rPr>
                <w:rStyle w:val="normaltextrun"/>
                <w:rFonts w:ascii="Verdana" w:hAnsi="Verdana"/>
              </w:rPr>
            </w:pPr>
          </w:p>
        </w:tc>
      </w:tr>
      <w:tr w:rsidR="00AB64A5" w:rsidRPr="00C04209" w14:paraId="25DEECD8" w14:textId="77777777" w:rsidTr="005A5AFA">
        <w:trPr>
          <w:trHeight w:val="330"/>
        </w:trPr>
        <w:tc>
          <w:tcPr>
            <w:tcW w:w="893" w:type="dxa"/>
            <w:vAlign w:val="center"/>
            <w:hideMark/>
          </w:tcPr>
          <w:p w14:paraId="5EB4B261" w14:textId="77777777" w:rsidR="00AB64A5" w:rsidRPr="00C04209" w:rsidRDefault="00AB64A5" w:rsidP="007B0B27">
            <w:pPr>
              <w:contextualSpacing/>
              <w:rPr>
                <w:rFonts w:ascii="Verdana" w:hAnsi="Verdana" w:cs="Arial"/>
                <w:sz w:val="16"/>
                <w:szCs w:val="16"/>
                <w:lang w:val="es-ES" w:eastAsia="es-ES"/>
              </w:rPr>
            </w:pPr>
            <w:r w:rsidRPr="00C04209">
              <w:rPr>
                <w:rFonts w:ascii="Verdana" w:hAnsi="Verdana" w:cs="Arial"/>
                <w:sz w:val="16"/>
                <w:szCs w:val="16"/>
                <w:lang w:val="es-ES" w:eastAsia="es-ES"/>
              </w:rPr>
              <w:t>Revisó:</w:t>
            </w:r>
          </w:p>
        </w:tc>
        <w:tc>
          <w:tcPr>
            <w:tcW w:w="5628" w:type="dxa"/>
            <w:vAlign w:val="center"/>
            <w:hideMark/>
          </w:tcPr>
          <w:p w14:paraId="1CC2C6C4" w14:textId="150176AA" w:rsidR="00553F39" w:rsidRPr="00C04209" w:rsidRDefault="00553F39" w:rsidP="00553F39">
            <w:pPr>
              <w:contextualSpacing/>
              <w:rPr>
                <w:rStyle w:val="normaltextrun"/>
                <w:rFonts w:ascii="Verdana" w:hAnsi="Verdana"/>
                <w:sz w:val="16"/>
                <w:szCs w:val="16"/>
              </w:rPr>
            </w:pPr>
            <w:r w:rsidRPr="00C04209">
              <w:rPr>
                <w:rStyle w:val="normaltextrun"/>
                <w:rFonts w:ascii="Verdana" w:hAnsi="Verdana"/>
                <w:sz w:val="16"/>
                <w:szCs w:val="16"/>
              </w:rPr>
              <w:t xml:space="preserve">Juan David Cárdenas </w:t>
            </w:r>
            <w:r w:rsidR="005E0B8B">
              <w:rPr>
                <w:rStyle w:val="normaltextrun"/>
                <w:rFonts w:ascii="Verdana" w:hAnsi="Verdana"/>
                <w:sz w:val="16"/>
                <w:szCs w:val="16"/>
              </w:rPr>
              <w:t>C</w:t>
            </w:r>
            <w:r w:rsidR="005E0B8B">
              <w:rPr>
                <w:rStyle w:val="normaltextrun"/>
                <w:sz w:val="16"/>
                <w:szCs w:val="16"/>
              </w:rPr>
              <w:t>abeza</w:t>
            </w:r>
          </w:p>
          <w:p w14:paraId="164666B5" w14:textId="7750131C" w:rsidR="00AB64A5" w:rsidRPr="00C04209" w:rsidRDefault="00553F39" w:rsidP="00553F39">
            <w:pPr>
              <w:pStyle w:val="paragraph"/>
              <w:spacing w:before="0" w:beforeAutospacing="0" w:after="0" w:afterAutospacing="0"/>
              <w:contextualSpacing/>
              <w:textAlignment w:val="baseline"/>
              <w:rPr>
                <w:rStyle w:val="normaltextrun"/>
                <w:rFonts w:ascii="Verdana" w:eastAsiaTheme="minorHAnsi" w:hAnsi="Verdana" w:cstheme="minorBidi"/>
                <w:lang w:eastAsia="en-US"/>
              </w:rPr>
            </w:pPr>
            <w:r w:rsidRPr="00C04209">
              <w:rPr>
                <w:rStyle w:val="normaltextrun"/>
                <w:rFonts w:ascii="Verdana" w:eastAsiaTheme="minorHAnsi" w:hAnsi="Verdana" w:cstheme="minorBidi"/>
                <w:sz w:val="16"/>
                <w:szCs w:val="16"/>
                <w:lang w:eastAsia="en-US"/>
              </w:rPr>
              <w:t>Contratista de la Subdirección de Gestión Contractual</w:t>
            </w:r>
          </w:p>
        </w:tc>
      </w:tr>
      <w:tr w:rsidR="00AB64A5" w:rsidRPr="00C04209"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C04209" w:rsidRDefault="00AB64A5" w:rsidP="007B0B27">
            <w:pPr>
              <w:contextualSpacing/>
              <w:rPr>
                <w:rFonts w:ascii="Verdana" w:hAnsi="Verdana" w:cs="Arial"/>
                <w:sz w:val="16"/>
                <w:szCs w:val="16"/>
                <w:lang w:val="es-ES" w:eastAsia="es-ES"/>
              </w:rPr>
            </w:pPr>
            <w:r w:rsidRPr="00C04209">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C04209" w:rsidRDefault="00AB64A5" w:rsidP="007B0B27">
            <w:pPr>
              <w:contextualSpacing/>
              <w:rPr>
                <w:rFonts w:ascii="Verdana" w:eastAsia="Calibri" w:hAnsi="Verdana" w:cs="Arial"/>
                <w:sz w:val="16"/>
                <w:szCs w:val="16"/>
                <w:lang w:val="pt-BR" w:eastAsia="es-ES"/>
              </w:rPr>
            </w:pPr>
            <w:r w:rsidRPr="00C04209">
              <w:rPr>
                <w:rFonts w:ascii="Verdana" w:eastAsia="Calibri" w:hAnsi="Verdana" w:cs="Arial"/>
                <w:sz w:val="16"/>
                <w:szCs w:val="16"/>
                <w:lang w:val="pt-BR" w:eastAsia="es-ES"/>
              </w:rPr>
              <w:t>Carolina Quintero Gacharná</w:t>
            </w:r>
          </w:p>
          <w:p w14:paraId="1A53492F" w14:textId="77777777" w:rsidR="00AB64A5" w:rsidRPr="00C04209" w:rsidRDefault="00AB64A5" w:rsidP="007B0B27">
            <w:pPr>
              <w:contextualSpacing/>
              <w:rPr>
                <w:rFonts w:ascii="Verdana" w:eastAsia="Calibri" w:hAnsi="Verdana" w:cs="Arial"/>
                <w:sz w:val="16"/>
                <w:szCs w:val="16"/>
                <w:lang w:val="pt-BR" w:eastAsia="es-ES"/>
              </w:rPr>
            </w:pPr>
            <w:r w:rsidRPr="00C04209">
              <w:rPr>
                <w:rFonts w:ascii="Verdana" w:eastAsia="Calibri" w:hAnsi="Verdana" w:cs="Arial"/>
                <w:sz w:val="16"/>
                <w:szCs w:val="16"/>
                <w:lang w:eastAsia="es-ES"/>
              </w:rPr>
              <w:t>Subdirectora</w:t>
            </w:r>
            <w:r w:rsidRPr="00C04209">
              <w:rPr>
                <w:rFonts w:ascii="Verdana" w:eastAsia="Calibri" w:hAnsi="Verdana" w:cs="Arial"/>
                <w:sz w:val="16"/>
                <w:szCs w:val="16"/>
                <w:lang w:val="pt-BR" w:eastAsia="es-ES"/>
              </w:rPr>
              <w:t xml:space="preserve"> de Gestión Contractual ANCP – CCE</w:t>
            </w:r>
          </w:p>
        </w:tc>
      </w:tr>
    </w:tbl>
    <w:p w14:paraId="011E4F21" w14:textId="77777777" w:rsidR="00AB64A5" w:rsidRPr="00C04209" w:rsidRDefault="00AB64A5" w:rsidP="00AB64A5">
      <w:pPr>
        <w:spacing w:after="0" w:line="240" w:lineRule="auto"/>
        <w:rPr>
          <w:rFonts w:ascii="Verdana" w:eastAsia="Times New Roman" w:hAnsi="Verdana" w:cs="Arial"/>
          <w:lang w:eastAsia="es-ES"/>
        </w:rPr>
      </w:pPr>
    </w:p>
    <w:p w14:paraId="02CE4EF4" w14:textId="77777777" w:rsidR="00AB64A5" w:rsidRPr="00C04209" w:rsidRDefault="00AB64A5" w:rsidP="00AB64A5">
      <w:pPr>
        <w:rPr>
          <w:rFonts w:ascii="Verdana" w:hAnsi="Verdana"/>
        </w:rPr>
      </w:pPr>
    </w:p>
    <w:p w14:paraId="7644495A" w14:textId="77777777" w:rsidR="00AB64A5" w:rsidRPr="00C04209" w:rsidRDefault="00AB64A5" w:rsidP="00AB64A5">
      <w:pPr>
        <w:spacing w:after="0"/>
        <w:rPr>
          <w:rFonts w:ascii="Verdana" w:hAnsi="Verdana"/>
        </w:rPr>
      </w:pPr>
      <w:r w:rsidRPr="00C04209">
        <w:rPr>
          <w:rFonts w:ascii="Verdana" w:hAnsi="Verdana"/>
        </w:rPr>
        <w:tab/>
      </w:r>
    </w:p>
    <w:p w14:paraId="34BF06D8" w14:textId="77777777" w:rsidR="00AB64A5" w:rsidRPr="00C04209" w:rsidRDefault="00AB64A5" w:rsidP="00AB64A5">
      <w:pPr>
        <w:spacing w:after="0"/>
        <w:rPr>
          <w:rFonts w:ascii="Verdana" w:hAnsi="Verdana"/>
        </w:rPr>
      </w:pPr>
    </w:p>
    <w:p w14:paraId="1F766B8E" w14:textId="77777777" w:rsidR="00AB64A5" w:rsidRPr="00C04209" w:rsidRDefault="00AB64A5" w:rsidP="00AB64A5">
      <w:pPr>
        <w:spacing w:after="0"/>
        <w:rPr>
          <w:rFonts w:ascii="Verdana" w:hAnsi="Verdana"/>
        </w:rPr>
      </w:pPr>
    </w:p>
    <w:bookmarkEnd w:id="0"/>
    <w:p w14:paraId="1D08ED52" w14:textId="77777777" w:rsidR="00AB64A5" w:rsidRPr="00C04209" w:rsidRDefault="00AB64A5" w:rsidP="00AB64A5">
      <w:pPr>
        <w:spacing w:after="0"/>
        <w:rPr>
          <w:rFonts w:ascii="Verdana" w:hAnsi="Verdana"/>
        </w:rPr>
      </w:pPr>
    </w:p>
    <w:p w14:paraId="5CDCF197" w14:textId="77777777" w:rsidR="009C4900" w:rsidRPr="00C04209" w:rsidRDefault="009C4900">
      <w:pPr>
        <w:rPr>
          <w:rFonts w:ascii="Verdana" w:hAnsi="Verdana"/>
        </w:rPr>
      </w:pPr>
    </w:p>
    <w:sectPr w:rsidR="009C4900" w:rsidRPr="00C04209" w:rsidSect="00AB64A5">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979CA" w14:textId="77777777" w:rsidR="00E01F5A" w:rsidRDefault="00E01F5A" w:rsidP="00AB64A5">
      <w:pPr>
        <w:spacing w:after="0" w:line="240" w:lineRule="auto"/>
      </w:pPr>
      <w:r>
        <w:separator/>
      </w:r>
    </w:p>
  </w:endnote>
  <w:endnote w:type="continuationSeparator" w:id="0">
    <w:p w14:paraId="1097DD7B" w14:textId="77777777" w:rsidR="00E01F5A" w:rsidRDefault="00E01F5A"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E95B7" w14:textId="77777777" w:rsidR="00E01F5A" w:rsidRDefault="00E01F5A" w:rsidP="00AB64A5">
      <w:pPr>
        <w:spacing w:after="0" w:line="240" w:lineRule="auto"/>
      </w:pPr>
      <w:r>
        <w:separator/>
      </w:r>
    </w:p>
  </w:footnote>
  <w:footnote w:type="continuationSeparator" w:id="0">
    <w:p w14:paraId="6ACD1356" w14:textId="77777777" w:rsidR="00E01F5A" w:rsidRDefault="00E01F5A" w:rsidP="00AB64A5">
      <w:pPr>
        <w:spacing w:after="0" w:line="240" w:lineRule="auto"/>
      </w:pPr>
      <w:r>
        <w:continuationSeparator/>
      </w:r>
    </w:p>
  </w:footnote>
  <w:footnote w:id="1">
    <w:p w14:paraId="58478F1B" w14:textId="2D8F431C" w:rsidR="00C04209" w:rsidRPr="005109B2" w:rsidRDefault="00C04209" w:rsidP="00C04209">
      <w:pPr>
        <w:pStyle w:val="Textonotapie"/>
        <w:rPr>
          <w:rFonts w:ascii="Arial" w:hAnsi="Arial" w:cs="Arial"/>
          <w:sz w:val="18"/>
          <w:szCs w:val="18"/>
          <w:lang w:val="es-CO"/>
        </w:rPr>
      </w:pPr>
      <w:r w:rsidRPr="005109B2">
        <w:rPr>
          <w:rStyle w:val="Refdenotaalpie"/>
          <w:rFonts w:ascii="Arial" w:hAnsi="Arial" w:cs="Arial"/>
          <w:sz w:val="18"/>
          <w:szCs w:val="18"/>
        </w:rPr>
        <w:footnoteRef/>
      </w:r>
      <w:r w:rsidR="00A97F09" w:rsidRPr="00A97F09">
        <w:rPr>
          <w:rFonts w:ascii="Arial" w:hAnsi="Arial" w:cs="Arial"/>
          <w:sz w:val="18"/>
          <w:szCs w:val="18"/>
        </w:rPr>
        <w:t>https://colombiacompra.gov.co/manuales-guias-y-pliegos-tipo/manuales-y-guias/manual-para-determinar-y-verificar-los-requisitos</w:t>
      </w:r>
      <w:r w:rsidRPr="005109B2">
        <w:rPr>
          <w:rFonts w:ascii="Arial" w:hAnsi="Arial" w:cs="Arial"/>
          <w:sz w:val="18"/>
          <w:szCs w:val="18"/>
        </w:rPr>
        <w:t xml:space="preserve"> </w:t>
      </w:r>
    </w:p>
  </w:footnote>
  <w:footnote w:id="2">
    <w:p w14:paraId="4C49F1D3" w14:textId="77777777" w:rsidR="00C04209" w:rsidRPr="005109B2" w:rsidRDefault="00C04209" w:rsidP="00C04209">
      <w:pPr>
        <w:pStyle w:val="Textonotapie"/>
        <w:ind w:firstLine="708"/>
        <w:jc w:val="both"/>
        <w:rPr>
          <w:rFonts w:ascii="Arial" w:hAnsi="Arial" w:cs="Arial"/>
          <w:sz w:val="18"/>
          <w:szCs w:val="18"/>
        </w:rPr>
      </w:pPr>
      <w:r w:rsidRPr="005109B2">
        <w:rPr>
          <w:rStyle w:val="Refdenotaalpie"/>
          <w:rFonts w:ascii="Arial" w:hAnsi="Arial" w:cs="Arial"/>
          <w:sz w:val="18"/>
          <w:szCs w:val="18"/>
        </w:rPr>
        <w:footnoteRef/>
      </w:r>
      <w:r w:rsidRPr="005109B2">
        <w:rPr>
          <w:rFonts w:ascii="Arial" w:hAnsi="Arial" w:cs="Arial"/>
          <w:sz w:val="18"/>
          <w:szCs w:val="18"/>
        </w:rPr>
        <w:t xml:space="preserve"> Consejo de Estado. Sección Segunda. Sentencia del 9 de septiembre de 2021. Expediente No. 05001-23-33-000-2013-01143-01(1317-16). M.P. Dra. Sandra Lisset Ibarra Vélez.</w:t>
      </w:r>
    </w:p>
  </w:footnote>
  <w:footnote w:id="3">
    <w:p w14:paraId="4BCEFE86" w14:textId="209038CA" w:rsidR="00C04209" w:rsidRPr="005109B2" w:rsidRDefault="00C04209" w:rsidP="00C04209">
      <w:pPr>
        <w:pStyle w:val="Textonotapie"/>
        <w:ind w:firstLine="708"/>
        <w:jc w:val="both"/>
        <w:rPr>
          <w:rFonts w:ascii="Arial" w:hAnsi="Arial" w:cs="Arial"/>
          <w:sz w:val="18"/>
          <w:szCs w:val="18"/>
          <w:lang w:val="es-ES_tradnl"/>
        </w:rPr>
      </w:pPr>
      <w:r w:rsidRPr="005109B2">
        <w:rPr>
          <w:rStyle w:val="Refdenotaalpie"/>
          <w:rFonts w:ascii="Arial" w:hAnsi="Arial" w:cs="Arial"/>
          <w:sz w:val="18"/>
          <w:szCs w:val="18"/>
        </w:rPr>
        <w:footnoteRef/>
      </w:r>
      <w:r w:rsidRPr="005109B2">
        <w:rPr>
          <w:rFonts w:ascii="Arial" w:hAnsi="Arial" w:cs="Arial"/>
          <w:sz w:val="18"/>
          <w:szCs w:val="18"/>
        </w:rPr>
        <w:t xml:space="preserve"> Así lo señaló el Consejo de Estado en la sentencia de unificación en mención, al indicar que </w:t>
      </w:r>
      <w:r>
        <w:rPr>
          <w:rFonts w:ascii="Arial" w:hAnsi="Arial" w:cs="Arial"/>
          <w:sz w:val="18"/>
          <w:szCs w:val="18"/>
        </w:rPr>
        <w:t>“</w:t>
      </w:r>
      <w:r w:rsidRPr="005109B2">
        <w:rPr>
          <w:rFonts w:ascii="Arial" w:hAnsi="Arial" w:cs="Arial"/>
          <w:sz w:val="18"/>
          <w:szCs w:val="18"/>
        </w:rPr>
        <w:t>cualquier contrato de prestación de servicios tiene por objeto genérico “desarrollar actividades relacionadas con la administración o funcionamiento de la entidad”</w:t>
      </w:r>
      <w:r>
        <w:rPr>
          <w:rFonts w:ascii="Arial" w:hAnsi="Arial" w:cs="Arial"/>
          <w:sz w:val="18"/>
          <w:szCs w:val="18"/>
        </w:rPr>
        <w:t>“</w:t>
      </w:r>
      <w:r w:rsidRPr="005109B2">
        <w:rPr>
          <w:rFonts w:ascii="Arial" w:hAnsi="Arial" w:cs="Arial"/>
          <w:sz w:val="18"/>
          <w:szCs w:val="18"/>
        </w:rPr>
        <w:t>.</w:t>
      </w:r>
    </w:p>
  </w:footnote>
  <w:footnote w:id="4">
    <w:p w14:paraId="5F073079" w14:textId="3166A8F8" w:rsidR="00C04209" w:rsidRPr="005109B2" w:rsidRDefault="00C04209" w:rsidP="00C04209">
      <w:pPr>
        <w:pStyle w:val="Textonotapie"/>
        <w:ind w:firstLine="708"/>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 xml:space="preserve">El artículo 22 del Código Sustantivo del Trabajo establece: </w:t>
      </w:r>
      <w:r>
        <w:rPr>
          <w:rFonts w:ascii="Arial" w:hAnsi="Arial" w:cs="Arial"/>
          <w:sz w:val="18"/>
          <w:szCs w:val="18"/>
          <w:lang w:val="es-ES"/>
        </w:rPr>
        <w:t>“</w:t>
      </w:r>
      <w:r w:rsidRPr="005109B2">
        <w:rPr>
          <w:rFonts w:ascii="Arial" w:hAnsi="Arial" w:cs="Arial"/>
          <w:sz w:val="18"/>
          <w:szCs w:val="18"/>
          <w:lang w:val="es-ES"/>
        </w:rPr>
        <w:t>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r>
        <w:rPr>
          <w:rFonts w:ascii="Arial" w:hAnsi="Arial" w:cs="Arial"/>
          <w:sz w:val="18"/>
          <w:szCs w:val="18"/>
          <w:lang w:val="es-ES"/>
        </w:rPr>
        <w:t>”</w:t>
      </w:r>
      <w:r w:rsidRPr="005109B2">
        <w:rPr>
          <w:rFonts w:ascii="Arial" w:hAnsi="Arial" w:cs="Arial"/>
          <w:sz w:val="18"/>
          <w:szCs w:val="18"/>
          <w:lang w:val="es-ES"/>
        </w:rPr>
        <w:t>.</w:t>
      </w:r>
    </w:p>
    <w:p w14:paraId="31DB6AF9" w14:textId="77777777" w:rsidR="00C04209" w:rsidRPr="005109B2" w:rsidRDefault="00C04209" w:rsidP="00C04209">
      <w:pPr>
        <w:pStyle w:val="Textonotapie"/>
        <w:ind w:firstLine="709"/>
        <w:jc w:val="both"/>
        <w:rPr>
          <w:rFonts w:ascii="Arial" w:hAnsi="Arial" w:cs="Arial"/>
          <w:sz w:val="18"/>
          <w:szCs w:val="18"/>
          <w:lang w:val="es-ES"/>
        </w:rPr>
      </w:pPr>
    </w:p>
  </w:footnote>
  <w:footnote w:id="5">
    <w:p w14:paraId="49A3A434" w14:textId="42676130" w:rsidR="00C04209" w:rsidRPr="005109B2" w:rsidRDefault="00C04209" w:rsidP="00C04209">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 xml:space="preserve">En efecto, el artículo 244 de la Ley 1955 de 2015 dispone, en lo pertinente: </w:t>
      </w:r>
      <w:r>
        <w:rPr>
          <w:rFonts w:ascii="Arial" w:hAnsi="Arial" w:cs="Arial"/>
          <w:sz w:val="18"/>
          <w:szCs w:val="18"/>
          <w:lang w:val="es-ES"/>
        </w:rPr>
        <w:t>“</w:t>
      </w:r>
      <w:r w:rsidRPr="005109B2">
        <w:rPr>
          <w:rFonts w:ascii="Arial" w:hAnsi="Arial" w:cs="Arial"/>
          <w:sz w:val="18"/>
          <w:szCs w:val="18"/>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25DF3F40" w14:textId="77777777" w:rsidR="00C04209" w:rsidRPr="005109B2" w:rsidRDefault="00C04209" w:rsidP="00C04209">
      <w:pPr>
        <w:pStyle w:val="Textonotapie"/>
        <w:ind w:firstLine="709"/>
        <w:jc w:val="both"/>
        <w:rPr>
          <w:rFonts w:ascii="Arial" w:hAnsi="Arial" w:cs="Arial"/>
          <w:sz w:val="18"/>
          <w:szCs w:val="18"/>
          <w:lang w:val="es-ES"/>
        </w:rPr>
      </w:pPr>
      <w:r w:rsidRPr="005109B2">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08A445C" w14:textId="77777777" w:rsidR="00C04209" w:rsidRPr="005109B2" w:rsidRDefault="00C04209" w:rsidP="00C04209">
      <w:pPr>
        <w:pStyle w:val="Textonotapie"/>
        <w:ind w:firstLine="709"/>
        <w:jc w:val="both"/>
        <w:rPr>
          <w:rFonts w:ascii="Arial" w:hAnsi="Arial" w:cs="Arial"/>
          <w:sz w:val="18"/>
          <w:szCs w:val="18"/>
          <w:lang w:val="es-ES"/>
        </w:rPr>
      </w:pPr>
      <w:r w:rsidRPr="005109B2">
        <w:rPr>
          <w:rFonts w:ascii="Arial" w:hAnsi="Arial" w:cs="Arial"/>
          <w:sz w:val="18"/>
          <w:szCs w:val="18"/>
          <w:lang w:val="es-ES"/>
        </w:rPr>
        <w:t>El Gobierno nacional reglamentará el mecanismo para realizar la mensualización de que trata el presente artículo.</w:t>
      </w:r>
    </w:p>
    <w:p w14:paraId="536D232F" w14:textId="521F7C23" w:rsidR="00C04209" w:rsidRPr="005109B2" w:rsidRDefault="00C04209" w:rsidP="00C04209">
      <w:pPr>
        <w:pStyle w:val="Textonotapie"/>
        <w:ind w:firstLine="709"/>
        <w:jc w:val="both"/>
        <w:rPr>
          <w:rFonts w:ascii="Arial" w:hAnsi="Arial" w:cs="Arial"/>
          <w:sz w:val="18"/>
          <w:szCs w:val="18"/>
          <w:lang w:val="pt-BR"/>
        </w:rPr>
      </w:pPr>
      <w:r w:rsidRPr="005109B2">
        <w:rPr>
          <w:rFonts w:ascii="Arial" w:hAnsi="Arial" w:cs="Arial"/>
          <w:sz w:val="18"/>
          <w:szCs w:val="18"/>
          <w:lang w:val="pt-BR"/>
        </w:rPr>
        <w:t>[…]</w:t>
      </w:r>
      <w:r>
        <w:rPr>
          <w:rFonts w:ascii="Arial" w:hAnsi="Arial" w:cs="Arial"/>
          <w:sz w:val="18"/>
          <w:szCs w:val="18"/>
          <w:lang w:val="pt-BR"/>
        </w:rPr>
        <w:t>”</w:t>
      </w:r>
      <w:r w:rsidRPr="005109B2">
        <w:rPr>
          <w:rFonts w:ascii="Arial" w:hAnsi="Arial" w:cs="Arial"/>
          <w:sz w:val="18"/>
          <w:szCs w:val="18"/>
          <w:lang w:val="pt-BR"/>
        </w:rPr>
        <w:t>.</w:t>
      </w:r>
    </w:p>
  </w:footnote>
  <w:footnote w:id="6">
    <w:p w14:paraId="1CEBB0E6" w14:textId="77777777" w:rsidR="00C04209" w:rsidRPr="005109B2" w:rsidRDefault="00C04209" w:rsidP="00C04209">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lang w:val="pt-BR"/>
        </w:rPr>
        <w:t xml:space="preserve"> Corte Constitucional. Sentencia C-154 de 1997. </w:t>
      </w:r>
      <w:r w:rsidRPr="005109B2">
        <w:rPr>
          <w:rFonts w:ascii="Arial" w:hAnsi="Arial" w:cs="Arial"/>
          <w:sz w:val="18"/>
          <w:szCs w:val="18"/>
          <w:lang w:val="es-ES"/>
        </w:rPr>
        <w:t>MP: Hernando Herrera Vergara.</w:t>
      </w:r>
    </w:p>
    <w:p w14:paraId="18EE18EF" w14:textId="77777777" w:rsidR="00C04209" w:rsidRPr="005109B2" w:rsidRDefault="00C04209" w:rsidP="00C04209">
      <w:pPr>
        <w:pStyle w:val="Textonotapie"/>
        <w:ind w:firstLine="709"/>
        <w:jc w:val="both"/>
        <w:rPr>
          <w:rFonts w:ascii="Arial" w:hAnsi="Arial" w:cs="Arial"/>
          <w:sz w:val="18"/>
          <w:szCs w:val="18"/>
          <w:lang w:val="es-ES"/>
        </w:rPr>
      </w:pPr>
    </w:p>
  </w:footnote>
  <w:footnote w:id="7">
    <w:p w14:paraId="013F5734" w14:textId="77777777" w:rsidR="00C04209" w:rsidRPr="005109B2" w:rsidRDefault="00C04209" w:rsidP="00C04209">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Ibíd.</w:t>
      </w:r>
    </w:p>
  </w:footnote>
  <w:footnote w:id="8">
    <w:p w14:paraId="76011937" w14:textId="77777777" w:rsidR="00C04209" w:rsidRPr="005109B2" w:rsidRDefault="00C04209" w:rsidP="00C04209">
      <w:pPr>
        <w:pStyle w:val="Textonotapie"/>
        <w:ind w:firstLine="709"/>
        <w:jc w:val="both"/>
        <w:rPr>
          <w:rFonts w:ascii="Arial" w:hAnsi="Arial" w:cs="Arial"/>
          <w:sz w:val="18"/>
          <w:szCs w:val="18"/>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color w:val="000000" w:themeColor="text1"/>
          <w:sz w:val="18"/>
          <w:szCs w:val="18"/>
          <w:lang w:val="es-ES"/>
        </w:rPr>
        <w:t>CONSEJO DE ESTADO. Sección Tercera. Subsección C. Sentencia de Unificación del 2 de diciembre de 2013. Exp. 41.719. C.P. Jaime Orlando Santofimio Gamboa.</w:t>
      </w:r>
      <w:r w:rsidRPr="005109B2">
        <w:rPr>
          <w:rFonts w:ascii="Arial" w:hAnsi="Arial" w:cs="Arial"/>
          <w:sz w:val="18"/>
          <w:szCs w:val="18"/>
        </w:rPr>
        <w:t xml:space="preserve"> </w:t>
      </w:r>
    </w:p>
    <w:p w14:paraId="23313D15" w14:textId="422B020C" w:rsidR="00C04209" w:rsidRPr="005109B2" w:rsidRDefault="00C04209" w:rsidP="00C04209">
      <w:pPr>
        <w:pStyle w:val="Textonotapie"/>
        <w:ind w:firstLine="709"/>
        <w:jc w:val="both"/>
        <w:rPr>
          <w:rFonts w:ascii="Arial" w:hAnsi="Arial" w:cs="Arial"/>
          <w:sz w:val="18"/>
          <w:szCs w:val="18"/>
          <w:lang w:val="es-ES"/>
        </w:rPr>
      </w:pPr>
      <w:r w:rsidRPr="005109B2">
        <w:rPr>
          <w:rFonts w:ascii="Arial" w:hAnsi="Arial" w:cs="Arial"/>
          <w:sz w:val="18"/>
          <w:szCs w:val="18"/>
          <w:lang w:val="es-ES"/>
        </w:rPr>
        <w:t xml:space="preserve">Además, el numeral 2º del artículo 32 de la Ley 80 de 1993 define el contrato de consultoría así: </w:t>
      </w:r>
      <w:r>
        <w:rPr>
          <w:rFonts w:ascii="Arial" w:hAnsi="Arial" w:cs="Arial"/>
          <w:sz w:val="18"/>
          <w:szCs w:val="18"/>
          <w:lang w:val="es-ES"/>
        </w:rPr>
        <w:t>“</w:t>
      </w:r>
      <w:r w:rsidRPr="005109B2">
        <w:rPr>
          <w:rFonts w:ascii="Arial" w:hAnsi="Arial" w:cs="Arial"/>
          <w:sz w:val="18"/>
          <w:szCs w:val="18"/>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3011570" w14:textId="5E35A57F" w:rsidR="00C04209" w:rsidRPr="005109B2" w:rsidRDefault="00C04209" w:rsidP="00C04209">
      <w:pPr>
        <w:pStyle w:val="Textonotapie"/>
        <w:ind w:firstLine="709"/>
        <w:jc w:val="both"/>
        <w:rPr>
          <w:rFonts w:ascii="Arial" w:hAnsi="Arial" w:cs="Arial"/>
          <w:sz w:val="18"/>
          <w:szCs w:val="18"/>
          <w:lang w:val="es-ES"/>
        </w:rPr>
      </w:pPr>
      <w:r>
        <w:rPr>
          <w:rFonts w:ascii="Arial" w:hAnsi="Arial" w:cs="Arial"/>
          <w:sz w:val="18"/>
          <w:szCs w:val="18"/>
          <w:lang w:val="es-ES"/>
        </w:rPr>
        <w:t>“</w:t>
      </w:r>
      <w:r w:rsidRPr="005109B2">
        <w:rPr>
          <w:rFonts w:ascii="Arial" w:hAnsi="Arial" w:cs="Arial"/>
          <w:sz w:val="18"/>
          <w:szCs w:val="18"/>
          <w:lang w:val="es-ES"/>
        </w:rPr>
        <w:t xml:space="preserve"> Son también contratos de consultoría los que tienen por objeto la interventoría, asesoría, gerencia de obra o de proyectos, dirección, programación y la ejecución de diseños, planos, anteproyectos y proyectos.</w:t>
      </w:r>
    </w:p>
    <w:p w14:paraId="4BA0361D" w14:textId="7373C2D9" w:rsidR="00C04209" w:rsidRPr="005109B2" w:rsidRDefault="00C04209" w:rsidP="00C04209">
      <w:pPr>
        <w:pStyle w:val="Textonotapie"/>
        <w:ind w:firstLine="709"/>
        <w:jc w:val="both"/>
        <w:rPr>
          <w:rFonts w:ascii="Arial" w:hAnsi="Arial" w:cs="Arial"/>
          <w:sz w:val="18"/>
          <w:szCs w:val="18"/>
          <w:lang w:val="es-ES"/>
        </w:rPr>
      </w:pPr>
      <w:r>
        <w:rPr>
          <w:rFonts w:ascii="Arial" w:hAnsi="Arial" w:cs="Arial"/>
          <w:sz w:val="18"/>
          <w:szCs w:val="18"/>
          <w:lang w:val="es-ES"/>
        </w:rPr>
        <w:t>“</w:t>
      </w:r>
      <w:r w:rsidRPr="005109B2">
        <w:rPr>
          <w:rFonts w:ascii="Arial" w:hAnsi="Arial" w:cs="Arial"/>
          <w:sz w:val="18"/>
          <w:szCs w:val="18"/>
          <w:lang w:val="es-ES"/>
        </w:rPr>
        <w:t xml:space="preserve"> Ninguna orden del interventor de una obra podrá darse verbalmente. Es obligatorio para el interventor entregar por escrito sus órdenes o sugerencias y ellas deben enmarcarse dentro de los términos del respectivo contrato</w:t>
      </w:r>
      <w:r>
        <w:rPr>
          <w:rFonts w:ascii="Arial" w:hAnsi="Arial" w:cs="Arial"/>
          <w:sz w:val="18"/>
          <w:szCs w:val="18"/>
          <w:lang w:val="es-ES"/>
        </w:rPr>
        <w:t>”</w:t>
      </w:r>
      <w:r w:rsidRPr="005109B2">
        <w:rPr>
          <w:rFonts w:ascii="Arial" w:hAnsi="Arial" w:cs="Arial"/>
          <w:sz w:val="18"/>
          <w:szCs w:val="18"/>
          <w:lang w:val="es-ES"/>
        </w:rPr>
        <w:t>.</w:t>
      </w:r>
    </w:p>
  </w:footnote>
  <w:footnote w:id="9">
    <w:p w14:paraId="5C48DADD" w14:textId="4F8587F9" w:rsidR="00C04209" w:rsidRPr="005109B2" w:rsidRDefault="00C04209" w:rsidP="00C04209">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 xml:space="preserve">Así lo dispone el artículo 2.2.1.2.1.4.1. del Decreto 1082 de 2015: </w:t>
      </w:r>
      <w:r>
        <w:rPr>
          <w:rFonts w:ascii="Arial" w:hAnsi="Arial" w:cs="Arial"/>
          <w:sz w:val="18"/>
          <w:szCs w:val="18"/>
          <w:lang w:val="es-ES"/>
        </w:rPr>
        <w:t>“</w:t>
      </w:r>
      <w:r w:rsidRPr="005109B2">
        <w:rPr>
          <w:rFonts w:ascii="Arial" w:hAnsi="Arial" w:cs="Arial"/>
          <w:sz w:val="18"/>
          <w:szCs w:val="18"/>
          <w:lang w:val="es-ES"/>
        </w:rPr>
        <w:t>La Entidad Estatal debe señalar en un acto administrativo la justificación para contratar bajo la modalidad de contratación directa, el cual debe contener:</w:t>
      </w:r>
    </w:p>
    <w:p w14:paraId="72013270" w14:textId="17198685" w:rsidR="00C04209" w:rsidRPr="005109B2" w:rsidRDefault="00C04209" w:rsidP="00C04209">
      <w:pPr>
        <w:pStyle w:val="Textonotapie"/>
        <w:ind w:firstLine="709"/>
        <w:jc w:val="both"/>
        <w:rPr>
          <w:rFonts w:ascii="Arial" w:hAnsi="Arial" w:cs="Arial"/>
          <w:sz w:val="18"/>
          <w:szCs w:val="18"/>
          <w:lang w:val="es-ES"/>
        </w:rPr>
      </w:pPr>
      <w:r>
        <w:rPr>
          <w:rFonts w:ascii="Arial" w:hAnsi="Arial" w:cs="Arial"/>
          <w:sz w:val="18"/>
          <w:szCs w:val="18"/>
          <w:lang w:val="es-ES"/>
        </w:rPr>
        <w:t>“</w:t>
      </w:r>
      <w:r w:rsidRPr="005109B2">
        <w:rPr>
          <w:rFonts w:ascii="Arial" w:hAnsi="Arial" w:cs="Arial"/>
          <w:sz w:val="18"/>
          <w:szCs w:val="18"/>
          <w:lang w:val="es-ES"/>
        </w:rPr>
        <w:t>1. La causal que invoca para contratar directamente.</w:t>
      </w:r>
    </w:p>
    <w:p w14:paraId="32F8F0F1" w14:textId="428AD46D" w:rsidR="00C04209" w:rsidRPr="005109B2" w:rsidRDefault="00C04209" w:rsidP="00C04209">
      <w:pPr>
        <w:pStyle w:val="Textonotapie"/>
        <w:ind w:firstLine="709"/>
        <w:jc w:val="both"/>
        <w:rPr>
          <w:rFonts w:ascii="Arial" w:hAnsi="Arial" w:cs="Arial"/>
          <w:sz w:val="18"/>
          <w:szCs w:val="18"/>
          <w:lang w:val="es-ES"/>
        </w:rPr>
      </w:pPr>
      <w:r>
        <w:rPr>
          <w:rFonts w:ascii="Arial" w:hAnsi="Arial" w:cs="Arial"/>
          <w:sz w:val="18"/>
          <w:szCs w:val="18"/>
          <w:lang w:val="es-ES"/>
        </w:rPr>
        <w:t>“</w:t>
      </w:r>
      <w:r w:rsidRPr="005109B2">
        <w:rPr>
          <w:rFonts w:ascii="Arial" w:hAnsi="Arial" w:cs="Arial"/>
          <w:sz w:val="18"/>
          <w:szCs w:val="18"/>
          <w:lang w:val="es-ES"/>
        </w:rPr>
        <w:t>2. El objeto del contrato.</w:t>
      </w:r>
    </w:p>
    <w:p w14:paraId="134029F1" w14:textId="350AAC48" w:rsidR="00C04209" w:rsidRPr="005109B2" w:rsidRDefault="00C04209" w:rsidP="00C04209">
      <w:pPr>
        <w:pStyle w:val="Textonotapie"/>
        <w:ind w:firstLine="709"/>
        <w:jc w:val="both"/>
        <w:rPr>
          <w:rFonts w:ascii="Arial" w:hAnsi="Arial" w:cs="Arial"/>
          <w:sz w:val="18"/>
          <w:szCs w:val="18"/>
          <w:lang w:val="es-ES"/>
        </w:rPr>
      </w:pPr>
      <w:r>
        <w:rPr>
          <w:rFonts w:ascii="Arial" w:hAnsi="Arial" w:cs="Arial"/>
          <w:sz w:val="18"/>
          <w:szCs w:val="18"/>
          <w:lang w:val="es-ES"/>
        </w:rPr>
        <w:t>“</w:t>
      </w:r>
      <w:r w:rsidRPr="005109B2">
        <w:rPr>
          <w:rFonts w:ascii="Arial" w:hAnsi="Arial" w:cs="Arial"/>
          <w:sz w:val="18"/>
          <w:szCs w:val="18"/>
          <w:lang w:val="es-ES"/>
        </w:rPr>
        <w:t>3. El presupuesto para la contratación y las condiciones que exigirá al contratista.</w:t>
      </w:r>
    </w:p>
    <w:p w14:paraId="1F95B49B" w14:textId="4C58CDD7" w:rsidR="00C04209" w:rsidRPr="005109B2" w:rsidRDefault="00C04209" w:rsidP="00C04209">
      <w:pPr>
        <w:pStyle w:val="Textonotapie"/>
        <w:ind w:firstLine="709"/>
        <w:jc w:val="both"/>
        <w:rPr>
          <w:rFonts w:ascii="Arial" w:hAnsi="Arial" w:cs="Arial"/>
          <w:sz w:val="18"/>
          <w:szCs w:val="18"/>
          <w:lang w:val="es-ES"/>
        </w:rPr>
      </w:pPr>
      <w:r>
        <w:rPr>
          <w:rFonts w:ascii="Arial" w:hAnsi="Arial" w:cs="Arial"/>
          <w:sz w:val="18"/>
          <w:szCs w:val="18"/>
          <w:lang w:val="es-ES"/>
        </w:rPr>
        <w:t>“</w:t>
      </w:r>
      <w:r w:rsidRPr="005109B2">
        <w:rPr>
          <w:rFonts w:ascii="Arial" w:hAnsi="Arial" w:cs="Arial"/>
          <w:sz w:val="18"/>
          <w:szCs w:val="18"/>
          <w:lang w:val="es-ES"/>
        </w:rPr>
        <w:t>4. El lugar en el cual los interesados pueden consultar los estudios y documentos previos.</w:t>
      </w:r>
    </w:p>
    <w:p w14:paraId="4D3E5EAC" w14:textId="3B6F6043" w:rsidR="00C04209" w:rsidRPr="005109B2" w:rsidRDefault="00C04209" w:rsidP="00C04209">
      <w:pPr>
        <w:pStyle w:val="Textonotapie"/>
        <w:ind w:firstLine="709"/>
        <w:jc w:val="both"/>
        <w:rPr>
          <w:rFonts w:ascii="Arial" w:hAnsi="Arial" w:cs="Arial"/>
          <w:sz w:val="18"/>
          <w:szCs w:val="18"/>
          <w:lang w:val="es-ES"/>
        </w:rPr>
      </w:pPr>
      <w:r>
        <w:rPr>
          <w:rFonts w:ascii="Arial" w:hAnsi="Arial" w:cs="Arial"/>
          <w:sz w:val="18"/>
          <w:szCs w:val="18"/>
          <w:lang w:val="es-ES"/>
        </w:rPr>
        <w:t>“</w:t>
      </w:r>
      <w:r w:rsidRPr="005109B2">
        <w:rPr>
          <w:rFonts w:ascii="Arial" w:hAnsi="Arial" w:cs="Arial"/>
          <w:sz w:val="18"/>
          <w:szCs w:val="18"/>
          <w:lang w:val="es-ES"/>
        </w:rPr>
        <w:t xml:space="preserve"> Este acto administrativo no es necesario cuando el contrato a celebrar es de prestación de servicios profesionales y de apoyo a la gestión, y para los contratos de que tratan los literales (a) y (b) del artículo 2.2.1.2.1.4.3 del presente decreto</w:t>
      </w:r>
      <w:r>
        <w:rPr>
          <w:rFonts w:ascii="Arial" w:hAnsi="Arial" w:cs="Arial"/>
          <w:sz w:val="18"/>
          <w:szCs w:val="18"/>
          <w:lang w:val="es-ES"/>
        </w:rPr>
        <w:t>”</w:t>
      </w:r>
      <w:r w:rsidRPr="005109B2">
        <w:rPr>
          <w:rFonts w:ascii="Arial" w:hAnsi="Arial" w:cs="Arial"/>
          <w:sz w:val="18"/>
          <w:szCs w:val="18"/>
          <w:lang w:val="es-ES"/>
        </w:rPr>
        <w:t>.</w:t>
      </w:r>
    </w:p>
  </w:footnote>
  <w:footnote w:id="10">
    <w:p w14:paraId="6CC2C772" w14:textId="77777777" w:rsidR="00C04209" w:rsidRPr="005109B2" w:rsidRDefault="00C04209" w:rsidP="00C04209">
      <w:pPr>
        <w:pStyle w:val="Textonotapie"/>
        <w:jc w:val="both"/>
        <w:rPr>
          <w:rFonts w:ascii="Arial" w:hAnsi="Arial" w:cs="Arial"/>
          <w:sz w:val="18"/>
          <w:szCs w:val="18"/>
        </w:rPr>
      </w:pPr>
    </w:p>
    <w:p w14:paraId="076A4DE3" w14:textId="2D0C6AE7" w:rsidR="00C04209" w:rsidRPr="005109B2" w:rsidRDefault="00C04209" w:rsidP="00C04209">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 xml:space="preserve">La norma expresa: </w:t>
      </w:r>
      <w:r>
        <w:rPr>
          <w:rFonts w:ascii="Arial" w:hAnsi="Arial" w:cs="Arial"/>
          <w:sz w:val="18"/>
          <w:szCs w:val="18"/>
          <w:lang w:val="es-ES"/>
        </w:rPr>
        <w:t>“</w:t>
      </w:r>
      <w:r w:rsidRPr="005109B2">
        <w:rPr>
          <w:rFonts w:ascii="Arial" w:hAnsi="Arial" w:cs="Arial"/>
          <w:sz w:val="18"/>
          <w:szCs w:val="18"/>
          <w:lang w:val="es-ES"/>
        </w:rPr>
        <w:t xml:space="preserve">Art. 14. </w:t>
      </w:r>
      <w:r w:rsidRPr="005109B2">
        <w:rPr>
          <w:rFonts w:ascii="Arial" w:hAnsi="Arial" w:cs="Arial"/>
          <w:sz w:val="18"/>
          <w:szCs w:val="18"/>
        </w:rPr>
        <w:t>P</w:t>
      </w:r>
      <w:r w:rsidRPr="005109B2">
        <w:rPr>
          <w:rFonts w:ascii="Arial" w:hAnsi="Arial" w:cs="Arial"/>
          <w:sz w:val="18"/>
          <w:szCs w:val="18"/>
          <w:lang w:val="es-ES"/>
        </w:rPr>
        <w:t>ara el cumplimiento de los fines de la contratación, las entidades estatales al celebrar un contrato:</w:t>
      </w:r>
    </w:p>
    <w:p w14:paraId="143ABF7B" w14:textId="77777777" w:rsidR="00C04209" w:rsidRPr="005109B2" w:rsidRDefault="00C04209" w:rsidP="00C04209">
      <w:pPr>
        <w:pStyle w:val="Textonotapie"/>
        <w:ind w:firstLine="709"/>
        <w:jc w:val="both"/>
        <w:rPr>
          <w:rFonts w:ascii="Arial" w:hAnsi="Arial" w:cs="Arial"/>
          <w:sz w:val="18"/>
          <w:szCs w:val="18"/>
          <w:lang w:val="es-ES"/>
        </w:rPr>
      </w:pPr>
      <w:r w:rsidRPr="005109B2">
        <w:rPr>
          <w:rFonts w:ascii="Arial" w:hAnsi="Arial" w:cs="Arial"/>
          <w:sz w:val="18"/>
          <w:szCs w:val="18"/>
          <w:lang w:val="es-ES"/>
        </w:rPr>
        <w:t>[…]</w:t>
      </w:r>
    </w:p>
    <w:p w14:paraId="2CD08623" w14:textId="77777777" w:rsidR="00C04209" w:rsidRPr="005109B2" w:rsidRDefault="00C04209" w:rsidP="00C04209">
      <w:pPr>
        <w:pStyle w:val="Textonotapie"/>
        <w:ind w:firstLine="709"/>
        <w:jc w:val="both"/>
        <w:rPr>
          <w:rFonts w:ascii="Arial" w:hAnsi="Arial" w:cs="Arial"/>
          <w:sz w:val="18"/>
          <w:szCs w:val="18"/>
          <w:lang w:val="es-ES"/>
        </w:rPr>
      </w:pPr>
      <w:r w:rsidRPr="005109B2">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6B6A5E2" w14:textId="77777777" w:rsidR="00C04209" w:rsidRPr="005109B2" w:rsidRDefault="00C04209" w:rsidP="00C04209">
      <w:pPr>
        <w:pStyle w:val="Textonotapie"/>
        <w:ind w:firstLine="709"/>
        <w:jc w:val="both"/>
        <w:rPr>
          <w:rFonts w:ascii="Arial" w:hAnsi="Arial" w:cs="Arial"/>
          <w:sz w:val="18"/>
          <w:szCs w:val="18"/>
          <w:lang w:val="es-ES"/>
        </w:rPr>
      </w:pPr>
      <w:r w:rsidRPr="005109B2">
        <w:rPr>
          <w:rFonts w:ascii="Arial" w:hAnsi="Arial" w:cs="Arial"/>
          <w:sz w:val="18"/>
          <w:szCs w:val="18"/>
          <w:lang w:val="es-ES"/>
        </w:rPr>
        <w:t>Las entidades estatales podrán pactar estas cláusulas en los contratos de suministro y de prestación de servicios.</w:t>
      </w:r>
    </w:p>
    <w:p w14:paraId="3806BFA5" w14:textId="5CDF66C3" w:rsidR="00C04209" w:rsidRPr="005109B2" w:rsidRDefault="00C04209" w:rsidP="00C04209">
      <w:pPr>
        <w:pStyle w:val="Textonotapie"/>
        <w:ind w:firstLine="709"/>
        <w:jc w:val="both"/>
        <w:rPr>
          <w:rFonts w:ascii="Arial" w:hAnsi="Arial" w:cs="Arial"/>
          <w:sz w:val="18"/>
          <w:szCs w:val="18"/>
          <w:lang w:val="es-ES"/>
        </w:rPr>
      </w:pPr>
      <w:r w:rsidRPr="005109B2">
        <w:rPr>
          <w:rFonts w:ascii="Arial" w:hAnsi="Arial" w:cs="Arial"/>
          <w:sz w:val="18"/>
          <w:szCs w:val="18"/>
          <w:lang w:val="es-ES"/>
        </w:rPr>
        <w:t>[…]</w:t>
      </w:r>
      <w:r>
        <w:rPr>
          <w:rFonts w:ascii="Arial" w:hAnsi="Arial" w:cs="Arial"/>
          <w:sz w:val="18"/>
          <w:szCs w:val="18"/>
          <w:lang w:val="es-ES"/>
        </w:rPr>
        <w:t>”</w:t>
      </w:r>
      <w:r w:rsidRPr="005109B2">
        <w:rPr>
          <w:rFonts w:ascii="Arial" w:hAnsi="Arial" w:cs="Arial"/>
          <w:sz w:val="18"/>
          <w:szCs w:val="18"/>
          <w:lang w:val="es-ES"/>
        </w:rPr>
        <w:t>.</w:t>
      </w:r>
    </w:p>
  </w:footnote>
  <w:footnote w:id="11">
    <w:p w14:paraId="75F2F009" w14:textId="2BB3C62D" w:rsidR="00C04209" w:rsidRPr="005109B2" w:rsidRDefault="00C04209" w:rsidP="00C04209">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 xml:space="preserve">La norma dispone: </w:t>
      </w:r>
      <w:r>
        <w:rPr>
          <w:rFonts w:ascii="Arial" w:hAnsi="Arial" w:cs="Arial"/>
          <w:sz w:val="18"/>
          <w:szCs w:val="18"/>
          <w:lang w:val="es-ES"/>
        </w:rPr>
        <w:t>“</w:t>
      </w:r>
      <w:r w:rsidRPr="005109B2">
        <w:rPr>
          <w:rFonts w:ascii="Arial" w:hAnsi="Arial" w:cs="Arial"/>
          <w:sz w:val="18"/>
          <w:szCs w:val="18"/>
          <w:lang w:val="es-ES"/>
        </w:rPr>
        <w:t>La liquidación a que se refiere el presente artículo no será obligatoria en los contratos de prestación de servicios profesionales y de apoyo a la gestión</w:t>
      </w:r>
      <w:r>
        <w:rPr>
          <w:rFonts w:ascii="Arial" w:hAnsi="Arial" w:cs="Arial"/>
          <w:sz w:val="18"/>
          <w:szCs w:val="18"/>
          <w:lang w:val="es-ES"/>
        </w:rPr>
        <w:t>”</w:t>
      </w:r>
      <w:r w:rsidRPr="005109B2">
        <w:rPr>
          <w:rFonts w:ascii="Arial" w:hAnsi="Arial" w:cs="Arial"/>
          <w:sz w:val="18"/>
          <w:szCs w:val="18"/>
          <w:lang w:val="es-ES"/>
        </w:rPr>
        <w:t>.</w:t>
      </w:r>
    </w:p>
  </w:footnote>
  <w:footnote w:id="12">
    <w:p w14:paraId="03EF73F9" w14:textId="35661C22" w:rsidR="00C04209" w:rsidRPr="005109B2" w:rsidRDefault="00C04209" w:rsidP="00C04209">
      <w:pPr>
        <w:pStyle w:val="Textonotapie"/>
        <w:ind w:firstLine="709"/>
        <w:jc w:val="both"/>
        <w:rPr>
          <w:rFonts w:ascii="Arial" w:hAnsi="Arial" w:cs="Arial"/>
          <w:sz w:val="18"/>
          <w:szCs w:val="18"/>
        </w:rPr>
      </w:pPr>
      <w:r w:rsidRPr="005109B2">
        <w:rPr>
          <w:rStyle w:val="Refdenotaalpie"/>
          <w:rFonts w:ascii="Arial" w:hAnsi="Arial" w:cs="Arial"/>
          <w:sz w:val="18"/>
          <w:szCs w:val="18"/>
        </w:rPr>
        <w:footnoteRef/>
      </w:r>
      <w:r w:rsidRPr="005109B2">
        <w:rPr>
          <w:rFonts w:ascii="Arial" w:hAnsi="Arial" w:cs="Arial"/>
          <w:sz w:val="18"/>
          <w:szCs w:val="18"/>
        </w:rPr>
        <w:t xml:space="preserve"> Según dicho artículo: </w:t>
      </w:r>
      <w:r>
        <w:rPr>
          <w:rFonts w:ascii="Arial" w:hAnsi="Arial" w:cs="Arial"/>
          <w:sz w:val="18"/>
          <w:szCs w:val="18"/>
        </w:rPr>
        <w:t>“</w:t>
      </w:r>
      <w:r w:rsidRPr="005109B2">
        <w:rPr>
          <w:rFonts w:ascii="Arial" w:hAnsi="Arial" w:cs="Arial"/>
          <w:sz w:val="18"/>
          <w:szCs w:val="18"/>
        </w:rPr>
        <w:t>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440BDC0" w14:textId="77777777" w:rsidR="00C04209" w:rsidRPr="005109B2" w:rsidRDefault="00C04209" w:rsidP="00C04209">
      <w:pPr>
        <w:pStyle w:val="Textonotapie"/>
        <w:ind w:firstLine="709"/>
        <w:jc w:val="both"/>
        <w:rPr>
          <w:rFonts w:ascii="Arial" w:hAnsi="Arial" w:cs="Arial"/>
          <w:sz w:val="18"/>
          <w:szCs w:val="18"/>
        </w:rPr>
      </w:pPr>
      <w:r w:rsidRPr="005109B2">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2BC1B43" w14:textId="1D72B87A" w:rsidR="00C04209" w:rsidRPr="005109B2" w:rsidRDefault="00C04209" w:rsidP="00C04209">
      <w:pPr>
        <w:pStyle w:val="Textonotapie"/>
        <w:ind w:firstLine="709"/>
        <w:jc w:val="both"/>
        <w:rPr>
          <w:rFonts w:ascii="Arial" w:hAnsi="Arial" w:cs="Arial"/>
          <w:sz w:val="18"/>
          <w:szCs w:val="18"/>
          <w:lang w:val="es-ES"/>
        </w:rPr>
      </w:pPr>
      <w:r w:rsidRPr="005109B2">
        <w:rPr>
          <w:rFonts w:ascii="Arial" w:hAnsi="Arial" w:cs="Arial"/>
          <w:sz w:val="18"/>
          <w:szCs w:val="18"/>
        </w:rPr>
        <w:t>[…]</w:t>
      </w:r>
      <w:r>
        <w:rPr>
          <w:rFonts w:ascii="Arial" w:hAnsi="Arial" w:cs="Arial"/>
          <w:sz w:val="18"/>
          <w:szCs w:val="18"/>
        </w:rPr>
        <w:t>”</w:t>
      </w:r>
      <w:r w:rsidRPr="005109B2">
        <w:rPr>
          <w:rFonts w:ascii="Arial" w:hAnsi="Arial" w:cs="Arial"/>
          <w:sz w:val="18"/>
          <w:szCs w:val="18"/>
        </w:rPr>
        <w:t>.</w:t>
      </w:r>
    </w:p>
  </w:footnote>
  <w:footnote w:id="13">
    <w:p w14:paraId="556E88C5" w14:textId="2735DF3F" w:rsidR="00C04209" w:rsidRPr="005109B2" w:rsidRDefault="00C04209" w:rsidP="00C04209">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 xml:space="preserve">Así lo establece el Decreto 1082 de 2015: </w:t>
      </w:r>
      <w:r>
        <w:rPr>
          <w:rFonts w:ascii="Arial" w:hAnsi="Arial" w:cs="Arial"/>
          <w:sz w:val="18"/>
          <w:szCs w:val="18"/>
          <w:lang w:val="es-ES"/>
        </w:rPr>
        <w:t>“</w:t>
      </w:r>
      <w:r w:rsidRPr="005109B2">
        <w:rPr>
          <w:rFonts w:ascii="Arial" w:hAnsi="Arial" w:cs="Arial"/>
          <w:sz w:val="18"/>
          <w:szCs w:val="18"/>
          <w:lang w:val="es-ES"/>
        </w:rPr>
        <w:t>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r>
        <w:rPr>
          <w:rFonts w:ascii="Arial" w:hAnsi="Arial" w:cs="Arial"/>
          <w:sz w:val="18"/>
          <w:szCs w:val="18"/>
          <w:lang w:val="es-ES"/>
        </w:rPr>
        <w:t>”</w:t>
      </w:r>
      <w:r w:rsidRPr="005109B2">
        <w:rPr>
          <w:rFonts w:ascii="Arial" w:hAnsi="Arial" w:cs="Arial"/>
          <w:sz w:val="18"/>
          <w:szCs w:val="18"/>
          <w:lang w:val="es-ES"/>
        </w:rPr>
        <w:t>.</w:t>
      </w:r>
    </w:p>
    <w:p w14:paraId="0C81C696" w14:textId="77777777" w:rsidR="00C04209" w:rsidRPr="005109B2" w:rsidRDefault="00C04209" w:rsidP="00C04209">
      <w:pPr>
        <w:pStyle w:val="Textonotapie"/>
        <w:ind w:firstLine="709"/>
        <w:jc w:val="both"/>
        <w:rPr>
          <w:rFonts w:ascii="Arial" w:hAnsi="Arial" w:cs="Arial"/>
          <w:sz w:val="18"/>
          <w:szCs w:val="18"/>
          <w:lang w:val="es-ES"/>
        </w:rPr>
      </w:pPr>
    </w:p>
  </w:footnote>
  <w:footnote w:id="14">
    <w:p w14:paraId="69AC13E0" w14:textId="0D75C4A0" w:rsidR="00C04209" w:rsidRPr="005109B2" w:rsidRDefault="00C04209" w:rsidP="00C04209">
      <w:pPr>
        <w:pStyle w:val="Textonotapie"/>
        <w:ind w:firstLine="709"/>
        <w:jc w:val="both"/>
        <w:rPr>
          <w:rFonts w:ascii="Arial" w:hAnsi="Arial" w:cs="Arial"/>
          <w:color w:val="000000" w:themeColor="text1"/>
          <w:sz w:val="18"/>
          <w:szCs w:val="18"/>
          <w:lang w:val="es-ES"/>
        </w:rPr>
      </w:pPr>
      <w:r w:rsidRPr="005109B2">
        <w:rPr>
          <w:rStyle w:val="Refdenotaalpie"/>
          <w:rFonts w:ascii="Arial" w:hAnsi="Arial" w:cs="Arial"/>
          <w:color w:val="000000" w:themeColor="text1"/>
          <w:sz w:val="18"/>
          <w:szCs w:val="18"/>
        </w:rPr>
        <w:footnoteRef/>
      </w:r>
      <w:r w:rsidRPr="005109B2">
        <w:rPr>
          <w:rFonts w:ascii="Arial" w:hAnsi="Arial" w:cs="Arial"/>
          <w:color w:val="000000" w:themeColor="text1"/>
          <w:sz w:val="18"/>
          <w:szCs w:val="18"/>
        </w:rPr>
        <w:t xml:space="preserve"> </w:t>
      </w:r>
      <w:r w:rsidRPr="005109B2">
        <w:rPr>
          <w:rFonts w:ascii="Arial" w:hAnsi="Arial" w:cs="Arial"/>
          <w:color w:val="000000" w:themeColor="text1"/>
          <w:sz w:val="18"/>
          <w:szCs w:val="18"/>
          <w:lang w:val="es-ES"/>
        </w:rPr>
        <w:t xml:space="preserve">El Decreto 1082 de 2015 lo establece de la siguiente manera: </w:t>
      </w:r>
      <w:r>
        <w:rPr>
          <w:rFonts w:ascii="Arial" w:hAnsi="Arial" w:cs="Arial"/>
          <w:color w:val="000000" w:themeColor="text1"/>
          <w:sz w:val="18"/>
          <w:szCs w:val="18"/>
          <w:lang w:val="es-ES"/>
        </w:rPr>
        <w:t>“</w:t>
      </w:r>
      <w:r w:rsidRPr="005109B2">
        <w:rPr>
          <w:rFonts w:ascii="Arial" w:hAnsi="Arial" w:cs="Arial"/>
          <w:color w:val="000000" w:themeColor="text1"/>
          <w:sz w:val="18"/>
          <w:szCs w:val="18"/>
          <w:lang w:val="es-ES"/>
        </w:rPr>
        <w:t>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98358BD" w14:textId="2C897FA8" w:rsidR="00C04209" w:rsidRPr="005109B2" w:rsidRDefault="00C04209" w:rsidP="00C04209">
      <w:pPr>
        <w:pStyle w:val="Textonotapie"/>
        <w:ind w:firstLine="709"/>
        <w:jc w:val="both"/>
        <w:rPr>
          <w:rFonts w:ascii="Arial" w:hAnsi="Arial" w:cs="Arial"/>
          <w:color w:val="000000" w:themeColor="text1"/>
          <w:sz w:val="18"/>
          <w:szCs w:val="18"/>
          <w:lang w:val="es-ES"/>
        </w:rPr>
      </w:pPr>
      <w:r>
        <w:rPr>
          <w:rFonts w:ascii="Arial" w:hAnsi="Arial" w:cs="Arial"/>
          <w:color w:val="000000" w:themeColor="text1"/>
          <w:sz w:val="18"/>
          <w:szCs w:val="18"/>
          <w:lang w:val="es-ES"/>
        </w:rPr>
        <w:t>“</w:t>
      </w:r>
      <w:r w:rsidRPr="005109B2">
        <w:rPr>
          <w:rFonts w:ascii="Arial" w:hAnsi="Arial" w:cs="Arial"/>
          <w:color w:val="000000" w:themeColor="text1"/>
          <w:sz w:val="18"/>
          <w:szCs w:val="18"/>
          <w:lang w:val="es-ES"/>
        </w:rPr>
        <w:t xml:space="preserve">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EEFEE67" w14:textId="7BC491D6" w:rsidR="00C04209" w:rsidRPr="005109B2" w:rsidRDefault="00C04209" w:rsidP="00C04209">
      <w:pPr>
        <w:pStyle w:val="Textonotapie"/>
        <w:ind w:firstLine="709"/>
        <w:jc w:val="both"/>
        <w:rPr>
          <w:rFonts w:ascii="Arial" w:hAnsi="Arial" w:cs="Arial"/>
          <w:color w:val="000000" w:themeColor="text1"/>
          <w:sz w:val="18"/>
          <w:szCs w:val="18"/>
          <w:lang w:val="es-ES"/>
        </w:rPr>
      </w:pPr>
      <w:r>
        <w:rPr>
          <w:rFonts w:ascii="Arial" w:hAnsi="Arial" w:cs="Arial"/>
          <w:color w:val="000000" w:themeColor="text1"/>
          <w:sz w:val="18"/>
          <w:szCs w:val="18"/>
          <w:lang w:val="es-ES"/>
        </w:rPr>
        <w:t>“</w:t>
      </w:r>
      <w:r w:rsidRPr="005109B2">
        <w:rPr>
          <w:rFonts w:ascii="Arial" w:hAnsi="Arial" w:cs="Arial"/>
          <w:color w:val="000000" w:themeColor="text1"/>
          <w:sz w:val="18"/>
          <w:szCs w:val="18"/>
          <w:lang w:val="es-ES"/>
        </w:rPr>
        <w:t xml:space="preserve"> La Entidad Estatal, para la contratación de trabajos artísticos que solamente puedan en</w:t>
      </w:r>
      <w:r w:rsidRPr="005109B2">
        <w:rPr>
          <w:rFonts w:ascii="Arial" w:hAnsi="Arial" w:cs="Arial"/>
          <w:color w:val="000000" w:themeColor="text1"/>
          <w:sz w:val="18"/>
          <w:szCs w:val="18"/>
          <w:lang w:val="es-ES"/>
        </w:rPr>
        <w:softHyphen/>
        <w:t>comendarse a determinadas personas naturales, debe justificar esta situación en los estudios y documentos previos</w:t>
      </w:r>
      <w:r>
        <w:rPr>
          <w:rFonts w:ascii="Arial" w:hAnsi="Arial" w:cs="Arial"/>
          <w:color w:val="000000" w:themeColor="text1"/>
          <w:sz w:val="18"/>
          <w:szCs w:val="18"/>
          <w:lang w:val="es-ES"/>
        </w:rPr>
        <w:t>”</w:t>
      </w:r>
      <w:r w:rsidRPr="005109B2">
        <w:rPr>
          <w:rFonts w:ascii="Arial" w:hAnsi="Arial" w:cs="Arial"/>
          <w:color w:val="000000" w:themeColor="text1"/>
          <w:sz w:val="18"/>
          <w:szCs w:val="18"/>
          <w:lang w:val="es-ES"/>
        </w:rPr>
        <w:t>.</w:t>
      </w:r>
    </w:p>
    <w:p w14:paraId="2599B18C" w14:textId="77777777" w:rsidR="00C04209" w:rsidRPr="005109B2" w:rsidRDefault="00C04209" w:rsidP="00C04209">
      <w:pPr>
        <w:pStyle w:val="Textonotapie"/>
        <w:ind w:firstLine="709"/>
        <w:jc w:val="both"/>
        <w:rPr>
          <w:rFonts w:ascii="Arial" w:hAnsi="Arial" w:cs="Arial"/>
          <w:color w:val="000000" w:themeColor="text1"/>
          <w:sz w:val="18"/>
          <w:szCs w:val="18"/>
          <w:lang w:val="es-ES"/>
        </w:rPr>
      </w:pPr>
    </w:p>
  </w:footnote>
  <w:footnote w:id="15">
    <w:p w14:paraId="143D1051" w14:textId="77777777" w:rsidR="00C04209" w:rsidRPr="005109B2" w:rsidRDefault="00C04209" w:rsidP="00C04209">
      <w:pPr>
        <w:pStyle w:val="Textonotapie"/>
        <w:ind w:firstLine="709"/>
        <w:jc w:val="both"/>
        <w:rPr>
          <w:rFonts w:ascii="Arial" w:hAnsi="Arial" w:cs="Arial"/>
          <w:color w:val="000000" w:themeColor="text1"/>
          <w:sz w:val="18"/>
          <w:szCs w:val="18"/>
          <w:lang w:val="es-ES"/>
        </w:rPr>
      </w:pPr>
      <w:r w:rsidRPr="005109B2">
        <w:rPr>
          <w:rStyle w:val="Refdenotaalpie"/>
          <w:rFonts w:ascii="Arial" w:hAnsi="Arial" w:cs="Arial"/>
          <w:color w:val="000000" w:themeColor="text1"/>
          <w:sz w:val="18"/>
          <w:szCs w:val="18"/>
        </w:rPr>
        <w:footnoteRef/>
      </w:r>
      <w:r w:rsidRPr="005109B2">
        <w:rPr>
          <w:rFonts w:ascii="Arial" w:hAnsi="Arial" w:cs="Arial"/>
          <w:color w:val="000000" w:themeColor="text1"/>
          <w:sz w:val="18"/>
          <w:szCs w:val="18"/>
        </w:rPr>
        <w:t xml:space="preserve"> </w:t>
      </w:r>
      <w:r w:rsidRPr="005109B2">
        <w:rPr>
          <w:rFonts w:ascii="Arial" w:hAnsi="Arial" w:cs="Arial"/>
          <w:color w:val="000000" w:themeColor="text1"/>
          <w:sz w:val="18"/>
          <w:szCs w:val="18"/>
          <w:lang w:val="es-ES"/>
        </w:rPr>
        <w:t>CONSEJO DE ESTADO. Sección Tercera. Subsección C. Sentencia de Unificación del 2 de diciembre de 2013. Exp. 41.719. C.P. Jaime Orlando Santofimio Gamboa.</w:t>
      </w:r>
    </w:p>
    <w:p w14:paraId="05A7BFB5" w14:textId="77777777" w:rsidR="00C04209" w:rsidRPr="005109B2" w:rsidRDefault="00C04209" w:rsidP="00C04209">
      <w:pPr>
        <w:pStyle w:val="Textonotapie"/>
        <w:ind w:firstLine="709"/>
        <w:jc w:val="both"/>
        <w:rPr>
          <w:rFonts w:ascii="Arial" w:hAnsi="Arial" w:cs="Arial"/>
          <w:color w:val="000000" w:themeColor="text1"/>
          <w:sz w:val="18"/>
          <w:szCs w:val="18"/>
          <w:lang w:val="es-ES"/>
        </w:rPr>
      </w:pPr>
    </w:p>
  </w:footnote>
  <w:footnote w:id="16">
    <w:p w14:paraId="0F7232C9" w14:textId="77777777" w:rsidR="00C04209" w:rsidRPr="005109B2" w:rsidRDefault="00C04209" w:rsidP="00C04209">
      <w:pPr>
        <w:pStyle w:val="Textonotapie"/>
        <w:ind w:firstLine="709"/>
        <w:jc w:val="both"/>
        <w:rPr>
          <w:rFonts w:ascii="Arial" w:hAnsi="Arial" w:cs="Arial"/>
          <w:color w:val="000000" w:themeColor="text1"/>
          <w:sz w:val="18"/>
          <w:szCs w:val="18"/>
          <w:lang w:val="es-ES"/>
        </w:rPr>
      </w:pPr>
      <w:r w:rsidRPr="005109B2">
        <w:rPr>
          <w:rStyle w:val="Refdenotaalpie"/>
          <w:rFonts w:ascii="Arial" w:hAnsi="Arial" w:cs="Arial"/>
          <w:color w:val="000000" w:themeColor="text1"/>
          <w:sz w:val="18"/>
          <w:szCs w:val="18"/>
        </w:rPr>
        <w:footnoteRef/>
      </w:r>
      <w:r w:rsidRPr="005109B2">
        <w:rPr>
          <w:rFonts w:ascii="Arial" w:hAnsi="Arial" w:cs="Arial"/>
          <w:color w:val="000000" w:themeColor="text1"/>
          <w:sz w:val="18"/>
          <w:szCs w:val="18"/>
        </w:rPr>
        <w:t xml:space="preserve"> </w:t>
      </w:r>
      <w:r w:rsidRPr="005109B2">
        <w:rPr>
          <w:rFonts w:ascii="Arial" w:hAnsi="Arial" w:cs="Arial"/>
          <w:i/>
          <w:iCs/>
          <w:color w:val="000000" w:themeColor="text1"/>
          <w:sz w:val="18"/>
          <w:szCs w:val="18"/>
          <w:lang w:val="es-ES"/>
        </w:rPr>
        <w:t>Ibíd</w:t>
      </w:r>
      <w:r w:rsidRPr="005109B2">
        <w:rPr>
          <w:rFonts w:ascii="Arial" w:hAnsi="Arial" w:cs="Arial"/>
          <w:color w:val="000000" w:themeColor="text1"/>
          <w:sz w:val="18"/>
          <w:szCs w:val="18"/>
          <w:lang w:val="es-ES"/>
        </w:rPr>
        <w:t>.</w:t>
      </w:r>
    </w:p>
    <w:p w14:paraId="2B130D0E" w14:textId="77777777" w:rsidR="00C04209" w:rsidRPr="005109B2" w:rsidRDefault="00C04209" w:rsidP="00C04209">
      <w:pPr>
        <w:pStyle w:val="Textonotapie"/>
        <w:ind w:firstLine="709"/>
        <w:jc w:val="both"/>
        <w:rPr>
          <w:rFonts w:ascii="Arial" w:hAnsi="Arial" w:cs="Arial"/>
          <w:color w:val="000000" w:themeColor="text1"/>
          <w:sz w:val="18"/>
          <w:szCs w:val="18"/>
          <w:lang w:val="es-ES"/>
        </w:rPr>
      </w:pPr>
    </w:p>
  </w:footnote>
  <w:footnote w:id="17">
    <w:p w14:paraId="14E8A93B" w14:textId="77777777" w:rsidR="00C04209" w:rsidRPr="005109B2" w:rsidRDefault="00C04209" w:rsidP="00C04209">
      <w:pPr>
        <w:pStyle w:val="Textonotapie"/>
        <w:rPr>
          <w:rFonts w:ascii="Arial" w:hAnsi="Arial" w:cs="Arial"/>
          <w:sz w:val="18"/>
          <w:szCs w:val="18"/>
          <w:lang w:val="es-CO"/>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CO"/>
        </w:rPr>
        <w:t>Corte Constitucional. M.P. Fabio Morón Díaz, en sentencia del 10 de julio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15"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23"/>
  </w:num>
  <w:num w:numId="3" w16cid:durableId="1595672007">
    <w:abstractNumId w:val="18"/>
  </w:num>
  <w:num w:numId="4" w16cid:durableId="1944533281">
    <w:abstractNumId w:val="10"/>
  </w:num>
  <w:num w:numId="5" w16cid:durableId="2081175712">
    <w:abstractNumId w:val="5"/>
  </w:num>
  <w:num w:numId="6" w16cid:durableId="1584220838">
    <w:abstractNumId w:val="1"/>
  </w:num>
  <w:num w:numId="7" w16cid:durableId="1890258578">
    <w:abstractNumId w:val="15"/>
  </w:num>
  <w:num w:numId="8" w16cid:durableId="1250309436">
    <w:abstractNumId w:val="25"/>
  </w:num>
  <w:num w:numId="9" w16cid:durableId="170149205">
    <w:abstractNumId w:val="3"/>
  </w:num>
  <w:num w:numId="10" w16cid:durableId="121771703">
    <w:abstractNumId w:val="14"/>
  </w:num>
  <w:num w:numId="11" w16cid:durableId="679089576">
    <w:abstractNumId w:val="11"/>
  </w:num>
  <w:num w:numId="12" w16cid:durableId="1597637299">
    <w:abstractNumId w:val="12"/>
  </w:num>
  <w:num w:numId="13" w16cid:durableId="1197356270">
    <w:abstractNumId w:val="16"/>
  </w:num>
  <w:num w:numId="14" w16cid:durableId="1422145251">
    <w:abstractNumId w:val="24"/>
  </w:num>
  <w:num w:numId="15" w16cid:durableId="868641893">
    <w:abstractNumId w:val="21"/>
  </w:num>
  <w:num w:numId="16" w16cid:durableId="202593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9"/>
  </w:num>
  <w:num w:numId="18" w16cid:durableId="1933977330">
    <w:abstractNumId w:val="6"/>
  </w:num>
  <w:num w:numId="19" w16cid:durableId="597564065">
    <w:abstractNumId w:val="13"/>
  </w:num>
  <w:num w:numId="20" w16cid:durableId="1058745687">
    <w:abstractNumId w:val="8"/>
  </w:num>
  <w:num w:numId="21" w16cid:durableId="1228223862">
    <w:abstractNumId w:val="7"/>
  </w:num>
  <w:num w:numId="22" w16cid:durableId="606429298">
    <w:abstractNumId w:val="17"/>
  </w:num>
  <w:num w:numId="23" w16cid:durableId="19822139">
    <w:abstractNumId w:val="2"/>
  </w:num>
  <w:num w:numId="24" w16cid:durableId="66534376">
    <w:abstractNumId w:val="22"/>
  </w:num>
  <w:num w:numId="25" w16cid:durableId="1721511704">
    <w:abstractNumId w:val="19"/>
  </w:num>
  <w:num w:numId="26" w16cid:durableId="1912307450">
    <w:abstractNumId w:val="4"/>
  </w:num>
  <w:num w:numId="27" w16cid:durableId="11471678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92DB6"/>
    <w:rsid w:val="000E2148"/>
    <w:rsid w:val="000E561E"/>
    <w:rsid w:val="000E7508"/>
    <w:rsid w:val="001E544D"/>
    <w:rsid w:val="001F7599"/>
    <w:rsid w:val="00207A26"/>
    <w:rsid w:val="002A7290"/>
    <w:rsid w:val="002D2553"/>
    <w:rsid w:val="00312E96"/>
    <w:rsid w:val="00553F39"/>
    <w:rsid w:val="00555176"/>
    <w:rsid w:val="005A5AFA"/>
    <w:rsid w:val="005E0B8B"/>
    <w:rsid w:val="005F4E4C"/>
    <w:rsid w:val="00620BE1"/>
    <w:rsid w:val="006649D6"/>
    <w:rsid w:val="00687F9B"/>
    <w:rsid w:val="006D24E7"/>
    <w:rsid w:val="006F77A6"/>
    <w:rsid w:val="00706CD2"/>
    <w:rsid w:val="00763F15"/>
    <w:rsid w:val="007D5FE7"/>
    <w:rsid w:val="007E0D51"/>
    <w:rsid w:val="00893CDE"/>
    <w:rsid w:val="00900AD7"/>
    <w:rsid w:val="0090156A"/>
    <w:rsid w:val="0098651C"/>
    <w:rsid w:val="009C4900"/>
    <w:rsid w:val="009F5FB8"/>
    <w:rsid w:val="00A33752"/>
    <w:rsid w:val="00A62278"/>
    <w:rsid w:val="00A97EC1"/>
    <w:rsid w:val="00A97F09"/>
    <w:rsid w:val="00AB4464"/>
    <w:rsid w:val="00AB64A5"/>
    <w:rsid w:val="00AC79D3"/>
    <w:rsid w:val="00C00C41"/>
    <w:rsid w:val="00C01E35"/>
    <w:rsid w:val="00C04209"/>
    <w:rsid w:val="00CC1D5B"/>
    <w:rsid w:val="00CD258B"/>
    <w:rsid w:val="00E01F5A"/>
    <w:rsid w:val="00E100F3"/>
    <w:rsid w:val="00E51C9B"/>
    <w:rsid w:val="00E5732A"/>
    <w:rsid w:val="00F02EBB"/>
    <w:rsid w:val="00FB6216"/>
    <w:rsid w:val="00FC3EC1"/>
    <w:rsid w:val="00FE6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 w:type="character" w:customStyle="1" w:styleId="eop">
    <w:name w:val="eop"/>
    <w:basedOn w:val="Fuentedeprrafopredeter"/>
    <w:rsid w:val="00C04209"/>
  </w:style>
  <w:style w:type="character" w:styleId="Hipervnculovisitado">
    <w:name w:val="FollowedHyperlink"/>
    <w:basedOn w:val="Fuentedeprrafopredeter"/>
    <w:uiPriority w:val="99"/>
    <w:semiHidden/>
    <w:unhideWhenUsed/>
    <w:rsid w:val="00A97F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formato-unico-de-hoja-de-vida-persona-natural"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cionpublica.gov.co/formato-unico-de-hoja-de-vida-persona-natura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customXml/itemProps2.xml><?xml version="1.0" encoding="utf-8"?>
<ds:datastoreItem xmlns:ds="http://schemas.openxmlformats.org/officeDocument/2006/customXml" ds:itemID="{5F73F4E9-EE1B-4C6B-A407-FF4112A9A1A4}"/>
</file>

<file path=customXml/itemProps3.xml><?xml version="1.0" encoding="utf-8"?>
<ds:datastoreItem xmlns:ds="http://schemas.openxmlformats.org/officeDocument/2006/customXml" ds:itemID="{6F271AC9-51EC-4AD8-9187-23469A586349}"/>
</file>

<file path=customXml/itemProps4.xml><?xml version="1.0" encoding="utf-8"?>
<ds:datastoreItem xmlns:ds="http://schemas.openxmlformats.org/officeDocument/2006/customXml" ds:itemID="{E358836A-B75B-47C4-AF26-A6A7F7DE23B0}"/>
</file>

<file path=docProps/app.xml><?xml version="1.0" encoding="utf-8"?>
<Properties xmlns="http://schemas.openxmlformats.org/officeDocument/2006/extended-properties" xmlns:vt="http://schemas.openxmlformats.org/officeDocument/2006/docPropsVTypes">
  <Template>Normal.dotm</Template>
  <TotalTime>2</TotalTime>
  <Pages>19</Pages>
  <Words>5220</Words>
  <Characters>28715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3</cp:revision>
  <dcterms:created xsi:type="dcterms:W3CDTF">2024-10-23T20:47:00Z</dcterms:created>
  <dcterms:modified xsi:type="dcterms:W3CDTF">2024-10-31T03:13:00Z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