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E678D" w14:textId="77777777" w:rsidR="00491677" w:rsidRPr="00491677" w:rsidRDefault="00491677">
      <w:pPr>
        <w:rPr>
          <w:rFonts w:ascii="Verdana" w:hAnsi="Verdana"/>
          <w:b/>
          <w:lang w:val="es-ES_tradnl"/>
        </w:rPr>
      </w:pPr>
      <w:bookmarkStart w:id="0" w:name="_Hlk143780582"/>
      <w:r w:rsidRPr="00491677">
        <w:rPr>
          <w:rFonts w:ascii="Verdana" w:hAnsi="Verdana"/>
          <w:b/>
          <w:lang w:val="es-ES_tradnl"/>
        </w:rPr>
        <w:t>CONTRATOS CON ESAL – Constitución – Artículo 355 – Fundament</w:t>
      </w:r>
      <w:r w:rsidRPr="00491677">
        <w:rPr>
          <w:rFonts w:ascii="Verdana" w:hAnsi="Verdana"/>
          <w:b/>
          <w:lang w:val="es-ES_tradnl"/>
        </w:rPr>
        <w:t>o</w:t>
      </w:r>
    </w:p>
    <w:p w14:paraId="67C61F47" w14:textId="36721DDD" w:rsidR="00491677" w:rsidRPr="00203A07" w:rsidRDefault="00203A07" w:rsidP="00203A07">
      <w:pPr>
        <w:jc w:val="both"/>
        <w:rPr>
          <w:rFonts w:ascii="Verdana" w:hAnsi="Verdana"/>
          <w:bCs/>
          <w:sz w:val="20"/>
          <w:szCs w:val="20"/>
          <w:lang w:val="es-ES_tradnl"/>
        </w:rPr>
      </w:pPr>
      <w:r w:rsidRPr="00203A07">
        <w:rPr>
          <w:rFonts w:ascii="Verdana" w:eastAsia="Calibri" w:hAnsi="Verdana" w:cs="Arial"/>
          <w:color w:val="000000" w:themeColor="text1"/>
          <w:sz w:val="20"/>
          <w:szCs w:val="20"/>
          <w:lang w:val="es-E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-ESAL-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w:t>
      </w:r>
      <w:r>
        <w:rPr>
          <w:rFonts w:ascii="Verdana" w:eastAsia="Calibri" w:hAnsi="Verdana" w:cs="Arial"/>
          <w:color w:val="000000" w:themeColor="text1"/>
          <w:sz w:val="20"/>
          <w:szCs w:val="20"/>
          <w:lang w:val="es-ES"/>
        </w:rPr>
        <w:t>.</w:t>
      </w:r>
    </w:p>
    <w:p w14:paraId="66BD02B5" w14:textId="77777777" w:rsidR="00491677" w:rsidRDefault="00491677">
      <w:pPr>
        <w:rPr>
          <w:rFonts w:ascii="Verdana" w:hAnsi="Verdana"/>
          <w:bCs/>
          <w:lang w:val="es-ES_tradnl"/>
        </w:rPr>
      </w:pPr>
    </w:p>
    <w:p w14:paraId="69CAD113" w14:textId="548EF54F" w:rsidR="00491677" w:rsidRPr="00491677" w:rsidRDefault="00491677">
      <w:pPr>
        <w:rPr>
          <w:rFonts w:ascii="Verdana" w:hAnsi="Verdana"/>
          <w:b/>
          <w:lang w:val="es-ES_tradnl"/>
        </w:rPr>
      </w:pPr>
      <w:r w:rsidRPr="00491677">
        <w:rPr>
          <w:rFonts w:ascii="Verdana" w:hAnsi="Verdana"/>
          <w:b/>
          <w:lang w:val="es-ES_tradnl"/>
        </w:rPr>
        <w:t>TIPOS DE CONTRATOS – ESAL – Constitución Política – Artículo 355 – Ley 489 – Artículo 96</w:t>
      </w:r>
    </w:p>
    <w:p w14:paraId="031E47CF" w14:textId="1E3D9C3A" w:rsidR="00491677" w:rsidRPr="00203A07" w:rsidRDefault="00203A07" w:rsidP="00203A07">
      <w:pPr>
        <w:jc w:val="both"/>
        <w:rPr>
          <w:rFonts w:ascii="Verdana" w:hAnsi="Verdana"/>
          <w:bCs/>
          <w:sz w:val="20"/>
          <w:szCs w:val="20"/>
          <w:lang w:val="es-ES_tradnl"/>
        </w:rPr>
      </w:pPr>
      <w:r w:rsidRPr="00203A07">
        <w:rPr>
          <w:rFonts w:ascii="Verdana" w:eastAsia="Calibri" w:hAnsi="Verdana" w:cs="Arial"/>
          <w:color w:val="000000" w:themeColor="text1"/>
          <w:sz w:val="20"/>
          <w:szCs w:val="20"/>
          <w:lang w:val="es-ES"/>
        </w:rPr>
        <w:t xml:space="preserve">El Decreto 092 de 2017 dispone reglas para las contrataciones que realicen las entidades estatales con las ESAL. Para estos efectos regula dos (2) eventos: i) los contratos del artículo 355 de la Constitución Política con el fin impulsar programas y actividades de interés público de acuerdo con el Plan Nacional o los planes seccionales de desarrollo; y </w:t>
      </w:r>
      <w:proofErr w:type="spellStart"/>
      <w:r w:rsidRPr="00203A07">
        <w:rPr>
          <w:rFonts w:ascii="Verdana" w:eastAsia="Calibri" w:hAnsi="Verdana" w:cs="Arial"/>
          <w:color w:val="000000" w:themeColor="text1"/>
          <w:sz w:val="20"/>
          <w:szCs w:val="20"/>
          <w:lang w:val="es-ES"/>
        </w:rPr>
        <w:t>ii</w:t>
      </w:r>
      <w:proofErr w:type="spellEnd"/>
      <w:r w:rsidRPr="00203A07">
        <w:rPr>
          <w:rFonts w:ascii="Verdana" w:eastAsia="Calibri" w:hAnsi="Verdana" w:cs="Arial"/>
          <w:color w:val="000000" w:themeColor="text1"/>
          <w:sz w:val="20"/>
          <w:szCs w:val="20"/>
          <w:lang w:val="es-ES"/>
        </w:rPr>
        <w:t>) los convenios de asociación, para el desarrollo conjunto de actividades relacionadas con las funciones de las entidades estatales, en desarrollo del artículo 96 de la Ley 489 de 1998</w:t>
      </w:r>
      <w:r w:rsidRPr="00203A07">
        <w:rPr>
          <w:rFonts w:ascii="Verdana" w:eastAsia="Calibri" w:hAnsi="Verdana" w:cs="Arial"/>
          <w:color w:val="000000" w:themeColor="text1"/>
          <w:sz w:val="20"/>
          <w:szCs w:val="20"/>
          <w:lang w:val="es-ES"/>
        </w:rPr>
        <w:t>.</w:t>
      </w:r>
    </w:p>
    <w:p w14:paraId="41C868CD" w14:textId="77777777" w:rsidR="00203A07" w:rsidRDefault="00203A07">
      <w:pPr>
        <w:rPr>
          <w:rFonts w:ascii="Verdana" w:hAnsi="Verdana"/>
          <w:b/>
          <w:lang w:val="es-ES_tradnl"/>
        </w:rPr>
      </w:pPr>
    </w:p>
    <w:p w14:paraId="788D0CB9" w14:textId="77777777" w:rsidR="00203A07" w:rsidRDefault="00491677">
      <w:pPr>
        <w:rPr>
          <w:rFonts w:ascii="Verdana" w:hAnsi="Verdana"/>
          <w:b/>
          <w:lang w:val="es-ES_tradnl"/>
        </w:rPr>
      </w:pPr>
      <w:r w:rsidRPr="00491677">
        <w:rPr>
          <w:rFonts w:ascii="Verdana" w:hAnsi="Verdana"/>
          <w:b/>
          <w:lang w:val="es-ES_tradnl"/>
        </w:rPr>
        <w:t>ACTO ADMINISTRATIVO JUSTIFICACIÓN CONTRATACIÓN DIRECTA- Fundamento</w:t>
      </w:r>
    </w:p>
    <w:p w14:paraId="66198503" w14:textId="2C32DDC2" w:rsidR="00491677" w:rsidRPr="00491677" w:rsidRDefault="00203A07" w:rsidP="00203A07">
      <w:pPr>
        <w:jc w:val="both"/>
        <w:rPr>
          <w:rFonts w:ascii="Verdana" w:eastAsia="Calibri" w:hAnsi="Verdana" w:cs="Times New Roman"/>
          <w:b/>
        </w:rPr>
      </w:pPr>
      <w:r w:rsidRPr="00203A07">
        <w:rPr>
          <w:rFonts w:ascii="Verdana" w:eastAsia="Times New Roman" w:hAnsi="Verdana" w:cs="Arial"/>
          <w:sz w:val="20"/>
          <w:szCs w:val="20"/>
          <w:lang w:eastAsia="es-ES"/>
        </w:rPr>
        <w:t>se evidencia que el acto administrativo de justificación de contratación directa deberá ser expedido para llevar a cabo la celebración de contratos en atención a la modalidad de contratación establecida en el numeral 4 del artículo 2 de la Ley 1150 de 2007, excepto para los contratos de prestación de servicios profesionales y de apoyo a la gestión, los contratos de empréstito y los contratos interadministrativos que celebre el Ministerio de Hacienda y Crédito Público con el Banco de la República</w:t>
      </w:r>
      <w:r w:rsidRPr="00203A07">
        <w:rPr>
          <w:rFonts w:ascii="Verdana" w:eastAsia="Times New Roman" w:hAnsi="Verdana" w:cs="Arial"/>
          <w:sz w:val="20"/>
          <w:szCs w:val="20"/>
          <w:lang w:eastAsia="es-ES"/>
        </w:rPr>
        <w:t>.</w:t>
      </w:r>
      <w:r w:rsidR="00491677" w:rsidRPr="00491677">
        <w:rPr>
          <w:rFonts w:ascii="Verdana" w:eastAsia="Calibri" w:hAnsi="Verdana" w:cs="Times New Roman"/>
          <w:b/>
        </w:rPr>
        <w:br w:type="page"/>
      </w:r>
    </w:p>
    <w:p w14:paraId="5C5D14D1" w14:textId="5EFB347D" w:rsidR="00AB23A8" w:rsidRPr="00137F70" w:rsidRDefault="00AB23A8" w:rsidP="00AB23A8">
      <w:pPr>
        <w:spacing w:after="0" w:line="256" w:lineRule="auto"/>
        <w:rPr>
          <w:rFonts w:ascii="Verdana" w:eastAsia="Calibri" w:hAnsi="Verdana" w:cs="Times New Roman"/>
        </w:rPr>
      </w:pPr>
      <w:r w:rsidRPr="00137F70">
        <w:rPr>
          <w:rFonts w:ascii="Verdana" w:eastAsia="Calibri" w:hAnsi="Verdana" w:cs="Times New Roman"/>
        </w:rPr>
        <w:lastRenderedPageBreak/>
        <w:t xml:space="preserve">Bogotá D.C., </w:t>
      </w:r>
      <w:r w:rsidR="00491677">
        <w:rPr>
          <w:rFonts w:ascii="Verdana" w:eastAsia="Calibri" w:hAnsi="Verdana" w:cs="Times New Roman"/>
        </w:rPr>
        <w:t xml:space="preserve">18 de </w:t>
      </w:r>
      <w:proofErr w:type="gramStart"/>
      <w:r w:rsidR="00491677">
        <w:rPr>
          <w:rFonts w:ascii="Verdana" w:eastAsia="Calibri" w:hAnsi="Verdana" w:cs="Times New Roman"/>
        </w:rPr>
        <w:t>Octubre</w:t>
      </w:r>
      <w:proofErr w:type="gramEnd"/>
      <w:r w:rsidR="00491677">
        <w:rPr>
          <w:rFonts w:ascii="Verdana" w:eastAsia="Calibri" w:hAnsi="Verdana" w:cs="Times New Roman"/>
        </w:rPr>
        <w:t xml:space="preserve"> de 2024</w:t>
      </w:r>
      <w:r>
        <w:tab/>
      </w:r>
    </w:p>
    <w:p w14:paraId="79F47D19" w14:textId="631A5B7B" w:rsidR="00AB23A8" w:rsidRPr="00137F70" w:rsidRDefault="00491677" w:rsidP="00491677">
      <w:pPr>
        <w:spacing w:after="0" w:line="256" w:lineRule="auto"/>
        <w:jc w:val="right"/>
        <w:rPr>
          <w:rFonts w:ascii="Verdana" w:eastAsia="Calibri" w:hAnsi="Verdana" w:cs="Times New Roman"/>
        </w:rPr>
      </w:pPr>
      <w:r w:rsidRPr="00491677">
        <w:rPr>
          <w:rFonts w:ascii="Verdana" w:eastAsia="Calibri" w:hAnsi="Verdana" w:cs="Times New Roman"/>
        </w:rPr>
        <w:drawing>
          <wp:inline distT="0" distB="0" distL="0" distR="0" wp14:anchorId="05347BA4" wp14:editId="1D57E9D7">
            <wp:extent cx="2690601" cy="701896"/>
            <wp:effectExtent l="0" t="0" r="0" b="3175"/>
            <wp:docPr id="7933324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32408" name=""/>
                    <pic:cNvPicPr/>
                  </pic:nvPicPr>
                  <pic:blipFill>
                    <a:blip r:embed="rId11"/>
                    <a:stretch>
                      <a:fillRect/>
                    </a:stretch>
                  </pic:blipFill>
                  <pic:spPr>
                    <a:xfrm>
                      <a:off x="0" y="0"/>
                      <a:ext cx="2696576" cy="703455"/>
                    </a:xfrm>
                    <a:prstGeom prst="rect">
                      <a:avLst/>
                    </a:prstGeom>
                  </pic:spPr>
                </pic:pic>
              </a:graphicData>
            </a:graphic>
          </wp:inline>
        </w:drawing>
      </w:r>
    </w:p>
    <w:p w14:paraId="33702CDB" w14:textId="13429C59" w:rsidR="00AB23A8" w:rsidRPr="00137F70" w:rsidRDefault="00AB23A8" w:rsidP="00AB23A8">
      <w:pPr>
        <w:spacing w:after="0" w:line="256" w:lineRule="auto"/>
        <w:rPr>
          <w:rFonts w:ascii="Verdana" w:eastAsia="Calibri" w:hAnsi="Verdana" w:cs="Times New Roman"/>
          <w:lang w:val="es-MX"/>
        </w:rPr>
      </w:pPr>
      <w:r w:rsidRPr="00137F70">
        <w:rPr>
          <w:rFonts w:ascii="Verdana" w:eastAsia="Calibri" w:hAnsi="Verdana" w:cs="Times New Roman"/>
          <w:lang w:val="es-MX"/>
        </w:rPr>
        <w:t>Señora</w:t>
      </w:r>
    </w:p>
    <w:p w14:paraId="3B94424B" w14:textId="75D19983" w:rsidR="00AB23A8" w:rsidRPr="00137F70" w:rsidRDefault="00AB23A8" w:rsidP="00AB23A8">
      <w:pPr>
        <w:spacing w:after="0" w:line="256" w:lineRule="auto"/>
        <w:rPr>
          <w:rFonts w:ascii="Verdana" w:eastAsia="Calibri" w:hAnsi="Verdana" w:cs="Times New Roman"/>
          <w:b/>
        </w:rPr>
      </w:pPr>
      <w:r w:rsidRPr="00137F70">
        <w:rPr>
          <w:rFonts w:ascii="Verdana" w:eastAsia="Calibri" w:hAnsi="Verdana" w:cs="Times New Roman"/>
          <w:b/>
        </w:rPr>
        <w:t>Diana Carolina Beltrán Herrera</w:t>
      </w:r>
    </w:p>
    <w:p w14:paraId="5A1E4031" w14:textId="3DE25A23" w:rsidR="00AB23A8" w:rsidRPr="00137F70" w:rsidRDefault="00AB23A8" w:rsidP="00AB23A8">
      <w:pPr>
        <w:spacing w:after="0" w:line="256" w:lineRule="auto"/>
        <w:rPr>
          <w:rFonts w:ascii="Verdana" w:hAnsi="Verdana"/>
        </w:rPr>
      </w:pPr>
      <w:hyperlink r:id="rId12" w:history="1">
        <w:r w:rsidRPr="00137F70">
          <w:rPr>
            <w:rStyle w:val="Hipervnculo"/>
            <w:rFonts w:ascii="Verdana" w:hAnsi="Verdana"/>
          </w:rPr>
          <w:t>diana.carolina9229@gmail.com</w:t>
        </w:r>
      </w:hyperlink>
    </w:p>
    <w:p w14:paraId="5913A28B" w14:textId="5F51A470" w:rsidR="00AB23A8" w:rsidRPr="00137F70" w:rsidRDefault="00AB23A8" w:rsidP="00AB23A8">
      <w:pPr>
        <w:spacing w:after="0" w:line="256" w:lineRule="auto"/>
        <w:rPr>
          <w:rFonts w:ascii="Verdana" w:eastAsia="Calibri" w:hAnsi="Verdana" w:cs="Times New Roman"/>
        </w:rPr>
      </w:pPr>
      <w:r w:rsidRPr="00137F70">
        <w:rPr>
          <w:rFonts w:ascii="Verdana" w:eastAsia="Calibri" w:hAnsi="Verdana" w:cs="Times New Roman"/>
        </w:rPr>
        <w:t>Bogotá D.C</w:t>
      </w:r>
    </w:p>
    <w:p w14:paraId="614FA1A9" w14:textId="77777777" w:rsidR="00AB23A8" w:rsidRPr="00137F70" w:rsidRDefault="00AB23A8" w:rsidP="00AB23A8">
      <w:pPr>
        <w:spacing w:after="0" w:line="256" w:lineRule="auto"/>
        <w:rPr>
          <w:rFonts w:ascii="Verdana" w:eastAsia="Calibri" w:hAnsi="Verdana" w:cs="Times New Roman"/>
        </w:rPr>
      </w:pPr>
    </w:p>
    <w:p w14:paraId="46F9B134" w14:textId="19B1ADF2" w:rsidR="00AB23A8" w:rsidRPr="00137F70" w:rsidRDefault="00AB23A8" w:rsidP="00AB23A8">
      <w:pPr>
        <w:spacing w:after="0" w:line="256" w:lineRule="auto"/>
        <w:ind w:left="2124" w:firstLine="708"/>
        <w:rPr>
          <w:rFonts w:ascii="Verdana" w:eastAsia="Calibri" w:hAnsi="Verdana" w:cs="Times New Roman"/>
          <w:b/>
          <w:bCs/>
          <w:lang w:val="es-ES"/>
        </w:rPr>
      </w:pPr>
      <w:r w:rsidRPr="00137F70">
        <w:rPr>
          <w:rFonts w:ascii="Verdana" w:eastAsia="Calibri" w:hAnsi="Verdana" w:cs="Times New Roman"/>
          <w:b/>
          <w:bCs/>
          <w:lang w:val="es-ES"/>
        </w:rPr>
        <w:t>Concepto C–590 de 2024</w:t>
      </w:r>
    </w:p>
    <w:p w14:paraId="740FE570" w14:textId="77777777" w:rsidR="00AB23A8" w:rsidRPr="00137F70" w:rsidRDefault="00AB23A8" w:rsidP="00AB23A8">
      <w:pPr>
        <w:spacing w:after="0" w:line="256" w:lineRule="auto"/>
        <w:rPr>
          <w:rFonts w:ascii="Verdana" w:eastAsia="Calibri" w:hAnsi="Verdana" w:cs="Times New Roman"/>
          <w:lang w:val="es-ES_tradnl"/>
        </w:rPr>
      </w:pPr>
    </w:p>
    <w:tbl>
      <w:tblPr>
        <w:tblStyle w:val="Tablaconcuadrcula1"/>
        <w:tblW w:w="151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AB23A8" w:rsidRPr="00137F70" w14:paraId="05FDC0A3" w14:textId="77777777" w:rsidTr="00221FF9">
        <w:trPr>
          <w:trHeight w:val="884"/>
        </w:trPr>
        <w:tc>
          <w:tcPr>
            <w:tcW w:w="2685" w:type="dxa"/>
            <w:hideMark/>
          </w:tcPr>
          <w:p w14:paraId="20E1F9D1" w14:textId="77777777" w:rsidR="00AB23A8" w:rsidRPr="00137F70" w:rsidRDefault="00AB23A8" w:rsidP="00221FF9">
            <w:pPr>
              <w:spacing w:line="256" w:lineRule="auto"/>
              <w:rPr>
                <w:rFonts w:ascii="Verdana" w:hAnsi="Verdana"/>
                <w:lang w:val="es-ES_tradnl"/>
              </w:rPr>
            </w:pPr>
            <w:r w:rsidRPr="00137F70">
              <w:rPr>
                <w:rFonts w:ascii="Verdana" w:hAnsi="Verdana"/>
                <w:lang w:val="es-ES_tradnl"/>
              </w:rPr>
              <w:t xml:space="preserve">Temas:                   </w:t>
            </w:r>
          </w:p>
        </w:tc>
        <w:tc>
          <w:tcPr>
            <w:tcW w:w="6241" w:type="dxa"/>
            <w:hideMark/>
          </w:tcPr>
          <w:p w14:paraId="183991C8" w14:textId="62F588CD" w:rsidR="00AB23A8" w:rsidRPr="00137F70" w:rsidRDefault="0098151F" w:rsidP="00221FF9">
            <w:pPr>
              <w:spacing w:line="256" w:lineRule="auto"/>
              <w:jc w:val="both"/>
              <w:rPr>
                <w:rFonts w:ascii="Verdana" w:hAnsi="Verdana"/>
              </w:rPr>
            </w:pPr>
            <w:r w:rsidRPr="00137F70">
              <w:rPr>
                <w:rFonts w:ascii="Verdana" w:hAnsi="Verdana"/>
                <w:bCs/>
                <w:lang w:val="es-ES_tradnl"/>
              </w:rPr>
              <w:t>CONTRATOS CON ESAL – Constitución – Artículo 355 – Fundamento/</w:t>
            </w:r>
            <w:r w:rsidRPr="00137F70">
              <w:rPr>
                <w:rFonts w:ascii="Verdana" w:hAnsi="Verdana"/>
              </w:rPr>
              <w:t xml:space="preserve"> </w:t>
            </w:r>
            <w:r w:rsidRPr="00137F70">
              <w:rPr>
                <w:rFonts w:ascii="Verdana" w:hAnsi="Verdana"/>
                <w:bCs/>
                <w:lang w:val="es-ES_tradnl"/>
              </w:rPr>
              <w:t>TIPOS DE CONTRATOS – ESAL – Constitución Política – Artículo 355 – Ley 489 – Artículo 96/ACTO ADMINISTRATIVO JUSTIFICACIÓN CONTRATACIÓN DIRECTA- Fundamento</w:t>
            </w:r>
          </w:p>
        </w:tc>
        <w:tc>
          <w:tcPr>
            <w:tcW w:w="6237" w:type="dxa"/>
          </w:tcPr>
          <w:p w14:paraId="739A6ABD" w14:textId="77777777" w:rsidR="00AB23A8" w:rsidRPr="00137F70" w:rsidRDefault="00AB23A8" w:rsidP="00221FF9">
            <w:pPr>
              <w:spacing w:line="256" w:lineRule="auto"/>
              <w:rPr>
                <w:rFonts w:ascii="Verdana" w:hAnsi="Verdana"/>
                <w:lang w:val="es-ES"/>
              </w:rPr>
            </w:pPr>
          </w:p>
        </w:tc>
      </w:tr>
      <w:tr w:rsidR="00AB23A8" w:rsidRPr="00137F70" w14:paraId="29E4FB1B" w14:textId="77777777" w:rsidTr="00221FF9">
        <w:tc>
          <w:tcPr>
            <w:tcW w:w="2685" w:type="dxa"/>
          </w:tcPr>
          <w:p w14:paraId="72D3D6F2" w14:textId="77777777" w:rsidR="00AB23A8" w:rsidRPr="00137F70" w:rsidRDefault="00AB23A8" w:rsidP="00221FF9">
            <w:pPr>
              <w:spacing w:line="256" w:lineRule="auto"/>
              <w:rPr>
                <w:rFonts w:ascii="Verdana" w:hAnsi="Verdana"/>
                <w:lang w:val="es-ES_tradnl"/>
              </w:rPr>
            </w:pPr>
          </w:p>
          <w:p w14:paraId="43EA08C9" w14:textId="77777777" w:rsidR="00AB23A8" w:rsidRPr="00137F70" w:rsidRDefault="00AB23A8" w:rsidP="00221FF9">
            <w:pPr>
              <w:spacing w:line="256" w:lineRule="auto"/>
              <w:rPr>
                <w:rFonts w:ascii="Verdana" w:hAnsi="Verdana"/>
                <w:lang w:val="es-ES_tradnl"/>
              </w:rPr>
            </w:pPr>
            <w:r w:rsidRPr="00137F70">
              <w:rPr>
                <w:rFonts w:ascii="Verdana" w:hAnsi="Verdana"/>
                <w:lang w:val="es-ES_tradnl"/>
              </w:rPr>
              <w:t xml:space="preserve">Radicación:               </w:t>
            </w:r>
          </w:p>
        </w:tc>
        <w:tc>
          <w:tcPr>
            <w:tcW w:w="6241" w:type="dxa"/>
          </w:tcPr>
          <w:p w14:paraId="045FDF10" w14:textId="77777777" w:rsidR="00AB23A8" w:rsidRPr="00137F70" w:rsidRDefault="00AB23A8" w:rsidP="00221FF9">
            <w:pPr>
              <w:spacing w:line="256" w:lineRule="auto"/>
              <w:rPr>
                <w:rFonts w:ascii="Verdana" w:hAnsi="Verdana"/>
                <w:lang w:val="es-ES_tradnl"/>
              </w:rPr>
            </w:pPr>
          </w:p>
          <w:p w14:paraId="6CFD2CB2" w14:textId="174B5BFB" w:rsidR="00AB23A8" w:rsidRPr="00137F70" w:rsidRDefault="00AB23A8" w:rsidP="00221FF9">
            <w:pPr>
              <w:spacing w:line="256" w:lineRule="auto"/>
              <w:rPr>
                <w:rFonts w:ascii="Verdana" w:hAnsi="Verdana"/>
              </w:rPr>
            </w:pPr>
            <w:r w:rsidRPr="00137F70">
              <w:rPr>
                <w:rFonts w:ascii="Verdana" w:hAnsi="Verdana"/>
                <w:lang w:val="es-ES_tradnl"/>
              </w:rPr>
              <w:t xml:space="preserve">Respuesta a consulta con radicado No. </w:t>
            </w:r>
            <w:r w:rsidRPr="00137F70">
              <w:rPr>
                <w:rFonts w:ascii="Verdana" w:hAnsi="Verdana"/>
              </w:rPr>
              <w:t>P20240910009234</w:t>
            </w:r>
          </w:p>
        </w:tc>
        <w:tc>
          <w:tcPr>
            <w:tcW w:w="6237" w:type="dxa"/>
          </w:tcPr>
          <w:p w14:paraId="47A8983B" w14:textId="77777777" w:rsidR="00AB23A8" w:rsidRPr="00137F70" w:rsidRDefault="00AB23A8" w:rsidP="00221FF9">
            <w:pPr>
              <w:spacing w:line="256" w:lineRule="auto"/>
              <w:rPr>
                <w:rFonts w:ascii="Verdana" w:hAnsi="Verdana"/>
                <w:lang w:val="es-ES_tradnl"/>
              </w:rPr>
            </w:pPr>
          </w:p>
        </w:tc>
      </w:tr>
    </w:tbl>
    <w:p w14:paraId="50821552" w14:textId="77777777" w:rsidR="00AB23A8" w:rsidRPr="00137F70" w:rsidRDefault="00AB23A8" w:rsidP="00AB23A8">
      <w:pPr>
        <w:spacing w:after="0" w:line="256" w:lineRule="auto"/>
        <w:rPr>
          <w:rFonts w:ascii="Verdana" w:eastAsia="Calibri" w:hAnsi="Verdana" w:cs="Times New Roman"/>
          <w:lang w:val="es-ES_tradnl"/>
        </w:rPr>
      </w:pPr>
    </w:p>
    <w:p w14:paraId="2978D4D0" w14:textId="42C61527" w:rsidR="00AB23A8" w:rsidRPr="00137F70" w:rsidRDefault="00AB23A8" w:rsidP="00AB23A8">
      <w:pPr>
        <w:spacing w:after="0" w:line="256" w:lineRule="auto"/>
        <w:rPr>
          <w:rFonts w:ascii="Verdana" w:eastAsia="Calibri" w:hAnsi="Verdana" w:cs="Times New Roman"/>
          <w:lang w:val="es-ES"/>
        </w:rPr>
      </w:pPr>
      <w:r w:rsidRPr="00137F70">
        <w:rPr>
          <w:rFonts w:ascii="Verdana" w:eastAsia="Calibri" w:hAnsi="Verdana" w:cs="Times New Roman"/>
          <w:lang w:val="es-ES"/>
        </w:rPr>
        <w:t>Estimad</w:t>
      </w:r>
      <w:r w:rsidR="00DB2F02" w:rsidRPr="00137F70">
        <w:rPr>
          <w:rFonts w:ascii="Verdana" w:eastAsia="Calibri" w:hAnsi="Verdana" w:cs="Times New Roman"/>
          <w:lang w:val="es-ES"/>
        </w:rPr>
        <w:t>a</w:t>
      </w:r>
      <w:r w:rsidRPr="00137F70">
        <w:rPr>
          <w:rFonts w:ascii="Verdana" w:eastAsia="Calibri" w:hAnsi="Verdana" w:cs="Times New Roman"/>
          <w:lang w:val="es-ES"/>
        </w:rPr>
        <w:t xml:space="preserve"> </w:t>
      </w:r>
      <w:r w:rsidR="00DB2F02" w:rsidRPr="00137F70">
        <w:rPr>
          <w:rFonts w:ascii="Verdana" w:eastAsia="Calibri" w:hAnsi="Verdana" w:cs="Times New Roman"/>
          <w:lang w:val="es-ES"/>
        </w:rPr>
        <w:t>señora Diana Carolina</w:t>
      </w:r>
      <w:r w:rsidRPr="00137F70">
        <w:rPr>
          <w:rFonts w:ascii="Verdana" w:eastAsia="Calibri" w:hAnsi="Verdana" w:cs="Times New Roman"/>
          <w:lang w:val="es-ES"/>
        </w:rPr>
        <w:t xml:space="preserve">: </w:t>
      </w:r>
    </w:p>
    <w:p w14:paraId="1B890A3A" w14:textId="77777777" w:rsidR="00AB23A8" w:rsidRPr="00137F70" w:rsidRDefault="00AB23A8" w:rsidP="00AB23A8">
      <w:pPr>
        <w:spacing w:after="0" w:line="256" w:lineRule="auto"/>
        <w:rPr>
          <w:rFonts w:ascii="Verdana" w:eastAsia="Calibri" w:hAnsi="Verdana" w:cs="Times New Roman"/>
          <w:lang w:val="es-ES"/>
        </w:rPr>
      </w:pPr>
    </w:p>
    <w:p w14:paraId="735A24AA" w14:textId="77777777" w:rsidR="00AB23A8" w:rsidRPr="00137F70" w:rsidRDefault="00AB23A8" w:rsidP="00AB23A8">
      <w:pPr>
        <w:spacing w:after="0" w:line="256" w:lineRule="auto"/>
        <w:jc w:val="both"/>
        <w:rPr>
          <w:rFonts w:ascii="Verdana" w:eastAsia="Calibri" w:hAnsi="Verdana" w:cs="Times New Roman"/>
          <w:lang w:val="es-ES"/>
        </w:rPr>
      </w:pPr>
      <w:r w:rsidRPr="00137F70">
        <w:rPr>
          <w:rFonts w:ascii="Verdana" w:eastAsia="Calibri" w:hAnsi="Verdana" w:cs="Times New Roman"/>
          <w:lang w:val="es-ES"/>
        </w:rPr>
        <w:t>En ejercicio de la competencia otorgada por los artículos 3, numeral 5º, y 11, numeral 8º, del Decreto Ley 4170 de 2011, la Agencia Nacional de Contratación Pública – Colombia Compra Eficiente– responde la solicitud de consulta del 10 de septiembre de 2024, en la cual manifiesta lo siguiente:</w:t>
      </w:r>
    </w:p>
    <w:p w14:paraId="643D868A" w14:textId="77777777" w:rsidR="00AB23A8" w:rsidRPr="00137F70" w:rsidRDefault="00AB23A8" w:rsidP="00AB23A8">
      <w:pPr>
        <w:spacing w:after="0" w:line="256" w:lineRule="auto"/>
        <w:jc w:val="both"/>
        <w:rPr>
          <w:rFonts w:ascii="Verdana" w:eastAsia="Calibri" w:hAnsi="Verdana" w:cs="Times New Roman"/>
          <w:lang w:val="es-ES"/>
        </w:rPr>
      </w:pPr>
    </w:p>
    <w:p w14:paraId="697B525D" w14:textId="70D8CA57" w:rsidR="00AB23A8" w:rsidRPr="003348DE" w:rsidRDefault="00AB23A8" w:rsidP="003348DE">
      <w:pPr>
        <w:spacing w:after="0" w:line="257" w:lineRule="auto"/>
        <w:ind w:left="709" w:right="709"/>
        <w:jc w:val="both"/>
        <w:rPr>
          <w:rFonts w:ascii="Verdana" w:eastAsia="Calibri" w:hAnsi="Verdana" w:cs="Times New Roman"/>
          <w:sz w:val="20"/>
          <w:szCs w:val="20"/>
        </w:rPr>
      </w:pPr>
      <w:r w:rsidRPr="003348DE">
        <w:rPr>
          <w:rFonts w:ascii="Verdana" w:eastAsia="Calibri" w:hAnsi="Verdana" w:cs="Times New Roman"/>
          <w:sz w:val="20"/>
          <w:szCs w:val="20"/>
          <w:lang w:val="es-ES"/>
        </w:rPr>
        <w:t>“(</w:t>
      </w:r>
      <w:proofErr w:type="gramStart"/>
      <w:r w:rsidRPr="003348DE">
        <w:rPr>
          <w:rFonts w:ascii="Verdana" w:eastAsia="Calibri" w:hAnsi="Verdana" w:cs="Times New Roman"/>
          <w:sz w:val="20"/>
          <w:szCs w:val="20"/>
          <w:lang w:val="es-ES"/>
        </w:rPr>
        <w:t>…)</w:t>
      </w:r>
      <w:r w:rsidRPr="00FB723F">
        <w:rPr>
          <w:rFonts w:ascii="Verdana" w:eastAsia="Calibri" w:hAnsi="Verdana" w:cs="Times New Roman"/>
          <w:sz w:val="20"/>
          <w:szCs w:val="20"/>
        </w:rPr>
        <w:t>En</w:t>
      </w:r>
      <w:proofErr w:type="gramEnd"/>
      <w:r w:rsidRPr="00FB723F">
        <w:rPr>
          <w:rFonts w:ascii="Verdana" w:eastAsia="Calibri" w:hAnsi="Verdana" w:cs="Times New Roman"/>
          <w:sz w:val="20"/>
          <w:szCs w:val="20"/>
        </w:rPr>
        <w:t xml:space="preserve"> el marco de las competencias de la Agencia, solicito concepto respecto de la</w:t>
      </w:r>
      <w:r w:rsidR="0098151F" w:rsidRPr="00FB723F">
        <w:rPr>
          <w:rFonts w:ascii="Verdana" w:eastAsia="Calibri" w:hAnsi="Verdana" w:cs="Times New Roman"/>
          <w:sz w:val="20"/>
          <w:szCs w:val="20"/>
        </w:rPr>
        <w:t xml:space="preserve"> </w:t>
      </w:r>
      <w:r w:rsidRPr="00FB723F">
        <w:rPr>
          <w:rFonts w:ascii="Verdana" w:eastAsia="Calibri" w:hAnsi="Verdana" w:cs="Times New Roman"/>
          <w:sz w:val="20"/>
          <w:szCs w:val="20"/>
        </w:rPr>
        <w:t xml:space="preserve">siguiente pregunta: ¿Es aplicable el artículo 2.2.1.2.1.4.1. del </w:t>
      </w:r>
      <w:proofErr w:type="spellStart"/>
      <w:r w:rsidRPr="00FB723F">
        <w:rPr>
          <w:rFonts w:ascii="Verdana" w:eastAsia="Calibri" w:hAnsi="Verdana" w:cs="Times New Roman"/>
          <w:sz w:val="20"/>
          <w:szCs w:val="20"/>
        </w:rPr>
        <w:t>Dec</w:t>
      </w:r>
      <w:proofErr w:type="spellEnd"/>
      <w:r w:rsidRPr="00FB723F">
        <w:rPr>
          <w:rFonts w:ascii="Verdana" w:eastAsia="Calibri" w:hAnsi="Verdana" w:cs="Times New Roman"/>
          <w:sz w:val="20"/>
          <w:szCs w:val="20"/>
        </w:rPr>
        <w:t xml:space="preserve"> 1082 de 2015, a la contratación con ESAL derivada del artículo 5 del </w:t>
      </w:r>
      <w:proofErr w:type="spellStart"/>
      <w:r w:rsidRPr="00FB723F">
        <w:rPr>
          <w:rFonts w:ascii="Verdana" w:eastAsia="Calibri" w:hAnsi="Verdana" w:cs="Times New Roman"/>
          <w:sz w:val="20"/>
          <w:szCs w:val="20"/>
        </w:rPr>
        <w:t>Dec</w:t>
      </w:r>
      <w:proofErr w:type="spellEnd"/>
      <w:r w:rsidRPr="00FB723F">
        <w:rPr>
          <w:rFonts w:ascii="Verdana" w:eastAsia="Calibri" w:hAnsi="Verdana" w:cs="Times New Roman"/>
          <w:sz w:val="20"/>
          <w:szCs w:val="20"/>
        </w:rPr>
        <w:t xml:space="preserve"> 092 de 2017, cuando la fundación aportar el 30% o más de los recursos y en consecuencia no se adelanta proceso competitivo, a pesar de ser este un régimen especial?  </w:t>
      </w:r>
      <w:r w:rsidRPr="003348DE">
        <w:rPr>
          <w:rFonts w:ascii="Verdana" w:eastAsia="Calibri" w:hAnsi="Verdana" w:cs="Times New Roman"/>
          <w:sz w:val="20"/>
          <w:szCs w:val="20"/>
        </w:rPr>
        <w:t>(…)</w:t>
      </w:r>
      <w:r w:rsidR="00FB723F" w:rsidRPr="003348DE">
        <w:rPr>
          <w:rFonts w:ascii="Verdana" w:eastAsia="Calibri" w:hAnsi="Verdana" w:cs="Times New Roman"/>
          <w:sz w:val="20"/>
          <w:szCs w:val="20"/>
        </w:rPr>
        <w:t>”</w:t>
      </w:r>
    </w:p>
    <w:p w14:paraId="3B13B44B" w14:textId="77777777" w:rsidR="00AB23A8" w:rsidRPr="00137F70" w:rsidRDefault="00AB23A8" w:rsidP="00AB23A8">
      <w:pPr>
        <w:spacing w:after="0" w:line="256" w:lineRule="auto"/>
        <w:rPr>
          <w:rFonts w:ascii="Verdana" w:eastAsia="Calibri" w:hAnsi="Verdana" w:cs="Times New Roman"/>
          <w:lang w:val="es-ES"/>
        </w:rPr>
      </w:pPr>
    </w:p>
    <w:p w14:paraId="7DF87A68" w14:textId="77777777" w:rsidR="00AB23A8" w:rsidRPr="00137F70" w:rsidRDefault="00AB23A8" w:rsidP="00AB23A8">
      <w:pPr>
        <w:spacing w:after="0" w:line="256" w:lineRule="auto"/>
        <w:jc w:val="both"/>
        <w:rPr>
          <w:rFonts w:ascii="Verdana" w:eastAsia="Calibri" w:hAnsi="Verdana" w:cs="Times New Roman"/>
          <w:lang w:val="es-ES"/>
        </w:rPr>
      </w:pPr>
      <w:r w:rsidRPr="00137F70">
        <w:rPr>
          <w:rFonts w:ascii="Verdana" w:eastAsia="Calibri" w:hAnsi="Verdana" w:cs="Times New Roman"/>
          <w:lang w:val="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w:t>
      </w:r>
      <w:r w:rsidRPr="00137F70">
        <w:rPr>
          <w:rFonts w:ascii="Verdana" w:eastAsia="Calibri" w:hAnsi="Verdana" w:cs="Times New Roman"/>
          <w:lang w:val="es-ES"/>
        </w:rPr>
        <w:lastRenderedPageBreak/>
        <w:t>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407CEDD4" w14:textId="77777777" w:rsidR="00AB23A8" w:rsidRPr="00137F70" w:rsidRDefault="00AB23A8" w:rsidP="00AB23A8">
      <w:pPr>
        <w:spacing w:after="0" w:line="256" w:lineRule="auto"/>
        <w:rPr>
          <w:rFonts w:ascii="Verdana" w:eastAsia="Calibri" w:hAnsi="Verdana" w:cs="Times New Roman"/>
          <w:lang w:val="es-ES"/>
        </w:rPr>
      </w:pPr>
    </w:p>
    <w:p w14:paraId="13BCB636" w14:textId="77777777" w:rsidR="00AB23A8" w:rsidRPr="00137F70" w:rsidRDefault="00AB23A8" w:rsidP="00AB23A8">
      <w:pPr>
        <w:spacing w:after="0" w:line="256" w:lineRule="auto"/>
        <w:jc w:val="both"/>
        <w:rPr>
          <w:rFonts w:ascii="Verdana" w:eastAsia="Calibri" w:hAnsi="Verdana" w:cs="Times New Roman"/>
          <w:lang w:val="es-ES"/>
        </w:rPr>
      </w:pPr>
      <w:r w:rsidRPr="00137F70">
        <w:rPr>
          <w:rFonts w:ascii="Verdana" w:eastAsia="Calibri" w:hAnsi="Verdana" w:cs="Times New Roman"/>
          <w:lang w:val="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49A6E113" w14:textId="77777777" w:rsidR="00AB23A8" w:rsidRPr="00137F70" w:rsidRDefault="00AB23A8" w:rsidP="00AB23A8">
      <w:pPr>
        <w:spacing w:after="0" w:line="256" w:lineRule="auto"/>
        <w:rPr>
          <w:rFonts w:ascii="Verdana" w:eastAsia="Calibri" w:hAnsi="Verdana" w:cs="Times New Roman"/>
          <w:lang w:val="es-ES"/>
        </w:rPr>
      </w:pPr>
    </w:p>
    <w:p w14:paraId="22157D3B" w14:textId="77777777" w:rsidR="00AB23A8" w:rsidRPr="00137F70" w:rsidRDefault="00AB23A8" w:rsidP="00AB23A8">
      <w:pPr>
        <w:numPr>
          <w:ilvl w:val="0"/>
          <w:numId w:val="16"/>
        </w:numPr>
        <w:spacing w:after="0" w:line="256" w:lineRule="auto"/>
        <w:ind w:left="0" w:firstLine="0"/>
        <w:rPr>
          <w:rFonts w:ascii="Verdana" w:eastAsia="Calibri" w:hAnsi="Verdana" w:cs="Times New Roman"/>
          <w:b/>
          <w:bCs/>
          <w:lang w:val="es-ES"/>
        </w:rPr>
      </w:pPr>
      <w:r w:rsidRPr="00137F70">
        <w:rPr>
          <w:rFonts w:ascii="Verdana" w:eastAsia="Calibri" w:hAnsi="Verdana" w:cs="Times New Roman"/>
          <w:b/>
          <w:bCs/>
          <w:lang w:val="es-ES"/>
        </w:rPr>
        <w:t>Problema planteado:</w:t>
      </w:r>
    </w:p>
    <w:p w14:paraId="2D72066B" w14:textId="77777777" w:rsidR="00AB23A8" w:rsidRPr="00137F70" w:rsidRDefault="00AB23A8" w:rsidP="00AB23A8">
      <w:pPr>
        <w:spacing w:after="0" w:line="256" w:lineRule="auto"/>
        <w:rPr>
          <w:rFonts w:ascii="Verdana" w:eastAsia="Calibri" w:hAnsi="Verdana" w:cs="Times New Roman"/>
        </w:rPr>
      </w:pPr>
    </w:p>
    <w:p w14:paraId="0A6D0360" w14:textId="71D2FA01" w:rsidR="00AB23A8" w:rsidRPr="00137F70" w:rsidRDefault="00AB23A8" w:rsidP="00AB23A8">
      <w:pPr>
        <w:spacing w:after="0" w:line="256" w:lineRule="auto"/>
        <w:jc w:val="both"/>
        <w:rPr>
          <w:rFonts w:ascii="Verdana" w:eastAsia="Calibri" w:hAnsi="Verdana" w:cs="Times New Roman"/>
        </w:rPr>
      </w:pPr>
      <w:r w:rsidRPr="00137F70">
        <w:rPr>
          <w:rFonts w:ascii="Verdana" w:eastAsia="Calibri" w:hAnsi="Verdana" w:cs="Times New Roman"/>
        </w:rPr>
        <w:t xml:space="preserve">De acuerdo con el contenido de su solicitud, esta Agencia resolver el siguiente problema </w:t>
      </w:r>
      <w:proofErr w:type="gramStart"/>
      <w:r w:rsidRPr="00137F70">
        <w:rPr>
          <w:rFonts w:ascii="Verdana" w:eastAsia="Calibri" w:hAnsi="Verdana" w:cs="Times New Roman"/>
        </w:rPr>
        <w:t>jurídico:¿</w:t>
      </w:r>
      <w:proofErr w:type="gramEnd"/>
      <w:r w:rsidR="00DB2F02" w:rsidRPr="00137F70">
        <w:rPr>
          <w:rFonts w:ascii="Verdana" w:eastAsia="Calibri" w:hAnsi="Verdana" w:cs="Times New Roman"/>
        </w:rPr>
        <w:t>se debe expedir acto administrativo de justificación de contratación directa para la celebración de un convenio de asociación a la luz del Decreto 092 de 2017</w:t>
      </w:r>
      <w:r w:rsidRPr="00137F70">
        <w:rPr>
          <w:rFonts w:ascii="Verdana" w:eastAsia="Calibri" w:hAnsi="Verdana" w:cs="Times New Roman"/>
        </w:rPr>
        <w:t xml:space="preserve">? </w:t>
      </w:r>
    </w:p>
    <w:p w14:paraId="13273ED0" w14:textId="77777777" w:rsidR="00AB23A8" w:rsidRPr="00137F70" w:rsidRDefault="00AB23A8" w:rsidP="00AB23A8">
      <w:pPr>
        <w:spacing w:after="0" w:line="256" w:lineRule="auto"/>
        <w:rPr>
          <w:rFonts w:ascii="Verdana" w:eastAsia="Calibri" w:hAnsi="Verdana" w:cs="Times New Roman"/>
        </w:rPr>
      </w:pPr>
    </w:p>
    <w:p w14:paraId="63A1693B" w14:textId="77777777" w:rsidR="00AB23A8" w:rsidRPr="00137F70" w:rsidRDefault="00AB23A8" w:rsidP="00AB23A8">
      <w:pPr>
        <w:numPr>
          <w:ilvl w:val="0"/>
          <w:numId w:val="16"/>
        </w:numPr>
        <w:spacing w:after="0" w:line="256" w:lineRule="auto"/>
        <w:ind w:left="0" w:firstLine="0"/>
        <w:rPr>
          <w:rFonts w:ascii="Verdana" w:eastAsia="Calibri" w:hAnsi="Verdana" w:cs="Times New Roman"/>
          <w:b/>
          <w:bCs/>
          <w:lang w:val="es-ES"/>
        </w:rPr>
      </w:pPr>
      <w:r w:rsidRPr="00137F70">
        <w:rPr>
          <w:rFonts w:ascii="Verdana" w:eastAsia="Calibri" w:hAnsi="Verdana" w:cs="Times New Roman"/>
          <w:b/>
          <w:bCs/>
          <w:lang w:val="es-ES"/>
        </w:rPr>
        <w:t>Respuesta:</w:t>
      </w:r>
    </w:p>
    <w:p w14:paraId="424EFB10" w14:textId="77777777" w:rsidR="00AB23A8" w:rsidRPr="00137F70" w:rsidRDefault="00AB23A8" w:rsidP="00AB23A8">
      <w:pPr>
        <w:spacing w:after="0" w:line="256" w:lineRule="auto"/>
        <w:rPr>
          <w:rFonts w:ascii="Verdana" w:eastAsia="Calibri" w:hAnsi="Verdana" w:cs="Times New Roman"/>
          <w:b/>
          <w:bCs/>
          <w:lang w:val="es-ES"/>
        </w:rPr>
      </w:pPr>
    </w:p>
    <w:p w14:paraId="702DEE86" w14:textId="13A5BE00" w:rsidR="00AB23A8" w:rsidRPr="00137F70" w:rsidRDefault="00FA50B4" w:rsidP="00FA50B4">
      <w:pPr>
        <w:tabs>
          <w:tab w:val="left" w:pos="567"/>
        </w:tabs>
        <w:spacing w:after="0" w:line="256" w:lineRule="auto"/>
        <w:jc w:val="both"/>
        <w:rPr>
          <w:rFonts w:ascii="Verdana" w:eastAsia="Calibri" w:hAnsi="Verdana" w:cs="Times New Roman"/>
          <w:lang w:val="es-ES"/>
        </w:rPr>
      </w:pPr>
      <w:r w:rsidRPr="00137F70">
        <w:rPr>
          <w:rFonts w:ascii="Verdana" w:eastAsia="Calibri" w:hAnsi="Verdana" w:cs="Times New Roman"/>
          <w:iCs/>
          <w:lang w:val="es-ES"/>
        </w:rPr>
        <w:t xml:space="preserve">Se precisa que dentro de los procesos que adelantan las entidades </w:t>
      </w:r>
      <w:r w:rsidR="0098151F" w:rsidRPr="00137F70">
        <w:rPr>
          <w:rFonts w:ascii="Verdana" w:eastAsia="Calibri" w:hAnsi="Verdana" w:cs="Times New Roman"/>
          <w:iCs/>
          <w:lang w:val="es-ES"/>
        </w:rPr>
        <w:t>públicas</w:t>
      </w:r>
      <w:r w:rsidRPr="00137F70">
        <w:rPr>
          <w:rFonts w:ascii="Verdana" w:eastAsia="Calibri" w:hAnsi="Verdana" w:cs="Times New Roman"/>
          <w:iCs/>
          <w:lang w:val="es-ES"/>
        </w:rPr>
        <w:t xml:space="preserve"> en virtud del Decreto 092 de 2017,</w:t>
      </w:r>
      <w:r w:rsidR="0098151F" w:rsidRPr="00137F70">
        <w:rPr>
          <w:rFonts w:ascii="Verdana" w:eastAsia="Calibri" w:hAnsi="Verdana" w:cs="Times New Roman"/>
          <w:iCs/>
          <w:lang w:val="es-ES"/>
        </w:rPr>
        <w:t xml:space="preserve"> para la celebración de </w:t>
      </w:r>
      <w:r w:rsidR="0098151F" w:rsidRPr="00137F70">
        <w:rPr>
          <w:rFonts w:ascii="Verdana" w:eastAsia="Calibri" w:hAnsi="Verdana" w:cs="Times New Roman"/>
          <w:color w:val="000000" w:themeColor="text1"/>
          <w:lang w:val="es-ES"/>
        </w:rPr>
        <w:t xml:space="preserve">los convenios de asociación, para el desarrollo conjunto de actividades relacionadas con las funciones de las entidades estatales, en desarrollo del artículo 96 de la Ley 489 de 1998, no se debe expedir el acto administrativo de justificación de contratación directa que se encuentra en el artículo </w:t>
      </w:r>
      <w:r w:rsidR="0098151F" w:rsidRPr="00137F70">
        <w:rPr>
          <w:rFonts w:ascii="Verdana" w:eastAsia="Calibri" w:hAnsi="Verdana" w:cs="Times New Roman"/>
        </w:rPr>
        <w:t xml:space="preserve">2.2.1.2.1.4.1. del Decreto 1082 de 2015, teniendo en cuenta que la celebración de estos convenios, a pesar de </w:t>
      </w:r>
      <w:r w:rsidR="0098151F" w:rsidRPr="00137F70">
        <w:rPr>
          <w:rFonts w:ascii="Verdana" w:hAnsi="Verdana" w:cs="Times New Roman"/>
          <w:color w:val="000000"/>
        </w:rPr>
        <w:t>no estar sujeto a competencia cuando la entidad sin ánimo de lucro comprometa recursos en dinero para la ejecución de esas actividades en una proporción no inferior al 30% del valor total del convenio, no se encuadra como una causal de contratación directa a la luz de lo establecido en el numeral 4 del artículo 2 de la Ley 1150 de 2007.</w:t>
      </w:r>
      <w:r w:rsidR="00FB723F">
        <w:rPr>
          <w:rFonts w:ascii="Verdana" w:hAnsi="Verdana" w:cs="Times New Roman"/>
          <w:color w:val="000000"/>
        </w:rPr>
        <w:t xml:space="preserve"> Esto considerando que, </w:t>
      </w:r>
    </w:p>
    <w:p w14:paraId="2D247A06" w14:textId="77777777" w:rsidR="00AB23A8" w:rsidRPr="00137F70" w:rsidRDefault="00AB23A8" w:rsidP="00AB23A8">
      <w:pPr>
        <w:tabs>
          <w:tab w:val="left" w:pos="567"/>
        </w:tabs>
        <w:spacing w:after="0" w:line="256" w:lineRule="auto"/>
        <w:jc w:val="both"/>
        <w:rPr>
          <w:rFonts w:ascii="Verdana" w:eastAsia="Calibri" w:hAnsi="Verdana" w:cs="Times New Roman"/>
          <w:lang w:val="es-ES"/>
        </w:rPr>
      </w:pPr>
    </w:p>
    <w:p w14:paraId="6B6A0F05" w14:textId="77777777" w:rsidR="00AB23A8" w:rsidRPr="00137F70" w:rsidRDefault="00AB23A8" w:rsidP="00AB23A8">
      <w:pPr>
        <w:numPr>
          <w:ilvl w:val="0"/>
          <w:numId w:val="16"/>
        </w:numPr>
        <w:spacing w:after="0" w:line="256" w:lineRule="auto"/>
        <w:ind w:left="0" w:firstLine="0"/>
        <w:rPr>
          <w:rFonts w:ascii="Verdana" w:eastAsia="Calibri" w:hAnsi="Verdana" w:cs="Times New Roman"/>
          <w:b/>
          <w:bCs/>
          <w:lang w:val="es-ES"/>
        </w:rPr>
      </w:pPr>
      <w:r w:rsidRPr="00137F70">
        <w:rPr>
          <w:rFonts w:ascii="Verdana" w:eastAsia="Calibri" w:hAnsi="Verdana" w:cs="Times New Roman"/>
          <w:b/>
          <w:bCs/>
          <w:lang w:val="es-ES"/>
        </w:rPr>
        <w:t>Razones de la respuesta:</w:t>
      </w:r>
    </w:p>
    <w:p w14:paraId="5ECF20A9" w14:textId="77777777" w:rsidR="00AB23A8" w:rsidRPr="00137F70" w:rsidRDefault="00AB23A8" w:rsidP="00AB23A8">
      <w:pPr>
        <w:spacing w:after="0" w:line="256" w:lineRule="auto"/>
        <w:rPr>
          <w:rFonts w:ascii="Verdana" w:eastAsia="Calibri" w:hAnsi="Verdana" w:cs="Times New Roman"/>
          <w:b/>
          <w:bCs/>
          <w:lang w:val="es-ES"/>
        </w:rPr>
      </w:pPr>
    </w:p>
    <w:p w14:paraId="1DC42ED8" w14:textId="77777777" w:rsidR="00033F30" w:rsidRPr="00137F70" w:rsidRDefault="00033F30" w:rsidP="00033F30">
      <w:pPr>
        <w:spacing w:after="0" w:line="276" w:lineRule="auto"/>
        <w:jc w:val="both"/>
        <w:rPr>
          <w:rFonts w:ascii="Verdana" w:eastAsia="Calibri" w:hAnsi="Verdana" w:cs="Arial"/>
          <w:lang w:val="es-ES"/>
        </w:rPr>
      </w:pPr>
      <w:r w:rsidRPr="00137F70">
        <w:rPr>
          <w:rFonts w:ascii="Verdana" w:eastAsia="Calibri" w:hAnsi="Verdana" w:cs="Arial"/>
          <w:lang w:val="es-ES"/>
        </w:rPr>
        <w:t xml:space="preserve">Lo anterior se sustenta en las siguientes consideraciones: </w:t>
      </w:r>
    </w:p>
    <w:p w14:paraId="0A45D489" w14:textId="77777777" w:rsidR="00033F30" w:rsidRPr="00137F70" w:rsidRDefault="00033F30" w:rsidP="00033F30">
      <w:pPr>
        <w:spacing w:after="0" w:line="276" w:lineRule="auto"/>
        <w:jc w:val="both"/>
        <w:rPr>
          <w:rFonts w:ascii="Verdana" w:eastAsia="Calibri" w:hAnsi="Verdana" w:cs="Arial"/>
          <w:bCs/>
          <w:color w:val="000000" w:themeColor="text1"/>
          <w:lang w:val="es-ES_tradnl"/>
        </w:rPr>
      </w:pPr>
    </w:p>
    <w:p w14:paraId="33F74ADC" w14:textId="77777777" w:rsidR="00033F30" w:rsidRPr="00137F70" w:rsidRDefault="00033F30" w:rsidP="003348DE">
      <w:pPr>
        <w:spacing w:line="276" w:lineRule="auto"/>
        <w:jc w:val="both"/>
        <w:rPr>
          <w:rFonts w:ascii="Verdana" w:eastAsia="Calibri" w:hAnsi="Verdana" w:cs="Arial"/>
          <w:color w:val="000000" w:themeColor="text1"/>
          <w:lang w:val="es-ES"/>
        </w:rPr>
      </w:pPr>
      <w:r w:rsidRPr="00137F70">
        <w:rPr>
          <w:rFonts w:ascii="Verdana" w:eastAsia="Calibri" w:hAnsi="Verdana" w:cs="Arial"/>
          <w:color w:val="000000" w:themeColor="text1"/>
          <w:lang w:val="es-ES"/>
        </w:rPr>
        <w:lastRenderedPageBreak/>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-ESAL- con el fin de impulsar programas y actividades de interés público acordes con el plan nacional y los planes seccionales de desarrollo</w:t>
      </w:r>
      <w:r w:rsidRPr="3584D201">
        <w:rPr>
          <w:rStyle w:val="Refdenotaalpie"/>
          <w:rFonts w:ascii="Verdana" w:hAnsi="Verdana" w:cs="Arial"/>
          <w:color w:val="000000" w:themeColor="text1"/>
          <w:lang w:val="es-ES"/>
        </w:rPr>
        <w:footnoteReference w:id="2"/>
      </w:r>
      <w:r w:rsidRPr="00137F70">
        <w:rPr>
          <w:rFonts w:ascii="Verdana" w:eastAsia="Calibri" w:hAnsi="Verdana" w:cs="Arial"/>
          <w:color w:val="000000" w:themeColor="text1"/>
          <w:lang w:val="es-ES"/>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3584D201">
        <w:rPr>
          <w:rStyle w:val="Refdenotaalpie"/>
          <w:rFonts w:ascii="Verdana" w:eastAsia="Calibri" w:hAnsi="Verdana" w:cs="Arial"/>
          <w:color w:val="000000" w:themeColor="text1"/>
          <w:lang w:val="es-ES"/>
        </w:rPr>
        <w:footnoteReference w:id="3"/>
      </w:r>
      <w:r w:rsidRPr="00137F70">
        <w:rPr>
          <w:rFonts w:ascii="Verdana" w:eastAsia="Calibri" w:hAnsi="Verdana" w:cs="Arial"/>
          <w:color w:val="000000" w:themeColor="text1"/>
          <w:lang w:val="es-ES"/>
        </w:rPr>
        <w:t>.</w:t>
      </w:r>
    </w:p>
    <w:p w14:paraId="30FFB184" w14:textId="77777777" w:rsidR="00033F30" w:rsidRPr="00137F70" w:rsidRDefault="00033F30" w:rsidP="00033F30">
      <w:pPr>
        <w:spacing w:before="120" w:after="120" w:line="276" w:lineRule="auto"/>
        <w:ind w:firstLine="709"/>
        <w:jc w:val="both"/>
        <w:rPr>
          <w:rFonts w:ascii="Verdana" w:eastAsia="Calibri" w:hAnsi="Verdana" w:cs="Arial"/>
          <w:color w:val="000000" w:themeColor="text1"/>
          <w:lang w:val="es-ES"/>
        </w:rPr>
      </w:pPr>
      <w:bookmarkStart w:id="2" w:name="_Hlk38819155"/>
      <w:r w:rsidRPr="00137F70">
        <w:rPr>
          <w:rFonts w:ascii="Verdana" w:eastAsia="Calibri" w:hAnsi="Verdana" w:cs="Arial"/>
          <w:color w:val="000000" w:themeColor="text1"/>
          <w:lang w:val="es-ES"/>
        </w:rPr>
        <w:t xml:space="preserve">El Decreto 092 de 2017 dispone reglas para las contrataciones que realicen las entidades estatales con las ESAL. Para estos efectos regula dos (2) eventos: i) los contratos del artículo 355 de la Constitución Política con el fin impulsar programas y actividades de interés público de acuerdo con el Plan Nacional o los planes seccionales de desarrollo; y </w:t>
      </w:r>
      <w:proofErr w:type="spellStart"/>
      <w:r w:rsidRPr="00137F70">
        <w:rPr>
          <w:rFonts w:ascii="Verdana" w:eastAsia="Calibri" w:hAnsi="Verdana" w:cs="Arial"/>
          <w:color w:val="000000" w:themeColor="text1"/>
          <w:lang w:val="es-ES"/>
        </w:rPr>
        <w:t>ii</w:t>
      </w:r>
      <w:proofErr w:type="spellEnd"/>
      <w:r w:rsidRPr="00137F70">
        <w:rPr>
          <w:rFonts w:ascii="Verdana" w:eastAsia="Calibri" w:hAnsi="Verdana" w:cs="Arial"/>
          <w:color w:val="000000" w:themeColor="text1"/>
          <w:lang w:val="es-ES"/>
        </w:rPr>
        <w:t xml:space="preserve">) los convenios de asociación, para el desarrollo conjunto de actividades relacionadas con las funciones de las entidades estatales, en desarrollo del artículo 96 de la Ley 489 de 1998. </w:t>
      </w:r>
    </w:p>
    <w:bookmarkEnd w:id="2"/>
    <w:p w14:paraId="5C49D564" w14:textId="77777777" w:rsidR="00033F30" w:rsidRPr="00137F70" w:rsidRDefault="00033F30" w:rsidP="00033F30">
      <w:pPr>
        <w:spacing w:before="120" w:after="120" w:line="276" w:lineRule="auto"/>
        <w:ind w:firstLine="709"/>
        <w:jc w:val="both"/>
        <w:rPr>
          <w:rFonts w:ascii="Verdana" w:eastAsia="Calibri" w:hAnsi="Verdana" w:cs="Arial"/>
          <w:color w:val="000000" w:themeColor="text1"/>
          <w:lang w:val="es-ES"/>
        </w:rPr>
      </w:pPr>
      <w:r w:rsidRPr="00137F70">
        <w:rPr>
          <w:rFonts w:ascii="Verdana" w:eastAsia="Calibri" w:hAnsi="Verdana" w:cs="Arial"/>
          <w:color w:val="000000" w:themeColor="text1"/>
          <w:lang w:val="es-ES"/>
        </w:rPr>
        <w:t xml:space="preserve">Los </w:t>
      </w:r>
      <w:r w:rsidRPr="00137F70">
        <w:rPr>
          <w:rFonts w:ascii="Verdana" w:eastAsia="Calibri" w:hAnsi="Verdana" w:cs="Arial"/>
          <w:i/>
          <w:iCs/>
          <w:color w:val="000000" w:themeColor="text1"/>
          <w:lang w:val="es-ES"/>
        </w:rPr>
        <w:t>contratos del artículo 355 de la Constitución Política</w:t>
      </w:r>
      <w:r w:rsidRPr="00137F70">
        <w:rPr>
          <w:rFonts w:ascii="Verdana" w:eastAsia="Calibri" w:hAnsi="Verdana" w:cs="Arial"/>
          <w:color w:val="000000" w:themeColor="text1"/>
          <w:lang w:val="es-ES"/>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entidad sin ánimo de lucro contratista. </w:t>
      </w:r>
    </w:p>
    <w:p w14:paraId="178C3F43" w14:textId="77777777" w:rsidR="00033F30" w:rsidRPr="00137F70" w:rsidRDefault="00033F30" w:rsidP="00033F30">
      <w:pPr>
        <w:spacing w:before="120" w:after="120" w:line="276" w:lineRule="auto"/>
        <w:ind w:firstLine="709"/>
        <w:jc w:val="both"/>
        <w:rPr>
          <w:rFonts w:ascii="Verdana" w:eastAsia="Calibri" w:hAnsi="Verdana" w:cs="Arial"/>
          <w:color w:val="000000" w:themeColor="text1"/>
          <w:lang w:val="es-ES"/>
        </w:rPr>
      </w:pPr>
      <w:r w:rsidRPr="00137F70">
        <w:rPr>
          <w:rFonts w:ascii="Verdana" w:eastAsia="Calibri" w:hAnsi="Verdana" w:cs="Arial"/>
          <w:color w:val="000000" w:themeColor="text1"/>
          <w:lang w:val="es-ES"/>
        </w:rPr>
        <w:t xml:space="preserve">De otro lado, los </w:t>
      </w:r>
      <w:r w:rsidRPr="00137F70">
        <w:rPr>
          <w:rFonts w:ascii="Verdana" w:eastAsia="Calibri" w:hAnsi="Verdana" w:cs="Arial"/>
          <w:i/>
          <w:color w:val="000000" w:themeColor="text1"/>
          <w:lang w:val="es-ES"/>
        </w:rPr>
        <w:t>convenios de asociación</w:t>
      </w:r>
      <w:r w:rsidRPr="00137F70">
        <w:rPr>
          <w:rFonts w:ascii="Verdana" w:eastAsia="Calibri" w:hAnsi="Verdana" w:cs="Arial"/>
          <w:color w:val="000000" w:themeColor="text1"/>
          <w:lang w:val="es-ES"/>
        </w:rPr>
        <w:t xml:space="preserve"> “[…] [t]</w:t>
      </w:r>
      <w:proofErr w:type="spellStart"/>
      <w:r w:rsidRPr="00137F70">
        <w:rPr>
          <w:rFonts w:ascii="Verdana" w:eastAsia="Calibri" w:hAnsi="Verdana" w:cs="Arial"/>
          <w:color w:val="000000" w:themeColor="text1"/>
          <w:lang w:val="es-ES"/>
        </w:rPr>
        <w:t>ienen</w:t>
      </w:r>
      <w:proofErr w:type="spellEnd"/>
      <w:r w:rsidRPr="00137F70">
        <w:rPr>
          <w:rFonts w:ascii="Verdana" w:eastAsia="Calibri" w:hAnsi="Verdana" w:cs="Arial"/>
          <w:color w:val="000000" w:themeColor="text1"/>
          <w:lang w:val="es-ES"/>
        </w:rPr>
        <w:t xml:space="preserve"> como finalidad que la entidad estatal, cualquiera que sea su naturaleza y orden administrativo, se asocien con personas jurídicas particulares para el desarrollo conjunto de </w:t>
      </w:r>
      <w:r w:rsidRPr="00137F70">
        <w:rPr>
          <w:rFonts w:ascii="Verdana" w:eastAsia="Calibri" w:hAnsi="Verdana" w:cs="Arial"/>
          <w:color w:val="000000" w:themeColor="text1"/>
          <w:lang w:val="es-ES"/>
        </w:rPr>
        <w:lastRenderedPageBreak/>
        <w:t>actividades relacionadas con los cometidos y funciones asignadas a aquellas conforme a la Constitución y a la Ley”</w:t>
      </w:r>
      <w:r w:rsidRPr="00137F70">
        <w:rPr>
          <w:rStyle w:val="Refdenotaalpie"/>
          <w:rFonts w:ascii="Verdana" w:hAnsi="Verdana" w:cs="Arial"/>
          <w:color w:val="000000" w:themeColor="text1"/>
          <w:lang w:val="es-ES"/>
        </w:rPr>
        <w:footnoteReference w:id="4"/>
      </w:r>
      <w:r w:rsidRPr="00137F70">
        <w:rPr>
          <w:rFonts w:ascii="Verdana" w:eastAsia="Calibri" w:hAnsi="Verdana" w:cs="Arial"/>
          <w:color w:val="000000" w:themeColor="text1"/>
          <w:lang w:val="es-ES"/>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Pr="00137F70">
        <w:rPr>
          <w:rStyle w:val="Refdenotaalpie"/>
          <w:rFonts w:ascii="Verdana" w:hAnsi="Verdana" w:cs="Arial"/>
          <w:color w:val="000000" w:themeColor="text1"/>
          <w:lang w:val="es-ES"/>
        </w:rPr>
        <w:footnoteReference w:id="5"/>
      </w:r>
      <w:r w:rsidRPr="00137F70">
        <w:rPr>
          <w:rFonts w:ascii="Verdana" w:eastAsia="Calibri" w:hAnsi="Verdana" w:cs="Arial"/>
          <w:color w:val="000000" w:themeColor="text1"/>
          <w:lang w:val="es-ES"/>
        </w:rPr>
        <w:t>.</w:t>
      </w:r>
    </w:p>
    <w:p w14:paraId="7A63B053" w14:textId="77777777" w:rsidR="00033F30" w:rsidRPr="00137F70" w:rsidRDefault="00033F30" w:rsidP="00033F30">
      <w:pPr>
        <w:spacing w:before="120" w:after="120" w:line="276" w:lineRule="auto"/>
        <w:ind w:firstLine="709"/>
        <w:jc w:val="both"/>
        <w:rPr>
          <w:rFonts w:ascii="Verdana" w:eastAsia="Calibri" w:hAnsi="Verdana" w:cs="Arial"/>
          <w:bCs/>
          <w:color w:val="000000" w:themeColor="text1"/>
          <w:lang w:val="es-ES_tradnl"/>
        </w:rPr>
      </w:pPr>
      <w:r w:rsidRPr="3584D201">
        <w:rPr>
          <w:rFonts w:ascii="Verdana" w:eastAsia="Calibri" w:hAnsi="Verdana" w:cs="Arial"/>
          <w:color w:val="000000" w:themeColor="text1"/>
          <w:lang w:val="es-ES"/>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3584D201">
        <w:rPr>
          <w:rStyle w:val="Refdenotaalpie"/>
          <w:rFonts w:ascii="Verdana" w:eastAsia="Calibri" w:hAnsi="Verdana" w:cs="Arial"/>
          <w:color w:val="000000" w:themeColor="text1"/>
          <w:lang w:val="es-ES"/>
        </w:rPr>
        <w:footnoteReference w:id="6"/>
      </w:r>
      <w:r w:rsidRPr="3584D201">
        <w:rPr>
          <w:rFonts w:ascii="Verdana" w:eastAsia="Calibri" w:hAnsi="Verdana" w:cs="Arial"/>
          <w:color w:val="000000" w:themeColor="text1"/>
          <w:lang w:val="es-ES"/>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5D7048D3" w14:textId="6C8288F8" w:rsidR="00033F30" w:rsidRPr="00137F70" w:rsidRDefault="00033F30" w:rsidP="00033F30">
      <w:pPr>
        <w:spacing w:before="120" w:after="120" w:line="276" w:lineRule="auto"/>
        <w:ind w:firstLine="709"/>
        <w:jc w:val="both"/>
        <w:rPr>
          <w:rFonts w:ascii="Verdana" w:eastAsia="Calibri" w:hAnsi="Verdana" w:cs="Arial"/>
          <w:bCs/>
          <w:color w:val="000000" w:themeColor="text1"/>
          <w:lang w:val="es-ES_tradnl"/>
        </w:rPr>
      </w:pPr>
      <w:r w:rsidRPr="00137F70">
        <w:rPr>
          <w:rFonts w:ascii="Verdana" w:eastAsia="Calibri" w:hAnsi="Verdana" w:cs="Arial"/>
          <w:bCs/>
          <w:color w:val="000000" w:themeColor="text1"/>
          <w:lang w:val="es-ES_tradnl"/>
        </w:rPr>
        <w:t>Igualmente, atendiendo a que los convenios de asociación “</w:t>
      </w:r>
      <w:r w:rsidR="001E690B" w:rsidRPr="00137F70">
        <w:rPr>
          <w:rFonts w:ascii="Verdana" w:eastAsia="Calibri" w:hAnsi="Verdana" w:cs="Arial"/>
          <w:bCs/>
          <w:color w:val="000000" w:themeColor="text1"/>
          <w:lang w:val="es-ES_tradnl"/>
        </w:rPr>
        <w:t>(</w:t>
      </w:r>
      <w:r w:rsidRPr="00137F70">
        <w:rPr>
          <w:rFonts w:ascii="Verdana" w:eastAsia="Calibri" w:hAnsi="Verdana" w:cs="Arial"/>
          <w:bCs/>
          <w:color w:val="000000" w:themeColor="text1"/>
          <w:lang w:val="es-ES_tradnl"/>
        </w:rPr>
        <w:t>…</w:t>
      </w:r>
      <w:r w:rsidR="001E690B" w:rsidRPr="00137F70">
        <w:rPr>
          <w:rFonts w:ascii="Verdana" w:eastAsia="Calibri" w:hAnsi="Verdana" w:cs="Arial"/>
          <w:bCs/>
          <w:color w:val="000000" w:themeColor="text1"/>
          <w:lang w:val="es-ES_tradnl"/>
        </w:rPr>
        <w:t>)</w:t>
      </w:r>
      <w:r w:rsidRPr="00137F70">
        <w:rPr>
          <w:rFonts w:ascii="Verdana" w:eastAsia="Calibri" w:hAnsi="Verdana" w:cs="Arial"/>
          <w:bCs/>
          <w:color w:val="000000" w:themeColor="text1"/>
          <w:lang w:val="es-ES_tradnl"/>
        </w:rPr>
        <w:t xml:space="preserve">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092 de 2017, deben </w:t>
      </w:r>
      <w:r w:rsidRPr="00137F70">
        <w:rPr>
          <w:rFonts w:ascii="Verdana" w:eastAsia="Calibri" w:hAnsi="Verdana" w:cs="Arial"/>
          <w:bCs/>
          <w:i/>
          <w:iCs/>
          <w:color w:val="000000" w:themeColor="text1"/>
          <w:lang w:val="es-ES_tradnl"/>
        </w:rPr>
        <w:t>“</w:t>
      </w:r>
      <w:r w:rsidR="001E690B" w:rsidRPr="00137F70">
        <w:rPr>
          <w:rFonts w:ascii="Verdana" w:eastAsia="Calibri" w:hAnsi="Verdana" w:cs="Arial"/>
          <w:bCs/>
          <w:i/>
          <w:iCs/>
          <w:color w:val="000000" w:themeColor="text1"/>
          <w:lang w:val="es-ES_tradnl"/>
        </w:rPr>
        <w:t>(</w:t>
      </w:r>
      <w:r w:rsidRPr="00137F70">
        <w:rPr>
          <w:rFonts w:ascii="Verdana" w:eastAsia="Calibri" w:hAnsi="Verdana" w:cs="Arial"/>
          <w:bCs/>
          <w:i/>
          <w:iCs/>
          <w:color w:val="000000" w:themeColor="text1"/>
          <w:lang w:val="es-ES_tradnl"/>
        </w:rPr>
        <w:t>…</w:t>
      </w:r>
      <w:r w:rsidR="001E690B" w:rsidRPr="00137F70">
        <w:rPr>
          <w:rFonts w:ascii="Verdana" w:eastAsia="Calibri" w:hAnsi="Verdana" w:cs="Arial"/>
          <w:bCs/>
          <w:i/>
          <w:iCs/>
          <w:color w:val="000000" w:themeColor="text1"/>
          <w:lang w:val="es-ES_tradnl"/>
        </w:rPr>
        <w:t>)</w:t>
      </w:r>
      <w:r w:rsidRPr="00137F70">
        <w:rPr>
          <w:rFonts w:ascii="Verdana" w:eastAsia="Calibri" w:hAnsi="Verdana" w:cs="Arial"/>
          <w:bCs/>
          <w:i/>
          <w:iCs/>
          <w:color w:val="000000" w:themeColor="text1"/>
          <w:lang w:val="es-ES_tradnl"/>
        </w:rPr>
        <w:t xml:space="preserve">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37A6BD6A" w14:textId="77777777" w:rsidR="00033F30" w:rsidRPr="00137F70" w:rsidRDefault="00033F30" w:rsidP="00033F30">
      <w:pPr>
        <w:spacing w:before="120" w:line="276" w:lineRule="auto"/>
        <w:ind w:firstLine="709"/>
        <w:jc w:val="both"/>
        <w:rPr>
          <w:rFonts w:ascii="Verdana" w:hAnsi="Verdana"/>
        </w:rPr>
      </w:pPr>
      <w:r w:rsidRPr="3584D201">
        <w:rPr>
          <w:rFonts w:ascii="Verdana" w:eastAsia="Calibri" w:hAnsi="Verdana" w:cs="Arial"/>
          <w:color w:val="000000" w:themeColor="text1"/>
          <w:lang w:val="es-ES"/>
        </w:rPr>
        <w:t xml:space="preserve">De conformidad con lo anterior, el citado artículo 355 establece el régimen de la contratación con ESALES, el cual –además de extenderse a los </w:t>
      </w:r>
      <w:r w:rsidRPr="3584D201">
        <w:rPr>
          <w:rFonts w:ascii="Verdana" w:eastAsia="Calibri" w:hAnsi="Verdana" w:cs="Arial"/>
          <w:i/>
          <w:color w:val="000000" w:themeColor="text1"/>
          <w:lang w:val="es-ES"/>
        </w:rPr>
        <w:t xml:space="preserve">convenios </w:t>
      </w:r>
      <w:r w:rsidRPr="3584D201">
        <w:rPr>
          <w:rFonts w:ascii="Verdana" w:eastAsia="Calibri" w:hAnsi="Verdana" w:cs="Arial"/>
          <w:i/>
          <w:color w:val="000000" w:themeColor="text1"/>
          <w:lang w:val="es-ES"/>
        </w:rPr>
        <w:lastRenderedPageBreak/>
        <w:t>de asociación</w:t>
      </w:r>
      <w:r w:rsidRPr="3584D201">
        <w:rPr>
          <w:rFonts w:ascii="Verdana" w:eastAsia="Calibri" w:hAnsi="Verdana" w:cs="Arial"/>
          <w:color w:val="000000" w:themeColor="text1"/>
          <w:lang w:val="es-ES"/>
        </w:rPr>
        <w:t xml:space="preserve"> en virtud de lo dispuesto en el artículo 96 de la Ley 489 de 1998– se desarrolló a través del Decreto 092 de 2017. Esta contratación, si bien está regulada, principalmente, por dicho decreto autónomo, también está sometida a las prohibiciones, inhabilidades e incompatibilidades establecidas en la Constitución y en las Leyes 80 de 1993, 1150 de 2007 y 1474 de 2011, según reconoce el artículo 6 del decreto</w:t>
      </w:r>
      <w:r w:rsidRPr="3584D201">
        <w:rPr>
          <w:rStyle w:val="Refdenotaalpie"/>
          <w:rFonts w:ascii="Verdana" w:eastAsia="Calibri" w:hAnsi="Verdana" w:cs="Arial"/>
          <w:color w:val="000000" w:themeColor="text1"/>
          <w:lang w:val="es-ES"/>
        </w:rPr>
        <w:footnoteReference w:id="7"/>
      </w:r>
      <w:r w:rsidRPr="3584D201">
        <w:rPr>
          <w:rFonts w:ascii="Verdana" w:eastAsia="Calibri" w:hAnsi="Verdana" w:cs="Arial"/>
          <w:color w:val="000000" w:themeColor="text1"/>
          <w:lang w:val="es-ES"/>
        </w:rPr>
        <w:t>, así como a los principios de la contratación estatal y las normas presupuestales, según indica el artículo 7</w:t>
      </w:r>
      <w:r w:rsidRPr="3584D201">
        <w:rPr>
          <w:rStyle w:val="Refdenotaalpie"/>
          <w:rFonts w:ascii="Verdana" w:eastAsia="Calibri" w:hAnsi="Verdana" w:cs="Arial"/>
          <w:color w:val="000000" w:themeColor="text1"/>
          <w:lang w:val="es-ES"/>
        </w:rPr>
        <w:footnoteReference w:id="8"/>
      </w:r>
      <w:r w:rsidRPr="3584D201">
        <w:rPr>
          <w:rFonts w:ascii="Verdana" w:eastAsia="Calibri" w:hAnsi="Verdana" w:cs="Arial"/>
          <w:color w:val="000000" w:themeColor="text1"/>
          <w:lang w:val="es-ES"/>
        </w:rPr>
        <w:t>. A su vez, el artículo de esta normativa integra las disposiciones generales del sistema de compra pública, en lo no regulado por el Decreto 092 de 2017</w:t>
      </w:r>
      <w:r w:rsidRPr="3584D201">
        <w:rPr>
          <w:rStyle w:val="Refdenotaalpie"/>
          <w:rFonts w:ascii="Verdana" w:eastAsia="Calibri" w:hAnsi="Verdana" w:cs="Arial"/>
          <w:color w:val="000000" w:themeColor="text1"/>
          <w:lang w:val="es-ES"/>
        </w:rPr>
        <w:footnoteReference w:id="9"/>
      </w:r>
      <w:r w:rsidRPr="3584D201">
        <w:rPr>
          <w:rFonts w:ascii="Verdana" w:eastAsia="Calibri" w:hAnsi="Verdana" w:cs="Arial"/>
          <w:color w:val="000000" w:themeColor="text1"/>
          <w:lang w:val="es-ES"/>
        </w:rPr>
        <w:t xml:space="preserve">.  Estas normas integran las lagunas o vacíos normativos del reglamento autónomo, y se aplican a todo lo que no esté expresamente regulado en él. Por ello no es posible aplicar ninguna de las disposiciones anteriormente citadas en temas como la competencia para celebrar los </w:t>
      </w:r>
      <w:r w:rsidRPr="3584D201">
        <w:rPr>
          <w:rFonts w:ascii="Verdana" w:eastAsia="Calibri" w:hAnsi="Verdana" w:cs="Arial"/>
          <w:i/>
          <w:color w:val="000000" w:themeColor="text1"/>
          <w:lang w:val="es-ES"/>
        </w:rPr>
        <w:t xml:space="preserve">contratos del artículo 355 de la Constitución </w:t>
      </w:r>
      <w:r w:rsidRPr="3584D201">
        <w:rPr>
          <w:rFonts w:ascii="Verdana" w:eastAsia="Calibri" w:hAnsi="Verdana" w:cs="Arial"/>
          <w:color w:val="000000" w:themeColor="text1"/>
          <w:lang w:val="es-ES"/>
        </w:rPr>
        <w:t xml:space="preserve">y la indelegabilidad de la autorización –art. 2–, la idoneidad de las ESAL –art. 3–, su registro en el SECOP –art. 9– y la inaplicación del registro único de proponentes –art. </w:t>
      </w:r>
    </w:p>
    <w:p w14:paraId="6A9CB4A4" w14:textId="42EF2482" w:rsidR="001E690B" w:rsidRPr="00137F70" w:rsidRDefault="001E690B" w:rsidP="00033F30">
      <w:pPr>
        <w:spacing w:after="120" w:line="276" w:lineRule="auto"/>
        <w:ind w:firstLine="709"/>
        <w:jc w:val="both"/>
        <w:rPr>
          <w:rFonts w:ascii="Verdana" w:eastAsia="Times New Roman" w:hAnsi="Verdana" w:cs="Arial"/>
          <w:lang w:eastAsia="es-ES_tradnl"/>
        </w:rPr>
      </w:pPr>
      <w:r w:rsidRPr="00137F70">
        <w:rPr>
          <w:rFonts w:ascii="Verdana" w:eastAsia="Times New Roman" w:hAnsi="Verdana" w:cs="Arial"/>
          <w:lang w:eastAsia="es-ES_tradnl"/>
        </w:rPr>
        <w:t>Por otro lado, el artículo 8 del Decreto 092 de 2017, dispone que: “</w:t>
      </w:r>
      <w:r w:rsidRPr="00137F70">
        <w:rPr>
          <w:rFonts w:ascii="Verdana" w:hAnsi="Verdana" w:cs="Arial"/>
          <w:color w:val="000000"/>
          <w:szCs w:val="21"/>
        </w:rPr>
        <w:t>La contratación a la que hace referencia el presente decreto está sujeta a las normas generales aplicables a</w:t>
      </w:r>
      <w:r w:rsidRPr="00137F70">
        <w:rPr>
          <w:rFonts w:ascii="Verdana" w:eastAsia="Times New Roman" w:hAnsi="Verdana" w:cs="Arial"/>
          <w:lang w:eastAsia="es-ES_tradnl"/>
        </w:rPr>
        <w:t xml:space="preserve"> la contratación pública excepto en lo reglamentado en el presente decreto “; de tal suerte, que las características que le son aplicables a los </w:t>
      </w:r>
      <w:proofErr w:type="gramStart"/>
      <w:r w:rsidRPr="00137F70">
        <w:rPr>
          <w:rFonts w:ascii="Verdana" w:eastAsia="Times New Roman" w:hAnsi="Verdana" w:cs="Arial"/>
          <w:lang w:eastAsia="es-ES_tradnl"/>
        </w:rPr>
        <w:t>procesos,</w:t>
      </w:r>
      <w:proofErr w:type="gramEnd"/>
      <w:r w:rsidRPr="00137F70">
        <w:rPr>
          <w:rFonts w:ascii="Verdana" w:eastAsia="Times New Roman" w:hAnsi="Verdana" w:cs="Arial"/>
          <w:lang w:eastAsia="es-ES_tradnl"/>
        </w:rPr>
        <w:t xml:space="preserve"> son los establecidos en el Decreto en comento.</w:t>
      </w:r>
    </w:p>
    <w:p w14:paraId="59E4752B" w14:textId="0EC4CC18" w:rsidR="001E690B" w:rsidRPr="00137F70" w:rsidRDefault="001E690B" w:rsidP="00033F30">
      <w:pPr>
        <w:spacing w:after="120" w:line="276" w:lineRule="auto"/>
        <w:ind w:firstLine="709"/>
        <w:jc w:val="both"/>
        <w:rPr>
          <w:rStyle w:val="Textoennegrita"/>
          <w:rFonts w:ascii="Verdana" w:hAnsi="Verdana" w:cs="Arial"/>
          <w:b w:val="0"/>
          <w:color w:val="000000"/>
        </w:rPr>
      </w:pPr>
      <w:r w:rsidRPr="00137F70">
        <w:rPr>
          <w:rFonts w:ascii="Verdana" w:eastAsia="Times New Roman" w:hAnsi="Verdana" w:cs="Arial"/>
          <w:lang w:eastAsia="es-ES_tradnl"/>
        </w:rPr>
        <w:t xml:space="preserve">Ahora bien, el artículo </w:t>
      </w:r>
      <w:r w:rsidRPr="00137F70">
        <w:rPr>
          <w:rStyle w:val="Textoennegrita"/>
          <w:rFonts w:ascii="Verdana" w:hAnsi="Verdana" w:cs="Arial"/>
          <w:b w:val="0"/>
          <w:color w:val="000000"/>
        </w:rPr>
        <w:t xml:space="preserve">2.2.1.2.1.4.1 del Decreto 1082 de 2015, establece lo referente al Acto administrativo de justificación de contratación directa, en los siguientes términos: </w:t>
      </w:r>
    </w:p>
    <w:p w14:paraId="6FAD024A" w14:textId="5B597007" w:rsidR="001E690B" w:rsidRPr="00137F70" w:rsidRDefault="00FA50B4" w:rsidP="00FA50B4">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1"/>
          <w:szCs w:val="21"/>
        </w:rPr>
        <w:t xml:space="preserve">(…) </w:t>
      </w:r>
      <w:r w:rsidR="001E690B" w:rsidRPr="00137F70">
        <w:rPr>
          <w:rFonts w:ascii="Verdana" w:hAnsi="Verdana" w:cs="Arial"/>
          <w:color w:val="000000"/>
          <w:sz w:val="20"/>
          <w:szCs w:val="21"/>
        </w:rPr>
        <w:t>La Entidad Estatal debe señalar en un acto administrativo la justificación para contratar bajo la modalidad de contratación directa, el cual debe contener: </w:t>
      </w:r>
    </w:p>
    <w:p w14:paraId="5B3DBEA7" w14:textId="77777777" w:rsidR="001E690B" w:rsidRPr="00137F70" w:rsidRDefault="001E690B" w:rsidP="00FA50B4">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  </w:t>
      </w:r>
    </w:p>
    <w:p w14:paraId="6AC7EA8D" w14:textId="77777777" w:rsidR="001E690B" w:rsidRPr="00137F70" w:rsidRDefault="001E690B" w:rsidP="00FA50B4">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1. La causal que invoca para contratar directamente. </w:t>
      </w:r>
    </w:p>
    <w:p w14:paraId="127E13EB" w14:textId="77777777" w:rsidR="001E690B" w:rsidRPr="00137F70" w:rsidRDefault="001E690B" w:rsidP="00FA50B4">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  </w:t>
      </w:r>
    </w:p>
    <w:p w14:paraId="09CED90B" w14:textId="77777777" w:rsidR="001E690B" w:rsidRPr="00137F70" w:rsidRDefault="001E690B" w:rsidP="00FA50B4">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2. El objeto del contrato. </w:t>
      </w:r>
    </w:p>
    <w:p w14:paraId="5F693716" w14:textId="77777777" w:rsidR="001E690B" w:rsidRPr="00137F70" w:rsidRDefault="001E690B" w:rsidP="00FA50B4">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lastRenderedPageBreak/>
        <w:t>  </w:t>
      </w:r>
    </w:p>
    <w:p w14:paraId="62733AC1" w14:textId="77777777" w:rsidR="001E690B" w:rsidRPr="00137F70" w:rsidRDefault="001E690B" w:rsidP="00FA50B4">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3. El presupuesto para la contratación y las condiciones que exigirá al contratista. </w:t>
      </w:r>
    </w:p>
    <w:p w14:paraId="79A1F04D" w14:textId="77777777" w:rsidR="001E690B" w:rsidRPr="00137F70" w:rsidRDefault="001E690B" w:rsidP="00FA50B4">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  </w:t>
      </w:r>
    </w:p>
    <w:p w14:paraId="548CB348" w14:textId="77777777" w:rsidR="001E690B" w:rsidRPr="00137F70" w:rsidRDefault="001E690B" w:rsidP="00FA50B4">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4. El lugar en el cual los interesados pueden consultar los estudios y documentos previos. </w:t>
      </w:r>
    </w:p>
    <w:p w14:paraId="34C6ADFE" w14:textId="77777777" w:rsidR="001E690B" w:rsidRPr="00137F70" w:rsidRDefault="001E690B" w:rsidP="00FA50B4">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  </w:t>
      </w:r>
    </w:p>
    <w:p w14:paraId="450DC523" w14:textId="77777777" w:rsidR="001E690B" w:rsidRPr="00137F70" w:rsidRDefault="001E690B" w:rsidP="00FA50B4">
      <w:pPr>
        <w:pStyle w:val="NormalWeb"/>
        <w:spacing w:before="0" w:beforeAutospacing="0" w:after="0" w:afterAutospacing="0"/>
        <w:ind w:left="567" w:right="1183"/>
        <w:jc w:val="both"/>
        <w:rPr>
          <w:rFonts w:ascii="Verdana" w:hAnsi="Verdana" w:cs="Arial"/>
          <w:color w:val="000000"/>
          <w:sz w:val="21"/>
          <w:szCs w:val="21"/>
        </w:rPr>
      </w:pPr>
      <w:r w:rsidRPr="00137F70">
        <w:rPr>
          <w:rFonts w:ascii="Verdana" w:hAnsi="Verdana" w:cs="Arial"/>
          <w:color w:val="000000"/>
          <w:sz w:val="20"/>
          <w:szCs w:val="21"/>
        </w:rPr>
        <w:t>Este acto administrativo no es necesario cuando el contrato a celebrar es de prestación de servicios profesionales y de apoyo a la gestión, y para los contratos de que tratan los literales (a) y (b) del artículo 2.2.1.2.1.4.3 del presente decreto</w:t>
      </w:r>
      <w:r w:rsidRPr="00137F70">
        <w:rPr>
          <w:rFonts w:ascii="Verdana" w:hAnsi="Verdana" w:cs="Arial"/>
          <w:color w:val="000000"/>
          <w:sz w:val="21"/>
          <w:szCs w:val="21"/>
        </w:rPr>
        <w:t>. </w:t>
      </w:r>
    </w:p>
    <w:p w14:paraId="0E949417" w14:textId="3D162285" w:rsidR="001E690B" w:rsidRPr="00137F70" w:rsidRDefault="001E690B" w:rsidP="00033F30">
      <w:pPr>
        <w:spacing w:after="120" w:line="276" w:lineRule="auto"/>
        <w:ind w:firstLine="709"/>
        <w:jc w:val="both"/>
        <w:rPr>
          <w:rFonts w:ascii="Verdana" w:eastAsia="Times New Roman" w:hAnsi="Verdana" w:cs="Arial"/>
          <w:lang w:eastAsia="es-ES_tradnl"/>
        </w:rPr>
      </w:pPr>
    </w:p>
    <w:p w14:paraId="15370B75" w14:textId="65518B62" w:rsidR="00FA50B4" w:rsidRPr="00137F70" w:rsidRDefault="00FA50B4" w:rsidP="00FA50B4">
      <w:pPr>
        <w:spacing w:after="120" w:line="276" w:lineRule="auto"/>
        <w:jc w:val="both"/>
        <w:rPr>
          <w:rFonts w:ascii="Verdana" w:eastAsia="Times New Roman" w:hAnsi="Verdana" w:cs="Arial"/>
          <w:lang w:eastAsia="es-ES_tradnl"/>
        </w:rPr>
      </w:pPr>
      <w:r w:rsidRPr="00137F70">
        <w:rPr>
          <w:rFonts w:ascii="Verdana" w:eastAsia="Times New Roman" w:hAnsi="Verdana" w:cs="Arial"/>
          <w:lang w:eastAsia="es-ES_tradnl"/>
        </w:rPr>
        <w:tab/>
      </w:r>
      <w:r w:rsidRPr="3584D201">
        <w:rPr>
          <w:rFonts w:ascii="Verdana" w:eastAsia="Times New Roman" w:hAnsi="Verdana" w:cs="Arial"/>
          <w:lang w:eastAsia="es-ES"/>
        </w:rPr>
        <w:t>De lo establecido en el inciso inicial, se evidencia que el acto administrativo de justificación de contratación directa deberá ser expedido para llevar a cabo la celebración de contratos en atención a la modalidad de contratación establecida en el numeral 4 del artículo 2 de la Ley 1150 de 2007</w:t>
      </w:r>
      <w:r w:rsidRPr="3584D201">
        <w:rPr>
          <w:rStyle w:val="Refdenotaalpie"/>
          <w:rFonts w:ascii="Verdana" w:eastAsia="Times New Roman" w:hAnsi="Verdana" w:cs="Arial"/>
          <w:lang w:eastAsia="es-ES"/>
        </w:rPr>
        <w:footnoteReference w:id="10"/>
      </w:r>
      <w:r w:rsidRPr="3584D201">
        <w:rPr>
          <w:rFonts w:ascii="Verdana" w:eastAsia="Times New Roman" w:hAnsi="Verdana" w:cs="Arial"/>
          <w:lang w:eastAsia="es-ES"/>
        </w:rPr>
        <w:t>, excepto para los contratos de prestación de servicios profesionales y de apoyo a la gestión, los contratos de empréstito y los contratos interadministrativos que celebre el Ministerio de Hacienda y Crédito Público con el Banco de la República.</w:t>
      </w:r>
    </w:p>
    <w:p w14:paraId="7837AD39" w14:textId="77777777" w:rsidR="00AB23A8" w:rsidRPr="00137F70" w:rsidRDefault="00AB23A8" w:rsidP="00AB23A8">
      <w:pPr>
        <w:spacing w:after="0" w:line="256" w:lineRule="auto"/>
        <w:rPr>
          <w:rFonts w:ascii="Verdana" w:eastAsia="Calibri" w:hAnsi="Verdana" w:cs="Times New Roman"/>
          <w:lang w:val="es-ES"/>
        </w:rPr>
      </w:pPr>
    </w:p>
    <w:p w14:paraId="0AFD6C9B" w14:textId="77777777" w:rsidR="00AB23A8" w:rsidRPr="00137F70" w:rsidRDefault="00AB23A8" w:rsidP="00AB23A8">
      <w:pPr>
        <w:numPr>
          <w:ilvl w:val="0"/>
          <w:numId w:val="16"/>
        </w:numPr>
        <w:spacing w:after="0" w:line="256" w:lineRule="auto"/>
        <w:ind w:left="0" w:firstLine="0"/>
        <w:rPr>
          <w:rFonts w:ascii="Verdana" w:eastAsia="Calibri" w:hAnsi="Verdana" w:cs="Times New Roman"/>
          <w:b/>
          <w:bCs/>
          <w:lang w:val="es-ES"/>
        </w:rPr>
      </w:pPr>
      <w:r w:rsidRPr="00137F70">
        <w:rPr>
          <w:rFonts w:ascii="Verdana" w:eastAsia="Calibri" w:hAnsi="Verdana" w:cs="Times New Roman"/>
          <w:b/>
          <w:bCs/>
          <w:lang w:val="es-ES"/>
        </w:rPr>
        <w:t>Referencias normativas, jurisprudenciales y otras fuentes:</w:t>
      </w:r>
    </w:p>
    <w:p w14:paraId="373C2464" w14:textId="77777777" w:rsidR="00AB23A8" w:rsidRPr="00137F70" w:rsidRDefault="00AB23A8" w:rsidP="00AB23A8">
      <w:pPr>
        <w:spacing w:after="0" w:line="256" w:lineRule="auto"/>
        <w:rPr>
          <w:rFonts w:ascii="Verdana" w:eastAsia="Calibri" w:hAnsi="Verdana" w:cs="Times New Roman"/>
          <w:bCs/>
          <w:lang w:val="es-ES_tradnl"/>
        </w:rPr>
      </w:pPr>
    </w:p>
    <w:p w14:paraId="7B767CCA" w14:textId="77777777" w:rsidR="00033F30" w:rsidRPr="00137F70" w:rsidRDefault="00033F30" w:rsidP="00033F30">
      <w:pPr>
        <w:pStyle w:val="Prrafodelista"/>
        <w:numPr>
          <w:ilvl w:val="0"/>
          <w:numId w:val="18"/>
        </w:numPr>
        <w:spacing w:after="0" w:line="276" w:lineRule="auto"/>
        <w:ind w:right="709"/>
        <w:rPr>
          <w:rFonts w:ascii="Verdana" w:hAnsi="Verdana" w:cs="Arial"/>
          <w:color w:val="000000" w:themeColor="text1"/>
          <w:lang w:val="es-ES_tradnl"/>
        </w:rPr>
      </w:pPr>
      <w:r w:rsidRPr="00137F70">
        <w:rPr>
          <w:rFonts w:ascii="Verdana" w:hAnsi="Verdana" w:cs="Arial"/>
          <w:color w:val="000000" w:themeColor="text1"/>
          <w:lang w:val="es-ES_tradnl"/>
        </w:rPr>
        <w:t xml:space="preserve">Constitución Política de Colombia, artículo 355. Disponible en:  </w:t>
      </w:r>
    </w:p>
    <w:p w14:paraId="0B9E515D" w14:textId="7D3FBAD3" w:rsidR="00033F30" w:rsidRDefault="00033F30" w:rsidP="00033F30">
      <w:pPr>
        <w:pStyle w:val="Prrafodelista"/>
        <w:spacing w:after="0" w:line="276" w:lineRule="auto"/>
        <w:ind w:right="709"/>
        <w:jc w:val="both"/>
        <w:rPr>
          <w:rStyle w:val="Hipervnculo"/>
          <w:rFonts w:ascii="Verdana" w:hAnsi="Verdana" w:cs="Arial"/>
          <w:lang w:val="es-ES_tradnl"/>
        </w:rPr>
      </w:pPr>
      <w:hyperlink r:id="rId13" w:history="1">
        <w:r w:rsidRPr="00137F70">
          <w:rPr>
            <w:rStyle w:val="Hipervnculo"/>
            <w:rFonts w:ascii="Verdana" w:hAnsi="Verdana" w:cs="Arial"/>
            <w:lang w:val="es-ES_tradnl"/>
          </w:rPr>
          <w:t>https://relatoria.colombiacompra.gov.co/normativa/constitucion-politica-de-colombia/</w:t>
        </w:r>
      </w:hyperlink>
    </w:p>
    <w:p w14:paraId="4029F639" w14:textId="662E2597" w:rsidR="00E52A6B" w:rsidRDefault="00E52A6B" w:rsidP="00E52A6B">
      <w:pPr>
        <w:pStyle w:val="Prrafodelista"/>
        <w:numPr>
          <w:ilvl w:val="0"/>
          <w:numId w:val="18"/>
        </w:numPr>
        <w:spacing w:after="0" w:line="276" w:lineRule="auto"/>
        <w:ind w:right="709"/>
        <w:jc w:val="both"/>
        <w:rPr>
          <w:rFonts w:ascii="Verdana" w:hAnsi="Verdana" w:cs="Arial"/>
          <w:color w:val="000000" w:themeColor="text1"/>
          <w:lang w:val="es-ES_tradnl"/>
        </w:rPr>
      </w:pPr>
      <w:r>
        <w:rPr>
          <w:rFonts w:ascii="Verdana" w:hAnsi="Verdana" w:cs="Arial"/>
          <w:color w:val="000000" w:themeColor="text1"/>
          <w:lang w:val="es-ES_tradnl"/>
        </w:rPr>
        <w:t xml:space="preserve">Ley 489 de 1998, artículo 96. Disponible en: </w:t>
      </w:r>
      <w:hyperlink r:id="rId14" w:history="1">
        <w:r w:rsidRPr="004C5778">
          <w:rPr>
            <w:rStyle w:val="Hipervnculo"/>
            <w:rFonts w:ascii="Verdana" w:hAnsi="Verdana" w:cs="Arial"/>
            <w:lang w:val="es-ES_tradnl"/>
          </w:rPr>
          <w:t>https://relatoria.colombiacompra.gov.co/normativa/ley-489-de-1998/</w:t>
        </w:r>
      </w:hyperlink>
    </w:p>
    <w:p w14:paraId="74FE189C" w14:textId="77777777" w:rsidR="00E52A6B" w:rsidRDefault="00E52A6B" w:rsidP="00E52A6B">
      <w:pPr>
        <w:pStyle w:val="Prrafodelista"/>
        <w:spacing w:after="0" w:line="276" w:lineRule="auto"/>
        <w:ind w:right="709"/>
        <w:jc w:val="both"/>
        <w:rPr>
          <w:rFonts w:ascii="Verdana" w:hAnsi="Verdana" w:cs="Arial"/>
          <w:color w:val="000000" w:themeColor="text1"/>
          <w:lang w:val="es-ES_tradnl"/>
        </w:rPr>
      </w:pPr>
    </w:p>
    <w:p w14:paraId="054F1B06" w14:textId="7CE245E0" w:rsidR="00E52A6B" w:rsidRDefault="00E52A6B" w:rsidP="00E52A6B">
      <w:pPr>
        <w:pStyle w:val="Prrafodelista"/>
        <w:numPr>
          <w:ilvl w:val="0"/>
          <w:numId w:val="18"/>
        </w:numPr>
        <w:spacing w:after="0" w:line="276" w:lineRule="auto"/>
        <w:ind w:right="709"/>
        <w:jc w:val="both"/>
        <w:rPr>
          <w:rFonts w:ascii="Verdana" w:hAnsi="Verdana" w:cs="Arial"/>
          <w:color w:val="000000" w:themeColor="text1"/>
          <w:lang w:val="es-ES_tradnl"/>
        </w:rPr>
      </w:pPr>
      <w:r>
        <w:rPr>
          <w:rFonts w:ascii="Verdana" w:hAnsi="Verdana" w:cs="Arial"/>
          <w:color w:val="000000" w:themeColor="text1"/>
          <w:lang w:val="es-ES_tradnl"/>
        </w:rPr>
        <w:lastRenderedPageBreak/>
        <w:t xml:space="preserve">Ley 1150 de 2007, artículo 2. Disponible en: </w:t>
      </w:r>
      <w:hyperlink r:id="rId15" w:history="1">
        <w:r w:rsidRPr="004C5778">
          <w:rPr>
            <w:rStyle w:val="Hipervnculo"/>
            <w:rFonts w:ascii="Verdana" w:hAnsi="Verdana" w:cs="Arial"/>
            <w:lang w:val="es-ES_tradnl"/>
          </w:rPr>
          <w:t>https://relatoria.colombiacompra.gov.co/normativa/ley-1150-de-2007/</w:t>
        </w:r>
      </w:hyperlink>
    </w:p>
    <w:p w14:paraId="0F9F8EF3" w14:textId="77777777" w:rsidR="00E52A6B" w:rsidRPr="00E52A6B" w:rsidRDefault="00E52A6B" w:rsidP="00E52A6B">
      <w:pPr>
        <w:pStyle w:val="Prrafodelista"/>
        <w:rPr>
          <w:rFonts w:ascii="Verdana" w:hAnsi="Verdana" w:cs="Arial"/>
          <w:color w:val="000000" w:themeColor="text1"/>
          <w:lang w:val="es-ES_tradnl"/>
        </w:rPr>
      </w:pPr>
    </w:p>
    <w:p w14:paraId="59751BF9" w14:textId="3978323B" w:rsidR="00033F30" w:rsidRPr="00137F70" w:rsidRDefault="00E52A6B" w:rsidP="00033F30">
      <w:pPr>
        <w:pStyle w:val="Prrafodelista"/>
        <w:numPr>
          <w:ilvl w:val="0"/>
          <w:numId w:val="18"/>
        </w:numPr>
        <w:spacing w:after="0" w:line="276" w:lineRule="auto"/>
        <w:ind w:right="709"/>
        <w:jc w:val="both"/>
        <w:rPr>
          <w:rFonts w:ascii="Verdana" w:hAnsi="Verdana" w:cs="Arial"/>
          <w:color w:val="000000" w:themeColor="text1"/>
          <w:lang w:val="es-ES_tradnl"/>
        </w:rPr>
      </w:pPr>
      <w:r w:rsidRPr="00137F70">
        <w:rPr>
          <w:rFonts w:ascii="Verdana" w:hAnsi="Verdana" w:cs="Arial"/>
          <w:color w:val="000000" w:themeColor="text1"/>
          <w:lang w:val="es-ES_tradnl"/>
        </w:rPr>
        <w:t>Decreto 092 de 2017</w:t>
      </w:r>
      <w:r>
        <w:rPr>
          <w:rFonts w:ascii="Verdana" w:hAnsi="Verdana" w:cs="Arial"/>
          <w:color w:val="000000" w:themeColor="text1"/>
          <w:lang w:val="es-ES_tradnl"/>
        </w:rPr>
        <w:t xml:space="preserve">, </w:t>
      </w:r>
      <w:r w:rsidR="00033F30" w:rsidRPr="00137F70">
        <w:rPr>
          <w:rFonts w:ascii="Verdana" w:hAnsi="Verdana" w:cs="Arial"/>
          <w:color w:val="000000" w:themeColor="text1"/>
          <w:lang w:val="es-ES_tradnl"/>
        </w:rPr>
        <w:t xml:space="preserve">Artículo 5 y 8 del. </w:t>
      </w:r>
      <w:hyperlink r:id="rId16" w:history="1">
        <w:r w:rsidR="00033F30" w:rsidRPr="00137F70">
          <w:rPr>
            <w:rStyle w:val="Hipervnculo"/>
            <w:rFonts w:ascii="Verdana" w:hAnsi="Verdana" w:cs="Arial"/>
            <w:lang w:val="es-ES_tradnl"/>
          </w:rPr>
          <w:t>https://relatoria.colombiacompra.gov.co/normativa/decreto-092-de-2017/</w:t>
        </w:r>
      </w:hyperlink>
    </w:p>
    <w:p w14:paraId="7CBF12EB" w14:textId="34D05C9C" w:rsidR="00033F30" w:rsidRPr="00E52A6B" w:rsidRDefault="00033F30" w:rsidP="00033F30">
      <w:pPr>
        <w:pStyle w:val="Prrafodelista"/>
        <w:numPr>
          <w:ilvl w:val="0"/>
          <w:numId w:val="18"/>
        </w:numPr>
        <w:spacing w:after="0" w:line="276" w:lineRule="auto"/>
        <w:ind w:right="709"/>
        <w:jc w:val="both"/>
        <w:rPr>
          <w:rStyle w:val="Hipervnculo"/>
          <w:rFonts w:ascii="Verdana" w:hAnsi="Verdana" w:cs="Arial"/>
          <w:color w:val="000000" w:themeColor="text1"/>
          <w:u w:val="none"/>
          <w:lang w:val="es-ES_tradnl"/>
        </w:rPr>
      </w:pPr>
      <w:r w:rsidRPr="00137F70">
        <w:rPr>
          <w:rFonts w:ascii="Verdana" w:eastAsia="Times New Roman" w:hAnsi="Verdana" w:cs="Arial"/>
          <w:lang w:val="es-MX" w:eastAsia="es-ES_tradnl"/>
        </w:rPr>
        <w:t>Decreto 1082 de 2015</w:t>
      </w:r>
      <w:r w:rsidR="00E52A6B">
        <w:rPr>
          <w:rFonts w:ascii="Verdana" w:eastAsia="Times New Roman" w:hAnsi="Verdana" w:cs="Arial"/>
          <w:lang w:val="es-MX" w:eastAsia="es-ES_tradnl"/>
        </w:rPr>
        <w:t xml:space="preserve">, Artículo </w:t>
      </w:r>
      <w:r w:rsidR="00E52A6B" w:rsidRPr="00137F70">
        <w:rPr>
          <w:rStyle w:val="Textoennegrita"/>
          <w:rFonts w:ascii="Verdana" w:hAnsi="Verdana" w:cs="Arial"/>
          <w:b w:val="0"/>
          <w:color w:val="000000"/>
        </w:rPr>
        <w:t>2.2.1.2.1.4.1</w:t>
      </w:r>
      <w:r w:rsidRPr="00137F70">
        <w:rPr>
          <w:rFonts w:ascii="Verdana" w:eastAsia="Times New Roman" w:hAnsi="Verdana" w:cs="Arial"/>
          <w:lang w:val="es-MX" w:eastAsia="es-ES_tradnl"/>
        </w:rPr>
        <w:t xml:space="preserve">. </w:t>
      </w:r>
      <w:hyperlink r:id="rId17" w:history="1">
        <w:r w:rsidRPr="00137F70">
          <w:rPr>
            <w:rStyle w:val="Hipervnculo"/>
            <w:rFonts w:ascii="Verdana" w:eastAsia="Times New Roman" w:hAnsi="Verdana" w:cs="Arial"/>
            <w:lang w:val="es-MX" w:eastAsia="es-ES_tradnl"/>
          </w:rPr>
          <w:t>https://relatoria.colombiacompra.gov.co/normativa/decreto-1082-de-2015/</w:t>
        </w:r>
      </w:hyperlink>
    </w:p>
    <w:p w14:paraId="0F81F25F" w14:textId="77777777" w:rsidR="00033F30" w:rsidRPr="00137F70" w:rsidRDefault="00033F30" w:rsidP="00033F30">
      <w:pPr>
        <w:pStyle w:val="Prrafodelista"/>
        <w:spacing w:line="276" w:lineRule="auto"/>
        <w:ind w:right="709"/>
        <w:jc w:val="both"/>
        <w:rPr>
          <w:rFonts w:ascii="Verdana" w:hAnsi="Verdana" w:cs="Arial"/>
          <w:color w:val="000000" w:themeColor="text1"/>
          <w:lang w:val="es-ES_tradnl"/>
        </w:rPr>
      </w:pPr>
    </w:p>
    <w:p w14:paraId="4E8D5859" w14:textId="77777777" w:rsidR="00AB23A8" w:rsidRPr="00137F70" w:rsidRDefault="00AB23A8" w:rsidP="00AB23A8">
      <w:pPr>
        <w:numPr>
          <w:ilvl w:val="0"/>
          <w:numId w:val="16"/>
        </w:numPr>
        <w:spacing w:after="0" w:line="256" w:lineRule="auto"/>
        <w:ind w:left="0" w:firstLine="0"/>
        <w:rPr>
          <w:rFonts w:ascii="Verdana" w:eastAsia="Calibri" w:hAnsi="Verdana" w:cs="Times New Roman"/>
          <w:b/>
          <w:bCs/>
          <w:lang w:val="es-ES"/>
        </w:rPr>
      </w:pPr>
      <w:r w:rsidRPr="00137F70">
        <w:rPr>
          <w:rFonts w:ascii="Verdana" w:eastAsia="Calibri" w:hAnsi="Verdana" w:cs="Times New Roman"/>
          <w:b/>
          <w:bCs/>
          <w:lang w:val="es-ES"/>
        </w:rPr>
        <w:t>Doctrina de la Agencia Nacional de Contratación Pública:</w:t>
      </w:r>
    </w:p>
    <w:p w14:paraId="1F8320FB" w14:textId="77777777" w:rsidR="00AB23A8" w:rsidRPr="00137F70" w:rsidRDefault="00AB23A8" w:rsidP="00AB23A8">
      <w:pPr>
        <w:spacing w:after="0" w:line="256" w:lineRule="auto"/>
        <w:rPr>
          <w:rFonts w:ascii="Verdana" w:eastAsia="Calibri" w:hAnsi="Verdana" w:cs="Times New Roman"/>
          <w:lang w:val="es-ES"/>
        </w:rPr>
      </w:pPr>
    </w:p>
    <w:p w14:paraId="28BA36BF" w14:textId="0A0C6247" w:rsidR="001E690B" w:rsidRDefault="001E690B" w:rsidP="00E52A6B">
      <w:pPr>
        <w:widowControl w:val="0"/>
        <w:autoSpaceDE w:val="0"/>
        <w:autoSpaceDN w:val="0"/>
        <w:spacing w:after="0" w:line="276" w:lineRule="auto"/>
        <w:jc w:val="both"/>
        <w:rPr>
          <w:rStyle w:val="normaltextrun"/>
          <w:rFonts w:ascii="Verdana" w:hAnsi="Verdana" w:cs="Arial"/>
          <w:shd w:val="clear" w:color="auto" w:fill="FFFFFF"/>
        </w:rPr>
      </w:pPr>
      <w:r w:rsidRPr="00137F70">
        <w:rPr>
          <w:rStyle w:val="normaltextrun"/>
          <w:rFonts w:ascii="Verdana" w:hAnsi="Verdana" w:cs="Arial"/>
          <w:shd w:val="clear" w:color="auto" w:fill="FFFFFF"/>
        </w:rPr>
        <w:t>La Agencia Nacional de Contratación Pública – Colombia Compra Eficiente analizó el régimen de los convenios de asociación regulados en el artículo 355 de la Constitución y en el Decreto 092 de 2017, entre otros, en los conceptos con 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 C-274 del 05 de mayo de 2022, C-045 del 25 de abril de 2024</w:t>
      </w:r>
      <w:r w:rsidR="00E52A6B">
        <w:rPr>
          <w:rStyle w:val="normaltextrun"/>
          <w:rFonts w:ascii="Verdana" w:hAnsi="Verdana" w:cs="Arial"/>
          <w:shd w:val="clear" w:color="auto" w:fill="FFFFFF"/>
        </w:rPr>
        <w:t>,</w:t>
      </w:r>
      <w:r w:rsidRPr="00137F70">
        <w:rPr>
          <w:rStyle w:val="normaltextrun"/>
          <w:rFonts w:ascii="Verdana" w:hAnsi="Verdana" w:cs="Arial"/>
          <w:shd w:val="clear" w:color="auto" w:fill="FFFFFF"/>
        </w:rPr>
        <w:t xml:space="preserve">  C-115 del 16 de julio de 2024</w:t>
      </w:r>
      <w:r w:rsidR="00E52A6B">
        <w:rPr>
          <w:rStyle w:val="normaltextrun"/>
          <w:rFonts w:ascii="Verdana" w:hAnsi="Verdana" w:cs="Arial"/>
          <w:shd w:val="clear" w:color="auto" w:fill="FFFFFF"/>
        </w:rPr>
        <w:t xml:space="preserve"> y C-356 del 22 de julio de 2024.</w:t>
      </w:r>
    </w:p>
    <w:p w14:paraId="5BF7A3BF" w14:textId="77777777" w:rsidR="00E52A6B" w:rsidRPr="00137F70" w:rsidRDefault="00E52A6B" w:rsidP="00E52A6B">
      <w:pPr>
        <w:widowControl w:val="0"/>
        <w:autoSpaceDE w:val="0"/>
        <w:autoSpaceDN w:val="0"/>
        <w:spacing w:after="0" w:line="276" w:lineRule="auto"/>
        <w:jc w:val="both"/>
        <w:rPr>
          <w:rFonts w:ascii="Verdana" w:eastAsia="Calibri" w:hAnsi="Verdana" w:cs="Times New Roman"/>
        </w:rPr>
      </w:pPr>
    </w:p>
    <w:p w14:paraId="5AC550FE" w14:textId="56E4F5E5" w:rsidR="00AB23A8" w:rsidRPr="00137F70" w:rsidRDefault="00AB23A8" w:rsidP="00AB23A8">
      <w:pPr>
        <w:spacing w:after="0" w:line="256" w:lineRule="auto"/>
        <w:jc w:val="both"/>
        <w:rPr>
          <w:rFonts w:ascii="Verdana" w:eastAsia="Calibri" w:hAnsi="Verdana" w:cs="Times New Roman"/>
        </w:rPr>
      </w:pPr>
      <w:r w:rsidRPr="00137F70">
        <w:rPr>
          <w:rFonts w:ascii="Verdana" w:eastAsia="Calibri" w:hAnsi="Verdana" w:cs="Times New Roman"/>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w:t>
      </w:r>
    </w:p>
    <w:p w14:paraId="5EC10B32" w14:textId="77777777" w:rsidR="00AB23A8" w:rsidRPr="00137F70" w:rsidRDefault="00AB23A8" w:rsidP="00AB23A8">
      <w:pPr>
        <w:spacing w:after="0" w:line="256" w:lineRule="auto"/>
        <w:rPr>
          <w:rFonts w:ascii="Verdana" w:eastAsia="Calibri" w:hAnsi="Verdana" w:cs="Times New Roman"/>
        </w:rPr>
      </w:pPr>
    </w:p>
    <w:p w14:paraId="2ED75EB9" w14:textId="77777777" w:rsidR="00AB23A8" w:rsidRPr="00137F70" w:rsidRDefault="00AB23A8" w:rsidP="00AB23A8">
      <w:pPr>
        <w:spacing w:after="0" w:line="256" w:lineRule="auto"/>
        <w:rPr>
          <w:rFonts w:ascii="Verdana" w:eastAsia="Calibri" w:hAnsi="Verdana" w:cs="Times New Roman"/>
        </w:rPr>
      </w:pPr>
      <w:hyperlink r:id="rId18" w:history="1">
        <w:r w:rsidRPr="00137F70">
          <w:rPr>
            <w:rFonts w:ascii="Verdana" w:eastAsia="Calibri" w:hAnsi="Verdana" w:cs="Times New Roman"/>
            <w:color w:val="0000FF"/>
            <w:u w:val="single"/>
            <w:lang w:val="es-ES"/>
          </w:rPr>
          <w:t>https://relatoria.colombiacompra.gov.co/busqueda/conceptos</w:t>
        </w:r>
      </w:hyperlink>
      <w:r w:rsidRPr="00137F70">
        <w:rPr>
          <w:rFonts w:ascii="Verdana" w:eastAsia="Calibri" w:hAnsi="Verdana" w:cs="Times New Roman"/>
        </w:rPr>
        <w:t xml:space="preserve">. </w:t>
      </w:r>
    </w:p>
    <w:p w14:paraId="1759A5B8" w14:textId="77777777" w:rsidR="00AB23A8" w:rsidRPr="00137F70" w:rsidRDefault="00AB23A8" w:rsidP="00AB23A8">
      <w:pPr>
        <w:spacing w:after="0" w:line="256" w:lineRule="auto"/>
        <w:rPr>
          <w:rFonts w:ascii="Verdana" w:eastAsia="Calibri" w:hAnsi="Verdana" w:cs="Times New Roman"/>
        </w:rPr>
      </w:pPr>
    </w:p>
    <w:p w14:paraId="65373465" w14:textId="77777777" w:rsidR="00AB23A8" w:rsidRPr="00137F70" w:rsidRDefault="00AB23A8" w:rsidP="00AB23A8">
      <w:pPr>
        <w:spacing w:after="0" w:line="256" w:lineRule="auto"/>
        <w:jc w:val="both"/>
        <w:rPr>
          <w:rFonts w:ascii="Verdana" w:eastAsia="Calibri" w:hAnsi="Verdana" w:cs="Times New Roman"/>
          <w:u w:val="single"/>
        </w:rPr>
      </w:pPr>
      <w:r w:rsidRPr="00137F70">
        <w:rPr>
          <w:rFonts w:ascii="Verdana" w:eastAsia="Calibri" w:hAnsi="Verdana" w:cs="Times New Roman"/>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9" w:tgtFrame="_blank" w:tooltip="Dirección URL original: https://www.colombiacompra.gov.co/sala-de-prensa/boletin-digital/boletin-de-relatoria-2024-iv. Haga clic o pulse si confía en este vínculo." w:history="1">
        <w:r w:rsidRPr="00137F70">
          <w:rPr>
            <w:rFonts w:ascii="Verdana" w:eastAsia="Calibri" w:hAnsi="Verdana" w:cs="Times New Roman"/>
            <w:color w:val="0000FF"/>
            <w:u w:val="single"/>
          </w:rPr>
          <w:t>BOLETÍN DE RELATORÍA 2024 – IV | Colombia Compra Eficiente | Agencia Nacional de Contratación Pública</w:t>
        </w:r>
      </w:hyperlink>
    </w:p>
    <w:p w14:paraId="11E1FB82" w14:textId="77777777" w:rsidR="00AB23A8" w:rsidRPr="00137F70" w:rsidRDefault="00AB23A8" w:rsidP="00AB23A8">
      <w:pPr>
        <w:spacing w:after="0" w:line="256" w:lineRule="auto"/>
        <w:jc w:val="both"/>
        <w:rPr>
          <w:rFonts w:ascii="Verdana" w:eastAsia="Calibri" w:hAnsi="Verdana" w:cs="Times New Roman"/>
          <w:lang w:val="es-ES"/>
        </w:rPr>
      </w:pPr>
    </w:p>
    <w:p w14:paraId="257A6486" w14:textId="77777777" w:rsidR="00AB23A8" w:rsidRPr="00137F70" w:rsidRDefault="00AB23A8" w:rsidP="00AB23A8">
      <w:pPr>
        <w:spacing w:after="0" w:line="256" w:lineRule="auto"/>
        <w:rPr>
          <w:rFonts w:ascii="Verdana" w:eastAsia="Calibri" w:hAnsi="Verdana" w:cs="Times New Roman"/>
        </w:rPr>
      </w:pPr>
      <w:r w:rsidRPr="00137F70">
        <w:rPr>
          <w:rFonts w:ascii="Verdana" w:eastAsia="Calibri" w:hAnsi="Verdana" w:cs="Times New Roman"/>
        </w:rPr>
        <w:t xml:space="preserve">Por último, lo invitamos a seguirnos en las redes sociales en las cuales se difunde información institucional: </w:t>
      </w:r>
    </w:p>
    <w:p w14:paraId="636F284B" w14:textId="77777777" w:rsidR="00AB23A8" w:rsidRPr="00137F70" w:rsidRDefault="00AB23A8" w:rsidP="00AB23A8">
      <w:pPr>
        <w:spacing w:after="0" w:line="256" w:lineRule="auto"/>
        <w:rPr>
          <w:rFonts w:ascii="Verdana" w:eastAsia="Calibri" w:hAnsi="Verdana" w:cs="Times New Roman"/>
        </w:rPr>
      </w:pPr>
    </w:p>
    <w:p w14:paraId="3A69A741" w14:textId="77777777" w:rsidR="00AB23A8" w:rsidRPr="00137F70" w:rsidRDefault="00AB23A8" w:rsidP="00AB23A8">
      <w:pPr>
        <w:spacing w:after="0" w:line="256" w:lineRule="auto"/>
        <w:rPr>
          <w:rFonts w:ascii="Verdana" w:eastAsia="Calibri" w:hAnsi="Verdana" w:cs="Times New Roman"/>
        </w:rPr>
      </w:pPr>
      <w:r w:rsidRPr="00137F70">
        <w:rPr>
          <w:rFonts w:ascii="Verdana" w:eastAsia="Calibri" w:hAnsi="Verdana" w:cs="Times New Roman"/>
        </w:rPr>
        <w:t xml:space="preserve">Twitter: </w:t>
      </w:r>
      <w:r w:rsidRPr="00137F70">
        <w:rPr>
          <w:rFonts w:ascii="Verdana" w:eastAsia="Calibri" w:hAnsi="Verdana" w:cs="Times New Roman"/>
          <w:u w:val="single"/>
        </w:rPr>
        <w:t>@colombiacompra</w:t>
      </w:r>
      <w:r w:rsidRPr="00137F70">
        <w:rPr>
          <w:rFonts w:ascii="Verdana" w:eastAsia="Calibri" w:hAnsi="Verdana" w:cs="Times New Roman"/>
        </w:rPr>
        <w:t xml:space="preserve"> </w:t>
      </w:r>
    </w:p>
    <w:p w14:paraId="02423292" w14:textId="77777777" w:rsidR="00AB23A8" w:rsidRPr="00137F70" w:rsidRDefault="00AB23A8" w:rsidP="00AB23A8">
      <w:pPr>
        <w:spacing w:after="0" w:line="256" w:lineRule="auto"/>
        <w:rPr>
          <w:rFonts w:ascii="Verdana" w:eastAsia="Calibri" w:hAnsi="Verdana" w:cs="Times New Roman"/>
        </w:rPr>
      </w:pPr>
      <w:r w:rsidRPr="00137F70">
        <w:rPr>
          <w:rFonts w:ascii="Verdana" w:eastAsia="Calibri" w:hAnsi="Verdana" w:cs="Times New Roman"/>
        </w:rPr>
        <w:t xml:space="preserve">Facebook: </w:t>
      </w:r>
      <w:proofErr w:type="spellStart"/>
      <w:r w:rsidRPr="00137F70">
        <w:rPr>
          <w:rFonts w:ascii="Verdana" w:eastAsia="Calibri" w:hAnsi="Verdana" w:cs="Times New Roman"/>
          <w:u w:val="single"/>
        </w:rPr>
        <w:t>ColombiaCompraEficiente</w:t>
      </w:r>
      <w:proofErr w:type="spellEnd"/>
    </w:p>
    <w:p w14:paraId="409AC93B" w14:textId="77777777" w:rsidR="00AB23A8" w:rsidRPr="00137F70" w:rsidRDefault="00AB23A8" w:rsidP="00AB23A8">
      <w:pPr>
        <w:spacing w:after="0" w:line="256" w:lineRule="auto"/>
        <w:rPr>
          <w:rFonts w:ascii="Verdana" w:eastAsia="Calibri" w:hAnsi="Verdana" w:cs="Times New Roman"/>
          <w:u w:val="single"/>
        </w:rPr>
      </w:pPr>
      <w:r w:rsidRPr="00137F70">
        <w:rPr>
          <w:rFonts w:ascii="Verdana" w:eastAsia="Calibri" w:hAnsi="Verdana" w:cs="Times New Roman"/>
        </w:rPr>
        <w:t xml:space="preserve">LinkedIn: </w:t>
      </w:r>
      <w:r w:rsidRPr="00137F70">
        <w:rPr>
          <w:rFonts w:ascii="Verdana" w:eastAsia="Calibri" w:hAnsi="Verdana" w:cs="Times New Roman"/>
          <w:u w:val="single"/>
        </w:rPr>
        <w:t>Agencia Nacional de Contratación Pública - Colombia Compra Eficiente</w:t>
      </w:r>
      <w:r w:rsidRPr="00137F70">
        <w:rPr>
          <w:rFonts w:ascii="Verdana" w:eastAsia="Calibri" w:hAnsi="Verdana" w:cs="Times New Roman"/>
        </w:rPr>
        <w:t xml:space="preserve"> Instagram: </w:t>
      </w:r>
      <w:r w:rsidRPr="00137F70">
        <w:rPr>
          <w:rFonts w:ascii="Verdana" w:eastAsia="Calibri" w:hAnsi="Verdana" w:cs="Times New Roman"/>
          <w:u w:val="single"/>
        </w:rPr>
        <w:t>@colombiacompraeficiente_cce</w:t>
      </w:r>
    </w:p>
    <w:p w14:paraId="0D26AD23" w14:textId="77777777" w:rsidR="00AB23A8" w:rsidRPr="00137F70" w:rsidRDefault="00AB23A8" w:rsidP="00AB23A8">
      <w:pPr>
        <w:spacing w:after="0" w:line="256" w:lineRule="auto"/>
        <w:rPr>
          <w:rFonts w:ascii="Verdana" w:eastAsia="Calibri" w:hAnsi="Verdana" w:cs="Times New Roman"/>
          <w:u w:val="single"/>
        </w:rPr>
      </w:pPr>
    </w:p>
    <w:p w14:paraId="1FCCD3E2" w14:textId="77777777" w:rsidR="00AB23A8" w:rsidRPr="00137F70" w:rsidRDefault="00AB23A8" w:rsidP="00AB23A8">
      <w:pPr>
        <w:spacing w:after="0" w:line="256" w:lineRule="auto"/>
        <w:rPr>
          <w:rFonts w:ascii="Verdana" w:eastAsia="Calibri" w:hAnsi="Verdana" w:cs="Times New Roman"/>
          <w:b/>
          <w:bCs/>
        </w:rPr>
      </w:pPr>
    </w:p>
    <w:p w14:paraId="0FE95979" w14:textId="77777777" w:rsidR="00AB23A8" w:rsidRPr="00137F70" w:rsidRDefault="00AB23A8" w:rsidP="00AB23A8">
      <w:pPr>
        <w:spacing w:after="0" w:line="256" w:lineRule="auto"/>
        <w:jc w:val="both"/>
        <w:rPr>
          <w:rFonts w:ascii="Verdana" w:eastAsia="Calibri" w:hAnsi="Verdana" w:cs="Times New Roman"/>
          <w:bCs/>
          <w:lang w:val="es-ES_tradnl"/>
        </w:rPr>
      </w:pPr>
      <w:r w:rsidRPr="00137F70">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061A3EAB" w14:textId="77777777" w:rsidR="00AB23A8" w:rsidRPr="00137F70" w:rsidRDefault="00AB23A8" w:rsidP="00AB23A8">
      <w:pPr>
        <w:spacing w:after="0" w:line="256" w:lineRule="auto"/>
        <w:jc w:val="both"/>
        <w:rPr>
          <w:rFonts w:ascii="Verdana" w:eastAsia="Calibri" w:hAnsi="Verdana" w:cs="Times New Roman"/>
        </w:rPr>
      </w:pPr>
    </w:p>
    <w:p w14:paraId="37E2D314" w14:textId="77777777" w:rsidR="00AB23A8" w:rsidRPr="00137F70" w:rsidRDefault="00AB23A8" w:rsidP="00AB23A8">
      <w:pPr>
        <w:spacing w:after="0" w:line="256" w:lineRule="auto"/>
        <w:jc w:val="both"/>
        <w:rPr>
          <w:rFonts w:ascii="Verdana" w:eastAsia="Calibri" w:hAnsi="Verdana" w:cs="Times New Roman"/>
        </w:rPr>
      </w:pPr>
      <w:r w:rsidRPr="00137F70">
        <w:rPr>
          <w:rFonts w:ascii="Verdana" w:eastAsia="Calibri" w:hAnsi="Verdana" w:cs="Times New Roman"/>
        </w:rPr>
        <w:t>Atentamente,</w:t>
      </w:r>
    </w:p>
    <w:p w14:paraId="0DD05E85" w14:textId="79C8CB6D" w:rsidR="00AB23A8" w:rsidRPr="00137F70" w:rsidRDefault="00491677" w:rsidP="00AB23A8">
      <w:pPr>
        <w:spacing w:after="0" w:line="256" w:lineRule="auto"/>
        <w:jc w:val="center"/>
        <w:rPr>
          <w:rFonts w:ascii="Verdana" w:eastAsia="Calibri" w:hAnsi="Verdana" w:cs="Times New Roman"/>
          <w:lang w:val="es-ES"/>
        </w:rPr>
      </w:pPr>
      <w:r w:rsidRPr="002C3AD6">
        <w:rPr>
          <w:rFonts w:ascii="Century Gothic" w:hAnsi="Century Gothic"/>
          <w:noProof/>
        </w:rPr>
        <w:drawing>
          <wp:inline distT="0" distB="0" distL="0" distR="0" wp14:anchorId="273115A0" wp14:editId="21176CE0">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0"/>
                    <a:stretch>
                      <a:fillRect/>
                    </a:stretch>
                  </pic:blipFill>
                  <pic:spPr>
                    <a:xfrm>
                      <a:off x="0" y="0"/>
                      <a:ext cx="3772426" cy="1400370"/>
                    </a:xfrm>
                    <a:prstGeom prst="rect">
                      <a:avLst/>
                    </a:prstGeom>
                  </pic:spPr>
                </pic:pic>
              </a:graphicData>
            </a:graphic>
          </wp:inline>
        </w:drawing>
      </w:r>
    </w:p>
    <w:p w14:paraId="0DC6C1F3" w14:textId="77777777" w:rsidR="00AB23A8" w:rsidRPr="00137F70" w:rsidRDefault="00AB23A8" w:rsidP="00AB23A8">
      <w:pPr>
        <w:spacing w:after="0" w:line="256" w:lineRule="auto"/>
        <w:rPr>
          <w:rFonts w:ascii="Verdana" w:eastAsia="Calibri" w:hAnsi="Verdana" w:cs="Times New Roman"/>
          <w:lang w:val="es-ES"/>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AB23A8" w:rsidRPr="00137F70" w14:paraId="3BDE79A6" w14:textId="77777777" w:rsidTr="00221FF9">
        <w:trPr>
          <w:trHeight w:val="409"/>
        </w:trPr>
        <w:tc>
          <w:tcPr>
            <w:tcW w:w="817" w:type="dxa"/>
            <w:tcBorders>
              <w:top w:val="nil"/>
              <w:left w:val="nil"/>
              <w:bottom w:val="nil"/>
              <w:right w:val="nil"/>
            </w:tcBorders>
            <w:vAlign w:val="center"/>
            <w:hideMark/>
          </w:tcPr>
          <w:p w14:paraId="1D0B5282" w14:textId="77777777" w:rsidR="00AB23A8" w:rsidRPr="00137F70" w:rsidRDefault="00AB23A8" w:rsidP="00221FF9">
            <w:pPr>
              <w:spacing w:after="0" w:line="256" w:lineRule="auto"/>
              <w:rPr>
                <w:rFonts w:ascii="Verdana" w:eastAsia="Calibri" w:hAnsi="Verdana" w:cs="Times New Roman"/>
                <w:sz w:val="14"/>
                <w:szCs w:val="14"/>
              </w:rPr>
            </w:pPr>
            <w:r w:rsidRPr="00137F70">
              <w:rPr>
                <w:rFonts w:ascii="Verdana" w:eastAsia="Calibri" w:hAnsi="Verdana" w:cs="Times New Roman"/>
                <w:sz w:val="14"/>
                <w:szCs w:val="14"/>
              </w:rPr>
              <w:t>Elaboró: </w:t>
            </w:r>
          </w:p>
        </w:tc>
        <w:tc>
          <w:tcPr>
            <w:tcW w:w="4937" w:type="dxa"/>
            <w:tcBorders>
              <w:top w:val="nil"/>
              <w:left w:val="nil"/>
              <w:bottom w:val="dotted" w:sz="6" w:space="0" w:color="7F7F7F" w:themeColor="text1" w:themeTint="80"/>
              <w:right w:val="nil"/>
            </w:tcBorders>
            <w:vAlign w:val="center"/>
            <w:hideMark/>
          </w:tcPr>
          <w:p w14:paraId="566906CA" w14:textId="77777777" w:rsidR="00AB23A8" w:rsidRPr="00137F70" w:rsidRDefault="00AB23A8" w:rsidP="00221FF9">
            <w:pPr>
              <w:spacing w:after="0" w:line="256" w:lineRule="auto"/>
              <w:rPr>
                <w:rFonts w:ascii="Verdana" w:eastAsia="Calibri" w:hAnsi="Verdana" w:cs="Times New Roman"/>
                <w:sz w:val="14"/>
                <w:szCs w:val="14"/>
              </w:rPr>
            </w:pPr>
            <w:r w:rsidRPr="00137F70">
              <w:rPr>
                <w:rFonts w:ascii="Verdana" w:eastAsia="Calibri" w:hAnsi="Verdana" w:cs="Times New Roman"/>
                <w:sz w:val="14"/>
                <w:szCs w:val="14"/>
              </w:rPr>
              <w:t>Gustavo Hinestroza Martínez</w:t>
            </w:r>
          </w:p>
          <w:p w14:paraId="16364AC1" w14:textId="77777777" w:rsidR="00AB23A8" w:rsidRPr="00137F70" w:rsidRDefault="00AB23A8" w:rsidP="00221FF9">
            <w:pPr>
              <w:spacing w:after="0" w:line="256" w:lineRule="auto"/>
              <w:rPr>
                <w:rFonts w:ascii="Verdana" w:eastAsia="Calibri" w:hAnsi="Verdana" w:cs="Times New Roman"/>
                <w:sz w:val="14"/>
                <w:szCs w:val="14"/>
              </w:rPr>
            </w:pPr>
            <w:r w:rsidRPr="00137F70">
              <w:rPr>
                <w:rFonts w:ascii="Verdana" w:eastAsia="Calibri" w:hAnsi="Verdana" w:cs="Times New Roman"/>
                <w:sz w:val="14"/>
                <w:szCs w:val="14"/>
              </w:rPr>
              <w:t>Contratista de la Subdirección de Gestión Contractual</w:t>
            </w:r>
          </w:p>
        </w:tc>
      </w:tr>
      <w:tr w:rsidR="00AB23A8" w:rsidRPr="00137F70" w14:paraId="6EE6AEDC" w14:textId="77777777" w:rsidTr="00221FF9">
        <w:trPr>
          <w:trHeight w:val="409"/>
        </w:trPr>
        <w:tc>
          <w:tcPr>
            <w:tcW w:w="817" w:type="dxa"/>
            <w:tcBorders>
              <w:top w:val="nil"/>
              <w:left w:val="nil"/>
              <w:bottom w:val="nil"/>
              <w:right w:val="nil"/>
            </w:tcBorders>
            <w:vAlign w:val="center"/>
            <w:hideMark/>
          </w:tcPr>
          <w:p w14:paraId="60ED9D3C" w14:textId="77777777" w:rsidR="00AB23A8" w:rsidRPr="00137F70" w:rsidRDefault="00AB23A8" w:rsidP="00221FF9">
            <w:pPr>
              <w:spacing w:after="0" w:line="256" w:lineRule="auto"/>
              <w:rPr>
                <w:rFonts w:ascii="Verdana" w:eastAsia="Calibri" w:hAnsi="Verdana" w:cs="Times New Roman"/>
                <w:sz w:val="14"/>
                <w:szCs w:val="14"/>
              </w:rPr>
            </w:pPr>
            <w:r w:rsidRPr="00137F70">
              <w:rPr>
                <w:rFonts w:ascii="Verdana" w:eastAsia="Calibri" w:hAnsi="Verdana" w:cs="Times New Roman"/>
                <w:sz w:val="14"/>
                <w:szCs w:val="14"/>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6B5EF06" w14:textId="77777777" w:rsidR="00AB23A8" w:rsidRPr="00137F70" w:rsidRDefault="00AB23A8" w:rsidP="00221FF9">
            <w:pPr>
              <w:spacing w:after="0" w:line="256" w:lineRule="auto"/>
              <w:rPr>
                <w:rFonts w:ascii="Verdana" w:eastAsia="Calibri" w:hAnsi="Verdana" w:cs="Times New Roman"/>
                <w:sz w:val="14"/>
                <w:szCs w:val="14"/>
              </w:rPr>
            </w:pPr>
            <w:r w:rsidRPr="00137F70">
              <w:rPr>
                <w:rFonts w:ascii="Verdana" w:eastAsia="Calibri" w:hAnsi="Verdana" w:cs="Times New Roman"/>
                <w:sz w:val="14"/>
                <w:szCs w:val="14"/>
              </w:rPr>
              <w:t>Alejandro Sarmiento Cantillo</w:t>
            </w:r>
          </w:p>
          <w:p w14:paraId="5C9F860E" w14:textId="77777777" w:rsidR="00AB23A8" w:rsidRPr="00137F70" w:rsidRDefault="00AB23A8" w:rsidP="00221FF9">
            <w:pPr>
              <w:spacing w:after="0" w:line="256" w:lineRule="auto"/>
              <w:rPr>
                <w:rFonts w:ascii="Verdana" w:eastAsia="Calibri" w:hAnsi="Verdana" w:cs="Times New Roman"/>
                <w:sz w:val="14"/>
                <w:szCs w:val="14"/>
              </w:rPr>
            </w:pPr>
            <w:r w:rsidRPr="00137F70">
              <w:rPr>
                <w:rFonts w:ascii="Verdana" w:eastAsia="Calibri" w:hAnsi="Verdana" w:cs="Times New Roman"/>
                <w:sz w:val="14"/>
                <w:szCs w:val="14"/>
              </w:rPr>
              <w:t>Gestor T1-15 de la Subdirección de Gestión Contractual </w:t>
            </w:r>
          </w:p>
        </w:tc>
      </w:tr>
      <w:tr w:rsidR="00AB23A8" w:rsidRPr="00137F70" w14:paraId="125985F9" w14:textId="77777777" w:rsidTr="00221FF9">
        <w:trPr>
          <w:trHeight w:val="389"/>
        </w:trPr>
        <w:tc>
          <w:tcPr>
            <w:tcW w:w="817" w:type="dxa"/>
            <w:tcBorders>
              <w:top w:val="nil"/>
              <w:left w:val="nil"/>
              <w:bottom w:val="nil"/>
              <w:right w:val="nil"/>
            </w:tcBorders>
            <w:vAlign w:val="center"/>
            <w:hideMark/>
          </w:tcPr>
          <w:p w14:paraId="22CF1DB8" w14:textId="77777777" w:rsidR="00AB23A8" w:rsidRPr="00137F70" w:rsidRDefault="00AB23A8" w:rsidP="00221FF9">
            <w:pPr>
              <w:spacing w:after="0" w:line="256" w:lineRule="auto"/>
              <w:rPr>
                <w:rFonts w:ascii="Verdana" w:eastAsia="Calibri" w:hAnsi="Verdana" w:cs="Times New Roman"/>
                <w:sz w:val="14"/>
                <w:szCs w:val="14"/>
              </w:rPr>
            </w:pPr>
            <w:r w:rsidRPr="00137F70">
              <w:rPr>
                <w:rFonts w:ascii="Verdana" w:eastAsia="Calibri" w:hAnsi="Verdana" w:cs="Times New Roman"/>
                <w:sz w:val="14"/>
                <w:szCs w:val="14"/>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EB3CF9E" w14:textId="77777777" w:rsidR="00AB23A8" w:rsidRPr="00137F70" w:rsidRDefault="00AB23A8" w:rsidP="00221FF9">
            <w:pPr>
              <w:spacing w:after="0" w:line="256" w:lineRule="auto"/>
              <w:rPr>
                <w:rFonts w:ascii="Verdana" w:eastAsia="Calibri" w:hAnsi="Verdana" w:cs="Times New Roman"/>
                <w:sz w:val="14"/>
                <w:szCs w:val="14"/>
              </w:rPr>
            </w:pPr>
            <w:r w:rsidRPr="00137F70">
              <w:rPr>
                <w:rFonts w:ascii="Verdana" w:eastAsia="Calibri" w:hAnsi="Verdana" w:cs="Times New Roman"/>
                <w:sz w:val="14"/>
                <w:szCs w:val="14"/>
              </w:rPr>
              <w:t>Carolina Quintero Gacharná</w:t>
            </w:r>
          </w:p>
          <w:p w14:paraId="5330CDF1" w14:textId="77777777" w:rsidR="00AB23A8" w:rsidRPr="00137F70" w:rsidRDefault="00AB23A8" w:rsidP="00221FF9">
            <w:pPr>
              <w:spacing w:after="0" w:line="256" w:lineRule="auto"/>
              <w:rPr>
                <w:rFonts w:ascii="Verdana" w:eastAsia="Calibri" w:hAnsi="Verdana" w:cs="Times New Roman"/>
                <w:sz w:val="14"/>
                <w:szCs w:val="14"/>
              </w:rPr>
            </w:pPr>
            <w:r w:rsidRPr="00137F70">
              <w:rPr>
                <w:rFonts w:ascii="Verdana" w:eastAsia="Calibri" w:hAnsi="Verdana" w:cs="Times New Roman"/>
                <w:sz w:val="14"/>
                <w:szCs w:val="14"/>
              </w:rPr>
              <w:t>Subdirectora de Gestión Contractual ANCP – CCE</w:t>
            </w:r>
          </w:p>
        </w:tc>
      </w:tr>
    </w:tbl>
    <w:p w14:paraId="0F7558C2" w14:textId="77777777" w:rsidR="00AB23A8" w:rsidRPr="00137F70" w:rsidRDefault="00AB23A8" w:rsidP="00AB23A8">
      <w:pPr>
        <w:spacing w:after="0" w:line="256" w:lineRule="auto"/>
        <w:rPr>
          <w:rFonts w:ascii="Verdana" w:eastAsia="Calibri" w:hAnsi="Verdana" w:cs="Times New Roman"/>
        </w:rPr>
      </w:pPr>
    </w:p>
    <w:bookmarkEnd w:id="0"/>
    <w:p w14:paraId="23DABFE7" w14:textId="77777777" w:rsidR="00AB23A8" w:rsidRPr="00137F70" w:rsidRDefault="00AB23A8" w:rsidP="00AB23A8">
      <w:pPr>
        <w:spacing w:after="0" w:line="240" w:lineRule="auto"/>
        <w:textAlignment w:val="baseline"/>
        <w:rPr>
          <w:rFonts w:ascii="Verdana" w:eastAsia="Times New Roman" w:hAnsi="Verdana" w:cs="Segoe UI"/>
          <w:sz w:val="18"/>
          <w:szCs w:val="18"/>
          <w:lang w:eastAsia="es-CO"/>
        </w:rPr>
      </w:pPr>
      <w:r w:rsidRPr="00137F70">
        <w:rPr>
          <w:rFonts w:ascii="Verdana" w:eastAsia="Times New Roman" w:hAnsi="Verdana" w:cs="Segoe UI"/>
          <w:color w:val="404040"/>
          <w:lang w:eastAsia="es-CO"/>
        </w:rPr>
        <w:t> </w:t>
      </w:r>
    </w:p>
    <w:p w14:paraId="1A00C7F4" w14:textId="77777777" w:rsidR="00AB23A8" w:rsidRPr="00137F70" w:rsidRDefault="00AB23A8" w:rsidP="00AB23A8">
      <w:pPr>
        <w:spacing w:after="0" w:line="240" w:lineRule="auto"/>
        <w:textAlignment w:val="baseline"/>
        <w:rPr>
          <w:rFonts w:ascii="Verdana" w:eastAsia="Times New Roman" w:hAnsi="Verdana" w:cs="Segoe UI"/>
          <w:sz w:val="18"/>
          <w:szCs w:val="18"/>
          <w:lang w:eastAsia="es-CO"/>
        </w:rPr>
      </w:pPr>
      <w:r w:rsidRPr="00137F70">
        <w:rPr>
          <w:rFonts w:ascii="Verdana" w:eastAsia="Times New Roman" w:hAnsi="Verdana" w:cs="Segoe UI"/>
          <w:color w:val="404040"/>
          <w:lang w:eastAsia="es-CO"/>
        </w:rPr>
        <w:t> </w:t>
      </w:r>
    </w:p>
    <w:sectPr w:rsidR="00AB23A8" w:rsidRPr="00137F70" w:rsidSect="007C0C0F">
      <w:headerReference w:type="default" r:id="rId21"/>
      <w:footerReference w:type="defaul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F05E9" w14:textId="77777777" w:rsidR="00914AFF" w:rsidRDefault="00914AFF" w:rsidP="004A1847">
      <w:pPr>
        <w:spacing w:after="0" w:line="240" w:lineRule="auto"/>
      </w:pPr>
      <w:r>
        <w:separator/>
      </w:r>
    </w:p>
  </w:endnote>
  <w:endnote w:type="continuationSeparator" w:id="0">
    <w:p w14:paraId="2937D262" w14:textId="77777777" w:rsidR="00914AFF" w:rsidRDefault="00914AFF" w:rsidP="004A1847">
      <w:pPr>
        <w:spacing w:after="0" w:line="240" w:lineRule="auto"/>
      </w:pPr>
      <w:r>
        <w:continuationSeparator/>
      </w:r>
    </w:p>
  </w:endnote>
  <w:endnote w:type="continuationNotice" w:id="1">
    <w:p w14:paraId="4716B87A" w14:textId="77777777" w:rsidR="00914AFF" w:rsidRDefault="00914A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4F0D4" w14:textId="77777777" w:rsidR="00914AFF" w:rsidRDefault="00914AFF" w:rsidP="004A1847">
      <w:pPr>
        <w:spacing w:after="0" w:line="240" w:lineRule="auto"/>
      </w:pPr>
      <w:r>
        <w:separator/>
      </w:r>
    </w:p>
  </w:footnote>
  <w:footnote w:type="continuationSeparator" w:id="0">
    <w:p w14:paraId="35D86BD7" w14:textId="77777777" w:rsidR="00914AFF" w:rsidRDefault="00914AFF" w:rsidP="004A1847">
      <w:pPr>
        <w:spacing w:after="0" w:line="240" w:lineRule="auto"/>
      </w:pPr>
      <w:r>
        <w:continuationSeparator/>
      </w:r>
    </w:p>
  </w:footnote>
  <w:footnote w:type="continuationNotice" w:id="1">
    <w:p w14:paraId="09E2550D" w14:textId="77777777" w:rsidR="00914AFF" w:rsidRDefault="00914AFF">
      <w:pPr>
        <w:spacing w:after="0" w:line="240" w:lineRule="auto"/>
      </w:pPr>
    </w:p>
  </w:footnote>
  <w:footnote w:id="2">
    <w:p w14:paraId="0D8B0CB0" w14:textId="77777777" w:rsidR="00033F30" w:rsidRPr="00096A08" w:rsidRDefault="00033F30" w:rsidP="00033F30">
      <w:pPr>
        <w:pStyle w:val="Textonotapie"/>
        <w:ind w:firstLine="709"/>
        <w:jc w:val="both"/>
        <w:rPr>
          <w:rFonts w:ascii="Verdana" w:hAnsi="Verdana" w:cs="Arial"/>
          <w:color w:val="000000" w:themeColor="text1"/>
          <w:sz w:val="12"/>
          <w:szCs w:val="12"/>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Sobre esta norma, consultar los conceptos del 8 de octubre de 2019, con radicado No. 2201913000007532, y del 20 de diciembre de 2019, con radicado No. 4201913000008240.</w:t>
      </w:r>
    </w:p>
    <w:p w14:paraId="2A726EE4" w14:textId="77777777" w:rsidR="00033F30" w:rsidRPr="00096A08" w:rsidRDefault="00033F30" w:rsidP="00033F30">
      <w:pPr>
        <w:pStyle w:val="Textonotapie"/>
        <w:ind w:firstLine="709"/>
        <w:jc w:val="both"/>
        <w:rPr>
          <w:rFonts w:ascii="Verdana" w:hAnsi="Verdana" w:cs="Arial"/>
          <w:color w:val="000000" w:themeColor="text1"/>
          <w:sz w:val="12"/>
          <w:szCs w:val="12"/>
          <w:lang w:val="es-ES"/>
        </w:rPr>
      </w:pPr>
    </w:p>
  </w:footnote>
  <w:footnote w:id="3">
    <w:p w14:paraId="0314E817" w14:textId="77777777" w:rsidR="00033F30" w:rsidRPr="00096A08" w:rsidRDefault="00033F30" w:rsidP="00033F30">
      <w:pPr>
        <w:pStyle w:val="Textonotapie"/>
        <w:ind w:firstLine="709"/>
        <w:jc w:val="both"/>
        <w:rPr>
          <w:rFonts w:ascii="Verdana" w:hAnsi="Verdana" w:cs="Arial"/>
          <w:color w:val="000000" w:themeColor="text1"/>
          <w:sz w:val="12"/>
          <w:szCs w:val="12"/>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541863DD" w14:textId="77777777" w:rsidR="00033F30" w:rsidRPr="00096A08" w:rsidRDefault="00033F30" w:rsidP="00033F30">
      <w:pPr>
        <w:pStyle w:val="Textonotapie"/>
        <w:ind w:firstLine="709"/>
        <w:jc w:val="both"/>
        <w:rPr>
          <w:rFonts w:ascii="Verdana" w:hAnsi="Verdana" w:cs="Arial"/>
          <w:color w:val="000000" w:themeColor="text1"/>
          <w:sz w:val="12"/>
          <w:szCs w:val="12"/>
        </w:rPr>
      </w:pPr>
      <w:r w:rsidRPr="00096A08">
        <w:rPr>
          <w:rFonts w:ascii="Verdana" w:hAnsi="Verdana" w:cs="Arial"/>
          <w:color w:val="000000" w:themeColor="text1"/>
          <w:sz w:val="12"/>
          <w:szCs w:val="12"/>
        </w:rPr>
        <w:t xml:space="preserve">Los convenios de asociación a que se refiere el presente artículo </w:t>
      </w:r>
      <w:bookmarkStart w:id="1" w:name="_Hlk36023315"/>
      <w:r w:rsidRPr="00096A08">
        <w:rPr>
          <w:rFonts w:ascii="Verdana" w:hAnsi="Verdana" w:cs="Arial"/>
          <w:color w:val="000000" w:themeColor="text1"/>
          <w:sz w:val="12"/>
          <w:szCs w:val="12"/>
        </w:rPr>
        <w:t>se celebrarán de conformidad con lo dispuesto en el artículo 355 de la Constitución Política</w:t>
      </w:r>
      <w:bookmarkEnd w:id="1"/>
      <w:r w:rsidRPr="00096A08">
        <w:rPr>
          <w:rFonts w:ascii="Verdana" w:hAnsi="Verdana" w:cs="Arial"/>
          <w:color w:val="000000" w:themeColor="text1"/>
          <w:sz w:val="12"/>
          <w:szCs w:val="12"/>
        </w:rPr>
        <w:t>, en ellos se determinará con precisión su objeto, término, obligaciones de las partes, aportes, coordinación y todos aquellos aspectos que se consideren pertinentes”.</w:t>
      </w:r>
    </w:p>
    <w:p w14:paraId="46BC0741" w14:textId="77777777" w:rsidR="00033F30" w:rsidRPr="00096A08" w:rsidRDefault="00033F30" w:rsidP="00033F30">
      <w:pPr>
        <w:pStyle w:val="Textonotapie"/>
        <w:ind w:firstLine="709"/>
        <w:jc w:val="both"/>
        <w:rPr>
          <w:rFonts w:ascii="Verdana" w:hAnsi="Verdana" w:cs="Arial"/>
          <w:color w:val="000000" w:themeColor="text1"/>
          <w:sz w:val="12"/>
          <w:szCs w:val="12"/>
          <w:lang w:val="es-ES"/>
        </w:rPr>
      </w:pPr>
      <w:r w:rsidRPr="00096A08">
        <w:rPr>
          <w:rFonts w:ascii="Verdana" w:hAnsi="Verdana" w:cs="Arial"/>
          <w:color w:val="000000" w:themeColor="text1"/>
          <w:sz w:val="12"/>
          <w:szCs w:val="12"/>
        </w:rPr>
        <w:t xml:space="preserve"> </w:t>
      </w:r>
    </w:p>
  </w:footnote>
  <w:footnote w:id="4">
    <w:p w14:paraId="366F1DA8" w14:textId="77777777" w:rsidR="00033F30" w:rsidRPr="00096A08" w:rsidRDefault="00033F30" w:rsidP="00033F30">
      <w:pPr>
        <w:pStyle w:val="Textonotapie"/>
        <w:ind w:firstLine="709"/>
        <w:jc w:val="both"/>
        <w:rPr>
          <w:rFonts w:ascii="Verdana" w:hAnsi="Verdana" w:cs="Arial"/>
          <w:color w:val="000000" w:themeColor="text1"/>
          <w:sz w:val="12"/>
          <w:szCs w:val="12"/>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Concepto del 3 de septiembre de 2019, con radicado No. 2201913000006512.</w:t>
      </w:r>
    </w:p>
    <w:p w14:paraId="5FD19616" w14:textId="77777777" w:rsidR="00033F30" w:rsidRPr="00096A08" w:rsidRDefault="00033F30" w:rsidP="00033F30">
      <w:pPr>
        <w:pStyle w:val="Textonotapie"/>
        <w:ind w:firstLine="709"/>
        <w:jc w:val="both"/>
        <w:rPr>
          <w:rFonts w:ascii="Verdana" w:hAnsi="Verdana" w:cs="Arial"/>
          <w:color w:val="000000" w:themeColor="text1"/>
          <w:sz w:val="12"/>
          <w:szCs w:val="12"/>
        </w:rPr>
      </w:pPr>
    </w:p>
  </w:footnote>
  <w:footnote w:id="5">
    <w:p w14:paraId="0677C4F4" w14:textId="77777777" w:rsidR="00033F30" w:rsidRPr="00096A08" w:rsidRDefault="00033F30" w:rsidP="00033F30">
      <w:pPr>
        <w:pStyle w:val="Textonotapie"/>
        <w:ind w:firstLine="709"/>
        <w:jc w:val="both"/>
        <w:rPr>
          <w:rFonts w:ascii="Verdana" w:hAnsi="Verdana" w:cs="Arial"/>
          <w:color w:val="000000" w:themeColor="text1"/>
          <w:sz w:val="12"/>
          <w:szCs w:val="12"/>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Sobre la naturaleza de los convenios de asociación, se reitera lo expuesto en el concepto del 19 de noviembre de 2019, con radicado No. 2201913000008611.</w:t>
      </w:r>
    </w:p>
    <w:p w14:paraId="3BCB7AE4" w14:textId="77777777" w:rsidR="00033F30" w:rsidRPr="00096A08" w:rsidRDefault="00033F30" w:rsidP="00033F30">
      <w:pPr>
        <w:pStyle w:val="Textonotapie"/>
        <w:ind w:firstLine="709"/>
        <w:jc w:val="both"/>
        <w:rPr>
          <w:rFonts w:ascii="Verdana" w:hAnsi="Verdana" w:cs="Arial"/>
          <w:color w:val="000000" w:themeColor="text1"/>
          <w:sz w:val="12"/>
          <w:szCs w:val="12"/>
        </w:rPr>
      </w:pPr>
    </w:p>
  </w:footnote>
  <w:footnote w:id="6">
    <w:p w14:paraId="083643CA" w14:textId="77777777" w:rsidR="00033F30" w:rsidRPr="00096A08" w:rsidRDefault="00033F30" w:rsidP="00033F30">
      <w:pPr>
        <w:pStyle w:val="Textonotapie"/>
        <w:ind w:firstLine="709"/>
        <w:jc w:val="both"/>
        <w:rPr>
          <w:rFonts w:ascii="Verdana" w:hAnsi="Verdana" w:cs="Arial"/>
          <w:color w:val="000000" w:themeColor="text1"/>
          <w:sz w:val="12"/>
          <w:szCs w:val="12"/>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24D35063" w14:textId="77777777" w:rsidR="00033F30" w:rsidRPr="00096A08" w:rsidRDefault="00033F30" w:rsidP="00033F30">
      <w:pPr>
        <w:pStyle w:val="Textonotapie"/>
        <w:ind w:firstLine="709"/>
        <w:jc w:val="both"/>
        <w:rPr>
          <w:rFonts w:ascii="Verdana" w:hAnsi="Verdana" w:cs="Arial"/>
          <w:color w:val="000000" w:themeColor="text1"/>
          <w:sz w:val="12"/>
          <w:szCs w:val="12"/>
          <w:lang w:val="es-ES"/>
        </w:rPr>
      </w:pPr>
    </w:p>
  </w:footnote>
  <w:footnote w:id="7">
    <w:p w14:paraId="59BF9BB0" w14:textId="77777777" w:rsidR="00033F30" w:rsidRPr="00096A08" w:rsidRDefault="00033F30" w:rsidP="00033F30">
      <w:pPr>
        <w:pStyle w:val="Textonotapie"/>
        <w:ind w:firstLine="708"/>
        <w:jc w:val="both"/>
        <w:rPr>
          <w:rFonts w:ascii="Verdana" w:hAnsi="Verdana"/>
          <w:sz w:val="12"/>
          <w:szCs w:val="12"/>
        </w:rPr>
      </w:pPr>
      <w:r w:rsidRPr="00096A08">
        <w:rPr>
          <w:rStyle w:val="Refdenotaalpie"/>
          <w:rFonts w:ascii="Verdana" w:hAnsi="Verdana"/>
          <w:sz w:val="12"/>
          <w:szCs w:val="12"/>
        </w:rPr>
        <w:footnoteRef/>
      </w:r>
      <w:r w:rsidRPr="00096A08">
        <w:rPr>
          <w:rFonts w:ascii="Verdana" w:hAnsi="Verdana"/>
          <w:sz w:val="12"/>
          <w:szCs w:val="12"/>
        </w:rPr>
        <w:t xml:space="preserve"> “Artículo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 </w:t>
      </w:r>
    </w:p>
  </w:footnote>
  <w:footnote w:id="8">
    <w:p w14:paraId="26C491D8" w14:textId="77777777" w:rsidR="00033F30" w:rsidRPr="00096A08" w:rsidRDefault="00033F30" w:rsidP="00033F30">
      <w:pPr>
        <w:pStyle w:val="Textonotapie"/>
        <w:ind w:firstLine="708"/>
        <w:jc w:val="both"/>
        <w:rPr>
          <w:rFonts w:ascii="Verdana" w:hAnsi="Verdana"/>
          <w:sz w:val="12"/>
          <w:szCs w:val="12"/>
        </w:rPr>
      </w:pPr>
    </w:p>
    <w:p w14:paraId="5E1BDC51" w14:textId="77777777" w:rsidR="00033F30" w:rsidRPr="00096A08" w:rsidRDefault="00033F30" w:rsidP="00033F30">
      <w:pPr>
        <w:pStyle w:val="Textonotapie"/>
        <w:ind w:firstLine="708"/>
        <w:jc w:val="both"/>
        <w:rPr>
          <w:rFonts w:ascii="Verdana" w:hAnsi="Verdana"/>
          <w:sz w:val="12"/>
          <w:szCs w:val="12"/>
          <w:lang w:val="es-CO"/>
        </w:rPr>
      </w:pPr>
      <w:r w:rsidRPr="00096A08">
        <w:rPr>
          <w:rStyle w:val="Refdenotaalpie"/>
          <w:rFonts w:ascii="Verdana" w:hAnsi="Verdana"/>
          <w:sz w:val="12"/>
          <w:szCs w:val="12"/>
        </w:rPr>
        <w:footnoteRef/>
      </w:r>
      <w:r w:rsidRPr="00096A08">
        <w:rPr>
          <w:rFonts w:ascii="Verdana" w:hAnsi="Verdana"/>
          <w:sz w:val="12"/>
          <w:szCs w:val="12"/>
        </w:rPr>
        <w:t xml:space="preserve"> “</w:t>
      </w:r>
      <w:r w:rsidRPr="00096A08">
        <w:rPr>
          <w:rFonts w:ascii="Verdana" w:hAnsi="Verdana"/>
          <w:sz w:val="12"/>
          <w:szCs w:val="12"/>
          <w:lang w:val="es-CO"/>
        </w:rPr>
        <w:t>Artículo 7º.</w:t>
      </w:r>
      <w:r w:rsidRPr="00096A08">
        <w:rPr>
          <w:rFonts w:ascii="Verdana" w:hAnsi="Verdana"/>
          <w:b/>
          <w:bCs/>
          <w:i/>
          <w:iCs/>
          <w:sz w:val="12"/>
          <w:szCs w:val="12"/>
          <w:lang w:val="es-CO"/>
        </w:rPr>
        <w:t> </w:t>
      </w:r>
      <w:r w:rsidRPr="00096A08">
        <w:rPr>
          <w:rFonts w:ascii="Verdana" w:hAnsi="Verdana"/>
          <w:sz w:val="12"/>
          <w:szCs w:val="12"/>
          <w:lang w:val="es-CO"/>
        </w:rPr>
        <w:t>Aplicación de los principios de la contratación estatal. 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que trata el presente decreto deberán ser objeto de publicación en el Sistema Electrónico de Contratación Pública (SECOP). Adicionalmente, la entidad privada sin ánimo de lucro contratista deberá entregar a la Entidad Estatal, y ésta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 </w:t>
      </w:r>
    </w:p>
    <w:p w14:paraId="6DDFE8E3" w14:textId="77777777" w:rsidR="00033F30" w:rsidRPr="00096A08" w:rsidRDefault="00033F30" w:rsidP="00033F30">
      <w:pPr>
        <w:pStyle w:val="Textonotapie"/>
        <w:ind w:firstLine="708"/>
        <w:jc w:val="both"/>
        <w:rPr>
          <w:rFonts w:ascii="Verdana" w:hAnsi="Verdana"/>
          <w:sz w:val="12"/>
          <w:szCs w:val="12"/>
        </w:rPr>
      </w:pPr>
      <w:r w:rsidRPr="00096A08">
        <w:rPr>
          <w:rFonts w:ascii="Verdana" w:hAnsi="Verdana"/>
          <w:sz w:val="12"/>
          <w:szCs w:val="12"/>
        </w:rPr>
        <w:t xml:space="preserve"> </w:t>
      </w:r>
    </w:p>
  </w:footnote>
  <w:footnote w:id="9">
    <w:p w14:paraId="41F64806" w14:textId="77777777" w:rsidR="00033F30" w:rsidRPr="00096A08" w:rsidRDefault="00033F30" w:rsidP="00033F30">
      <w:pPr>
        <w:pStyle w:val="Textonotapie"/>
        <w:ind w:firstLine="708"/>
        <w:jc w:val="both"/>
        <w:rPr>
          <w:rFonts w:ascii="Verdana" w:hAnsi="Verdana"/>
          <w:sz w:val="12"/>
          <w:szCs w:val="12"/>
        </w:rPr>
      </w:pPr>
      <w:r w:rsidRPr="00096A08">
        <w:rPr>
          <w:rStyle w:val="Refdenotaalpie"/>
          <w:rFonts w:ascii="Verdana" w:hAnsi="Verdana"/>
          <w:sz w:val="12"/>
          <w:szCs w:val="12"/>
        </w:rPr>
        <w:footnoteRef/>
      </w:r>
      <w:r w:rsidRPr="00096A08">
        <w:rPr>
          <w:rFonts w:ascii="Verdana" w:hAnsi="Verdana"/>
          <w:sz w:val="12"/>
          <w:szCs w:val="12"/>
        </w:rPr>
        <w:t xml:space="preserve"> “Artículo 8º. Aplicación de normas generales del sistema de contratación pública. La contratación a la que hace referencia el presente decreto está sujeta a las normas generales aplicables a la contratación pública excepto en lo reglamentado en el presente decreto”. </w:t>
      </w:r>
    </w:p>
  </w:footnote>
  <w:footnote w:id="10">
    <w:p w14:paraId="591C9743" w14:textId="76F2F73D" w:rsidR="00FA50B4" w:rsidRPr="00FA50B4" w:rsidRDefault="00FA50B4" w:rsidP="00FA50B4">
      <w:pPr>
        <w:pStyle w:val="Textonotapie"/>
        <w:ind w:firstLine="708"/>
        <w:jc w:val="both"/>
        <w:rPr>
          <w:lang w:val="es-ES"/>
        </w:rPr>
      </w:pPr>
      <w:r>
        <w:rPr>
          <w:rStyle w:val="Refdenotaalpie"/>
        </w:rPr>
        <w:footnoteRef/>
      </w:r>
      <w:r>
        <w:t xml:space="preserve"> </w:t>
      </w:r>
      <w:r w:rsidRPr="00FA50B4">
        <w:rPr>
          <w:rFonts w:ascii="Verdana" w:hAnsi="Verdana"/>
          <w:sz w:val="14"/>
          <w:szCs w:val="14"/>
        </w:rPr>
        <w:t xml:space="preserve">La modalidad de selección de contratación directa, solamente procederá en los siguientes casos: a) Urgencia manifiesta; b) Contratación de empréstitos; c) Contratos interadministrativos, d) La contratación de bienes y servicios en el sector Defensa y en el Departamento Administrativo de Seguridad, DAS, que necesiten reserva para su adquisición; e) Los contratos para el desarrollo de actividades científicas y tecnológicas; f) Los contratos de encargo fiduciario, g) Cuando no exista pluralidad de oferentes en el mercado; h) Para la prestación de servicios profesionales y de apoyo a la gestión, o para la ejecución de trabajos artísticos que sólo puedan encomendarse a determinadas personas naturales; i) El arrendamiento o adquisición de inmuebles. j) La contratación de bienes y servicios de la Dirección Nacional de Inteligencia (DNI), que requieran reserva para su adquisición. k) La selección de peritos expertos o asesores técnicos para presentar o contradecir el dictamen pericial en procesos judiciales. l) Los contratos o convenios que las entidades estatales suscriban con los Cabildos Indígenas, m) Los contratos que las entidades estatales suscriban con los consejos comunitarios de las comunidades negras, regulados por la Ley 70 de 1993, n) Los contratos que las entidades estatales suscriban con las organizaciones de base de personas pertenecientes a poblaciones afrocolombianas, raizales y palenqueras o con las demás formas y expresiones organizativas, o) En situaciones de emergencia y desastres y dentro de sus territorios las Entidades Estatales comprarán de manera preferencial y directa productos agropecuarios a los pueblos y comunidades indígenas y a las comunidades negras, afrocolombianas, raizales y palenqueras, organizaciones y asociaciones campesinas, los cuales podrán ser donados al Fondo Nacional de Gestión del Riesgo de Desastres.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1.3pt;height:11.3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8A74AE"/>
    <w:multiLevelType w:val="hybridMultilevel"/>
    <w:tmpl w:val="9496AA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3457925">
    <w:abstractNumId w:val="7"/>
  </w:num>
  <w:num w:numId="2" w16cid:durableId="1731734519">
    <w:abstractNumId w:val="2"/>
  </w:num>
  <w:num w:numId="3" w16cid:durableId="1597053332">
    <w:abstractNumId w:val="5"/>
  </w:num>
  <w:num w:numId="4" w16cid:durableId="11006813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9606754">
    <w:abstractNumId w:val="2"/>
  </w:num>
  <w:num w:numId="6" w16cid:durableId="1908220286">
    <w:abstractNumId w:val="14"/>
  </w:num>
  <w:num w:numId="7" w16cid:durableId="2090610230">
    <w:abstractNumId w:val="6"/>
  </w:num>
  <w:num w:numId="8" w16cid:durableId="981810779">
    <w:abstractNumId w:val="13"/>
  </w:num>
  <w:num w:numId="9" w16cid:durableId="362290226">
    <w:abstractNumId w:val="8"/>
  </w:num>
  <w:num w:numId="10" w16cid:durableId="469178010">
    <w:abstractNumId w:val="12"/>
  </w:num>
  <w:num w:numId="11" w16cid:durableId="1256010551">
    <w:abstractNumId w:val="9"/>
  </w:num>
  <w:num w:numId="12" w16cid:durableId="1649555448">
    <w:abstractNumId w:val="1"/>
  </w:num>
  <w:num w:numId="13" w16cid:durableId="2065369235">
    <w:abstractNumId w:val="4"/>
  </w:num>
  <w:num w:numId="14" w16cid:durableId="1912539816">
    <w:abstractNumId w:val="15"/>
  </w:num>
  <w:num w:numId="15" w16cid:durableId="322858162">
    <w:abstractNumId w:val="11"/>
  </w:num>
  <w:num w:numId="16" w16cid:durableId="124912172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6697950">
    <w:abstractNumId w:val="10"/>
  </w:num>
  <w:num w:numId="18" w16cid:durableId="1516311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36ED"/>
    <w:rsid w:val="00033C46"/>
    <w:rsid w:val="00033F30"/>
    <w:rsid w:val="00061B2A"/>
    <w:rsid w:val="00082362"/>
    <w:rsid w:val="000A683E"/>
    <w:rsid w:val="000B19B9"/>
    <w:rsid w:val="000D0334"/>
    <w:rsid w:val="000F6486"/>
    <w:rsid w:val="00125105"/>
    <w:rsid w:val="00126EC6"/>
    <w:rsid w:val="00127233"/>
    <w:rsid w:val="00137F70"/>
    <w:rsid w:val="001E4177"/>
    <w:rsid w:val="001E690B"/>
    <w:rsid w:val="001F7DC6"/>
    <w:rsid w:val="00203A07"/>
    <w:rsid w:val="002421BB"/>
    <w:rsid w:val="0025796E"/>
    <w:rsid w:val="002707A2"/>
    <w:rsid w:val="002951A0"/>
    <w:rsid w:val="002962BC"/>
    <w:rsid w:val="002A093D"/>
    <w:rsid w:val="002A0DD0"/>
    <w:rsid w:val="002A49AC"/>
    <w:rsid w:val="002A64FD"/>
    <w:rsid w:val="002C7A84"/>
    <w:rsid w:val="002E4FD9"/>
    <w:rsid w:val="00322A85"/>
    <w:rsid w:val="00324168"/>
    <w:rsid w:val="003348DE"/>
    <w:rsid w:val="003448F4"/>
    <w:rsid w:val="003721BE"/>
    <w:rsid w:val="00374F5E"/>
    <w:rsid w:val="00377E3E"/>
    <w:rsid w:val="003A26D1"/>
    <w:rsid w:val="003A779E"/>
    <w:rsid w:val="003D0F4D"/>
    <w:rsid w:val="003D5B0D"/>
    <w:rsid w:val="003E0499"/>
    <w:rsid w:val="003F3941"/>
    <w:rsid w:val="00406575"/>
    <w:rsid w:val="0042722E"/>
    <w:rsid w:val="0044528D"/>
    <w:rsid w:val="00491677"/>
    <w:rsid w:val="004A1847"/>
    <w:rsid w:val="004A305D"/>
    <w:rsid w:val="004B7B5E"/>
    <w:rsid w:val="004F21C4"/>
    <w:rsid w:val="004F685F"/>
    <w:rsid w:val="005235EE"/>
    <w:rsid w:val="005566E8"/>
    <w:rsid w:val="00574867"/>
    <w:rsid w:val="00591460"/>
    <w:rsid w:val="00592628"/>
    <w:rsid w:val="00596FE4"/>
    <w:rsid w:val="005C3777"/>
    <w:rsid w:val="005C5CDC"/>
    <w:rsid w:val="005D476C"/>
    <w:rsid w:val="00610812"/>
    <w:rsid w:val="006219F8"/>
    <w:rsid w:val="00650FF7"/>
    <w:rsid w:val="00665D70"/>
    <w:rsid w:val="00671DAC"/>
    <w:rsid w:val="006900D9"/>
    <w:rsid w:val="006D12F8"/>
    <w:rsid w:val="00706C16"/>
    <w:rsid w:val="00756841"/>
    <w:rsid w:val="00756D1E"/>
    <w:rsid w:val="007649AB"/>
    <w:rsid w:val="00771D0C"/>
    <w:rsid w:val="007833AC"/>
    <w:rsid w:val="007B268C"/>
    <w:rsid w:val="007B7171"/>
    <w:rsid w:val="007C0B2C"/>
    <w:rsid w:val="007C0C0F"/>
    <w:rsid w:val="007C3DC2"/>
    <w:rsid w:val="007E5497"/>
    <w:rsid w:val="00806F5F"/>
    <w:rsid w:val="00810EC0"/>
    <w:rsid w:val="00820278"/>
    <w:rsid w:val="008843B6"/>
    <w:rsid w:val="00891928"/>
    <w:rsid w:val="008A446D"/>
    <w:rsid w:val="008D180B"/>
    <w:rsid w:val="008F0EA7"/>
    <w:rsid w:val="00914AFF"/>
    <w:rsid w:val="00923EEF"/>
    <w:rsid w:val="009419F9"/>
    <w:rsid w:val="0095685E"/>
    <w:rsid w:val="00961B09"/>
    <w:rsid w:val="00965334"/>
    <w:rsid w:val="0097093E"/>
    <w:rsid w:val="0098151F"/>
    <w:rsid w:val="009A0DFA"/>
    <w:rsid w:val="009B2D26"/>
    <w:rsid w:val="009C71FA"/>
    <w:rsid w:val="009C72E7"/>
    <w:rsid w:val="009D3058"/>
    <w:rsid w:val="009F3A13"/>
    <w:rsid w:val="00A122D3"/>
    <w:rsid w:val="00A17F13"/>
    <w:rsid w:val="00A20739"/>
    <w:rsid w:val="00A33C78"/>
    <w:rsid w:val="00A51D93"/>
    <w:rsid w:val="00AA4737"/>
    <w:rsid w:val="00AB0ADB"/>
    <w:rsid w:val="00AB23A8"/>
    <w:rsid w:val="00AD644E"/>
    <w:rsid w:val="00B01B1A"/>
    <w:rsid w:val="00B72CD3"/>
    <w:rsid w:val="00B72FFF"/>
    <w:rsid w:val="00BC3D36"/>
    <w:rsid w:val="00BD7F72"/>
    <w:rsid w:val="00C04FB3"/>
    <w:rsid w:val="00C330EB"/>
    <w:rsid w:val="00C754BE"/>
    <w:rsid w:val="00C76B1C"/>
    <w:rsid w:val="00CB6357"/>
    <w:rsid w:val="00CC1B26"/>
    <w:rsid w:val="00D423A2"/>
    <w:rsid w:val="00D520D8"/>
    <w:rsid w:val="00D63AC2"/>
    <w:rsid w:val="00D7383B"/>
    <w:rsid w:val="00DA231B"/>
    <w:rsid w:val="00DA23A0"/>
    <w:rsid w:val="00DB2F02"/>
    <w:rsid w:val="00DC39FC"/>
    <w:rsid w:val="00DF5254"/>
    <w:rsid w:val="00E16408"/>
    <w:rsid w:val="00E20894"/>
    <w:rsid w:val="00E245AB"/>
    <w:rsid w:val="00E2764C"/>
    <w:rsid w:val="00E27F2E"/>
    <w:rsid w:val="00E413EA"/>
    <w:rsid w:val="00E50AFE"/>
    <w:rsid w:val="00E52A6B"/>
    <w:rsid w:val="00E578B6"/>
    <w:rsid w:val="00E75C92"/>
    <w:rsid w:val="00E771DC"/>
    <w:rsid w:val="00E8772A"/>
    <w:rsid w:val="00E90F6B"/>
    <w:rsid w:val="00E92C27"/>
    <w:rsid w:val="00EA0E3D"/>
    <w:rsid w:val="00EC38A7"/>
    <w:rsid w:val="00EE1AA8"/>
    <w:rsid w:val="00F31EDC"/>
    <w:rsid w:val="00F462B3"/>
    <w:rsid w:val="00F5664F"/>
    <w:rsid w:val="00F666C4"/>
    <w:rsid w:val="00F76AFC"/>
    <w:rsid w:val="00FA47C0"/>
    <w:rsid w:val="00FA50B4"/>
    <w:rsid w:val="00FB5DD1"/>
    <w:rsid w:val="00FB723F"/>
    <w:rsid w:val="00FC2B5D"/>
    <w:rsid w:val="00FF1449"/>
    <w:rsid w:val="3584D201"/>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39"/>
    <w:qFormat/>
    <w:rsid w:val="00AB23A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AA4737"/>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33F30"/>
    <w:rPr>
      <w:rFonts w:ascii="Geomanist Light" w:hAnsi="Geomanist Light"/>
      <w:lang w:val="es-ES"/>
    </w:rPr>
  </w:style>
  <w:style w:type="character" w:styleId="Textoennegrita">
    <w:name w:val="Strong"/>
    <w:basedOn w:val="Fuentedeprrafopredeter"/>
    <w:uiPriority w:val="22"/>
    <w:qFormat/>
    <w:rsid w:val="001E690B"/>
    <w:rPr>
      <w:b/>
      <w:bCs/>
    </w:rPr>
  </w:style>
  <w:style w:type="character" w:styleId="nfasis">
    <w:name w:val="Emphasis"/>
    <w:basedOn w:val="Fuentedeprrafopredeter"/>
    <w:uiPriority w:val="20"/>
    <w:qFormat/>
    <w:rsid w:val="001E69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70756">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509835318">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constitucion-politica-de-colombia/" TargetMode="External"/><Relationship Id="rId18" Type="http://schemas.openxmlformats.org/officeDocument/2006/relationships/hyperlink" Target="https://relatoria.colombiacompra.gov.co/busqueda/concepto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iana.carolina9229@gmail.com" TargetMode="External"/><Relationship Id="rId17" Type="http://schemas.openxmlformats.org/officeDocument/2006/relationships/hyperlink" Target="https://relatoria.colombiacompra.gov.co/normativa/decreto-1082-de-2015/" TargetMode="External"/><Relationship Id="rId2" Type="http://schemas.openxmlformats.org/officeDocument/2006/relationships/customXml" Target="../customXml/item2.xml"/><Relationship Id="rId16" Type="http://schemas.openxmlformats.org/officeDocument/2006/relationships/hyperlink" Target="https://relatoria.colombiacompra.gov.co/normativa/decreto-092-de-2017/"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normativa/ley-1150-de-200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sala-de-prensa%2Fboletin-digital%2Fboletin-de-relatoria-2024-iv&amp;data=05%7C02%7Cgustavo.hinestroza%40colombiacompra.gov.co%7C616b83c3423e4d31151908dce489c00d%7C7b09041e245149d08cb179d5e3d8c1be%7C0%7C0%7C638636527541390763%7CUnknown%7CTWFpbGZsb3d8eyJWIjoiMC4wLjAwMDAiLCJQIjoiV2luMzIiLCJBTiI6Ik1haWwiLCJXVCI6Mn0%3D%7C0%7C%7C%7C&amp;sdata=TvcamFSJb0xKN8MmFyP0cz5zurODO5ojz6pqdTKfZVc%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489-de-1998/"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8C223412-DE96-43EA-BC69-C018FDE6C720}"/>
</file>

<file path=customXml/itemProps4.xml><?xml version="1.0" encoding="utf-8"?>
<ds:datastoreItem xmlns:ds="http://schemas.openxmlformats.org/officeDocument/2006/customXml" ds:itemID="{93BDFD24-5D18-440C-B604-F4866430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2862</Words>
  <Characters>15745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4</cp:revision>
  <cp:lastPrinted>2023-01-10T21:18:00Z</cp:lastPrinted>
  <dcterms:created xsi:type="dcterms:W3CDTF">2024-10-21T15:08:00Z</dcterms:created>
  <dcterms:modified xsi:type="dcterms:W3CDTF">2024-10-21T15:18:00Z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