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4748" w14:textId="77777777" w:rsidR="00BC028A" w:rsidRPr="00BC028A" w:rsidRDefault="00BC028A" w:rsidP="00BC028A">
      <w:pPr>
        <w:jc w:val="both"/>
        <w:rPr>
          <w:rFonts w:ascii="Verdana" w:eastAsia="Calibri" w:hAnsi="Verdana" w:cs="Arial"/>
          <w:b/>
          <w:bCs/>
        </w:rPr>
      </w:pPr>
      <w:r w:rsidRPr="00BC028A">
        <w:rPr>
          <w:rFonts w:ascii="Verdana" w:eastAsia="Calibri" w:hAnsi="Verdana" w:cs="Arial"/>
          <w:b/>
          <w:bCs/>
        </w:rPr>
        <w:t>REGISTRO ÚNICO DE PROPONENTES – Sujetos obligados</w:t>
      </w:r>
    </w:p>
    <w:p w14:paraId="74F19116" w14:textId="77777777" w:rsidR="00BC028A" w:rsidRPr="00BC028A" w:rsidRDefault="00BC028A" w:rsidP="00BC028A">
      <w:pPr>
        <w:jc w:val="both"/>
        <w:rPr>
          <w:rFonts w:ascii="Verdana" w:eastAsia="Calibri" w:hAnsi="Verdana" w:cs="Arial"/>
          <w:b/>
          <w:bCs/>
        </w:rPr>
      </w:pPr>
    </w:p>
    <w:p w14:paraId="7257E39D"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El inciso 1 del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30C3EA28" w14:textId="77777777" w:rsidR="00BC028A" w:rsidRPr="00BC028A" w:rsidRDefault="00BC028A" w:rsidP="00BC028A">
      <w:pPr>
        <w:jc w:val="both"/>
        <w:rPr>
          <w:rFonts w:ascii="Verdana" w:eastAsia="Calibri" w:hAnsi="Verdana" w:cs="Arial"/>
          <w:b/>
          <w:bCs/>
        </w:rPr>
      </w:pPr>
    </w:p>
    <w:p w14:paraId="66FADE90" w14:textId="77777777" w:rsidR="00BC028A" w:rsidRPr="00BC028A" w:rsidRDefault="00BC028A" w:rsidP="00BC028A">
      <w:pPr>
        <w:jc w:val="both"/>
        <w:rPr>
          <w:rFonts w:ascii="Verdana" w:eastAsia="Calibri" w:hAnsi="Verdana" w:cs="Arial"/>
          <w:b/>
          <w:lang w:val="es-ES_tradnl"/>
        </w:rPr>
      </w:pPr>
      <w:r w:rsidRPr="00BC028A">
        <w:rPr>
          <w:rFonts w:ascii="Verdana" w:eastAsia="Calibri" w:hAnsi="Verdana" w:cs="Arial"/>
          <w:b/>
          <w:lang w:val="es-ES_tradnl"/>
        </w:rPr>
        <w:t>CAPACIDAD FINANCIERA y CAPACIDAD ORGANIZACIONAL – Conceptos – Requisitos habilitantes</w:t>
      </w:r>
    </w:p>
    <w:p w14:paraId="413938F1" w14:textId="77777777" w:rsidR="00BC028A" w:rsidRPr="00BC028A" w:rsidRDefault="00BC028A" w:rsidP="00BC028A">
      <w:pPr>
        <w:jc w:val="both"/>
        <w:rPr>
          <w:rFonts w:ascii="Verdana" w:eastAsia="Calibri" w:hAnsi="Verdana" w:cs="Arial"/>
          <w:b/>
          <w:lang w:val="es-ES_tradnl"/>
        </w:rPr>
      </w:pPr>
    </w:p>
    <w:p w14:paraId="4B4A4E57"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7CAC42CF" w14:textId="77777777" w:rsidR="00BC028A" w:rsidRPr="00BC028A" w:rsidRDefault="00BC028A" w:rsidP="00BC028A">
      <w:pPr>
        <w:jc w:val="both"/>
        <w:rPr>
          <w:rFonts w:ascii="Verdana" w:hAnsi="Verdana" w:cs="Arial"/>
          <w:color w:val="000000" w:themeColor="text1"/>
          <w:sz w:val="20"/>
          <w:szCs w:val="20"/>
          <w:lang w:val="es-ES_tradnl"/>
        </w:rPr>
      </w:pPr>
    </w:p>
    <w:p w14:paraId="778BEBEB" w14:textId="77777777" w:rsidR="00BC028A" w:rsidRPr="00BC028A" w:rsidRDefault="00BC028A" w:rsidP="00BC028A">
      <w:pPr>
        <w:jc w:val="both"/>
        <w:rPr>
          <w:rFonts w:ascii="Verdana" w:eastAsia="Calibri" w:hAnsi="Verdana" w:cs="Arial"/>
          <w:b/>
          <w:lang w:val="es-ES_tradnl"/>
        </w:rPr>
      </w:pPr>
      <w:r w:rsidRPr="00BC028A">
        <w:rPr>
          <w:rFonts w:ascii="Verdana" w:eastAsia="Calibri" w:hAnsi="Verdana" w:cs="Arial"/>
          <w:b/>
          <w:lang w:val="es-ES_tradnl"/>
        </w:rPr>
        <w:lastRenderedPageBreak/>
        <w:t>DECRETO 399 DE 2021 – Finalidad – Reactivación económica</w:t>
      </w:r>
    </w:p>
    <w:p w14:paraId="4DE685CA" w14:textId="77777777" w:rsidR="00BC028A" w:rsidRPr="00BC028A" w:rsidRDefault="00BC028A" w:rsidP="00BC028A">
      <w:pPr>
        <w:spacing w:line="276" w:lineRule="auto"/>
        <w:jc w:val="both"/>
        <w:rPr>
          <w:rFonts w:ascii="Verdana" w:hAnsi="Verdana" w:cs="Arial"/>
          <w:noProof/>
          <w:color w:val="000000" w:themeColor="text1"/>
          <w:lang w:val="es-ES_tradnl"/>
        </w:rPr>
      </w:pPr>
    </w:p>
    <w:p w14:paraId="1FA7741F" w14:textId="77777777" w:rsidR="00BC028A" w:rsidRPr="00BC028A" w:rsidRDefault="00BC028A" w:rsidP="00BC028A">
      <w:pPr>
        <w:jc w:val="both"/>
        <w:rPr>
          <w:rFonts w:ascii="Verdana" w:hAnsi="Verdana" w:cs="Arial"/>
          <w:noProof/>
          <w:color w:val="000000" w:themeColor="text1"/>
          <w:lang w:val="es-ES_tradnl"/>
        </w:rPr>
      </w:pPr>
      <w:r w:rsidRPr="00BC028A">
        <w:rPr>
          <w:rFonts w:ascii="Verdana" w:hAnsi="Verdana" w:cs="Arial"/>
          <w:color w:val="000000" w:themeColor="text1"/>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w:t>
      </w:r>
    </w:p>
    <w:p w14:paraId="761E85A7" w14:textId="77777777" w:rsidR="00BC028A" w:rsidRPr="00BC028A" w:rsidRDefault="00BC028A" w:rsidP="00BC028A">
      <w:pPr>
        <w:jc w:val="both"/>
        <w:rPr>
          <w:rFonts w:ascii="Verdana" w:eastAsia="Calibri" w:hAnsi="Verdana" w:cs="Arial"/>
          <w:b/>
          <w:lang w:val="es-ES_tradnl"/>
        </w:rPr>
      </w:pPr>
    </w:p>
    <w:p w14:paraId="0BFA40F2" w14:textId="77777777" w:rsidR="00BC028A" w:rsidRPr="00BC028A" w:rsidRDefault="00BC028A" w:rsidP="00BC028A">
      <w:pPr>
        <w:jc w:val="both"/>
        <w:rPr>
          <w:rFonts w:ascii="Verdana" w:eastAsia="Calibri" w:hAnsi="Verdana" w:cs="Arial"/>
          <w:b/>
          <w:lang w:val="es-ES_tradnl"/>
        </w:rPr>
      </w:pPr>
      <w:r w:rsidRPr="00BC028A">
        <w:rPr>
          <w:rFonts w:ascii="Verdana" w:eastAsia="Calibri" w:hAnsi="Verdana" w:cs="Arial"/>
          <w:b/>
          <w:lang w:val="es-ES_tradnl"/>
        </w:rPr>
        <w:t>DECRETOS 399 Y 579 DE 2021 – Información – Capacidad financiera – Capacidad organizacional – RUP</w:t>
      </w:r>
    </w:p>
    <w:p w14:paraId="1A9A3F56" w14:textId="77777777" w:rsidR="00BC028A" w:rsidRPr="00BC028A" w:rsidRDefault="00BC028A" w:rsidP="00BC028A">
      <w:pPr>
        <w:spacing w:line="276" w:lineRule="auto"/>
        <w:jc w:val="both"/>
        <w:rPr>
          <w:rFonts w:ascii="Verdana" w:hAnsi="Verdana" w:cs="Arial"/>
          <w:noProof/>
          <w:color w:val="000000" w:themeColor="text1"/>
          <w:lang w:val="es-ES_tradnl"/>
        </w:rPr>
      </w:pPr>
    </w:p>
    <w:p w14:paraId="2A7C7B4B" w14:textId="77777777" w:rsidR="00BC028A" w:rsidRPr="00BC028A" w:rsidRDefault="00BC028A" w:rsidP="00BC028A">
      <w:pPr>
        <w:jc w:val="both"/>
        <w:rPr>
          <w:rFonts w:ascii="Verdana" w:eastAsia="Calibri" w:hAnsi="Verdana" w:cs="Arial"/>
          <w:color w:val="000000" w:themeColor="text1"/>
          <w:sz w:val="20"/>
          <w:szCs w:val="20"/>
          <w:lang w:val="es-ES_tradnl"/>
        </w:rPr>
      </w:pPr>
      <w:r w:rsidRPr="00BC028A">
        <w:rPr>
          <w:rFonts w:ascii="Verdana" w:eastAsia="Calibri" w:hAnsi="Verdana"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BC028A">
        <w:rPr>
          <w:rFonts w:ascii="Verdana" w:eastAsia="Calibri" w:hAnsi="Verdana" w:cs="Arial"/>
          <w:color w:val="000000" w:themeColor="text1"/>
          <w:sz w:val="20"/>
          <w:szCs w:val="20"/>
          <w:lang w:val="es-ES_tradnl"/>
        </w:rPr>
        <w:t>que</w:t>
      </w:r>
      <w:proofErr w:type="gramEnd"/>
      <w:r w:rsidRPr="00BC028A">
        <w:rPr>
          <w:rFonts w:ascii="Verdana" w:eastAsia="Calibri" w:hAnsi="Verdana" w:cs="Arial"/>
          <w:color w:val="000000" w:themeColor="text1"/>
          <w:sz w:val="20"/>
          <w:szCs w:val="20"/>
          <w:lang w:val="es-ES_tradnl"/>
        </w:rPr>
        <w:t xml:space="preserve"> si el proponente tiene registrada la información de dichos años en la cámara de comercio, no deberá presentar esta información.</w:t>
      </w:r>
    </w:p>
    <w:p w14:paraId="0492B6CE" w14:textId="77777777" w:rsidR="00BC028A" w:rsidRPr="00BC028A" w:rsidRDefault="00BC028A" w:rsidP="00BC028A">
      <w:pPr>
        <w:spacing w:line="276" w:lineRule="auto"/>
        <w:jc w:val="both"/>
        <w:rPr>
          <w:rFonts w:ascii="Verdana" w:hAnsi="Verdana" w:cs="Arial"/>
          <w:noProof/>
          <w:color w:val="000000" w:themeColor="text1"/>
          <w:lang w:val="es-ES_tradnl"/>
        </w:rPr>
      </w:pPr>
    </w:p>
    <w:p w14:paraId="0B7BA60D" w14:textId="77777777" w:rsidR="00BC028A" w:rsidRPr="00BC028A" w:rsidRDefault="00BC028A" w:rsidP="00BC028A">
      <w:pPr>
        <w:jc w:val="both"/>
        <w:rPr>
          <w:rFonts w:ascii="Verdana" w:eastAsia="Calibri" w:hAnsi="Verdana" w:cs="Arial"/>
          <w:b/>
          <w:lang w:val="es-ES_tradnl"/>
        </w:rPr>
      </w:pPr>
      <w:r w:rsidRPr="00BC028A">
        <w:rPr>
          <w:rFonts w:ascii="Verdana" w:eastAsia="Calibri" w:hAnsi="Verdana" w:cs="Arial"/>
          <w:b/>
          <w:lang w:val="es-ES_tradnl"/>
        </w:rPr>
        <w:t>DECRETOS 399 Y 579 DE 2021 – Indicadores – Capacidad financiera – Capacidad organizacional – Período</w:t>
      </w:r>
    </w:p>
    <w:p w14:paraId="219DF074" w14:textId="77777777" w:rsidR="00BC028A" w:rsidRPr="00BC028A" w:rsidRDefault="00BC028A" w:rsidP="00BC028A">
      <w:pPr>
        <w:spacing w:line="276" w:lineRule="auto"/>
        <w:jc w:val="both"/>
        <w:rPr>
          <w:rFonts w:ascii="Verdana" w:hAnsi="Verdana" w:cs="Arial"/>
          <w:noProof/>
          <w:color w:val="000000" w:themeColor="text1"/>
          <w:lang w:val="es-ES_tradnl"/>
        </w:rPr>
      </w:pPr>
    </w:p>
    <w:p w14:paraId="431E60AA" w14:textId="77777777" w:rsidR="00BC028A" w:rsidRPr="00BC028A" w:rsidRDefault="00BC028A" w:rsidP="00BC028A">
      <w:pPr>
        <w:jc w:val="both"/>
        <w:rPr>
          <w:rFonts w:ascii="Verdana" w:hAnsi="Verdana" w:cs="Arial"/>
          <w:noProof/>
          <w:color w:val="000000" w:themeColor="text1"/>
          <w:lang w:val="es-ES_tradnl"/>
        </w:rPr>
      </w:pPr>
      <w:r w:rsidRPr="00BC028A">
        <w:rPr>
          <w:rFonts w:ascii="Verdana" w:eastAsia="Calibri" w:hAnsi="Verdana" w:cs="Arial"/>
          <w:color w:val="000000" w:themeColor="text1"/>
          <w:sz w:val="20"/>
          <w:szCs w:val="20"/>
          <w:lang w:val="es-ES_tradnl"/>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w:t>
      </w:r>
      <w:r w:rsidRPr="00BC028A">
        <w:rPr>
          <w:rFonts w:ascii="Verdana" w:eastAsia="Calibri" w:hAnsi="Verdana" w:cs="Arial"/>
          <w:color w:val="000000" w:themeColor="text1"/>
          <w:sz w:val="20"/>
          <w:szCs w:val="20"/>
          <w:lang w:val="es-ES_tradnl"/>
        </w:rPr>
        <w:lastRenderedPageBreak/>
        <w:t>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7F6F4161" w14:textId="77777777" w:rsidR="00BC028A" w:rsidRPr="00BC028A" w:rsidRDefault="00BC028A" w:rsidP="00BC028A">
      <w:pPr>
        <w:jc w:val="both"/>
        <w:rPr>
          <w:rFonts w:ascii="Verdana" w:eastAsia="Calibri" w:hAnsi="Verdana" w:cs="Arial"/>
          <w:b/>
          <w:lang w:val="es-ES_tradnl"/>
        </w:rPr>
      </w:pPr>
    </w:p>
    <w:p w14:paraId="6A2C2E75" w14:textId="77777777" w:rsidR="00BC028A" w:rsidRPr="00BC028A" w:rsidRDefault="00BC028A" w:rsidP="00BC028A">
      <w:pPr>
        <w:jc w:val="both"/>
        <w:rPr>
          <w:rFonts w:ascii="Verdana" w:eastAsia="Calibri" w:hAnsi="Verdana" w:cs="Arial"/>
          <w:b/>
          <w:lang w:val="es-ES_tradnl"/>
        </w:rPr>
      </w:pPr>
      <w:r w:rsidRPr="00BC028A">
        <w:rPr>
          <w:rFonts w:ascii="Verdana" w:eastAsia="Calibri" w:hAnsi="Verdana" w:cs="Arial"/>
          <w:b/>
          <w:lang w:val="es-ES_tradnl"/>
        </w:rPr>
        <w:t>MEJOR AÑO FISCAL – Decretos 399 y 579 de 2021 – Capacidad financiera – Capacidad organizacional – Interpretación</w:t>
      </w:r>
    </w:p>
    <w:p w14:paraId="3BFF2109" w14:textId="77777777" w:rsidR="00BC028A" w:rsidRPr="00BC028A" w:rsidRDefault="00BC028A" w:rsidP="00BC028A">
      <w:pPr>
        <w:spacing w:line="276" w:lineRule="auto"/>
        <w:jc w:val="both"/>
        <w:rPr>
          <w:rFonts w:ascii="Verdana" w:hAnsi="Verdana" w:cs="Arial"/>
          <w:noProof/>
          <w:color w:val="000000" w:themeColor="text1"/>
          <w:lang w:val="es-ES_tradnl"/>
        </w:rPr>
      </w:pPr>
    </w:p>
    <w:p w14:paraId="45A32AA4"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1FA79D49" w14:textId="77777777" w:rsidR="00BC028A" w:rsidRPr="00BC028A" w:rsidRDefault="00BC028A" w:rsidP="00BC028A">
      <w:pPr>
        <w:jc w:val="both"/>
        <w:rPr>
          <w:rFonts w:ascii="Verdana" w:hAnsi="Verdana" w:cs="Arial"/>
          <w:color w:val="000000" w:themeColor="text1"/>
          <w:sz w:val="20"/>
          <w:szCs w:val="20"/>
          <w:lang w:val="es-ES_tradnl"/>
        </w:rPr>
      </w:pPr>
    </w:p>
    <w:p w14:paraId="7C49CCD6"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w:t>
      </w:r>
    </w:p>
    <w:p w14:paraId="36442D59" w14:textId="77777777" w:rsidR="00BC028A" w:rsidRPr="00BC028A" w:rsidRDefault="00BC028A" w:rsidP="00BC028A">
      <w:pPr>
        <w:jc w:val="both"/>
        <w:rPr>
          <w:rFonts w:ascii="Verdana" w:hAnsi="Verdana" w:cs="Arial"/>
          <w:color w:val="000000" w:themeColor="text1"/>
          <w:sz w:val="20"/>
          <w:szCs w:val="20"/>
          <w:lang w:val="es-ES_tradnl"/>
        </w:rPr>
      </w:pPr>
    </w:p>
    <w:p w14:paraId="708C6FB1"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 xml:space="preserve">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w:t>
      </w:r>
      <w:r w:rsidRPr="00BC028A">
        <w:rPr>
          <w:rFonts w:ascii="Verdana" w:hAnsi="Verdana" w:cs="Arial"/>
          <w:color w:val="000000" w:themeColor="text1"/>
          <w:sz w:val="20"/>
          <w:szCs w:val="20"/>
          <w:lang w:val="es-ES_tradnl"/>
        </w:rPr>
        <w:lastRenderedPageBreak/>
        <w:t>Decreto 399 de 2021 y sustituido por el artículo 3 del Decreto 579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56A5DAA0" w14:textId="77777777" w:rsidR="00BC028A" w:rsidRPr="00BC028A" w:rsidRDefault="00BC028A" w:rsidP="00BC028A">
      <w:pPr>
        <w:jc w:val="both"/>
        <w:rPr>
          <w:rFonts w:ascii="Verdana" w:hAnsi="Verdana" w:cs="Arial"/>
          <w:noProof/>
          <w:color w:val="000000" w:themeColor="text1"/>
          <w:lang w:val="es-ES_tradnl"/>
        </w:rPr>
      </w:pPr>
      <w:r w:rsidRPr="00BC028A">
        <w:rPr>
          <w:rFonts w:ascii="Verdana" w:hAnsi="Verdana" w:cs="Arial"/>
          <w:color w:val="000000" w:themeColor="text1"/>
          <w:sz w:val="20"/>
          <w:szCs w:val="20"/>
          <w:lang w:val="es-ES_tradnl"/>
        </w:rPr>
        <w:t>Por lo tanto, 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33C119BF" w14:textId="77777777" w:rsidR="00BC028A" w:rsidRPr="00BC028A" w:rsidRDefault="00BC028A" w:rsidP="00BC028A">
      <w:pPr>
        <w:jc w:val="both"/>
        <w:rPr>
          <w:rFonts w:ascii="Verdana" w:eastAsia="Calibri" w:hAnsi="Verdana" w:cs="Arial"/>
          <w:b/>
          <w:lang w:val="es-ES_tradnl"/>
        </w:rPr>
      </w:pPr>
    </w:p>
    <w:p w14:paraId="12058443" w14:textId="77777777" w:rsidR="00BC028A" w:rsidRPr="00BC028A" w:rsidRDefault="00BC028A" w:rsidP="00BC028A">
      <w:pPr>
        <w:jc w:val="both"/>
        <w:rPr>
          <w:rFonts w:ascii="Verdana" w:eastAsia="Calibri" w:hAnsi="Verdana" w:cs="Arial"/>
          <w:b/>
          <w:lang w:val="es-ES_tradnl"/>
        </w:rPr>
      </w:pPr>
      <w:r w:rsidRPr="00BC028A">
        <w:rPr>
          <w:rFonts w:ascii="Verdana" w:eastAsia="Calibri" w:hAnsi="Verdana" w:cs="Arial"/>
          <w:b/>
          <w:lang w:val="es-ES_tradnl"/>
        </w:rPr>
        <w:t>CAPACIDAD RESIDUAL – Cálculo – Decreto 399 y 579 de 2021 – Capacidad financiera – Incidencia</w:t>
      </w:r>
    </w:p>
    <w:p w14:paraId="78AFC9F0" w14:textId="77777777" w:rsidR="00BC028A" w:rsidRPr="00BC028A" w:rsidRDefault="00BC028A" w:rsidP="00BC028A">
      <w:pPr>
        <w:spacing w:line="276" w:lineRule="auto"/>
        <w:jc w:val="both"/>
        <w:rPr>
          <w:rFonts w:ascii="Verdana" w:hAnsi="Verdana" w:cs="Arial"/>
          <w:noProof/>
          <w:color w:val="000000" w:themeColor="text1"/>
          <w:lang w:val="es-ES_tradnl"/>
        </w:rPr>
      </w:pPr>
    </w:p>
    <w:p w14:paraId="0AE306F5" w14:textId="77777777" w:rsidR="00BC028A" w:rsidRPr="00BC028A" w:rsidRDefault="00BC028A" w:rsidP="00BC028A">
      <w:pPr>
        <w:jc w:val="both"/>
        <w:rPr>
          <w:rFonts w:ascii="Verdana" w:eastAsia="Calibri" w:hAnsi="Verdana" w:cs="Arial"/>
          <w:color w:val="000000" w:themeColor="text1"/>
          <w:sz w:val="20"/>
          <w:szCs w:val="20"/>
          <w:lang w:val="es-ES_tradnl"/>
        </w:rPr>
      </w:pPr>
      <w:r w:rsidRPr="00BC028A">
        <w:rPr>
          <w:rFonts w:ascii="Verdana" w:eastAsia="Calibri" w:hAnsi="Verdana" w:cs="Arial"/>
          <w:color w:val="000000" w:themeColor="text1"/>
          <w:sz w:val="20"/>
          <w:szCs w:val="20"/>
          <w:lang w:val="es-ES_tradnl"/>
        </w:rPr>
        <w:t xml:space="preserve">Por lo demás, lo establecido en el parágrafo transitorio adicionado por el artículo 6 del Decreto 399 de 2021 también incide en el cálculo de la </w:t>
      </w:r>
      <w:r w:rsidRPr="00BC028A">
        <w:rPr>
          <w:rFonts w:ascii="Verdana" w:eastAsia="Calibri" w:hAnsi="Verdana" w:cs="Arial"/>
          <w:i/>
          <w:iCs/>
          <w:color w:val="000000" w:themeColor="text1"/>
          <w:sz w:val="20"/>
          <w:szCs w:val="20"/>
          <w:lang w:val="es-ES_tradnl"/>
        </w:rPr>
        <w:t xml:space="preserve">capacidad residual </w:t>
      </w:r>
      <w:r w:rsidRPr="00BC028A">
        <w:rPr>
          <w:rFonts w:ascii="Verdana" w:eastAsia="Calibri" w:hAnsi="Verdana" w:cs="Arial"/>
          <w:color w:val="000000" w:themeColor="text1"/>
          <w:sz w:val="20"/>
          <w:szCs w:val="20"/>
          <w:lang w:val="es-ES_tradnl"/>
        </w:rPr>
        <w:t>o</w:t>
      </w:r>
      <w:r w:rsidRPr="00BC028A">
        <w:rPr>
          <w:rFonts w:ascii="Verdana" w:eastAsia="Calibri" w:hAnsi="Verdana" w:cs="Arial"/>
          <w:i/>
          <w:iCs/>
          <w:color w:val="000000" w:themeColor="text1"/>
          <w:sz w:val="20"/>
          <w:szCs w:val="20"/>
          <w:lang w:val="es-ES_tradnl"/>
        </w:rPr>
        <w:t xml:space="preserve"> K de contratación</w:t>
      </w:r>
      <w:r w:rsidRPr="00BC028A">
        <w:rPr>
          <w:rFonts w:ascii="Verdana" w:eastAsia="Calibri" w:hAnsi="Verdana" w:cs="Arial"/>
          <w:color w:val="000000" w:themeColor="text1"/>
          <w:sz w:val="20"/>
          <w:szCs w:val="20"/>
          <w:lang w:val="es-ES_tradnl"/>
        </w:rPr>
        <w:t xml:space="preserve"> –concepto que el Decreto 1082 de 2015 define en el artículo 2.2.1.1.1.3.1. como la «Aptitud de un oferente para cumplir oportuna y cabalmente con el objeto de un contrato de obra, sin que sus otros compromisos contractuales afecten su habilidad de cumplir con el contrato que está en proceso de selección»–. Lo anterior por cuanto la «capacidad financiera» es uno de los factores que deben tenerse en cuenta para definir la capacidad residual, según lo dispuesto en el artículo 2.2.1.1.1.6.4. del Decreto 1082 de 2015, […].</w:t>
      </w:r>
    </w:p>
    <w:p w14:paraId="428EA7C4" w14:textId="77777777" w:rsidR="00BC028A" w:rsidRPr="00BC028A" w:rsidRDefault="00BC028A" w:rsidP="00BC028A">
      <w:pPr>
        <w:jc w:val="both"/>
        <w:rPr>
          <w:rFonts w:ascii="Verdana" w:eastAsia="Calibri" w:hAnsi="Verdana" w:cs="Arial"/>
          <w:color w:val="000000" w:themeColor="text1"/>
          <w:sz w:val="20"/>
          <w:szCs w:val="20"/>
          <w:lang w:val="es-ES_tradnl"/>
        </w:rPr>
      </w:pPr>
    </w:p>
    <w:p w14:paraId="75C6DDF8" w14:textId="77777777" w:rsidR="00BC028A" w:rsidRPr="00BC028A" w:rsidRDefault="00BC028A" w:rsidP="00BC028A">
      <w:pPr>
        <w:jc w:val="both"/>
        <w:rPr>
          <w:rFonts w:ascii="Verdana" w:eastAsia="Calibri" w:hAnsi="Verdana" w:cs="Arial"/>
          <w:color w:val="000000" w:themeColor="text1"/>
          <w:sz w:val="20"/>
          <w:szCs w:val="20"/>
          <w:lang w:val="es-ES_tradnl"/>
        </w:rPr>
      </w:pPr>
      <w:r w:rsidRPr="00BC028A">
        <w:rPr>
          <w:rFonts w:ascii="Verdana" w:eastAsia="Calibri" w:hAnsi="Verdana" w:cs="Arial"/>
          <w:color w:val="000000" w:themeColor="text1"/>
          <w:sz w:val="20"/>
          <w:szCs w:val="20"/>
          <w:lang w:val="es-ES_tradnl"/>
        </w:rPr>
        <w:t>[…]</w:t>
      </w:r>
    </w:p>
    <w:p w14:paraId="693E7624" w14:textId="77777777" w:rsidR="00BC028A" w:rsidRPr="00BC028A" w:rsidRDefault="00BC028A" w:rsidP="00BC028A">
      <w:pPr>
        <w:jc w:val="both"/>
        <w:rPr>
          <w:rFonts w:ascii="Verdana" w:eastAsia="Calibri" w:hAnsi="Verdana" w:cs="Arial"/>
          <w:color w:val="000000" w:themeColor="text1"/>
          <w:sz w:val="20"/>
          <w:szCs w:val="20"/>
          <w:lang w:val="es-ES_tradnl"/>
        </w:rPr>
      </w:pPr>
      <w:r w:rsidRPr="00BC028A">
        <w:rPr>
          <w:rFonts w:ascii="Verdana" w:eastAsia="Calibri" w:hAnsi="Verdana" w:cs="Arial"/>
          <w:color w:val="000000" w:themeColor="text1"/>
          <w:sz w:val="20"/>
          <w:szCs w:val="20"/>
          <w:lang w:val="es-ES_tradnl"/>
        </w:rPr>
        <w:t xml:space="preserve">De manera que, si el artículo 6 del Decreto 399 de 2021 establece que «en relación con los indicadores de la </w:t>
      </w:r>
      <w:r w:rsidRPr="00BC028A">
        <w:rPr>
          <w:rFonts w:ascii="Verdana" w:eastAsia="Calibri" w:hAnsi="Verdana" w:cs="Arial"/>
          <w:i/>
          <w:iCs/>
          <w:color w:val="000000" w:themeColor="text1"/>
          <w:sz w:val="20"/>
          <w:szCs w:val="20"/>
          <w:lang w:val="es-ES_tradnl"/>
        </w:rPr>
        <w:t>capacidad financiera</w:t>
      </w:r>
      <w:r w:rsidRPr="00BC028A">
        <w:rPr>
          <w:rFonts w:ascii="Verdana" w:eastAsia="Calibri" w:hAnsi="Verdana" w:cs="Arial"/>
          <w:color w:val="000000" w:themeColor="text1"/>
          <w:sz w:val="20"/>
          <w:szCs w:val="20"/>
          <w:lang w:val="es-ES_tradnl"/>
        </w:rPr>
        <w:t xml:space="preserve">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w:t>
      </w:r>
      <w:r w:rsidRPr="00BC028A">
        <w:rPr>
          <w:rFonts w:ascii="Verdana" w:eastAsia="Calibri" w:hAnsi="Verdana" w:cs="Arial"/>
          <w:color w:val="000000" w:themeColor="text1"/>
          <w:sz w:val="20"/>
          <w:szCs w:val="20"/>
          <w:lang w:val="es-ES_tradnl"/>
        </w:rPr>
        <w:lastRenderedPageBreak/>
        <w:t>que se refleje en el registro de cada proponente» (énfasis fuera de texto), es tal «capacidad financiera», determinada en el mejor año fiscal, la que a su vez se debe considerar para calcular la «capacidad residual». Esta interpretación se apoya en dos argumentos: i) en que la «capacidad financiera» se define en el numeral 3 del artículo 2.2.1.1.1.5.3. del Decreto 1082 de 2015 –artículo que regula los requisitos habilitantes que deben certificar las cámaras de comercio en el RUP– y ii) en que el parágrafo transitorio 1 adicionado al artículo 2.2.1.1.1.5.6. del Decreto 1082 de 2015 por el artículo 5 del Decreto 399 de 2021, dice que los requisitos e indicadores de «capacidad financiera» son aquellos a los que alude «[…] el literal (b) del artículo 2.2.1.1.1.5.6. del Decreto 1082 de 2015». Pues bien, este literal dispone que el certificado del RUP debe contener «los requisitos e indicadores a los que se refiere el artículo 2.2.1.1.1.5.3 del presente decreto», es decir que a su vez remite al artículo 2.2.1.1.1.5.3., única norma del Decreto 1082 de 2015 en la que se define la «capacidad financiera», […].</w:t>
      </w:r>
    </w:p>
    <w:p w14:paraId="1C473772" w14:textId="77777777" w:rsidR="00BC028A" w:rsidRPr="00BC028A" w:rsidRDefault="00BC028A" w:rsidP="00BC028A">
      <w:pPr>
        <w:jc w:val="both"/>
        <w:rPr>
          <w:rFonts w:ascii="Verdana" w:eastAsia="Calibri" w:hAnsi="Verdana" w:cs="Arial"/>
          <w:b/>
          <w:bCs/>
        </w:rPr>
      </w:pPr>
    </w:p>
    <w:p w14:paraId="7326C742" w14:textId="77777777" w:rsidR="00BC028A" w:rsidRPr="00BC028A" w:rsidRDefault="00BC028A" w:rsidP="00BC028A">
      <w:pPr>
        <w:jc w:val="both"/>
        <w:rPr>
          <w:rFonts w:ascii="Verdana" w:eastAsia="Calibri" w:hAnsi="Verdana" w:cs="Arial"/>
          <w:b/>
          <w:bCs/>
        </w:rPr>
      </w:pPr>
      <w:r w:rsidRPr="00BC028A">
        <w:rPr>
          <w:rFonts w:ascii="Verdana" w:eastAsia="Calibri" w:hAnsi="Verdana" w:cs="Arial"/>
          <w:b/>
          <w:bCs/>
        </w:rPr>
        <w:t xml:space="preserve">PROPONENTES PLURALES – Mejor año fiscal – Decretos 399 y 579 de 2021 </w:t>
      </w:r>
    </w:p>
    <w:p w14:paraId="31B72DAE" w14:textId="77777777" w:rsidR="00BC028A" w:rsidRPr="00BC028A" w:rsidRDefault="00BC028A" w:rsidP="00BC028A">
      <w:pPr>
        <w:jc w:val="both"/>
        <w:rPr>
          <w:rFonts w:ascii="Verdana" w:hAnsi="Verdana" w:cs="Arial"/>
          <w:sz w:val="20"/>
          <w:szCs w:val="20"/>
        </w:rPr>
      </w:pPr>
    </w:p>
    <w:p w14:paraId="5B604C0B"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Dado que los consorcios y las uniones temporales carecen de RUP, cuando la norma se refiere a que «[…] 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la explicación precedente.</w:t>
      </w:r>
    </w:p>
    <w:p w14:paraId="1852280D" w14:textId="77777777" w:rsidR="00BC028A" w:rsidRPr="00BC028A" w:rsidRDefault="00BC028A" w:rsidP="00BC028A">
      <w:pPr>
        <w:jc w:val="both"/>
        <w:rPr>
          <w:rFonts w:ascii="Verdana" w:hAnsi="Verdana" w:cs="Arial"/>
          <w:color w:val="000000" w:themeColor="text1"/>
          <w:sz w:val="20"/>
          <w:szCs w:val="20"/>
          <w:lang w:val="es-ES_tradnl"/>
        </w:rPr>
      </w:pPr>
    </w:p>
    <w:p w14:paraId="22D73D56" w14:textId="77777777" w:rsidR="00BC028A" w:rsidRPr="00BC028A" w:rsidRDefault="00BC028A" w:rsidP="00BC028A">
      <w:pPr>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 xml:space="preserve">Los Decretos 399 y 579 de 2021 son normas reglamentarias de la Ley 1150 de 2007, incorporadas al Decreto 1082 de 2015, que rigen desde su publicación. No obstante, los parágrafos transitorios delimitan su campo de acción temporalmente, pues serán aplicables para la inscripción de información financiera y contable en el RUP desde 1° de junio de 2021 y también se aplicarán para la inscripción o renovación del RUP en el año 2022, información que a su vez será certificada por las cámaras de comercio y evaluada </w:t>
      </w:r>
      <w:r w:rsidRPr="00BC028A">
        <w:rPr>
          <w:rFonts w:ascii="Verdana" w:hAnsi="Verdana" w:cs="Arial"/>
          <w:color w:val="000000" w:themeColor="text1"/>
          <w:sz w:val="20"/>
          <w:szCs w:val="20"/>
          <w:lang w:val="es-ES_tradnl"/>
        </w:rPr>
        <w:lastRenderedPageBreak/>
        <w:t>por las entidades estatales según las reglas transitorias explicadas en el acápite anterior. Mientras el Gobierno Nacional no modifique la reglamentación transitoria, esta solo regirá en los años mencionados.</w:t>
      </w:r>
    </w:p>
    <w:p w14:paraId="3658D214" w14:textId="77777777" w:rsidR="00BC028A" w:rsidRPr="00BC028A" w:rsidRDefault="00BC028A" w:rsidP="00BC028A">
      <w:pPr>
        <w:jc w:val="both"/>
        <w:rPr>
          <w:rFonts w:ascii="Verdana" w:eastAsia="Calibri" w:hAnsi="Verdana" w:cs="Arial"/>
          <w:color w:val="000000" w:themeColor="text1"/>
          <w:sz w:val="20"/>
          <w:szCs w:val="20"/>
          <w:lang w:val="es-ES_tradnl"/>
        </w:rPr>
      </w:pPr>
    </w:p>
    <w:p w14:paraId="088007D6" w14:textId="77777777" w:rsidR="00BC028A" w:rsidRPr="00BC028A" w:rsidRDefault="00BC028A" w:rsidP="00BC028A">
      <w:pPr>
        <w:spacing w:line="276" w:lineRule="auto"/>
        <w:jc w:val="both"/>
        <w:rPr>
          <w:rFonts w:ascii="Verdana" w:hAnsi="Verdana" w:cs="Arial"/>
          <w:noProof/>
          <w:color w:val="000000" w:themeColor="text1"/>
          <w:lang w:val="es-ES_tradnl"/>
        </w:rPr>
      </w:pPr>
    </w:p>
    <w:p w14:paraId="32B9438E" w14:textId="77777777" w:rsidR="00BC028A" w:rsidRPr="00BC028A" w:rsidRDefault="00BC028A" w:rsidP="00BC028A">
      <w:pPr>
        <w:spacing w:line="276" w:lineRule="auto"/>
        <w:jc w:val="both"/>
        <w:rPr>
          <w:rFonts w:ascii="Verdana" w:hAnsi="Verdana" w:cs="Arial"/>
          <w:noProof/>
          <w:color w:val="000000" w:themeColor="text1"/>
          <w:lang w:val="es-ES_tradnl"/>
        </w:rPr>
      </w:pPr>
    </w:p>
    <w:p w14:paraId="08617BE0" w14:textId="77777777" w:rsidR="00BC028A" w:rsidRPr="00BC028A" w:rsidRDefault="00BC028A" w:rsidP="00BC028A">
      <w:pPr>
        <w:spacing w:line="276" w:lineRule="auto"/>
        <w:jc w:val="both"/>
        <w:rPr>
          <w:rFonts w:ascii="Verdana" w:hAnsi="Verdana" w:cs="Arial"/>
          <w:noProof/>
          <w:color w:val="000000" w:themeColor="text1"/>
          <w:lang w:val="es-ES_tradnl"/>
        </w:rPr>
      </w:pPr>
    </w:p>
    <w:p w14:paraId="68234237" w14:textId="77777777" w:rsidR="00F36066" w:rsidRPr="00BC028A" w:rsidRDefault="00F36066" w:rsidP="00D23964">
      <w:pPr>
        <w:spacing w:after="0" w:line="240" w:lineRule="auto"/>
        <w:jc w:val="both"/>
        <w:rPr>
          <w:rFonts w:ascii="Verdana" w:eastAsia="Geomanist Light" w:hAnsi="Verdana" w:cs="Arial"/>
          <w:color w:val="000000" w:themeColor="text1"/>
          <w:lang w:val="es-ES_tradnl"/>
        </w:rPr>
      </w:pPr>
    </w:p>
    <w:p w14:paraId="1CF8F358"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22F86A62"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765DFDCC"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05985B8F"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4B827F6B"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1F0398F5"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3D3D5ECF"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034B3B32"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16DA3FD3"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21A8FF7D"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16DA955C"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5E9CD4D0" w14:textId="77777777" w:rsidR="00F36066" w:rsidRPr="00BC028A" w:rsidRDefault="00F36066" w:rsidP="00D23964">
      <w:pPr>
        <w:spacing w:after="0" w:line="240" w:lineRule="auto"/>
        <w:jc w:val="both"/>
        <w:rPr>
          <w:rFonts w:ascii="Verdana" w:eastAsia="Geomanist Light" w:hAnsi="Verdana" w:cs="Arial"/>
          <w:color w:val="000000" w:themeColor="text1"/>
          <w:lang w:val="es-MX"/>
        </w:rPr>
      </w:pPr>
    </w:p>
    <w:p w14:paraId="5F6D5DCF" w14:textId="30B2A523" w:rsidR="003A0817" w:rsidRDefault="003A0817" w:rsidP="00D23964">
      <w:pPr>
        <w:spacing w:after="0" w:line="240" w:lineRule="auto"/>
        <w:jc w:val="both"/>
        <w:rPr>
          <w:rFonts w:ascii="Verdana" w:eastAsia="Geomanist Light" w:hAnsi="Verdana" w:cs="Arial"/>
          <w:color w:val="000000" w:themeColor="text1"/>
          <w:lang w:val="es-MX"/>
        </w:rPr>
      </w:pPr>
    </w:p>
    <w:p w14:paraId="5925F79B" w14:textId="77777777" w:rsidR="00BC028A" w:rsidRDefault="00BC028A" w:rsidP="00D23964">
      <w:pPr>
        <w:spacing w:after="0" w:line="240" w:lineRule="auto"/>
        <w:jc w:val="both"/>
        <w:rPr>
          <w:rFonts w:ascii="Verdana" w:eastAsia="Geomanist Light" w:hAnsi="Verdana" w:cs="Arial"/>
          <w:color w:val="000000" w:themeColor="text1"/>
          <w:lang w:val="es-MX"/>
        </w:rPr>
      </w:pPr>
    </w:p>
    <w:p w14:paraId="218EF3A2" w14:textId="77777777" w:rsidR="00BC028A" w:rsidRDefault="00BC028A" w:rsidP="00D23964">
      <w:pPr>
        <w:spacing w:after="0" w:line="240" w:lineRule="auto"/>
        <w:jc w:val="both"/>
        <w:rPr>
          <w:rFonts w:ascii="Verdana" w:eastAsia="Geomanist Light" w:hAnsi="Verdana" w:cs="Arial"/>
          <w:color w:val="000000" w:themeColor="text1"/>
          <w:lang w:val="es-MX"/>
        </w:rPr>
      </w:pPr>
    </w:p>
    <w:p w14:paraId="27DFDBCE" w14:textId="77777777" w:rsidR="00BC028A" w:rsidRDefault="00BC028A" w:rsidP="00D23964">
      <w:pPr>
        <w:spacing w:after="0" w:line="240" w:lineRule="auto"/>
        <w:jc w:val="both"/>
        <w:rPr>
          <w:rFonts w:ascii="Verdana" w:eastAsia="Geomanist Light" w:hAnsi="Verdana" w:cs="Arial"/>
          <w:color w:val="000000" w:themeColor="text1"/>
          <w:lang w:val="es-MX"/>
        </w:rPr>
      </w:pPr>
    </w:p>
    <w:p w14:paraId="6D916320" w14:textId="77777777" w:rsidR="00BC028A" w:rsidRDefault="00BC028A" w:rsidP="00D23964">
      <w:pPr>
        <w:spacing w:after="0" w:line="240" w:lineRule="auto"/>
        <w:jc w:val="both"/>
        <w:rPr>
          <w:rFonts w:ascii="Verdana" w:eastAsia="Geomanist Light" w:hAnsi="Verdana" w:cs="Arial"/>
          <w:color w:val="000000" w:themeColor="text1"/>
          <w:lang w:val="es-MX"/>
        </w:rPr>
      </w:pPr>
    </w:p>
    <w:p w14:paraId="4ABEC1E8" w14:textId="77777777" w:rsidR="00BC028A" w:rsidRDefault="00BC028A" w:rsidP="00D23964">
      <w:pPr>
        <w:spacing w:after="0" w:line="240" w:lineRule="auto"/>
        <w:jc w:val="both"/>
        <w:rPr>
          <w:rFonts w:ascii="Verdana" w:eastAsia="Geomanist Light" w:hAnsi="Verdana" w:cs="Arial"/>
          <w:color w:val="000000" w:themeColor="text1"/>
          <w:lang w:val="es-MX"/>
        </w:rPr>
      </w:pPr>
    </w:p>
    <w:p w14:paraId="1008E674" w14:textId="77777777" w:rsidR="00BC028A" w:rsidRDefault="00BC028A" w:rsidP="00D23964">
      <w:pPr>
        <w:spacing w:after="0" w:line="240" w:lineRule="auto"/>
        <w:jc w:val="both"/>
        <w:rPr>
          <w:rFonts w:ascii="Verdana" w:eastAsia="Geomanist Light" w:hAnsi="Verdana" w:cs="Arial"/>
          <w:color w:val="000000" w:themeColor="text1"/>
          <w:lang w:val="es-MX"/>
        </w:rPr>
      </w:pPr>
    </w:p>
    <w:p w14:paraId="3161DA65" w14:textId="77777777" w:rsidR="00BC028A" w:rsidRDefault="00BC028A" w:rsidP="00D23964">
      <w:pPr>
        <w:spacing w:after="0" w:line="240" w:lineRule="auto"/>
        <w:jc w:val="both"/>
        <w:rPr>
          <w:rFonts w:ascii="Verdana" w:eastAsia="Geomanist Light" w:hAnsi="Verdana" w:cs="Arial"/>
          <w:color w:val="000000" w:themeColor="text1"/>
          <w:lang w:val="es-MX"/>
        </w:rPr>
      </w:pPr>
    </w:p>
    <w:p w14:paraId="4579E914" w14:textId="77777777" w:rsidR="00BC028A" w:rsidRDefault="00BC028A" w:rsidP="00D23964">
      <w:pPr>
        <w:spacing w:after="0" w:line="240" w:lineRule="auto"/>
        <w:jc w:val="both"/>
        <w:rPr>
          <w:rFonts w:ascii="Verdana" w:eastAsia="Geomanist Light" w:hAnsi="Verdana" w:cs="Arial"/>
          <w:color w:val="000000" w:themeColor="text1"/>
          <w:lang w:val="es-MX"/>
        </w:rPr>
      </w:pPr>
    </w:p>
    <w:p w14:paraId="2EB46442" w14:textId="77777777" w:rsidR="00BC028A" w:rsidRDefault="00BC028A" w:rsidP="00D23964">
      <w:pPr>
        <w:spacing w:after="0" w:line="240" w:lineRule="auto"/>
        <w:jc w:val="both"/>
        <w:rPr>
          <w:rFonts w:ascii="Verdana" w:eastAsia="Geomanist Light" w:hAnsi="Verdana" w:cs="Arial"/>
          <w:color w:val="000000" w:themeColor="text1"/>
          <w:lang w:val="es-MX"/>
        </w:rPr>
      </w:pPr>
    </w:p>
    <w:p w14:paraId="45D6E8E9" w14:textId="77777777" w:rsidR="00BC028A" w:rsidRDefault="00BC028A" w:rsidP="00D23964">
      <w:pPr>
        <w:spacing w:after="0" w:line="240" w:lineRule="auto"/>
        <w:jc w:val="both"/>
        <w:rPr>
          <w:rFonts w:ascii="Verdana" w:eastAsia="Geomanist Light" w:hAnsi="Verdana" w:cs="Arial"/>
          <w:color w:val="000000" w:themeColor="text1"/>
          <w:lang w:val="es-MX"/>
        </w:rPr>
      </w:pPr>
    </w:p>
    <w:p w14:paraId="2AA3F690" w14:textId="77777777" w:rsidR="00BC028A" w:rsidRDefault="00BC028A" w:rsidP="00D23964">
      <w:pPr>
        <w:spacing w:after="0" w:line="240" w:lineRule="auto"/>
        <w:jc w:val="both"/>
        <w:rPr>
          <w:rFonts w:ascii="Verdana" w:eastAsia="Geomanist Light" w:hAnsi="Verdana" w:cs="Arial"/>
          <w:color w:val="000000" w:themeColor="text1"/>
          <w:lang w:val="es-MX"/>
        </w:rPr>
      </w:pPr>
    </w:p>
    <w:p w14:paraId="23A1CD16" w14:textId="77777777" w:rsidR="00BC028A" w:rsidRDefault="00BC028A" w:rsidP="00D23964">
      <w:pPr>
        <w:spacing w:after="0" w:line="240" w:lineRule="auto"/>
        <w:jc w:val="both"/>
        <w:rPr>
          <w:rFonts w:ascii="Verdana" w:eastAsia="Geomanist Light" w:hAnsi="Verdana" w:cs="Arial"/>
          <w:color w:val="000000" w:themeColor="text1"/>
          <w:lang w:val="es-MX"/>
        </w:rPr>
      </w:pPr>
    </w:p>
    <w:p w14:paraId="3136E4C0" w14:textId="77777777" w:rsidR="00BC028A" w:rsidRDefault="00BC028A" w:rsidP="00D23964">
      <w:pPr>
        <w:spacing w:after="0" w:line="240" w:lineRule="auto"/>
        <w:jc w:val="both"/>
        <w:rPr>
          <w:rFonts w:ascii="Verdana" w:eastAsia="Geomanist Light" w:hAnsi="Verdana" w:cs="Arial"/>
          <w:color w:val="000000" w:themeColor="text1"/>
          <w:lang w:val="es-MX"/>
        </w:rPr>
      </w:pPr>
    </w:p>
    <w:p w14:paraId="6ABF96C1" w14:textId="77777777" w:rsidR="00BC028A" w:rsidRDefault="00BC028A" w:rsidP="00D23964">
      <w:pPr>
        <w:spacing w:after="0" w:line="240" w:lineRule="auto"/>
        <w:jc w:val="both"/>
        <w:rPr>
          <w:rFonts w:ascii="Verdana" w:eastAsia="Geomanist Light" w:hAnsi="Verdana" w:cs="Arial"/>
          <w:color w:val="000000" w:themeColor="text1"/>
          <w:lang w:val="es-MX"/>
        </w:rPr>
      </w:pPr>
    </w:p>
    <w:p w14:paraId="5A4DA7B9" w14:textId="77777777" w:rsidR="00BC028A" w:rsidRDefault="00BC028A" w:rsidP="00D23964">
      <w:pPr>
        <w:spacing w:after="0" w:line="240" w:lineRule="auto"/>
        <w:jc w:val="both"/>
        <w:rPr>
          <w:rFonts w:ascii="Verdana" w:eastAsia="Geomanist Light" w:hAnsi="Verdana" w:cs="Arial"/>
          <w:color w:val="000000" w:themeColor="text1"/>
          <w:lang w:val="es-MX"/>
        </w:rPr>
      </w:pPr>
    </w:p>
    <w:p w14:paraId="1727F160" w14:textId="77777777" w:rsidR="002148A3" w:rsidRPr="00BC028A" w:rsidRDefault="002148A3" w:rsidP="002148A3">
      <w:pPr>
        <w:spacing w:after="0" w:line="240" w:lineRule="auto"/>
        <w:jc w:val="both"/>
        <w:rPr>
          <w:rFonts w:ascii="Verdana" w:eastAsia="Geomanist Light" w:hAnsi="Verdana" w:cs="Arial"/>
          <w:color w:val="000000" w:themeColor="text1"/>
          <w:lang w:val="es-MX"/>
        </w:rPr>
      </w:pPr>
    </w:p>
    <w:p w14:paraId="7610C7C0" w14:textId="4A13A9B0" w:rsidR="002148A3" w:rsidRDefault="002148A3" w:rsidP="002148A3">
      <w:pPr>
        <w:spacing w:after="0" w:line="240" w:lineRule="auto"/>
        <w:jc w:val="both"/>
        <w:rPr>
          <w:rFonts w:ascii="Verdana" w:eastAsia="Geomanist Light" w:hAnsi="Verdana" w:cs="Arial"/>
          <w:color w:val="201F1E"/>
        </w:rPr>
      </w:pPr>
      <w:r w:rsidRPr="00BC028A">
        <w:rPr>
          <w:rFonts w:ascii="Verdana" w:eastAsia="Geomanist Light" w:hAnsi="Verdana" w:cs="Arial"/>
          <w:color w:val="000000" w:themeColor="text1"/>
          <w:lang w:val="es-MX"/>
        </w:rPr>
        <w:t>Bogotá D.C., </w:t>
      </w:r>
      <w:r w:rsidR="00F524E5" w:rsidRPr="00F524E5">
        <w:rPr>
          <w:rFonts w:ascii="Verdana" w:eastAsia="Geomanist Light" w:hAnsi="Verdana" w:cs="Arial"/>
          <w:color w:val="201F1E"/>
        </w:rPr>
        <w:t xml:space="preserve">24 de </w:t>
      </w:r>
      <w:proofErr w:type="gramStart"/>
      <w:r w:rsidR="00F524E5" w:rsidRPr="00F524E5">
        <w:rPr>
          <w:rFonts w:ascii="Verdana" w:eastAsia="Geomanist Light" w:hAnsi="Verdana" w:cs="Arial"/>
          <w:color w:val="201F1E"/>
        </w:rPr>
        <w:t>Octubre</w:t>
      </w:r>
      <w:proofErr w:type="gramEnd"/>
      <w:r w:rsidR="00F524E5" w:rsidRPr="00F524E5">
        <w:rPr>
          <w:rFonts w:ascii="Verdana" w:eastAsia="Geomanist Light" w:hAnsi="Verdana" w:cs="Arial"/>
          <w:color w:val="201F1E"/>
        </w:rPr>
        <w:t xml:space="preserve"> de 2024</w:t>
      </w:r>
    </w:p>
    <w:p w14:paraId="31D57C5B" w14:textId="77777777" w:rsidR="00F524E5" w:rsidRPr="00BC028A" w:rsidRDefault="00F524E5" w:rsidP="002148A3">
      <w:pPr>
        <w:spacing w:after="0" w:line="240" w:lineRule="auto"/>
        <w:jc w:val="both"/>
        <w:rPr>
          <w:rFonts w:ascii="Verdana" w:eastAsia="Calibri" w:hAnsi="Verdana" w:cs="Arial"/>
          <w:color w:val="000000"/>
          <w:lang w:val="es-ES"/>
        </w:rPr>
      </w:pPr>
    </w:p>
    <w:p w14:paraId="7CCBF992" w14:textId="62013446" w:rsidR="002148A3" w:rsidRPr="00BC028A" w:rsidRDefault="00D72713" w:rsidP="002148A3">
      <w:pPr>
        <w:spacing w:after="0" w:line="240" w:lineRule="auto"/>
        <w:jc w:val="both"/>
        <w:rPr>
          <w:rFonts w:ascii="Verdana" w:eastAsia="Calibri" w:hAnsi="Verdana" w:cs="Arial"/>
          <w:lang w:val="es-ES" w:eastAsia="es-ES"/>
        </w:rPr>
      </w:pPr>
      <w:r w:rsidRPr="00D72713">
        <w:rPr>
          <w:rFonts w:ascii="Verdana" w:eastAsia="Calibri" w:hAnsi="Verdana" w:cs="Arial"/>
          <w:b/>
          <w:bCs/>
          <w:color w:val="000000"/>
          <w:lang w:val="es-ES_tradnl" w:eastAsia="es-ES_tradnl"/>
        </w:rPr>
        <w:drawing>
          <wp:anchor distT="0" distB="0" distL="114300" distR="114300" simplePos="0" relativeHeight="251660288" behindDoc="1" locked="0" layoutInCell="1" allowOverlap="1" wp14:anchorId="46D526B8" wp14:editId="0B7A81A7">
            <wp:simplePos x="0" y="0"/>
            <wp:positionH relativeFrom="column">
              <wp:posOffset>3221465</wp:posOffset>
            </wp:positionH>
            <wp:positionV relativeFrom="paragraph">
              <wp:posOffset>4777</wp:posOffset>
            </wp:positionV>
            <wp:extent cx="2627906" cy="743009"/>
            <wp:effectExtent l="0" t="0" r="1270" b="0"/>
            <wp:wrapNone/>
            <wp:docPr id="116761465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14659"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627906" cy="743009"/>
                    </a:xfrm>
                    <a:prstGeom prst="rect">
                      <a:avLst/>
                    </a:prstGeom>
                  </pic:spPr>
                </pic:pic>
              </a:graphicData>
            </a:graphic>
            <wp14:sizeRelH relativeFrom="margin">
              <wp14:pctWidth>0</wp14:pctWidth>
            </wp14:sizeRelH>
            <wp14:sizeRelV relativeFrom="margin">
              <wp14:pctHeight>0</wp14:pctHeight>
            </wp14:sizeRelV>
          </wp:anchor>
        </w:drawing>
      </w:r>
      <w:r w:rsidR="002148A3" w:rsidRPr="00BC028A">
        <w:rPr>
          <w:rFonts w:ascii="Verdana" w:eastAsia="Calibri" w:hAnsi="Verdana" w:cs="Arial"/>
          <w:lang w:val="es-ES" w:eastAsia="es-ES"/>
        </w:rPr>
        <w:t>Señor</w:t>
      </w:r>
    </w:p>
    <w:p w14:paraId="38325ABD" w14:textId="54EB4D4C" w:rsidR="002148A3" w:rsidRPr="00D72713" w:rsidRDefault="002148A3" w:rsidP="002148A3">
      <w:pPr>
        <w:spacing w:after="0" w:line="240" w:lineRule="auto"/>
        <w:jc w:val="both"/>
        <w:rPr>
          <w:rFonts w:ascii="Verdana" w:eastAsia="Calibri" w:hAnsi="Verdana" w:cs="Arial"/>
          <w:b/>
          <w:lang w:val="en-US" w:eastAsia="es-ES_tradnl"/>
        </w:rPr>
      </w:pPr>
      <w:r w:rsidRPr="00D72713">
        <w:rPr>
          <w:rFonts w:ascii="Verdana" w:eastAsia="Calibri" w:hAnsi="Verdana" w:cs="Arial"/>
          <w:b/>
          <w:lang w:val="en-US" w:eastAsia="es-ES_tradnl"/>
        </w:rPr>
        <w:t>David Gaviria</w:t>
      </w:r>
    </w:p>
    <w:p w14:paraId="7ECFD282" w14:textId="0F3A1D68" w:rsidR="002148A3" w:rsidRPr="00D72713" w:rsidRDefault="002148A3" w:rsidP="002148A3">
      <w:pPr>
        <w:spacing w:after="0" w:line="240" w:lineRule="auto"/>
        <w:jc w:val="both"/>
        <w:rPr>
          <w:rFonts w:ascii="Verdana" w:hAnsi="Verdana"/>
          <w:color w:val="4472C4" w:themeColor="accent1"/>
          <w:lang w:val="en-US"/>
        </w:rPr>
      </w:pPr>
      <w:hyperlink r:id="rId12" w:history="1">
        <w:r w:rsidRPr="00D72713">
          <w:rPr>
            <w:rStyle w:val="Hipervnculo"/>
            <w:rFonts w:ascii="Verdana" w:hAnsi="Verdana"/>
            <w:color w:val="4472C4" w:themeColor="accent1"/>
            <w:lang w:val="en-US"/>
          </w:rPr>
          <w:t>davidgaviriaormaza@gmail.com</w:t>
        </w:r>
      </w:hyperlink>
      <w:r w:rsidRPr="00D72713">
        <w:rPr>
          <w:rFonts w:ascii="Verdana" w:hAnsi="Verdana"/>
          <w:color w:val="4472C4" w:themeColor="accent1"/>
          <w:lang w:val="en-US"/>
        </w:rPr>
        <w:t xml:space="preserve"> </w:t>
      </w:r>
    </w:p>
    <w:p w14:paraId="05CBBADE" w14:textId="5ADCB131" w:rsidR="002148A3" w:rsidRPr="00D72713" w:rsidRDefault="002148A3" w:rsidP="002148A3">
      <w:pPr>
        <w:spacing w:after="0" w:line="240" w:lineRule="auto"/>
        <w:jc w:val="both"/>
        <w:rPr>
          <w:rFonts w:ascii="Verdana" w:eastAsia="Calibri" w:hAnsi="Verdana" w:cs="Arial"/>
          <w:b/>
          <w:lang w:val="en-US" w:eastAsia="es-ES"/>
        </w:rPr>
      </w:pPr>
      <w:r w:rsidRPr="00D72713">
        <w:rPr>
          <w:rFonts w:ascii="Verdana" w:eastAsia="Calibri" w:hAnsi="Verdana" w:cs="Arial"/>
          <w:lang w:val="en-US" w:eastAsia="es-ES"/>
        </w:rPr>
        <w:t>Bogotá D.C</w:t>
      </w:r>
    </w:p>
    <w:p w14:paraId="73CC9104" w14:textId="2E3D5407" w:rsidR="002148A3" w:rsidRPr="00D72713" w:rsidRDefault="002148A3" w:rsidP="002148A3">
      <w:pPr>
        <w:spacing w:after="0" w:line="240" w:lineRule="auto"/>
        <w:jc w:val="both"/>
        <w:rPr>
          <w:rFonts w:ascii="Verdana" w:eastAsia="Calibri" w:hAnsi="Verdana" w:cs="Arial"/>
          <w:b/>
          <w:bCs/>
          <w:color w:val="000000"/>
          <w:lang w:val="en-U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148A3" w:rsidRPr="00BC028A" w14:paraId="6CE7809E" w14:textId="77777777" w:rsidTr="00EF5DAF">
        <w:trPr>
          <w:trHeight w:val="884"/>
        </w:trPr>
        <w:tc>
          <w:tcPr>
            <w:tcW w:w="2689" w:type="dxa"/>
          </w:tcPr>
          <w:p w14:paraId="09E43367" w14:textId="77777777" w:rsidR="002148A3" w:rsidRPr="00D72713" w:rsidRDefault="002148A3" w:rsidP="00EF5DAF">
            <w:pPr>
              <w:jc w:val="both"/>
              <w:rPr>
                <w:rFonts w:ascii="Verdana" w:eastAsia="Calibri" w:hAnsi="Verdana" w:cs="Arial"/>
                <w:b/>
                <w:bCs/>
                <w:lang w:val="en-US" w:eastAsia="es-ES_tradnl"/>
              </w:rPr>
            </w:pPr>
          </w:p>
        </w:tc>
        <w:tc>
          <w:tcPr>
            <w:tcW w:w="6100" w:type="dxa"/>
          </w:tcPr>
          <w:p w14:paraId="1294AE18" w14:textId="77777777" w:rsidR="002148A3" w:rsidRPr="0002120A" w:rsidRDefault="002148A3" w:rsidP="00EF5DAF">
            <w:pPr>
              <w:jc w:val="both"/>
              <w:rPr>
                <w:rFonts w:ascii="Verdana" w:eastAsia="Calibri" w:hAnsi="Verdana" w:cs="Arial"/>
                <w:lang w:val="es-ES_tradnl" w:eastAsia="es-ES_tradnl"/>
              </w:rPr>
            </w:pPr>
            <w:r w:rsidRPr="0002120A">
              <w:rPr>
                <w:rFonts w:ascii="Verdana" w:eastAsia="Calibri" w:hAnsi="Verdana" w:cs="Arial"/>
                <w:lang w:val="es-ES_tradnl" w:eastAsia="es-ES_tradnl"/>
              </w:rPr>
              <w:t>Concepto C-595 de 2024</w:t>
            </w:r>
          </w:p>
        </w:tc>
      </w:tr>
      <w:tr w:rsidR="002148A3" w:rsidRPr="00BC028A" w14:paraId="210C76A9" w14:textId="77777777" w:rsidTr="00EF5DAF">
        <w:trPr>
          <w:trHeight w:val="884"/>
        </w:trPr>
        <w:tc>
          <w:tcPr>
            <w:tcW w:w="2689" w:type="dxa"/>
          </w:tcPr>
          <w:p w14:paraId="083E2C8E" w14:textId="77777777" w:rsidR="002148A3" w:rsidRPr="00B26C07" w:rsidRDefault="002148A3" w:rsidP="00EF5DAF">
            <w:pPr>
              <w:jc w:val="both"/>
              <w:rPr>
                <w:rFonts w:ascii="Verdana" w:eastAsia="Calibri" w:hAnsi="Verdana" w:cs="Arial"/>
                <w:lang w:val="es-ES_tradnl" w:eastAsia="es-ES_tradnl"/>
              </w:rPr>
            </w:pPr>
            <w:r w:rsidRPr="00B26C07">
              <w:rPr>
                <w:rFonts w:ascii="Verdana" w:eastAsia="Calibri" w:hAnsi="Verdana" w:cs="Arial"/>
                <w:b/>
                <w:lang w:val="es-ES_tradnl" w:eastAsia="es-ES_tradnl"/>
              </w:rPr>
              <w:t>Temas:</w:t>
            </w:r>
            <w:r w:rsidRPr="00B26C07">
              <w:rPr>
                <w:rFonts w:ascii="Verdana" w:eastAsia="Calibri" w:hAnsi="Verdana" w:cs="Arial"/>
                <w:lang w:val="es-ES_tradnl" w:eastAsia="es-ES_tradnl"/>
              </w:rPr>
              <w:t xml:space="preserve">                   </w:t>
            </w:r>
          </w:p>
        </w:tc>
        <w:tc>
          <w:tcPr>
            <w:tcW w:w="6100" w:type="dxa"/>
          </w:tcPr>
          <w:p w14:paraId="54400080" w14:textId="77777777" w:rsidR="002148A3" w:rsidRPr="0002120A" w:rsidRDefault="002148A3" w:rsidP="00EF5DAF">
            <w:pPr>
              <w:jc w:val="both"/>
              <w:rPr>
                <w:rFonts w:ascii="Verdana" w:eastAsia="Calibri" w:hAnsi="Verdana" w:cs="Arial"/>
                <w:lang w:val="es-ES_tradnl" w:eastAsia="es-ES_tradnl"/>
              </w:rPr>
            </w:pPr>
            <w:r w:rsidRPr="0002120A">
              <w:rPr>
                <w:rFonts w:ascii="Verdana" w:eastAsia="Calibri" w:hAnsi="Verdana" w:cs="Arial"/>
                <w:lang w:val="es-ES_tradnl" w:eastAsia="es-ES_tradnl"/>
              </w:rPr>
              <w:t>REQUISITOS HABILITANTES – Noción / REQUISITOS HABILITANTES – Autonomía / CAPACIDAD FINANCIERA Y ORGANIZACIONAL – Definición / RUP – Renovación – Efectos – Validez de la información antigua / DECRETO 1041 DE 2022 – Finalidad – Reactivación económica / DECRETO 1041 DE 2022 – Información – Capacidad financiera – Capacidad organizacional / MEJOR AÑO FISCAL – Decreto 399 de 2021– Capacidad financiera – Capacidad organizacional – Interpretación</w:t>
            </w:r>
          </w:p>
          <w:p w14:paraId="36602231" w14:textId="77777777" w:rsidR="002148A3" w:rsidRPr="0002120A" w:rsidRDefault="002148A3" w:rsidP="00EF5DAF">
            <w:pPr>
              <w:spacing w:line="276" w:lineRule="auto"/>
              <w:jc w:val="both"/>
              <w:rPr>
                <w:rFonts w:ascii="Verdana" w:eastAsia="Calibri" w:hAnsi="Verdana" w:cs="Arial"/>
                <w:lang w:val="es-ES_tradnl" w:eastAsia="es-ES_tradnl"/>
              </w:rPr>
            </w:pPr>
          </w:p>
        </w:tc>
      </w:tr>
      <w:tr w:rsidR="002148A3" w:rsidRPr="00BC028A" w14:paraId="75385D1A" w14:textId="77777777" w:rsidTr="00EF5DAF">
        <w:tc>
          <w:tcPr>
            <w:tcW w:w="2689" w:type="dxa"/>
          </w:tcPr>
          <w:p w14:paraId="76310875" w14:textId="77777777" w:rsidR="002148A3" w:rsidRPr="00BC028A" w:rsidRDefault="002148A3" w:rsidP="00EF5DAF">
            <w:pPr>
              <w:jc w:val="both"/>
              <w:rPr>
                <w:rFonts w:ascii="Verdana" w:eastAsia="Calibri" w:hAnsi="Verdana" w:cs="Arial"/>
                <w:b/>
                <w:lang w:val="es-ES_tradnl" w:eastAsia="es-ES_tradnl"/>
              </w:rPr>
            </w:pPr>
            <w:r w:rsidRPr="00BC028A">
              <w:rPr>
                <w:rFonts w:ascii="Verdana" w:eastAsia="Calibri" w:hAnsi="Verdana" w:cs="Arial"/>
                <w:b/>
                <w:lang w:val="es-ES_tradnl" w:eastAsia="es-ES_tradnl"/>
              </w:rPr>
              <w:t>Radicación:</w:t>
            </w:r>
            <w:r w:rsidRPr="00BC028A">
              <w:rPr>
                <w:rFonts w:ascii="Verdana" w:eastAsia="Calibri" w:hAnsi="Verdana" w:cs="Arial"/>
                <w:lang w:val="es-ES_tradnl" w:eastAsia="es-ES_tradnl"/>
              </w:rPr>
              <w:t xml:space="preserve">               </w:t>
            </w:r>
          </w:p>
        </w:tc>
        <w:tc>
          <w:tcPr>
            <w:tcW w:w="6100" w:type="dxa"/>
          </w:tcPr>
          <w:p w14:paraId="521E7341" w14:textId="77777777" w:rsidR="002148A3" w:rsidRPr="00BC028A" w:rsidRDefault="002148A3" w:rsidP="00EF5DAF">
            <w:pPr>
              <w:jc w:val="both"/>
              <w:rPr>
                <w:rFonts w:ascii="Verdana" w:eastAsia="Calibri" w:hAnsi="Verdana" w:cs="Arial"/>
                <w:lang w:val="es-ES_tradnl" w:eastAsia="es-ES_tradnl"/>
              </w:rPr>
            </w:pPr>
            <w:r w:rsidRPr="00BC028A">
              <w:rPr>
                <w:rFonts w:ascii="Verdana" w:eastAsia="Calibri" w:hAnsi="Verdana" w:cs="Arial"/>
                <w:lang w:val="es-ES_tradnl" w:eastAsia="es-ES_tradnl"/>
              </w:rPr>
              <w:t>Respuesta a consulta con radicado No.  P20240911009272</w:t>
            </w:r>
          </w:p>
        </w:tc>
      </w:tr>
    </w:tbl>
    <w:p w14:paraId="0E589C25" w14:textId="77777777" w:rsidR="002148A3" w:rsidRPr="00BC028A" w:rsidRDefault="002148A3" w:rsidP="002148A3">
      <w:pPr>
        <w:spacing w:after="0" w:line="240" w:lineRule="auto"/>
        <w:jc w:val="both"/>
        <w:rPr>
          <w:rFonts w:ascii="Verdana" w:eastAsia="Calibri" w:hAnsi="Verdana" w:cs="Arial"/>
          <w:lang w:val="es-ES_tradnl" w:eastAsia="es-ES_tradnl"/>
        </w:rPr>
      </w:pPr>
    </w:p>
    <w:p w14:paraId="786AE7EB" w14:textId="77777777" w:rsidR="002148A3" w:rsidRPr="00BC028A" w:rsidRDefault="002148A3" w:rsidP="002148A3">
      <w:pPr>
        <w:spacing w:after="0" w:line="276" w:lineRule="auto"/>
        <w:jc w:val="both"/>
        <w:rPr>
          <w:rFonts w:ascii="Verdana" w:eastAsia="Calibri" w:hAnsi="Verdana" w:cs="Arial"/>
          <w:lang w:val="es-ES" w:eastAsia="es-ES"/>
        </w:rPr>
      </w:pPr>
      <w:r w:rsidRPr="0002120A">
        <w:rPr>
          <w:rFonts w:ascii="Verdana" w:eastAsia="Calibri" w:hAnsi="Verdana" w:cs="Arial"/>
          <w:lang w:val="es-ES" w:eastAsia="es-ES"/>
        </w:rPr>
        <w:t>Estimad</w:t>
      </w:r>
      <w:r>
        <w:rPr>
          <w:rFonts w:ascii="Verdana" w:eastAsia="Calibri" w:hAnsi="Verdana" w:cs="Arial"/>
          <w:lang w:val="es-ES" w:eastAsia="es-ES"/>
        </w:rPr>
        <w:t>o</w:t>
      </w:r>
      <w:r w:rsidRPr="0002120A">
        <w:rPr>
          <w:rFonts w:ascii="Verdana" w:eastAsia="Calibri" w:hAnsi="Verdana" w:cs="Arial"/>
          <w:lang w:val="es-ES" w:eastAsia="es-ES"/>
        </w:rPr>
        <w:t xml:space="preserve"> señor D</w:t>
      </w:r>
      <w:r>
        <w:rPr>
          <w:rFonts w:ascii="Verdana" w:eastAsia="Calibri" w:hAnsi="Verdana" w:cs="Arial"/>
          <w:lang w:val="es-ES" w:eastAsia="es-ES"/>
        </w:rPr>
        <w:t>avid</w:t>
      </w:r>
      <w:r w:rsidRPr="0002120A">
        <w:rPr>
          <w:rFonts w:ascii="Verdana" w:eastAsia="Calibri" w:hAnsi="Verdana" w:cs="Arial"/>
          <w:lang w:val="es-ES" w:eastAsia="es-ES"/>
        </w:rPr>
        <w:t xml:space="preserve">: </w:t>
      </w:r>
    </w:p>
    <w:p w14:paraId="38501037" w14:textId="77777777" w:rsidR="002148A3" w:rsidRPr="00BC028A" w:rsidRDefault="002148A3" w:rsidP="002148A3">
      <w:pPr>
        <w:tabs>
          <w:tab w:val="left" w:pos="3768"/>
        </w:tabs>
        <w:spacing w:after="0" w:line="276" w:lineRule="auto"/>
        <w:jc w:val="both"/>
        <w:rPr>
          <w:rFonts w:ascii="Verdana" w:eastAsia="Calibri" w:hAnsi="Verdana" w:cs="Arial"/>
          <w:lang w:val="es-ES" w:eastAsia="es-ES"/>
        </w:rPr>
      </w:pPr>
      <w:r w:rsidRPr="00BC028A">
        <w:rPr>
          <w:rFonts w:ascii="Verdana" w:eastAsia="Calibri" w:hAnsi="Verdana" w:cs="Arial"/>
          <w:lang w:val="es-ES" w:eastAsia="es-ES"/>
        </w:rPr>
        <w:tab/>
      </w:r>
    </w:p>
    <w:p w14:paraId="728AF2E8" w14:textId="77777777" w:rsidR="002148A3" w:rsidRPr="00BC028A" w:rsidRDefault="002148A3" w:rsidP="002148A3">
      <w:pPr>
        <w:spacing w:after="0" w:line="276" w:lineRule="auto"/>
        <w:jc w:val="both"/>
        <w:rPr>
          <w:rFonts w:ascii="Verdana" w:eastAsia="Calibri" w:hAnsi="Verdana" w:cs="Arial"/>
          <w:lang w:val="es-ES" w:eastAsia="es-ES"/>
        </w:rPr>
      </w:pPr>
      <w:r w:rsidRPr="00BC028A">
        <w:rPr>
          <w:rFonts w:ascii="Verdana" w:eastAsia="Calibri" w:hAnsi="Verdana" w:cs="Arial"/>
          <w:lang w:val="es-ES" w:eastAsia="es-ES"/>
        </w:rPr>
        <w:t>En ejercicio de la competencia otorgada por los artículos 3, numeral 5º, y 11, numeral 8º, del Decreto Ley 4170 de 2011,</w:t>
      </w:r>
      <w:r w:rsidRPr="00BC028A">
        <w:rPr>
          <w:rFonts w:ascii="Verdana" w:eastAsia="Arial MT" w:hAnsi="Verdana" w:cs="Arial MT"/>
          <w:lang w:val="es-ES" w:eastAsia="es-ES"/>
        </w:rPr>
        <w:t xml:space="preserve"> </w:t>
      </w:r>
      <w:r w:rsidRPr="00BC028A">
        <w:rPr>
          <w:rFonts w:ascii="Verdana" w:hAnsi="Verdana" w:cs="Arial"/>
        </w:rPr>
        <w:t xml:space="preserve">así como lo establecido en el artículo 4 de la Resolución 1707 de 2018 expedida por esta Entidad, </w:t>
      </w:r>
      <w:r w:rsidRPr="00BC028A">
        <w:rPr>
          <w:rFonts w:ascii="Verdana" w:eastAsia="Calibri" w:hAnsi="Verdana" w:cs="Arial"/>
          <w:lang w:val="es-ES" w:eastAsia="es-ES"/>
        </w:rPr>
        <w:t xml:space="preserve">la Agencia Nacional de Contratación Pública – Colombia Compra Eficiente– responde su solicitud de consulta de fecha 11 de septiembre de 2024, en la cual manifiesta lo siguiente: </w:t>
      </w:r>
    </w:p>
    <w:p w14:paraId="5795A1D2" w14:textId="77777777" w:rsidR="002148A3" w:rsidRPr="00BC028A" w:rsidRDefault="002148A3" w:rsidP="002148A3">
      <w:pPr>
        <w:spacing w:after="0" w:line="276" w:lineRule="auto"/>
        <w:jc w:val="both"/>
        <w:rPr>
          <w:rFonts w:ascii="Verdana" w:eastAsia="Calibri" w:hAnsi="Verdana" w:cs="Arial"/>
          <w:lang w:val="es-ES" w:eastAsia="es-ES"/>
        </w:rPr>
      </w:pPr>
    </w:p>
    <w:p w14:paraId="226DD2BA" w14:textId="77777777" w:rsidR="002148A3" w:rsidRPr="0002120A" w:rsidRDefault="002148A3" w:rsidP="002148A3">
      <w:pPr>
        <w:pStyle w:val="Prrafodelista"/>
        <w:tabs>
          <w:tab w:val="left" w:pos="142"/>
          <w:tab w:val="left" w:pos="284"/>
        </w:tabs>
        <w:spacing w:line="276" w:lineRule="auto"/>
        <w:ind w:left="709" w:right="709"/>
        <w:jc w:val="both"/>
        <w:rPr>
          <w:rFonts w:ascii="Verdana" w:eastAsia="Century Gothic" w:hAnsi="Verdana" w:cs="Century Gothic"/>
          <w:i/>
        </w:rPr>
      </w:pPr>
      <w:r w:rsidRPr="0002120A">
        <w:rPr>
          <w:rFonts w:ascii="Verdana" w:eastAsia="Century Gothic" w:hAnsi="Verdana" w:cs="Century Gothic"/>
          <w:b/>
        </w:rPr>
        <w:t xml:space="preserve"> </w:t>
      </w:r>
      <w:r w:rsidRPr="0002120A">
        <w:rPr>
          <w:rFonts w:ascii="Verdana" w:eastAsia="Century Gothic" w:hAnsi="Verdana" w:cs="Century Gothic"/>
          <w:i/>
        </w:rPr>
        <w:t xml:space="preserve">“(…) Solicito amablemente a Colombia Compra Eficiente aclarar que, a partir del 1 de junio de 2021 las personas naturales o jurídicas obligadas a estar inscritas en el RUP deberán reportar la información contable relacionada con su capacidad financiera y </w:t>
      </w:r>
      <w:r w:rsidRPr="0002120A">
        <w:rPr>
          <w:rFonts w:ascii="Verdana" w:eastAsia="Century Gothic" w:hAnsi="Verdana" w:cs="Century Gothic"/>
          <w:i/>
        </w:rPr>
        <w:lastRenderedPageBreak/>
        <w:t>organizacional correspondiente a los últimos tres (3) años fiscales anteriores a la inscripción o renovación del RUP.</w:t>
      </w:r>
    </w:p>
    <w:p w14:paraId="6A39F073" w14:textId="77777777" w:rsidR="002148A3" w:rsidRPr="0002120A" w:rsidRDefault="002148A3" w:rsidP="002148A3">
      <w:pPr>
        <w:pStyle w:val="Prrafodelista"/>
        <w:tabs>
          <w:tab w:val="left" w:pos="142"/>
          <w:tab w:val="left" w:pos="284"/>
        </w:tabs>
        <w:spacing w:line="276" w:lineRule="auto"/>
        <w:ind w:left="709" w:right="709"/>
        <w:jc w:val="both"/>
        <w:rPr>
          <w:rFonts w:ascii="Verdana" w:eastAsia="Century Gothic" w:hAnsi="Verdana" w:cs="Century Gothic"/>
          <w:i/>
        </w:rPr>
      </w:pPr>
    </w:p>
    <w:p w14:paraId="4BCA6589" w14:textId="77777777" w:rsidR="002148A3" w:rsidRPr="0002120A" w:rsidRDefault="002148A3" w:rsidP="002148A3">
      <w:pPr>
        <w:pStyle w:val="Prrafodelista"/>
        <w:tabs>
          <w:tab w:val="left" w:pos="142"/>
          <w:tab w:val="left" w:pos="284"/>
        </w:tabs>
        <w:spacing w:line="276" w:lineRule="auto"/>
        <w:ind w:left="709" w:right="709"/>
        <w:jc w:val="both"/>
        <w:rPr>
          <w:rFonts w:ascii="Verdana" w:eastAsia="Century Gothic" w:hAnsi="Verdana" w:cs="Century Gothic"/>
          <w:i/>
        </w:rPr>
      </w:pPr>
      <w:r w:rsidRPr="0002120A">
        <w:rPr>
          <w:rFonts w:ascii="Verdana" w:eastAsia="Century Gothic" w:hAnsi="Verdana" w:cs="Century Gothic"/>
          <w:i/>
        </w:rPr>
        <w:t xml:space="preserve">Asimismo, agradezco que Colombia Compra Eficiente, indique si, en el curso de sus procesos de selección, </w:t>
      </w:r>
      <w:proofErr w:type="gramStart"/>
      <w:r w:rsidRPr="0002120A">
        <w:rPr>
          <w:rFonts w:ascii="Verdana" w:eastAsia="Century Gothic" w:hAnsi="Verdana" w:cs="Century Gothic"/>
          <w:i/>
        </w:rPr>
        <w:t>la entidades estatales</w:t>
      </w:r>
      <w:proofErr w:type="gramEnd"/>
      <w:r w:rsidRPr="0002120A">
        <w:rPr>
          <w:rFonts w:ascii="Verdana" w:eastAsia="Century Gothic" w:hAnsi="Verdana" w:cs="Century Gothic"/>
          <w:i/>
        </w:rPr>
        <w:t xml:space="preserve"> tienen el deber de evaluar los indicadores de capacidad financiera y organizacional, teniendo en cuenta el mejor año fiscal que se refleje en el RUP de cada proponente, Lo anterior considerando los últimos tres (3) años fiscales anteriores a la inscripción o renovación del RUP. </w:t>
      </w:r>
      <w:proofErr w:type="gramStart"/>
      <w:r w:rsidRPr="0002120A">
        <w:rPr>
          <w:rFonts w:ascii="Verdana" w:eastAsia="Century Gothic" w:hAnsi="Verdana" w:cs="Century Gothic"/>
          <w:i/>
        </w:rPr>
        <w:t>“ SIC</w:t>
      </w:r>
      <w:proofErr w:type="gramEnd"/>
    </w:p>
    <w:p w14:paraId="2EA618FB" w14:textId="77777777" w:rsidR="002148A3" w:rsidRPr="0002120A" w:rsidRDefault="002148A3" w:rsidP="002148A3">
      <w:pPr>
        <w:spacing w:after="120" w:line="276" w:lineRule="auto"/>
        <w:ind w:firstLine="709"/>
        <w:jc w:val="both"/>
        <w:rPr>
          <w:rFonts w:ascii="Verdana" w:eastAsia="Calibri" w:hAnsi="Verdana" w:cs="Arial"/>
          <w:color w:val="000000"/>
          <w:lang w:val="es-ES_tradnl" w:eastAsia="es-ES_tradnl"/>
        </w:rPr>
      </w:pPr>
      <w:r w:rsidRPr="00BC028A">
        <w:rPr>
          <w:rFonts w:ascii="Verdana" w:eastAsia="Calibri" w:hAnsi="Verdana" w:cs="Arial"/>
          <w:lang w:val="es-ES" w:eastAsia="es-ES"/>
        </w:rPr>
        <w:t xml:space="preserve">De manera preliminar, resulta necesario acotar que esta entidad solo tiene competencia para responder consultas </w:t>
      </w:r>
      <w:r w:rsidRPr="00BC028A">
        <w:rPr>
          <w:rFonts w:ascii="Verdana" w:eastAsia="Calibri" w:hAnsi="Verdana" w:cs="Arial"/>
          <w:color w:val="000000"/>
          <w:lang w:val="es-ES" w:eastAsia="es-ES"/>
        </w:rPr>
        <w:t xml:space="preserve">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2120A">
        <w:rPr>
          <w:rFonts w:ascii="Verdana" w:eastAsia="Calibri" w:hAnsi="Verdana" w:cs="Arial"/>
          <w:color w:val="000000"/>
          <w:lang w:val="es-ES_tradnl" w:eastAsia="es-ES_tradnl"/>
        </w:rPr>
        <w:tab/>
      </w:r>
    </w:p>
    <w:p w14:paraId="3519115A" w14:textId="77777777" w:rsidR="002148A3" w:rsidRPr="00BC028A" w:rsidRDefault="002148A3" w:rsidP="002148A3">
      <w:pPr>
        <w:spacing w:after="0" w:line="276" w:lineRule="auto"/>
        <w:ind w:firstLine="709"/>
        <w:jc w:val="both"/>
        <w:rPr>
          <w:rFonts w:ascii="Verdana" w:eastAsia="Calibri" w:hAnsi="Verdana" w:cs="Arial"/>
          <w:color w:val="000000"/>
          <w:lang w:val="es-ES" w:eastAsia="es-ES"/>
        </w:rPr>
      </w:pPr>
      <w:r w:rsidRPr="00BC028A">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BC028A">
        <w:rPr>
          <w:rFonts w:ascii="Verdana" w:eastAsia="Calibri" w:hAnsi="Verdana" w:cs="Arial"/>
          <w:color w:val="7030A0"/>
          <w:lang w:val="es-ES" w:eastAsia="es-ES"/>
        </w:rPr>
        <w:t xml:space="preserve"> </w:t>
      </w:r>
      <w:r w:rsidRPr="00BC028A">
        <w:rPr>
          <w:rFonts w:ascii="Verdana" w:eastAsia="Calibri" w:hAnsi="Verdana" w:cs="Arial"/>
          <w:color w:val="000000"/>
          <w:lang w:val="es-ES" w:eastAsia="es-ES"/>
        </w:rPr>
        <w:t>jurídico</w:t>
      </w:r>
      <w:r w:rsidRPr="00BC028A">
        <w:rPr>
          <w:rFonts w:ascii="Verdana" w:eastAsia="Calibri" w:hAnsi="Verdana" w:cs="Arial"/>
          <w:color w:val="7030A0"/>
          <w:lang w:val="es-ES" w:eastAsia="es-ES"/>
        </w:rPr>
        <w:t xml:space="preserve"> </w:t>
      </w:r>
      <w:r w:rsidRPr="00BC028A">
        <w:rPr>
          <w:rFonts w:ascii="Verdana" w:eastAsia="Calibri" w:hAnsi="Verdana" w:cs="Arial"/>
          <w:color w:val="000000"/>
          <w:lang w:val="es-ES" w:eastAsia="es-ES"/>
        </w:rPr>
        <w:t xml:space="preserve">de su consulta. </w:t>
      </w:r>
    </w:p>
    <w:p w14:paraId="1DBB7E11" w14:textId="77777777" w:rsidR="002148A3" w:rsidRPr="00BC028A" w:rsidRDefault="002148A3" w:rsidP="002148A3">
      <w:pPr>
        <w:spacing w:after="0" w:line="276" w:lineRule="auto"/>
        <w:ind w:firstLine="709"/>
        <w:jc w:val="both"/>
        <w:rPr>
          <w:rFonts w:ascii="Verdana" w:eastAsia="Calibri" w:hAnsi="Verdana" w:cs="Arial"/>
          <w:color w:val="000000"/>
          <w:lang w:val="es-ES" w:eastAsia="es-ES"/>
        </w:rPr>
      </w:pPr>
    </w:p>
    <w:p w14:paraId="3CE019E2" w14:textId="77777777" w:rsidR="002148A3" w:rsidRPr="00BC028A" w:rsidRDefault="002148A3" w:rsidP="002148A3">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BC028A">
        <w:rPr>
          <w:rFonts w:ascii="Verdana" w:eastAsia="Century Gothic" w:hAnsi="Verdana" w:cs="Century Gothic"/>
          <w:b/>
          <w:bCs/>
        </w:rPr>
        <w:t>Problema planteado:</w:t>
      </w:r>
    </w:p>
    <w:p w14:paraId="7C4DC66B" w14:textId="77777777" w:rsidR="002148A3" w:rsidRPr="00BC028A" w:rsidRDefault="002148A3" w:rsidP="002148A3">
      <w:pPr>
        <w:tabs>
          <w:tab w:val="left" w:pos="426"/>
        </w:tabs>
        <w:spacing w:after="0" w:line="276" w:lineRule="auto"/>
        <w:jc w:val="both"/>
        <w:rPr>
          <w:rFonts w:ascii="Verdana" w:eastAsia="Century Gothic" w:hAnsi="Verdana" w:cs="Century Gothic"/>
          <w:lang w:val="es-ES"/>
        </w:rPr>
      </w:pPr>
    </w:p>
    <w:p w14:paraId="4EC1F679" w14:textId="77777777" w:rsidR="002148A3" w:rsidRPr="00BC028A" w:rsidRDefault="002148A3" w:rsidP="002148A3">
      <w:pPr>
        <w:spacing w:after="0" w:line="276" w:lineRule="auto"/>
        <w:jc w:val="both"/>
        <w:rPr>
          <w:rFonts w:ascii="Verdana" w:eastAsia="Century Gothic" w:hAnsi="Verdana" w:cs="Century Gothic"/>
        </w:rPr>
      </w:pPr>
      <w:r w:rsidRPr="00BC028A">
        <w:rPr>
          <w:rFonts w:ascii="Verdana" w:eastAsia="Century Gothic" w:hAnsi="Verdana" w:cs="Century Gothic"/>
        </w:rPr>
        <w:t xml:space="preserve">De acuerdo con el contenido de su solicitud, esta Agencia resolverá el siguiente problema jurídico: </w:t>
      </w:r>
    </w:p>
    <w:p w14:paraId="021966B0" w14:textId="77777777" w:rsidR="002148A3" w:rsidRPr="00BC028A" w:rsidRDefault="002148A3" w:rsidP="002148A3">
      <w:pPr>
        <w:spacing w:after="0" w:line="276" w:lineRule="auto"/>
        <w:jc w:val="both"/>
        <w:rPr>
          <w:rFonts w:ascii="Verdana" w:eastAsia="Century Gothic" w:hAnsi="Verdana" w:cs="Century Gothic"/>
        </w:rPr>
      </w:pPr>
    </w:p>
    <w:p w14:paraId="2385228A" w14:textId="77777777" w:rsidR="002148A3" w:rsidRPr="00BC028A" w:rsidRDefault="002148A3" w:rsidP="002148A3">
      <w:pPr>
        <w:spacing w:after="0" w:line="276" w:lineRule="auto"/>
        <w:jc w:val="both"/>
        <w:rPr>
          <w:rFonts w:ascii="Verdana" w:eastAsia="Century Gothic" w:hAnsi="Verdana" w:cs="Century Gothic"/>
        </w:rPr>
      </w:pPr>
      <w:r w:rsidRPr="0002120A">
        <w:rPr>
          <w:rFonts w:ascii="Verdana" w:eastAsia="Century Gothic" w:hAnsi="Verdana" w:cs="Century Gothic"/>
        </w:rPr>
        <w:lastRenderedPageBreak/>
        <w:t xml:space="preserve"> ¿En qué medida están obligadas las entidades estatales a evaluar indicadores en sus procesos de selección, considerando el mejor año fiscal reflejado en el RUP de cada proponente?</w:t>
      </w:r>
    </w:p>
    <w:p w14:paraId="458ACF3E" w14:textId="77777777" w:rsidR="002148A3" w:rsidRPr="00BC028A" w:rsidRDefault="002148A3" w:rsidP="002148A3">
      <w:pPr>
        <w:spacing w:after="0" w:line="276" w:lineRule="auto"/>
        <w:jc w:val="both"/>
        <w:rPr>
          <w:rFonts w:ascii="Verdana" w:eastAsia="Calibri" w:hAnsi="Verdana" w:cs="Arial"/>
          <w:lang w:val="es-ES"/>
        </w:rPr>
      </w:pPr>
    </w:p>
    <w:p w14:paraId="793D5676" w14:textId="77777777" w:rsidR="002148A3" w:rsidRPr="00BC028A" w:rsidRDefault="002148A3" w:rsidP="002148A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C028A">
        <w:rPr>
          <w:rFonts w:ascii="Verdana" w:eastAsia="Century Gothic" w:hAnsi="Verdana" w:cs="Century Gothic"/>
          <w:b/>
          <w:bCs/>
        </w:rPr>
        <w:t>Respuesta:</w:t>
      </w:r>
    </w:p>
    <w:p w14:paraId="412ADE02" w14:textId="77777777" w:rsidR="002148A3" w:rsidRPr="00BC028A" w:rsidRDefault="002148A3" w:rsidP="002148A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148A3" w:rsidRPr="00BC028A" w14:paraId="05430682" w14:textId="77777777" w:rsidTr="00EF5DAF">
        <w:tc>
          <w:tcPr>
            <w:tcW w:w="8828" w:type="dxa"/>
            <w:shd w:val="clear" w:color="auto" w:fill="auto"/>
          </w:tcPr>
          <w:p w14:paraId="2493D75B" w14:textId="77777777" w:rsidR="002148A3" w:rsidRPr="00231D7F" w:rsidRDefault="002148A3" w:rsidP="00EF5DAF">
            <w:pPr>
              <w:spacing w:line="276" w:lineRule="auto"/>
              <w:contextualSpacing/>
              <w:jc w:val="both"/>
              <w:rPr>
                <w:rFonts w:ascii="Verdana" w:eastAsia="Century Gothic" w:hAnsi="Verdana" w:cs="Century Gothic"/>
                <w:color w:val="000000" w:themeColor="text1"/>
              </w:rPr>
            </w:pPr>
            <w:r w:rsidRPr="00231D7F">
              <w:rPr>
                <w:rFonts w:ascii="Verdana" w:eastAsia="Century Gothic" w:hAnsi="Verdana" w:cs="Century Gothic"/>
                <w:b/>
                <w:bCs/>
                <w:color w:val="000000" w:themeColor="text1"/>
              </w:rPr>
              <w:t xml:space="preserve">De acuerdo con la interpretación general de las normas que conforman el sistema de compras públicas, </w:t>
            </w:r>
            <w:r w:rsidRPr="00231D7F">
              <w:rPr>
                <w:rFonts w:ascii="Verdana" w:eastAsia="Century Gothic" w:hAnsi="Verdana" w:cs="Century Gothic"/>
                <w:color w:val="000000" w:themeColor="text1"/>
              </w:rPr>
              <w:t xml:space="preserve">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56B995B9" w14:textId="77777777" w:rsidR="002148A3" w:rsidRPr="00231D7F" w:rsidRDefault="002148A3" w:rsidP="00EF5D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28B1C7FB" w14:textId="77777777" w:rsidR="002148A3" w:rsidRPr="00231D7F" w:rsidRDefault="002148A3" w:rsidP="00EF5D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este contexto, los indicadores de capacidad financiera y organizacional ya no corresponderán a los últimos tres (3) años fiscales </w:t>
            </w:r>
            <w:r w:rsidRPr="00231D7F">
              <w:rPr>
                <w:rFonts w:ascii="Verdana" w:eastAsia="Century Gothic" w:hAnsi="Verdana" w:cs="Century Gothic"/>
                <w:color w:val="000000" w:themeColor="text1"/>
              </w:rPr>
              <w:lastRenderedPageBreak/>
              <w:t xml:space="preserve">anteriores a la inscripción o renovación. Asimismo, con la pérdida de vigencia de los parágrafos transitorios de los artículos 2.2.1.1.1.5.2 y 2.2.1.1.1.5.6 del Decreto 1082 de 2015, el parágrafo transitorio del artículo 2.2.1.1.1.6.2 </w:t>
            </w:r>
            <w:r w:rsidRPr="00231D7F">
              <w:rPr>
                <w:rFonts w:ascii="Verdana" w:eastAsia="Century Gothic" w:hAnsi="Verdana" w:cs="Century Gothic"/>
                <w:i/>
                <w:iCs/>
                <w:color w:val="000000" w:themeColor="text1"/>
              </w:rPr>
              <w:t>ibidem</w:t>
            </w:r>
            <w:r w:rsidRPr="00231D7F">
              <w:rPr>
                <w:rFonts w:ascii="Verdana" w:eastAsia="Century Gothic" w:hAnsi="Verdana" w:cs="Century Gothic"/>
                <w:color w:val="000000" w:themeColor="text1"/>
              </w:rPr>
              <w:t xml:space="preserve"> –adicionados por el art. 6 del Decreto 399 de 2021 y sustituido por el art. 3 del Decreto 579 de 2021– es inaplicable por sustracción de materia. En consecuencia, cesa la posibilidad de acreditar los indicadores de los numerales 3 y 4 artículo 2.2.1.1.1.5.3 </w:t>
            </w:r>
            <w:r w:rsidRPr="00231D7F">
              <w:rPr>
                <w:rFonts w:ascii="Verdana" w:eastAsia="Century Gothic" w:hAnsi="Verdana" w:cs="Century Gothic"/>
                <w:i/>
                <w:iCs/>
                <w:color w:val="000000" w:themeColor="text1"/>
              </w:rPr>
              <w:t>ibidem</w:t>
            </w:r>
            <w:r w:rsidRPr="00231D7F">
              <w:rPr>
                <w:rFonts w:ascii="Verdana" w:eastAsia="Century Gothic" w:hAnsi="Verdana" w:cs="Century Gothic"/>
                <w:color w:val="000000" w:themeColor="text1"/>
              </w:rPr>
              <w:t xml:space="preserve"> teniendo en cuenta el mejor año fiscal que se refleje en el registro de cada proponente.</w:t>
            </w:r>
          </w:p>
          <w:p w14:paraId="47519FA1" w14:textId="77777777" w:rsidR="002148A3" w:rsidRPr="00231D7F" w:rsidRDefault="002148A3" w:rsidP="00EF5D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w:t>
            </w:r>
            <w:proofErr w:type="spellStart"/>
            <w:r w:rsidRPr="00231D7F">
              <w:rPr>
                <w:rFonts w:ascii="Verdana" w:eastAsia="Century Gothic" w:hAnsi="Verdana" w:cs="Century Gothic"/>
                <w:color w:val="000000" w:themeColor="text1"/>
              </w:rPr>
              <w:t>nums</w:t>
            </w:r>
            <w:proofErr w:type="spellEnd"/>
            <w:r w:rsidRPr="00231D7F">
              <w:rPr>
                <w:rFonts w:ascii="Verdana" w:eastAsia="Century Gothic" w:hAnsi="Verdana" w:cs="Century Gothic"/>
                <w:color w:val="000000" w:themeColor="text1"/>
              </w:rPr>
              <w:t>. 1.3 y 2.3 del artículo 2.2.1.1.1.5.2 del Decreto 1082 de 2015–.</w:t>
            </w:r>
          </w:p>
          <w:p w14:paraId="2165CD37" w14:textId="77777777" w:rsidR="002148A3" w:rsidRPr="00231D7F" w:rsidRDefault="002148A3" w:rsidP="00EF5D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597E75C5" w14:textId="77777777" w:rsidR="002148A3" w:rsidRPr="00231D7F" w:rsidRDefault="002148A3" w:rsidP="00EF5D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 </w:t>
            </w:r>
          </w:p>
          <w:p w14:paraId="6378E8A5" w14:textId="77777777" w:rsidR="002148A3" w:rsidRPr="00144DEF" w:rsidRDefault="002148A3" w:rsidP="00EF5DAF">
            <w:pPr>
              <w:tabs>
                <w:tab w:val="left" w:pos="426"/>
              </w:tabs>
              <w:spacing w:line="276" w:lineRule="auto"/>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 </w:t>
            </w:r>
            <w:r w:rsidRPr="00231D7F">
              <w:rPr>
                <w:rFonts w:ascii="Verdana" w:eastAsia="Century Gothic" w:hAnsi="Verdana" w:cs="Century Gothic"/>
                <w:lang w:val="es"/>
              </w:rPr>
              <w:t xml:space="preserve">      En conclusión, resulta valido afirmar que la posibilidad que tenían los oferentes de acreditar el mejor año fiscal de los tres últimos registrados en el RUP, finalizo el último día de la vigencia 2023, en consecuencia y en observancia del derecho a la igualdad con aquellos oferentes que en la vigencia 2024 ya se han inscrito o renovado su RUP y solo cuentan en el mismo con la información del último año fiscal, las entidades deben estructurar la solicitud </w:t>
            </w:r>
            <w:r w:rsidRPr="00231D7F">
              <w:rPr>
                <w:rFonts w:ascii="Verdana" w:eastAsia="Century Gothic" w:hAnsi="Verdana" w:cs="Century Gothic"/>
                <w:lang w:val="es"/>
              </w:rPr>
              <w:lastRenderedPageBreak/>
              <w:t xml:space="preserve">de indicadores financieros para sus procesos con referencia a lo dispuesto en </w:t>
            </w:r>
            <w:r w:rsidRPr="00231D7F">
              <w:rPr>
                <w:rFonts w:ascii="Verdana" w:eastAsia="Century Gothic" w:hAnsi="Verdana" w:cs="Century Gothic"/>
                <w:color w:val="000000" w:themeColor="text1"/>
              </w:rPr>
              <w:t>los numerales 1.3 y 2.3 del artículo 2.2.1.1.1.5.2 del Decreto 1082 de 2015</w:t>
            </w:r>
          </w:p>
          <w:p w14:paraId="3081F93A" w14:textId="77777777" w:rsidR="002148A3" w:rsidRPr="00BC028A" w:rsidRDefault="002148A3" w:rsidP="00EF5DAF">
            <w:pPr>
              <w:spacing w:line="276" w:lineRule="auto"/>
              <w:jc w:val="both"/>
              <w:rPr>
                <w:rFonts w:ascii="Verdana" w:eastAsia="Calibri" w:hAnsi="Verdana" w:cs="Arial"/>
              </w:rPr>
            </w:pPr>
          </w:p>
        </w:tc>
      </w:tr>
    </w:tbl>
    <w:p w14:paraId="775D53EF" w14:textId="77777777" w:rsidR="002148A3" w:rsidRPr="00BC028A" w:rsidRDefault="002148A3" w:rsidP="002148A3">
      <w:pPr>
        <w:tabs>
          <w:tab w:val="left" w:pos="142"/>
          <w:tab w:val="left" w:pos="284"/>
        </w:tabs>
        <w:spacing w:after="0" w:line="276" w:lineRule="auto"/>
        <w:jc w:val="both"/>
        <w:rPr>
          <w:rFonts w:ascii="Verdana" w:eastAsia="Century Gothic" w:hAnsi="Verdana" w:cs="Century Gothic"/>
          <w:b/>
          <w:bCs/>
          <w:lang w:val="es-ES"/>
        </w:rPr>
      </w:pPr>
    </w:p>
    <w:p w14:paraId="5269E631" w14:textId="77777777" w:rsidR="002148A3" w:rsidRPr="00BC028A" w:rsidRDefault="002148A3" w:rsidP="002148A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C028A">
        <w:rPr>
          <w:rFonts w:ascii="Verdana" w:eastAsia="Century Gothic" w:hAnsi="Verdana" w:cs="Century Gothic"/>
          <w:b/>
          <w:bCs/>
        </w:rPr>
        <w:t>Razones de la respuesta:</w:t>
      </w:r>
    </w:p>
    <w:p w14:paraId="43B0D512" w14:textId="77777777" w:rsidR="002148A3" w:rsidRPr="00BC028A" w:rsidRDefault="002148A3" w:rsidP="002148A3">
      <w:pPr>
        <w:spacing w:after="0" w:line="276" w:lineRule="auto"/>
        <w:jc w:val="both"/>
        <w:rPr>
          <w:rFonts w:ascii="Verdana" w:eastAsia="Calibri" w:hAnsi="Verdana" w:cs="Arial"/>
          <w:color w:val="7030A0"/>
          <w:lang w:val="es-ES"/>
        </w:rPr>
      </w:pPr>
    </w:p>
    <w:p w14:paraId="71EAE343" w14:textId="77777777" w:rsidR="002148A3" w:rsidRPr="00BC028A" w:rsidRDefault="002148A3" w:rsidP="002148A3">
      <w:pPr>
        <w:spacing w:after="0" w:line="276" w:lineRule="auto"/>
        <w:jc w:val="both"/>
        <w:rPr>
          <w:rFonts w:ascii="Verdana" w:eastAsia="Calibri" w:hAnsi="Verdana" w:cs="Arial"/>
          <w:lang w:val="es-ES"/>
        </w:rPr>
      </w:pPr>
      <w:r w:rsidRPr="00BC028A">
        <w:rPr>
          <w:rFonts w:ascii="Verdana" w:eastAsia="Calibri" w:hAnsi="Verdana" w:cs="Arial"/>
          <w:lang w:val="es-ES"/>
        </w:rPr>
        <w:t xml:space="preserve">Lo anterior se sustenta en las siguientes consideraciones: </w:t>
      </w:r>
    </w:p>
    <w:p w14:paraId="5B1D655E"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i/>
          <w:iCs/>
          <w:lang w:val="es-ES"/>
        </w:rPr>
      </w:pPr>
      <w:r w:rsidRPr="00231D7F">
        <w:rPr>
          <w:rFonts w:ascii="Verdana" w:eastAsia="Century Gothic" w:hAnsi="Verdana" w:cs="Century Gothic"/>
          <w:color w:val="000000" w:themeColor="text1"/>
          <w:lang w:val="es-ES"/>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w:t>
      </w:r>
      <w:r w:rsidRPr="00231D7F">
        <w:rPr>
          <w:rStyle w:val="Refdenotaalpie"/>
          <w:rFonts w:ascii="Verdana" w:eastAsia="Century Gothic" w:hAnsi="Verdana" w:cs="Century Gothic"/>
          <w:color w:val="000000" w:themeColor="text1"/>
          <w:lang w:val="es-ES"/>
        </w:rPr>
        <w:footnoteReference w:id="2"/>
      </w:r>
      <w:r w:rsidRPr="00231D7F">
        <w:rPr>
          <w:rFonts w:ascii="Verdana" w:eastAsia="Century Gothic" w:hAnsi="Verdana" w:cs="Century Gothic"/>
          <w:color w:val="000000" w:themeColor="text1"/>
          <w:lang w:val="es-ES"/>
        </w:rPr>
        <w:t xml:space="preserve">. Así lo justifica textualmente el reglamento mencionado, en sus consideraciones cuando manifiesta que </w:t>
      </w:r>
      <w:r w:rsidRPr="00231D7F">
        <w:rPr>
          <w:rFonts w:ascii="Verdana" w:eastAsia="Century Gothic" w:hAnsi="Verdana" w:cs="Century Gothic"/>
          <w:i/>
          <w:iCs/>
          <w:color w:val="000000" w:themeColor="text1"/>
          <w:lang w:val="es-ES"/>
        </w:rPr>
        <w:t>“</w:t>
      </w:r>
      <w:r w:rsidRPr="00231D7F">
        <w:rPr>
          <w:rFonts w:ascii="Verdana" w:eastAsia="Century Gothic" w:hAnsi="Verdana" w:cs="Century Gothic"/>
          <w:color w:val="000000" w:themeColor="text1"/>
          <w:lang w:val="es-ES"/>
        </w:rPr>
        <w:t>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r w:rsidRPr="00231D7F">
        <w:rPr>
          <w:rFonts w:ascii="Verdana" w:eastAsia="Century Gothic" w:hAnsi="Verdana" w:cs="Century Gothic"/>
          <w:i/>
          <w:iCs/>
          <w:lang w:val="es-ES"/>
        </w:rPr>
        <w:t xml:space="preserve">”. </w:t>
      </w:r>
    </w:p>
    <w:p w14:paraId="11C6B3DF" w14:textId="77777777" w:rsidR="002148A3" w:rsidRPr="00231D7F" w:rsidRDefault="002148A3" w:rsidP="002148A3">
      <w:pPr>
        <w:spacing w:line="276" w:lineRule="auto"/>
        <w:contextualSpacing/>
        <w:jc w:val="both"/>
        <w:rPr>
          <w:rFonts w:ascii="Verdana" w:eastAsia="Century Gothic" w:hAnsi="Verdana" w:cs="Century Gothic"/>
          <w:i/>
          <w:iCs/>
        </w:rPr>
      </w:pPr>
    </w:p>
    <w:p w14:paraId="0EEF3AFF"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lang w:val="es-ES"/>
        </w:rPr>
      </w:pPr>
      <w:r w:rsidRPr="00231D7F">
        <w:rPr>
          <w:rFonts w:ascii="Verdana" w:eastAsia="Century Gothic" w:hAnsi="Verdana" w:cs="Century Gothic"/>
          <w:color w:val="000000" w:themeColor="text1"/>
          <w:lang w:val="es-ES"/>
        </w:rPr>
        <w:t xml:space="preserve">En tal sentido, el artículo 4 del Decreto 399 de 2021 adicionó dos parágrafos transitorios al artículo 2.2.1.1.1.5.2 del Decreto 1082 de 2015, que a su vez fueron sustituidos por el artículo 1 del Decreto 579 del 31 de </w:t>
      </w:r>
      <w:r w:rsidRPr="00231D7F">
        <w:rPr>
          <w:rFonts w:ascii="Verdana" w:eastAsia="Century Gothic" w:hAnsi="Verdana" w:cs="Century Gothic"/>
          <w:color w:val="000000" w:themeColor="text1"/>
          <w:lang w:val="es-ES"/>
        </w:rPr>
        <w:lastRenderedPageBreak/>
        <w:t>mayo de 2021</w:t>
      </w:r>
      <w:r w:rsidRPr="00231D7F">
        <w:rPr>
          <w:rStyle w:val="Refdenotaalpie"/>
          <w:rFonts w:ascii="Verdana" w:eastAsia="Century Gothic" w:hAnsi="Verdana" w:cs="Century Gothic"/>
          <w:color w:val="000000" w:themeColor="text1"/>
          <w:lang w:val="es-ES"/>
        </w:rPr>
        <w:footnoteReference w:id="3"/>
      </w:r>
      <w:r w:rsidRPr="00231D7F">
        <w:rPr>
          <w:rFonts w:ascii="Verdana" w:eastAsia="Century Gothic" w:hAnsi="Verdana" w:cs="Century Gothic"/>
          <w:color w:val="000000" w:themeColor="text1"/>
          <w:lang w:val="es-ES"/>
        </w:rPr>
        <w:t xml:space="preserve"> y posteriormente se adicionó un parágrafo transitorio adicional al artículo 2.2.1.1.1.5.2 del Decreto 1082 de 2015 por el artículo 1 del </w:t>
      </w:r>
      <w:r w:rsidRPr="00231D7F">
        <w:rPr>
          <w:rFonts w:ascii="Verdana" w:eastAsia="Century Gothic" w:hAnsi="Verdana" w:cs="Century Gothic"/>
          <w:lang w:val="es-ES"/>
        </w:rPr>
        <w:t>Decreto 1041 de 2022.</w:t>
      </w:r>
    </w:p>
    <w:p w14:paraId="0AB6F8F8" w14:textId="77777777" w:rsidR="002148A3" w:rsidRPr="00231D7F" w:rsidRDefault="002148A3" w:rsidP="002148A3">
      <w:pPr>
        <w:spacing w:line="276" w:lineRule="auto"/>
        <w:ind w:firstLine="708"/>
        <w:contextualSpacing/>
        <w:jc w:val="both"/>
        <w:rPr>
          <w:rFonts w:ascii="Verdana" w:eastAsia="Century Gothic" w:hAnsi="Verdana" w:cs="Century Gothic"/>
        </w:rPr>
      </w:pPr>
    </w:p>
    <w:p w14:paraId="2879FBA4"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w:t>
      </w:r>
      <w:r w:rsidRPr="00231D7F">
        <w:rPr>
          <w:rFonts w:ascii="Verdana" w:eastAsia="Century Gothic" w:hAnsi="Verdana" w:cs="Century Gothic"/>
          <w:color w:val="000000" w:themeColor="text1"/>
          <w:lang w:val="es-ES"/>
        </w:rPr>
        <w:lastRenderedPageBreak/>
        <w:t>aclara que, si el proponente tiene registrada la información de dichos años en la cámara de comercio, no deberá presentar esta información.</w:t>
      </w:r>
    </w:p>
    <w:p w14:paraId="6AB7893C"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1E18A7A7"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El parágrafo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32E477E0"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01D7ADC9"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En igual sentido, </w:t>
      </w:r>
      <w:r w:rsidRPr="00231D7F">
        <w:rPr>
          <w:rFonts w:ascii="Verdana" w:eastAsia="Century Gothic" w:hAnsi="Verdana" w:cs="Century Gothic"/>
          <w:i/>
          <w:iCs/>
          <w:color w:val="000000" w:themeColor="text1"/>
          <w:lang w:val="es-ES"/>
        </w:rPr>
        <w:t xml:space="preserve">el parágrafo transitorio 3 incluido por el </w:t>
      </w:r>
      <w:r w:rsidRPr="00231D7F">
        <w:rPr>
          <w:rFonts w:ascii="Verdana" w:eastAsia="Century Gothic" w:hAnsi="Verdana" w:cs="Century Gothic"/>
          <w:i/>
          <w:iCs/>
          <w:lang w:val="es-ES"/>
        </w:rPr>
        <w:t xml:space="preserve">Decreto 1041 de 2022 </w:t>
      </w:r>
      <w:r w:rsidRPr="00231D7F">
        <w:rPr>
          <w:rFonts w:ascii="Verdana" w:eastAsia="Century Gothic" w:hAnsi="Verdana" w:cs="Century Gothic"/>
          <w:lang w:val="es-ES"/>
        </w:rPr>
        <w:t xml:space="preserve">mantuvo la anterior medida para el año 2023, permitiendo que para </w:t>
      </w:r>
      <w:r w:rsidRPr="00231D7F">
        <w:rPr>
          <w:rFonts w:ascii="Verdana" w:eastAsia="Century Gothic" w:hAnsi="Verdana" w:cs="Century Gothic"/>
          <w:color w:val="000000" w:themeColor="text1"/>
          <w:lang w:val="es-ES"/>
        </w:rPr>
        <w:t xml:space="preserve">la inscripción en el RUP o para su renovación, el interesado pueda reportar la información contable y los estados financieros de los tres últimos años fiscales. </w:t>
      </w:r>
    </w:p>
    <w:p w14:paraId="4A32B097"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15AD7005"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00231D7F">
        <w:rPr>
          <w:rFonts w:ascii="Verdana" w:eastAsia="Century Gothic" w:hAnsi="Verdana" w:cs="Century Gothic"/>
          <w:i/>
          <w:iCs/>
          <w:color w:val="000000" w:themeColor="text1"/>
          <w:lang w:val="es-ES"/>
        </w:rPr>
        <w:t xml:space="preserve">“[…] </w:t>
      </w:r>
      <w:r w:rsidRPr="00231D7F">
        <w:rPr>
          <w:rFonts w:ascii="Verdana" w:eastAsia="Century Gothic" w:hAnsi="Verdana" w:cs="Century Gothic"/>
          <w:color w:val="000000" w:themeColor="text1"/>
          <w:lang w:val="es-ES"/>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Pr="00231D7F">
        <w:rPr>
          <w:rFonts w:ascii="Verdana" w:eastAsia="Century Gothic" w:hAnsi="Verdana" w:cs="Century Gothic"/>
          <w:i/>
          <w:iCs/>
          <w:color w:val="000000" w:themeColor="text1"/>
          <w:lang w:val="es-ES"/>
        </w:rPr>
        <w:t>”</w:t>
      </w:r>
      <w:r w:rsidRPr="00231D7F">
        <w:rPr>
          <w:rFonts w:ascii="Verdana" w:eastAsia="Century Gothic" w:hAnsi="Verdana" w:cs="Century Gothic"/>
          <w:color w:val="000000" w:themeColor="text1"/>
          <w:lang w:val="es-ES"/>
        </w:rPr>
        <w:t>. Para esto, las cámaras de comercio, a partir del 1 de julio de 2021, “certificarán la información de que tratan los parágrafos transitorios 1 y 2 del artículo 2.2.1.1.1.5.2. de este Decreto</w:t>
      </w:r>
      <w:r w:rsidRPr="00231D7F">
        <w:rPr>
          <w:rFonts w:ascii="Verdana" w:eastAsia="Century Gothic" w:hAnsi="Verdana" w:cs="Century Gothic"/>
          <w:i/>
          <w:iCs/>
          <w:color w:val="000000" w:themeColor="text1"/>
          <w:lang w:val="es-ES"/>
        </w:rPr>
        <w:t>”.</w:t>
      </w:r>
      <w:r w:rsidRPr="00231D7F">
        <w:rPr>
          <w:rFonts w:ascii="Verdana" w:eastAsia="Century Gothic" w:hAnsi="Verdana" w:cs="Century Gothic"/>
          <w:color w:val="000000" w:themeColor="text1"/>
          <w:lang w:val="es-ES"/>
        </w:rPr>
        <w:t xml:space="preserve"> Los requisitos e indicadores de la capacidad financiera consagrados en el literal b) del artículo 2.2.1.1.1.5.6 del Decreto 1082 de 2015 son: i) el índice de liquidez, ii) el índice de endeudamiento y iii) la razón de cobertura de intereses. Los requisitos e indicadores de capacidad </w:t>
      </w:r>
      <w:r w:rsidRPr="00231D7F">
        <w:rPr>
          <w:rFonts w:ascii="Verdana" w:eastAsia="Century Gothic" w:hAnsi="Verdana" w:cs="Century Gothic"/>
          <w:color w:val="000000" w:themeColor="text1"/>
          <w:lang w:val="es-ES"/>
        </w:rPr>
        <w:lastRenderedPageBreak/>
        <w:t>organizacional son: i) la rentabilidad del patrimonio y ii) la rentabilidad del activo.</w:t>
      </w:r>
    </w:p>
    <w:p w14:paraId="39AF2E28"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Posteriormente, el segundo parágrafo transitorio del artículo 2.2.1.1.1.5.6 del Decreto 1082 de 2015, modificado por el artículo 2 del Decreto 1041 del 21 de junio 2022 dispone que </w:t>
      </w:r>
      <w:r w:rsidRPr="00231D7F">
        <w:rPr>
          <w:rFonts w:ascii="Verdana" w:eastAsia="Century Gothic" w:hAnsi="Verdana" w:cs="Century Gothic"/>
          <w:i/>
          <w:iCs/>
          <w:color w:val="000000" w:themeColor="text1"/>
          <w:lang w:val="es-ES"/>
        </w:rPr>
        <w:t>“</w:t>
      </w:r>
      <w:r w:rsidRPr="00231D7F">
        <w:rPr>
          <w:rFonts w:ascii="Verdana" w:eastAsia="Century Gothic" w:hAnsi="Verdana" w:cs="Century Gothic"/>
          <w:color w:val="000000" w:themeColor="text1"/>
          <w:lang w:val="es-ES"/>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r w:rsidRPr="00231D7F">
        <w:rPr>
          <w:rFonts w:ascii="Verdana" w:eastAsia="Century Gothic" w:hAnsi="Verdana" w:cs="Century Gothic"/>
          <w:i/>
          <w:iCs/>
          <w:color w:val="000000" w:themeColor="text1"/>
          <w:lang w:val="es-ES"/>
        </w:rPr>
        <w:t xml:space="preserve">”. </w:t>
      </w:r>
      <w:r w:rsidRPr="00231D7F">
        <w:rPr>
          <w:rFonts w:ascii="Verdana" w:eastAsia="Century Gothic" w:hAnsi="Verdana" w:cs="Century Gothic"/>
          <w:color w:val="000000" w:themeColor="text1"/>
          <w:lang w:val="es-ES"/>
        </w:rPr>
        <w:t>Como se observa, las normas anteriormente transcritas disponen que:</w:t>
      </w:r>
    </w:p>
    <w:p w14:paraId="108A932B"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2F3C9BE8"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w:t>
      </w:r>
    </w:p>
    <w:p w14:paraId="4335F177" w14:textId="77777777" w:rsidR="002148A3" w:rsidRPr="00BC028A" w:rsidRDefault="002148A3" w:rsidP="002148A3">
      <w:pPr>
        <w:pStyle w:val="Prrafodelista"/>
        <w:numPr>
          <w:ilvl w:val="0"/>
          <w:numId w:val="11"/>
        </w:numPr>
        <w:spacing w:line="276" w:lineRule="auto"/>
        <w:jc w:val="both"/>
        <w:rPr>
          <w:rFonts w:ascii="Verdana" w:eastAsia="Calibri" w:hAnsi="Verdana" w:cs="Arial"/>
          <w:i/>
          <w:color w:val="000000" w:themeColor="text1"/>
          <w:sz w:val="20"/>
          <w:szCs w:val="20"/>
          <w:lang w:val="es-ES"/>
        </w:rPr>
      </w:pPr>
      <w:r w:rsidRPr="00231D7F">
        <w:rPr>
          <w:rFonts w:ascii="Verdana" w:eastAsia="Century Gothic" w:hAnsi="Verdana" w:cs="Century Gothic"/>
          <w:color w:val="000000" w:themeColor="text1"/>
          <w:lang w:val="es-ES"/>
        </w:rPr>
        <w:t>Las Entidades Estatales</w:t>
      </w:r>
      <w:r w:rsidRPr="00231D7F">
        <w:rPr>
          <w:rFonts w:ascii="Verdana" w:eastAsia="Century Gothic" w:hAnsi="Verdana" w:cs="Century Gothic"/>
          <w:color w:val="000000" w:themeColor="text1"/>
        </w:rPr>
        <w:t xml:space="preserve">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077D4870" w14:textId="77777777" w:rsidR="002148A3" w:rsidRPr="00BC028A" w:rsidRDefault="002148A3" w:rsidP="002148A3">
      <w:pPr>
        <w:pStyle w:val="Prrafodelista"/>
        <w:numPr>
          <w:ilvl w:val="0"/>
          <w:numId w:val="11"/>
        </w:numPr>
        <w:spacing w:line="276" w:lineRule="auto"/>
        <w:jc w:val="both"/>
        <w:rPr>
          <w:rFonts w:ascii="Verdana" w:eastAsia="Calibri" w:hAnsi="Verdana" w:cs="Arial"/>
          <w:i/>
          <w:color w:val="000000" w:themeColor="text1"/>
          <w:sz w:val="20"/>
          <w:szCs w:val="20"/>
          <w:lang w:val="es-ES"/>
        </w:rPr>
      </w:pPr>
      <w:r w:rsidRPr="00231D7F">
        <w:rPr>
          <w:rFonts w:ascii="Verdana" w:eastAsia="Century Gothic" w:hAnsi="Verdana" w:cs="Century Gothic"/>
          <w:color w:val="000000" w:themeColor="text1"/>
        </w:rPr>
        <w:t xml:space="preserve">En los procesos de selección cuyo acto administrativo de apertura o invitación se publique a partir del 1 de julio de 2021 las </w:t>
      </w:r>
      <w:r w:rsidRPr="00231D7F">
        <w:rPr>
          <w:rFonts w:ascii="Verdana" w:eastAsia="Century Gothic" w:hAnsi="Verdana" w:cs="Century Gothic"/>
          <w:color w:val="000000" w:themeColor="text1"/>
          <w:lang w:val="es-ES"/>
        </w:rPr>
        <w:t>Entidades Estatales</w:t>
      </w:r>
      <w:r w:rsidRPr="00231D7F">
        <w:rPr>
          <w:rFonts w:ascii="Verdana" w:eastAsia="Century Gothic" w:hAnsi="Verdana" w:cs="Century Gothic"/>
          <w:color w:val="000000" w:themeColor="text1"/>
        </w:rPr>
        <w:t xml:space="preserve"> deberán tener en cuenta la información financiera y organizacional que esté vigente y en firme en el RUP.</w:t>
      </w:r>
    </w:p>
    <w:p w14:paraId="6C509ADF"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lastRenderedPageBreak/>
        <w:t xml:space="preserve">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w:t>
      </w:r>
      <w:r w:rsidRPr="00231D7F">
        <w:rPr>
          <w:rFonts w:ascii="Verdana" w:eastAsia="Century Gothic" w:hAnsi="Verdana" w:cs="Century Gothic"/>
          <w:i/>
          <w:iCs/>
          <w:color w:val="000000" w:themeColor="text1"/>
          <w:lang w:val="es-ES"/>
        </w:rPr>
        <w:t>el mejor año fiscal que se refleje en el registro</w:t>
      </w:r>
      <w:r w:rsidRPr="00231D7F">
        <w:rPr>
          <w:rFonts w:ascii="Verdana" w:eastAsia="Century Gothic" w:hAnsi="Verdana" w:cs="Century Gothic"/>
          <w:color w:val="000000" w:themeColor="text1"/>
          <w:lang w:val="es-ES"/>
        </w:rPr>
        <w:t xml:space="preserve"> de cada proponente” (Énfasis fuera de texto). </w:t>
      </w:r>
    </w:p>
    <w:p w14:paraId="6B5240F7"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Dichas medidas se mantienen hasta el año 2023 en virtud de lo consagrado en el Decreto 1041 de 2022.</w:t>
      </w:r>
    </w:p>
    <w:p w14:paraId="4D93298F" w14:textId="77777777" w:rsidR="002148A3" w:rsidRDefault="002148A3" w:rsidP="002148A3">
      <w:pPr>
        <w:pStyle w:val="Prrafodelista"/>
        <w:numPr>
          <w:ilvl w:val="0"/>
          <w:numId w:val="11"/>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lang w:val="es-ES"/>
        </w:rPr>
        <w:t xml:space="preserve">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w:t>
      </w:r>
      <w:r w:rsidRPr="00231D7F">
        <w:rPr>
          <w:rFonts w:ascii="Verdana" w:eastAsia="Century Gothic" w:hAnsi="Verdana" w:cs="Century Gothic"/>
          <w:lang w:val="es-ES"/>
        </w:rPr>
        <w:t>Decreto 1041 de 2022</w:t>
      </w:r>
      <w:r w:rsidRPr="00231D7F">
        <w:rPr>
          <w:rFonts w:ascii="Verdana" w:eastAsia="Century Gothic" w:hAnsi="Verdana" w:cs="Century Gothic"/>
          <w:color w:val="000000" w:themeColor="text1"/>
          <w:lang w:val="es-ES"/>
        </w:rPr>
        <w:t>, establece que “[…] las Entidades Estatales evaluarán estos indicadores, teniendo en cuenta el mejor año fiscal que se refleje en el registro de cada proponente</w:t>
      </w:r>
      <w:r w:rsidRPr="00231D7F">
        <w:rPr>
          <w:rFonts w:ascii="Verdana" w:eastAsia="Century Gothic" w:hAnsi="Verdana" w:cs="Century Gothic"/>
          <w:i/>
          <w:iCs/>
          <w:color w:val="000000" w:themeColor="text1"/>
          <w:lang w:val="es-ES"/>
        </w:rPr>
        <w:t xml:space="preserve">”, </w:t>
      </w:r>
      <w:r w:rsidRPr="00231D7F">
        <w:rPr>
          <w:rFonts w:ascii="Verdana" w:eastAsia="Century Gothic" w:hAnsi="Verdana" w:cs="Century Gothic"/>
          <w:color w:val="000000" w:themeColor="text1"/>
          <w:lang w:val="es-ES"/>
        </w:rPr>
        <w:t>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1AE2719" w14:textId="77777777" w:rsidR="002148A3" w:rsidRPr="000A533E" w:rsidRDefault="002148A3" w:rsidP="002148A3">
      <w:pPr>
        <w:pStyle w:val="Prrafodelista"/>
        <w:spacing w:line="276" w:lineRule="auto"/>
        <w:jc w:val="both"/>
        <w:rPr>
          <w:rFonts w:ascii="Verdana" w:eastAsia="Century Gothic" w:hAnsi="Verdana" w:cs="Century Gothic"/>
          <w:color w:val="000000" w:themeColor="text1"/>
        </w:rPr>
      </w:pPr>
    </w:p>
    <w:p w14:paraId="311E9CE2"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De la explicación anterior, se desprende que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w:t>
      </w:r>
      <w:r w:rsidRPr="00231D7F">
        <w:rPr>
          <w:rFonts w:ascii="Verdana" w:eastAsia="Century Gothic" w:hAnsi="Verdana" w:cs="Century Gothic"/>
          <w:color w:val="000000" w:themeColor="text1"/>
          <w:lang w:val="es-ES"/>
        </w:rPr>
        <w:lastRenderedPageBreak/>
        <w:t xml:space="preserve">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7E7569C8"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79681C22"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2A0C3592"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316FE733"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00231D7F">
        <w:rPr>
          <w:rFonts w:ascii="Verdana" w:eastAsia="Century Gothic" w:hAnsi="Verdana" w:cs="Century Gothic"/>
          <w:i/>
          <w:iCs/>
          <w:color w:val="000000" w:themeColor="text1"/>
          <w:lang w:val="es-ES"/>
        </w:rPr>
        <w:t>ibidem</w:t>
      </w:r>
      <w:r w:rsidRPr="00231D7F">
        <w:rPr>
          <w:rFonts w:ascii="Verdana" w:eastAsia="Century Gothic" w:hAnsi="Verdana" w:cs="Century Gothic"/>
          <w:color w:val="000000" w:themeColor="text1"/>
          <w:lang w:val="es-ES"/>
        </w:rPr>
        <w:t xml:space="preserve"> –adicionados por el art. 6 del Decreto 399 de 2021 y sustituido por el art. 3 del Decreto 579 de 2021– es inaplicable por sustracción de materia. En consecuencia, cesa la posibilidad de acreditar los indicadores de los numerales 3 y 4 artículo 2.2.1.1.1.5.3 </w:t>
      </w:r>
      <w:r w:rsidRPr="00231D7F">
        <w:rPr>
          <w:rFonts w:ascii="Verdana" w:eastAsia="Century Gothic" w:hAnsi="Verdana" w:cs="Century Gothic"/>
          <w:i/>
          <w:iCs/>
          <w:color w:val="000000" w:themeColor="text1"/>
          <w:lang w:val="es-ES"/>
        </w:rPr>
        <w:t>ibidem</w:t>
      </w:r>
      <w:r w:rsidRPr="00231D7F">
        <w:rPr>
          <w:rFonts w:ascii="Verdana" w:eastAsia="Century Gothic" w:hAnsi="Verdana" w:cs="Century Gothic"/>
          <w:color w:val="000000" w:themeColor="text1"/>
          <w:lang w:val="es-ES"/>
        </w:rPr>
        <w:t xml:space="preserve"> teniendo en cuenta el mejor año fiscal que se refleje en el registro de cada proponente.</w:t>
      </w:r>
    </w:p>
    <w:p w14:paraId="2D055C1B" w14:textId="77777777" w:rsidR="002148A3" w:rsidRPr="00231D7F" w:rsidRDefault="002148A3" w:rsidP="002148A3">
      <w:pPr>
        <w:spacing w:line="276" w:lineRule="auto"/>
        <w:ind w:firstLine="708"/>
        <w:contextualSpacing/>
        <w:jc w:val="both"/>
        <w:rPr>
          <w:rFonts w:ascii="Verdana" w:eastAsia="Century Gothic" w:hAnsi="Verdana" w:cs="Century Gothic"/>
          <w:color w:val="000000" w:themeColor="text1"/>
        </w:rPr>
      </w:pPr>
    </w:p>
    <w:p w14:paraId="41AB43B6"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w:t>
      </w:r>
      <w:proofErr w:type="spellStart"/>
      <w:r w:rsidRPr="00231D7F">
        <w:rPr>
          <w:rFonts w:ascii="Verdana" w:eastAsia="Century Gothic" w:hAnsi="Verdana" w:cs="Century Gothic"/>
          <w:color w:val="000000" w:themeColor="text1"/>
          <w:lang w:val="es-ES"/>
        </w:rPr>
        <w:t>nums</w:t>
      </w:r>
      <w:proofErr w:type="spellEnd"/>
      <w:r w:rsidRPr="00231D7F">
        <w:rPr>
          <w:rFonts w:ascii="Verdana" w:eastAsia="Century Gothic" w:hAnsi="Verdana" w:cs="Century Gothic"/>
          <w:color w:val="000000" w:themeColor="text1"/>
          <w:lang w:val="es-ES"/>
        </w:rPr>
        <w:t>. 1.3 y 2.3 del artículo 2.2.1.1.1.5.2 del Decreto 1082 de 2015–.</w:t>
      </w:r>
    </w:p>
    <w:p w14:paraId="62517708" w14:textId="77777777" w:rsidR="002148A3" w:rsidRPr="00231D7F" w:rsidRDefault="002148A3" w:rsidP="002148A3">
      <w:pPr>
        <w:spacing w:line="276" w:lineRule="auto"/>
        <w:ind w:firstLine="780"/>
        <w:contextualSpacing/>
        <w:jc w:val="both"/>
        <w:rPr>
          <w:rFonts w:ascii="Verdana" w:eastAsia="Century Gothic" w:hAnsi="Verdana" w:cs="Century Gothic"/>
          <w:color w:val="000000" w:themeColor="text1"/>
        </w:rPr>
      </w:pPr>
    </w:p>
    <w:p w14:paraId="6A50468B" w14:textId="77777777" w:rsidR="002148A3" w:rsidRPr="00231D7F" w:rsidRDefault="002148A3" w:rsidP="002148A3">
      <w:pPr>
        <w:pStyle w:val="Prrafodelista"/>
        <w:numPr>
          <w:ilvl w:val="0"/>
          <w:numId w:val="11"/>
        </w:numPr>
        <w:spacing w:line="276" w:lineRule="auto"/>
        <w:jc w:val="both"/>
        <w:rPr>
          <w:rFonts w:ascii="Verdana" w:eastAsia="Century Gothic" w:hAnsi="Verdana" w:cs="Century Gothic"/>
          <w:color w:val="000000" w:themeColor="text1"/>
          <w:lang w:val="es-ES"/>
        </w:rPr>
      </w:pPr>
      <w:r w:rsidRPr="00231D7F">
        <w:rPr>
          <w:rFonts w:ascii="Verdana" w:eastAsia="Century Gothic" w:hAnsi="Verdana" w:cs="Century Gothic"/>
          <w:color w:val="000000" w:themeColor="text1"/>
          <w:lang w:val="es-ES"/>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24AF3E21" w14:textId="77777777" w:rsidR="002148A3" w:rsidRPr="0002120A" w:rsidRDefault="002148A3" w:rsidP="002148A3">
      <w:pPr>
        <w:tabs>
          <w:tab w:val="left" w:pos="426"/>
        </w:tabs>
        <w:spacing w:after="0" w:line="240" w:lineRule="auto"/>
        <w:ind w:right="357"/>
        <w:jc w:val="both"/>
        <w:rPr>
          <w:rFonts w:ascii="Verdana" w:hAnsi="Verdana" w:cs="Arial"/>
        </w:rPr>
      </w:pPr>
    </w:p>
    <w:p w14:paraId="71EF4696" w14:textId="77777777" w:rsidR="002148A3" w:rsidRPr="00BC028A" w:rsidRDefault="002148A3" w:rsidP="002148A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C028A">
        <w:rPr>
          <w:rFonts w:ascii="Verdana" w:eastAsia="Century Gothic" w:hAnsi="Verdana" w:cs="Century Gothic"/>
          <w:b/>
          <w:bCs/>
        </w:rPr>
        <w:t>Referencias normativas, jurisprudenciales y otras fuentes:</w:t>
      </w:r>
    </w:p>
    <w:p w14:paraId="0373D717" w14:textId="77777777" w:rsidR="002148A3" w:rsidRPr="00BC028A" w:rsidRDefault="002148A3" w:rsidP="002148A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148A3" w:rsidRPr="00BC028A" w14:paraId="1CEA1B6F" w14:textId="77777777" w:rsidTr="00EF5DAF">
        <w:trPr>
          <w:trHeight w:val="870"/>
        </w:trPr>
        <w:tc>
          <w:tcPr>
            <w:tcW w:w="8647" w:type="dxa"/>
          </w:tcPr>
          <w:p w14:paraId="0E0F44BB" w14:textId="77777777" w:rsidR="002148A3" w:rsidRPr="00BC028A" w:rsidRDefault="002148A3" w:rsidP="002148A3">
            <w:pPr>
              <w:pStyle w:val="Prrafodelista"/>
              <w:numPr>
                <w:ilvl w:val="0"/>
                <w:numId w:val="10"/>
              </w:numPr>
              <w:jc w:val="both"/>
              <w:rPr>
                <w:rFonts w:ascii="Verdana" w:eastAsia="Calibri" w:hAnsi="Verdana" w:cs="Arial"/>
                <w:color w:val="000000" w:themeColor="text1"/>
                <w:lang w:val="es-ES_tradnl"/>
              </w:rPr>
            </w:pPr>
            <w:r w:rsidRPr="00BC028A">
              <w:rPr>
                <w:rFonts w:ascii="Verdana" w:eastAsia="Calibri" w:hAnsi="Verdana" w:cs="Arial"/>
                <w:color w:val="000000" w:themeColor="text1"/>
                <w:lang w:val="es-ES_tradnl"/>
              </w:rPr>
              <w:t>Ley 1150 de 2007, artículo 5, parágrafos 1º al 4º y articulo 6</w:t>
            </w:r>
            <w:r w:rsidRPr="0002120A">
              <w:rPr>
                <w:rFonts w:ascii="Verdana" w:eastAsia="Calibri" w:hAnsi="Verdana" w:cs="Arial"/>
                <w:color w:val="000000" w:themeColor="text1"/>
                <w:lang w:val="es-ES_tradnl"/>
              </w:rPr>
              <w:t>.</w:t>
            </w:r>
          </w:p>
          <w:p w14:paraId="7ACC7653" w14:textId="77777777" w:rsidR="002148A3" w:rsidRPr="00BC028A" w:rsidRDefault="002148A3" w:rsidP="002148A3">
            <w:pPr>
              <w:pStyle w:val="Prrafodelista"/>
              <w:numPr>
                <w:ilvl w:val="0"/>
                <w:numId w:val="10"/>
              </w:numPr>
              <w:jc w:val="both"/>
              <w:rPr>
                <w:rFonts w:ascii="Verdana" w:eastAsia="Calibri" w:hAnsi="Verdana" w:cs="Arial"/>
                <w:color w:val="000000"/>
              </w:rPr>
            </w:pPr>
            <w:r w:rsidRPr="00BC028A">
              <w:rPr>
                <w:rFonts w:ascii="Verdana" w:eastAsia="Calibri" w:hAnsi="Verdana" w:cs="Arial"/>
                <w:color w:val="000000"/>
              </w:rPr>
              <w:t>Decreto 1082 de 2015, artículo</w:t>
            </w:r>
            <w:r w:rsidRPr="0002120A">
              <w:rPr>
                <w:rFonts w:ascii="Verdana" w:eastAsia="Calibri" w:hAnsi="Verdana" w:cs="Arial"/>
                <w:color w:val="000000"/>
              </w:rPr>
              <w:t>,</w:t>
            </w:r>
            <w:r w:rsidRPr="00BC028A">
              <w:rPr>
                <w:rFonts w:ascii="Verdana" w:eastAsia="Calibri" w:hAnsi="Verdana" w:cs="Arial"/>
                <w:color w:val="000000"/>
              </w:rPr>
              <w:t xml:space="preserve"> </w:t>
            </w:r>
            <w:r w:rsidRPr="0002120A">
              <w:rPr>
                <w:rFonts w:ascii="Verdana" w:eastAsia="Calibri" w:hAnsi="Verdana" w:cs="Arial"/>
                <w:color w:val="000000"/>
              </w:rPr>
              <w:t>2.2.1.1.1.5.1,</w:t>
            </w:r>
            <w:r w:rsidRPr="00BC028A">
              <w:rPr>
                <w:rFonts w:ascii="Verdana" w:eastAsia="Calibri" w:hAnsi="Verdana" w:cs="Arial"/>
                <w:color w:val="000000"/>
              </w:rPr>
              <w:t xml:space="preserve"> </w:t>
            </w:r>
            <w:r w:rsidRPr="0002120A">
              <w:rPr>
                <w:rFonts w:ascii="Verdana" w:eastAsia="Calibri" w:hAnsi="Verdana" w:cs="Arial"/>
                <w:color w:val="000000"/>
                <w:lang w:val="es-ES_tradnl"/>
              </w:rPr>
              <w:t xml:space="preserve">2.2.1.1.1.5.3numeral 4, </w:t>
            </w:r>
            <w:r w:rsidRPr="0002120A">
              <w:rPr>
                <w:rFonts w:ascii="Verdana" w:eastAsia="Calibri" w:hAnsi="Verdana" w:cs="Arial"/>
                <w:color w:val="000000"/>
              </w:rPr>
              <w:t>2.2.1.1.1.</w:t>
            </w:r>
            <w:r w:rsidRPr="00BC028A">
              <w:rPr>
                <w:rFonts w:ascii="Verdana" w:eastAsia="Calibri" w:hAnsi="Verdana" w:cs="Arial"/>
                <w:color w:val="000000"/>
              </w:rPr>
              <w:t>6.2</w:t>
            </w:r>
            <w:r w:rsidRPr="0002120A">
              <w:rPr>
                <w:rFonts w:ascii="Verdana" w:eastAsia="Calibri" w:hAnsi="Verdana" w:cs="Arial"/>
                <w:color w:val="000000"/>
              </w:rPr>
              <w:t>.</w:t>
            </w:r>
            <w:r w:rsidRPr="00BC028A">
              <w:rPr>
                <w:rFonts w:ascii="Verdana" w:eastAsia="Calibri" w:hAnsi="Verdana" w:cs="Arial"/>
                <w:color w:val="000000"/>
              </w:rPr>
              <w:t xml:space="preserve"> </w:t>
            </w:r>
          </w:p>
          <w:p w14:paraId="10E4376E" w14:textId="77777777" w:rsidR="002148A3" w:rsidRPr="0002120A" w:rsidRDefault="002148A3" w:rsidP="002148A3">
            <w:pPr>
              <w:pStyle w:val="Prrafodelista"/>
              <w:numPr>
                <w:ilvl w:val="0"/>
                <w:numId w:val="10"/>
              </w:numPr>
              <w:jc w:val="both"/>
              <w:rPr>
                <w:rFonts w:ascii="Verdana" w:eastAsia="Calibri" w:hAnsi="Verdana" w:cs="Arial"/>
                <w:color w:val="000000"/>
              </w:rPr>
            </w:pPr>
            <w:r w:rsidRPr="0002120A">
              <w:rPr>
                <w:rFonts w:ascii="Verdana" w:eastAsia="Calibri" w:hAnsi="Verdana" w:cs="Arial"/>
                <w:color w:val="000000"/>
              </w:rPr>
              <w:t>Decreto 2474 de 2008, art. 10</w:t>
            </w:r>
          </w:p>
          <w:p w14:paraId="1E2F3262" w14:textId="77777777" w:rsidR="002148A3" w:rsidRPr="0002120A" w:rsidRDefault="002148A3" w:rsidP="002148A3">
            <w:pPr>
              <w:pStyle w:val="Prrafodelista"/>
              <w:numPr>
                <w:ilvl w:val="0"/>
                <w:numId w:val="10"/>
              </w:numPr>
              <w:jc w:val="both"/>
              <w:rPr>
                <w:rFonts w:ascii="Verdana" w:eastAsia="Calibri" w:hAnsi="Verdana" w:cs="Arial"/>
                <w:color w:val="000000"/>
              </w:rPr>
            </w:pPr>
            <w:r w:rsidRPr="0002120A">
              <w:rPr>
                <w:rFonts w:ascii="Verdana" w:eastAsia="Calibri" w:hAnsi="Verdana" w:cs="Arial"/>
                <w:color w:val="000000"/>
              </w:rPr>
              <w:t>Ley 1882 de 2018: Artículo 5.</w:t>
            </w:r>
          </w:p>
          <w:p w14:paraId="13AC8EA7" w14:textId="77777777" w:rsidR="002148A3" w:rsidRPr="00BC028A" w:rsidRDefault="002148A3" w:rsidP="002148A3">
            <w:pPr>
              <w:pStyle w:val="Prrafodelista"/>
              <w:numPr>
                <w:ilvl w:val="0"/>
                <w:numId w:val="10"/>
              </w:numPr>
              <w:jc w:val="both"/>
              <w:rPr>
                <w:rFonts w:ascii="Verdana" w:eastAsia="Calibri" w:hAnsi="Verdana" w:cs="Arial"/>
                <w:color w:val="000000" w:themeColor="text1"/>
                <w:lang w:val="es-ES_tradnl"/>
              </w:rPr>
            </w:pPr>
            <w:r w:rsidRPr="00BC028A">
              <w:rPr>
                <w:rFonts w:ascii="Verdana" w:eastAsia="Calibri" w:hAnsi="Verdana" w:cs="Arial"/>
                <w:color w:val="000000" w:themeColor="text1"/>
                <w:lang w:val="es-ES_tradnl"/>
              </w:rPr>
              <w:t>Decreto 579 de 2021, artículo 1</w:t>
            </w:r>
            <w:r w:rsidRPr="0002120A">
              <w:rPr>
                <w:rFonts w:ascii="Verdana" w:eastAsia="Calibri" w:hAnsi="Verdana" w:cs="Arial"/>
                <w:color w:val="000000" w:themeColor="text1"/>
                <w:lang w:val="es-ES_tradnl"/>
              </w:rPr>
              <w:t>.</w:t>
            </w:r>
          </w:p>
          <w:p w14:paraId="5DE96738" w14:textId="77777777" w:rsidR="002148A3" w:rsidRPr="00BC028A" w:rsidRDefault="002148A3" w:rsidP="002148A3">
            <w:pPr>
              <w:pStyle w:val="Prrafodelista"/>
              <w:numPr>
                <w:ilvl w:val="0"/>
                <w:numId w:val="10"/>
              </w:numPr>
              <w:jc w:val="both"/>
              <w:rPr>
                <w:rFonts w:ascii="Verdana" w:eastAsia="Calibri" w:hAnsi="Verdana" w:cs="Arial"/>
                <w:color w:val="000000" w:themeColor="text1"/>
                <w:lang w:val="es-ES_tradnl"/>
              </w:rPr>
            </w:pPr>
            <w:r w:rsidRPr="00BC028A">
              <w:rPr>
                <w:rFonts w:ascii="Verdana" w:eastAsia="Calibri" w:hAnsi="Verdana" w:cs="Arial"/>
                <w:color w:val="000000" w:themeColor="text1"/>
                <w:lang w:val="es-ES_tradnl"/>
              </w:rPr>
              <w:t>Decreto 399 de 2021, artículos 4,6</w:t>
            </w:r>
            <w:r w:rsidRPr="0002120A">
              <w:rPr>
                <w:rFonts w:ascii="Verdana" w:eastAsia="Calibri" w:hAnsi="Verdana" w:cs="Arial"/>
                <w:color w:val="000000" w:themeColor="text1"/>
                <w:lang w:val="es-ES_tradnl"/>
              </w:rPr>
              <w:t>.</w:t>
            </w:r>
          </w:p>
          <w:p w14:paraId="5E29C548" w14:textId="77777777" w:rsidR="002148A3" w:rsidRPr="0002120A" w:rsidRDefault="002148A3" w:rsidP="002148A3">
            <w:pPr>
              <w:pStyle w:val="Prrafodelista"/>
              <w:numPr>
                <w:ilvl w:val="0"/>
                <w:numId w:val="10"/>
              </w:numPr>
              <w:jc w:val="both"/>
              <w:rPr>
                <w:rFonts w:ascii="Verdana" w:eastAsia="Calibri" w:hAnsi="Verdana" w:cs="Arial"/>
                <w:color w:val="000000" w:themeColor="text1"/>
                <w:lang w:val="es-ES_tradnl"/>
              </w:rPr>
            </w:pPr>
            <w:r w:rsidRPr="0002120A">
              <w:rPr>
                <w:rFonts w:ascii="Verdana" w:eastAsia="Calibri" w:hAnsi="Verdana" w:cs="Arial"/>
                <w:color w:val="000000" w:themeColor="text1"/>
                <w:lang w:val="es-ES_tradnl"/>
              </w:rPr>
              <w:t>Decreto 1041 de 2022.</w:t>
            </w:r>
          </w:p>
          <w:p w14:paraId="03823141" w14:textId="77777777" w:rsidR="002148A3" w:rsidRPr="0002120A" w:rsidRDefault="002148A3" w:rsidP="002148A3">
            <w:pPr>
              <w:pStyle w:val="Prrafodelista"/>
              <w:numPr>
                <w:ilvl w:val="0"/>
                <w:numId w:val="10"/>
              </w:numPr>
              <w:jc w:val="both"/>
              <w:rPr>
                <w:rFonts w:ascii="Verdana" w:eastAsia="Calibri" w:hAnsi="Verdana" w:cs="Arial"/>
                <w:color w:val="000000" w:themeColor="text1"/>
              </w:rPr>
            </w:pPr>
            <w:r w:rsidRPr="2527C00C">
              <w:rPr>
                <w:rFonts w:ascii="Verdana" w:eastAsia="Calibri" w:hAnsi="Verdana" w:cs="Arial"/>
                <w:color w:val="000000" w:themeColor="text1"/>
              </w:rPr>
              <w:lastRenderedPageBreak/>
              <w:t>Consejo de Estado. Sección Cuarta. Sentencia del 19 de noviembre de 1999. Exp. 9.453. CP. Daniel Manrique Guzmán.</w:t>
            </w:r>
          </w:p>
          <w:p w14:paraId="34A832C7" w14:textId="77777777" w:rsidR="002148A3" w:rsidRPr="0002120A" w:rsidRDefault="002148A3" w:rsidP="002148A3">
            <w:pPr>
              <w:pStyle w:val="Prrafodelista"/>
              <w:numPr>
                <w:ilvl w:val="0"/>
                <w:numId w:val="10"/>
              </w:numPr>
              <w:jc w:val="both"/>
              <w:rPr>
                <w:rFonts w:ascii="Verdana" w:eastAsia="Calibri" w:hAnsi="Verdana" w:cs="Arial"/>
                <w:color w:val="000000" w:themeColor="text1"/>
              </w:rPr>
            </w:pPr>
            <w:r w:rsidRPr="2527C00C">
              <w:rPr>
                <w:rFonts w:ascii="Verdana" w:eastAsia="Calibri" w:hAnsi="Verdana" w:cs="Arial"/>
                <w:color w:val="000000" w:themeColor="text1"/>
              </w:rPr>
              <w:t>Consejo de Estado. Sección Tercera. Subsección A. Sentencia del 19 de septiembre de 2019. Exp. 59.432. C.P. Marta Nubia Velásquez Rico.</w:t>
            </w:r>
          </w:p>
          <w:p w14:paraId="33B0BD8E" w14:textId="77777777" w:rsidR="002148A3" w:rsidRPr="00BC028A" w:rsidRDefault="002148A3" w:rsidP="002148A3">
            <w:pPr>
              <w:pStyle w:val="Prrafodelista"/>
              <w:widowControl w:val="0"/>
              <w:numPr>
                <w:ilvl w:val="0"/>
                <w:numId w:val="8"/>
              </w:numPr>
              <w:autoSpaceDE w:val="0"/>
              <w:autoSpaceDN w:val="0"/>
              <w:spacing w:before="120" w:after="120" w:line="276" w:lineRule="auto"/>
              <w:contextualSpacing w:val="0"/>
              <w:jc w:val="both"/>
              <w:rPr>
                <w:rFonts w:ascii="Verdana" w:hAnsi="Verdana" w:cs="Arial"/>
              </w:rPr>
            </w:pPr>
            <w:r w:rsidRPr="00BC028A">
              <w:rPr>
                <w:rFonts w:ascii="Verdana" w:hAnsi="Verdana" w:cs="Arial"/>
              </w:rPr>
              <w:t xml:space="preserve">Jurisprudencia del Consejo de Estado. Disponible en: </w:t>
            </w:r>
            <w:hyperlink r:id="rId13" w:history="1">
              <w:r w:rsidRPr="0002120A">
                <w:rPr>
                  <w:rStyle w:val="Hipervnculo"/>
                  <w:rFonts w:ascii="Verdana" w:hAnsi="Verdana" w:cs="Arial"/>
                  <w:color w:val="4472C4" w:themeColor="accent1"/>
                </w:rPr>
                <w:t>https://relatoria.colombiacompra.gov.co/providencias-consejo-de-estado/</w:t>
              </w:r>
            </w:hyperlink>
            <w:r w:rsidRPr="0002120A">
              <w:rPr>
                <w:rFonts w:ascii="Verdana" w:hAnsi="Verdana" w:cs="Arial"/>
                <w:color w:val="4472C4" w:themeColor="accent1"/>
              </w:rPr>
              <w:t xml:space="preserve"> </w:t>
            </w:r>
          </w:p>
          <w:p w14:paraId="1E64D272" w14:textId="77777777" w:rsidR="002148A3" w:rsidRPr="00BC028A" w:rsidRDefault="002148A3" w:rsidP="002148A3">
            <w:pPr>
              <w:pStyle w:val="Prrafodelista"/>
              <w:widowControl w:val="0"/>
              <w:numPr>
                <w:ilvl w:val="0"/>
                <w:numId w:val="8"/>
              </w:numPr>
              <w:autoSpaceDE w:val="0"/>
              <w:autoSpaceDN w:val="0"/>
              <w:spacing w:before="120" w:after="120" w:line="276" w:lineRule="auto"/>
              <w:contextualSpacing w:val="0"/>
              <w:jc w:val="both"/>
              <w:rPr>
                <w:rFonts w:ascii="Verdana" w:hAnsi="Verdana" w:cs="Arial"/>
              </w:rPr>
            </w:pPr>
            <w:r w:rsidRPr="00BC028A">
              <w:rPr>
                <w:rFonts w:ascii="Verdana" w:hAnsi="Verdana" w:cs="Arial"/>
              </w:rPr>
              <w:t>Guías y manuales expedidos por la ANCP-CCE. Disponible en:</w:t>
            </w:r>
            <w:r w:rsidRPr="00BC028A">
              <w:rPr>
                <w:rFonts w:ascii="Verdana" w:hAnsi="Verdana"/>
              </w:rPr>
              <w:t xml:space="preserve"> </w:t>
            </w:r>
            <w:hyperlink r:id="rId14" w:history="1">
              <w:r w:rsidRPr="0002120A">
                <w:rPr>
                  <w:rStyle w:val="Hipervnculo"/>
                  <w:rFonts w:ascii="Verdana" w:hAnsi="Verdana" w:cs="Arial"/>
                  <w:color w:val="4472C4" w:themeColor="accent1"/>
                </w:rPr>
                <w:t>https://www.colombiacompra.gov.co/manuales-guias-y-pliegos-tipo/manuales-y-guias</w:t>
              </w:r>
            </w:hyperlink>
            <w:r w:rsidRPr="0002120A">
              <w:rPr>
                <w:rFonts w:ascii="Verdana" w:hAnsi="Verdana" w:cs="Arial"/>
                <w:color w:val="4472C4" w:themeColor="accent1"/>
              </w:rPr>
              <w:t xml:space="preserve"> </w:t>
            </w:r>
          </w:p>
        </w:tc>
      </w:tr>
    </w:tbl>
    <w:p w14:paraId="5C2B37C1" w14:textId="77777777" w:rsidR="002148A3" w:rsidRPr="00BC028A" w:rsidRDefault="002148A3" w:rsidP="002148A3">
      <w:pPr>
        <w:widowControl w:val="0"/>
        <w:autoSpaceDE w:val="0"/>
        <w:autoSpaceDN w:val="0"/>
        <w:spacing w:after="0" w:line="276" w:lineRule="auto"/>
        <w:jc w:val="both"/>
        <w:rPr>
          <w:rFonts w:ascii="Verdana" w:hAnsi="Verdana" w:cs="Arial"/>
        </w:rPr>
      </w:pPr>
    </w:p>
    <w:p w14:paraId="0106DD6E" w14:textId="77777777" w:rsidR="002148A3" w:rsidRPr="00BC028A" w:rsidRDefault="002148A3" w:rsidP="002148A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C028A">
        <w:rPr>
          <w:rFonts w:ascii="Verdana" w:eastAsia="Century Gothic" w:hAnsi="Verdana" w:cs="Century Gothic"/>
          <w:b/>
          <w:bCs/>
        </w:rPr>
        <w:t>Doctrina de la Agencia Nacional de Contratación Pública:</w:t>
      </w:r>
    </w:p>
    <w:p w14:paraId="7F69712A" w14:textId="77777777" w:rsidR="002148A3" w:rsidRPr="00BC028A" w:rsidRDefault="002148A3" w:rsidP="002148A3">
      <w:pPr>
        <w:widowControl w:val="0"/>
        <w:autoSpaceDE w:val="0"/>
        <w:autoSpaceDN w:val="0"/>
        <w:spacing w:after="0" w:line="276" w:lineRule="auto"/>
        <w:jc w:val="both"/>
        <w:rPr>
          <w:rFonts w:ascii="Verdana" w:hAnsi="Verdana" w:cs="Arial"/>
        </w:rPr>
      </w:pPr>
    </w:p>
    <w:p w14:paraId="0B275EE9" w14:textId="77777777" w:rsidR="002148A3" w:rsidRPr="0002120A" w:rsidRDefault="002148A3" w:rsidP="002148A3">
      <w:pPr>
        <w:spacing w:before="120" w:after="0" w:line="276" w:lineRule="auto"/>
        <w:contextualSpacing/>
        <w:jc w:val="both"/>
        <w:rPr>
          <w:rStyle w:val="normaltextrun"/>
          <w:rFonts w:ascii="Verdana" w:eastAsia="Century Gothic" w:hAnsi="Verdana" w:cs="Century Gothic"/>
          <w:color w:val="4472C4" w:themeColor="accent1"/>
          <w:lang w:val="es"/>
        </w:rPr>
      </w:pPr>
      <w:r w:rsidRPr="0002120A">
        <w:rPr>
          <w:rFonts w:ascii="Verdana" w:eastAsia="Century Gothic" w:hAnsi="Verdana" w:cs="Century Gothic"/>
          <w:color w:val="000000" w:themeColor="text1"/>
          <w:lang w:val="es"/>
        </w:rPr>
        <w:t xml:space="preserve">Respecto de la reglamentación establecida en los Decretos 399 y 579 de 2021 y 1041 de 2022 la subdirección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22 de marzo de 2023, C-185 de 8 de junio de 2023, C-277 de 14 de julio de 2023, C-350 del 28 de agosto de 2023 y C-355 del 30 de agosto de 2023, C-006 del 14 de marzo de 2024. </w:t>
      </w:r>
      <w:r w:rsidRPr="00BC028A">
        <w:rPr>
          <w:rStyle w:val="normaltextrun"/>
          <w:rFonts w:ascii="Verdana" w:hAnsi="Verdana" w:cs="Arial"/>
          <w:shd w:val="clear" w:color="auto" w:fill="FFFFFF"/>
          <w:lang w:val="es-ES"/>
        </w:rPr>
        <w:t>Es</w:t>
      </w:r>
      <w:r w:rsidRPr="00BC028A">
        <w:rPr>
          <w:rFonts w:ascii="Verdana" w:hAnsi="Verdana"/>
        </w:rPr>
        <w:t>tos y otros conceptos se encuentran disponibles para consulta en el Sistema de relatoría de la Agencia, al cual se puede acceder a través del siguiente enlace:</w:t>
      </w:r>
      <w:r w:rsidRPr="00BC028A">
        <w:rPr>
          <w:rStyle w:val="normaltextrun"/>
          <w:rFonts w:ascii="Verdana" w:hAnsi="Verdana" w:cs="Arial"/>
          <w:shd w:val="clear" w:color="auto" w:fill="FFFFFF"/>
          <w:lang w:val="es-ES"/>
        </w:rPr>
        <w:t xml:space="preserve"> </w:t>
      </w:r>
      <w:hyperlink r:id="rId15" w:history="1">
        <w:r w:rsidRPr="0002120A">
          <w:rPr>
            <w:rStyle w:val="Hipervnculo"/>
            <w:rFonts w:ascii="Verdana" w:hAnsi="Verdana" w:cs="Arial"/>
            <w:color w:val="4472C4" w:themeColor="accent1"/>
            <w:shd w:val="clear" w:color="auto" w:fill="FFFFFF"/>
            <w:lang w:val="es-ES"/>
          </w:rPr>
          <w:t>https://relatoria.colombiacompra.gov.co/busqueda/conceptos</w:t>
        </w:r>
      </w:hyperlink>
      <w:r w:rsidRPr="0002120A">
        <w:rPr>
          <w:rStyle w:val="normaltextrun"/>
          <w:rFonts w:ascii="Verdana" w:hAnsi="Verdana" w:cs="Arial"/>
          <w:color w:val="4472C4" w:themeColor="accent1"/>
          <w:shd w:val="clear" w:color="auto" w:fill="FFFFFF"/>
          <w:lang w:val="es-ES"/>
        </w:rPr>
        <w:t xml:space="preserve">. </w:t>
      </w:r>
    </w:p>
    <w:p w14:paraId="0070B909" w14:textId="77777777" w:rsidR="002148A3" w:rsidRPr="00BC028A" w:rsidRDefault="002148A3" w:rsidP="002148A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F773E12" w14:textId="77777777" w:rsidR="002148A3" w:rsidRDefault="002148A3" w:rsidP="002148A3">
      <w:pPr>
        <w:widowControl w:val="0"/>
        <w:autoSpaceDE w:val="0"/>
        <w:autoSpaceDN w:val="0"/>
        <w:spacing w:after="0" w:line="276" w:lineRule="auto"/>
        <w:jc w:val="both"/>
        <w:rPr>
          <w:rStyle w:val="Hipervnculo"/>
          <w:rFonts w:ascii="Verdana" w:hAnsi="Verdana" w:cs="Arial"/>
          <w:shd w:val="clear" w:color="auto" w:fill="FFFFFF"/>
        </w:rPr>
      </w:pPr>
      <w:r w:rsidRPr="00BC028A">
        <w:rPr>
          <w:rStyle w:val="normaltextrun"/>
          <w:rFonts w:ascii="Verdana" w:hAnsi="Verdana" w:cs="Arial"/>
          <w:color w:val="000000" w:themeColor="text1"/>
          <w:shd w:val="clear" w:color="auto" w:fill="FFFFFF"/>
          <w:lang w:val="es-ES"/>
        </w:rPr>
        <w:t xml:space="preserve">También </w:t>
      </w:r>
      <w:r w:rsidRPr="00BC028A">
        <w:rPr>
          <w:rFonts w:ascii="Verdana" w:hAnsi="Verdana" w:cs="Arial"/>
          <w:color w:val="000000" w:themeColor="text1"/>
          <w:shd w:val="clear" w:color="auto" w:fill="FFFFFF"/>
        </w:rPr>
        <w:t>le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w:t>
      </w:r>
      <w:r w:rsidRPr="0002120A">
        <w:rPr>
          <w:rFonts w:ascii="Verdana" w:hAnsi="Verdana" w:cs="Arial"/>
          <w:color w:val="4472C4" w:themeColor="accent1"/>
          <w:shd w:val="clear" w:color="auto" w:fill="FFFFFF"/>
        </w:rPr>
        <w:t> </w:t>
      </w:r>
      <w:hyperlink r:id="rId16" w:tgtFrame="_blank" w:tooltip="Dirección URL original: https://www.colombiacompra.gov.co/sala-de-prensa/boletin-digital/boletin-de-relatoria-2024-iv. Haga clic o pulse si confía en este vínculo." w:history="1">
        <w:r w:rsidRPr="0002120A">
          <w:rPr>
            <w:rStyle w:val="Hipervnculo"/>
            <w:rFonts w:ascii="Verdana" w:hAnsi="Verdana" w:cs="Arial"/>
            <w:color w:val="4472C4" w:themeColor="accent1"/>
            <w:shd w:val="clear" w:color="auto" w:fill="FFFFFF"/>
          </w:rPr>
          <w:t>BOLETÍN DE RELATORÍA 2024 – IV | Colombia Compra Eficiente | Agencia Nacional de Contratación Pública</w:t>
        </w:r>
      </w:hyperlink>
    </w:p>
    <w:p w14:paraId="1C953466" w14:textId="77777777" w:rsidR="002148A3" w:rsidRPr="00E22EE2" w:rsidRDefault="002148A3" w:rsidP="002148A3">
      <w:pPr>
        <w:widowControl w:val="0"/>
        <w:autoSpaceDE w:val="0"/>
        <w:autoSpaceDN w:val="0"/>
        <w:spacing w:after="0" w:line="276" w:lineRule="auto"/>
        <w:jc w:val="both"/>
        <w:rPr>
          <w:rStyle w:val="normaltextrun"/>
          <w:rFonts w:ascii="Verdana" w:hAnsi="Verdana" w:cs="Arial"/>
          <w:color w:val="0000FF"/>
          <w:u w:val="single"/>
          <w:shd w:val="clear" w:color="auto" w:fill="FFFFFF"/>
        </w:rPr>
      </w:pPr>
    </w:p>
    <w:p w14:paraId="2307F5D0" w14:textId="77777777" w:rsidR="002148A3" w:rsidRPr="005A02F8" w:rsidRDefault="002148A3" w:rsidP="002148A3">
      <w:pPr>
        <w:spacing w:after="0" w:line="240" w:lineRule="auto"/>
        <w:jc w:val="both"/>
        <w:rPr>
          <w:rFonts w:ascii="Verdana" w:hAnsi="Verdana"/>
        </w:rPr>
      </w:pPr>
      <w:r w:rsidRPr="00BC028A">
        <w:rPr>
          <w:rFonts w:ascii="Verdana" w:hAnsi="Verdana"/>
        </w:rPr>
        <w:lastRenderedPageBreak/>
        <w:t xml:space="preserve">Por último, lo invitamos a seguirnos en las redes sociales en las cuales se difunde información institucional: </w:t>
      </w:r>
    </w:p>
    <w:p w14:paraId="036DEE5B" w14:textId="77777777" w:rsidR="002148A3" w:rsidRPr="005A02F8" w:rsidRDefault="002148A3" w:rsidP="002148A3">
      <w:pPr>
        <w:spacing w:after="0" w:line="240" w:lineRule="auto"/>
        <w:jc w:val="both"/>
        <w:rPr>
          <w:rFonts w:ascii="Verdana" w:hAnsi="Verdana"/>
        </w:rPr>
      </w:pPr>
      <w:r w:rsidRPr="005A02F8">
        <w:rPr>
          <w:rFonts w:ascii="Verdana" w:hAnsi="Verdana"/>
        </w:rPr>
        <w:t xml:space="preserve">Twitter: </w:t>
      </w:r>
      <w:r w:rsidRPr="005A02F8">
        <w:rPr>
          <w:rStyle w:val="Hipervnculo"/>
          <w:rFonts w:ascii="Verdana" w:hAnsi="Verdana"/>
          <w:color w:val="4472C4" w:themeColor="accent1"/>
        </w:rPr>
        <w:t>@colombiacompra</w:t>
      </w:r>
      <w:r w:rsidRPr="005A02F8">
        <w:rPr>
          <w:rFonts w:ascii="Verdana" w:hAnsi="Verdana"/>
          <w:color w:val="4472C4" w:themeColor="accent1"/>
        </w:rPr>
        <w:t xml:space="preserve"> </w:t>
      </w:r>
    </w:p>
    <w:p w14:paraId="2B5DB89B" w14:textId="77777777" w:rsidR="002148A3" w:rsidRPr="005A02F8" w:rsidRDefault="002148A3" w:rsidP="002148A3">
      <w:pPr>
        <w:spacing w:after="0" w:line="240" w:lineRule="auto"/>
        <w:jc w:val="both"/>
        <w:rPr>
          <w:rFonts w:ascii="Verdana" w:hAnsi="Verdana"/>
        </w:rPr>
      </w:pPr>
      <w:r w:rsidRPr="005A02F8">
        <w:rPr>
          <w:rFonts w:ascii="Verdana" w:hAnsi="Verdana"/>
        </w:rPr>
        <w:t xml:space="preserve">Facebook: </w:t>
      </w:r>
      <w:r w:rsidRPr="005A02F8">
        <w:rPr>
          <w:rStyle w:val="Hipervnculo"/>
          <w:rFonts w:ascii="Verdana" w:hAnsi="Verdana"/>
          <w:color w:val="4472C4" w:themeColor="accent1"/>
        </w:rPr>
        <w:t>ColombiaCompraEficiente</w:t>
      </w:r>
    </w:p>
    <w:p w14:paraId="457FD7D8" w14:textId="77777777" w:rsidR="002148A3" w:rsidRPr="005A02F8" w:rsidRDefault="002148A3" w:rsidP="002148A3">
      <w:pPr>
        <w:spacing w:after="0" w:line="240" w:lineRule="auto"/>
        <w:jc w:val="both"/>
        <w:rPr>
          <w:rFonts w:ascii="Verdana" w:hAnsi="Verdana"/>
        </w:rPr>
      </w:pPr>
      <w:r w:rsidRPr="005A02F8">
        <w:rPr>
          <w:rFonts w:ascii="Verdana" w:hAnsi="Verdana"/>
        </w:rPr>
        <w:t xml:space="preserve">LinkedIn: </w:t>
      </w:r>
      <w:r w:rsidRPr="005A02F8">
        <w:rPr>
          <w:rStyle w:val="Hipervnculo"/>
          <w:rFonts w:ascii="Verdana" w:hAnsi="Verdana"/>
          <w:color w:val="4472C4" w:themeColor="accent1"/>
        </w:rPr>
        <w:t>Agencia Nacional de Contratación Pública - Colombia Compra Eficiente</w:t>
      </w:r>
      <w:r w:rsidRPr="005A02F8">
        <w:rPr>
          <w:rFonts w:ascii="Verdana" w:hAnsi="Verdana"/>
          <w:color w:val="4472C4" w:themeColor="accent1"/>
        </w:rPr>
        <w:t xml:space="preserve"> </w:t>
      </w:r>
      <w:r w:rsidRPr="005A02F8">
        <w:rPr>
          <w:rFonts w:ascii="Verdana" w:hAnsi="Verdana"/>
        </w:rPr>
        <w:t xml:space="preserve">Instagram: </w:t>
      </w:r>
      <w:r w:rsidRPr="005A02F8">
        <w:rPr>
          <w:rStyle w:val="Hipervnculo"/>
          <w:rFonts w:ascii="Verdana" w:hAnsi="Verdana"/>
          <w:color w:val="4472C4" w:themeColor="accent1"/>
        </w:rPr>
        <w:t>@colombiacompraeficiente_cce</w:t>
      </w:r>
    </w:p>
    <w:p w14:paraId="54884286" w14:textId="77777777" w:rsidR="002148A3" w:rsidRPr="005A02F8" w:rsidRDefault="002148A3" w:rsidP="002148A3">
      <w:pPr>
        <w:widowControl w:val="0"/>
        <w:autoSpaceDE w:val="0"/>
        <w:autoSpaceDN w:val="0"/>
        <w:spacing w:after="0" w:line="276" w:lineRule="auto"/>
        <w:jc w:val="both"/>
        <w:rPr>
          <w:rFonts w:ascii="Verdana" w:hAnsi="Verdana" w:cs="Arial"/>
        </w:rPr>
      </w:pPr>
    </w:p>
    <w:p w14:paraId="0A6CEC58" w14:textId="77777777" w:rsidR="002148A3" w:rsidRPr="005A02F8" w:rsidRDefault="002148A3" w:rsidP="002148A3">
      <w:pPr>
        <w:widowControl w:val="0"/>
        <w:autoSpaceDE w:val="0"/>
        <w:autoSpaceDN w:val="0"/>
        <w:spacing w:after="0" w:line="276" w:lineRule="auto"/>
        <w:jc w:val="both"/>
        <w:rPr>
          <w:rFonts w:ascii="Verdana" w:hAnsi="Verdana" w:cs="Arial"/>
          <w:lang w:val="es-ES_tradnl"/>
        </w:rPr>
      </w:pPr>
      <w:r w:rsidRPr="005A02F8">
        <w:rPr>
          <w:rFonts w:ascii="Verdana" w:hAnsi="Verdana" w:cs="Arial"/>
        </w:rPr>
        <w:t xml:space="preserve">Este concepto tiene el alcance previsto en el artículo 28 del Código de Procedimiento Administrativo y de lo Contencioso Administrativo </w:t>
      </w:r>
      <w:r w:rsidRPr="005A02F8">
        <w:rPr>
          <w:rFonts w:ascii="Verdana" w:hAnsi="Verdana" w:cs="Arial"/>
          <w:lang w:val="es-ES_tradnl"/>
        </w:rPr>
        <w:t>y las expresiones aquí utilizadas con mayúscula inicial deben ser entendidas con el significado que les otorga el artículo 2.2.1.1.1.3.1. del Decreto 1082 de 2015.</w:t>
      </w:r>
    </w:p>
    <w:p w14:paraId="0FB3A165" w14:textId="6E042B4A" w:rsidR="002148A3" w:rsidRPr="005A02F8" w:rsidRDefault="002148A3" w:rsidP="002148A3">
      <w:pPr>
        <w:widowControl w:val="0"/>
        <w:autoSpaceDE w:val="0"/>
        <w:autoSpaceDN w:val="0"/>
        <w:spacing w:after="0" w:line="276" w:lineRule="auto"/>
        <w:jc w:val="both"/>
        <w:rPr>
          <w:rFonts w:ascii="Verdana" w:hAnsi="Verdana" w:cs="Arial"/>
        </w:rPr>
      </w:pPr>
    </w:p>
    <w:p w14:paraId="794366B8" w14:textId="636E7300" w:rsidR="002148A3" w:rsidRDefault="00F524E5" w:rsidP="002148A3">
      <w:pPr>
        <w:spacing w:after="0" w:line="240" w:lineRule="auto"/>
        <w:jc w:val="both"/>
        <w:rPr>
          <w:rFonts w:ascii="Verdana" w:eastAsia="Times New Roman" w:hAnsi="Verdana" w:cs="Arial"/>
          <w:lang w:eastAsia="es-CO"/>
        </w:rPr>
      </w:pPr>
      <w:r w:rsidRPr="00F524E5">
        <w:rPr>
          <w:rFonts w:ascii="Verdana" w:hAnsi="Verdana" w:cs="Arial"/>
          <w:lang w:val="es-MX" w:eastAsia="es-CO"/>
        </w:rPr>
        <w:drawing>
          <wp:anchor distT="0" distB="0" distL="114300" distR="114300" simplePos="0" relativeHeight="251661312" behindDoc="1" locked="0" layoutInCell="1" allowOverlap="1" wp14:anchorId="7E64C41C" wp14:editId="4F6BB366">
            <wp:simplePos x="0" y="0"/>
            <wp:positionH relativeFrom="column">
              <wp:posOffset>1122321</wp:posOffset>
            </wp:positionH>
            <wp:positionV relativeFrom="paragraph">
              <wp:posOffset>312034</wp:posOffset>
            </wp:positionV>
            <wp:extent cx="3771900" cy="1400175"/>
            <wp:effectExtent l="0" t="0" r="0" b="9525"/>
            <wp:wrapTopAndBottom/>
            <wp:docPr id="13209867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86704" name="Imagen 2"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anchor>
        </w:drawing>
      </w:r>
      <w:r w:rsidR="002148A3" w:rsidRPr="005A02F8">
        <w:rPr>
          <w:rFonts w:ascii="Verdana" w:eastAsia="Times New Roman" w:hAnsi="Verdana" w:cs="Arial"/>
          <w:lang w:eastAsia="es-CO"/>
        </w:rPr>
        <w:t>Atentamente,</w:t>
      </w:r>
    </w:p>
    <w:p w14:paraId="7AC45909" w14:textId="14142224" w:rsidR="00F524E5" w:rsidRPr="00F524E5" w:rsidRDefault="002148A3" w:rsidP="00F524E5">
      <w:pPr>
        <w:spacing w:after="0" w:line="240" w:lineRule="auto"/>
        <w:jc w:val="both"/>
        <w:rPr>
          <w:rFonts w:ascii="Verdana" w:hAnsi="Verdana" w:cs="Arial"/>
          <w:lang w:val="es-MX" w:eastAsia="es-CO"/>
        </w:rPr>
      </w:pPr>
      <w:r w:rsidRPr="005A02F8">
        <w:rPr>
          <w:rFonts w:ascii="Verdana" w:hAnsi="Verdana" w:cs="Arial"/>
          <w:lang w:eastAsia="es-CO"/>
        </w:rPr>
        <w:t xml:space="preserve"> </w:t>
      </w:r>
    </w:p>
    <w:p w14:paraId="29C8A88A" w14:textId="599899A4" w:rsidR="002148A3" w:rsidRPr="0002120A" w:rsidRDefault="002148A3" w:rsidP="002148A3">
      <w:pPr>
        <w:spacing w:after="0" w:line="240" w:lineRule="auto"/>
        <w:jc w:val="both"/>
        <w:rPr>
          <w:rFonts w:ascii="Verdana" w:hAnsi="Verdana" w:cs="Arial"/>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148A3" w:rsidRPr="005A02F8" w14:paraId="578C0E99" w14:textId="77777777" w:rsidTr="00EF5DAF">
        <w:trPr>
          <w:trHeight w:val="315"/>
        </w:trPr>
        <w:tc>
          <w:tcPr>
            <w:tcW w:w="893" w:type="dxa"/>
            <w:vAlign w:val="center"/>
            <w:hideMark/>
          </w:tcPr>
          <w:p w14:paraId="11F68E2D" w14:textId="77777777" w:rsidR="002148A3" w:rsidRPr="005A02F8" w:rsidRDefault="002148A3" w:rsidP="00EF5DAF">
            <w:pPr>
              <w:contextualSpacing/>
              <w:jc w:val="both"/>
              <w:rPr>
                <w:rFonts w:ascii="Verdana" w:hAnsi="Verdana" w:cs="Arial"/>
                <w:sz w:val="16"/>
                <w:szCs w:val="16"/>
                <w:lang w:val="es-ES" w:eastAsia="es-ES"/>
              </w:rPr>
            </w:pPr>
            <w:r w:rsidRPr="005A02F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AB9183C" w14:textId="77777777" w:rsidR="002148A3" w:rsidRPr="005A02F8" w:rsidRDefault="002148A3" w:rsidP="00EF5DAF">
            <w:pPr>
              <w:contextualSpacing/>
              <w:jc w:val="both"/>
              <w:rPr>
                <w:rStyle w:val="normaltextrun"/>
                <w:rFonts w:ascii="Verdana" w:hAnsi="Verdana"/>
                <w:sz w:val="16"/>
                <w:szCs w:val="16"/>
              </w:rPr>
            </w:pPr>
            <w:r w:rsidRPr="005A02F8">
              <w:rPr>
                <w:rStyle w:val="normaltextrun"/>
                <w:rFonts w:ascii="Verdana" w:hAnsi="Verdana"/>
                <w:sz w:val="16"/>
                <w:szCs w:val="16"/>
              </w:rPr>
              <w:t>Gloria Ximena Moreno Guio</w:t>
            </w:r>
          </w:p>
          <w:p w14:paraId="69E37F00" w14:textId="77777777" w:rsidR="002148A3" w:rsidRPr="005A02F8" w:rsidRDefault="002148A3" w:rsidP="00EF5DAF">
            <w:pPr>
              <w:contextualSpacing/>
              <w:jc w:val="both"/>
              <w:rPr>
                <w:rFonts w:ascii="Verdana" w:eastAsia="Arial" w:hAnsi="Verdana" w:cs="Arial"/>
                <w:sz w:val="16"/>
                <w:szCs w:val="16"/>
              </w:rPr>
            </w:pPr>
            <w:r w:rsidRPr="005A02F8">
              <w:rPr>
                <w:rStyle w:val="normaltextrun"/>
                <w:rFonts w:ascii="Verdana" w:hAnsi="Verdana"/>
                <w:sz w:val="16"/>
                <w:szCs w:val="16"/>
              </w:rPr>
              <w:t xml:space="preserve">Contratista </w:t>
            </w:r>
            <w:r w:rsidRPr="005A02F8">
              <w:rPr>
                <w:rStyle w:val="normaltextrun"/>
                <w:rFonts w:ascii="Verdana" w:eastAsia="Arial" w:hAnsi="Verdana" w:cs="Arial"/>
                <w:sz w:val="16"/>
                <w:szCs w:val="16"/>
              </w:rPr>
              <w:t>de la Subdirección de Gestión Contractual</w:t>
            </w:r>
          </w:p>
        </w:tc>
      </w:tr>
      <w:tr w:rsidR="002148A3" w:rsidRPr="005A02F8" w14:paraId="3D9F9DAD" w14:textId="77777777" w:rsidTr="00EF5DAF">
        <w:trPr>
          <w:trHeight w:val="330"/>
        </w:trPr>
        <w:tc>
          <w:tcPr>
            <w:tcW w:w="893" w:type="dxa"/>
            <w:vAlign w:val="center"/>
            <w:hideMark/>
          </w:tcPr>
          <w:p w14:paraId="3318D721" w14:textId="77777777" w:rsidR="002148A3" w:rsidRPr="005A02F8" w:rsidRDefault="002148A3" w:rsidP="00EF5DAF">
            <w:pPr>
              <w:contextualSpacing/>
              <w:jc w:val="both"/>
              <w:rPr>
                <w:rFonts w:ascii="Verdana" w:hAnsi="Verdana" w:cs="Arial"/>
                <w:sz w:val="16"/>
                <w:szCs w:val="16"/>
                <w:lang w:val="es-ES" w:eastAsia="es-ES"/>
              </w:rPr>
            </w:pPr>
            <w:r w:rsidRPr="005A02F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B01D4C5" w14:textId="77777777" w:rsidR="002148A3" w:rsidRPr="005A02F8" w:rsidRDefault="002148A3" w:rsidP="00EF5DAF">
            <w:pPr>
              <w:pStyle w:val="paragraph"/>
              <w:spacing w:after="0"/>
              <w:contextualSpacing/>
              <w:jc w:val="both"/>
              <w:textAlignment w:val="baseline"/>
              <w:rPr>
                <w:rStyle w:val="normaltextrun"/>
                <w:rFonts w:ascii="Verdana" w:hAnsi="Verdana" w:cs="Arial"/>
                <w:sz w:val="16"/>
                <w:szCs w:val="16"/>
                <w:lang w:val="es-ES"/>
              </w:rPr>
            </w:pPr>
            <w:r w:rsidRPr="005A02F8">
              <w:rPr>
                <w:rStyle w:val="normaltextrun"/>
                <w:rFonts w:ascii="Verdana" w:hAnsi="Verdana" w:cs="Arial"/>
                <w:sz w:val="16"/>
                <w:szCs w:val="16"/>
                <w:lang w:val="es-ES"/>
              </w:rPr>
              <w:t>A</w:t>
            </w:r>
            <w:r w:rsidRPr="005A02F8">
              <w:rPr>
                <w:rStyle w:val="normaltextrun"/>
                <w:rFonts w:ascii="Verdana" w:hAnsi="Verdana"/>
                <w:sz w:val="16"/>
                <w:szCs w:val="16"/>
                <w:lang w:val="es-ES"/>
              </w:rPr>
              <w:t>driana Katerine López Rodríguez</w:t>
            </w:r>
          </w:p>
          <w:p w14:paraId="704C63DA" w14:textId="77777777" w:rsidR="002148A3" w:rsidRPr="005A02F8" w:rsidRDefault="002148A3" w:rsidP="00EF5DAF">
            <w:pPr>
              <w:pStyle w:val="paragraph"/>
              <w:spacing w:before="0" w:beforeAutospacing="0" w:after="0" w:afterAutospacing="0"/>
              <w:contextualSpacing/>
              <w:jc w:val="both"/>
              <w:textAlignment w:val="baseline"/>
              <w:rPr>
                <w:rFonts w:ascii="Verdana" w:hAnsi="Verdana" w:cs="Segoe UI"/>
                <w:sz w:val="16"/>
                <w:szCs w:val="16"/>
              </w:rPr>
            </w:pPr>
            <w:r w:rsidRPr="005A02F8">
              <w:rPr>
                <w:rStyle w:val="normaltextrun"/>
                <w:rFonts w:ascii="Verdana" w:hAnsi="Verdana" w:cs="Arial"/>
                <w:sz w:val="16"/>
                <w:szCs w:val="16"/>
                <w:lang w:val="es-ES"/>
              </w:rPr>
              <w:t>Contratista de la Subdirección de Gestión Contractual</w:t>
            </w:r>
          </w:p>
        </w:tc>
      </w:tr>
      <w:tr w:rsidR="002148A3" w:rsidRPr="005A02F8" w14:paraId="1829EDBA" w14:textId="77777777" w:rsidTr="00EF5DAF">
        <w:trPr>
          <w:trHeight w:val="300"/>
        </w:trPr>
        <w:tc>
          <w:tcPr>
            <w:tcW w:w="893" w:type="dxa"/>
            <w:vAlign w:val="center"/>
          </w:tcPr>
          <w:p w14:paraId="2F70DCE0" w14:textId="77777777" w:rsidR="002148A3" w:rsidRPr="005A02F8" w:rsidRDefault="002148A3" w:rsidP="00EF5DAF">
            <w:pPr>
              <w:contextualSpacing/>
              <w:jc w:val="both"/>
              <w:rPr>
                <w:rFonts w:ascii="Verdana" w:hAnsi="Verdana" w:cs="Arial"/>
                <w:sz w:val="16"/>
                <w:szCs w:val="16"/>
                <w:lang w:val="es-ES" w:eastAsia="es-ES"/>
              </w:rPr>
            </w:pPr>
            <w:r w:rsidRPr="005A02F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7D64DDA" w14:textId="77777777" w:rsidR="002148A3" w:rsidRPr="005A02F8" w:rsidRDefault="002148A3" w:rsidP="00EF5DAF">
            <w:pPr>
              <w:contextualSpacing/>
              <w:jc w:val="both"/>
              <w:rPr>
                <w:rFonts w:ascii="Verdana" w:eastAsia="Calibri" w:hAnsi="Verdana" w:cs="Arial"/>
                <w:sz w:val="16"/>
                <w:szCs w:val="16"/>
                <w:lang w:val="pt-BR" w:eastAsia="es-ES"/>
              </w:rPr>
            </w:pPr>
            <w:r w:rsidRPr="005A02F8">
              <w:rPr>
                <w:rFonts w:ascii="Verdana" w:eastAsia="Calibri" w:hAnsi="Verdana" w:cs="Arial"/>
                <w:sz w:val="16"/>
                <w:szCs w:val="16"/>
                <w:lang w:val="pt-BR" w:eastAsia="es-ES"/>
              </w:rPr>
              <w:t>Carolina Quintero Gacharná</w:t>
            </w:r>
          </w:p>
          <w:p w14:paraId="13755AD2" w14:textId="77777777" w:rsidR="002148A3" w:rsidRPr="005A02F8" w:rsidRDefault="002148A3" w:rsidP="00EF5DAF">
            <w:pPr>
              <w:contextualSpacing/>
              <w:jc w:val="both"/>
              <w:rPr>
                <w:rFonts w:ascii="Verdana" w:eastAsia="Calibri" w:hAnsi="Verdana" w:cs="Arial"/>
                <w:sz w:val="16"/>
                <w:szCs w:val="16"/>
                <w:lang w:val="pt-BR" w:eastAsia="es-ES"/>
              </w:rPr>
            </w:pPr>
            <w:r w:rsidRPr="005A02F8">
              <w:rPr>
                <w:rFonts w:ascii="Verdana" w:eastAsia="Calibri" w:hAnsi="Verdana" w:cs="Arial"/>
                <w:sz w:val="16"/>
                <w:szCs w:val="16"/>
                <w:lang w:eastAsia="es-ES"/>
              </w:rPr>
              <w:t>Subdirectora</w:t>
            </w:r>
            <w:r w:rsidRPr="005A02F8">
              <w:rPr>
                <w:rFonts w:ascii="Verdana" w:eastAsia="Calibri" w:hAnsi="Verdana" w:cs="Arial"/>
                <w:sz w:val="16"/>
                <w:szCs w:val="16"/>
                <w:lang w:val="pt-BR" w:eastAsia="es-ES"/>
              </w:rPr>
              <w:t xml:space="preserve"> de Gestión </w:t>
            </w:r>
            <w:proofErr w:type="spellStart"/>
            <w:r w:rsidRPr="005A02F8">
              <w:rPr>
                <w:rFonts w:ascii="Verdana" w:eastAsia="Calibri" w:hAnsi="Verdana" w:cs="Arial"/>
                <w:sz w:val="16"/>
                <w:szCs w:val="16"/>
                <w:lang w:val="pt-BR" w:eastAsia="es-ES"/>
              </w:rPr>
              <w:t>Contractual</w:t>
            </w:r>
            <w:proofErr w:type="spellEnd"/>
            <w:r w:rsidRPr="005A02F8">
              <w:rPr>
                <w:rFonts w:ascii="Verdana" w:eastAsia="Calibri" w:hAnsi="Verdana" w:cs="Arial"/>
                <w:sz w:val="16"/>
                <w:szCs w:val="16"/>
                <w:lang w:val="pt-BR" w:eastAsia="es-ES"/>
              </w:rPr>
              <w:t xml:space="preserve"> ANCP – CCE</w:t>
            </w:r>
          </w:p>
        </w:tc>
      </w:tr>
    </w:tbl>
    <w:p w14:paraId="1B91BE55" w14:textId="77777777" w:rsidR="002148A3" w:rsidRPr="0002120A" w:rsidRDefault="002148A3" w:rsidP="002148A3">
      <w:pPr>
        <w:spacing w:after="0" w:line="240" w:lineRule="auto"/>
        <w:jc w:val="both"/>
        <w:rPr>
          <w:rFonts w:ascii="Verdana" w:eastAsia="Times New Roman" w:hAnsi="Verdana" w:cs="Arial"/>
          <w:lang w:eastAsia="es-ES"/>
        </w:rPr>
      </w:pPr>
    </w:p>
    <w:p w14:paraId="413F7A7A" w14:textId="77777777" w:rsidR="002148A3" w:rsidRPr="00BC028A" w:rsidRDefault="002148A3" w:rsidP="002148A3">
      <w:pPr>
        <w:jc w:val="both"/>
        <w:rPr>
          <w:rFonts w:ascii="Verdana" w:hAnsi="Verdana"/>
        </w:rPr>
      </w:pPr>
    </w:p>
    <w:p w14:paraId="3B4A6B9E" w14:textId="77777777" w:rsidR="002148A3" w:rsidRPr="0002120A" w:rsidRDefault="002148A3" w:rsidP="002148A3">
      <w:pPr>
        <w:jc w:val="both"/>
        <w:rPr>
          <w:rFonts w:ascii="Verdana" w:hAnsi="Verdana"/>
        </w:rPr>
      </w:pPr>
    </w:p>
    <w:p w14:paraId="61932C32" w14:textId="77777777" w:rsidR="0034666B" w:rsidRPr="002148A3" w:rsidRDefault="0034666B" w:rsidP="0034666B">
      <w:pPr>
        <w:spacing w:after="0" w:line="240" w:lineRule="auto"/>
        <w:jc w:val="both"/>
        <w:rPr>
          <w:rFonts w:ascii="Verdana" w:eastAsia="Geomanist Light" w:hAnsi="Verdana" w:cs="Arial"/>
          <w:color w:val="000000" w:themeColor="text1"/>
        </w:rPr>
      </w:pPr>
    </w:p>
    <w:sectPr w:rsidR="0034666B" w:rsidRPr="002148A3"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B7D2" w14:textId="77777777" w:rsidR="004741B8" w:rsidRDefault="004741B8" w:rsidP="00B30448">
      <w:pPr>
        <w:spacing w:after="0" w:line="240" w:lineRule="auto"/>
      </w:pPr>
      <w:r>
        <w:separator/>
      </w:r>
    </w:p>
  </w:endnote>
  <w:endnote w:type="continuationSeparator" w:id="0">
    <w:p w14:paraId="6D9693FF" w14:textId="77777777" w:rsidR="004741B8" w:rsidRDefault="004741B8" w:rsidP="00B30448">
      <w:pPr>
        <w:spacing w:after="0" w:line="240" w:lineRule="auto"/>
      </w:pPr>
      <w:r>
        <w:continuationSeparator/>
      </w:r>
    </w:p>
  </w:endnote>
  <w:endnote w:type="continuationNotice" w:id="1">
    <w:p w14:paraId="78D13B55" w14:textId="77777777" w:rsidR="004741B8" w:rsidRDefault="00474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F223B" w14:textId="77777777" w:rsidR="004741B8" w:rsidRDefault="004741B8" w:rsidP="00B30448">
      <w:pPr>
        <w:spacing w:after="0" w:line="240" w:lineRule="auto"/>
      </w:pPr>
      <w:r>
        <w:separator/>
      </w:r>
    </w:p>
  </w:footnote>
  <w:footnote w:type="continuationSeparator" w:id="0">
    <w:p w14:paraId="69ACC68C" w14:textId="77777777" w:rsidR="004741B8" w:rsidRDefault="004741B8" w:rsidP="00B30448">
      <w:pPr>
        <w:spacing w:after="0" w:line="240" w:lineRule="auto"/>
      </w:pPr>
      <w:r>
        <w:continuationSeparator/>
      </w:r>
    </w:p>
  </w:footnote>
  <w:footnote w:type="continuationNotice" w:id="1">
    <w:p w14:paraId="3EE42600" w14:textId="77777777" w:rsidR="004741B8" w:rsidRDefault="004741B8">
      <w:pPr>
        <w:spacing w:after="0" w:line="240" w:lineRule="auto"/>
      </w:pPr>
    </w:p>
  </w:footnote>
  <w:footnote w:id="2">
    <w:p w14:paraId="5B30D149"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Style w:val="Refdenotaalpie"/>
          <w:rFonts w:ascii="Verdana" w:hAnsi="Verdana"/>
          <w:sz w:val="16"/>
          <w:szCs w:val="16"/>
        </w:rPr>
        <w:footnoteRef/>
      </w:r>
      <w:r w:rsidRPr="0002120A">
        <w:rPr>
          <w:rFonts w:ascii="Verdana" w:hAnsi="Verdana"/>
          <w:sz w:val="16"/>
          <w:szCs w:val="16"/>
        </w:rPr>
        <w:t xml:space="preserve"> </w:t>
      </w:r>
      <w:r w:rsidRPr="0002120A">
        <w:rPr>
          <w:rFonts w:ascii="Verdana" w:eastAsia="Century Gothic" w:hAnsi="Verdana" w:cs="Century Gothic"/>
          <w:sz w:val="16"/>
          <w:szCs w:val="16"/>
          <w:lang w:val="es-MX"/>
        </w:rPr>
        <w:t>En efecto</w:t>
      </w:r>
      <w:r w:rsidRPr="0002120A">
        <w:rPr>
          <w:rFonts w:ascii="Verdana" w:eastAsia="Century Gothic" w:hAnsi="Verdana" w:cs="Century Gothic"/>
          <w:sz w:val="16"/>
          <w:szCs w:val="16"/>
          <w:lang w:val="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02120A">
        <w:rPr>
          <w:rFonts w:ascii="Verdana" w:eastAsia="Century Gothic" w:hAnsi="Verdana" w:cs="Century Gothic"/>
          <w:i/>
          <w:iCs/>
          <w:sz w:val="16"/>
          <w:szCs w:val="16"/>
          <w:lang w:val="es"/>
        </w:rPr>
        <w:t>julio</w:t>
      </w:r>
      <w:r w:rsidRPr="0002120A">
        <w:rPr>
          <w:rFonts w:ascii="Verdana" w:eastAsia="Century Gothic" w:hAnsi="Verdana" w:cs="Century Gothic"/>
          <w:sz w:val="16"/>
          <w:szCs w:val="16"/>
          <w:lang w:val="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7AD9BB1A" w14:textId="77777777" w:rsidR="002148A3" w:rsidRPr="0002120A" w:rsidRDefault="002148A3" w:rsidP="002148A3">
      <w:pPr>
        <w:pStyle w:val="Textonotapie"/>
        <w:jc w:val="both"/>
        <w:rPr>
          <w:rFonts w:ascii="Verdana" w:hAnsi="Verdana"/>
          <w:sz w:val="16"/>
          <w:szCs w:val="16"/>
          <w:lang w:val="es"/>
        </w:rPr>
      </w:pPr>
    </w:p>
  </w:footnote>
  <w:footnote w:id="3">
    <w:p w14:paraId="0DEBCFA1"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Style w:val="Refdenotaalpie"/>
          <w:rFonts w:ascii="Verdana" w:hAnsi="Verdana"/>
          <w:sz w:val="16"/>
          <w:szCs w:val="16"/>
        </w:rPr>
        <w:footnoteRef/>
      </w:r>
      <w:r w:rsidRPr="0002120A">
        <w:rPr>
          <w:rFonts w:ascii="Verdana" w:hAnsi="Verdana"/>
          <w:sz w:val="16"/>
          <w:szCs w:val="16"/>
        </w:rPr>
        <w:t xml:space="preserve"> </w:t>
      </w:r>
      <w:r w:rsidRPr="0002120A">
        <w:rPr>
          <w:rFonts w:ascii="Verdana" w:eastAsia="Century Gothic" w:hAnsi="Verdana" w:cs="Century Gothic"/>
          <w:sz w:val="16"/>
          <w:szCs w:val="16"/>
          <w:lang w:val="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A891EA5"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i/>
          <w:iCs/>
          <w:color w:val="000000" w:themeColor="text1"/>
          <w:sz w:val="16"/>
          <w:szCs w:val="16"/>
        </w:rPr>
        <w:t>“</w:t>
      </w:r>
      <w:r w:rsidRPr="0002120A">
        <w:rPr>
          <w:rFonts w:ascii="Verdana" w:eastAsia="Century Gothic" w:hAnsi="Verdana" w:cs="Century Gothic"/>
          <w:sz w:val="16"/>
          <w:szCs w:val="16"/>
          <w:lang w:val="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69695A88"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sz w:val="16"/>
          <w:szCs w:val="16"/>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9C31543"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sz w:val="16"/>
          <w:szCs w:val="16"/>
          <w:lang w:val="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1C135680"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sz w:val="16"/>
          <w:szCs w:val="16"/>
          <w:lang w:val="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2CEA37F4"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sz w:val="16"/>
          <w:szCs w:val="16"/>
          <w:lang w:val="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3071621C"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sz w:val="16"/>
          <w:szCs w:val="16"/>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8CD972E" w14:textId="77777777" w:rsidR="002148A3" w:rsidRPr="0002120A" w:rsidRDefault="002148A3" w:rsidP="002148A3">
      <w:pPr>
        <w:spacing w:after="0" w:line="240" w:lineRule="auto"/>
        <w:ind w:firstLine="709"/>
        <w:contextualSpacing/>
        <w:jc w:val="both"/>
        <w:rPr>
          <w:rFonts w:ascii="Verdana" w:eastAsia="Century Gothic" w:hAnsi="Verdana" w:cs="Century Gothic"/>
          <w:sz w:val="16"/>
          <w:szCs w:val="16"/>
          <w:lang w:val="es"/>
        </w:rPr>
      </w:pPr>
      <w:r w:rsidRPr="0002120A">
        <w:rPr>
          <w:rFonts w:ascii="Verdana" w:eastAsia="Century Gothic" w:hAnsi="Verdana" w:cs="Century Gothic"/>
          <w:sz w:val="16"/>
          <w:szCs w:val="16"/>
          <w:lang w:val="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0039DA"/>
    <w:multiLevelType w:val="hybridMultilevel"/>
    <w:tmpl w:val="C3A633AE"/>
    <w:lvl w:ilvl="0" w:tplc="7F72A65C">
      <w:start w:val="1"/>
      <w:numFmt w:val="lowerRoman"/>
      <w:lvlText w:val="%1)"/>
      <w:lvlJc w:val="left"/>
      <w:pPr>
        <w:ind w:left="1504" w:hanging="720"/>
      </w:pPr>
      <w:rPr>
        <w:rFonts w:hint="default"/>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B53ED5"/>
    <w:multiLevelType w:val="hybridMultilevel"/>
    <w:tmpl w:val="7DC6A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CF7CAD"/>
    <w:multiLevelType w:val="hybridMultilevel"/>
    <w:tmpl w:val="A1409A5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7"/>
  </w:num>
  <w:num w:numId="2" w16cid:durableId="4285022">
    <w:abstractNumId w:val="2"/>
  </w:num>
  <w:num w:numId="3" w16cid:durableId="881983949">
    <w:abstractNumId w:val="4"/>
  </w:num>
  <w:num w:numId="4" w16cid:durableId="341274352">
    <w:abstractNumId w:val="0"/>
  </w:num>
  <w:num w:numId="5" w16cid:durableId="1887524674">
    <w:abstractNumId w:val="10"/>
  </w:num>
  <w:num w:numId="6" w16cid:durableId="1082990391">
    <w:abstractNumId w:val="1"/>
  </w:num>
  <w:num w:numId="7" w16cid:durableId="1492209491">
    <w:abstractNumId w:val="6"/>
  </w:num>
  <w:num w:numId="8" w16cid:durableId="679089576">
    <w:abstractNumId w:val="9"/>
  </w:num>
  <w:num w:numId="9" w16cid:durableId="179856548">
    <w:abstractNumId w:val="3"/>
  </w:num>
  <w:num w:numId="10" w16cid:durableId="1001663915">
    <w:abstractNumId w:val="8"/>
  </w:num>
  <w:num w:numId="11" w16cid:durableId="1226062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1642A"/>
    <w:rsid w:val="0003132F"/>
    <w:rsid w:val="00031584"/>
    <w:rsid w:val="00032A0E"/>
    <w:rsid w:val="00037347"/>
    <w:rsid w:val="00041EA3"/>
    <w:rsid w:val="0004266D"/>
    <w:rsid w:val="000442CC"/>
    <w:rsid w:val="000464E2"/>
    <w:rsid w:val="000556D4"/>
    <w:rsid w:val="00062A55"/>
    <w:rsid w:val="00065DBB"/>
    <w:rsid w:val="000716AB"/>
    <w:rsid w:val="000819CD"/>
    <w:rsid w:val="00082E4C"/>
    <w:rsid w:val="000849D5"/>
    <w:rsid w:val="0008528F"/>
    <w:rsid w:val="00086A3E"/>
    <w:rsid w:val="000A3F4F"/>
    <w:rsid w:val="000A5180"/>
    <w:rsid w:val="000A6E0C"/>
    <w:rsid w:val="000A6E41"/>
    <w:rsid w:val="000A7A56"/>
    <w:rsid w:val="000B1FF7"/>
    <w:rsid w:val="000B2513"/>
    <w:rsid w:val="000B4024"/>
    <w:rsid w:val="000B6438"/>
    <w:rsid w:val="000C3C51"/>
    <w:rsid w:val="000C7262"/>
    <w:rsid w:val="000D2A7F"/>
    <w:rsid w:val="000D4FCE"/>
    <w:rsid w:val="000E1169"/>
    <w:rsid w:val="00103BAD"/>
    <w:rsid w:val="001061BB"/>
    <w:rsid w:val="0011037E"/>
    <w:rsid w:val="00125312"/>
    <w:rsid w:val="00126E12"/>
    <w:rsid w:val="0013059D"/>
    <w:rsid w:val="001363C7"/>
    <w:rsid w:val="00140734"/>
    <w:rsid w:val="00141AC5"/>
    <w:rsid w:val="00146B11"/>
    <w:rsid w:val="00147A04"/>
    <w:rsid w:val="001513E8"/>
    <w:rsid w:val="0015476D"/>
    <w:rsid w:val="00161E13"/>
    <w:rsid w:val="00164AE0"/>
    <w:rsid w:val="00165E83"/>
    <w:rsid w:val="00166CD7"/>
    <w:rsid w:val="0017120C"/>
    <w:rsid w:val="00172F3A"/>
    <w:rsid w:val="0018037B"/>
    <w:rsid w:val="0019532A"/>
    <w:rsid w:val="0019670E"/>
    <w:rsid w:val="00197205"/>
    <w:rsid w:val="001A5DD4"/>
    <w:rsid w:val="001A67E9"/>
    <w:rsid w:val="001B143B"/>
    <w:rsid w:val="001B21CA"/>
    <w:rsid w:val="001C04FC"/>
    <w:rsid w:val="001C25A3"/>
    <w:rsid w:val="001C5D03"/>
    <w:rsid w:val="001C6A8C"/>
    <w:rsid w:val="001C7771"/>
    <w:rsid w:val="001D62FF"/>
    <w:rsid w:val="001F3F48"/>
    <w:rsid w:val="002000AA"/>
    <w:rsid w:val="00204109"/>
    <w:rsid w:val="00211E6E"/>
    <w:rsid w:val="00212A46"/>
    <w:rsid w:val="0021401D"/>
    <w:rsid w:val="002146B8"/>
    <w:rsid w:val="002148A3"/>
    <w:rsid w:val="00215516"/>
    <w:rsid w:val="0021697A"/>
    <w:rsid w:val="00216E35"/>
    <w:rsid w:val="002527C2"/>
    <w:rsid w:val="00270443"/>
    <w:rsid w:val="00270EE2"/>
    <w:rsid w:val="00272972"/>
    <w:rsid w:val="00272E0E"/>
    <w:rsid w:val="00284E1D"/>
    <w:rsid w:val="00286491"/>
    <w:rsid w:val="002A0F8D"/>
    <w:rsid w:val="002A125D"/>
    <w:rsid w:val="002B6E44"/>
    <w:rsid w:val="002D3A76"/>
    <w:rsid w:val="002E0AE1"/>
    <w:rsid w:val="002E1367"/>
    <w:rsid w:val="002E1DB5"/>
    <w:rsid w:val="002E5DAE"/>
    <w:rsid w:val="002F6CCB"/>
    <w:rsid w:val="00303240"/>
    <w:rsid w:val="0030461E"/>
    <w:rsid w:val="0032756A"/>
    <w:rsid w:val="0033365B"/>
    <w:rsid w:val="00334EF8"/>
    <w:rsid w:val="00336408"/>
    <w:rsid w:val="00340DFB"/>
    <w:rsid w:val="0034404F"/>
    <w:rsid w:val="0034666B"/>
    <w:rsid w:val="00352110"/>
    <w:rsid w:val="00354B1F"/>
    <w:rsid w:val="0035645B"/>
    <w:rsid w:val="00356980"/>
    <w:rsid w:val="00362187"/>
    <w:rsid w:val="00367462"/>
    <w:rsid w:val="00371ECA"/>
    <w:rsid w:val="0037201C"/>
    <w:rsid w:val="00372748"/>
    <w:rsid w:val="0037332A"/>
    <w:rsid w:val="0038151A"/>
    <w:rsid w:val="0039082A"/>
    <w:rsid w:val="00390C21"/>
    <w:rsid w:val="00393954"/>
    <w:rsid w:val="00393EB8"/>
    <w:rsid w:val="003A0817"/>
    <w:rsid w:val="003A37BD"/>
    <w:rsid w:val="003B6D94"/>
    <w:rsid w:val="003C238D"/>
    <w:rsid w:val="003C4C96"/>
    <w:rsid w:val="003C55E0"/>
    <w:rsid w:val="003C5BCD"/>
    <w:rsid w:val="003D1042"/>
    <w:rsid w:val="003E7EED"/>
    <w:rsid w:val="003F24E4"/>
    <w:rsid w:val="003F519B"/>
    <w:rsid w:val="0040544F"/>
    <w:rsid w:val="00406A19"/>
    <w:rsid w:val="004117DE"/>
    <w:rsid w:val="0041222D"/>
    <w:rsid w:val="0041483E"/>
    <w:rsid w:val="00415369"/>
    <w:rsid w:val="00421166"/>
    <w:rsid w:val="0042718B"/>
    <w:rsid w:val="00430492"/>
    <w:rsid w:val="004378B3"/>
    <w:rsid w:val="00450526"/>
    <w:rsid w:val="00450BE7"/>
    <w:rsid w:val="00455AE9"/>
    <w:rsid w:val="00456A52"/>
    <w:rsid w:val="00461B95"/>
    <w:rsid w:val="00461EB3"/>
    <w:rsid w:val="0046741E"/>
    <w:rsid w:val="00472CC6"/>
    <w:rsid w:val="004741B8"/>
    <w:rsid w:val="0048026E"/>
    <w:rsid w:val="004807A9"/>
    <w:rsid w:val="004813EE"/>
    <w:rsid w:val="00493278"/>
    <w:rsid w:val="004943D9"/>
    <w:rsid w:val="004A0E7B"/>
    <w:rsid w:val="004A17BA"/>
    <w:rsid w:val="004A3498"/>
    <w:rsid w:val="004B0C45"/>
    <w:rsid w:val="004C0AB2"/>
    <w:rsid w:val="004C1619"/>
    <w:rsid w:val="004C1A26"/>
    <w:rsid w:val="004C1CC9"/>
    <w:rsid w:val="004C3755"/>
    <w:rsid w:val="004C4485"/>
    <w:rsid w:val="004C7527"/>
    <w:rsid w:val="004D11AF"/>
    <w:rsid w:val="004F068D"/>
    <w:rsid w:val="004F1417"/>
    <w:rsid w:val="00500DFA"/>
    <w:rsid w:val="005019AA"/>
    <w:rsid w:val="005021BB"/>
    <w:rsid w:val="005139E7"/>
    <w:rsid w:val="005141DF"/>
    <w:rsid w:val="005147DA"/>
    <w:rsid w:val="00515FB5"/>
    <w:rsid w:val="0052365C"/>
    <w:rsid w:val="005271EB"/>
    <w:rsid w:val="005426DB"/>
    <w:rsid w:val="0055082B"/>
    <w:rsid w:val="00552503"/>
    <w:rsid w:val="00552B57"/>
    <w:rsid w:val="00554443"/>
    <w:rsid w:val="00557DA1"/>
    <w:rsid w:val="0056322C"/>
    <w:rsid w:val="005720D3"/>
    <w:rsid w:val="00585036"/>
    <w:rsid w:val="0058743A"/>
    <w:rsid w:val="005946BF"/>
    <w:rsid w:val="005A30BB"/>
    <w:rsid w:val="005A4DB0"/>
    <w:rsid w:val="005A74D6"/>
    <w:rsid w:val="005A7B8E"/>
    <w:rsid w:val="005B012B"/>
    <w:rsid w:val="005B0C87"/>
    <w:rsid w:val="005D23F6"/>
    <w:rsid w:val="005D2FA8"/>
    <w:rsid w:val="005E2281"/>
    <w:rsid w:val="005E667C"/>
    <w:rsid w:val="005F077C"/>
    <w:rsid w:val="005F63D0"/>
    <w:rsid w:val="005F7973"/>
    <w:rsid w:val="00601057"/>
    <w:rsid w:val="00610200"/>
    <w:rsid w:val="0061230A"/>
    <w:rsid w:val="0061690E"/>
    <w:rsid w:val="00620BCA"/>
    <w:rsid w:val="00627361"/>
    <w:rsid w:val="00627A88"/>
    <w:rsid w:val="0063017E"/>
    <w:rsid w:val="00631B28"/>
    <w:rsid w:val="00635AF1"/>
    <w:rsid w:val="006409CA"/>
    <w:rsid w:val="00643167"/>
    <w:rsid w:val="00645B90"/>
    <w:rsid w:val="00650991"/>
    <w:rsid w:val="006511D7"/>
    <w:rsid w:val="00663D75"/>
    <w:rsid w:val="00670AEF"/>
    <w:rsid w:val="00675678"/>
    <w:rsid w:val="00677012"/>
    <w:rsid w:val="006825B4"/>
    <w:rsid w:val="00682AF2"/>
    <w:rsid w:val="006864DF"/>
    <w:rsid w:val="00696424"/>
    <w:rsid w:val="006A3C8A"/>
    <w:rsid w:val="006A7552"/>
    <w:rsid w:val="006B5874"/>
    <w:rsid w:val="006B5953"/>
    <w:rsid w:val="006B7A81"/>
    <w:rsid w:val="006B7FEC"/>
    <w:rsid w:val="006C4BAC"/>
    <w:rsid w:val="006C52F3"/>
    <w:rsid w:val="006D1201"/>
    <w:rsid w:val="006D5510"/>
    <w:rsid w:val="006E469F"/>
    <w:rsid w:val="006E7F37"/>
    <w:rsid w:val="006F3B81"/>
    <w:rsid w:val="006F4F79"/>
    <w:rsid w:val="006F7230"/>
    <w:rsid w:val="00705B37"/>
    <w:rsid w:val="00710213"/>
    <w:rsid w:val="00711FD9"/>
    <w:rsid w:val="0071334E"/>
    <w:rsid w:val="007207DE"/>
    <w:rsid w:val="0073336D"/>
    <w:rsid w:val="00735062"/>
    <w:rsid w:val="00742944"/>
    <w:rsid w:val="0074361A"/>
    <w:rsid w:val="00746BA5"/>
    <w:rsid w:val="007471E6"/>
    <w:rsid w:val="00751AB2"/>
    <w:rsid w:val="00751D23"/>
    <w:rsid w:val="00770577"/>
    <w:rsid w:val="00777666"/>
    <w:rsid w:val="0078159B"/>
    <w:rsid w:val="00782E10"/>
    <w:rsid w:val="0078706B"/>
    <w:rsid w:val="00790836"/>
    <w:rsid w:val="00793573"/>
    <w:rsid w:val="00797131"/>
    <w:rsid w:val="007A1701"/>
    <w:rsid w:val="007A3C1D"/>
    <w:rsid w:val="007B030D"/>
    <w:rsid w:val="007B2636"/>
    <w:rsid w:val="007B285D"/>
    <w:rsid w:val="007C6BC6"/>
    <w:rsid w:val="007E2282"/>
    <w:rsid w:val="007E57E9"/>
    <w:rsid w:val="007F278D"/>
    <w:rsid w:val="00801DCC"/>
    <w:rsid w:val="00807D79"/>
    <w:rsid w:val="00813634"/>
    <w:rsid w:val="00822821"/>
    <w:rsid w:val="00827DA9"/>
    <w:rsid w:val="00831C29"/>
    <w:rsid w:val="008431EF"/>
    <w:rsid w:val="008468E0"/>
    <w:rsid w:val="00871B59"/>
    <w:rsid w:val="00877834"/>
    <w:rsid w:val="00877D03"/>
    <w:rsid w:val="00877E96"/>
    <w:rsid w:val="008806CA"/>
    <w:rsid w:val="008815E5"/>
    <w:rsid w:val="00884381"/>
    <w:rsid w:val="0088580A"/>
    <w:rsid w:val="00887B37"/>
    <w:rsid w:val="008909B9"/>
    <w:rsid w:val="00891DFC"/>
    <w:rsid w:val="00896E94"/>
    <w:rsid w:val="008A222C"/>
    <w:rsid w:val="008A736D"/>
    <w:rsid w:val="008A7E6B"/>
    <w:rsid w:val="008B12B4"/>
    <w:rsid w:val="008B7914"/>
    <w:rsid w:val="008C5D2A"/>
    <w:rsid w:val="008C7AF4"/>
    <w:rsid w:val="008D2929"/>
    <w:rsid w:val="008D529F"/>
    <w:rsid w:val="008D7CB3"/>
    <w:rsid w:val="008F5CC8"/>
    <w:rsid w:val="009061B8"/>
    <w:rsid w:val="00906A38"/>
    <w:rsid w:val="0091008B"/>
    <w:rsid w:val="00910ACC"/>
    <w:rsid w:val="00911EA2"/>
    <w:rsid w:val="009140E0"/>
    <w:rsid w:val="00916C7D"/>
    <w:rsid w:val="0092575D"/>
    <w:rsid w:val="00930247"/>
    <w:rsid w:val="009341DA"/>
    <w:rsid w:val="009430F9"/>
    <w:rsid w:val="009442E8"/>
    <w:rsid w:val="00946BD0"/>
    <w:rsid w:val="00952570"/>
    <w:rsid w:val="0095426C"/>
    <w:rsid w:val="00962C19"/>
    <w:rsid w:val="00970087"/>
    <w:rsid w:val="00971074"/>
    <w:rsid w:val="00994355"/>
    <w:rsid w:val="00995D86"/>
    <w:rsid w:val="009A5453"/>
    <w:rsid w:val="009B4D94"/>
    <w:rsid w:val="009C2871"/>
    <w:rsid w:val="009C719E"/>
    <w:rsid w:val="009D3C33"/>
    <w:rsid w:val="009D7F3A"/>
    <w:rsid w:val="009E4885"/>
    <w:rsid w:val="009F1387"/>
    <w:rsid w:val="00A07DB6"/>
    <w:rsid w:val="00A10A73"/>
    <w:rsid w:val="00A170B3"/>
    <w:rsid w:val="00A223D5"/>
    <w:rsid w:val="00A37D1C"/>
    <w:rsid w:val="00A5453E"/>
    <w:rsid w:val="00A56F6C"/>
    <w:rsid w:val="00A621F7"/>
    <w:rsid w:val="00A62E5C"/>
    <w:rsid w:val="00A65C22"/>
    <w:rsid w:val="00A76C8C"/>
    <w:rsid w:val="00A85F30"/>
    <w:rsid w:val="00A9099E"/>
    <w:rsid w:val="00A91FB7"/>
    <w:rsid w:val="00A9298F"/>
    <w:rsid w:val="00AA0351"/>
    <w:rsid w:val="00AA10FC"/>
    <w:rsid w:val="00AA521E"/>
    <w:rsid w:val="00AA5F4A"/>
    <w:rsid w:val="00AB1984"/>
    <w:rsid w:val="00AB2685"/>
    <w:rsid w:val="00AB52B1"/>
    <w:rsid w:val="00AB5A77"/>
    <w:rsid w:val="00AC4CB3"/>
    <w:rsid w:val="00AC55F0"/>
    <w:rsid w:val="00AC780D"/>
    <w:rsid w:val="00AD036B"/>
    <w:rsid w:val="00AD1996"/>
    <w:rsid w:val="00AD4099"/>
    <w:rsid w:val="00AD4901"/>
    <w:rsid w:val="00AF63C6"/>
    <w:rsid w:val="00B02FE0"/>
    <w:rsid w:val="00B057B6"/>
    <w:rsid w:val="00B11C04"/>
    <w:rsid w:val="00B25408"/>
    <w:rsid w:val="00B26C07"/>
    <w:rsid w:val="00B30448"/>
    <w:rsid w:val="00B30BE2"/>
    <w:rsid w:val="00B34786"/>
    <w:rsid w:val="00B400EC"/>
    <w:rsid w:val="00B40162"/>
    <w:rsid w:val="00B41ACE"/>
    <w:rsid w:val="00B50156"/>
    <w:rsid w:val="00B518AD"/>
    <w:rsid w:val="00B60A96"/>
    <w:rsid w:val="00B60F49"/>
    <w:rsid w:val="00B678EC"/>
    <w:rsid w:val="00B70A46"/>
    <w:rsid w:val="00B7674C"/>
    <w:rsid w:val="00B76C94"/>
    <w:rsid w:val="00B772D0"/>
    <w:rsid w:val="00B836EA"/>
    <w:rsid w:val="00B84C05"/>
    <w:rsid w:val="00B91B81"/>
    <w:rsid w:val="00B97135"/>
    <w:rsid w:val="00BB3072"/>
    <w:rsid w:val="00BC028A"/>
    <w:rsid w:val="00BC054D"/>
    <w:rsid w:val="00BC4F89"/>
    <w:rsid w:val="00BC56B3"/>
    <w:rsid w:val="00BC7632"/>
    <w:rsid w:val="00BD48A9"/>
    <w:rsid w:val="00BD630F"/>
    <w:rsid w:val="00BD7EC6"/>
    <w:rsid w:val="00BE3BF9"/>
    <w:rsid w:val="00BE73FA"/>
    <w:rsid w:val="00BF6B4B"/>
    <w:rsid w:val="00C04DFF"/>
    <w:rsid w:val="00C0500C"/>
    <w:rsid w:val="00C050B9"/>
    <w:rsid w:val="00C0511C"/>
    <w:rsid w:val="00C20ACF"/>
    <w:rsid w:val="00C22307"/>
    <w:rsid w:val="00C23469"/>
    <w:rsid w:val="00C24878"/>
    <w:rsid w:val="00C26FA4"/>
    <w:rsid w:val="00C30C62"/>
    <w:rsid w:val="00C371DF"/>
    <w:rsid w:val="00C41C2E"/>
    <w:rsid w:val="00C42055"/>
    <w:rsid w:val="00C44B4C"/>
    <w:rsid w:val="00C45DBC"/>
    <w:rsid w:val="00C46734"/>
    <w:rsid w:val="00C47A86"/>
    <w:rsid w:val="00C53220"/>
    <w:rsid w:val="00C55B8A"/>
    <w:rsid w:val="00C725EC"/>
    <w:rsid w:val="00CA3347"/>
    <w:rsid w:val="00CC299A"/>
    <w:rsid w:val="00CD03E3"/>
    <w:rsid w:val="00CE6BDA"/>
    <w:rsid w:val="00CF31CF"/>
    <w:rsid w:val="00CF60C2"/>
    <w:rsid w:val="00D03DBE"/>
    <w:rsid w:val="00D072C0"/>
    <w:rsid w:val="00D132A5"/>
    <w:rsid w:val="00D23964"/>
    <w:rsid w:val="00D34C82"/>
    <w:rsid w:val="00D3757A"/>
    <w:rsid w:val="00D504A9"/>
    <w:rsid w:val="00D5206D"/>
    <w:rsid w:val="00D66844"/>
    <w:rsid w:val="00D7177D"/>
    <w:rsid w:val="00D72713"/>
    <w:rsid w:val="00D8092E"/>
    <w:rsid w:val="00D81311"/>
    <w:rsid w:val="00D83CE7"/>
    <w:rsid w:val="00DB201E"/>
    <w:rsid w:val="00DC0E68"/>
    <w:rsid w:val="00DC18CD"/>
    <w:rsid w:val="00DC2EB4"/>
    <w:rsid w:val="00DC7EB7"/>
    <w:rsid w:val="00DD25ED"/>
    <w:rsid w:val="00DE0D6E"/>
    <w:rsid w:val="00E1610C"/>
    <w:rsid w:val="00E16D73"/>
    <w:rsid w:val="00E20625"/>
    <w:rsid w:val="00E23E9E"/>
    <w:rsid w:val="00E25722"/>
    <w:rsid w:val="00E27F0A"/>
    <w:rsid w:val="00E4231E"/>
    <w:rsid w:val="00E4302C"/>
    <w:rsid w:val="00E44AC7"/>
    <w:rsid w:val="00E45F4B"/>
    <w:rsid w:val="00E60A16"/>
    <w:rsid w:val="00E82B6E"/>
    <w:rsid w:val="00E90A7B"/>
    <w:rsid w:val="00E94258"/>
    <w:rsid w:val="00E96C18"/>
    <w:rsid w:val="00EA2E61"/>
    <w:rsid w:val="00EA4E95"/>
    <w:rsid w:val="00EA7D7F"/>
    <w:rsid w:val="00EB02F4"/>
    <w:rsid w:val="00EB2FA2"/>
    <w:rsid w:val="00EB769A"/>
    <w:rsid w:val="00EC3A35"/>
    <w:rsid w:val="00EC5D87"/>
    <w:rsid w:val="00EE17F2"/>
    <w:rsid w:val="00EE3138"/>
    <w:rsid w:val="00EF2AC7"/>
    <w:rsid w:val="00EF400A"/>
    <w:rsid w:val="00EF436C"/>
    <w:rsid w:val="00EF6BE4"/>
    <w:rsid w:val="00EF6E5D"/>
    <w:rsid w:val="00F05B34"/>
    <w:rsid w:val="00F07764"/>
    <w:rsid w:val="00F12517"/>
    <w:rsid w:val="00F131DD"/>
    <w:rsid w:val="00F14611"/>
    <w:rsid w:val="00F159FC"/>
    <w:rsid w:val="00F16BA1"/>
    <w:rsid w:val="00F24435"/>
    <w:rsid w:val="00F30C0F"/>
    <w:rsid w:val="00F314E8"/>
    <w:rsid w:val="00F323A2"/>
    <w:rsid w:val="00F33B57"/>
    <w:rsid w:val="00F33D5C"/>
    <w:rsid w:val="00F34E90"/>
    <w:rsid w:val="00F356D6"/>
    <w:rsid w:val="00F36066"/>
    <w:rsid w:val="00F47E82"/>
    <w:rsid w:val="00F524E5"/>
    <w:rsid w:val="00F52633"/>
    <w:rsid w:val="00F53BE2"/>
    <w:rsid w:val="00F55684"/>
    <w:rsid w:val="00F57581"/>
    <w:rsid w:val="00F64D5A"/>
    <w:rsid w:val="00F709CD"/>
    <w:rsid w:val="00F8442B"/>
    <w:rsid w:val="00F906F4"/>
    <w:rsid w:val="00FA0716"/>
    <w:rsid w:val="00FB3675"/>
    <w:rsid w:val="00FB4629"/>
    <w:rsid w:val="00FB6FB1"/>
    <w:rsid w:val="00FB7063"/>
    <w:rsid w:val="00FC0DE3"/>
    <w:rsid w:val="00FC7056"/>
    <w:rsid w:val="00FD56DB"/>
    <w:rsid w:val="00FE12FF"/>
    <w:rsid w:val="00FE1A00"/>
    <w:rsid w:val="00FE57F5"/>
    <w:rsid w:val="00FE691C"/>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NormalWebCar">
    <w:name w:val="Normal (Web) Car"/>
    <w:link w:val="NormalWeb"/>
    <w:uiPriority w:val="99"/>
    <w:rsid w:val="008843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686">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193815454">
      <w:bodyDiv w:val="1"/>
      <w:marLeft w:val="0"/>
      <w:marRight w:val="0"/>
      <w:marTop w:val="0"/>
      <w:marBottom w:val="0"/>
      <w:divBdr>
        <w:top w:val="none" w:sz="0" w:space="0" w:color="auto"/>
        <w:left w:val="none" w:sz="0" w:space="0" w:color="auto"/>
        <w:bottom w:val="none" w:sz="0" w:space="0" w:color="auto"/>
        <w:right w:val="none" w:sz="0" w:space="0" w:color="auto"/>
      </w:divBdr>
    </w:div>
    <w:div w:id="308946743">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203542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idgaviriaormaza@gmai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iv&amp;data=05%7C02%7Csantiago.herrera%40colombiacompra.gov.co%7C616b83c3423e4d31151908dce489c00d%7C7b09041e245149d08cb179d5e3d8c1be%7C0%7C0%7C638636527542139879%7CUnknown%7CTWFpbGZsb3d8eyJWIjoiMC4wLjAwMDAiLCJQIjoiV2luMzIiLCJBTiI6Ik1haWwiLCJXVCI6Mn0%3D%7C0%7C%7C%7C&amp;sdata=cTSoqYrgsA%2B1ozYbYaBk7O2UAo9X4MVYRRCSbT9O8x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5542</Words>
  <Characters>30481</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52</cp:revision>
  <dcterms:created xsi:type="dcterms:W3CDTF">2024-10-11T18:16:00Z</dcterms:created>
  <dcterms:modified xsi:type="dcterms:W3CDTF">2024-11-06T23:23:00Z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