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4ED86" w14:textId="77777777" w:rsidR="00271A44" w:rsidRPr="00682558" w:rsidRDefault="00271A44" w:rsidP="00271A44">
      <w:pPr>
        <w:spacing w:line="276" w:lineRule="auto"/>
        <w:rPr>
          <w:rFonts w:ascii="Verdana" w:hAnsi="Verdana"/>
          <w:b/>
          <w:lang w:val="es-ES_tradnl"/>
        </w:rPr>
      </w:pPr>
      <w:bookmarkStart w:id="0" w:name="_Hlk143780582"/>
      <w:r w:rsidRPr="00682558">
        <w:rPr>
          <w:rFonts w:ascii="Verdana" w:hAnsi="Verdana"/>
          <w:b/>
          <w:lang w:val="es-ES_tradnl"/>
        </w:rPr>
        <w:t>CONCURSO DE MÉRITOS-Evaluación</w:t>
      </w:r>
      <w:r>
        <w:rPr>
          <w:rFonts w:ascii="Verdana" w:hAnsi="Verdana"/>
          <w:b/>
          <w:lang w:val="es-ES_tradnl"/>
        </w:rPr>
        <w:t>-Traslado</w:t>
      </w:r>
    </w:p>
    <w:p w14:paraId="211914B5" w14:textId="77777777" w:rsidR="00271A44" w:rsidRPr="00E6591B" w:rsidRDefault="00271A44" w:rsidP="00271A44">
      <w:pPr>
        <w:tabs>
          <w:tab w:val="left" w:pos="709"/>
        </w:tabs>
        <w:spacing w:after="120" w:line="254" w:lineRule="auto"/>
        <w:ind w:left="709" w:hanging="709"/>
        <w:contextualSpacing/>
        <w:jc w:val="both"/>
        <w:rPr>
          <w:rFonts w:ascii="Verdana" w:eastAsia="Times New Roman" w:hAnsi="Verdana" w:cs="Arial"/>
          <w:sz w:val="20"/>
          <w:szCs w:val="20"/>
          <w:lang w:eastAsia="es-ES_tradnl"/>
        </w:rPr>
      </w:pPr>
      <w:r w:rsidRPr="00E6591B">
        <w:rPr>
          <w:rFonts w:ascii="Verdana" w:eastAsia="Times New Roman" w:hAnsi="Verdana" w:cs="Arial"/>
          <w:sz w:val="20"/>
          <w:szCs w:val="20"/>
          <w:lang w:eastAsia="es-ES_tradnl"/>
        </w:rPr>
        <w:t>(…)</w:t>
      </w:r>
    </w:p>
    <w:p w14:paraId="5A3C343A" w14:textId="77777777" w:rsidR="00271A44" w:rsidRDefault="00271A44" w:rsidP="00271A44">
      <w:pPr>
        <w:spacing w:after="120" w:line="254" w:lineRule="auto"/>
        <w:ind w:right="1183"/>
        <w:contextualSpacing/>
        <w:jc w:val="both"/>
        <w:rPr>
          <w:rFonts w:ascii="Verdana" w:eastAsia="Times New Roman" w:hAnsi="Verdana" w:cs="Arial"/>
          <w:sz w:val="20"/>
          <w:szCs w:val="20"/>
          <w:lang w:eastAsia="es-ES_tradnl"/>
        </w:rPr>
      </w:pPr>
      <w:r w:rsidRPr="00E6591B">
        <w:rPr>
          <w:rFonts w:ascii="Verdana" w:eastAsia="Times New Roman" w:hAnsi="Verdana" w:cs="Arial"/>
          <w:sz w:val="20"/>
          <w:szCs w:val="20"/>
          <w:lang w:eastAsia="es-ES_tradnl"/>
        </w:rPr>
        <w:t>Procedimiento del concurso de méritos. Además de las reglas generales previstas en la ley y en el presente título, las siguientes reglas son aplicables al concurso de méritos abierto o con precalificación:  </w:t>
      </w:r>
    </w:p>
    <w:p w14:paraId="52AC720E" w14:textId="77777777" w:rsidR="00271A44" w:rsidRPr="00E6591B" w:rsidRDefault="00271A44" w:rsidP="00271A44">
      <w:pPr>
        <w:tabs>
          <w:tab w:val="left" w:pos="709"/>
        </w:tabs>
        <w:spacing w:after="120" w:line="254" w:lineRule="auto"/>
        <w:contextualSpacing/>
        <w:jc w:val="both"/>
        <w:rPr>
          <w:rFonts w:ascii="Verdana" w:eastAsia="Times New Roman" w:hAnsi="Verdana" w:cs="Arial"/>
          <w:sz w:val="20"/>
          <w:szCs w:val="20"/>
          <w:lang w:eastAsia="es-ES_tradnl"/>
        </w:rPr>
      </w:pPr>
      <w:r w:rsidRPr="00E6591B">
        <w:rPr>
          <w:rFonts w:ascii="Verdana" w:eastAsia="Times New Roman" w:hAnsi="Verdana" w:cs="Arial"/>
          <w:sz w:val="20"/>
          <w:szCs w:val="20"/>
          <w:lang w:eastAsia="es-ES_tradnl"/>
        </w:rPr>
        <w:t>(…)</w:t>
      </w:r>
    </w:p>
    <w:p w14:paraId="3CA06CE3" w14:textId="77777777" w:rsidR="00271A44" w:rsidRPr="00E6591B" w:rsidRDefault="00271A44" w:rsidP="00271A44">
      <w:pPr>
        <w:tabs>
          <w:tab w:val="left" w:pos="709"/>
        </w:tabs>
        <w:spacing w:after="120" w:line="254" w:lineRule="auto"/>
        <w:ind w:right="1183"/>
        <w:contextualSpacing/>
        <w:jc w:val="both"/>
        <w:rPr>
          <w:rFonts w:ascii="Verdana" w:eastAsia="Times New Roman" w:hAnsi="Verdana" w:cs="Arial"/>
          <w:sz w:val="20"/>
          <w:szCs w:val="20"/>
          <w:lang w:eastAsia="es-ES_tradnl"/>
        </w:rPr>
      </w:pPr>
      <w:r w:rsidRPr="00E6591B">
        <w:rPr>
          <w:rFonts w:ascii="Verdana" w:eastAsia="Times New Roman" w:hAnsi="Verdana" w:cs="Arial"/>
          <w:sz w:val="20"/>
          <w:szCs w:val="20"/>
          <w:lang w:eastAsia="es-ES_tradnl"/>
        </w:rPr>
        <w:t xml:space="preserve">2. La Entidad Estatal debe publicar durante tres (3) días hábiles el informe de evaluación, el cual debe </w:t>
      </w:r>
      <w:r w:rsidRPr="001D4616">
        <w:rPr>
          <w:rFonts w:ascii="Verdana" w:eastAsia="Times New Roman" w:hAnsi="Verdana" w:cs="Arial"/>
          <w:sz w:val="20"/>
          <w:szCs w:val="20"/>
          <w:lang w:eastAsia="es-ES_tradnl"/>
        </w:rPr>
        <w:t>contener la evaluación de las ofertas frente a todos los requisitos exigidos en el pliego de condiciones, incluyendo los requisitos habilitantes y los de asignación de puntaje.</w:t>
      </w:r>
      <w:r w:rsidRPr="00E6591B">
        <w:rPr>
          <w:rFonts w:ascii="Verdana" w:eastAsia="Times New Roman" w:hAnsi="Verdana" w:cs="Arial"/>
          <w:sz w:val="20"/>
          <w:szCs w:val="20"/>
          <w:lang w:eastAsia="es-ES_tradnl"/>
        </w:rPr>
        <w:t> </w:t>
      </w:r>
      <w:r>
        <w:rPr>
          <w:rFonts w:ascii="Verdana" w:eastAsia="Times New Roman" w:hAnsi="Verdana" w:cs="Arial"/>
          <w:sz w:val="20"/>
          <w:szCs w:val="20"/>
          <w:lang w:eastAsia="es-ES_tradnl"/>
        </w:rPr>
        <w:t>(…)</w:t>
      </w:r>
    </w:p>
    <w:p w14:paraId="717E0638" w14:textId="77777777" w:rsidR="00271A44" w:rsidRDefault="00271A44" w:rsidP="00271A44">
      <w:pPr>
        <w:spacing w:line="276" w:lineRule="auto"/>
        <w:rPr>
          <w:rFonts w:ascii="Verdana" w:hAnsi="Verdana"/>
          <w:bCs/>
          <w:lang w:val="es-ES_tradnl"/>
        </w:rPr>
      </w:pPr>
    </w:p>
    <w:p w14:paraId="0AC196AC" w14:textId="77777777" w:rsidR="00271A44" w:rsidRDefault="00271A44" w:rsidP="00271A44">
      <w:pPr>
        <w:spacing w:line="276" w:lineRule="auto"/>
        <w:rPr>
          <w:rFonts w:ascii="Verdana" w:hAnsi="Verdana"/>
          <w:b/>
          <w:lang w:val="es-ES_tradnl"/>
        </w:rPr>
      </w:pPr>
      <w:r w:rsidRPr="00682558">
        <w:rPr>
          <w:rFonts w:ascii="Verdana" w:hAnsi="Verdana"/>
          <w:b/>
          <w:lang w:val="es-ES_tradnl"/>
        </w:rPr>
        <w:t>CONCURSO DE MÉRITOS-Adjudicación</w:t>
      </w:r>
      <w:r>
        <w:rPr>
          <w:rFonts w:ascii="Verdana" w:hAnsi="Verdana"/>
          <w:b/>
          <w:lang w:val="es-ES_tradnl"/>
        </w:rPr>
        <w:t xml:space="preserve"> con oferta única</w:t>
      </w:r>
    </w:p>
    <w:p w14:paraId="3FBDEF92" w14:textId="77777777" w:rsidR="00271A44" w:rsidRDefault="00271A44" w:rsidP="00271A44">
      <w:pPr>
        <w:spacing w:line="276" w:lineRule="auto"/>
        <w:jc w:val="both"/>
        <w:rPr>
          <w:rFonts w:ascii="Verdana" w:eastAsia="Times New Roman" w:hAnsi="Verdana" w:cs="Arial"/>
          <w:sz w:val="20"/>
          <w:szCs w:val="20"/>
          <w:lang w:eastAsia="es-ES_tradnl"/>
        </w:rPr>
      </w:pPr>
      <w:r>
        <w:rPr>
          <w:rFonts w:ascii="Verdana" w:eastAsia="Times New Roman" w:hAnsi="Verdana" w:cs="Arial"/>
          <w:sz w:val="20"/>
          <w:szCs w:val="20"/>
          <w:lang w:eastAsia="es-ES_tradnl"/>
        </w:rPr>
        <w:t xml:space="preserve">(…) </w:t>
      </w:r>
    </w:p>
    <w:p w14:paraId="749C7885" w14:textId="77777777" w:rsidR="00271A44" w:rsidRPr="00682558" w:rsidRDefault="00271A44" w:rsidP="00271A44">
      <w:pPr>
        <w:spacing w:line="276" w:lineRule="auto"/>
        <w:jc w:val="both"/>
        <w:rPr>
          <w:rFonts w:ascii="Verdana" w:hAnsi="Verdana"/>
          <w:b/>
          <w:lang w:val="es-ES_tradnl"/>
        </w:rPr>
      </w:pPr>
      <w:r w:rsidRPr="00E6591B">
        <w:rPr>
          <w:rFonts w:ascii="Verdana" w:eastAsia="Times New Roman" w:hAnsi="Verdana" w:cs="Arial"/>
          <w:sz w:val="20"/>
          <w:szCs w:val="20"/>
          <w:lang w:eastAsia="es-ES_tradnl"/>
        </w:rPr>
        <w:t>Adjudicación con oferta única. La Entidad Estatal puede adjudicar el contrato cuando solo se haya presentado una oferta siempre que cumpla con los requisitos habilitantes exigidos y satisfaga los requisitos de los pliegos de condiciones, sin perjuicio de las disposiciones especiales establecidas en la ley y el presente título para la subasta inversa, el concurso de méritos y las reglas particulares para los procesos con convocatoria limitada a las Mipyme.</w:t>
      </w:r>
      <w:r>
        <w:rPr>
          <w:rFonts w:ascii="Verdana" w:eastAsia="Times New Roman" w:hAnsi="Verdana" w:cs="Arial"/>
          <w:sz w:val="20"/>
          <w:szCs w:val="20"/>
          <w:lang w:eastAsia="es-ES_tradnl"/>
        </w:rPr>
        <w:t xml:space="preserve"> (…)</w:t>
      </w:r>
    </w:p>
    <w:p w14:paraId="31C88745" w14:textId="77777777" w:rsidR="00271A44" w:rsidRPr="00682558" w:rsidRDefault="00271A44" w:rsidP="00271A44">
      <w:pPr>
        <w:spacing w:line="276" w:lineRule="auto"/>
        <w:rPr>
          <w:rFonts w:ascii="Verdana" w:hAnsi="Verdana"/>
          <w:b/>
          <w:lang w:val="es-ES_tradnl"/>
        </w:rPr>
      </w:pPr>
      <w:r w:rsidRPr="00682558">
        <w:rPr>
          <w:rFonts w:ascii="Verdana" w:hAnsi="Verdana"/>
          <w:b/>
          <w:lang w:val="es-ES_tradnl"/>
        </w:rPr>
        <w:t xml:space="preserve">CONCURSO DE MÉRITOS-Ponderación-Experiencia </w:t>
      </w:r>
    </w:p>
    <w:p w14:paraId="74FA2CC4" w14:textId="77777777" w:rsidR="00271A44" w:rsidRDefault="00271A44" w:rsidP="00271A44">
      <w:pPr>
        <w:spacing w:line="240" w:lineRule="auto"/>
        <w:jc w:val="both"/>
        <w:rPr>
          <w:rFonts w:ascii="Verdana" w:hAnsi="Verdana" w:cstheme="majorHAnsi"/>
        </w:rPr>
      </w:pPr>
      <w:r>
        <w:rPr>
          <w:rFonts w:ascii="Verdana" w:hAnsi="Verdana" w:cstheme="majorHAnsi"/>
        </w:rPr>
        <w:t>(…)</w:t>
      </w:r>
    </w:p>
    <w:p w14:paraId="3C945F14" w14:textId="77777777" w:rsidR="00271A44" w:rsidRPr="00E6591B" w:rsidRDefault="00271A44" w:rsidP="00271A44">
      <w:pPr>
        <w:spacing w:line="240" w:lineRule="auto"/>
        <w:jc w:val="both"/>
        <w:rPr>
          <w:rFonts w:ascii="Verdana" w:hAnsi="Verdana" w:cstheme="majorHAnsi"/>
          <w:sz w:val="20"/>
          <w:szCs w:val="20"/>
        </w:rPr>
      </w:pPr>
      <w:r w:rsidRPr="00E6591B">
        <w:rPr>
          <w:rFonts w:ascii="Verdana" w:hAnsi="Verdana" w:cstheme="majorHAnsi"/>
        </w:rPr>
        <w:t>C</w:t>
      </w:r>
      <w:r w:rsidRPr="00E6591B">
        <w:rPr>
          <w:rFonts w:ascii="Verdana" w:hAnsi="Verdana" w:cstheme="majorHAnsi"/>
          <w:sz w:val="20"/>
          <w:szCs w:val="20"/>
        </w:rPr>
        <w:t>. Media Aritmética Alta</w:t>
      </w:r>
    </w:p>
    <w:p w14:paraId="2310501E" w14:textId="77777777" w:rsidR="00271A44" w:rsidRPr="00E6591B" w:rsidRDefault="00271A44" w:rsidP="00271A44">
      <w:pPr>
        <w:spacing w:line="240" w:lineRule="auto"/>
        <w:jc w:val="both"/>
        <w:rPr>
          <w:rFonts w:ascii="Verdana" w:eastAsia="Arial" w:hAnsi="Verdana" w:cs="Arial"/>
          <w:sz w:val="16"/>
          <w:szCs w:val="16"/>
          <w:lang w:eastAsia="es-ES"/>
        </w:rPr>
      </w:pPr>
      <w:r w:rsidRPr="00E6591B">
        <w:rPr>
          <w:rFonts w:ascii="Verdana" w:hAnsi="Verdana" w:cstheme="majorHAnsi"/>
          <w:sz w:val="20"/>
          <w:szCs w:val="20"/>
        </w:rPr>
        <w:t>Consiste en la determinación de la media aritmética entre el valor de los promedios de los contratos válidos aportados y que no fueron objeto de subsanación expresado en SMMLV de la propuesta válida más alta, y el promedio aritmético del promedio de los contratos válidos y que no fueron objeto de subsanación de las propuestas hábiles excluyendo el promedio de la propuesta más alt</w:t>
      </w:r>
      <w:r>
        <w:rPr>
          <w:rFonts w:ascii="Verdana" w:hAnsi="Verdana" w:cstheme="majorHAnsi"/>
          <w:sz w:val="20"/>
          <w:szCs w:val="20"/>
        </w:rPr>
        <w:t xml:space="preserve">a. (…) </w:t>
      </w:r>
    </w:p>
    <w:p w14:paraId="43DE5E2C" w14:textId="77777777" w:rsidR="00271A44" w:rsidRDefault="00271A44" w:rsidP="00271A44">
      <w:pPr>
        <w:rPr>
          <w:rFonts w:ascii="Verdana" w:hAnsi="Verdana"/>
        </w:rPr>
      </w:pPr>
      <w:r>
        <w:rPr>
          <w:rFonts w:ascii="Verdana" w:hAnsi="Verdana"/>
        </w:rPr>
        <w:br w:type="page"/>
      </w:r>
    </w:p>
    <w:p w14:paraId="44CF9E91" w14:textId="64C5A6F2" w:rsidR="00271A44" w:rsidRPr="00E6591B" w:rsidRDefault="00271A44" w:rsidP="00271A44">
      <w:pPr>
        <w:spacing w:after="0"/>
        <w:rPr>
          <w:rFonts w:ascii="Verdana" w:hAnsi="Verdana"/>
        </w:rPr>
      </w:pPr>
      <w:r w:rsidRPr="00E6591B">
        <w:rPr>
          <w:rFonts w:ascii="Verdana" w:hAnsi="Verdana"/>
        </w:rPr>
        <w:lastRenderedPageBreak/>
        <w:t xml:space="preserve">Bogotá D.C., </w:t>
      </w:r>
      <w:r w:rsidR="00AB71C5">
        <w:rPr>
          <w:rFonts w:ascii="Verdana" w:hAnsi="Verdana"/>
        </w:rPr>
        <w:t>25 de Octubre de 2024</w:t>
      </w:r>
    </w:p>
    <w:p w14:paraId="6C02FFAF" w14:textId="7D83651F" w:rsidR="00271A44" w:rsidRDefault="00271A44" w:rsidP="00271A44">
      <w:pPr>
        <w:spacing w:after="0"/>
        <w:rPr>
          <w:rFonts w:ascii="Verdana" w:hAnsi="Verdana"/>
        </w:rPr>
      </w:pPr>
    </w:p>
    <w:p w14:paraId="34CB5DE2" w14:textId="08D0434C" w:rsidR="00AB71C5" w:rsidRPr="00E6591B" w:rsidRDefault="00AB71C5" w:rsidP="00AB71C5">
      <w:pPr>
        <w:spacing w:after="0"/>
        <w:jc w:val="right"/>
        <w:rPr>
          <w:rFonts w:ascii="Verdana" w:hAnsi="Verdana"/>
        </w:rPr>
      </w:pPr>
      <w:r w:rsidRPr="00AB71C5">
        <w:rPr>
          <w:rFonts w:ascii="Verdana" w:hAnsi="Verdana"/>
          <w:noProof/>
        </w:rPr>
        <w:drawing>
          <wp:inline distT="0" distB="0" distL="0" distR="0" wp14:anchorId="38B27E58" wp14:editId="32A5D79A">
            <wp:extent cx="3810532" cy="120031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10532" cy="1200318"/>
                    </a:xfrm>
                    <a:prstGeom prst="rect">
                      <a:avLst/>
                    </a:prstGeom>
                  </pic:spPr>
                </pic:pic>
              </a:graphicData>
            </a:graphic>
          </wp:inline>
        </w:drawing>
      </w:r>
    </w:p>
    <w:p w14:paraId="4A17C2B4" w14:textId="77777777" w:rsidR="00271A44" w:rsidRPr="00E6591B" w:rsidRDefault="00271A44" w:rsidP="00271A44">
      <w:pPr>
        <w:spacing w:after="0" w:line="256" w:lineRule="auto"/>
        <w:rPr>
          <w:rFonts w:ascii="Verdana" w:eastAsia="Calibri" w:hAnsi="Verdana" w:cs="Times New Roman"/>
          <w:lang w:val="es-MX"/>
        </w:rPr>
      </w:pPr>
      <w:r w:rsidRPr="00E6591B">
        <w:rPr>
          <w:rFonts w:ascii="Verdana" w:eastAsia="Calibri" w:hAnsi="Verdana" w:cs="Times New Roman"/>
          <w:lang w:val="es-MX"/>
        </w:rPr>
        <w:t>Señor</w:t>
      </w:r>
    </w:p>
    <w:p w14:paraId="0C953D0C" w14:textId="77777777" w:rsidR="00271A44" w:rsidRPr="00E6591B" w:rsidRDefault="00271A44" w:rsidP="00271A44">
      <w:pPr>
        <w:spacing w:after="0" w:line="256" w:lineRule="auto"/>
        <w:rPr>
          <w:rFonts w:ascii="Verdana" w:eastAsia="Calibri" w:hAnsi="Verdana" w:cs="Times New Roman"/>
        </w:rPr>
      </w:pPr>
      <w:r w:rsidRPr="00E6591B">
        <w:rPr>
          <w:rFonts w:ascii="Verdana" w:eastAsia="Calibri" w:hAnsi="Verdana" w:cs="Times New Roman"/>
          <w:b/>
        </w:rPr>
        <w:t>William Fernando Medina Alvira</w:t>
      </w:r>
      <w:r w:rsidRPr="00E6591B">
        <w:rPr>
          <w:rFonts w:ascii="Verdana" w:eastAsia="Calibri" w:hAnsi="Verdana" w:cs="Times New Roman"/>
          <w:b/>
        </w:rPr>
        <w:tab/>
      </w:r>
      <w:r w:rsidRPr="00E6591B">
        <w:rPr>
          <w:rFonts w:ascii="Verdana" w:eastAsia="Calibri" w:hAnsi="Verdana" w:cs="Times New Roman"/>
          <w:bCs/>
        </w:rPr>
        <w:br/>
      </w:r>
      <w:hyperlink r:id="rId11" w:history="1">
        <w:r w:rsidRPr="00E6591B">
          <w:rPr>
            <w:rStyle w:val="Hipervnculo"/>
            <w:rFonts w:ascii="Verdana" w:eastAsia="Calibri" w:hAnsi="Verdana" w:cs="Times New Roman"/>
          </w:rPr>
          <w:t>williamfmedina27@gmail.com</w:t>
        </w:r>
      </w:hyperlink>
    </w:p>
    <w:p w14:paraId="5453BE0A" w14:textId="77777777" w:rsidR="00271A44" w:rsidRPr="00E6591B" w:rsidRDefault="00271A44" w:rsidP="00271A44">
      <w:pPr>
        <w:spacing w:after="0" w:line="256" w:lineRule="auto"/>
        <w:rPr>
          <w:rFonts w:ascii="Verdana" w:eastAsia="Calibri" w:hAnsi="Verdana" w:cs="Times New Roman"/>
        </w:rPr>
      </w:pPr>
      <w:r w:rsidRPr="00E6591B">
        <w:rPr>
          <w:rFonts w:ascii="Verdana" w:eastAsia="Calibri" w:hAnsi="Verdana" w:cs="Times New Roman"/>
        </w:rPr>
        <w:t>La Plata, Huila</w:t>
      </w:r>
    </w:p>
    <w:p w14:paraId="2BAE66D1" w14:textId="77777777" w:rsidR="00271A44" w:rsidRPr="00E6591B" w:rsidRDefault="00271A44" w:rsidP="00271A44">
      <w:pPr>
        <w:spacing w:after="0" w:line="256" w:lineRule="auto"/>
        <w:rPr>
          <w:rFonts w:ascii="Verdana" w:eastAsia="Calibri" w:hAnsi="Verdana" w:cs="Times New Roman"/>
        </w:rPr>
      </w:pPr>
    </w:p>
    <w:p w14:paraId="5CAB29F4" w14:textId="77777777" w:rsidR="00271A44" w:rsidRPr="00E6591B" w:rsidRDefault="00271A44" w:rsidP="00271A44">
      <w:pPr>
        <w:spacing w:after="0" w:line="256" w:lineRule="auto"/>
        <w:ind w:left="2124" w:firstLine="708"/>
        <w:rPr>
          <w:rFonts w:ascii="Verdana" w:eastAsia="Calibri" w:hAnsi="Verdana" w:cs="Times New Roman"/>
          <w:b/>
          <w:bCs/>
          <w:lang w:val="es-ES"/>
        </w:rPr>
      </w:pPr>
      <w:r w:rsidRPr="00E6591B">
        <w:rPr>
          <w:rFonts w:ascii="Verdana" w:eastAsia="Calibri" w:hAnsi="Verdana" w:cs="Times New Roman"/>
          <w:b/>
          <w:bCs/>
          <w:lang w:val="es-ES"/>
        </w:rPr>
        <w:t>Concepto C–603 de 2024</w:t>
      </w:r>
    </w:p>
    <w:p w14:paraId="2D75612A" w14:textId="77777777" w:rsidR="00271A44" w:rsidRPr="00E6591B" w:rsidRDefault="00271A44" w:rsidP="00271A44">
      <w:pPr>
        <w:spacing w:after="0" w:line="256" w:lineRule="auto"/>
        <w:rPr>
          <w:rFonts w:ascii="Verdana" w:eastAsia="Calibri" w:hAnsi="Verdana" w:cs="Times New Roman"/>
          <w:lang w:val="es-ES_tradnl"/>
        </w:rPr>
      </w:pPr>
    </w:p>
    <w:tbl>
      <w:tblPr>
        <w:tblStyle w:val="Tablaconcuadrcula1"/>
        <w:tblW w:w="151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5"/>
        <w:gridCol w:w="6241"/>
        <w:gridCol w:w="6237"/>
      </w:tblGrid>
      <w:tr w:rsidR="00271A44" w:rsidRPr="00E6591B" w14:paraId="413B3A33" w14:textId="77777777" w:rsidTr="000C794B">
        <w:trPr>
          <w:trHeight w:val="884"/>
        </w:trPr>
        <w:tc>
          <w:tcPr>
            <w:tcW w:w="2685" w:type="dxa"/>
            <w:hideMark/>
          </w:tcPr>
          <w:p w14:paraId="0B1D54D7" w14:textId="77777777" w:rsidR="00271A44" w:rsidRPr="00E6591B" w:rsidRDefault="00271A44" w:rsidP="000C794B">
            <w:pPr>
              <w:spacing w:line="256" w:lineRule="auto"/>
              <w:rPr>
                <w:rFonts w:ascii="Verdana" w:hAnsi="Verdana"/>
                <w:lang w:val="es-ES_tradnl"/>
              </w:rPr>
            </w:pPr>
            <w:r w:rsidRPr="00E6591B">
              <w:rPr>
                <w:rFonts w:ascii="Verdana" w:hAnsi="Verdana"/>
                <w:lang w:val="es-ES_tradnl"/>
              </w:rPr>
              <w:t xml:space="preserve">Temas:                   </w:t>
            </w:r>
          </w:p>
        </w:tc>
        <w:tc>
          <w:tcPr>
            <w:tcW w:w="6241" w:type="dxa"/>
            <w:hideMark/>
          </w:tcPr>
          <w:p w14:paraId="7F4C61A4" w14:textId="77777777" w:rsidR="00271A44" w:rsidRPr="00E6591B" w:rsidRDefault="00271A44" w:rsidP="000C794B">
            <w:pPr>
              <w:spacing w:line="276" w:lineRule="auto"/>
              <w:jc w:val="both"/>
              <w:rPr>
                <w:rFonts w:ascii="Verdana" w:hAnsi="Verdana"/>
                <w:bCs/>
                <w:lang w:val="es-ES_tradnl"/>
              </w:rPr>
            </w:pPr>
            <w:r w:rsidRPr="00E6591B">
              <w:rPr>
                <w:rFonts w:ascii="Verdana" w:hAnsi="Verdana"/>
                <w:bCs/>
                <w:lang w:val="es-ES_tradnl"/>
              </w:rPr>
              <w:t>CONCURSO DE MÉRITOS-Ev</w:t>
            </w:r>
            <w:r>
              <w:rPr>
                <w:rFonts w:ascii="Verdana" w:hAnsi="Verdana"/>
                <w:bCs/>
                <w:lang w:val="es-ES_tradnl"/>
              </w:rPr>
              <w:t>a</w:t>
            </w:r>
            <w:r w:rsidRPr="00E6591B">
              <w:rPr>
                <w:rFonts w:ascii="Verdana" w:hAnsi="Verdana"/>
                <w:bCs/>
                <w:lang w:val="es-ES_tradnl"/>
              </w:rPr>
              <w:t>lu</w:t>
            </w:r>
            <w:r>
              <w:rPr>
                <w:rFonts w:ascii="Verdana" w:hAnsi="Verdana"/>
                <w:bCs/>
                <w:lang w:val="es-ES_tradnl"/>
              </w:rPr>
              <w:t>a</w:t>
            </w:r>
            <w:r w:rsidRPr="00E6591B">
              <w:rPr>
                <w:rFonts w:ascii="Verdana" w:hAnsi="Verdana"/>
                <w:bCs/>
                <w:lang w:val="es-ES_tradnl"/>
              </w:rPr>
              <w:t>ción</w:t>
            </w:r>
            <w:r>
              <w:rPr>
                <w:rFonts w:ascii="Verdana" w:hAnsi="Verdana"/>
                <w:bCs/>
                <w:lang w:val="es-ES_tradnl"/>
              </w:rPr>
              <w:t>-Traslado</w:t>
            </w:r>
            <w:r w:rsidRPr="00E6591B">
              <w:rPr>
                <w:rFonts w:ascii="Verdana" w:hAnsi="Verdana"/>
                <w:bCs/>
                <w:lang w:val="es-ES_tradnl"/>
              </w:rPr>
              <w:t>/ CONCURSO DE MÉRITOS-Adjudicación/CONCURSO DE MÉRITOS-Ponderación-Experiencia</w:t>
            </w:r>
            <w:r>
              <w:rPr>
                <w:rFonts w:ascii="Verdana" w:hAnsi="Verdana"/>
                <w:bCs/>
                <w:lang w:val="es-ES_tradnl"/>
              </w:rPr>
              <w:t xml:space="preserve"> </w:t>
            </w:r>
          </w:p>
        </w:tc>
        <w:tc>
          <w:tcPr>
            <w:tcW w:w="6237" w:type="dxa"/>
          </w:tcPr>
          <w:p w14:paraId="304AD0DB" w14:textId="77777777" w:rsidR="00271A44" w:rsidRPr="00E6591B" w:rsidRDefault="00271A44" w:rsidP="000C794B">
            <w:pPr>
              <w:spacing w:line="256" w:lineRule="auto"/>
              <w:rPr>
                <w:rFonts w:ascii="Verdana" w:hAnsi="Verdana"/>
                <w:lang w:val="es-ES"/>
              </w:rPr>
            </w:pPr>
          </w:p>
        </w:tc>
      </w:tr>
      <w:tr w:rsidR="00271A44" w:rsidRPr="00E6591B" w14:paraId="1D9392AF" w14:textId="77777777" w:rsidTr="000C794B">
        <w:tc>
          <w:tcPr>
            <w:tcW w:w="2685" w:type="dxa"/>
          </w:tcPr>
          <w:p w14:paraId="18348BCC" w14:textId="77777777" w:rsidR="00271A44" w:rsidRPr="00E6591B" w:rsidRDefault="00271A44" w:rsidP="000C794B">
            <w:pPr>
              <w:spacing w:line="256" w:lineRule="auto"/>
              <w:rPr>
                <w:rFonts w:ascii="Verdana" w:hAnsi="Verdana"/>
                <w:lang w:val="es-ES_tradnl"/>
              </w:rPr>
            </w:pPr>
          </w:p>
          <w:p w14:paraId="32E3DFB6" w14:textId="77777777" w:rsidR="00271A44" w:rsidRPr="00E6591B" w:rsidRDefault="00271A44" w:rsidP="000C794B">
            <w:pPr>
              <w:spacing w:line="256" w:lineRule="auto"/>
              <w:rPr>
                <w:rFonts w:ascii="Verdana" w:hAnsi="Verdana"/>
                <w:lang w:val="es-ES_tradnl"/>
              </w:rPr>
            </w:pPr>
            <w:r w:rsidRPr="00E6591B">
              <w:rPr>
                <w:rFonts w:ascii="Verdana" w:hAnsi="Verdana"/>
                <w:lang w:val="es-ES_tradnl"/>
              </w:rPr>
              <w:t xml:space="preserve">Radicación:               </w:t>
            </w:r>
          </w:p>
        </w:tc>
        <w:tc>
          <w:tcPr>
            <w:tcW w:w="6241" w:type="dxa"/>
          </w:tcPr>
          <w:p w14:paraId="6B0A1159" w14:textId="77777777" w:rsidR="00271A44" w:rsidRPr="00E6591B" w:rsidRDefault="00271A44" w:rsidP="000C794B">
            <w:pPr>
              <w:spacing w:line="256" w:lineRule="auto"/>
              <w:rPr>
                <w:rFonts w:ascii="Verdana" w:hAnsi="Verdana"/>
                <w:lang w:val="es-ES_tradnl"/>
              </w:rPr>
            </w:pPr>
          </w:p>
          <w:p w14:paraId="7C486110" w14:textId="77777777" w:rsidR="00271A44" w:rsidRPr="00E6591B" w:rsidRDefault="00271A44" w:rsidP="000C794B">
            <w:pPr>
              <w:spacing w:line="256" w:lineRule="auto"/>
              <w:rPr>
                <w:rFonts w:ascii="Verdana" w:hAnsi="Verdana"/>
                <w:lang w:val="es-ES_tradnl"/>
              </w:rPr>
            </w:pPr>
            <w:r w:rsidRPr="00E6591B">
              <w:rPr>
                <w:rFonts w:ascii="Verdana" w:hAnsi="Verdana"/>
                <w:lang w:val="es-ES_tradnl"/>
              </w:rPr>
              <w:t>Respuesta a consulta con radicado No. P20240912009303</w:t>
            </w:r>
          </w:p>
        </w:tc>
        <w:tc>
          <w:tcPr>
            <w:tcW w:w="6237" w:type="dxa"/>
          </w:tcPr>
          <w:p w14:paraId="7FC0AC01" w14:textId="77777777" w:rsidR="00271A44" w:rsidRPr="00E6591B" w:rsidRDefault="00271A44" w:rsidP="000C794B">
            <w:pPr>
              <w:spacing w:line="256" w:lineRule="auto"/>
              <w:rPr>
                <w:rFonts w:ascii="Verdana" w:hAnsi="Verdana"/>
                <w:lang w:val="es-ES_tradnl"/>
              </w:rPr>
            </w:pPr>
          </w:p>
        </w:tc>
      </w:tr>
    </w:tbl>
    <w:p w14:paraId="416F01D7" w14:textId="77777777" w:rsidR="00271A44" w:rsidRPr="00E6591B" w:rsidRDefault="00271A44" w:rsidP="00271A44">
      <w:pPr>
        <w:spacing w:after="0" w:line="256" w:lineRule="auto"/>
        <w:rPr>
          <w:rFonts w:ascii="Verdana" w:eastAsia="Calibri" w:hAnsi="Verdana" w:cs="Times New Roman"/>
          <w:lang w:val="es-ES_tradnl"/>
        </w:rPr>
      </w:pPr>
    </w:p>
    <w:p w14:paraId="5AA66CC5" w14:textId="77777777" w:rsidR="00271A44" w:rsidRPr="00E6591B" w:rsidRDefault="00271A44" w:rsidP="00271A44">
      <w:pPr>
        <w:spacing w:after="0" w:line="256" w:lineRule="auto"/>
        <w:rPr>
          <w:rFonts w:ascii="Verdana" w:eastAsia="Calibri" w:hAnsi="Verdana" w:cs="Times New Roman"/>
          <w:lang w:val="es-ES"/>
        </w:rPr>
      </w:pPr>
      <w:r w:rsidRPr="00E6591B">
        <w:rPr>
          <w:rFonts w:ascii="Verdana" w:eastAsia="Calibri" w:hAnsi="Verdana" w:cs="Times New Roman"/>
          <w:lang w:val="es-ES"/>
        </w:rPr>
        <w:t xml:space="preserve">Estimado señor William: </w:t>
      </w:r>
    </w:p>
    <w:p w14:paraId="3DA7AF56" w14:textId="77777777" w:rsidR="00271A44" w:rsidRPr="00E6591B" w:rsidRDefault="00271A44" w:rsidP="00271A44">
      <w:pPr>
        <w:spacing w:after="0" w:line="256" w:lineRule="auto"/>
        <w:rPr>
          <w:rFonts w:ascii="Verdana" w:eastAsia="Calibri" w:hAnsi="Verdana" w:cs="Times New Roman"/>
          <w:lang w:val="es-ES"/>
        </w:rPr>
      </w:pPr>
    </w:p>
    <w:p w14:paraId="64FE540D" w14:textId="77777777" w:rsidR="00271A44" w:rsidRPr="00E6591B" w:rsidRDefault="00271A44" w:rsidP="00271A44">
      <w:pPr>
        <w:spacing w:after="120" w:line="256" w:lineRule="auto"/>
        <w:jc w:val="both"/>
        <w:rPr>
          <w:rFonts w:ascii="Verdana" w:eastAsia="Calibri" w:hAnsi="Verdana" w:cs="Times New Roman"/>
          <w:lang w:val="es-ES"/>
        </w:rPr>
      </w:pPr>
      <w:r w:rsidRPr="00E6591B">
        <w:rPr>
          <w:rFonts w:ascii="Verdana" w:eastAsia="Calibri" w:hAnsi="Verdana" w:cs="Times New Roman"/>
          <w:lang w:val="es-ES"/>
        </w:rPr>
        <w:t xml:space="preserve">En ejercicio de la competencia otorgada por los artículos 3, numeral 5º, y 11, numeral 8º, del Decreto Ley 4170 de 2011, la Agencia Nacional de Contratación Pública – Colombia Compra Eficiente– responde la solicitud de consulta del 12 de septiembre de 2024. </w:t>
      </w:r>
    </w:p>
    <w:p w14:paraId="0BEB6073" w14:textId="77777777" w:rsidR="00271A44" w:rsidRPr="00E6591B" w:rsidRDefault="00271A44" w:rsidP="00271A44">
      <w:pPr>
        <w:spacing w:after="120" w:line="256" w:lineRule="auto"/>
        <w:ind w:firstLine="708"/>
        <w:jc w:val="both"/>
        <w:rPr>
          <w:rFonts w:ascii="Verdana" w:eastAsia="Calibri" w:hAnsi="Verdana" w:cs="Times New Roman"/>
          <w:i/>
          <w:iCs/>
        </w:rPr>
      </w:pPr>
      <w:r w:rsidRPr="00E6591B">
        <w:rPr>
          <w:rFonts w:ascii="Verdana" w:eastAsia="Calibri" w:hAnsi="Verdana" w:cs="Times New Roman"/>
          <w:lang w:val="es-ES"/>
        </w:rPr>
        <w:t xml:space="preserve">En dicha petición usted solicita: </w:t>
      </w:r>
      <w:r w:rsidRPr="00E6591B">
        <w:rPr>
          <w:rFonts w:ascii="Verdana" w:eastAsia="Calibri" w:hAnsi="Verdana" w:cs="Times New Roman"/>
          <w:i/>
          <w:iCs/>
          <w:lang w:val="es-ES"/>
        </w:rPr>
        <w:t>“(…)</w:t>
      </w:r>
      <w:r w:rsidRPr="00E6591B">
        <w:rPr>
          <w:rFonts w:ascii="Verdana" w:eastAsia="Calibri" w:hAnsi="Verdana" w:cs="Times New Roman"/>
          <w:i/>
          <w:iCs/>
        </w:rPr>
        <w:t xml:space="preserve"> 1. En un proceso de Concurso de Méritos Abierto que se presenta solo un (01) proponente y se encuentra habilitado, ¿es necesario aplicar las </w:t>
      </w:r>
      <w:proofErr w:type="spellStart"/>
      <w:r w:rsidRPr="00E6591B">
        <w:rPr>
          <w:rFonts w:ascii="Verdana" w:eastAsia="Calibri" w:hAnsi="Verdana" w:cs="Times New Roman"/>
          <w:i/>
          <w:iCs/>
        </w:rPr>
        <w:t>formulas</w:t>
      </w:r>
      <w:proofErr w:type="spellEnd"/>
      <w:r w:rsidRPr="00E6591B">
        <w:rPr>
          <w:rFonts w:ascii="Verdana" w:eastAsia="Calibri" w:hAnsi="Verdana" w:cs="Times New Roman"/>
          <w:i/>
          <w:iCs/>
        </w:rPr>
        <w:t xml:space="preserve"> para la asignación de puntaje por la experiencia del proponente o se puede omitir y tener en cuenta sólo los documentos habilitantes del proceso? 2. Para la aplicación de la </w:t>
      </w:r>
      <w:proofErr w:type="spellStart"/>
      <w:r w:rsidRPr="00E6591B">
        <w:rPr>
          <w:rFonts w:ascii="Verdana" w:eastAsia="Calibri" w:hAnsi="Verdana" w:cs="Times New Roman"/>
          <w:i/>
          <w:iCs/>
        </w:rPr>
        <w:t>formula</w:t>
      </w:r>
      <w:proofErr w:type="spellEnd"/>
      <w:r w:rsidRPr="00E6591B">
        <w:rPr>
          <w:rFonts w:ascii="Verdana" w:eastAsia="Calibri" w:hAnsi="Verdana" w:cs="Times New Roman"/>
          <w:i/>
          <w:iCs/>
        </w:rPr>
        <w:t xml:space="preserve"> de la media aritmética alta, se solicita se aclare si el promedio aritmético del promedio de los contratos válidos y que no fueron objeto de subsanación de las propuestas hábiles que no han sido rechazadas y se encuentran válidas, se calcula con todos los promedios de los contratos validos incluyendo el promedio de los SMMLV de los contratos validos más altos (</w:t>
      </w:r>
      <w:proofErr w:type="spellStart"/>
      <w:r w:rsidRPr="00E6591B">
        <w:rPr>
          <w:rFonts w:ascii="Verdana" w:eastAsia="Calibri" w:hAnsi="Verdana" w:cs="Times New Roman"/>
          <w:i/>
          <w:iCs/>
        </w:rPr>
        <w:t>Vmax</w:t>
      </w:r>
      <w:proofErr w:type="spellEnd"/>
      <w:r w:rsidRPr="00E6591B">
        <w:rPr>
          <w:rFonts w:ascii="Verdana" w:eastAsia="Calibri" w:hAnsi="Verdana" w:cs="Times New Roman"/>
          <w:i/>
          <w:iCs/>
        </w:rPr>
        <w:t xml:space="preserve">) o se promedia sin tener en cuenta el promedio de los contratos del proponente de los contratos validos más altos </w:t>
      </w:r>
      <w:r w:rsidRPr="00E6591B">
        <w:rPr>
          <w:rFonts w:ascii="Verdana" w:eastAsia="Calibri" w:hAnsi="Verdana" w:cs="Times New Roman"/>
          <w:i/>
          <w:iCs/>
        </w:rPr>
        <w:lastRenderedPageBreak/>
        <w:t>(</w:t>
      </w:r>
      <w:proofErr w:type="spellStart"/>
      <w:r w:rsidRPr="00E6591B">
        <w:rPr>
          <w:rFonts w:ascii="Verdana" w:eastAsia="Calibri" w:hAnsi="Verdana" w:cs="Times New Roman"/>
          <w:i/>
          <w:iCs/>
        </w:rPr>
        <w:t>Vmax</w:t>
      </w:r>
      <w:proofErr w:type="spellEnd"/>
      <w:r w:rsidRPr="00E6591B">
        <w:rPr>
          <w:rFonts w:ascii="Verdana" w:eastAsia="Calibri" w:hAnsi="Verdana" w:cs="Times New Roman"/>
          <w:i/>
          <w:iCs/>
        </w:rPr>
        <w:t xml:space="preserve">). Enunciar un ejemplo con valores numéricos de la aplicación de la </w:t>
      </w:r>
      <w:proofErr w:type="spellStart"/>
      <w:r w:rsidRPr="00E6591B">
        <w:rPr>
          <w:rFonts w:ascii="Verdana" w:eastAsia="Calibri" w:hAnsi="Verdana" w:cs="Times New Roman"/>
          <w:i/>
          <w:iCs/>
        </w:rPr>
        <w:t>formula</w:t>
      </w:r>
      <w:proofErr w:type="spellEnd"/>
      <w:r w:rsidRPr="00E6591B">
        <w:rPr>
          <w:rFonts w:ascii="Verdana" w:eastAsia="Calibri" w:hAnsi="Verdana" w:cs="Times New Roman"/>
          <w:i/>
          <w:iCs/>
        </w:rPr>
        <w:t xml:space="preserve"> para mayor claridad. (…)”.</w:t>
      </w:r>
    </w:p>
    <w:p w14:paraId="5FDFDA91" w14:textId="77777777" w:rsidR="00271A44" w:rsidRPr="00E6591B" w:rsidRDefault="00271A44" w:rsidP="00271A44">
      <w:pPr>
        <w:spacing w:after="120" w:line="256" w:lineRule="auto"/>
        <w:ind w:firstLine="709"/>
        <w:jc w:val="both"/>
        <w:rPr>
          <w:rFonts w:ascii="Verdana" w:eastAsia="Calibri" w:hAnsi="Verdana" w:cs="Times New Roman"/>
          <w:lang w:val="es-ES"/>
        </w:rPr>
      </w:pPr>
      <w:r w:rsidRPr="00E6591B">
        <w:rPr>
          <w:rFonts w:ascii="Verdana" w:eastAsia="Calibri" w:hAnsi="Verdana" w:cs="Times New Roman"/>
          <w:lang w:val="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ni a determinar grados de responsabilidad por las actuaciones de los diferentes participes del sistema de compra pública.</w:t>
      </w:r>
    </w:p>
    <w:p w14:paraId="29D0CEC2" w14:textId="77777777" w:rsidR="00271A44" w:rsidRPr="00E6591B" w:rsidRDefault="00271A44" w:rsidP="00271A44">
      <w:pPr>
        <w:spacing w:after="0" w:line="256" w:lineRule="auto"/>
        <w:ind w:firstLine="708"/>
        <w:jc w:val="both"/>
        <w:rPr>
          <w:rFonts w:ascii="Verdana" w:eastAsia="Calibri" w:hAnsi="Verdana" w:cs="Times New Roman"/>
          <w:lang w:val="es-ES"/>
        </w:rPr>
      </w:pPr>
      <w:r w:rsidRPr="00E6591B">
        <w:rPr>
          <w:rFonts w:ascii="Verdana" w:eastAsia="Calibri" w:hAnsi="Verdana" w:cs="Times New Roman"/>
          <w:lang w:val="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p>
    <w:p w14:paraId="4A98B966" w14:textId="77777777" w:rsidR="00271A44" w:rsidRPr="00E6591B" w:rsidRDefault="00271A44" w:rsidP="00271A44">
      <w:pPr>
        <w:spacing w:after="0" w:line="256" w:lineRule="auto"/>
        <w:rPr>
          <w:rFonts w:ascii="Verdana" w:eastAsia="Calibri" w:hAnsi="Verdana" w:cs="Times New Roman"/>
          <w:lang w:val="es-ES"/>
        </w:rPr>
      </w:pPr>
    </w:p>
    <w:p w14:paraId="600D5E7C" w14:textId="77777777" w:rsidR="00271A44" w:rsidRPr="00E6591B" w:rsidRDefault="00271A44" w:rsidP="00271A44">
      <w:pPr>
        <w:numPr>
          <w:ilvl w:val="0"/>
          <w:numId w:val="16"/>
        </w:numPr>
        <w:spacing w:after="0" w:line="256" w:lineRule="auto"/>
        <w:ind w:left="0" w:firstLine="0"/>
        <w:rPr>
          <w:rFonts w:ascii="Verdana" w:eastAsia="Calibri" w:hAnsi="Verdana" w:cs="Times New Roman"/>
          <w:b/>
          <w:bCs/>
          <w:lang w:val="es-ES"/>
        </w:rPr>
      </w:pPr>
      <w:r w:rsidRPr="00E6591B">
        <w:rPr>
          <w:rFonts w:ascii="Verdana" w:eastAsia="Calibri" w:hAnsi="Verdana" w:cs="Times New Roman"/>
          <w:b/>
          <w:bCs/>
          <w:lang w:val="es-ES"/>
        </w:rPr>
        <w:t>Problema planteado:</w:t>
      </w:r>
    </w:p>
    <w:p w14:paraId="7BEEB27B" w14:textId="77777777" w:rsidR="00271A44" w:rsidRPr="00E6591B" w:rsidRDefault="00271A44" w:rsidP="00271A44">
      <w:pPr>
        <w:spacing w:after="0" w:line="256" w:lineRule="auto"/>
        <w:rPr>
          <w:rFonts w:ascii="Verdana" w:eastAsia="Calibri" w:hAnsi="Verdana" w:cs="Times New Roman"/>
        </w:rPr>
      </w:pPr>
    </w:p>
    <w:p w14:paraId="0F42070E" w14:textId="77777777" w:rsidR="00271A44" w:rsidRPr="00E6591B" w:rsidRDefault="00271A44" w:rsidP="00271A44">
      <w:pPr>
        <w:spacing w:after="0" w:line="256" w:lineRule="auto"/>
        <w:jc w:val="both"/>
        <w:rPr>
          <w:rFonts w:ascii="Verdana" w:eastAsia="Calibri" w:hAnsi="Verdana" w:cs="Times New Roman"/>
        </w:rPr>
      </w:pPr>
      <w:r w:rsidRPr="00E6591B">
        <w:rPr>
          <w:rFonts w:ascii="Verdana" w:eastAsia="Calibri" w:hAnsi="Verdana" w:cs="Times New Roman"/>
        </w:rPr>
        <w:t xml:space="preserve">De acuerdo con el contenido de su solicitud, esta Agencia resolverá los siguientes problemas jurídicos: i) ¿En un proceso de concurso de méritos, se deben aplicar los criterios de ponderación establecidos en el pliego de condiciones, aun cuando solo hay un proponente habilitado?, y </w:t>
      </w:r>
      <w:proofErr w:type="spellStart"/>
      <w:r w:rsidRPr="00E6591B">
        <w:rPr>
          <w:rFonts w:ascii="Verdana" w:eastAsia="Calibri" w:hAnsi="Verdana" w:cs="Times New Roman"/>
        </w:rPr>
        <w:t>ii</w:t>
      </w:r>
      <w:proofErr w:type="spellEnd"/>
      <w:r w:rsidRPr="00E6591B">
        <w:rPr>
          <w:rFonts w:ascii="Verdana" w:eastAsia="Calibri" w:hAnsi="Verdana" w:cs="Times New Roman"/>
        </w:rPr>
        <w:t>) ¿Como</w:t>
      </w:r>
      <w:r>
        <w:rPr>
          <w:rFonts w:ascii="Verdana" w:eastAsia="Calibri" w:hAnsi="Verdana" w:cs="Times New Roman"/>
        </w:rPr>
        <w:t xml:space="preserve"> es </w:t>
      </w:r>
      <w:r w:rsidRPr="00E6591B">
        <w:rPr>
          <w:rFonts w:ascii="Verdana" w:eastAsia="Calibri" w:hAnsi="Verdana" w:cs="Times New Roman"/>
        </w:rPr>
        <w:t>la aplicación de la fórmula de la media aritmética alta</w:t>
      </w:r>
      <w:r>
        <w:rPr>
          <w:rFonts w:ascii="Verdana" w:eastAsia="Calibri" w:hAnsi="Verdana" w:cs="Times New Roman"/>
        </w:rPr>
        <w:t xml:space="preserve"> a partir de lo establecido en los Documentos Tipo expedidos por la Agencia Nacional de Contratación Pública-Colombia Compra Eficiente? </w:t>
      </w:r>
    </w:p>
    <w:p w14:paraId="73156CFD" w14:textId="77777777" w:rsidR="00271A44" w:rsidRPr="00E6591B" w:rsidRDefault="00271A44" w:rsidP="00271A44">
      <w:pPr>
        <w:spacing w:after="0" w:line="256" w:lineRule="auto"/>
        <w:rPr>
          <w:rFonts w:ascii="Verdana" w:eastAsia="Calibri" w:hAnsi="Verdana" w:cs="Times New Roman"/>
        </w:rPr>
      </w:pPr>
    </w:p>
    <w:p w14:paraId="18031C00" w14:textId="77777777" w:rsidR="00271A44" w:rsidRPr="00E6591B" w:rsidRDefault="00271A44" w:rsidP="00271A44">
      <w:pPr>
        <w:numPr>
          <w:ilvl w:val="0"/>
          <w:numId w:val="16"/>
        </w:numPr>
        <w:spacing w:after="0" w:line="256" w:lineRule="auto"/>
        <w:ind w:left="0" w:firstLine="0"/>
        <w:rPr>
          <w:rFonts w:ascii="Verdana" w:eastAsia="Calibri" w:hAnsi="Verdana" w:cs="Times New Roman"/>
          <w:b/>
          <w:bCs/>
          <w:lang w:val="es-ES"/>
        </w:rPr>
      </w:pPr>
      <w:r w:rsidRPr="00E6591B">
        <w:rPr>
          <w:rFonts w:ascii="Verdana" w:eastAsia="Calibri" w:hAnsi="Verdana" w:cs="Times New Roman"/>
          <w:b/>
          <w:bCs/>
          <w:lang w:val="es-ES"/>
        </w:rPr>
        <w:t>Respuesta:</w:t>
      </w:r>
    </w:p>
    <w:p w14:paraId="4A55E9AA" w14:textId="77777777" w:rsidR="00271A44" w:rsidRPr="00E6591B" w:rsidRDefault="00271A44" w:rsidP="00271A44">
      <w:pPr>
        <w:spacing w:after="0" w:line="256" w:lineRule="auto"/>
        <w:rPr>
          <w:rFonts w:ascii="Verdana" w:eastAsia="Calibri" w:hAnsi="Verdana" w:cs="Times New Roman"/>
          <w:b/>
          <w:bCs/>
          <w:lang w:val="es-ES"/>
        </w:rPr>
      </w:pPr>
    </w:p>
    <w:p w14:paraId="5CF20B67" w14:textId="77777777" w:rsidR="00271A44" w:rsidRPr="00E6591B" w:rsidRDefault="00271A44" w:rsidP="00271A44">
      <w:pPr>
        <w:tabs>
          <w:tab w:val="left" w:pos="567"/>
        </w:tabs>
        <w:spacing w:after="120" w:line="256" w:lineRule="auto"/>
        <w:jc w:val="both"/>
        <w:rPr>
          <w:rFonts w:ascii="Verdana" w:hAnsi="Verdana" w:cs="Arial"/>
          <w:bCs/>
          <w:color w:val="000000"/>
          <w:lang w:val="es-ES"/>
        </w:rPr>
      </w:pPr>
      <w:r w:rsidRPr="00E6591B">
        <w:rPr>
          <w:rFonts w:ascii="Verdana" w:eastAsia="Calibri" w:hAnsi="Verdana" w:cs="Times New Roman"/>
          <w:i/>
          <w:iCs/>
          <w:lang w:val="es-ES"/>
        </w:rPr>
        <w:t>En primer lugar,</w:t>
      </w:r>
      <w:r w:rsidRPr="00E6591B">
        <w:rPr>
          <w:rFonts w:ascii="Verdana" w:eastAsia="Calibri" w:hAnsi="Verdana" w:cs="Times New Roman"/>
          <w:lang w:val="es-ES"/>
        </w:rPr>
        <w:t xml:space="preserve"> se debe precisar que de conformidad a lo establecido en el numeral 2 del artículo </w:t>
      </w:r>
      <w:r w:rsidRPr="00E6591B">
        <w:rPr>
          <w:rFonts w:ascii="Verdana" w:eastAsia="Times New Roman" w:hAnsi="Verdana" w:cs="Arial"/>
          <w:lang w:val="es-ES" w:eastAsia="es-ES_tradnl"/>
        </w:rPr>
        <w:t xml:space="preserve">2.2.1.2.1.3.2 del Decreto 1082 de 2015, las entidades públicas al momento </w:t>
      </w:r>
      <w:r w:rsidRPr="00E6591B">
        <w:rPr>
          <w:rFonts w:ascii="Verdana" w:hAnsi="Verdana" w:cs="Arial"/>
          <w:bCs/>
          <w:color w:val="000000"/>
          <w:lang w:val="es-ES"/>
        </w:rPr>
        <w:t xml:space="preserve">de dar publicidad al informe de evaluación, debe contener la verificación de los requisitos habilitantes y la evaluación de las ofertas, con la respectiva asignación de puntaje a las propuestas que resulten habilitadas dentro del proceso de selección. </w:t>
      </w:r>
    </w:p>
    <w:p w14:paraId="2FD0BFF6" w14:textId="02517B91" w:rsidR="0025508D" w:rsidRDefault="00271A44" w:rsidP="0025508D">
      <w:pPr>
        <w:tabs>
          <w:tab w:val="left" w:pos="567"/>
        </w:tabs>
        <w:spacing w:after="120" w:line="256" w:lineRule="auto"/>
        <w:jc w:val="both"/>
        <w:rPr>
          <w:rFonts w:ascii="Verdana" w:hAnsi="Verdana" w:cs="Arial"/>
          <w:bCs/>
          <w:color w:val="000000"/>
          <w:lang w:val="es-ES"/>
        </w:rPr>
      </w:pPr>
      <w:r w:rsidRPr="00E6591B">
        <w:rPr>
          <w:rFonts w:ascii="Verdana" w:hAnsi="Verdana" w:cs="Arial"/>
          <w:bCs/>
          <w:color w:val="000000"/>
          <w:lang w:val="es-ES"/>
        </w:rPr>
        <w:lastRenderedPageBreak/>
        <w:tab/>
        <w:t xml:space="preserve">De lo cual, se evidencia que </w:t>
      </w:r>
      <w:proofErr w:type="spellStart"/>
      <w:r w:rsidRPr="00E6591B">
        <w:rPr>
          <w:rFonts w:ascii="Verdana" w:hAnsi="Verdana" w:cs="Arial"/>
          <w:bCs/>
          <w:color w:val="000000"/>
          <w:lang w:val="es-ES"/>
        </w:rPr>
        <w:t>a</w:t>
      </w:r>
      <w:r w:rsidR="00480FA0">
        <w:rPr>
          <w:rFonts w:ascii="Verdana" w:hAnsi="Verdana" w:cs="Arial"/>
          <w:bCs/>
          <w:color w:val="000000"/>
          <w:lang w:val="es-ES"/>
        </w:rPr>
        <w:t>ú</w:t>
      </w:r>
      <w:r w:rsidRPr="00E6591B">
        <w:rPr>
          <w:rFonts w:ascii="Verdana" w:hAnsi="Verdana" w:cs="Arial"/>
          <w:bCs/>
          <w:color w:val="000000"/>
          <w:lang w:val="es-ES"/>
        </w:rPr>
        <w:t>n</w:t>
      </w:r>
      <w:proofErr w:type="spellEnd"/>
      <w:r w:rsidRPr="00E6591B">
        <w:rPr>
          <w:rFonts w:ascii="Verdana" w:hAnsi="Verdana" w:cs="Arial"/>
          <w:bCs/>
          <w:color w:val="000000"/>
          <w:lang w:val="es-ES"/>
        </w:rPr>
        <w:t xml:space="preserve"> estando habilitado un único proponente, se deberán aplicar las condiciones ponderables establecidas en el pliego de condiciones</w:t>
      </w:r>
      <w:r w:rsidR="0025508D">
        <w:rPr>
          <w:rFonts w:ascii="Verdana" w:hAnsi="Verdana" w:cs="Arial"/>
          <w:bCs/>
          <w:color w:val="000000"/>
          <w:lang w:val="es-ES"/>
        </w:rPr>
        <w:t>.</w:t>
      </w:r>
      <w:r w:rsidRPr="00E6591B">
        <w:rPr>
          <w:rFonts w:ascii="Verdana" w:hAnsi="Verdana" w:cs="Arial"/>
          <w:bCs/>
          <w:color w:val="000000"/>
          <w:lang w:val="es-ES"/>
        </w:rPr>
        <w:t xml:space="preserve"> </w:t>
      </w:r>
      <w:r w:rsidR="0025508D">
        <w:rPr>
          <w:rFonts w:ascii="Verdana" w:hAnsi="Verdana" w:cs="Arial"/>
          <w:bCs/>
          <w:color w:val="000000"/>
          <w:lang w:val="es-ES"/>
        </w:rPr>
        <w:t xml:space="preserve">En ese orden de ideas,  de forma expresa el artículo </w:t>
      </w:r>
      <w:r w:rsidR="0025508D" w:rsidRPr="00E6591B">
        <w:rPr>
          <w:rFonts w:ascii="Verdana" w:hAnsi="Verdana" w:cs="Arial"/>
          <w:bCs/>
          <w:color w:val="000000"/>
          <w:lang w:val="es-ES"/>
        </w:rPr>
        <w:t>2.2.1.1.2.2.6. del Decreto 1082 de 2015</w:t>
      </w:r>
      <w:r w:rsidR="0025508D">
        <w:rPr>
          <w:rFonts w:ascii="Verdana" w:hAnsi="Verdana" w:cs="Arial"/>
          <w:bCs/>
          <w:color w:val="000000"/>
          <w:lang w:val="es-ES"/>
        </w:rPr>
        <w:t xml:space="preserve"> señala  que la Entidad Estatal </w:t>
      </w:r>
      <w:r w:rsidR="0025508D" w:rsidRPr="00675783">
        <w:rPr>
          <w:rFonts w:ascii="Verdana" w:hAnsi="Verdana" w:cs="Arial"/>
          <w:bCs/>
          <w:i/>
          <w:iCs/>
          <w:color w:val="000000"/>
          <w:lang w:val="es-ES"/>
        </w:rPr>
        <w:t xml:space="preserve">“ (…) </w:t>
      </w:r>
      <w:r w:rsidR="0025508D" w:rsidRPr="00675783">
        <w:rPr>
          <w:rFonts w:ascii="Verdana" w:hAnsi="Verdana" w:cs="Arial"/>
          <w:bCs/>
          <w:i/>
          <w:iCs/>
          <w:color w:val="000000"/>
        </w:rPr>
        <w:t xml:space="preserve">puede adjudicar el contrato cuando solo se haya presentado una oferta siempre que cumpla con los requisitos habilitantes exigidos y satisfaga los requisitos de los pliegos de condiciones, sin perjuicio de las disposiciones especiales establecidas en la ley y el presente título para la subasta inversa, el concurso de méritos y las reglas particulares para los procesos con convocatoria limitada a las Mipyme (…)”, </w:t>
      </w:r>
      <w:r w:rsidR="0025508D">
        <w:rPr>
          <w:rFonts w:ascii="Verdana" w:hAnsi="Verdana" w:cs="Arial"/>
          <w:bCs/>
          <w:color w:val="000000"/>
        </w:rPr>
        <w:t xml:space="preserve">de tal manera que, </w:t>
      </w:r>
      <w:r w:rsidR="0025508D" w:rsidRPr="00E6591B">
        <w:rPr>
          <w:rFonts w:ascii="Verdana" w:hAnsi="Verdana" w:cs="Arial"/>
          <w:bCs/>
          <w:color w:val="000000"/>
          <w:lang w:val="es-ES"/>
        </w:rPr>
        <w:t xml:space="preserve">es posible la adjudicación de un concurso de méritos con una única oferta, </w:t>
      </w:r>
      <w:r w:rsidR="0025508D">
        <w:rPr>
          <w:rFonts w:ascii="Verdana" w:hAnsi="Verdana" w:cs="Arial"/>
          <w:bCs/>
          <w:color w:val="000000"/>
          <w:lang w:val="es-ES"/>
        </w:rPr>
        <w:t>siempre y cuando exista cumplimiento de lo señalado en la norma y las exigencias en el pliego de condiciones, garantizando en todo caso, el principio de selección objetiva.</w:t>
      </w:r>
    </w:p>
    <w:p w14:paraId="766113AF" w14:textId="77777777" w:rsidR="0025508D" w:rsidRPr="00166572" w:rsidRDefault="0025508D" w:rsidP="0025508D">
      <w:pPr>
        <w:tabs>
          <w:tab w:val="left" w:pos="567"/>
        </w:tabs>
        <w:spacing w:after="120" w:line="256" w:lineRule="auto"/>
        <w:jc w:val="both"/>
        <w:rPr>
          <w:rFonts w:ascii="Verdana" w:hAnsi="Verdana" w:cs="Arial"/>
          <w:bCs/>
          <w:color w:val="000000"/>
          <w:lang w:val="es-ES"/>
        </w:rPr>
      </w:pPr>
      <w:r>
        <w:rPr>
          <w:rFonts w:ascii="Verdana" w:hAnsi="Verdana" w:cs="Arial"/>
          <w:bCs/>
          <w:color w:val="000000"/>
          <w:lang w:val="es-ES"/>
        </w:rPr>
        <w:t xml:space="preserve">Ahora bien,  téngase presente que si el único proponente no cumple con las exigencias de </w:t>
      </w:r>
      <w:proofErr w:type="gramStart"/>
      <w:r>
        <w:rPr>
          <w:rFonts w:ascii="Verdana" w:hAnsi="Verdana" w:cs="Arial"/>
          <w:bCs/>
          <w:color w:val="000000"/>
          <w:lang w:val="es-ES"/>
        </w:rPr>
        <w:t>las norma</w:t>
      </w:r>
      <w:proofErr w:type="gramEnd"/>
      <w:r>
        <w:rPr>
          <w:rFonts w:ascii="Verdana" w:hAnsi="Verdana" w:cs="Arial"/>
          <w:bCs/>
          <w:color w:val="000000"/>
          <w:lang w:val="es-ES"/>
        </w:rPr>
        <w:t xml:space="preserve"> en materia de contratación, las normas sectoriales y el pliego de condiciones, no podrá ser adjudicatario.</w:t>
      </w:r>
    </w:p>
    <w:p w14:paraId="4CAC56CB" w14:textId="4ECE7414" w:rsidR="00271A44" w:rsidRPr="00E6591B" w:rsidRDefault="00271A44" w:rsidP="00271A44">
      <w:pPr>
        <w:tabs>
          <w:tab w:val="left" w:pos="567"/>
        </w:tabs>
        <w:spacing w:after="120" w:line="256" w:lineRule="auto"/>
        <w:jc w:val="both"/>
        <w:rPr>
          <w:rFonts w:ascii="Verdana" w:eastAsia="Arial" w:hAnsi="Verdana" w:cs="Arial"/>
          <w:sz w:val="20"/>
          <w:szCs w:val="20"/>
          <w:lang w:val="es-ES"/>
        </w:rPr>
      </w:pPr>
    </w:p>
    <w:p w14:paraId="0A8A8490" w14:textId="77777777" w:rsidR="00271A44" w:rsidRPr="00E6591B" w:rsidRDefault="00271A44" w:rsidP="00271A44">
      <w:pPr>
        <w:tabs>
          <w:tab w:val="left" w:pos="567"/>
        </w:tabs>
        <w:spacing w:after="0" w:line="256" w:lineRule="auto"/>
        <w:jc w:val="both"/>
        <w:rPr>
          <w:rFonts w:ascii="Verdana" w:eastAsia="Calibri" w:hAnsi="Verdana" w:cs="Times New Roman"/>
          <w:lang w:val="es-ES"/>
        </w:rPr>
      </w:pPr>
    </w:p>
    <w:p w14:paraId="7F0C417B" w14:textId="2B9EA7AC" w:rsidR="00271A44" w:rsidRPr="00E6591B" w:rsidRDefault="00325A19" w:rsidP="00271A44">
      <w:pPr>
        <w:tabs>
          <w:tab w:val="left" w:pos="567"/>
        </w:tabs>
        <w:spacing w:after="0" w:line="256" w:lineRule="auto"/>
        <w:jc w:val="both"/>
        <w:rPr>
          <w:rFonts w:ascii="Verdana" w:hAnsi="Verdana" w:cstheme="majorHAnsi"/>
        </w:rPr>
      </w:pPr>
      <w:r>
        <w:rPr>
          <w:rFonts w:ascii="Verdana" w:eastAsia="Calibri" w:hAnsi="Verdana" w:cs="Times New Roman"/>
          <w:i/>
          <w:iCs/>
          <w:lang w:val="es-ES"/>
        </w:rPr>
        <w:tab/>
      </w:r>
      <w:r w:rsidR="00271A44" w:rsidRPr="00E6591B">
        <w:rPr>
          <w:rFonts w:ascii="Verdana" w:eastAsia="Calibri" w:hAnsi="Verdana" w:cs="Times New Roman"/>
          <w:i/>
          <w:iCs/>
          <w:lang w:val="es-ES"/>
        </w:rPr>
        <w:t xml:space="preserve">En segundo lugar </w:t>
      </w:r>
      <w:r w:rsidR="00271A44" w:rsidRPr="00E6591B">
        <w:rPr>
          <w:rFonts w:ascii="Verdana" w:eastAsia="Calibri" w:hAnsi="Verdana" w:cs="Times New Roman"/>
          <w:lang w:val="es-ES"/>
        </w:rPr>
        <w:t xml:space="preserve">y en atención a la consulta, </w:t>
      </w:r>
      <w:r w:rsidR="002D05FA">
        <w:rPr>
          <w:rFonts w:ascii="Verdana" w:eastAsia="Calibri" w:hAnsi="Verdana" w:cs="Times New Roman"/>
          <w:lang w:val="es-ES"/>
        </w:rPr>
        <w:t>para efectos prácticos de la misma,</w:t>
      </w:r>
      <w:r w:rsidR="00271A44" w:rsidRPr="00E6591B">
        <w:rPr>
          <w:rFonts w:ascii="Verdana" w:hAnsi="Verdana" w:cstheme="majorHAnsi"/>
        </w:rPr>
        <w:t xml:space="preserve"> </w:t>
      </w:r>
      <w:r w:rsidR="00ED1971">
        <w:rPr>
          <w:rFonts w:ascii="Verdana" w:hAnsi="Verdana" w:cstheme="majorHAnsi"/>
        </w:rPr>
        <w:t xml:space="preserve">se </w:t>
      </w:r>
      <w:r w:rsidR="00ED1971">
        <w:rPr>
          <w:rFonts w:ascii="Verdana" w:eastAsia="Calibri" w:hAnsi="Verdana" w:cs="Times New Roman"/>
          <w:lang w:val="es-ES"/>
        </w:rPr>
        <w:t>plantea un ejercicio casuístico</w:t>
      </w:r>
      <w:r w:rsidR="00ED1971">
        <w:rPr>
          <w:rFonts w:ascii="Verdana" w:hAnsi="Verdana" w:cstheme="majorHAnsi"/>
        </w:rPr>
        <w:t xml:space="preserve"> </w:t>
      </w:r>
      <w:r w:rsidR="00271A44" w:rsidRPr="00E6591B">
        <w:rPr>
          <w:rFonts w:ascii="Verdana" w:hAnsi="Verdana" w:cstheme="majorHAnsi"/>
        </w:rPr>
        <w:t xml:space="preserve">para efectos de revisar la aplicación de la fórmula establecida en el </w:t>
      </w:r>
      <w:r w:rsidR="001B62AF" w:rsidRPr="00E6591B">
        <w:rPr>
          <w:rFonts w:ascii="Verdana" w:hAnsi="Verdana" w:cstheme="majorHAnsi"/>
        </w:rPr>
        <w:t>Documentos Tipo de Interventoría del Sector Social</w:t>
      </w:r>
      <w:r w:rsidR="00271A44" w:rsidRPr="00E6591B">
        <w:rPr>
          <w:rFonts w:ascii="Verdana" w:hAnsi="Verdana" w:cstheme="majorHAnsi"/>
          <w:i/>
          <w:iCs/>
        </w:rPr>
        <w:t>, Media Aritmética Alta</w:t>
      </w:r>
      <w:r w:rsidR="000C5EC6">
        <w:rPr>
          <w:rFonts w:ascii="Verdana" w:hAnsi="Verdana" w:cstheme="majorHAnsi"/>
        </w:rPr>
        <w:t>. E</w:t>
      </w:r>
      <w:r w:rsidR="00271A44" w:rsidRPr="00E6591B">
        <w:rPr>
          <w:rFonts w:ascii="Verdana" w:hAnsi="Verdana" w:cstheme="majorHAnsi"/>
        </w:rPr>
        <w:t>n el siguiente cuadro se muestran 6 proponentes y el valor de los contratos acreditados para las ofertas habilitadas (valores expresados en SMMLV):</w:t>
      </w:r>
    </w:p>
    <w:p w14:paraId="1438FC3B" w14:textId="77777777" w:rsidR="00271A44" w:rsidRPr="00E6591B" w:rsidRDefault="00271A44" w:rsidP="00271A44">
      <w:pPr>
        <w:jc w:val="both"/>
        <w:rPr>
          <w:rFonts w:ascii="Verdana" w:hAnsi="Verdana" w:cstheme="majorHAnsi"/>
        </w:rPr>
      </w:pPr>
    </w:p>
    <w:p w14:paraId="69311050" w14:textId="77777777" w:rsidR="00271A44" w:rsidRPr="00E6591B" w:rsidRDefault="00271A44" w:rsidP="00271A44">
      <w:pPr>
        <w:jc w:val="center"/>
        <w:rPr>
          <w:rFonts w:ascii="Verdana" w:hAnsi="Verdana" w:cstheme="majorHAnsi"/>
        </w:rPr>
      </w:pPr>
      <w:r w:rsidRPr="00E6591B">
        <w:rPr>
          <w:rFonts w:ascii="Verdana" w:hAnsi="Verdana" w:cstheme="majorHAnsi"/>
          <w:noProof/>
        </w:rPr>
        <w:drawing>
          <wp:inline distT="0" distB="0" distL="0" distR="0" wp14:anchorId="259B51C2" wp14:editId="529C39FF">
            <wp:extent cx="2691323" cy="1254797"/>
            <wp:effectExtent l="0" t="0" r="1270" b="2540"/>
            <wp:docPr id="17367731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579380" name=""/>
                    <pic:cNvPicPr/>
                  </pic:nvPicPr>
                  <pic:blipFill>
                    <a:blip r:embed="rId12"/>
                    <a:stretch>
                      <a:fillRect/>
                    </a:stretch>
                  </pic:blipFill>
                  <pic:spPr>
                    <a:xfrm>
                      <a:off x="0" y="0"/>
                      <a:ext cx="2706852" cy="1262037"/>
                    </a:xfrm>
                    <a:prstGeom prst="rect">
                      <a:avLst/>
                    </a:prstGeom>
                  </pic:spPr>
                </pic:pic>
              </a:graphicData>
            </a:graphic>
          </wp:inline>
        </w:drawing>
      </w:r>
    </w:p>
    <w:p w14:paraId="1A4BC5B3" w14:textId="77777777" w:rsidR="00271A44" w:rsidRPr="00E6591B" w:rsidRDefault="00271A44" w:rsidP="00271A44">
      <w:pPr>
        <w:pStyle w:val="Prrafodelista"/>
        <w:numPr>
          <w:ilvl w:val="0"/>
          <w:numId w:val="22"/>
        </w:numPr>
        <w:spacing w:after="0" w:line="240" w:lineRule="auto"/>
        <w:jc w:val="both"/>
        <w:rPr>
          <w:rFonts w:ascii="Verdana" w:hAnsi="Verdana" w:cstheme="majorHAnsi"/>
        </w:rPr>
      </w:pPr>
      <w:r w:rsidRPr="00E6591B">
        <w:rPr>
          <w:rFonts w:ascii="Verdana" w:hAnsi="Verdana" w:cstheme="majorHAnsi"/>
        </w:rPr>
        <w:t>Como primer paso, ordenamos las ofertas en forma descendente</w:t>
      </w:r>
    </w:p>
    <w:p w14:paraId="67EC286F" w14:textId="77777777" w:rsidR="00271A44" w:rsidRPr="00E6591B" w:rsidRDefault="00271A44" w:rsidP="00271A44">
      <w:pPr>
        <w:jc w:val="both"/>
        <w:rPr>
          <w:rFonts w:ascii="Verdana" w:hAnsi="Verdana" w:cstheme="majorHAnsi"/>
        </w:rPr>
      </w:pPr>
    </w:p>
    <w:p w14:paraId="69D8244E" w14:textId="77777777" w:rsidR="00271A44" w:rsidRPr="00E6591B" w:rsidRDefault="00271A44" w:rsidP="00271A44">
      <w:pPr>
        <w:jc w:val="center"/>
        <w:rPr>
          <w:rFonts w:ascii="Verdana" w:hAnsi="Verdana" w:cstheme="majorHAnsi"/>
        </w:rPr>
      </w:pPr>
      <w:r w:rsidRPr="00E6591B">
        <w:rPr>
          <w:rFonts w:ascii="Verdana" w:hAnsi="Verdana" w:cstheme="majorHAnsi"/>
          <w:noProof/>
        </w:rPr>
        <w:lastRenderedPageBreak/>
        <w:drawing>
          <wp:inline distT="0" distB="0" distL="0" distR="0" wp14:anchorId="4E69C028" wp14:editId="49FD942D">
            <wp:extent cx="1827722" cy="1008609"/>
            <wp:effectExtent l="0" t="0" r="1270" b="0"/>
            <wp:docPr id="10299038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214671" name=""/>
                    <pic:cNvPicPr/>
                  </pic:nvPicPr>
                  <pic:blipFill>
                    <a:blip r:embed="rId13"/>
                    <a:stretch>
                      <a:fillRect/>
                    </a:stretch>
                  </pic:blipFill>
                  <pic:spPr>
                    <a:xfrm>
                      <a:off x="0" y="0"/>
                      <a:ext cx="1834323" cy="1012252"/>
                    </a:xfrm>
                    <a:prstGeom prst="rect">
                      <a:avLst/>
                    </a:prstGeom>
                  </pic:spPr>
                </pic:pic>
              </a:graphicData>
            </a:graphic>
          </wp:inline>
        </w:drawing>
      </w:r>
    </w:p>
    <w:p w14:paraId="23F5B973" w14:textId="77777777" w:rsidR="00271A44" w:rsidRPr="00E6591B" w:rsidRDefault="00271A44" w:rsidP="00271A44">
      <w:pPr>
        <w:pStyle w:val="Prrafodelista"/>
        <w:numPr>
          <w:ilvl w:val="0"/>
          <w:numId w:val="22"/>
        </w:numPr>
        <w:spacing w:after="0" w:line="240" w:lineRule="auto"/>
        <w:jc w:val="both"/>
        <w:rPr>
          <w:rFonts w:ascii="Verdana" w:hAnsi="Verdana" w:cstheme="majorHAnsi"/>
        </w:rPr>
      </w:pPr>
      <w:r w:rsidRPr="00E6591B">
        <w:rPr>
          <w:rFonts w:ascii="Verdana" w:hAnsi="Verdana" w:cstheme="majorHAnsi"/>
        </w:rPr>
        <w:t>Como segundo paso, se determina la Media aritmética alta entre el Valor total corregido (SMMLV) del promedio de los contratos válidos más altos que no fueron objeto de subsanación y el Promedio aritmético simple (promedio de los SMMLV) de los otros contratos válidos y que no fueron objeto de subsanación.</w:t>
      </w:r>
    </w:p>
    <w:p w14:paraId="24D846F2" w14:textId="77777777" w:rsidR="00271A44" w:rsidRPr="00E6591B" w:rsidRDefault="00271A44" w:rsidP="00271A44">
      <w:pPr>
        <w:pStyle w:val="Prrafodelista"/>
        <w:spacing w:after="0" w:line="240" w:lineRule="auto"/>
        <w:jc w:val="both"/>
        <w:rPr>
          <w:rFonts w:ascii="Verdana" w:hAnsi="Verdana" w:cstheme="majorHAnsi"/>
        </w:rPr>
      </w:pPr>
    </w:p>
    <w:p w14:paraId="18268769" w14:textId="77777777" w:rsidR="00271A44" w:rsidRPr="00E6591B" w:rsidRDefault="00271A44" w:rsidP="00271A44">
      <w:pPr>
        <w:jc w:val="center"/>
        <w:rPr>
          <w:rFonts w:ascii="Verdana" w:hAnsi="Verdana" w:cstheme="majorHAnsi"/>
        </w:rPr>
      </w:pPr>
      <w:r w:rsidRPr="00E6591B">
        <w:rPr>
          <w:rFonts w:ascii="Verdana" w:hAnsi="Verdana" w:cstheme="majorHAnsi"/>
          <w:noProof/>
        </w:rPr>
        <w:drawing>
          <wp:inline distT="0" distB="0" distL="0" distR="0" wp14:anchorId="202A4D6E" wp14:editId="11E92897">
            <wp:extent cx="3865776" cy="1285968"/>
            <wp:effectExtent l="0" t="0" r="0" b="0"/>
            <wp:docPr id="16824213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854034" name=""/>
                    <pic:cNvPicPr/>
                  </pic:nvPicPr>
                  <pic:blipFill>
                    <a:blip r:embed="rId14"/>
                    <a:stretch>
                      <a:fillRect/>
                    </a:stretch>
                  </pic:blipFill>
                  <pic:spPr>
                    <a:xfrm>
                      <a:off x="0" y="0"/>
                      <a:ext cx="3868883" cy="1287002"/>
                    </a:xfrm>
                    <a:prstGeom prst="rect">
                      <a:avLst/>
                    </a:prstGeom>
                  </pic:spPr>
                </pic:pic>
              </a:graphicData>
            </a:graphic>
          </wp:inline>
        </w:drawing>
      </w:r>
    </w:p>
    <w:p w14:paraId="1925844A" w14:textId="77777777" w:rsidR="00271A44" w:rsidRPr="00E6591B" w:rsidRDefault="00271A44" w:rsidP="00271A44">
      <w:pPr>
        <w:pStyle w:val="Prrafodelista"/>
        <w:numPr>
          <w:ilvl w:val="0"/>
          <w:numId w:val="22"/>
        </w:numPr>
        <w:spacing w:after="0" w:line="240" w:lineRule="auto"/>
        <w:jc w:val="both"/>
        <w:rPr>
          <w:rFonts w:ascii="Verdana" w:hAnsi="Verdana" w:cstheme="majorHAnsi"/>
        </w:rPr>
      </w:pPr>
      <w:r w:rsidRPr="00E6591B">
        <w:rPr>
          <w:rFonts w:ascii="Verdana" w:hAnsi="Verdana" w:cstheme="majorHAnsi"/>
        </w:rPr>
        <w:t xml:space="preserve">Obtenida la media aritmética alta se procederá a ponderar las propuestas habilitadas de acuerdo con la siguiente fórmula: </w:t>
      </w:r>
    </w:p>
    <w:p w14:paraId="4F50C6C0" w14:textId="77777777" w:rsidR="00271A44" w:rsidRPr="00E6591B" w:rsidRDefault="00271A44" w:rsidP="00271A44">
      <w:pPr>
        <w:jc w:val="both"/>
        <w:rPr>
          <w:rFonts w:ascii="Verdana" w:hAnsi="Verdana" w:cstheme="majorHAnsi"/>
        </w:rPr>
      </w:pPr>
    </w:p>
    <w:p w14:paraId="68E5929B" w14:textId="77777777" w:rsidR="00271A44" w:rsidRPr="00E6591B" w:rsidRDefault="00F541E5" w:rsidP="00271A44">
      <w:pPr>
        <w:jc w:val="both"/>
        <w:rPr>
          <w:rFonts w:ascii="Verdana" w:hAnsi="Verdana" w:cstheme="majorHAnsi"/>
        </w:rPr>
      </w:pPr>
      <m:oMathPara>
        <m:oMath>
          <m:sSub>
            <m:sSubPr>
              <m:ctrlPr>
                <w:rPr>
                  <w:rFonts w:ascii="Cambria Math" w:hAnsi="Cambria Math" w:cstheme="majorHAnsi"/>
                  <w:i/>
                </w:rPr>
              </m:ctrlPr>
            </m:sSubPr>
            <m:e>
              <m:r>
                <w:rPr>
                  <w:rFonts w:ascii="Cambria Math" w:hAnsi="Cambria Math" w:cstheme="majorHAnsi"/>
                </w:rPr>
                <m:t>Puntaje</m:t>
              </m:r>
            </m:e>
            <m:sub/>
          </m:sSub>
          <m:r>
            <w:rPr>
              <w:rFonts w:ascii="Cambria Math" w:hAnsi="Cambria Math" w:cstheme="majorHAnsi"/>
            </w:rPr>
            <m:t>=</m:t>
          </m:r>
          <m:d>
            <m:dPr>
              <m:begChr m:val="{"/>
              <m:endChr m:val="}"/>
              <m:ctrlPr>
                <w:rPr>
                  <w:rFonts w:ascii="Cambria Math" w:hAnsi="Cambria Math" w:cstheme="majorHAnsi"/>
                  <w:i/>
                </w:rPr>
              </m:ctrlPr>
            </m:dPr>
            <m:e>
              <m:eqArr>
                <m:eqArrPr>
                  <m:ctrlPr>
                    <w:rPr>
                      <w:rFonts w:ascii="Cambria Math" w:hAnsi="Cambria Math" w:cstheme="majorHAnsi"/>
                      <w:i/>
                    </w:rPr>
                  </m:ctrlPr>
                </m:eqArrPr>
                <m:e>
                  <m:r>
                    <w:rPr>
                      <w:rFonts w:ascii="Cambria Math" w:hAnsi="Cambria Math" w:cstheme="majorHAnsi"/>
                    </w:rPr>
                    <m:t>Puntaje máximo*</m:t>
                  </m:r>
                  <m:d>
                    <m:dPr>
                      <m:ctrlPr>
                        <w:rPr>
                          <w:rFonts w:ascii="Cambria Math" w:hAnsi="Cambria Math" w:cstheme="majorHAnsi"/>
                          <w:i/>
                        </w:rPr>
                      </m:ctrlPr>
                    </m:dPr>
                    <m:e>
                      <m:r>
                        <w:rPr>
                          <w:rFonts w:ascii="Cambria Math" w:hAnsi="Cambria Math" w:cstheme="majorHAnsi"/>
                        </w:rPr>
                        <m:t>1-</m:t>
                      </m:r>
                      <m:d>
                        <m:dPr>
                          <m:ctrlPr>
                            <w:rPr>
                              <w:rFonts w:ascii="Cambria Math" w:hAnsi="Cambria Math" w:cstheme="majorHAnsi"/>
                              <w:i/>
                            </w:rPr>
                          </m:ctrlPr>
                        </m:dPr>
                        <m:e>
                          <m:f>
                            <m:fPr>
                              <m:ctrlPr>
                                <w:rPr>
                                  <w:rFonts w:ascii="Cambria Math" w:hAnsi="Cambria Math" w:cstheme="majorHAnsi"/>
                                  <w:i/>
                                </w:rPr>
                              </m:ctrlPr>
                            </m:fPr>
                            <m:num>
                              <m:acc>
                                <m:accPr>
                                  <m:chr m:val="̅"/>
                                  <m:ctrlPr>
                                    <w:rPr>
                                      <w:rFonts w:ascii="Cambria Math" w:hAnsi="Cambria Math" w:cstheme="majorHAnsi"/>
                                      <w:i/>
                                    </w:rPr>
                                  </m:ctrlPr>
                                </m:accPr>
                                <m:e>
                                  <m:sSub>
                                    <m:sSubPr>
                                      <m:ctrlPr>
                                        <w:rPr>
                                          <w:rFonts w:ascii="Cambria Math" w:hAnsi="Cambria Math" w:cstheme="majorHAnsi"/>
                                          <w:i/>
                                        </w:rPr>
                                      </m:ctrlPr>
                                    </m:sSubPr>
                                    <m:e>
                                      <m:r>
                                        <w:rPr>
                                          <w:rFonts w:ascii="Cambria Math" w:hAnsi="Cambria Math" w:cstheme="majorHAnsi"/>
                                        </w:rPr>
                                        <m:t>X</m:t>
                                      </m:r>
                                    </m:e>
                                    <m:sub>
                                      <m:r>
                                        <w:rPr>
                                          <w:rFonts w:ascii="Cambria Math" w:hAnsi="Cambria Math" w:cstheme="majorHAnsi"/>
                                        </w:rPr>
                                        <m:t>A</m:t>
                                      </m:r>
                                    </m:sub>
                                  </m:sSub>
                                </m:e>
                              </m:acc>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V</m:t>
                                  </m:r>
                                </m:e>
                                <m:sub>
                                  <m:r>
                                    <w:rPr>
                                      <w:rFonts w:ascii="Cambria Math" w:hAnsi="Cambria Math" w:cstheme="majorHAnsi"/>
                                    </w:rPr>
                                    <m:t>i</m:t>
                                  </m:r>
                                </m:sub>
                              </m:sSub>
                            </m:num>
                            <m:den>
                              <m:acc>
                                <m:accPr>
                                  <m:chr m:val="̅"/>
                                  <m:ctrlPr>
                                    <w:rPr>
                                      <w:rFonts w:ascii="Cambria Math" w:hAnsi="Cambria Math" w:cstheme="majorHAnsi"/>
                                      <w:i/>
                                    </w:rPr>
                                  </m:ctrlPr>
                                </m:accPr>
                                <m:e>
                                  <m:sSub>
                                    <m:sSubPr>
                                      <m:ctrlPr>
                                        <w:rPr>
                                          <w:rFonts w:ascii="Cambria Math" w:hAnsi="Cambria Math" w:cstheme="majorHAnsi"/>
                                          <w:i/>
                                        </w:rPr>
                                      </m:ctrlPr>
                                    </m:sSubPr>
                                    <m:e>
                                      <m:r>
                                        <w:rPr>
                                          <w:rFonts w:ascii="Cambria Math" w:hAnsi="Cambria Math" w:cstheme="majorHAnsi"/>
                                        </w:rPr>
                                        <m:t>X</m:t>
                                      </m:r>
                                    </m:e>
                                    <m:sub>
                                      <m:r>
                                        <w:rPr>
                                          <w:rFonts w:ascii="Cambria Math" w:hAnsi="Cambria Math" w:cstheme="majorHAnsi"/>
                                        </w:rPr>
                                        <m:t>A</m:t>
                                      </m:r>
                                    </m:sub>
                                  </m:sSub>
                                </m:e>
                              </m:acc>
                            </m:den>
                          </m:f>
                        </m:e>
                      </m:d>
                    </m:e>
                  </m:d>
                  <m:r>
                    <w:rPr>
                      <w:rFonts w:ascii="Cambria Math" w:hAnsi="Cambria Math" w:cstheme="majorHAnsi"/>
                    </w:rPr>
                    <m:t xml:space="preserve"> Para valores menores o iguales a </m:t>
                  </m:r>
                  <m:acc>
                    <m:accPr>
                      <m:chr m:val="̅"/>
                      <m:ctrlPr>
                        <w:rPr>
                          <w:rFonts w:ascii="Cambria Math" w:hAnsi="Cambria Math" w:cstheme="majorHAnsi"/>
                          <w:i/>
                        </w:rPr>
                      </m:ctrlPr>
                    </m:accPr>
                    <m:e>
                      <m:sSub>
                        <m:sSubPr>
                          <m:ctrlPr>
                            <w:rPr>
                              <w:rFonts w:ascii="Cambria Math" w:hAnsi="Cambria Math" w:cstheme="majorHAnsi"/>
                              <w:i/>
                            </w:rPr>
                          </m:ctrlPr>
                        </m:sSubPr>
                        <m:e>
                          <m:r>
                            <w:rPr>
                              <w:rFonts w:ascii="Cambria Math" w:hAnsi="Cambria Math" w:cstheme="majorHAnsi"/>
                            </w:rPr>
                            <m:t>X</m:t>
                          </m:r>
                        </m:e>
                        <m:sub>
                          <m:r>
                            <w:rPr>
                              <w:rFonts w:ascii="Cambria Math" w:hAnsi="Cambria Math" w:cstheme="majorHAnsi"/>
                            </w:rPr>
                            <m:t>A</m:t>
                          </m:r>
                        </m:sub>
                      </m:sSub>
                    </m:e>
                  </m:acc>
                </m:e>
                <m:e>
                  <m:r>
                    <w:rPr>
                      <w:rFonts w:ascii="Cambria Math" w:hAnsi="Cambria Math" w:cstheme="majorHAnsi"/>
                    </w:rPr>
                    <m:t xml:space="preserve"> </m:t>
                  </m:r>
                </m:e>
                <m:e>
                  <m:r>
                    <w:rPr>
                      <w:rFonts w:ascii="Cambria Math" w:hAnsi="Cambria Math" w:cstheme="majorHAnsi"/>
                    </w:rPr>
                    <m:t xml:space="preserve"> </m:t>
                  </m:r>
                </m:e>
                <m:e>
                  <m:r>
                    <w:rPr>
                      <w:rFonts w:ascii="Cambria Math" w:hAnsi="Cambria Math" w:cstheme="majorHAnsi"/>
                    </w:rPr>
                    <m:t xml:space="preserve"> </m:t>
                  </m:r>
                </m:e>
                <m:e>
                  <m:r>
                    <w:rPr>
                      <w:rFonts w:ascii="Cambria Math" w:hAnsi="Cambria Math" w:cstheme="majorHAnsi"/>
                    </w:rPr>
                    <m:t>Puntaje máximo*</m:t>
                  </m:r>
                  <m:d>
                    <m:dPr>
                      <m:ctrlPr>
                        <w:rPr>
                          <w:rFonts w:ascii="Cambria Math" w:hAnsi="Cambria Math" w:cstheme="majorHAnsi"/>
                          <w:i/>
                        </w:rPr>
                      </m:ctrlPr>
                    </m:dPr>
                    <m:e>
                      <m:r>
                        <w:rPr>
                          <w:rFonts w:ascii="Cambria Math" w:hAnsi="Cambria Math" w:cstheme="majorHAnsi"/>
                        </w:rPr>
                        <m:t>1-2*</m:t>
                      </m:r>
                      <m:d>
                        <m:dPr>
                          <m:ctrlPr>
                            <w:rPr>
                              <w:rFonts w:ascii="Cambria Math" w:hAnsi="Cambria Math" w:cstheme="majorHAnsi"/>
                              <w:i/>
                            </w:rPr>
                          </m:ctrlPr>
                        </m:dPr>
                        <m:e>
                          <m:f>
                            <m:fPr>
                              <m:ctrlPr>
                                <w:rPr>
                                  <w:rFonts w:ascii="Cambria Math" w:hAnsi="Cambria Math" w:cstheme="majorHAnsi"/>
                                  <w:i/>
                                </w:rPr>
                              </m:ctrlPr>
                            </m:fPr>
                            <m:num>
                              <m:d>
                                <m:dPr>
                                  <m:begChr m:val="|"/>
                                  <m:endChr m:val="|"/>
                                  <m:ctrlPr>
                                    <w:rPr>
                                      <w:rFonts w:ascii="Cambria Math" w:hAnsi="Cambria Math" w:cstheme="majorHAnsi"/>
                                      <w:i/>
                                    </w:rPr>
                                  </m:ctrlPr>
                                </m:dPr>
                                <m:e>
                                  <m:r>
                                    <w:rPr>
                                      <w:rFonts w:ascii="Cambria Math" w:hAnsi="Cambria Math" w:cstheme="majorHAnsi"/>
                                    </w:rPr>
                                    <m:t xml:space="preserve"> </m:t>
                                  </m:r>
                                  <m:acc>
                                    <m:accPr>
                                      <m:chr m:val="̅"/>
                                      <m:ctrlPr>
                                        <w:rPr>
                                          <w:rFonts w:ascii="Cambria Math" w:hAnsi="Cambria Math" w:cstheme="majorHAnsi"/>
                                          <w:i/>
                                        </w:rPr>
                                      </m:ctrlPr>
                                    </m:accPr>
                                    <m:e>
                                      <m:sSub>
                                        <m:sSubPr>
                                          <m:ctrlPr>
                                            <w:rPr>
                                              <w:rFonts w:ascii="Cambria Math" w:hAnsi="Cambria Math" w:cstheme="majorHAnsi"/>
                                              <w:i/>
                                            </w:rPr>
                                          </m:ctrlPr>
                                        </m:sSubPr>
                                        <m:e>
                                          <m:r>
                                            <w:rPr>
                                              <w:rFonts w:ascii="Cambria Math" w:hAnsi="Cambria Math" w:cstheme="majorHAnsi"/>
                                            </w:rPr>
                                            <m:t>X</m:t>
                                          </m:r>
                                        </m:e>
                                        <m:sub>
                                          <m:r>
                                            <w:rPr>
                                              <w:rFonts w:ascii="Cambria Math" w:hAnsi="Cambria Math" w:cstheme="majorHAnsi"/>
                                            </w:rPr>
                                            <m:t>A</m:t>
                                          </m:r>
                                        </m:sub>
                                      </m:sSub>
                                    </m:e>
                                  </m:acc>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V</m:t>
                                      </m:r>
                                    </m:e>
                                    <m:sub>
                                      <m:r>
                                        <w:rPr>
                                          <w:rFonts w:ascii="Cambria Math" w:hAnsi="Cambria Math" w:cstheme="majorHAnsi"/>
                                        </w:rPr>
                                        <m:t>i</m:t>
                                      </m:r>
                                    </m:sub>
                                  </m:sSub>
                                  <m:r>
                                    <w:rPr>
                                      <w:rFonts w:ascii="Cambria Math" w:hAnsi="Cambria Math" w:cstheme="majorHAnsi"/>
                                    </w:rPr>
                                    <m:t xml:space="preserve"> </m:t>
                                  </m:r>
                                </m:e>
                              </m:d>
                            </m:num>
                            <m:den>
                              <m:acc>
                                <m:accPr>
                                  <m:chr m:val="̅"/>
                                  <m:ctrlPr>
                                    <w:rPr>
                                      <w:rFonts w:ascii="Cambria Math" w:hAnsi="Cambria Math" w:cstheme="majorHAnsi"/>
                                      <w:i/>
                                    </w:rPr>
                                  </m:ctrlPr>
                                </m:accPr>
                                <m:e>
                                  <m:sSub>
                                    <m:sSubPr>
                                      <m:ctrlPr>
                                        <w:rPr>
                                          <w:rFonts w:ascii="Cambria Math" w:hAnsi="Cambria Math" w:cstheme="majorHAnsi"/>
                                          <w:i/>
                                        </w:rPr>
                                      </m:ctrlPr>
                                    </m:sSubPr>
                                    <m:e>
                                      <m:r>
                                        <w:rPr>
                                          <w:rFonts w:ascii="Cambria Math" w:hAnsi="Cambria Math" w:cstheme="majorHAnsi"/>
                                        </w:rPr>
                                        <m:t>X</m:t>
                                      </m:r>
                                    </m:e>
                                    <m:sub>
                                      <m:r>
                                        <w:rPr>
                                          <w:rFonts w:ascii="Cambria Math" w:hAnsi="Cambria Math" w:cstheme="majorHAnsi"/>
                                        </w:rPr>
                                        <m:t>A</m:t>
                                      </m:r>
                                    </m:sub>
                                  </m:sSub>
                                </m:e>
                              </m:acc>
                            </m:den>
                          </m:f>
                        </m:e>
                      </m:d>
                    </m:e>
                  </m:d>
                  <m:r>
                    <w:rPr>
                      <w:rFonts w:ascii="Cambria Math" w:hAnsi="Cambria Math" w:cstheme="majorHAnsi"/>
                    </w:rPr>
                    <m:t xml:space="preserve"> Para valores mayores a </m:t>
                  </m:r>
                  <m:acc>
                    <m:accPr>
                      <m:chr m:val="̅"/>
                      <m:ctrlPr>
                        <w:rPr>
                          <w:rFonts w:ascii="Cambria Math" w:hAnsi="Cambria Math" w:cstheme="majorHAnsi"/>
                          <w:i/>
                        </w:rPr>
                      </m:ctrlPr>
                    </m:accPr>
                    <m:e>
                      <m:sSub>
                        <m:sSubPr>
                          <m:ctrlPr>
                            <w:rPr>
                              <w:rFonts w:ascii="Cambria Math" w:hAnsi="Cambria Math" w:cstheme="majorHAnsi"/>
                              <w:i/>
                            </w:rPr>
                          </m:ctrlPr>
                        </m:sSubPr>
                        <m:e>
                          <m:r>
                            <w:rPr>
                              <w:rFonts w:ascii="Cambria Math" w:hAnsi="Cambria Math" w:cstheme="majorHAnsi"/>
                            </w:rPr>
                            <m:t>X</m:t>
                          </m:r>
                        </m:e>
                        <m:sub>
                          <m:r>
                            <w:rPr>
                              <w:rFonts w:ascii="Cambria Math" w:hAnsi="Cambria Math" w:cstheme="majorHAnsi"/>
                            </w:rPr>
                            <m:t>A</m:t>
                          </m:r>
                        </m:sub>
                      </m:sSub>
                    </m:e>
                  </m:acc>
                </m:e>
              </m:eqArr>
            </m:e>
          </m:d>
        </m:oMath>
      </m:oMathPara>
    </w:p>
    <w:p w14:paraId="4A3642DD" w14:textId="77777777" w:rsidR="00271A44" w:rsidRPr="00E6591B" w:rsidRDefault="00271A44" w:rsidP="00271A44">
      <w:pPr>
        <w:rPr>
          <w:rFonts w:ascii="Verdana" w:hAnsi="Verdana" w:cstheme="majorHAnsi"/>
        </w:rPr>
      </w:pPr>
    </w:p>
    <w:p w14:paraId="1EAFEA1C" w14:textId="77777777" w:rsidR="00271A44" w:rsidRPr="00E6591B" w:rsidRDefault="00271A44" w:rsidP="00271A44">
      <w:pPr>
        <w:jc w:val="both"/>
        <w:rPr>
          <w:rFonts w:ascii="Verdana" w:eastAsia="Arial" w:hAnsi="Verdana" w:cs="Arial"/>
          <w:sz w:val="20"/>
          <w:szCs w:val="20"/>
          <w:lang w:eastAsia="es-ES"/>
        </w:rPr>
      </w:pPr>
      <w:r w:rsidRPr="00E6591B">
        <w:rPr>
          <w:rFonts w:ascii="Verdana" w:eastAsia="Arial" w:hAnsi="Verdana" w:cs="Arial"/>
          <w:sz w:val="20"/>
          <w:szCs w:val="20"/>
          <w:lang w:eastAsia="es-ES"/>
        </w:rPr>
        <w:t xml:space="preserve">Donde: </w:t>
      </w:r>
    </w:p>
    <w:p w14:paraId="5DB4F522" w14:textId="77777777" w:rsidR="00271A44" w:rsidRPr="00E6591B" w:rsidRDefault="00F541E5" w:rsidP="00271A44">
      <w:pPr>
        <w:numPr>
          <w:ilvl w:val="0"/>
          <w:numId w:val="21"/>
        </w:numPr>
        <w:spacing w:after="0" w:line="240" w:lineRule="auto"/>
        <w:jc w:val="both"/>
        <w:rPr>
          <w:rFonts w:ascii="Verdana" w:eastAsia="Arial" w:hAnsi="Verdana" w:cstheme="majorHAnsi"/>
          <w:sz w:val="20"/>
          <w:szCs w:val="20"/>
          <w:lang w:eastAsia="es-ES"/>
        </w:rPr>
      </w:pPr>
      <m:oMath>
        <m:acc>
          <m:accPr>
            <m:chr m:val="̅"/>
            <m:ctrlPr>
              <w:rPr>
                <w:rFonts w:ascii="Cambria Math" w:eastAsia="Arial" w:hAnsi="Cambria Math" w:cs="Arial"/>
                <w:i/>
                <w:sz w:val="20"/>
                <w:szCs w:val="20"/>
                <w:lang w:eastAsia="es-ES"/>
              </w:rPr>
            </m:ctrlPr>
          </m:accPr>
          <m:e>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X</m:t>
                </m:r>
              </m:e>
              <m:sub>
                <m:r>
                  <w:rPr>
                    <w:rFonts w:ascii="Cambria Math" w:eastAsia="Arial" w:hAnsi="Cambria Math" w:cs="Arial"/>
                    <w:sz w:val="20"/>
                    <w:szCs w:val="20"/>
                    <w:lang w:eastAsia="es-ES"/>
                  </w:rPr>
                  <m:t>A</m:t>
                </m:r>
              </m:sub>
            </m:sSub>
          </m:e>
        </m:acc>
      </m:oMath>
      <w:r w:rsidR="00271A44" w:rsidRPr="00E6591B">
        <w:rPr>
          <w:rFonts w:ascii="Verdana" w:eastAsia="Arial" w:hAnsi="Verdana" w:cs="Arial"/>
          <w:sz w:val="20"/>
          <w:szCs w:val="20"/>
          <w:lang w:eastAsia="es-ES"/>
        </w:rPr>
        <w:t xml:space="preserve">: </w:t>
      </w:r>
      <w:r w:rsidR="00271A44" w:rsidRPr="00E6591B">
        <w:rPr>
          <w:rFonts w:ascii="Verdana" w:eastAsia="Arial" w:hAnsi="Verdana" w:cstheme="majorHAnsi"/>
          <w:sz w:val="20"/>
          <w:szCs w:val="20"/>
          <w:lang w:eastAsia="es-ES"/>
        </w:rPr>
        <w:t>Es la media aritmética alta.</w:t>
      </w:r>
    </w:p>
    <w:p w14:paraId="022D05B4" w14:textId="77777777" w:rsidR="00271A44" w:rsidRPr="00E6591B" w:rsidRDefault="00F541E5" w:rsidP="00271A44">
      <w:pPr>
        <w:numPr>
          <w:ilvl w:val="0"/>
          <w:numId w:val="21"/>
        </w:numPr>
        <w:spacing w:after="0" w:line="240" w:lineRule="auto"/>
        <w:jc w:val="both"/>
        <w:rPr>
          <w:rFonts w:ascii="Verdana" w:eastAsia="Arial" w:hAnsi="Verdana" w:cstheme="majorHAnsi"/>
          <w:sz w:val="20"/>
          <w:szCs w:val="20"/>
          <w:lang w:eastAsia="es-ES"/>
        </w:rPr>
      </w:pPr>
      <m:oMath>
        <m:sSub>
          <m:sSubPr>
            <m:ctrlPr>
              <w:rPr>
                <w:rFonts w:ascii="Cambria Math" w:eastAsia="Arial" w:hAnsi="Cambria Math" w:cstheme="majorHAnsi"/>
                <w:i/>
                <w:sz w:val="20"/>
                <w:szCs w:val="20"/>
                <w:lang w:eastAsia="es-ES"/>
              </w:rPr>
            </m:ctrlPr>
          </m:sSubPr>
          <m:e>
            <m:r>
              <w:rPr>
                <w:rFonts w:ascii="Cambria Math" w:eastAsia="Arial" w:hAnsi="Cambria Math" w:cstheme="majorHAnsi"/>
                <w:sz w:val="20"/>
                <w:szCs w:val="20"/>
                <w:lang w:eastAsia="es-ES"/>
              </w:rPr>
              <m:t>V</m:t>
            </m:r>
          </m:e>
          <m:sub>
            <m:r>
              <w:rPr>
                <w:rFonts w:ascii="Cambria Math" w:eastAsia="Arial" w:hAnsi="Cambria Math" w:cstheme="majorHAnsi"/>
                <w:sz w:val="20"/>
                <w:szCs w:val="20"/>
                <w:lang w:eastAsia="es-ES"/>
              </w:rPr>
              <m:t>i</m:t>
            </m:r>
          </m:sub>
        </m:sSub>
      </m:oMath>
      <w:r w:rsidR="00271A44" w:rsidRPr="00E6591B">
        <w:rPr>
          <w:rFonts w:ascii="Verdana" w:eastAsia="Arial" w:hAnsi="Verdana" w:cstheme="majorHAnsi"/>
          <w:sz w:val="20"/>
          <w:szCs w:val="20"/>
          <w:lang w:eastAsia="es-ES"/>
        </w:rPr>
        <w:t>: Es el valor promedio de los SMMLV de los contratos válidos y que no fueron objeto de subsanación</w:t>
      </w:r>
      <w:r w:rsidR="00271A44" w:rsidRPr="00E6591B">
        <w:rPr>
          <w:rFonts w:ascii="Verdana" w:eastAsia="Arial" w:hAnsi="Verdana" w:cstheme="majorHAnsi"/>
          <w:sz w:val="20"/>
          <w:szCs w:val="20"/>
          <w:lang w:val="es-MX" w:eastAsia="es-ES"/>
        </w:rPr>
        <w:t xml:space="preserve"> </w:t>
      </w:r>
      <w:r w:rsidR="00271A44" w:rsidRPr="00E6591B">
        <w:rPr>
          <w:rFonts w:ascii="Verdana" w:eastAsia="Arial" w:hAnsi="Verdana" w:cstheme="majorHAnsi"/>
          <w:sz w:val="20"/>
          <w:szCs w:val="20"/>
          <w:lang w:eastAsia="es-ES"/>
        </w:rPr>
        <w:t>de cada una de las propuestas “i”.</w:t>
      </w:r>
    </w:p>
    <w:p w14:paraId="14407088" w14:textId="77777777" w:rsidR="00271A44" w:rsidRPr="00E6591B" w:rsidRDefault="00271A44" w:rsidP="00271A44">
      <w:pPr>
        <w:jc w:val="both"/>
        <w:rPr>
          <w:rFonts w:ascii="Verdana" w:hAnsi="Verdana" w:cstheme="majorHAnsi"/>
        </w:rPr>
      </w:pPr>
    </w:p>
    <w:p w14:paraId="0729D659" w14:textId="6ED0C924" w:rsidR="00271A44" w:rsidRPr="00E6591B" w:rsidRDefault="00271A44" w:rsidP="00271A44">
      <w:pPr>
        <w:jc w:val="both"/>
        <w:rPr>
          <w:rFonts w:ascii="Verdana" w:hAnsi="Verdana" w:cstheme="majorHAnsi"/>
        </w:rPr>
      </w:pPr>
      <w:r w:rsidRPr="00E6591B">
        <w:rPr>
          <w:rFonts w:ascii="Verdana" w:hAnsi="Verdana" w:cstheme="majorHAnsi"/>
        </w:rPr>
        <w:t xml:space="preserve">El puntaje máximo para otorgar, de acuerdo con lo establecido en el </w:t>
      </w:r>
      <w:r w:rsidR="000357D1">
        <w:rPr>
          <w:rFonts w:ascii="Verdana" w:hAnsi="Verdana" w:cstheme="majorHAnsi"/>
        </w:rPr>
        <w:t>C</w:t>
      </w:r>
      <w:r w:rsidRPr="00E6591B">
        <w:rPr>
          <w:rFonts w:ascii="Verdana" w:hAnsi="Verdana" w:cstheme="majorHAnsi"/>
        </w:rPr>
        <w:t xml:space="preserve">apítulo </w:t>
      </w:r>
      <w:r w:rsidR="000357D1">
        <w:rPr>
          <w:rFonts w:ascii="Verdana" w:hAnsi="Verdana" w:cstheme="majorHAnsi"/>
        </w:rPr>
        <w:t>I</w:t>
      </w:r>
      <w:r w:rsidRPr="00E6591B">
        <w:rPr>
          <w:rFonts w:ascii="Verdana" w:hAnsi="Verdana" w:cstheme="majorHAnsi"/>
        </w:rPr>
        <w:t xml:space="preserve">V del Documento base para no Mipymes, corresponde a la tabla que se muestra a continuación, sin embargo, hay que aclarar que el ejemplo está planteado para </w:t>
      </w:r>
      <w:r w:rsidRPr="00E6591B">
        <w:rPr>
          <w:rFonts w:ascii="Verdana" w:hAnsi="Verdana" w:cstheme="majorHAnsi"/>
        </w:rPr>
        <w:lastRenderedPageBreak/>
        <w:t xml:space="preserve">los Documentos Tipo de Interventoría del Sector Social, en donde el puntaje máximo es 67,5. </w:t>
      </w:r>
    </w:p>
    <w:p w14:paraId="6B10BCA4" w14:textId="77777777" w:rsidR="00271A44" w:rsidRPr="00E6591B" w:rsidRDefault="00271A44" w:rsidP="00271A44">
      <w:pPr>
        <w:jc w:val="center"/>
        <w:rPr>
          <w:rFonts w:ascii="Verdana" w:hAnsi="Verdana" w:cstheme="majorHAnsi"/>
        </w:rPr>
      </w:pPr>
      <w:r w:rsidRPr="00E6591B">
        <w:rPr>
          <w:rFonts w:ascii="Verdana" w:hAnsi="Verdana" w:cstheme="majorHAnsi"/>
          <w:noProof/>
        </w:rPr>
        <w:drawing>
          <wp:inline distT="0" distB="0" distL="0" distR="0" wp14:anchorId="38C6E21A" wp14:editId="31DC7313">
            <wp:extent cx="2249465" cy="1194727"/>
            <wp:effectExtent l="0" t="0" r="0" b="0"/>
            <wp:docPr id="1334696655" name="Imagen 2"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64586" name="Imagen 2" descr="Tabla&#10;&#10;Descripción generada automáticament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63778" cy="1202329"/>
                    </a:xfrm>
                    <a:prstGeom prst="rect">
                      <a:avLst/>
                    </a:prstGeom>
                  </pic:spPr>
                </pic:pic>
              </a:graphicData>
            </a:graphic>
          </wp:inline>
        </w:drawing>
      </w:r>
    </w:p>
    <w:p w14:paraId="7C21D523" w14:textId="77777777" w:rsidR="00271A44" w:rsidRPr="00E6591B" w:rsidRDefault="00271A44" w:rsidP="00271A44">
      <w:pPr>
        <w:jc w:val="center"/>
        <w:rPr>
          <w:rFonts w:ascii="Verdana" w:hAnsi="Verdana" w:cstheme="majorHAnsi"/>
        </w:rPr>
      </w:pPr>
      <w:r w:rsidRPr="00E6591B">
        <w:rPr>
          <w:rFonts w:ascii="Verdana" w:hAnsi="Verdana" w:cstheme="majorHAnsi"/>
          <w:noProof/>
        </w:rPr>
        <w:drawing>
          <wp:inline distT="0" distB="0" distL="0" distR="0" wp14:anchorId="723B2631" wp14:editId="623510DF">
            <wp:extent cx="3337226" cy="253986"/>
            <wp:effectExtent l="0" t="0" r="0" b="635"/>
            <wp:docPr id="263738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74882" name=""/>
                    <pic:cNvPicPr/>
                  </pic:nvPicPr>
                  <pic:blipFill>
                    <a:blip r:embed="rId16"/>
                    <a:stretch>
                      <a:fillRect/>
                    </a:stretch>
                  </pic:blipFill>
                  <pic:spPr>
                    <a:xfrm>
                      <a:off x="0" y="0"/>
                      <a:ext cx="3396656" cy="258509"/>
                    </a:xfrm>
                    <a:prstGeom prst="rect">
                      <a:avLst/>
                    </a:prstGeom>
                  </pic:spPr>
                </pic:pic>
              </a:graphicData>
            </a:graphic>
          </wp:inline>
        </w:drawing>
      </w:r>
    </w:p>
    <w:p w14:paraId="38FA9FC5" w14:textId="77777777" w:rsidR="00271A44" w:rsidRPr="00E6591B" w:rsidRDefault="00271A44" w:rsidP="00271A44">
      <w:pPr>
        <w:jc w:val="center"/>
        <w:rPr>
          <w:rFonts w:ascii="Verdana" w:hAnsi="Verdana" w:cstheme="majorHAnsi"/>
        </w:rPr>
      </w:pPr>
    </w:p>
    <w:p w14:paraId="01D00C61" w14:textId="77777777" w:rsidR="00271A44" w:rsidRPr="00E6591B" w:rsidRDefault="00271A44" w:rsidP="00271A44">
      <w:pPr>
        <w:pStyle w:val="Prrafodelista"/>
        <w:numPr>
          <w:ilvl w:val="1"/>
          <w:numId w:val="22"/>
        </w:numPr>
        <w:spacing w:after="0" w:line="240" w:lineRule="auto"/>
        <w:jc w:val="both"/>
        <w:rPr>
          <w:rFonts w:ascii="Verdana" w:eastAsiaTheme="minorEastAsia" w:hAnsi="Verdana" w:cstheme="majorHAnsi"/>
        </w:rPr>
      </w:pPr>
      <w:r w:rsidRPr="00E6591B">
        <w:rPr>
          <w:rFonts w:ascii="Verdana" w:hAnsi="Verdana" w:cstheme="majorHAnsi"/>
        </w:rPr>
        <w:t xml:space="preserve">Aplicando la fórmula para el rango de valores </w:t>
      </w:r>
      <m:oMath>
        <m:r>
          <w:rPr>
            <w:rFonts w:ascii="Cambria Math" w:hAnsi="Cambria Math" w:cstheme="majorHAnsi"/>
          </w:rPr>
          <m:t xml:space="preserve">menores o iguales a </m:t>
        </m:r>
        <m:acc>
          <m:accPr>
            <m:chr m:val="̅"/>
            <m:ctrlPr>
              <w:rPr>
                <w:rFonts w:ascii="Cambria Math" w:hAnsi="Cambria Math" w:cstheme="majorHAnsi"/>
                <w:i/>
              </w:rPr>
            </m:ctrlPr>
          </m:accPr>
          <m:e>
            <m:sSub>
              <m:sSubPr>
                <m:ctrlPr>
                  <w:rPr>
                    <w:rFonts w:ascii="Cambria Math" w:hAnsi="Cambria Math" w:cstheme="majorHAnsi"/>
                    <w:i/>
                  </w:rPr>
                </m:ctrlPr>
              </m:sSubPr>
              <m:e>
                <m:r>
                  <w:rPr>
                    <w:rFonts w:ascii="Cambria Math" w:hAnsi="Cambria Math" w:cstheme="majorHAnsi"/>
                  </w:rPr>
                  <m:t>X</m:t>
                </m:r>
              </m:e>
              <m:sub>
                <m:r>
                  <w:rPr>
                    <w:rFonts w:ascii="Cambria Math" w:hAnsi="Cambria Math" w:cstheme="majorHAnsi"/>
                  </w:rPr>
                  <m:t>A</m:t>
                </m:r>
              </m:sub>
            </m:sSub>
          </m:e>
        </m:acc>
      </m:oMath>
      <w:r w:rsidRPr="00E6591B">
        <w:rPr>
          <w:rFonts w:ascii="Verdana" w:eastAsiaTheme="minorEastAsia" w:hAnsi="Verdana" w:cstheme="majorHAnsi"/>
        </w:rPr>
        <w:t xml:space="preserve"> (Media Aritmética Alta), tenemos que el puntaje para los proponentes del ejemplo citado es:</w:t>
      </w:r>
    </w:p>
    <w:p w14:paraId="2577A77A" w14:textId="77777777" w:rsidR="00271A44" w:rsidRPr="00E6591B" w:rsidRDefault="00271A44" w:rsidP="00271A44">
      <w:pPr>
        <w:jc w:val="right"/>
        <w:rPr>
          <w:rFonts w:ascii="Verdana" w:hAnsi="Verdana" w:cstheme="majorHAnsi"/>
        </w:rPr>
      </w:pPr>
      <w:r w:rsidRPr="00E6591B">
        <w:rPr>
          <w:rFonts w:ascii="Verdana" w:hAnsi="Verdana" w:cstheme="majorHAnsi"/>
          <w:noProof/>
        </w:rPr>
        <w:drawing>
          <wp:inline distT="0" distB="0" distL="0" distR="0" wp14:anchorId="28D52A95" wp14:editId="14CF5B5E">
            <wp:extent cx="5165725" cy="981144"/>
            <wp:effectExtent l="0" t="0" r="3175" b="0"/>
            <wp:docPr id="19286844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013225" name=""/>
                    <pic:cNvPicPr/>
                  </pic:nvPicPr>
                  <pic:blipFill>
                    <a:blip r:embed="rId17"/>
                    <a:stretch>
                      <a:fillRect/>
                    </a:stretch>
                  </pic:blipFill>
                  <pic:spPr>
                    <a:xfrm>
                      <a:off x="0" y="0"/>
                      <a:ext cx="5201777" cy="987991"/>
                    </a:xfrm>
                    <a:prstGeom prst="rect">
                      <a:avLst/>
                    </a:prstGeom>
                  </pic:spPr>
                </pic:pic>
              </a:graphicData>
            </a:graphic>
          </wp:inline>
        </w:drawing>
      </w:r>
    </w:p>
    <w:p w14:paraId="7A60BCAD" w14:textId="77777777" w:rsidR="00271A44" w:rsidRPr="00E6591B" w:rsidRDefault="00271A44" w:rsidP="00271A44">
      <w:pPr>
        <w:pStyle w:val="Prrafodelista"/>
        <w:numPr>
          <w:ilvl w:val="1"/>
          <w:numId w:val="22"/>
        </w:numPr>
        <w:spacing w:after="0" w:line="240" w:lineRule="auto"/>
        <w:jc w:val="both"/>
        <w:rPr>
          <w:rFonts w:ascii="Verdana" w:eastAsiaTheme="minorEastAsia" w:hAnsi="Verdana" w:cstheme="majorHAnsi"/>
        </w:rPr>
      </w:pPr>
      <w:r w:rsidRPr="00E6591B">
        <w:rPr>
          <w:rFonts w:ascii="Verdana" w:hAnsi="Verdana" w:cstheme="majorHAnsi"/>
        </w:rPr>
        <w:t xml:space="preserve">Aplicando la fórmula para el rango de valores </w:t>
      </w:r>
      <m:oMath>
        <m:r>
          <w:rPr>
            <w:rFonts w:ascii="Cambria Math" w:hAnsi="Cambria Math" w:cstheme="majorHAnsi"/>
          </w:rPr>
          <m:t xml:space="preserve">mayores  </m:t>
        </m:r>
        <m:acc>
          <m:accPr>
            <m:chr m:val="̅"/>
            <m:ctrlPr>
              <w:rPr>
                <w:rFonts w:ascii="Cambria Math" w:hAnsi="Cambria Math" w:cstheme="majorHAnsi"/>
                <w:i/>
              </w:rPr>
            </m:ctrlPr>
          </m:accPr>
          <m:e>
            <m:sSub>
              <m:sSubPr>
                <m:ctrlPr>
                  <w:rPr>
                    <w:rFonts w:ascii="Cambria Math" w:hAnsi="Cambria Math" w:cstheme="majorHAnsi"/>
                    <w:i/>
                  </w:rPr>
                </m:ctrlPr>
              </m:sSubPr>
              <m:e>
                <m:r>
                  <w:rPr>
                    <w:rFonts w:ascii="Cambria Math" w:hAnsi="Cambria Math" w:cstheme="majorHAnsi"/>
                  </w:rPr>
                  <m:t>X</m:t>
                </m:r>
              </m:e>
              <m:sub>
                <m:r>
                  <w:rPr>
                    <w:rFonts w:ascii="Cambria Math" w:hAnsi="Cambria Math" w:cstheme="majorHAnsi"/>
                  </w:rPr>
                  <m:t>A</m:t>
                </m:r>
              </m:sub>
            </m:sSub>
          </m:e>
        </m:acc>
      </m:oMath>
      <w:r w:rsidRPr="00E6591B">
        <w:rPr>
          <w:rFonts w:ascii="Verdana" w:eastAsiaTheme="minorEastAsia" w:hAnsi="Verdana" w:cstheme="majorHAnsi"/>
        </w:rPr>
        <w:t xml:space="preserve"> (Media Aritmética Alta), tenemos que el puntaje para los proponentes del ejemplo citado es:</w:t>
      </w:r>
    </w:p>
    <w:p w14:paraId="6C332305" w14:textId="77777777" w:rsidR="00271A44" w:rsidRPr="00E6591B" w:rsidRDefault="00271A44" w:rsidP="00271A44">
      <w:pPr>
        <w:pStyle w:val="Prrafodelista"/>
        <w:jc w:val="both"/>
        <w:rPr>
          <w:rFonts w:ascii="Verdana" w:hAnsi="Verdana" w:cstheme="majorHAnsi"/>
        </w:rPr>
      </w:pPr>
    </w:p>
    <w:p w14:paraId="00D35F7F" w14:textId="77777777" w:rsidR="00271A44" w:rsidRPr="00E6591B" w:rsidRDefault="00271A44" w:rsidP="00271A44">
      <w:pPr>
        <w:pStyle w:val="Prrafodelista"/>
        <w:jc w:val="right"/>
        <w:rPr>
          <w:rFonts w:ascii="Verdana" w:hAnsi="Verdana" w:cstheme="majorHAnsi"/>
        </w:rPr>
      </w:pPr>
      <w:r w:rsidRPr="00E6591B">
        <w:rPr>
          <w:rFonts w:ascii="Verdana" w:hAnsi="Verdana" w:cstheme="majorHAnsi"/>
          <w:noProof/>
        </w:rPr>
        <w:drawing>
          <wp:inline distT="0" distB="0" distL="0" distR="0" wp14:anchorId="71F0D254" wp14:editId="3EC1CEA9">
            <wp:extent cx="5115253" cy="900601"/>
            <wp:effectExtent l="0" t="0" r="3175" b="1270"/>
            <wp:docPr id="19034002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544711" name=""/>
                    <pic:cNvPicPr/>
                  </pic:nvPicPr>
                  <pic:blipFill>
                    <a:blip r:embed="rId18"/>
                    <a:stretch>
                      <a:fillRect/>
                    </a:stretch>
                  </pic:blipFill>
                  <pic:spPr>
                    <a:xfrm>
                      <a:off x="0" y="0"/>
                      <a:ext cx="5265365" cy="927030"/>
                    </a:xfrm>
                    <a:prstGeom prst="rect">
                      <a:avLst/>
                    </a:prstGeom>
                  </pic:spPr>
                </pic:pic>
              </a:graphicData>
            </a:graphic>
          </wp:inline>
        </w:drawing>
      </w:r>
    </w:p>
    <w:p w14:paraId="4803352C" w14:textId="0CC2B29F" w:rsidR="00271A44" w:rsidRPr="00E6591B" w:rsidRDefault="00271A44" w:rsidP="00271A44">
      <w:pPr>
        <w:tabs>
          <w:tab w:val="left" w:pos="567"/>
        </w:tabs>
        <w:spacing w:after="0" w:line="256" w:lineRule="auto"/>
        <w:jc w:val="both"/>
        <w:rPr>
          <w:rFonts w:ascii="Verdana" w:eastAsia="Calibri" w:hAnsi="Verdana" w:cs="Times New Roman"/>
          <w:lang w:val="es-ES"/>
        </w:rPr>
      </w:pPr>
      <w:r w:rsidRPr="00E6591B">
        <w:rPr>
          <w:rFonts w:ascii="Verdana" w:eastAsia="Calibri" w:hAnsi="Verdana" w:cs="Times New Roman"/>
          <w:lang w:val="es-ES"/>
        </w:rPr>
        <w:t xml:space="preserve">Teniendo en cuenta lo establecido en </w:t>
      </w:r>
      <w:r w:rsidR="001B62AF">
        <w:rPr>
          <w:rFonts w:ascii="Verdana" w:eastAsia="Calibri" w:hAnsi="Verdana" w:cs="Times New Roman"/>
          <w:lang w:val="es-ES"/>
        </w:rPr>
        <w:t xml:space="preserve">los </w:t>
      </w:r>
      <w:r w:rsidR="001B62AF" w:rsidRPr="00E6591B">
        <w:rPr>
          <w:rFonts w:ascii="Verdana" w:hAnsi="Verdana" w:cstheme="majorHAnsi"/>
        </w:rPr>
        <w:t>Documentos Tipo de Interventoría del Sector Social</w:t>
      </w:r>
      <w:r w:rsidRPr="00E6591B">
        <w:rPr>
          <w:rFonts w:ascii="Verdana" w:eastAsia="Calibri" w:hAnsi="Verdana" w:cs="Times New Roman"/>
          <w:lang w:val="es-ES"/>
        </w:rPr>
        <w:t>, se propuso el ejemplo a efecto de demostrar la aplicación de la fórmula de la media aritmética alta, en el escenario planteado por el peticionario.</w:t>
      </w:r>
    </w:p>
    <w:p w14:paraId="3E1BAF01" w14:textId="77777777" w:rsidR="00271A44" w:rsidRPr="00E6591B" w:rsidRDefault="00271A44" w:rsidP="00271A44">
      <w:pPr>
        <w:tabs>
          <w:tab w:val="left" w:pos="567"/>
        </w:tabs>
        <w:spacing w:after="0" w:line="256" w:lineRule="auto"/>
        <w:jc w:val="both"/>
        <w:rPr>
          <w:rFonts w:ascii="Verdana" w:eastAsia="Calibri" w:hAnsi="Verdana" w:cs="Times New Roman"/>
          <w:lang w:val="es-ES"/>
        </w:rPr>
      </w:pPr>
    </w:p>
    <w:p w14:paraId="47158C62" w14:textId="77777777" w:rsidR="00271A44" w:rsidRPr="00E6591B" w:rsidRDefault="00271A44" w:rsidP="00271A44">
      <w:pPr>
        <w:tabs>
          <w:tab w:val="left" w:pos="567"/>
        </w:tabs>
        <w:spacing w:after="0" w:line="256" w:lineRule="auto"/>
        <w:jc w:val="both"/>
        <w:rPr>
          <w:rFonts w:ascii="Verdana" w:eastAsia="Calibri" w:hAnsi="Verdana" w:cs="Times New Roman"/>
          <w:b/>
          <w:bCs/>
          <w:lang w:val="es-ES"/>
        </w:rPr>
      </w:pPr>
      <w:r w:rsidRPr="00E6591B">
        <w:rPr>
          <w:rFonts w:ascii="Verdana" w:eastAsia="Calibri" w:hAnsi="Verdana" w:cs="Times New Roman"/>
          <w:lang w:val="es-MX"/>
        </w:rPr>
        <w:t xml:space="preserve"> </w:t>
      </w:r>
      <w:r w:rsidRPr="00E6591B">
        <w:rPr>
          <w:rFonts w:ascii="Verdana" w:eastAsia="Calibri" w:hAnsi="Verdana" w:cs="Times New Roman"/>
          <w:b/>
          <w:bCs/>
          <w:lang w:val="es-ES"/>
        </w:rPr>
        <w:t>Razones de la respuesta:</w:t>
      </w:r>
    </w:p>
    <w:p w14:paraId="20B76F55" w14:textId="77777777" w:rsidR="00271A44" w:rsidRPr="00E6591B" w:rsidRDefault="00271A44" w:rsidP="00271A44">
      <w:pPr>
        <w:spacing w:after="0" w:line="256" w:lineRule="auto"/>
        <w:rPr>
          <w:rFonts w:ascii="Verdana" w:eastAsia="Calibri" w:hAnsi="Verdana" w:cs="Times New Roman"/>
          <w:b/>
          <w:bCs/>
          <w:lang w:val="es-ES"/>
        </w:rPr>
      </w:pPr>
    </w:p>
    <w:p w14:paraId="3836E0A7" w14:textId="77777777" w:rsidR="00271A44" w:rsidRPr="00E6591B" w:rsidRDefault="00271A44" w:rsidP="00271A44">
      <w:pPr>
        <w:spacing w:after="0" w:line="276" w:lineRule="auto"/>
        <w:jc w:val="both"/>
        <w:rPr>
          <w:rFonts w:ascii="Verdana" w:eastAsia="Calibri" w:hAnsi="Verdana" w:cs="Arial"/>
          <w:lang w:val="es-ES"/>
        </w:rPr>
      </w:pPr>
      <w:r w:rsidRPr="00E6591B">
        <w:rPr>
          <w:rFonts w:ascii="Verdana" w:eastAsia="Calibri" w:hAnsi="Verdana" w:cs="Arial"/>
          <w:lang w:val="es-ES"/>
        </w:rPr>
        <w:t xml:space="preserve">Lo anterior se sustenta en las siguientes consideraciones: </w:t>
      </w:r>
    </w:p>
    <w:p w14:paraId="2C55392A" w14:textId="77777777" w:rsidR="00271A44" w:rsidRPr="00E6591B" w:rsidRDefault="00271A44" w:rsidP="00271A44">
      <w:pPr>
        <w:spacing w:after="0" w:line="276" w:lineRule="auto"/>
        <w:jc w:val="both"/>
        <w:rPr>
          <w:rFonts w:ascii="Verdana" w:eastAsia="Calibri" w:hAnsi="Verdana" w:cs="Arial"/>
          <w:lang w:val="es-ES"/>
        </w:rPr>
      </w:pPr>
    </w:p>
    <w:p w14:paraId="5C7ED992" w14:textId="77777777" w:rsidR="00271A44" w:rsidRPr="00E6591B" w:rsidRDefault="00271A44" w:rsidP="00271A44">
      <w:pPr>
        <w:tabs>
          <w:tab w:val="left" w:pos="426"/>
          <w:tab w:val="left" w:pos="709"/>
        </w:tabs>
        <w:spacing w:after="120" w:line="254" w:lineRule="auto"/>
        <w:contextualSpacing/>
        <w:jc w:val="both"/>
        <w:rPr>
          <w:rFonts w:ascii="Verdana" w:hAnsi="Verdana" w:cs="Arial"/>
          <w:bCs/>
          <w:color w:val="000000"/>
          <w:lang w:val="es-ES"/>
        </w:rPr>
      </w:pPr>
      <w:r w:rsidRPr="00E6591B">
        <w:rPr>
          <w:rFonts w:ascii="Verdana" w:hAnsi="Verdana" w:cs="Arial"/>
          <w:bCs/>
          <w:color w:val="000000"/>
          <w:lang w:val="es-ES"/>
        </w:rPr>
        <w:lastRenderedPageBreak/>
        <w:tab/>
        <w:t xml:space="preserve">En primer lugar. se abordará la temática de la evaluación en los procesos de Concurso de Méritos y lo referente a la evaluación y aplicación de los criterios de ponderación, de la siguiente manera: </w:t>
      </w:r>
    </w:p>
    <w:p w14:paraId="096DA3AA" w14:textId="77777777" w:rsidR="00271A44" w:rsidRPr="00E6591B" w:rsidRDefault="00271A44" w:rsidP="00271A44">
      <w:pPr>
        <w:tabs>
          <w:tab w:val="left" w:pos="709"/>
        </w:tabs>
        <w:spacing w:after="120" w:line="254" w:lineRule="auto"/>
        <w:contextualSpacing/>
        <w:jc w:val="both"/>
        <w:rPr>
          <w:rFonts w:ascii="Verdana" w:hAnsi="Verdana" w:cs="Arial"/>
          <w:bCs/>
          <w:color w:val="000000"/>
          <w:lang w:val="es-ES"/>
        </w:rPr>
      </w:pPr>
    </w:p>
    <w:p w14:paraId="4E2C5A44" w14:textId="77777777" w:rsidR="00271A44" w:rsidRPr="00E6591B" w:rsidRDefault="00271A44" w:rsidP="00271A44">
      <w:pPr>
        <w:numPr>
          <w:ilvl w:val="0"/>
          <w:numId w:val="18"/>
        </w:numPr>
        <w:tabs>
          <w:tab w:val="left" w:pos="709"/>
        </w:tabs>
        <w:spacing w:after="120" w:line="254" w:lineRule="auto"/>
        <w:ind w:left="709"/>
        <w:contextualSpacing/>
        <w:jc w:val="both"/>
        <w:rPr>
          <w:rFonts w:ascii="Verdana" w:hAnsi="Verdana" w:cs="Arial"/>
          <w:bCs/>
          <w:color w:val="000000"/>
          <w:lang w:val="es-ES"/>
        </w:rPr>
      </w:pPr>
      <w:r w:rsidRPr="00E6591B">
        <w:rPr>
          <w:rFonts w:ascii="Verdana" w:hAnsi="Verdana" w:cs="Arial"/>
          <w:color w:val="000000"/>
          <w:lang w:val="es-ES"/>
        </w:rPr>
        <w:t>La contratación estatal tiene como propósito el cumplimiento de los fines estatales</w:t>
      </w:r>
      <w:r w:rsidRPr="00E6591B">
        <w:rPr>
          <w:rFonts w:ascii="Verdana" w:hAnsi="Verdana" w:cs="Arial"/>
          <w:color w:val="000000"/>
          <w:vertAlign w:val="superscript"/>
          <w:lang w:val="es-ES"/>
        </w:rPr>
        <w:footnoteReference w:id="1"/>
      </w:r>
      <w:r w:rsidRPr="00E6591B">
        <w:rPr>
          <w:rFonts w:ascii="Verdana" w:hAnsi="Verdana" w:cs="Arial"/>
          <w:color w:val="000000"/>
          <w:lang w:val="es-ES"/>
        </w:rPr>
        <w:t>, la continua y eficiente prestación de los servicios públicos y la efectividad de los derechos e intereses de los administrados que colaboran con las entidades estatales en la consecución de dichos fines. En cumplimiento de ese propósito, el legislador determinó que las actuaciones adelantadas por las entidades estatales, en materia contractual, se llevan a cabo, entre otros, en cumplimiento de los principios que gobiernan los procesos de contratación pública.</w:t>
      </w:r>
    </w:p>
    <w:p w14:paraId="168FD4AC" w14:textId="77777777" w:rsidR="00271A44" w:rsidRPr="00E6591B" w:rsidRDefault="00271A44" w:rsidP="00271A44">
      <w:pPr>
        <w:tabs>
          <w:tab w:val="left" w:pos="709"/>
        </w:tabs>
        <w:spacing w:after="120" w:line="254" w:lineRule="auto"/>
        <w:ind w:left="709"/>
        <w:contextualSpacing/>
        <w:jc w:val="both"/>
        <w:rPr>
          <w:rFonts w:ascii="Verdana" w:hAnsi="Verdana" w:cs="Arial"/>
          <w:bCs/>
          <w:color w:val="000000"/>
          <w:lang w:val="es-ES"/>
        </w:rPr>
      </w:pPr>
      <w:r w:rsidRPr="00E6591B">
        <w:rPr>
          <w:rFonts w:ascii="Verdana" w:hAnsi="Verdana" w:cs="Arial"/>
          <w:color w:val="000000"/>
          <w:lang w:val="es-ES"/>
        </w:rPr>
        <w:t xml:space="preserve"> </w:t>
      </w:r>
    </w:p>
    <w:p w14:paraId="26DE8887" w14:textId="77777777" w:rsidR="00271A44" w:rsidRPr="00E6591B" w:rsidRDefault="00271A44" w:rsidP="00271A44">
      <w:pPr>
        <w:numPr>
          <w:ilvl w:val="0"/>
          <w:numId w:val="18"/>
        </w:numPr>
        <w:tabs>
          <w:tab w:val="left" w:pos="709"/>
        </w:tabs>
        <w:spacing w:after="120" w:line="254" w:lineRule="auto"/>
        <w:ind w:left="709"/>
        <w:contextualSpacing/>
        <w:jc w:val="both"/>
        <w:rPr>
          <w:rFonts w:ascii="Verdana" w:hAnsi="Verdana" w:cs="Arial"/>
          <w:bCs/>
          <w:color w:val="000000"/>
          <w:lang w:val="es-ES"/>
        </w:rPr>
      </w:pPr>
      <w:r w:rsidRPr="00E6591B">
        <w:rPr>
          <w:rFonts w:ascii="Verdana" w:hAnsi="Verdana" w:cs="Arial"/>
          <w:bCs/>
          <w:color w:val="000000"/>
          <w:lang w:val="es-ES"/>
        </w:rPr>
        <w:t xml:space="preserve">El artículo 23 de la Ley 80 de 1993 determina los principios aplicables a las actuaciones contractuales adelantadas por las entidades estatales, entre otros, se estableció el principio de transparencia de la actividad contractual, objeto de regulación expresa en el artículo 24 del citado cuerpo normativo. </w:t>
      </w:r>
    </w:p>
    <w:p w14:paraId="422865CE" w14:textId="77777777" w:rsidR="00271A44" w:rsidRPr="00E6591B" w:rsidRDefault="00271A44" w:rsidP="00271A44">
      <w:pPr>
        <w:tabs>
          <w:tab w:val="left" w:pos="709"/>
        </w:tabs>
        <w:spacing w:after="120" w:line="254" w:lineRule="auto"/>
        <w:ind w:left="709"/>
        <w:contextualSpacing/>
        <w:jc w:val="both"/>
        <w:rPr>
          <w:rFonts w:ascii="Verdana" w:hAnsi="Verdana" w:cs="Arial"/>
          <w:bCs/>
          <w:color w:val="000000"/>
          <w:lang w:val="es-ES"/>
        </w:rPr>
      </w:pPr>
    </w:p>
    <w:p w14:paraId="22D6639C" w14:textId="77777777" w:rsidR="00271A44" w:rsidRPr="00E6591B" w:rsidRDefault="00271A44" w:rsidP="00271A44">
      <w:pPr>
        <w:numPr>
          <w:ilvl w:val="0"/>
          <w:numId w:val="18"/>
        </w:numPr>
        <w:tabs>
          <w:tab w:val="left" w:pos="709"/>
        </w:tabs>
        <w:spacing w:after="120" w:line="254" w:lineRule="auto"/>
        <w:ind w:left="709"/>
        <w:contextualSpacing/>
        <w:jc w:val="both"/>
        <w:rPr>
          <w:rFonts w:ascii="Verdana" w:hAnsi="Verdana" w:cs="Arial"/>
          <w:bCs/>
          <w:color w:val="000000"/>
          <w:lang w:val="es-ES"/>
        </w:rPr>
      </w:pPr>
      <w:r w:rsidRPr="00E6591B">
        <w:rPr>
          <w:rFonts w:ascii="Verdana" w:hAnsi="Verdana" w:cs="Arial"/>
          <w:bCs/>
          <w:color w:val="000000"/>
          <w:lang w:val="es-ES"/>
        </w:rPr>
        <w:t>Este principio guarda estrecha relación con el de publicidad, que rige el ejercicio de la función administrativa</w:t>
      </w:r>
      <w:r w:rsidRPr="00E6591B">
        <w:rPr>
          <w:rFonts w:ascii="Verdana" w:hAnsi="Verdana" w:cs="Arial"/>
          <w:bCs/>
          <w:color w:val="000000"/>
          <w:vertAlign w:val="superscript"/>
          <w:lang w:val="es-ES"/>
        </w:rPr>
        <w:footnoteReference w:id="2"/>
      </w:r>
      <w:r w:rsidRPr="00E6591B">
        <w:rPr>
          <w:rFonts w:ascii="Verdana" w:hAnsi="Verdana" w:cs="Arial"/>
          <w:bCs/>
          <w:color w:val="000000"/>
          <w:lang w:val="es-ES"/>
        </w:rPr>
        <w:t>, por eso, en los numerales 2º y 3º ibidem se estableció la facultad de los interesados para realizar y/o presentar observaciones, como un mecanismo para controvertir algunas de las decisiones adoptadas por las entidades estatales en el marco de sus actuaciones, por demás públicas, en los procesos contractuales.</w:t>
      </w:r>
    </w:p>
    <w:p w14:paraId="15B80DFF" w14:textId="77777777" w:rsidR="00271A44" w:rsidRPr="00E6591B" w:rsidRDefault="00271A44" w:rsidP="00271A44">
      <w:pPr>
        <w:spacing w:line="254" w:lineRule="auto"/>
        <w:ind w:left="720"/>
        <w:contextualSpacing/>
        <w:rPr>
          <w:rFonts w:ascii="Verdana" w:hAnsi="Verdana" w:cs="Arial"/>
          <w:bCs/>
          <w:color w:val="000000"/>
          <w:lang w:val="es-ES"/>
        </w:rPr>
      </w:pPr>
    </w:p>
    <w:p w14:paraId="50FDBD90" w14:textId="77777777" w:rsidR="00271A44" w:rsidRPr="00E6591B" w:rsidRDefault="00271A44" w:rsidP="00271A44">
      <w:pPr>
        <w:numPr>
          <w:ilvl w:val="0"/>
          <w:numId w:val="18"/>
        </w:numPr>
        <w:tabs>
          <w:tab w:val="left" w:pos="709"/>
        </w:tabs>
        <w:spacing w:after="120" w:line="254" w:lineRule="auto"/>
        <w:ind w:left="709"/>
        <w:contextualSpacing/>
        <w:jc w:val="both"/>
        <w:rPr>
          <w:rFonts w:ascii="Verdana" w:hAnsi="Verdana" w:cs="Arial"/>
          <w:color w:val="000000"/>
          <w:lang w:val="es-ES"/>
        </w:rPr>
      </w:pPr>
      <w:r w:rsidRPr="00E6591B">
        <w:rPr>
          <w:rFonts w:ascii="Verdana" w:hAnsi="Verdana" w:cs="Arial"/>
          <w:color w:val="000000"/>
          <w:lang w:val="es-ES"/>
        </w:rPr>
        <w:t>Por su parte, se debe hacer referencia al principio de selección objetiva regulado en el artículo 5 de la Ley 1150 del 2007</w:t>
      </w:r>
      <w:r w:rsidRPr="00E6591B">
        <w:rPr>
          <w:rFonts w:ascii="Verdana" w:hAnsi="Verdana" w:cs="Arial"/>
          <w:color w:val="000000"/>
          <w:vertAlign w:val="superscript"/>
          <w:lang w:val="es-ES"/>
        </w:rPr>
        <w:footnoteReference w:id="3"/>
      </w:r>
      <w:r w:rsidRPr="00E6591B">
        <w:rPr>
          <w:rFonts w:ascii="Verdana" w:hAnsi="Verdana" w:cs="Arial"/>
          <w:color w:val="000000"/>
          <w:lang w:val="es-ES"/>
        </w:rPr>
        <w:t xml:space="preserve">, el cual, tiene como </w:t>
      </w:r>
      <w:r w:rsidRPr="00E6591B">
        <w:rPr>
          <w:rFonts w:ascii="Verdana" w:hAnsi="Verdana" w:cs="Arial"/>
          <w:color w:val="000000"/>
          <w:lang w:val="es-ES"/>
        </w:rPr>
        <w:lastRenderedPageBreak/>
        <w:t>finalidad orientar la escogencia del futuro contratista del Estado, en los procedimientos de selección adelantados por las entidades públicas, que se traduce en la exigencia de que la elección no esté basada en apreciaciones o factores subjetivos, sino en criterios objetivos, de carácter técnico, jurídico y financiero. En tal sentido, se trata de un principio que se inspira en principios como la igualdad (art. 13, C.P.) y la buena fe –manifestada en la confianza legítima– (art. 83 C.P.), así como de los principios de la función administrativa y de la gestión fiscal (arts. 209 y 267 C.P.).</w:t>
      </w:r>
    </w:p>
    <w:p w14:paraId="315E138E" w14:textId="77777777" w:rsidR="00271A44" w:rsidRPr="00E6591B" w:rsidRDefault="00271A44" w:rsidP="00271A44">
      <w:pPr>
        <w:spacing w:line="254" w:lineRule="auto"/>
        <w:ind w:left="720"/>
        <w:contextualSpacing/>
        <w:rPr>
          <w:rFonts w:ascii="Verdana" w:hAnsi="Verdana" w:cs="Arial"/>
          <w:color w:val="000000"/>
          <w:lang w:val="es-ES"/>
        </w:rPr>
      </w:pPr>
    </w:p>
    <w:p w14:paraId="01210B0D" w14:textId="77777777" w:rsidR="00271A44" w:rsidRPr="00E6591B" w:rsidRDefault="00271A44" w:rsidP="00271A44">
      <w:pPr>
        <w:numPr>
          <w:ilvl w:val="0"/>
          <w:numId w:val="18"/>
        </w:numPr>
        <w:tabs>
          <w:tab w:val="left" w:pos="709"/>
        </w:tabs>
        <w:spacing w:after="120" w:line="254" w:lineRule="auto"/>
        <w:ind w:left="709"/>
        <w:contextualSpacing/>
        <w:jc w:val="both"/>
        <w:rPr>
          <w:rFonts w:ascii="Verdana" w:hAnsi="Verdana" w:cs="Arial"/>
          <w:color w:val="000000"/>
          <w:lang w:val="es-ES"/>
        </w:rPr>
      </w:pPr>
      <w:r w:rsidRPr="00E6591B">
        <w:rPr>
          <w:rFonts w:ascii="Verdana" w:hAnsi="Verdana" w:cs="Arial"/>
          <w:color w:val="000000"/>
          <w:lang w:val="es-ES"/>
        </w:rPr>
        <w:t>Dicho principio rector de los procedimientos de selección, además, encuentra fundamento legal en disposiciones como el  literal a del numeral 5º del artículo 24 de la Ley 80 de 1993, que exige incorporar requisitos objetivos en los pliegos de condiciones; a su vez, el literal b), numeral 5º, el artículo 24, impone a las entidades definir “reglas objetivas, justas, claras y completas que permitan la confección de ofrecimientos de la misma índole, aseguren una escogencia objetiva y eviten la declaratoria de desierta de la licitación.</w:t>
      </w:r>
    </w:p>
    <w:p w14:paraId="6BB1AABE" w14:textId="77777777" w:rsidR="00271A44" w:rsidRPr="00E6591B" w:rsidRDefault="00271A44" w:rsidP="00271A44">
      <w:pPr>
        <w:spacing w:line="254" w:lineRule="auto"/>
        <w:ind w:left="720"/>
        <w:contextualSpacing/>
        <w:rPr>
          <w:rFonts w:ascii="Verdana" w:hAnsi="Verdana" w:cs="Arial"/>
          <w:color w:val="000000"/>
          <w:lang w:val="es-ES"/>
        </w:rPr>
      </w:pPr>
    </w:p>
    <w:p w14:paraId="19F01DA2" w14:textId="77777777" w:rsidR="00271A44" w:rsidRPr="00E6591B" w:rsidRDefault="00271A44" w:rsidP="00271A44">
      <w:pPr>
        <w:numPr>
          <w:ilvl w:val="0"/>
          <w:numId w:val="18"/>
        </w:numPr>
        <w:tabs>
          <w:tab w:val="left" w:pos="709"/>
        </w:tabs>
        <w:spacing w:after="120" w:line="254" w:lineRule="auto"/>
        <w:ind w:left="709"/>
        <w:contextualSpacing/>
        <w:jc w:val="both"/>
        <w:rPr>
          <w:rFonts w:ascii="Verdana" w:hAnsi="Verdana" w:cs="Arial"/>
          <w:bCs/>
          <w:color w:val="000000"/>
          <w:lang w:val="es-ES"/>
        </w:rPr>
      </w:pPr>
      <w:r w:rsidRPr="00E6591B">
        <w:rPr>
          <w:rFonts w:ascii="Verdana" w:hAnsi="Verdana" w:cs="Arial"/>
          <w:bCs/>
          <w:color w:val="000000"/>
          <w:lang w:val="es-ES"/>
        </w:rPr>
        <w:t>Atendiendo la finalidad y alcance de los principios antes referidos, el legislador ha dispuesto distintas etapas en los procesos de selección tendientes a permitir la publicidad de los análisis realizados por las Entidades Estatales, el cual es aplicable a cada una de las modalidades establecidas en el artículo 2 de la Ley 1150 de 2007, con el fin de identificar cuál de todas las ofertas recibidas es aquella que mejor satisface sus necesidades en términos técnicos y económicos.</w:t>
      </w:r>
    </w:p>
    <w:p w14:paraId="2BAD905E" w14:textId="77777777" w:rsidR="00271A44" w:rsidRPr="00E6591B" w:rsidRDefault="00271A44" w:rsidP="00271A44">
      <w:pPr>
        <w:tabs>
          <w:tab w:val="left" w:pos="709"/>
        </w:tabs>
        <w:spacing w:after="120" w:line="254" w:lineRule="auto"/>
        <w:ind w:left="709"/>
        <w:contextualSpacing/>
        <w:jc w:val="both"/>
        <w:rPr>
          <w:rFonts w:ascii="Verdana" w:hAnsi="Verdana" w:cs="Arial"/>
          <w:bCs/>
          <w:color w:val="000000"/>
          <w:lang w:val="es-ES"/>
        </w:rPr>
      </w:pPr>
    </w:p>
    <w:p w14:paraId="3C8828AF" w14:textId="77777777" w:rsidR="00271A44" w:rsidRPr="00E6591B" w:rsidRDefault="00271A44" w:rsidP="00271A44">
      <w:pPr>
        <w:numPr>
          <w:ilvl w:val="0"/>
          <w:numId w:val="18"/>
        </w:numPr>
        <w:tabs>
          <w:tab w:val="left" w:pos="709"/>
        </w:tabs>
        <w:spacing w:after="120" w:line="254" w:lineRule="auto"/>
        <w:ind w:left="709"/>
        <w:contextualSpacing/>
        <w:jc w:val="both"/>
        <w:rPr>
          <w:rFonts w:ascii="Verdana" w:hAnsi="Verdana" w:cs="Arial"/>
          <w:bCs/>
          <w:color w:val="000000"/>
          <w:lang w:val="es-ES"/>
        </w:rPr>
      </w:pPr>
      <w:r w:rsidRPr="00E6591B">
        <w:rPr>
          <w:rFonts w:ascii="Verdana" w:hAnsi="Verdana" w:cs="Arial"/>
          <w:bCs/>
          <w:color w:val="000000"/>
          <w:lang w:val="es-ES"/>
        </w:rPr>
        <w:t>Conforme a lo anterior, el artículo 2.2.1.1.2.1.3 del Decreto 1082 de 2015</w:t>
      </w:r>
      <w:r w:rsidRPr="00E6591B">
        <w:rPr>
          <w:rFonts w:ascii="Verdana" w:hAnsi="Verdana"/>
          <w:vertAlign w:val="superscript"/>
          <w:lang w:val="es-ES"/>
        </w:rPr>
        <w:footnoteReference w:id="4"/>
      </w:r>
      <w:r w:rsidRPr="00E6591B">
        <w:rPr>
          <w:rFonts w:ascii="Verdana" w:hAnsi="Verdana" w:cs="Arial"/>
          <w:bCs/>
          <w:color w:val="000000"/>
          <w:lang w:val="es-ES"/>
        </w:rPr>
        <w:t xml:space="preserve">, establece que en el pliego de condiciones deben definirse “las reglas aplicables a la presentación de las ofertas, su evaluación y a la adjudicación del contrato”; así como el cronograma del proceso de selección. Lo expuesto implica que las entidades deberán establecer en el respectivo pliego de condiciones de acuerdo con la modalidad de selección el término que el Decreto 1082 del 2015 establece para el traslado al </w:t>
      </w:r>
      <w:r w:rsidRPr="00E6591B">
        <w:rPr>
          <w:rFonts w:ascii="Verdana" w:hAnsi="Verdana" w:cs="Arial"/>
          <w:bCs/>
          <w:color w:val="000000"/>
          <w:lang w:val="es-ES"/>
        </w:rPr>
        <w:lastRenderedPageBreak/>
        <w:t xml:space="preserve">informe de evaluación en cada uno de los procedimientos de adjudicación, de tal manera que este pueda ser conocido con anticipación por los interesados. </w:t>
      </w:r>
    </w:p>
    <w:p w14:paraId="4E8DA6CD" w14:textId="77777777" w:rsidR="00271A44" w:rsidRPr="00E6591B" w:rsidRDefault="00271A44" w:rsidP="00271A44">
      <w:pPr>
        <w:spacing w:line="254" w:lineRule="auto"/>
        <w:ind w:left="720"/>
        <w:contextualSpacing/>
        <w:rPr>
          <w:rFonts w:ascii="Verdana" w:hAnsi="Verdana" w:cs="Arial"/>
          <w:bCs/>
          <w:color w:val="000000"/>
          <w:lang w:val="es-ES"/>
        </w:rPr>
      </w:pPr>
    </w:p>
    <w:p w14:paraId="2B44EF86" w14:textId="77777777" w:rsidR="00271A44" w:rsidRPr="00E6591B" w:rsidRDefault="00271A44" w:rsidP="00271A44">
      <w:pPr>
        <w:numPr>
          <w:ilvl w:val="0"/>
          <w:numId w:val="18"/>
        </w:numPr>
        <w:tabs>
          <w:tab w:val="left" w:pos="709"/>
        </w:tabs>
        <w:spacing w:after="120" w:line="254" w:lineRule="auto"/>
        <w:ind w:left="709"/>
        <w:contextualSpacing/>
        <w:jc w:val="both"/>
        <w:rPr>
          <w:rFonts w:ascii="Verdana" w:hAnsi="Verdana" w:cs="Arial"/>
          <w:bCs/>
          <w:color w:val="000000"/>
          <w:lang w:val="es-ES"/>
        </w:rPr>
      </w:pPr>
      <w:r w:rsidRPr="00E6591B">
        <w:rPr>
          <w:rFonts w:ascii="Verdana" w:hAnsi="Verdana" w:cs="Arial"/>
          <w:bCs/>
          <w:color w:val="000000"/>
          <w:lang w:val="es-ES"/>
        </w:rPr>
        <w:t xml:space="preserve">Esta condición o remisión, se debe aplicar a cada uno de los procesos que sean adelantados por parte de las entidades sometidas al EGCAP, indistintamente de la modalidad que sea utilizada.  </w:t>
      </w:r>
    </w:p>
    <w:p w14:paraId="0EA5B47C" w14:textId="77777777" w:rsidR="00271A44" w:rsidRPr="00E6591B" w:rsidRDefault="00271A44" w:rsidP="00271A44">
      <w:pPr>
        <w:spacing w:line="254" w:lineRule="auto"/>
        <w:ind w:left="720"/>
        <w:contextualSpacing/>
        <w:jc w:val="both"/>
        <w:rPr>
          <w:rFonts w:ascii="Verdana" w:hAnsi="Verdana" w:cs="Arial"/>
          <w:bCs/>
          <w:strike/>
          <w:color w:val="000000"/>
          <w:lang w:val="es-ES"/>
        </w:rPr>
      </w:pPr>
    </w:p>
    <w:p w14:paraId="0609B37F" w14:textId="5E48D9E7" w:rsidR="00271A44" w:rsidRPr="00E6591B" w:rsidRDefault="00283596" w:rsidP="00271A44">
      <w:pPr>
        <w:numPr>
          <w:ilvl w:val="0"/>
          <w:numId w:val="18"/>
        </w:numPr>
        <w:tabs>
          <w:tab w:val="left" w:pos="709"/>
        </w:tabs>
        <w:spacing w:after="120" w:line="254" w:lineRule="auto"/>
        <w:ind w:left="709"/>
        <w:contextualSpacing/>
        <w:jc w:val="both"/>
        <w:rPr>
          <w:rFonts w:ascii="Verdana" w:eastAsia="Times New Roman" w:hAnsi="Verdana" w:cs="Arial"/>
          <w:lang w:val="es-ES" w:eastAsia="es-ES_tradnl"/>
        </w:rPr>
      </w:pPr>
      <w:r>
        <w:rPr>
          <w:rFonts w:ascii="Verdana" w:hAnsi="Verdana" w:cs="Arial"/>
          <w:bCs/>
          <w:color w:val="000000"/>
          <w:lang w:val="es-ES"/>
        </w:rPr>
        <w:t>T</w:t>
      </w:r>
      <w:r w:rsidR="00271A44" w:rsidRPr="00E6591B">
        <w:rPr>
          <w:rFonts w:ascii="Verdana" w:hAnsi="Verdana" w:cs="Arial"/>
          <w:bCs/>
          <w:color w:val="000000"/>
          <w:lang w:val="es-ES"/>
        </w:rPr>
        <w:t>éngase presente que las diferentes normas enunciadas de estirpe procesal son normas de orden público</w:t>
      </w:r>
      <w:r w:rsidR="00271A44" w:rsidRPr="00E6591B">
        <w:rPr>
          <w:rFonts w:ascii="Verdana" w:hAnsi="Verdana" w:cs="Arial"/>
          <w:bCs/>
          <w:color w:val="000000"/>
          <w:vertAlign w:val="superscript"/>
          <w:lang w:val="es-ES"/>
        </w:rPr>
        <w:footnoteReference w:id="5"/>
      </w:r>
      <w:r w:rsidR="00271A44" w:rsidRPr="00E6591B">
        <w:rPr>
          <w:rFonts w:ascii="Verdana" w:hAnsi="Verdana" w:cs="Arial"/>
          <w:bCs/>
          <w:color w:val="000000"/>
          <w:lang w:val="es-ES"/>
        </w:rPr>
        <w:t xml:space="preserve"> y en consecuencia de obligatoria aplicación para las entidades sometidas al EGCAP.</w:t>
      </w:r>
    </w:p>
    <w:p w14:paraId="3D37B653" w14:textId="77777777" w:rsidR="00271A44" w:rsidRPr="00E6591B" w:rsidRDefault="00271A44" w:rsidP="00271A44">
      <w:pPr>
        <w:tabs>
          <w:tab w:val="left" w:pos="709"/>
        </w:tabs>
        <w:spacing w:after="120" w:line="254" w:lineRule="auto"/>
        <w:ind w:left="709"/>
        <w:contextualSpacing/>
        <w:jc w:val="both"/>
        <w:rPr>
          <w:rFonts w:ascii="Verdana" w:eastAsia="Times New Roman" w:hAnsi="Verdana" w:cs="Arial"/>
          <w:lang w:val="es-ES" w:eastAsia="es-ES_tradnl"/>
        </w:rPr>
      </w:pPr>
    </w:p>
    <w:p w14:paraId="1D5A67EB" w14:textId="77777777" w:rsidR="00271A44" w:rsidRPr="00E6591B" w:rsidRDefault="00271A44" w:rsidP="00271A44">
      <w:pPr>
        <w:numPr>
          <w:ilvl w:val="0"/>
          <w:numId w:val="18"/>
        </w:numPr>
        <w:tabs>
          <w:tab w:val="left" w:pos="709"/>
        </w:tabs>
        <w:spacing w:after="120" w:line="254" w:lineRule="auto"/>
        <w:ind w:left="709"/>
        <w:contextualSpacing/>
        <w:jc w:val="both"/>
        <w:rPr>
          <w:rFonts w:ascii="Verdana" w:eastAsia="Times New Roman" w:hAnsi="Verdana" w:cs="Arial"/>
          <w:lang w:val="es-ES" w:eastAsia="es-ES_tradnl"/>
        </w:rPr>
      </w:pPr>
      <w:r w:rsidRPr="00E6591B">
        <w:rPr>
          <w:rFonts w:ascii="Verdana" w:eastAsia="Times New Roman" w:hAnsi="Verdana" w:cs="Arial"/>
          <w:lang w:val="es-ES" w:eastAsia="es-ES_tradnl"/>
        </w:rPr>
        <w:t>De manera particular y tratando la consulta respecto a una de las modalidades de selección de contratistas establecida en el artículo 2 de la Ley 1150 de 2007</w:t>
      </w:r>
      <w:r w:rsidRPr="00E6591B">
        <w:rPr>
          <w:rStyle w:val="Refdenotaalpie"/>
          <w:rFonts w:ascii="Verdana" w:eastAsia="Times New Roman" w:hAnsi="Verdana" w:cs="Arial"/>
          <w:lang w:val="es-ES" w:eastAsia="es-ES_tradnl"/>
        </w:rPr>
        <w:footnoteReference w:id="6"/>
      </w:r>
      <w:r w:rsidRPr="00E6591B">
        <w:rPr>
          <w:rFonts w:ascii="Verdana" w:eastAsia="Times New Roman" w:hAnsi="Verdana" w:cs="Arial"/>
          <w:lang w:val="es-ES" w:eastAsia="es-ES_tradnl"/>
        </w:rPr>
        <w:t xml:space="preserve">, como lo es el </w:t>
      </w:r>
      <w:r w:rsidRPr="00E6591B">
        <w:rPr>
          <w:rFonts w:ascii="Verdana" w:eastAsia="Times New Roman" w:hAnsi="Verdana" w:cs="Arial"/>
          <w:i/>
          <w:iCs/>
          <w:lang w:val="es-ES" w:eastAsia="es-ES_tradnl"/>
        </w:rPr>
        <w:t xml:space="preserve">Concurso de méritos, </w:t>
      </w:r>
      <w:r w:rsidRPr="00E6591B">
        <w:rPr>
          <w:rFonts w:ascii="Verdana" w:eastAsia="Times New Roman" w:hAnsi="Verdana" w:cs="Arial"/>
          <w:lang w:val="es-ES" w:eastAsia="es-ES_tradnl"/>
        </w:rPr>
        <w:t>se debe acudir a lo desarrollado en el Decreto 1082 de 2015, en particular el artículo 2.2.1.2.1.3.2. que señala respecto al procedimiento, lo siguiente:</w:t>
      </w:r>
    </w:p>
    <w:p w14:paraId="30516D13" w14:textId="77777777" w:rsidR="00271A44" w:rsidRDefault="00271A44" w:rsidP="00271A44">
      <w:pPr>
        <w:tabs>
          <w:tab w:val="left" w:pos="709"/>
        </w:tabs>
        <w:spacing w:after="120" w:line="254" w:lineRule="auto"/>
        <w:ind w:left="709"/>
        <w:contextualSpacing/>
        <w:jc w:val="both"/>
        <w:rPr>
          <w:rFonts w:ascii="Verdana" w:eastAsia="Times New Roman" w:hAnsi="Verdana" w:cs="Arial"/>
          <w:sz w:val="20"/>
          <w:szCs w:val="20"/>
          <w:lang w:eastAsia="es-ES_tradnl"/>
        </w:rPr>
      </w:pPr>
    </w:p>
    <w:p w14:paraId="3ED24F6A" w14:textId="77777777" w:rsidR="00271A44" w:rsidRPr="00E6591B" w:rsidRDefault="00271A44" w:rsidP="00271A44">
      <w:pPr>
        <w:tabs>
          <w:tab w:val="left" w:pos="709"/>
        </w:tabs>
        <w:spacing w:after="120" w:line="254" w:lineRule="auto"/>
        <w:ind w:left="709"/>
        <w:contextualSpacing/>
        <w:jc w:val="both"/>
        <w:rPr>
          <w:rFonts w:ascii="Verdana" w:eastAsia="Times New Roman" w:hAnsi="Verdana" w:cs="Arial"/>
          <w:sz w:val="20"/>
          <w:szCs w:val="20"/>
          <w:lang w:eastAsia="es-ES_tradnl"/>
        </w:rPr>
      </w:pPr>
      <w:r w:rsidRPr="00E6591B">
        <w:rPr>
          <w:rFonts w:ascii="Verdana" w:eastAsia="Times New Roman" w:hAnsi="Verdana" w:cs="Arial"/>
          <w:sz w:val="20"/>
          <w:szCs w:val="20"/>
          <w:lang w:eastAsia="es-ES_tradnl"/>
        </w:rPr>
        <w:t>(…)</w:t>
      </w:r>
    </w:p>
    <w:p w14:paraId="253D635C" w14:textId="77777777" w:rsidR="00271A44" w:rsidRPr="00E6591B" w:rsidRDefault="00271A44" w:rsidP="00271A44">
      <w:pPr>
        <w:tabs>
          <w:tab w:val="left" w:pos="709"/>
        </w:tabs>
        <w:spacing w:after="120" w:line="254" w:lineRule="auto"/>
        <w:ind w:left="709" w:right="1183"/>
        <w:contextualSpacing/>
        <w:jc w:val="both"/>
        <w:rPr>
          <w:rFonts w:ascii="Verdana" w:eastAsia="Times New Roman" w:hAnsi="Verdana" w:cs="Arial"/>
          <w:sz w:val="20"/>
          <w:szCs w:val="20"/>
          <w:lang w:eastAsia="es-ES_tradnl"/>
        </w:rPr>
      </w:pPr>
      <w:r w:rsidRPr="00E6591B">
        <w:rPr>
          <w:rFonts w:ascii="Verdana" w:eastAsia="Times New Roman" w:hAnsi="Verdana" w:cs="Arial"/>
          <w:sz w:val="20"/>
          <w:szCs w:val="20"/>
          <w:lang w:eastAsia="es-ES_tradnl"/>
        </w:rPr>
        <w:t>Procedimiento del concurso de méritos. Además de las reglas generales previstas en la ley y en el presente título, las siguientes reglas son aplicables al concurso de méritos abierto o con precalificación:  </w:t>
      </w:r>
    </w:p>
    <w:p w14:paraId="3F198FB2" w14:textId="77777777" w:rsidR="00271A44" w:rsidRPr="00E6591B" w:rsidRDefault="00271A44" w:rsidP="00271A44">
      <w:pPr>
        <w:tabs>
          <w:tab w:val="left" w:pos="709"/>
        </w:tabs>
        <w:spacing w:after="120" w:line="254" w:lineRule="auto"/>
        <w:ind w:left="709" w:right="1183"/>
        <w:contextualSpacing/>
        <w:jc w:val="both"/>
        <w:rPr>
          <w:rFonts w:ascii="Verdana" w:eastAsia="Times New Roman" w:hAnsi="Verdana" w:cs="Arial"/>
          <w:sz w:val="20"/>
          <w:szCs w:val="20"/>
          <w:lang w:eastAsia="es-ES_tradnl"/>
        </w:rPr>
      </w:pPr>
    </w:p>
    <w:p w14:paraId="52AA803F" w14:textId="77777777" w:rsidR="00271A44" w:rsidRPr="00E6591B" w:rsidRDefault="00271A44" w:rsidP="00271A44">
      <w:pPr>
        <w:tabs>
          <w:tab w:val="left" w:pos="709"/>
        </w:tabs>
        <w:spacing w:after="120" w:line="254" w:lineRule="auto"/>
        <w:ind w:left="709" w:right="1183"/>
        <w:contextualSpacing/>
        <w:jc w:val="both"/>
        <w:rPr>
          <w:rFonts w:ascii="Verdana" w:eastAsia="Times New Roman" w:hAnsi="Verdana" w:cs="Arial"/>
          <w:sz w:val="20"/>
          <w:szCs w:val="20"/>
          <w:lang w:eastAsia="es-ES_tradnl"/>
        </w:rPr>
      </w:pPr>
      <w:r w:rsidRPr="00E6591B">
        <w:rPr>
          <w:rFonts w:ascii="Verdana" w:eastAsia="Times New Roman" w:hAnsi="Verdana" w:cs="Arial"/>
          <w:sz w:val="20"/>
          <w:szCs w:val="20"/>
          <w:lang w:eastAsia="es-ES_tradnl"/>
        </w:rPr>
        <w:t>1. La Entidad Estatal en los pliegos de condiciones debe indicar la forma como calificará, entre otros, los siguientes criterios: a) la experiencia del interesado y del equipo de trabajo y b) la formación académica del equipo de trabajo.  </w:t>
      </w:r>
    </w:p>
    <w:p w14:paraId="7206CFE5" w14:textId="77777777" w:rsidR="00271A44" w:rsidRPr="00E6591B" w:rsidRDefault="00271A44" w:rsidP="00271A44">
      <w:pPr>
        <w:tabs>
          <w:tab w:val="left" w:pos="709"/>
        </w:tabs>
        <w:spacing w:after="120" w:line="254" w:lineRule="auto"/>
        <w:ind w:left="709" w:right="1183"/>
        <w:contextualSpacing/>
        <w:jc w:val="both"/>
        <w:rPr>
          <w:rFonts w:ascii="Verdana" w:eastAsia="Times New Roman" w:hAnsi="Verdana" w:cs="Arial"/>
          <w:sz w:val="20"/>
          <w:szCs w:val="20"/>
          <w:lang w:eastAsia="es-ES_tradnl"/>
        </w:rPr>
      </w:pPr>
      <w:r w:rsidRPr="00E6591B">
        <w:rPr>
          <w:rFonts w:ascii="Verdana" w:eastAsia="Times New Roman" w:hAnsi="Verdana" w:cs="Arial"/>
          <w:sz w:val="20"/>
          <w:szCs w:val="20"/>
          <w:lang w:eastAsia="es-ES_tradnl"/>
        </w:rPr>
        <w:lastRenderedPageBreak/>
        <w:t xml:space="preserve">2. La Entidad Estatal debe publicar durante tres (3) días hábiles el informe de evaluación, el cual debe </w:t>
      </w:r>
      <w:r w:rsidRPr="00E6591B">
        <w:rPr>
          <w:rFonts w:ascii="Verdana" w:eastAsia="Times New Roman" w:hAnsi="Verdana" w:cs="Arial"/>
          <w:sz w:val="20"/>
          <w:szCs w:val="20"/>
          <w:u w:val="single"/>
          <w:lang w:eastAsia="es-ES_tradnl"/>
        </w:rPr>
        <w:t>contener la evaluación de las ofertas frente a todos los requisitos exigidos en el pliego de condiciones, incluyendo los requisitos habilitantes y los de asignación de puntaje.</w:t>
      </w:r>
      <w:r w:rsidRPr="00E6591B">
        <w:rPr>
          <w:rFonts w:ascii="Verdana" w:eastAsia="Times New Roman" w:hAnsi="Verdana" w:cs="Arial"/>
          <w:sz w:val="20"/>
          <w:szCs w:val="20"/>
          <w:lang w:eastAsia="es-ES_tradnl"/>
        </w:rPr>
        <w:t>  </w:t>
      </w:r>
    </w:p>
    <w:p w14:paraId="0A626A53" w14:textId="77777777" w:rsidR="00271A44" w:rsidRPr="00E6591B" w:rsidRDefault="00271A44" w:rsidP="00271A44">
      <w:pPr>
        <w:tabs>
          <w:tab w:val="left" w:pos="709"/>
        </w:tabs>
        <w:spacing w:after="120" w:line="254" w:lineRule="auto"/>
        <w:ind w:left="709" w:right="1183"/>
        <w:contextualSpacing/>
        <w:jc w:val="both"/>
        <w:rPr>
          <w:rFonts w:ascii="Verdana" w:eastAsia="Times New Roman" w:hAnsi="Verdana" w:cs="Arial"/>
          <w:sz w:val="20"/>
          <w:szCs w:val="20"/>
          <w:lang w:eastAsia="es-ES_tradnl"/>
        </w:rPr>
      </w:pPr>
      <w:r w:rsidRPr="00E6591B">
        <w:rPr>
          <w:rFonts w:ascii="Verdana" w:eastAsia="Times New Roman" w:hAnsi="Verdana" w:cs="Arial"/>
          <w:sz w:val="20"/>
          <w:szCs w:val="20"/>
          <w:lang w:eastAsia="es-ES_tradnl"/>
        </w:rPr>
        <w:t>3. Una vez resueltas las observaciones al informe de evaluación, la entidad adjudicará el contrato mediante acto administrativo al oferente que haya cumplido todos los requisitos exigidos en el pliego de condiciones y haya obtenido el mayor puntaje. (…) (Subrayado fuera de texto)</w:t>
      </w:r>
    </w:p>
    <w:p w14:paraId="7C959571" w14:textId="77777777" w:rsidR="00271A44" w:rsidRPr="00E6591B" w:rsidRDefault="00271A44" w:rsidP="00271A44">
      <w:pPr>
        <w:tabs>
          <w:tab w:val="left" w:pos="709"/>
        </w:tabs>
        <w:spacing w:after="120" w:line="254" w:lineRule="auto"/>
        <w:contextualSpacing/>
        <w:jc w:val="both"/>
        <w:rPr>
          <w:rFonts w:ascii="Verdana" w:eastAsia="Times New Roman" w:hAnsi="Verdana" w:cs="Arial"/>
          <w:sz w:val="20"/>
          <w:szCs w:val="20"/>
          <w:lang w:eastAsia="es-ES_tradnl"/>
        </w:rPr>
      </w:pPr>
    </w:p>
    <w:p w14:paraId="1192FF19" w14:textId="7F09D47D" w:rsidR="00271A44" w:rsidRPr="00E6591B" w:rsidRDefault="00271A44" w:rsidP="00271A44">
      <w:pPr>
        <w:numPr>
          <w:ilvl w:val="0"/>
          <w:numId w:val="18"/>
        </w:numPr>
        <w:tabs>
          <w:tab w:val="left" w:pos="709"/>
        </w:tabs>
        <w:spacing w:after="120" w:line="254" w:lineRule="auto"/>
        <w:ind w:left="709"/>
        <w:contextualSpacing/>
        <w:jc w:val="both"/>
        <w:rPr>
          <w:rFonts w:ascii="Verdana" w:hAnsi="Verdana" w:cs="Arial"/>
          <w:bCs/>
          <w:color w:val="000000"/>
          <w:lang w:val="es-ES"/>
        </w:rPr>
      </w:pPr>
      <w:r w:rsidRPr="00E6591B">
        <w:rPr>
          <w:rFonts w:ascii="Verdana" w:hAnsi="Verdana" w:cs="Arial"/>
          <w:bCs/>
          <w:color w:val="000000"/>
          <w:lang w:val="es-ES"/>
        </w:rPr>
        <w:t xml:space="preserve">Como se evidencia el Decreto dispone la condición para que las </w:t>
      </w:r>
      <w:r w:rsidR="008703EB">
        <w:rPr>
          <w:rFonts w:ascii="Verdana" w:hAnsi="Verdana" w:cs="Arial"/>
          <w:bCs/>
          <w:color w:val="000000"/>
          <w:lang w:val="es-ES"/>
        </w:rPr>
        <w:t>E</w:t>
      </w:r>
      <w:r w:rsidRPr="00E6591B">
        <w:rPr>
          <w:rFonts w:ascii="Verdana" w:hAnsi="Verdana" w:cs="Arial"/>
          <w:bCs/>
          <w:color w:val="000000"/>
          <w:lang w:val="es-ES"/>
        </w:rPr>
        <w:t>ntidades</w:t>
      </w:r>
      <w:r w:rsidR="008703EB">
        <w:rPr>
          <w:rFonts w:ascii="Verdana" w:hAnsi="Verdana" w:cs="Arial"/>
          <w:bCs/>
          <w:color w:val="000000"/>
          <w:lang w:val="es-ES"/>
        </w:rPr>
        <w:t xml:space="preserve"> Estatales</w:t>
      </w:r>
      <w:r w:rsidRPr="00E6591B">
        <w:rPr>
          <w:rFonts w:ascii="Verdana" w:hAnsi="Verdana" w:cs="Arial"/>
          <w:bCs/>
          <w:color w:val="000000"/>
          <w:lang w:val="es-ES"/>
        </w:rPr>
        <w:t xml:space="preserve"> </w:t>
      </w:r>
      <w:r w:rsidR="00CF040B">
        <w:rPr>
          <w:rFonts w:ascii="Verdana" w:hAnsi="Verdana" w:cs="Arial"/>
          <w:bCs/>
          <w:color w:val="000000"/>
          <w:lang w:val="es-ES"/>
        </w:rPr>
        <w:t xml:space="preserve"> trasladen y publiquen dentro del término el </w:t>
      </w:r>
      <w:r w:rsidR="00CF040B" w:rsidRPr="00E6591B">
        <w:rPr>
          <w:rFonts w:ascii="Verdana" w:hAnsi="Verdana" w:cs="Arial"/>
          <w:bCs/>
          <w:color w:val="000000"/>
          <w:lang w:val="es-ES"/>
        </w:rPr>
        <w:t xml:space="preserve"> </w:t>
      </w:r>
      <w:r w:rsidRPr="00E6591B">
        <w:rPr>
          <w:rFonts w:ascii="Verdana" w:hAnsi="Verdana" w:cs="Arial"/>
          <w:bCs/>
          <w:color w:val="000000"/>
          <w:lang w:val="es-ES"/>
        </w:rPr>
        <w:t xml:space="preserve">informe de evaluación, el cual deberá contener la evaluación de las ofertas, con la respectiva asignación de puntaje a las propuestas que resulten habilitadas dentro del proceso de selección. </w:t>
      </w:r>
    </w:p>
    <w:p w14:paraId="4F511D0D" w14:textId="77777777" w:rsidR="00271A44" w:rsidRPr="00E6591B" w:rsidRDefault="00271A44" w:rsidP="00271A44">
      <w:pPr>
        <w:tabs>
          <w:tab w:val="left" w:pos="709"/>
        </w:tabs>
        <w:spacing w:after="120" w:line="254" w:lineRule="auto"/>
        <w:ind w:left="709"/>
        <w:contextualSpacing/>
        <w:jc w:val="both"/>
        <w:rPr>
          <w:rFonts w:ascii="Verdana" w:hAnsi="Verdana" w:cs="Arial"/>
          <w:bCs/>
          <w:color w:val="000000"/>
          <w:lang w:val="es-ES"/>
        </w:rPr>
      </w:pPr>
    </w:p>
    <w:p w14:paraId="75D453AF" w14:textId="77777777" w:rsidR="00271A44" w:rsidRPr="00E6591B" w:rsidRDefault="00271A44" w:rsidP="00271A44">
      <w:pPr>
        <w:numPr>
          <w:ilvl w:val="0"/>
          <w:numId w:val="18"/>
        </w:numPr>
        <w:tabs>
          <w:tab w:val="left" w:pos="709"/>
        </w:tabs>
        <w:spacing w:after="120" w:line="254" w:lineRule="auto"/>
        <w:ind w:left="709"/>
        <w:contextualSpacing/>
        <w:jc w:val="both"/>
        <w:rPr>
          <w:rFonts w:ascii="Verdana" w:eastAsia="Calibri" w:hAnsi="Verdana" w:cs="Times New Roman"/>
          <w:b/>
          <w:bCs/>
        </w:rPr>
      </w:pPr>
      <w:r w:rsidRPr="00E6591B">
        <w:rPr>
          <w:rFonts w:ascii="Verdana" w:hAnsi="Verdana" w:cs="Arial"/>
          <w:bCs/>
          <w:color w:val="000000"/>
          <w:lang w:val="es-ES"/>
        </w:rPr>
        <w:t xml:space="preserve">Ahora bien, es pertinente acudir a lo señalado en el artículo 2.2.1.1.2.2.6. del Decreto 1082 de 2015, el cual establece la posibilidad de la adjudicación en los procesos de selección con oferta única en los siguientes términos: </w:t>
      </w:r>
    </w:p>
    <w:p w14:paraId="6D9B6A37" w14:textId="77777777" w:rsidR="00271A44" w:rsidRPr="00E6591B" w:rsidRDefault="00271A44" w:rsidP="00271A44">
      <w:pPr>
        <w:tabs>
          <w:tab w:val="left" w:pos="709"/>
        </w:tabs>
        <w:spacing w:after="120" w:line="254" w:lineRule="auto"/>
        <w:ind w:left="709"/>
        <w:contextualSpacing/>
        <w:jc w:val="both"/>
        <w:rPr>
          <w:rFonts w:ascii="Verdana" w:eastAsia="Calibri" w:hAnsi="Verdana" w:cs="Times New Roman"/>
          <w:b/>
          <w:bCs/>
        </w:rPr>
      </w:pPr>
    </w:p>
    <w:p w14:paraId="7E46B3BE" w14:textId="77777777" w:rsidR="00271A44" w:rsidRPr="00E6591B" w:rsidRDefault="00271A44" w:rsidP="00271A44">
      <w:pPr>
        <w:tabs>
          <w:tab w:val="left" w:pos="709"/>
        </w:tabs>
        <w:spacing w:after="120" w:line="254" w:lineRule="auto"/>
        <w:ind w:left="709" w:right="1183"/>
        <w:contextualSpacing/>
        <w:jc w:val="both"/>
        <w:rPr>
          <w:rFonts w:ascii="Verdana" w:eastAsia="Times New Roman" w:hAnsi="Verdana" w:cs="Arial"/>
          <w:sz w:val="20"/>
          <w:szCs w:val="20"/>
          <w:lang w:eastAsia="es-ES_tradnl"/>
        </w:rPr>
      </w:pPr>
      <w:r w:rsidRPr="00E6591B">
        <w:rPr>
          <w:rFonts w:ascii="Verdana" w:eastAsia="Times New Roman" w:hAnsi="Verdana" w:cs="Arial"/>
          <w:sz w:val="20"/>
          <w:szCs w:val="20"/>
          <w:lang w:eastAsia="es-ES_tradnl"/>
        </w:rPr>
        <w:t>(…)</w:t>
      </w:r>
    </w:p>
    <w:p w14:paraId="796A7249" w14:textId="77777777" w:rsidR="00271A44" w:rsidRPr="00E6591B" w:rsidRDefault="00271A44" w:rsidP="00271A44">
      <w:pPr>
        <w:tabs>
          <w:tab w:val="left" w:pos="709"/>
        </w:tabs>
        <w:spacing w:after="120" w:line="254" w:lineRule="auto"/>
        <w:ind w:left="709" w:right="1183"/>
        <w:contextualSpacing/>
        <w:jc w:val="both"/>
        <w:rPr>
          <w:rFonts w:ascii="Verdana" w:eastAsia="Times New Roman" w:hAnsi="Verdana" w:cs="Arial"/>
          <w:sz w:val="20"/>
          <w:szCs w:val="20"/>
          <w:lang w:eastAsia="es-ES_tradnl"/>
        </w:rPr>
      </w:pPr>
      <w:r w:rsidRPr="00E6591B">
        <w:rPr>
          <w:rFonts w:ascii="Verdana" w:eastAsia="Times New Roman" w:hAnsi="Verdana" w:cs="Arial"/>
          <w:sz w:val="20"/>
          <w:szCs w:val="20"/>
          <w:lang w:eastAsia="es-ES_tradnl"/>
        </w:rPr>
        <w:t>Adjudicación con oferta única. La Entidad Estatal puede adjudicar el contrato cuando solo se haya presentado una oferta siempre que cumpla con los requisitos habilitantes exigidos y satisfaga los requisitos de los pliegos de condiciones, sin perjuicio de las disposiciones especiales establecidas en la ley y el presente título para la subasta inversa, el concurso de méritos y las reglas particulares para los procesos con convocatoria limitada a las Mipyme. (…)</w:t>
      </w:r>
    </w:p>
    <w:p w14:paraId="03AF5AE0" w14:textId="77777777" w:rsidR="00271A44" w:rsidRPr="00E6591B" w:rsidRDefault="00271A44" w:rsidP="00271A44">
      <w:pPr>
        <w:spacing w:after="0" w:line="256" w:lineRule="auto"/>
        <w:rPr>
          <w:rFonts w:ascii="Verdana" w:eastAsia="Calibri" w:hAnsi="Verdana" w:cs="Times New Roman"/>
        </w:rPr>
      </w:pPr>
      <w:r w:rsidRPr="00E6591B">
        <w:rPr>
          <w:rFonts w:ascii="Verdana" w:eastAsia="Calibri" w:hAnsi="Verdana" w:cs="Times New Roman"/>
        </w:rPr>
        <w:t> </w:t>
      </w:r>
    </w:p>
    <w:p w14:paraId="4DC0B0BF" w14:textId="2319AE12" w:rsidR="00A660DA" w:rsidRPr="00675783" w:rsidRDefault="00271A44" w:rsidP="00A660DA">
      <w:pPr>
        <w:numPr>
          <w:ilvl w:val="0"/>
          <w:numId w:val="18"/>
        </w:numPr>
        <w:tabs>
          <w:tab w:val="left" w:pos="709"/>
        </w:tabs>
        <w:spacing w:after="0" w:line="256" w:lineRule="auto"/>
        <w:ind w:left="709"/>
        <w:contextualSpacing/>
        <w:jc w:val="both"/>
        <w:rPr>
          <w:rFonts w:ascii="Verdana" w:hAnsi="Verdana" w:cs="Arial"/>
          <w:bCs/>
          <w:color w:val="000000"/>
        </w:rPr>
      </w:pPr>
      <w:r w:rsidRPr="00A660DA">
        <w:rPr>
          <w:rFonts w:ascii="Verdana" w:hAnsi="Verdana" w:cs="Arial"/>
          <w:bCs/>
          <w:color w:val="000000"/>
          <w:lang w:val="es-ES"/>
        </w:rPr>
        <w:t xml:space="preserve">En ese orden de ideas, </w:t>
      </w:r>
      <w:r w:rsidR="00A660DA" w:rsidRPr="00675783">
        <w:rPr>
          <w:rFonts w:ascii="Verdana" w:hAnsi="Verdana" w:cs="Arial"/>
          <w:bCs/>
          <w:color w:val="000000"/>
        </w:rPr>
        <w:t>es posible la adjudicación de un concurso de méritos con una única oferta, siempre y cuando exista cumplimiento de lo señalado en la norma y las exigencias en el pliego de condiciones, garantizando en todo caso, el principio de selección objetiva.</w:t>
      </w:r>
    </w:p>
    <w:p w14:paraId="744965DA" w14:textId="77777777" w:rsidR="00A660DA" w:rsidRDefault="00A660DA" w:rsidP="00A660DA">
      <w:pPr>
        <w:tabs>
          <w:tab w:val="left" w:pos="709"/>
        </w:tabs>
        <w:spacing w:after="0" w:line="256" w:lineRule="auto"/>
        <w:ind w:left="709"/>
        <w:contextualSpacing/>
        <w:jc w:val="both"/>
        <w:rPr>
          <w:rFonts w:ascii="Verdana" w:eastAsia="Calibri" w:hAnsi="Verdana" w:cs="Times New Roman"/>
          <w:lang w:val="es-ES"/>
        </w:rPr>
      </w:pPr>
    </w:p>
    <w:p w14:paraId="3ED54D90" w14:textId="77777777" w:rsidR="00A660DA" w:rsidRPr="00675783" w:rsidRDefault="00A660DA" w:rsidP="00675783">
      <w:pPr>
        <w:tabs>
          <w:tab w:val="left" w:pos="709"/>
        </w:tabs>
        <w:spacing w:after="0" w:line="256" w:lineRule="auto"/>
        <w:ind w:left="709"/>
        <w:contextualSpacing/>
        <w:jc w:val="both"/>
        <w:rPr>
          <w:rFonts w:ascii="Verdana" w:eastAsia="Calibri" w:hAnsi="Verdana" w:cs="Times New Roman"/>
        </w:rPr>
      </w:pPr>
      <w:r w:rsidRPr="00675783">
        <w:rPr>
          <w:rFonts w:ascii="Verdana" w:hAnsi="Verdana" w:cs="Arial"/>
          <w:bCs/>
          <w:color w:val="000000"/>
        </w:rPr>
        <w:t xml:space="preserve">Ahora bien,  téngase presente que si el único proponente no cumple con las exigencias de </w:t>
      </w:r>
      <w:proofErr w:type="gramStart"/>
      <w:r w:rsidRPr="00675783">
        <w:rPr>
          <w:rFonts w:ascii="Verdana" w:hAnsi="Verdana" w:cs="Arial"/>
          <w:bCs/>
          <w:color w:val="000000"/>
        </w:rPr>
        <w:t>las norma</w:t>
      </w:r>
      <w:proofErr w:type="gramEnd"/>
      <w:r w:rsidRPr="00675783">
        <w:rPr>
          <w:rFonts w:ascii="Verdana" w:hAnsi="Verdana" w:cs="Arial"/>
          <w:bCs/>
          <w:color w:val="000000"/>
        </w:rPr>
        <w:t xml:space="preserve"> en materia de contratación, las normas sectoriales y el pliego de condiciones, no podrá ser adjudicatario.</w:t>
      </w:r>
    </w:p>
    <w:p w14:paraId="180D6069" w14:textId="77777777" w:rsidR="00A660DA" w:rsidRPr="00E6591B" w:rsidRDefault="00A660DA" w:rsidP="00675783">
      <w:pPr>
        <w:tabs>
          <w:tab w:val="left" w:pos="709"/>
        </w:tabs>
        <w:spacing w:after="0" w:line="256" w:lineRule="auto"/>
        <w:ind w:left="709"/>
        <w:contextualSpacing/>
        <w:jc w:val="both"/>
        <w:rPr>
          <w:rFonts w:ascii="Verdana" w:eastAsia="Calibri" w:hAnsi="Verdana" w:cs="Times New Roman"/>
          <w:lang w:val="es-ES"/>
        </w:rPr>
      </w:pPr>
    </w:p>
    <w:p w14:paraId="5A1410C7" w14:textId="77777777" w:rsidR="00271A44" w:rsidRPr="00A660DA" w:rsidRDefault="00271A44" w:rsidP="00B02130">
      <w:pPr>
        <w:numPr>
          <w:ilvl w:val="0"/>
          <w:numId w:val="18"/>
        </w:numPr>
        <w:tabs>
          <w:tab w:val="left" w:pos="709"/>
        </w:tabs>
        <w:spacing w:after="0" w:line="256" w:lineRule="auto"/>
        <w:ind w:left="709"/>
        <w:contextualSpacing/>
        <w:jc w:val="both"/>
        <w:rPr>
          <w:rFonts w:ascii="Verdana" w:eastAsia="Calibri" w:hAnsi="Verdana" w:cs="Times New Roman"/>
          <w:lang w:val="es-ES"/>
        </w:rPr>
      </w:pPr>
    </w:p>
    <w:p w14:paraId="4ED49382" w14:textId="778A872E" w:rsidR="00271A44" w:rsidRPr="00E6591B" w:rsidRDefault="005B7400" w:rsidP="00271A44">
      <w:pPr>
        <w:ind w:firstLine="349"/>
        <w:jc w:val="both"/>
        <w:outlineLvl w:val="1"/>
        <w:rPr>
          <w:rFonts w:ascii="Verdana" w:hAnsi="Verdana" w:cstheme="majorHAnsi"/>
        </w:rPr>
      </w:pPr>
      <w:r>
        <w:rPr>
          <w:rFonts w:ascii="Verdana" w:hAnsi="Verdana" w:cstheme="majorHAnsi"/>
        </w:rPr>
        <w:lastRenderedPageBreak/>
        <w:t>E</w:t>
      </w:r>
      <w:r w:rsidR="00271A44" w:rsidRPr="00E6591B">
        <w:rPr>
          <w:rFonts w:ascii="Verdana" w:hAnsi="Verdana" w:cstheme="majorHAnsi"/>
        </w:rPr>
        <w:t xml:space="preserve">n segundo lugar se abordará lo referente a la asignación de puntaje respecto a la experiencia, por lo que en principio se debe precisar que el peticionario no hace referencia </w:t>
      </w:r>
      <w:r w:rsidR="001B62AF" w:rsidRPr="00E6591B">
        <w:rPr>
          <w:rFonts w:ascii="Verdana" w:hAnsi="Verdana" w:cstheme="majorHAnsi"/>
        </w:rPr>
        <w:t>específica</w:t>
      </w:r>
      <w:r w:rsidR="00271A44" w:rsidRPr="00E6591B">
        <w:rPr>
          <w:rFonts w:ascii="Verdana" w:hAnsi="Verdana" w:cstheme="majorHAnsi"/>
        </w:rPr>
        <w:t xml:space="preserve"> a un documento tipo en particular, por lo que en aras de resolver la petición de manera oportuna, se entiende la referencia a lo establecido en el </w:t>
      </w:r>
      <w:r w:rsidR="001B62AF" w:rsidRPr="00E6591B">
        <w:rPr>
          <w:rFonts w:ascii="Verdana" w:hAnsi="Verdana" w:cstheme="majorHAnsi"/>
        </w:rPr>
        <w:t xml:space="preserve">Documentos Tipo de Interventoría del Sector Social </w:t>
      </w:r>
      <w:r w:rsidR="00271A44" w:rsidRPr="00E6591B">
        <w:rPr>
          <w:rFonts w:ascii="Verdana" w:hAnsi="Verdana" w:cstheme="majorHAnsi"/>
        </w:rPr>
        <w:t xml:space="preserve">expedidos por parte de la Agencia, que en su numeral </w:t>
      </w:r>
      <w:bookmarkStart w:id="1" w:name="_Toc108082922"/>
      <w:bookmarkStart w:id="2" w:name="_Toc108175047"/>
      <w:bookmarkStart w:id="3" w:name="_Toc40113356"/>
      <w:r w:rsidR="00271A44" w:rsidRPr="00E6591B">
        <w:rPr>
          <w:rFonts w:ascii="Verdana" w:hAnsi="Verdana" w:cstheme="majorHAnsi"/>
        </w:rPr>
        <w:t>4.1 FORMA DE VERIFICACIÓN Y ASIGNACIÓN DE PUNTAJE POR LA EXPERIENCIA DEL PROPONENTE</w:t>
      </w:r>
      <w:bookmarkEnd w:id="1"/>
      <w:bookmarkEnd w:id="2"/>
      <w:r w:rsidR="00271A44" w:rsidRPr="00E6591B">
        <w:rPr>
          <w:rFonts w:ascii="Verdana" w:hAnsi="Verdana" w:cstheme="majorHAnsi"/>
        </w:rPr>
        <w:t>, determinan la forma como se debe abordar este numeral y en este sentido, se establecen las siguientes consideraciones:</w:t>
      </w:r>
    </w:p>
    <w:p w14:paraId="4C2BCDAC" w14:textId="77777777" w:rsidR="00271A44" w:rsidRPr="00E6591B" w:rsidRDefault="00271A44" w:rsidP="00271A44">
      <w:pPr>
        <w:tabs>
          <w:tab w:val="left" w:pos="709"/>
        </w:tabs>
        <w:spacing w:after="0" w:line="256" w:lineRule="auto"/>
        <w:ind w:left="709"/>
        <w:contextualSpacing/>
        <w:jc w:val="both"/>
        <w:rPr>
          <w:rFonts w:ascii="Verdana" w:hAnsi="Verdana" w:cstheme="majorHAnsi"/>
          <w:bCs/>
        </w:rPr>
      </w:pPr>
      <w:r w:rsidRPr="00E6591B">
        <w:rPr>
          <w:rFonts w:ascii="Verdana" w:hAnsi="Verdana" w:cstheme="majorHAnsi"/>
          <w:bCs/>
        </w:rPr>
        <w:t>(…)</w:t>
      </w:r>
    </w:p>
    <w:p w14:paraId="477E2B75" w14:textId="77777777" w:rsidR="00271A44" w:rsidRPr="00E6591B" w:rsidRDefault="00271A44" w:rsidP="00271A44">
      <w:pPr>
        <w:tabs>
          <w:tab w:val="left" w:pos="709"/>
        </w:tabs>
        <w:spacing w:after="0" w:line="240" w:lineRule="auto"/>
        <w:ind w:left="709" w:right="1041"/>
        <w:contextualSpacing/>
        <w:jc w:val="both"/>
        <w:rPr>
          <w:rFonts w:ascii="Verdana" w:hAnsi="Verdana" w:cstheme="majorHAnsi"/>
          <w:bCs/>
          <w:sz w:val="20"/>
          <w:szCs w:val="20"/>
        </w:rPr>
      </w:pPr>
      <w:r w:rsidRPr="00E6591B">
        <w:rPr>
          <w:rFonts w:ascii="Verdana" w:hAnsi="Verdana" w:cstheme="majorHAnsi"/>
          <w:bCs/>
          <w:sz w:val="20"/>
          <w:szCs w:val="20"/>
        </w:rPr>
        <w:t>La Entidad evaluará la experiencia del Proponente de acuerdo con los siguientes pasos:</w:t>
      </w:r>
    </w:p>
    <w:p w14:paraId="4E55F787" w14:textId="77777777" w:rsidR="00271A44" w:rsidRPr="00E6591B" w:rsidRDefault="00271A44" w:rsidP="00271A44">
      <w:pPr>
        <w:tabs>
          <w:tab w:val="left" w:pos="709"/>
        </w:tabs>
        <w:spacing w:after="0" w:line="240" w:lineRule="auto"/>
        <w:ind w:left="709" w:right="1041"/>
        <w:contextualSpacing/>
        <w:jc w:val="both"/>
        <w:rPr>
          <w:rFonts w:ascii="Verdana" w:hAnsi="Verdana" w:cstheme="majorHAnsi"/>
          <w:bCs/>
          <w:sz w:val="20"/>
          <w:szCs w:val="20"/>
        </w:rPr>
      </w:pPr>
    </w:p>
    <w:p w14:paraId="5305CF95" w14:textId="77777777" w:rsidR="00271A44" w:rsidRPr="00E6591B" w:rsidRDefault="00271A44" w:rsidP="00271A44">
      <w:pPr>
        <w:numPr>
          <w:ilvl w:val="0"/>
          <w:numId w:val="19"/>
        </w:numPr>
        <w:spacing w:after="0" w:line="240" w:lineRule="auto"/>
        <w:ind w:right="1041"/>
        <w:jc w:val="both"/>
        <w:outlineLvl w:val="1"/>
        <w:rPr>
          <w:rFonts w:ascii="Verdana" w:hAnsi="Verdana" w:cstheme="majorHAnsi"/>
          <w:bCs/>
          <w:sz w:val="20"/>
          <w:szCs w:val="20"/>
        </w:rPr>
      </w:pPr>
      <w:r w:rsidRPr="00E6591B">
        <w:rPr>
          <w:rFonts w:ascii="Verdana" w:hAnsi="Verdana" w:cstheme="majorHAnsi"/>
          <w:bCs/>
          <w:sz w:val="20"/>
          <w:szCs w:val="20"/>
        </w:rPr>
        <w:t xml:space="preserve">El Proponente cumplirá con la exigencia mínima de experiencia prevista en el numeral 3.8.1. del Pliego de Condiciones. De acuerdo con lo anterior, </w:t>
      </w:r>
      <w:r w:rsidRPr="00E6591B">
        <w:rPr>
          <w:rFonts w:ascii="Verdana" w:hAnsi="Verdana" w:cstheme="majorHAnsi"/>
          <w:bCs/>
          <w:sz w:val="20"/>
          <w:szCs w:val="20"/>
          <w:u w:val="single"/>
        </w:rPr>
        <w:t>si el Proponente debió subsanar el cumplimiento de la experiencia mínima, para la asignación de puntaje no se tendrán en cuenta los contratos que hayan sido objeto de subsanaci</w:t>
      </w:r>
      <w:r w:rsidRPr="00E6591B">
        <w:rPr>
          <w:rFonts w:ascii="Verdana" w:hAnsi="Verdana" w:cstheme="majorHAnsi"/>
          <w:bCs/>
          <w:sz w:val="20"/>
          <w:szCs w:val="20"/>
        </w:rPr>
        <w:t>ón. ni para definir el promedio de los contratos válidos aportados que se refiere el literal B) de este numeral.</w:t>
      </w:r>
    </w:p>
    <w:p w14:paraId="1A62F7C2" w14:textId="77777777" w:rsidR="00271A44" w:rsidRPr="00E6591B" w:rsidRDefault="00271A44" w:rsidP="00271A44">
      <w:pPr>
        <w:spacing w:line="240" w:lineRule="auto"/>
        <w:ind w:left="720" w:right="1041"/>
        <w:jc w:val="both"/>
        <w:outlineLvl w:val="1"/>
        <w:rPr>
          <w:rFonts w:ascii="Verdana" w:hAnsi="Verdana" w:cstheme="majorHAnsi"/>
          <w:bCs/>
          <w:sz w:val="20"/>
          <w:szCs w:val="20"/>
        </w:rPr>
      </w:pPr>
      <w:r w:rsidRPr="00E6591B">
        <w:rPr>
          <w:rFonts w:ascii="Verdana" w:hAnsi="Verdana" w:cstheme="majorHAnsi"/>
          <w:bCs/>
          <w:sz w:val="20"/>
          <w:szCs w:val="20"/>
          <w:u w:val="single"/>
        </w:rPr>
        <w:t>Cuando un Proponente haya subsanado la totalidad de los contratos aportados, su oferta no será tenida en cuenta para aplicar las fórmulas para la ponderación de la experiencia del Proponente, por lo que, además, por este criterio de asignación de puntaje obtendrá cero (0) puntos</w:t>
      </w:r>
      <w:r w:rsidRPr="00E6591B">
        <w:rPr>
          <w:rFonts w:ascii="Verdana" w:hAnsi="Verdana" w:cstheme="majorHAnsi"/>
          <w:bCs/>
          <w:sz w:val="20"/>
          <w:szCs w:val="20"/>
        </w:rPr>
        <w:t>.</w:t>
      </w:r>
    </w:p>
    <w:p w14:paraId="417396BB" w14:textId="77777777" w:rsidR="00271A44" w:rsidRPr="00E6591B" w:rsidRDefault="00271A44" w:rsidP="00271A44">
      <w:pPr>
        <w:pStyle w:val="Prrafodelista"/>
        <w:numPr>
          <w:ilvl w:val="0"/>
          <w:numId w:val="19"/>
        </w:numPr>
        <w:spacing w:after="0" w:line="240" w:lineRule="auto"/>
        <w:ind w:right="1041"/>
        <w:jc w:val="both"/>
        <w:outlineLvl w:val="1"/>
        <w:rPr>
          <w:rFonts w:ascii="Verdana" w:hAnsi="Verdana" w:cstheme="majorHAnsi"/>
          <w:sz w:val="20"/>
          <w:szCs w:val="20"/>
          <w:lang w:val="es-MX"/>
        </w:rPr>
      </w:pPr>
      <w:r w:rsidRPr="00E6591B">
        <w:rPr>
          <w:rFonts w:ascii="Verdana" w:hAnsi="Verdana" w:cstheme="majorHAnsi"/>
          <w:bCs/>
          <w:sz w:val="20"/>
          <w:szCs w:val="20"/>
        </w:rPr>
        <w:t xml:space="preserve">Para la asignación de puntaje, </w:t>
      </w:r>
      <w:r w:rsidRPr="00E6591B">
        <w:rPr>
          <w:rFonts w:ascii="Verdana" w:hAnsi="Verdana" w:cstheme="majorHAnsi"/>
          <w:bCs/>
          <w:sz w:val="20"/>
          <w:szCs w:val="20"/>
          <w:u w:val="single"/>
        </w:rPr>
        <w:t>se tomará el promedio de los contratos válidos aportados de cada propuesta hábil expresados en SMMLV registrados en el Registro Único de Proponentes (RUP) o en alguno de los documentos</w:t>
      </w:r>
      <w:r w:rsidRPr="00E6591B">
        <w:rPr>
          <w:rFonts w:ascii="Verdana" w:hAnsi="Verdana" w:cstheme="majorHAnsi"/>
          <w:bCs/>
          <w:sz w:val="20"/>
          <w:szCs w:val="20"/>
        </w:rPr>
        <w:t xml:space="preserve"> </w:t>
      </w:r>
      <w:r w:rsidRPr="00E6591B">
        <w:rPr>
          <w:rFonts w:ascii="Verdana" w:hAnsi="Verdana" w:cstheme="majorHAnsi"/>
          <w:bCs/>
          <w:sz w:val="20"/>
          <w:szCs w:val="20"/>
          <w:u w:val="single"/>
        </w:rPr>
        <w:t xml:space="preserve">válidos señalados en el numeral </w:t>
      </w:r>
      <w:r w:rsidRPr="00E6591B">
        <w:rPr>
          <w:rFonts w:ascii="Verdana" w:hAnsi="Verdana" w:cstheme="majorHAnsi"/>
          <w:bCs/>
          <w:sz w:val="20"/>
          <w:szCs w:val="20"/>
          <w:u w:val="single"/>
        </w:rPr>
        <w:fldChar w:fldCharType="begin"/>
      </w:r>
      <w:r w:rsidRPr="00E6591B">
        <w:rPr>
          <w:rFonts w:ascii="Verdana" w:hAnsi="Verdana" w:cstheme="majorHAnsi"/>
          <w:bCs/>
          <w:sz w:val="20"/>
          <w:szCs w:val="20"/>
          <w:u w:val="single"/>
        </w:rPr>
        <w:instrText xml:space="preserve"> REF _Ref58506494 \r \h  \* MERGEFORMAT </w:instrText>
      </w:r>
      <w:r w:rsidRPr="00E6591B">
        <w:rPr>
          <w:rFonts w:ascii="Verdana" w:hAnsi="Verdana" w:cstheme="majorHAnsi"/>
          <w:bCs/>
          <w:sz w:val="20"/>
          <w:szCs w:val="20"/>
          <w:u w:val="single"/>
        </w:rPr>
      </w:r>
      <w:r w:rsidRPr="00E6591B">
        <w:rPr>
          <w:rFonts w:ascii="Verdana" w:hAnsi="Verdana" w:cstheme="majorHAnsi"/>
          <w:bCs/>
          <w:sz w:val="20"/>
          <w:szCs w:val="20"/>
          <w:u w:val="single"/>
        </w:rPr>
        <w:fldChar w:fldCharType="separate"/>
      </w:r>
      <w:r w:rsidRPr="00E6591B">
        <w:rPr>
          <w:rFonts w:ascii="Verdana" w:hAnsi="Verdana" w:cstheme="majorHAnsi"/>
          <w:bCs/>
          <w:sz w:val="20"/>
          <w:szCs w:val="20"/>
          <w:u w:val="single"/>
        </w:rPr>
        <w:t>10.1.5</w:t>
      </w:r>
      <w:r w:rsidRPr="00E6591B">
        <w:rPr>
          <w:rFonts w:ascii="Verdana" w:hAnsi="Verdana" w:cstheme="majorHAnsi"/>
          <w:bCs/>
          <w:sz w:val="20"/>
          <w:szCs w:val="20"/>
          <w:u w:val="single"/>
        </w:rPr>
        <w:fldChar w:fldCharType="end"/>
      </w:r>
      <w:r w:rsidRPr="00E6591B">
        <w:rPr>
          <w:rFonts w:ascii="Verdana" w:hAnsi="Verdana" w:cstheme="majorHAnsi"/>
          <w:bCs/>
          <w:sz w:val="20"/>
          <w:szCs w:val="20"/>
        </w:rPr>
        <w:t xml:space="preserve">, que acredite su experiencia relacionada en el RUP, y que en total hayan cumplido con lo mencionado en el literal A de esta sección. Dicho promedio será el valor que lo hará participar para la asignación del puntaje, según se detalla en esta sección.  </w:t>
      </w:r>
    </w:p>
    <w:p w14:paraId="0A6A559C" w14:textId="77777777" w:rsidR="00271A44" w:rsidRPr="00E6591B" w:rsidRDefault="00271A44" w:rsidP="00271A44">
      <w:pPr>
        <w:spacing w:line="240" w:lineRule="auto"/>
        <w:ind w:left="709" w:right="1041"/>
        <w:contextualSpacing/>
        <w:jc w:val="both"/>
        <w:rPr>
          <w:rFonts w:ascii="Verdana" w:eastAsia="Arial" w:hAnsi="Verdana" w:cs="Arial"/>
          <w:sz w:val="20"/>
          <w:szCs w:val="20"/>
          <w:lang w:eastAsia="es-ES"/>
        </w:rPr>
      </w:pPr>
    </w:p>
    <w:p w14:paraId="2C62F4B3" w14:textId="77777777" w:rsidR="00271A44" w:rsidRPr="00E6591B" w:rsidRDefault="00271A44" w:rsidP="00271A44">
      <w:pPr>
        <w:numPr>
          <w:ilvl w:val="0"/>
          <w:numId w:val="19"/>
        </w:numPr>
        <w:spacing w:after="0" w:line="240" w:lineRule="auto"/>
        <w:ind w:right="1041"/>
        <w:contextualSpacing/>
        <w:jc w:val="both"/>
        <w:rPr>
          <w:rFonts w:ascii="Verdana" w:hAnsi="Verdana" w:cstheme="majorHAnsi"/>
          <w:bCs/>
          <w:sz w:val="20"/>
          <w:szCs w:val="20"/>
        </w:rPr>
      </w:pPr>
      <w:r w:rsidRPr="00E6591B">
        <w:rPr>
          <w:rFonts w:ascii="Verdana" w:hAnsi="Verdana" w:cstheme="majorHAnsi"/>
          <w:bCs/>
          <w:sz w:val="20"/>
          <w:szCs w:val="20"/>
        </w:rPr>
        <w:t xml:space="preserve">Posteriormente, se seleccionará un método aleatorio en función de la Tasa Representativa del Mercado (TRM) certificada por la Superintendencia Financiera de Colombia [en su sitio web: </w:t>
      </w:r>
      <w:hyperlink r:id="rId19">
        <w:r w:rsidRPr="00E6591B">
          <w:rPr>
            <w:rFonts w:ascii="Verdana" w:hAnsi="Verdana" w:cstheme="majorHAnsi"/>
            <w:bCs/>
            <w:sz w:val="20"/>
            <w:szCs w:val="20"/>
          </w:rPr>
          <w:t>https://www.superfinanciera.gov.co/publicacion/60819</w:t>
        </w:r>
      </w:hyperlink>
      <w:r w:rsidRPr="00E6591B">
        <w:rPr>
          <w:rFonts w:ascii="Verdana" w:hAnsi="Verdana" w:cstheme="majorHAnsi"/>
          <w:bCs/>
          <w:sz w:val="20"/>
          <w:szCs w:val="20"/>
        </w:rPr>
        <w:t>].</w:t>
      </w:r>
    </w:p>
    <w:p w14:paraId="6B524540" w14:textId="77777777" w:rsidR="00271A44" w:rsidRPr="00E6591B" w:rsidRDefault="00271A44" w:rsidP="00271A44">
      <w:pPr>
        <w:pStyle w:val="Prrafodelista"/>
        <w:spacing w:line="240" w:lineRule="auto"/>
        <w:ind w:right="1041"/>
        <w:jc w:val="both"/>
        <w:rPr>
          <w:rFonts w:ascii="Verdana" w:hAnsi="Verdana" w:cstheme="majorHAnsi"/>
          <w:bCs/>
          <w:sz w:val="20"/>
          <w:szCs w:val="20"/>
        </w:rPr>
      </w:pPr>
    </w:p>
    <w:p w14:paraId="4E379A5E" w14:textId="77777777" w:rsidR="00271A44" w:rsidRPr="00E6591B" w:rsidRDefault="00271A44" w:rsidP="00271A44">
      <w:pPr>
        <w:pStyle w:val="Prrafodelista"/>
        <w:spacing w:line="240" w:lineRule="auto"/>
        <w:ind w:right="1041"/>
        <w:jc w:val="both"/>
        <w:rPr>
          <w:rFonts w:ascii="Verdana" w:hAnsi="Verdana" w:cstheme="majorHAnsi"/>
          <w:bCs/>
          <w:sz w:val="20"/>
          <w:szCs w:val="20"/>
        </w:rPr>
      </w:pPr>
      <w:r w:rsidRPr="00E6591B">
        <w:rPr>
          <w:rFonts w:ascii="Verdana" w:hAnsi="Verdana" w:cstheme="majorHAnsi"/>
          <w:bCs/>
          <w:sz w:val="20"/>
          <w:szCs w:val="20"/>
        </w:rPr>
        <w:t xml:space="preserve">La TRM que la Entidad utilizará para determinar el método de ponderación será la que rija el </w:t>
      </w:r>
      <w:r w:rsidRPr="00E6591B">
        <w:rPr>
          <w:rFonts w:ascii="Verdana" w:hAnsi="Verdana" w:cstheme="majorHAnsi"/>
          <w:bCs/>
          <w:i/>
          <w:iCs/>
          <w:sz w:val="20"/>
          <w:szCs w:val="20"/>
          <w:u w:val="single"/>
        </w:rPr>
        <w:t>segundo día hábil después del cierre del proceso</w:t>
      </w:r>
      <w:r w:rsidRPr="00E6591B">
        <w:rPr>
          <w:rFonts w:ascii="Verdana" w:hAnsi="Verdana" w:cstheme="majorHAnsi"/>
          <w:bCs/>
          <w:sz w:val="20"/>
          <w:szCs w:val="20"/>
        </w:rPr>
        <w:t xml:space="preserve">. Esto es, la que la Superintendencia publique en horas de la tarde del día hábil siguiente a la fecha efectiva del cierre del Proceso de Contratación. [Por ejemplo, si el cierre del Proceso de Contratación se realiza el 10 de febrero, la TRM que se usará para determinar el </w:t>
      </w:r>
      <w:r w:rsidRPr="00E6591B">
        <w:rPr>
          <w:rFonts w:ascii="Verdana" w:hAnsi="Verdana" w:cstheme="majorHAnsi"/>
          <w:bCs/>
          <w:sz w:val="20"/>
          <w:szCs w:val="20"/>
        </w:rPr>
        <w:lastRenderedPageBreak/>
        <w:t xml:space="preserve">método de evaluación será la del 12 de febrero, que se publica en la tarde del 11 de febrero] </w:t>
      </w:r>
    </w:p>
    <w:p w14:paraId="4629D433" w14:textId="77777777" w:rsidR="00271A44" w:rsidRPr="00E6591B" w:rsidRDefault="00271A44" w:rsidP="00271A44">
      <w:pPr>
        <w:pStyle w:val="Prrafodelista"/>
        <w:spacing w:line="240" w:lineRule="auto"/>
        <w:ind w:right="1041"/>
        <w:jc w:val="both"/>
        <w:rPr>
          <w:rFonts w:ascii="Verdana" w:hAnsi="Verdana" w:cstheme="majorHAnsi"/>
          <w:bCs/>
          <w:sz w:val="20"/>
          <w:szCs w:val="20"/>
        </w:rPr>
      </w:pPr>
    </w:p>
    <w:p w14:paraId="4DBE9061" w14:textId="77777777" w:rsidR="00271A44" w:rsidRPr="00E6591B" w:rsidRDefault="00271A44" w:rsidP="00271A44">
      <w:pPr>
        <w:pStyle w:val="Prrafodelista"/>
        <w:spacing w:line="240" w:lineRule="auto"/>
        <w:ind w:right="1041"/>
        <w:jc w:val="both"/>
        <w:rPr>
          <w:rFonts w:ascii="Verdana" w:hAnsi="Verdana" w:cstheme="majorHAnsi"/>
          <w:bCs/>
          <w:sz w:val="20"/>
          <w:szCs w:val="20"/>
        </w:rPr>
      </w:pPr>
      <w:r w:rsidRPr="00E6591B">
        <w:rPr>
          <w:rFonts w:ascii="Verdana" w:hAnsi="Verdana" w:cstheme="majorHAnsi"/>
          <w:bCs/>
          <w:sz w:val="20"/>
          <w:szCs w:val="20"/>
        </w:rPr>
        <w:t>El método de ponderación se determinará de acuerdo con los rangos del siguiente cuadro, en función de la parte decimal -centavos- de la TRM:</w:t>
      </w:r>
    </w:p>
    <w:tbl>
      <w:tblPr>
        <w:tblW w:w="0" w:type="auto"/>
        <w:jc w:val="center"/>
        <w:tblLayout w:type="fixed"/>
        <w:tblLook w:val="00A0" w:firstRow="1" w:lastRow="0" w:firstColumn="1" w:lastColumn="0" w:noHBand="0" w:noVBand="0"/>
      </w:tblPr>
      <w:tblGrid>
        <w:gridCol w:w="1620"/>
        <w:gridCol w:w="1110"/>
        <w:gridCol w:w="3270"/>
      </w:tblGrid>
      <w:tr w:rsidR="00271A44" w:rsidRPr="00E6591B" w14:paraId="618DE171" w14:textId="77777777" w:rsidTr="000C794B">
        <w:trPr>
          <w:trHeight w:val="15"/>
          <w:jc w:val="center"/>
        </w:trPr>
        <w:tc>
          <w:tcPr>
            <w:tcW w:w="1620" w:type="dxa"/>
            <w:tcBorders>
              <w:top w:val="double" w:sz="4" w:space="0" w:color="auto"/>
              <w:left w:val="double" w:sz="4" w:space="0" w:color="auto"/>
              <w:bottom w:val="single" w:sz="8" w:space="0" w:color="auto"/>
              <w:right w:val="single" w:sz="8" w:space="0" w:color="auto"/>
            </w:tcBorders>
            <w:shd w:val="clear" w:color="auto" w:fill="262626" w:themeFill="text1" w:themeFillTint="D9"/>
            <w:vAlign w:val="center"/>
          </w:tcPr>
          <w:p w14:paraId="22B5A9A3" w14:textId="2BED6AE9" w:rsidR="00271A44" w:rsidRPr="00E6591B" w:rsidRDefault="00271A44" w:rsidP="000C794B">
            <w:pPr>
              <w:spacing w:line="240" w:lineRule="auto"/>
              <w:jc w:val="both"/>
              <w:rPr>
                <w:rFonts w:ascii="Verdana" w:eastAsia="Arial" w:hAnsi="Verdana" w:cs="Arial"/>
                <w:b/>
                <w:bCs/>
                <w:sz w:val="20"/>
                <w:szCs w:val="20"/>
                <w:lang w:val="es"/>
              </w:rPr>
            </w:pPr>
            <w:r w:rsidRPr="00E6591B">
              <w:rPr>
                <w:rFonts w:ascii="Verdana" w:eastAsia="Arial" w:hAnsi="Verdana" w:cs="Arial"/>
                <w:b/>
                <w:bCs/>
                <w:sz w:val="20"/>
                <w:szCs w:val="20"/>
                <w:lang w:val="es"/>
              </w:rPr>
              <w:t>Rango (inclusive)</w:t>
            </w:r>
          </w:p>
        </w:tc>
        <w:tc>
          <w:tcPr>
            <w:tcW w:w="1110" w:type="dxa"/>
            <w:tcBorders>
              <w:top w:val="double" w:sz="4" w:space="0" w:color="auto"/>
              <w:left w:val="single" w:sz="8" w:space="0" w:color="auto"/>
              <w:bottom w:val="single" w:sz="8" w:space="0" w:color="auto"/>
              <w:right w:val="single" w:sz="8" w:space="0" w:color="auto"/>
            </w:tcBorders>
            <w:shd w:val="clear" w:color="auto" w:fill="262626" w:themeFill="text1" w:themeFillTint="D9"/>
            <w:vAlign w:val="center"/>
          </w:tcPr>
          <w:p w14:paraId="2E39A83C" w14:textId="77777777" w:rsidR="00271A44" w:rsidRPr="00E6591B" w:rsidRDefault="00271A44" w:rsidP="000C794B">
            <w:pPr>
              <w:spacing w:line="240" w:lineRule="auto"/>
              <w:jc w:val="both"/>
              <w:rPr>
                <w:rFonts w:ascii="Verdana" w:eastAsia="Arial" w:hAnsi="Verdana" w:cs="Arial"/>
                <w:b/>
                <w:bCs/>
                <w:sz w:val="20"/>
                <w:szCs w:val="20"/>
                <w:lang w:val="es"/>
              </w:rPr>
            </w:pPr>
            <w:r w:rsidRPr="00E6591B">
              <w:rPr>
                <w:rFonts w:ascii="Verdana" w:eastAsia="Arial" w:hAnsi="Verdana" w:cs="Arial"/>
                <w:b/>
                <w:bCs/>
                <w:sz w:val="20"/>
                <w:szCs w:val="20"/>
                <w:lang w:val="es"/>
              </w:rPr>
              <w:t>Número</w:t>
            </w:r>
          </w:p>
        </w:tc>
        <w:tc>
          <w:tcPr>
            <w:tcW w:w="3270" w:type="dxa"/>
            <w:tcBorders>
              <w:top w:val="double" w:sz="4" w:space="0" w:color="auto"/>
              <w:left w:val="single" w:sz="8" w:space="0" w:color="auto"/>
              <w:bottom w:val="single" w:sz="8" w:space="0" w:color="auto"/>
              <w:right w:val="double" w:sz="4" w:space="0" w:color="auto"/>
            </w:tcBorders>
            <w:shd w:val="clear" w:color="auto" w:fill="262626" w:themeFill="text1" w:themeFillTint="D9"/>
            <w:vAlign w:val="center"/>
          </w:tcPr>
          <w:p w14:paraId="74F7CD5A" w14:textId="77777777" w:rsidR="00271A44" w:rsidRPr="00E6591B" w:rsidRDefault="00271A44" w:rsidP="000357D1">
            <w:pPr>
              <w:spacing w:line="240" w:lineRule="auto"/>
              <w:jc w:val="center"/>
              <w:rPr>
                <w:rFonts w:ascii="Verdana" w:eastAsia="Arial" w:hAnsi="Verdana" w:cs="Arial"/>
                <w:b/>
                <w:bCs/>
                <w:sz w:val="20"/>
                <w:szCs w:val="20"/>
                <w:lang w:val="es"/>
              </w:rPr>
            </w:pPr>
            <w:r w:rsidRPr="00E6591B">
              <w:rPr>
                <w:rFonts w:ascii="Verdana" w:eastAsia="Arial" w:hAnsi="Verdana" w:cs="Arial"/>
                <w:b/>
                <w:bCs/>
                <w:sz w:val="20"/>
                <w:szCs w:val="20"/>
                <w:lang w:val="es"/>
              </w:rPr>
              <w:t>Método</w:t>
            </w:r>
          </w:p>
        </w:tc>
      </w:tr>
      <w:tr w:rsidR="00271A44" w:rsidRPr="00E6591B" w14:paraId="17FC8E25" w14:textId="77777777" w:rsidTr="000C794B">
        <w:trPr>
          <w:trHeight w:val="15"/>
          <w:jc w:val="center"/>
        </w:trPr>
        <w:tc>
          <w:tcPr>
            <w:tcW w:w="1620" w:type="dxa"/>
            <w:tcBorders>
              <w:top w:val="single" w:sz="8" w:space="0" w:color="auto"/>
              <w:left w:val="double" w:sz="4" w:space="0" w:color="auto"/>
              <w:bottom w:val="single" w:sz="8" w:space="0" w:color="auto"/>
              <w:right w:val="single" w:sz="8" w:space="0" w:color="auto"/>
            </w:tcBorders>
            <w:vAlign w:val="center"/>
          </w:tcPr>
          <w:p w14:paraId="1B0E8DAF" w14:textId="77777777" w:rsidR="00271A44" w:rsidRPr="00E6591B" w:rsidRDefault="00271A44" w:rsidP="000C794B">
            <w:pPr>
              <w:spacing w:line="240" w:lineRule="auto"/>
              <w:jc w:val="both"/>
              <w:rPr>
                <w:rFonts w:ascii="Verdana" w:eastAsia="Arial" w:hAnsi="Verdana" w:cs="Arial"/>
                <w:sz w:val="20"/>
                <w:szCs w:val="20"/>
                <w:lang w:val="es"/>
              </w:rPr>
            </w:pPr>
            <w:r w:rsidRPr="00E6591B">
              <w:rPr>
                <w:rFonts w:ascii="Verdana" w:eastAsia="Arial" w:hAnsi="Verdana" w:cs="Arial"/>
                <w:sz w:val="20"/>
                <w:szCs w:val="20"/>
                <w:lang w:val="es"/>
              </w:rPr>
              <w:t>De 0.00 a 0.33</w:t>
            </w:r>
          </w:p>
        </w:tc>
        <w:tc>
          <w:tcPr>
            <w:tcW w:w="1110" w:type="dxa"/>
            <w:tcBorders>
              <w:top w:val="single" w:sz="8" w:space="0" w:color="auto"/>
              <w:left w:val="single" w:sz="8" w:space="0" w:color="auto"/>
              <w:bottom w:val="single" w:sz="8" w:space="0" w:color="auto"/>
              <w:right w:val="single" w:sz="8" w:space="0" w:color="auto"/>
            </w:tcBorders>
            <w:vAlign w:val="center"/>
          </w:tcPr>
          <w:p w14:paraId="185E400E" w14:textId="77777777" w:rsidR="00271A44" w:rsidRPr="00E6591B" w:rsidRDefault="00271A44" w:rsidP="000C794B">
            <w:pPr>
              <w:spacing w:line="240" w:lineRule="auto"/>
              <w:jc w:val="both"/>
              <w:rPr>
                <w:rFonts w:ascii="Verdana" w:eastAsia="Arial" w:hAnsi="Verdana" w:cs="Arial"/>
                <w:sz w:val="20"/>
                <w:szCs w:val="20"/>
                <w:lang w:val="es"/>
              </w:rPr>
            </w:pPr>
            <w:r w:rsidRPr="00E6591B">
              <w:rPr>
                <w:rFonts w:ascii="Verdana" w:eastAsia="Arial" w:hAnsi="Verdana" w:cs="Arial"/>
                <w:sz w:val="20"/>
                <w:szCs w:val="20"/>
                <w:lang w:val="es"/>
              </w:rPr>
              <w:t>1</w:t>
            </w:r>
          </w:p>
        </w:tc>
        <w:tc>
          <w:tcPr>
            <w:tcW w:w="3270" w:type="dxa"/>
            <w:tcBorders>
              <w:top w:val="single" w:sz="8" w:space="0" w:color="auto"/>
              <w:left w:val="single" w:sz="8" w:space="0" w:color="auto"/>
              <w:bottom w:val="single" w:sz="8" w:space="0" w:color="auto"/>
              <w:right w:val="double" w:sz="4" w:space="0" w:color="auto"/>
            </w:tcBorders>
            <w:vAlign w:val="center"/>
          </w:tcPr>
          <w:p w14:paraId="72CC0584" w14:textId="77777777" w:rsidR="00271A44" w:rsidRPr="00E6591B" w:rsidRDefault="00271A44" w:rsidP="000C794B">
            <w:pPr>
              <w:spacing w:line="240" w:lineRule="auto"/>
              <w:jc w:val="both"/>
              <w:rPr>
                <w:rFonts w:ascii="Verdana" w:eastAsia="Arial" w:hAnsi="Verdana" w:cs="Arial"/>
                <w:sz w:val="20"/>
                <w:szCs w:val="20"/>
                <w:lang w:val="es"/>
              </w:rPr>
            </w:pPr>
            <w:r w:rsidRPr="00E6591B">
              <w:rPr>
                <w:rFonts w:ascii="Verdana" w:eastAsia="Arial" w:hAnsi="Verdana" w:cs="Arial"/>
                <w:sz w:val="20"/>
                <w:szCs w:val="20"/>
                <w:lang w:val="es"/>
              </w:rPr>
              <w:t>Mediana con valor absoluto</w:t>
            </w:r>
          </w:p>
        </w:tc>
      </w:tr>
      <w:tr w:rsidR="00271A44" w:rsidRPr="00E6591B" w14:paraId="01D0C51E" w14:textId="77777777" w:rsidTr="000C794B">
        <w:trPr>
          <w:trHeight w:val="30"/>
          <w:jc w:val="center"/>
        </w:trPr>
        <w:tc>
          <w:tcPr>
            <w:tcW w:w="1620" w:type="dxa"/>
            <w:tcBorders>
              <w:top w:val="single" w:sz="8" w:space="0" w:color="auto"/>
              <w:left w:val="double" w:sz="4" w:space="0" w:color="auto"/>
              <w:bottom w:val="single" w:sz="8" w:space="0" w:color="auto"/>
              <w:right w:val="single" w:sz="8" w:space="0" w:color="auto"/>
            </w:tcBorders>
            <w:vAlign w:val="center"/>
          </w:tcPr>
          <w:p w14:paraId="4EE5D837" w14:textId="77777777" w:rsidR="00271A44" w:rsidRPr="00E6591B" w:rsidRDefault="00271A44" w:rsidP="000C794B">
            <w:pPr>
              <w:spacing w:line="240" w:lineRule="auto"/>
              <w:jc w:val="both"/>
              <w:rPr>
                <w:rFonts w:ascii="Verdana" w:eastAsia="Arial" w:hAnsi="Verdana" w:cs="Arial"/>
                <w:sz w:val="20"/>
                <w:szCs w:val="20"/>
                <w:lang w:val="es"/>
              </w:rPr>
            </w:pPr>
            <w:r w:rsidRPr="00E6591B">
              <w:rPr>
                <w:rFonts w:ascii="Verdana" w:eastAsia="Arial" w:hAnsi="Verdana" w:cs="Arial"/>
                <w:sz w:val="20"/>
                <w:szCs w:val="20"/>
                <w:lang w:val="es"/>
              </w:rPr>
              <w:t>De 0.34 a 0.66</w:t>
            </w:r>
          </w:p>
        </w:tc>
        <w:tc>
          <w:tcPr>
            <w:tcW w:w="1110" w:type="dxa"/>
            <w:tcBorders>
              <w:top w:val="single" w:sz="8" w:space="0" w:color="auto"/>
              <w:left w:val="single" w:sz="8" w:space="0" w:color="auto"/>
              <w:bottom w:val="single" w:sz="8" w:space="0" w:color="auto"/>
              <w:right w:val="single" w:sz="8" w:space="0" w:color="auto"/>
            </w:tcBorders>
            <w:vAlign w:val="center"/>
          </w:tcPr>
          <w:p w14:paraId="62A4875A" w14:textId="77777777" w:rsidR="00271A44" w:rsidRPr="00E6591B" w:rsidRDefault="00271A44" w:rsidP="000C794B">
            <w:pPr>
              <w:spacing w:line="240" w:lineRule="auto"/>
              <w:jc w:val="both"/>
              <w:rPr>
                <w:rFonts w:ascii="Verdana" w:eastAsia="Arial" w:hAnsi="Verdana" w:cs="Arial"/>
                <w:sz w:val="20"/>
                <w:szCs w:val="20"/>
                <w:lang w:val="es"/>
              </w:rPr>
            </w:pPr>
            <w:r w:rsidRPr="00E6591B">
              <w:rPr>
                <w:rFonts w:ascii="Verdana" w:eastAsia="Arial" w:hAnsi="Verdana" w:cs="Arial"/>
                <w:sz w:val="20"/>
                <w:szCs w:val="20"/>
                <w:lang w:val="es"/>
              </w:rPr>
              <w:t>2</w:t>
            </w:r>
          </w:p>
        </w:tc>
        <w:tc>
          <w:tcPr>
            <w:tcW w:w="3270" w:type="dxa"/>
            <w:tcBorders>
              <w:top w:val="single" w:sz="8" w:space="0" w:color="auto"/>
              <w:left w:val="single" w:sz="8" w:space="0" w:color="auto"/>
              <w:bottom w:val="single" w:sz="8" w:space="0" w:color="auto"/>
              <w:right w:val="double" w:sz="4" w:space="0" w:color="auto"/>
            </w:tcBorders>
            <w:vAlign w:val="center"/>
          </w:tcPr>
          <w:p w14:paraId="5CE96B93" w14:textId="77777777" w:rsidR="00271A44" w:rsidRPr="00E6591B" w:rsidRDefault="00271A44" w:rsidP="000C794B">
            <w:pPr>
              <w:spacing w:line="240" w:lineRule="auto"/>
              <w:jc w:val="both"/>
              <w:rPr>
                <w:rFonts w:ascii="Verdana" w:eastAsia="Arial" w:hAnsi="Verdana" w:cs="Arial"/>
                <w:sz w:val="20"/>
                <w:szCs w:val="20"/>
                <w:lang w:val="es"/>
              </w:rPr>
            </w:pPr>
            <w:r w:rsidRPr="00E6591B">
              <w:rPr>
                <w:rFonts w:ascii="Verdana" w:eastAsia="Arial" w:hAnsi="Verdana" w:cs="Arial"/>
                <w:sz w:val="20"/>
                <w:szCs w:val="20"/>
                <w:lang w:val="es"/>
              </w:rPr>
              <w:t>Media geométrica</w:t>
            </w:r>
          </w:p>
        </w:tc>
      </w:tr>
      <w:tr w:rsidR="00271A44" w:rsidRPr="00E6591B" w14:paraId="42235A99" w14:textId="77777777" w:rsidTr="000C794B">
        <w:trPr>
          <w:trHeight w:val="15"/>
          <w:jc w:val="center"/>
        </w:trPr>
        <w:tc>
          <w:tcPr>
            <w:tcW w:w="1620" w:type="dxa"/>
            <w:tcBorders>
              <w:top w:val="single" w:sz="8" w:space="0" w:color="auto"/>
              <w:left w:val="double" w:sz="4" w:space="0" w:color="auto"/>
              <w:bottom w:val="double" w:sz="4" w:space="0" w:color="auto"/>
              <w:right w:val="single" w:sz="8" w:space="0" w:color="auto"/>
            </w:tcBorders>
            <w:vAlign w:val="center"/>
          </w:tcPr>
          <w:p w14:paraId="4126B3CA" w14:textId="77777777" w:rsidR="00271A44" w:rsidRPr="00E6591B" w:rsidRDefault="00271A44" w:rsidP="000C794B">
            <w:pPr>
              <w:spacing w:line="240" w:lineRule="auto"/>
              <w:jc w:val="both"/>
              <w:rPr>
                <w:rFonts w:ascii="Verdana" w:eastAsia="Arial" w:hAnsi="Verdana" w:cs="Arial"/>
                <w:sz w:val="20"/>
                <w:szCs w:val="20"/>
                <w:lang w:val="es"/>
              </w:rPr>
            </w:pPr>
            <w:r w:rsidRPr="00E6591B">
              <w:rPr>
                <w:rFonts w:ascii="Verdana" w:eastAsia="Arial" w:hAnsi="Verdana" w:cs="Arial"/>
                <w:sz w:val="20"/>
                <w:szCs w:val="20"/>
                <w:lang w:val="es"/>
              </w:rPr>
              <w:t>De 0.67 a 0.99</w:t>
            </w:r>
          </w:p>
        </w:tc>
        <w:tc>
          <w:tcPr>
            <w:tcW w:w="1110" w:type="dxa"/>
            <w:tcBorders>
              <w:top w:val="single" w:sz="8" w:space="0" w:color="auto"/>
              <w:left w:val="single" w:sz="8" w:space="0" w:color="auto"/>
              <w:bottom w:val="double" w:sz="4" w:space="0" w:color="auto"/>
              <w:right w:val="single" w:sz="8" w:space="0" w:color="auto"/>
            </w:tcBorders>
            <w:vAlign w:val="center"/>
          </w:tcPr>
          <w:p w14:paraId="04CC2674" w14:textId="77777777" w:rsidR="00271A44" w:rsidRPr="00E6591B" w:rsidRDefault="00271A44" w:rsidP="000C794B">
            <w:pPr>
              <w:spacing w:line="240" w:lineRule="auto"/>
              <w:jc w:val="both"/>
              <w:rPr>
                <w:rFonts w:ascii="Verdana" w:eastAsia="Arial" w:hAnsi="Verdana" w:cs="Arial"/>
                <w:sz w:val="20"/>
                <w:szCs w:val="20"/>
                <w:lang w:val="es"/>
              </w:rPr>
            </w:pPr>
            <w:r w:rsidRPr="00E6591B">
              <w:rPr>
                <w:rFonts w:ascii="Verdana" w:eastAsia="Arial" w:hAnsi="Verdana" w:cs="Arial"/>
                <w:sz w:val="20"/>
                <w:szCs w:val="20"/>
                <w:lang w:val="es"/>
              </w:rPr>
              <w:t>3</w:t>
            </w:r>
          </w:p>
        </w:tc>
        <w:tc>
          <w:tcPr>
            <w:tcW w:w="3270" w:type="dxa"/>
            <w:tcBorders>
              <w:top w:val="single" w:sz="8" w:space="0" w:color="auto"/>
              <w:left w:val="single" w:sz="8" w:space="0" w:color="auto"/>
              <w:bottom w:val="double" w:sz="4" w:space="0" w:color="auto"/>
              <w:right w:val="double" w:sz="4" w:space="0" w:color="auto"/>
            </w:tcBorders>
            <w:vAlign w:val="center"/>
          </w:tcPr>
          <w:p w14:paraId="26EBE0FF" w14:textId="77777777" w:rsidR="00271A44" w:rsidRPr="00E6591B" w:rsidRDefault="00271A44" w:rsidP="000C794B">
            <w:pPr>
              <w:spacing w:line="240" w:lineRule="auto"/>
              <w:jc w:val="both"/>
              <w:rPr>
                <w:rFonts w:ascii="Verdana" w:eastAsia="Arial" w:hAnsi="Verdana" w:cs="Arial"/>
                <w:sz w:val="20"/>
                <w:szCs w:val="20"/>
                <w:lang w:val="es"/>
              </w:rPr>
            </w:pPr>
            <w:r w:rsidRPr="00E6591B">
              <w:rPr>
                <w:rFonts w:ascii="Verdana" w:eastAsia="Arial" w:hAnsi="Verdana" w:cs="Arial"/>
                <w:sz w:val="20"/>
                <w:szCs w:val="20"/>
                <w:lang w:val="es"/>
              </w:rPr>
              <w:t>Media aritmética alta</w:t>
            </w:r>
          </w:p>
        </w:tc>
      </w:tr>
    </w:tbl>
    <w:p w14:paraId="61576FC1" w14:textId="77777777" w:rsidR="00271A44" w:rsidRPr="00E6591B" w:rsidRDefault="00271A44" w:rsidP="00271A44">
      <w:pPr>
        <w:spacing w:line="240" w:lineRule="auto"/>
        <w:jc w:val="both"/>
        <w:outlineLvl w:val="1"/>
        <w:rPr>
          <w:rFonts w:ascii="Verdana" w:hAnsi="Verdana" w:cstheme="majorHAnsi"/>
          <w:sz w:val="20"/>
          <w:szCs w:val="20"/>
          <w:lang w:val="es-MX"/>
        </w:rPr>
      </w:pPr>
      <w:r w:rsidRPr="00E6591B">
        <w:rPr>
          <w:rFonts w:ascii="Verdana" w:hAnsi="Verdana" w:cstheme="majorHAnsi"/>
          <w:sz w:val="20"/>
          <w:szCs w:val="20"/>
          <w:lang w:val="es-MX"/>
        </w:rPr>
        <w:t>(…)</w:t>
      </w:r>
    </w:p>
    <w:p w14:paraId="72672696" w14:textId="77777777" w:rsidR="00271A44" w:rsidRPr="00E6591B" w:rsidRDefault="00271A44" w:rsidP="00271A44">
      <w:pPr>
        <w:pStyle w:val="Prrafodelista"/>
        <w:numPr>
          <w:ilvl w:val="0"/>
          <w:numId w:val="19"/>
        </w:numPr>
        <w:tabs>
          <w:tab w:val="left" w:pos="7797"/>
        </w:tabs>
        <w:spacing w:after="0" w:line="240" w:lineRule="auto"/>
        <w:ind w:right="1041"/>
        <w:jc w:val="both"/>
        <w:rPr>
          <w:rFonts w:ascii="Verdana" w:hAnsi="Verdana" w:cstheme="majorHAnsi"/>
          <w:bCs/>
          <w:sz w:val="20"/>
          <w:szCs w:val="20"/>
        </w:rPr>
      </w:pPr>
      <w:r w:rsidRPr="00E6591B">
        <w:rPr>
          <w:rFonts w:ascii="Verdana" w:hAnsi="Verdana" w:cstheme="majorHAnsi"/>
          <w:bCs/>
          <w:sz w:val="20"/>
          <w:szCs w:val="20"/>
        </w:rPr>
        <w:t>Dependiendo del método aleatorio establecido según la TRM, cada uno de los Proponentes habilitados participarán con el valor del promedio de los contratos válidos aportados, que no fueron objeto de subsanación, según la metodología descrita para cada alternativa. (…)</w:t>
      </w:r>
      <w:r w:rsidRPr="00E6591B">
        <w:rPr>
          <w:rStyle w:val="Refdenotaalpie"/>
          <w:rFonts w:ascii="Verdana" w:hAnsi="Verdana" w:cstheme="majorHAnsi"/>
          <w:bCs/>
          <w:sz w:val="20"/>
          <w:szCs w:val="20"/>
        </w:rPr>
        <w:footnoteReference w:id="7"/>
      </w:r>
      <w:r>
        <w:rPr>
          <w:rFonts w:ascii="Verdana" w:hAnsi="Verdana" w:cstheme="majorHAnsi"/>
          <w:bCs/>
          <w:sz w:val="20"/>
          <w:szCs w:val="20"/>
        </w:rPr>
        <w:t xml:space="preserve"> (Subrayado fuera de texto)</w:t>
      </w:r>
    </w:p>
    <w:bookmarkEnd w:id="3"/>
    <w:p w14:paraId="7A4042C6" w14:textId="77777777" w:rsidR="00271A44" w:rsidRPr="00E6591B" w:rsidRDefault="00271A44" w:rsidP="00271A44">
      <w:pPr>
        <w:spacing w:line="240" w:lineRule="auto"/>
        <w:jc w:val="both"/>
        <w:rPr>
          <w:rFonts w:ascii="Verdana" w:hAnsi="Verdana" w:cstheme="majorHAnsi"/>
          <w:sz w:val="20"/>
          <w:szCs w:val="20"/>
        </w:rPr>
      </w:pPr>
    </w:p>
    <w:p w14:paraId="0E4E908E" w14:textId="77777777" w:rsidR="00271A44" w:rsidRPr="00E6591B" w:rsidRDefault="00271A44" w:rsidP="00271A44">
      <w:pPr>
        <w:numPr>
          <w:ilvl w:val="0"/>
          <w:numId w:val="18"/>
        </w:numPr>
        <w:tabs>
          <w:tab w:val="left" w:pos="709"/>
        </w:tabs>
        <w:spacing w:after="0" w:line="256" w:lineRule="auto"/>
        <w:ind w:left="709"/>
        <w:contextualSpacing/>
        <w:jc w:val="both"/>
        <w:rPr>
          <w:rFonts w:ascii="Verdana" w:hAnsi="Verdana" w:cstheme="majorHAnsi"/>
        </w:rPr>
      </w:pPr>
      <w:r w:rsidRPr="00E6591B">
        <w:rPr>
          <w:rFonts w:ascii="Verdana" w:hAnsi="Verdana" w:cs="Arial"/>
          <w:bCs/>
          <w:color w:val="000000"/>
          <w:lang w:val="es-ES"/>
        </w:rPr>
        <w:t>Ahora</w:t>
      </w:r>
      <w:r w:rsidRPr="00E6591B">
        <w:rPr>
          <w:rFonts w:ascii="Verdana" w:hAnsi="Verdana" w:cstheme="majorHAnsi"/>
        </w:rPr>
        <w:t xml:space="preserve"> bien, para la aplicación de la Media Aritmética Alta, hay que indicar lo siguiente, según el Documento Tipo:</w:t>
      </w:r>
    </w:p>
    <w:p w14:paraId="770C5D57" w14:textId="77777777" w:rsidR="00271A44" w:rsidRDefault="00271A44" w:rsidP="00271A44">
      <w:pPr>
        <w:spacing w:line="240" w:lineRule="auto"/>
        <w:ind w:left="708"/>
        <w:jc w:val="both"/>
        <w:rPr>
          <w:rFonts w:ascii="Verdana" w:hAnsi="Verdana" w:cstheme="majorHAnsi"/>
        </w:rPr>
      </w:pPr>
    </w:p>
    <w:p w14:paraId="3065D6EE" w14:textId="77777777" w:rsidR="00271A44" w:rsidRPr="00E6591B" w:rsidRDefault="00271A44" w:rsidP="00271A44">
      <w:pPr>
        <w:spacing w:line="240" w:lineRule="auto"/>
        <w:ind w:left="708"/>
        <w:jc w:val="both"/>
        <w:rPr>
          <w:rFonts w:ascii="Verdana" w:hAnsi="Verdana" w:cstheme="majorHAnsi"/>
          <w:sz w:val="20"/>
          <w:szCs w:val="20"/>
        </w:rPr>
      </w:pPr>
      <w:r w:rsidRPr="00E6591B">
        <w:rPr>
          <w:rFonts w:ascii="Verdana" w:hAnsi="Verdana" w:cstheme="majorHAnsi"/>
        </w:rPr>
        <w:t>“C</w:t>
      </w:r>
      <w:r w:rsidRPr="00E6591B">
        <w:rPr>
          <w:rFonts w:ascii="Verdana" w:hAnsi="Verdana" w:cstheme="majorHAnsi"/>
          <w:sz w:val="20"/>
          <w:szCs w:val="20"/>
        </w:rPr>
        <w:t>. Media Aritmética Alta</w:t>
      </w:r>
    </w:p>
    <w:p w14:paraId="4DF339E8" w14:textId="77777777" w:rsidR="00271A44" w:rsidRPr="00E6591B" w:rsidRDefault="00271A44" w:rsidP="00271A44">
      <w:pPr>
        <w:spacing w:line="240" w:lineRule="auto"/>
        <w:ind w:left="708"/>
        <w:jc w:val="both"/>
        <w:rPr>
          <w:rFonts w:ascii="Verdana" w:hAnsi="Verdana" w:cstheme="majorHAnsi"/>
        </w:rPr>
      </w:pPr>
      <w:r w:rsidRPr="00E6591B">
        <w:rPr>
          <w:rFonts w:ascii="Verdana" w:hAnsi="Verdana" w:cstheme="majorHAnsi"/>
          <w:sz w:val="20"/>
          <w:szCs w:val="20"/>
        </w:rPr>
        <w:t>Consiste en la determinación de la media aritmética entre el valor de los promedios de los contratos válidos aportados y que no fueron objeto de subsanación expresado en SMMLV de la propuesta válida más alta, y el promedio aritmético del promedio de los contratos válidos y que no fueron objeto de subsanación de las propuestas hábiles excluyendo el promedio de la propuesta más alta, para esto se aplicará la siguiente fórmula</w:t>
      </w:r>
      <w:r w:rsidRPr="00E6591B">
        <w:rPr>
          <w:rFonts w:ascii="Verdana" w:hAnsi="Verdana" w:cstheme="majorHAnsi"/>
        </w:rPr>
        <w:t>:</w:t>
      </w:r>
    </w:p>
    <w:p w14:paraId="7D971950" w14:textId="77777777" w:rsidR="000357D1" w:rsidRDefault="000357D1" w:rsidP="00271A44">
      <w:pPr>
        <w:jc w:val="center"/>
        <w:rPr>
          <w:rFonts w:ascii="Verdana" w:eastAsiaTheme="minorEastAsia" w:hAnsi="Verdana" w:cstheme="majorHAnsi"/>
          <w:sz w:val="20"/>
          <w:szCs w:val="20"/>
          <w:lang w:eastAsia="es-ES"/>
        </w:rPr>
      </w:pPr>
    </w:p>
    <w:p w14:paraId="5B6B2093" w14:textId="5C2B20D3" w:rsidR="00271A44" w:rsidRPr="00E6591B" w:rsidRDefault="00F541E5" w:rsidP="00271A44">
      <w:pPr>
        <w:jc w:val="center"/>
        <w:rPr>
          <w:rFonts w:ascii="Verdana" w:eastAsiaTheme="minorEastAsia" w:hAnsi="Verdana" w:cstheme="majorHAnsi"/>
          <w:sz w:val="20"/>
          <w:szCs w:val="20"/>
          <w:lang w:eastAsia="es-ES"/>
        </w:rPr>
      </w:pPr>
      <m:oMathPara>
        <m:oMath>
          <m:acc>
            <m:accPr>
              <m:chr m:val="̅"/>
              <m:ctrlPr>
                <w:rPr>
                  <w:rFonts w:ascii="Cambria Math" w:eastAsia="Arial" w:hAnsi="Cambria Math" w:cs="Arial"/>
                  <w:i/>
                  <w:sz w:val="20"/>
                  <w:szCs w:val="20"/>
                  <w:lang w:eastAsia="es-ES"/>
                </w:rPr>
              </m:ctrlPr>
            </m:accPr>
            <m:e>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X</m:t>
                  </m:r>
                </m:e>
                <m:sub>
                  <m:r>
                    <w:rPr>
                      <w:rFonts w:ascii="Cambria Math" w:eastAsia="Arial" w:hAnsi="Cambria Math" w:cs="Arial"/>
                      <w:sz w:val="20"/>
                      <w:szCs w:val="20"/>
                      <w:lang w:eastAsia="es-ES"/>
                    </w:rPr>
                    <m:t>A</m:t>
                  </m:r>
                </m:sub>
              </m:sSub>
            </m:e>
          </m:acc>
          <m:r>
            <w:rPr>
              <w:rFonts w:ascii="Cambria Math" w:eastAsia="Arial" w:hAnsi="Cambria Math" w:cs="Arial"/>
              <w:sz w:val="20"/>
              <w:szCs w:val="20"/>
              <w:lang w:eastAsia="es-ES"/>
            </w:rPr>
            <m:t>=</m:t>
          </m:r>
          <m:f>
            <m:fPr>
              <m:ctrlPr>
                <w:rPr>
                  <w:rFonts w:ascii="Cambria Math" w:eastAsia="Arial" w:hAnsi="Cambria Math" w:cs="Arial"/>
                  <w:i/>
                  <w:sz w:val="20"/>
                  <w:szCs w:val="20"/>
                  <w:lang w:eastAsia="es-ES"/>
                </w:rPr>
              </m:ctrlPr>
            </m:fPr>
            <m:num>
              <m:r>
                <w:rPr>
                  <w:rFonts w:ascii="Cambria Math" w:eastAsia="Arial" w:hAnsi="Cambria Math" w:cs="Arial"/>
                  <w:sz w:val="20"/>
                  <w:szCs w:val="20"/>
                  <w:lang w:eastAsia="es-ES"/>
                </w:rPr>
                <m:t>(</m:t>
              </m:r>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V</m:t>
                  </m:r>
                </m:e>
                <m:sub>
                  <m:r>
                    <w:rPr>
                      <w:rFonts w:ascii="Cambria Math" w:eastAsia="Arial" w:hAnsi="Cambria Math" w:cs="Arial"/>
                      <w:sz w:val="20"/>
                      <w:szCs w:val="20"/>
                      <w:lang w:eastAsia="es-ES"/>
                    </w:rPr>
                    <m:t>max</m:t>
                  </m:r>
                </m:sub>
              </m:sSub>
              <m:r>
                <w:rPr>
                  <w:rFonts w:ascii="Cambria Math" w:eastAsia="Arial" w:hAnsi="Cambria Math" w:cs="Arial"/>
                  <w:sz w:val="20"/>
                  <w:szCs w:val="20"/>
                  <w:lang w:eastAsia="es-ES"/>
                </w:rPr>
                <m:t>+</m:t>
              </m:r>
              <m:acc>
                <m:accPr>
                  <m:chr m:val="̅"/>
                  <m:ctrlPr>
                    <w:rPr>
                      <w:rFonts w:ascii="Cambria Math" w:eastAsia="Arial" w:hAnsi="Cambria Math" w:cs="Arial"/>
                      <w:i/>
                      <w:sz w:val="20"/>
                      <w:szCs w:val="20"/>
                      <w:lang w:eastAsia="es-ES"/>
                    </w:rPr>
                  </m:ctrlPr>
                </m:accPr>
                <m:e>
                  <m:r>
                    <w:rPr>
                      <w:rFonts w:ascii="Cambria Math" w:eastAsia="Arial" w:hAnsi="Cambria Math" w:cs="Arial"/>
                      <w:sz w:val="20"/>
                      <w:szCs w:val="20"/>
                      <w:lang w:eastAsia="es-ES"/>
                    </w:rPr>
                    <m:t>X</m:t>
                  </m:r>
                </m:e>
              </m:acc>
              <m:r>
                <w:rPr>
                  <w:rFonts w:ascii="Cambria Math" w:eastAsia="Arial" w:hAnsi="Cambria Math" w:cs="Arial"/>
                  <w:sz w:val="20"/>
                  <w:szCs w:val="20"/>
                  <w:lang w:eastAsia="es-ES"/>
                </w:rPr>
                <m:t>)</m:t>
              </m:r>
            </m:num>
            <m:den>
              <m:r>
                <w:rPr>
                  <w:rFonts w:ascii="Cambria Math" w:eastAsia="Arial" w:hAnsi="Cambria Math" w:cs="Arial"/>
                  <w:sz w:val="20"/>
                  <w:szCs w:val="20"/>
                  <w:lang w:eastAsia="es-ES"/>
                </w:rPr>
                <m:t>2</m:t>
              </m:r>
            </m:den>
          </m:f>
        </m:oMath>
      </m:oMathPara>
    </w:p>
    <w:p w14:paraId="655C313B" w14:textId="77777777" w:rsidR="00271A44" w:rsidRPr="00E6591B" w:rsidRDefault="00F541E5" w:rsidP="00271A44">
      <w:pPr>
        <w:pStyle w:val="Prrafodelista"/>
        <w:numPr>
          <w:ilvl w:val="0"/>
          <w:numId w:val="20"/>
        </w:numPr>
        <w:spacing w:after="0" w:line="240" w:lineRule="auto"/>
        <w:jc w:val="both"/>
        <w:rPr>
          <w:rFonts w:ascii="Verdana" w:eastAsia="Arial" w:hAnsi="Verdana" w:cs="Arial"/>
          <w:sz w:val="16"/>
          <w:szCs w:val="16"/>
          <w:lang w:eastAsia="es-ES"/>
        </w:rPr>
      </w:pPr>
      <m:oMath>
        <m:sSub>
          <m:sSubPr>
            <m:ctrlPr>
              <w:rPr>
                <w:rFonts w:ascii="Cambria Math" w:eastAsia="Arial" w:hAnsi="Cambria Math" w:cs="Arial"/>
                <w:i/>
                <w:sz w:val="16"/>
                <w:szCs w:val="16"/>
                <w:lang w:eastAsia="es-ES"/>
              </w:rPr>
            </m:ctrlPr>
          </m:sSubPr>
          <m:e>
            <m:r>
              <w:rPr>
                <w:rFonts w:ascii="Cambria Math" w:eastAsia="Arial" w:hAnsi="Cambria Math" w:cs="Arial"/>
                <w:sz w:val="16"/>
                <w:szCs w:val="16"/>
                <w:lang w:eastAsia="es-ES"/>
              </w:rPr>
              <m:t>V</m:t>
            </m:r>
          </m:e>
          <m:sub>
            <m:r>
              <w:rPr>
                <w:rFonts w:ascii="Cambria Math" w:eastAsia="Arial" w:hAnsi="Cambria Math" w:cs="Arial"/>
                <w:sz w:val="16"/>
                <w:szCs w:val="16"/>
                <w:lang w:eastAsia="es-ES"/>
              </w:rPr>
              <m:t>max</m:t>
            </m:r>
          </m:sub>
        </m:sSub>
      </m:oMath>
      <w:r w:rsidR="00271A44" w:rsidRPr="00E6591B">
        <w:rPr>
          <w:rFonts w:ascii="Verdana" w:eastAsia="Arial" w:hAnsi="Verdana" w:cs="Arial"/>
          <w:sz w:val="16"/>
          <w:szCs w:val="16"/>
          <w:lang w:eastAsia="es-ES"/>
        </w:rPr>
        <w:t>: Es el valor total corregido del promedio aritmético de los SMMLV de los contratos válidos de la propuesta más alta y que no fueron objeto de subsanación.</w:t>
      </w:r>
    </w:p>
    <w:p w14:paraId="1CD99CC5" w14:textId="77777777" w:rsidR="00271A44" w:rsidRPr="00E6591B" w:rsidRDefault="00F541E5" w:rsidP="00271A44">
      <w:pPr>
        <w:pStyle w:val="Prrafodelista"/>
        <w:numPr>
          <w:ilvl w:val="0"/>
          <w:numId w:val="20"/>
        </w:numPr>
        <w:spacing w:after="0" w:line="240" w:lineRule="auto"/>
        <w:jc w:val="both"/>
        <w:rPr>
          <w:rFonts w:ascii="Verdana" w:eastAsia="Arial" w:hAnsi="Verdana" w:cs="Arial"/>
          <w:sz w:val="16"/>
          <w:szCs w:val="16"/>
          <w:lang w:eastAsia="es-ES"/>
        </w:rPr>
      </w:pPr>
      <m:oMath>
        <m:acc>
          <m:accPr>
            <m:chr m:val="̅"/>
            <m:ctrlPr>
              <w:rPr>
                <w:rFonts w:ascii="Cambria Math" w:eastAsia="Arial" w:hAnsi="Cambria Math" w:cs="Arial"/>
                <w:i/>
                <w:sz w:val="16"/>
                <w:szCs w:val="16"/>
                <w:lang w:eastAsia="es-ES"/>
              </w:rPr>
            </m:ctrlPr>
          </m:accPr>
          <m:e>
            <m:r>
              <w:rPr>
                <w:rFonts w:ascii="Cambria Math" w:eastAsia="Arial" w:hAnsi="Cambria Math" w:cs="Arial"/>
                <w:sz w:val="16"/>
                <w:szCs w:val="16"/>
                <w:lang w:eastAsia="es-ES"/>
              </w:rPr>
              <m:t>X</m:t>
            </m:r>
          </m:e>
        </m:acc>
      </m:oMath>
      <w:r w:rsidR="00271A44" w:rsidRPr="00E6591B">
        <w:rPr>
          <w:rFonts w:ascii="Verdana" w:eastAsia="Arial" w:hAnsi="Verdana" w:cs="Arial"/>
          <w:sz w:val="16"/>
          <w:szCs w:val="16"/>
          <w:lang w:eastAsia="es-ES"/>
        </w:rPr>
        <w:t xml:space="preserve">: Es el promedio aritmético de los promedios de los SMMLV de los contratos válidos de las otras propuestas habilitadas y que no fueron objeto de subsanación, excluyendo de este promedio el </w:t>
      </w:r>
      <w:proofErr w:type="spellStart"/>
      <w:r w:rsidR="00271A44" w:rsidRPr="00E6591B">
        <w:rPr>
          <w:rFonts w:ascii="Verdana" w:eastAsia="Arial" w:hAnsi="Verdana" w:cs="Arial"/>
          <w:sz w:val="16"/>
          <w:szCs w:val="16"/>
          <w:lang w:eastAsia="es-ES"/>
        </w:rPr>
        <w:t>Vmax</w:t>
      </w:r>
      <w:proofErr w:type="spellEnd"/>
      <w:r w:rsidR="00271A44" w:rsidRPr="00E6591B">
        <w:rPr>
          <w:rFonts w:ascii="Verdana" w:eastAsia="Arial" w:hAnsi="Verdana" w:cs="Arial"/>
          <w:sz w:val="16"/>
          <w:szCs w:val="16"/>
          <w:lang w:eastAsia="es-ES"/>
        </w:rPr>
        <w:t>.</w:t>
      </w:r>
    </w:p>
    <w:p w14:paraId="63600077" w14:textId="77777777" w:rsidR="00271A44" w:rsidRPr="00E6591B" w:rsidRDefault="00F541E5" w:rsidP="00271A44">
      <w:pPr>
        <w:pStyle w:val="Prrafodelista"/>
        <w:numPr>
          <w:ilvl w:val="0"/>
          <w:numId w:val="20"/>
        </w:numPr>
        <w:spacing w:after="0" w:line="240" w:lineRule="auto"/>
        <w:jc w:val="both"/>
        <w:rPr>
          <w:rFonts w:ascii="Verdana" w:eastAsia="Arial" w:hAnsi="Verdana" w:cs="Arial"/>
          <w:sz w:val="16"/>
          <w:szCs w:val="16"/>
          <w:lang w:eastAsia="es-ES"/>
        </w:rPr>
      </w:pPr>
      <m:oMath>
        <m:acc>
          <m:accPr>
            <m:chr m:val="̅"/>
            <m:ctrlPr>
              <w:rPr>
                <w:rFonts w:ascii="Cambria Math" w:eastAsia="Arial" w:hAnsi="Cambria Math" w:cs="Arial"/>
                <w:i/>
                <w:sz w:val="16"/>
                <w:szCs w:val="16"/>
                <w:lang w:eastAsia="es-ES"/>
              </w:rPr>
            </m:ctrlPr>
          </m:accPr>
          <m:e>
            <m:sSub>
              <m:sSubPr>
                <m:ctrlPr>
                  <w:rPr>
                    <w:rFonts w:ascii="Cambria Math" w:eastAsia="Arial" w:hAnsi="Cambria Math" w:cs="Arial"/>
                    <w:i/>
                    <w:sz w:val="16"/>
                    <w:szCs w:val="16"/>
                    <w:lang w:eastAsia="es-ES"/>
                  </w:rPr>
                </m:ctrlPr>
              </m:sSubPr>
              <m:e>
                <m:r>
                  <w:rPr>
                    <w:rFonts w:ascii="Cambria Math" w:eastAsia="Arial" w:hAnsi="Cambria Math" w:cs="Arial"/>
                    <w:sz w:val="16"/>
                    <w:szCs w:val="16"/>
                    <w:lang w:eastAsia="es-ES"/>
                  </w:rPr>
                  <m:t>X</m:t>
                </m:r>
              </m:e>
              <m:sub>
                <m:r>
                  <w:rPr>
                    <w:rFonts w:ascii="Cambria Math" w:eastAsia="Arial" w:hAnsi="Cambria Math" w:cs="Arial"/>
                    <w:sz w:val="16"/>
                    <w:szCs w:val="16"/>
                    <w:lang w:eastAsia="es-ES"/>
                  </w:rPr>
                  <m:t>A</m:t>
                </m:r>
              </m:sub>
            </m:sSub>
          </m:e>
        </m:acc>
      </m:oMath>
      <w:r w:rsidR="00271A44" w:rsidRPr="00E6591B">
        <w:rPr>
          <w:rFonts w:ascii="Verdana" w:eastAsia="Arial" w:hAnsi="Verdana" w:cs="Arial"/>
          <w:sz w:val="16"/>
          <w:szCs w:val="16"/>
          <w:lang w:eastAsia="es-ES"/>
        </w:rPr>
        <w:t>: Es la media aritmética alta. (…)</w:t>
      </w:r>
      <w:r w:rsidR="00271A44" w:rsidRPr="00E6591B">
        <w:rPr>
          <w:rStyle w:val="Refdenotaalpie"/>
          <w:rFonts w:ascii="Verdana" w:eastAsia="Arial" w:hAnsi="Verdana" w:cs="Arial"/>
          <w:sz w:val="16"/>
          <w:szCs w:val="16"/>
          <w:lang w:eastAsia="es-ES"/>
        </w:rPr>
        <w:footnoteReference w:id="8"/>
      </w:r>
    </w:p>
    <w:p w14:paraId="4364C2A2" w14:textId="77777777" w:rsidR="000357D1" w:rsidRDefault="000357D1" w:rsidP="00271A44">
      <w:pPr>
        <w:tabs>
          <w:tab w:val="left" w:pos="709"/>
        </w:tabs>
        <w:spacing w:after="0" w:line="256" w:lineRule="auto"/>
        <w:contextualSpacing/>
        <w:jc w:val="both"/>
        <w:rPr>
          <w:rFonts w:ascii="Verdana" w:eastAsia="Calibri" w:hAnsi="Verdana" w:cs="Times New Roman"/>
          <w:lang w:val="es-ES"/>
        </w:rPr>
      </w:pPr>
    </w:p>
    <w:p w14:paraId="08666B32" w14:textId="77777777" w:rsidR="000357D1" w:rsidRDefault="000357D1" w:rsidP="00271A44">
      <w:pPr>
        <w:tabs>
          <w:tab w:val="left" w:pos="709"/>
        </w:tabs>
        <w:spacing w:after="0" w:line="256" w:lineRule="auto"/>
        <w:contextualSpacing/>
        <w:jc w:val="both"/>
        <w:rPr>
          <w:rFonts w:ascii="Verdana" w:eastAsia="Calibri" w:hAnsi="Verdana" w:cs="Times New Roman"/>
          <w:lang w:val="es-ES"/>
        </w:rPr>
      </w:pPr>
    </w:p>
    <w:p w14:paraId="6B18E57E" w14:textId="0B8BAC87" w:rsidR="00271A44" w:rsidRPr="00E6591B" w:rsidRDefault="00271A44" w:rsidP="00271A44">
      <w:pPr>
        <w:tabs>
          <w:tab w:val="left" w:pos="709"/>
        </w:tabs>
        <w:spacing w:after="0" w:line="256" w:lineRule="auto"/>
        <w:contextualSpacing/>
        <w:jc w:val="both"/>
        <w:rPr>
          <w:rFonts w:ascii="Verdana" w:eastAsia="Calibri" w:hAnsi="Verdana" w:cs="Times New Roman"/>
          <w:lang w:val="es-ES"/>
        </w:rPr>
      </w:pPr>
      <w:r w:rsidRPr="00E6591B">
        <w:rPr>
          <w:rFonts w:ascii="Verdana" w:eastAsia="Calibri" w:hAnsi="Verdana" w:cs="Times New Roman"/>
          <w:lang w:val="es-ES"/>
        </w:rPr>
        <w:t xml:space="preserve">Lo anterior revisión de las fórmulas establecidas en el </w:t>
      </w:r>
      <w:r w:rsidR="001B62AF" w:rsidRPr="00E6591B">
        <w:rPr>
          <w:rFonts w:ascii="Verdana" w:hAnsi="Verdana" w:cstheme="majorHAnsi"/>
        </w:rPr>
        <w:t>Documentos Tipo de Interventoría del Sector Social</w:t>
      </w:r>
      <w:r w:rsidRPr="00E6591B">
        <w:rPr>
          <w:rFonts w:ascii="Verdana" w:eastAsia="Calibri" w:hAnsi="Verdana" w:cs="Times New Roman"/>
          <w:lang w:val="es-ES"/>
        </w:rPr>
        <w:t xml:space="preserve">, en particular la de </w:t>
      </w:r>
      <w:r w:rsidRPr="00E6591B">
        <w:rPr>
          <w:rFonts w:ascii="Verdana" w:eastAsia="Calibri" w:hAnsi="Verdana" w:cs="Times New Roman"/>
          <w:i/>
          <w:iCs/>
          <w:lang w:val="es-ES"/>
        </w:rPr>
        <w:t>media aritmética alta</w:t>
      </w:r>
      <w:r w:rsidRPr="00E6591B">
        <w:rPr>
          <w:rFonts w:ascii="Verdana" w:eastAsia="Calibri" w:hAnsi="Verdana" w:cs="Times New Roman"/>
          <w:lang w:val="es-ES"/>
        </w:rPr>
        <w:t xml:space="preserve">, sirve de referencia para la aplicación respectiva por parte de las entidades </w:t>
      </w:r>
      <w:r w:rsidR="001B62AF" w:rsidRPr="00E6591B">
        <w:rPr>
          <w:rFonts w:ascii="Verdana" w:eastAsia="Calibri" w:hAnsi="Verdana" w:cs="Times New Roman"/>
          <w:lang w:val="es-ES"/>
        </w:rPr>
        <w:t>públicas</w:t>
      </w:r>
      <w:r w:rsidRPr="00E6591B">
        <w:rPr>
          <w:rFonts w:ascii="Verdana" w:eastAsia="Calibri" w:hAnsi="Verdana" w:cs="Times New Roman"/>
          <w:lang w:val="es-ES"/>
        </w:rPr>
        <w:t xml:space="preserve"> al momento de emplear el respectivo Documento Tipo.</w:t>
      </w:r>
    </w:p>
    <w:p w14:paraId="3528F71A" w14:textId="77777777" w:rsidR="00271A44" w:rsidRPr="00E6591B" w:rsidRDefault="00271A44" w:rsidP="00271A44">
      <w:pPr>
        <w:tabs>
          <w:tab w:val="left" w:pos="709"/>
        </w:tabs>
        <w:spacing w:after="0" w:line="256" w:lineRule="auto"/>
        <w:ind w:left="709"/>
        <w:contextualSpacing/>
        <w:jc w:val="both"/>
        <w:rPr>
          <w:rFonts w:ascii="Verdana" w:eastAsia="Calibri" w:hAnsi="Verdana" w:cs="Times New Roman"/>
          <w:lang w:val="es-ES"/>
        </w:rPr>
      </w:pPr>
    </w:p>
    <w:p w14:paraId="7F9C82AC" w14:textId="77777777" w:rsidR="00271A44" w:rsidRPr="00E6591B" w:rsidRDefault="00271A44" w:rsidP="00271A44">
      <w:pPr>
        <w:numPr>
          <w:ilvl w:val="0"/>
          <w:numId w:val="16"/>
        </w:numPr>
        <w:spacing w:after="0" w:line="256" w:lineRule="auto"/>
        <w:ind w:left="0" w:firstLine="0"/>
        <w:rPr>
          <w:rFonts w:ascii="Verdana" w:eastAsia="Calibri" w:hAnsi="Verdana" w:cs="Times New Roman"/>
          <w:b/>
          <w:bCs/>
          <w:lang w:val="es-ES"/>
        </w:rPr>
      </w:pPr>
      <w:r w:rsidRPr="00E6591B">
        <w:rPr>
          <w:rFonts w:ascii="Verdana" w:eastAsia="Calibri" w:hAnsi="Verdana" w:cs="Times New Roman"/>
          <w:b/>
          <w:bCs/>
          <w:lang w:val="es-ES"/>
        </w:rPr>
        <w:t>Referencias normativas, jurisprudenciales y otras fuentes:</w:t>
      </w:r>
    </w:p>
    <w:p w14:paraId="324E05B5" w14:textId="77777777" w:rsidR="00271A44" w:rsidRPr="00E6591B" w:rsidRDefault="00271A44" w:rsidP="00271A44">
      <w:pPr>
        <w:spacing w:after="0" w:line="256" w:lineRule="auto"/>
        <w:rPr>
          <w:rFonts w:ascii="Verdana" w:eastAsia="Calibri" w:hAnsi="Verdana" w:cs="Times New Roman"/>
          <w:bCs/>
          <w:lang w:val="es-ES_tradnl"/>
        </w:rPr>
      </w:pPr>
    </w:p>
    <w:p w14:paraId="763DC917" w14:textId="77777777" w:rsidR="00271A44" w:rsidRPr="00E6591B" w:rsidRDefault="00271A44" w:rsidP="00271A44">
      <w:pPr>
        <w:numPr>
          <w:ilvl w:val="0"/>
          <w:numId w:val="17"/>
        </w:numPr>
        <w:spacing w:after="0" w:line="256" w:lineRule="auto"/>
        <w:rPr>
          <w:rFonts w:ascii="Verdana" w:eastAsia="Calibri" w:hAnsi="Verdana" w:cs="Times New Roman"/>
          <w:lang w:val="es-ES_tradnl"/>
        </w:rPr>
      </w:pPr>
      <w:r w:rsidRPr="00E6591B">
        <w:rPr>
          <w:rFonts w:ascii="Verdana" w:eastAsia="Calibri" w:hAnsi="Verdana" w:cs="Times New Roman"/>
          <w:lang w:val="es-ES_tradnl"/>
        </w:rPr>
        <w:t xml:space="preserve">Ley 80 de 1993, articulo 23, artículo 24. Disponible en: </w:t>
      </w:r>
    </w:p>
    <w:p w14:paraId="3B587D7A" w14:textId="77777777" w:rsidR="00271A44" w:rsidRPr="00E6591B" w:rsidRDefault="00F541E5" w:rsidP="00271A44">
      <w:pPr>
        <w:spacing w:after="0" w:line="256" w:lineRule="auto"/>
        <w:rPr>
          <w:rFonts w:ascii="Verdana" w:eastAsia="Calibri" w:hAnsi="Verdana" w:cs="Times New Roman"/>
          <w:lang w:val="es-ES_tradnl"/>
        </w:rPr>
      </w:pPr>
      <w:hyperlink r:id="rId20" w:history="1">
        <w:r w:rsidR="00271A44" w:rsidRPr="00E6591B">
          <w:rPr>
            <w:rFonts w:ascii="Verdana" w:eastAsia="Calibri" w:hAnsi="Verdana" w:cs="Times New Roman"/>
            <w:color w:val="0000FF"/>
            <w:u w:val="single"/>
            <w:lang w:val="es-ES_tradnl"/>
          </w:rPr>
          <w:t>https://relatoria.colombiacompra.gov.co/normativa/ley-80-de-1993/</w:t>
        </w:r>
      </w:hyperlink>
    </w:p>
    <w:p w14:paraId="4CD2908E" w14:textId="77777777" w:rsidR="00271A44" w:rsidRPr="00E6591B" w:rsidRDefault="00271A44" w:rsidP="00271A44">
      <w:pPr>
        <w:spacing w:after="0" w:line="256" w:lineRule="auto"/>
        <w:rPr>
          <w:rFonts w:ascii="Verdana" w:eastAsia="Calibri" w:hAnsi="Verdana" w:cs="Times New Roman"/>
          <w:highlight w:val="yellow"/>
          <w:lang w:val="es-ES_tradnl"/>
        </w:rPr>
      </w:pPr>
    </w:p>
    <w:p w14:paraId="45006C41" w14:textId="77777777" w:rsidR="00271A44" w:rsidRPr="00E6591B" w:rsidRDefault="00271A44" w:rsidP="00271A44">
      <w:pPr>
        <w:numPr>
          <w:ilvl w:val="0"/>
          <w:numId w:val="17"/>
        </w:numPr>
        <w:spacing w:after="0" w:line="256" w:lineRule="auto"/>
        <w:rPr>
          <w:rFonts w:ascii="Verdana" w:eastAsia="Calibri" w:hAnsi="Verdana" w:cs="Times New Roman"/>
          <w:lang w:val="es-ES_tradnl"/>
        </w:rPr>
      </w:pPr>
      <w:r w:rsidRPr="00E6591B">
        <w:rPr>
          <w:rFonts w:ascii="Verdana" w:eastAsia="Calibri" w:hAnsi="Verdana" w:cs="Times New Roman"/>
          <w:lang w:val="es-ES_tradnl"/>
        </w:rPr>
        <w:t xml:space="preserve">Ley 1150 de 2007, </w:t>
      </w:r>
      <w:r>
        <w:rPr>
          <w:rFonts w:ascii="Verdana" w:eastAsia="Calibri" w:hAnsi="Verdana" w:cs="Times New Roman"/>
          <w:lang w:val="es-ES_tradnl"/>
        </w:rPr>
        <w:t>artículo 2, a</w:t>
      </w:r>
      <w:r w:rsidRPr="00E6591B">
        <w:rPr>
          <w:rFonts w:ascii="Verdana" w:eastAsia="Calibri" w:hAnsi="Verdana" w:cs="Times New Roman"/>
          <w:lang w:val="es-ES_tradnl"/>
        </w:rPr>
        <w:t xml:space="preserve">rtículo 5. Disponible en: </w:t>
      </w:r>
      <w:hyperlink r:id="rId21" w:history="1">
        <w:r w:rsidRPr="00E6591B">
          <w:rPr>
            <w:rFonts w:ascii="Verdana" w:eastAsia="Calibri" w:hAnsi="Verdana" w:cs="Times New Roman"/>
            <w:color w:val="0000FF"/>
            <w:u w:val="single"/>
            <w:lang w:val="es-ES_tradnl"/>
          </w:rPr>
          <w:t>https://relatoria.colombiacompra.gov.co/normativa/ley-1150-de-2007/</w:t>
        </w:r>
      </w:hyperlink>
    </w:p>
    <w:p w14:paraId="3C45DD32" w14:textId="77777777" w:rsidR="00271A44" w:rsidRPr="00E6591B" w:rsidRDefault="00271A44" w:rsidP="00271A44">
      <w:pPr>
        <w:spacing w:after="0" w:line="256" w:lineRule="auto"/>
        <w:ind w:left="720"/>
        <w:rPr>
          <w:rFonts w:ascii="Verdana" w:eastAsia="Calibri" w:hAnsi="Verdana" w:cs="Times New Roman"/>
          <w:highlight w:val="yellow"/>
          <w:lang w:val="es-ES_tradnl"/>
        </w:rPr>
      </w:pPr>
    </w:p>
    <w:p w14:paraId="5F438A00" w14:textId="77777777" w:rsidR="00271A44" w:rsidRPr="006E780C" w:rsidRDefault="00271A44" w:rsidP="00271A44">
      <w:pPr>
        <w:numPr>
          <w:ilvl w:val="0"/>
          <w:numId w:val="17"/>
        </w:numPr>
        <w:spacing w:after="0" w:line="256" w:lineRule="auto"/>
        <w:rPr>
          <w:rFonts w:ascii="Verdana" w:eastAsia="Calibri" w:hAnsi="Verdana" w:cs="Times New Roman"/>
          <w:lang w:val="es-ES_tradnl"/>
        </w:rPr>
      </w:pPr>
      <w:r w:rsidRPr="00DA0B78">
        <w:rPr>
          <w:rFonts w:ascii="Verdana" w:eastAsia="Calibri" w:hAnsi="Verdana" w:cs="Times New Roman"/>
          <w:lang w:val="es-ES"/>
        </w:rPr>
        <w:t xml:space="preserve">Decreto 1082 de 2015, artículo </w:t>
      </w:r>
      <w:r w:rsidRPr="00DA0B78">
        <w:rPr>
          <w:rFonts w:ascii="Verdana" w:hAnsi="Verdana" w:cs="Arial"/>
          <w:bCs/>
          <w:color w:val="000000"/>
          <w:lang w:val="es-ES"/>
        </w:rPr>
        <w:t>2.2.1.1.2.1.3</w:t>
      </w:r>
      <w:r>
        <w:rPr>
          <w:rFonts w:ascii="Verdana" w:hAnsi="Verdana" w:cs="Arial"/>
          <w:bCs/>
          <w:color w:val="000000"/>
          <w:lang w:val="es-ES"/>
        </w:rPr>
        <w:t xml:space="preserve">, articulo </w:t>
      </w:r>
      <w:r w:rsidRPr="00E6591B">
        <w:rPr>
          <w:rFonts w:ascii="Verdana" w:eastAsia="Times New Roman" w:hAnsi="Verdana" w:cs="Arial"/>
          <w:lang w:val="es-ES" w:eastAsia="es-ES_tradnl"/>
        </w:rPr>
        <w:t>2.2.1.2.1.3.2</w:t>
      </w:r>
      <w:r>
        <w:rPr>
          <w:rFonts w:ascii="Verdana" w:eastAsia="Times New Roman" w:hAnsi="Verdana" w:cs="Arial"/>
          <w:lang w:val="es-ES" w:eastAsia="es-ES_tradnl"/>
        </w:rPr>
        <w:t xml:space="preserve">, artículo </w:t>
      </w:r>
      <w:r w:rsidRPr="00E6591B">
        <w:rPr>
          <w:rFonts w:ascii="Verdana" w:hAnsi="Verdana" w:cs="Arial"/>
          <w:bCs/>
          <w:color w:val="000000"/>
          <w:lang w:val="es-ES"/>
        </w:rPr>
        <w:t xml:space="preserve">2.2.1.1.2.2.6. </w:t>
      </w:r>
      <w:r w:rsidRPr="00E6591B">
        <w:rPr>
          <w:rFonts w:ascii="Verdana" w:eastAsia="Times New Roman" w:hAnsi="Verdana" w:cs="Arial"/>
          <w:lang w:val="es-ES" w:eastAsia="es-ES_tradnl"/>
        </w:rPr>
        <w:t xml:space="preserve"> </w:t>
      </w:r>
      <w:r w:rsidRPr="00DA0B78">
        <w:rPr>
          <w:rFonts w:ascii="Verdana" w:hAnsi="Verdana" w:cs="Arial"/>
          <w:bCs/>
          <w:color w:val="000000"/>
          <w:lang w:val="es-ES"/>
        </w:rPr>
        <w:t xml:space="preserve"> </w:t>
      </w:r>
      <w:r w:rsidRPr="00DA0B78">
        <w:rPr>
          <w:rFonts w:ascii="Verdana" w:eastAsia="Calibri" w:hAnsi="Verdana" w:cs="Times New Roman"/>
          <w:lang w:val="es-ES"/>
        </w:rPr>
        <w:t xml:space="preserve">Disponible en: </w:t>
      </w:r>
      <w:hyperlink r:id="rId22" w:history="1">
        <w:r w:rsidRPr="00DA0B78">
          <w:rPr>
            <w:rFonts w:ascii="Verdana" w:eastAsia="Calibri" w:hAnsi="Verdana" w:cs="Times New Roman"/>
            <w:color w:val="0000FF"/>
            <w:u w:val="single"/>
            <w:lang w:val="es-ES"/>
          </w:rPr>
          <w:t>https://relatoria.colombiacompra.gov.co/normativa/decreto-1082-de-2015/</w:t>
        </w:r>
      </w:hyperlink>
    </w:p>
    <w:p w14:paraId="3D11FCBD" w14:textId="77777777" w:rsidR="00271A44" w:rsidRDefault="00271A44" w:rsidP="00271A44">
      <w:pPr>
        <w:pStyle w:val="Prrafodelista"/>
        <w:rPr>
          <w:rFonts w:ascii="Verdana" w:eastAsia="Calibri" w:hAnsi="Verdana" w:cs="Times New Roman"/>
          <w:lang w:val="es-ES_tradnl"/>
        </w:rPr>
      </w:pPr>
    </w:p>
    <w:p w14:paraId="7619B739" w14:textId="43BABF1B" w:rsidR="00271A44" w:rsidRPr="001B62AF" w:rsidRDefault="001B62AF" w:rsidP="00271A44">
      <w:pPr>
        <w:numPr>
          <w:ilvl w:val="0"/>
          <w:numId w:val="17"/>
        </w:numPr>
        <w:spacing w:after="0" w:line="256" w:lineRule="auto"/>
        <w:jc w:val="both"/>
        <w:rPr>
          <w:rFonts w:ascii="Verdana" w:eastAsia="Calibri" w:hAnsi="Verdana" w:cs="Times New Roman"/>
          <w:lang w:val="es-ES_tradnl"/>
        </w:rPr>
      </w:pPr>
      <w:r w:rsidRPr="001B62AF">
        <w:rPr>
          <w:rFonts w:ascii="Verdana" w:hAnsi="Verdana" w:cstheme="majorHAnsi"/>
        </w:rPr>
        <w:t>Documento Tipo de concurso de méritos para contratar la interventoría de obras públicas de infraestructura social</w:t>
      </w:r>
      <w:r w:rsidR="00271A44" w:rsidRPr="005967DB">
        <w:rPr>
          <w:rFonts w:ascii="Verdana" w:hAnsi="Verdana" w:cstheme="majorHAnsi"/>
        </w:rPr>
        <w:t>.</w:t>
      </w:r>
      <w:r w:rsidR="00271A44">
        <w:rPr>
          <w:rFonts w:ascii="Verdana" w:hAnsi="Verdana" w:cstheme="majorHAnsi"/>
        </w:rPr>
        <w:t xml:space="preserve"> Disponible en: </w:t>
      </w:r>
      <w:hyperlink r:id="rId23" w:history="1">
        <w:r w:rsidRPr="00F60B83">
          <w:rPr>
            <w:rStyle w:val="Hipervnculo"/>
            <w:rFonts w:ascii="Verdana" w:hAnsi="Verdana" w:cstheme="majorHAnsi"/>
          </w:rPr>
          <w:t>https://www.colombiacompra.gov.co/content/07-documento-tipo-de-concurso-de-meritos-para-contratar-la-interventoria-de-obras-publicas</w:t>
        </w:r>
      </w:hyperlink>
    </w:p>
    <w:p w14:paraId="6EC91178" w14:textId="77777777" w:rsidR="001B62AF" w:rsidRDefault="001B62AF" w:rsidP="001B62AF">
      <w:pPr>
        <w:pStyle w:val="Prrafodelista"/>
        <w:rPr>
          <w:rFonts w:ascii="Verdana" w:eastAsia="Calibri" w:hAnsi="Verdana" w:cs="Times New Roman"/>
          <w:lang w:val="es-ES_tradnl"/>
        </w:rPr>
      </w:pPr>
    </w:p>
    <w:p w14:paraId="620FE14E" w14:textId="77777777" w:rsidR="00271A44" w:rsidRPr="00E6591B" w:rsidRDefault="00271A44" w:rsidP="00271A44">
      <w:pPr>
        <w:numPr>
          <w:ilvl w:val="0"/>
          <w:numId w:val="16"/>
        </w:numPr>
        <w:spacing w:after="0" w:line="256" w:lineRule="auto"/>
        <w:ind w:left="0" w:firstLine="0"/>
        <w:rPr>
          <w:rFonts w:ascii="Verdana" w:eastAsia="Calibri" w:hAnsi="Verdana" w:cs="Times New Roman"/>
          <w:b/>
          <w:bCs/>
          <w:lang w:val="es-ES"/>
        </w:rPr>
      </w:pPr>
      <w:r w:rsidRPr="00E6591B">
        <w:rPr>
          <w:rFonts w:ascii="Verdana" w:eastAsia="Calibri" w:hAnsi="Verdana" w:cs="Times New Roman"/>
          <w:b/>
          <w:bCs/>
          <w:lang w:val="es-ES"/>
        </w:rPr>
        <w:t>Doctrina de la Agencia Nacional de Contratación Pública:</w:t>
      </w:r>
    </w:p>
    <w:p w14:paraId="16436287" w14:textId="77777777" w:rsidR="00271A44" w:rsidRPr="00E6591B" w:rsidRDefault="00271A44" w:rsidP="00271A44">
      <w:pPr>
        <w:spacing w:after="0" w:line="256" w:lineRule="auto"/>
        <w:rPr>
          <w:rFonts w:ascii="Verdana" w:eastAsia="Calibri" w:hAnsi="Verdana" w:cs="Times New Roman"/>
          <w:lang w:val="es-ES"/>
        </w:rPr>
      </w:pPr>
    </w:p>
    <w:p w14:paraId="32278BD1" w14:textId="77777777" w:rsidR="00271A44" w:rsidRPr="0017456C" w:rsidRDefault="00271A44" w:rsidP="00271A44">
      <w:pPr>
        <w:widowControl w:val="0"/>
        <w:autoSpaceDE w:val="0"/>
        <w:autoSpaceDN w:val="0"/>
        <w:spacing w:after="0" w:line="276" w:lineRule="auto"/>
        <w:jc w:val="both"/>
        <w:rPr>
          <w:rStyle w:val="normaltextrun"/>
          <w:rFonts w:ascii="Verdana" w:hAnsi="Verdana" w:cs="Arial"/>
          <w:shd w:val="clear" w:color="auto" w:fill="FFFFFF"/>
        </w:rPr>
      </w:pPr>
      <w:r w:rsidRPr="0017456C">
        <w:rPr>
          <w:rStyle w:val="normaltextrun"/>
          <w:rFonts w:ascii="Verdana" w:hAnsi="Verdana" w:cs="Arial"/>
          <w:shd w:val="clear" w:color="auto" w:fill="FFFFFF"/>
        </w:rPr>
        <w:t>Agencia Nacional de Contratación Pública – Colombia Compra Eficiente analizó la figura de los términos y su cómputo en material contractual en los Conceptos C-290 del 18 de mayo del 2020, C-465 del 27 de julio del 2020, C-557 del 21 de agosto del 2020 y C-734 del 16 de diciembre del 2020. Adicionalmente, en los conceptos</w:t>
      </w:r>
      <w:r>
        <w:rPr>
          <w:rStyle w:val="normaltextrun"/>
          <w:rFonts w:ascii="Verdana" w:hAnsi="Verdana" w:cs="Arial"/>
          <w:shd w:val="clear" w:color="auto" w:fill="FFFFFF"/>
        </w:rPr>
        <w:t xml:space="preserve"> C-283 del 18 de agosto de 2023, C-036 del 22 de abril de 2024, C-150 del 16 de julio de 2024, C-175 del 29 de julio de 2024 y C-213 del 05 de agosto de 2024</w:t>
      </w:r>
      <w:r w:rsidRPr="0017456C">
        <w:rPr>
          <w:rStyle w:val="normaltextrun"/>
          <w:rFonts w:ascii="Verdana" w:hAnsi="Verdana" w:cs="Arial"/>
          <w:shd w:val="clear" w:color="auto" w:fill="FFFFFF"/>
        </w:rPr>
        <w:t xml:space="preserve">, se pronunció sobre el informe de evaluación y la finalidad de su </w:t>
      </w:r>
      <w:r w:rsidRPr="0017456C">
        <w:rPr>
          <w:rStyle w:val="normaltextrun"/>
          <w:rFonts w:ascii="Verdana" w:hAnsi="Verdana" w:cs="Arial"/>
          <w:shd w:val="clear" w:color="auto" w:fill="FFFFFF"/>
        </w:rPr>
        <w:lastRenderedPageBreak/>
        <w:t>traslado y el término fijado en la ley para el efecto</w:t>
      </w:r>
      <w:r>
        <w:rPr>
          <w:rStyle w:val="normaltextrun"/>
          <w:rFonts w:ascii="Verdana" w:hAnsi="Verdana" w:cs="Arial"/>
          <w:shd w:val="clear" w:color="auto" w:fill="FFFFFF"/>
        </w:rPr>
        <w:t xml:space="preserve"> en las diferentes modalidades </w:t>
      </w:r>
    </w:p>
    <w:p w14:paraId="322BA24D" w14:textId="77777777" w:rsidR="00271A44" w:rsidRPr="00E6591B" w:rsidRDefault="00271A44" w:rsidP="00271A44">
      <w:pPr>
        <w:spacing w:after="0" w:line="256" w:lineRule="auto"/>
        <w:jc w:val="both"/>
        <w:rPr>
          <w:rFonts w:ascii="Verdana" w:eastAsia="Calibri" w:hAnsi="Verdana" w:cs="Times New Roman"/>
          <w:bCs/>
          <w:lang w:val="es-ES_tradnl"/>
        </w:rPr>
      </w:pPr>
    </w:p>
    <w:p w14:paraId="4EFE217D" w14:textId="77777777" w:rsidR="00271A44" w:rsidRPr="00E6591B" w:rsidRDefault="00271A44" w:rsidP="00271A44">
      <w:pPr>
        <w:spacing w:after="0" w:line="256" w:lineRule="auto"/>
        <w:jc w:val="both"/>
        <w:rPr>
          <w:rFonts w:ascii="Verdana" w:eastAsia="Calibri" w:hAnsi="Verdana" w:cs="Times New Roman"/>
        </w:rPr>
      </w:pPr>
      <w:r w:rsidRPr="00E6591B">
        <w:rPr>
          <w:rFonts w:ascii="Verdana" w:eastAsia="Calibri" w:hAnsi="Verdana" w:cs="Times New Roman"/>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w:t>
      </w:r>
    </w:p>
    <w:p w14:paraId="06579720" w14:textId="77777777" w:rsidR="00271A44" w:rsidRPr="00E6591B" w:rsidRDefault="00271A44" w:rsidP="00271A44">
      <w:pPr>
        <w:spacing w:after="0" w:line="256" w:lineRule="auto"/>
        <w:rPr>
          <w:rFonts w:ascii="Verdana" w:eastAsia="Calibri" w:hAnsi="Verdana" w:cs="Times New Roman"/>
        </w:rPr>
      </w:pPr>
    </w:p>
    <w:p w14:paraId="694D4A83" w14:textId="77777777" w:rsidR="00271A44" w:rsidRPr="00E6591B" w:rsidRDefault="00F541E5" w:rsidP="00271A44">
      <w:pPr>
        <w:spacing w:after="0" w:line="256" w:lineRule="auto"/>
        <w:rPr>
          <w:rFonts w:ascii="Verdana" w:eastAsia="Calibri" w:hAnsi="Verdana" w:cs="Times New Roman"/>
        </w:rPr>
      </w:pPr>
      <w:hyperlink r:id="rId24" w:history="1">
        <w:r w:rsidR="00271A44" w:rsidRPr="00E6591B">
          <w:rPr>
            <w:rFonts w:ascii="Verdana" w:eastAsia="Calibri" w:hAnsi="Verdana" w:cs="Times New Roman"/>
            <w:color w:val="0000FF"/>
            <w:u w:val="single"/>
            <w:lang w:val="es-ES"/>
          </w:rPr>
          <w:t>https://relatoria.colombiacompra.gov.co/busqueda/conceptos</w:t>
        </w:r>
      </w:hyperlink>
      <w:r w:rsidR="00271A44" w:rsidRPr="00E6591B">
        <w:rPr>
          <w:rFonts w:ascii="Verdana" w:eastAsia="Calibri" w:hAnsi="Verdana" w:cs="Times New Roman"/>
        </w:rPr>
        <w:t xml:space="preserve">. </w:t>
      </w:r>
    </w:p>
    <w:p w14:paraId="55308404" w14:textId="77777777" w:rsidR="00271A44" w:rsidRPr="00E6591B" w:rsidRDefault="00271A44" w:rsidP="00271A44">
      <w:pPr>
        <w:spacing w:after="0" w:line="256" w:lineRule="auto"/>
        <w:rPr>
          <w:rFonts w:ascii="Verdana" w:eastAsia="Calibri" w:hAnsi="Verdana" w:cs="Times New Roman"/>
        </w:rPr>
      </w:pPr>
    </w:p>
    <w:p w14:paraId="41457408" w14:textId="77777777" w:rsidR="00271A44" w:rsidRPr="00E6591B" w:rsidRDefault="00271A44" w:rsidP="00271A44">
      <w:pPr>
        <w:spacing w:after="0" w:line="256" w:lineRule="auto"/>
        <w:jc w:val="both"/>
        <w:rPr>
          <w:rFonts w:ascii="Verdana" w:eastAsia="Calibri" w:hAnsi="Verdana" w:cs="Times New Roman"/>
          <w:u w:val="single"/>
        </w:rPr>
      </w:pPr>
      <w:r w:rsidRPr="00E6591B">
        <w:rPr>
          <w:rFonts w:ascii="Verdana" w:eastAsia="Calibri" w:hAnsi="Verdana" w:cs="Times New Roman"/>
        </w:rPr>
        <w:t>Te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w:t>
      </w:r>
      <w:hyperlink r:id="rId25" w:tgtFrame="_blank" w:tooltip="Dirección URL original: https://www.colombiacompra.gov.co/sala-de-prensa/boletin-digital/boletin-de-relatoria-2024-iv. Haga clic o pulse si confía en este vínculo." w:history="1">
        <w:r w:rsidRPr="00E6591B">
          <w:rPr>
            <w:rFonts w:ascii="Verdana" w:eastAsia="Calibri" w:hAnsi="Verdana" w:cs="Times New Roman"/>
            <w:color w:val="0000FF"/>
            <w:u w:val="single"/>
          </w:rPr>
          <w:t>BOLETÍN DE RELATORÍA 2024 – IV | Colombia Compra Eficiente | Agencia Nacional de Contratación Pública</w:t>
        </w:r>
      </w:hyperlink>
    </w:p>
    <w:p w14:paraId="208123EF" w14:textId="77777777" w:rsidR="00271A44" w:rsidRPr="00E6591B" w:rsidRDefault="00271A44" w:rsidP="00271A44">
      <w:pPr>
        <w:spacing w:after="0" w:line="256" w:lineRule="auto"/>
        <w:jc w:val="both"/>
        <w:rPr>
          <w:rFonts w:ascii="Verdana" w:eastAsia="Calibri" w:hAnsi="Verdana" w:cs="Times New Roman"/>
          <w:lang w:val="es-ES"/>
        </w:rPr>
      </w:pPr>
    </w:p>
    <w:p w14:paraId="154C572D" w14:textId="77777777" w:rsidR="00271A44" w:rsidRPr="00E6591B" w:rsidRDefault="00271A44" w:rsidP="00271A44">
      <w:pPr>
        <w:spacing w:after="0" w:line="256" w:lineRule="auto"/>
        <w:rPr>
          <w:rFonts w:ascii="Verdana" w:eastAsia="Calibri" w:hAnsi="Verdana" w:cs="Times New Roman"/>
        </w:rPr>
      </w:pPr>
      <w:r w:rsidRPr="00E6591B">
        <w:rPr>
          <w:rFonts w:ascii="Verdana" w:eastAsia="Calibri" w:hAnsi="Verdana" w:cs="Times New Roman"/>
        </w:rPr>
        <w:t xml:space="preserve">Por último, lo invitamos a seguirnos en las redes sociales en las cuales se difunde información institucional: </w:t>
      </w:r>
    </w:p>
    <w:p w14:paraId="2CB91A89" w14:textId="77777777" w:rsidR="00271A44" w:rsidRPr="00E6591B" w:rsidRDefault="00271A44" w:rsidP="00271A44">
      <w:pPr>
        <w:spacing w:after="0" w:line="256" w:lineRule="auto"/>
        <w:rPr>
          <w:rFonts w:ascii="Verdana" w:eastAsia="Calibri" w:hAnsi="Verdana" w:cs="Times New Roman"/>
        </w:rPr>
      </w:pPr>
    </w:p>
    <w:p w14:paraId="543BD4A8" w14:textId="77777777" w:rsidR="00271A44" w:rsidRPr="00E6591B" w:rsidRDefault="00271A44" w:rsidP="00271A44">
      <w:pPr>
        <w:spacing w:after="0" w:line="256" w:lineRule="auto"/>
        <w:rPr>
          <w:rFonts w:ascii="Verdana" w:eastAsia="Calibri" w:hAnsi="Verdana" w:cs="Times New Roman"/>
        </w:rPr>
      </w:pPr>
      <w:r w:rsidRPr="00E6591B">
        <w:rPr>
          <w:rFonts w:ascii="Verdana" w:eastAsia="Calibri" w:hAnsi="Verdana" w:cs="Times New Roman"/>
        </w:rPr>
        <w:t xml:space="preserve">Twitter: </w:t>
      </w:r>
      <w:r w:rsidRPr="00E6591B">
        <w:rPr>
          <w:rFonts w:ascii="Verdana" w:eastAsia="Calibri" w:hAnsi="Verdana" w:cs="Times New Roman"/>
          <w:u w:val="single"/>
        </w:rPr>
        <w:t>@</w:t>
      </w:r>
      <w:proofErr w:type="spellStart"/>
      <w:r w:rsidRPr="00E6591B">
        <w:rPr>
          <w:rFonts w:ascii="Verdana" w:eastAsia="Calibri" w:hAnsi="Verdana" w:cs="Times New Roman"/>
          <w:u w:val="single"/>
        </w:rPr>
        <w:t>colombiacompra</w:t>
      </w:r>
      <w:proofErr w:type="spellEnd"/>
      <w:r w:rsidRPr="00E6591B">
        <w:rPr>
          <w:rFonts w:ascii="Verdana" w:eastAsia="Calibri" w:hAnsi="Verdana" w:cs="Times New Roman"/>
        </w:rPr>
        <w:t xml:space="preserve"> </w:t>
      </w:r>
    </w:p>
    <w:p w14:paraId="165A1789" w14:textId="77777777" w:rsidR="00271A44" w:rsidRPr="00E6591B" w:rsidRDefault="00271A44" w:rsidP="00271A44">
      <w:pPr>
        <w:spacing w:after="0" w:line="256" w:lineRule="auto"/>
        <w:rPr>
          <w:rFonts w:ascii="Verdana" w:eastAsia="Calibri" w:hAnsi="Verdana" w:cs="Times New Roman"/>
        </w:rPr>
      </w:pPr>
      <w:r w:rsidRPr="00E6591B">
        <w:rPr>
          <w:rFonts w:ascii="Verdana" w:eastAsia="Calibri" w:hAnsi="Verdana" w:cs="Times New Roman"/>
        </w:rPr>
        <w:t xml:space="preserve">Facebook: </w:t>
      </w:r>
      <w:proofErr w:type="spellStart"/>
      <w:r w:rsidRPr="00E6591B">
        <w:rPr>
          <w:rFonts w:ascii="Verdana" w:eastAsia="Calibri" w:hAnsi="Verdana" w:cs="Times New Roman"/>
          <w:u w:val="single"/>
        </w:rPr>
        <w:t>ColombiaCompraEficiente</w:t>
      </w:r>
      <w:proofErr w:type="spellEnd"/>
    </w:p>
    <w:p w14:paraId="1945A8D5" w14:textId="77777777" w:rsidR="00271A44" w:rsidRPr="00E6591B" w:rsidRDefault="00271A44" w:rsidP="00271A44">
      <w:pPr>
        <w:spacing w:after="0" w:line="256" w:lineRule="auto"/>
        <w:rPr>
          <w:rFonts w:ascii="Verdana" w:eastAsia="Calibri" w:hAnsi="Verdana" w:cs="Times New Roman"/>
          <w:u w:val="single"/>
        </w:rPr>
      </w:pPr>
      <w:r w:rsidRPr="00E6591B">
        <w:rPr>
          <w:rFonts w:ascii="Verdana" w:eastAsia="Calibri" w:hAnsi="Verdana" w:cs="Times New Roman"/>
        </w:rPr>
        <w:t xml:space="preserve">LinkedIn: </w:t>
      </w:r>
      <w:r w:rsidRPr="00E6591B">
        <w:rPr>
          <w:rFonts w:ascii="Verdana" w:eastAsia="Calibri" w:hAnsi="Verdana" w:cs="Times New Roman"/>
          <w:u w:val="single"/>
        </w:rPr>
        <w:t>Agencia Nacional de Contratación Pública - Colombia Compra Eficiente</w:t>
      </w:r>
      <w:r w:rsidRPr="00E6591B">
        <w:rPr>
          <w:rFonts w:ascii="Verdana" w:eastAsia="Calibri" w:hAnsi="Verdana" w:cs="Times New Roman"/>
        </w:rPr>
        <w:t xml:space="preserve"> Instagram: </w:t>
      </w:r>
      <w:r w:rsidRPr="00E6591B">
        <w:rPr>
          <w:rFonts w:ascii="Verdana" w:eastAsia="Calibri" w:hAnsi="Verdana" w:cs="Times New Roman"/>
          <w:u w:val="single"/>
        </w:rPr>
        <w:t>@</w:t>
      </w:r>
      <w:proofErr w:type="spellStart"/>
      <w:r w:rsidRPr="00E6591B">
        <w:rPr>
          <w:rFonts w:ascii="Verdana" w:eastAsia="Calibri" w:hAnsi="Verdana" w:cs="Times New Roman"/>
          <w:u w:val="single"/>
        </w:rPr>
        <w:t>colombiacompraeficiente_cce</w:t>
      </w:r>
      <w:proofErr w:type="spellEnd"/>
    </w:p>
    <w:p w14:paraId="206AA07D" w14:textId="77777777" w:rsidR="00271A44" w:rsidRPr="00E6591B" w:rsidRDefault="00271A44" w:rsidP="00271A44">
      <w:pPr>
        <w:spacing w:after="0" w:line="256" w:lineRule="auto"/>
        <w:rPr>
          <w:rFonts w:ascii="Verdana" w:eastAsia="Calibri" w:hAnsi="Verdana" w:cs="Times New Roman"/>
          <w:u w:val="single"/>
        </w:rPr>
      </w:pPr>
    </w:p>
    <w:p w14:paraId="359B9C39" w14:textId="77777777" w:rsidR="00271A44" w:rsidRPr="00E6591B" w:rsidRDefault="00271A44" w:rsidP="00271A44">
      <w:pPr>
        <w:spacing w:after="0" w:line="256" w:lineRule="auto"/>
        <w:rPr>
          <w:rFonts w:ascii="Verdana" w:eastAsia="Calibri" w:hAnsi="Verdana" w:cs="Times New Roman"/>
          <w:b/>
          <w:bCs/>
        </w:rPr>
      </w:pPr>
    </w:p>
    <w:p w14:paraId="2DC5151E" w14:textId="77777777" w:rsidR="00271A44" w:rsidRPr="00E6591B" w:rsidRDefault="00271A44" w:rsidP="00271A44">
      <w:pPr>
        <w:spacing w:after="0" w:line="256" w:lineRule="auto"/>
        <w:jc w:val="both"/>
        <w:rPr>
          <w:rFonts w:ascii="Verdana" w:eastAsia="Calibri" w:hAnsi="Verdana" w:cs="Times New Roman"/>
          <w:bCs/>
          <w:lang w:val="es-ES_tradnl"/>
        </w:rPr>
      </w:pPr>
      <w:r w:rsidRPr="00E6591B">
        <w:rPr>
          <w:rFonts w:ascii="Verdana" w:eastAsia="Calibri" w:hAnsi="Verdana" w:cs="Times New Roman"/>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7CC7F4A4" w14:textId="77777777" w:rsidR="00271A44" w:rsidRPr="00E6591B" w:rsidRDefault="00271A44" w:rsidP="00271A44">
      <w:pPr>
        <w:spacing w:after="0" w:line="256" w:lineRule="auto"/>
        <w:jc w:val="both"/>
        <w:rPr>
          <w:rFonts w:ascii="Verdana" w:eastAsia="Calibri" w:hAnsi="Verdana" w:cs="Times New Roman"/>
        </w:rPr>
      </w:pPr>
    </w:p>
    <w:p w14:paraId="1E012221" w14:textId="77777777" w:rsidR="00271A44" w:rsidRPr="00E6591B" w:rsidRDefault="00271A44" w:rsidP="00271A44">
      <w:pPr>
        <w:spacing w:after="0" w:line="256" w:lineRule="auto"/>
        <w:jc w:val="both"/>
        <w:rPr>
          <w:rFonts w:ascii="Verdana" w:eastAsia="Calibri" w:hAnsi="Verdana" w:cs="Times New Roman"/>
        </w:rPr>
      </w:pPr>
      <w:r w:rsidRPr="00E6591B">
        <w:rPr>
          <w:rFonts w:ascii="Verdana" w:eastAsia="Calibri" w:hAnsi="Verdana" w:cs="Times New Roman"/>
        </w:rPr>
        <w:t>Atentamente,</w:t>
      </w:r>
    </w:p>
    <w:p w14:paraId="2C870ADB" w14:textId="3F2FADD0" w:rsidR="00271A44" w:rsidRPr="00E6591B" w:rsidRDefault="00AF76A7" w:rsidP="00271A44">
      <w:pPr>
        <w:spacing w:after="0" w:line="256" w:lineRule="auto"/>
        <w:jc w:val="center"/>
        <w:rPr>
          <w:rFonts w:ascii="Verdana" w:eastAsia="Calibri" w:hAnsi="Verdana" w:cs="Times New Roman"/>
          <w:lang w:val="es-ES"/>
        </w:rPr>
      </w:pPr>
      <w:r>
        <w:rPr>
          <w:noProof/>
        </w:rPr>
        <w:drawing>
          <wp:inline distT="0" distB="0" distL="0" distR="0" wp14:anchorId="232BCA79" wp14:editId="6203497D">
            <wp:extent cx="3771900" cy="1400175"/>
            <wp:effectExtent l="0" t="0" r="0" b="9525"/>
            <wp:docPr id="1780277293" name="Imagen 1"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26"/>
                    <a:stretch>
                      <a:fillRect/>
                    </a:stretch>
                  </pic:blipFill>
                  <pic:spPr>
                    <a:xfrm>
                      <a:off x="0" y="0"/>
                      <a:ext cx="3771900" cy="1400175"/>
                    </a:xfrm>
                    <a:prstGeom prst="rect">
                      <a:avLst/>
                    </a:prstGeom>
                  </pic:spPr>
                </pic:pic>
              </a:graphicData>
            </a:graphic>
          </wp:inline>
        </w:drawing>
      </w:r>
      <w:bookmarkStart w:id="4" w:name="_GoBack"/>
      <w:bookmarkEnd w:id="4"/>
    </w:p>
    <w:p w14:paraId="53B8363E" w14:textId="77777777" w:rsidR="00271A44" w:rsidRPr="00E6591B" w:rsidRDefault="00271A44" w:rsidP="00271A44">
      <w:pPr>
        <w:spacing w:after="0" w:line="256" w:lineRule="auto"/>
        <w:jc w:val="center"/>
        <w:rPr>
          <w:rFonts w:ascii="Verdana" w:eastAsia="Calibri" w:hAnsi="Verdana" w:cs="Times New Roman"/>
          <w:lang w:val="es-ES"/>
        </w:rPr>
      </w:pP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271A44" w:rsidRPr="00E6591B" w14:paraId="108B93F4" w14:textId="77777777" w:rsidTr="000C794B">
        <w:trPr>
          <w:trHeight w:val="409"/>
        </w:trPr>
        <w:tc>
          <w:tcPr>
            <w:tcW w:w="817" w:type="dxa"/>
            <w:tcBorders>
              <w:top w:val="nil"/>
              <w:left w:val="nil"/>
              <w:bottom w:val="nil"/>
              <w:right w:val="nil"/>
            </w:tcBorders>
            <w:vAlign w:val="center"/>
            <w:hideMark/>
          </w:tcPr>
          <w:p w14:paraId="5D05DBB0" w14:textId="77777777" w:rsidR="00271A44" w:rsidRPr="00E6591B" w:rsidRDefault="00271A44" w:rsidP="000C794B">
            <w:pPr>
              <w:spacing w:after="0" w:line="256" w:lineRule="auto"/>
              <w:rPr>
                <w:rFonts w:ascii="Verdana" w:eastAsia="Calibri" w:hAnsi="Verdana" w:cs="Times New Roman"/>
                <w:sz w:val="14"/>
                <w:szCs w:val="14"/>
              </w:rPr>
            </w:pPr>
            <w:r w:rsidRPr="00E6591B">
              <w:rPr>
                <w:rFonts w:ascii="Verdana" w:eastAsia="Calibri" w:hAnsi="Verdana" w:cs="Times New Roman"/>
                <w:sz w:val="14"/>
                <w:szCs w:val="14"/>
              </w:rPr>
              <w:t>Elaboró: </w:t>
            </w:r>
          </w:p>
        </w:tc>
        <w:tc>
          <w:tcPr>
            <w:tcW w:w="4937" w:type="dxa"/>
            <w:tcBorders>
              <w:top w:val="nil"/>
              <w:left w:val="nil"/>
              <w:bottom w:val="dotted" w:sz="6" w:space="0" w:color="7F7F7F" w:themeColor="text1" w:themeTint="80"/>
              <w:right w:val="nil"/>
            </w:tcBorders>
            <w:vAlign w:val="center"/>
            <w:hideMark/>
          </w:tcPr>
          <w:p w14:paraId="44C9CFBF" w14:textId="77777777" w:rsidR="00271A44" w:rsidRPr="00E6591B" w:rsidRDefault="00271A44" w:rsidP="000C794B">
            <w:pPr>
              <w:spacing w:after="0" w:line="256" w:lineRule="auto"/>
              <w:rPr>
                <w:rFonts w:ascii="Verdana" w:eastAsia="Calibri" w:hAnsi="Verdana" w:cs="Times New Roman"/>
                <w:sz w:val="14"/>
                <w:szCs w:val="14"/>
              </w:rPr>
            </w:pPr>
            <w:r w:rsidRPr="00E6591B">
              <w:rPr>
                <w:rFonts w:ascii="Verdana" w:eastAsia="Calibri" w:hAnsi="Verdana" w:cs="Times New Roman"/>
                <w:sz w:val="14"/>
                <w:szCs w:val="14"/>
              </w:rPr>
              <w:t>Gustavo Hinestroza Martínez</w:t>
            </w:r>
          </w:p>
          <w:p w14:paraId="0D339FF1" w14:textId="77777777" w:rsidR="00271A44" w:rsidRPr="00E6591B" w:rsidRDefault="00271A44" w:rsidP="000C794B">
            <w:pPr>
              <w:spacing w:after="0" w:line="256" w:lineRule="auto"/>
              <w:rPr>
                <w:rFonts w:ascii="Verdana" w:eastAsia="Calibri" w:hAnsi="Verdana" w:cs="Times New Roman"/>
                <w:sz w:val="14"/>
                <w:szCs w:val="14"/>
              </w:rPr>
            </w:pPr>
            <w:r w:rsidRPr="00E6591B">
              <w:rPr>
                <w:rFonts w:ascii="Verdana" w:eastAsia="Calibri" w:hAnsi="Verdana" w:cs="Times New Roman"/>
                <w:sz w:val="14"/>
                <w:szCs w:val="14"/>
              </w:rPr>
              <w:t>Contratista de la Subdirección de Gestión Contractual</w:t>
            </w:r>
          </w:p>
        </w:tc>
      </w:tr>
      <w:tr w:rsidR="00271A44" w:rsidRPr="00E6591B" w14:paraId="32486CDA" w14:textId="77777777" w:rsidTr="000C794B">
        <w:trPr>
          <w:trHeight w:val="409"/>
        </w:trPr>
        <w:tc>
          <w:tcPr>
            <w:tcW w:w="817" w:type="dxa"/>
            <w:tcBorders>
              <w:top w:val="nil"/>
              <w:left w:val="nil"/>
              <w:bottom w:val="nil"/>
              <w:right w:val="nil"/>
            </w:tcBorders>
            <w:vAlign w:val="center"/>
            <w:hideMark/>
          </w:tcPr>
          <w:p w14:paraId="55B7C258" w14:textId="77777777" w:rsidR="00271A44" w:rsidRPr="00E6591B" w:rsidRDefault="00271A44" w:rsidP="000C794B">
            <w:pPr>
              <w:spacing w:after="0" w:line="256" w:lineRule="auto"/>
              <w:rPr>
                <w:rFonts w:ascii="Verdana" w:eastAsia="Calibri" w:hAnsi="Verdana" w:cs="Times New Roman"/>
                <w:sz w:val="14"/>
                <w:szCs w:val="14"/>
              </w:rPr>
            </w:pPr>
            <w:r w:rsidRPr="00E6591B">
              <w:rPr>
                <w:rFonts w:ascii="Verdana" w:eastAsia="Calibri" w:hAnsi="Verdana" w:cs="Times New Roman"/>
                <w:sz w:val="14"/>
                <w:szCs w:val="14"/>
              </w:rPr>
              <w:t>Revisó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05A7877C" w14:textId="77777777" w:rsidR="00271A44" w:rsidRPr="00AC1C88" w:rsidRDefault="00271A44" w:rsidP="000C794B">
            <w:pPr>
              <w:spacing w:after="0" w:line="256" w:lineRule="auto"/>
              <w:rPr>
                <w:rFonts w:ascii="Verdana" w:eastAsia="Calibri" w:hAnsi="Verdana" w:cs="Times New Roman"/>
                <w:sz w:val="14"/>
                <w:szCs w:val="14"/>
              </w:rPr>
            </w:pPr>
            <w:r w:rsidRPr="00AC1C88">
              <w:rPr>
                <w:rFonts w:ascii="Verdana" w:eastAsia="Calibri" w:hAnsi="Verdana" w:cs="Times New Roman"/>
                <w:sz w:val="14"/>
                <w:szCs w:val="14"/>
              </w:rPr>
              <w:t xml:space="preserve">Lida Milena </w:t>
            </w:r>
            <w:proofErr w:type="spellStart"/>
            <w:r w:rsidRPr="00AC1C88">
              <w:rPr>
                <w:rFonts w:ascii="Verdana" w:eastAsia="Calibri" w:hAnsi="Verdana" w:cs="Times New Roman"/>
                <w:sz w:val="14"/>
                <w:szCs w:val="14"/>
              </w:rPr>
              <w:t>Guanumen</w:t>
            </w:r>
            <w:proofErr w:type="spellEnd"/>
            <w:r w:rsidRPr="00AC1C88">
              <w:rPr>
                <w:rFonts w:ascii="Verdana" w:eastAsia="Calibri" w:hAnsi="Verdana" w:cs="Times New Roman"/>
                <w:sz w:val="14"/>
                <w:szCs w:val="14"/>
              </w:rPr>
              <w:t xml:space="preserve"> Pacheco</w:t>
            </w:r>
          </w:p>
          <w:p w14:paraId="0705478A" w14:textId="77777777" w:rsidR="00271A44" w:rsidRDefault="00271A44" w:rsidP="000C794B">
            <w:pPr>
              <w:spacing w:after="0" w:line="256" w:lineRule="auto"/>
              <w:rPr>
                <w:rFonts w:ascii="Verdana" w:eastAsia="Calibri" w:hAnsi="Verdana" w:cs="Times New Roman"/>
                <w:sz w:val="14"/>
                <w:szCs w:val="14"/>
              </w:rPr>
            </w:pPr>
            <w:r w:rsidRPr="00E6591B">
              <w:rPr>
                <w:rFonts w:ascii="Verdana" w:eastAsia="Calibri" w:hAnsi="Verdana" w:cs="Times New Roman"/>
                <w:sz w:val="14"/>
                <w:szCs w:val="14"/>
              </w:rPr>
              <w:t>Contratista de la Subdirección de Gestión Contractual</w:t>
            </w:r>
          </w:p>
          <w:p w14:paraId="7096220B" w14:textId="77777777" w:rsidR="00271A44" w:rsidRPr="00E6591B" w:rsidRDefault="00271A44" w:rsidP="000C794B">
            <w:pPr>
              <w:spacing w:after="0" w:line="256" w:lineRule="auto"/>
              <w:rPr>
                <w:rFonts w:ascii="Verdana" w:eastAsia="Calibri" w:hAnsi="Verdana" w:cs="Times New Roman"/>
                <w:sz w:val="14"/>
                <w:szCs w:val="14"/>
              </w:rPr>
            </w:pPr>
            <w:r w:rsidRPr="00E6591B">
              <w:rPr>
                <w:rFonts w:ascii="Verdana" w:eastAsia="Calibri" w:hAnsi="Verdana" w:cs="Times New Roman"/>
                <w:sz w:val="14"/>
                <w:szCs w:val="14"/>
              </w:rPr>
              <w:t>Cielo Victoria González Meza</w:t>
            </w:r>
          </w:p>
          <w:p w14:paraId="4AA4E094" w14:textId="77777777" w:rsidR="00271A44" w:rsidRPr="00E6591B" w:rsidRDefault="00271A44" w:rsidP="000C794B">
            <w:pPr>
              <w:spacing w:after="0" w:line="256" w:lineRule="auto"/>
              <w:rPr>
                <w:rFonts w:ascii="Verdana" w:eastAsia="Calibri" w:hAnsi="Verdana" w:cs="Times New Roman"/>
                <w:sz w:val="14"/>
                <w:szCs w:val="14"/>
                <w:highlight w:val="yellow"/>
              </w:rPr>
            </w:pPr>
            <w:r w:rsidRPr="00E6591B">
              <w:rPr>
                <w:rFonts w:ascii="Verdana" w:eastAsia="Calibri" w:hAnsi="Verdana" w:cs="Times New Roman"/>
                <w:sz w:val="14"/>
                <w:szCs w:val="14"/>
              </w:rPr>
              <w:t>Contratista de la Subdirección de Gestión Contractual</w:t>
            </w:r>
          </w:p>
        </w:tc>
      </w:tr>
      <w:tr w:rsidR="00271A44" w:rsidRPr="00E6591B" w14:paraId="67FB2512" w14:textId="77777777" w:rsidTr="000C794B">
        <w:trPr>
          <w:trHeight w:val="389"/>
        </w:trPr>
        <w:tc>
          <w:tcPr>
            <w:tcW w:w="817" w:type="dxa"/>
            <w:tcBorders>
              <w:top w:val="nil"/>
              <w:left w:val="nil"/>
              <w:bottom w:val="nil"/>
              <w:right w:val="nil"/>
            </w:tcBorders>
            <w:vAlign w:val="center"/>
            <w:hideMark/>
          </w:tcPr>
          <w:p w14:paraId="1F84ADEE" w14:textId="77777777" w:rsidR="00271A44" w:rsidRPr="00E6591B" w:rsidRDefault="00271A44" w:rsidP="000C794B">
            <w:pPr>
              <w:spacing w:after="0" w:line="256" w:lineRule="auto"/>
              <w:rPr>
                <w:rFonts w:ascii="Verdana" w:eastAsia="Calibri" w:hAnsi="Verdana" w:cs="Times New Roman"/>
                <w:sz w:val="14"/>
                <w:szCs w:val="14"/>
              </w:rPr>
            </w:pPr>
            <w:r w:rsidRPr="00E6591B">
              <w:rPr>
                <w:rFonts w:ascii="Verdana" w:eastAsia="Calibri" w:hAnsi="Verdana" w:cs="Times New Roman"/>
                <w:sz w:val="14"/>
                <w:szCs w:val="14"/>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401148EB" w14:textId="77777777" w:rsidR="00271A44" w:rsidRPr="00E6591B" w:rsidRDefault="00271A44" w:rsidP="000C794B">
            <w:pPr>
              <w:spacing w:after="0" w:line="256" w:lineRule="auto"/>
              <w:rPr>
                <w:rFonts w:ascii="Verdana" w:eastAsia="Calibri" w:hAnsi="Verdana" w:cs="Times New Roman"/>
                <w:sz w:val="14"/>
                <w:szCs w:val="14"/>
              </w:rPr>
            </w:pPr>
            <w:r w:rsidRPr="00E6591B">
              <w:rPr>
                <w:rFonts w:ascii="Verdana" w:eastAsia="Calibri" w:hAnsi="Verdana" w:cs="Times New Roman"/>
                <w:sz w:val="14"/>
                <w:szCs w:val="14"/>
              </w:rPr>
              <w:t>Carolina Quintero Gacharná</w:t>
            </w:r>
          </w:p>
          <w:p w14:paraId="722747D2" w14:textId="77777777" w:rsidR="00271A44" w:rsidRPr="00E6591B" w:rsidRDefault="00271A44" w:rsidP="000C794B">
            <w:pPr>
              <w:spacing w:after="0" w:line="256" w:lineRule="auto"/>
              <w:rPr>
                <w:rFonts w:ascii="Verdana" w:eastAsia="Calibri" w:hAnsi="Verdana" w:cs="Times New Roman"/>
                <w:sz w:val="14"/>
                <w:szCs w:val="14"/>
              </w:rPr>
            </w:pPr>
            <w:r w:rsidRPr="00E6591B">
              <w:rPr>
                <w:rFonts w:ascii="Verdana" w:eastAsia="Calibri" w:hAnsi="Verdana" w:cs="Times New Roman"/>
                <w:sz w:val="14"/>
                <w:szCs w:val="14"/>
              </w:rPr>
              <w:t>Subdirectora de Gestión Contractual ANCP – CCE</w:t>
            </w:r>
          </w:p>
        </w:tc>
      </w:tr>
      <w:bookmarkEnd w:id="0"/>
    </w:tbl>
    <w:p w14:paraId="0F293BF4" w14:textId="7BBFAB11" w:rsidR="00127233" w:rsidRPr="00271A44" w:rsidRDefault="00127233" w:rsidP="00675783"/>
    <w:sectPr w:rsidR="00127233" w:rsidRPr="00271A44" w:rsidSect="007C0C0F">
      <w:headerReference w:type="default" r:id="rId27"/>
      <w:footerReference w:type="default" r:id="rId2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5C959" w14:textId="77777777" w:rsidR="00F541E5" w:rsidRDefault="00F541E5" w:rsidP="004A1847">
      <w:pPr>
        <w:spacing w:after="0" w:line="240" w:lineRule="auto"/>
      </w:pPr>
      <w:r>
        <w:separator/>
      </w:r>
    </w:p>
  </w:endnote>
  <w:endnote w:type="continuationSeparator" w:id="0">
    <w:p w14:paraId="21E98020" w14:textId="77777777" w:rsidR="00F541E5" w:rsidRDefault="00F541E5"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manist Bold">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21DA1" w14:textId="77777777" w:rsidR="00F541E5" w:rsidRDefault="00F541E5" w:rsidP="004A1847">
      <w:pPr>
        <w:spacing w:after="0" w:line="240" w:lineRule="auto"/>
      </w:pPr>
      <w:r>
        <w:separator/>
      </w:r>
    </w:p>
  </w:footnote>
  <w:footnote w:type="continuationSeparator" w:id="0">
    <w:p w14:paraId="55C47FA6" w14:textId="77777777" w:rsidR="00F541E5" w:rsidRDefault="00F541E5" w:rsidP="004A1847">
      <w:pPr>
        <w:spacing w:after="0" w:line="240" w:lineRule="auto"/>
      </w:pPr>
      <w:r>
        <w:continuationSeparator/>
      </w:r>
    </w:p>
  </w:footnote>
  <w:footnote w:id="1">
    <w:p w14:paraId="20E3B21C" w14:textId="77777777" w:rsidR="00271A44" w:rsidRPr="006668ED" w:rsidRDefault="00271A44" w:rsidP="00271A44">
      <w:pPr>
        <w:pStyle w:val="Textonotapie"/>
        <w:ind w:firstLine="708"/>
        <w:jc w:val="both"/>
        <w:rPr>
          <w:rFonts w:ascii="Verdana" w:eastAsia="Calibri" w:hAnsi="Verdana" w:cs="Times New Roman"/>
          <w:lang w:val="es-ES"/>
        </w:rPr>
      </w:pPr>
      <w:r w:rsidRPr="006668ED">
        <w:rPr>
          <w:rStyle w:val="Refdenotaalpie"/>
          <w:rFonts w:ascii="Verdana" w:hAnsi="Verdana"/>
        </w:rPr>
        <w:footnoteRef/>
      </w:r>
      <w:r w:rsidRPr="006668ED">
        <w:rPr>
          <w:rFonts w:ascii="Verdana" w:hAnsi="Verdana"/>
        </w:rPr>
        <w:t xml:space="preserve"> </w:t>
      </w:r>
      <w:r w:rsidRPr="006668ED">
        <w:rPr>
          <w:rFonts w:ascii="Verdana" w:hAnsi="Verdana"/>
          <w:sz w:val="16"/>
        </w:rPr>
        <w:t>El artículo 3 de la Ley 80 de 1993, señala: (…) Los servidores públicos tendrán en consideración que al celebrar contratos y con la ejecución de los mismos, las entidades buscan el cumplimiento de los fines estatales, la continua y eficiente prestación de los servicios públicos y la efectividad de los derechos e intereses de los administrados que colaboran con ellas en la consecución de dichos fines. (…)</w:t>
      </w:r>
    </w:p>
    <w:p w14:paraId="5A34AD65" w14:textId="77777777" w:rsidR="00271A44" w:rsidRPr="006668ED" w:rsidRDefault="00271A44" w:rsidP="00271A44">
      <w:pPr>
        <w:pStyle w:val="Textonotapie"/>
        <w:ind w:firstLine="708"/>
        <w:rPr>
          <w:rFonts w:ascii="Verdana" w:hAnsi="Verdana"/>
          <w:lang w:val="es-ES"/>
        </w:rPr>
      </w:pPr>
    </w:p>
  </w:footnote>
  <w:footnote w:id="2">
    <w:p w14:paraId="31ECD1A3" w14:textId="77777777" w:rsidR="00271A44" w:rsidRPr="006668ED" w:rsidRDefault="00271A44" w:rsidP="00271A44">
      <w:pPr>
        <w:pStyle w:val="Textonotapie"/>
        <w:rPr>
          <w:rFonts w:ascii="Verdana" w:hAnsi="Verdana"/>
        </w:rPr>
      </w:pPr>
    </w:p>
    <w:p w14:paraId="65331ACD" w14:textId="77777777" w:rsidR="00271A44" w:rsidRPr="006668ED" w:rsidRDefault="00271A44" w:rsidP="00271A44">
      <w:pPr>
        <w:pStyle w:val="Textonotapie"/>
        <w:ind w:firstLine="708"/>
        <w:jc w:val="both"/>
        <w:rPr>
          <w:rFonts w:ascii="Verdana" w:hAnsi="Verdana"/>
        </w:rPr>
      </w:pPr>
      <w:r w:rsidRPr="006668ED">
        <w:rPr>
          <w:rStyle w:val="Refdenotaalpie"/>
          <w:rFonts w:ascii="Verdana" w:hAnsi="Verdana"/>
        </w:rPr>
        <w:footnoteRef/>
      </w:r>
      <w:r w:rsidRPr="006668ED">
        <w:rPr>
          <w:rFonts w:ascii="Verdana" w:hAnsi="Verdana"/>
        </w:rPr>
        <w:t xml:space="preserve"> </w:t>
      </w:r>
      <w:r w:rsidRPr="006668ED">
        <w:rPr>
          <w:rFonts w:ascii="Verdana" w:hAnsi="Verdana"/>
          <w:sz w:val="16"/>
          <w:szCs w:val="16"/>
        </w:rPr>
        <w:t>El artículo 209 de la Constitución Política de Colombia, señala: (…)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w:t>
      </w:r>
    </w:p>
    <w:p w14:paraId="74981A56" w14:textId="77777777" w:rsidR="00271A44" w:rsidRPr="006668ED" w:rsidRDefault="00271A44" w:rsidP="00271A44">
      <w:pPr>
        <w:pStyle w:val="Textonotapie"/>
        <w:tabs>
          <w:tab w:val="left" w:pos="1680"/>
        </w:tabs>
        <w:ind w:firstLine="708"/>
        <w:rPr>
          <w:rFonts w:ascii="Verdana" w:hAnsi="Verdana"/>
          <w:lang w:val="es-ES"/>
        </w:rPr>
      </w:pPr>
      <w:r w:rsidRPr="006668ED">
        <w:rPr>
          <w:rFonts w:ascii="Verdana" w:hAnsi="Verdana"/>
        </w:rPr>
        <w:t xml:space="preserve">  </w:t>
      </w:r>
      <w:r w:rsidRPr="006668ED">
        <w:rPr>
          <w:rFonts w:ascii="Verdana" w:hAnsi="Verdana"/>
        </w:rPr>
        <w:tab/>
      </w:r>
    </w:p>
  </w:footnote>
  <w:footnote w:id="3">
    <w:p w14:paraId="0A375CB7" w14:textId="77777777" w:rsidR="00271A44" w:rsidRPr="006668ED" w:rsidRDefault="00271A44" w:rsidP="00271A44">
      <w:pPr>
        <w:tabs>
          <w:tab w:val="left" w:pos="709"/>
        </w:tabs>
        <w:spacing w:after="120"/>
        <w:jc w:val="both"/>
        <w:rPr>
          <w:rFonts w:ascii="Verdana" w:hAnsi="Verdana"/>
        </w:rPr>
      </w:pPr>
      <w:r w:rsidRPr="006668ED">
        <w:rPr>
          <w:rFonts w:ascii="Verdana" w:hAnsi="Verdana"/>
        </w:rPr>
        <w:tab/>
      </w:r>
      <w:r w:rsidRPr="006668ED">
        <w:rPr>
          <w:rStyle w:val="Refdenotaalpie"/>
          <w:rFonts w:ascii="Verdana" w:hAnsi="Verdana"/>
        </w:rPr>
        <w:footnoteRef/>
      </w:r>
      <w:r w:rsidRPr="006668ED">
        <w:rPr>
          <w:rFonts w:ascii="Verdana" w:hAnsi="Verdana"/>
        </w:rPr>
        <w:t xml:space="preserve"> </w:t>
      </w:r>
      <w:r w:rsidRPr="006668ED">
        <w:rPr>
          <w:rFonts w:ascii="Verdana" w:hAnsi="Verdana"/>
          <w:sz w:val="16"/>
          <w:szCs w:val="16"/>
          <w:lang w:val="es-MX"/>
        </w:rPr>
        <w:t>Es objetiva la selección en la cual la escogencia se haga al ofrecimiento más favorable a la entidad y a los fines que ella busca, sin tener en consideración factores de afecto o de interés y, en general, cualquier clase de motivación subjetiva”.</w:t>
      </w:r>
      <w:r w:rsidRPr="006668ED">
        <w:rPr>
          <w:rFonts w:ascii="Verdana" w:hAnsi="Verdana"/>
          <w:lang w:val="es-MX"/>
        </w:rPr>
        <w:t xml:space="preserve"> </w:t>
      </w:r>
    </w:p>
    <w:p w14:paraId="08EC9B8C" w14:textId="77777777" w:rsidR="00271A44" w:rsidRPr="006668ED" w:rsidRDefault="00271A44" w:rsidP="00271A44">
      <w:pPr>
        <w:pStyle w:val="Textonotapie"/>
        <w:rPr>
          <w:rFonts w:ascii="Verdana" w:hAnsi="Verdana"/>
          <w:lang w:val="es-ES"/>
        </w:rPr>
      </w:pPr>
    </w:p>
  </w:footnote>
  <w:footnote w:id="4">
    <w:p w14:paraId="7817ECC6" w14:textId="77777777" w:rsidR="00271A44" w:rsidRPr="006668ED" w:rsidRDefault="00271A44" w:rsidP="00271A44">
      <w:pPr>
        <w:pStyle w:val="Textonotapie"/>
        <w:ind w:firstLine="708"/>
        <w:rPr>
          <w:rFonts w:ascii="Verdana" w:hAnsi="Verdana" w:cs="Arial"/>
          <w:color w:val="000000"/>
          <w:sz w:val="19"/>
          <w:szCs w:val="19"/>
        </w:rPr>
      </w:pPr>
    </w:p>
    <w:p w14:paraId="48E35A7F" w14:textId="77777777" w:rsidR="00271A44" w:rsidRPr="006668ED" w:rsidRDefault="00271A44" w:rsidP="00271A44">
      <w:pPr>
        <w:pStyle w:val="Textonotapie"/>
        <w:ind w:firstLine="708"/>
        <w:rPr>
          <w:rFonts w:ascii="Verdana" w:hAnsi="Verdana" w:cs="Arial"/>
          <w:color w:val="000000"/>
          <w:sz w:val="16"/>
          <w:szCs w:val="19"/>
        </w:rPr>
      </w:pPr>
      <w:r w:rsidRPr="006668ED">
        <w:rPr>
          <w:rStyle w:val="Refdenotaalpie"/>
          <w:rFonts w:ascii="Verdana" w:hAnsi="Verdana" w:cs="Arial"/>
          <w:color w:val="000000"/>
          <w:sz w:val="19"/>
          <w:szCs w:val="19"/>
        </w:rPr>
        <w:footnoteRef/>
      </w:r>
      <w:r w:rsidRPr="006668ED">
        <w:rPr>
          <w:rFonts w:ascii="Verdana" w:hAnsi="Verdana" w:cs="Arial"/>
          <w:color w:val="000000"/>
          <w:sz w:val="19"/>
          <w:szCs w:val="19"/>
        </w:rPr>
        <w:t xml:space="preserve"> </w:t>
      </w:r>
      <w:r w:rsidRPr="006668ED">
        <w:rPr>
          <w:rFonts w:ascii="Verdana" w:hAnsi="Verdana" w:cs="Arial"/>
          <w:sz w:val="16"/>
          <w:szCs w:val="19"/>
        </w:rPr>
        <w:t>“Artículo 2.2.1.1.2.1.3. Pliegos de condiciones. Los pliegos de condiciones deben contener por lo menos la siguiente información:</w:t>
      </w:r>
      <w:r w:rsidRPr="006668ED">
        <w:rPr>
          <w:rFonts w:ascii="Verdana" w:hAnsi="Verdana" w:cs="Arial"/>
          <w:color w:val="000000"/>
          <w:sz w:val="16"/>
          <w:szCs w:val="19"/>
        </w:rPr>
        <w:t xml:space="preserve"> </w:t>
      </w:r>
    </w:p>
    <w:p w14:paraId="551389A2" w14:textId="77777777" w:rsidR="00271A44" w:rsidRPr="006668ED" w:rsidRDefault="00271A44" w:rsidP="00271A44">
      <w:pPr>
        <w:pStyle w:val="Textonotapie"/>
        <w:ind w:firstLine="708"/>
        <w:rPr>
          <w:rFonts w:ascii="Verdana" w:hAnsi="Verdana" w:cs="Arial"/>
          <w:sz w:val="16"/>
          <w:szCs w:val="19"/>
        </w:rPr>
      </w:pPr>
      <w:r w:rsidRPr="006668ED">
        <w:rPr>
          <w:rFonts w:ascii="Verdana" w:hAnsi="Verdana" w:cs="Arial"/>
          <w:sz w:val="16"/>
          <w:szCs w:val="19"/>
        </w:rPr>
        <w:t>“(…)</w:t>
      </w:r>
    </w:p>
    <w:p w14:paraId="69940156" w14:textId="77777777" w:rsidR="00271A44" w:rsidRPr="006668ED" w:rsidRDefault="00271A44" w:rsidP="00271A44">
      <w:pPr>
        <w:pStyle w:val="Textonotapie"/>
        <w:ind w:firstLine="708"/>
        <w:rPr>
          <w:rFonts w:ascii="Verdana" w:hAnsi="Verdana" w:cs="Arial"/>
          <w:sz w:val="16"/>
          <w:szCs w:val="19"/>
        </w:rPr>
      </w:pPr>
      <w:r w:rsidRPr="006668ED">
        <w:rPr>
          <w:rFonts w:ascii="Verdana" w:hAnsi="Verdana" w:cs="Arial"/>
          <w:sz w:val="16"/>
          <w:szCs w:val="19"/>
        </w:rPr>
        <w:t xml:space="preserve">“5. Las reglas aplicables a la presentación de las ofertas, su evaluación y a la adjudicación del contrato. </w:t>
      </w:r>
    </w:p>
    <w:p w14:paraId="6E043940" w14:textId="77777777" w:rsidR="00271A44" w:rsidRPr="006668ED" w:rsidRDefault="00271A44" w:rsidP="00271A44">
      <w:pPr>
        <w:pStyle w:val="Textonotapie"/>
        <w:ind w:firstLine="708"/>
        <w:rPr>
          <w:rFonts w:ascii="Verdana" w:hAnsi="Verdana" w:cs="Arial"/>
          <w:sz w:val="16"/>
          <w:szCs w:val="19"/>
        </w:rPr>
      </w:pPr>
      <w:r w:rsidRPr="006668ED">
        <w:rPr>
          <w:rFonts w:ascii="Verdana" w:hAnsi="Verdana" w:cs="Arial"/>
          <w:sz w:val="16"/>
          <w:szCs w:val="19"/>
        </w:rPr>
        <w:t>“(…)</w:t>
      </w:r>
    </w:p>
    <w:p w14:paraId="33153381" w14:textId="77777777" w:rsidR="00271A44" w:rsidRPr="006668ED" w:rsidRDefault="00271A44" w:rsidP="00271A44">
      <w:pPr>
        <w:pStyle w:val="Textonotapie"/>
        <w:ind w:firstLine="708"/>
        <w:rPr>
          <w:rFonts w:ascii="Verdana" w:hAnsi="Verdana" w:cs="Arial"/>
          <w:sz w:val="16"/>
          <w:szCs w:val="19"/>
        </w:rPr>
      </w:pPr>
      <w:r w:rsidRPr="006668ED">
        <w:rPr>
          <w:rFonts w:ascii="Verdana" w:hAnsi="Verdana" w:cs="Arial"/>
          <w:sz w:val="16"/>
          <w:szCs w:val="19"/>
        </w:rPr>
        <w:t>“14. El Cronograma”.</w:t>
      </w:r>
    </w:p>
    <w:p w14:paraId="4F659B07" w14:textId="77777777" w:rsidR="00271A44" w:rsidRPr="006668ED" w:rsidRDefault="00271A44" w:rsidP="00271A44">
      <w:pPr>
        <w:pStyle w:val="Textonotapie"/>
        <w:ind w:firstLine="708"/>
        <w:rPr>
          <w:rFonts w:ascii="Verdana" w:hAnsi="Verdana" w:cs="Arial"/>
          <w:color w:val="000000"/>
          <w:sz w:val="19"/>
          <w:szCs w:val="19"/>
          <w:lang w:val="es-CO"/>
        </w:rPr>
      </w:pPr>
    </w:p>
  </w:footnote>
  <w:footnote w:id="5">
    <w:p w14:paraId="07F93A1B" w14:textId="77777777" w:rsidR="00271A44" w:rsidRPr="006668ED" w:rsidRDefault="00271A44" w:rsidP="00271A44">
      <w:pPr>
        <w:pStyle w:val="Textonotapie"/>
        <w:ind w:firstLine="708"/>
        <w:rPr>
          <w:rFonts w:ascii="Verdana" w:hAnsi="Verdana"/>
          <w:sz w:val="16"/>
        </w:rPr>
      </w:pPr>
      <w:r w:rsidRPr="006668ED">
        <w:rPr>
          <w:rStyle w:val="Refdenotaalpie"/>
          <w:rFonts w:ascii="Verdana" w:hAnsi="Verdana"/>
        </w:rPr>
        <w:footnoteRef/>
      </w:r>
      <w:r w:rsidRPr="006668ED">
        <w:rPr>
          <w:rFonts w:ascii="Verdana" w:hAnsi="Verdana"/>
        </w:rPr>
        <w:t xml:space="preserve"> </w:t>
      </w:r>
      <w:r w:rsidRPr="006668ED">
        <w:rPr>
          <w:rFonts w:ascii="Verdana" w:hAnsi="Verdana"/>
          <w:sz w:val="16"/>
        </w:rPr>
        <w:t xml:space="preserve">Consultar Sentencia C-602 de 2019, Corte Constitucional de Colombia, MP ALBERTO ROJAS RÍOS. </w:t>
      </w:r>
      <w:hyperlink r:id="rId1" w:history="1">
        <w:r w:rsidRPr="006668ED">
          <w:rPr>
            <w:rStyle w:val="Hipervnculo"/>
            <w:rFonts w:ascii="Verdana" w:hAnsi="Verdana"/>
            <w:sz w:val="16"/>
          </w:rPr>
          <w:t>https://www.corteconstitucional.gov.co/relatoria/2019/C-602-19.htm</w:t>
        </w:r>
      </w:hyperlink>
    </w:p>
    <w:p w14:paraId="7F36DA1F" w14:textId="77777777" w:rsidR="00271A44" w:rsidRPr="006668ED" w:rsidRDefault="00271A44" w:rsidP="00271A44">
      <w:pPr>
        <w:pStyle w:val="Textonotapie"/>
        <w:ind w:firstLine="708"/>
        <w:rPr>
          <w:rFonts w:ascii="Verdana" w:hAnsi="Verdana"/>
          <w:lang w:val="es-ES"/>
        </w:rPr>
      </w:pPr>
    </w:p>
  </w:footnote>
  <w:footnote w:id="6">
    <w:p w14:paraId="765ADFEE" w14:textId="77777777" w:rsidR="00271A44" w:rsidRPr="006668ED" w:rsidRDefault="00271A44" w:rsidP="00271A44">
      <w:pPr>
        <w:pStyle w:val="Textonotapie"/>
        <w:ind w:firstLine="708"/>
        <w:jc w:val="both"/>
        <w:rPr>
          <w:rFonts w:ascii="Verdana" w:hAnsi="Verdana"/>
          <w:sz w:val="16"/>
        </w:rPr>
      </w:pPr>
      <w:r w:rsidRPr="006668ED">
        <w:rPr>
          <w:rStyle w:val="Refdenotaalpie"/>
          <w:rFonts w:ascii="Verdana" w:hAnsi="Verdana"/>
        </w:rPr>
        <w:footnoteRef/>
      </w:r>
      <w:r w:rsidRPr="006668ED">
        <w:rPr>
          <w:rFonts w:ascii="Verdana" w:hAnsi="Verdana"/>
        </w:rPr>
        <w:t xml:space="preserve"> (…) </w:t>
      </w:r>
      <w:r w:rsidRPr="006668ED">
        <w:rPr>
          <w:rFonts w:ascii="Verdana" w:hAnsi="Verdana"/>
          <w:sz w:val="16"/>
        </w:rPr>
        <w:t>Artículo 2°. De las modalidades de selección. La escogencia del contratista se efectuará con arreglo a las modalidades de selección de licitación pública, selección abreviada, concurso de méritos y contratación directa, con base en las siguientes reglas: (…)</w:t>
      </w:r>
    </w:p>
    <w:p w14:paraId="174D934B" w14:textId="77777777" w:rsidR="00271A44" w:rsidRPr="006668ED" w:rsidRDefault="00271A44" w:rsidP="00271A44">
      <w:pPr>
        <w:pStyle w:val="Textonotapie"/>
        <w:ind w:firstLine="708"/>
        <w:jc w:val="both"/>
        <w:rPr>
          <w:rFonts w:ascii="Verdana" w:hAnsi="Verdana"/>
          <w:sz w:val="16"/>
        </w:rPr>
      </w:pPr>
    </w:p>
    <w:p w14:paraId="16185208" w14:textId="77777777" w:rsidR="00271A44" w:rsidRPr="006668ED" w:rsidRDefault="00271A44" w:rsidP="00271A44">
      <w:pPr>
        <w:pStyle w:val="Textonotapie"/>
        <w:ind w:firstLine="708"/>
        <w:jc w:val="both"/>
        <w:rPr>
          <w:rFonts w:ascii="Verdana" w:hAnsi="Verdana"/>
          <w:sz w:val="16"/>
        </w:rPr>
      </w:pPr>
      <w:r w:rsidRPr="006668ED">
        <w:rPr>
          <w:rFonts w:ascii="Verdana" w:hAnsi="Verdana"/>
          <w:sz w:val="16"/>
        </w:rPr>
        <w:t>(…)</w:t>
      </w:r>
    </w:p>
    <w:p w14:paraId="3E0FAFB5" w14:textId="77777777" w:rsidR="00271A44" w:rsidRPr="006668ED" w:rsidRDefault="00271A44" w:rsidP="00271A44">
      <w:pPr>
        <w:pStyle w:val="Textonotapie"/>
        <w:ind w:firstLine="708"/>
        <w:jc w:val="both"/>
        <w:rPr>
          <w:rFonts w:ascii="Verdana" w:hAnsi="Verdana"/>
          <w:sz w:val="16"/>
        </w:rPr>
      </w:pPr>
      <w:r w:rsidRPr="006668ED">
        <w:rPr>
          <w:rFonts w:ascii="Verdana" w:hAnsi="Verdana"/>
          <w:sz w:val="16"/>
        </w:rPr>
        <w:t xml:space="preserve">3. Concurso de méritos. Corresponde a la modalidad prevista para la selección de consultores o proyectos, en la que se podrán utilizar sistemas de concurso abierto o de precalificación. En este último caso, la conformación de la lista de precalificados se hará mediante convocatoria pública, permitiéndose establecer listas limitadas de oferentes mediante resolución motivada, que se entenderá notificada en estrados a los interesados, en la audiencia pública de conformación de la lista, utilizando para el efecto, entre otros, criterios de experiencia, capacidad intelectual y de organización de los proponentes, según sea el caso. </w:t>
      </w:r>
    </w:p>
    <w:p w14:paraId="7AD4926F" w14:textId="77777777" w:rsidR="00271A44" w:rsidRPr="006668ED" w:rsidRDefault="00271A44" w:rsidP="00271A44">
      <w:pPr>
        <w:pStyle w:val="Textonotapie"/>
        <w:ind w:firstLine="708"/>
        <w:jc w:val="both"/>
        <w:rPr>
          <w:rFonts w:ascii="Verdana" w:hAnsi="Verdana"/>
          <w:sz w:val="16"/>
        </w:rPr>
      </w:pPr>
      <w:r w:rsidRPr="006668ED">
        <w:rPr>
          <w:rFonts w:ascii="Verdana" w:hAnsi="Verdana"/>
          <w:sz w:val="16"/>
        </w:rPr>
        <w:t xml:space="preserve"> </w:t>
      </w:r>
    </w:p>
    <w:p w14:paraId="4802AACE" w14:textId="77777777" w:rsidR="00271A44" w:rsidRPr="006668ED" w:rsidRDefault="00271A44" w:rsidP="00271A44">
      <w:pPr>
        <w:pStyle w:val="Textonotapie"/>
        <w:ind w:firstLine="708"/>
        <w:jc w:val="both"/>
        <w:rPr>
          <w:rFonts w:ascii="Verdana" w:hAnsi="Verdana"/>
          <w:sz w:val="16"/>
        </w:rPr>
      </w:pPr>
      <w:r w:rsidRPr="006668ED">
        <w:rPr>
          <w:rFonts w:ascii="Verdana" w:hAnsi="Verdana"/>
          <w:sz w:val="16"/>
        </w:rPr>
        <w:t>De conformidad con las condiciones que señale el reglamento, en desarrollo de estos procesos de selección, las propuestas técnicas o de proyectos podrán ser presentadas en forma anónima ante un jurado plural, impar deliberante y calificado</w:t>
      </w:r>
    </w:p>
  </w:footnote>
  <w:footnote w:id="7">
    <w:p w14:paraId="27A28C4F" w14:textId="4EF167FD" w:rsidR="001B62AF" w:rsidRPr="001B62AF" w:rsidRDefault="00271A44" w:rsidP="001B62AF">
      <w:pPr>
        <w:pStyle w:val="Textonotapie"/>
        <w:ind w:firstLine="708"/>
        <w:rPr>
          <w:rFonts w:ascii="Verdana" w:hAnsi="Verdana"/>
          <w:sz w:val="14"/>
          <w:szCs w:val="14"/>
        </w:rPr>
      </w:pPr>
      <w:r>
        <w:rPr>
          <w:rStyle w:val="Refdenotaalpie"/>
        </w:rPr>
        <w:footnoteRef/>
      </w:r>
      <w:r>
        <w:t xml:space="preserve"> </w:t>
      </w:r>
      <w:r w:rsidRPr="00664B5F">
        <w:rPr>
          <w:rFonts w:ascii="Verdana" w:hAnsi="Verdana"/>
          <w:sz w:val="14"/>
          <w:szCs w:val="14"/>
        </w:rPr>
        <w:t xml:space="preserve">Agencia Nacional de Contratación </w:t>
      </w:r>
      <w:r w:rsidR="001B62AF" w:rsidRPr="00664B5F">
        <w:rPr>
          <w:rFonts w:ascii="Verdana" w:hAnsi="Verdana"/>
          <w:sz w:val="14"/>
          <w:szCs w:val="14"/>
        </w:rPr>
        <w:t>Pública</w:t>
      </w:r>
      <w:r w:rsidRPr="00664B5F">
        <w:rPr>
          <w:rFonts w:ascii="Verdana" w:hAnsi="Verdana"/>
          <w:sz w:val="14"/>
          <w:szCs w:val="14"/>
        </w:rPr>
        <w:t xml:space="preserve"> Colombia Compra Eficiente. </w:t>
      </w:r>
      <w:r w:rsidR="001B62AF" w:rsidRPr="001B62AF">
        <w:rPr>
          <w:rFonts w:ascii="Verdana" w:hAnsi="Verdana"/>
          <w:sz w:val="14"/>
          <w:szCs w:val="14"/>
        </w:rPr>
        <w:t>Documento base</w:t>
      </w:r>
    </w:p>
    <w:p w14:paraId="4CB32A62" w14:textId="16ADA48F" w:rsidR="00271A44" w:rsidRDefault="001B62AF" w:rsidP="001B62AF">
      <w:pPr>
        <w:pStyle w:val="Textonotapie"/>
        <w:ind w:firstLine="708"/>
      </w:pPr>
      <w:r w:rsidRPr="001B62AF">
        <w:rPr>
          <w:rFonts w:ascii="Verdana" w:hAnsi="Verdana"/>
          <w:sz w:val="14"/>
          <w:szCs w:val="14"/>
        </w:rPr>
        <w:t>Interventoría de obra pública de infraestructura social</w:t>
      </w:r>
      <w:r w:rsidR="00271A44">
        <w:rPr>
          <w:rFonts w:ascii="Verdana" w:hAnsi="Verdana"/>
          <w:sz w:val="14"/>
          <w:szCs w:val="14"/>
        </w:rPr>
        <w:t xml:space="preserve">. </w:t>
      </w:r>
    </w:p>
  </w:footnote>
  <w:footnote w:id="8">
    <w:p w14:paraId="081ACF24" w14:textId="087C641C" w:rsidR="00271A44" w:rsidRPr="00F53604" w:rsidRDefault="00271A44" w:rsidP="00325A19">
      <w:pPr>
        <w:pStyle w:val="Textonotapie"/>
        <w:ind w:firstLine="708"/>
        <w:jc w:val="both"/>
        <w:rPr>
          <w:rFonts w:ascii="Verdana" w:hAnsi="Verdana"/>
          <w:sz w:val="14"/>
          <w:szCs w:val="14"/>
        </w:rPr>
      </w:pPr>
      <w:r>
        <w:rPr>
          <w:rStyle w:val="Refdenotaalpie"/>
        </w:rPr>
        <w:footnoteRef/>
      </w:r>
      <w:r>
        <w:t xml:space="preserve"> </w:t>
      </w:r>
      <w:r w:rsidR="00325A19" w:rsidRPr="00664B5F">
        <w:rPr>
          <w:rFonts w:ascii="Verdana" w:hAnsi="Verdana"/>
          <w:sz w:val="14"/>
          <w:szCs w:val="14"/>
        </w:rPr>
        <w:t xml:space="preserve">Agencia Nacional de Contratación Pública Colombia Compra Eficiente. </w:t>
      </w:r>
      <w:r w:rsidR="00325A19" w:rsidRPr="001B62AF">
        <w:rPr>
          <w:rFonts w:ascii="Verdana" w:hAnsi="Verdana"/>
          <w:sz w:val="14"/>
          <w:szCs w:val="14"/>
        </w:rPr>
        <w:t>Documento base</w:t>
      </w:r>
      <w:r w:rsidR="00325A19">
        <w:rPr>
          <w:rFonts w:ascii="Verdana" w:hAnsi="Verdana"/>
          <w:sz w:val="14"/>
          <w:szCs w:val="14"/>
        </w:rPr>
        <w:t xml:space="preserve"> </w:t>
      </w:r>
      <w:r w:rsidR="00325A19" w:rsidRPr="001B62AF">
        <w:rPr>
          <w:rFonts w:ascii="Verdana" w:hAnsi="Verdana"/>
          <w:sz w:val="14"/>
          <w:szCs w:val="14"/>
        </w:rPr>
        <w:t>Interventoría de obra pública de infraestructura social</w:t>
      </w:r>
      <w:r w:rsidR="00325A19">
        <w:rPr>
          <w:rFonts w:ascii="Verdana" w:hAnsi="Verdana"/>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DC141E"/>
    <w:multiLevelType w:val="hybridMultilevel"/>
    <w:tmpl w:val="9AB0CA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BDC0906"/>
    <w:multiLevelType w:val="hybridMultilevel"/>
    <w:tmpl w:val="62303AC0"/>
    <w:lvl w:ilvl="0" w:tplc="252445BC">
      <w:start w:val="1"/>
      <w:numFmt w:val="upperLetter"/>
      <w:lvlText w:val="%1."/>
      <w:lvlJc w:val="left"/>
      <w:pPr>
        <w:ind w:left="720" w:hanging="360"/>
      </w:pPr>
      <w:rPr>
        <w:rFonts w:ascii="Arial" w:hAnsi="Arial" w:cs="Arial" w:hint="default"/>
        <w:b w:val="0"/>
        <w:bCs w:val="0"/>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505F0A4C"/>
    <w:multiLevelType w:val="hybridMultilevel"/>
    <w:tmpl w:val="48A449B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548A74AE"/>
    <w:multiLevelType w:val="hybridMultilevel"/>
    <w:tmpl w:val="9496AA5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56124B7B"/>
    <w:multiLevelType w:val="multilevel"/>
    <w:tmpl w:val="8FDE9E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4"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5" w15:restartNumberingAfterBreak="0">
    <w:nsid w:val="69F17E71"/>
    <w:multiLevelType w:val="hybridMultilevel"/>
    <w:tmpl w:val="35BA9E22"/>
    <w:lvl w:ilvl="0" w:tplc="240A0001">
      <w:start w:val="1"/>
      <w:numFmt w:val="bullet"/>
      <w:lvlText w:val=""/>
      <w:lvlJc w:val="left"/>
      <w:pPr>
        <w:ind w:left="1429" w:hanging="360"/>
      </w:pPr>
      <w:rPr>
        <w:rFonts w:ascii="Symbol" w:hAnsi="Symbol" w:hint="default"/>
      </w:rPr>
    </w:lvl>
    <w:lvl w:ilvl="1" w:tplc="240A0003">
      <w:start w:val="1"/>
      <w:numFmt w:val="bullet"/>
      <w:lvlText w:val="o"/>
      <w:lvlJc w:val="left"/>
      <w:pPr>
        <w:ind w:left="2149" w:hanging="360"/>
      </w:pPr>
      <w:rPr>
        <w:rFonts w:ascii="Courier New" w:hAnsi="Courier New" w:cs="Courier New" w:hint="default"/>
      </w:rPr>
    </w:lvl>
    <w:lvl w:ilvl="2" w:tplc="240A0005">
      <w:start w:val="1"/>
      <w:numFmt w:val="bullet"/>
      <w:lvlText w:val=""/>
      <w:lvlJc w:val="left"/>
      <w:pPr>
        <w:ind w:left="2869" w:hanging="360"/>
      </w:pPr>
      <w:rPr>
        <w:rFonts w:ascii="Wingdings" w:hAnsi="Wingdings" w:hint="default"/>
      </w:rPr>
    </w:lvl>
    <w:lvl w:ilvl="3" w:tplc="240A0001">
      <w:start w:val="1"/>
      <w:numFmt w:val="bullet"/>
      <w:lvlText w:val=""/>
      <w:lvlJc w:val="left"/>
      <w:pPr>
        <w:ind w:left="3589" w:hanging="360"/>
      </w:pPr>
      <w:rPr>
        <w:rFonts w:ascii="Symbol" w:hAnsi="Symbol" w:hint="default"/>
      </w:rPr>
    </w:lvl>
    <w:lvl w:ilvl="4" w:tplc="240A0003">
      <w:start w:val="1"/>
      <w:numFmt w:val="bullet"/>
      <w:lvlText w:val="o"/>
      <w:lvlJc w:val="left"/>
      <w:pPr>
        <w:ind w:left="4309" w:hanging="360"/>
      </w:pPr>
      <w:rPr>
        <w:rFonts w:ascii="Courier New" w:hAnsi="Courier New" w:cs="Courier New" w:hint="default"/>
      </w:rPr>
    </w:lvl>
    <w:lvl w:ilvl="5" w:tplc="240A0005">
      <w:start w:val="1"/>
      <w:numFmt w:val="bullet"/>
      <w:lvlText w:val=""/>
      <w:lvlJc w:val="left"/>
      <w:pPr>
        <w:ind w:left="5029" w:hanging="360"/>
      </w:pPr>
      <w:rPr>
        <w:rFonts w:ascii="Wingdings" w:hAnsi="Wingdings" w:hint="default"/>
      </w:rPr>
    </w:lvl>
    <w:lvl w:ilvl="6" w:tplc="240A0001">
      <w:start w:val="1"/>
      <w:numFmt w:val="bullet"/>
      <w:lvlText w:val=""/>
      <w:lvlJc w:val="left"/>
      <w:pPr>
        <w:ind w:left="5749" w:hanging="360"/>
      </w:pPr>
      <w:rPr>
        <w:rFonts w:ascii="Symbol" w:hAnsi="Symbol" w:hint="default"/>
      </w:rPr>
    </w:lvl>
    <w:lvl w:ilvl="7" w:tplc="240A0003">
      <w:start w:val="1"/>
      <w:numFmt w:val="bullet"/>
      <w:lvlText w:val="o"/>
      <w:lvlJc w:val="left"/>
      <w:pPr>
        <w:ind w:left="6469" w:hanging="360"/>
      </w:pPr>
      <w:rPr>
        <w:rFonts w:ascii="Courier New" w:hAnsi="Courier New" w:cs="Courier New" w:hint="default"/>
      </w:rPr>
    </w:lvl>
    <w:lvl w:ilvl="8" w:tplc="240A0005">
      <w:start w:val="1"/>
      <w:numFmt w:val="bullet"/>
      <w:lvlText w:val=""/>
      <w:lvlJc w:val="left"/>
      <w:pPr>
        <w:ind w:left="7189" w:hanging="360"/>
      </w:pPr>
      <w:rPr>
        <w:rFonts w:ascii="Wingdings" w:hAnsi="Wingdings" w:hint="default"/>
      </w:rPr>
    </w:lvl>
  </w:abstractNum>
  <w:abstractNum w:abstractNumId="16"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8"/>
  </w:num>
  <w:num w:numId="7">
    <w:abstractNumId w:val="5"/>
  </w:num>
  <w:num w:numId="8">
    <w:abstractNumId w:val="17"/>
  </w:num>
  <w:num w:numId="9">
    <w:abstractNumId w:val="7"/>
  </w:num>
  <w:num w:numId="10">
    <w:abstractNumId w:val="16"/>
  </w:num>
  <w:num w:numId="11">
    <w:abstractNumId w:val="8"/>
  </w:num>
  <w:num w:numId="12">
    <w:abstractNumId w:val="1"/>
  </w:num>
  <w:num w:numId="13">
    <w:abstractNumId w:val="3"/>
  </w:num>
  <w:num w:numId="14">
    <w:abstractNumId w:val="19"/>
  </w:num>
  <w:num w:numId="15">
    <w:abstractNumId w:val="14"/>
  </w:num>
  <w:num w:numId="1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5"/>
  </w:num>
  <w:num w:numId="19">
    <w:abstractNumId w:val="10"/>
  </w:num>
  <w:num w:numId="20">
    <w:abstractNumId w:val="11"/>
  </w:num>
  <w:num w:numId="21">
    <w:abstractNumId w:val="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357D1"/>
    <w:rsid w:val="00061B2A"/>
    <w:rsid w:val="00082362"/>
    <w:rsid w:val="000A683E"/>
    <w:rsid w:val="000B19B9"/>
    <w:rsid w:val="000C5EC6"/>
    <w:rsid w:val="000D0334"/>
    <w:rsid w:val="000F6486"/>
    <w:rsid w:val="00125105"/>
    <w:rsid w:val="00127233"/>
    <w:rsid w:val="001B62AF"/>
    <w:rsid w:val="001E38F8"/>
    <w:rsid w:val="001E4177"/>
    <w:rsid w:val="001F7DC6"/>
    <w:rsid w:val="002421BB"/>
    <w:rsid w:val="0025508D"/>
    <w:rsid w:val="0025796E"/>
    <w:rsid w:val="00262A79"/>
    <w:rsid w:val="002707A2"/>
    <w:rsid w:val="00271A44"/>
    <w:rsid w:val="00283596"/>
    <w:rsid w:val="002951A0"/>
    <w:rsid w:val="002962BC"/>
    <w:rsid w:val="002A093D"/>
    <w:rsid w:val="002A0DD0"/>
    <w:rsid w:val="002A49AC"/>
    <w:rsid w:val="002A64FD"/>
    <w:rsid w:val="002C7A84"/>
    <w:rsid w:val="002D05FA"/>
    <w:rsid w:val="002E4FD9"/>
    <w:rsid w:val="00322A85"/>
    <w:rsid w:val="00324168"/>
    <w:rsid w:val="00325A19"/>
    <w:rsid w:val="003448F4"/>
    <w:rsid w:val="00374F5E"/>
    <w:rsid w:val="00377E3E"/>
    <w:rsid w:val="003A26D1"/>
    <w:rsid w:val="003A779E"/>
    <w:rsid w:val="003D0F4D"/>
    <w:rsid w:val="003D5B0D"/>
    <w:rsid w:val="003E0499"/>
    <w:rsid w:val="003F3941"/>
    <w:rsid w:val="00406575"/>
    <w:rsid w:val="0042722E"/>
    <w:rsid w:val="0044528D"/>
    <w:rsid w:val="00480FA0"/>
    <w:rsid w:val="004A1847"/>
    <w:rsid w:val="004A305D"/>
    <w:rsid w:val="004E482C"/>
    <w:rsid w:val="004F21C4"/>
    <w:rsid w:val="004F685F"/>
    <w:rsid w:val="005566E8"/>
    <w:rsid w:val="00574867"/>
    <w:rsid w:val="00591460"/>
    <w:rsid w:val="00592628"/>
    <w:rsid w:val="005B7400"/>
    <w:rsid w:val="005C3777"/>
    <w:rsid w:val="005C5CDC"/>
    <w:rsid w:val="005D476C"/>
    <w:rsid w:val="00610812"/>
    <w:rsid w:val="006219F8"/>
    <w:rsid w:val="00650FF7"/>
    <w:rsid w:val="00665D70"/>
    <w:rsid w:val="00671DAC"/>
    <w:rsid w:val="00675783"/>
    <w:rsid w:val="006900D9"/>
    <w:rsid w:val="006D12F8"/>
    <w:rsid w:val="00706C16"/>
    <w:rsid w:val="00756841"/>
    <w:rsid w:val="007649AB"/>
    <w:rsid w:val="00771D0C"/>
    <w:rsid w:val="007833AC"/>
    <w:rsid w:val="007B268C"/>
    <w:rsid w:val="007B7171"/>
    <w:rsid w:val="007C0C0F"/>
    <w:rsid w:val="007C3DC2"/>
    <w:rsid w:val="007E5497"/>
    <w:rsid w:val="00806F5F"/>
    <w:rsid w:val="00820278"/>
    <w:rsid w:val="008703EB"/>
    <w:rsid w:val="008843B6"/>
    <w:rsid w:val="00891928"/>
    <w:rsid w:val="008A446D"/>
    <w:rsid w:val="008D180B"/>
    <w:rsid w:val="008F0EA7"/>
    <w:rsid w:val="00923EEF"/>
    <w:rsid w:val="009419F9"/>
    <w:rsid w:val="0095685E"/>
    <w:rsid w:val="00961B09"/>
    <w:rsid w:val="00965334"/>
    <w:rsid w:val="0097093E"/>
    <w:rsid w:val="009A0DFA"/>
    <w:rsid w:val="009B2D26"/>
    <w:rsid w:val="009C71FA"/>
    <w:rsid w:val="009C72E7"/>
    <w:rsid w:val="009D3058"/>
    <w:rsid w:val="009F3A13"/>
    <w:rsid w:val="00A122D3"/>
    <w:rsid w:val="00A17F13"/>
    <w:rsid w:val="00A20739"/>
    <w:rsid w:val="00A33C78"/>
    <w:rsid w:val="00A660DA"/>
    <w:rsid w:val="00AB0ADB"/>
    <w:rsid w:val="00AB71C5"/>
    <w:rsid w:val="00AF76A7"/>
    <w:rsid w:val="00B01B1A"/>
    <w:rsid w:val="00B52E08"/>
    <w:rsid w:val="00B72CD3"/>
    <w:rsid w:val="00B72FFF"/>
    <w:rsid w:val="00BB3DB8"/>
    <w:rsid w:val="00BC3D36"/>
    <w:rsid w:val="00BD7F72"/>
    <w:rsid w:val="00BE3DF0"/>
    <w:rsid w:val="00C04FB3"/>
    <w:rsid w:val="00C330EB"/>
    <w:rsid w:val="00C754BE"/>
    <w:rsid w:val="00C76B1C"/>
    <w:rsid w:val="00CB6357"/>
    <w:rsid w:val="00CC1B26"/>
    <w:rsid w:val="00CF040B"/>
    <w:rsid w:val="00D423A2"/>
    <w:rsid w:val="00D520D8"/>
    <w:rsid w:val="00D63AC2"/>
    <w:rsid w:val="00D7383B"/>
    <w:rsid w:val="00DA231B"/>
    <w:rsid w:val="00DA23A0"/>
    <w:rsid w:val="00DC39FC"/>
    <w:rsid w:val="00DF5254"/>
    <w:rsid w:val="00E16408"/>
    <w:rsid w:val="00E20894"/>
    <w:rsid w:val="00E245AB"/>
    <w:rsid w:val="00E2764C"/>
    <w:rsid w:val="00E27F2E"/>
    <w:rsid w:val="00E413EA"/>
    <w:rsid w:val="00E50AFE"/>
    <w:rsid w:val="00E75C92"/>
    <w:rsid w:val="00E771DC"/>
    <w:rsid w:val="00E8772A"/>
    <w:rsid w:val="00E90F6B"/>
    <w:rsid w:val="00E92C27"/>
    <w:rsid w:val="00EA0E3D"/>
    <w:rsid w:val="00EC38A7"/>
    <w:rsid w:val="00ED1971"/>
    <w:rsid w:val="00EE1AA8"/>
    <w:rsid w:val="00F31EDC"/>
    <w:rsid w:val="00F462B3"/>
    <w:rsid w:val="00F541E5"/>
    <w:rsid w:val="00F5664F"/>
    <w:rsid w:val="00F666C4"/>
    <w:rsid w:val="00F76AFC"/>
    <w:rsid w:val="00FA47C0"/>
    <w:rsid w:val="00FB5DD1"/>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1A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271A44"/>
    <w:pPr>
      <w:spacing w:after="0" w:line="240" w:lineRule="exact"/>
    </w:pPr>
    <w:rPr>
      <w:vertAlign w:val="superscript"/>
    </w:rPr>
  </w:style>
  <w:style w:type="table" w:customStyle="1" w:styleId="Tablaconcuadrcula1">
    <w:name w:val="Tabla con cuadrícula1"/>
    <w:basedOn w:val="Tablanormal"/>
    <w:next w:val="Tablaconcuadrcula"/>
    <w:uiPriority w:val="39"/>
    <w:qFormat/>
    <w:rsid w:val="00271A4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rsid w:val="00271A44"/>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831483529">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yperlink" Target="https://relatoria.colombiacompra.gov.co/normativa/ley-1150-de-2007/"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hyperlink" Target="https://nam02.safelinks.protection.outlook.com/?url=https%3A%2F%2Fwww.colombiacompra.gov.co%2Fsala-de-prensa%2Fboletin-digital%2Fboletin-de-relatoria-2024-iv&amp;data=05%7C02%7Cgustavo.hinestroza%40colombiacompra.gov.co%7C616b83c3423e4d31151908dce489c00d%7C7b09041e245149d08cb179d5e3d8c1be%7C0%7C0%7C638636527541390763%7CUnknown%7CTWFpbGZsb3d8eyJWIjoiMC4wLjAwMDAiLCJQIjoiV2luMzIiLCJBTiI6Ik1haWwiLCJXVCI6Mn0%3D%7C0%7C%7C%7C&amp;sdata=TvcamFSJb0xKN8MmFyP0cz5zurODO5ojz6pqdTKfZVc%3D&amp;reserved=0" TargetMode="Externa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hyperlink" Target="https://relatoria.colombiacompra.gov.co/normativa/ley-80-de-199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illiamfmedina27@gmail.com" TargetMode="External"/><Relationship Id="rId24" Type="http://schemas.openxmlformats.org/officeDocument/2006/relationships/hyperlink" Target="https://relatoria.colombiacompra.gov.co/busqueda/conceptos" TargetMode="Externa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https://www.colombiacompra.gov.co/content/07-documento-tipo-de-concurso-de-meritos-para-contratar-la-interventoria-de-obras-publicas"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superfinanciera.gov.co/publicacion/6081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 Id="rId22" Type="http://schemas.openxmlformats.org/officeDocument/2006/relationships/hyperlink" Target="https://relatoria.colombiacompra.gov.co/normativa/decreto-1082-de-2015/" TargetMode="Externa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orteconstitucional.gov.co/relatoria/2019/C-602-19.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6DAAC9C1-5652-4310-8B3E-DC15565E13EC}"/>
</file>

<file path=docProps/app.xml><?xml version="1.0" encoding="utf-8"?>
<Properties xmlns="http://schemas.openxmlformats.org/officeDocument/2006/extended-properties" xmlns:vt="http://schemas.openxmlformats.org/officeDocument/2006/docPropsVTypes">
  <Template>Normal</Template>
  <TotalTime>2</TotalTime>
  <Pages>15</Pages>
  <Words>3924</Words>
  <Characters>21582</Characters>
  <Application>Microsoft Office Word</Application>
  <DocSecurity>0</DocSecurity>
  <Lines>179</Lines>
  <Paragraphs>50</Paragraphs>
  <ScaleCrop>false</ScaleCrop>
  <Company/>
  <LinksUpToDate>false</LinksUpToDate>
  <CharactersWithSpaces>25456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Gustavo Hinestroza Martinez</cp:lastModifiedBy>
  <cp:revision>4</cp:revision>
  <cp:lastPrinted>2023-01-10T21:18:00Z</cp:lastPrinted>
  <dcterms:created xsi:type="dcterms:W3CDTF">2024-10-25T21:25:00Z</dcterms:created>
  <dcterms:modified xsi:type="dcterms:W3CDTF">2024-10-28T12:24:00Z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