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173C9F" w14:textId="77777777" w:rsidR="00645326" w:rsidRPr="00F62967" w:rsidRDefault="00645326" w:rsidP="00645326">
      <w:pPr>
        <w:spacing w:after="0" w:line="240" w:lineRule="auto"/>
        <w:jc w:val="both"/>
        <w:rPr>
          <w:rFonts w:ascii="Verdana" w:eastAsia="Calibri" w:hAnsi="Verdana" w:cs="Arial"/>
          <w:b/>
          <w:bCs/>
        </w:rPr>
      </w:pPr>
      <w:bookmarkStart w:id="0" w:name="_Hlk143780582"/>
      <w:r w:rsidRPr="00F62967">
        <w:rPr>
          <w:rFonts w:ascii="Verdana" w:eastAsia="Calibri" w:hAnsi="Verdana" w:cs="Arial"/>
          <w:b/>
          <w:bCs/>
        </w:rPr>
        <w:t xml:space="preserve">CONTRATO DE PRESTACIÓN DE SERVICIOS – Concepto – Características – Temporalidad </w:t>
      </w:r>
    </w:p>
    <w:p w14:paraId="627D8284" w14:textId="77777777" w:rsidR="00645326" w:rsidRPr="00F62967" w:rsidRDefault="00645326" w:rsidP="00645326">
      <w:pPr>
        <w:spacing w:after="0" w:line="240" w:lineRule="auto"/>
        <w:rPr>
          <w:rFonts w:ascii="Verdana" w:eastAsia="Calibri" w:hAnsi="Verdana" w:cs="Arial"/>
        </w:rPr>
      </w:pPr>
    </w:p>
    <w:p w14:paraId="0404EB3B" w14:textId="77777777" w:rsidR="00645326" w:rsidRPr="00F62967" w:rsidRDefault="00645326" w:rsidP="00645326">
      <w:pPr>
        <w:spacing w:after="0" w:line="240" w:lineRule="auto"/>
        <w:jc w:val="both"/>
        <w:rPr>
          <w:rFonts w:ascii="Verdana" w:hAnsi="Verdana" w:cs="Arial"/>
          <w:color w:val="000000" w:themeColor="text1"/>
          <w:sz w:val="20"/>
          <w:szCs w:val="20"/>
          <w:lang w:val="es-MX"/>
        </w:rPr>
      </w:pPr>
      <w:r w:rsidRPr="00F62967">
        <w:rPr>
          <w:rFonts w:ascii="Verdana" w:hAnsi="Verdana" w:cs="Arial"/>
          <w:color w:val="000000" w:themeColor="text1"/>
          <w:sz w:val="20"/>
          <w:szCs w:val="20"/>
          <w:lang w:val="es-MX"/>
        </w:rPr>
        <w:t xml:space="preserve">El contrato de prestación de servicios es un contrato estatal típico, regulado en el numeral 3, del artículo 32,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 La celebración de dicho contrato debe efectuarse a través de la modalidad de contratación directa. </w:t>
      </w:r>
      <w:r w:rsidRPr="00F62967">
        <w:rPr>
          <w:rFonts w:ascii="Verdana" w:eastAsia="Calibri" w:hAnsi="Verdana" w:cs="Arial"/>
          <w:sz w:val="20"/>
          <w:szCs w:val="20"/>
        </w:rPr>
        <w:t>[…]</w:t>
      </w:r>
    </w:p>
    <w:p w14:paraId="4BC0F1C7" w14:textId="77777777" w:rsidR="00645326" w:rsidRPr="00F62967" w:rsidRDefault="00645326" w:rsidP="00645326">
      <w:pPr>
        <w:spacing w:after="0" w:line="240" w:lineRule="auto"/>
        <w:jc w:val="both"/>
        <w:rPr>
          <w:rFonts w:ascii="Verdana" w:eastAsia="Calibri" w:hAnsi="Verdana" w:cs="Arial"/>
          <w:sz w:val="20"/>
          <w:szCs w:val="20"/>
        </w:rPr>
      </w:pPr>
    </w:p>
    <w:p w14:paraId="440833BD" w14:textId="77777777" w:rsidR="00645326" w:rsidRPr="00F62967" w:rsidRDefault="00645326" w:rsidP="00645326">
      <w:pPr>
        <w:spacing w:after="0" w:line="240" w:lineRule="auto"/>
        <w:jc w:val="both"/>
        <w:rPr>
          <w:rFonts w:ascii="Verdana" w:hAnsi="Verdana" w:cs="Arial"/>
          <w:noProof/>
          <w:sz w:val="20"/>
          <w:szCs w:val="20"/>
          <w:lang w:val="es-ES_tradnl"/>
        </w:rPr>
      </w:pPr>
      <w:r w:rsidRPr="00F62967">
        <w:rPr>
          <w:rFonts w:ascii="Verdana" w:eastAsia="Calibri" w:hAnsi="Verdana" w:cs="Arial"/>
          <w:sz w:val="20"/>
          <w:szCs w:val="20"/>
        </w:rPr>
        <w:t xml:space="preserve">[…] de la reciente Sentencia de Unificación Jurisprudencial del 9 de septiembre de 2021, proferida por el Consejo de Estado, es posible señalar las siguientes características del contrato de prestación de servicios: </w:t>
      </w:r>
      <w:r w:rsidRPr="00F62967">
        <w:rPr>
          <w:rFonts w:ascii="Verdana" w:hAnsi="Verdana" w:cs="Arial"/>
          <w:noProof/>
          <w:sz w:val="20"/>
          <w:szCs w:val="20"/>
          <w:lang w:val="es-ES_tradnl"/>
        </w:rPr>
        <w:t>[…] Deben ser temporales. La mencionada Sentencia de Unificación Jurisprudencial del Consejo de Estado, frente a la duración del contrato de prestación de servicios señaló que solo puede celebrarse por un “término estrictamente indispensable”. En ese entendido, se estableció el alcance del término “estrictamente indispensable” como “aquel que tiene lugar a la fase precontractual, pues es en esta donde la entidad aproxima en función del objeto a contratar y de los recursos disponibles, el tiempo de vigencia máximo que estima “imprescindible” para su ejecución”.</w:t>
      </w:r>
    </w:p>
    <w:p w14:paraId="09B5A857" w14:textId="77777777" w:rsidR="00645326" w:rsidRPr="00F62967" w:rsidRDefault="00645326" w:rsidP="00645326">
      <w:pPr>
        <w:spacing w:after="0" w:line="240" w:lineRule="auto"/>
        <w:jc w:val="both"/>
        <w:rPr>
          <w:rFonts w:ascii="Verdana" w:eastAsia="Calibri" w:hAnsi="Verdana" w:cs="Arial"/>
          <w:b/>
          <w:bCs/>
        </w:rPr>
      </w:pPr>
    </w:p>
    <w:p w14:paraId="1907BA72" w14:textId="77777777" w:rsidR="00645326" w:rsidRPr="00F62967" w:rsidRDefault="00645326" w:rsidP="00645326">
      <w:pPr>
        <w:spacing w:after="0" w:line="240" w:lineRule="auto"/>
        <w:jc w:val="both"/>
        <w:rPr>
          <w:rFonts w:ascii="Verdana" w:eastAsia="Calibri" w:hAnsi="Verdana" w:cs="Arial"/>
          <w:b/>
          <w:bCs/>
        </w:rPr>
      </w:pPr>
      <w:r w:rsidRPr="00F62967">
        <w:rPr>
          <w:rFonts w:ascii="Verdana" w:eastAsia="Calibri" w:hAnsi="Verdana" w:cs="Arial"/>
          <w:b/>
          <w:bCs/>
        </w:rPr>
        <w:t>CONTRATO DE PRESTACIÓN DE SERVICIOS – Estudios previos – Particularidades del objeto – Condiciones para su ejecución</w:t>
      </w:r>
    </w:p>
    <w:p w14:paraId="58885AAA" w14:textId="77777777" w:rsidR="00645326" w:rsidRPr="00F62967" w:rsidRDefault="00645326" w:rsidP="00645326">
      <w:pPr>
        <w:spacing w:after="0" w:line="240" w:lineRule="auto"/>
        <w:jc w:val="both"/>
        <w:rPr>
          <w:rFonts w:ascii="Verdana" w:hAnsi="Verdana" w:cs="Arial"/>
          <w:noProof/>
          <w:sz w:val="20"/>
          <w:szCs w:val="20"/>
          <w:lang w:val="es-ES_tradnl"/>
        </w:rPr>
      </w:pPr>
    </w:p>
    <w:p w14:paraId="020B0EE4" w14:textId="77777777" w:rsidR="00645326" w:rsidRPr="00F62967" w:rsidRDefault="00645326" w:rsidP="00645326">
      <w:pPr>
        <w:spacing w:after="0" w:line="240" w:lineRule="auto"/>
        <w:jc w:val="both"/>
        <w:rPr>
          <w:rFonts w:ascii="Verdana" w:hAnsi="Verdana" w:cs="Arial"/>
          <w:noProof/>
          <w:sz w:val="20"/>
          <w:szCs w:val="20"/>
          <w:lang w:val="es-ES_tradnl"/>
        </w:rPr>
      </w:pPr>
      <w:r w:rsidRPr="00F62967">
        <w:rPr>
          <w:rFonts w:ascii="Verdana" w:hAnsi="Verdana" w:cs="Arial"/>
          <w:noProof/>
          <w:sz w:val="20"/>
          <w:szCs w:val="20"/>
          <w:lang w:val="es-ES_tradnl"/>
        </w:rPr>
        <w:t>[…] “la vigencia del contrato debe ser por el tiempo necesario para ejecutar el objeto contractual convenido, y este debe estar sujeto al principio de planeación, que encuentra su manifestación práctica en la elaboración de los estudios previos a la celebración del negocio jurídico, pues es allí donde deberán quedar motivadas con suficiencia las razones que justifiquen que la Administración recurra a un contrato de prestación de servicios”. Sin embargo, teniendo en cuenta las particularidades del objeto a contratar, el cual deberá identificarse y justificarse en dichos estudios, las entidades públicas en virtud del principio de autonomía de la voluntad y con el fin de garantizar la eficacia de los principios rectores de la administración pública y los de gestión fiscal, podrán estipular las condiciones en las que este deba ejecutarse.</w:t>
      </w:r>
    </w:p>
    <w:p w14:paraId="7D470037" w14:textId="77777777" w:rsidR="00645326" w:rsidRPr="00F62967" w:rsidRDefault="00645326" w:rsidP="00645326">
      <w:pPr>
        <w:spacing w:after="0" w:line="240" w:lineRule="auto"/>
        <w:jc w:val="both"/>
        <w:rPr>
          <w:rFonts w:ascii="Verdana" w:hAnsi="Verdana" w:cs="Arial"/>
          <w:color w:val="000000" w:themeColor="text1"/>
          <w:sz w:val="20"/>
          <w:szCs w:val="20"/>
          <w:lang w:val="es-ES_tradnl"/>
        </w:rPr>
      </w:pPr>
    </w:p>
    <w:p w14:paraId="2739F996" w14:textId="2C8E19C7" w:rsidR="00645326" w:rsidRPr="00F62967" w:rsidRDefault="00645326">
      <w:pPr>
        <w:rPr>
          <w:rFonts w:ascii="Verdana" w:eastAsia="Geomanist Light" w:hAnsi="Verdana" w:cs="Arial"/>
          <w:color w:val="000000" w:themeColor="text1"/>
          <w:lang w:val="es-ES"/>
        </w:rPr>
      </w:pPr>
      <w:r w:rsidRPr="00F62967">
        <w:rPr>
          <w:rFonts w:ascii="Verdana" w:eastAsia="Geomanist Light" w:hAnsi="Verdana" w:cs="Arial"/>
          <w:color w:val="000000" w:themeColor="text1"/>
          <w:lang w:val="es-ES"/>
        </w:rPr>
        <w:br w:type="page"/>
      </w:r>
    </w:p>
    <w:p w14:paraId="627F9F0A" w14:textId="77777777" w:rsidR="00645326" w:rsidRPr="00F62967" w:rsidRDefault="00645326" w:rsidP="00FC59CF">
      <w:pPr>
        <w:spacing w:after="0" w:line="240" w:lineRule="auto"/>
        <w:rPr>
          <w:rFonts w:ascii="Verdana" w:eastAsia="Geomanist Light" w:hAnsi="Verdana" w:cs="Arial"/>
          <w:color w:val="000000" w:themeColor="text1"/>
          <w:lang w:val="es-ES"/>
        </w:rPr>
      </w:pPr>
    </w:p>
    <w:p w14:paraId="1159C640" w14:textId="753FA1A9" w:rsidR="00645326" w:rsidRPr="00F62967" w:rsidRDefault="00645326" w:rsidP="00FC59CF">
      <w:pPr>
        <w:spacing w:after="0" w:line="240" w:lineRule="auto"/>
        <w:rPr>
          <w:rFonts w:ascii="Verdana" w:eastAsia="Geomanist Light" w:hAnsi="Verdana" w:cs="Arial"/>
          <w:color w:val="000000" w:themeColor="text1"/>
          <w:lang w:val="es-MX"/>
        </w:rPr>
      </w:pPr>
    </w:p>
    <w:p w14:paraId="7D9661EB" w14:textId="1ADE9EF1" w:rsidR="00FC59CF" w:rsidRPr="00F62967" w:rsidRDefault="00FC59CF" w:rsidP="00FC59CF">
      <w:pPr>
        <w:spacing w:after="0" w:line="240" w:lineRule="auto"/>
        <w:rPr>
          <w:rFonts w:ascii="Verdana" w:eastAsia="Geomanist Light" w:hAnsi="Verdana" w:cs="Arial"/>
          <w:color w:val="201F1E"/>
          <w:lang w:val="es-MX"/>
        </w:rPr>
      </w:pPr>
      <w:r w:rsidRPr="00F62967">
        <w:rPr>
          <w:rFonts w:ascii="Verdana" w:eastAsia="Geomanist Light" w:hAnsi="Verdana" w:cs="Arial"/>
          <w:color w:val="000000" w:themeColor="text1"/>
          <w:lang w:val="es-MX"/>
        </w:rPr>
        <w:t>Bogotá D.C., </w:t>
      </w:r>
      <w:r w:rsidR="000B668E">
        <w:rPr>
          <w:rFonts w:ascii="Verdana" w:eastAsia="Geomanist Light" w:hAnsi="Verdana" w:cs="Arial"/>
          <w:color w:val="201F1E"/>
          <w:lang w:val="es-MX"/>
        </w:rPr>
        <w:t xml:space="preserve">25 </w:t>
      </w:r>
      <w:proofErr w:type="gramStart"/>
      <w:r w:rsidR="000B668E">
        <w:rPr>
          <w:rFonts w:ascii="Verdana" w:eastAsia="Geomanist Light" w:hAnsi="Verdana" w:cs="Arial"/>
          <w:color w:val="201F1E"/>
          <w:lang w:val="es-MX"/>
        </w:rPr>
        <w:t>Octubre</w:t>
      </w:r>
      <w:proofErr w:type="gramEnd"/>
      <w:r w:rsidR="000B668E">
        <w:rPr>
          <w:rFonts w:ascii="Verdana" w:eastAsia="Geomanist Light" w:hAnsi="Verdana" w:cs="Arial"/>
          <w:color w:val="201F1E"/>
          <w:lang w:val="es-MX"/>
        </w:rPr>
        <w:t xml:space="preserve"> 2024</w:t>
      </w:r>
    </w:p>
    <w:p w14:paraId="3A656106" w14:textId="65CA0E51" w:rsidR="004C0691" w:rsidRPr="00F62967" w:rsidRDefault="007547EC" w:rsidP="00722C90">
      <w:pPr>
        <w:spacing w:after="0" w:line="240" w:lineRule="auto"/>
        <w:jc w:val="right"/>
        <w:rPr>
          <w:rFonts w:ascii="Verdana" w:eastAsia="Calibri" w:hAnsi="Verdana" w:cs="Arial"/>
          <w:lang w:val="es-MX"/>
        </w:rPr>
      </w:pPr>
      <w:r w:rsidRPr="000B49BE">
        <w:rPr>
          <w:rFonts w:ascii="Verdana" w:eastAsia="Calibri" w:hAnsi="Verdana" w:cs="Arial"/>
          <w:b/>
          <w:bCs/>
          <w:noProof/>
          <w:lang w:val="es-ES_tradnl" w:eastAsia="es-ES_tradnl"/>
        </w:rPr>
        <w:drawing>
          <wp:anchor distT="0" distB="0" distL="114300" distR="114300" simplePos="0" relativeHeight="251658240" behindDoc="1" locked="0" layoutInCell="1" allowOverlap="1" wp14:anchorId="5880E783" wp14:editId="5E37BD16">
            <wp:simplePos x="0" y="0"/>
            <wp:positionH relativeFrom="column">
              <wp:posOffset>2301240</wp:posOffset>
            </wp:positionH>
            <wp:positionV relativeFrom="paragraph">
              <wp:posOffset>83185</wp:posOffset>
            </wp:positionV>
            <wp:extent cx="3781425" cy="971550"/>
            <wp:effectExtent l="0" t="0" r="9525" b="0"/>
            <wp:wrapTight wrapText="bothSides">
              <wp:wrapPolygon edited="0">
                <wp:start x="0" y="0"/>
                <wp:lineTo x="0" y="21176"/>
                <wp:lineTo x="21546" y="21176"/>
                <wp:lineTo x="21546" y="0"/>
                <wp:lineTo x="0" y="0"/>
              </wp:wrapPolygon>
            </wp:wrapTight>
            <wp:docPr id="62193247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1932476" name=""/>
                    <pic:cNvPicPr/>
                  </pic:nvPicPr>
                  <pic:blipFill>
                    <a:blip r:embed="rId10">
                      <a:extLst>
                        <a:ext uri="{28A0092B-C50C-407E-A947-70E740481C1C}">
                          <a14:useLocalDpi xmlns:a14="http://schemas.microsoft.com/office/drawing/2010/main" val="0"/>
                        </a:ext>
                      </a:extLst>
                    </a:blip>
                    <a:stretch>
                      <a:fillRect/>
                    </a:stretch>
                  </pic:blipFill>
                  <pic:spPr>
                    <a:xfrm>
                      <a:off x="0" y="0"/>
                      <a:ext cx="3781425" cy="971550"/>
                    </a:xfrm>
                    <a:prstGeom prst="rect">
                      <a:avLst/>
                    </a:prstGeom>
                  </pic:spPr>
                </pic:pic>
              </a:graphicData>
            </a:graphic>
            <wp14:sizeRelH relativeFrom="margin">
              <wp14:pctWidth>0</wp14:pctWidth>
            </wp14:sizeRelH>
            <wp14:sizeRelV relativeFrom="margin">
              <wp14:pctHeight>0</wp14:pctHeight>
            </wp14:sizeRelV>
          </wp:anchor>
        </w:drawing>
      </w:r>
    </w:p>
    <w:p w14:paraId="0C72C976" w14:textId="4387DE34" w:rsidR="00D818FA" w:rsidRPr="00F62967" w:rsidRDefault="00D818FA" w:rsidP="00D818FA">
      <w:pPr>
        <w:spacing w:after="0" w:line="240" w:lineRule="auto"/>
        <w:jc w:val="both"/>
        <w:rPr>
          <w:rFonts w:ascii="Verdana" w:eastAsia="Calibri" w:hAnsi="Verdana" w:cs="Arial"/>
          <w:lang w:val="es-ES" w:eastAsia="es-ES"/>
        </w:rPr>
      </w:pPr>
      <w:bookmarkStart w:id="1" w:name="_Hlk180667032"/>
      <w:r w:rsidRPr="00F62967">
        <w:rPr>
          <w:rFonts w:ascii="Verdana" w:eastAsia="Calibri" w:hAnsi="Verdana" w:cs="Arial"/>
          <w:lang w:val="es-ES" w:eastAsia="es-ES"/>
        </w:rPr>
        <w:t>Señora</w:t>
      </w:r>
    </w:p>
    <w:p w14:paraId="72D5A9B8" w14:textId="5A85839E" w:rsidR="00645326" w:rsidRDefault="00645326" w:rsidP="00D818FA">
      <w:pPr>
        <w:spacing w:after="0" w:line="240" w:lineRule="auto"/>
        <w:rPr>
          <w:rFonts w:ascii="Verdana" w:eastAsia="Calibri" w:hAnsi="Verdana" w:cs="Arial"/>
          <w:b/>
          <w:lang w:val="es-ES" w:eastAsia="es-ES"/>
        </w:rPr>
      </w:pPr>
      <w:r w:rsidRPr="00F62967">
        <w:rPr>
          <w:rFonts w:ascii="Verdana" w:eastAsia="Calibri" w:hAnsi="Verdana" w:cs="Arial"/>
          <w:b/>
          <w:lang w:val="es-ES" w:eastAsia="es-ES"/>
        </w:rPr>
        <w:t>Edith Nathalie Romero Barrera</w:t>
      </w:r>
    </w:p>
    <w:p w14:paraId="404F82A1" w14:textId="4DD5C298" w:rsidR="006430AB" w:rsidRPr="006430AB" w:rsidRDefault="006430AB" w:rsidP="00D818FA">
      <w:pPr>
        <w:spacing w:after="0" w:line="240" w:lineRule="auto"/>
        <w:rPr>
          <w:rFonts w:ascii="Verdana" w:eastAsia="Calibri" w:hAnsi="Verdana" w:cs="Arial"/>
          <w:bCs/>
          <w:lang w:val="es-ES" w:eastAsia="es-ES"/>
        </w:rPr>
      </w:pPr>
      <w:hyperlink r:id="rId11" w:history="1">
        <w:r w:rsidRPr="006430AB">
          <w:rPr>
            <w:rStyle w:val="Hipervnculo"/>
            <w:rFonts w:ascii="Verdana" w:eastAsia="Calibri" w:hAnsi="Verdana" w:cs="Arial"/>
            <w:bCs/>
            <w:lang w:val="es-ES" w:eastAsia="es-ES"/>
          </w:rPr>
          <w:t>natalie2808@gmail.com</w:t>
        </w:r>
      </w:hyperlink>
      <w:r w:rsidRPr="006430AB">
        <w:rPr>
          <w:rFonts w:ascii="Verdana" w:eastAsia="Calibri" w:hAnsi="Verdana" w:cs="Arial"/>
          <w:bCs/>
          <w:lang w:val="es-ES" w:eastAsia="es-ES"/>
        </w:rPr>
        <w:t xml:space="preserve"> </w:t>
      </w:r>
    </w:p>
    <w:p w14:paraId="1099821A" w14:textId="40D4E31A" w:rsidR="004C0691" w:rsidRPr="00F62967" w:rsidRDefault="004C0691" w:rsidP="004C0691">
      <w:pPr>
        <w:spacing w:after="0" w:line="240" w:lineRule="auto"/>
        <w:rPr>
          <w:rFonts w:ascii="Verdana" w:eastAsia="Calibri" w:hAnsi="Verdana" w:cs="Arial"/>
          <w:b/>
          <w:bCs/>
          <w:lang w:val="es-ES" w:eastAsia="es-ES"/>
        </w:rPr>
      </w:pPr>
      <w:r w:rsidRPr="00F62967">
        <w:rPr>
          <w:rFonts w:ascii="Verdana" w:eastAsia="Calibri" w:hAnsi="Verdana" w:cs="Arial"/>
          <w:lang w:val="es-ES" w:eastAsia="es-ES"/>
        </w:rPr>
        <w:t>Ciudad</w:t>
      </w:r>
    </w:p>
    <w:p w14:paraId="6C20DF48" w14:textId="77777777" w:rsidR="004C0691" w:rsidRDefault="004C0691" w:rsidP="004C0691">
      <w:pPr>
        <w:spacing w:after="0" w:line="240" w:lineRule="auto"/>
        <w:rPr>
          <w:rFonts w:ascii="Verdana" w:eastAsia="Calibri" w:hAnsi="Verdana" w:cs="Arial"/>
          <w:b/>
          <w:bCs/>
          <w:lang w:val="es-ES_tradnl" w:eastAsia="es-ES_tradnl"/>
        </w:rPr>
      </w:pPr>
    </w:p>
    <w:p w14:paraId="2680FEA8" w14:textId="348B79BD" w:rsidR="000B49BE" w:rsidRPr="00F62967" w:rsidRDefault="000B49BE" w:rsidP="000B49BE">
      <w:pPr>
        <w:spacing w:after="0" w:line="240" w:lineRule="auto"/>
        <w:jc w:val="right"/>
        <w:rPr>
          <w:rFonts w:ascii="Verdana" w:eastAsia="Calibri" w:hAnsi="Verdana" w:cs="Arial"/>
          <w:b/>
          <w:bCs/>
          <w:lang w:val="es-ES_tradnl" w:eastAsia="es-ES_tradnl"/>
        </w:rPr>
      </w:pPr>
    </w:p>
    <w:p w14:paraId="4422C411" w14:textId="77777777" w:rsidR="004C0691" w:rsidRPr="00F62967" w:rsidRDefault="004C0691" w:rsidP="004C0691">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C0691" w:rsidRPr="00F62967" w14:paraId="0841F942" w14:textId="77777777" w:rsidTr="002D7ACD">
        <w:trPr>
          <w:trHeight w:val="369"/>
        </w:trPr>
        <w:tc>
          <w:tcPr>
            <w:tcW w:w="2689" w:type="dxa"/>
          </w:tcPr>
          <w:p w14:paraId="04C8A436" w14:textId="77777777" w:rsidR="004C0691" w:rsidRPr="00F62967" w:rsidRDefault="004C0691" w:rsidP="002D7ACD">
            <w:pPr>
              <w:jc w:val="both"/>
              <w:rPr>
                <w:rFonts w:ascii="Verdana" w:eastAsia="Calibri" w:hAnsi="Verdana" w:cs="Arial"/>
                <w:b/>
                <w:bCs/>
                <w:lang w:val="es-ES_tradnl" w:eastAsia="es-ES_tradnl"/>
              </w:rPr>
            </w:pPr>
          </w:p>
        </w:tc>
        <w:tc>
          <w:tcPr>
            <w:tcW w:w="6100" w:type="dxa"/>
          </w:tcPr>
          <w:p w14:paraId="20504B8A" w14:textId="63AE88B6" w:rsidR="004C0691" w:rsidRPr="00F62967" w:rsidRDefault="004C0691" w:rsidP="002D7ACD">
            <w:pPr>
              <w:jc w:val="both"/>
              <w:rPr>
                <w:rFonts w:ascii="Verdana" w:eastAsia="Calibri" w:hAnsi="Verdana" w:cs="Arial"/>
                <w:b/>
                <w:bCs/>
                <w:lang w:val="es-ES" w:eastAsia="es-ES"/>
              </w:rPr>
            </w:pPr>
            <w:r w:rsidRPr="00F62967">
              <w:rPr>
                <w:rFonts w:ascii="Verdana" w:eastAsia="Calibri" w:hAnsi="Verdana" w:cs="Arial"/>
                <w:b/>
                <w:bCs/>
                <w:lang w:val="es-ES" w:eastAsia="es-ES"/>
              </w:rPr>
              <w:t xml:space="preserve">Concepto C- </w:t>
            </w:r>
            <w:r w:rsidR="00645326" w:rsidRPr="00F62967">
              <w:rPr>
                <w:rFonts w:ascii="Verdana" w:eastAsia="Calibri" w:hAnsi="Verdana" w:cs="Arial"/>
                <w:b/>
                <w:bCs/>
                <w:lang w:val="es-ES" w:eastAsia="es-ES"/>
              </w:rPr>
              <w:t>604</w:t>
            </w:r>
            <w:r w:rsidRPr="00F62967">
              <w:rPr>
                <w:rFonts w:ascii="Verdana" w:eastAsia="Calibri" w:hAnsi="Verdana" w:cs="Arial"/>
                <w:b/>
                <w:bCs/>
                <w:lang w:val="es-ES" w:eastAsia="es-ES"/>
              </w:rPr>
              <w:t xml:space="preserve"> de 2024</w:t>
            </w:r>
          </w:p>
          <w:p w14:paraId="436EAF25" w14:textId="77777777" w:rsidR="004C0691" w:rsidRPr="00F62967" w:rsidRDefault="004C0691" w:rsidP="002D7ACD">
            <w:pPr>
              <w:jc w:val="both"/>
              <w:rPr>
                <w:rFonts w:ascii="Verdana" w:eastAsia="Calibri" w:hAnsi="Verdana" w:cs="Arial"/>
                <w:b/>
                <w:bCs/>
                <w:lang w:val="es-ES" w:eastAsia="es-ES"/>
              </w:rPr>
            </w:pPr>
          </w:p>
        </w:tc>
      </w:tr>
      <w:tr w:rsidR="00D818FA" w:rsidRPr="00F62967" w14:paraId="2C3FE947" w14:textId="77777777" w:rsidTr="00D818FA">
        <w:trPr>
          <w:trHeight w:val="884"/>
        </w:trPr>
        <w:tc>
          <w:tcPr>
            <w:tcW w:w="2689" w:type="dxa"/>
          </w:tcPr>
          <w:p w14:paraId="66041225" w14:textId="77777777" w:rsidR="00D818FA" w:rsidRPr="00F62967" w:rsidRDefault="00D818FA" w:rsidP="00D818FA">
            <w:pPr>
              <w:jc w:val="both"/>
              <w:rPr>
                <w:rFonts w:ascii="Verdana" w:eastAsia="Calibri" w:hAnsi="Verdana" w:cs="Arial"/>
                <w:lang w:val="es-ES_tradnl" w:eastAsia="es-ES_tradnl"/>
              </w:rPr>
            </w:pPr>
            <w:r w:rsidRPr="00F62967">
              <w:rPr>
                <w:rFonts w:ascii="Verdana" w:eastAsia="Calibri" w:hAnsi="Verdana" w:cs="Arial"/>
                <w:b/>
                <w:lang w:val="es-ES_tradnl" w:eastAsia="es-ES_tradnl"/>
              </w:rPr>
              <w:t>Temas:</w:t>
            </w:r>
            <w:r w:rsidRPr="00F62967">
              <w:rPr>
                <w:rFonts w:ascii="Verdana" w:eastAsia="Calibri" w:hAnsi="Verdana" w:cs="Arial"/>
                <w:lang w:val="es-ES_tradnl" w:eastAsia="es-ES_tradnl"/>
              </w:rPr>
              <w:t xml:space="preserve">                   </w:t>
            </w:r>
          </w:p>
        </w:tc>
        <w:tc>
          <w:tcPr>
            <w:tcW w:w="6100" w:type="dxa"/>
          </w:tcPr>
          <w:p w14:paraId="6414A113" w14:textId="77777777" w:rsidR="00645326" w:rsidRPr="00F62967" w:rsidRDefault="00645326" w:rsidP="00D818FA">
            <w:pPr>
              <w:jc w:val="both"/>
              <w:rPr>
                <w:rFonts w:ascii="Verdana" w:eastAsia="Calibri" w:hAnsi="Verdana" w:cs="Arial"/>
                <w:lang w:val="es-ES_tradnl" w:eastAsia="es-ES"/>
              </w:rPr>
            </w:pPr>
            <w:r w:rsidRPr="00F62967">
              <w:rPr>
                <w:rFonts w:ascii="Verdana" w:eastAsia="Times New Roman" w:hAnsi="Verdana" w:cs="Arial"/>
                <w:color w:val="000000"/>
                <w:lang w:val="es-ES_tradnl" w:eastAsia="es-ES_tradnl"/>
              </w:rPr>
              <w:t xml:space="preserve">CONTRATO DE PRESTACIÓN DE SERVICIOS – Concepto – Características – Temporalidad / CONTRATO DE PRESTACIÓN DE SERVICIOS – Estudios previos – Particularidades del objeto – Condiciones para su ejecución </w:t>
            </w:r>
            <w:r w:rsidRPr="00F62967">
              <w:rPr>
                <w:rFonts w:ascii="Verdana" w:hAnsi="Verdana" w:cs="Arial"/>
                <w:color w:val="000000" w:themeColor="text1"/>
                <w:lang w:val="es-ES_tradnl"/>
              </w:rPr>
              <w:t>/</w:t>
            </w:r>
            <w:r w:rsidRPr="00F62967">
              <w:rPr>
                <w:rFonts w:ascii="Verdana" w:eastAsia="Calibri" w:hAnsi="Verdana" w:cs="Arial"/>
                <w:lang w:val="es-ES_tradnl" w:eastAsia="es-ES"/>
              </w:rPr>
              <w:t xml:space="preserve"> </w:t>
            </w:r>
          </w:p>
          <w:p w14:paraId="7C6218BE" w14:textId="550521DE" w:rsidR="00D818FA" w:rsidRPr="00F62967" w:rsidRDefault="00D818FA" w:rsidP="00D818FA">
            <w:pPr>
              <w:jc w:val="both"/>
              <w:rPr>
                <w:rFonts w:ascii="Verdana" w:eastAsia="Calibri" w:hAnsi="Verdana" w:cs="Arial"/>
                <w:lang w:val="es-ES_tradnl" w:eastAsia="es-ES"/>
              </w:rPr>
            </w:pPr>
          </w:p>
          <w:p w14:paraId="37A767A5" w14:textId="1798D961" w:rsidR="00645326" w:rsidRPr="00F62967" w:rsidRDefault="00645326" w:rsidP="00D818FA">
            <w:pPr>
              <w:jc w:val="both"/>
              <w:rPr>
                <w:rFonts w:ascii="Verdana" w:eastAsia="Calibri" w:hAnsi="Verdana" w:cs="Arial"/>
                <w:lang w:val="es-ES_tradnl" w:eastAsia="es-ES"/>
              </w:rPr>
            </w:pPr>
          </w:p>
        </w:tc>
      </w:tr>
      <w:tr w:rsidR="00D818FA" w:rsidRPr="00F62967" w14:paraId="5EC38B50" w14:textId="77777777" w:rsidTr="002D7ACD">
        <w:tc>
          <w:tcPr>
            <w:tcW w:w="2689" w:type="dxa"/>
          </w:tcPr>
          <w:p w14:paraId="2AE51572" w14:textId="77777777" w:rsidR="00D818FA" w:rsidRPr="00F62967" w:rsidRDefault="00D818FA" w:rsidP="00D818FA">
            <w:pPr>
              <w:jc w:val="both"/>
              <w:rPr>
                <w:rFonts w:ascii="Verdana" w:eastAsia="Calibri" w:hAnsi="Verdana" w:cs="Arial"/>
                <w:b/>
                <w:lang w:val="es-ES_tradnl" w:eastAsia="es-ES_tradnl"/>
              </w:rPr>
            </w:pPr>
            <w:r w:rsidRPr="00F62967">
              <w:rPr>
                <w:rFonts w:ascii="Verdana" w:eastAsia="Calibri" w:hAnsi="Verdana" w:cs="Arial"/>
                <w:b/>
                <w:lang w:val="es-ES_tradnl" w:eastAsia="es-ES_tradnl"/>
              </w:rPr>
              <w:t>Radicación:</w:t>
            </w:r>
            <w:r w:rsidRPr="00F62967">
              <w:rPr>
                <w:rFonts w:ascii="Verdana" w:eastAsia="Calibri" w:hAnsi="Verdana" w:cs="Arial"/>
                <w:lang w:val="es-ES_tradnl" w:eastAsia="es-ES_tradnl"/>
              </w:rPr>
              <w:t xml:space="preserve">               </w:t>
            </w:r>
          </w:p>
        </w:tc>
        <w:tc>
          <w:tcPr>
            <w:tcW w:w="6100" w:type="dxa"/>
          </w:tcPr>
          <w:p w14:paraId="31748949" w14:textId="79965D21" w:rsidR="00D818FA" w:rsidRPr="00F62967" w:rsidRDefault="00D818FA" w:rsidP="00D818FA">
            <w:pPr>
              <w:jc w:val="both"/>
              <w:rPr>
                <w:rFonts w:ascii="Verdana" w:eastAsia="Calibri" w:hAnsi="Verdana" w:cs="Arial"/>
                <w:lang w:val="es-ES_tradnl" w:eastAsia="es-ES_tradnl"/>
              </w:rPr>
            </w:pPr>
            <w:r w:rsidRPr="00F62967">
              <w:rPr>
                <w:rFonts w:ascii="Verdana" w:eastAsia="Calibri" w:hAnsi="Verdana" w:cs="Arial"/>
                <w:lang w:val="es-ES_tradnl" w:eastAsia="es-ES_tradnl"/>
              </w:rPr>
              <w:t xml:space="preserve">Respuesta a consulta con radicado No. </w:t>
            </w:r>
            <w:r w:rsidR="00F62967" w:rsidRPr="00F62967">
              <w:rPr>
                <w:rFonts w:ascii="Verdana" w:eastAsia="Calibri" w:hAnsi="Verdana" w:cs="Arial"/>
                <w:lang w:eastAsia="es-ES_tradnl"/>
              </w:rPr>
              <w:t>P20240912009314</w:t>
            </w:r>
          </w:p>
        </w:tc>
      </w:tr>
    </w:tbl>
    <w:p w14:paraId="0EC45515" w14:textId="77777777" w:rsidR="004C0691" w:rsidRPr="00F62967" w:rsidRDefault="004C0691" w:rsidP="004C0691">
      <w:pPr>
        <w:spacing w:after="0" w:line="276" w:lineRule="auto"/>
        <w:jc w:val="both"/>
        <w:rPr>
          <w:rFonts w:ascii="Verdana" w:eastAsia="Calibri" w:hAnsi="Verdana" w:cs="Arial"/>
          <w:lang w:val="es-ES_tradnl" w:eastAsia="es-ES_tradnl"/>
        </w:rPr>
      </w:pPr>
    </w:p>
    <w:p w14:paraId="1D00B204" w14:textId="77777777" w:rsidR="004C0691" w:rsidRPr="00F62967" w:rsidRDefault="004C0691" w:rsidP="004C0691">
      <w:pPr>
        <w:spacing w:after="0" w:line="276" w:lineRule="auto"/>
        <w:jc w:val="both"/>
        <w:rPr>
          <w:rFonts w:ascii="Verdana" w:eastAsia="Calibri" w:hAnsi="Verdana" w:cs="Arial"/>
          <w:lang w:val="es-ES_tradnl" w:eastAsia="es-ES_tradnl"/>
        </w:rPr>
      </w:pPr>
    </w:p>
    <w:p w14:paraId="3EB9FD73" w14:textId="3F29C283" w:rsidR="004C0691" w:rsidRPr="00F62967" w:rsidRDefault="004C0691" w:rsidP="004C0691">
      <w:pPr>
        <w:spacing w:after="0" w:line="276" w:lineRule="auto"/>
        <w:jc w:val="both"/>
        <w:rPr>
          <w:rFonts w:ascii="Verdana" w:eastAsia="Calibri" w:hAnsi="Verdana" w:cs="Arial"/>
          <w:lang w:val="es-ES" w:eastAsia="es-ES"/>
        </w:rPr>
      </w:pPr>
      <w:r w:rsidRPr="00F62967">
        <w:rPr>
          <w:rFonts w:ascii="Verdana" w:eastAsia="Calibri" w:hAnsi="Verdana" w:cs="Arial"/>
          <w:lang w:val="es-ES" w:eastAsia="es-ES"/>
        </w:rPr>
        <w:t>Estimad</w:t>
      </w:r>
      <w:r w:rsidR="00D818FA" w:rsidRPr="00F62967">
        <w:rPr>
          <w:rFonts w:ascii="Verdana" w:eastAsia="Calibri" w:hAnsi="Verdana" w:cs="Arial"/>
          <w:lang w:val="es-ES" w:eastAsia="es-ES"/>
        </w:rPr>
        <w:t>a</w:t>
      </w:r>
      <w:r w:rsidRPr="00F62967">
        <w:rPr>
          <w:rFonts w:ascii="Verdana" w:eastAsia="Calibri" w:hAnsi="Verdana" w:cs="Arial"/>
          <w:lang w:val="es-ES" w:eastAsia="es-ES"/>
        </w:rPr>
        <w:t xml:space="preserve"> señor</w:t>
      </w:r>
      <w:r w:rsidR="00D818FA" w:rsidRPr="00F62967">
        <w:rPr>
          <w:rFonts w:ascii="Verdana" w:eastAsia="Calibri" w:hAnsi="Verdana" w:cs="Arial"/>
          <w:lang w:val="es-ES" w:eastAsia="es-ES"/>
        </w:rPr>
        <w:t xml:space="preserve">a </w:t>
      </w:r>
      <w:r w:rsidR="00645326" w:rsidRPr="00F62967">
        <w:rPr>
          <w:rFonts w:ascii="Verdana" w:eastAsia="Calibri" w:hAnsi="Verdana" w:cs="Arial"/>
          <w:lang w:val="es-ES" w:eastAsia="es-ES"/>
        </w:rPr>
        <w:t>Romero Barrera</w:t>
      </w:r>
      <w:r w:rsidRPr="00F62967">
        <w:rPr>
          <w:rFonts w:ascii="Verdana" w:eastAsia="Calibri" w:hAnsi="Verdana" w:cs="Arial"/>
          <w:lang w:val="es-ES" w:eastAsia="es-ES"/>
        </w:rPr>
        <w:t xml:space="preserve">: </w:t>
      </w:r>
    </w:p>
    <w:p w14:paraId="003CEEE3" w14:textId="77777777" w:rsidR="004C0691" w:rsidRPr="00F62967" w:rsidRDefault="004C0691" w:rsidP="004C0691">
      <w:pPr>
        <w:tabs>
          <w:tab w:val="left" w:pos="3768"/>
        </w:tabs>
        <w:spacing w:after="0" w:line="276" w:lineRule="auto"/>
        <w:jc w:val="both"/>
        <w:rPr>
          <w:rFonts w:ascii="Verdana" w:eastAsia="Calibri" w:hAnsi="Verdana" w:cs="Arial"/>
          <w:lang w:val="es-ES" w:eastAsia="es-ES"/>
        </w:rPr>
      </w:pPr>
      <w:r w:rsidRPr="00F62967">
        <w:rPr>
          <w:rFonts w:ascii="Verdana" w:eastAsia="Calibri" w:hAnsi="Verdana" w:cs="Arial"/>
          <w:lang w:val="es-ES" w:eastAsia="es-ES"/>
        </w:rPr>
        <w:tab/>
      </w:r>
    </w:p>
    <w:p w14:paraId="3CA5203B" w14:textId="0AA7BBC0" w:rsidR="004C0691" w:rsidRPr="00F62967" w:rsidRDefault="004C0691" w:rsidP="004C0691">
      <w:pPr>
        <w:spacing w:after="0" w:line="276" w:lineRule="auto"/>
        <w:jc w:val="both"/>
        <w:rPr>
          <w:rFonts w:ascii="Verdana" w:eastAsia="Calibri" w:hAnsi="Verdana" w:cs="Arial"/>
          <w:lang w:val="es-ES" w:eastAsia="es-ES"/>
        </w:rPr>
      </w:pPr>
      <w:r w:rsidRPr="00F62967">
        <w:rPr>
          <w:rFonts w:ascii="Verdana" w:eastAsia="Calibri" w:hAnsi="Verdana" w:cs="Arial"/>
          <w:lang w:val="es-ES" w:eastAsia="es-ES"/>
        </w:rPr>
        <w:t>En ejercicio de la competencia otorgada por los artículos 3, numeral 5º, y 11, numeral 8º, del Decreto Ley 4170 de 2011,</w:t>
      </w:r>
      <w:r w:rsidRPr="00F62967">
        <w:rPr>
          <w:rFonts w:ascii="Verdana" w:eastAsia="Arial MT" w:hAnsi="Verdana" w:cs="Arial MT"/>
          <w:lang w:val="es-ES" w:eastAsia="es-ES"/>
        </w:rPr>
        <w:t xml:space="preserve"> </w:t>
      </w:r>
      <w:r w:rsidRPr="00F62967">
        <w:rPr>
          <w:rFonts w:ascii="Verdana" w:hAnsi="Verdana" w:cs="Arial"/>
        </w:rPr>
        <w:t xml:space="preserve">así como lo establecido en el artículo 4 de la Resolución 1707 de 2018 expedida por esta Entidad, </w:t>
      </w:r>
      <w:r w:rsidRPr="00F62967">
        <w:rPr>
          <w:rFonts w:ascii="Verdana" w:eastAsia="Calibri" w:hAnsi="Verdana" w:cs="Arial"/>
          <w:lang w:val="es-ES" w:eastAsia="es-ES"/>
        </w:rPr>
        <w:t xml:space="preserve">la Agencia Nacional de Contratación Pública – Colombia Compra Eficiente – responde su solicitud de consulta, </w:t>
      </w:r>
      <w:r w:rsidR="00677BC5" w:rsidRPr="00F62967">
        <w:rPr>
          <w:rFonts w:ascii="Verdana" w:eastAsia="Calibri" w:hAnsi="Verdana" w:cs="Arial"/>
          <w:lang w:val="es-ES" w:eastAsia="es-ES"/>
        </w:rPr>
        <w:t>d</w:t>
      </w:r>
      <w:r w:rsidRPr="00F62967">
        <w:rPr>
          <w:rFonts w:ascii="Verdana" w:eastAsia="Calibri" w:hAnsi="Verdana" w:cs="Arial"/>
          <w:lang w:val="es-ES" w:eastAsia="es-ES"/>
        </w:rPr>
        <w:t xml:space="preserve">el </w:t>
      </w:r>
      <w:r w:rsidR="00645326" w:rsidRPr="00F62967">
        <w:rPr>
          <w:rFonts w:ascii="Verdana" w:eastAsia="Calibri" w:hAnsi="Verdana" w:cs="Arial"/>
          <w:lang w:val="es-ES" w:eastAsia="es-ES"/>
        </w:rPr>
        <w:t>12</w:t>
      </w:r>
      <w:r w:rsidR="00677BC5" w:rsidRPr="00F62967">
        <w:rPr>
          <w:rFonts w:ascii="Verdana" w:eastAsia="Calibri" w:hAnsi="Verdana" w:cs="Arial"/>
          <w:lang w:val="es-ES" w:eastAsia="es-ES"/>
        </w:rPr>
        <w:t xml:space="preserve"> de </w:t>
      </w:r>
      <w:r w:rsidR="00D818FA" w:rsidRPr="00F62967">
        <w:rPr>
          <w:rFonts w:ascii="Verdana" w:eastAsia="Calibri" w:hAnsi="Verdana" w:cs="Arial"/>
          <w:lang w:val="es-ES" w:eastAsia="es-ES"/>
        </w:rPr>
        <w:t xml:space="preserve">septiembre </w:t>
      </w:r>
      <w:r w:rsidRPr="00F62967">
        <w:rPr>
          <w:rFonts w:ascii="Verdana" w:eastAsia="Calibri" w:hAnsi="Verdana" w:cs="Arial"/>
          <w:lang w:val="es-ES" w:eastAsia="es-ES"/>
        </w:rPr>
        <w:t xml:space="preserve">de 2024, en la cual manifiesta lo siguiente: </w:t>
      </w:r>
    </w:p>
    <w:p w14:paraId="583A34EA" w14:textId="77777777" w:rsidR="00D818FA" w:rsidRPr="00F62967" w:rsidRDefault="00D818FA" w:rsidP="00D818FA">
      <w:pPr>
        <w:spacing w:after="0" w:line="240" w:lineRule="auto"/>
        <w:ind w:left="709" w:right="709"/>
        <w:jc w:val="both"/>
        <w:rPr>
          <w:rFonts w:ascii="Verdana" w:eastAsia="Century Gothic" w:hAnsi="Verdana" w:cs="Century Gothic"/>
          <w:sz w:val="20"/>
          <w:szCs w:val="20"/>
          <w:lang w:val="es-ES"/>
        </w:rPr>
      </w:pPr>
      <w:bookmarkStart w:id="2" w:name="_Hlk95313578"/>
    </w:p>
    <w:p w14:paraId="3B65E0D1" w14:textId="5DCBAEEA" w:rsidR="00D818FA" w:rsidRPr="00F62967" w:rsidRDefault="00D818FA" w:rsidP="00645326">
      <w:pPr>
        <w:spacing w:after="0" w:line="240" w:lineRule="auto"/>
        <w:ind w:left="709" w:right="709"/>
        <w:jc w:val="both"/>
        <w:rPr>
          <w:rFonts w:ascii="Verdana" w:eastAsia="Century Gothic" w:hAnsi="Verdana" w:cs="Century Gothic"/>
          <w:sz w:val="20"/>
          <w:szCs w:val="20"/>
          <w:lang w:val="es-ES"/>
        </w:rPr>
      </w:pPr>
      <w:r w:rsidRPr="00F62967">
        <w:rPr>
          <w:rFonts w:ascii="Verdana" w:eastAsia="Century Gothic" w:hAnsi="Verdana" w:cs="Century Gothic"/>
          <w:sz w:val="20"/>
          <w:szCs w:val="20"/>
          <w:lang w:val="es-ES"/>
        </w:rPr>
        <w:t>“</w:t>
      </w:r>
      <w:r w:rsidR="00645326" w:rsidRPr="00F62967">
        <w:rPr>
          <w:rFonts w:ascii="Verdana" w:eastAsia="Century Gothic" w:hAnsi="Verdana" w:cs="Century Gothic"/>
          <w:sz w:val="20"/>
          <w:szCs w:val="20"/>
          <w:lang w:val="es-ES"/>
        </w:rPr>
        <w:t xml:space="preserve">Concepto </w:t>
      </w:r>
      <w:proofErr w:type="spellStart"/>
      <w:r w:rsidR="00645326" w:rsidRPr="00F62967">
        <w:rPr>
          <w:rFonts w:ascii="Verdana" w:eastAsia="Century Gothic" w:hAnsi="Verdana" w:cs="Century Gothic"/>
          <w:sz w:val="20"/>
          <w:szCs w:val="20"/>
          <w:lang w:val="es-ES"/>
        </w:rPr>
        <w:t>juridico</w:t>
      </w:r>
      <w:proofErr w:type="spellEnd"/>
      <w:r w:rsidR="00645326" w:rsidRPr="00F62967">
        <w:rPr>
          <w:rFonts w:ascii="Verdana" w:eastAsia="Century Gothic" w:hAnsi="Verdana" w:cs="Century Gothic"/>
          <w:sz w:val="20"/>
          <w:szCs w:val="20"/>
          <w:lang w:val="es-ES"/>
        </w:rPr>
        <w:t xml:space="preserve"> sobre imposición de fecha inicio y finalización contratos persona natural por parte de la entidad a los supervisores </w:t>
      </w:r>
      <w:proofErr w:type="gramStart"/>
      <w:r w:rsidR="00645326" w:rsidRPr="00F62967">
        <w:rPr>
          <w:rFonts w:ascii="Verdana" w:eastAsia="Century Gothic" w:hAnsi="Verdana" w:cs="Century Gothic"/>
          <w:sz w:val="20"/>
          <w:szCs w:val="20"/>
          <w:lang w:val="es-ES"/>
        </w:rPr>
        <w:t>designados</w:t>
      </w:r>
      <w:r w:rsidRPr="00F62967">
        <w:rPr>
          <w:rStyle w:val="normaltextrun"/>
          <w:rFonts w:ascii="Verdana" w:hAnsi="Verdana" w:cs="Arial"/>
          <w:sz w:val="20"/>
          <w:szCs w:val="20"/>
          <w:shd w:val="clear" w:color="auto" w:fill="FFFFFF"/>
          <w:lang w:val="es-ES"/>
        </w:rPr>
        <w:t>[</w:t>
      </w:r>
      <w:proofErr w:type="gramEnd"/>
      <w:r w:rsidRPr="00F62967">
        <w:rPr>
          <w:rStyle w:val="normaltextrun"/>
          <w:rFonts w:ascii="Verdana" w:hAnsi="Verdana" w:cs="Arial"/>
          <w:sz w:val="20"/>
          <w:szCs w:val="20"/>
          <w:shd w:val="clear" w:color="auto" w:fill="FFFFFF"/>
          <w:lang w:val="es-ES"/>
        </w:rPr>
        <w:t>…]</w:t>
      </w:r>
      <w:r w:rsidRPr="00F62967">
        <w:rPr>
          <w:rFonts w:ascii="Verdana" w:eastAsia="Century Gothic" w:hAnsi="Verdana" w:cs="Century Gothic"/>
          <w:sz w:val="20"/>
          <w:szCs w:val="20"/>
          <w:lang w:val="es-ES"/>
        </w:rPr>
        <w:t>”</w:t>
      </w:r>
      <w:bookmarkEnd w:id="2"/>
      <w:r w:rsidRPr="00F62967">
        <w:rPr>
          <w:rFonts w:ascii="Verdana" w:eastAsia="Century Gothic" w:hAnsi="Verdana" w:cs="Century Gothic"/>
          <w:sz w:val="20"/>
          <w:szCs w:val="20"/>
          <w:lang w:val="es-ES"/>
        </w:rPr>
        <w:t>.</w:t>
      </w:r>
    </w:p>
    <w:p w14:paraId="2CA3CE86" w14:textId="77777777" w:rsidR="00677BC5" w:rsidRPr="00F62967" w:rsidRDefault="00677BC5" w:rsidP="00677BC5">
      <w:pPr>
        <w:pStyle w:val="Prrafodelista"/>
        <w:tabs>
          <w:tab w:val="left" w:pos="142"/>
          <w:tab w:val="left" w:pos="284"/>
        </w:tabs>
        <w:spacing w:after="0" w:line="276" w:lineRule="auto"/>
        <w:jc w:val="both"/>
        <w:rPr>
          <w:rFonts w:ascii="Verdana" w:eastAsia="Century Gothic" w:hAnsi="Verdana" w:cs="Century Gothic"/>
          <w:b/>
          <w:bCs/>
        </w:rPr>
      </w:pPr>
    </w:p>
    <w:p w14:paraId="7DA69962" w14:textId="77777777" w:rsidR="00B2670E" w:rsidRPr="00F62967" w:rsidRDefault="004C0691" w:rsidP="00BC3155">
      <w:pPr>
        <w:spacing w:after="120" w:line="276" w:lineRule="auto"/>
        <w:jc w:val="both"/>
        <w:rPr>
          <w:rFonts w:ascii="Verdana" w:eastAsia="Calibri" w:hAnsi="Verdana" w:cs="Arial"/>
          <w:lang w:val="es-ES_tradnl" w:eastAsia="es-ES_tradnl"/>
        </w:rPr>
      </w:pPr>
      <w:r w:rsidRPr="00F62967">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w:t>
      </w:r>
      <w:r w:rsidRPr="00F62967">
        <w:rPr>
          <w:rFonts w:ascii="Verdana" w:eastAsia="Calibri" w:hAnsi="Verdana" w:cs="Arial"/>
          <w:lang w:val="es-ES" w:eastAsia="es-ES"/>
        </w:rPr>
        <w:lastRenderedPageBreak/>
        <w:t xml:space="preserve">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62967">
        <w:rPr>
          <w:rFonts w:ascii="Verdana" w:eastAsia="Calibri" w:hAnsi="Verdana" w:cs="Arial"/>
          <w:lang w:val="es-ES_tradnl" w:eastAsia="es-ES_tradnl"/>
        </w:rPr>
        <w:tab/>
      </w:r>
    </w:p>
    <w:p w14:paraId="5BA75627" w14:textId="77777777" w:rsidR="004C0691" w:rsidRPr="00F62967" w:rsidRDefault="004C0691" w:rsidP="00B2670E">
      <w:pPr>
        <w:spacing w:after="0" w:line="276" w:lineRule="auto"/>
        <w:ind w:firstLine="708"/>
        <w:jc w:val="both"/>
        <w:rPr>
          <w:rFonts w:ascii="Verdana" w:eastAsia="Calibri" w:hAnsi="Verdana" w:cs="Arial"/>
          <w:lang w:val="es-ES_tradnl" w:eastAsia="es-ES_tradnl"/>
        </w:rPr>
      </w:pPr>
      <w:r w:rsidRPr="00F62967">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3DA0EB83" w14:textId="77777777" w:rsidR="004C0691" w:rsidRPr="00F62967" w:rsidRDefault="004C0691" w:rsidP="004C0691">
      <w:pPr>
        <w:spacing w:after="0" w:line="276" w:lineRule="auto"/>
        <w:ind w:firstLine="709"/>
        <w:jc w:val="both"/>
        <w:rPr>
          <w:rFonts w:ascii="Verdana" w:eastAsia="Calibri" w:hAnsi="Verdana" w:cs="Arial"/>
          <w:lang w:val="es-ES" w:eastAsia="es-ES"/>
        </w:rPr>
      </w:pPr>
    </w:p>
    <w:p w14:paraId="6177D628" w14:textId="77777777" w:rsidR="004C0691" w:rsidRPr="00F62967" w:rsidRDefault="004C0691" w:rsidP="004C069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62967">
        <w:rPr>
          <w:rFonts w:ascii="Verdana" w:eastAsia="Century Gothic" w:hAnsi="Verdana" w:cs="Century Gothic"/>
          <w:b/>
          <w:bCs/>
        </w:rPr>
        <w:t>Problema planteado:</w:t>
      </w:r>
    </w:p>
    <w:p w14:paraId="4D5FA701" w14:textId="77777777" w:rsidR="004C0691" w:rsidRPr="00F62967" w:rsidRDefault="004C0691" w:rsidP="004C0691">
      <w:pPr>
        <w:tabs>
          <w:tab w:val="left" w:pos="426"/>
        </w:tabs>
        <w:spacing w:after="0" w:line="276" w:lineRule="auto"/>
        <w:jc w:val="both"/>
        <w:rPr>
          <w:rFonts w:ascii="Verdana" w:eastAsia="Century Gothic" w:hAnsi="Verdana" w:cs="Century Gothic"/>
          <w:lang w:val="es-ES"/>
        </w:rPr>
      </w:pPr>
    </w:p>
    <w:p w14:paraId="54D69431" w14:textId="12FDCC31" w:rsidR="004C0691" w:rsidRDefault="004C0691" w:rsidP="004C0691">
      <w:pPr>
        <w:spacing w:after="0" w:line="276" w:lineRule="auto"/>
        <w:jc w:val="both"/>
        <w:rPr>
          <w:rFonts w:ascii="Verdana" w:eastAsia="Century Gothic" w:hAnsi="Verdana" w:cs="Century Gothic"/>
        </w:rPr>
      </w:pPr>
      <w:r w:rsidRPr="00F62967">
        <w:rPr>
          <w:rFonts w:ascii="Verdana" w:eastAsia="Century Gothic" w:hAnsi="Verdana" w:cs="Century Gothic"/>
        </w:rPr>
        <w:t xml:space="preserve">De acuerdo con el contenido de su solicitud, esta Agencia resolverá los siguientes problemas jurídicos: </w:t>
      </w:r>
      <w:r w:rsidR="000B668E" w:rsidRPr="000B668E">
        <w:rPr>
          <w:rFonts w:ascii="Verdana" w:eastAsia="Century Gothic" w:hAnsi="Verdana" w:cs="Century Gothic"/>
        </w:rPr>
        <w:t xml:space="preserve">¿Quién define el plazo contractual en un contrato de prestación de </w:t>
      </w:r>
      <w:proofErr w:type="gramStart"/>
      <w:r w:rsidR="000B668E" w:rsidRPr="000B668E">
        <w:rPr>
          <w:rFonts w:ascii="Verdana" w:eastAsia="Century Gothic" w:hAnsi="Verdana" w:cs="Century Gothic"/>
        </w:rPr>
        <w:t>servicios ?</w:t>
      </w:r>
      <w:proofErr w:type="gramEnd"/>
    </w:p>
    <w:p w14:paraId="1FB8E497" w14:textId="77777777" w:rsidR="000B668E" w:rsidRPr="00F62967" w:rsidRDefault="000B668E" w:rsidP="004C0691">
      <w:pPr>
        <w:spacing w:after="0" w:line="276" w:lineRule="auto"/>
        <w:jc w:val="both"/>
        <w:rPr>
          <w:rFonts w:ascii="Verdana" w:eastAsia="Calibri" w:hAnsi="Verdana" w:cs="Arial"/>
          <w:lang w:val="es-ES"/>
        </w:rPr>
      </w:pPr>
    </w:p>
    <w:p w14:paraId="46FFF078" w14:textId="77777777" w:rsidR="004C0691" w:rsidRPr="00F62967" w:rsidRDefault="004C0691" w:rsidP="004C069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62967">
        <w:rPr>
          <w:rFonts w:ascii="Verdana" w:eastAsia="Century Gothic" w:hAnsi="Verdana" w:cs="Century Gothic"/>
          <w:b/>
          <w:bCs/>
        </w:rPr>
        <w:t>Respuesta:</w:t>
      </w:r>
    </w:p>
    <w:p w14:paraId="63B90F2C" w14:textId="77777777" w:rsidR="004C0691" w:rsidRPr="00F62967" w:rsidRDefault="004C0691" w:rsidP="004C0691">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C0691" w:rsidRPr="00F62967" w14:paraId="54D39579" w14:textId="77777777" w:rsidTr="002D7ACD">
        <w:tc>
          <w:tcPr>
            <w:tcW w:w="8828" w:type="dxa"/>
          </w:tcPr>
          <w:p w14:paraId="6295BBB7" w14:textId="39445848" w:rsidR="00645326" w:rsidRDefault="00645326" w:rsidP="00645326">
            <w:pPr>
              <w:spacing w:before="120" w:line="276" w:lineRule="auto"/>
              <w:jc w:val="both"/>
              <w:rPr>
                <w:rFonts w:ascii="Verdana" w:eastAsia="Century Gothic" w:hAnsi="Verdana" w:cs="Century Gothic"/>
              </w:rPr>
            </w:pPr>
            <w:r w:rsidRPr="00F62967">
              <w:rPr>
                <w:rFonts w:ascii="Verdana" w:eastAsia="Century Gothic" w:hAnsi="Verdana" w:cs="Century Gothic"/>
              </w:rPr>
              <w:t xml:space="preserve">Resulta a bien resaltar la autonomía de las entidades públicas para estructurar los estudios previos, siempre y cuando observen los aspectos que estos deben contener, de conformidad con los artículos 2.2.1.1.1.6.1, 2.2.1.1.2.1.1 y 2.2.1.2.1.4.9 del Decreto 1082 de 2015. </w:t>
            </w:r>
          </w:p>
          <w:p w14:paraId="061412AC" w14:textId="4FD6A1E8" w:rsidR="00112AEB" w:rsidRDefault="00112AEB" w:rsidP="00645326">
            <w:pPr>
              <w:spacing w:before="120" w:line="276" w:lineRule="auto"/>
              <w:jc w:val="both"/>
              <w:rPr>
                <w:rFonts w:ascii="Verdana" w:eastAsia="Century Gothic" w:hAnsi="Verdana" w:cs="Century Gothic"/>
              </w:rPr>
            </w:pPr>
            <w:r w:rsidRPr="00112AEB">
              <w:rPr>
                <w:rFonts w:ascii="Verdana" w:eastAsia="Century Gothic" w:hAnsi="Verdana" w:cs="Century Gothic"/>
              </w:rPr>
              <w:t>A partir de las disposiciones citadas, así como de la reciente Sentencia de Unificación Jurisprudencial del 9 de septiembre de 2021, proferida por el Consejo de Estado</w:t>
            </w:r>
            <w:r w:rsidRPr="00F62967">
              <w:rPr>
                <w:rFonts w:ascii="Verdana" w:eastAsia="Calibri" w:hAnsi="Verdana"/>
                <w:bCs/>
                <w:vertAlign w:val="superscript"/>
                <w:lang w:val="es-ES_tradnl"/>
              </w:rPr>
              <w:footnoteReference w:id="2"/>
            </w:r>
            <w:r w:rsidRPr="00112AEB">
              <w:rPr>
                <w:rFonts w:ascii="Verdana" w:eastAsia="Century Gothic" w:hAnsi="Verdana" w:cs="Century Gothic"/>
              </w:rPr>
              <w:t xml:space="preserve">, entre otras características, determinó que los contratos de prestación de servicios deben ser temporales. La mencionada Sentencia de Unificación Jurisprudencial del Consejo de Estado, frente a la duración del contrato de prestación de servicios señaló que solo puede celebrarse por un “término estrictamente indispensable”. En ese entendido, se estableció el alcance del término “estrictamente indispensable” como “aquel que tiene lugar a la fase precontractual, pues es en esta donde la Entidad aproxima en función </w:t>
            </w:r>
            <w:r w:rsidRPr="00112AEB">
              <w:rPr>
                <w:rFonts w:ascii="Verdana" w:eastAsia="Century Gothic" w:hAnsi="Verdana" w:cs="Century Gothic"/>
              </w:rPr>
              <w:lastRenderedPageBreak/>
              <w:t>del objeto a contratar y de los recursos disponibles, el tiempo de vigencia máximo que estima “imprescindible” para su ejecución”</w:t>
            </w:r>
          </w:p>
          <w:p w14:paraId="34BA7431" w14:textId="245864CA" w:rsidR="00112AEB" w:rsidRPr="00F62967" w:rsidRDefault="0014304D" w:rsidP="00645326">
            <w:pPr>
              <w:spacing w:before="120" w:line="276" w:lineRule="auto"/>
              <w:jc w:val="both"/>
              <w:rPr>
                <w:rFonts w:ascii="Verdana" w:eastAsia="Century Gothic" w:hAnsi="Verdana" w:cs="Century Gothic"/>
              </w:rPr>
            </w:pPr>
            <w:r>
              <w:rPr>
                <w:rFonts w:ascii="Verdana" w:eastAsia="Century Gothic" w:hAnsi="Verdana" w:cs="Century Gothic"/>
              </w:rPr>
              <w:t xml:space="preserve">    </w:t>
            </w:r>
            <w:r w:rsidRPr="0014304D">
              <w:rPr>
                <w:rFonts w:ascii="Verdana" w:eastAsia="Century Gothic" w:hAnsi="Verdana" w:cs="Century Gothic"/>
              </w:rPr>
              <w:t>De igual forma, señaló que “la vigencia del contrato debe ser por el tiempo necesario para ejecutar el objeto contractual convenido, y este debe estar sujeto al principio de planeación, que encuentra su manifestación práctica en la elaboración de los</w:t>
            </w:r>
            <w:r w:rsidR="002A5233">
              <w:rPr>
                <w:rFonts w:ascii="Verdana" w:eastAsia="Century Gothic" w:hAnsi="Verdana" w:cs="Century Gothic"/>
              </w:rPr>
              <w:t xml:space="preserve"> </w:t>
            </w:r>
            <w:r w:rsidR="002A5233" w:rsidRPr="002A5233">
              <w:rPr>
                <w:rFonts w:ascii="Verdana" w:eastAsia="Century Gothic" w:hAnsi="Verdana" w:cs="Century Gothic"/>
              </w:rPr>
              <w:t>estudios previos a la celebración del negocio jurídico, pues es allí donde deberán quedar motivadas con suficiencia las razones que justifiquen que la Administración recurra a un contrato de prestación de servicios”. Sin embargo, teniendo en cuenta las particularidades del objeto a contratar, el cual deberá identificarse y justificarse en dichos estudios, las entidades públicas en virtud del principio de autonomía de la voluntad y con el fin de garantizar la eficacia de los principios rectores de la administración pública y los de gestión fiscal, podrán estipular las condiciones en las que este deba ejecutarse</w:t>
            </w:r>
            <w:r w:rsidR="002A5233">
              <w:rPr>
                <w:rFonts w:ascii="Verdana" w:eastAsia="Century Gothic" w:hAnsi="Verdana" w:cs="Century Gothic"/>
              </w:rPr>
              <w:t>.</w:t>
            </w:r>
          </w:p>
          <w:p w14:paraId="474C768D" w14:textId="5BD702DD" w:rsidR="00645326" w:rsidRPr="00F62967" w:rsidRDefault="00645326" w:rsidP="00645326">
            <w:pPr>
              <w:spacing w:before="120" w:line="276" w:lineRule="auto"/>
              <w:jc w:val="both"/>
              <w:rPr>
                <w:rFonts w:ascii="Verdana" w:eastAsia="Century Gothic" w:hAnsi="Verdana" w:cs="Century Gothic"/>
              </w:rPr>
            </w:pPr>
            <w:r w:rsidRPr="00F62967">
              <w:rPr>
                <w:rFonts w:ascii="Verdana" w:eastAsia="Century Gothic" w:hAnsi="Verdana" w:cs="Century Gothic"/>
              </w:rPr>
              <w:t xml:space="preserve">En todo caso, tratándose contratos de prestación de servicios, los estudios previos deben entrar a justificar las particularidades del objeto contractual de cara a la satisfacción de la necesidad de la Entidad Estatal en atención a la cual se requiere el respectivo contrato. De esto dependerán las regulaciones que se establezcan en la minuta del contrato en cuanto a la temporalidad, pago y demás asuntos relevantes del negocio jurídico, que, sin perjuicio de estar mediados por la autonomía de la voluntad de las partes para establecer las condiciones del contrato, deben tener una justificación expresada en los estudios y documentos previos. </w:t>
            </w:r>
          </w:p>
          <w:p w14:paraId="071F3F7F" w14:textId="75EAAF1A" w:rsidR="00D818FA" w:rsidRPr="00F62967" w:rsidRDefault="00D818FA" w:rsidP="00D818FA">
            <w:pPr>
              <w:spacing w:line="276" w:lineRule="auto"/>
              <w:jc w:val="both"/>
              <w:rPr>
                <w:rFonts w:ascii="Verdana" w:eastAsia="Calibri" w:hAnsi="Verdana" w:cs="Arial"/>
                <w:color w:val="000000" w:themeColor="text1"/>
              </w:rPr>
            </w:pPr>
            <w:r w:rsidRPr="00F62967">
              <w:rPr>
                <w:rFonts w:ascii="Verdana" w:eastAsia="Calibri" w:hAnsi="Verdana" w:cs="Arial"/>
                <w:color w:val="000000" w:themeColor="text1"/>
              </w:rPr>
              <w:t xml:space="preserve"> </w:t>
            </w:r>
          </w:p>
        </w:tc>
      </w:tr>
    </w:tbl>
    <w:p w14:paraId="541A257A" w14:textId="77777777" w:rsidR="004C0691" w:rsidRPr="00F62967" w:rsidRDefault="004C0691" w:rsidP="004C0691">
      <w:pPr>
        <w:tabs>
          <w:tab w:val="left" w:pos="142"/>
          <w:tab w:val="left" w:pos="284"/>
        </w:tabs>
        <w:spacing w:after="0" w:line="276" w:lineRule="auto"/>
        <w:jc w:val="both"/>
        <w:rPr>
          <w:rFonts w:ascii="Verdana" w:eastAsia="Century Gothic" w:hAnsi="Verdana" w:cs="Century Gothic"/>
          <w:b/>
          <w:bCs/>
        </w:rPr>
      </w:pPr>
    </w:p>
    <w:p w14:paraId="0A1CA4C5" w14:textId="77777777" w:rsidR="004C0691" w:rsidRPr="00F62967" w:rsidRDefault="004C0691" w:rsidP="004C069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62967">
        <w:rPr>
          <w:rFonts w:ascii="Verdana" w:eastAsia="Century Gothic" w:hAnsi="Verdana" w:cs="Century Gothic"/>
          <w:b/>
          <w:bCs/>
        </w:rPr>
        <w:t>Razones de la respuesta:</w:t>
      </w:r>
    </w:p>
    <w:p w14:paraId="07E9DF2E" w14:textId="77777777" w:rsidR="004C0691" w:rsidRPr="00F62967" w:rsidRDefault="004C0691" w:rsidP="004C0691">
      <w:pPr>
        <w:spacing w:after="0" w:line="276" w:lineRule="auto"/>
        <w:jc w:val="both"/>
        <w:rPr>
          <w:rFonts w:ascii="Verdana" w:eastAsia="Calibri" w:hAnsi="Verdana" w:cs="Arial"/>
          <w:color w:val="7030A0"/>
          <w:lang w:val="es-ES"/>
        </w:rPr>
      </w:pPr>
    </w:p>
    <w:p w14:paraId="3223915F" w14:textId="77777777" w:rsidR="004C0691" w:rsidRPr="00F62967" w:rsidRDefault="004C0691" w:rsidP="004C0691">
      <w:pPr>
        <w:spacing w:after="0" w:line="276" w:lineRule="auto"/>
        <w:jc w:val="both"/>
        <w:rPr>
          <w:rFonts w:ascii="Verdana" w:eastAsia="Calibri" w:hAnsi="Verdana" w:cs="Arial"/>
          <w:lang w:val="es-ES"/>
        </w:rPr>
      </w:pPr>
      <w:r w:rsidRPr="00F62967">
        <w:rPr>
          <w:rFonts w:ascii="Verdana" w:eastAsia="Calibri" w:hAnsi="Verdana" w:cs="Arial"/>
          <w:lang w:val="es-ES"/>
        </w:rPr>
        <w:t xml:space="preserve">Lo anterior se sustenta en las siguientes consideraciones: </w:t>
      </w:r>
    </w:p>
    <w:p w14:paraId="198CC30E" w14:textId="77777777" w:rsidR="004C0691" w:rsidRPr="00F62967" w:rsidRDefault="004C0691" w:rsidP="004C0691">
      <w:pPr>
        <w:spacing w:after="0" w:line="276" w:lineRule="auto"/>
        <w:jc w:val="both"/>
        <w:rPr>
          <w:rFonts w:ascii="Verdana" w:eastAsia="Calibri" w:hAnsi="Verdana" w:cs="Arial"/>
          <w:color w:val="7030A0"/>
          <w:lang w:val="es-ES"/>
        </w:rPr>
      </w:pPr>
    </w:p>
    <w:p w14:paraId="0CFFC025" w14:textId="77777777" w:rsidR="00645326" w:rsidRPr="00F62967" w:rsidRDefault="00645326" w:rsidP="00645326">
      <w:pPr>
        <w:pStyle w:val="Prrafodelista"/>
        <w:numPr>
          <w:ilvl w:val="0"/>
          <w:numId w:val="26"/>
        </w:numPr>
        <w:spacing w:after="0" w:line="276" w:lineRule="auto"/>
        <w:jc w:val="both"/>
        <w:rPr>
          <w:rFonts w:ascii="Verdana" w:eastAsia="Times New Roman" w:hAnsi="Verdana" w:cs="Arial"/>
          <w:color w:val="000000"/>
          <w:szCs w:val="24"/>
          <w:lang w:val="es-ES_tradnl" w:eastAsia="es-ES_tradnl"/>
        </w:rPr>
      </w:pPr>
      <w:r w:rsidRPr="00F62967">
        <w:rPr>
          <w:rFonts w:ascii="Verdana" w:eastAsia="Times New Roman" w:hAnsi="Verdana" w:cs="Arial"/>
          <w:color w:val="000000"/>
          <w:szCs w:val="24"/>
          <w:lang w:val="es-ES_tradnl" w:eastAsia="es-ES_tradnl"/>
        </w:rPr>
        <w:t xml:space="preserve">La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 disponibilidad, oferentes, etc. Lo anterior con la finalidad de realizar la </w:t>
      </w:r>
      <w:r w:rsidRPr="00F62967">
        <w:rPr>
          <w:rFonts w:ascii="Verdana" w:eastAsia="Times New Roman" w:hAnsi="Verdana" w:cs="Arial"/>
          <w:color w:val="000000"/>
          <w:szCs w:val="24"/>
          <w:lang w:val="es-ES_tradnl" w:eastAsia="es-ES_tradnl"/>
        </w:rPr>
        <w:lastRenderedPageBreak/>
        <w:t>escogencia diligente de la mejor oferta, para beneficiar los intereses y fines públicos inmersos en la contratación de las entidades públicas.</w:t>
      </w:r>
    </w:p>
    <w:p w14:paraId="4A7AF972" w14:textId="77777777" w:rsidR="00645326" w:rsidRPr="00F62967" w:rsidRDefault="00645326" w:rsidP="00645326">
      <w:pPr>
        <w:pStyle w:val="Prrafodelista"/>
        <w:numPr>
          <w:ilvl w:val="0"/>
          <w:numId w:val="26"/>
        </w:numPr>
        <w:spacing w:before="120" w:after="0" w:line="276" w:lineRule="auto"/>
        <w:jc w:val="both"/>
        <w:rPr>
          <w:rFonts w:ascii="Verdana" w:eastAsia="Times New Roman" w:hAnsi="Verdana" w:cs="Arial"/>
          <w:color w:val="000000"/>
          <w:szCs w:val="24"/>
          <w:lang w:val="es-ES_tradnl" w:eastAsia="es-ES_tradnl"/>
        </w:rPr>
      </w:pPr>
      <w:r w:rsidRPr="00F62967">
        <w:rPr>
          <w:rFonts w:ascii="Verdana" w:eastAsia="Times New Roman" w:hAnsi="Verdana" w:cs="Arial"/>
          <w:color w:val="000000"/>
          <w:szCs w:val="24"/>
          <w:lang w:val="es-ES_tradnl" w:eastAsia="es-ES_tradnl"/>
        </w:rPr>
        <w:t>El Estatuto General de Contratación de la Administración Pública contiene disposiciones que exigen a las Entidades Estatales el deber de realizar actividades de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 En relación con el valor del futuro contrato y su correlativo respaldo presupuestal, se tienen, por ejemplo, las siguientes reglas derivadas de la aplicación del principio de economía previsto en el artículo 25 de la Ley 80 de 1993.</w:t>
      </w:r>
    </w:p>
    <w:p w14:paraId="6AC0787B" w14:textId="77777777" w:rsidR="00645326" w:rsidRPr="00F62967" w:rsidRDefault="00645326" w:rsidP="00645326">
      <w:pPr>
        <w:spacing w:after="0" w:line="276" w:lineRule="auto"/>
        <w:jc w:val="both"/>
        <w:rPr>
          <w:rFonts w:ascii="Verdana" w:eastAsia="Times New Roman" w:hAnsi="Verdana" w:cs="Arial"/>
          <w:color w:val="000000"/>
          <w:szCs w:val="24"/>
          <w:lang w:val="es-ES_tradnl" w:eastAsia="es-ES_tradnl"/>
        </w:rPr>
      </w:pPr>
    </w:p>
    <w:p w14:paraId="74DB005D" w14:textId="77777777" w:rsidR="00645326" w:rsidRPr="00F62967" w:rsidRDefault="00645326" w:rsidP="00F62967">
      <w:pPr>
        <w:pStyle w:val="Prrafodelista"/>
        <w:spacing w:after="0" w:line="240" w:lineRule="auto"/>
        <w:ind w:right="709"/>
        <w:jc w:val="both"/>
        <w:rPr>
          <w:rFonts w:ascii="Verdana" w:eastAsia="Times New Roman" w:hAnsi="Verdana" w:cs="Arial"/>
          <w:color w:val="000000"/>
          <w:sz w:val="21"/>
          <w:szCs w:val="21"/>
          <w:lang w:val="es-ES_tradnl" w:eastAsia="es-ES_tradnl"/>
        </w:rPr>
      </w:pPr>
      <w:r w:rsidRPr="00F62967">
        <w:rPr>
          <w:rFonts w:ascii="Verdana" w:eastAsia="Times New Roman" w:hAnsi="Verdana" w:cs="Arial"/>
          <w:color w:val="000000"/>
          <w:sz w:val="21"/>
          <w:szCs w:val="21"/>
          <w:lang w:val="es-ES_tradnl" w:eastAsia="es-ES_tradnl"/>
        </w:rPr>
        <w:t>“7. La conveniencia o inconveniencia del objeto a contratar y las autorizaciones y aprobaciones para ello, se analizarán o impartirán con antelación al inicio del proceso de selección del contratista o al de la firma del contrato, según el caso.</w:t>
      </w:r>
    </w:p>
    <w:p w14:paraId="10A9EF64" w14:textId="77777777" w:rsidR="00645326" w:rsidRPr="00F62967" w:rsidRDefault="00645326" w:rsidP="00F62967">
      <w:pPr>
        <w:pStyle w:val="Prrafodelista"/>
        <w:spacing w:before="120" w:after="0" w:line="240" w:lineRule="auto"/>
        <w:ind w:right="709"/>
        <w:jc w:val="both"/>
        <w:rPr>
          <w:rFonts w:ascii="Verdana" w:eastAsia="Times New Roman" w:hAnsi="Verdana" w:cs="Arial"/>
          <w:color w:val="000000"/>
          <w:sz w:val="21"/>
          <w:szCs w:val="21"/>
          <w:lang w:val="es-ES_tradnl" w:eastAsia="es-ES_tradnl"/>
        </w:rPr>
      </w:pPr>
      <w:r w:rsidRPr="00F62967">
        <w:rPr>
          <w:rFonts w:ascii="Verdana" w:eastAsia="Times New Roman" w:hAnsi="Verdana" w:cs="Arial"/>
          <w:color w:val="000000"/>
          <w:sz w:val="21"/>
          <w:szCs w:val="21"/>
          <w:lang w:val="es-ES_tradnl" w:eastAsia="es-ES_tradnl"/>
        </w:rPr>
        <w:t>[…]</w:t>
      </w:r>
    </w:p>
    <w:p w14:paraId="62518FB1" w14:textId="77777777" w:rsidR="00645326" w:rsidRPr="00F62967" w:rsidRDefault="00645326" w:rsidP="00F62967">
      <w:pPr>
        <w:pStyle w:val="Prrafodelista"/>
        <w:spacing w:before="120" w:after="0" w:line="240" w:lineRule="auto"/>
        <w:ind w:right="709"/>
        <w:jc w:val="both"/>
        <w:rPr>
          <w:rFonts w:ascii="Verdana" w:eastAsia="Times New Roman" w:hAnsi="Verdana" w:cs="Arial"/>
          <w:color w:val="000000"/>
          <w:sz w:val="21"/>
          <w:szCs w:val="21"/>
          <w:lang w:val="es-ES_tradnl" w:eastAsia="es-ES_tradnl"/>
        </w:rPr>
      </w:pPr>
      <w:r w:rsidRPr="00F62967">
        <w:rPr>
          <w:rFonts w:ascii="Verdana" w:eastAsia="Times New Roman" w:hAnsi="Verdana" w:cs="Arial"/>
          <w:color w:val="000000"/>
          <w:sz w:val="21"/>
          <w:szCs w:val="21"/>
          <w:lang w:val="es-ES_tradnl" w:eastAsia="es-ES_tradnl"/>
        </w:rPr>
        <w:t xml:space="preserve">12. Previo a la apertura de un proceso de selección, </w:t>
      </w:r>
      <w:r w:rsidRPr="00F62967">
        <w:rPr>
          <w:rFonts w:ascii="Verdana" w:eastAsia="Times New Roman" w:hAnsi="Verdana" w:cs="Arial"/>
          <w:i/>
          <w:iCs/>
          <w:color w:val="000000"/>
          <w:sz w:val="21"/>
          <w:szCs w:val="21"/>
          <w:u w:val="single"/>
          <w:lang w:val="es-ES_tradnl" w:eastAsia="es-ES_tradnl"/>
        </w:rPr>
        <w:t>o a la firma del contrato en el caso en que la modalidad de selección sea contratación directa,</w:t>
      </w:r>
      <w:r w:rsidRPr="00F62967">
        <w:rPr>
          <w:rFonts w:ascii="Verdana" w:eastAsia="Times New Roman" w:hAnsi="Verdana" w:cs="Arial"/>
          <w:color w:val="000000"/>
          <w:sz w:val="21"/>
          <w:szCs w:val="21"/>
          <w:lang w:val="es-ES_tradnl" w:eastAsia="es-ES_tradnl"/>
        </w:rPr>
        <w:t xml:space="preserve"> deberán elaborarse los estudios, diseños y proyectos requeridos, y los pliegos de condiciones, según corresponda. […]” [Énfasis fuera de texto]</w:t>
      </w:r>
    </w:p>
    <w:p w14:paraId="6E025443" w14:textId="77777777" w:rsidR="00645326" w:rsidRPr="00F62967" w:rsidRDefault="00645326" w:rsidP="00645326">
      <w:pPr>
        <w:spacing w:after="0" w:line="276" w:lineRule="auto"/>
        <w:ind w:firstLine="709"/>
        <w:jc w:val="both"/>
        <w:rPr>
          <w:rFonts w:ascii="Verdana" w:eastAsia="Times New Roman" w:hAnsi="Verdana" w:cs="Arial"/>
          <w:color w:val="000000"/>
          <w:szCs w:val="24"/>
          <w:lang w:val="es-ES_tradnl" w:eastAsia="es-ES_tradnl"/>
        </w:rPr>
      </w:pPr>
    </w:p>
    <w:p w14:paraId="6A677BCF" w14:textId="77777777" w:rsidR="00645326" w:rsidRPr="00F62967" w:rsidRDefault="00645326" w:rsidP="00645326">
      <w:pPr>
        <w:pStyle w:val="Prrafodelista"/>
        <w:numPr>
          <w:ilvl w:val="0"/>
          <w:numId w:val="26"/>
        </w:numPr>
        <w:spacing w:after="0" w:line="276" w:lineRule="auto"/>
        <w:jc w:val="both"/>
        <w:rPr>
          <w:rFonts w:ascii="Verdana" w:eastAsia="Times New Roman" w:hAnsi="Verdana" w:cs="Arial"/>
          <w:color w:val="000000"/>
          <w:szCs w:val="24"/>
          <w:lang w:val="es-ES_tradnl" w:eastAsia="es-ES_tradnl"/>
        </w:rPr>
      </w:pPr>
      <w:r w:rsidRPr="00F62967">
        <w:rPr>
          <w:rFonts w:ascii="Verdana" w:eastAsia="Times New Roman" w:hAnsi="Verdana" w:cs="Arial"/>
          <w:color w:val="000000"/>
          <w:szCs w:val="24"/>
          <w:lang w:val="es-ES_tradnl" w:eastAsia="es-ES_tradnl"/>
        </w:rPr>
        <w:t>Lo anterior le permitirá a la Entidad Estatal identificar desde el punto de vista técnico y financiero el objeto del contrato, las particularidades de su ejecución, los potenciales proponentes, requisitos mínimos para evaluar la idoneidad del contratista, así como analizar todas las variables que puedan afectar el procedimiento de selección, celebración y ejecución del contrato. Tal es la importancia de los estudios y documentos previos que su deficiencia o ausencia, “genera prácticas indebidas, revocatoria de actos administrativos de apertura, declaratorias de desierta de procesos de selección, comisión de faltas disciplinarias, mayores costos o mayor permanencia de la obra y, en general, el fracaso en la ejecución de contratos estatales”</w:t>
      </w:r>
      <w:r w:rsidRPr="00F62967">
        <w:rPr>
          <w:rFonts w:ascii="Verdana" w:hAnsi="Verdana"/>
          <w:vertAlign w:val="superscript"/>
        </w:rPr>
        <w:footnoteReference w:id="3"/>
      </w:r>
      <w:r w:rsidRPr="00F62967">
        <w:rPr>
          <w:rFonts w:ascii="Verdana" w:eastAsia="Times New Roman" w:hAnsi="Verdana" w:cs="Arial"/>
          <w:color w:val="000000"/>
          <w:szCs w:val="24"/>
          <w:lang w:val="es-ES_tradnl" w:eastAsia="es-ES_tradnl"/>
        </w:rPr>
        <w:t>. En congruencia con el artículo 25 de la Ley 80 de 1993, el Decreto Único Reglamentario del Sector Administrativo de Planeación Nacional –Decreto 1082 de 2015–, dispone en el artículo 2.2.1.1.2.1.1 el contenido mínimo de los estudios y documentos previos:</w:t>
      </w:r>
    </w:p>
    <w:p w14:paraId="1F059C94" w14:textId="77777777" w:rsidR="00645326" w:rsidRPr="00F62967" w:rsidRDefault="00645326" w:rsidP="00645326">
      <w:pPr>
        <w:spacing w:after="0" w:line="276" w:lineRule="auto"/>
        <w:jc w:val="both"/>
        <w:rPr>
          <w:rFonts w:ascii="Verdana" w:eastAsia="Times New Roman" w:hAnsi="Verdana" w:cs="Arial"/>
          <w:color w:val="000000"/>
          <w:szCs w:val="24"/>
          <w:lang w:val="es-ES_tradnl" w:eastAsia="es-ES_tradnl"/>
        </w:rPr>
      </w:pPr>
    </w:p>
    <w:p w14:paraId="35548E37" w14:textId="77777777" w:rsidR="00645326" w:rsidRPr="00F62967" w:rsidRDefault="00645326" w:rsidP="00645326">
      <w:pPr>
        <w:pStyle w:val="Prrafodelista"/>
        <w:spacing w:after="0" w:line="240" w:lineRule="auto"/>
        <w:ind w:right="709"/>
        <w:jc w:val="both"/>
        <w:rPr>
          <w:rFonts w:ascii="Verdana" w:hAnsi="Verdana" w:cs="Arial"/>
          <w:sz w:val="21"/>
          <w:szCs w:val="21"/>
        </w:rPr>
      </w:pPr>
      <w:r w:rsidRPr="00F62967">
        <w:rPr>
          <w:rFonts w:ascii="Verdana" w:hAnsi="Verdana" w:cs="Arial"/>
          <w:sz w:val="21"/>
          <w:szCs w:val="21"/>
        </w:rPr>
        <w:t xml:space="preserve">“Artículo 2.2.1.1.2.1.1. Los estudios y documentos previos son el soporte para elaborar el proyecto de pliegos, los pliegos de condiciones y el contrato. Estos deben permanecer a disposición del público durante el desarrollo del Proceso de Contratación y contener los siguientes elementos, además de los indicados para cada modalidad de selección: </w:t>
      </w:r>
    </w:p>
    <w:p w14:paraId="07E0B385" w14:textId="41BD77A1" w:rsidR="00645326" w:rsidRPr="00F62967" w:rsidRDefault="00645326" w:rsidP="00645326">
      <w:pPr>
        <w:pStyle w:val="Prrafodelista"/>
        <w:spacing w:before="120" w:after="120" w:line="240" w:lineRule="auto"/>
        <w:ind w:right="709"/>
        <w:jc w:val="both"/>
        <w:rPr>
          <w:rFonts w:ascii="Verdana" w:hAnsi="Verdana" w:cs="Arial"/>
          <w:sz w:val="21"/>
          <w:szCs w:val="21"/>
        </w:rPr>
      </w:pPr>
      <w:r w:rsidRPr="00F62967">
        <w:rPr>
          <w:rFonts w:ascii="Verdana" w:hAnsi="Verdana" w:cs="Arial"/>
          <w:sz w:val="21"/>
          <w:szCs w:val="21"/>
        </w:rPr>
        <w:t xml:space="preserve">La descripción de la necesidad que la Entidad Estatal pretende satisfacer con el Proceso de Contratación. </w:t>
      </w:r>
      <w:r w:rsidRPr="00F62967">
        <w:rPr>
          <w:rFonts w:ascii="Arial" w:hAnsi="Arial" w:cs="Arial"/>
          <w:sz w:val="21"/>
          <w:szCs w:val="21"/>
        </w:rPr>
        <w:t>​</w:t>
      </w:r>
    </w:p>
    <w:p w14:paraId="52539922" w14:textId="2879B303" w:rsidR="00645326" w:rsidRPr="00F62967" w:rsidRDefault="00645326" w:rsidP="00645326">
      <w:pPr>
        <w:pStyle w:val="Prrafodelista"/>
        <w:spacing w:after="0" w:line="240" w:lineRule="auto"/>
        <w:ind w:right="709"/>
        <w:jc w:val="both"/>
        <w:rPr>
          <w:rFonts w:ascii="Verdana" w:hAnsi="Verdana" w:cs="Arial"/>
          <w:sz w:val="21"/>
          <w:szCs w:val="21"/>
        </w:rPr>
      </w:pPr>
      <w:proofErr w:type="gramStart"/>
      <w:r w:rsidRPr="00F62967">
        <w:rPr>
          <w:rFonts w:ascii="Verdana" w:hAnsi="Verdana" w:cs="Arial"/>
          <w:sz w:val="21"/>
          <w:szCs w:val="21"/>
        </w:rPr>
        <w:t>El objeto a contratar</w:t>
      </w:r>
      <w:proofErr w:type="gramEnd"/>
      <w:r w:rsidRPr="00F62967">
        <w:rPr>
          <w:rFonts w:ascii="Verdana" w:hAnsi="Verdana" w:cs="Arial"/>
          <w:sz w:val="21"/>
          <w:szCs w:val="21"/>
        </w:rPr>
        <w:t xml:space="preserve">, con sus especificaciones, las autorizaciones, permisos y licencias requeridos para su ejecución, y cuando el contrato incluye diseño y construcción, los documentos técnicos para el desarrollo del proyecto. </w:t>
      </w:r>
    </w:p>
    <w:p w14:paraId="6C268072" w14:textId="0DEA16AF" w:rsidR="00645326" w:rsidRPr="00F62967" w:rsidRDefault="00645326" w:rsidP="00645326">
      <w:pPr>
        <w:pStyle w:val="Prrafodelista"/>
        <w:spacing w:before="120" w:after="120" w:line="240" w:lineRule="auto"/>
        <w:ind w:right="709"/>
        <w:jc w:val="both"/>
        <w:rPr>
          <w:rFonts w:ascii="Verdana" w:hAnsi="Verdana" w:cs="Arial"/>
          <w:sz w:val="21"/>
          <w:szCs w:val="21"/>
        </w:rPr>
      </w:pPr>
      <w:r w:rsidRPr="00F62967">
        <w:rPr>
          <w:rFonts w:ascii="Verdana" w:hAnsi="Verdana" w:cs="Arial"/>
          <w:sz w:val="21"/>
          <w:szCs w:val="21"/>
        </w:rPr>
        <w:t xml:space="preserve">La modalidad de selección del contratista y su justificación, incluyendo los fundamentos jurídicos. </w:t>
      </w:r>
    </w:p>
    <w:p w14:paraId="1D1AF550" w14:textId="47D75D64" w:rsidR="00645326" w:rsidRPr="00F62967" w:rsidRDefault="00645326" w:rsidP="00F62967">
      <w:pPr>
        <w:pStyle w:val="Prrafodelista"/>
        <w:spacing w:after="0" w:line="240" w:lineRule="auto"/>
        <w:ind w:right="709"/>
        <w:jc w:val="both"/>
        <w:rPr>
          <w:rFonts w:ascii="Verdana" w:hAnsi="Verdana" w:cs="Arial"/>
          <w:sz w:val="21"/>
          <w:szCs w:val="21"/>
        </w:rPr>
      </w:pPr>
      <w:r w:rsidRPr="00F62967">
        <w:rPr>
          <w:rFonts w:ascii="Verdana" w:hAnsi="Verdana" w:cs="Arial"/>
          <w:sz w:val="21"/>
          <w:szCs w:val="21"/>
        </w:rPr>
        <w:t xml:space="preserve">El valor estimado del contrato y la justificación </w:t>
      </w:r>
      <w:proofErr w:type="gramStart"/>
      <w:r w:rsidRPr="00F62967">
        <w:rPr>
          <w:rFonts w:ascii="Verdana" w:hAnsi="Verdana" w:cs="Arial"/>
          <w:sz w:val="21"/>
          <w:szCs w:val="21"/>
        </w:rPr>
        <w:t>del mismo</w:t>
      </w:r>
      <w:proofErr w:type="gramEnd"/>
      <w:r w:rsidRPr="00F62967">
        <w:rPr>
          <w:rFonts w:ascii="Verdana" w:hAnsi="Verdana" w:cs="Arial"/>
          <w:sz w:val="21"/>
          <w:szCs w:val="21"/>
        </w:rPr>
        <w:t xml:space="preserve">. Cuando el valor del contrato esté determinado por precios unitarios, la Entidad Estatal debe incluir la forma como los calculó y soportar sus cálculos presupuestales en la estimación de aquellos. Si el contrato es de concesión, la Entidad Estatal no debe publicar el modelo financiero utilizado en su estructuración. Los criterios para seleccionar la oferta más favorable. El análisis de Riesgo y la forma de mitigarlo. </w:t>
      </w:r>
    </w:p>
    <w:p w14:paraId="0C977E22" w14:textId="1459BE2B" w:rsidR="00645326" w:rsidRPr="00F62967" w:rsidRDefault="00645326" w:rsidP="00F62967">
      <w:pPr>
        <w:pStyle w:val="Prrafodelista"/>
        <w:spacing w:after="120" w:line="240" w:lineRule="auto"/>
        <w:ind w:right="709"/>
        <w:jc w:val="both"/>
        <w:rPr>
          <w:rFonts w:ascii="Verdana" w:hAnsi="Verdana" w:cs="Arial"/>
          <w:sz w:val="21"/>
          <w:szCs w:val="21"/>
        </w:rPr>
      </w:pPr>
      <w:r w:rsidRPr="00F62967">
        <w:rPr>
          <w:rFonts w:ascii="Verdana" w:hAnsi="Verdana" w:cs="Arial"/>
          <w:sz w:val="21"/>
          <w:szCs w:val="21"/>
        </w:rPr>
        <w:t>Las garantías que la Entidad Estatal contempla exigir en el proceso de contratación. La indicación de si el proceso de contratación está cobijado por un acuerdo comercial. El presente artículo no es aplicable a la contratación por mínima cuantía”.</w:t>
      </w:r>
    </w:p>
    <w:p w14:paraId="5F2E17E1" w14:textId="77777777" w:rsidR="00F62967" w:rsidRPr="00F62967" w:rsidRDefault="00F62967" w:rsidP="00F62967">
      <w:pPr>
        <w:pStyle w:val="Prrafodelista"/>
        <w:spacing w:after="0" w:line="276" w:lineRule="auto"/>
        <w:jc w:val="both"/>
        <w:rPr>
          <w:rFonts w:ascii="Verdana" w:eastAsia="Times New Roman" w:hAnsi="Verdana" w:cs="Arial"/>
          <w:color w:val="000000"/>
          <w:szCs w:val="24"/>
          <w:lang w:val="es-ES_tradnl" w:eastAsia="es-ES_tradnl"/>
        </w:rPr>
      </w:pPr>
    </w:p>
    <w:p w14:paraId="52B7586F" w14:textId="2C2694FA" w:rsidR="00645326" w:rsidRPr="00F62967" w:rsidRDefault="00645326" w:rsidP="00645326">
      <w:pPr>
        <w:pStyle w:val="Prrafodelista"/>
        <w:numPr>
          <w:ilvl w:val="0"/>
          <w:numId w:val="26"/>
        </w:numPr>
        <w:spacing w:after="0" w:line="276" w:lineRule="auto"/>
        <w:jc w:val="both"/>
        <w:rPr>
          <w:rFonts w:ascii="Verdana" w:eastAsia="Times New Roman" w:hAnsi="Verdana" w:cs="Arial"/>
          <w:color w:val="000000"/>
          <w:szCs w:val="24"/>
          <w:lang w:val="es-ES_tradnl" w:eastAsia="es-ES_tradnl"/>
        </w:rPr>
      </w:pPr>
      <w:r w:rsidRPr="00F62967">
        <w:rPr>
          <w:rFonts w:ascii="Verdana" w:eastAsia="Times New Roman" w:hAnsi="Verdana" w:cs="Arial"/>
          <w:color w:val="000000"/>
          <w:szCs w:val="24"/>
          <w:lang w:val="es-ES_tradnl" w:eastAsia="es-ES_tradnl"/>
        </w:rPr>
        <w:t xml:space="preserve">De esta manera, antes de iniciar un procedimiento de selección, la Entidad Estatal podrá determinar con los estudios previos: i) la verdadera necesidad de la celebración del contrato; </w:t>
      </w:r>
      <w:proofErr w:type="spellStart"/>
      <w:r w:rsidRPr="00F62967">
        <w:rPr>
          <w:rFonts w:ascii="Verdana" w:eastAsia="Times New Roman" w:hAnsi="Verdana" w:cs="Arial"/>
          <w:color w:val="000000"/>
          <w:szCs w:val="24"/>
          <w:lang w:val="es-ES_tradnl" w:eastAsia="es-ES_tradnl"/>
        </w:rPr>
        <w:t>ii</w:t>
      </w:r>
      <w:proofErr w:type="spellEnd"/>
      <w:r w:rsidRPr="00F62967">
        <w:rPr>
          <w:rFonts w:ascii="Verdana" w:eastAsia="Times New Roman" w:hAnsi="Verdana" w:cs="Arial"/>
          <w:color w:val="000000"/>
          <w:szCs w:val="24"/>
          <w:lang w:val="es-ES_tradnl" w:eastAsia="es-ES_tradnl"/>
        </w:rPr>
        <w:t xml:space="preserve">) las modalidades existentes para satisfacer esa necesidad y las razones que justifiquen la modalidad o tipo contractual que se escoja; </w:t>
      </w:r>
      <w:proofErr w:type="spellStart"/>
      <w:r w:rsidRPr="00F62967">
        <w:rPr>
          <w:rFonts w:ascii="Verdana" w:eastAsia="Times New Roman" w:hAnsi="Verdana" w:cs="Arial"/>
          <w:color w:val="000000"/>
          <w:szCs w:val="24"/>
          <w:lang w:val="es-ES_tradnl" w:eastAsia="es-ES_tradnl"/>
        </w:rPr>
        <w:t>iii</w:t>
      </w:r>
      <w:proofErr w:type="spellEnd"/>
      <w:r w:rsidRPr="00F62967">
        <w:rPr>
          <w:rFonts w:ascii="Verdana" w:eastAsia="Times New Roman" w:hAnsi="Verdana" w:cs="Arial"/>
          <w:color w:val="000000"/>
          <w:szCs w:val="24"/>
          <w:lang w:val="es-ES_tradnl" w:eastAsia="es-ES_tradnl"/>
        </w:rPr>
        <w:t xml:space="preserve">) las calidades, especificaciones, cantidades y demás características que puedan o deban reunir los bienes, las obras, los servicios, etcétera, cuya contratación, se haya determinado necesaria, </w:t>
      </w:r>
      <w:proofErr w:type="spellStart"/>
      <w:r w:rsidRPr="00F62967">
        <w:rPr>
          <w:rFonts w:ascii="Verdana" w:eastAsia="Times New Roman" w:hAnsi="Verdana" w:cs="Arial"/>
          <w:color w:val="000000"/>
          <w:szCs w:val="24"/>
          <w:lang w:val="es-ES_tradnl" w:eastAsia="es-ES_tradnl"/>
        </w:rPr>
        <w:t>iv</w:t>
      </w:r>
      <w:proofErr w:type="spellEnd"/>
      <w:r w:rsidRPr="00F62967">
        <w:rPr>
          <w:rFonts w:ascii="Verdana" w:eastAsia="Times New Roman" w:hAnsi="Verdana" w:cs="Arial"/>
          <w:color w:val="000000"/>
          <w:szCs w:val="24"/>
          <w:lang w:val="es-ES_tradnl" w:eastAsia="es-ES_tradnl"/>
        </w:rPr>
        <w:t xml:space="preserve">) los costos, valores y alternativas que, a precios de mercado reales, podría demandar la celebración y ejecución del contrato, v) la disponibilidad de recursos o la capacidad financiera de la entidad contratante, para asumir las obligaciones de pago producto de la celebración de ese pretendido contrato; vi) la existencia y disponibilidad en el mercado nacional o internacional, de proveedores, constructores, profesionales, etc., en condiciones de atender los requerimientos y satisfacer las necesidades y </w:t>
      </w:r>
      <w:proofErr w:type="spellStart"/>
      <w:r w:rsidRPr="00F62967">
        <w:rPr>
          <w:rFonts w:ascii="Verdana" w:eastAsia="Times New Roman" w:hAnsi="Verdana" w:cs="Arial"/>
          <w:color w:val="000000"/>
          <w:szCs w:val="24"/>
          <w:lang w:val="es-ES_tradnl" w:eastAsia="es-ES_tradnl"/>
        </w:rPr>
        <w:t>vii</w:t>
      </w:r>
      <w:proofErr w:type="spellEnd"/>
      <w:r w:rsidRPr="00F62967">
        <w:rPr>
          <w:rFonts w:ascii="Verdana" w:eastAsia="Times New Roman" w:hAnsi="Verdana" w:cs="Arial"/>
          <w:color w:val="000000"/>
          <w:szCs w:val="24"/>
          <w:lang w:val="es-ES_tradnl" w:eastAsia="es-ES_tradnl"/>
        </w:rPr>
        <w:t xml:space="preserve">) los procedimientos, trámites y requisitos </w:t>
      </w:r>
      <w:r w:rsidRPr="00F62967">
        <w:rPr>
          <w:rFonts w:ascii="Verdana" w:eastAsia="Times New Roman" w:hAnsi="Verdana" w:cs="Arial"/>
          <w:color w:val="000000"/>
          <w:szCs w:val="24"/>
          <w:lang w:val="es-ES_tradnl" w:eastAsia="es-ES_tradnl"/>
        </w:rPr>
        <w:lastRenderedPageBreak/>
        <w:t>que deban satisfacerse, reunirse u obtenerse para llevar a cabo la selección del respectivo contratista y la celebración del contrato</w:t>
      </w:r>
      <w:r w:rsidRPr="00F62967">
        <w:rPr>
          <w:rFonts w:ascii="Verdana" w:hAnsi="Verdana"/>
          <w:vertAlign w:val="superscript"/>
        </w:rPr>
        <w:footnoteReference w:id="4"/>
      </w:r>
      <w:r w:rsidRPr="00F62967">
        <w:rPr>
          <w:rFonts w:ascii="Verdana" w:hAnsi="Verdana" w:cs="Arial"/>
        </w:rPr>
        <w:t>.</w:t>
      </w:r>
    </w:p>
    <w:p w14:paraId="5EC88CD0" w14:textId="77777777" w:rsidR="00645326" w:rsidRPr="00F62967" w:rsidRDefault="00645326" w:rsidP="00645326">
      <w:pPr>
        <w:pStyle w:val="Prrafodelista"/>
        <w:numPr>
          <w:ilvl w:val="0"/>
          <w:numId w:val="26"/>
        </w:numPr>
        <w:spacing w:before="120" w:after="120" w:line="276" w:lineRule="auto"/>
        <w:jc w:val="both"/>
        <w:rPr>
          <w:rFonts w:ascii="Verdana" w:eastAsia="Times New Roman" w:hAnsi="Verdana" w:cs="Arial"/>
          <w:color w:val="000000"/>
          <w:szCs w:val="24"/>
          <w:lang w:val="es-ES_tradnl" w:eastAsia="es-ES_tradnl"/>
        </w:rPr>
      </w:pPr>
      <w:r w:rsidRPr="00F62967">
        <w:rPr>
          <w:rFonts w:ascii="Verdana" w:eastAsia="Times New Roman" w:hAnsi="Verdana" w:cs="Arial"/>
          <w:color w:val="000000"/>
          <w:szCs w:val="24"/>
          <w:lang w:val="es-ES_tradnl" w:eastAsia="es-ES_tradnl"/>
        </w:rPr>
        <w:t xml:space="preserve">Cuando las entidades públicas cumplen con los elementos mínimos establecidos en la norma y aquellos adicionales que identifiquen en la etapa de planeación de los procedimientos de contratación, permiten que los contratos resultantes cuenten con el sustento técnico, económico y jurídico que incidirá en una adecuada ejecución. Así pues, más allá </w:t>
      </w:r>
      <w:r w:rsidRPr="00F62967">
        <w:rPr>
          <w:rFonts w:ascii="Verdana" w:eastAsia="Times New Roman" w:hAnsi="Verdana" w:cs="Arial"/>
          <w:szCs w:val="24"/>
          <w:lang w:eastAsia="es-ES_tradnl"/>
        </w:rPr>
        <w:t>del cumplimiento de la normativa, “los estudios y documentos previos son el soporte para elaborar el proyecto de pliegos, los pliegos de condiciones, y el contrato”</w:t>
      </w:r>
      <w:r w:rsidRPr="00F62967">
        <w:rPr>
          <w:rFonts w:ascii="Verdana" w:hAnsi="Verdana"/>
          <w:vertAlign w:val="superscript"/>
          <w:lang w:eastAsia="es-ES_tradnl"/>
        </w:rPr>
        <w:footnoteReference w:id="5"/>
      </w:r>
      <w:r w:rsidRPr="00F62967">
        <w:rPr>
          <w:rFonts w:ascii="Verdana" w:eastAsia="Times New Roman" w:hAnsi="Verdana" w:cs="Arial"/>
          <w:szCs w:val="24"/>
          <w:lang w:eastAsia="es-ES_tradnl"/>
        </w:rPr>
        <w:t>, por lo que deben publicarse en la etapa precontractual y sirven de motivación para los documentos expedidos unilateralmente por la Entidad Estatal tales como el acto administrativo de apertura, los pliegos de condiciones y el acto de adjudicación, entre otros.</w:t>
      </w:r>
    </w:p>
    <w:p w14:paraId="4ECEF662" w14:textId="77777777" w:rsidR="00645326" w:rsidRPr="00F62967" w:rsidRDefault="00645326" w:rsidP="00645326">
      <w:pPr>
        <w:pStyle w:val="Prrafodelista"/>
        <w:numPr>
          <w:ilvl w:val="0"/>
          <w:numId w:val="26"/>
        </w:numPr>
        <w:spacing w:after="120" w:line="276" w:lineRule="auto"/>
        <w:jc w:val="both"/>
        <w:rPr>
          <w:rFonts w:ascii="Verdana" w:hAnsi="Verdana" w:cs="Arial"/>
        </w:rPr>
      </w:pPr>
      <w:r w:rsidRPr="00F62967">
        <w:rPr>
          <w:rFonts w:ascii="Verdana" w:eastAsia="Times New Roman" w:hAnsi="Verdana" w:cs="Arial"/>
          <w:color w:val="000000"/>
          <w:szCs w:val="24"/>
          <w:lang w:val="es-ES_tradnl" w:eastAsia="es-ES_tradnl"/>
        </w:rPr>
        <w:t>De lo explicado se desprende que los estudios y documentos previos son necesarios antes de la celebración del contrato, pues fundamentan las condiciones que la Entidad Estatal exige en un proceso de contratación. Sin embargo, luego de la suscripción del contrato la entidad no debe actuar unilateralmente, sino que debe respetar la buena fe contractual y proceder de acuerdo con lo pactado</w:t>
      </w:r>
      <w:r w:rsidRPr="00F62967">
        <w:rPr>
          <w:rFonts w:ascii="Verdana" w:hAnsi="Verdana"/>
          <w:vertAlign w:val="superscript"/>
        </w:rPr>
        <w:footnoteReference w:id="6"/>
      </w:r>
      <w:r w:rsidRPr="00F62967">
        <w:rPr>
          <w:rFonts w:ascii="Verdana" w:hAnsi="Verdana" w:cs="Arial"/>
        </w:rPr>
        <w:t>.</w:t>
      </w:r>
    </w:p>
    <w:p w14:paraId="74CED9E0" w14:textId="77777777" w:rsidR="00645326" w:rsidRPr="00F62967" w:rsidRDefault="00645326" w:rsidP="00645326">
      <w:pPr>
        <w:pStyle w:val="Prrafodelista"/>
        <w:numPr>
          <w:ilvl w:val="0"/>
          <w:numId w:val="26"/>
        </w:numPr>
        <w:spacing w:after="120" w:line="276" w:lineRule="auto"/>
        <w:jc w:val="both"/>
        <w:rPr>
          <w:rFonts w:ascii="Verdana" w:eastAsia="Times New Roman" w:hAnsi="Verdana" w:cs="Arial"/>
          <w:szCs w:val="24"/>
          <w:lang w:eastAsia="es-ES_tradnl"/>
        </w:rPr>
      </w:pPr>
      <w:r w:rsidRPr="00F62967">
        <w:rPr>
          <w:rFonts w:ascii="Verdana" w:eastAsia="Times New Roman" w:hAnsi="Verdana" w:cs="Arial"/>
          <w:szCs w:val="24"/>
          <w:lang w:eastAsia="es-ES_tradnl"/>
        </w:rPr>
        <w:t xml:space="preserve">El numeral 12 del artículo 25 antes citado, establece el deber de las entidades de realizar estudios previos en dos momentos específicos: i) previo a la apertura de un proceso de selección y </w:t>
      </w:r>
      <w:proofErr w:type="spellStart"/>
      <w:r w:rsidRPr="00F62967">
        <w:rPr>
          <w:rFonts w:ascii="Verdana" w:eastAsia="Times New Roman" w:hAnsi="Verdana" w:cs="Arial"/>
          <w:szCs w:val="24"/>
          <w:lang w:eastAsia="es-ES_tradnl"/>
        </w:rPr>
        <w:t>ii</w:t>
      </w:r>
      <w:proofErr w:type="spellEnd"/>
      <w:r w:rsidRPr="00F62967">
        <w:rPr>
          <w:rFonts w:ascii="Verdana" w:eastAsia="Times New Roman" w:hAnsi="Verdana" w:cs="Arial"/>
          <w:szCs w:val="24"/>
          <w:lang w:eastAsia="es-ES_tradnl"/>
        </w:rPr>
        <w:t>) previo a la firma del contrato en el caso en que la modalidad de selección sea contratación directa. Por su parte, el reglamento, es decir los artículos 2.2.1.1.1.6.1 y 2.2.1.1.2.1.1 del Decreto 1082 de 2015, no imponen la obligación de realizar estudios y documentos previos en etapas diferentes a la de planeación del contrato.</w:t>
      </w:r>
    </w:p>
    <w:p w14:paraId="3E896322" w14:textId="77777777" w:rsidR="00645326" w:rsidRPr="00F62967" w:rsidRDefault="00645326" w:rsidP="00645326">
      <w:pPr>
        <w:pStyle w:val="Prrafodelista"/>
        <w:numPr>
          <w:ilvl w:val="0"/>
          <w:numId w:val="26"/>
        </w:numPr>
        <w:spacing w:before="120" w:line="276" w:lineRule="auto"/>
        <w:jc w:val="both"/>
        <w:rPr>
          <w:rFonts w:ascii="Verdana" w:eastAsia="Calibri" w:hAnsi="Verdana" w:cs="Arial"/>
          <w:bCs/>
          <w:szCs w:val="24"/>
          <w:lang w:val="es-ES_tradnl" w:eastAsia="es-ES_tradnl"/>
        </w:rPr>
      </w:pPr>
      <w:r w:rsidRPr="00F62967">
        <w:rPr>
          <w:rFonts w:ascii="Verdana" w:eastAsia="Times New Roman" w:hAnsi="Verdana" w:cs="Arial"/>
          <w:szCs w:val="24"/>
          <w:lang w:eastAsia="es-ES_tradnl"/>
        </w:rPr>
        <w:t xml:space="preserve">En consecuencia, dicho análisis facilita tanto el conocimiento del sector, desde una perspectiva multidisciplinaria, como de los proveedores disponibles en el mercado para satisfacer la necesidad de la entidad contratante. Asimismo, el análisis del sector implica un estudio de la oferta, lo que permitirá identificar qué proveedores existen en el mercado y cómo intervienen en la cadena de producción, comercialización </w:t>
      </w:r>
      <w:r w:rsidRPr="00F62967">
        <w:rPr>
          <w:rFonts w:ascii="Verdana" w:eastAsia="Calibri" w:hAnsi="Verdana" w:cs="Arial"/>
          <w:bCs/>
          <w:szCs w:val="24"/>
          <w:lang w:val="es-ES_tradnl" w:eastAsia="es-ES_tradnl"/>
        </w:rPr>
        <w:t xml:space="preserve">y </w:t>
      </w:r>
      <w:r w:rsidRPr="00F62967">
        <w:rPr>
          <w:rFonts w:ascii="Verdana" w:eastAsia="Calibri" w:hAnsi="Verdana" w:cs="Arial"/>
          <w:bCs/>
          <w:szCs w:val="24"/>
          <w:lang w:val="es-ES_tradnl" w:eastAsia="es-ES_tradnl"/>
        </w:rPr>
        <w:lastRenderedPageBreak/>
        <w:t xml:space="preserve">distribución de los bienes, obras o servicios. Adicionalmente, podrá estudiar la demanda para determinar cómo las Entidades Estatales y los particulares adquieren esos bienes, obras o servicios para extraer las mejores prácticas e información para el Proceso de Contratación y así estructurar de mejor manera las condiciones y características que se podrán pactar para cumplir el objeto del contrato y para la realización de las prestaciones derivadas de las obligaciones que serán pactadas, tanto para la entidad contratante como para el contratista que proveerá el bien, obra o servicio. </w:t>
      </w:r>
    </w:p>
    <w:p w14:paraId="37ACD376" w14:textId="77777777" w:rsidR="00645326" w:rsidRPr="00F62967" w:rsidRDefault="00645326" w:rsidP="00645326">
      <w:pPr>
        <w:pStyle w:val="Prrafodelista"/>
        <w:numPr>
          <w:ilvl w:val="0"/>
          <w:numId w:val="26"/>
        </w:numPr>
        <w:spacing w:before="120" w:after="120" w:line="276" w:lineRule="auto"/>
        <w:jc w:val="both"/>
        <w:rPr>
          <w:rFonts w:ascii="Verdana" w:eastAsia="Times New Roman" w:hAnsi="Verdana" w:cs="Arial"/>
          <w:szCs w:val="24"/>
          <w:lang w:eastAsia="es-ES_tradnl"/>
        </w:rPr>
      </w:pPr>
      <w:r w:rsidRPr="00F62967">
        <w:rPr>
          <w:rFonts w:ascii="Verdana" w:eastAsia="Times New Roman" w:hAnsi="Verdana" w:cs="Arial"/>
          <w:szCs w:val="24"/>
          <w:lang w:eastAsia="es-ES_tradnl"/>
        </w:rPr>
        <w:t>Adicionalmente, si bien los estudios del sector son de gran relevancia en los Procesos de Contratación donde existe pluralidad de oferentes, nada obsta para que se elaboren allí donde no existiría competencia, como es el caso de la contratación de prestación de servicios mediante la contratación directa. Para estos efectos, la “Guía para la Elaboración de Estudios del Sector”</w:t>
      </w:r>
      <w:r w:rsidRPr="00F62967">
        <w:rPr>
          <w:rFonts w:ascii="Verdana" w:eastAsia="Calibri" w:hAnsi="Verdana"/>
          <w:bCs/>
          <w:vertAlign w:val="superscript"/>
          <w:lang w:val="es-ES_tradnl"/>
        </w:rPr>
        <w:footnoteReference w:id="7"/>
      </w:r>
      <w:r w:rsidRPr="00F62967">
        <w:rPr>
          <w:rFonts w:ascii="Verdana" w:eastAsia="Times New Roman" w:hAnsi="Verdana" w:cs="Arial"/>
          <w:szCs w:val="24"/>
          <w:lang w:eastAsia="es-ES_tradnl"/>
        </w:rPr>
        <w:t xml:space="preserve"> expedida por Colombia Compra Eficiente, explica que “En la contratación directa, el análisis del sector debe tener en cuenta el objeto del Proceso de Contratación, particularmente las condiciones del contrato, como los plazos y formas de entrega y de pago. El análisis del sector debe permitir a la entidad estatal sustentar su decisión de hacer una contratación directa, la elección del proveedor y la forma en que se pacta el contrato desde el punto de vista de la eficiencia, eficacia y economía”. La entidad pública debe consignar en los</w:t>
      </w:r>
      <w:r w:rsidRPr="00F62967">
        <w:rPr>
          <w:rFonts w:ascii="Verdana" w:eastAsia="Times New Roman" w:hAnsi="Verdana" w:cs="Arial"/>
          <w:i/>
          <w:iCs/>
          <w:szCs w:val="24"/>
          <w:lang w:eastAsia="es-ES_tradnl"/>
        </w:rPr>
        <w:t xml:space="preserve"> Documentos del Proceso, </w:t>
      </w:r>
      <w:r w:rsidRPr="00F62967">
        <w:rPr>
          <w:rFonts w:ascii="Verdana" w:eastAsia="Times New Roman" w:hAnsi="Verdana" w:cs="Arial"/>
          <w:szCs w:val="24"/>
          <w:lang w:eastAsia="es-ES_tradnl"/>
        </w:rPr>
        <w:t>bien sea en los estudios previos o en la información de soporte de estos, los aspectos de que trata el artículo 2.2.1.1.1.6.1 del Decreto 1082 de 2015.</w:t>
      </w:r>
    </w:p>
    <w:p w14:paraId="7C3933F9" w14:textId="77777777" w:rsidR="00645326" w:rsidRPr="00F62967" w:rsidRDefault="00645326" w:rsidP="00645326">
      <w:pPr>
        <w:pStyle w:val="Prrafodelista"/>
        <w:numPr>
          <w:ilvl w:val="0"/>
          <w:numId w:val="26"/>
        </w:numPr>
        <w:spacing w:after="0" w:line="276" w:lineRule="auto"/>
        <w:jc w:val="both"/>
        <w:rPr>
          <w:rFonts w:ascii="Verdana" w:eastAsia="Times New Roman" w:hAnsi="Verdana" w:cs="Arial"/>
          <w:szCs w:val="24"/>
          <w:lang w:eastAsia="es-ES_tradnl"/>
        </w:rPr>
      </w:pPr>
      <w:r w:rsidRPr="00F62967">
        <w:rPr>
          <w:rFonts w:ascii="Verdana" w:eastAsia="Times New Roman" w:hAnsi="Verdana" w:cs="Arial"/>
          <w:szCs w:val="24"/>
          <w:lang w:eastAsia="es-ES_tradnl"/>
        </w:rPr>
        <w:t xml:space="preserve">Finalmente, resulta a bien resaltar la autonomía de las entidades públicas para estructurar los estudios previos, siempre y cuando observen los aspectos que estos deben contener, de conformidad con los artículos 2.2.1.1.1.6.1, 2.2.1.1.2.1.1 y 2.2.1.2.1.4.9 del Decreto 1082 de 2015. </w:t>
      </w:r>
    </w:p>
    <w:p w14:paraId="398BDD0E" w14:textId="77777777" w:rsidR="00645326" w:rsidRPr="00F62967" w:rsidRDefault="00645326" w:rsidP="00645326">
      <w:pPr>
        <w:pStyle w:val="Prrafodelista"/>
        <w:numPr>
          <w:ilvl w:val="0"/>
          <w:numId w:val="26"/>
        </w:numPr>
        <w:spacing w:before="120" w:after="0" w:line="276" w:lineRule="auto"/>
        <w:jc w:val="both"/>
        <w:rPr>
          <w:rFonts w:ascii="Verdana" w:eastAsia="Times New Roman" w:hAnsi="Verdana" w:cs="Arial"/>
          <w:szCs w:val="24"/>
          <w:lang w:eastAsia="es-ES_tradnl"/>
        </w:rPr>
      </w:pPr>
      <w:r w:rsidRPr="00F62967">
        <w:rPr>
          <w:rFonts w:ascii="Verdana" w:eastAsia="Times New Roman" w:hAnsi="Verdana" w:cs="Arial"/>
          <w:szCs w:val="24"/>
          <w:lang w:eastAsia="es-ES_tradnl"/>
        </w:rPr>
        <w:t xml:space="preserve">En todo caso, tratándose contratos de prestación de servicios, los estudios previos deben entrar a justificar las particularidades del objeto contractual de cara a la satisfacción de la necesidad de la Entidad Estatal en atención a la cual se requiere el respectivo contrato. De esto dependerán las regulaciones que se establezcan en la minuta del contrato en cuanto a la temporalidad, pago y demás asuntos relevantes del negocio jurídico, que, sin perjuicio de estar mediados por la autonomía de la voluntad de las </w:t>
      </w:r>
      <w:r w:rsidRPr="00F62967">
        <w:rPr>
          <w:rFonts w:ascii="Verdana" w:eastAsia="Times New Roman" w:hAnsi="Verdana" w:cs="Arial"/>
          <w:szCs w:val="24"/>
          <w:lang w:eastAsia="es-ES_tradnl"/>
        </w:rPr>
        <w:lastRenderedPageBreak/>
        <w:t xml:space="preserve">partes para establecer las condiciones del contrato, deben tener una justificación expresada en los estudios y documentos previos. </w:t>
      </w:r>
    </w:p>
    <w:p w14:paraId="5C8F0C68" w14:textId="77777777" w:rsidR="004C0691" w:rsidRPr="00F62967" w:rsidRDefault="004C0691" w:rsidP="004C0691">
      <w:pPr>
        <w:widowControl w:val="0"/>
        <w:autoSpaceDE w:val="0"/>
        <w:autoSpaceDN w:val="0"/>
        <w:spacing w:after="0" w:line="276" w:lineRule="auto"/>
        <w:jc w:val="both"/>
        <w:rPr>
          <w:rFonts w:ascii="Verdana" w:hAnsi="Verdana" w:cs="Arial"/>
        </w:rPr>
      </w:pPr>
    </w:p>
    <w:p w14:paraId="76DBE697" w14:textId="77777777" w:rsidR="004C0691" w:rsidRPr="00F62967" w:rsidRDefault="004C0691" w:rsidP="004C069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62967">
        <w:rPr>
          <w:rFonts w:ascii="Verdana" w:eastAsia="Century Gothic" w:hAnsi="Verdana" w:cs="Century Gothic"/>
          <w:b/>
          <w:bCs/>
        </w:rPr>
        <w:t>Referencias normativas, jurisprudenciales y otras fuentes:</w:t>
      </w:r>
    </w:p>
    <w:p w14:paraId="6D2A35E0" w14:textId="77777777" w:rsidR="004C0691" w:rsidRPr="00F62967" w:rsidRDefault="004C0691" w:rsidP="004C0691">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C0691" w:rsidRPr="00F62967" w14:paraId="18042C4E" w14:textId="77777777" w:rsidTr="002D7ACD">
        <w:trPr>
          <w:trHeight w:val="870"/>
        </w:trPr>
        <w:tc>
          <w:tcPr>
            <w:tcW w:w="8647" w:type="dxa"/>
          </w:tcPr>
          <w:p w14:paraId="61597A11" w14:textId="77777777" w:rsidR="00F62967" w:rsidRPr="00F62967" w:rsidRDefault="00F62967" w:rsidP="00F62967">
            <w:pPr>
              <w:pStyle w:val="Prrafodelista"/>
              <w:numPr>
                <w:ilvl w:val="0"/>
                <w:numId w:val="29"/>
              </w:numPr>
              <w:jc w:val="both"/>
              <w:rPr>
                <w:rFonts w:ascii="Verdana" w:hAnsi="Verdana" w:cs="Arial"/>
                <w:color w:val="000000" w:themeColor="text1"/>
                <w:lang w:val="es-MX"/>
              </w:rPr>
            </w:pPr>
            <w:r w:rsidRPr="00F62967">
              <w:rPr>
                <w:rFonts w:ascii="Verdana" w:hAnsi="Verdana" w:cs="Arial"/>
                <w:color w:val="000000" w:themeColor="text1"/>
                <w:lang w:val="es-MX"/>
              </w:rPr>
              <w:t>Numeral 3, del artículo 32, de la Ley 80 de 1993</w:t>
            </w:r>
          </w:p>
          <w:p w14:paraId="4104961F" w14:textId="77777777" w:rsidR="00F62967" w:rsidRPr="00F62967" w:rsidRDefault="00F62967" w:rsidP="00F62967">
            <w:pPr>
              <w:pStyle w:val="Prrafodelista"/>
              <w:jc w:val="both"/>
              <w:rPr>
                <w:rFonts w:ascii="Verdana" w:hAnsi="Verdana" w:cs="Arial"/>
                <w:color w:val="000000" w:themeColor="text1"/>
                <w:lang w:val="es-MX"/>
              </w:rPr>
            </w:pPr>
          </w:p>
          <w:p w14:paraId="31229C29" w14:textId="77777777" w:rsidR="00F62967" w:rsidRPr="00F62967" w:rsidRDefault="00F62967" w:rsidP="00F62967">
            <w:pPr>
              <w:pStyle w:val="Prrafodelista"/>
              <w:numPr>
                <w:ilvl w:val="0"/>
                <w:numId w:val="29"/>
              </w:numPr>
              <w:jc w:val="both"/>
              <w:rPr>
                <w:rFonts w:ascii="Verdana" w:hAnsi="Verdana" w:cs="Arial"/>
                <w:color w:val="000000" w:themeColor="text1"/>
                <w:lang w:val="es-MX"/>
              </w:rPr>
            </w:pPr>
            <w:r w:rsidRPr="00F62967">
              <w:rPr>
                <w:rFonts w:ascii="Verdana" w:eastAsia="Times New Roman" w:hAnsi="Verdana" w:cs="Arial"/>
                <w:color w:val="000000"/>
                <w:szCs w:val="24"/>
                <w:lang w:val="es-ES_tradnl" w:eastAsia="es-ES_tradnl"/>
              </w:rPr>
              <w:t>Ley 1150 de 2007</w:t>
            </w:r>
          </w:p>
          <w:p w14:paraId="17CDACC2" w14:textId="77777777" w:rsidR="00F62967" w:rsidRPr="00F62967" w:rsidRDefault="00F62967" w:rsidP="00F62967">
            <w:pPr>
              <w:pStyle w:val="Prrafodelista"/>
              <w:rPr>
                <w:rFonts w:ascii="Verdana" w:eastAsia="Calibri" w:hAnsi="Verdana" w:cs="Arial"/>
                <w:lang w:val="es-ES_tradnl" w:eastAsia="es-ES_tradnl"/>
              </w:rPr>
            </w:pPr>
          </w:p>
          <w:p w14:paraId="4A1B56F1" w14:textId="77777777" w:rsidR="00F62967" w:rsidRPr="00F62967" w:rsidRDefault="004C0691" w:rsidP="00F62967">
            <w:pPr>
              <w:pStyle w:val="Prrafodelista"/>
              <w:numPr>
                <w:ilvl w:val="0"/>
                <w:numId w:val="29"/>
              </w:numPr>
              <w:jc w:val="both"/>
              <w:rPr>
                <w:rFonts w:ascii="Verdana" w:hAnsi="Verdana" w:cs="Arial"/>
                <w:color w:val="000000" w:themeColor="text1"/>
                <w:lang w:val="es-MX"/>
              </w:rPr>
            </w:pPr>
            <w:r w:rsidRPr="00F62967">
              <w:rPr>
                <w:rFonts w:ascii="Verdana" w:eastAsia="Calibri" w:hAnsi="Verdana" w:cs="Arial"/>
                <w:lang w:val="es-ES_tradnl" w:eastAsia="es-ES_tradnl"/>
              </w:rPr>
              <w:t xml:space="preserve">Decreto 1082 de 2015 </w:t>
            </w:r>
          </w:p>
          <w:p w14:paraId="15E3279B" w14:textId="77777777" w:rsidR="00F62967" w:rsidRPr="00F62967" w:rsidRDefault="00F62967" w:rsidP="00F62967">
            <w:pPr>
              <w:pStyle w:val="Prrafodelista"/>
              <w:rPr>
                <w:rFonts w:ascii="Verdana" w:eastAsia="Calibri" w:hAnsi="Verdana" w:cs="Arial"/>
                <w:color w:val="000000" w:themeColor="text1"/>
              </w:rPr>
            </w:pPr>
          </w:p>
          <w:p w14:paraId="6E199AB3" w14:textId="77777777" w:rsidR="00F62967" w:rsidRPr="00F62967" w:rsidRDefault="004C0691" w:rsidP="00F62967">
            <w:pPr>
              <w:pStyle w:val="Prrafodelista"/>
              <w:numPr>
                <w:ilvl w:val="0"/>
                <w:numId w:val="29"/>
              </w:numPr>
              <w:jc w:val="both"/>
              <w:rPr>
                <w:rFonts w:ascii="Verdana" w:hAnsi="Verdana" w:cs="Arial"/>
                <w:color w:val="000000" w:themeColor="text1"/>
                <w:lang w:val="es-MX"/>
              </w:rPr>
            </w:pPr>
            <w:r w:rsidRPr="00F62967">
              <w:rPr>
                <w:rFonts w:ascii="Verdana" w:eastAsia="Calibri" w:hAnsi="Verdana" w:cs="Arial"/>
                <w:color w:val="000000" w:themeColor="text1"/>
              </w:rPr>
              <w:t xml:space="preserve">Ley 222 de 1995: Artículo 27 y 30. </w:t>
            </w:r>
          </w:p>
          <w:p w14:paraId="6750C707" w14:textId="77777777" w:rsidR="00F62967" w:rsidRPr="00F62967" w:rsidRDefault="00F62967" w:rsidP="00F62967">
            <w:pPr>
              <w:pStyle w:val="Prrafodelista"/>
              <w:rPr>
                <w:rFonts w:ascii="Verdana" w:hAnsi="Verdana"/>
              </w:rPr>
            </w:pPr>
          </w:p>
          <w:p w14:paraId="56C67DC5" w14:textId="3705F434" w:rsidR="00D818FA" w:rsidRPr="00F62967" w:rsidRDefault="00F62967" w:rsidP="00F62967">
            <w:pPr>
              <w:pStyle w:val="Prrafodelista"/>
              <w:numPr>
                <w:ilvl w:val="0"/>
                <w:numId w:val="29"/>
              </w:numPr>
              <w:jc w:val="both"/>
              <w:rPr>
                <w:rFonts w:ascii="Verdana" w:hAnsi="Verdana" w:cs="Arial"/>
                <w:color w:val="000000" w:themeColor="text1"/>
                <w:lang w:val="es-MX"/>
              </w:rPr>
            </w:pPr>
            <w:hyperlink r:id="rId12" w:history="1">
              <w:r w:rsidRPr="00F62967">
                <w:rPr>
                  <w:rStyle w:val="Hipervnculo"/>
                  <w:rFonts w:ascii="Verdana" w:hAnsi="Verdana" w:cs="Arial"/>
                </w:rPr>
                <w:t>https://relatoria.colombiacompra.gov.co/providencias-consejo-de-estado/</w:t>
              </w:r>
            </w:hyperlink>
            <w:r w:rsidR="00D818FA" w:rsidRPr="00F62967">
              <w:rPr>
                <w:rFonts w:ascii="Verdana" w:hAnsi="Verdana" w:cs="Arial"/>
              </w:rPr>
              <w:t xml:space="preserve"> </w:t>
            </w:r>
          </w:p>
          <w:p w14:paraId="1CD44FC0" w14:textId="17D3DEE3" w:rsidR="004C0691" w:rsidRPr="00F62967" w:rsidRDefault="00D818FA" w:rsidP="00D818FA">
            <w:pPr>
              <w:pStyle w:val="Prrafodelista"/>
              <w:numPr>
                <w:ilvl w:val="0"/>
                <w:numId w:val="19"/>
              </w:numPr>
              <w:jc w:val="both"/>
              <w:rPr>
                <w:rFonts w:ascii="Verdana" w:hAnsi="Verdana" w:cs="Arial"/>
              </w:rPr>
            </w:pPr>
            <w:r w:rsidRPr="00F62967">
              <w:rPr>
                <w:rFonts w:ascii="Verdana" w:hAnsi="Verdana" w:cs="Arial"/>
              </w:rPr>
              <w:t>Guías y manuales expedidos por la ANCP-CCE. Disponible en</w:t>
            </w:r>
            <w:r w:rsidRPr="00F62967">
              <w:rPr>
                <w:rFonts w:ascii="Verdana" w:hAnsi="Verdana" w:cs="Arial"/>
                <w:color w:val="7030A0"/>
              </w:rPr>
              <w:t>:</w:t>
            </w:r>
            <w:r w:rsidRPr="00F62967">
              <w:rPr>
                <w:rFonts w:ascii="Verdana" w:hAnsi="Verdana"/>
                <w:color w:val="7030A0"/>
              </w:rPr>
              <w:t xml:space="preserve"> </w:t>
            </w:r>
            <w:hyperlink r:id="rId13" w:history="1">
              <w:r w:rsidRPr="00F62967">
                <w:rPr>
                  <w:rStyle w:val="Hipervnculo"/>
                  <w:rFonts w:ascii="Verdana" w:hAnsi="Verdana" w:cs="Arial"/>
                </w:rPr>
                <w:t>https://www.colombiacompra.gov.co/manuales-guias-y-pliegos-tipo/manuales-y-guias</w:t>
              </w:r>
            </w:hyperlink>
          </w:p>
        </w:tc>
      </w:tr>
    </w:tbl>
    <w:p w14:paraId="73245E9C" w14:textId="77777777" w:rsidR="004C0691" w:rsidRPr="00F62967" w:rsidRDefault="004C0691" w:rsidP="004C0691">
      <w:pPr>
        <w:widowControl w:val="0"/>
        <w:autoSpaceDE w:val="0"/>
        <w:autoSpaceDN w:val="0"/>
        <w:spacing w:after="0" w:line="276" w:lineRule="auto"/>
        <w:jc w:val="both"/>
        <w:rPr>
          <w:rFonts w:ascii="Verdana" w:hAnsi="Verdana" w:cs="Arial"/>
        </w:rPr>
      </w:pPr>
    </w:p>
    <w:p w14:paraId="38C43C46" w14:textId="77777777" w:rsidR="00D818FA" w:rsidRPr="00F62967" w:rsidRDefault="00D818FA" w:rsidP="004C0691">
      <w:pPr>
        <w:widowControl w:val="0"/>
        <w:autoSpaceDE w:val="0"/>
        <w:autoSpaceDN w:val="0"/>
        <w:spacing w:after="0" w:line="276" w:lineRule="auto"/>
        <w:jc w:val="both"/>
        <w:rPr>
          <w:rFonts w:ascii="Verdana" w:hAnsi="Verdana" w:cs="Arial"/>
        </w:rPr>
      </w:pPr>
    </w:p>
    <w:p w14:paraId="203C9B58" w14:textId="77777777" w:rsidR="00D818FA" w:rsidRPr="00F62967" w:rsidRDefault="00D818FA" w:rsidP="004C0691">
      <w:pPr>
        <w:widowControl w:val="0"/>
        <w:autoSpaceDE w:val="0"/>
        <w:autoSpaceDN w:val="0"/>
        <w:spacing w:after="0" w:line="276" w:lineRule="auto"/>
        <w:jc w:val="both"/>
        <w:rPr>
          <w:rFonts w:ascii="Verdana" w:hAnsi="Verdana" w:cs="Arial"/>
        </w:rPr>
      </w:pPr>
    </w:p>
    <w:p w14:paraId="554E824D" w14:textId="77777777" w:rsidR="004C0691" w:rsidRPr="00F62967" w:rsidRDefault="004C0691" w:rsidP="004C069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62967">
        <w:rPr>
          <w:rFonts w:ascii="Verdana" w:eastAsia="Century Gothic" w:hAnsi="Verdana" w:cs="Century Gothic"/>
          <w:b/>
          <w:bCs/>
        </w:rPr>
        <w:t>Doctrina de la Agencia Nacional de Contratación Pública:</w:t>
      </w:r>
    </w:p>
    <w:p w14:paraId="3FE9B916" w14:textId="77777777" w:rsidR="004C0691" w:rsidRPr="00F62967" w:rsidRDefault="004C0691" w:rsidP="004C0691">
      <w:pPr>
        <w:widowControl w:val="0"/>
        <w:autoSpaceDE w:val="0"/>
        <w:autoSpaceDN w:val="0"/>
        <w:spacing w:after="0" w:line="276" w:lineRule="auto"/>
        <w:jc w:val="both"/>
        <w:rPr>
          <w:rFonts w:ascii="Verdana" w:hAnsi="Verdana" w:cs="Arial"/>
        </w:rPr>
      </w:pPr>
    </w:p>
    <w:p w14:paraId="046E572A" w14:textId="55DB02D6" w:rsidR="004C0691" w:rsidRPr="00F62967" w:rsidRDefault="004C0691" w:rsidP="004C0691">
      <w:pPr>
        <w:widowControl w:val="0"/>
        <w:autoSpaceDE w:val="0"/>
        <w:autoSpaceDN w:val="0"/>
        <w:spacing w:after="0" w:line="276" w:lineRule="auto"/>
        <w:jc w:val="both"/>
        <w:rPr>
          <w:rFonts w:ascii="Verdana" w:hAnsi="Verdana" w:cs="Arial"/>
          <w:shd w:val="clear" w:color="auto" w:fill="FFFFFF"/>
        </w:rPr>
      </w:pPr>
      <w:r w:rsidRPr="00F62967">
        <w:rPr>
          <w:rStyle w:val="normaltextrun"/>
          <w:rFonts w:ascii="Verdana" w:hAnsi="Verdana" w:cs="Arial"/>
          <w:shd w:val="clear" w:color="auto" w:fill="FFFFFF"/>
          <w:lang w:val="es-ES"/>
        </w:rPr>
        <w:t xml:space="preserve">Sobre </w:t>
      </w:r>
      <w:r w:rsidRPr="00F62967">
        <w:rPr>
          <w:rFonts w:ascii="Verdana" w:eastAsia="Calibri" w:hAnsi="Verdana" w:cs="Arial"/>
          <w:lang w:val="es-ES" w:eastAsia="es-ES"/>
        </w:rPr>
        <w:t xml:space="preserve">la </w:t>
      </w:r>
      <w:r w:rsidRPr="00F62967">
        <w:rPr>
          <w:rFonts w:ascii="Verdana" w:eastAsia="Calibri" w:hAnsi="Verdana" w:cs="Arial"/>
          <w:lang w:val="es-ES" w:eastAsia="es-ES_tradnl"/>
        </w:rPr>
        <w:t>definición de emprendimientos y empresas de mujeres en el Decreto 1860 de 2021</w:t>
      </w:r>
      <w:r w:rsidRPr="00F62967">
        <w:rPr>
          <w:rFonts w:ascii="Verdana" w:eastAsia="Calibri" w:hAnsi="Verdana" w:cs="Arial"/>
          <w:lang w:val="es-ES" w:eastAsia="es-ES"/>
        </w:rPr>
        <w:t>, esta Subdirección se ha pronunciado en los conceptos</w:t>
      </w:r>
      <w:r w:rsidRPr="00F62967">
        <w:rPr>
          <w:rFonts w:ascii="Verdana" w:hAnsi="Verdana" w:cs="Arial"/>
        </w:rPr>
        <w:t xml:space="preserve"> </w:t>
      </w:r>
      <w:r w:rsidR="00F62967" w:rsidRPr="00F62967">
        <w:rPr>
          <w:rFonts w:ascii="Verdana" w:eastAsia="Calibri" w:hAnsi="Verdana" w:cs="Arial"/>
          <w:lang w:val="es-ES_tradnl" w:eastAsia="es-MX"/>
        </w:rPr>
        <w:t>C-005 del 11 de mayo de 2020, C-231 del 13 de abril de 2020, C-685 del 18 de diciembre de 2020, C-004 del 12 de febrero de 2021, C-145 del 08 de abril de 2021, C-654 del 22 de noviembre de 2021, C-019 del 21 de febrero de 2022, C-024 del 4 de marzo de 2022, C-181 del 8 de abril de 2022, C-491 del 01 de agosto de 2022 y C-057 del 29 de mayo del 2023</w:t>
      </w:r>
      <w:r w:rsidR="00F62967" w:rsidRPr="00F62967">
        <w:rPr>
          <w:rFonts w:ascii="Verdana" w:eastAsia="Calibri" w:hAnsi="Verdana" w:cs="Arial"/>
          <w:vertAlign w:val="superscript"/>
          <w:lang w:val="es-ES_tradnl" w:eastAsia="es-MX"/>
        </w:rPr>
        <w:footnoteReference w:id="8"/>
      </w:r>
      <w:r w:rsidR="00F62967" w:rsidRPr="00F62967">
        <w:rPr>
          <w:rFonts w:ascii="Verdana" w:eastAsia="Calibri" w:hAnsi="Verdana" w:cs="Arial"/>
          <w:lang w:val="es-ES_tradnl" w:eastAsia="es-MX"/>
        </w:rPr>
        <w:t>.</w:t>
      </w:r>
      <w:r w:rsidR="00F62967" w:rsidRPr="00F62967">
        <w:rPr>
          <w:rFonts w:ascii="Verdana" w:eastAsia="Calibri" w:hAnsi="Verdana" w:cs="Arial"/>
          <w:lang w:val="es-ES_tradnl" w:eastAsia="es-ES_tradnl"/>
        </w:rPr>
        <w:t xml:space="preserve"> Igualmente se ha pronunciado sobre seguridad social integral en los Conceptos número 42019130000005594 de 30 de septiembre de 2019, 4201913000006384 de 21 de octubre de 2019, 4201912000007492 de 17 de diciembre de 2019, C-040 de 5 de febrero de 2020, C-042 de 5 de febrero de 2020, C134 del 7 de abril 2021, C-038 del 1 de marzo de 2022 y C-712 del 13 de octubre del 2022</w:t>
      </w:r>
      <w:r w:rsidRPr="00F62967">
        <w:rPr>
          <w:rFonts w:ascii="Verdana" w:eastAsia="Times New Roman" w:hAnsi="Verdana" w:cs="Arial"/>
          <w:shd w:val="clear" w:color="auto" w:fill="FFFFFF"/>
          <w:lang w:eastAsia="es-ES_tradnl"/>
        </w:rPr>
        <w:t>, entre otros</w:t>
      </w:r>
      <w:r w:rsidRPr="00F62967">
        <w:rPr>
          <w:rStyle w:val="normaltextrun"/>
          <w:rFonts w:ascii="Verdana" w:hAnsi="Verdana" w:cs="Arial"/>
          <w:color w:val="7030A0"/>
          <w:shd w:val="clear" w:color="auto" w:fill="FFFFFF"/>
          <w:lang w:val="es-ES"/>
        </w:rPr>
        <w:t xml:space="preserve">. </w:t>
      </w:r>
      <w:r w:rsidRPr="00F62967">
        <w:rPr>
          <w:rFonts w:ascii="Verdana" w:hAnsi="Verdana" w:cs="Arial"/>
          <w:shd w:val="clear" w:color="auto" w:fill="FFFFFF"/>
        </w:rPr>
        <w:t xml:space="preserve">Estos y otros </w:t>
      </w:r>
      <w:r w:rsidRPr="00F62967">
        <w:rPr>
          <w:rFonts w:ascii="Verdana" w:hAnsi="Verdana" w:cs="Arial"/>
          <w:shd w:val="clear" w:color="auto" w:fill="FFFFFF"/>
        </w:rPr>
        <w:lastRenderedPageBreak/>
        <w:t xml:space="preserve">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4" w:tooltip="Dirección URL original: https://relatoria.colombiacompra.gov.co/. Haga clic o pulse si confía en este vínculo." w:history="1">
        <w:r w:rsidRPr="00F62967">
          <w:rPr>
            <w:rStyle w:val="Hipervnculo"/>
            <w:rFonts w:ascii="Verdana" w:hAnsi="Verdana" w:cs="Arial"/>
            <w:shd w:val="clear" w:color="auto" w:fill="FFFFFF"/>
          </w:rPr>
          <w:t>https://relatoria.colombiacompra.gov.co/</w:t>
        </w:r>
      </w:hyperlink>
      <w:r w:rsidRPr="00F62967">
        <w:rPr>
          <w:rFonts w:ascii="Verdana" w:hAnsi="Verdana" w:cs="Arial"/>
          <w:shd w:val="clear" w:color="auto" w:fill="FFFFFF"/>
        </w:rPr>
        <w:t xml:space="preserve">  </w:t>
      </w:r>
    </w:p>
    <w:p w14:paraId="18129564" w14:textId="77777777" w:rsidR="004C0691" w:rsidRPr="00F62967" w:rsidRDefault="004C0691" w:rsidP="004C0691">
      <w:pPr>
        <w:widowControl w:val="0"/>
        <w:autoSpaceDE w:val="0"/>
        <w:autoSpaceDN w:val="0"/>
        <w:spacing w:after="0" w:line="276" w:lineRule="auto"/>
        <w:jc w:val="both"/>
        <w:rPr>
          <w:rFonts w:ascii="Verdana" w:hAnsi="Verdana" w:cs="Arial"/>
          <w:shd w:val="clear" w:color="auto" w:fill="FFFFFF"/>
        </w:rPr>
      </w:pPr>
    </w:p>
    <w:p w14:paraId="3050324B" w14:textId="77777777" w:rsidR="00D818FA" w:rsidRPr="00F62967" w:rsidRDefault="00D818FA" w:rsidP="00D818FA">
      <w:pPr>
        <w:spacing w:after="0" w:line="240" w:lineRule="auto"/>
        <w:jc w:val="both"/>
        <w:rPr>
          <w:rFonts w:ascii="Verdana" w:hAnsi="Verdana" w:cs="Arial"/>
          <w:shd w:val="clear" w:color="auto" w:fill="FFFFFF"/>
        </w:rPr>
      </w:pPr>
      <w:r w:rsidRPr="00F62967">
        <w:rPr>
          <w:rFonts w:ascii="Verdana" w:hAnsi="Verdana" w:cs="Arial"/>
          <w:shd w:val="clear" w:color="auto" w:fill="FFFFFF"/>
        </w:rPr>
        <w:t>Te invitamos a revisar la cuarta edición del Boletín de Relatoría de 2024, en el cual se explicaron los cambios más relevantes que fueron incorporados en los Documentos Tipo para el sector de Infraestructura de Transporte, en las modalidades de selección de Licitación de Obra Pública, Selección Abreviada de Menor Cuantía y Mínima Cuantía. Puede consultarlo en el siguiente enlace : </w:t>
      </w:r>
      <w:hyperlink r:id="rId15" w:tgtFrame="_blank" w:tooltip="Dirección URL original: https://www.colombiacompra.gov.co/sala-de-prensa/boletin-digital/boletin-de-relatoria-2024-iv. Haga clic o pulse si confía en este vínculo." w:history="1">
        <w:r w:rsidRPr="00F62967">
          <w:rPr>
            <w:rStyle w:val="Hipervnculo"/>
            <w:rFonts w:ascii="Verdana" w:hAnsi="Verdana" w:cs="Arial"/>
            <w:shd w:val="clear" w:color="auto" w:fill="FFFFFF"/>
          </w:rPr>
          <w:t>BOLETÍN DE RELATORÍA 2024 – IV | Colombia Compra Eficiente | Agencia Nacional de Contratación Pública</w:t>
        </w:r>
      </w:hyperlink>
    </w:p>
    <w:p w14:paraId="786DA9C7" w14:textId="77777777" w:rsidR="004C0691" w:rsidRPr="00F62967" w:rsidRDefault="004C0691" w:rsidP="004C0691">
      <w:pPr>
        <w:widowControl w:val="0"/>
        <w:autoSpaceDE w:val="0"/>
        <w:autoSpaceDN w:val="0"/>
        <w:spacing w:after="0" w:line="276" w:lineRule="auto"/>
        <w:jc w:val="both"/>
        <w:rPr>
          <w:rFonts w:ascii="Verdana" w:hAnsi="Verdana" w:cs="Arial"/>
        </w:rPr>
      </w:pPr>
    </w:p>
    <w:p w14:paraId="22172F7B" w14:textId="77777777" w:rsidR="004C0691" w:rsidRPr="00F62967" w:rsidRDefault="004C0691" w:rsidP="004C0691">
      <w:pPr>
        <w:widowControl w:val="0"/>
        <w:autoSpaceDE w:val="0"/>
        <w:autoSpaceDN w:val="0"/>
        <w:spacing w:after="0" w:line="276" w:lineRule="auto"/>
        <w:jc w:val="both"/>
        <w:rPr>
          <w:rFonts w:ascii="Verdana" w:hAnsi="Verdana" w:cs="Arial"/>
          <w:lang w:val="es-ES_tradnl"/>
        </w:rPr>
      </w:pPr>
      <w:r w:rsidRPr="00F62967">
        <w:rPr>
          <w:rFonts w:ascii="Verdana" w:hAnsi="Verdana" w:cs="Arial"/>
        </w:rPr>
        <w:t xml:space="preserve">Este concepto tiene el alcance previsto en el artículo 28 del Código de Procedimiento Administrativo y de lo Contencioso Administrativo </w:t>
      </w:r>
      <w:r w:rsidRPr="00F62967">
        <w:rPr>
          <w:rFonts w:ascii="Verdana" w:hAnsi="Verdana" w:cs="Arial"/>
          <w:lang w:val="es-ES_tradnl"/>
        </w:rPr>
        <w:t>y las expresiones aquí utilizadas con mayúscula inicial deben ser entendidas con el significado que les otorga el artículo 2.2.1.1.1.3.1. del Decreto 1082 de 2015.</w:t>
      </w:r>
    </w:p>
    <w:p w14:paraId="6E8542A5" w14:textId="77777777" w:rsidR="004C0691" w:rsidRPr="00F62967" w:rsidRDefault="004C0691" w:rsidP="004C0691">
      <w:pPr>
        <w:widowControl w:val="0"/>
        <w:autoSpaceDE w:val="0"/>
        <w:autoSpaceDN w:val="0"/>
        <w:spacing w:after="0" w:line="276" w:lineRule="auto"/>
        <w:jc w:val="both"/>
        <w:rPr>
          <w:rFonts w:ascii="Verdana" w:hAnsi="Verdana" w:cs="Arial"/>
        </w:rPr>
      </w:pPr>
    </w:p>
    <w:p w14:paraId="095AA04B" w14:textId="77777777" w:rsidR="004C0691" w:rsidRPr="00F62967" w:rsidRDefault="004C0691" w:rsidP="004C0691">
      <w:pPr>
        <w:spacing w:after="0" w:line="276" w:lineRule="auto"/>
        <w:rPr>
          <w:rFonts w:ascii="Verdana" w:hAnsi="Verdana" w:cs="Arial"/>
          <w:lang w:eastAsia="es-CO"/>
        </w:rPr>
      </w:pPr>
      <w:r w:rsidRPr="00F62967">
        <w:rPr>
          <w:rFonts w:ascii="Verdana" w:eastAsia="Times New Roman" w:hAnsi="Verdana" w:cs="Arial"/>
          <w:lang w:eastAsia="es-CO"/>
        </w:rPr>
        <w:t>Atentamente,</w:t>
      </w:r>
      <w:r w:rsidRPr="00F62967">
        <w:rPr>
          <w:rFonts w:ascii="Verdana" w:hAnsi="Verdana" w:cs="Arial"/>
          <w:lang w:eastAsia="es-CO"/>
        </w:rPr>
        <w:t xml:space="preserve"> </w:t>
      </w:r>
    </w:p>
    <w:p w14:paraId="0DCCC0E2" w14:textId="2C9F5630" w:rsidR="00FC59CF" w:rsidRPr="00F62967" w:rsidRDefault="00F10FA4" w:rsidP="00FC59CF">
      <w:pPr>
        <w:widowControl w:val="0"/>
        <w:autoSpaceDE w:val="0"/>
        <w:autoSpaceDN w:val="0"/>
        <w:spacing w:after="0" w:line="276" w:lineRule="auto"/>
        <w:jc w:val="center"/>
        <w:rPr>
          <w:rFonts w:ascii="Verdana" w:hAnsi="Verdana" w:cs="Arial"/>
          <w:lang w:val="es-ES_tradnl"/>
        </w:rPr>
      </w:pPr>
      <w:r w:rsidRPr="002C3AD6">
        <w:rPr>
          <w:rFonts w:ascii="Century Gothic" w:hAnsi="Century Gothic"/>
          <w:noProof/>
        </w:rPr>
        <w:drawing>
          <wp:inline distT="0" distB="0" distL="0" distR="0" wp14:anchorId="77BA3232" wp14:editId="3D24A24C">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p w14:paraId="0310551A" w14:textId="77777777" w:rsidR="00FC59CF" w:rsidRPr="00F62967" w:rsidRDefault="00FC59CF" w:rsidP="00FC59CF">
      <w:pPr>
        <w:widowControl w:val="0"/>
        <w:autoSpaceDE w:val="0"/>
        <w:autoSpaceDN w:val="0"/>
        <w:spacing w:after="0" w:line="276" w:lineRule="auto"/>
        <w:jc w:val="both"/>
        <w:rPr>
          <w:rFonts w:ascii="Verdana" w:hAnsi="Verdana" w:cs="Arial"/>
          <w:lang w:val="es-ES_tradnl"/>
        </w:rPr>
      </w:pPr>
    </w:p>
    <w:p w14:paraId="249D865C" w14:textId="77777777" w:rsidR="00FC59CF" w:rsidRPr="00F62967" w:rsidRDefault="00FC59CF" w:rsidP="00FC59CF">
      <w:pPr>
        <w:widowControl w:val="0"/>
        <w:autoSpaceDE w:val="0"/>
        <w:autoSpaceDN w:val="0"/>
        <w:spacing w:after="0" w:line="276" w:lineRule="auto"/>
        <w:jc w:val="both"/>
        <w:rPr>
          <w:rFonts w:ascii="Verdana" w:hAnsi="Verdana" w:cs="Arial"/>
          <w:lang w:val="es-ES_tradnl"/>
        </w:rPr>
      </w:pPr>
    </w:p>
    <w:p w14:paraId="6D394405" w14:textId="77777777" w:rsidR="00FC59CF" w:rsidRPr="00F62967" w:rsidRDefault="00FC59CF" w:rsidP="00FC59CF">
      <w:pPr>
        <w:spacing w:line="276" w:lineRule="auto"/>
        <w:jc w:val="center"/>
        <w:rPr>
          <w:rFonts w:ascii="Verdana" w:hAnsi="Verdana" w:cs="Arial"/>
          <w:sz w:val="16"/>
          <w:szCs w:val="16"/>
          <w:lang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C59CF" w:rsidRPr="00F62967" w14:paraId="4A7CFA1B" w14:textId="77777777" w:rsidTr="008D1647">
        <w:trPr>
          <w:trHeight w:val="315"/>
        </w:trPr>
        <w:tc>
          <w:tcPr>
            <w:tcW w:w="893" w:type="dxa"/>
            <w:vAlign w:val="center"/>
            <w:hideMark/>
          </w:tcPr>
          <w:p w14:paraId="48F3772A" w14:textId="77777777" w:rsidR="00FC59CF" w:rsidRPr="00F62967" w:rsidRDefault="00FC59CF" w:rsidP="008D1647">
            <w:pPr>
              <w:contextualSpacing/>
              <w:rPr>
                <w:rFonts w:ascii="Verdana" w:hAnsi="Verdana" w:cs="Arial"/>
                <w:sz w:val="16"/>
                <w:szCs w:val="16"/>
                <w:lang w:eastAsia="es-CO"/>
              </w:rPr>
            </w:pPr>
            <w:r w:rsidRPr="00F62967">
              <w:rPr>
                <w:rFonts w:ascii="Verdana" w:hAnsi="Verdana" w:cs="Arial"/>
                <w:sz w:val="16"/>
                <w:szCs w:val="16"/>
                <w:lang w:eastAsia="es-CO"/>
              </w:rPr>
              <w:t>Elaboró:</w:t>
            </w:r>
          </w:p>
        </w:tc>
        <w:tc>
          <w:tcPr>
            <w:tcW w:w="5628" w:type="dxa"/>
            <w:tcBorders>
              <w:top w:val="nil"/>
              <w:left w:val="nil"/>
              <w:bottom w:val="dotted" w:sz="4" w:space="0" w:color="7F7F7F" w:themeColor="text1" w:themeTint="80"/>
              <w:right w:val="nil"/>
            </w:tcBorders>
            <w:vAlign w:val="center"/>
            <w:hideMark/>
          </w:tcPr>
          <w:p w14:paraId="3F2F7022" w14:textId="77777777" w:rsidR="00FC59CF" w:rsidRPr="00F62967" w:rsidRDefault="00FC59CF" w:rsidP="008D1647">
            <w:pPr>
              <w:contextualSpacing/>
              <w:rPr>
                <w:rFonts w:ascii="Verdana" w:hAnsi="Verdana" w:cs="Arial"/>
                <w:sz w:val="16"/>
                <w:szCs w:val="16"/>
                <w:lang w:eastAsia="es-CO"/>
              </w:rPr>
            </w:pPr>
            <w:r w:rsidRPr="00F62967">
              <w:rPr>
                <w:rFonts w:ascii="Verdana" w:hAnsi="Verdana" w:cs="Arial"/>
                <w:sz w:val="16"/>
                <w:szCs w:val="16"/>
                <w:lang w:eastAsia="es-CO"/>
              </w:rPr>
              <w:t xml:space="preserve">Diana Carolina Blanco Rodriguez </w:t>
            </w:r>
          </w:p>
          <w:p w14:paraId="19ED9515" w14:textId="77777777" w:rsidR="00FC59CF" w:rsidRPr="00F62967" w:rsidRDefault="00FC59CF" w:rsidP="008D1647">
            <w:pPr>
              <w:contextualSpacing/>
              <w:rPr>
                <w:rFonts w:ascii="Verdana" w:hAnsi="Verdana" w:cs="Arial"/>
                <w:sz w:val="16"/>
                <w:szCs w:val="16"/>
                <w:lang w:eastAsia="es-CO"/>
              </w:rPr>
            </w:pPr>
            <w:r w:rsidRPr="00F62967">
              <w:rPr>
                <w:rFonts w:ascii="Verdana" w:hAnsi="Verdana" w:cs="Arial"/>
                <w:sz w:val="16"/>
                <w:szCs w:val="16"/>
                <w:lang w:eastAsia="es-CO"/>
              </w:rPr>
              <w:t>Contratista de la Subdirección de Gestión Contractual</w:t>
            </w:r>
          </w:p>
        </w:tc>
      </w:tr>
      <w:tr w:rsidR="00FC59CF" w:rsidRPr="00F62967" w14:paraId="11DD5BBE" w14:textId="77777777" w:rsidTr="008D1647">
        <w:trPr>
          <w:trHeight w:val="330"/>
        </w:trPr>
        <w:tc>
          <w:tcPr>
            <w:tcW w:w="893" w:type="dxa"/>
            <w:vAlign w:val="center"/>
            <w:hideMark/>
          </w:tcPr>
          <w:p w14:paraId="3793AF7B" w14:textId="77777777" w:rsidR="00FC59CF" w:rsidRPr="00F62967" w:rsidRDefault="00FC59CF" w:rsidP="008D1647">
            <w:pPr>
              <w:contextualSpacing/>
              <w:rPr>
                <w:rFonts w:ascii="Verdana" w:hAnsi="Verdana" w:cs="Arial"/>
                <w:sz w:val="16"/>
                <w:szCs w:val="16"/>
                <w:lang w:eastAsia="es-CO"/>
              </w:rPr>
            </w:pPr>
            <w:r w:rsidRPr="00F62967">
              <w:rPr>
                <w:rFonts w:ascii="Verdana" w:hAnsi="Verdana" w:cs="Arial"/>
                <w:sz w:val="16"/>
                <w:szCs w:val="16"/>
                <w:lang w:eastAsia="es-CO"/>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7BFDB13" w14:textId="23D98F6A" w:rsidR="00FC59CF" w:rsidRPr="00F62967" w:rsidRDefault="006430AB" w:rsidP="008D1647">
            <w:pPr>
              <w:contextualSpacing/>
              <w:textAlignment w:val="baseline"/>
              <w:rPr>
                <w:rFonts w:ascii="Verdana" w:hAnsi="Verdana" w:cs="Arial"/>
                <w:sz w:val="16"/>
                <w:szCs w:val="16"/>
                <w:lang w:eastAsia="es-CO"/>
              </w:rPr>
            </w:pPr>
            <w:r>
              <w:rPr>
                <w:rFonts w:ascii="Verdana" w:hAnsi="Verdana" w:cs="Arial"/>
                <w:sz w:val="16"/>
                <w:szCs w:val="16"/>
                <w:lang w:eastAsia="es-CO"/>
              </w:rPr>
              <w:t>Adriana López</w:t>
            </w:r>
          </w:p>
          <w:p w14:paraId="56443620" w14:textId="77777777" w:rsidR="00FC59CF" w:rsidRPr="00F62967" w:rsidRDefault="00FC59CF" w:rsidP="008D1647">
            <w:pPr>
              <w:contextualSpacing/>
              <w:textAlignment w:val="baseline"/>
              <w:rPr>
                <w:rFonts w:ascii="Verdana" w:hAnsi="Verdana" w:cs="Arial"/>
                <w:sz w:val="16"/>
                <w:szCs w:val="16"/>
                <w:lang w:eastAsia="es-CO"/>
              </w:rPr>
            </w:pPr>
            <w:r w:rsidRPr="00F62967">
              <w:rPr>
                <w:rFonts w:ascii="Verdana" w:hAnsi="Verdana" w:cs="Arial"/>
                <w:sz w:val="16"/>
                <w:szCs w:val="16"/>
                <w:lang w:eastAsia="es-CO"/>
              </w:rPr>
              <w:t>Contratista de la Subdirección de Gestión Contractual </w:t>
            </w:r>
          </w:p>
        </w:tc>
      </w:tr>
      <w:tr w:rsidR="00FC59CF" w:rsidRPr="00F62967" w14:paraId="7210B759" w14:textId="77777777" w:rsidTr="008D1647">
        <w:trPr>
          <w:trHeight w:val="300"/>
        </w:trPr>
        <w:tc>
          <w:tcPr>
            <w:tcW w:w="893" w:type="dxa"/>
            <w:vAlign w:val="center"/>
          </w:tcPr>
          <w:p w14:paraId="741553FF" w14:textId="77777777" w:rsidR="00FC59CF" w:rsidRPr="00F62967" w:rsidRDefault="00FC59CF" w:rsidP="008D1647">
            <w:pPr>
              <w:contextualSpacing/>
              <w:rPr>
                <w:rFonts w:ascii="Verdana" w:hAnsi="Verdana" w:cs="Arial"/>
                <w:sz w:val="16"/>
                <w:szCs w:val="16"/>
                <w:lang w:eastAsia="es-CO"/>
              </w:rPr>
            </w:pPr>
            <w:r w:rsidRPr="00F62967">
              <w:rPr>
                <w:rFonts w:ascii="Verdana" w:hAnsi="Verdana" w:cs="Arial"/>
                <w:sz w:val="16"/>
                <w:szCs w:val="16"/>
                <w:lang w:eastAsia="es-CO"/>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14464E1" w14:textId="77777777" w:rsidR="00FC59CF" w:rsidRPr="00F62967" w:rsidRDefault="00FC59CF" w:rsidP="008D1647">
            <w:pPr>
              <w:contextualSpacing/>
              <w:rPr>
                <w:rFonts w:ascii="Verdana" w:hAnsi="Verdana" w:cs="Arial"/>
                <w:sz w:val="16"/>
                <w:szCs w:val="16"/>
                <w:lang w:eastAsia="es-CO"/>
              </w:rPr>
            </w:pPr>
            <w:r w:rsidRPr="00F62967">
              <w:rPr>
                <w:rFonts w:ascii="Verdana" w:hAnsi="Verdana" w:cs="Arial"/>
                <w:sz w:val="16"/>
                <w:szCs w:val="16"/>
                <w:lang w:eastAsia="es-CO"/>
              </w:rPr>
              <w:t xml:space="preserve">Carolina Quintero </w:t>
            </w:r>
            <w:proofErr w:type="spellStart"/>
            <w:r w:rsidRPr="00F62967">
              <w:rPr>
                <w:rFonts w:ascii="Verdana" w:hAnsi="Verdana" w:cs="Arial"/>
                <w:sz w:val="16"/>
                <w:szCs w:val="16"/>
                <w:lang w:eastAsia="es-CO"/>
              </w:rPr>
              <w:t>Gacharná</w:t>
            </w:r>
            <w:proofErr w:type="spellEnd"/>
          </w:p>
          <w:p w14:paraId="67DF06B2" w14:textId="77777777" w:rsidR="00FC59CF" w:rsidRPr="00F62967" w:rsidRDefault="00FC59CF" w:rsidP="008D1647">
            <w:pPr>
              <w:contextualSpacing/>
              <w:rPr>
                <w:rFonts w:ascii="Verdana" w:hAnsi="Verdana" w:cs="Arial"/>
                <w:sz w:val="16"/>
                <w:szCs w:val="16"/>
                <w:lang w:eastAsia="es-CO"/>
              </w:rPr>
            </w:pPr>
            <w:r w:rsidRPr="00F62967">
              <w:rPr>
                <w:rFonts w:ascii="Verdana" w:hAnsi="Verdana" w:cs="Arial"/>
                <w:sz w:val="16"/>
                <w:szCs w:val="16"/>
                <w:lang w:eastAsia="es-CO"/>
              </w:rPr>
              <w:t>Subdirectora de Gestión Contractual ANCP – CCE</w:t>
            </w:r>
          </w:p>
        </w:tc>
      </w:tr>
      <w:bookmarkEnd w:id="0"/>
      <w:bookmarkEnd w:id="1"/>
    </w:tbl>
    <w:p w14:paraId="0656C5A0" w14:textId="77777777" w:rsidR="00FC59CF" w:rsidRPr="00F62967" w:rsidRDefault="00FC59CF" w:rsidP="00D818FA">
      <w:pPr>
        <w:rPr>
          <w:rFonts w:ascii="Verdana" w:hAnsi="Verdana"/>
          <w:lang w:val="es-ES_tradnl"/>
        </w:rPr>
      </w:pPr>
    </w:p>
    <w:sectPr w:rsidR="00FC59CF" w:rsidRPr="00F62967"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E34E6C" w14:textId="77777777" w:rsidR="00DA705E" w:rsidRDefault="00DA705E" w:rsidP="004A1847">
      <w:pPr>
        <w:spacing w:after="0" w:line="240" w:lineRule="auto"/>
      </w:pPr>
      <w:r>
        <w:separator/>
      </w:r>
    </w:p>
  </w:endnote>
  <w:endnote w:type="continuationSeparator" w:id="0">
    <w:p w14:paraId="4AFA6DD5" w14:textId="77777777" w:rsidR="00DA705E" w:rsidRDefault="00DA705E" w:rsidP="004A1847">
      <w:pPr>
        <w:spacing w:after="0" w:line="240" w:lineRule="auto"/>
      </w:pPr>
      <w:r>
        <w:continuationSeparator/>
      </w:r>
    </w:p>
  </w:endnote>
  <w:endnote w:type="continuationNotice" w:id="1">
    <w:p w14:paraId="34DA4E91" w14:textId="77777777" w:rsidR="00DA705E" w:rsidRDefault="00DA705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2AE619" w14:textId="77777777" w:rsidR="00DA705E" w:rsidRDefault="00DA705E" w:rsidP="004A1847">
      <w:pPr>
        <w:spacing w:after="0" w:line="240" w:lineRule="auto"/>
      </w:pPr>
      <w:r>
        <w:separator/>
      </w:r>
    </w:p>
  </w:footnote>
  <w:footnote w:type="continuationSeparator" w:id="0">
    <w:p w14:paraId="24502AEE" w14:textId="77777777" w:rsidR="00DA705E" w:rsidRDefault="00DA705E" w:rsidP="004A1847">
      <w:pPr>
        <w:spacing w:after="0" w:line="240" w:lineRule="auto"/>
      </w:pPr>
      <w:r>
        <w:continuationSeparator/>
      </w:r>
    </w:p>
  </w:footnote>
  <w:footnote w:type="continuationNotice" w:id="1">
    <w:p w14:paraId="361E16D6" w14:textId="77777777" w:rsidR="00DA705E" w:rsidRDefault="00DA705E">
      <w:pPr>
        <w:spacing w:after="0" w:line="240" w:lineRule="auto"/>
      </w:pPr>
    </w:p>
  </w:footnote>
  <w:footnote w:id="2">
    <w:p w14:paraId="780E18F2" w14:textId="28091330" w:rsidR="00112AEB" w:rsidRPr="004A56C7" w:rsidRDefault="00112AEB" w:rsidP="00112AEB">
      <w:pPr>
        <w:pStyle w:val="Textonotapie"/>
        <w:ind w:firstLine="708"/>
        <w:jc w:val="both"/>
        <w:rPr>
          <w:rFonts w:ascii="Arial" w:hAnsi="Arial" w:cs="Arial"/>
          <w:sz w:val="14"/>
          <w:szCs w:val="14"/>
          <w:lang w:val="es-ES"/>
        </w:rPr>
      </w:pPr>
      <w:r w:rsidRPr="004A56C7">
        <w:rPr>
          <w:rStyle w:val="Refdenotaalpie"/>
          <w:rFonts w:ascii="Arial" w:hAnsi="Arial" w:cs="Arial"/>
          <w:sz w:val="14"/>
          <w:szCs w:val="14"/>
        </w:rPr>
        <w:footnoteRef/>
      </w:r>
      <w:r w:rsidRPr="004A56C7">
        <w:rPr>
          <w:rFonts w:ascii="Arial" w:hAnsi="Arial" w:cs="Arial"/>
          <w:sz w:val="14"/>
          <w:szCs w:val="14"/>
        </w:rPr>
        <w:t xml:space="preserve"> </w:t>
      </w:r>
      <w:r w:rsidRPr="00112AEB">
        <w:rPr>
          <w:rFonts w:ascii="Arial" w:hAnsi="Arial" w:cs="Arial"/>
          <w:sz w:val="14"/>
          <w:szCs w:val="14"/>
          <w:lang w:val="es-CO"/>
        </w:rPr>
        <w:t>Consejo de Estado. Sección Segunda. Sentencia del 9 de septiembre de 2021. Expediente No. 05001-23-33-000-2013-01143- 01(1317-16). M.P. Dra. Sandra Lisset Ibarra Vélez</w:t>
      </w:r>
    </w:p>
  </w:footnote>
  <w:footnote w:id="3">
    <w:p w14:paraId="45AC36D4" w14:textId="77777777" w:rsidR="00645326" w:rsidRPr="004A56C7" w:rsidRDefault="00645326" w:rsidP="00645326">
      <w:pPr>
        <w:spacing w:after="0" w:line="240" w:lineRule="auto"/>
        <w:ind w:left="120" w:firstLine="707"/>
        <w:jc w:val="both"/>
        <w:rPr>
          <w:rFonts w:ascii="Arial" w:hAnsi="Arial" w:cs="Arial"/>
          <w:sz w:val="14"/>
          <w:szCs w:val="14"/>
        </w:rPr>
      </w:pPr>
      <w:r w:rsidRPr="004A56C7">
        <w:rPr>
          <w:rStyle w:val="Refdenotaalpie"/>
          <w:rFonts w:ascii="Arial" w:hAnsi="Arial" w:cs="Arial"/>
          <w:sz w:val="14"/>
          <w:szCs w:val="14"/>
        </w:rPr>
        <w:footnoteRef/>
      </w:r>
      <w:r w:rsidRPr="004A56C7">
        <w:rPr>
          <w:rFonts w:ascii="Arial" w:hAnsi="Arial" w:cs="Arial"/>
          <w:position w:val="6"/>
          <w:sz w:val="14"/>
          <w:szCs w:val="14"/>
        </w:rPr>
        <w:t xml:space="preserve"> </w:t>
      </w:r>
      <w:r w:rsidRPr="004A56C7">
        <w:rPr>
          <w:rFonts w:ascii="Arial" w:hAnsi="Arial" w:cs="Arial"/>
          <w:sz w:val="14"/>
          <w:szCs w:val="14"/>
        </w:rPr>
        <w:t>DEIK ACOSTAMADIEDO, Carolina, Guía de Contratación Estatal: Deber de planeación y modalidades de selección, Buenos Aires, 2015, p. 59.</w:t>
      </w:r>
    </w:p>
  </w:footnote>
  <w:footnote w:id="4">
    <w:p w14:paraId="7AC04D8F" w14:textId="77777777" w:rsidR="00645326" w:rsidRPr="004A56C7" w:rsidRDefault="00645326" w:rsidP="00645326">
      <w:pPr>
        <w:pStyle w:val="Textonotapie"/>
        <w:ind w:firstLine="708"/>
        <w:jc w:val="both"/>
        <w:rPr>
          <w:rFonts w:ascii="Arial" w:hAnsi="Arial" w:cs="Arial"/>
          <w:sz w:val="14"/>
          <w:szCs w:val="14"/>
          <w:lang w:val="pt-BR"/>
        </w:rPr>
      </w:pPr>
      <w:r w:rsidRPr="004A56C7">
        <w:rPr>
          <w:rStyle w:val="Refdenotaalpie"/>
          <w:rFonts w:ascii="Arial" w:hAnsi="Arial" w:cs="Arial"/>
          <w:sz w:val="14"/>
          <w:szCs w:val="14"/>
        </w:rPr>
        <w:footnoteRef/>
      </w:r>
      <w:r w:rsidRPr="004A56C7">
        <w:rPr>
          <w:rFonts w:ascii="Arial" w:hAnsi="Arial" w:cs="Arial"/>
          <w:sz w:val="14"/>
          <w:szCs w:val="14"/>
          <w:lang w:val="pt-BR"/>
        </w:rPr>
        <w:t xml:space="preserve"> Tomado de </w:t>
      </w:r>
      <w:hyperlink r:id="rId1" w:history="1">
        <w:r w:rsidRPr="004A56C7">
          <w:rPr>
            <w:rStyle w:val="Hipervnculo"/>
            <w:rFonts w:ascii="Arial" w:hAnsi="Arial" w:cs="Arial"/>
            <w:color w:val="44546A" w:themeColor="text2"/>
            <w:sz w:val="14"/>
            <w:szCs w:val="14"/>
            <w:lang w:val="pt-BR"/>
          </w:rPr>
          <w:t>https://sintesis.colombiacompra.gov.co/sintesis/9-etapa-precontractual-estudios-previos</w:t>
        </w:r>
      </w:hyperlink>
      <w:r w:rsidRPr="004A56C7">
        <w:rPr>
          <w:rFonts w:ascii="Arial" w:hAnsi="Arial" w:cs="Arial"/>
          <w:sz w:val="14"/>
          <w:szCs w:val="14"/>
          <w:lang w:val="pt-BR"/>
        </w:rPr>
        <w:t>.</w:t>
      </w:r>
    </w:p>
  </w:footnote>
  <w:footnote w:id="5">
    <w:p w14:paraId="3E6C7264" w14:textId="708D7CB0" w:rsidR="00645326" w:rsidRPr="004A56C7" w:rsidRDefault="00645326" w:rsidP="00645326">
      <w:pPr>
        <w:pStyle w:val="Textoindependiente"/>
        <w:spacing w:after="0" w:line="240" w:lineRule="auto"/>
        <w:ind w:right="103" w:firstLine="709"/>
        <w:jc w:val="both"/>
        <w:rPr>
          <w:rFonts w:ascii="Arial" w:hAnsi="Arial" w:cs="Arial"/>
          <w:sz w:val="14"/>
          <w:szCs w:val="14"/>
        </w:rPr>
      </w:pPr>
      <w:r w:rsidRPr="004A56C7">
        <w:rPr>
          <w:rStyle w:val="Refdenotaalpie"/>
          <w:rFonts w:ascii="Arial" w:hAnsi="Arial" w:cs="Arial"/>
          <w:sz w:val="14"/>
          <w:szCs w:val="14"/>
        </w:rPr>
        <w:footnoteRef/>
      </w:r>
      <w:r w:rsidRPr="004A56C7">
        <w:rPr>
          <w:rFonts w:ascii="Arial" w:hAnsi="Arial" w:cs="Arial"/>
          <w:sz w:val="14"/>
          <w:szCs w:val="14"/>
        </w:rPr>
        <w:t xml:space="preserve"> </w:t>
      </w:r>
      <w:r w:rsidRPr="004A56C7">
        <w:rPr>
          <w:rFonts w:ascii="Arial" w:hAnsi="Arial" w:cs="Arial"/>
          <w:position w:val="6"/>
          <w:sz w:val="14"/>
          <w:szCs w:val="14"/>
        </w:rPr>
        <w:t xml:space="preserve"> </w:t>
      </w:r>
      <w:r w:rsidR="006430AB">
        <w:rPr>
          <w:rFonts w:ascii="Arial" w:hAnsi="Arial" w:cs="Arial"/>
          <w:sz w:val="14"/>
          <w:szCs w:val="14"/>
        </w:rPr>
        <w:t>“</w:t>
      </w:r>
      <w:r w:rsidRPr="004A56C7">
        <w:rPr>
          <w:rFonts w:ascii="Arial" w:hAnsi="Arial" w:cs="Arial"/>
          <w:sz w:val="14"/>
          <w:szCs w:val="14"/>
        </w:rPr>
        <w:t xml:space="preserve">Artículo </w:t>
      </w:r>
      <w:bookmarkStart w:id="3" w:name="_Hlk54173885"/>
      <w:r w:rsidRPr="004A56C7">
        <w:rPr>
          <w:rFonts w:ascii="Arial" w:hAnsi="Arial" w:cs="Arial"/>
          <w:sz w:val="14"/>
          <w:szCs w:val="14"/>
        </w:rPr>
        <w:t>2.2.1.1.2.1.1</w:t>
      </w:r>
      <w:bookmarkEnd w:id="3"/>
      <w:r w:rsidRPr="004A56C7">
        <w:rPr>
          <w:rFonts w:ascii="Arial" w:hAnsi="Arial" w:cs="Arial"/>
          <w:sz w:val="14"/>
          <w:szCs w:val="14"/>
        </w:rPr>
        <w:t>. Estudios y documentos previos. Los estudios y documentos previos son el soporte para elaborar el proyecto de pliegos, los pliegos de condiciones, y el contrato. Deben permanecer a disposición del público durante el desarrollo del Proceso de Contratación y contener los siguientes elementos, además de los indicados para cada modalidad de selección: (…)</w:t>
      </w:r>
      <w:r w:rsidR="006430AB">
        <w:rPr>
          <w:rFonts w:ascii="Arial" w:hAnsi="Arial" w:cs="Arial"/>
          <w:sz w:val="14"/>
          <w:szCs w:val="14"/>
        </w:rPr>
        <w:t>”</w:t>
      </w:r>
      <w:r w:rsidRPr="004A56C7">
        <w:rPr>
          <w:rFonts w:ascii="Arial" w:hAnsi="Arial" w:cs="Arial"/>
          <w:sz w:val="14"/>
          <w:szCs w:val="14"/>
        </w:rPr>
        <w:t>.</w:t>
      </w:r>
    </w:p>
  </w:footnote>
  <w:footnote w:id="6">
    <w:p w14:paraId="616D4184" w14:textId="0A975C53" w:rsidR="00645326" w:rsidRPr="004A56C7" w:rsidRDefault="00645326" w:rsidP="00645326">
      <w:pPr>
        <w:pStyle w:val="Textoindependiente"/>
        <w:spacing w:after="0" w:line="240" w:lineRule="auto"/>
        <w:ind w:right="108" w:firstLine="708"/>
        <w:jc w:val="both"/>
        <w:rPr>
          <w:rFonts w:ascii="Arial" w:hAnsi="Arial" w:cs="Arial"/>
          <w:sz w:val="14"/>
          <w:szCs w:val="14"/>
        </w:rPr>
      </w:pPr>
      <w:r w:rsidRPr="004A56C7">
        <w:rPr>
          <w:rStyle w:val="Refdenotaalpie"/>
          <w:rFonts w:ascii="Arial" w:hAnsi="Arial" w:cs="Arial"/>
          <w:sz w:val="14"/>
          <w:szCs w:val="14"/>
        </w:rPr>
        <w:footnoteRef/>
      </w:r>
      <w:r w:rsidRPr="004A56C7">
        <w:rPr>
          <w:rFonts w:ascii="Arial" w:hAnsi="Arial" w:cs="Arial"/>
          <w:sz w:val="14"/>
          <w:szCs w:val="14"/>
        </w:rPr>
        <w:t xml:space="preserve"> Consejo de Estado, Sala de lo Contencioso Administrativo. Sección Tercera, Subsección B, 31 de agosto de 2011, </w:t>
      </w:r>
      <w:proofErr w:type="spellStart"/>
      <w:r w:rsidRPr="004A56C7">
        <w:rPr>
          <w:rFonts w:ascii="Arial" w:hAnsi="Arial" w:cs="Arial"/>
          <w:sz w:val="14"/>
          <w:szCs w:val="14"/>
        </w:rPr>
        <w:t>exp</w:t>
      </w:r>
      <w:proofErr w:type="spellEnd"/>
      <w:r w:rsidRPr="004A56C7">
        <w:rPr>
          <w:rFonts w:ascii="Arial" w:hAnsi="Arial" w:cs="Arial"/>
          <w:sz w:val="14"/>
          <w:szCs w:val="14"/>
        </w:rPr>
        <w:t xml:space="preserve">. 18080, C.P. Ruth Stella Correa Palacio: </w:t>
      </w:r>
      <w:r w:rsidR="006430AB">
        <w:rPr>
          <w:rFonts w:ascii="Arial" w:hAnsi="Arial" w:cs="Arial"/>
          <w:sz w:val="14"/>
          <w:szCs w:val="14"/>
        </w:rPr>
        <w:t>“</w:t>
      </w:r>
      <w:r w:rsidRPr="004A56C7">
        <w:rPr>
          <w:rFonts w:ascii="Arial" w:hAnsi="Arial" w:cs="Arial"/>
          <w:sz w:val="14"/>
          <w:szCs w:val="14"/>
        </w:rPr>
        <w:t>(…) recuérdese que la aplicación de la buena fe en materia negocial implica para las partes la observancia la observancia de una conducta enmarcada dentro del contexto de los deberes de corrección, claridad y recíproca lealtad que se deben los contratantes, para remitir la realización de los efectos finales buscados en el contrato</w:t>
      </w:r>
      <w:r w:rsidR="006430AB">
        <w:rPr>
          <w:rFonts w:ascii="Arial" w:hAnsi="Arial" w:cs="Arial"/>
          <w:sz w:val="14"/>
          <w:szCs w:val="14"/>
        </w:rPr>
        <w:t>”</w:t>
      </w:r>
      <w:r w:rsidRPr="004A56C7">
        <w:rPr>
          <w:rFonts w:ascii="Arial" w:hAnsi="Arial" w:cs="Arial"/>
          <w:sz w:val="14"/>
          <w:szCs w:val="14"/>
        </w:rPr>
        <w:t>.</w:t>
      </w:r>
    </w:p>
  </w:footnote>
  <w:footnote w:id="7">
    <w:p w14:paraId="377740F7" w14:textId="5F7505B9" w:rsidR="00645326" w:rsidRPr="004A56C7" w:rsidRDefault="00645326" w:rsidP="00645326">
      <w:pPr>
        <w:pStyle w:val="Textonotapie"/>
        <w:ind w:firstLine="708"/>
        <w:jc w:val="both"/>
        <w:rPr>
          <w:rFonts w:ascii="Arial" w:hAnsi="Arial" w:cs="Arial"/>
          <w:sz w:val="14"/>
          <w:szCs w:val="14"/>
          <w:lang w:val="es-ES"/>
        </w:rPr>
      </w:pPr>
      <w:r w:rsidRPr="004A56C7">
        <w:rPr>
          <w:rStyle w:val="Refdenotaalpie"/>
          <w:rFonts w:ascii="Arial" w:hAnsi="Arial" w:cs="Arial"/>
          <w:sz w:val="14"/>
          <w:szCs w:val="14"/>
        </w:rPr>
        <w:footnoteRef/>
      </w:r>
      <w:r w:rsidRPr="004A56C7">
        <w:rPr>
          <w:rFonts w:ascii="Arial" w:hAnsi="Arial" w:cs="Arial"/>
          <w:sz w:val="14"/>
          <w:szCs w:val="14"/>
        </w:rPr>
        <w:t xml:space="preserve"> </w:t>
      </w:r>
      <w:r w:rsidRPr="004A56C7">
        <w:rPr>
          <w:rFonts w:ascii="Arial" w:hAnsi="Arial" w:cs="Arial"/>
          <w:sz w:val="14"/>
          <w:szCs w:val="14"/>
          <w:lang w:val="es-ES"/>
        </w:rPr>
        <w:t xml:space="preserve">La </w:t>
      </w:r>
      <w:r w:rsidR="006430AB">
        <w:rPr>
          <w:rFonts w:ascii="Arial" w:eastAsia="Calibri" w:hAnsi="Arial" w:cs="Arial"/>
          <w:bCs/>
          <w:sz w:val="14"/>
          <w:szCs w:val="14"/>
          <w:lang w:val="es-ES_tradnl"/>
        </w:rPr>
        <w:t>“</w:t>
      </w:r>
      <w:r w:rsidRPr="004A56C7">
        <w:rPr>
          <w:rFonts w:ascii="Arial" w:eastAsia="Calibri" w:hAnsi="Arial" w:cs="Arial"/>
          <w:bCs/>
          <w:sz w:val="14"/>
          <w:szCs w:val="14"/>
          <w:lang w:val="es-ES_tradnl"/>
        </w:rPr>
        <w:t>Guía para la Elaboración de Estudios del Sector</w:t>
      </w:r>
      <w:r w:rsidR="006430AB">
        <w:rPr>
          <w:rFonts w:ascii="Arial" w:eastAsia="Calibri" w:hAnsi="Arial" w:cs="Arial"/>
          <w:bCs/>
          <w:sz w:val="14"/>
          <w:szCs w:val="14"/>
          <w:lang w:val="es-ES_tradnl"/>
        </w:rPr>
        <w:t>”</w:t>
      </w:r>
      <w:r w:rsidRPr="004A56C7">
        <w:rPr>
          <w:rFonts w:ascii="Arial" w:eastAsia="Calibri" w:hAnsi="Arial" w:cs="Arial"/>
          <w:bCs/>
          <w:sz w:val="14"/>
          <w:szCs w:val="14"/>
          <w:lang w:val="es-ES_tradnl"/>
        </w:rPr>
        <w:t xml:space="preserve"> puede ser consultada en el siguiente </w:t>
      </w:r>
      <w:proofErr w:type="gramStart"/>
      <w:r w:rsidRPr="004A56C7">
        <w:rPr>
          <w:rFonts w:ascii="Arial" w:eastAsia="Calibri" w:hAnsi="Arial" w:cs="Arial"/>
          <w:bCs/>
          <w:sz w:val="14"/>
          <w:szCs w:val="14"/>
          <w:lang w:val="es-ES_tradnl"/>
        </w:rPr>
        <w:t>link</w:t>
      </w:r>
      <w:proofErr w:type="gramEnd"/>
      <w:r w:rsidRPr="004A56C7">
        <w:rPr>
          <w:rFonts w:ascii="Arial" w:eastAsia="Calibri" w:hAnsi="Arial" w:cs="Arial"/>
          <w:bCs/>
          <w:sz w:val="14"/>
          <w:szCs w:val="14"/>
          <w:lang w:val="es-ES_tradnl"/>
        </w:rPr>
        <w:t>:</w:t>
      </w:r>
      <w:r w:rsidRPr="004A56C7">
        <w:rPr>
          <w:rFonts w:ascii="Arial" w:hAnsi="Arial" w:cs="Arial"/>
          <w:sz w:val="14"/>
          <w:szCs w:val="14"/>
          <w:lang w:val="es-ES"/>
        </w:rPr>
        <w:t xml:space="preserve"> https://www.colombiacompra.gov.co/sites/cce_public/files/cce_documentos/cce-eicp-gi-18._gees_v.2_2.pdf</w:t>
      </w:r>
    </w:p>
  </w:footnote>
  <w:footnote w:id="8">
    <w:p w14:paraId="2CC39C53" w14:textId="77777777" w:rsidR="00F62967" w:rsidRPr="004A56C7" w:rsidRDefault="00F62967" w:rsidP="00F62967">
      <w:pPr>
        <w:pStyle w:val="Textonotapie"/>
        <w:ind w:firstLine="708"/>
        <w:jc w:val="both"/>
        <w:rPr>
          <w:rFonts w:ascii="Arial" w:hAnsi="Arial" w:cs="Arial"/>
          <w:sz w:val="14"/>
          <w:szCs w:val="14"/>
        </w:rPr>
      </w:pPr>
      <w:r w:rsidRPr="004A56C7">
        <w:rPr>
          <w:rStyle w:val="Refdenotaalpie"/>
          <w:rFonts w:ascii="Arial" w:hAnsi="Arial" w:cs="Arial"/>
          <w:sz w:val="14"/>
          <w:szCs w:val="14"/>
        </w:rPr>
        <w:footnoteRef/>
      </w:r>
      <w:r w:rsidRPr="004A56C7">
        <w:rPr>
          <w:rFonts w:ascii="Arial" w:hAnsi="Arial" w:cs="Arial"/>
          <w:sz w:val="14"/>
          <w:szCs w:val="14"/>
        </w:rPr>
        <w:t xml:space="preserve"> De igual forma la Agencia de Nacional de Contratación Pública -Colombia Compra Eficiente- trató el tema objeto de estudio en conceptos del año 2019, identificados con los radicados </w:t>
      </w:r>
      <w:r w:rsidRPr="004A56C7">
        <w:rPr>
          <w:rFonts w:ascii="Arial" w:eastAsia="Calibri" w:hAnsi="Arial" w:cs="Arial"/>
          <w:sz w:val="14"/>
          <w:szCs w:val="14"/>
        </w:rPr>
        <w:t>No. 4201913000004738 del 28 de agosto de 2019, 4201913000004742 del 28 de agosto de 2019, 4201913000005174 del 21 de agosto de 2019, 4201913000005216 del 13 de agosto de 2019, 4201913000005230 del 21 de agosto de 2019, 4201912000005860 del 30 de septiembre de 2019, 4201912000005902 del 16 de octubre de 2019, 4201913000005944 del 7 de octubre de 2019, 4201913000006018 del 10 de octubre de 2019, 4201912000005902 del 16 de octubre de  2019, 4201913000006444 del 1 de noviembre de 2019, 4201912000006692 del 12 de noviembre de 2019, 4201912000007378 del 11 de noviembre de 2019 y 4201912000007781 del 26 de diciembre de 2019.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0.5pt;height:10.5pt" o:bullet="t">
        <v:imagedata r:id="rId1" o:title="mso1B13"/>
      </v:shape>
    </w:pict>
  </w:numPicBullet>
  <w:abstractNum w:abstractNumId="0" w15:restartNumberingAfterBreak="0">
    <w:nsid w:val="01C06310"/>
    <w:multiLevelType w:val="multilevel"/>
    <w:tmpl w:val="F48E76D0"/>
    <w:lvl w:ilvl="0">
      <w:start w:val="1"/>
      <w:numFmt w:val="decimal"/>
      <w:lvlText w:val="%1."/>
      <w:lvlJc w:val="lef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B6232F7"/>
    <w:multiLevelType w:val="hybridMultilevel"/>
    <w:tmpl w:val="D62AC53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CF64647"/>
    <w:multiLevelType w:val="hybridMultilevel"/>
    <w:tmpl w:val="A082085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5" w15:restartNumberingAfterBreak="0">
    <w:nsid w:val="1E555601"/>
    <w:multiLevelType w:val="hybridMultilevel"/>
    <w:tmpl w:val="6452189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22362711"/>
    <w:multiLevelType w:val="hybridMultilevel"/>
    <w:tmpl w:val="ECE6E2FE"/>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7" w15:restartNumberingAfterBreak="0">
    <w:nsid w:val="247149CA"/>
    <w:multiLevelType w:val="hybridMultilevel"/>
    <w:tmpl w:val="3A2AE60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88D6515"/>
    <w:multiLevelType w:val="hybridMultilevel"/>
    <w:tmpl w:val="67407C5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29C768F7"/>
    <w:multiLevelType w:val="hybridMultilevel"/>
    <w:tmpl w:val="1B42F59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43AC6107"/>
    <w:multiLevelType w:val="hybridMultilevel"/>
    <w:tmpl w:val="40D22840"/>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18" w15:restartNumberingAfterBreak="0">
    <w:nsid w:val="626515E4"/>
    <w:multiLevelType w:val="hybridMultilevel"/>
    <w:tmpl w:val="8B3A906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0" w15:restartNumberingAfterBreak="0">
    <w:nsid w:val="66076C83"/>
    <w:multiLevelType w:val="hybridMultilevel"/>
    <w:tmpl w:val="6C6A9D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04F451B"/>
    <w:multiLevelType w:val="hybridMultilevel"/>
    <w:tmpl w:val="A2482FFA"/>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26" w15:restartNumberingAfterBreak="0">
    <w:nsid w:val="75DD7E24"/>
    <w:multiLevelType w:val="hybridMultilevel"/>
    <w:tmpl w:val="729A0998"/>
    <w:lvl w:ilvl="0" w:tplc="D03054F4">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948779781">
    <w:abstractNumId w:val="13"/>
  </w:num>
  <w:num w:numId="2" w16cid:durableId="19822139">
    <w:abstractNumId w:val="2"/>
  </w:num>
  <w:num w:numId="3" w16cid:durableId="876742304">
    <w:abstractNumId w:val="11"/>
  </w:num>
  <w:num w:numId="4" w16cid:durableId="24518640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23"/>
  </w:num>
  <w:num w:numId="7" w16cid:durableId="1946422806">
    <w:abstractNumId w:val="12"/>
  </w:num>
  <w:num w:numId="8" w16cid:durableId="152644682">
    <w:abstractNumId w:val="22"/>
  </w:num>
  <w:num w:numId="9" w16cid:durableId="1317221377">
    <w:abstractNumId w:val="14"/>
  </w:num>
  <w:num w:numId="10" w16cid:durableId="1471245386">
    <w:abstractNumId w:val="21"/>
  </w:num>
  <w:num w:numId="11" w16cid:durableId="289172385">
    <w:abstractNumId w:val="15"/>
  </w:num>
  <w:num w:numId="12" w16cid:durableId="1470781324">
    <w:abstractNumId w:val="1"/>
  </w:num>
  <w:num w:numId="13" w16cid:durableId="1512908409">
    <w:abstractNumId w:val="8"/>
  </w:num>
  <w:num w:numId="14" w16cid:durableId="895897244">
    <w:abstractNumId w:val="24"/>
  </w:num>
  <w:num w:numId="15" w16cid:durableId="390349800">
    <w:abstractNumId w:val="19"/>
  </w:num>
  <w:num w:numId="16" w16cid:durableId="1330140246">
    <w:abstractNumId w:val="0"/>
  </w:num>
  <w:num w:numId="17" w16cid:durableId="66273114">
    <w:abstractNumId w:val="6"/>
  </w:num>
  <w:num w:numId="18" w16cid:durableId="258559934">
    <w:abstractNumId w:val="20"/>
  </w:num>
  <w:num w:numId="19" w16cid:durableId="2139764406">
    <w:abstractNumId w:val="4"/>
  </w:num>
  <w:num w:numId="20" w16cid:durableId="1619140680">
    <w:abstractNumId w:val="10"/>
  </w:num>
  <w:num w:numId="21" w16cid:durableId="1932084371">
    <w:abstractNumId w:val="25"/>
  </w:num>
  <w:num w:numId="22" w16cid:durableId="1419712614">
    <w:abstractNumId w:val="17"/>
  </w:num>
  <w:num w:numId="23" w16cid:durableId="2022704930">
    <w:abstractNumId w:val="18"/>
  </w:num>
  <w:num w:numId="24" w16cid:durableId="1136921567">
    <w:abstractNumId w:val="9"/>
  </w:num>
  <w:num w:numId="25" w16cid:durableId="679089576">
    <w:abstractNumId w:val="16"/>
  </w:num>
  <w:num w:numId="26" w16cid:durableId="791048680">
    <w:abstractNumId w:val="7"/>
  </w:num>
  <w:num w:numId="27" w16cid:durableId="2138789349">
    <w:abstractNumId w:val="26"/>
  </w:num>
  <w:num w:numId="28" w16cid:durableId="767165523">
    <w:abstractNumId w:val="5"/>
  </w:num>
  <w:num w:numId="29" w16cid:durableId="19227171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2F7F"/>
    <w:rsid w:val="00061B2A"/>
    <w:rsid w:val="00082362"/>
    <w:rsid w:val="000A683E"/>
    <w:rsid w:val="000B19B9"/>
    <w:rsid w:val="000B49BE"/>
    <w:rsid w:val="000B668E"/>
    <w:rsid w:val="000C2D8B"/>
    <w:rsid w:val="000D0334"/>
    <w:rsid w:val="000F6486"/>
    <w:rsid w:val="001062C7"/>
    <w:rsid w:val="00112AEB"/>
    <w:rsid w:val="00125105"/>
    <w:rsid w:val="00127233"/>
    <w:rsid w:val="00134673"/>
    <w:rsid w:val="0014304D"/>
    <w:rsid w:val="0015686B"/>
    <w:rsid w:val="00156A37"/>
    <w:rsid w:val="001B5D67"/>
    <w:rsid w:val="001E4177"/>
    <w:rsid w:val="001F29C8"/>
    <w:rsid w:val="001F7DC6"/>
    <w:rsid w:val="002229FD"/>
    <w:rsid w:val="002421BB"/>
    <w:rsid w:val="002512E6"/>
    <w:rsid w:val="0025796E"/>
    <w:rsid w:val="002630EB"/>
    <w:rsid w:val="00265FF1"/>
    <w:rsid w:val="002707A2"/>
    <w:rsid w:val="00270F25"/>
    <w:rsid w:val="002915F7"/>
    <w:rsid w:val="002951A0"/>
    <w:rsid w:val="002962BC"/>
    <w:rsid w:val="002A093D"/>
    <w:rsid w:val="002A0DD0"/>
    <w:rsid w:val="002A49AC"/>
    <w:rsid w:val="002A5233"/>
    <w:rsid w:val="002A64FD"/>
    <w:rsid w:val="002C7A84"/>
    <w:rsid w:val="002D7ACD"/>
    <w:rsid w:val="002E4FD9"/>
    <w:rsid w:val="00301B02"/>
    <w:rsid w:val="003202B0"/>
    <w:rsid w:val="00322A85"/>
    <w:rsid w:val="00324168"/>
    <w:rsid w:val="003448F4"/>
    <w:rsid w:val="00354270"/>
    <w:rsid w:val="003549C7"/>
    <w:rsid w:val="003604CA"/>
    <w:rsid w:val="00374F5E"/>
    <w:rsid w:val="00377E3E"/>
    <w:rsid w:val="003966C4"/>
    <w:rsid w:val="003A26D1"/>
    <w:rsid w:val="003A779E"/>
    <w:rsid w:val="003D0F4D"/>
    <w:rsid w:val="003D5B0D"/>
    <w:rsid w:val="003E0499"/>
    <w:rsid w:val="003E0D5B"/>
    <w:rsid w:val="003F3941"/>
    <w:rsid w:val="00406575"/>
    <w:rsid w:val="00423F75"/>
    <w:rsid w:val="0042722E"/>
    <w:rsid w:val="0044528D"/>
    <w:rsid w:val="00470E48"/>
    <w:rsid w:val="00473468"/>
    <w:rsid w:val="00474475"/>
    <w:rsid w:val="00495734"/>
    <w:rsid w:val="004A1847"/>
    <w:rsid w:val="004A305D"/>
    <w:rsid w:val="004C0691"/>
    <w:rsid w:val="004C1444"/>
    <w:rsid w:val="004F21C4"/>
    <w:rsid w:val="004F685F"/>
    <w:rsid w:val="005025B5"/>
    <w:rsid w:val="00536F5E"/>
    <w:rsid w:val="005564B4"/>
    <w:rsid w:val="005566E8"/>
    <w:rsid w:val="00574867"/>
    <w:rsid w:val="00591460"/>
    <w:rsid w:val="00592628"/>
    <w:rsid w:val="00594C74"/>
    <w:rsid w:val="005A3DDB"/>
    <w:rsid w:val="005C3777"/>
    <w:rsid w:val="005C5CDC"/>
    <w:rsid w:val="005D476C"/>
    <w:rsid w:val="00610812"/>
    <w:rsid w:val="006219F8"/>
    <w:rsid w:val="006430AB"/>
    <w:rsid w:val="00643635"/>
    <w:rsid w:val="00645326"/>
    <w:rsid w:val="00650FF7"/>
    <w:rsid w:val="006651C1"/>
    <w:rsid w:val="00665D70"/>
    <w:rsid w:val="00671DAC"/>
    <w:rsid w:val="00675C32"/>
    <w:rsid w:val="00677740"/>
    <w:rsid w:val="00677BC5"/>
    <w:rsid w:val="00687F9B"/>
    <w:rsid w:val="006900D9"/>
    <w:rsid w:val="006C452C"/>
    <w:rsid w:val="006D12F8"/>
    <w:rsid w:val="006E2954"/>
    <w:rsid w:val="006F40EE"/>
    <w:rsid w:val="00706C16"/>
    <w:rsid w:val="0071428C"/>
    <w:rsid w:val="00722C90"/>
    <w:rsid w:val="007547EC"/>
    <w:rsid w:val="00756841"/>
    <w:rsid w:val="007649AB"/>
    <w:rsid w:val="00765E49"/>
    <w:rsid w:val="00771D0C"/>
    <w:rsid w:val="00775DA5"/>
    <w:rsid w:val="007833AC"/>
    <w:rsid w:val="007923A5"/>
    <w:rsid w:val="00795C9F"/>
    <w:rsid w:val="007B268C"/>
    <w:rsid w:val="007B7171"/>
    <w:rsid w:val="007C0C0F"/>
    <w:rsid w:val="007C3DC2"/>
    <w:rsid w:val="007D038D"/>
    <w:rsid w:val="007E5497"/>
    <w:rsid w:val="00806F5F"/>
    <w:rsid w:val="00811C35"/>
    <w:rsid w:val="00820278"/>
    <w:rsid w:val="0082640E"/>
    <w:rsid w:val="008843B6"/>
    <w:rsid w:val="00891928"/>
    <w:rsid w:val="008A0978"/>
    <w:rsid w:val="008A446D"/>
    <w:rsid w:val="008D180B"/>
    <w:rsid w:val="008F0EA7"/>
    <w:rsid w:val="00923EEF"/>
    <w:rsid w:val="009419F9"/>
    <w:rsid w:val="0095685E"/>
    <w:rsid w:val="00961B09"/>
    <w:rsid w:val="00965334"/>
    <w:rsid w:val="0097093E"/>
    <w:rsid w:val="009A0DFA"/>
    <w:rsid w:val="009A7D9F"/>
    <w:rsid w:val="009B2D26"/>
    <w:rsid w:val="009C19C8"/>
    <w:rsid w:val="009C71FA"/>
    <w:rsid w:val="009C72E7"/>
    <w:rsid w:val="009D3058"/>
    <w:rsid w:val="009F3A13"/>
    <w:rsid w:val="00A122D3"/>
    <w:rsid w:val="00A17F13"/>
    <w:rsid w:val="00A20739"/>
    <w:rsid w:val="00A24957"/>
    <w:rsid w:val="00A25EF5"/>
    <w:rsid w:val="00A33C78"/>
    <w:rsid w:val="00A35389"/>
    <w:rsid w:val="00A4771A"/>
    <w:rsid w:val="00A6168A"/>
    <w:rsid w:val="00A97925"/>
    <w:rsid w:val="00AB0ADB"/>
    <w:rsid w:val="00AC0CA2"/>
    <w:rsid w:val="00B01B1A"/>
    <w:rsid w:val="00B2670E"/>
    <w:rsid w:val="00B41186"/>
    <w:rsid w:val="00B72CD3"/>
    <w:rsid w:val="00B72FFF"/>
    <w:rsid w:val="00B9402C"/>
    <w:rsid w:val="00BC3155"/>
    <w:rsid w:val="00BC3D36"/>
    <w:rsid w:val="00BC56AD"/>
    <w:rsid w:val="00BD7F72"/>
    <w:rsid w:val="00C04FB3"/>
    <w:rsid w:val="00C330EB"/>
    <w:rsid w:val="00C37A4F"/>
    <w:rsid w:val="00C441B1"/>
    <w:rsid w:val="00C47B6C"/>
    <w:rsid w:val="00C538A4"/>
    <w:rsid w:val="00C754BE"/>
    <w:rsid w:val="00C76B1C"/>
    <w:rsid w:val="00CB6357"/>
    <w:rsid w:val="00CC1B26"/>
    <w:rsid w:val="00CD14D0"/>
    <w:rsid w:val="00CD5441"/>
    <w:rsid w:val="00CE2E2F"/>
    <w:rsid w:val="00D423A2"/>
    <w:rsid w:val="00D46D35"/>
    <w:rsid w:val="00D520D8"/>
    <w:rsid w:val="00D63AC2"/>
    <w:rsid w:val="00D7383B"/>
    <w:rsid w:val="00D818FA"/>
    <w:rsid w:val="00D9404A"/>
    <w:rsid w:val="00DA231B"/>
    <w:rsid w:val="00DA23A0"/>
    <w:rsid w:val="00DA705E"/>
    <w:rsid w:val="00DC1E75"/>
    <w:rsid w:val="00DC39FC"/>
    <w:rsid w:val="00DF5254"/>
    <w:rsid w:val="00E10985"/>
    <w:rsid w:val="00E16408"/>
    <w:rsid w:val="00E20894"/>
    <w:rsid w:val="00E245AB"/>
    <w:rsid w:val="00E2764C"/>
    <w:rsid w:val="00E27F2E"/>
    <w:rsid w:val="00E413EA"/>
    <w:rsid w:val="00E50AFE"/>
    <w:rsid w:val="00E75C92"/>
    <w:rsid w:val="00E771DC"/>
    <w:rsid w:val="00E8772A"/>
    <w:rsid w:val="00E90F6B"/>
    <w:rsid w:val="00E92C27"/>
    <w:rsid w:val="00EA0E3D"/>
    <w:rsid w:val="00EC38A7"/>
    <w:rsid w:val="00EE1AA8"/>
    <w:rsid w:val="00F10FA4"/>
    <w:rsid w:val="00F31EDC"/>
    <w:rsid w:val="00F462B3"/>
    <w:rsid w:val="00F50C6C"/>
    <w:rsid w:val="00F5664F"/>
    <w:rsid w:val="00F62967"/>
    <w:rsid w:val="00F666C4"/>
    <w:rsid w:val="00F76AFC"/>
    <w:rsid w:val="00F770BD"/>
    <w:rsid w:val="00FA07B5"/>
    <w:rsid w:val="00FA47C0"/>
    <w:rsid w:val="00FB5DD1"/>
    <w:rsid w:val="00FB6216"/>
    <w:rsid w:val="00FC2B5D"/>
    <w:rsid w:val="00FC59CF"/>
    <w:rsid w:val="00FF1449"/>
    <w:rsid w:val="5CEADB7B"/>
    <w:rsid w:val="78528F4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F4E8639C-433A-4CAD-907B-C4B82BB108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C0691"/>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C0691"/>
    <w:rPr>
      <w:rFonts w:ascii="Geomanist Light" w:hAnsi="Geomanist Light"/>
      <w:lang w:val="es-ES"/>
    </w:rPr>
  </w:style>
  <w:style w:type="character" w:customStyle="1" w:styleId="Hipervnculo1">
    <w:name w:val="Hipervínculo1"/>
    <w:basedOn w:val="Fuentedeprrafopredeter"/>
    <w:uiPriority w:val="99"/>
    <w:unhideWhenUsed/>
    <w:rsid w:val="004C0691"/>
    <w:rPr>
      <w:color w:val="F2F2F2"/>
      <w:u w:val="single"/>
    </w:rPr>
  </w:style>
  <w:style w:type="paragraph" w:styleId="Textoindependiente">
    <w:name w:val="Body Text"/>
    <w:basedOn w:val="Normal"/>
    <w:link w:val="TextoindependienteCar"/>
    <w:uiPriority w:val="99"/>
    <w:unhideWhenUsed/>
    <w:rsid w:val="00645326"/>
    <w:pPr>
      <w:spacing w:after="120"/>
    </w:pPr>
  </w:style>
  <w:style w:type="character" w:customStyle="1" w:styleId="TextoindependienteCar">
    <w:name w:val="Texto independiente Car"/>
    <w:basedOn w:val="Fuentedeprrafopredeter"/>
    <w:link w:val="Textoindependiente"/>
    <w:uiPriority w:val="99"/>
    <w:rsid w:val="006453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26277108">
      <w:bodyDiv w:val="1"/>
      <w:marLeft w:val="0"/>
      <w:marRight w:val="0"/>
      <w:marTop w:val="0"/>
      <w:marBottom w:val="0"/>
      <w:divBdr>
        <w:top w:val="none" w:sz="0" w:space="0" w:color="auto"/>
        <w:left w:val="none" w:sz="0" w:space="0" w:color="auto"/>
        <w:bottom w:val="none" w:sz="0" w:space="0" w:color="auto"/>
        <w:right w:val="none" w:sz="0" w:space="0" w:color="auto"/>
      </w:divBdr>
    </w:div>
    <w:div w:id="706375426">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manuales-guias-y-pliegos-tipo/manuales-y-guias"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providencias-consejo-de-estad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atalie2808@g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sala-de-prensa%2Fboletin-digital%2Fboletin-de-relatoria-2024-iv&amp;data=05%7C02%7Cmartha.romero%40colombiacompra.gov.co%7C616b83c3423e4d31151908dce489c00d%7C7b09041e245149d08cb179d5e3d8c1be%7C0%7C0%7C638636527543104822%7CUnknown%7CTWFpbGZsb3d8eyJWIjoiMC4wLjAwMDAiLCJQIjoiV2luMzIiLCJBTiI6Ik1haWwiLCJXVCI6Mn0%3D%7C0%7C%7C%7C&amp;sdata=jQbIixzKnvlTxK08x1im6W1SukgnBeTEqeQT2ezV5aU%3D&amp;reserved=0"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relatoria.colombiacompra.gov.co%2F&amp;data=05%7C02%7Cdiana.saavedra%40colombiacompra.gov.co%7C5aad36a736844ec87b2108dcc1fa4639%7C7b09041e245149d08cb179d5e3d8c1be%7C0%7C0%7C638598527919381538%7CUnknown%7CTWFpbGZsb3d8eyJWIjoiMC4wLjAwMDAiLCJQIjoiV2luMzIiLCJBTiI6Ik1haWwiLCJXVCI6Mn0%3D%7C0%7C%7C%7C&amp;sdata=SERqhYSkJwg8ErCStGLk4AEF5F37T6rV9QxmABE7T84%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sintesis.colombiacompra.gov.co/sintesis/9-etapa-precontractual-estudios-previ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22473E04-F91F-4AB8-9E4E-0CEF1A36E8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10</Pages>
  <Words>3452</Words>
  <Characters>18987</Characters>
  <Application>Microsoft Office Word</Application>
  <DocSecurity>0</DocSecurity>
  <Lines>158</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22395</CharactersWithSpaces>
  <SharedDoc>false</SharedDoc>
  <HLinks>
    <vt:vector size="36" baseType="variant">
      <vt:variant>
        <vt:i4>3407924</vt:i4>
      </vt:variant>
      <vt:variant>
        <vt:i4>9</vt:i4>
      </vt:variant>
      <vt:variant>
        <vt:i4>0</vt:i4>
      </vt:variant>
      <vt:variant>
        <vt:i4>5</vt:i4>
      </vt:variant>
      <vt:variant>
        <vt:lpwstr>https://nam02.safelinks.protection.outlook.com/?url=https%3A%2F%2Fwww.colombiacompra.gov.co%2Fcontent%2Fconvocatorias&amp;data=05%7C02%7Cdiana.saavedra%40colombiacompra.gov.co%7C5aad36a736844ec87b2108dcc1fa4639%7C7b09041e245149d08cb179d5e3d8c1be%7C0%7C0%7C638598527919437775%7CUnknown%7CTWFpbGZsb3d8eyJWIjoiMC4wLjAwMDAiLCJQIjoiV2luMzIiLCJBTiI6Ik1haWwiLCJXVCI6Mn0%3D%7C0%7C%7C%7C&amp;sdata=5F4DKBMEurgclHpynNYDpoZPUmSTEZqPsTnUZQrdqTc%3D&amp;reserved=0</vt:lpwstr>
      </vt:variant>
      <vt:variant>
        <vt:lpwstr/>
      </vt:variant>
      <vt:variant>
        <vt:i4>7012469</vt:i4>
      </vt:variant>
      <vt:variant>
        <vt:i4>6</vt:i4>
      </vt:variant>
      <vt:variant>
        <vt:i4>0</vt:i4>
      </vt:variant>
      <vt:variant>
        <vt:i4>5</vt:i4>
      </vt:variant>
      <vt:variant>
        <vt:lpwstr>https://nam02.safelinks.protection.outlook.com/?url=https%3A%2F%2Fwww.sucop.gov.co%2Fentidades%2Fcolombiacompra%2FNormativa%3FIDNorma%3D17363&amp;data=05%7C02%7Cdiana.saavedra%40colombiacompra.gov.co%7C5aad36a736844ec87b2108dcc1fa4639%7C7b09041e245149d08cb179d5e3d8c1be%7C0%7C0%7C638598527919420052%7CUnknown%7CTWFpbGZsb3d8eyJWIjoiMC4wLjAwMDAiLCJQIjoiV2luMzIiLCJBTiI6Ik1haWwiLCJXVCI6Mn0%3D%7C0%7C%7C%7C&amp;sdata=lT1BXAfzktrCvXgnEvwjkmKzSdEPzZQPVjh76XtinQw%3D&amp;reserved=0</vt:lpwstr>
      </vt:variant>
      <vt:variant>
        <vt:lpwstr/>
      </vt:variant>
      <vt:variant>
        <vt:i4>2752605</vt:i4>
      </vt:variant>
      <vt:variant>
        <vt:i4>3</vt:i4>
      </vt:variant>
      <vt:variant>
        <vt:i4>0</vt:i4>
      </vt:variant>
      <vt:variant>
        <vt:i4>5</vt:i4>
      </vt:variant>
      <vt:variant>
        <vt:lpwstr>https://nam02.safelinks.protection.outlook.com/?url=https%3A%2F%2Fwww.colombiacompra.gov.co%2Fsites%2Fcce_public%2Ffiles%2Ffiles_2020%2Fboletin_de_realtoria_iii.pdf&amp;data=05%7C02%7Cdiana.saavedra%40colombiacompra.gov.co%7C5aad36a736844ec87b2108dcc1fa4639%7C7b09041e245149d08cb179d5e3d8c1be%7C0%7C0%7C638598527919402581%7CUnknown%7CTWFpbGZsb3d8eyJWIjoiMC4wLjAwMDAiLCJQIjoiV2luMzIiLCJBTiI6Ik1haWwiLCJXVCI6Mn0%3D%7C0%7C%7C%7C&amp;sdata=BZILiaeV6pxeIU4Au6MiDpHHdo%2F8ahiTHLAWqSylEg8%3D&amp;reserved=0</vt:lpwstr>
      </vt:variant>
      <vt:variant>
        <vt:lpwstr/>
      </vt:variant>
      <vt:variant>
        <vt:i4>7143486</vt:i4>
      </vt:variant>
      <vt:variant>
        <vt:i4>0</vt:i4>
      </vt:variant>
      <vt:variant>
        <vt:i4>0</vt:i4>
      </vt:variant>
      <vt:variant>
        <vt:i4>5</vt:i4>
      </vt:variant>
      <vt:variant>
        <vt:lpwstr>https://nam02.safelinks.protection.outlook.com/?url=https%3A%2F%2Frelatoria.colombiacompra.gov.co%2F&amp;data=05%7C02%7Cdiana.saavedra%40colombiacompra.gov.co%7C5aad36a736844ec87b2108dcc1fa4639%7C7b09041e245149d08cb179d5e3d8c1be%7C0%7C0%7C638598527919381538%7CUnknown%7CTWFpbGZsb3d8eyJWIjoiMC4wLjAwMDAiLCJQIjoiV2luMzIiLCJBTiI6Ik1haWwiLCJXVCI6Mn0%3D%7C0%7C%7C%7C&amp;sdata=SERqhYSkJwg8ErCStGLk4AEF5F37T6rV9QxmABE7T84%3D&amp;reserved=0</vt:lpwstr>
      </vt:variant>
      <vt:variant>
        <vt:lpwstr/>
      </vt:variant>
      <vt:variant>
        <vt:i4>1769551</vt:i4>
      </vt:variant>
      <vt:variant>
        <vt:i4>3</vt:i4>
      </vt:variant>
      <vt:variant>
        <vt:i4>0</vt:i4>
      </vt:variant>
      <vt:variant>
        <vt:i4>5</vt:i4>
      </vt:variant>
      <vt:variant>
        <vt:lpwstr>https://www.supersociedades.gov.co/documents/20122/1229078/Guia-Practica-Regimen-Matrices-y-Subordinadas.pdf/6c4a9d36-224c-e72e-8bb5-eec20d380f4a?t=1654295200749</vt:lpwstr>
      </vt:variant>
      <vt:variant>
        <vt:lpwstr/>
      </vt:variant>
      <vt:variant>
        <vt:i4>2752611</vt:i4>
      </vt:variant>
      <vt:variant>
        <vt:i4>0</vt:i4>
      </vt:variant>
      <vt:variant>
        <vt:i4>0</vt:i4>
      </vt:variant>
      <vt:variant>
        <vt:i4>5</vt:i4>
      </vt:variant>
      <vt:variant>
        <vt:lpwstr>http://leyes.senado.gov.co/proyectos/index.php/textos-radicados-senado/p-ley-2020-2021/1957-proyecto-de-ley-161-de-2020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10</cp:revision>
  <cp:lastPrinted>2023-01-11T00:18:00Z</cp:lastPrinted>
  <dcterms:created xsi:type="dcterms:W3CDTF">2024-10-24T17:58:00Z</dcterms:created>
  <dcterms:modified xsi:type="dcterms:W3CDTF">2025-10-10T20:01:00Z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