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3C9F" w14:textId="77777777" w:rsidR="00645326" w:rsidRPr="00F62967" w:rsidRDefault="00645326" w:rsidP="00645326">
      <w:pPr>
        <w:spacing w:after="0" w:line="240" w:lineRule="auto"/>
        <w:jc w:val="both"/>
        <w:rPr>
          <w:rFonts w:ascii="Verdana" w:eastAsia="Calibri" w:hAnsi="Verdana" w:cs="Arial"/>
          <w:b/>
          <w:bCs/>
        </w:rPr>
      </w:pPr>
      <w:bookmarkStart w:id="0" w:name="_Hlk143780582"/>
      <w:r w:rsidRPr="00F62967">
        <w:rPr>
          <w:rFonts w:ascii="Verdana" w:eastAsia="Calibri" w:hAnsi="Verdana" w:cs="Arial"/>
          <w:b/>
          <w:bCs/>
        </w:rPr>
        <w:t xml:space="preserve">CONTRATO DE PRESTACIÓN DE SERVICIOS – Concepto – Características – Temporalidad </w:t>
      </w:r>
    </w:p>
    <w:p w14:paraId="627D8284" w14:textId="77777777" w:rsidR="00645326" w:rsidRPr="00F62967" w:rsidRDefault="00645326" w:rsidP="00645326">
      <w:pPr>
        <w:spacing w:after="0" w:line="240" w:lineRule="auto"/>
        <w:rPr>
          <w:rFonts w:ascii="Verdana" w:eastAsia="Calibri" w:hAnsi="Verdana" w:cs="Arial"/>
        </w:rPr>
      </w:pPr>
    </w:p>
    <w:p w14:paraId="0404EB3B" w14:textId="77777777" w:rsidR="00645326" w:rsidRPr="00F62967" w:rsidRDefault="00645326" w:rsidP="00645326">
      <w:pPr>
        <w:spacing w:after="0" w:line="240" w:lineRule="auto"/>
        <w:jc w:val="both"/>
        <w:rPr>
          <w:rFonts w:ascii="Verdana" w:hAnsi="Verdana" w:cs="Arial"/>
          <w:color w:val="000000" w:themeColor="text1"/>
          <w:sz w:val="20"/>
          <w:szCs w:val="20"/>
          <w:lang w:val="es-MX"/>
        </w:rPr>
      </w:pPr>
      <w:r w:rsidRPr="00F62967">
        <w:rPr>
          <w:rFonts w:ascii="Verdana" w:hAnsi="Verdana" w:cs="Arial"/>
          <w:color w:val="000000" w:themeColor="text1"/>
          <w:sz w:val="20"/>
          <w:szCs w:val="20"/>
          <w:lang w:val="es-MX"/>
        </w:rPr>
        <w:t xml:space="preserve">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r w:rsidRPr="00F62967">
        <w:rPr>
          <w:rFonts w:ascii="Verdana" w:eastAsia="Calibri" w:hAnsi="Verdana" w:cs="Arial"/>
          <w:sz w:val="20"/>
          <w:szCs w:val="20"/>
        </w:rPr>
        <w:t>[…]</w:t>
      </w:r>
    </w:p>
    <w:p w14:paraId="4BC0F1C7" w14:textId="77777777" w:rsidR="00645326" w:rsidRPr="00F62967" w:rsidRDefault="00645326" w:rsidP="00645326">
      <w:pPr>
        <w:spacing w:after="0" w:line="240" w:lineRule="auto"/>
        <w:jc w:val="both"/>
        <w:rPr>
          <w:rFonts w:ascii="Verdana" w:eastAsia="Calibri" w:hAnsi="Verdana" w:cs="Arial"/>
          <w:sz w:val="20"/>
          <w:szCs w:val="20"/>
        </w:rPr>
      </w:pPr>
    </w:p>
    <w:p w14:paraId="440833BD" w14:textId="77777777" w:rsidR="00645326" w:rsidRPr="00F62967" w:rsidRDefault="00645326" w:rsidP="00645326">
      <w:pPr>
        <w:spacing w:after="0" w:line="240" w:lineRule="auto"/>
        <w:jc w:val="both"/>
        <w:rPr>
          <w:rFonts w:ascii="Verdana" w:hAnsi="Verdana" w:cs="Arial"/>
          <w:noProof/>
          <w:sz w:val="20"/>
          <w:szCs w:val="20"/>
          <w:lang w:val="es-ES_tradnl"/>
        </w:rPr>
      </w:pPr>
      <w:r w:rsidRPr="00F62967">
        <w:rPr>
          <w:rFonts w:ascii="Verdana" w:eastAsia="Calibri" w:hAnsi="Verdana" w:cs="Arial"/>
          <w:sz w:val="20"/>
          <w:szCs w:val="20"/>
        </w:rPr>
        <w:t xml:space="preserve">[…] de la reciente Sentencia de Unificación Jurisprudencial del 9 de septiembre de 2021, proferida por el Consejo de Estado, es posible señalar las siguientes características del contrato de prestación de servicios: </w:t>
      </w:r>
      <w:r w:rsidRPr="00F62967">
        <w:rPr>
          <w:rFonts w:ascii="Verdana" w:hAnsi="Verdana" w:cs="Arial"/>
          <w:noProof/>
          <w:sz w:val="20"/>
          <w:szCs w:val="20"/>
          <w:lang w:val="es-ES_tradnl"/>
        </w:rPr>
        <w:t>[…] Deben ser temporales. La mencionada Sentencia de Unificación Jurisprudencial del Consejo de Estado, frente a la duración del contrato de prestación de servicios señaló que solo puede celebrarse por un “término estrictamente indispensable”. En ese entendido, se estableció el alcance del término “estrictamente indispensable” como “aquel que tiene lugar a la fase precontractual, pues es en esta donde la entidad aproxima en función del objeto a contratar y de los recursos disponibles, el tiempo de vigencia máximo que estima “imprescindible” para su ejecución”.</w:t>
      </w:r>
    </w:p>
    <w:p w14:paraId="09B5A857" w14:textId="77777777" w:rsidR="00645326" w:rsidRPr="00F62967" w:rsidRDefault="00645326" w:rsidP="00645326">
      <w:pPr>
        <w:spacing w:after="0" w:line="240" w:lineRule="auto"/>
        <w:jc w:val="both"/>
        <w:rPr>
          <w:rFonts w:ascii="Verdana" w:eastAsia="Calibri" w:hAnsi="Verdana" w:cs="Arial"/>
          <w:b/>
          <w:bCs/>
        </w:rPr>
      </w:pPr>
    </w:p>
    <w:p w14:paraId="1907BA72" w14:textId="77777777" w:rsidR="00645326" w:rsidRPr="00F62967" w:rsidRDefault="00645326" w:rsidP="00645326">
      <w:pPr>
        <w:spacing w:after="0" w:line="240" w:lineRule="auto"/>
        <w:jc w:val="both"/>
        <w:rPr>
          <w:rFonts w:ascii="Verdana" w:eastAsia="Calibri" w:hAnsi="Verdana" w:cs="Arial"/>
          <w:b/>
          <w:bCs/>
        </w:rPr>
      </w:pPr>
      <w:r w:rsidRPr="00F62967">
        <w:rPr>
          <w:rFonts w:ascii="Verdana" w:eastAsia="Calibri" w:hAnsi="Verdana" w:cs="Arial"/>
          <w:b/>
          <w:bCs/>
        </w:rPr>
        <w:t>CONTRATO DE PRESTACIÓN DE SERVICIOS – Estudios previos – Particularidades del objeto – Condiciones para su ejecución</w:t>
      </w:r>
    </w:p>
    <w:p w14:paraId="58885AAA" w14:textId="77777777" w:rsidR="00645326" w:rsidRPr="00F62967" w:rsidRDefault="00645326" w:rsidP="00645326">
      <w:pPr>
        <w:spacing w:after="0" w:line="240" w:lineRule="auto"/>
        <w:jc w:val="both"/>
        <w:rPr>
          <w:rFonts w:ascii="Verdana" w:hAnsi="Verdana" w:cs="Arial"/>
          <w:noProof/>
          <w:sz w:val="20"/>
          <w:szCs w:val="20"/>
          <w:lang w:val="es-ES_tradnl"/>
        </w:rPr>
      </w:pPr>
    </w:p>
    <w:p w14:paraId="020B0EE4" w14:textId="77777777" w:rsidR="00645326" w:rsidRPr="00F62967" w:rsidRDefault="00645326" w:rsidP="00645326">
      <w:pPr>
        <w:spacing w:after="0" w:line="240" w:lineRule="auto"/>
        <w:jc w:val="both"/>
        <w:rPr>
          <w:rFonts w:ascii="Verdana" w:hAnsi="Verdana" w:cs="Arial"/>
          <w:noProof/>
          <w:sz w:val="20"/>
          <w:szCs w:val="20"/>
          <w:lang w:val="es-ES_tradnl"/>
        </w:rPr>
      </w:pPr>
      <w:r w:rsidRPr="00F62967">
        <w:rPr>
          <w:rFonts w:ascii="Verdana" w:hAnsi="Verdana" w:cs="Arial"/>
          <w:noProof/>
          <w:sz w:val="20"/>
          <w:szCs w:val="20"/>
          <w:lang w:val="es-ES_tradnl"/>
        </w:rPr>
        <w:t>[…] “la vigencia del contrato debe ser por el tiempo necesario para ejecutar el objeto contractual convenido, y este debe estar sujeto al principio de planeación, que encuentra su manifestación práctica en la elaboración de los estudios previos a la celebración del negocio jurídico, pues es allí donde deberán quedar motivadas con suficiencia las razones que justifiquen que la Administración recurra a un contrato de prestación de servicios”. Sin embargo, teniendo en cuenta las particularidades del objeto a contratar, el cual deberá identificarse y justificarse en dichos estudios, las entidades públicas en virtud del principio de autonomía de la voluntad y con el fin de garantizar la eficacia de los principios rectores de la administración pública y los de gestión fiscal, podrán estipular las condiciones en las que este deba ejecutarse.</w:t>
      </w:r>
    </w:p>
    <w:p w14:paraId="7D470037" w14:textId="77777777" w:rsidR="00645326" w:rsidRPr="00F62967" w:rsidRDefault="00645326" w:rsidP="00645326">
      <w:pPr>
        <w:spacing w:after="0" w:line="240" w:lineRule="auto"/>
        <w:jc w:val="both"/>
        <w:rPr>
          <w:rFonts w:ascii="Verdana" w:hAnsi="Verdana" w:cs="Arial"/>
          <w:color w:val="000000" w:themeColor="text1"/>
          <w:sz w:val="20"/>
          <w:szCs w:val="20"/>
          <w:lang w:val="es-ES_tradnl"/>
        </w:rPr>
      </w:pPr>
    </w:p>
    <w:p w14:paraId="2739F996" w14:textId="2C8E19C7" w:rsidR="00645326" w:rsidRPr="00F62967" w:rsidRDefault="00645326">
      <w:pPr>
        <w:rPr>
          <w:rFonts w:ascii="Verdana" w:eastAsia="Geomanist Light" w:hAnsi="Verdana" w:cs="Arial"/>
          <w:color w:val="000000" w:themeColor="text1"/>
          <w:lang w:val="es-ES"/>
        </w:rPr>
      </w:pPr>
      <w:r w:rsidRPr="00F62967">
        <w:rPr>
          <w:rFonts w:ascii="Verdana" w:eastAsia="Geomanist Light" w:hAnsi="Verdana" w:cs="Arial"/>
          <w:color w:val="000000" w:themeColor="text1"/>
          <w:lang w:val="es-ES"/>
        </w:rPr>
        <w:br w:type="page"/>
      </w:r>
    </w:p>
    <w:p w14:paraId="627F9F0A" w14:textId="77777777" w:rsidR="00645326" w:rsidRPr="00F62967" w:rsidRDefault="00645326" w:rsidP="00FC59CF">
      <w:pPr>
        <w:spacing w:after="0" w:line="240" w:lineRule="auto"/>
        <w:rPr>
          <w:rFonts w:ascii="Verdana" w:eastAsia="Geomanist Light" w:hAnsi="Verdana" w:cs="Arial"/>
          <w:color w:val="000000" w:themeColor="text1"/>
          <w:lang w:val="es-ES"/>
        </w:rPr>
      </w:pPr>
    </w:p>
    <w:p w14:paraId="1159C640" w14:textId="77777777" w:rsidR="00645326" w:rsidRPr="00F62967" w:rsidRDefault="00645326" w:rsidP="00FC59CF">
      <w:pPr>
        <w:spacing w:after="0" w:line="240" w:lineRule="auto"/>
        <w:rPr>
          <w:rFonts w:ascii="Verdana" w:eastAsia="Geomanist Light" w:hAnsi="Verdana" w:cs="Arial"/>
          <w:color w:val="000000" w:themeColor="text1"/>
          <w:lang w:val="es-MX"/>
        </w:rPr>
      </w:pPr>
    </w:p>
    <w:p w14:paraId="7D9661EB" w14:textId="7628ABF5" w:rsidR="00FC59CF" w:rsidRPr="00F62967" w:rsidRDefault="00FC59CF" w:rsidP="00FC59CF">
      <w:pPr>
        <w:spacing w:after="0" w:line="240" w:lineRule="auto"/>
        <w:rPr>
          <w:rFonts w:ascii="Verdana" w:eastAsia="Geomanist Light" w:hAnsi="Verdana" w:cs="Arial"/>
          <w:color w:val="201F1E"/>
          <w:lang w:val="es-MX"/>
        </w:rPr>
      </w:pPr>
      <w:r w:rsidRPr="00F62967">
        <w:rPr>
          <w:rFonts w:ascii="Verdana" w:eastAsia="Geomanist Light" w:hAnsi="Verdana" w:cs="Arial"/>
          <w:color w:val="000000" w:themeColor="text1"/>
          <w:lang w:val="es-MX"/>
        </w:rPr>
        <w:t>Bogotá D.C., </w:t>
      </w:r>
      <w:r w:rsidRPr="00F62967">
        <w:rPr>
          <w:rFonts w:ascii="Verdana" w:eastAsia="Geomanist Light" w:hAnsi="Verdana" w:cs="Arial"/>
          <w:color w:val="201F1E"/>
          <w:lang w:val="es-MX"/>
        </w:rPr>
        <w:t>[Día] de [Mes.NombreCapitalizado] de [Año]</w:t>
      </w:r>
    </w:p>
    <w:p w14:paraId="3A656106" w14:textId="7996E05E" w:rsidR="004C0691" w:rsidRPr="00F62967" w:rsidRDefault="004C0691" w:rsidP="00722C90">
      <w:pPr>
        <w:spacing w:after="0" w:line="240" w:lineRule="auto"/>
        <w:jc w:val="right"/>
        <w:rPr>
          <w:rFonts w:ascii="Verdana" w:eastAsia="Calibri" w:hAnsi="Verdana" w:cs="Arial"/>
          <w:lang w:val="es-MX"/>
        </w:rPr>
      </w:pPr>
    </w:p>
    <w:p w14:paraId="0C72C976" w14:textId="77777777" w:rsidR="00D818FA" w:rsidRPr="00F62967" w:rsidRDefault="00D818FA" w:rsidP="00D818FA">
      <w:pPr>
        <w:spacing w:after="0" w:line="240" w:lineRule="auto"/>
        <w:jc w:val="both"/>
        <w:rPr>
          <w:rFonts w:ascii="Verdana" w:eastAsia="Calibri" w:hAnsi="Verdana" w:cs="Arial"/>
          <w:lang w:val="es-ES" w:eastAsia="es-ES"/>
        </w:rPr>
      </w:pPr>
      <w:bookmarkStart w:id="1" w:name="_Hlk180667032"/>
      <w:r w:rsidRPr="00F62967">
        <w:rPr>
          <w:rFonts w:ascii="Verdana" w:eastAsia="Calibri" w:hAnsi="Verdana" w:cs="Arial"/>
          <w:lang w:val="es-ES" w:eastAsia="es-ES"/>
        </w:rPr>
        <w:t>Señora</w:t>
      </w:r>
    </w:p>
    <w:p w14:paraId="72D5A9B8" w14:textId="203A21AB" w:rsidR="00645326" w:rsidRDefault="00645326" w:rsidP="00D818FA">
      <w:pPr>
        <w:spacing w:after="0" w:line="240" w:lineRule="auto"/>
        <w:rPr>
          <w:rFonts w:ascii="Verdana" w:eastAsia="Calibri" w:hAnsi="Verdana" w:cs="Arial"/>
          <w:b/>
          <w:lang w:val="es-ES" w:eastAsia="es-ES"/>
        </w:rPr>
      </w:pPr>
      <w:r w:rsidRPr="00F62967">
        <w:rPr>
          <w:rFonts w:ascii="Verdana" w:eastAsia="Calibri" w:hAnsi="Verdana" w:cs="Arial"/>
          <w:b/>
          <w:lang w:val="es-ES" w:eastAsia="es-ES"/>
        </w:rPr>
        <w:t>Edith Nathalie Romero Barrera</w:t>
      </w:r>
    </w:p>
    <w:p w14:paraId="404F82A1" w14:textId="64C2DF4A" w:rsidR="006430AB" w:rsidRPr="006430AB" w:rsidRDefault="006430AB" w:rsidP="00D818FA">
      <w:pPr>
        <w:spacing w:after="0" w:line="240" w:lineRule="auto"/>
        <w:rPr>
          <w:rFonts w:ascii="Verdana" w:eastAsia="Calibri" w:hAnsi="Verdana" w:cs="Arial"/>
          <w:bCs/>
          <w:lang w:val="es-ES" w:eastAsia="es-ES"/>
        </w:rPr>
      </w:pPr>
      <w:hyperlink r:id="rId10" w:history="1">
        <w:r w:rsidRPr="006430AB">
          <w:rPr>
            <w:rStyle w:val="Hipervnculo"/>
            <w:rFonts w:ascii="Verdana" w:eastAsia="Calibri" w:hAnsi="Verdana" w:cs="Arial"/>
            <w:bCs/>
            <w:lang w:val="es-ES" w:eastAsia="es-ES"/>
          </w:rPr>
          <w:t>natalie2808@gmail.com</w:t>
        </w:r>
      </w:hyperlink>
      <w:r w:rsidRPr="006430AB">
        <w:rPr>
          <w:rFonts w:ascii="Verdana" w:eastAsia="Calibri" w:hAnsi="Verdana" w:cs="Arial"/>
          <w:bCs/>
          <w:lang w:val="es-ES" w:eastAsia="es-ES"/>
        </w:rPr>
        <w:t xml:space="preserve"> </w:t>
      </w:r>
    </w:p>
    <w:p w14:paraId="1099821A" w14:textId="40D4E31A" w:rsidR="004C0691" w:rsidRPr="00F62967" w:rsidRDefault="004C0691" w:rsidP="004C0691">
      <w:pPr>
        <w:spacing w:after="0" w:line="240" w:lineRule="auto"/>
        <w:rPr>
          <w:rFonts w:ascii="Verdana" w:eastAsia="Calibri" w:hAnsi="Verdana" w:cs="Arial"/>
          <w:b/>
          <w:bCs/>
          <w:lang w:val="es-ES" w:eastAsia="es-ES"/>
        </w:rPr>
      </w:pPr>
      <w:r w:rsidRPr="00F62967">
        <w:rPr>
          <w:rFonts w:ascii="Verdana" w:eastAsia="Calibri" w:hAnsi="Verdana" w:cs="Arial"/>
          <w:lang w:val="es-ES" w:eastAsia="es-ES"/>
        </w:rPr>
        <w:t>Ciudad</w:t>
      </w:r>
    </w:p>
    <w:p w14:paraId="6C20DF48" w14:textId="77777777" w:rsidR="004C0691" w:rsidRDefault="004C0691" w:rsidP="004C0691">
      <w:pPr>
        <w:spacing w:after="0" w:line="240" w:lineRule="auto"/>
        <w:rPr>
          <w:rFonts w:ascii="Verdana" w:eastAsia="Calibri" w:hAnsi="Verdana" w:cs="Arial"/>
          <w:b/>
          <w:bCs/>
          <w:lang w:val="es-ES_tradnl" w:eastAsia="es-ES_tradnl"/>
        </w:rPr>
      </w:pPr>
    </w:p>
    <w:p w14:paraId="2680FEA8" w14:textId="397BABF7" w:rsidR="000B49BE" w:rsidRPr="00F62967" w:rsidRDefault="000B49BE" w:rsidP="000B49BE">
      <w:pPr>
        <w:spacing w:after="0" w:line="240" w:lineRule="auto"/>
        <w:jc w:val="right"/>
        <w:rPr>
          <w:rFonts w:ascii="Verdana" w:eastAsia="Calibri" w:hAnsi="Verdana" w:cs="Arial"/>
          <w:b/>
          <w:bCs/>
          <w:lang w:val="es-ES_tradnl" w:eastAsia="es-ES_tradnl"/>
        </w:rPr>
      </w:pPr>
      <w:r w:rsidRPr="000B49BE">
        <w:rPr>
          <w:rFonts w:ascii="Verdana" w:eastAsia="Calibri" w:hAnsi="Verdana" w:cs="Arial"/>
          <w:b/>
          <w:bCs/>
          <w:lang w:val="es-ES_tradnl" w:eastAsia="es-ES_tradnl"/>
        </w:rPr>
        <w:drawing>
          <wp:inline distT="0" distB="0" distL="0" distR="0" wp14:anchorId="5880E783" wp14:editId="643E830D">
            <wp:extent cx="4239217" cy="1362265"/>
            <wp:effectExtent l="0" t="0" r="9525" b="9525"/>
            <wp:docPr id="621932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2476" name=""/>
                    <pic:cNvPicPr/>
                  </pic:nvPicPr>
                  <pic:blipFill>
                    <a:blip r:embed="rId11"/>
                    <a:stretch>
                      <a:fillRect/>
                    </a:stretch>
                  </pic:blipFill>
                  <pic:spPr>
                    <a:xfrm>
                      <a:off x="0" y="0"/>
                      <a:ext cx="4239217" cy="1362265"/>
                    </a:xfrm>
                    <a:prstGeom prst="rect">
                      <a:avLst/>
                    </a:prstGeom>
                  </pic:spPr>
                </pic:pic>
              </a:graphicData>
            </a:graphic>
          </wp:inline>
        </w:drawing>
      </w:r>
    </w:p>
    <w:p w14:paraId="4422C411" w14:textId="77777777" w:rsidR="004C0691" w:rsidRPr="00F62967" w:rsidRDefault="004C0691" w:rsidP="004C069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0691" w:rsidRPr="00F62967" w14:paraId="0841F942" w14:textId="77777777" w:rsidTr="002D7ACD">
        <w:trPr>
          <w:trHeight w:val="369"/>
        </w:trPr>
        <w:tc>
          <w:tcPr>
            <w:tcW w:w="2689" w:type="dxa"/>
          </w:tcPr>
          <w:p w14:paraId="04C8A436" w14:textId="77777777" w:rsidR="004C0691" w:rsidRPr="00F62967" w:rsidRDefault="004C0691" w:rsidP="002D7ACD">
            <w:pPr>
              <w:jc w:val="both"/>
              <w:rPr>
                <w:rFonts w:ascii="Verdana" w:eastAsia="Calibri" w:hAnsi="Verdana" w:cs="Arial"/>
                <w:b/>
                <w:bCs/>
                <w:lang w:val="es-ES_tradnl" w:eastAsia="es-ES_tradnl"/>
              </w:rPr>
            </w:pPr>
          </w:p>
        </w:tc>
        <w:tc>
          <w:tcPr>
            <w:tcW w:w="6100" w:type="dxa"/>
          </w:tcPr>
          <w:p w14:paraId="20504B8A" w14:textId="63AE88B6" w:rsidR="004C0691" w:rsidRPr="00F62967" w:rsidRDefault="004C0691" w:rsidP="002D7ACD">
            <w:pPr>
              <w:jc w:val="both"/>
              <w:rPr>
                <w:rFonts w:ascii="Verdana" w:eastAsia="Calibri" w:hAnsi="Verdana" w:cs="Arial"/>
                <w:b/>
                <w:bCs/>
                <w:lang w:val="es-ES" w:eastAsia="es-ES"/>
              </w:rPr>
            </w:pPr>
            <w:r w:rsidRPr="00F62967">
              <w:rPr>
                <w:rFonts w:ascii="Verdana" w:eastAsia="Calibri" w:hAnsi="Verdana" w:cs="Arial"/>
                <w:b/>
                <w:bCs/>
                <w:lang w:val="es-ES" w:eastAsia="es-ES"/>
              </w:rPr>
              <w:t xml:space="preserve">Concepto C- </w:t>
            </w:r>
            <w:r w:rsidR="00645326" w:rsidRPr="00F62967">
              <w:rPr>
                <w:rFonts w:ascii="Verdana" w:eastAsia="Calibri" w:hAnsi="Verdana" w:cs="Arial"/>
                <w:b/>
                <w:bCs/>
                <w:lang w:val="es-ES" w:eastAsia="es-ES"/>
              </w:rPr>
              <w:t>604</w:t>
            </w:r>
            <w:r w:rsidRPr="00F62967">
              <w:rPr>
                <w:rFonts w:ascii="Verdana" w:eastAsia="Calibri" w:hAnsi="Verdana" w:cs="Arial"/>
                <w:b/>
                <w:bCs/>
                <w:lang w:val="es-ES" w:eastAsia="es-ES"/>
              </w:rPr>
              <w:t xml:space="preserve"> de 2024</w:t>
            </w:r>
          </w:p>
          <w:p w14:paraId="436EAF25" w14:textId="77777777" w:rsidR="004C0691" w:rsidRPr="00F62967" w:rsidRDefault="004C0691" w:rsidP="002D7ACD">
            <w:pPr>
              <w:jc w:val="both"/>
              <w:rPr>
                <w:rFonts w:ascii="Verdana" w:eastAsia="Calibri" w:hAnsi="Verdana" w:cs="Arial"/>
                <w:b/>
                <w:bCs/>
                <w:lang w:val="es-ES" w:eastAsia="es-ES"/>
              </w:rPr>
            </w:pPr>
          </w:p>
        </w:tc>
      </w:tr>
      <w:tr w:rsidR="00D818FA" w:rsidRPr="00F62967" w14:paraId="2C3FE947" w14:textId="77777777" w:rsidTr="00D818FA">
        <w:trPr>
          <w:trHeight w:val="884"/>
        </w:trPr>
        <w:tc>
          <w:tcPr>
            <w:tcW w:w="2689" w:type="dxa"/>
            <w:shd w:val="clear" w:color="auto" w:fill="auto"/>
          </w:tcPr>
          <w:p w14:paraId="66041225" w14:textId="77777777" w:rsidR="00D818FA" w:rsidRPr="00F62967" w:rsidRDefault="00D818FA" w:rsidP="00D818FA">
            <w:pPr>
              <w:jc w:val="both"/>
              <w:rPr>
                <w:rFonts w:ascii="Verdana" w:eastAsia="Calibri" w:hAnsi="Verdana" w:cs="Arial"/>
                <w:lang w:val="es-ES_tradnl" w:eastAsia="es-ES_tradnl"/>
              </w:rPr>
            </w:pPr>
            <w:r w:rsidRPr="00F62967">
              <w:rPr>
                <w:rFonts w:ascii="Verdana" w:eastAsia="Calibri" w:hAnsi="Verdana" w:cs="Arial"/>
                <w:b/>
                <w:lang w:val="es-ES_tradnl" w:eastAsia="es-ES_tradnl"/>
              </w:rPr>
              <w:t>Temas:</w:t>
            </w:r>
            <w:r w:rsidRPr="00F62967">
              <w:rPr>
                <w:rFonts w:ascii="Verdana" w:eastAsia="Calibri" w:hAnsi="Verdana" w:cs="Arial"/>
                <w:lang w:val="es-ES_tradnl" w:eastAsia="es-ES_tradnl"/>
              </w:rPr>
              <w:t xml:space="preserve">                   </w:t>
            </w:r>
          </w:p>
        </w:tc>
        <w:tc>
          <w:tcPr>
            <w:tcW w:w="6100" w:type="dxa"/>
            <w:shd w:val="clear" w:color="auto" w:fill="auto"/>
          </w:tcPr>
          <w:p w14:paraId="6414A113" w14:textId="77777777" w:rsidR="00645326" w:rsidRPr="00F62967" w:rsidRDefault="00645326" w:rsidP="00D818FA">
            <w:pPr>
              <w:jc w:val="both"/>
              <w:rPr>
                <w:rFonts w:ascii="Verdana" w:eastAsia="Calibri" w:hAnsi="Verdana" w:cs="Arial"/>
                <w:lang w:val="es-ES_tradnl" w:eastAsia="es-ES"/>
              </w:rPr>
            </w:pPr>
            <w:r w:rsidRPr="00F62967">
              <w:rPr>
                <w:rFonts w:ascii="Verdana" w:eastAsia="Times New Roman" w:hAnsi="Verdana" w:cs="Arial"/>
                <w:color w:val="000000"/>
                <w:lang w:val="es-ES_tradnl" w:eastAsia="es-ES_tradnl"/>
              </w:rPr>
              <w:t xml:space="preserve">CONTRATO DE PRESTACIÓN DE SERVICIOS – Concepto – Características – Temporalidad / CONTRATO DE PRESTACIÓN DE SERVICIOS – Estudios previos – Particularidades del objeto – Condiciones para su ejecución </w:t>
            </w:r>
            <w:r w:rsidRPr="00F62967">
              <w:rPr>
                <w:rFonts w:ascii="Verdana" w:hAnsi="Verdana" w:cs="Arial"/>
                <w:color w:val="000000" w:themeColor="text1"/>
                <w:lang w:val="es-ES_tradnl"/>
              </w:rPr>
              <w:t>/</w:t>
            </w:r>
            <w:r w:rsidRPr="00F62967">
              <w:rPr>
                <w:rFonts w:ascii="Verdana" w:eastAsia="Calibri" w:hAnsi="Verdana" w:cs="Arial"/>
                <w:lang w:val="es-ES_tradnl" w:eastAsia="es-ES"/>
              </w:rPr>
              <w:t xml:space="preserve"> </w:t>
            </w:r>
          </w:p>
          <w:p w14:paraId="7C6218BE" w14:textId="550521DE" w:rsidR="00D818FA" w:rsidRPr="00F62967" w:rsidRDefault="00D818FA" w:rsidP="00D818FA">
            <w:pPr>
              <w:jc w:val="both"/>
              <w:rPr>
                <w:rFonts w:ascii="Verdana" w:eastAsia="Calibri" w:hAnsi="Verdana" w:cs="Arial"/>
                <w:lang w:val="es-ES_tradnl" w:eastAsia="es-ES"/>
              </w:rPr>
            </w:pPr>
          </w:p>
          <w:p w14:paraId="37A767A5" w14:textId="1798D961" w:rsidR="00645326" w:rsidRPr="00F62967" w:rsidRDefault="00645326" w:rsidP="00D818FA">
            <w:pPr>
              <w:jc w:val="both"/>
              <w:rPr>
                <w:rFonts w:ascii="Verdana" w:eastAsia="Calibri" w:hAnsi="Verdana" w:cs="Arial"/>
                <w:lang w:val="es-ES_tradnl" w:eastAsia="es-ES"/>
              </w:rPr>
            </w:pPr>
          </w:p>
        </w:tc>
      </w:tr>
      <w:tr w:rsidR="00D818FA" w:rsidRPr="00F62967" w14:paraId="5EC38B50" w14:textId="77777777" w:rsidTr="002D7ACD">
        <w:tc>
          <w:tcPr>
            <w:tcW w:w="2689" w:type="dxa"/>
          </w:tcPr>
          <w:p w14:paraId="2AE51572" w14:textId="77777777" w:rsidR="00D818FA" w:rsidRPr="00F62967" w:rsidRDefault="00D818FA" w:rsidP="00D818FA">
            <w:pPr>
              <w:jc w:val="both"/>
              <w:rPr>
                <w:rFonts w:ascii="Verdana" w:eastAsia="Calibri" w:hAnsi="Verdana" w:cs="Arial"/>
                <w:b/>
                <w:lang w:val="es-ES_tradnl" w:eastAsia="es-ES_tradnl"/>
              </w:rPr>
            </w:pPr>
            <w:r w:rsidRPr="00F62967">
              <w:rPr>
                <w:rFonts w:ascii="Verdana" w:eastAsia="Calibri" w:hAnsi="Verdana" w:cs="Arial"/>
                <w:b/>
                <w:lang w:val="es-ES_tradnl" w:eastAsia="es-ES_tradnl"/>
              </w:rPr>
              <w:t>Radicación:</w:t>
            </w:r>
            <w:r w:rsidRPr="00F62967">
              <w:rPr>
                <w:rFonts w:ascii="Verdana" w:eastAsia="Calibri" w:hAnsi="Verdana" w:cs="Arial"/>
                <w:lang w:val="es-ES_tradnl" w:eastAsia="es-ES_tradnl"/>
              </w:rPr>
              <w:t xml:space="preserve">               </w:t>
            </w:r>
          </w:p>
        </w:tc>
        <w:tc>
          <w:tcPr>
            <w:tcW w:w="6100" w:type="dxa"/>
          </w:tcPr>
          <w:p w14:paraId="31748949" w14:textId="79965D21" w:rsidR="00D818FA" w:rsidRPr="00F62967" w:rsidRDefault="00D818FA" w:rsidP="00D818FA">
            <w:pPr>
              <w:jc w:val="both"/>
              <w:rPr>
                <w:rFonts w:ascii="Verdana" w:eastAsia="Calibri" w:hAnsi="Verdana" w:cs="Arial"/>
                <w:lang w:val="es-ES_tradnl" w:eastAsia="es-ES_tradnl"/>
              </w:rPr>
            </w:pPr>
            <w:r w:rsidRPr="00F62967">
              <w:rPr>
                <w:rFonts w:ascii="Verdana" w:eastAsia="Calibri" w:hAnsi="Verdana" w:cs="Arial"/>
                <w:lang w:val="es-ES_tradnl" w:eastAsia="es-ES_tradnl"/>
              </w:rPr>
              <w:t xml:space="preserve">Respuesta a consulta con radicado No. </w:t>
            </w:r>
            <w:r w:rsidR="00F62967" w:rsidRPr="00F62967">
              <w:rPr>
                <w:rFonts w:ascii="Verdana" w:eastAsia="Calibri" w:hAnsi="Verdana" w:cs="Arial"/>
                <w:lang w:eastAsia="es-ES_tradnl"/>
              </w:rPr>
              <w:t>P20240912009314</w:t>
            </w:r>
          </w:p>
        </w:tc>
      </w:tr>
    </w:tbl>
    <w:p w14:paraId="0EC45515" w14:textId="77777777" w:rsidR="004C0691" w:rsidRPr="00F62967" w:rsidRDefault="004C0691" w:rsidP="004C0691">
      <w:pPr>
        <w:spacing w:after="0" w:line="276" w:lineRule="auto"/>
        <w:jc w:val="both"/>
        <w:rPr>
          <w:rFonts w:ascii="Verdana" w:eastAsia="Calibri" w:hAnsi="Verdana" w:cs="Arial"/>
          <w:lang w:val="es-ES_tradnl" w:eastAsia="es-ES_tradnl"/>
        </w:rPr>
      </w:pPr>
    </w:p>
    <w:p w14:paraId="1D00B204" w14:textId="77777777" w:rsidR="004C0691" w:rsidRPr="00F62967" w:rsidRDefault="004C0691" w:rsidP="004C0691">
      <w:pPr>
        <w:spacing w:after="0" w:line="276" w:lineRule="auto"/>
        <w:jc w:val="both"/>
        <w:rPr>
          <w:rFonts w:ascii="Verdana" w:eastAsia="Calibri" w:hAnsi="Verdana" w:cs="Arial"/>
          <w:lang w:val="es-ES_tradnl" w:eastAsia="es-ES_tradnl"/>
        </w:rPr>
      </w:pPr>
    </w:p>
    <w:p w14:paraId="3EB9FD73" w14:textId="3F29C283" w:rsidR="004C0691" w:rsidRPr="00F62967" w:rsidRDefault="004C0691" w:rsidP="004C0691">
      <w:pPr>
        <w:spacing w:after="0" w:line="276" w:lineRule="auto"/>
        <w:jc w:val="both"/>
        <w:rPr>
          <w:rFonts w:ascii="Verdana" w:eastAsia="Calibri" w:hAnsi="Verdana" w:cs="Arial"/>
          <w:lang w:val="es-ES" w:eastAsia="es-ES"/>
        </w:rPr>
      </w:pPr>
      <w:r w:rsidRPr="00F62967">
        <w:rPr>
          <w:rFonts w:ascii="Verdana" w:eastAsia="Calibri" w:hAnsi="Verdana" w:cs="Arial"/>
          <w:lang w:val="es-ES" w:eastAsia="es-ES"/>
        </w:rPr>
        <w:t>Estimad</w:t>
      </w:r>
      <w:r w:rsidR="00D818FA" w:rsidRPr="00F62967">
        <w:rPr>
          <w:rFonts w:ascii="Verdana" w:eastAsia="Calibri" w:hAnsi="Verdana" w:cs="Arial"/>
          <w:lang w:val="es-ES" w:eastAsia="es-ES"/>
        </w:rPr>
        <w:t>a</w:t>
      </w:r>
      <w:r w:rsidRPr="00F62967">
        <w:rPr>
          <w:rFonts w:ascii="Verdana" w:eastAsia="Calibri" w:hAnsi="Verdana" w:cs="Arial"/>
          <w:lang w:val="es-ES" w:eastAsia="es-ES"/>
        </w:rPr>
        <w:t xml:space="preserve"> señor</w:t>
      </w:r>
      <w:r w:rsidR="00D818FA" w:rsidRPr="00F62967">
        <w:rPr>
          <w:rFonts w:ascii="Verdana" w:eastAsia="Calibri" w:hAnsi="Verdana" w:cs="Arial"/>
          <w:lang w:val="es-ES" w:eastAsia="es-ES"/>
        </w:rPr>
        <w:t xml:space="preserve">a </w:t>
      </w:r>
      <w:r w:rsidR="00645326" w:rsidRPr="00F62967">
        <w:rPr>
          <w:rFonts w:ascii="Verdana" w:eastAsia="Calibri" w:hAnsi="Verdana" w:cs="Arial"/>
          <w:lang w:val="es-ES" w:eastAsia="es-ES"/>
        </w:rPr>
        <w:t>Romero Barrera</w:t>
      </w:r>
      <w:r w:rsidRPr="00F62967">
        <w:rPr>
          <w:rFonts w:ascii="Verdana" w:eastAsia="Calibri" w:hAnsi="Verdana" w:cs="Arial"/>
          <w:lang w:val="es-ES" w:eastAsia="es-ES"/>
        </w:rPr>
        <w:t xml:space="preserve">: </w:t>
      </w:r>
    </w:p>
    <w:p w14:paraId="003CEEE3" w14:textId="77777777" w:rsidR="004C0691" w:rsidRPr="00F62967" w:rsidRDefault="004C0691" w:rsidP="004C0691">
      <w:pPr>
        <w:tabs>
          <w:tab w:val="left" w:pos="3768"/>
        </w:tabs>
        <w:spacing w:after="0" w:line="276" w:lineRule="auto"/>
        <w:jc w:val="both"/>
        <w:rPr>
          <w:rFonts w:ascii="Verdana" w:eastAsia="Calibri" w:hAnsi="Verdana" w:cs="Arial"/>
          <w:lang w:val="es-ES" w:eastAsia="es-ES"/>
        </w:rPr>
      </w:pPr>
      <w:r w:rsidRPr="00F62967">
        <w:rPr>
          <w:rFonts w:ascii="Verdana" w:eastAsia="Calibri" w:hAnsi="Verdana" w:cs="Arial"/>
          <w:lang w:val="es-ES" w:eastAsia="es-ES"/>
        </w:rPr>
        <w:tab/>
      </w:r>
    </w:p>
    <w:p w14:paraId="3CA5203B" w14:textId="0AA7BBC0" w:rsidR="004C0691" w:rsidRPr="00F62967" w:rsidRDefault="004C0691" w:rsidP="004C0691">
      <w:pPr>
        <w:spacing w:after="0" w:line="276" w:lineRule="auto"/>
        <w:jc w:val="both"/>
        <w:rPr>
          <w:rFonts w:ascii="Verdana" w:eastAsia="Calibri" w:hAnsi="Verdana" w:cs="Arial"/>
          <w:lang w:val="es-ES" w:eastAsia="es-ES"/>
        </w:rPr>
      </w:pPr>
      <w:r w:rsidRPr="00F62967">
        <w:rPr>
          <w:rFonts w:ascii="Verdana" w:eastAsia="Calibri" w:hAnsi="Verdana" w:cs="Arial"/>
          <w:lang w:val="es-ES" w:eastAsia="es-ES"/>
        </w:rPr>
        <w:t>En ejercicio de la competencia otorgada por los artículos 3, numeral 5º, y 11, numeral 8º, del Decreto Ley 4170 de 2011,</w:t>
      </w:r>
      <w:r w:rsidRPr="00F62967">
        <w:rPr>
          <w:rFonts w:ascii="Verdana" w:eastAsia="Arial MT" w:hAnsi="Verdana" w:cs="Arial MT"/>
          <w:lang w:val="es-ES" w:eastAsia="es-ES"/>
        </w:rPr>
        <w:t xml:space="preserve"> </w:t>
      </w:r>
      <w:r w:rsidRPr="00F62967">
        <w:rPr>
          <w:rFonts w:ascii="Verdana" w:hAnsi="Verdana" w:cs="Arial"/>
        </w:rPr>
        <w:t xml:space="preserve">así como lo establecido en el artículo 4 de la Resolución 1707 de 2018 expedida por esta Entidad, </w:t>
      </w:r>
      <w:r w:rsidRPr="00F62967">
        <w:rPr>
          <w:rFonts w:ascii="Verdana" w:eastAsia="Calibri" w:hAnsi="Verdana" w:cs="Arial"/>
          <w:lang w:val="es-ES" w:eastAsia="es-ES"/>
        </w:rPr>
        <w:t xml:space="preserve">la Agencia Nacional de Contratación Pública – Colombia Compra Eficiente – responde su solicitud de consulta, </w:t>
      </w:r>
      <w:r w:rsidR="00677BC5" w:rsidRPr="00F62967">
        <w:rPr>
          <w:rFonts w:ascii="Verdana" w:eastAsia="Calibri" w:hAnsi="Verdana" w:cs="Arial"/>
          <w:lang w:val="es-ES" w:eastAsia="es-ES"/>
        </w:rPr>
        <w:t>d</w:t>
      </w:r>
      <w:r w:rsidRPr="00F62967">
        <w:rPr>
          <w:rFonts w:ascii="Verdana" w:eastAsia="Calibri" w:hAnsi="Verdana" w:cs="Arial"/>
          <w:lang w:val="es-ES" w:eastAsia="es-ES"/>
        </w:rPr>
        <w:t xml:space="preserve">el </w:t>
      </w:r>
      <w:r w:rsidR="00645326" w:rsidRPr="00F62967">
        <w:rPr>
          <w:rFonts w:ascii="Verdana" w:eastAsia="Calibri" w:hAnsi="Verdana" w:cs="Arial"/>
          <w:lang w:val="es-ES" w:eastAsia="es-ES"/>
        </w:rPr>
        <w:t>12</w:t>
      </w:r>
      <w:r w:rsidR="00677BC5" w:rsidRPr="00F62967">
        <w:rPr>
          <w:rFonts w:ascii="Verdana" w:eastAsia="Calibri" w:hAnsi="Verdana" w:cs="Arial"/>
          <w:lang w:val="es-ES" w:eastAsia="es-ES"/>
        </w:rPr>
        <w:t xml:space="preserve"> de </w:t>
      </w:r>
      <w:r w:rsidR="00D818FA" w:rsidRPr="00F62967">
        <w:rPr>
          <w:rFonts w:ascii="Verdana" w:eastAsia="Calibri" w:hAnsi="Verdana" w:cs="Arial"/>
          <w:lang w:val="es-ES" w:eastAsia="es-ES"/>
        </w:rPr>
        <w:t xml:space="preserve">septiembre </w:t>
      </w:r>
      <w:r w:rsidRPr="00F62967">
        <w:rPr>
          <w:rFonts w:ascii="Verdana" w:eastAsia="Calibri" w:hAnsi="Verdana" w:cs="Arial"/>
          <w:lang w:val="es-ES" w:eastAsia="es-ES"/>
        </w:rPr>
        <w:t xml:space="preserve">de 2024, en la cual manifiesta lo siguiente: </w:t>
      </w:r>
    </w:p>
    <w:p w14:paraId="583A34EA" w14:textId="77777777" w:rsidR="00D818FA" w:rsidRPr="00F62967" w:rsidRDefault="00D818FA" w:rsidP="00D818FA">
      <w:pPr>
        <w:spacing w:after="0" w:line="240" w:lineRule="auto"/>
        <w:ind w:left="709" w:right="709"/>
        <w:jc w:val="both"/>
        <w:rPr>
          <w:rFonts w:ascii="Verdana" w:eastAsia="Century Gothic" w:hAnsi="Verdana" w:cs="Century Gothic"/>
          <w:sz w:val="20"/>
          <w:szCs w:val="20"/>
          <w:lang w:val="es-ES"/>
        </w:rPr>
      </w:pPr>
      <w:bookmarkStart w:id="2" w:name="_Hlk95313578"/>
    </w:p>
    <w:p w14:paraId="3B65E0D1" w14:textId="5DCBAEEA" w:rsidR="00D818FA" w:rsidRPr="00F62967" w:rsidRDefault="00D818FA" w:rsidP="00645326">
      <w:pPr>
        <w:spacing w:after="0" w:line="240" w:lineRule="auto"/>
        <w:ind w:left="709" w:right="709"/>
        <w:jc w:val="both"/>
        <w:rPr>
          <w:rFonts w:ascii="Verdana" w:eastAsia="Century Gothic" w:hAnsi="Verdana" w:cs="Century Gothic"/>
          <w:sz w:val="20"/>
          <w:szCs w:val="20"/>
          <w:lang w:val="es-ES"/>
        </w:rPr>
      </w:pPr>
      <w:r w:rsidRPr="00F62967">
        <w:rPr>
          <w:rFonts w:ascii="Verdana" w:eastAsia="Century Gothic" w:hAnsi="Verdana" w:cs="Century Gothic"/>
          <w:sz w:val="20"/>
          <w:szCs w:val="20"/>
          <w:lang w:val="es-ES"/>
        </w:rPr>
        <w:t>“</w:t>
      </w:r>
      <w:r w:rsidR="00645326" w:rsidRPr="00F62967">
        <w:rPr>
          <w:rFonts w:ascii="Verdana" w:eastAsia="Century Gothic" w:hAnsi="Verdana" w:cs="Century Gothic"/>
          <w:sz w:val="20"/>
          <w:szCs w:val="20"/>
          <w:lang w:val="es-ES"/>
        </w:rPr>
        <w:t>Concepto juridico sobre imposición de fecha inicio y finalización contratos persona natural por parte de la entidad a los supervisores designados</w:t>
      </w:r>
      <w:r w:rsidRPr="00F62967">
        <w:rPr>
          <w:rStyle w:val="normaltextrun"/>
          <w:rFonts w:ascii="Verdana" w:hAnsi="Verdana" w:cs="Arial"/>
          <w:sz w:val="20"/>
          <w:szCs w:val="20"/>
          <w:shd w:val="clear" w:color="auto" w:fill="FFFFFF"/>
          <w:lang w:val="es-ES"/>
        </w:rPr>
        <w:t>[…]</w:t>
      </w:r>
      <w:r w:rsidRPr="00F62967">
        <w:rPr>
          <w:rFonts w:ascii="Verdana" w:eastAsia="Century Gothic" w:hAnsi="Verdana" w:cs="Century Gothic"/>
          <w:sz w:val="20"/>
          <w:szCs w:val="20"/>
          <w:lang w:val="es-ES"/>
        </w:rPr>
        <w:t>”</w:t>
      </w:r>
      <w:bookmarkEnd w:id="2"/>
      <w:r w:rsidRPr="00F62967">
        <w:rPr>
          <w:rFonts w:ascii="Verdana" w:eastAsia="Century Gothic" w:hAnsi="Verdana" w:cs="Century Gothic"/>
          <w:sz w:val="20"/>
          <w:szCs w:val="20"/>
          <w:lang w:val="es-ES"/>
        </w:rPr>
        <w:t>.</w:t>
      </w:r>
    </w:p>
    <w:p w14:paraId="2CA3CE86" w14:textId="77777777" w:rsidR="00677BC5" w:rsidRPr="00F62967" w:rsidRDefault="00677BC5" w:rsidP="00677BC5">
      <w:pPr>
        <w:pStyle w:val="Prrafodelista"/>
        <w:tabs>
          <w:tab w:val="left" w:pos="142"/>
          <w:tab w:val="left" w:pos="284"/>
        </w:tabs>
        <w:spacing w:after="0" w:line="276" w:lineRule="auto"/>
        <w:jc w:val="both"/>
        <w:rPr>
          <w:rFonts w:ascii="Verdana" w:eastAsia="Century Gothic" w:hAnsi="Verdana" w:cs="Century Gothic"/>
          <w:b/>
          <w:bCs/>
        </w:rPr>
      </w:pPr>
    </w:p>
    <w:p w14:paraId="7DA69962" w14:textId="77777777" w:rsidR="00B2670E" w:rsidRPr="00F62967" w:rsidRDefault="004C0691" w:rsidP="00BC3155">
      <w:pPr>
        <w:spacing w:after="120" w:line="276" w:lineRule="auto"/>
        <w:jc w:val="both"/>
        <w:rPr>
          <w:rFonts w:ascii="Verdana" w:eastAsia="Calibri" w:hAnsi="Verdana" w:cs="Arial"/>
          <w:lang w:val="es-ES_tradnl" w:eastAsia="es-ES_tradnl"/>
        </w:rPr>
      </w:pPr>
      <w:r w:rsidRPr="00F62967">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62967">
        <w:rPr>
          <w:rFonts w:ascii="Verdana" w:eastAsia="Calibri" w:hAnsi="Verdana" w:cs="Arial"/>
          <w:lang w:val="es-ES_tradnl" w:eastAsia="es-ES_tradnl"/>
        </w:rPr>
        <w:tab/>
      </w:r>
    </w:p>
    <w:p w14:paraId="5BA75627" w14:textId="77777777" w:rsidR="004C0691" w:rsidRPr="00F62967" w:rsidRDefault="004C0691" w:rsidP="00B2670E">
      <w:pPr>
        <w:spacing w:after="0" w:line="276" w:lineRule="auto"/>
        <w:ind w:firstLine="708"/>
        <w:jc w:val="both"/>
        <w:rPr>
          <w:rFonts w:ascii="Verdana" w:eastAsia="Calibri" w:hAnsi="Verdana" w:cs="Arial"/>
          <w:lang w:val="es-ES_tradnl" w:eastAsia="es-ES_tradnl"/>
        </w:rPr>
      </w:pPr>
      <w:r w:rsidRPr="00F6296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A0EB83" w14:textId="77777777" w:rsidR="004C0691" w:rsidRPr="00F62967" w:rsidRDefault="004C0691" w:rsidP="004C0691">
      <w:pPr>
        <w:spacing w:after="0" w:line="276" w:lineRule="auto"/>
        <w:ind w:firstLine="709"/>
        <w:jc w:val="both"/>
        <w:rPr>
          <w:rFonts w:ascii="Verdana" w:eastAsia="Calibri" w:hAnsi="Verdana" w:cs="Arial"/>
          <w:lang w:val="es-ES" w:eastAsia="es-ES"/>
        </w:rPr>
      </w:pPr>
    </w:p>
    <w:p w14:paraId="6177D628" w14:textId="77777777" w:rsidR="004C0691" w:rsidRPr="00F62967"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62967">
        <w:rPr>
          <w:rFonts w:ascii="Verdana" w:eastAsia="Century Gothic" w:hAnsi="Verdana" w:cs="Century Gothic"/>
          <w:b/>
          <w:bCs/>
        </w:rPr>
        <w:t>Problema planteado:</w:t>
      </w:r>
    </w:p>
    <w:p w14:paraId="4D5FA701" w14:textId="77777777" w:rsidR="004C0691" w:rsidRPr="00F62967" w:rsidRDefault="004C0691" w:rsidP="004C0691">
      <w:pPr>
        <w:tabs>
          <w:tab w:val="left" w:pos="426"/>
        </w:tabs>
        <w:spacing w:after="0" w:line="276" w:lineRule="auto"/>
        <w:jc w:val="both"/>
        <w:rPr>
          <w:rFonts w:ascii="Verdana" w:eastAsia="Century Gothic" w:hAnsi="Verdana" w:cs="Century Gothic"/>
          <w:lang w:val="es-ES"/>
        </w:rPr>
      </w:pPr>
    </w:p>
    <w:p w14:paraId="6996AF79" w14:textId="1C1A302F" w:rsidR="004C0691" w:rsidRPr="00F62967" w:rsidRDefault="004C0691" w:rsidP="004C0691">
      <w:pPr>
        <w:spacing w:after="0" w:line="276" w:lineRule="auto"/>
        <w:jc w:val="both"/>
        <w:rPr>
          <w:rFonts w:ascii="Verdana" w:hAnsi="Verdana" w:cs="Arial"/>
          <w:shd w:val="clear" w:color="auto" w:fill="FFFFFF"/>
        </w:rPr>
      </w:pPr>
      <w:r w:rsidRPr="00F62967">
        <w:rPr>
          <w:rFonts w:ascii="Verdana" w:eastAsia="Century Gothic" w:hAnsi="Verdana" w:cs="Century Gothic"/>
        </w:rPr>
        <w:t xml:space="preserve">De acuerdo con el contenido de su solicitud, esta Agencia resolverá los siguientes problemas jurídicos: </w:t>
      </w:r>
      <w:r w:rsidR="00F62967" w:rsidRPr="00F62967">
        <w:rPr>
          <w:rFonts w:ascii="Verdana" w:eastAsia="Century Gothic" w:hAnsi="Verdana" w:cs="Century Gothic"/>
        </w:rPr>
        <w:t>¿Quién define el plazo contractual en un contrato estatal</w:t>
      </w:r>
      <w:r w:rsidR="00D818FA" w:rsidRPr="00F62967">
        <w:rPr>
          <w:rFonts w:ascii="Verdana" w:eastAsia="Century Gothic" w:hAnsi="Verdana" w:cs="Century Gothic"/>
        </w:rPr>
        <w:t>?</w:t>
      </w:r>
    </w:p>
    <w:p w14:paraId="54D69431" w14:textId="77777777" w:rsidR="004C0691" w:rsidRPr="00F62967" w:rsidRDefault="004C0691" w:rsidP="004C0691">
      <w:pPr>
        <w:spacing w:after="0" w:line="276" w:lineRule="auto"/>
        <w:jc w:val="both"/>
        <w:rPr>
          <w:rFonts w:ascii="Verdana" w:eastAsia="Calibri" w:hAnsi="Verdana" w:cs="Arial"/>
          <w:lang w:val="es-ES"/>
        </w:rPr>
      </w:pPr>
    </w:p>
    <w:p w14:paraId="46FFF078" w14:textId="77777777" w:rsidR="004C0691" w:rsidRPr="00F62967"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62967">
        <w:rPr>
          <w:rFonts w:ascii="Verdana" w:eastAsia="Century Gothic" w:hAnsi="Verdana" w:cs="Century Gothic"/>
          <w:b/>
          <w:bCs/>
        </w:rPr>
        <w:t>Respuesta:</w:t>
      </w:r>
    </w:p>
    <w:p w14:paraId="63B90F2C" w14:textId="77777777" w:rsidR="004C0691" w:rsidRPr="00F62967" w:rsidRDefault="004C0691" w:rsidP="004C069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0691" w:rsidRPr="00F62967" w14:paraId="54D39579" w14:textId="77777777" w:rsidTr="002D7ACD">
        <w:tc>
          <w:tcPr>
            <w:tcW w:w="8828" w:type="dxa"/>
            <w:shd w:val="clear" w:color="auto" w:fill="auto"/>
          </w:tcPr>
          <w:p w14:paraId="6295BBB7" w14:textId="39445848" w:rsidR="00645326" w:rsidRPr="00F62967" w:rsidRDefault="00645326" w:rsidP="00645326">
            <w:pPr>
              <w:spacing w:before="120" w:line="276" w:lineRule="auto"/>
              <w:jc w:val="both"/>
              <w:rPr>
                <w:rFonts w:ascii="Verdana" w:eastAsia="Century Gothic" w:hAnsi="Verdana" w:cs="Century Gothic"/>
              </w:rPr>
            </w:pPr>
            <w:r w:rsidRPr="00F62967">
              <w:rPr>
                <w:rFonts w:ascii="Verdana" w:eastAsia="Century Gothic" w:hAnsi="Verdana" w:cs="Century Gothic"/>
              </w:rPr>
              <w:t xml:space="preserve">Resulta a bien resaltar la autonomía de las entidades públicas para estructurar los estudios previos, siempre y cuando observen los aspectos que estos deben contener, de conformidad con los artículos 2.2.1.1.1.6.1, 2.2.1.1.2.1.1 y 2.2.1.2.1.4.9 del Decreto 1082 de 2015. </w:t>
            </w:r>
          </w:p>
          <w:p w14:paraId="474C768D" w14:textId="5BD702DD" w:rsidR="00645326" w:rsidRPr="00F62967" w:rsidRDefault="00645326" w:rsidP="00645326">
            <w:pPr>
              <w:spacing w:before="120" w:line="276" w:lineRule="auto"/>
              <w:jc w:val="both"/>
              <w:rPr>
                <w:rFonts w:ascii="Verdana" w:eastAsia="Century Gothic" w:hAnsi="Verdana" w:cs="Century Gothic"/>
              </w:rPr>
            </w:pPr>
            <w:r w:rsidRPr="00F62967">
              <w:rPr>
                <w:rFonts w:ascii="Verdana" w:eastAsia="Century Gothic" w:hAnsi="Verdana" w:cs="Century Gothic"/>
              </w:rPr>
              <w:t xml:space="preserve">En todo caso, tratándose contratos de prestación de servicios, los estudios previos deben entrar a justificar las particularidades del objeto contractual de cara a la satisfacción de la necesidad de la Entidad Estatal en atención a la cual se requiere el respectivo contrato. De esto dependerán las regulaciones que se establezcan en la minuta del contrato en cuanto a la temporalidad, pago y demás asuntos relevantes del negocio jurídico, que, sin perjuicio de estar mediados por la autonomía de la voluntad de las partes para establecer </w:t>
            </w:r>
            <w:r w:rsidRPr="00F62967">
              <w:rPr>
                <w:rFonts w:ascii="Verdana" w:eastAsia="Century Gothic" w:hAnsi="Verdana" w:cs="Century Gothic"/>
              </w:rPr>
              <w:lastRenderedPageBreak/>
              <w:t xml:space="preserve">las condiciones del contrato, deben tener una justificación expresada en los estudios y documentos previos. </w:t>
            </w:r>
          </w:p>
          <w:p w14:paraId="071F3F7F" w14:textId="75EAAF1A" w:rsidR="00D818FA" w:rsidRPr="00F62967" w:rsidRDefault="00D818FA" w:rsidP="00D818FA">
            <w:pPr>
              <w:spacing w:line="276" w:lineRule="auto"/>
              <w:jc w:val="both"/>
              <w:rPr>
                <w:rFonts w:ascii="Verdana" w:eastAsia="Calibri" w:hAnsi="Verdana" w:cs="Arial"/>
                <w:color w:val="000000" w:themeColor="text1"/>
              </w:rPr>
            </w:pPr>
            <w:r w:rsidRPr="00F62967">
              <w:rPr>
                <w:rFonts w:ascii="Verdana" w:eastAsia="Calibri" w:hAnsi="Verdana" w:cs="Arial"/>
                <w:color w:val="000000" w:themeColor="text1"/>
              </w:rPr>
              <w:t xml:space="preserve"> </w:t>
            </w:r>
          </w:p>
        </w:tc>
      </w:tr>
    </w:tbl>
    <w:p w14:paraId="541A257A" w14:textId="77777777" w:rsidR="004C0691" w:rsidRPr="00F62967" w:rsidRDefault="004C0691" w:rsidP="004C0691">
      <w:pPr>
        <w:tabs>
          <w:tab w:val="left" w:pos="142"/>
          <w:tab w:val="left" w:pos="284"/>
        </w:tabs>
        <w:spacing w:after="0" w:line="276" w:lineRule="auto"/>
        <w:jc w:val="both"/>
        <w:rPr>
          <w:rFonts w:ascii="Verdana" w:eastAsia="Century Gothic" w:hAnsi="Verdana" w:cs="Century Gothic"/>
          <w:b/>
          <w:bCs/>
        </w:rPr>
      </w:pPr>
    </w:p>
    <w:p w14:paraId="0A1CA4C5" w14:textId="77777777" w:rsidR="004C0691" w:rsidRPr="00F62967"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62967">
        <w:rPr>
          <w:rFonts w:ascii="Verdana" w:eastAsia="Century Gothic" w:hAnsi="Verdana" w:cs="Century Gothic"/>
          <w:b/>
          <w:bCs/>
        </w:rPr>
        <w:t>Razones de la respuesta:</w:t>
      </w:r>
    </w:p>
    <w:p w14:paraId="07E9DF2E" w14:textId="77777777" w:rsidR="004C0691" w:rsidRPr="00F62967" w:rsidRDefault="004C0691" w:rsidP="004C0691">
      <w:pPr>
        <w:spacing w:after="0" w:line="276" w:lineRule="auto"/>
        <w:jc w:val="both"/>
        <w:rPr>
          <w:rFonts w:ascii="Verdana" w:eastAsia="Calibri" w:hAnsi="Verdana" w:cs="Arial"/>
          <w:color w:val="7030A0"/>
          <w:lang w:val="es-ES"/>
        </w:rPr>
      </w:pPr>
    </w:p>
    <w:p w14:paraId="3223915F" w14:textId="77777777" w:rsidR="004C0691" w:rsidRPr="00F62967" w:rsidRDefault="004C0691" w:rsidP="004C0691">
      <w:pPr>
        <w:spacing w:after="0" w:line="276" w:lineRule="auto"/>
        <w:jc w:val="both"/>
        <w:rPr>
          <w:rFonts w:ascii="Verdana" w:eastAsia="Calibri" w:hAnsi="Verdana" w:cs="Arial"/>
          <w:lang w:val="es-ES"/>
        </w:rPr>
      </w:pPr>
      <w:r w:rsidRPr="00F62967">
        <w:rPr>
          <w:rFonts w:ascii="Verdana" w:eastAsia="Calibri" w:hAnsi="Verdana" w:cs="Arial"/>
          <w:lang w:val="es-ES"/>
        </w:rPr>
        <w:t xml:space="preserve">Lo anterior se sustenta en las siguientes consideraciones: </w:t>
      </w:r>
    </w:p>
    <w:p w14:paraId="198CC30E" w14:textId="77777777" w:rsidR="004C0691" w:rsidRPr="00F62967" w:rsidRDefault="004C0691" w:rsidP="004C0691">
      <w:pPr>
        <w:spacing w:after="0" w:line="276" w:lineRule="auto"/>
        <w:jc w:val="both"/>
        <w:rPr>
          <w:rFonts w:ascii="Verdana" w:eastAsia="Calibri" w:hAnsi="Verdana" w:cs="Arial"/>
          <w:color w:val="7030A0"/>
          <w:lang w:val="es-ES"/>
        </w:rPr>
      </w:pPr>
    </w:p>
    <w:p w14:paraId="0CFFC025" w14:textId="77777777" w:rsidR="00645326" w:rsidRPr="00F62967" w:rsidRDefault="00645326" w:rsidP="00645326">
      <w:pPr>
        <w:pStyle w:val="Prrafodelista"/>
        <w:numPr>
          <w:ilvl w:val="0"/>
          <w:numId w:val="26"/>
        </w:numPr>
        <w:spacing w:after="0" w:line="276" w:lineRule="auto"/>
        <w:jc w:val="both"/>
        <w:rPr>
          <w:rFonts w:ascii="Verdana" w:eastAsia="Times New Roman" w:hAnsi="Verdana" w:cs="Arial"/>
          <w:color w:val="000000"/>
          <w:szCs w:val="24"/>
          <w:lang w:val="es-ES_tradnl" w:eastAsia="es-ES_tradnl"/>
        </w:rPr>
      </w:pPr>
      <w:r w:rsidRPr="00F62967">
        <w:rPr>
          <w:rFonts w:ascii="Verdana" w:eastAsia="Times New Roman" w:hAnsi="Verdana" w:cs="Arial"/>
          <w:color w:val="000000"/>
          <w:szCs w:val="24"/>
          <w:lang w:val="es-ES_tradnl"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 disponibilidad, oferentes, etc. Lo anterior con la finalidad de realizar la escogencia diligente de la mejor oferta, para beneficiar los intereses y fines públicos inmersos en la contratación de las entidades públicas.</w:t>
      </w:r>
    </w:p>
    <w:p w14:paraId="4A7AF972" w14:textId="77777777" w:rsidR="00645326" w:rsidRPr="00F62967" w:rsidRDefault="00645326" w:rsidP="00645326">
      <w:pPr>
        <w:pStyle w:val="Prrafodelista"/>
        <w:numPr>
          <w:ilvl w:val="0"/>
          <w:numId w:val="26"/>
        </w:numPr>
        <w:spacing w:before="120" w:after="0" w:line="276" w:lineRule="auto"/>
        <w:jc w:val="both"/>
        <w:rPr>
          <w:rFonts w:ascii="Verdana" w:eastAsia="Times New Roman" w:hAnsi="Verdana" w:cs="Arial"/>
          <w:color w:val="000000"/>
          <w:szCs w:val="24"/>
          <w:lang w:val="es-ES_tradnl" w:eastAsia="es-ES_tradnl"/>
        </w:rPr>
      </w:pPr>
      <w:r w:rsidRPr="00F62967">
        <w:rPr>
          <w:rFonts w:ascii="Verdana" w:eastAsia="Times New Roman" w:hAnsi="Verdana" w:cs="Arial"/>
          <w:color w:val="000000"/>
          <w:szCs w:val="24"/>
          <w:lang w:val="es-ES_tradnl" w:eastAsia="es-ES_tradnl"/>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6AC0787B" w14:textId="77777777" w:rsidR="00645326" w:rsidRPr="00F62967" w:rsidRDefault="00645326" w:rsidP="00645326">
      <w:pPr>
        <w:spacing w:after="0" w:line="276" w:lineRule="auto"/>
        <w:jc w:val="both"/>
        <w:rPr>
          <w:rFonts w:ascii="Verdana" w:eastAsia="Times New Roman" w:hAnsi="Verdana" w:cs="Arial"/>
          <w:color w:val="000000"/>
          <w:szCs w:val="24"/>
          <w:lang w:val="es-ES_tradnl" w:eastAsia="es-ES_tradnl"/>
        </w:rPr>
      </w:pPr>
    </w:p>
    <w:p w14:paraId="74DB005D" w14:textId="77777777" w:rsidR="00645326" w:rsidRPr="00F62967" w:rsidRDefault="00645326" w:rsidP="00F62967">
      <w:pPr>
        <w:pStyle w:val="Prrafodelista"/>
        <w:spacing w:after="0" w:line="240" w:lineRule="auto"/>
        <w:ind w:right="709"/>
        <w:jc w:val="both"/>
        <w:rPr>
          <w:rFonts w:ascii="Verdana" w:eastAsia="Times New Roman" w:hAnsi="Verdana" w:cs="Arial"/>
          <w:color w:val="000000"/>
          <w:sz w:val="21"/>
          <w:szCs w:val="21"/>
          <w:lang w:val="es-ES_tradnl" w:eastAsia="es-ES_tradnl"/>
        </w:rPr>
      </w:pPr>
      <w:r w:rsidRPr="00F62967">
        <w:rPr>
          <w:rFonts w:ascii="Verdana" w:eastAsia="Times New Roman" w:hAnsi="Verdana" w:cs="Arial"/>
          <w:color w:val="000000"/>
          <w:sz w:val="21"/>
          <w:szCs w:val="21"/>
          <w:lang w:val="es-ES_tradnl"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10A9EF64" w14:textId="77777777" w:rsidR="00645326" w:rsidRPr="00F62967" w:rsidRDefault="00645326" w:rsidP="00F62967">
      <w:pPr>
        <w:pStyle w:val="Prrafodelista"/>
        <w:spacing w:before="120" w:after="0" w:line="240" w:lineRule="auto"/>
        <w:ind w:right="709"/>
        <w:jc w:val="both"/>
        <w:rPr>
          <w:rFonts w:ascii="Verdana" w:eastAsia="Times New Roman" w:hAnsi="Verdana" w:cs="Arial"/>
          <w:color w:val="000000"/>
          <w:sz w:val="21"/>
          <w:szCs w:val="21"/>
          <w:lang w:val="es-ES_tradnl" w:eastAsia="es-ES_tradnl"/>
        </w:rPr>
      </w:pPr>
      <w:r w:rsidRPr="00F62967">
        <w:rPr>
          <w:rFonts w:ascii="Verdana" w:eastAsia="Times New Roman" w:hAnsi="Verdana" w:cs="Arial"/>
          <w:color w:val="000000"/>
          <w:sz w:val="21"/>
          <w:szCs w:val="21"/>
          <w:lang w:val="es-ES_tradnl" w:eastAsia="es-ES_tradnl"/>
        </w:rPr>
        <w:t>[…]</w:t>
      </w:r>
    </w:p>
    <w:p w14:paraId="62518FB1" w14:textId="77777777" w:rsidR="00645326" w:rsidRPr="00F62967" w:rsidRDefault="00645326" w:rsidP="00F62967">
      <w:pPr>
        <w:pStyle w:val="Prrafodelista"/>
        <w:spacing w:before="120" w:after="0" w:line="240" w:lineRule="auto"/>
        <w:ind w:right="709"/>
        <w:jc w:val="both"/>
        <w:rPr>
          <w:rFonts w:ascii="Verdana" w:eastAsia="Times New Roman" w:hAnsi="Verdana" w:cs="Arial"/>
          <w:color w:val="000000"/>
          <w:sz w:val="21"/>
          <w:szCs w:val="21"/>
          <w:lang w:val="es-ES_tradnl" w:eastAsia="es-ES_tradnl"/>
        </w:rPr>
      </w:pPr>
      <w:r w:rsidRPr="00F62967">
        <w:rPr>
          <w:rFonts w:ascii="Verdana" w:eastAsia="Times New Roman" w:hAnsi="Verdana" w:cs="Arial"/>
          <w:color w:val="000000"/>
          <w:sz w:val="21"/>
          <w:szCs w:val="21"/>
          <w:lang w:val="es-ES_tradnl" w:eastAsia="es-ES_tradnl"/>
        </w:rPr>
        <w:t xml:space="preserve">12. Previo a la apertura de un proceso de selección, </w:t>
      </w:r>
      <w:r w:rsidRPr="00F62967">
        <w:rPr>
          <w:rFonts w:ascii="Verdana" w:eastAsia="Times New Roman" w:hAnsi="Verdana" w:cs="Arial"/>
          <w:i/>
          <w:iCs/>
          <w:color w:val="000000"/>
          <w:sz w:val="21"/>
          <w:szCs w:val="21"/>
          <w:u w:val="single"/>
          <w:lang w:val="es-ES_tradnl" w:eastAsia="es-ES_tradnl"/>
        </w:rPr>
        <w:t>o a la firma del contrato en el caso en que la modalidad de selección sea contratación directa,</w:t>
      </w:r>
      <w:r w:rsidRPr="00F62967">
        <w:rPr>
          <w:rFonts w:ascii="Verdana" w:eastAsia="Times New Roman" w:hAnsi="Verdana" w:cs="Arial"/>
          <w:color w:val="000000"/>
          <w:sz w:val="21"/>
          <w:szCs w:val="21"/>
          <w:lang w:val="es-ES_tradnl" w:eastAsia="es-ES_tradnl"/>
        </w:rPr>
        <w:t xml:space="preserve"> deberán elaborarse los estudios, diseños y proyectos requeridos, y los pliegos de condiciones, según corresponda. […]” [Énfasis fuera de texto]</w:t>
      </w:r>
    </w:p>
    <w:p w14:paraId="6E025443" w14:textId="77777777" w:rsidR="00645326" w:rsidRPr="00F62967" w:rsidRDefault="00645326" w:rsidP="00645326">
      <w:pPr>
        <w:spacing w:after="0" w:line="276" w:lineRule="auto"/>
        <w:ind w:firstLine="709"/>
        <w:jc w:val="both"/>
        <w:rPr>
          <w:rFonts w:ascii="Verdana" w:eastAsia="Times New Roman" w:hAnsi="Verdana" w:cs="Arial"/>
          <w:color w:val="000000"/>
          <w:szCs w:val="24"/>
          <w:lang w:val="es-ES_tradnl" w:eastAsia="es-ES_tradnl"/>
        </w:rPr>
      </w:pPr>
    </w:p>
    <w:p w14:paraId="6A677BCF" w14:textId="77777777" w:rsidR="00645326" w:rsidRPr="00F62967" w:rsidRDefault="00645326" w:rsidP="00645326">
      <w:pPr>
        <w:pStyle w:val="Prrafodelista"/>
        <w:numPr>
          <w:ilvl w:val="0"/>
          <w:numId w:val="26"/>
        </w:numPr>
        <w:spacing w:after="0" w:line="276" w:lineRule="auto"/>
        <w:jc w:val="both"/>
        <w:rPr>
          <w:rFonts w:ascii="Verdana" w:eastAsia="Times New Roman" w:hAnsi="Verdana" w:cs="Arial"/>
          <w:color w:val="000000"/>
          <w:szCs w:val="24"/>
          <w:lang w:val="es-ES_tradnl" w:eastAsia="es-ES_tradnl"/>
        </w:rPr>
      </w:pPr>
      <w:r w:rsidRPr="00F62967">
        <w:rPr>
          <w:rFonts w:ascii="Verdana" w:eastAsia="Times New Roman" w:hAnsi="Verdana" w:cs="Arial"/>
          <w:color w:val="000000"/>
          <w:szCs w:val="24"/>
          <w:lang w:val="es-ES_tradnl" w:eastAsia="es-ES_tradnl"/>
        </w:rPr>
        <w:lastRenderedPageBreak/>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F62967">
        <w:rPr>
          <w:rFonts w:ascii="Verdana" w:hAnsi="Verdana"/>
          <w:vertAlign w:val="superscript"/>
        </w:rPr>
        <w:footnoteReference w:id="2"/>
      </w:r>
      <w:r w:rsidRPr="00F62967">
        <w:rPr>
          <w:rFonts w:ascii="Verdana" w:eastAsia="Times New Roman" w:hAnsi="Verdana" w:cs="Arial"/>
          <w:color w:val="000000"/>
          <w:szCs w:val="24"/>
          <w:lang w:val="es-ES_tradnl"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14:paraId="1F059C94" w14:textId="77777777" w:rsidR="00645326" w:rsidRPr="00F62967" w:rsidRDefault="00645326" w:rsidP="00645326">
      <w:pPr>
        <w:spacing w:after="0" w:line="276" w:lineRule="auto"/>
        <w:jc w:val="both"/>
        <w:rPr>
          <w:rFonts w:ascii="Verdana" w:eastAsia="Times New Roman" w:hAnsi="Verdana" w:cs="Arial"/>
          <w:color w:val="000000"/>
          <w:szCs w:val="24"/>
          <w:lang w:val="es-ES_tradnl" w:eastAsia="es-ES_tradnl"/>
        </w:rPr>
      </w:pPr>
    </w:p>
    <w:p w14:paraId="35548E37" w14:textId="77777777" w:rsidR="00645326" w:rsidRPr="00F62967" w:rsidRDefault="00645326" w:rsidP="00645326">
      <w:pPr>
        <w:pStyle w:val="Prrafodelista"/>
        <w:spacing w:after="0" w:line="240" w:lineRule="auto"/>
        <w:ind w:right="709"/>
        <w:jc w:val="both"/>
        <w:rPr>
          <w:rFonts w:ascii="Verdana" w:hAnsi="Verdana" w:cs="Arial"/>
          <w:sz w:val="21"/>
          <w:szCs w:val="21"/>
        </w:rPr>
      </w:pPr>
      <w:r w:rsidRPr="00F62967">
        <w:rPr>
          <w:rFonts w:ascii="Verdana" w:hAnsi="Verdana"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7E0B385" w14:textId="41BD77A1" w:rsidR="00645326" w:rsidRPr="00F62967" w:rsidRDefault="00645326" w:rsidP="00645326">
      <w:pPr>
        <w:pStyle w:val="Prrafodelista"/>
        <w:spacing w:before="120" w:after="120" w:line="240" w:lineRule="auto"/>
        <w:ind w:right="709"/>
        <w:jc w:val="both"/>
        <w:rPr>
          <w:rFonts w:ascii="Verdana" w:hAnsi="Verdana" w:cs="Arial"/>
          <w:sz w:val="21"/>
          <w:szCs w:val="21"/>
        </w:rPr>
      </w:pPr>
      <w:r w:rsidRPr="00F62967">
        <w:rPr>
          <w:rFonts w:ascii="Verdana" w:hAnsi="Verdana" w:cs="Arial"/>
          <w:sz w:val="21"/>
          <w:szCs w:val="21"/>
        </w:rPr>
        <w:t xml:space="preserve">La descripción de la necesidad que la Entidad Estatal pretende satisfacer con el Proceso de Contratación. </w:t>
      </w:r>
      <w:r w:rsidRPr="00F62967">
        <w:rPr>
          <w:rFonts w:ascii="Arial" w:hAnsi="Arial" w:cs="Arial"/>
          <w:sz w:val="21"/>
          <w:szCs w:val="21"/>
        </w:rPr>
        <w:t>​</w:t>
      </w:r>
    </w:p>
    <w:p w14:paraId="52539922" w14:textId="2879B303" w:rsidR="00645326" w:rsidRPr="00F62967" w:rsidRDefault="00645326" w:rsidP="00645326">
      <w:pPr>
        <w:pStyle w:val="Prrafodelista"/>
        <w:spacing w:after="0" w:line="240" w:lineRule="auto"/>
        <w:ind w:right="709"/>
        <w:jc w:val="both"/>
        <w:rPr>
          <w:rFonts w:ascii="Verdana" w:hAnsi="Verdana" w:cs="Arial"/>
          <w:sz w:val="21"/>
          <w:szCs w:val="21"/>
        </w:rPr>
      </w:pPr>
      <w:r w:rsidRPr="00F62967">
        <w:rPr>
          <w:rFonts w:ascii="Verdana" w:hAnsi="Verdana" w:cs="Arial"/>
          <w:sz w:val="21"/>
          <w:szCs w:val="21"/>
        </w:rPr>
        <w:t xml:space="preserve">El objeto a contratar, con sus especificaciones, las autorizaciones, permisos y licencias requeridos para su ejecución, y cuando el contrato incluye diseño y construcción, los documentos técnicos para el desarrollo del proyecto. </w:t>
      </w:r>
    </w:p>
    <w:p w14:paraId="6C268072" w14:textId="0DEA16AF" w:rsidR="00645326" w:rsidRPr="00F62967" w:rsidRDefault="00645326" w:rsidP="00645326">
      <w:pPr>
        <w:pStyle w:val="Prrafodelista"/>
        <w:spacing w:before="120" w:after="120" w:line="240" w:lineRule="auto"/>
        <w:ind w:right="709"/>
        <w:jc w:val="both"/>
        <w:rPr>
          <w:rFonts w:ascii="Verdana" w:hAnsi="Verdana" w:cs="Arial"/>
          <w:sz w:val="21"/>
          <w:szCs w:val="21"/>
        </w:rPr>
      </w:pPr>
      <w:r w:rsidRPr="00F62967">
        <w:rPr>
          <w:rFonts w:ascii="Verdana" w:hAnsi="Verdana" w:cs="Arial"/>
          <w:sz w:val="21"/>
          <w:szCs w:val="21"/>
        </w:rPr>
        <w:t xml:space="preserve">La modalidad de selección del contratista y su justificación, incluyendo los fundamentos jurídicos. </w:t>
      </w:r>
    </w:p>
    <w:p w14:paraId="1D1AF550" w14:textId="47D75D64" w:rsidR="00645326" w:rsidRPr="00F62967" w:rsidRDefault="00645326" w:rsidP="00F62967">
      <w:pPr>
        <w:pStyle w:val="Prrafodelista"/>
        <w:spacing w:after="0" w:line="240" w:lineRule="auto"/>
        <w:ind w:right="709"/>
        <w:jc w:val="both"/>
        <w:rPr>
          <w:rFonts w:ascii="Verdana" w:hAnsi="Verdana" w:cs="Arial"/>
          <w:sz w:val="21"/>
          <w:szCs w:val="21"/>
        </w:rPr>
      </w:pPr>
      <w:r w:rsidRPr="00F62967">
        <w:rPr>
          <w:rFonts w:ascii="Verdana" w:hAnsi="Verdana" w:cs="Arial"/>
          <w:sz w:val="21"/>
          <w:szCs w:val="21"/>
        </w:rPr>
        <w:t xml:space="preserve">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Los criterios para seleccionar la oferta más favorable. El análisis de Riesgo y la forma de mitigarlo. </w:t>
      </w:r>
    </w:p>
    <w:p w14:paraId="0C977E22" w14:textId="1459BE2B" w:rsidR="00645326" w:rsidRPr="00F62967" w:rsidRDefault="00645326" w:rsidP="00F62967">
      <w:pPr>
        <w:pStyle w:val="Prrafodelista"/>
        <w:spacing w:after="120" w:line="240" w:lineRule="auto"/>
        <w:ind w:right="709"/>
        <w:jc w:val="both"/>
        <w:rPr>
          <w:rFonts w:ascii="Verdana" w:hAnsi="Verdana" w:cs="Arial"/>
          <w:sz w:val="21"/>
          <w:szCs w:val="21"/>
        </w:rPr>
      </w:pPr>
      <w:r w:rsidRPr="00F62967">
        <w:rPr>
          <w:rFonts w:ascii="Verdana" w:hAnsi="Verdana" w:cs="Arial"/>
          <w:sz w:val="21"/>
          <w:szCs w:val="21"/>
        </w:rPr>
        <w:t>Las garantías que la Entidad Estatal contempla exigir en el proceso de contratación. La indicación de si el proceso de contratación está cobijado por un acuerdo comercial. El presente artículo no es aplicable a la contratación por mínima cuantía”.</w:t>
      </w:r>
    </w:p>
    <w:p w14:paraId="5F2E17E1" w14:textId="77777777" w:rsidR="00F62967" w:rsidRPr="00F62967" w:rsidRDefault="00F62967" w:rsidP="00F62967">
      <w:pPr>
        <w:pStyle w:val="Prrafodelista"/>
        <w:spacing w:after="0" w:line="276" w:lineRule="auto"/>
        <w:jc w:val="both"/>
        <w:rPr>
          <w:rFonts w:ascii="Verdana" w:eastAsia="Times New Roman" w:hAnsi="Verdana" w:cs="Arial"/>
          <w:color w:val="000000"/>
          <w:szCs w:val="24"/>
          <w:lang w:val="es-ES_tradnl" w:eastAsia="es-ES_tradnl"/>
        </w:rPr>
      </w:pPr>
    </w:p>
    <w:p w14:paraId="52B7586F" w14:textId="2C2694FA" w:rsidR="00645326" w:rsidRPr="00F62967" w:rsidRDefault="00645326" w:rsidP="00645326">
      <w:pPr>
        <w:pStyle w:val="Prrafodelista"/>
        <w:numPr>
          <w:ilvl w:val="0"/>
          <w:numId w:val="26"/>
        </w:numPr>
        <w:spacing w:after="0" w:line="276" w:lineRule="auto"/>
        <w:jc w:val="both"/>
        <w:rPr>
          <w:rFonts w:ascii="Verdana" w:eastAsia="Times New Roman" w:hAnsi="Verdana" w:cs="Arial"/>
          <w:color w:val="000000"/>
          <w:szCs w:val="24"/>
          <w:lang w:val="es-ES_tradnl" w:eastAsia="es-ES_tradnl"/>
        </w:rPr>
      </w:pPr>
      <w:r w:rsidRPr="00F62967">
        <w:rPr>
          <w:rFonts w:ascii="Verdana" w:eastAsia="Times New Roman" w:hAnsi="Verdana" w:cs="Arial"/>
          <w:color w:val="000000"/>
          <w:szCs w:val="24"/>
          <w:lang w:val="es-ES_tradnl" w:eastAsia="es-ES_tradnl"/>
        </w:rPr>
        <w:t>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los servicios, etcétera,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w:t>
      </w:r>
      <w:r w:rsidRPr="00F62967">
        <w:rPr>
          <w:rFonts w:ascii="Verdana" w:hAnsi="Verdana"/>
          <w:vertAlign w:val="superscript"/>
        </w:rPr>
        <w:footnoteReference w:id="3"/>
      </w:r>
      <w:r w:rsidRPr="00F62967">
        <w:rPr>
          <w:rFonts w:ascii="Verdana" w:hAnsi="Verdana" w:cs="Arial"/>
        </w:rPr>
        <w:t>.</w:t>
      </w:r>
    </w:p>
    <w:p w14:paraId="5EC88CD0" w14:textId="77777777" w:rsidR="00645326" w:rsidRPr="00F62967" w:rsidRDefault="00645326" w:rsidP="00645326">
      <w:pPr>
        <w:pStyle w:val="Prrafodelista"/>
        <w:numPr>
          <w:ilvl w:val="0"/>
          <w:numId w:val="26"/>
        </w:numPr>
        <w:spacing w:before="120" w:after="120" w:line="276" w:lineRule="auto"/>
        <w:jc w:val="both"/>
        <w:rPr>
          <w:rFonts w:ascii="Verdana" w:eastAsia="Times New Roman" w:hAnsi="Verdana" w:cs="Arial"/>
          <w:color w:val="000000"/>
          <w:szCs w:val="24"/>
          <w:lang w:val="es-ES_tradnl" w:eastAsia="es-ES_tradnl"/>
        </w:rPr>
      </w:pPr>
      <w:r w:rsidRPr="00F62967">
        <w:rPr>
          <w:rFonts w:ascii="Verdana" w:eastAsia="Times New Roman" w:hAnsi="Verdana" w:cs="Arial"/>
          <w:color w:val="000000"/>
          <w:szCs w:val="24"/>
          <w:lang w:val="es-ES_tradnl" w:eastAsia="es-ES_tradnl"/>
        </w:rPr>
        <w:t xml:space="preserve">Cuando las entidades públicas cumplen con los elementos mínimos establecidos en la norma y aquellos adicionales que identifiquen en la etapa de planeación de los procedimientos de contratación, permiten que los contratos resultantes cuenten con el sustento técnico, económico y jurídico que incidirá en una adecuada ejecución. Así pues, más allá </w:t>
      </w:r>
      <w:r w:rsidRPr="00F62967">
        <w:rPr>
          <w:rFonts w:ascii="Verdana" w:eastAsia="Times New Roman" w:hAnsi="Verdana" w:cs="Arial"/>
          <w:szCs w:val="24"/>
          <w:lang w:eastAsia="es-ES_tradnl"/>
        </w:rPr>
        <w:t>del cumplimiento de la normativa, “los estudios y documentos previos son el soporte para elaborar el proyecto de pliegos, los pliegos de condiciones, y el contrato”</w:t>
      </w:r>
      <w:r w:rsidRPr="00F62967">
        <w:rPr>
          <w:rFonts w:ascii="Verdana" w:hAnsi="Verdana"/>
          <w:vertAlign w:val="superscript"/>
          <w:lang w:eastAsia="es-ES_tradnl"/>
        </w:rPr>
        <w:footnoteReference w:id="4"/>
      </w:r>
      <w:r w:rsidRPr="00F62967">
        <w:rPr>
          <w:rFonts w:ascii="Verdana" w:eastAsia="Times New Roman" w:hAnsi="Verdana" w:cs="Arial"/>
          <w:szCs w:val="24"/>
          <w:lang w:eastAsia="es-ES_tradnl"/>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4ECEF662" w14:textId="77777777" w:rsidR="00645326" w:rsidRPr="00F62967" w:rsidRDefault="00645326" w:rsidP="00645326">
      <w:pPr>
        <w:pStyle w:val="Prrafodelista"/>
        <w:numPr>
          <w:ilvl w:val="0"/>
          <w:numId w:val="26"/>
        </w:numPr>
        <w:spacing w:after="120" w:line="276" w:lineRule="auto"/>
        <w:jc w:val="both"/>
        <w:rPr>
          <w:rFonts w:ascii="Verdana" w:hAnsi="Verdana" w:cs="Arial"/>
        </w:rPr>
      </w:pPr>
      <w:r w:rsidRPr="00F62967">
        <w:rPr>
          <w:rFonts w:ascii="Verdana" w:eastAsia="Times New Roman" w:hAnsi="Verdana" w:cs="Arial"/>
          <w:color w:val="000000"/>
          <w:szCs w:val="24"/>
          <w:lang w:val="es-ES_tradnl" w:eastAsia="es-ES_tradnl"/>
        </w:rPr>
        <w:t xml:space="preserve">De lo explicado se desprende que los estudios y documentos previos son necesarios antes de la celebración del contrato, pues fundamentan las condiciones que la Entidad Estatal exige en un proceso de contratación. Sin embargo, luego de la suscripción del contrato la entidad no debe </w:t>
      </w:r>
      <w:r w:rsidRPr="00F62967">
        <w:rPr>
          <w:rFonts w:ascii="Verdana" w:eastAsia="Times New Roman" w:hAnsi="Verdana" w:cs="Arial"/>
          <w:color w:val="000000"/>
          <w:szCs w:val="24"/>
          <w:lang w:val="es-ES_tradnl" w:eastAsia="es-ES_tradnl"/>
        </w:rPr>
        <w:lastRenderedPageBreak/>
        <w:t>actuar unilateralmente, sino que debe respetar la buena fe contractual y proceder de acuerdo con lo pactado</w:t>
      </w:r>
      <w:r w:rsidRPr="00F62967">
        <w:rPr>
          <w:rFonts w:ascii="Verdana" w:hAnsi="Verdana"/>
          <w:vertAlign w:val="superscript"/>
        </w:rPr>
        <w:footnoteReference w:id="5"/>
      </w:r>
      <w:r w:rsidRPr="00F62967">
        <w:rPr>
          <w:rFonts w:ascii="Verdana" w:hAnsi="Verdana" w:cs="Arial"/>
        </w:rPr>
        <w:t>.</w:t>
      </w:r>
    </w:p>
    <w:p w14:paraId="74CED9E0" w14:textId="77777777" w:rsidR="00645326" w:rsidRPr="00F62967" w:rsidRDefault="00645326" w:rsidP="00645326">
      <w:pPr>
        <w:pStyle w:val="Prrafodelista"/>
        <w:numPr>
          <w:ilvl w:val="0"/>
          <w:numId w:val="26"/>
        </w:numPr>
        <w:spacing w:after="120" w:line="276" w:lineRule="auto"/>
        <w:jc w:val="both"/>
        <w:rPr>
          <w:rFonts w:ascii="Verdana" w:eastAsia="Times New Roman" w:hAnsi="Verdana" w:cs="Arial"/>
          <w:szCs w:val="24"/>
          <w:lang w:eastAsia="es-ES_tradnl"/>
        </w:rPr>
      </w:pPr>
      <w:r w:rsidRPr="00F62967">
        <w:rPr>
          <w:rFonts w:ascii="Verdana" w:eastAsia="Times New Roman" w:hAnsi="Verdana" w:cs="Arial"/>
          <w:szCs w:val="24"/>
          <w:lang w:eastAsia="es-ES_tradnl"/>
        </w:rPr>
        <w:t>El numeral 12 del artículo 25 antes citado, establece el deber de las entidades de realizar estudios previos en dos momentos específicos: i) previo a la apertura de un proceso de selección y ii) previo a la firma del contrato en el caso en que la modalidad de selección sea contratación directa. Por su parte, el reglamento, es decir los artículos 2.2.1.1.1.6.1 y 2.2.1.1.2.1.1 del Decreto 1082 de 2015, no imponen la obligación de realizar estudios y documentos previos en etapas diferentes a la de planeación del contrato.</w:t>
      </w:r>
    </w:p>
    <w:p w14:paraId="3E896322" w14:textId="77777777" w:rsidR="00645326" w:rsidRPr="00F62967" w:rsidRDefault="00645326" w:rsidP="00645326">
      <w:pPr>
        <w:pStyle w:val="Prrafodelista"/>
        <w:numPr>
          <w:ilvl w:val="0"/>
          <w:numId w:val="26"/>
        </w:numPr>
        <w:spacing w:before="120" w:line="276" w:lineRule="auto"/>
        <w:jc w:val="both"/>
        <w:rPr>
          <w:rFonts w:ascii="Verdana" w:eastAsia="Calibri" w:hAnsi="Verdana" w:cs="Arial"/>
          <w:bCs/>
          <w:szCs w:val="24"/>
          <w:lang w:val="es-ES_tradnl" w:eastAsia="es-ES_tradnl"/>
        </w:rPr>
      </w:pPr>
      <w:r w:rsidRPr="00F62967">
        <w:rPr>
          <w:rFonts w:ascii="Verdana" w:eastAsia="Times New Roman" w:hAnsi="Verdana" w:cs="Arial"/>
          <w:szCs w:val="24"/>
          <w:lang w:eastAsia="es-ES_tradnl"/>
        </w:rPr>
        <w:t xml:space="preserve">En consecuencia, dicho análisis facilita tanto el conocimiento del sector, desde una perspectiva multidisciplinaria, como de los proveedores disponibles en el mercado para satisfacer la necesidad de la entidad contratante. Asimismo, el análisis del sector implica un estudio de la oferta, lo que permitirá identificar qué proveedores existen en el mercado y cómo intervienen en la cadena de producción, comercialización </w:t>
      </w:r>
      <w:r w:rsidRPr="00F62967">
        <w:rPr>
          <w:rFonts w:ascii="Verdana" w:eastAsia="Calibri" w:hAnsi="Verdana" w:cs="Arial"/>
          <w:bCs/>
          <w:szCs w:val="24"/>
          <w:lang w:val="es-ES_tradnl" w:eastAsia="es-ES_tradnl"/>
        </w:rPr>
        <w:t xml:space="preserve">y distribución de los bienes, obras o servicios. Adicionalmente, podrá estudiar la demanda para determinar cómo las Entidades Estatales y los particulares adquieren esos bienes, obras o servicios para extraer las mejores prácticas e información para el Proceso de Contratación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37ACD376" w14:textId="77777777" w:rsidR="00645326" w:rsidRPr="00F62967" w:rsidRDefault="00645326" w:rsidP="00645326">
      <w:pPr>
        <w:pStyle w:val="Prrafodelista"/>
        <w:numPr>
          <w:ilvl w:val="0"/>
          <w:numId w:val="26"/>
        </w:numPr>
        <w:spacing w:before="120" w:after="120" w:line="276" w:lineRule="auto"/>
        <w:jc w:val="both"/>
        <w:rPr>
          <w:rFonts w:ascii="Verdana" w:eastAsia="Times New Roman" w:hAnsi="Verdana" w:cs="Arial"/>
          <w:szCs w:val="24"/>
          <w:lang w:eastAsia="es-ES_tradnl"/>
        </w:rPr>
      </w:pPr>
      <w:r w:rsidRPr="00F62967">
        <w:rPr>
          <w:rFonts w:ascii="Verdana" w:eastAsia="Times New Roman" w:hAnsi="Verdana" w:cs="Arial"/>
          <w:szCs w:val="24"/>
          <w:lang w:eastAsia="es-ES_tradnl"/>
        </w:rPr>
        <w:t>Adicionalmente, si bien los estudios del sector son de gran relevancia en los Procesos de Contratación donde existe pluralidad de oferentes, nada obsta para que se elaboren allí donde no existiría competencia, como es el caso de la contratación de prestación de servicios mediante la contratación directa. Para estos efectos, la “Guía para la Elaboración de Estudios del Sector”</w:t>
      </w:r>
      <w:r w:rsidRPr="00F62967">
        <w:rPr>
          <w:rFonts w:ascii="Verdana" w:eastAsia="Calibri" w:hAnsi="Verdana"/>
          <w:bCs/>
          <w:vertAlign w:val="superscript"/>
          <w:lang w:val="es-ES_tradnl"/>
        </w:rPr>
        <w:footnoteReference w:id="6"/>
      </w:r>
      <w:r w:rsidRPr="00F62967">
        <w:rPr>
          <w:rFonts w:ascii="Verdana" w:eastAsia="Times New Roman" w:hAnsi="Verdana" w:cs="Arial"/>
          <w:szCs w:val="24"/>
          <w:lang w:eastAsia="es-ES_tradnl"/>
        </w:rPr>
        <w:t xml:space="preserve"> expedida por Colombia Compra Eficiente, explica que “En la contratación directa, el análisis del sector debe tener en cuenta el objeto del Proceso de Contratación, particularmente las condiciones del contrato, como los plazos y formas de entrega y de pago. El análisis del </w:t>
      </w:r>
      <w:r w:rsidRPr="00F62967">
        <w:rPr>
          <w:rFonts w:ascii="Verdana" w:eastAsia="Times New Roman" w:hAnsi="Verdana" w:cs="Arial"/>
          <w:szCs w:val="24"/>
          <w:lang w:eastAsia="es-ES_tradnl"/>
        </w:rPr>
        <w:lastRenderedPageBreak/>
        <w:t>sector debe permitir a la entidad estatal sustentar su decisión de hacer una contratación directa, la elección del proveedor y la forma en que se pacta el contrato desde el punto de vista de la eficiencia, eficacia y economía”. La entidad pública debe consignar en los</w:t>
      </w:r>
      <w:r w:rsidRPr="00F62967">
        <w:rPr>
          <w:rFonts w:ascii="Verdana" w:eastAsia="Times New Roman" w:hAnsi="Verdana" w:cs="Arial"/>
          <w:i/>
          <w:iCs/>
          <w:szCs w:val="24"/>
          <w:lang w:eastAsia="es-ES_tradnl"/>
        </w:rPr>
        <w:t xml:space="preserve"> Documentos del Proceso, </w:t>
      </w:r>
      <w:r w:rsidRPr="00F62967">
        <w:rPr>
          <w:rFonts w:ascii="Verdana" w:eastAsia="Times New Roman" w:hAnsi="Verdana" w:cs="Arial"/>
          <w:szCs w:val="24"/>
          <w:lang w:eastAsia="es-ES_tradnl"/>
        </w:rPr>
        <w:t>bien sea en los estudios previos o en la información de soporte de estos, los aspectos de que trata el artículo 2.2.1.1.1.6.1 del Decreto 1082 de 2015.</w:t>
      </w:r>
    </w:p>
    <w:p w14:paraId="7C3933F9" w14:textId="77777777" w:rsidR="00645326" w:rsidRPr="00F62967" w:rsidRDefault="00645326" w:rsidP="00645326">
      <w:pPr>
        <w:pStyle w:val="Prrafodelista"/>
        <w:numPr>
          <w:ilvl w:val="0"/>
          <w:numId w:val="26"/>
        </w:numPr>
        <w:spacing w:after="0" w:line="276" w:lineRule="auto"/>
        <w:jc w:val="both"/>
        <w:rPr>
          <w:rFonts w:ascii="Verdana" w:eastAsia="Times New Roman" w:hAnsi="Verdana" w:cs="Arial"/>
          <w:szCs w:val="24"/>
          <w:lang w:eastAsia="es-ES_tradnl"/>
        </w:rPr>
      </w:pPr>
      <w:r w:rsidRPr="00F62967">
        <w:rPr>
          <w:rFonts w:ascii="Verdana" w:eastAsia="Times New Roman" w:hAnsi="Verdana" w:cs="Arial"/>
          <w:szCs w:val="24"/>
          <w:lang w:eastAsia="es-ES_tradnl"/>
        </w:rPr>
        <w:t xml:space="preserve">Finalmente, resulta a bien resaltar la autonomía de las entidades públicas para estructurar los estudios previos, siempre y cuando observen los aspectos que estos deben contener, de conformidad con los artículos 2.2.1.1.1.6.1, 2.2.1.1.2.1.1 y 2.2.1.2.1.4.9 del Decreto 1082 de 2015. </w:t>
      </w:r>
    </w:p>
    <w:p w14:paraId="398BDD0E" w14:textId="77777777" w:rsidR="00645326" w:rsidRPr="00F62967" w:rsidRDefault="00645326" w:rsidP="00645326">
      <w:pPr>
        <w:pStyle w:val="Prrafodelista"/>
        <w:numPr>
          <w:ilvl w:val="0"/>
          <w:numId w:val="26"/>
        </w:numPr>
        <w:spacing w:before="120" w:after="0" w:line="276" w:lineRule="auto"/>
        <w:jc w:val="both"/>
        <w:rPr>
          <w:rFonts w:ascii="Verdana" w:eastAsia="Times New Roman" w:hAnsi="Verdana" w:cs="Arial"/>
          <w:szCs w:val="24"/>
          <w:lang w:eastAsia="es-ES_tradnl"/>
        </w:rPr>
      </w:pPr>
      <w:r w:rsidRPr="00F62967">
        <w:rPr>
          <w:rFonts w:ascii="Verdana" w:eastAsia="Times New Roman" w:hAnsi="Verdana" w:cs="Arial"/>
          <w:szCs w:val="24"/>
          <w:lang w:eastAsia="es-ES_tradnl"/>
        </w:rPr>
        <w:t xml:space="preserve">En todo caso, tratándose contratos de prestación de servicios, los estudios previos deben entrar a justificar las particularidades del objeto contractual de cara a la satisfacción de la necesidad de la Entidad Estatal en atención a la cual se requiere el respectivo contrato. De esto dependerán las regulaciones que se establezcan en la minuta del contrato en cuanto a la temporalidad, pago y demás asuntos relevantes del negocio jurídico, que, sin perjuicio de estar mediados por la autonomía de la voluntad de las partes para establecer las condiciones del contrato, deben tener una justificación expresada en los estudios y documentos previos. </w:t>
      </w:r>
    </w:p>
    <w:p w14:paraId="5C8F0C68" w14:textId="77777777" w:rsidR="004C0691" w:rsidRPr="00F62967" w:rsidRDefault="004C0691" w:rsidP="004C0691">
      <w:pPr>
        <w:widowControl w:val="0"/>
        <w:autoSpaceDE w:val="0"/>
        <w:autoSpaceDN w:val="0"/>
        <w:spacing w:after="0" w:line="276" w:lineRule="auto"/>
        <w:jc w:val="both"/>
        <w:rPr>
          <w:rFonts w:ascii="Verdana" w:hAnsi="Verdana" w:cs="Arial"/>
        </w:rPr>
      </w:pPr>
    </w:p>
    <w:p w14:paraId="76DBE697" w14:textId="77777777" w:rsidR="004C0691" w:rsidRPr="00F62967"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62967">
        <w:rPr>
          <w:rFonts w:ascii="Verdana" w:eastAsia="Century Gothic" w:hAnsi="Verdana" w:cs="Century Gothic"/>
          <w:b/>
          <w:bCs/>
        </w:rPr>
        <w:t>Referencias normativas, jurisprudenciales y otras fuentes:</w:t>
      </w:r>
    </w:p>
    <w:p w14:paraId="6D2A35E0" w14:textId="77777777" w:rsidR="004C0691" w:rsidRPr="00F62967" w:rsidRDefault="004C0691" w:rsidP="004C069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0691" w:rsidRPr="00F62967" w14:paraId="18042C4E" w14:textId="77777777" w:rsidTr="002D7ACD">
        <w:trPr>
          <w:trHeight w:val="870"/>
        </w:trPr>
        <w:tc>
          <w:tcPr>
            <w:tcW w:w="8647" w:type="dxa"/>
          </w:tcPr>
          <w:p w14:paraId="61597A11" w14:textId="77777777" w:rsidR="00F62967" w:rsidRPr="00F62967" w:rsidRDefault="00F62967" w:rsidP="00F62967">
            <w:pPr>
              <w:pStyle w:val="Prrafodelista"/>
              <w:numPr>
                <w:ilvl w:val="0"/>
                <w:numId w:val="29"/>
              </w:numPr>
              <w:jc w:val="both"/>
              <w:rPr>
                <w:rFonts w:ascii="Verdana" w:hAnsi="Verdana" w:cs="Arial"/>
                <w:color w:val="000000" w:themeColor="text1"/>
                <w:lang w:val="es-MX"/>
              </w:rPr>
            </w:pPr>
            <w:r w:rsidRPr="00F62967">
              <w:rPr>
                <w:rFonts w:ascii="Verdana" w:hAnsi="Verdana" w:cs="Arial"/>
                <w:color w:val="000000" w:themeColor="text1"/>
                <w:lang w:val="es-MX"/>
              </w:rPr>
              <w:t>Numeral 3, del artículo 32, de la Ley 80 de 1993</w:t>
            </w:r>
          </w:p>
          <w:p w14:paraId="4104961F" w14:textId="77777777" w:rsidR="00F62967" w:rsidRPr="00F62967" w:rsidRDefault="00F62967" w:rsidP="00F62967">
            <w:pPr>
              <w:pStyle w:val="Prrafodelista"/>
              <w:jc w:val="both"/>
              <w:rPr>
                <w:rFonts w:ascii="Verdana" w:hAnsi="Verdana" w:cs="Arial"/>
                <w:color w:val="000000" w:themeColor="text1"/>
                <w:lang w:val="es-MX"/>
              </w:rPr>
            </w:pPr>
          </w:p>
          <w:p w14:paraId="31229C29" w14:textId="77777777" w:rsidR="00F62967" w:rsidRPr="00F62967" w:rsidRDefault="00F62967" w:rsidP="00F62967">
            <w:pPr>
              <w:pStyle w:val="Prrafodelista"/>
              <w:numPr>
                <w:ilvl w:val="0"/>
                <w:numId w:val="29"/>
              </w:numPr>
              <w:jc w:val="both"/>
              <w:rPr>
                <w:rFonts w:ascii="Verdana" w:hAnsi="Verdana" w:cs="Arial"/>
                <w:color w:val="000000" w:themeColor="text1"/>
                <w:lang w:val="es-MX"/>
              </w:rPr>
            </w:pPr>
            <w:r w:rsidRPr="00F62967">
              <w:rPr>
                <w:rFonts w:ascii="Verdana" w:eastAsia="Times New Roman" w:hAnsi="Verdana" w:cs="Arial"/>
                <w:color w:val="000000"/>
                <w:szCs w:val="24"/>
                <w:lang w:val="es-ES_tradnl" w:eastAsia="es-ES_tradnl"/>
              </w:rPr>
              <w:t>Ley 1150 de 2007</w:t>
            </w:r>
          </w:p>
          <w:p w14:paraId="17CDACC2" w14:textId="77777777" w:rsidR="00F62967" w:rsidRPr="00F62967" w:rsidRDefault="00F62967" w:rsidP="00F62967">
            <w:pPr>
              <w:pStyle w:val="Prrafodelista"/>
              <w:rPr>
                <w:rFonts w:ascii="Verdana" w:eastAsia="Calibri" w:hAnsi="Verdana" w:cs="Arial"/>
                <w:lang w:val="es-ES_tradnl" w:eastAsia="es-ES_tradnl"/>
              </w:rPr>
            </w:pPr>
          </w:p>
          <w:p w14:paraId="4A1B56F1" w14:textId="77777777" w:rsidR="00F62967" w:rsidRPr="00F62967" w:rsidRDefault="004C0691" w:rsidP="00F62967">
            <w:pPr>
              <w:pStyle w:val="Prrafodelista"/>
              <w:numPr>
                <w:ilvl w:val="0"/>
                <w:numId w:val="29"/>
              </w:numPr>
              <w:jc w:val="both"/>
              <w:rPr>
                <w:rFonts w:ascii="Verdana" w:hAnsi="Verdana" w:cs="Arial"/>
                <w:color w:val="000000" w:themeColor="text1"/>
                <w:lang w:val="es-MX"/>
              </w:rPr>
            </w:pPr>
            <w:r w:rsidRPr="00F62967">
              <w:rPr>
                <w:rFonts w:ascii="Verdana" w:eastAsia="Calibri" w:hAnsi="Verdana" w:cs="Arial"/>
                <w:lang w:val="es-ES_tradnl" w:eastAsia="es-ES_tradnl"/>
              </w:rPr>
              <w:t xml:space="preserve">Decreto 1082 de 2015 </w:t>
            </w:r>
          </w:p>
          <w:p w14:paraId="15E3279B" w14:textId="77777777" w:rsidR="00F62967" w:rsidRPr="00F62967" w:rsidRDefault="00F62967" w:rsidP="00F62967">
            <w:pPr>
              <w:pStyle w:val="Prrafodelista"/>
              <w:rPr>
                <w:rFonts w:ascii="Verdana" w:eastAsia="Calibri" w:hAnsi="Verdana" w:cs="Arial"/>
                <w:color w:val="000000" w:themeColor="text1"/>
              </w:rPr>
            </w:pPr>
          </w:p>
          <w:p w14:paraId="6E199AB3" w14:textId="77777777" w:rsidR="00F62967" w:rsidRPr="00F62967" w:rsidRDefault="004C0691" w:rsidP="00F62967">
            <w:pPr>
              <w:pStyle w:val="Prrafodelista"/>
              <w:numPr>
                <w:ilvl w:val="0"/>
                <w:numId w:val="29"/>
              </w:numPr>
              <w:jc w:val="both"/>
              <w:rPr>
                <w:rFonts w:ascii="Verdana" w:hAnsi="Verdana" w:cs="Arial"/>
                <w:color w:val="000000" w:themeColor="text1"/>
                <w:lang w:val="es-MX"/>
              </w:rPr>
            </w:pPr>
            <w:r w:rsidRPr="00F62967">
              <w:rPr>
                <w:rFonts w:ascii="Verdana" w:eastAsia="Calibri" w:hAnsi="Verdana" w:cs="Arial"/>
                <w:color w:val="000000" w:themeColor="text1"/>
              </w:rPr>
              <w:t xml:space="preserve">Ley 222 de 1995: Artículo 27 y 30. </w:t>
            </w:r>
          </w:p>
          <w:p w14:paraId="6750C707" w14:textId="77777777" w:rsidR="00F62967" w:rsidRPr="00F62967" w:rsidRDefault="00F62967" w:rsidP="00F62967">
            <w:pPr>
              <w:pStyle w:val="Prrafodelista"/>
              <w:rPr>
                <w:rFonts w:ascii="Verdana" w:hAnsi="Verdana"/>
              </w:rPr>
            </w:pPr>
          </w:p>
          <w:p w14:paraId="56C67DC5" w14:textId="3705F434" w:rsidR="00D818FA" w:rsidRPr="00F62967" w:rsidRDefault="00F62967" w:rsidP="00F62967">
            <w:pPr>
              <w:pStyle w:val="Prrafodelista"/>
              <w:numPr>
                <w:ilvl w:val="0"/>
                <w:numId w:val="29"/>
              </w:numPr>
              <w:jc w:val="both"/>
              <w:rPr>
                <w:rFonts w:ascii="Verdana" w:hAnsi="Verdana" w:cs="Arial"/>
                <w:color w:val="000000" w:themeColor="text1"/>
                <w:lang w:val="es-MX"/>
              </w:rPr>
            </w:pPr>
            <w:hyperlink r:id="rId12" w:history="1">
              <w:r w:rsidRPr="00F62967">
                <w:rPr>
                  <w:rStyle w:val="Hipervnculo"/>
                  <w:rFonts w:ascii="Verdana" w:hAnsi="Verdana" w:cs="Arial"/>
                </w:rPr>
                <w:t>https://relatoria.colombiacompra.gov.co/providencias-consejo-de-estado/</w:t>
              </w:r>
            </w:hyperlink>
            <w:r w:rsidR="00D818FA" w:rsidRPr="00F62967">
              <w:rPr>
                <w:rFonts w:ascii="Verdana" w:hAnsi="Verdana" w:cs="Arial"/>
              </w:rPr>
              <w:t xml:space="preserve"> </w:t>
            </w:r>
          </w:p>
          <w:p w14:paraId="1CD44FC0" w14:textId="17D3DEE3" w:rsidR="004C0691" w:rsidRPr="00F62967" w:rsidRDefault="00D818FA" w:rsidP="00D818FA">
            <w:pPr>
              <w:pStyle w:val="Prrafodelista"/>
              <w:numPr>
                <w:ilvl w:val="0"/>
                <w:numId w:val="19"/>
              </w:numPr>
              <w:jc w:val="both"/>
              <w:rPr>
                <w:rFonts w:ascii="Verdana" w:hAnsi="Verdana" w:cs="Arial"/>
              </w:rPr>
            </w:pPr>
            <w:r w:rsidRPr="00F62967">
              <w:rPr>
                <w:rFonts w:ascii="Verdana" w:hAnsi="Verdana" w:cs="Arial"/>
              </w:rPr>
              <w:t>Guías y manuales expedidos por la ANCP-CCE. Disponible en</w:t>
            </w:r>
            <w:r w:rsidRPr="00F62967">
              <w:rPr>
                <w:rFonts w:ascii="Verdana" w:hAnsi="Verdana" w:cs="Arial"/>
                <w:color w:val="7030A0"/>
              </w:rPr>
              <w:t>:</w:t>
            </w:r>
            <w:r w:rsidRPr="00F62967">
              <w:rPr>
                <w:rFonts w:ascii="Verdana" w:hAnsi="Verdana"/>
                <w:color w:val="7030A0"/>
              </w:rPr>
              <w:t xml:space="preserve"> </w:t>
            </w:r>
            <w:hyperlink r:id="rId13" w:history="1">
              <w:r w:rsidRPr="00F62967">
                <w:rPr>
                  <w:rStyle w:val="Hipervnculo"/>
                  <w:rFonts w:ascii="Verdana" w:hAnsi="Verdana" w:cs="Arial"/>
                </w:rPr>
                <w:t>https://www.colombiacompra.gov.co/manuales-guias-y-pliegos-tipo/manuales-y-guias</w:t>
              </w:r>
            </w:hyperlink>
          </w:p>
        </w:tc>
      </w:tr>
    </w:tbl>
    <w:p w14:paraId="73245E9C" w14:textId="77777777" w:rsidR="004C0691" w:rsidRPr="00F62967" w:rsidRDefault="004C0691" w:rsidP="004C0691">
      <w:pPr>
        <w:widowControl w:val="0"/>
        <w:autoSpaceDE w:val="0"/>
        <w:autoSpaceDN w:val="0"/>
        <w:spacing w:after="0" w:line="276" w:lineRule="auto"/>
        <w:jc w:val="both"/>
        <w:rPr>
          <w:rFonts w:ascii="Verdana" w:hAnsi="Verdana" w:cs="Arial"/>
        </w:rPr>
      </w:pPr>
    </w:p>
    <w:p w14:paraId="38C43C46" w14:textId="77777777" w:rsidR="00D818FA" w:rsidRPr="00F62967" w:rsidRDefault="00D818FA" w:rsidP="004C0691">
      <w:pPr>
        <w:widowControl w:val="0"/>
        <w:autoSpaceDE w:val="0"/>
        <w:autoSpaceDN w:val="0"/>
        <w:spacing w:after="0" w:line="276" w:lineRule="auto"/>
        <w:jc w:val="both"/>
        <w:rPr>
          <w:rFonts w:ascii="Verdana" w:hAnsi="Verdana" w:cs="Arial"/>
        </w:rPr>
      </w:pPr>
    </w:p>
    <w:p w14:paraId="203C9B58" w14:textId="77777777" w:rsidR="00D818FA" w:rsidRPr="00F62967" w:rsidRDefault="00D818FA" w:rsidP="004C0691">
      <w:pPr>
        <w:widowControl w:val="0"/>
        <w:autoSpaceDE w:val="0"/>
        <w:autoSpaceDN w:val="0"/>
        <w:spacing w:after="0" w:line="276" w:lineRule="auto"/>
        <w:jc w:val="both"/>
        <w:rPr>
          <w:rFonts w:ascii="Verdana" w:hAnsi="Verdana" w:cs="Arial"/>
        </w:rPr>
      </w:pPr>
    </w:p>
    <w:p w14:paraId="554E824D" w14:textId="77777777" w:rsidR="004C0691" w:rsidRPr="00F62967"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62967">
        <w:rPr>
          <w:rFonts w:ascii="Verdana" w:eastAsia="Century Gothic" w:hAnsi="Verdana" w:cs="Century Gothic"/>
          <w:b/>
          <w:bCs/>
        </w:rPr>
        <w:t>Doctrina de la Agencia Nacional de Contratación Pública:</w:t>
      </w:r>
    </w:p>
    <w:p w14:paraId="3FE9B916" w14:textId="77777777" w:rsidR="004C0691" w:rsidRPr="00F62967" w:rsidRDefault="004C0691" w:rsidP="004C0691">
      <w:pPr>
        <w:widowControl w:val="0"/>
        <w:autoSpaceDE w:val="0"/>
        <w:autoSpaceDN w:val="0"/>
        <w:spacing w:after="0" w:line="276" w:lineRule="auto"/>
        <w:jc w:val="both"/>
        <w:rPr>
          <w:rFonts w:ascii="Verdana" w:hAnsi="Verdana" w:cs="Arial"/>
        </w:rPr>
      </w:pPr>
    </w:p>
    <w:p w14:paraId="046E572A" w14:textId="55DB02D6" w:rsidR="004C0691" w:rsidRPr="00F62967" w:rsidRDefault="004C0691" w:rsidP="004C0691">
      <w:pPr>
        <w:widowControl w:val="0"/>
        <w:autoSpaceDE w:val="0"/>
        <w:autoSpaceDN w:val="0"/>
        <w:spacing w:after="0" w:line="276" w:lineRule="auto"/>
        <w:jc w:val="both"/>
        <w:rPr>
          <w:rFonts w:ascii="Verdana" w:hAnsi="Verdana" w:cs="Arial"/>
          <w:shd w:val="clear" w:color="auto" w:fill="FFFFFF"/>
        </w:rPr>
      </w:pPr>
      <w:r w:rsidRPr="00F62967">
        <w:rPr>
          <w:rStyle w:val="normaltextrun"/>
          <w:rFonts w:ascii="Verdana" w:hAnsi="Verdana" w:cs="Arial"/>
          <w:shd w:val="clear" w:color="auto" w:fill="FFFFFF"/>
          <w:lang w:val="es-ES"/>
        </w:rPr>
        <w:t xml:space="preserve">Sobre </w:t>
      </w:r>
      <w:r w:rsidRPr="00F62967">
        <w:rPr>
          <w:rFonts w:ascii="Verdana" w:eastAsia="Calibri" w:hAnsi="Verdana" w:cs="Arial"/>
          <w:lang w:val="es-ES" w:eastAsia="es-ES"/>
        </w:rPr>
        <w:t xml:space="preserve">la </w:t>
      </w:r>
      <w:r w:rsidRPr="00F62967">
        <w:rPr>
          <w:rFonts w:ascii="Verdana" w:eastAsia="Calibri" w:hAnsi="Verdana" w:cs="Arial"/>
          <w:lang w:val="es-ES" w:eastAsia="es-ES_tradnl"/>
        </w:rPr>
        <w:t>definición de emprendimientos y empresas de mujeres en el Decreto 1860 de 2021</w:t>
      </w:r>
      <w:r w:rsidRPr="00F62967">
        <w:rPr>
          <w:rFonts w:ascii="Verdana" w:eastAsia="Calibri" w:hAnsi="Verdana" w:cs="Arial"/>
          <w:lang w:val="es-ES" w:eastAsia="es-ES"/>
        </w:rPr>
        <w:t>, esta Subdirección se ha pronunciado en los conceptos</w:t>
      </w:r>
      <w:r w:rsidRPr="00F62967">
        <w:rPr>
          <w:rFonts w:ascii="Verdana" w:hAnsi="Verdana" w:cs="Arial"/>
        </w:rPr>
        <w:t xml:space="preserve"> </w:t>
      </w:r>
      <w:r w:rsidR="00F62967" w:rsidRPr="00F62967">
        <w:rPr>
          <w:rFonts w:ascii="Verdana" w:eastAsia="Calibri" w:hAnsi="Verdana" w:cs="Arial"/>
          <w:lang w:val="es-ES_tradnl" w:eastAsia="es-MX"/>
        </w:rPr>
        <w:t>C-005 del 11 de mayo de 2020, C-231 del 13 de abril de 2020, C-685 del 18 de diciembre de 2020, C-004 del 12 de febrero de 2021, C-145 del 08 de abril de 2021, C-654 del 22 de noviembre de 2021, C-019 del 21 de febrero de 2022, C-024 del 4 de marzo de 2022, C-181 del 8 de abril de 2022, C-491 del 01 de agosto de 2022 y C-057 del 29 de mayo del 2023</w:t>
      </w:r>
      <w:r w:rsidR="00F62967" w:rsidRPr="00F62967">
        <w:rPr>
          <w:rFonts w:ascii="Verdana" w:eastAsia="Calibri" w:hAnsi="Verdana" w:cs="Arial"/>
          <w:vertAlign w:val="superscript"/>
          <w:lang w:val="es-ES_tradnl" w:eastAsia="es-MX"/>
        </w:rPr>
        <w:footnoteReference w:id="7"/>
      </w:r>
      <w:r w:rsidR="00F62967" w:rsidRPr="00F62967">
        <w:rPr>
          <w:rFonts w:ascii="Verdana" w:eastAsia="Calibri" w:hAnsi="Verdana" w:cs="Arial"/>
          <w:lang w:val="es-ES_tradnl" w:eastAsia="es-MX"/>
        </w:rPr>
        <w:t>.</w:t>
      </w:r>
      <w:r w:rsidR="00F62967" w:rsidRPr="00F62967">
        <w:rPr>
          <w:rFonts w:ascii="Verdana" w:eastAsia="Calibri" w:hAnsi="Verdana" w:cs="Arial"/>
          <w:lang w:val="es-ES_tradnl" w:eastAsia="es-ES_tradnl"/>
        </w:rPr>
        <w:t xml:space="preserve"> Igualmente se ha pronunciado sobre seguridad social integral en los Conceptos número 42019130000005594 de 30 de septiembre de 2019, 4201913000006384 de 21 de octubre de 2019, 4201912000007492 de 17 de diciembre de 2019, C-040 de 5 de febrero de 2020, C-042 de 5 de febrero de 2020, C134 del 7 de abril 2021, C-038 del 1 de marzo de 2022 y C-712 del 13 de octubre del 2022</w:t>
      </w:r>
      <w:r w:rsidRPr="00F62967">
        <w:rPr>
          <w:rFonts w:ascii="Verdana" w:eastAsia="Times New Roman" w:hAnsi="Verdana" w:cs="Arial"/>
          <w:shd w:val="clear" w:color="auto" w:fill="FFFFFF"/>
          <w:lang w:eastAsia="es-ES_tradnl"/>
        </w:rPr>
        <w:t>, entre otros</w:t>
      </w:r>
      <w:r w:rsidRPr="00F62967">
        <w:rPr>
          <w:rStyle w:val="normaltextrun"/>
          <w:rFonts w:ascii="Verdana" w:hAnsi="Verdana" w:cs="Arial"/>
          <w:color w:val="7030A0"/>
          <w:shd w:val="clear" w:color="auto" w:fill="FFFFFF"/>
          <w:lang w:val="es-ES"/>
        </w:rPr>
        <w:t xml:space="preserve">. </w:t>
      </w:r>
      <w:r w:rsidRPr="00F62967">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ooltip="Dirección URL original: https://relatoria.colombiacompra.gov.co/. Haga clic o pulse si confía en este vínculo." w:history="1">
        <w:r w:rsidRPr="00F62967">
          <w:rPr>
            <w:rStyle w:val="Hipervnculo"/>
            <w:rFonts w:ascii="Verdana" w:hAnsi="Verdana" w:cs="Arial"/>
            <w:shd w:val="clear" w:color="auto" w:fill="FFFFFF"/>
          </w:rPr>
          <w:t>https://relatoria.colombiacompra.gov.co/</w:t>
        </w:r>
      </w:hyperlink>
      <w:r w:rsidRPr="00F62967">
        <w:rPr>
          <w:rFonts w:ascii="Verdana" w:hAnsi="Verdana" w:cs="Arial"/>
          <w:shd w:val="clear" w:color="auto" w:fill="FFFFFF"/>
        </w:rPr>
        <w:t xml:space="preserve">  </w:t>
      </w:r>
    </w:p>
    <w:p w14:paraId="18129564" w14:textId="77777777" w:rsidR="004C0691" w:rsidRPr="00F62967" w:rsidRDefault="004C0691" w:rsidP="004C0691">
      <w:pPr>
        <w:widowControl w:val="0"/>
        <w:autoSpaceDE w:val="0"/>
        <w:autoSpaceDN w:val="0"/>
        <w:spacing w:after="0" w:line="276" w:lineRule="auto"/>
        <w:jc w:val="both"/>
        <w:rPr>
          <w:rFonts w:ascii="Verdana" w:hAnsi="Verdana" w:cs="Arial"/>
          <w:shd w:val="clear" w:color="auto" w:fill="FFFFFF"/>
        </w:rPr>
      </w:pPr>
    </w:p>
    <w:p w14:paraId="3050324B" w14:textId="77777777" w:rsidR="00D818FA" w:rsidRPr="00F62967" w:rsidRDefault="00D818FA" w:rsidP="00D818FA">
      <w:pPr>
        <w:spacing w:after="0" w:line="240" w:lineRule="auto"/>
        <w:jc w:val="both"/>
        <w:rPr>
          <w:rFonts w:ascii="Verdana" w:hAnsi="Verdana" w:cs="Arial"/>
          <w:shd w:val="clear" w:color="auto" w:fill="FFFFFF"/>
        </w:rPr>
      </w:pPr>
      <w:r w:rsidRPr="00F62967">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F62967">
          <w:rPr>
            <w:rStyle w:val="Hipervnculo"/>
            <w:rFonts w:ascii="Verdana" w:hAnsi="Verdana" w:cs="Arial"/>
            <w:shd w:val="clear" w:color="auto" w:fill="FFFFFF"/>
          </w:rPr>
          <w:t>BOLETÍN DE RELATORÍA 2024 – IV | Colombia Compra Eficiente | Agencia Nacional de Contratación Pública</w:t>
        </w:r>
      </w:hyperlink>
    </w:p>
    <w:p w14:paraId="786DA9C7" w14:textId="77777777" w:rsidR="004C0691" w:rsidRPr="00F62967" w:rsidRDefault="004C0691" w:rsidP="004C0691">
      <w:pPr>
        <w:widowControl w:val="0"/>
        <w:autoSpaceDE w:val="0"/>
        <w:autoSpaceDN w:val="0"/>
        <w:spacing w:after="0" w:line="276" w:lineRule="auto"/>
        <w:jc w:val="both"/>
        <w:rPr>
          <w:rFonts w:ascii="Verdana" w:hAnsi="Verdana" w:cs="Arial"/>
        </w:rPr>
      </w:pPr>
    </w:p>
    <w:p w14:paraId="22172F7B" w14:textId="77777777" w:rsidR="004C0691" w:rsidRPr="00F62967" w:rsidRDefault="004C0691" w:rsidP="004C0691">
      <w:pPr>
        <w:widowControl w:val="0"/>
        <w:autoSpaceDE w:val="0"/>
        <w:autoSpaceDN w:val="0"/>
        <w:spacing w:after="0" w:line="276" w:lineRule="auto"/>
        <w:jc w:val="both"/>
        <w:rPr>
          <w:rFonts w:ascii="Verdana" w:hAnsi="Verdana" w:cs="Arial"/>
          <w:lang w:val="es-ES_tradnl"/>
        </w:rPr>
      </w:pPr>
      <w:r w:rsidRPr="00F62967">
        <w:rPr>
          <w:rFonts w:ascii="Verdana" w:hAnsi="Verdana" w:cs="Arial"/>
        </w:rPr>
        <w:t xml:space="preserve">Este concepto tiene el alcance previsto en el artículo 28 del Código de Procedimiento Administrativo y de lo Contencioso Administrativo </w:t>
      </w:r>
      <w:r w:rsidRPr="00F62967">
        <w:rPr>
          <w:rFonts w:ascii="Verdana" w:hAnsi="Verdana" w:cs="Arial"/>
          <w:lang w:val="es-ES_tradnl"/>
        </w:rPr>
        <w:t>y las expresiones aquí utilizadas con mayúscula inicial deben ser entendidas con el significado que les otorga el artículo 2.2.1.1.1.3.1. del Decreto 1082 de 2015.</w:t>
      </w:r>
    </w:p>
    <w:p w14:paraId="6E8542A5" w14:textId="77777777" w:rsidR="004C0691" w:rsidRPr="00F62967" w:rsidRDefault="004C0691" w:rsidP="004C0691">
      <w:pPr>
        <w:widowControl w:val="0"/>
        <w:autoSpaceDE w:val="0"/>
        <w:autoSpaceDN w:val="0"/>
        <w:spacing w:after="0" w:line="276" w:lineRule="auto"/>
        <w:jc w:val="both"/>
        <w:rPr>
          <w:rFonts w:ascii="Verdana" w:hAnsi="Verdana" w:cs="Arial"/>
        </w:rPr>
      </w:pPr>
    </w:p>
    <w:p w14:paraId="095AA04B" w14:textId="77777777" w:rsidR="004C0691" w:rsidRPr="00F62967" w:rsidRDefault="004C0691" w:rsidP="004C0691">
      <w:pPr>
        <w:spacing w:after="0" w:line="276" w:lineRule="auto"/>
        <w:rPr>
          <w:rFonts w:ascii="Verdana" w:hAnsi="Verdana" w:cs="Arial"/>
          <w:lang w:eastAsia="es-CO"/>
        </w:rPr>
      </w:pPr>
      <w:r w:rsidRPr="00F62967">
        <w:rPr>
          <w:rFonts w:ascii="Verdana" w:eastAsia="Times New Roman" w:hAnsi="Verdana" w:cs="Arial"/>
          <w:lang w:eastAsia="es-CO"/>
        </w:rPr>
        <w:t>Atentamente,</w:t>
      </w:r>
      <w:r w:rsidRPr="00F62967">
        <w:rPr>
          <w:rFonts w:ascii="Verdana" w:hAnsi="Verdana" w:cs="Arial"/>
          <w:lang w:eastAsia="es-CO"/>
        </w:rPr>
        <w:t xml:space="preserve"> </w:t>
      </w:r>
    </w:p>
    <w:p w14:paraId="0DCCC0E2" w14:textId="2C9F5630" w:rsidR="00FC59CF" w:rsidRPr="00F62967" w:rsidRDefault="00F10FA4" w:rsidP="00FC59CF">
      <w:pPr>
        <w:widowControl w:val="0"/>
        <w:autoSpaceDE w:val="0"/>
        <w:autoSpaceDN w:val="0"/>
        <w:spacing w:after="0" w:line="276" w:lineRule="auto"/>
        <w:jc w:val="center"/>
        <w:rPr>
          <w:rFonts w:ascii="Verdana" w:hAnsi="Verdana" w:cs="Arial"/>
          <w:lang w:val="es-ES_tradnl"/>
        </w:rPr>
      </w:pPr>
      <w:r w:rsidRPr="002C3AD6">
        <w:rPr>
          <w:rFonts w:ascii="Century Gothic" w:hAnsi="Century Gothic"/>
          <w:noProof/>
        </w:rPr>
        <w:lastRenderedPageBreak/>
        <w:drawing>
          <wp:inline distT="0" distB="0" distL="0" distR="0" wp14:anchorId="77BA3232" wp14:editId="3D24A24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p w14:paraId="0310551A" w14:textId="77777777" w:rsidR="00FC59CF" w:rsidRPr="00F62967" w:rsidRDefault="00FC59CF" w:rsidP="00FC59CF">
      <w:pPr>
        <w:widowControl w:val="0"/>
        <w:autoSpaceDE w:val="0"/>
        <w:autoSpaceDN w:val="0"/>
        <w:spacing w:after="0" w:line="276" w:lineRule="auto"/>
        <w:jc w:val="both"/>
        <w:rPr>
          <w:rFonts w:ascii="Verdana" w:hAnsi="Verdana" w:cs="Arial"/>
          <w:lang w:val="es-ES_tradnl"/>
        </w:rPr>
      </w:pPr>
    </w:p>
    <w:p w14:paraId="249D865C" w14:textId="77777777" w:rsidR="00FC59CF" w:rsidRPr="00F62967" w:rsidRDefault="00FC59CF" w:rsidP="00FC59CF">
      <w:pPr>
        <w:widowControl w:val="0"/>
        <w:autoSpaceDE w:val="0"/>
        <w:autoSpaceDN w:val="0"/>
        <w:spacing w:after="0" w:line="276" w:lineRule="auto"/>
        <w:jc w:val="both"/>
        <w:rPr>
          <w:rFonts w:ascii="Verdana" w:hAnsi="Verdana" w:cs="Arial"/>
          <w:lang w:val="es-ES_tradnl"/>
        </w:rPr>
      </w:pPr>
    </w:p>
    <w:p w14:paraId="6D394405" w14:textId="77777777" w:rsidR="00FC59CF" w:rsidRPr="00F62967" w:rsidRDefault="00FC59CF" w:rsidP="00FC59CF">
      <w:pPr>
        <w:spacing w:line="276" w:lineRule="auto"/>
        <w:jc w:val="center"/>
        <w:rPr>
          <w:rFonts w:ascii="Verdana" w:hAnsi="Verdana" w:cs="Arial"/>
          <w:sz w:val="16"/>
          <w:szCs w:val="16"/>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C59CF" w:rsidRPr="00F62967" w14:paraId="4A7CFA1B" w14:textId="77777777" w:rsidTr="008D1647">
        <w:trPr>
          <w:trHeight w:val="315"/>
        </w:trPr>
        <w:tc>
          <w:tcPr>
            <w:tcW w:w="893" w:type="dxa"/>
            <w:vAlign w:val="center"/>
            <w:hideMark/>
          </w:tcPr>
          <w:p w14:paraId="48F3772A"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3F2F7022"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 xml:space="preserve">Diana Carolina Blanco Rodriguez </w:t>
            </w:r>
          </w:p>
          <w:p w14:paraId="19ED9515"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Contratista de la Subdirección de Gestión Contractual</w:t>
            </w:r>
          </w:p>
        </w:tc>
      </w:tr>
      <w:tr w:rsidR="00FC59CF" w:rsidRPr="00F62967" w14:paraId="11DD5BBE" w14:textId="77777777" w:rsidTr="008D1647">
        <w:trPr>
          <w:trHeight w:val="330"/>
        </w:trPr>
        <w:tc>
          <w:tcPr>
            <w:tcW w:w="893" w:type="dxa"/>
            <w:vAlign w:val="center"/>
            <w:hideMark/>
          </w:tcPr>
          <w:p w14:paraId="3793AF7B"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FDB13" w14:textId="23D98F6A" w:rsidR="00FC59CF" w:rsidRPr="00F62967" w:rsidRDefault="006430AB" w:rsidP="008D1647">
            <w:pPr>
              <w:contextualSpacing/>
              <w:textAlignment w:val="baseline"/>
              <w:rPr>
                <w:rFonts w:ascii="Verdana" w:hAnsi="Verdana" w:cs="Arial"/>
                <w:sz w:val="16"/>
                <w:szCs w:val="16"/>
                <w:lang w:eastAsia="es-CO"/>
              </w:rPr>
            </w:pPr>
            <w:r>
              <w:rPr>
                <w:rFonts w:ascii="Verdana" w:hAnsi="Verdana" w:cs="Arial"/>
                <w:sz w:val="16"/>
                <w:szCs w:val="16"/>
                <w:lang w:eastAsia="es-CO"/>
              </w:rPr>
              <w:t>Adriana López</w:t>
            </w:r>
          </w:p>
          <w:p w14:paraId="56443620" w14:textId="77777777" w:rsidR="00FC59CF" w:rsidRPr="00F62967" w:rsidRDefault="00FC59CF" w:rsidP="008D1647">
            <w:pPr>
              <w:contextualSpacing/>
              <w:textAlignment w:val="baseline"/>
              <w:rPr>
                <w:rFonts w:ascii="Verdana" w:hAnsi="Verdana" w:cs="Arial"/>
                <w:sz w:val="16"/>
                <w:szCs w:val="16"/>
                <w:lang w:eastAsia="es-CO"/>
              </w:rPr>
            </w:pPr>
            <w:r w:rsidRPr="00F62967">
              <w:rPr>
                <w:rFonts w:ascii="Verdana" w:hAnsi="Verdana" w:cs="Arial"/>
                <w:sz w:val="16"/>
                <w:szCs w:val="16"/>
                <w:lang w:eastAsia="es-CO"/>
              </w:rPr>
              <w:t>Contratista de la Subdirección de Gestión Contractual </w:t>
            </w:r>
          </w:p>
        </w:tc>
      </w:tr>
      <w:tr w:rsidR="00FC59CF" w:rsidRPr="00F62967" w14:paraId="7210B759" w14:textId="77777777" w:rsidTr="008D1647">
        <w:trPr>
          <w:trHeight w:val="300"/>
        </w:trPr>
        <w:tc>
          <w:tcPr>
            <w:tcW w:w="893" w:type="dxa"/>
            <w:vAlign w:val="center"/>
          </w:tcPr>
          <w:p w14:paraId="741553FF"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14464E1"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Carolina Quintero Gacharná</w:t>
            </w:r>
          </w:p>
          <w:p w14:paraId="67DF06B2" w14:textId="77777777" w:rsidR="00FC59CF" w:rsidRPr="00F62967" w:rsidRDefault="00FC59CF" w:rsidP="008D1647">
            <w:pPr>
              <w:contextualSpacing/>
              <w:rPr>
                <w:rFonts w:ascii="Verdana" w:hAnsi="Verdana" w:cs="Arial"/>
                <w:sz w:val="16"/>
                <w:szCs w:val="16"/>
                <w:lang w:eastAsia="es-CO"/>
              </w:rPr>
            </w:pPr>
            <w:r w:rsidRPr="00F62967">
              <w:rPr>
                <w:rFonts w:ascii="Verdana" w:hAnsi="Verdana" w:cs="Arial"/>
                <w:sz w:val="16"/>
                <w:szCs w:val="16"/>
                <w:lang w:eastAsia="es-CO"/>
              </w:rPr>
              <w:t>Subdirectora de Gestión Contractual ANCP – CCE</w:t>
            </w:r>
          </w:p>
        </w:tc>
      </w:tr>
      <w:bookmarkEnd w:id="0"/>
      <w:bookmarkEnd w:id="1"/>
    </w:tbl>
    <w:p w14:paraId="0656C5A0" w14:textId="77777777" w:rsidR="00FC59CF" w:rsidRPr="00F62967" w:rsidRDefault="00FC59CF" w:rsidP="00D818FA">
      <w:pPr>
        <w:rPr>
          <w:rFonts w:ascii="Verdana" w:hAnsi="Verdana"/>
          <w:lang w:val="es-ES_tradnl"/>
        </w:rPr>
      </w:pPr>
    </w:p>
    <w:sectPr w:rsidR="00FC59CF" w:rsidRPr="00F62967"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85A2" w14:textId="77777777" w:rsidR="006651C1" w:rsidRDefault="006651C1" w:rsidP="004A1847">
      <w:pPr>
        <w:spacing w:after="0" w:line="240" w:lineRule="auto"/>
      </w:pPr>
      <w:r>
        <w:separator/>
      </w:r>
    </w:p>
  </w:endnote>
  <w:endnote w:type="continuationSeparator" w:id="0">
    <w:p w14:paraId="2F31E043" w14:textId="77777777" w:rsidR="006651C1" w:rsidRDefault="006651C1" w:rsidP="004A1847">
      <w:pPr>
        <w:spacing w:after="0" w:line="240" w:lineRule="auto"/>
      </w:pPr>
      <w:r>
        <w:continuationSeparator/>
      </w:r>
    </w:p>
  </w:endnote>
  <w:endnote w:type="continuationNotice" w:id="1">
    <w:p w14:paraId="56C8A146" w14:textId="77777777" w:rsidR="006651C1" w:rsidRDefault="00665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9008" w14:textId="77777777" w:rsidR="006651C1" w:rsidRDefault="006651C1" w:rsidP="004A1847">
      <w:pPr>
        <w:spacing w:after="0" w:line="240" w:lineRule="auto"/>
      </w:pPr>
      <w:r>
        <w:separator/>
      </w:r>
    </w:p>
  </w:footnote>
  <w:footnote w:type="continuationSeparator" w:id="0">
    <w:p w14:paraId="5AB4D6BD" w14:textId="77777777" w:rsidR="006651C1" w:rsidRDefault="006651C1" w:rsidP="004A1847">
      <w:pPr>
        <w:spacing w:after="0" w:line="240" w:lineRule="auto"/>
      </w:pPr>
      <w:r>
        <w:continuationSeparator/>
      </w:r>
    </w:p>
  </w:footnote>
  <w:footnote w:type="continuationNotice" w:id="1">
    <w:p w14:paraId="790188E5" w14:textId="77777777" w:rsidR="006651C1" w:rsidRDefault="006651C1">
      <w:pPr>
        <w:spacing w:after="0" w:line="240" w:lineRule="auto"/>
      </w:pPr>
    </w:p>
  </w:footnote>
  <w:footnote w:id="2">
    <w:p w14:paraId="45AC36D4" w14:textId="77777777" w:rsidR="00645326" w:rsidRPr="004A56C7" w:rsidRDefault="00645326" w:rsidP="00645326">
      <w:pPr>
        <w:spacing w:after="0" w:line="240" w:lineRule="auto"/>
        <w:ind w:left="120" w:firstLine="707"/>
        <w:jc w:val="both"/>
        <w:rPr>
          <w:rFonts w:ascii="Arial" w:hAnsi="Arial" w:cs="Arial"/>
          <w:sz w:val="14"/>
          <w:szCs w:val="14"/>
        </w:rPr>
      </w:pPr>
      <w:r w:rsidRPr="004A56C7">
        <w:rPr>
          <w:rStyle w:val="Refdenotaalpie"/>
          <w:rFonts w:ascii="Arial" w:hAnsi="Arial" w:cs="Arial"/>
          <w:sz w:val="14"/>
          <w:szCs w:val="14"/>
        </w:rPr>
        <w:footnoteRef/>
      </w:r>
      <w:r w:rsidRPr="004A56C7">
        <w:rPr>
          <w:rFonts w:ascii="Arial" w:hAnsi="Arial" w:cs="Arial"/>
          <w:position w:val="6"/>
          <w:sz w:val="14"/>
          <w:szCs w:val="14"/>
        </w:rPr>
        <w:t xml:space="preserve"> </w:t>
      </w:r>
      <w:r w:rsidRPr="004A56C7">
        <w:rPr>
          <w:rFonts w:ascii="Arial" w:hAnsi="Arial" w:cs="Arial"/>
          <w:sz w:val="14"/>
          <w:szCs w:val="14"/>
        </w:rPr>
        <w:t>DEIK ACOSTAMADIEDO, Carolina, Guía de Contratación Estatal: Deber de planeación y modalidades de selección, Buenos Aires, 2015, p. 59.</w:t>
      </w:r>
    </w:p>
  </w:footnote>
  <w:footnote w:id="3">
    <w:p w14:paraId="7AC04D8F" w14:textId="77777777" w:rsidR="00645326" w:rsidRPr="004A56C7" w:rsidRDefault="00645326" w:rsidP="00645326">
      <w:pPr>
        <w:pStyle w:val="Textonotapie"/>
        <w:ind w:firstLine="708"/>
        <w:jc w:val="both"/>
        <w:rPr>
          <w:rFonts w:ascii="Arial" w:hAnsi="Arial" w:cs="Arial"/>
          <w:sz w:val="14"/>
          <w:szCs w:val="14"/>
          <w:lang w:val="pt-BR"/>
        </w:rPr>
      </w:pPr>
      <w:r w:rsidRPr="004A56C7">
        <w:rPr>
          <w:rStyle w:val="Refdenotaalpie"/>
          <w:rFonts w:ascii="Arial" w:hAnsi="Arial" w:cs="Arial"/>
          <w:sz w:val="14"/>
          <w:szCs w:val="14"/>
        </w:rPr>
        <w:footnoteRef/>
      </w:r>
      <w:r w:rsidRPr="004A56C7">
        <w:rPr>
          <w:rFonts w:ascii="Arial" w:hAnsi="Arial" w:cs="Arial"/>
          <w:sz w:val="14"/>
          <w:szCs w:val="14"/>
          <w:lang w:val="pt-BR"/>
        </w:rPr>
        <w:t xml:space="preserve"> Tomado de </w:t>
      </w:r>
      <w:hyperlink r:id="rId1" w:history="1">
        <w:r w:rsidRPr="004A56C7">
          <w:rPr>
            <w:rStyle w:val="Hipervnculo"/>
            <w:rFonts w:ascii="Arial" w:hAnsi="Arial" w:cs="Arial"/>
            <w:color w:val="44546A" w:themeColor="text2"/>
            <w:sz w:val="14"/>
            <w:szCs w:val="14"/>
            <w:lang w:val="pt-BR"/>
          </w:rPr>
          <w:t>https://sintesis.colombiacompra.gov.co/sintesis/9-etapa-precontractual-estudios-previos</w:t>
        </w:r>
      </w:hyperlink>
      <w:r w:rsidRPr="004A56C7">
        <w:rPr>
          <w:rFonts w:ascii="Arial" w:hAnsi="Arial" w:cs="Arial"/>
          <w:sz w:val="14"/>
          <w:szCs w:val="14"/>
          <w:lang w:val="pt-BR"/>
        </w:rPr>
        <w:t>.</w:t>
      </w:r>
    </w:p>
  </w:footnote>
  <w:footnote w:id="4">
    <w:p w14:paraId="3E6C7264" w14:textId="708D7CB0" w:rsidR="00645326" w:rsidRPr="004A56C7" w:rsidRDefault="00645326" w:rsidP="00645326">
      <w:pPr>
        <w:pStyle w:val="Textoindependiente"/>
        <w:spacing w:after="0" w:line="240" w:lineRule="auto"/>
        <w:ind w:right="103" w:firstLine="709"/>
        <w:jc w:val="both"/>
        <w:rPr>
          <w:rFonts w:ascii="Arial" w:hAnsi="Arial" w:cs="Arial"/>
          <w:sz w:val="14"/>
          <w:szCs w:val="14"/>
        </w:rPr>
      </w:pPr>
      <w:r w:rsidRPr="004A56C7">
        <w:rPr>
          <w:rStyle w:val="Refdenotaalpie"/>
          <w:rFonts w:ascii="Arial" w:hAnsi="Arial" w:cs="Arial"/>
          <w:sz w:val="14"/>
          <w:szCs w:val="14"/>
        </w:rPr>
        <w:footnoteRef/>
      </w:r>
      <w:r w:rsidRPr="004A56C7">
        <w:rPr>
          <w:rFonts w:ascii="Arial" w:hAnsi="Arial" w:cs="Arial"/>
          <w:sz w:val="14"/>
          <w:szCs w:val="14"/>
        </w:rPr>
        <w:t xml:space="preserve"> </w:t>
      </w:r>
      <w:r w:rsidRPr="004A56C7">
        <w:rPr>
          <w:rFonts w:ascii="Arial" w:hAnsi="Arial" w:cs="Arial"/>
          <w:position w:val="6"/>
          <w:sz w:val="14"/>
          <w:szCs w:val="14"/>
        </w:rPr>
        <w:t xml:space="preserve"> </w:t>
      </w:r>
      <w:r w:rsidR="006430AB">
        <w:rPr>
          <w:rFonts w:ascii="Arial" w:hAnsi="Arial" w:cs="Arial"/>
          <w:sz w:val="14"/>
          <w:szCs w:val="14"/>
        </w:rPr>
        <w:t>“</w:t>
      </w:r>
      <w:r w:rsidRPr="004A56C7">
        <w:rPr>
          <w:rFonts w:ascii="Arial" w:hAnsi="Arial" w:cs="Arial"/>
          <w:sz w:val="14"/>
          <w:szCs w:val="14"/>
        </w:rPr>
        <w:t xml:space="preserve">Artículo </w:t>
      </w:r>
      <w:bookmarkStart w:id="3" w:name="_Hlk54173885"/>
      <w:r w:rsidRPr="004A56C7">
        <w:rPr>
          <w:rFonts w:ascii="Arial" w:hAnsi="Arial" w:cs="Arial"/>
          <w:sz w:val="14"/>
          <w:szCs w:val="14"/>
        </w:rPr>
        <w:t>2.2.1.1.2.1.1</w:t>
      </w:r>
      <w:bookmarkEnd w:id="3"/>
      <w:r w:rsidRPr="004A56C7">
        <w:rPr>
          <w:rFonts w:ascii="Arial" w:hAnsi="Arial" w:cs="Arial"/>
          <w:sz w:val="14"/>
          <w:szCs w:val="14"/>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r w:rsidR="006430AB">
        <w:rPr>
          <w:rFonts w:ascii="Arial" w:hAnsi="Arial" w:cs="Arial"/>
          <w:sz w:val="14"/>
          <w:szCs w:val="14"/>
        </w:rPr>
        <w:t>”</w:t>
      </w:r>
      <w:r w:rsidRPr="004A56C7">
        <w:rPr>
          <w:rFonts w:ascii="Arial" w:hAnsi="Arial" w:cs="Arial"/>
          <w:sz w:val="14"/>
          <w:szCs w:val="14"/>
        </w:rPr>
        <w:t>.</w:t>
      </w:r>
    </w:p>
  </w:footnote>
  <w:footnote w:id="5">
    <w:p w14:paraId="616D4184" w14:textId="0A975C53" w:rsidR="00645326" w:rsidRPr="004A56C7" w:rsidRDefault="00645326" w:rsidP="00645326">
      <w:pPr>
        <w:pStyle w:val="Textoindependiente"/>
        <w:spacing w:after="0" w:line="240" w:lineRule="auto"/>
        <w:ind w:right="108" w:firstLine="708"/>
        <w:jc w:val="both"/>
        <w:rPr>
          <w:rFonts w:ascii="Arial" w:hAnsi="Arial" w:cs="Arial"/>
          <w:sz w:val="14"/>
          <w:szCs w:val="14"/>
        </w:rPr>
      </w:pPr>
      <w:r w:rsidRPr="004A56C7">
        <w:rPr>
          <w:rStyle w:val="Refdenotaalpie"/>
          <w:rFonts w:ascii="Arial" w:hAnsi="Arial" w:cs="Arial"/>
          <w:sz w:val="14"/>
          <w:szCs w:val="14"/>
        </w:rPr>
        <w:footnoteRef/>
      </w:r>
      <w:r w:rsidRPr="004A56C7">
        <w:rPr>
          <w:rFonts w:ascii="Arial" w:hAnsi="Arial" w:cs="Arial"/>
          <w:sz w:val="14"/>
          <w:szCs w:val="14"/>
        </w:rPr>
        <w:t xml:space="preserve"> Consejo de Estado, Sala de lo Contencioso Administrativo. Sección Tercera, Subsección B, 31 de agosto de 2011, exp. 18080, C.P. Ruth Stella Correa Palacio: </w:t>
      </w:r>
      <w:r w:rsidR="006430AB">
        <w:rPr>
          <w:rFonts w:ascii="Arial" w:hAnsi="Arial" w:cs="Arial"/>
          <w:sz w:val="14"/>
          <w:szCs w:val="14"/>
        </w:rPr>
        <w:t>“</w:t>
      </w:r>
      <w:r w:rsidRPr="004A56C7">
        <w:rPr>
          <w:rFonts w:ascii="Arial" w:hAnsi="Arial" w:cs="Arial"/>
          <w:sz w:val="14"/>
          <w:szCs w:val="14"/>
        </w:rPr>
        <w:t>(…)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r w:rsidR="006430AB">
        <w:rPr>
          <w:rFonts w:ascii="Arial" w:hAnsi="Arial" w:cs="Arial"/>
          <w:sz w:val="14"/>
          <w:szCs w:val="14"/>
        </w:rPr>
        <w:t>”</w:t>
      </w:r>
      <w:r w:rsidRPr="004A56C7">
        <w:rPr>
          <w:rFonts w:ascii="Arial" w:hAnsi="Arial" w:cs="Arial"/>
          <w:sz w:val="14"/>
          <w:szCs w:val="14"/>
        </w:rPr>
        <w:t>.</w:t>
      </w:r>
    </w:p>
  </w:footnote>
  <w:footnote w:id="6">
    <w:p w14:paraId="377740F7" w14:textId="5F7505B9" w:rsidR="00645326" w:rsidRPr="004A56C7" w:rsidRDefault="00645326" w:rsidP="00645326">
      <w:pPr>
        <w:pStyle w:val="Textonotapie"/>
        <w:ind w:firstLine="708"/>
        <w:jc w:val="both"/>
        <w:rPr>
          <w:rFonts w:ascii="Arial" w:hAnsi="Arial" w:cs="Arial"/>
          <w:sz w:val="14"/>
          <w:szCs w:val="14"/>
          <w:lang w:val="es-ES"/>
        </w:rPr>
      </w:pPr>
      <w:r w:rsidRPr="004A56C7">
        <w:rPr>
          <w:rStyle w:val="Refdenotaalpie"/>
          <w:rFonts w:ascii="Arial" w:hAnsi="Arial" w:cs="Arial"/>
          <w:sz w:val="14"/>
          <w:szCs w:val="14"/>
        </w:rPr>
        <w:footnoteRef/>
      </w:r>
      <w:r w:rsidRPr="004A56C7">
        <w:rPr>
          <w:rFonts w:ascii="Arial" w:hAnsi="Arial" w:cs="Arial"/>
          <w:sz w:val="14"/>
          <w:szCs w:val="14"/>
        </w:rPr>
        <w:t xml:space="preserve"> </w:t>
      </w:r>
      <w:r w:rsidRPr="004A56C7">
        <w:rPr>
          <w:rFonts w:ascii="Arial" w:hAnsi="Arial" w:cs="Arial"/>
          <w:sz w:val="14"/>
          <w:szCs w:val="14"/>
          <w:lang w:val="es-ES"/>
        </w:rPr>
        <w:t xml:space="preserve">La </w:t>
      </w:r>
      <w:r w:rsidR="006430AB">
        <w:rPr>
          <w:rFonts w:ascii="Arial" w:eastAsia="Calibri" w:hAnsi="Arial" w:cs="Arial"/>
          <w:bCs/>
          <w:sz w:val="14"/>
          <w:szCs w:val="14"/>
          <w:lang w:val="es-ES_tradnl"/>
        </w:rPr>
        <w:t>“</w:t>
      </w:r>
      <w:r w:rsidRPr="004A56C7">
        <w:rPr>
          <w:rFonts w:ascii="Arial" w:eastAsia="Calibri" w:hAnsi="Arial" w:cs="Arial"/>
          <w:bCs/>
          <w:sz w:val="14"/>
          <w:szCs w:val="14"/>
          <w:lang w:val="es-ES_tradnl"/>
        </w:rPr>
        <w:t>Guía para la Elaboración de Estudios del Sector</w:t>
      </w:r>
      <w:r w:rsidR="006430AB">
        <w:rPr>
          <w:rFonts w:ascii="Arial" w:eastAsia="Calibri" w:hAnsi="Arial" w:cs="Arial"/>
          <w:bCs/>
          <w:sz w:val="14"/>
          <w:szCs w:val="14"/>
          <w:lang w:val="es-ES_tradnl"/>
        </w:rPr>
        <w:t>”</w:t>
      </w:r>
      <w:r w:rsidRPr="004A56C7">
        <w:rPr>
          <w:rFonts w:ascii="Arial" w:eastAsia="Calibri" w:hAnsi="Arial" w:cs="Arial"/>
          <w:bCs/>
          <w:sz w:val="14"/>
          <w:szCs w:val="14"/>
          <w:lang w:val="es-ES_tradnl"/>
        </w:rPr>
        <w:t xml:space="preserve"> puede ser consultada en el siguiente link:</w:t>
      </w:r>
      <w:r w:rsidRPr="004A56C7">
        <w:rPr>
          <w:rFonts w:ascii="Arial" w:hAnsi="Arial" w:cs="Arial"/>
          <w:sz w:val="14"/>
          <w:szCs w:val="14"/>
          <w:lang w:val="es-ES"/>
        </w:rPr>
        <w:t xml:space="preserve"> https://www.colombiacompra.gov.co/sites/cce_public/files/cce_documentos/cce-eicp-gi-18._gees_v.2_2.pdf</w:t>
      </w:r>
    </w:p>
  </w:footnote>
  <w:footnote w:id="7">
    <w:p w14:paraId="2CC39C53" w14:textId="77777777" w:rsidR="00F62967" w:rsidRPr="004A56C7" w:rsidRDefault="00F62967" w:rsidP="00F62967">
      <w:pPr>
        <w:pStyle w:val="Textonotapie"/>
        <w:ind w:firstLine="708"/>
        <w:jc w:val="both"/>
        <w:rPr>
          <w:rFonts w:ascii="Arial" w:hAnsi="Arial" w:cs="Arial"/>
          <w:sz w:val="14"/>
          <w:szCs w:val="14"/>
        </w:rPr>
      </w:pPr>
      <w:r w:rsidRPr="004A56C7">
        <w:rPr>
          <w:rStyle w:val="Refdenotaalpie"/>
          <w:rFonts w:ascii="Arial" w:hAnsi="Arial" w:cs="Arial"/>
          <w:sz w:val="14"/>
          <w:szCs w:val="14"/>
        </w:rPr>
        <w:footnoteRef/>
      </w:r>
      <w:r w:rsidRPr="004A56C7">
        <w:rPr>
          <w:rFonts w:ascii="Arial" w:hAnsi="Arial" w:cs="Arial"/>
          <w:sz w:val="14"/>
          <w:szCs w:val="14"/>
        </w:rPr>
        <w:t xml:space="preserve"> De igual forma la Agencia de Nacional de Contratación Pública -Colombia Compra Eficiente- trató el tema objeto de estudio en conceptos del año 2019, identificados con los radicados </w:t>
      </w:r>
      <w:r w:rsidRPr="004A56C7">
        <w:rPr>
          <w:rFonts w:ascii="Arial" w:eastAsia="Calibri" w:hAnsi="Arial" w:cs="Arial"/>
          <w:sz w:val="14"/>
          <w:szCs w:val="14"/>
        </w:rPr>
        <w:t>No. 4201913000004738 del 28 de agosto de 2019, 4201913000004742 del 28 de agosto de 2019, 4201913000005174 del 21 de agosto de 2019, 4201913000005216 del 13 de agosto de 2019, 4201913000005230 del 21 de agosto de 2019, 4201912000005860 del 30 de septiembre de 2019, 4201912000005902 del 16 de octubre de 2019, 4201913000005944 del 7 de octubre de 2019, 4201913000006018 del 10 de octubre de 2019, 4201912000005902 del 16 de octubre de  2019, 4201913000006444 del 1 de noviembre de 2019, 4201912000006692 del 12 de noviembre de 2019, 4201912000007378 del 11 de noviembre de 2019 y 4201912000007781 del 26 de diciembre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pt;height:10.8pt" o:bullet="t">
        <v:imagedata r:id="rId1" o:title="mso1B13"/>
      </v:shape>
    </w:pict>
  </w:numPicBullet>
  <w:abstractNum w:abstractNumId="0" w15:restartNumberingAfterBreak="0">
    <w:nsid w:val="01C06310"/>
    <w:multiLevelType w:val="multilevel"/>
    <w:tmpl w:val="F48E76D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B6232F7"/>
    <w:multiLevelType w:val="hybridMultilevel"/>
    <w:tmpl w:val="D62AC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E555601"/>
    <w:multiLevelType w:val="hybridMultilevel"/>
    <w:tmpl w:val="64521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362711"/>
    <w:multiLevelType w:val="hybridMultilevel"/>
    <w:tmpl w:val="ECE6E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47149CA"/>
    <w:multiLevelType w:val="hybridMultilevel"/>
    <w:tmpl w:val="3A2AE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C768F7"/>
    <w:multiLevelType w:val="hybridMultilevel"/>
    <w:tmpl w:val="1B42F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3AC6107"/>
    <w:multiLevelType w:val="hybridMultilevel"/>
    <w:tmpl w:val="40D2284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6076C83"/>
    <w:multiLevelType w:val="hybridMultilevel"/>
    <w:tmpl w:val="6C6A9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F451B"/>
    <w:multiLevelType w:val="hybridMultilevel"/>
    <w:tmpl w:val="A2482F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75DD7E24"/>
    <w:multiLevelType w:val="hybridMultilevel"/>
    <w:tmpl w:val="729A0998"/>
    <w:lvl w:ilvl="0" w:tplc="D03054F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13"/>
  </w:num>
  <w:num w:numId="2" w16cid:durableId="19822139">
    <w:abstractNumId w:val="2"/>
  </w:num>
  <w:num w:numId="3" w16cid:durableId="876742304">
    <w:abstractNumId w:val="11"/>
  </w:num>
  <w:num w:numId="4" w16cid:durableId="24518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3"/>
  </w:num>
  <w:num w:numId="7" w16cid:durableId="1946422806">
    <w:abstractNumId w:val="12"/>
  </w:num>
  <w:num w:numId="8" w16cid:durableId="152644682">
    <w:abstractNumId w:val="22"/>
  </w:num>
  <w:num w:numId="9" w16cid:durableId="1317221377">
    <w:abstractNumId w:val="14"/>
  </w:num>
  <w:num w:numId="10" w16cid:durableId="1471245386">
    <w:abstractNumId w:val="21"/>
  </w:num>
  <w:num w:numId="11" w16cid:durableId="289172385">
    <w:abstractNumId w:val="15"/>
  </w:num>
  <w:num w:numId="12" w16cid:durableId="1470781324">
    <w:abstractNumId w:val="1"/>
  </w:num>
  <w:num w:numId="13" w16cid:durableId="1512908409">
    <w:abstractNumId w:val="8"/>
  </w:num>
  <w:num w:numId="14" w16cid:durableId="895897244">
    <w:abstractNumId w:val="24"/>
  </w:num>
  <w:num w:numId="15" w16cid:durableId="390349800">
    <w:abstractNumId w:val="19"/>
  </w:num>
  <w:num w:numId="16" w16cid:durableId="1330140246">
    <w:abstractNumId w:val="0"/>
  </w:num>
  <w:num w:numId="17" w16cid:durableId="66273114">
    <w:abstractNumId w:val="6"/>
  </w:num>
  <w:num w:numId="18" w16cid:durableId="258559934">
    <w:abstractNumId w:val="20"/>
  </w:num>
  <w:num w:numId="19" w16cid:durableId="2139764406">
    <w:abstractNumId w:val="4"/>
  </w:num>
  <w:num w:numId="20" w16cid:durableId="1619140680">
    <w:abstractNumId w:val="10"/>
  </w:num>
  <w:num w:numId="21" w16cid:durableId="1932084371">
    <w:abstractNumId w:val="25"/>
  </w:num>
  <w:num w:numId="22" w16cid:durableId="1419712614">
    <w:abstractNumId w:val="17"/>
  </w:num>
  <w:num w:numId="23" w16cid:durableId="2022704930">
    <w:abstractNumId w:val="18"/>
  </w:num>
  <w:num w:numId="24" w16cid:durableId="1136921567">
    <w:abstractNumId w:val="9"/>
  </w:num>
  <w:num w:numId="25" w16cid:durableId="679089576">
    <w:abstractNumId w:val="16"/>
  </w:num>
  <w:num w:numId="26" w16cid:durableId="791048680">
    <w:abstractNumId w:val="7"/>
  </w:num>
  <w:num w:numId="27" w16cid:durableId="2138789349">
    <w:abstractNumId w:val="26"/>
  </w:num>
  <w:num w:numId="28" w16cid:durableId="767165523">
    <w:abstractNumId w:val="5"/>
  </w:num>
  <w:num w:numId="29" w16cid:durableId="1922717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7F"/>
    <w:rsid w:val="00061B2A"/>
    <w:rsid w:val="00082362"/>
    <w:rsid w:val="000A683E"/>
    <w:rsid w:val="000B19B9"/>
    <w:rsid w:val="000B49BE"/>
    <w:rsid w:val="000C2D8B"/>
    <w:rsid w:val="000D0334"/>
    <w:rsid w:val="000F6486"/>
    <w:rsid w:val="001062C7"/>
    <w:rsid w:val="00125105"/>
    <w:rsid w:val="00127233"/>
    <w:rsid w:val="00134673"/>
    <w:rsid w:val="0015686B"/>
    <w:rsid w:val="00156A37"/>
    <w:rsid w:val="001B5D67"/>
    <w:rsid w:val="001E4177"/>
    <w:rsid w:val="001F7DC6"/>
    <w:rsid w:val="002229FD"/>
    <w:rsid w:val="002421BB"/>
    <w:rsid w:val="002512E6"/>
    <w:rsid w:val="0025796E"/>
    <w:rsid w:val="002630EB"/>
    <w:rsid w:val="00265FF1"/>
    <w:rsid w:val="002707A2"/>
    <w:rsid w:val="00270F25"/>
    <w:rsid w:val="002915F7"/>
    <w:rsid w:val="002951A0"/>
    <w:rsid w:val="002962BC"/>
    <w:rsid w:val="002A093D"/>
    <w:rsid w:val="002A0DD0"/>
    <w:rsid w:val="002A49AC"/>
    <w:rsid w:val="002A64FD"/>
    <w:rsid w:val="002C7A84"/>
    <w:rsid w:val="002D7ACD"/>
    <w:rsid w:val="002E4FD9"/>
    <w:rsid w:val="00301B02"/>
    <w:rsid w:val="003202B0"/>
    <w:rsid w:val="00322A85"/>
    <w:rsid w:val="00324168"/>
    <w:rsid w:val="003448F4"/>
    <w:rsid w:val="00354270"/>
    <w:rsid w:val="003549C7"/>
    <w:rsid w:val="003604CA"/>
    <w:rsid w:val="00374F5E"/>
    <w:rsid w:val="00377E3E"/>
    <w:rsid w:val="003966C4"/>
    <w:rsid w:val="003A26D1"/>
    <w:rsid w:val="003A779E"/>
    <w:rsid w:val="003D0F4D"/>
    <w:rsid w:val="003D5B0D"/>
    <w:rsid w:val="003E0499"/>
    <w:rsid w:val="003E0D5B"/>
    <w:rsid w:val="003F3941"/>
    <w:rsid w:val="00406575"/>
    <w:rsid w:val="00423F75"/>
    <w:rsid w:val="0042722E"/>
    <w:rsid w:val="0044528D"/>
    <w:rsid w:val="00473468"/>
    <w:rsid w:val="00474475"/>
    <w:rsid w:val="00495734"/>
    <w:rsid w:val="004A1847"/>
    <w:rsid w:val="004A305D"/>
    <w:rsid w:val="004C0691"/>
    <w:rsid w:val="004C1444"/>
    <w:rsid w:val="004F21C4"/>
    <w:rsid w:val="004F685F"/>
    <w:rsid w:val="005025B5"/>
    <w:rsid w:val="00536F5E"/>
    <w:rsid w:val="005564B4"/>
    <w:rsid w:val="005566E8"/>
    <w:rsid w:val="00574867"/>
    <w:rsid w:val="00591460"/>
    <w:rsid w:val="00592628"/>
    <w:rsid w:val="00594C74"/>
    <w:rsid w:val="005A3DDB"/>
    <w:rsid w:val="005C3777"/>
    <w:rsid w:val="005C5CDC"/>
    <w:rsid w:val="005D476C"/>
    <w:rsid w:val="00610812"/>
    <w:rsid w:val="006219F8"/>
    <w:rsid w:val="006430AB"/>
    <w:rsid w:val="00643635"/>
    <w:rsid w:val="00645326"/>
    <w:rsid w:val="00650FF7"/>
    <w:rsid w:val="006651C1"/>
    <w:rsid w:val="00665D70"/>
    <w:rsid w:val="00671DAC"/>
    <w:rsid w:val="00675C32"/>
    <w:rsid w:val="00677740"/>
    <w:rsid w:val="00677BC5"/>
    <w:rsid w:val="00687F9B"/>
    <w:rsid w:val="006900D9"/>
    <w:rsid w:val="006C452C"/>
    <w:rsid w:val="006D12F8"/>
    <w:rsid w:val="006E2954"/>
    <w:rsid w:val="006F40EE"/>
    <w:rsid w:val="00706C16"/>
    <w:rsid w:val="0071428C"/>
    <w:rsid w:val="00722C90"/>
    <w:rsid w:val="00756841"/>
    <w:rsid w:val="007649AB"/>
    <w:rsid w:val="00765E49"/>
    <w:rsid w:val="00771D0C"/>
    <w:rsid w:val="00775DA5"/>
    <w:rsid w:val="007833AC"/>
    <w:rsid w:val="007923A5"/>
    <w:rsid w:val="00795C9F"/>
    <w:rsid w:val="007B268C"/>
    <w:rsid w:val="007B7171"/>
    <w:rsid w:val="007C0C0F"/>
    <w:rsid w:val="007C3DC2"/>
    <w:rsid w:val="007D038D"/>
    <w:rsid w:val="007E5497"/>
    <w:rsid w:val="00806F5F"/>
    <w:rsid w:val="00811C35"/>
    <w:rsid w:val="00820278"/>
    <w:rsid w:val="0082640E"/>
    <w:rsid w:val="008843B6"/>
    <w:rsid w:val="00891928"/>
    <w:rsid w:val="008A446D"/>
    <w:rsid w:val="008D180B"/>
    <w:rsid w:val="008F0EA7"/>
    <w:rsid w:val="00923EEF"/>
    <w:rsid w:val="009419F9"/>
    <w:rsid w:val="0095685E"/>
    <w:rsid w:val="00961B09"/>
    <w:rsid w:val="00965334"/>
    <w:rsid w:val="0097093E"/>
    <w:rsid w:val="009A0DFA"/>
    <w:rsid w:val="009A7D9F"/>
    <w:rsid w:val="009B2D26"/>
    <w:rsid w:val="009C19C8"/>
    <w:rsid w:val="009C71FA"/>
    <w:rsid w:val="009C72E7"/>
    <w:rsid w:val="009D3058"/>
    <w:rsid w:val="009F3A13"/>
    <w:rsid w:val="00A122D3"/>
    <w:rsid w:val="00A17F13"/>
    <w:rsid w:val="00A20739"/>
    <w:rsid w:val="00A24957"/>
    <w:rsid w:val="00A25EF5"/>
    <w:rsid w:val="00A33C78"/>
    <w:rsid w:val="00A35389"/>
    <w:rsid w:val="00A4771A"/>
    <w:rsid w:val="00A6168A"/>
    <w:rsid w:val="00A97925"/>
    <w:rsid w:val="00AB0ADB"/>
    <w:rsid w:val="00AC0CA2"/>
    <w:rsid w:val="00B01B1A"/>
    <w:rsid w:val="00B2670E"/>
    <w:rsid w:val="00B41186"/>
    <w:rsid w:val="00B72CD3"/>
    <w:rsid w:val="00B72FFF"/>
    <w:rsid w:val="00B9402C"/>
    <w:rsid w:val="00BC3155"/>
    <w:rsid w:val="00BC3D36"/>
    <w:rsid w:val="00BC56AD"/>
    <w:rsid w:val="00BD7F72"/>
    <w:rsid w:val="00C04FB3"/>
    <w:rsid w:val="00C330EB"/>
    <w:rsid w:val="00C37A4F"/>
    <w:rsid w:val="00C441B1"/>
    <w:rsid w:val="00C47B6C"/>
    <w:rsid w:val="00C538A4"/>
    <w:rsid w:val="00C754BE"/>
    <w:rsid w:val="00C76B1C"/>
    <w:rsid w:val="00CB6357"/>
    <w:rsid w:val="00CC1B26"/>
    <w:rsid w:val="00CD14D0"/>
    <w:rsid w:val="00CD5441"/>
    <w:rsid w:val="00CE2E2F"/>
    <w:rsid w:val="00D423A2"/>
    <w:rsid w:val="00D46D35"/>
    <w:rsid w:val="00D520D8"/>
    <w:rsid w:val="00D63AC2"/>
    <w:rsid w:val="00D7383B"/>
    <w:rsid w:val="00D818FA"/>
    <w:rsid w:val="00D9404A"/>
    <w:rsid w:val="00DA231B"/>
    <w:rsid w:val="00DA23A0"/>
    <w:rsid w:val="00DC1E75"/>
    <w:rsid w:val="00DC39FC"/>
    <w:rsid w:val="00DF5254"/>
    <w:rsid w:val="00E10985"/>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10FA4"/>
    <w:rsid w:val="00F31EDC"/>
    <w:rsid w:val="00F462B3"/>
    <w:rsid w:val="00F50C6C"/>
    <w:rsid w:val="00F5664F"/>
    <w:rsid w:val="00F62967"/>
    <w:rsid w:val="00F666C4"/>
    <w:rsid w:val="00F76AFC"/>
    <w:rsid w:val="00F770BD"/>
    <w:rsid w:val="00FA07B5"/>
    <w:rsid w:val="00FA47C0"/>
    <w:rsid w:val="00FB5DD1"/>
    <w:rsid w:val="00FB6216"/>
    <w:rsid w:val="00FC2B5D"/>
    <w:rsid w:val="00FC59CF"/>
    <w:rsid w:val="00FF1449"/>
    <w:rsid w:val="5CEADB7B"/>
    <w:rsid w:val="78528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4E8639C-433A-4CAD-907B-C4B82BB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C06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691"/>
    <w:rPr>
      <w:rFonts w:ascii="Geomanist Light" w:hAnsi="Geomanist Light"/>
      <w:lang w:val="es-ES"/>
    </w:rPr>
  </w:style>
  <w:style w:type="character" w:customStyle="1" w:styleId="Hipervnculo1">
    <w:name w:val="Hipervínculo1"/>
    <w:basedOn w:val="Fuentedeprrafopredeter"/>
    <w:uiPriority w:val="99"/>
    <w:unhideWhenUsed/>
    <w:rsid w:val="004C0691"/>
    <w:rPr>
      <w:color w:val="F2F2F2"/>
      <w:u w:val="single"/>
    </w:rPr>
  </w:style>
  <w:style w:type="paragraph" w:styleId="Textoindependiente">
    <w:name w:val="Body Text"/>
    <w:basedOn w:val="Normal"/>
    <w:link w:val="TextoindependienteCar"/>
    <w:uiPriority w:val="99"/>
    <w:unhideWhenUsed/>
    <w:rsid w:val="00645326"/>
    <w:pPr>
      <w:spacing w:after="120"/>
    </w:pPr>
  </w:style>
  <w:style w:type="character" w:customStyle="1" w:styleId="TextoindependienteCar">
    <w:name w:val="Texto independiente Car"/>
    <w:basedOn w:val="Fuentedeprrafopredeter"/>
    <w:link w:val="Textoindependiente"/>
    <w:uiPriority w:val="99"/>
    <w:rsid w:val="0064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6277108">
      <w:bodyDiv w:val="1"/>
      <w:marLeft w:val="0"/>
      <w:marRight w:val="0"/>
      <w:marTop w:val="0"/>
      <w:marBottom w:val="0"/>
      <w:divBdr>
        <w:top w:val="none" w:sz="0" w:space="0" w:color="auto"/>
        <w:left w:val="none" w:sz="0" w:space="0" w:color="auto"/>
        <w:bottom w:val="none" w:sz="0" w:space="0" w:color="auto"/>
        <w:right w:val="none" w:sz="0" w:space="0" w:color="auto"/>
      </w:divBdr>
    </w:div>
    <w:div w:id="70637542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10" Type="http://schemas.openxmlformats.org/officeDocument/2006/relationships/hyperlink" Target="mailto:natalie2808@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73E04-F91F-4AB8-9E4E-0CEF1A3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3193</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20715</CharactersWithSpaces>
  <SharedDoc>false</SharedDoc>
  <HLinks>
    <vt:vector size="36" baseType="variant">
      <vt:variant>
        <vt:i4>3407924</vt:i4>
      </vt:variant>
      <vt:variant>
        <vt:i4>9</vt:i4>
      </vt:variant>
      <vt:variant>
        <vt:i4>0</vt:i4>
      </vt:variant>
      <vt:variant>
        <vt:i4>5</vt:i4>
      </vt:variant>
      <vt:variant>
        <vt:lpwstr>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vt:lpwstr>
      </vt:variant>
      <vt:variant>
        <vt:lpwstr/>
      </vt:variant>
      <vt:variant>
        <vt:i4>7012469</vt:i4>
      </vt:variant>
      <vt:variant>
        <vt:i4>6</vt:i4>
      </vt:variant>
      <vt:variant>
        <vt:i4>0</vt:i4>
      </vt:variant>
      <vt:variant>
        <vt:i4>5</vt:i4>
      </vt:variant>
      <vt:variant>
        <vt:lpwstr>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vt:lpwstr>
      </vt:variant>
      <vt:variant>
        <vt:lpwstr/>
      </vt:variant>
      <vt:variant>
        <vt:i4>2752605</vt:i4>
      </vt:variant>
      <vt:variant>
        <vt:i4>3</vt:i4>
      </vt:variant>
      <vt:variant>
        <vt:i4>0</vt:i4>
      </vt:variant>
      <vt:variant>
        <vt:i4>5</vt:i4>
      </vt:variant>
      <vt:variant>
        <vt:lpwstr>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vt:lpwstr>
      </vt:variant>
      <vt:variant>
        <vt:lpwstr/>
      </vt:variant>
      <vt:variant>
        <vt:i4>7143486</vt:i4>
      </vt:variant>
      <vt:variant>
        <vt:i4>0</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1769551</vt:i4>
      </vt:variant>
      <vt:variant>
        <vt:i4>3</vt:i4>
      </vt:variant>
      <vt:variant>
        <vt:i4>0</vt:i4>
      </vt:variant>
      <vt:variant>
        <vt:i4>5</vt:i4>
      </vt:variant>
      <vt:variant>
        <vt:lpwstr>https://www.supersociedades.gov.co/documents/20122/1229078/Guia-Practica-Regimen-Matrices-y-Subordinadas.pdf/6c4a9d36-224c-e72e-8bb5-eec20d380f4a?t=1654295200749</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4</cp:revision>
  <cp:lastPrinted>2023-01-11T00:18:00Z</cp:lastPrinted>
  <dcterms:created xsi:type="dcterms:W3CDTF">2024-10-24T17:58:00Z</dcterms:created>
  <dcterms:modified xsi:type="dcterms:W3CDTF">2024-10-31T03:23:00Z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