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DBACD" w14:textId="77777777" w:rsidR="00185406" w:rsidRDefault="00185406" w:rsidP="009023E8">
      <w:pPr>
        <w:spacing w:before="120" w:after="120" w:line="276" w:lineRule="auto"/>
        <w:jc w:val="both"/>
        <w:rPr>
          <w:rFonts w:ascii="Verdana" w:hAnsi="Verdana" w:cs="Arial"/>
          <w:color w:val="000000" w:themeColor="text1"/>
          <w:lang w:val="es-MX"/>
        </w:rPr>
      </w:pPr>
      <w:bookmarkStart w:id="0" w:name="_Hlk181029960"/>
    </w:p>
    <w:p w14:paraId="08833276" w14:textId="773C2D12" w:rsidR="00185406" w:rsidRDefault="0021236A" w:rsidP="009023E8">
      <w:pPr>
        <w:spacing w:before="120" w:after="120" w:line="276" w:lineRule="auto"/>
        <w:jc w:val="both"/>
        <w:rPr>
          <w:rFonts w:ascii="Verdana" w:hAnsi="Verdana" w:cs="Arial"/>
          <w:b/>
          <w:bCs/>
          <w:color w:val="000000" w:themeColor="text1"/>
        </w:rPr>
      </w:pPr>
      <w:r w:rsidRPr="00137843">
        <w:rPr>
          <w:rFonts w:ascii="Verdana" w:hAnsi="Verdana" w:cs="Arial"/>
          <w:b/>
          <w:bCs/>
          <w:color w:val="000000" w:themeColor="text1"/>
        </w:rPr>
        <w:t xml:space="preserve">TIPOS DE LIQUIDACIÓN - – Liquidación unilateral </w:t>
      </w:r>
    </w:p>
    <w:p w14:paraId="1A9D55DB" w14:textId="77777777" w:rsidR="009E743B" w:rsidRPr="00137843" w:rsidRDefault="009E743B" w:rsidP="009023E8">
      <w:pPr>
        <w:spacing w:before="120" w:after="120" w:line="276" w:lineRule="auto"/>
        <w:jc w:val="both"/>
        <w:rPr>
          <w:rFonts w:ascii="Verdana" w:hAnsi="Verdana" w:cs="Arial"/>
          <w:b/>
          <w:bCs/>
          <w:color w:val="000000" w:themeColor="text1"/>
          <w:lang w:val="es-MX"/>
        </w:rPr>
      </w:pPr>
    </w:p>
    <w:p w14:paraId="4FA1C8E4" w14:textId="31609DA8" w:rsidR="00185406" w:rsidRDefault="00137843" w:rsidP="009023E8">
      <w:pPr>
        <w:spacing w:before="120" w:after="120" w:line="276" w:lineRule="auto"/>
        <w:jc w:val="both"/>
        <w:rPr>
          <w:rFonts w:ascii="Verdana" w:hAnsi="Verdana" w:cs="Arial"/>
          <w:color w:val="000000" w:themeColor="text1"/>
          <w:lang w:val="es-MX"/>
        </w:rPr>
      </w:pPr>
      <w:r>
        <w:rPr>
          <w:rFonts w:ascii="Verdana" w:hAnsi="Verdana" w:cs="Arial"/>
          <w:color w:val="000000" w:themeColor="text1"/>
        </w:rPr>
        <w:t>La</w:t>
      </w:r>
      <w:r w:rsidRPr="00137843">
        <w:rPr>
          <w:rFonts w:ascii="Verdana" w:hAnsi="Verdana" w:cs="Arial"/>
          <w:color w:val="000000" w:themeColor="text1"/>
        </w:rPr>
        <w:t xml:space="preserve"> Entidad Estatal tiene la facultad de liquidar unilateralmente dentro del término de 2 meses contados a partir del vencimiento del plazo que acuerden las partes para liquidar bilateralmente o, ante el silencio de estas, del vencimiento de los 4 meses supletivo establecido por la ley. 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w:t>
      </w:r>
    </w:p>
    <w:p w14:paraId="46F53138" w14:textId="77777777" w:rsidR="00185406" w:rsidRPr="009E743B" w:rsidRDefault="00185406" w:rsidP="009023E8">
      <w:pPr>
        <w:spacing w:before="120" w:after="120" w:line="276" w:lineRule="auto"/>
        <w:jc w:val="both"/>
        <w:rPr>
          <w:rFonts w:ascii="Verdana" w:hAnsi="Verdana" w:cs="Arial"/>
          <w:b/>
          <w:bCs/>
          <w:color w:val="000000" w:themeColor="text1"/>
          <w:lang w:val="es-MX"/>
        </w:rPr>
      </w:pPr>
    </w:p>
    <w:p w14:paraId="5107E6BB" w14:textId="041A00B0" w:rsidR="00F94194" w:rsidRPr="000A79D0" w:rsidRDefault="009E743B" w:rsidP="000A79D0">
      <w:pPr>
        <w:spacing w:line="276" w:lineRule="auto"/>
        <w:jc w:val="both"/>
        <w:rPr>
          <w:rFonts w:ascii="Verdana" w:eastAsia="Calibri" w:hAnsi="Verdana" w:cs="Arial"/>
          <w:b/>
          <w:bCs/>
          <w:lang w:val="es-ES" w:eastAsia="es-ES"/>
        </w:rPr>
      </w:pPr>
      <w:r w:rsidRPr="009E743B">
        <w:rPr>
          <w:rFonts w:ascii="Verdana" w:hAnsi="Verdana" w:cs="Arial"/>
          <w:b/>
          <w:bCs/>
          <w:color w:val="000000" w:themeColor="text1"/>
          <w:lang w:val="es-MX"/>
        </w:rPr>
        <w:t>T</w:t>
      </w:r>
      <w:r w:rsidR="009023E8" w:rsidRPr="009E743B">
        <w:rPr>
          <w:rFonts w:ascii="Verdana" w:hAnsi="Verdana" w:cs="Arial"/>
          <w:b/>
          <w:bCs/>
          <w:color w:val="000000" w:themeColor="text1"/>
          <w:lang w:val="es-MX"/>
        </w:rPr>
        <w:t>erminación unilateral</w:t>
      </w:r>
      <w:r>
        <w:rPr>
          <w:rFonts w:ascii="Verdana" w:hAnsi="Verdana" w:cs="Arial"/>
          <w:b/>
          <w:bCs/>
          <w:color w:val="000000" w:themeColor="text1"/>
          <w:lang w:val="es-MX"/>
        </w:rPr>
        <w:t xml:space="preserve"> -</w:t>
      </w:r>
      <w:r w:rsidR="009023E8" w:rsidRPr="009E743B">
        <w:rPr>
          <w:rFonts w:ascii="Verdana" w:hAnsi="Verdana" w:cs="Arial"/>
          <w:b/>
          <w:bCs/>
          <w:color w:val="000000" w:themeColor="text1"/>
          <w:lang w:val="es-MX"/>
        </w:rPr>
        <w:t xml:space="preserve"> </w:t>
      </w:r>
      <w:r w:rsidRPr="009E743B">
        <w:rPr>
          <w:rFonts w:ascii="Verdana" w:eastAsia="Calibri" w:hAnsi="Verdana" w:cs="Arial"/>
          <w:b/>
          <w:bCs/>
          <w:lang w:val="es-ES" w:eastAsia="es-ES"/>
        </w:rPr>
        <w:t>Muerte o incapacidad física permanente del contratista – Persona natural – Persona jurídica</w:t>
      </w:r>
    </w:p>
    <w:p w14:paraId="5C2C7C1C" w14:textId="4465E1C6" w:rsidR="009023E8" w:rsidRDefault="00F94194" w:rsidP="009023E8">
      <w:pPr>
        <w:spacing w:before="120" w:after="120" w:line="276" w:lineRule="auto"/>
        <w:jc w:val="both"/>
        <w:rPr>
          <w:rFonts w:ascii="Verdana" w:hAnsi="Verdana" w:cs="Arial"/>
          <w:color w:val="000000" w:themeColor="text1"/>
          <w:lang w:val="es-MX"/>
        </w:rPr>
      </w:pPr>
      <w:r>
        <w:rPr>
          <w:rFonts w:ascii="Verdana" w:hAnsi="Verdana" w:cs="Arial"/>
          <w:color w:val="000000" w:themeColor="text1"/>
          <w:lang w:val="es-MX"/>
        </w:rPr>
        <w:t>La terminación un</w:t>
      </w:r>
      <w:r w:rsidR="00851919">
        <w:rPr>
          <w:rFonts w:ascii="Verdana" w:hAnsi="Verdana" w:cs="Arial"/>
          <w:color w:val="000000" w:themeColor="text1"/>
          <w:lang w:val="es-MX"/>
        </w:rPr>
        <w:t xml:space="preserve">ilateral </w:t>
      </w:r>
      <w:r w:rsidR="009023E8" w:rsidRPr="009023E8">
        <w:rPr>
          <w:rFonts w:ascii="Verdana" w:hAnsi="Verdana" w:cs="Arial"/>
          <w:color w:val="000000" w:themeColor="text1"/>
          <w:lang w:val="es-MX"/>
        </w:rPr>
        <w:t>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60290763" w14:textId="77777777" w:rsidR="000A79D0" w:rsidRPr="000A79D0" w:rsidRDefault="000A79D0" w:rsidP="000A79D0">
      <w:pPr>
        <w:spacing w:before="120" w:after="200" w:line="276" w:lineRule="auto"/>
        <w:jc w:val="both"/>
        <w:rPr>
          <w:rFonts w:ascii="Verdana" w:hAnsi="Verdana" w:cs="Arial"/>
          <w:color w:val="000000" w:themeColor="text1"/>
          <w:lang w:val="es-MX"/>
        </w:rPr>
      </w:pPr>
      <w:r w:rsidRPr="000A79D0">
        <w:rPr>
          <w:rFonts w:ascii="Verdana" w:hAnsi="Verdana" w:cs="Arial"/>
          <w:color w:val="000000" w:themeColor="text1"/>
          <w:lang w:val="es-MX"/>
        </w:rPr>
        <w:t>El artículo 17 de la Ley 80 de 1993 establece expresamente en que eventos procede la terminación unilateral del contrato. Al efecto, la norma establece las siguientes causales:</w:t>
      </w:r>
    </w:p>
    <w:p w14:paraId="210D40F3" w14:textId="77777777" w:rsidR="000A79D0" w:rsidRPr="0071334E" w:rsidRDefault="000A79D0" w:rsidP="000A79D0">
      <w:pPr>
        <w:pStyle w:val="Prrafodelista"/>
        <w:rPr>
          <w:rFonts w:ascii="Verdana" w:hAnsi="Verdana" w:cs="Arial"/>
          <w:color w:val="000000" w:themeColor="text1"/>
          <w:lang w:val="es-MX"/>
        </w:rPr>
      </w:pPr>
    </w:p>
    <w:p w14:paraId="148177E8" w14:textId="77777777" w:rsidR="000A79D0" w:rsidRPr="0071334E" w:rsidRDefault="000A79D0" w:rsidP="000A79D0">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lastRenderedPageBreak/>
        <w:t>Artículo 17. De la terminación unilateral</w:t>
      </w:r>
      <w:r w:rsidRPr="0071334E">
        <w:rPr>
          <w:rFonts w:ascii="Verdana" w:hAnsi="Verdana" w:cs="Arial"/>
          <w:b/>
          <w:bCs/>
          <w:color w:val="000000"/>
          <w:sz w:val="20"/>
          <w:szCs w:val="20"/>
          <w:lang w:val="es-MX" w:eastAsia="es-CO"/>
        </w:rPr>
        <w:t>.</w:t>
      </w:r>
      <w:r w:rsidRPr="0071334E">
        <w:rPr>
          <w:rFonts w:ascii="Verdana" w:hAnsi="Verdana" w:cs="Arial"/>
          <w:color w:val="000000"/>
          <w:sz w:val="20"/>
          <w:szCs w:val="20"/>
          <w:lang w:val="es-MX" w:eastAsia="es-CO"/>
        </w:rPr>
        <w:t> La entidad en acto administrativo debidamente motivado dispondrá la terminación anticipada del contrato en los siguientes eventos: </w:t>
      </w:r>
    </w:p>
    <w:p w14:paraId="45E1B9A6" w14:textId="77777777" w:rsidR="000A79D0" w:rsidRPr="0071334E" w:rsidRDefault="000A79D0" w:rsidP="000A79D0">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1o. Cuando las exigencias del servicio público lo requieran o la situación de orden público lo imponga. </w:t>
      </w:r>
    </w:p>
    <w:p w14:paraId="7F9C023F" w14:textId="77777777" w:rsidR="000A79D0" w:rsidRPr="0071334E" w:rsidRDefault="000A79D0" w:rsidP="000A79D0">
      <w:pPr>
        <w:pStyle w:val="Prrafodelista"/>
        <w:spacing w:after="200" w:line="240" w:lineRule="auto"/>
        <w:ind w:left="1491" w:right="357"/>
        <w:jc w:val="both"/>
        <w:rPr>
          <w:rFonts w:ascii="Verdana" w:hAnsi="Verdana" w:cs="Arial"/>
          <w:i/>
          <w:iCs/>
          <w:color w:val="000000"/>
          <w:sz w:val="20"/>
          <w:szCs w:val="20"/>
          <w:u w:val="single"/>
          <w:lang w:val="es-MX" w:eastAsia="es-CO"/>
        </w:rPr>
      </w:pPr>
      <w:r w:rsidRPr="0071334E">
        <w:rPr>
          <w:rFonts w:ascii="Verdana" w:hAnsi="Verdana" w:cs="Arial"/>
          <w:i/>
          <w:iCs/>
          <w:color w:val="000000"/>
          <w:sz w:val="20"/>
          <w:szCs w:val="20"/>
          <w:u w:val="single"/>
          <w:lang w:val="es-MX" w:eastAsia="es-CO"/>
        </w:rPr>
        <w:t>2o. Por muerte o incapacidad física permanente del contratista, si es persona natural, o por disolución de la persona jurídica del contratista. </w:t>
      </w:r>
    </w:p>
    <w:p w14:paraId="1F0F2F23" w14:textId="77777777" w:rsidR="000A79D0" w:rsidRPr="0071334E" w:rsidRDefault="000A79D0" w:rsidP="000A79D0">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3o. Por interdicción judicial o declaración de quiebra del contratista. </w:t>
      </w:r>
    </w:p>
    <w:p w14:paraId="24901C1F" w14:textId="77777777" w:rsidR="000A79D0" w:rsidRPr="0071334E" w:rsidRDefault="000A79D0" w:rsidP="000A79D0">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4o. Por cesación de pagos, concurso de acreedores o embargos judiciales del contratista que afecten de manera grave el cumplimiento del contrato. </w:t>
      </w:r>
    </w:p>
    <w:p w14:paraId="479392E6" w14:textId="77777777" w:rsidR="000A79D0" w:rsidRPr="0071334E" w:rsidRDefault="000A79D0" w:rsidP="000A79D0">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Sin embargo, en los casos a que se refieren los numerales 2o. y 3o. de este artículo podrá continuarse la ejecución con el garante de la obligación. </w:t>
      </w:r>
    </w:p>
    <w:p w14:paraId="03775FE5" w14:textId="77777777" w:rsidR="000A79D0" w:rsidRPr="0071334E" w:rsidRDefault="000A79D0" w:rsidP="000A79D0">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[Énfasis fuera de texto]</w:t>
      </w:r>
    </w:p>
    <w:p w14:paraId="13E9A1DB" w14:textId="77777777" w:rsidR="000A79D0" w:rsidRPr="009023E8" w:rsidRDefault="000A79D0" w:rsidP="009023E8">
      <w:pPr>
        <w:spacing w:before="120" w:after="120" w:line="276" w:lineRule="auto"/>
        <w:jc w:val="both"/>
        <w:rPr>
          <w:rFonts w:ascii="Verdana" w:hAnsi="Verdana" w:cs="Arial"/>
          <w:color w:val="000000" w:themeColor="text1"/>
          <w:lang w:val="es-MX"/>
        </w:rPr>
      </w:pPr>
    </w:p>
    <w:p w14:paraId="31A21863" w14:textId="77777777" w:rsidR="009023E8" w:rsidRDefault="009023E8" w:rsidP="009023E8">
      <w:pPr>
        <w:pStyle w:val="Prrafodelista"/>
        <w:rPr>
          <w:rFonts w:ascii="Verdana" w:hAnsi="Verdana" w:cs="Arial"/>
          <w:color w:val="000000" w:themeColor="text1"/>
          <w:lang w:val="es-MX"/>
        </w:rPr>
      </w:pPr>
    </w:p>
    <w:p w14:paraId="213A4019" w14:textId="77777777" w:rsidR="00F94194" w:rsidRDefault="00F94194" w:rsidP="009023E8">
      <w:pPr>
        <w:pStyle w:val="Prrafodelista"/>
        <w:rPr>
          <w:rFonts w:ascii="Verdana" w:hAnsi="Verdana" w:cs="Arial"/>
          <w:color w:val="000000" w:themeColor="text1"/>
          <w:lang w:val="es-MX"/>
        </w:rPr>
      </w:pPr>
    </w:p>
    <w:p w14:paraId="3BB5CA95" w14:textId="77777777" w:rsidR="00F94194" w:rsidRDefault="00F94194" w:rsidP="009023E8">
      <w:pPr>
        <w:pStyle w:val="Prrafodelista"/>
        <w:rPr>
          <w:rFonts w:ascii="Verdana" w:hAnsi="Verdana" w:cs="Arial"/>
          <w:color w:val="000000" w:themeColor="text1"/>
          <w:lang w:val="es-MX"/>
        </w:rPr>
      </w:pPr>
    </w:p>
    <w:p w14:paraId="7EB5A10E" w14:textId="77777777" w:rsidR="00F94194" w:rsidRDefault="00F94194" w:rsidP="009023E8">
      <w:pPr>
        <w:pStyle w:val="Prrafodelista"/>
        <w:rPr>
          <w:rFonts w:ascii="Verdana" w:hAnsi="Verdana" w:cs="Arial"/>
          <w:color w:val="000000" w:themeColor="text1"/>
          <w:lang w:val="es-MX"/>
        </w:rPr>
      </w:pPr>
    </w:p>
    <w:p w14:paraId="5E780103" w14:textId="77777777" w:rsidR="00F94194" w:rsidRDefault="00F94194" w:rsidP="009023E8">
      <w:pPr>
        <w:pStyle w:val="Prrafodelista"/>
        <w:rPr>
          <w:rFonts w:ascii="Verdana" w:hAnsi="Verdana" w:cs="Arial"/>
          <w:color w:val="000000" w:themeColor="text1"/>
          <w:lang w:val="es-MX"/>
        </w:rPr>
      </w:pPr>
    </w:p>
    <w:p w14:paraId="6CBE7B92" w14:textId="77777777" w:rsidR="00F94194" w:rsidRDefault="00F94194" w:rsidP="009023E8">
      <w:pPr>
        <w:pStyle w:val="Prrafodelista"/>
        <w:rPr>
          <w:rFonts w:ascii="Verdana" w:hAnsi="Verdana" w:cs="Arial"/>
          <w:color w:val="000000" w:themeColor="text1"/>
          <w:lang w:val="es-MX"/>
        </w:rPr>
      </w:pPr>
    </w:p>
    <w:p w14:paraId="67E4F5F7" w14:textId="77777777" w:rsidR="00F94194" w:rsidRDefault="00F94194" w:rsidP="009023E8">
      <w:pPr>
        <w:pStyle w:val="Prrafodelista"/>
        <w:rPr>
          <w:rFonts w:ascii="Verdana" w:hAnsi="Verdana" w:cs="Arial"/>
          <w:color w:val="000000" w:themeColor="text1"/>
          <w:lang w:val="es-MX"/>
        </w:rPr>
      </w:pPr>
    </w:p>
    <w:p w14:paraId="4DA44B51" w14:textId="77777777" w:rsidR="00F94194" w:rsidRDefault="00F94194" w:rsidP="009023E8">
      <w:pPr>
        <w:pStyle w:val="Prrafodelista"/>
        <w:rPr>
          <w:rFonts w:ascii="Verdana" w:hAnsi="Verdana" w:cs="Arial"/>
          <w:color w:val="000000" w:themeColor="text1"/>
          <w:lang w:val="es-MX"/>
        </w:rPr>
      </w:pPr>
    </w:p>
    <w:p w14:paraId="60B79B9F" w14:textId="77777777" w:rsidR="00F94194" w:rsidRDefault="00F94194" w:rsidP="009023E8">
      <w:pPr>
        <w:pStyle w:val="Prrafodelista"/>
        <w:rPr>
          <w:rFonts w:ascii="Verdana" w:hAnsi="Verdana" w:cs="Arial"/>
          <w:color w:val="000000" w:themeColor="text1"/>
          <w:lang w:val="es-MX"/>
        </w:rPr>
      </w:pPr>
    </w:p>
    <w:p w14:paraId="0E1AF655" w14:textId="77777777" w:rsidR="00F94194" w:rsidRDefault="00F94194" w:rsidP="009023E8">
      <w:pPr>
        <w:pStyle w:val="Prrafodelista"/>
        <w:rPr>
          <w:rFonts w:ascii="Verdana" w:hAnsi="Verdana" w:cs="Arial"/>
          <w:color w:val="000000" w:themeColor="text1"/>
          <w:lang w:val="es-MX"/>
        </w:rPr>
      </w:pPr>
    </w:p>
    <w:p w14:paraId="409E7543" w14:textId="77777777" w:rsidR="00F94194" w:rsidRDefault="00F94194" w:rsidP="009023E8">
      <w:pPr>
        <w:pStyle w:val="Prrafodelista"/>
        <w:rPr>
          <w:rFonts w:ascii="Verdana" w:hAnsi="Verdana" w:cs="Arial"/>
          <w:color w:val="000000" w:themeColor="text1"/>
          <w:lang w:val="es-MX"/>
        </w:rPr>
      </w:pPr>
    </w:p>
    <w:p w14:paraId="5CED5D09" w14:textId="77777777" w:rsidR="00F94194" w:rsidRDefault="00F94194" w:rsidP="009023E8">
      <w:pPr>
        <w:pStyle w:val="Prrafodelista"/>
        <w:rPr>
          <w:rFonts w:ascii="Verdana" w:hAnsi="Verdana" w:cs="Arial"/>
          <w:color w:val="000000" w:themeColor="text1"/>
          <w:lang w:val="es-MX"/>
        </w:rPr>
      </w:pPr>
    </w:p>
    <w:p w14:paraId="3BB1E116" w14:textId="77777777" w:rsidR="000A79D0" w:rsidRDefault="000A79D0" w:rsidP="006B5F4A">
      <w:pPr>
        <w:spacing w:after="0" w:line="240" w:lineRule="auto"/>
        <w:rPr>
          <w:rFonts w:ascii="Verdana" w:eastAsia="Geomanist Light" w:hAnsi="Verdana" w:cs="Arial"/>
          <w:color w:val="000000" w:themeColor="text1"/>
          <w:lang w:val="es-MX"/>
        </w:rPr>
      </w:pPr>
    </w:p>
    <w:p w14:paraId="66B092A7" w14:textId="77777777" w:rsidR="000A79D0" w:rsidRDefault="000A79D0" w:rsidP="006B5F4A">
      <w:pPr>
        <w:spacing w:after="0" w:line="240" w:lineRule="auto"/>
        <w:rPr>
          <w:rFonts w:ascii="Verdana" w:eastAsia="Geomanist Light" w:hAnsi="Verdana" w:cs="Arial"/>
          <w:color w:val="000000" w:themeColor="text1"/>
          <w:lang w:val="es-MX"/>
        </w:rPr>
      </w:pPr>
    </w:p>
    <w:p w14:paraId="2C06EF1A" w14:textId="3214E561" w:rsidR="006B5F4A" w:rsidRPr="0071334E" w:rsidRDefault="006B5F4A" w:rsidP="006B5F4A">
      <w:pPr>
        <w:spacing w:after="0" w:line="240" w:lineRule="auto"/>
        <w:rPr>
          <w:rFonts w:ascii="Verdana" w:eastAsia="Geomanist Light" w:hAnsi="Verdana" w:cs="Arial"/>
          <w:color w:val="201F1E"/>
          <w:lang w:val="es-MX"/>
        </w:rPr>
      </w:pPr>
      <w:r w:rsidRPr="0071334E">
        <w:rPr>
          <w:rFonts w:ascii="Verdana" w:eastAsia="Geomanist Light" w:hAnsi="Verdana" w:cs="Arial"/>
          <w:color w:val="000000" w:themeColor="text1"/>
          <w:lang w:val="es-MX"/>
        </w:rPr>
        <w:lastRenderedPageBreak/>
        <w:t>Bogotá D.C., </w:t>
      </w:r>
      <w:r w:rsidR="00A73975" w:rsidRPr="00A73975">
        <w:rPr>
          <w:rFonts w:ascii="Verdana" w:eastAsia="Geomanist Light" w:hAnsi="Verdana" w:cs="Arial"/>
          <w:color w:val="201F1E"/>
          <w:lang w:val="es-MX"/>
        </w:rPr>
        <w:t>28 de Octubre de 2024</w:t>
      </w:r>
      <w:r w:rsidR="00A73975" w:rsidRPr="00A73975">
        <w:rPr>
          <w:rFonts w:ascii="Verdana" w:eastAsia="Geomanist Light" w:hAnsi="Verdana" w:cs="Arial"/>
          <w:color w:val="201F1E"/>
          <w:lang w:val="es-MX"/>
        </w:rPr>
        <w:cr/>
      </w:r>
    </w:p>
    <w:p w14:paraId="210F86AC" w14:textId="6951D315" w:rsidR="006B5F4A" w:rsidRPr="0071334E" w:rsidRDefault="008928A3" w:rsidP="006B5F4A">
      <w:pPr>
        <w:spacing w:after="0" w:line="240" w:lineRule="auto"/>
        <w:jc w:val="both"/>
        <w:rPr>
          <w:rFonts w:ascii="Verdana" w:eastAsia="Calibri" w:hAnsi="Verdana" w:cs="Arial"/>
          <w:color w:val="000000"/>
          <w:lang w:val="es-ES"/>
        </w:rPr>
      </w:pPr>
      <w:r w:rsidRPr="009B375E">
        <w:rPr>
          <w:rFonts w:ascii="Verdana" w:eastAsia="Calibri" w:hAnsi="Verdana" w:cs="Arial"/>
          <w:b/>
          <w:bCs/>
          <w:noProof/>
          <w:color w:val="000000"/>
          <w:lang w:val="es-ES_tradnl" w:eastAsia="es-ES_tradnl"/>
        </w:rPr>
        <w:drawing>
          <wp:anchor distT="0" distB="0" distL="114300" distR="114300" simplePos="0" relativeHeight="251658240" behindDoc="0" locked="0" layoutInCell="1" allowOverlap="1" wp14:anchorId="2602B7AC" wp14:editId="7932D9BC">
            <wp:simplePos x="0" y="0"/>
            <wp:positionH relativeFrom="column">
              <wp:posOffset>3244215</wp:posOffset>
            </wp:positionH>
            <wp:positionV relativeFrom="paragraph">
              <wp:posOffset>6350</wp:posOffset>
            </wp:positionV>
            <wp:extent cx="2218055" cy="607060"/>
            <wp:effectExtent l="0" t="0" r="0" b="2540"/>
            <wp:wrapNone/>
            <wp:docPr id="2776884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8842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218055" cy="607060"/>
                    </a:xfrm>
                    <a:prstGeom prst="rect">
                      <a:avLst/>
                    </a:prstGeom>
                  </pic:spPr>
                </pic:pic>
              </a:graphicData>
            </a:graphic>
            <wp14:sizeRelH relativeFrom="margin">
              <wp14:pctWidth>0</wp14:pctWidth>
            </wp14:sizeRelH>
            <wp14:sizeRelV relativeFrom="margin">
              <wp14:pctHeight>0</wp14:pctHeight>
            </wp14:sizeRelV>
          </wp:anchor>
        </w:drawing>
      </w:r>
    </w:p>
    <w:p w14:paraId="6BAE403C" w14:textId="069BFE01" w:rsidR="006B5F4A" w:rsidRPr="0071334E" w:rsidRDefault="006B5F4A" w:rsidP="006B5F4A">
      <w:pPr>
        <w:spacing w:after="0" w:line="240" w:lineRule="auto"/>
        <w:jc w:val="both"/>
        <w:rPr>
          <w:rFonts w:ascii="Verdana" w:eastAsia="Calibri" w:hAnsi="Verdana" w:cs="Arial"/>
          <w:lang w:val="es-ES" w:eastAsia="es-ES"/>
        </w:rPr>
      </w:pPr>
      <w:r w:rsidRPr="0071334E">
        <w:rPr>
          <w:rFonts w:ascii="Verdana" w:eastAsia="Calibri" w:hAnsi="Verdana" w:cs="Arial"/>
          <w:lang w:val="es-ES" w:eastAsia="es-ES"/>
        </w:rPr>
        <w:t>Señora</w:t>
      </w:r>
    </w:p>
    <w:p w14:paraId="16E33024" w14:textId="1166E0C3" w:rsidR="006B5F4A" w:rsidRPr="0071334E" w:rsidRDefault="006B5F4A" w:rsidP="006B5F4A">
      <w:pPr>
        <w:spacing w:after="0" w:line="240" w:lineRule="auto"/>
        <w:rPr>
          <w:rFonts w:ascii="Verdana" w:eastAsia="Calibri" w:hAnsi="Verdana" w:cs="Arial"/>
          <w:b/>
          <w:lang w:val="es-ES_tradnl" w:eastAsia="es-ES_tradnl"/>
        </w:rPr>
      </w:pPr>
      <w:r w:rsidRPr="0071334E">
        <w:rPr>
          <w:rFonts w:ascii="Verdana" w:eastAsia="Calibri" w:hAnsi="Verdana" w:cs="Arial"/>
          <w:b/>
          <w:lang w:val="es-ES_tradnl" w:eastAsia="es-ES_tradnl"/>
        </w:rPr>
        <w:t>Daniela Beatriz Cantillo Mestre</w:t>
      </w:r>
    </w:p>
    <w:p w14:paraId="24BA8FC0" w14:textId="04CFA4EB" w:rsidR="006B5F4A" w:rsidRPr="0071334E" w:rsidRDefault="006B5F4A" w:rsidP="006B5F4A">
      <w:pPr>
        <w:spacing w:after="0" w:line="240" w:lineRule="auto"/>
        <w:rPr>
          <w:rFonts w:ascii="Verdana" w:eastAsia="Calibri" w:hAnsi="Verdana" w:cs="Arial"/>
          <w:u w:val="single"/>
          <w:lang w:val="es-ES" w:eastAsia="es-ES"/>
        </w:rPr>
      </w:pPr>
      <w:hyperlink r:id="rId12" w:history="1">
        <w:r w:rsidRPr="0071334E">
          <w:rPr>
            <w:rStyle w:val="Hipervnculo"/>
            <w:rFonts w:ascii="Verdana" w:eastAsia="Calibri" w:hAnsi="Verdana" w:cs="Arial"/>
            <w:lang w:val="es-ES" w:eastAsia="es-ES"/>
          </w:rPr>
          <w:t>danielacantillomestre@gmail.com</w:t>
        </w:r>
      </w:hyperlink>
      <w:r w:rsidRPr="0071334E">
        <w:rPr>
          <w:rFonts w:ascii="Verdana" w:eastAsia="Calibri" w:hAnsi="Verdana" w:cs="Arial"/>
          <w:u w:val="single"/>
          <w:lang w:val="es-ES" w:eastAsia="es-ES"/>
        </w:rPr>
        <w:t xml:space="preserve"> </w:t>
      </w:r>
    </w:p>
    <w:p w14:paraId="242974D8" w14:textId="463E911D" w:rsidR="006B5F4A" w:rsidRPr="0071334E" w:rsidRDefault="006B5F4A" w:rsidP="006B5F4A">
      <w:pPr>
        <w:spacing w:after="0" w:line="240" w:lineRule="auto"/>
        <w:rPr>
          <w:rFonts w:ascii="Verdana" w:eastAsia="Calibri" w:hAnsi="Verdana" w:cs="Arial"/>
          <w:b/>
          <w:bCs/>
          <w:lang w:val="es-ES" w:eastAsia="es-ES"/>
        </w:rPr>
      </w:pPr>
      <w:r w:rsidRPr="0071334E">
        <w:rPr>
          <w:rFonts w:ascii="Verdana" w:eastAsia="Calibri" w:hAnsi="Verdana" w:cs="Arial"/>
          <w:lang w:val="es-ES" w:eastAsia="es-ES"/>
        </w:rPr>
        <w:t>Ciénaga, Magdalena</w:t>
      </w:r>
    </w:p>
    <w:p w14:paraId="65744FDE" w14:textId="11118EDC" w:rsidR="006B5F4A" w:rsidRPr="0071334E" w:rsidRDefault="006B5F4A" w:rsidP="006B5F4A">
      <w:pPr>
        <w:spacing w:after="0" w:line="240" w:lineRule="auto"/>
        <w:rPr>
          <w:rFonts w:ascii="Verdana" w:eastAsia="Calibri" w:hAnsi="Verdana" w:cs="Arial"/>
          <w:b/>
          <w:bCs/>
          <w:color w:val="000000"/>
          <w:lang w:val="es-ES_tradnl" w:eastAsia="es-ES_tradnl"/>
        </w:rPr>
      </w:pPr>
    </w:p>
    <w:p w14:paraId="3A28E9D7" w14:textId="77777777" w:rsidR="006B5F4A" w:rsidRPr="0071334E" w:rsidRDefault="006B5F4A" w:rsidP="006B5F4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B5F4A" w:rsidRPr="00DC7EB7" w14:paraId="128BCCF2" w14:textId="77777777" w:rsidTr="00FB1C43">
        <w:trPr>
          <w:trHeight w:val="884"/>
        </w:trPr>
        <w:tc>
          <w:tcPr>
            <w:tcW w:w="2689" w:type="dxa"/>
          </w:tcPr>
          <w:p w14:paraId="4E9FB00D" w14:textId="77777777" w:rsidR="006B5F4A" w:rsidRPr="00DC7EB7" w:rsidRDefault="006B5F4A" w:rsidP="00FB1C43">
            <w:pPr>
              <w:jc w:val="both"/>
              <w:rPr>
                <w:rFonts w:ascii="Verdana" w:eastAsia="Calibri" w:hAnsi="Verdana" w:cs="Arial"/>
                <w:b/>
                <w:bCs/>
                <w:lang w:val="es-ES_tradnl" w:eastAsia="es-ES_tradnl"/>
              </w:rPr>
            </w:pPr>
          </w:p>
        </w:tc>
        <w:tc>
          <w:tcPr>
            <w:tcW w:w="6100" w:type="dxa"/>
          </w:tcPr>
          <w:p w14:paraId="5F31BF7B" w14:textId="77777777" w:rsidR="006B5F4A" w:rsidRPr="00DC7EB7" w:rsidRDefault="006B5F4A" w:rsidP="00FB1C43">
            <w:pPr>
              <w:jc w:val="both"/>
              <w:rPr>
                <w:rFonts w:ascii="Verdana" w:eastAsia="Calibri" w:hAnsi="Verdana" w:cs="Arial"/>
                <w:b/>
                <w:bCs/>
                <w:lang w:val="es-ES" w:eastAsia="es-ES"/>
              </w:rPr>
            </w:pPr>
            <w:r w:rsidRPr="00DC7EB7">
              <w:rPr>
                <w:rFonts w:ascii="Verdana" w:eastAsia="Calibri" w:hAnsi="Verdana" w:cs="Arial"/>
                <w:b/>
                <w:bCs/>
                <w:lang w:val="es-ES" w:eastAsia="es-ES"/>
              </w:rPr>
              <w:t>Concepto C-608 de 2024</w:t>
            </w:r>
          </w:p>
        </w:tc>
      </w:tr>
      <w:tr w:rsidR="006B5F4A" w:rsidRPr="00DC7EB7" w14:paraId="465577AB" w14:textId="77777777" w:rsidTr="00FB1C43">
        <w:trPr>
          <w:trHeight w:val="884"/>
        </w:trPr>
        <w:tc>
          <w:tcPr>
            <w:tcW w:w="2689" w:type="dxa"/>
          </w:tcPr>
          <w:p w14:paraId="18420BAD" w14:textId="77777777" w:rsidR="006B5F4A" w:rsidRPr="00DC7EB7" w:rsidRDefault="006B5F4A" w:rsidP="00FB1C43">
            <w:pPr>
              <w:jc w:val="both"/>
              <w:rPr>
                <w:rFonts w:ascii="Verdana" w:eastAsia="Calibri" w:hAnsi="Verdana" w:cs="Arial"/>
                <w:lang w:val="es-ES_tradnl" w:eastAsia="es-ES_tradnl"/>
              </w:rPr>
            </w:pPr>
            <w:r w:rsidRPr="00DC7EB7">
              <w:rPr>
                <w:rFonts w:ascii="Verdana" w:eastAsia="Calibri" w:hAnsi="Verdana" w:cs="Arial"/>
                <w:b/>
                <w:lang w:val="es-ES_tradnl" w:eastAsia="es-ES_tradnl"/>
              </w:rPr>
              <w:t>Temas:</w:t>
            </w:r>
            <w:r w:rsidRPr="00DC7EB7">
              <w:rPr>
                <w:rFonts w:ascii="Verdana" w:eastAsia="Calibri" w:hAnsi="Verdana" w:cs="Arial"/>
                <w:lang w:val="es-ES_tradnl" w:eastAsia="es-ES_tradnl"/>
              </w:rPr>
              <w:t xml:space="preserve">                   </w:t>
            </w:r>
          </w:p>
        </w:tc>
        <w:tc>
          <w:tcPr>
            <w:tcW w:w="6100" w:type="dxa"/>
          </w:tcPr>
          <w:p w14:paraId="420C67E7" w14:textId="77777777" w:rsidR="008C70E4" w:rsidRPr="008C70E4" w:rsidRDefault="008C70E4" w:rsidP="008C70E4">
            <w:pPr>
              <w:spacing w:line="276" w:lineRule="auto"/>
              <w:jc w:val="both"/>
              <w:rPr>
                <w:rFonts w:ascii="Verdana" w:eastAsia="Calibri" w:hAnsi="Verdana" w:cs="Arial"/>
                <w:lang w:val="es-ES" w:eastAsia="es-ES"/>
              </w:rPr>
            </w:pPr>
            <w:r w:rsidRPr="008C70E4">
              <w:rPr>
                <w:rFonts w:ascii="Verdana" w:eastAsia="Calibri" w:hAnsi="Verdana" w:cs="Arial"/>
                <w:lang w:val="es-ES" w:eastAsia="es-ES"/>
              </w:rPr>
              <w:t>TIPOS DE LIQUIDACIÓN – Liquidación unilateral /</w:t>
            </w:r>
          </w:p>
          <w:p w14:paraId="70FAD7BD" w14:textId="77777777" w:rsidR="008C70E4" w:rsidRPr="008C70E4" w:rsidRDefault="008C70E4" w:rsidP="008C70E4">
            <w:pPr>
              <w:spacing w:line="276" w:lineRule="auto"/>
              <w:jc w:val="both"/>
              <w:rPr>
                <w:rFonts w:ascii="Verdana" w:eastAsia="Calibri" w:hAnsi="Verdana" w:cs="Arial"/>
                <w:lang w:val="es-ES" w:eastAsia="es-ES"/>
              </w:rPr>
            </w:pPr>
            <w:r w:rsidRPr="008C70E4">
              <w:rPr>
                <w:rFonts w:ascii="Verdana" w:eastAsia="Calibri" w:hAnsi="Verdana" w:cs="Arial"/>
                <w:lang w:val="es-ES" w:eastAsia="es-ES"/>
              </w:rPr>
              <w:t>TERMINACIÓN UNILATERAL – Muerte o incapacidad</w:t>
            </w:r>
          </w:p>
          <w:p w14:paraId="62337128" w14:textId="77777777" w:rsidR="008C70E4" w:rsidRPr="008C70E4" w:rsidRDefault="008C70E4" w:rsidP="008C70E4">
            <w:pPr>
              <w:spacing w:line="276" w:lineRule="auto"/>
              <w:jc w:val="both"/>
              <w:rPr>
                <w:rFonts w:ascii="Verdana" w:eastAsia="Calibri" w:hAnsi="Verdana" w:cs="Arial"/>
                <w:lang w:val="es-ES" w:eastAsia="es-ES"/>
              </w:rPr>
            </w:pPr>
            <w:r w:rsidRPr="008C70E4">
              <w:rPr>
                <w:rFonts w:ascii="Verdana" w:eastAsia="Calibri" w:hAnsi="Verdana" w:cs="Arial"/>
                <w:lang w:val="es-ES" w:eastAsia="es-ES"/>
              </w:rPr>
              <w:t>física permanente del contratista – Persona natural –</w:t>
            </w:r>
          </w:p>
          <w:p w14:paraId="578E3BBA" w14:textId="77777777" w:rsidR="006B5F4A" w:rsidRDefault="008C70E4" w:rsidP="008C70E4">
            <w:pPr>
              <w:spacing w:line="276" w:lineRule="auto"/>
              <w:jc w:val="both"/>
              <w:rPr>
                <w:rFonts w:ascii="Verdana" w:eastAsia="Calibri" w:hAnsi="Verdana" w:cs="Arial"/>
                <w:lang w:val="es-ES" w:eastAsia="es-ES"/>
              </w:rPr>
            </w:pPr>
            <w:r w:rsidRPr="008C70E4">
              <w:rPr>
                <w:rFonts w:ascii="Verdana" w:eastAsia="Calibri" w:hAnsi="Verdana" w:cs="Arial"/>
                <w:lang w:val="es-ES" w:eastAsia="es-ES"/>
              </w:rPr>
              <w:t>Persona jurídica</w:t>
            </w:r>
          </w:p>
          <w:p w14:paraId="374DFFA7" w14:textId="6A890357" w:rsidR="008C70E4" w:rsidRPr="00DC7EB7" w:rsidRDefault="008C70E4" w:rsidP="008C70E4">
            <w:pPr>
              <w:spacing w:line="276" w:lineRule="auto"/>
              <w:jc w:val="both"/>
              <w:rPr>
                <w:rFonts w:ascii="Verdana" w:eastAsia="Calibri" w:hAnsi="Verdana" w:cs="Arial"/>
                <w:lang w:val="es-ES" w:eastAsia="es-ES"/>
              </w:rPr>
            </w:pPr>
          </w:p>
        </w:tc>
      </w:tr>
      <w:tr w:rsidR="006B5F4A" w:rsidRPr="00DC7EB7" w14:paraId="77A2DD19" w14:textId="77777777" w:rsidTr="00FB1C43">
        <w:tc>
          <w:tcPr>
            <w:tcW w:w="2689" w:type="dxa"/>
          </w:tcPr>
          <w:p w14:paraId="57DCB855" w14:textId="77777777" w:rsidR="006B5F4A" w:rsidRPr="00DC7EB7" w:rsidRDefault="006B5F4A" w:rsidP="00FB1C43">
            <w:pPr>
              <w:jc w:val="both"/>
              <w:rPr>
                <w:rFonts w:ascii="Verdana" w:eastAsia="Calibri" w:hAnsi="Verdana" w:cs="Arial"/>
                <w:b/>
                <w:lang w:val="es-ES_tradnl" w:eastAsia="es-ES_tradnl"/>
              </w:rPr>
            </w:pPr>
            <w:r w:rsidRPr="00DC7EB7">
              <w:rPr>
                <w:rFonts w:ascii="Verdana" w:eastAsia="Calibri" w:hAnsi="Verdana" w:cs="Arial"/>
                <w:b/>
                <w:lang w:val="es-ES_tradnl" w:eastAsia="es-ES_tradnl"/>
              </w:rPr>
              <w:t>Radicación:</w:t>
            </w:r>
            <w:r w:rsidRPr="00DC7EB7">
              <w:rPr>
                <w:rFonts w:ascii="Verdana" w:eastAsia="Calibri" w:hAnsi="Verdana" w:cs="Arial"/>
                <w:lang w:val="es-ES_tradnl" w:eastAsia="es-ES_tradnl"/>
              </w:rPr>
              <w:t xml:space="preserve">               </w:t>
            </w:r>
          </w:p>
        </w:tc>
        <w:tc>
          <w:tcPr>
            <w:tcW w:w="6100" w:type="dxa"/>
          </w:tcPr>
          <w:p w14:paraId="49986D38" w14:textId="77777777" w:rsidR="006B5F4A" w:rsidRPr="00DC7EB7" w:rsidRDefault="006B5F4A" w:rsidP="00FB1C43">
            <w:pPr>
              <w:jc w:val="both"/>
              <w:rPr>
                <w:rFonts w:ascii="Verdana" w:eastAsia="Calibri" w:hAnsi="Verdana" w:cs="Arial"/>
                <w:lang w:val="es-ES_tradnl" w:eastAsia="es-ES_tradnl"/>
              </w:rPr>
            </w:pPr>
            <w:r w:rsidRPr="00DC7EB7">
              <w:rPr>
                <w:rFonts w:ascii="Verdana" w:eastAsia="Calibri" w:hAnsi="Verdana" w:cs="Arial"/>
                <w:lang w:val="es-ES_tradnl" w:eastAsia="es-ES_tradnl"/>
              </w:rPr>
              <w:t>Respuesta a consulta con radicado No. P20240913009358</w:t>
            </w:r>
          </w:p>
        </w:tc>
      </w:tr>
    </w:tbl>
    <w:p w14:paraId="3E090D88" w14:textId="77777777" w:rsidR="006B5F4A" w:rsidRPr="00DC7EB7" w:rsidRDefault="006B5F4A" w:rsidP="006B5F4A">
      <w:pPr>
        <w:spacing w:after="0" w:line="240" w:lineRule="auto"/>
        <w:jc w:val="both"/>
        <w:rPr>
          <w:rFonts w:ascii="Verdana" w:eastAsia="Calibri" w:hAnsi="Verdana" w:cs="Arial"/>
          <w:lang w:val="es-ES_tradnl" w:eastAsia="es-ES_tradnl"/>
        </w:rPr>
      </w:pPr>
    </w:p>
    <w:p w14:paraId="7C58E136" w14:textId="77777777" w:rsidR="006B5F4A" w:rsidRPr="00DC7EB7" w:rsidRDefault="006B5F4A" w:rsidP="006B5F4A">
      <w:pPr>
        <w:spacing w:after="0" w:line="240" w:lineRule="auto"/>
        <w:jc w:val="both"/>
        <w:rPr>
          <w:rFonts w:ascii="Verdana" w:eastAsia="Calibri" w:hAnsi="Verdana" w:cs="Arial"/>
          <w:lang w:val="es-ES_tradnl" w:eastAsia="es-ES_tradnl"/>
        </w:rPr>
      </w:pPr>
    </w:p>
    <w:p w14:paraId="78C4C767" w14:textId="77777777" w:rsidR="006B5F4A" w:rsidRPr="00DC7EB7" w:rsidRDefault="006B5F4A" w:rsidP="006B5F4A">
      <w:pPr>
        <w:spacing w:after="0" w:line="276" w:lineRule="auto"/>
        <w:jc w:val="both"/>
        <w:rPr>
          <w:rFonts w:ascii="Verdana" w:eastAsia="Calibri" w:hAnsi="Verdana" w:cs="Arial"/>
          <w:lang w:val="es-ES" w:eastAsia="es-ES"/>
        </w:rPr>
      </w:pPr>
      <w:r w:rsidRPr="00DC7EB7">
        <w:rPr>
          <w:rFonts w:ascii="Verdana" w:eastAsia="Calibri" w:hAnsi="Verdana" w:cs="Arial"/>
          <w:lang w:val="es-ES" w:eastAsia="es-ES"/>
        </w:rPr>
        <w:t xml:space="preserve">Estimada señora Daniela: </w:t>
      </w:r>
    </w:p>
    <w:p w14:paraId="3022C51D" w14:textId="77777777" w:rsidR="006B5F4A" w:rsidRPr="00DC7EB7" w:rsidRDefault="006B5F4A" w:rsidP="006B5F4A">
      <w:pPr>
        <w:tabs>
          <w:tab w:val="left" w:pos="3768"/>
        </w:tabs>
        <w:spacing w:after="0" w:line="276" w:lineRule="auto"/>
        <w:jc w:val="both"/>
        <w:rPr>
          <w:rFonts w:ascii="Verdana" w:eastAsia="Calibri" w:hAnsi="Verdana" w:cs="Arial"/>
          <w:lang w:val="es-ES" w:eastAsia="es-ES"/>
        </w:rPr>
      </w:pPr>
      <w:r w:rsidRPr="00DC7EB7">
        <w:rPr>
          <w:rFonts w:ascii="Verdana" w:eastAsia="Calibri" w:hAnsi="Verdana" w:cs="Arial"/>
          <w:lang w:val="es-ES" w:eastAsia="es-ES"/>
        </w:rPr>
        <w:tab/>
      </w:r>
    </w:p>
    <w:p w14:paraId="40F0A567" w14:textId="77777777" w:rsidR="006B5F4A" w:rsidRPr="00DC7EB7" w:rsidRDefault="006B5F4A" w:rsidP="006B5F4A">
      <w:pPr>
        <w:spacing w:after="0" w:line="276" w:lineRule="auto"/>
        <w:jc w:val="both"/>
        <w:rPr>
          <w:rFonts w:ascii="Verdana" w:eastAsia="Calibri" w:hAnsi="Verdana" w:cs="Arial"/>
          <w:lang w:val="es-ES" w:eastAsia="es-ES"/>
        </w:rPr>
      </w:pPr>
      <w:r w:rsidRPr="00DC7EB7">
        <w:rPr>
          <w:rFonts w:ascii="Verdana" w:eastAsia="Calibri" w:hAnsi="Verdana" w:cs="Arial"/>
          <w:lang w:val="es-ES" w:eastAsia="es-ES"/>
        </w:rPr>
        <w:t>En ejercicio de la competencia otorgada por los artículos 3, numeral 5º, y 11, numeral 8º, del Decreto Ley 4170 de 2011,</w:t>
      </w:r>
      <w:r w:rsidRPr="00DC7EB7">
        <w:rPr>
          <w:rFonts w:ascii="Verdana" w:eastAsia="Arial MT" w:hAnsi="Verdana" w:cs="Arial MT"/>
          <w:lang w:val="es-ES" w:eastAsia="es-ES"/>
        </w:rPr>
        <w:t xml:space="preserve"> </w:t>
      </w:r>
      <w:r w:rsidRPr="00DC7EB7">
        <w:rPr>
          <w:rFonts w:ascii="Verdana" w:hAnsi="Verdana" w:cs="Arial"/>
        </w:rPr>
        <w:t xml:space="preserve">así como lo establecido en el artículo 4 de la Resolución 1707 de 2018 expedida por esta Entidad, </w:t>
      </w:r>
      <w:r w:rsidRPr="00DC7EB7">
        <w:rPr>
          <w:rFonts w:ascii="Verdana" w:eastAsia="Calibri" w:hAnsi="Verdana" w:cs="Arial"/>
          <w:lang w:val="es-ES" w:eastAsia="es-ES"/>
        </w:rPr>
        <w:t xml:space="preserve">la Agencia Nacional de Contratación Pública – Colombia Compra Eficiente– responde su solicitud de consulta de fecha 13 de septiembre de 2024, en la cual manifiesta lo siguiente: </w:t>
      </w:r>
    </w:p>
    <w:p w14:paraId="6B063F46" w14:textId="77777777" w:rsidR="006B5F4A" w:rsidRPr="00DC7EB7" w:rsidRDefault="006B5F4A" w:rsidP="006B5F4A">
      <w:pPr>
        <w:pStyle w:val="Prrafodelista"/>
        <w:tabs>
          <w:tab w:val="left" w:pos="142"/>
          <w:tab w:val="left" w:pos="284"/>
        </w:tabs>
        <w:spacing w:line="276" w:lineRule="auto"/>
        <w:ind w:left="0"/>
        <w:jc w:val="both"/>
        <w:rPr>
          <w:rFonts w:ascii="Verdana" w:eastAsia="Century Gothic" w:hAnsi="Verdana" w:cs="Century Gothic"/>
          <w:b/>
          <w:bCs/>
        </w:rPr>
      </w:pPr>
    </w:p>
    <w:p w14:paraId="69B65EFB" w14:textId="77777777" w:rsidR="006B5F4A" w:rsidRPr="00DC7EB7" w:rsidRDefault="006B5F4A" w:rsidP="006B5F4A">
      <w:pPr>
        <w:spacing w:after="0" w:line="240" w:lineRule="auto"/>
        <w:ind w:left="709" w:right="709"/>
        <w:jc w:val="both"/>
        <w:rPr>
          <w:rFonts w:ascii="Verdana" w:eastAsia="Century Gothic" w:hAnsi="Verdana" w:cs="Century Gothic"/>
          <w:sz w:val="20"/>
          <w:szCs w:val="20"/>
          <w:lang w:val="es-ES"/>
        </w:rPr>
      </w:pPr>
      <w:bookmarkStart w:id="1" w:name="_Hlk95313578"/>
      <w:r w:rsidRPr="00DC7EB7">
        <w:rPr>
          <w:rFonts w:ascii="Verdana" w:eastAsia="Century Gothic" w:hAnsi="Verdana" w:cs="Century Gothic"/>
          <w:sz w:val="20"/>
          <w:szCs w:val="20"/>
          <w:lang w:val="es-ES"/>
        </w:rPr>
        <w:t>“</w:t>
      </w:r>
      <w:r w:rsidRPr="00DC7EB7">
        <w:rPr>
          <w:rFonts w:ascii="Verdana" w:hAnsi="Verdana" w:cs="Arial"/>
          <w:sz w:val="20"/>
          <w:szCs w:val="20"/>
          <w:shd w:val="clear" w:color="auto" w:fill="FFFFFF"/>
        </w:rPr>
        <w:t>Solicito amablemente el concepto jurídico de Colombia Compra Eficiente respecto al procedimiento que debe seguir la entidad pública cuando fallece un contratista (OPS) y quedaron saldos a favor de este</w:t>
      </w:r>
      <w:r w:rsidRPr="00DC7EB7">
        <w:rPr>
          <w:rFonts w:ascii="Verdana" w:eastAsia="Century Gothic" w:hAnsi="Verdana" w:cs="Century Gothic"/>
          <w:sz w:val="20"/>
          <w:szCs w:val="20"/>
          <w:lang w:val="es-ES"/>
        </w:rPr>
        <w:t>”</w:t>
      </w:r>
      <w:bookmarkEnd w:id="1"/>
      <w:r w:rsidRPr="00DC7EB7">
        <w:rPr>
          <w:rFonts w:ascii="Verdana" w:eastAsia="Century Gothic" w:hAnsi="Verdana" w:cs="Century Gothic"/>
          <w:sz w:val="20"/>
          <w:szCs w:val="20"/>
          <w:lang w:val="es-ES"/>
        </w:rPr>
        <w:t>.</w:t>
      </w:r>
    </w:p>
    <w:p w14:paraId="1466BB72" w14:textId="77777777" w:rsidR="006B5F4A" w:rsidRPr="00DC7EB7" w:rsidRDefault="006B5F4A" w:rsidP="006B5F4A">
      <w:pPr>
        <w:pStyle w:val="Prrafodelista"/>
        <w:tabs>
          <w:tab w:val="left" w:pos="142"/>
          <w:tab w:val="left" w:pos="284"/>
        </w:tabs>
        <w:spacing w:line="276" w:lineRule="auto"/>
        <w:ind w:left="0"/>
        <w:jc w:val="both"/>
        <w:rPr>
          <w:rFonts w:ascii="Verdana" w:eastAsia="Century Gothic" w:hAnsi="Verdana" w:cs="Century Gothic"/>
          <w:b/>
          <w:bCs/>
        </w:rPr>
      </w:pPr>
    </w:p>
    <w:p w14:paraId="4431CC58" w14:textId="77777777" w:rsidR="006B5F4A" w:rsidRPr="0071334E" w:rsidRDefault="006B5F4A" w:rsidP="006B5F4A">
      <w:pPr>
        <w:spacing w:after="120" w:line="276" w:lineRule="auto"/>
        <w:ind w:firstLine="709"/>
        <w:jc w:val="both"/>
        <w:rPr>
          <w:rFonts w:ascii="Verdana" w:eastAsia="Calibri" w:hAnsi="Verdana" w:cs="Arial"/>
          <w:color w:val="000000"/>
          <w:szCs w:val="24"/>
          <w:lang w:val="es-ES_tradnl" w:eastAsia="es-ES_tradnl"/>
        </w:rPr>
      </w:pPr>
      <w:r w:rsidRPr="00DC7EB7">
        <w:rPr>
          <w:rFonts w:ascii="Verdana" w:eastAsia="Calibri" w:hAnsi="Verdana" w:cs="Arial"/>
          <w:lang w:val="es-ES" w:eastAsia="es-ES"/>
        </w:rPr>
        <w:t xml:space="preserve">De manera preliminar, resulta necesario acotar que esta entidad solo tiene competencia para responder consultas </w:t>
      </w:r>
      <w:r w:rsidRPr="0071334E">
        <w:rPr>
          <w:rFonts w:ascii="Verdana" w:eastAsia="Calibri" w:hAnsi="Verdana" w:cs="Arial"/>
          <w:color w:val="000000"/>
          <w:lang w:val="es-ES" w:eastAsia="es-ES"/>
        </w:rPr>
        <w:t xml:space="preserve">sobre la aplicación de normas de carácter </w:t>
      </w:r>
      <w:r w:rsidRPr="0071334E">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1334E">
        <w:rPr>
          <w:rFonts w:ascii="Verdana" w:eastAsia="Calibri" w:hAnsi="Verdana" w:cs="Arial"/>
          <w:color w:val="000000"/>
          <w:szCs w:val="24"/>
          <w:lang w:val="es-ES_tradnl" w:eastAsia="es-ES_tradnl"/>
        </w:rPr>
        <w:tab/>
      </w:r>
    </w:p>
    <w:p w14:paraId="45793432" w14:textId="77777777" w:rsidR="006B5F4A" w:rsidRPr="0071334E" w:rsidRDefault="006B5F4A" w:rsidP="006B5F4A">
      <w:pPr>
        <w:spacing w:after="0" w:line="276" w:lineRule="auto"/>
        <w:ind w:firstLine="709"/>
        <w:jc w:val="both"/>
        <w:rPr>
          <w:rFonts w:ascii="Verdana" w:eastAsia="Calibri" w:hAnsi="Verdana" w:cs="Arial"/>
          <w:color w:val="000000"/>
          <w:lang w:val="es-ES" w:eastAsia="es-ES"/>
        </w:rPr>
      </w:pPr>
      <w:r w:rsidRPr="0071334E">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71334E">
        <w:rPr>
          <w:rFonts w:ascii="Verdana" w:eastAsia="Calibri" w:hAnsi="Verdana" w:cs="Arial"/>
          <w:color w:val="7030A0"/>
          <w:lang w:val="es-ES" w:eastAsia="es-ES"/>
        </w:rPr>
        <w:t xml:space="preserve"> </w:t>
      </w:r>
      <w:r w:rsidRPr="0071334E">
        <w:rPr>
          <w:rFonts w:ascii="Verdana" w:eastAsia="Calibri" w:hAnsi="Verdana" w:cs="Arial"/>
          <w:color w:val="000000"/>
          <w:lang w:val="es-ES" w:eastAsia="es-ES"/>
        </w:rPr>
        <w:t>jurídico</w:t>
      </w:r>
      <w:r w:rsidRPr="0071334E">
        <w:rPr>
          <w:rFonts w:ascii="Verdana" w:eastAsia="Calibri" w:hAnsi="Verdana" w:cs="Arial"/>
          <w:color w:val="7030A0"/>
          <w:lang w:val="es-ES" w:eastAsia="es-ES"/>
        </w:rPr>
        <w:t xml:space="preserve"> </w:t>
      </w:r>
      <w:r w:rsidRPr="0071334E">
        <w:rPr>
          <w:rFonts w:ascii="Verdana" w:eastAsia="Calibri" w:hAnsi="Verdana" w:cs="Arial"/>
          <w:color w:val="000000"/>
          <w:lang w:val="es-ES" w:eastAsia="es-ES"/>
        </w:rPr>
        <w:t xml:space="preserve">de su consulta. </w:t>
      </w:r>
    </w:p>
    <w:p w14:paraId="55D42F0A" w14:textId="77777777" w:rsidR="006B5F4A" w:rsidRPr="0071334E" w:rsidRDefault="006B5F4A" w:rsidP="006B5F4A">
      <w:pPr>
        <w:spacing w:after="0" w:line="276" w:lineRule="auto"/>
        <w:ind w:firstLine="709"/>
        <w:jc w:val="both"/>
        <w:rPr>
          <w:rFonts w:ascii="Verdana" w:eastAsia="Calibri" w:hAnsi="Verdana" w:cs="Arial"/>
          <w:color w:val="000000"/>
          <w:lang w:val="es-ES" w:eastAsia="es-ES"/>
        </w:rPr>
      </w:pPr>
    </w:p>
    <w:p w14:paraId="481D7A69" w14:textId="77777777" w:rsidR="006B5F4A" w:rsidRPr="0071334E" w:rsidRDefault="006B5F4A" w:rsidP="006B5F4A">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71334E">
        <w:rPr>
          <w:rFonts w:ascii="Verdana" w:eastAsia="Century Gothic" w:hAnsi="Verdana" w:cs="Century Gothic"/>
          <w:b/>
          <w:bCs/>
        </w:rPr>
        <w:t>Problema planteado:</w:t>
      </w:r>
    </w:p>
    <w:p w14:paraId="2DEDD793" w14:textId="77777777" w:rsidR="006B5F4A" w:rsidRPr="0071334E" w:rsidRDefault="006B5F4A" w:rsidP="006B5F4A">
      <w:pPr>
        <w:tabs>
          <w:tab w:val="left" w:pos="426"/>
        </w:tabs>
        <w:spacing w:after="0" w:line="276" w:lineRule="auto"/>
        <w:jc w:val="both"/>
        <w:rPr>
          <w:rFonts w:ascii="Verdana" w:eastAsia="Century Gothic" w:hAnsi="Verdana" w:cs="Century Gothic"/>
          <w:lang w:val="es-ES"/>
        </w:rPr>
      </w:pPr>
    </w:p>
    <w:p w14:paraId="1873FC8B" w14:textId="77777777" w:rsidR="006B5F4A" w:rsidRPr="00DC7EB7" w:rsidRDefault="006B5F4A" w:rsidP="006B5F4A">
      <w:pPr>
        <w:spacing w:after="0" w:line="276" w:lineRule="auto"/>
        <w:jc w:val="both"/>
        <w:rPr>
          <w:rFonts w:ascii="Verdana" w:eastAsia="Century Gothic" w:hAnsi="Verdana" w:cs="Century Gothic"/>
        </w:rPr>
      </w:pPr>
      <w:r w:rsidRPr="0071334E">
        <w:rPr>
          <w:rFonts w:ascii="Verdana" w:eastAsia="Century Gothic" w:hAnsi="Verdana" w:cs="Century Gothic"/>
        </w:rPr>
        <w:t xml:space="preserve">De acuerdo con el contenido de su solicitud, esta Agencia resolverá el siguiente </w:t>
      </w:r>
      <w:r w:rsidRPr="00DC7EB7">
        <w:rPr>
          <w:rFonts w:ascii="Verdana" w:eastAsia="Century Gothic" w:hAnsi="Verdana" w:cs="Century Gothic"/>
        </w:rPr>
        <w:t>problema jurídico: ¿</w:t>
      </w:r>
      <w:r>
        <w:rPr>
          <w:rFonts w:ascii="Verdana" w:eastAsia="Century Gothic" w:hAnsi="Verdana" w:cs="Century Gothic"/>
        </w:rPr>
        <w:t xml:space="preserve">Qué procedimiento debe seguir la entidad </w:t>
      </w:r>
      <w:r w:rsidRPr="00DC7EB7">
        <w:rPr>
          <w:rFonts w:ascii="Verdana" w:eastAsia="Century Gothic" w:hAnsi="Verdana" w:cs="Century Gothic"/>
        </w:rPr>
        <w:t>por muerte del contratista</w:t>
      </w:r>
      <w:r>
        <w:rPr>
          <w:rFonts w:ascii="Verdana" w:eastAsia="Century Gothic" w:hAnsi="Verdana" w:cs="Century Gothic"/>
        </w:rPr>
        <w:t xml:space="preserve"> en</w:t>
      </w:r>
      <w:r w:rsidRPr="00DC7EB7">
        <w:rPr>
          <w:rFonts w:ascii="Verdana" w:eastAsia="Century Gothic" w:hAnsi="Verdana" w:cs="Century Gothic"/>
        </w:rPr>
        <w:t xml:space="preserve"> un contrato de prestación de servicios con saldos a favor? </w:t>
      </w:r>
    </w:p>
    <w:p w14:paraId="34AC27AE" w14:textId="77777777" w:rsidR="006B5F4A" w:rsidRPr="00DC7EB7" w:rsidRDefault="006B5F4A" w:rsidP="006B5F4A">
      <w:pPr>
        <w:spacing w:after="0" w:line="276" w:lineRule="auto"/>
        <w:jc w:val="both"/>
        <w:rPr>
          <w:rFonts w:ascii="Verdana" w:eastAsia="Calibri" w:hAnsi="Verdana" w:cs="Arial"/>
          <w:lang w:val="es-ES"/>
        </w:rPr>
      </w:pPr>
    </w:p>
    <w:p w14:paraId="4B7B071E" w14:textId="77777777" w:rsidR="006B5F4A" w:rsidRPr="00DC7EB7" w:rsidRDefault="006B5F4A" w:rsidP="006B5F4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C7EB7">
        <w:rPr>
          <w:rFonts w:ascii="Verdana" w:eastAsia="Century Gothic" w:hAnsi="Verdana" w:cs="Century Gothic"/>
          <w:b/>
          <w:bCs/>
        </w:rPr>
        <w:t>Respuesta:</w:t>
      </w:r>
    </w:p>
    <w:p w14:paraId="49CCD99F" w14:textId="77777777" w:rsidR="006B5F4A" w:rsidRPr="00DC7EB7" w:rsidRDefault="006B5F4A" w:rsidP="006B5F4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B5F4A" w:rsidRPr="00DC7EB7" w14:paraId="2CA20AEB" w14:textId="77777777" w:rsidTr="00FB1C43">
        <w:tc>
          <w:tcPr>
            <w:tcW w:w="8828" w:type="dxa"/>
            <w:shd w:val="clear" w:color="auto" w:fill="auto"/>
          </w:tcPr>
          <w:p w14:paraId="52C58CCA" w14:textId="77777777" w:rsidR="006B5F4A" w:rsidRPr="00F530F3" w:rsidRDefault="006B5F4A" w:rsidP="00FB1C43">
            <w:pPr>
              <w:spacing w:after="160" w:line="278" w:lineRule="auto"/>
              <w:jc w:val="both"/>
              <w:rPr>
                <w:rFonts w:ascii="Verdana" w:hAnsi="Verdana"/>
              </w:rPr>
            </w:pPr>
            <w:r w:rsidRPr="00F530F3">
              <w:rPr>
                <w:rFonts w:ascii="Verdana" w:hAnsi="Verdana"/>
              </w:rPr>
              <w:t xml:space="preserve">Ante el fallecimiento del contratista, la entidad </w:t>
            </w:r>
            <w:r>
              <w:rPr>
                <w:rFonts w:ascii="Verdana" w:hAnsi="Verdana"/>
              </w:rPr>
              <w:t>puede hacer uso de la facultad excepcional de terminación unilateral si de acuerdo con el</w:t>
            </w:r>
            <w:r w:rsidRPr="00F530F3">
              <w:rPr>
                <w:rFonts w:ascii="Verdana" w:hAnsi="Verdana"/>
              </w:rPr>
              <w:t xml:space="preserve"> artículo 14 de la Ley 80 de 1993, </w:t>
            </w:r>
            <w:r>
              <w:rPr>
                <w:rFonts w:ascii="Verdana" w:hAnsi="Verdana"/>
              </w:rPr>
              <w:t>fue pactada en el contrato de prestación de servicios</w:t>
            </w:r>
            <w:r w:rsidRPr="00F530F3">
              <w:rPr>
                <w:rFonts w:ascii="Verdana" w:hAnsi="Verdana"/>
              </w:rPr>
              <w:t xml:space="preserve">. </w:t>
            </w:r>
            <w:r>
              <w:rPr>
                <w:rFonts w:ascii="Verdana" w:hAnsi="Verdana"/>
              </w:rPr>
              <w:t>Si fue pactada, la entidad puede hacer uso de dicha facultad ya que de acuerdo con e</w:t>
            </w:r>
            <w:r w:rsidRPr="00F530F3">
              <w:rPr>
                <w:rFonts w:ascii="Verdana" w:hAnsi="Verdana"/>
              </w:rPr>
              <w:t xml:space="preserve">l numeral 2 del artículo 17 el contrato puede ser terminado </w:t>
            </w:r>
            <w:r>
              <w:rPr>
                <w:rFonts w:ascii="Verdana" w:hAnsi="Verdana"/>
              </w:rPr>
              <w:t>unilateralmente</w:t>
            </w:r>
            <w:r w:rsidRPr="00F530F3">
              <w:rPr>
                <w:rFonts w:ascii="Verdana" w:hAnsi="Verdana"/>
              </w:rPr>
              <w:t xml:space="preserve"> por "muerte o incapacidad física permanente del contratista, si es persona natural, o por disolución de la persona jurídica del contratista".</w:t>
            </w:r>
          </w:p>
          <w:p w14:paraId="7FB70E06" w14:textId="77777777" w:rsidR="006B5F4A" w:rsidRPr="0079076F" w:rsidRDefault="006B5F4A" w:rsidP="00FB1C43">
            <w:pPr>
              <w:spacing w:after="160" w:line="278" w:lineRule="auto"/>
              <w:jc w:val="both"/>
              <w:rPr>
                <w:rFonts w:ascii="Verdana" w:eastAsia="Calibri" w:hAnsi="Verdana" w:cs="Arial"/>
                <w:i/>
                <w:iCs/>
                <w:highlight w:val="yellow"/>
              </w:rPr>
            </w:pPr>
            <w:r w:rsidRPr="00F530F3">
              <w:rPr>
                <w:rFonts w:ascii="Verdana" w:hAnsi="Verdana"/>
              </w:rPr>
              <w:t xml:space="preserve">Si el contrato no incluye estas cláusulas exorbitantes, se aplicará lo previsto en el artículo 13 de la misma ley, que indica que los contratos de las entidades </w:t>
            </w:r>
            <w:r w:rsidRPr="00F530F3">
              <w:rPr>
                <w:rFonts w:ascii="Verdana" w:hAnsi="Verdana"/>
              </w:rPr>
              <w:lastRenderedPageBreak/>
              <w:t>se regirán por las disposiciones civiles y comerciales pertinentes, salvo en lo que esté específicamente regulado por la Ley 80</w:t>
            </w:r>
            <w:r>
              <w:rPr>
                <w:rFonts w:ascii="Verdana" w:hAnsi="Verdana"/>
              </w:rPr>
              <w:t xml:space="preserve"> de 1993</w:t>
            </w:r>
            <w:r w:rsidRPr="00F530F3">
              <w:rPr>
                <w:rFonts w:ascii="Verdana" w:hAnsi="Verdana"/>
              </w:rPr>
              <w:t>.</w:t>
            </w:r>
            <w:r>
              <w:rPr>
                <w:rFonts w:ascii="Verdana" w:hAnsi="Verdana"/>
              </w:rPr>
              <w:t xml:space="preserve"> </w:t>
            </w:r>
            <w:r w:rsidRPr="00F530F3">
              <w:rPr>
                <w:rFonts w:ascii="Verdana" w:hAnsi="Verdana"/>
              </w:rPr>
              <w:t>En este caso, se aplicarán las normas civiles, y el Código Civil establece que los herederos suceden al fallecido en todos sus bienes, derechos y obligaciones transmisibles. Por lo tanto, la entidad estatal puede optar por terminar el contrato conforme a las disposiciones civiles y proceder a su liquidación de acuerdo con las normas establecidas en la Ley 1150 de 2007</w:t>
            </w:r>
            <w:r w:rsidRPr="00F530F3">
              <w:t>.</w:t>
            </w:r>
          </w:p>
        </w:tc>
      </w:tr>
    </w:tbl>
    <w:p w14:paraId="5F89B442" w14:textId="77777777" w:rsidR="006B5F4A" w:rsidRPr="0071334E" w:rsidRDefault="006B5F4A" w:rsidP="006B5F4A">
      <w:pPr>
        <w:tabs>
          <w:tab w:val="left" w:pos="142"/>
          <w:tab w:val="left" w:pos="284"/>
        </w:tabs>
        <w:spacing w:after="0" w:line="276" w:lineRule="auto"/>
        <w:jc w:val="both"/>
        <w:rPr>
          <w:rFonts w:ascii="Verdana" w:eastAsia="Century Gothic" w:hAnsi="Verdana" w:cs="Century Gothic"/>
          <w:b/>
          <w:bCs/>
          <w:lang w:val="es-ES"/>
        </w:rPr>
      </w:pPr>
    </w:p>
    <w:p w14:paraId="40D52E7B" w14:textId="77777777" w:rsidR="006B5F4A" w:rsidRPr="0071334E" w:rsidRDefault="006B5F4A" w:rsidP="006B5F4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334E">
        <w:rPr>
          <w:rFonts w:ascii="Verdana" w:eastAsia="Century Gothic" w:hAnsi="Verdana" w:cs="Century Gothic"/>
          <w:b/>
          <w:bCs/>
        </w:rPr>
        <w:t>Razones de la respuesta:</w:t>
      </w:r>
    </w:p>
    <w:p w14:paraId="4D64EABE" w14:textId="77777777" w:rsidR="006B5F4A" w:rsidRPr="0071334E" w:rsidRDefault="006B5F4A" w:rsidP="006B5F4A">
      <w:pPr>
        <w:spacing w:after="0" w:line="276" w:lineRule="auto"/>
        <w:jc w:val="both"/>
        <w:rPr>
          <w:rFonts w:ascii="Verdana" w:eastAsia="Calibri" w:hAnsi="Verdana" w:cs="Arial"/>
          <w:color w:val="7030A0"/>
          <w:lang w:val="es-ES"/>
        </w:rPr>
      </w:pPr>
    </w:p>
    <w:p w14:paraId="338E4E7F" w14:textId="77777777" w:rsidR="006B5F4A" w:rsidRPr="0071334E" w:rsidRDefault="006B5F4A" w:rsidP="006B5F4A">
      <w:pPr>
        <w:spacing w:after="0" w:line="276" w:lineRule="auto"/>
        <w:jc w:val="both"/>
        <w:rPr>
          <w:rFonts w:ascii="Verdana" w:eastAsia="Calibri" w:hAnsi="Verdana" w:cs="Arial"/>
          <w:lang w:val="es-ES"/>
        </w:rPr>
      </w:pPr>
      <w:r w:rsidRPr="0071334E">
        <w:rPr>
          <w:rFonts w:ascii="Verdana" w:eastAsia="Calibri" w:hAnsi="Verdana" w:cs="Arial"/>
          <w:lang w:val="es-ES"/>
        </w:rPr>
        <w:t xml:space="preserve">Lo anterior se sustenta en las siguientes consideraciones: </w:t>
      </w:r>
    </w:p>
    <w:p w14:paraId="75661EF2" w14:textId="77777777" w:rsidR="006B5F4A" w:rsidRPr="0071334E" w:rsidRDefault="006B5F4A" w:rsidP="006B5F4A">
      <w:pPr>
        <w:spacing w:after="0" w:line="276" w:lineRule="auto"/>
        <w:jc w:val="both"/>
        <w:rPr>
          <w:rFonts w:ascii="Verdana" w:hAnsi="Verdana" w:cs="Arial"/>
        </w:rPr>
      </w:pPr>
    </w:p>
    <w:p w14:paraId="69BE2EAF" w14:textId="77777777" w:rsidR="006B5F4A" w:rsidRPr="0071334E" w:rsidRDefault="006B5F4A" w:rsidP="006B5F4A">
      <w:pPr>
        <w:pStyle w:val="Prrafodelista"/>
        <w:numPr>
          <w:ilvl w:val="0"/>
          <w:numId w:val="7"/>
        </w:numPr>
        <w:spacing w:after="120" w:line="276" w:lineRule="auto"/>
        <w:jc w:val="both"/>
        <w:rPr>
          <w:rFonts w:ascii="Verdana" w:hAnsi="Verdana" w:cs="Arial"/>
          <w:color w:val="000000" w:themeColor="text1"/>
          <w:lang w:val="es-MX"/>
        </w:rPr>
      </w:pPr>
      <w:r w:rsidRPr="0071334E">
        <w:rPr>
          <w:rFonts w:ascii="Verdana" w:hAnsi="Verdana" w:cs="Arial"/>
          <w:color w:val="000000" w:themeColor="text1"/>
          <w:lang w:val="es-MX"/>
        </w:rPr>
        <w:t>El artículo 3 de la Ley 80 de 1993 dispone que en la celebración de los contratos y en la ejecución de estos,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14:paraId="4011EAAF" w14:textId="77777777" w:rsidR="006B5F4A" w:rsidRPr="0071334E" w:rsidRDefault="006B5F4A" w:rsidP="006B5F4A">
      <w:pPr>
        <w:pStyle w:val="Prrafodelista"/>
        <w:spacing w:after="120" w:line="276" w:lineRule="auto"/>
        <w:jc w:val="both"/>
        <w:rPr>
          <w:rFonts w:ascii="Verdana" w:hAnsi="Verdana" w:cs="Arial"/>
          <w:color w:val="000000" w:themeColor="text1"/>
          <w:lang w:val="es-MX"/>
        </w:rPr>
      </w:pPr>
    </w:p>
    <w:p w14:paraId="0A64FFC3" w14:textId="77777777" w:rsidR="006B5F4A" w:rsidRPr="0071334E" w:rsidRDefault="006B5F4A" w:rsidP="006B5F4A">
      <w:pPr>
        <w:pStyle w:val="Prrafodelista"/>
        <w:numPr>
          <w:ilvl w:val="0"/>
          <w:numId w:val="7"/>
        </w:numPr>
        <w:spacing w:before="120" w:after="120" w:line="276" w:lineRule="auto"/>
        <w:jc w:val="both"/>
        <w:rPr>
          <w:rFonts w:ascii="Verdana" w:hAnsi="Verdana" w:cs="Arial"/>
          <w:color w:val="000000" w:themeColor="text1"/>
          <w:lang w:val="es-MX"/>
        </w:rPr>
      </w:pPr>
      <w:r w:rsidRPr="0071334E">
        <w:rPr>
          <w:rFonts w:ascii="Verdana" w:hAnsi="Verdana" w:cs="Arial"/>
          <w:color w:val="000000" w:themeColor="text1"/>
          <w:lang w:val="es-MX"/>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Es decir, las entidades estatales pueden usar estas potestades </w:t>
      </w:r>
      <w:r>
        <w:rPr>
          <w:rFonts w:ascii="Verdana" w:hAnsi="Verdana" w:cs="Arial"/>
          <w:color w:val="000000" w:themeColor="text1"/>
          <w:lang w:val="es-MX"/>
        </w:rPr>
        <w:t>“</w:t>
      </w:r>
      <w:r w:rsidRPr="0071334E">
        <w:rPr>
          <w:rFonts w:ascii="Verdana" w:hAnsi="Verdana" w:cs="Arial"/>
          <w:color w:val="000000" w:themeColor="text1"/>
          <w:lang w:val="es-MX"/>
        </w:rPr>
        <w:t xml:space="preserve">[…] como </w:t>
      </w:r>
      <w:r w:rsidRPr="0071334E">
        <w:rPr>
          <w:rFonts w:ascii="Verdana" w:hAnsi="Verdana" w:cs="Arial"/>
          <w:color w:val="000000" w:themeColor="text1"/>
          <w:lang w:val="es-MX"/>
        </w:rPr>
        <w:lastRenderedPageBreak/>
        <w:t xml:space="preserve">manifestación de su </w:t>
      </w:r>
      <w:r w:rsidRPr="0071334E">
        <w:rPr>
          <w:rFonts w:ascii="Verdana" w:hAnsi="Verdana" w:cs="Arial"/>
          <w:i/>
          <w:iCs/>
          <w:color w:val="000000" w:themeColor="text1"/>
          <w:lang w:val="es-MX"/>
        </w:rPr>
        <w:t xml:space="preserve">imperium </w:t>
      </w:r>
      <w:r w:rsidRPr="0071334E">
        <w:rPr>
          <w:rFonts w:ascii="Verdana" w:hAnsi="Verdana" w:cs="Arial"/>
          <w:color w:val="000000" w:themeColor="text1"/>
          <w:lang w:val="es-MX"/>
        </w:rPr>
        <w:t>o poder de Estado, que se 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w:t>
      </w:r>
      <w:r>
        <w:rPr>
          <w:rFonts w:ascii="Verdana" w:hAnsi="Verdana" w:cs="Arial"/>
          <w:color w:val="000000" w:themeColor="text1"/>
          <w:lang w:val="es-MX"/>
        </w:rPr>
        <w:t>”</w:t>
      </w:r>
      <w:r w:rsidRPr="0071334E">
        <w:rPr>
          <w:rFonts w:ascii="Verdana" w:hAnsi="Verdana"/>
          <w:vertAlign w:val="superscript"/>
          <w:lang w:val="es-MX"/>
        </w:rPr>
        <w:footnoteReference w:id="2"/>
      </w:r>
      <w:r w:rsidRPr="0071334E">
        <w:rPr>
          <w:rFonts w:ascii="Verdana" w:hAnsi="Verdana" w:cs="Arial"/>
          <w:color w:val="000000" w:themeColor="text1"/>
          <w:lang w:val="es-MX"/>
        </w:rPr>
        <w:t xml:space="preserve">.  </w:t>
      </w:r>
    </w:p>
    <w:p w14:paraId="5FB49A8E" w14:textId="77777777" w:rsidR="006B5F4A" w:rsidRPr="0071334E" w:rsidRDefault="006B5F4A" w:rsidP="006B5F4A">
      <w:pPr>
        <w:pStyle w:val="Prrafodelista"/>
        <w:spacing w:before="120" w:after="120" w:line="276" w:lineRule="auto"/>
        <w:jc w:val="both"/>
        <w:rPr>
          <w:rFonts w:ascii="Verdana" w:hAnsi="Verdana" w:cs="Arial"/>
          <w:color w:val="000000" w:themeColor="text1"/>
          <w:lang w:val="es-MX"/>
        </w:rPr>
      </w:pPr>
    </w:p>
    <w:p w14:paraId="2E9A14B3" w14:textId="77777777" w:rsidR="006B5F4A" w:rsidRPr="0071334E" w:rsidRDefault="006B5F4A" w:rsidP="006B5F4A">
      <w:pPr>
        <w:pStyle w:val="Prrafodelista"/>
        <w:numPr>
          <w:ilvl w:val="0"/>
          <w:numId w:val="7"/>
        </w:numPr>
        <w:spacing w:before="120" w:after="120" w:line="276" w:lineRule="auto"/>
        <w:jc w:val="both"/>
        <w:rPr>
          <w:rFonts w:ascii="Verdana" w:hAnsi="Verdana" w:cs="Arial"/>
          <w:color w:val="000000" w:themeColor="text1"/>
          <w:lang w:val="es-MX"/>
        </w:rPr>
      </w:pPr>
      <w:r w:rsidRPr="0071334E">
        <w:rPr>
          <w:rFonts w:ascii="Verdana" w:hAnsi="Verdana" w:cs="Arial"/>
          <w:color w:val="000000" w:themeColor="text1"/>
          <w:lang w:val="es-MX"/>
        </w:rPr>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71334E">
        <w:rPr>
          <w:rFonts w:ascii="Verdana" w:hAnsi="Verdana"/>
          <w:vertAlign w:val="superscript"/>
          <w:lang w:val="es-MX"/>
        </w:rPr>
        <w:footnoteReference w:id="3"/>
      </w:r>
      <w:r w:rsidRPr="0071334E">
        <w:rPr>
          <w:rFonts w:ascii="Verdana" w:hAnsi="Verdana" w:cs="Arial"/>
          <w:color w:val="000000" w:themeColor="text1"/>
          <w:lang w:val="es-MX"/>
        </w:rPr>
        <w:t xml:space="preserve"> se establece que la administración debe estar dotada de mecanismos eficaces, así fueren excepcionales, que contribuyan a la adecuada realización de la finalidad contractual y de los fines estatales. Es por eso por lo que</w:t>
      </w:r>
      <w:r>
        <w:rPr>
          <w:rFonts w:ascii="Verdana" w:hAnsi="Verdana" w:cs="Arial"/>
          <w:color w:val="000000" w:themeColor="text1"/>
          <w:lang w:val="es-MX"/>
        </w:rPr>
        <w:t>,</w:t>
      </w:r>
      <w:r w:rsidRPr="0071334E">
        <w:rPr>
          <w:rFonts w:ascii="Verdana" w:hAnsi="Verdana" w:cs="Arial"/>
          <w:color w:val="000000" w:themeColor="text1"/>
          <w:lang w:val="es-MX"/>
        </w:rPr>
        <w:t xml:space="preserv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6818EC12" w14:textId="77777777" w:rsidR="006B5F4A" w:rsidRPr="0071334E" w:rsidRDefault="006B5F4A" w:rsidP="006B5F4A">
      <w:pPr>
        <w:pStyle w:val="Prrafodelista"/>
        <w:rPr>
          <w:rFonts w:ascii="Verdana" w:hAnsi="Verdana" w:cs="Arial"/>
          <w:color w:val="000000" w:themeColor="text1"/>
          <w:lang w:val="es-MX"/>
        </w:rPr>
      </w:pPr>
    </w:p>
    <w:p w14:paraId="1F254E99" w14:textId="77777777" w:rsidR="006B5F4A" w:rsidRDefault="006B5F4A" w:rsidP="006B5F4A">
      <w:pPr>
        <w:pStyle w:val="Prrafodelista"/>
        <w:numPr>
          <w:ilvl w:val="0"/>
          <w:numId w:val="7"/>
        </w:numPr>
        <w:spacing w:before="120" w:after="120" w:line="276" w:lineRule="auto"/>
        <w:jc w:val="both"/>
        <w:rPr>
          <w:rFonts w:ascii="Verdana" w:hAnsi="Verdana" w:cs="Arial"/>
          <w:color w:val="000000" w:themeColor="text1"/>
          <w:lang w:val="es-MX"/>
        </w:rPr>
      </w:pPr>
      <w:r w:rsidRPr="0071334E">
        <w:rPr>
          <w:rFonts w:ascii="Verdana" w:hAnsi="Verdana" w:cs="Arial"/>
          <w:color w:val="000000" w:themeColor="text1"/>
          <w:lang w:val="es-MX"/>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75FC2DA7" w14:textId="77777777" w:rsidR="004A4098" w:rsidRPr="004A4098" w:rsidRDefault="004A4098" w:rsidP="004A4098">
      <w:pPr>
        <w:pStyle w:val="Prrafodelista"/>
        <w:rPr>
          <w:rFonts w:ascii="Verdana" w:hAnsi="Verdana" w:cs="Arial"/>
          <w:color w:val="000000" w:themeColor="text1"/>
          <w:lang w:val="es-MX"/>
        </w:rPr>
      </w:pPr>
    </w:p>
    <w:p w14:paraId="4E1AD221" w14:textId="41338E35" w:rsidR="004A4098" w:rsidRPr="0071334E" w:rsidRDefault="004A4098" w:rsidP="006B5F4A">
      <w:pPr>
        <w:pStyle w:val="Prrafodelista"/>
        <w:numPr>
          <w:ilvl w:val="0"/>
          <w:numId w:val="7"/>
        </w:numPr>
        <w:spacing w:before="120" w:after="120" w:line="276" w:lineRule="auto"/>
        <w:jc w:val="both"/>
        <w:rPr>
          <w:rFonts w:ascii="Verdana" w:hAnsi="Verdana" w:cs="Arial"/>
          <w:color w:val="000000" w:themeColor="text1"/>
          <w:lang w:val="es-MX"/>
        </w:rPr>
      </w:pPr>
      <w:r>
        <w:rPr>
          <w:rFonts w:ascii="Verdana" w:hAnsi="Verdana" w:cs="Arial"/>
          <w:color w:val="000000" w:themeColor="text1"/>
          <w:lang w:val="es-MX"/>
        </w:rPr>
        <w:t xml:space="preserve">En particular, sobre el pacto de estas cláusulas excepcionales al derecho común, el artículo 14, respecto del contrato de prestación de servicios señala que las entidades las podrán pactar, no solo en este contrato, sino también en el de suministro. Esto significa que no se entienden incluidas </w:t>
      </w:r>
      <w:r>
        <w:rPr>
          <w:rFonts w:ascii="Verdana" w:hAnsi="Verdana" w:cs="Arial"/>
          <w:color w:val="000000" w:themeColor="text1"/>
          <w:lang w:val="es-MX"/>
        </w:rPr>
        <w:lastRenderedPageBreak/>
        <w:t>y la entidad las deberá pactar en estos contratos para poder hacer uso de ellas.</w:t>
      </w:r>
    </w:p>
    <w:p w14:paraId="7545182C" w14:textId="77777777" w:rsidR="006B5F4A" w:rsidRPr="0071334E" w:rsidRDefault="006B5F4A" w:rsidP="006B5F4A">
      <w:pPr>
        <w:pStyle w:val="Prrafodelista"/>
        <w:rPr>
          <w:rFonts w:ascii="Verdana" w:hAnsi="Verdana" w:cs="Arial"/>
          <w:color w:val="000000" w:themeColor="text1"/>
          <w:lang w:val="es-MX"/>
        </w:rPr>
      </w:pPr>
    </w:p>
    <w:p w14:paraId="76BD52F5" w14:textId="77777777" w:rsidR="006B5F4A" w:rsidRPr="0071334E" w:rsidRDefault="006B5F4A" w:rsidP="006B5F4A">
      <w:pPr>
        <w:pStyle w:val="Prrafodelista"/>
        <w:numPr>
          <w:ilvl w:val="0"/>
          <w:numId w:val="7"/>
        </w:numPr>
        <w:spacing w:before="120" w:after="120" w:line="276" w:lineRule="auto"/>
        <w:jc w:val="both"/>
        <w:rPr>
          <w:rFonts w:ascii="Verdana" w:hAnsi="Verdana" w:cs="Arial"/>
          <w:color w:val="000000" w:themeColor="text1"/>
          <w:lang w:val="es-MX"/>
        </w:rPr>
      </w:pPr>
      <w:r w:rsidRPr="0071334E">
        <w:rPr>
          <w:rFonts w:ascii="Verdana" w:hAnsi="Verdana" w:cs="Arial"/>
          <w:color w:val="000000" w:themeColor="text1"/>
          <w:lang w:val="es-MX"/>
        </w:rPr>
        <w:t>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58246E53" w14:textId="77777777" w:rsidR="006B5F4A" w:rsidRPr="0071334E" w:rsidRDefault="006B5F4A" w:rsidP="006B5F4A">
      <w:pPr>
        <w:pStyle w:val="Prrafodelista"/>
        <w:rPr>
          <w:rFonts w:ascii="Verdana" w:hAnsi="Verdana" w:cs="Arial"/>
          <w:color w:val="000000" w:themeColor="text1"/>
          <w:lang w:val="es-MX"/>
        </w:rPr>
      </w:pPr>
    </w:p>
    <w:p w14:paraId="08A94098" w14:textId="77777777" w:rsidR="006B5F4A" w:rsidRPr="0071334E" w:rsidRDefault="006B5F4A" w:rsidP="006B5F4A">
      <w:pPr>
        <w:pStyle w:val="Prrafodelista"/>
        <w:numPr>
          <w:ilvl w:val="0"/>
          <w:numId w:val="7"/>
        </w:numPr>
        <w:spacing w:before="120" w:after="200" w:line="276" w:lineRule="auto"/>
        <w:jc w:val="both"/>
        <w:rPr>
          <w:rFonts w:ascii="Verdana" w:hAnsi="Verdana" w:cs="Arial"/>
          <w:color w:val="000000" w:themeColor="text1"/>
          <w:lang w:val="es-MX"/>
        </w:rPr>
      </w:pPr>
      <w:r w:rsidRPr="0071334E">
        <w:rPr>
          <w:rFonts w:ascii="Verdana" w:hAnsi="Verdana" w:cs="Arial"/>
          <w:color w:val="000000" w:themeColor="text1"/>
          <w:lang w:val="es-MX"/>
        </w:rPr>
        <w:t>El artículo 17 de la Ley 80 de 1993 establece expresamente en que eventos procede la terminación unilateral del contrato. Al efecto, la norma establece las siguientes causales:</w:t>
      </w:r>
    </w:p>
    <w:p w14:paraId="601FC3E9" w14:textId="77777777" w:rsidR="006B5F4A" w:rsidRPr="0071334E" w:rsidRDefault="006B5F4A" w:rsidP="006B5F4A">
      <w:pPr>
        <w:pStyle w:val="Prrafodelista"/>
        <w:rPr>
          <w:rFonts w:ascii="Verdana" w:hAnsi="Verdana" w:cs="Arial"/>
          <w:color w:val="000000" w:themeColor="text1"/>
          <w:lang w:val="es-MX"/>
        </w:rPr>
      </w:pPr>
    </w:p>
    <w:p w14:paraId="3DABA06E" w14:textId="77777777" w:rsidR="006B5F4A" w:rsidRPr="0071334E" w:rsidRDefault="006B5F4A" w:rsidP="006B5F4A">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Artículo 17. De la terminación unilateral</w:t>
      </w:r>
      <w:r w:rsidRPr="0071334E">
        <w:rPr>
          <w:rFonts w:ascii="Verdana" w:hAnsi="Verdana" w:cs="Arial"/>
          <w:b/>
          <w:bCs/>
          <w:color w:val="000000"/>
          <w:sz w:val="20"/>
          <w:szCs w:val="20"/>
          <w:lang w:val="es-MX" w:eastAsia="es-CO"/>
        </w:rPr>
        <w:t>.</w:t>
      </w:r>
      <w:r w:rsidRPr="0071334E">
        <w:rPr>
          <w:rFonts w:ascii="Verdana" w:hAnsi="Verdana" w:cs="Arial"/>
          <w:color w:val="000000"/>
          <w:sz w:val="20"/>
          <w:szCs w:val="20"/>
          <w:lang w:val="es-MX" w:eastAsia="es-CO"/>
        </w:rPr>
        <w:t> La entidad en acto administrativo debidamente motivado dispondrá la terminación anticipada del contrato en los siguientes eventos: </w:t>
      </w:r>
    </w:p>
    <w:p w14:paraId="7C366D2E" w14:textId="77777777" w:rsidR="006B5F4A" w:rsidRPr="0071334E" w:rsidRDefault="006B5F4A" w:rsidP="006B5F4A">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1o. Cuando las exigencias del servicio público lo requieran o la situación de orden público lo imponga. </w:t>
      </w:r>
    </w:p>
    <w:p w14:paraId="4F077A04" w14:textId="77777777" w:rsidR="006B5F4A" w:rsidRPr="0071334E" w:rsidRDefault="006B5F4A" w:rsidP="006B5F4A">
      <w:pPr>
        <w:pStyle w:val="Prrafodelista"/>
        <w:spacing w:after="200" w:line="240" w:lineRule="auto"/>
        <w:ind w:left="1491" w:right="357"/>
        <w:jc w:val="both"/>
        <w:rPr>
          <w:rFonts w:ascii="Verdana" w:hAnsi="Verdana" w:cs="Arial"/>
          <w:i/>
          <w:iCs/>
          <w:color w:val="000000"/>
          <w:sz w:val="20"/>
          <w:szCs w:val="20"/>
          <w:u w:val="single"/>
          <w:lang w:val="es-MX" w:eastAsia="es-CO"/>
        </w:rPr>
      </w:pPr>
      <w:r w:rsidRPr="0071334E">
        <w:rPr>
          <w:rFonts w:ascii="Verdana" w:hAnsi="Verdana" w:cs="Arial"/>
          <w:i/>
          <w:iCs/>
          <w:color w:val="000000"/>
          <w:sz w:val="20"/>
          <w:szCs w:val="20"/>
          <w:u w:val="single"/>
          <w:lang w:val="es-MX" w:eastAsia="es-CO"/>
        </w:rPr>
        <w:t>2o. Por muerte o incapacidad física permanente del contratista, si es persona natural, o por disolución de la persona jurídica del contratista. </w:t>
      </w:r>
    </w:p>
    <w:p w14:paraId="6CE0D27A" w14:textId="77777777" w:rsidR="006B5F4A" w:rsidRPr="0071334E" w:rsidRDefault="006B5F4A" w:rsidP="006B5F4A">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3o. Por interdicción judicial o declaración de quiebra del contratista. </w:t>
      </w:r>
    </w:p>
    <w:p w14:paraId="07F78929" w14:textId="77777777" w:rsidR="006B5F4A" w:rsidRPr="0071334E" w:rsidRDefault="006B5F4A" w:rsidP="006B5F4A">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4o. Por cesación de pagos, concurso de acreedores o embargos judiciales del contratista que afecten de manera grave el cumplimiento del contrato. </w:t>
      </w:r>
    </w:p>
    <w:p w14:paraId="3E55A0AB" w14:textId="77777777" w:rsidR="006B5F4A" w:rsidRPr="0071334E" w:rsidRDefault="006B5F4A" w:rsidP="006B5F4A">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Sin embargo, en los casos a que se refieren los numerales 2o. y 3o. de este artículo podrá continuarse la ejecución con el garante de la obligación. </w:t>
      </w:r>
    </w:p>
    <w:p w14:paraId="7601917E" w14:textId="77777777" w:rsidR="006B5F4A" w:rsidRPr="0071334E" w:rsidRDefault="006B5F4A" w:rsidP="006B5F4A">
      <w:pPr>
        <w:pStyle w:val="Prrafodelista"/>
        <w:spacing w:after="200" w:line="240" w:lineRule="auto"/>
        <w:ind w:left="1491" w:right="357"/>
        <w:jc w:val="both"/>
        <w:rPr>
          <w:rFonts w:ascii="Verdana" w:hAnsi="Verdana" w:cs="Arial"/>
          <w:color w:val="000000"/>
          <w:sz w:val="20"/>
          <w:szCs w:val="20"/>
          <w:lang w:val="es-MX" w:eastAsia="es-CO"/>
        </w:rPr>
      </w:pPr>
      <w:r w:rsidRPr="0071334E">
        <w:rPr>
          <w:rFonts w:ascii="Verdana" w:hAnsi="Verdana" w:cs="Arial"/>
          <w:color w:val="000000"/>
          <w:sz w:val="20"/>
          <w:szCs w:val="20"/>
          <w:lang w:val="es-MX" w:eastAsia="es-CO"/>
        </w:rPr>
        <w:t xml:space="preserve">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w:t>
      </w:r>
      <w:r w:rsidRPr="0071334E">
        <w:rPr>
          <w:rFonts w:ascii="Verdana" w:hAnsi="Verdana" w:cs="Arial"/>
          <w:color w:val="000000"/>
          <w:sz w:val="20"/>
          <w:szCs w:val="20"/>
          <w:lang w:val="es-MX" w:eastAsia="es-CO"/>
        </w:rPr>
        <w:lastRenderedPageBreak/>
        <w:t>contractual e impedir la paralización del servicio. [Énfasis fuera de texto]</w:t>
      </w:r>
    </w:p>
    <w:p w14:paraId="353772A7" w14:textId="77777777" w:rsidR="006B5F4A" w:rsidRPr="0071334E" w:rsidRDefault="006B5F4A" w:rsidP="006B5F4A">
      <w:pPr>
        <w:pStyle w:val="Prrafodelista"/>
        <w:spacing w:after="200" w:line="240" w:lineRule="auto"/>
        <w:ind w:right="709"/>
        <w:jc w:val="both"/>
        <w:rPr>
          <w:rFonts w:ascii="Verdana" w:hAnsi="Verdana" w:cs="Arial"/>
          <w:color w:val="000000"/>
          <w:sz w:val="21"/>
          <w:szCs w:val="21"/>
          <w:lang w:val="es-MX" w:eastAsia="es-CO"/>
        </w:rPr>
      </w:pPr>
    </w:p>
    <w:p w14:paraId="2B364F74" w14:textId="77777777" w:rsidR="006B5F4A" w:rsidRPr="0071334E" w:rsidRDefault="006B5F4A" w:rsidP="006B5F4A">
      <w:pPr>
        <w:pStyle w:val="Prrafodelista"/>
        <w:numPr>
          <w:ilvl w:val="0"/>
          <w:numId w:val="7"/>
        </w:numPr>
        <w:spacing w:after="200" w:line="276" w:lineRule="auto"/>
        <w:jc w:val="both"/>
        <w:rPr>
          <w:rFonts w:ascii="Verdana" w:hAnsi="Verdana" w:cs="Arial"/>
          <w:color w:val="000000" w:themeColor="text1"/>
          <w:lang w:val="es-MX"/>
        </w:rPr>
      </w:pPr>
      <w:r w:rsidRPr="0071334E">
        <w:rPr>
          <w:rFonts w:ascii="Verdana" w:hAnsi="Verdana" w:cs="Arial"/>
          <w:color w:val="000000" w:themeColor="text1"/>
          <w:lang w:val="es-MX"/>
        </w:rPr>
        <w:t xml:space="preserve">Esta figura no tiene como finalidad sancionar al contratista, sino que se encuentra dirigida a evitar la paralización del contrato estatal y garantizar su correcta ejecución. La doctrina ha considerado que </w:t>
      </w:r>
      <w:r>
        <w:rPr>
          <w:rFonts w:ascii="Verdana" w:hAnsi="Verdana" w:cs="Arial"/>
          <w:color w:val="000000" w:themeColor="text1"/>
          <w:lang w:val="es-MX"/>
        </w:rPr>
        <w:t>“</w:t>
      </w:r>
      <w:r w:rsidRPr="0071334E">
        <w:rPr>
          <w:rFonts w:ascii="Verdana" w:hAnsi="Verdana" w:cs="Arial"/>
          <w:color w:val="000000" w:themeColor="text1"/>
          <w:lang w:val="es-MX"/>
        </w:rPr>
        <w:t>[…] el artículo 17 de la Ley 80 de 1993 consagra, en virtud del principio de legalidad regente para toda la actividad administrativa, la potestad de las entidades estatales de finiquitar la relación contractual con su contratista a partir de la configuración de cualquiera de las causales expresadas en dicha norma […]</w:t>
      </w:r>
      <w:r>
        <w:rPr>
          <w:rFonts w:ascii="Verdana" w:hAnsi="Verdana" w:cs="Arial"/>
          <w:color w:val="000000" w:themeColor="text1"/>
          <w:lang w:val="es-MX"/>
        </w:rPr>
        <w:t>”</w:t>
      </w:r>
      <w:r w:rsidRPr="0071334E">
        <w:rPr>
          <w:rFonts w:ascii="Verdana" w:hAnsi="Verdana"/>
          <w:vertAlign w:val="superscript"/>
          <w:lang w:val="es-MX"/>
        </w:rPr>
        <w:footnoteReference w:id="4"/>
      </w:r>
      <w:r w:rsidRPr="0071334E">
        <w:rPr>
          <w:rFonts w:ascii="Verdana" w:hAnsi="Verdana" w:cs="Arial"/>
          <w:color w:val="000000" w:themeColor="text1"/>
          <w:lang w:val="es-MX"/>
        </w:rPr>
        <w:t xml:space="preserve">. En igual sentido lo ha reconocido el Consejo de Estado al poner de presente que: </w:t>
      </w:r>
    </w:p>
    <w:p w14:paraId="5D92E65D" w14:textId="77777777" w:rsidR="006B5F4A" w:rsidRPr="0071334E" w:rsidRDefault="006B5F4A" w:rsidP="006B5F4A">
      <w:pPr>
        <w:pStyle w:val="Prrafodelista"/>
        <w:spacing w:after="200" w:line="276" w:lineRule="auto"/>
        <w:jc w:val="both"/>
        <w:rPr>
          <w:rFonts w:ascii="Verdana" w:hAnsi="Verdana" w:cs="Arial"/>
          <w:color w:val="000000" w:themeColor="text1"/>
          <w:lang w:val="es-MX"/>
        </w:rPr>
      </w:pPr>
    </w:p>
    <w:p w14:paraId="679C53BA"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r>
        <w:rPr>
          <w:rFonts w:ascii="Verdana" w:eastAsia="Times New Roman" w:hAnsi="Verdana" w:cs="Arial"/>
          <w:sz w:val="20"/>
          <w:szCs w:val="20"/>
          <w:lang w:eastAsia="es-CO"/>
        </w:rPr>
        <w:t>“</w:t>
      </w:r>
      <w:r w:rsidRPr="005141DF">
        <w:rPr>
          <w:rFonts w:ascii="Verdana" w:eastAsia="Times New Roman" w:hAnsi="Verdana" w:cs="Arial"/>
          <w:sz w:val="20"/>
          <w:szCs w:val="20"/>
          <w:lang w:eastAsia="es-CO"/>
        </w:rPr>
        <w:t xml:space="preserve">Según los explícitos dictados de la referida Ley 80, es claro que dicha forma de terminación unilateral tiene </w:t>
      </w:r>
      <w:r w:rsidRPr="005141DF">
        <w:rPr>
          <w:rFonts w:ascii="Verdana" w:eastAsia="Times New Roman" w:hAnsi="Verdana" w:cs="Arial"/>
          <w:i/>
          <w:iCs/>
          <w:sz w:val="20"/>
          <w:szCs w:val="20"/>
          <w:lang w:eastAsia="es-CO"/>
        </w:rPr>
        <w:t xml:space="preserve">“(...) el exclusivo objeto de evitar la paralización o la afectación grave de los servicios públicos a su cargo </w:t>
      </w:r>
      <w:r w:rsidRPr="005141DF">
        <w:rPr>
          <w:rFonts w:ascii="Verdana" w:eastAsia="Times New Roman" w:hAnsi="Verdana" w:cs="Arial"/>
          <w:sz w:val="20"/>
          <w:szCs w:val="20"/>
          <w:lang w:eastAsia="es-CO"/>
        </w:rPr>
        <w:t xml:space="preserve">[se refiere a la entidad estatal contratante] </w:t>
      </w:r>
      <w:r w:rsidRPr="005141DF">
        <w:rPr>
          <w:rFonts w:ascii="Verdana" w:eastAsia="Times New Roman" w:hAnsi="Verdana" w:cs="Arial"/>
          <w:i/>
          <w:iCs/>
          <w:sz w:val="20"/>
          <w:szCs w:val="20"/>
          <w:lang w:eastAsia="es-CO"/>
        </w:rPr>
        <w:t xml:space="preserve">y asegurar la inmediata, continua y adecuada prestación (...)” </w:t>
      </w:r>
      <w:r w:rsidRPr="005141DF">
        <w:rPr>
          <w:rFonts w:ascii="Verdana" w:eastAsia="Times New Roman" w:hAnsi="Verdana" w:cs="Arial"/>
          <w:sz w:val="20"/>
          <w:szCs w:val="20"/>
          <w:lang w:eastAsia="es-CO"/>
        </w:rPr>
        <w:t xml:space="preserve">de los mismos. </w:t>
      </w:r>
    </w:p>
    <w:p w14:paraId="7344ED85"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p>
    <w:p w14:paraId="3658F72F"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r w:rsidRPr="005141DF">
        <w:rPr>
          <w:rFonts w:ascii="Verdana" w:eastAsia="Times New Roman" w:hAnsi="Verdana" w:cs="Arial"/>
          <w:sz w:val="20"/>
          <w:szCs w:val="20"/>
          <w:lang w:eastAsia="es-CO"/>
        </w:rPr>
        <w:t xml:space="preserve">Esta modalidad de terminación unilateral únicamente puede tener aplicación respecto de aquellos específicos contratos estatales señalados en el numeral 2o del artículo 14 de la Ley 80, esto es: </w:t>
      </w:r>
      <w:r w:rsidRPr="005141DF">
        <w:rPr>
          <w:rFonts w:ascii="Verdana" w:eastAsia="Times New Roman" w:hAnsi="Verdana" w:cs="Arial"/>
          <w:i/>
          <w:iCs/>
          <w:sz w:val="20"/>
          <w:szCs w:val="20"/>
          <w:lang w:eastAsia="es-CO"/>
        </w:rPr>
        <w:t xml:space="preserve">a) “en los contratos que tengan por objeto el ejercicio de una actividad que constituya monopolio estatal”; b) </w:t>
      </w:r>
      <w:r w:rsidRPr="005141DF">
        <w:rPr>
          <w:rFonts w:ascii="Verdana" w:eastAsia="Times New Roman" w:hAnsi="Verdana" w:cs="Arial"/>
          <w:sz w:val="20"/>
          <w:szCs w:val="20"/>
          <w:lang w:eastAsia="es-CO"/>
        </w:rPr>
        <w:t xml:space="preserve">en los contratos que tengan por objeto </w:t>
      </w:r>
      <w:r w:rsidRPr="005141DF">
        <w:rPr>
          <w:rFonts w:ascii="Verdana" w:eastAsia="Times New Roman" w:hAnsi="Verdana" w:cs="Arial"/>
          <w:i/>
          <w:iCs/>
          <w:sz w:val="20"/>
          <w:szCs w:val="20"/>
          <w:lang w:eastAsia="es-CO"/>
        </w:rPr>
        <w:t xml:space="preserve">“la prestación de servicios públicos”; c) </w:t>
      </w:r>
      <w:r w:rsidRPr="005141DF">
        <w:rPr>
          <w:rFonts w:ascii="Verdana" w:eastAsia="Times New Roman" w:hAnsi="Verdana" w:cs="Arial"/>
          <w:sz w:val="20"/>
          <w:szCs w:val="20"/>
          <w:lang w:eastAsia="es-CO"/>
        </w:rPr>
        <w:t xml:space="preserve">en los contratos que tengan por objeto </w:t>
      </w:r>
      <w:r w:rsidRPr="005141DF">
        <w:rPr>
          <w:rFonts w:ascii="Verdana" w:eastAsia="Times New Roman" w:hAnsi="Verdana" w:cs="Arial"/>
          <w:i/>
          <w:iCs/>
          <w:sz w:val="20"/>
          <w:szCs w:val="20"/>
          <w:lang w:eastAsia="es-CO"/>
        </w:rPr>
        <w:t xml:space="preserve">“la explotación y concesión de bienes del Estado” </w:t>
      </w:r>
      <w:r w:rsidRPr="005141DF">
        <w:rPr>
          <w:rFonts w:ascii="Verdana" w:eastAsia="Times New Roman" w:hAnsi="Verdana" w:cs="Arial"/>
          <w:sz w:val="20"/>
          <w:szCs w:val="20"/>
          <w:lang w:eastAsia="es-CO"/>
        </w:rPr>
        <w:t xml:space="preserve">y </w:t>
      </w:r>
      <w:r w:rsidRPr="005141DF">
        <w:rPr>
          <w:rFonts w:ascii="Verdana" w:eastAsia="Times New Roman" w:hAnsi="Verdana" w:cs="Arial"/>
          <w:i/>
          <w:iCs/>
          <w:sz w:val="20"/>
          <w:szCs w:val="20"/>
          <w:lang w:eastAsia="es-CO"/>
        </w:rPr>
        <w:t>d) “en los contratos de obra”</w:t>
      </w:r>
      <w:r w:rsidRPr="005141DF">
        <w:rPr>
          <w:rFonts w:ascii="Verdana" w:eastAsia="Times New Roman" w:hAnsi="Verdana" w:cs="Arial"/>
          <w:sz w:val="20"/>
          <w:szCs w:val="20"/>
          <w:lang w:eastAsia="es-CO"/>
        </w:rPr>
        <w:t xml:space="preserve">, en cuanto en todos ellos resulta imperativa la inclusión de la cláusula excepcional de terminación unilateral; así́ mismo podría aplicarse en aquellos </w:t>
      </w:r>
      <w:r w:rsidRPr="005141DF">
        <w:rPr>
          <w:rFonts w:ascii="Verdana" w:eastAsia="Times New Roman" w:hAnsi="Verdana" w:cs="Arial"/>
          <w:i/>
          <w:iCs/>
          <w:sz w:val="20"/>
          <w:szCs w:val="20"/>
          <w:lang w:eastAsia="es-CO"/>
        </w:rPr>
        <w:t xml:space="preserve">f) “contratos de suministro” </w:t>
      </w:r>
      <w:r w:rsidRPr="005141DF">
        <w:rPr>
          <w:rFonts w:ascii="Verdana" w:eastAsia="Times New Roman" w:hAnsi="Verdana" w:cs="Arial"/>
          <w:sz w:val="20"/>
          <w:szCs w:val="20"/>
          <w:lang w:eastAsia="es-CO"/>
        </w:rPr>
        <w:t xml:space="preserve">y </w:t>
      </w:r>
      <w:r w:rsidRPr="005141DF">
        <w:rPr>
          <w:rFonts w:ascii="Verdana" w:eastAsia="Times New Roman" w:hAnsi="Verdana" w:cs="Arial"/>
          <w:i/>
          <w:iCs/>
          <w:sz w:val="20"/>
          <w:szCs w:val="20"/>
          <w:lang w:eastAsia="es-CO"/>
        </w:rPr>
        <w:t xml:space="preserve">g) </w:t>
      </w:r>
      <w:r w:rsidRPr="005141DF">
        <w:rPr>
          <w:rFonts w:ascii="Verdana" w:eastAsia="Times New Roman" w:hAnsi="Verdana" w:cs="Arial"/>
          <w:sz w:val="20"/>
          <w:szCs w:val="20"/>
          <w:lang w:eastAsia="es-CO"/>
        </w:rPr>
        <w:t xml:space="preserve">contratos </w:t>
      </w:r>
      <w:r w:rsidRPr="005141DF">
        <w:rPr>
          <w:rFonts w:ascii="Verdana" w:eastAsia="Times New Roman" w:hAnsi="Verdana" w:cs="Arial"/>
          <w:i/>
          <w:iCs/>
          <w:sz w:val="20"/>
          <w:szCs w:val="20"/>
          <w:lang w:eastAsia="es-CO"/>
        </w:rPr>
        <w:t xml:space="preserve">“de prestación de servicios”, </w:t>
      </w:r>
      <w:r w:rsidRPr="005141DF">
        <w:rPr>
          <w:rFonts w:ascii="Verdana" w:eastAsia="Times New Roman" w:hAnsi="Verdana" w:cs="Arial"/>
          <w:sz w:val="20"/>
          <w:szCs w:val="20"/>
          <w:lang w:eastAsia="es-CO"/>
        </w:rPr>
        <w:t xml:space="preserve">en los cuales se hubiere incluido expresamente esa cláusula excepcional, comoquiera que en estos dos (2) últimos dicha estipulación resulta facultativa y, por tanto, se encuentra expresamente autorizada por la ley su inclusión. </w:t>
      </w:r>
    </w:p>
    <w:p w14:paraId="0E0FA742"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p>
    <w:p w14:paraId="09905902"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r w:rsidRPr="005141DF">
        <w:rPr>
          <w:rFonts w:ascii="Verdana" w:eastAsia="Times New Roman" w:hAnsi="Verdana" w:cs="Arial"/>
          <w:sz w:val="20"/>
          <w:szCs w:val="20"/>
          <w:lang w:eastAsia="es-CO"/>
        </w:rPr>
        <w:t xml:space="preserve">Tal como lo ordena el inciso 2o del numeral 1o del citado artículo 14 de la Ley 80, cada vez que una entidad estatal ejerza esta potestad </w:t>
      </w:r>
      <w:r w:rsidRPr="005141DF">
        <w:rPr>
          <w:rFonts w:ascii="Verdana" w:eastAsia="Times New Roman" w:hAnsi="Verdana" w:cs="Arial"/>
          <w:sz w:val="20"/>
          <w:szCs w:val="20"/>
          <w:lang w:eastAsia="es-CO"/>
        </w:rPr>
        <w:lastRenderedPageBreak/>
        <w:t xml:space="preserve">excepcional de terminación unilateral </w:t>
      </w:r>
      <w:r w:rsidRPr="005141DF">
        <w:rPr>
          <w:rFonts w:ascii="Verdana" w:eastAsia="Times New Roman" w:hAnsi="Verdana" w:cs="Arial"/>
          <w:i/>
          <w:iCs/>
          <w:sz w:val="20"/>
          <w:szCs w:val="20"/>
          <w:lang w:eastAsia="es-CO"/>
        </w:rPr>
        <w:t xml:space="preserve">“(...) deberá́ procederse al reconocimiento y orden de pago de las compensación e indemnizaciones a que tengan derecho las personas objeto de tales medidas y se aplicarán los mecanismos de ajuste de las condiciones y términos contractuales a que haya lugar, todo ello con el fin de mantener la ecuación o equilibrio inicial”. </w:t>
      </w:r>
    </w:p>
    <w:p w14:paraId="01B366E4"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p>
    <w:p w14:paraId="5A7EDF0A" w14:textId="77777777" w:rsidR="006B5F4A" w:rsidRPr="005141DF" w:rsidRDefault="006B5F4A" w:rsidP="006B5F4A">
      <w:pPr>
        <w:pStyle w:val="Prrafodelista"/>
        <w:spacing w:after="0" w:line="240" w:lineRule="auto"/>
        <w:ind w:left="1491" w:right="357"/>
        <w:jc w:val="both"/>
        <w:rPr>
          <w:rFonts w:ascii="Verdana" w:eastAsia="Times New Roman" w:hAnsi="Verdana" w:cs="Arial"/>
          <w:sz w:val="20"/>
          <w:szCs w:val="20"/>
          <w:lang w:eastAsia="es-CO"/>
        </w:rPr>
      </w:pPr>
      <w:r w:rsidRPr="005141DF">
        <w:rPr>
          <w:rFonts w:ascii="Verdana" w:eastAsia="Times New Roman" w:hAnsi="Verdana" w:cs="Arial"/>
          <w:sz w:val="20"/>
          <w:szCs w:val="20"/>
          <w:lang w:eastAsia="es-CO"/>
        </w:rPr>
        <w:t>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afectado, lo cual, además, encuentra explicación suficiente en las causales, expresamente consagradas en la ley, que dan lugar a su aplicación</w:t>
      </w:r>
      <w:r>
        <w:rPr>
          <w:rFonts w:ascii="Verdana" w:eastAsia="Times New Roman" w:hAnsi="Verdana" w:cs="Arial"/>
          <w:sz w:val="20"/>
          <w:szCs w:val="20"/>
          <w:lang w:eastAsia="es-CO"/>
        </w:rPr>
        <w:t>”</w:t>
      </w:r>
      <w:r w:rsidRPr="005141DF">
        <w:rPr>
          <w:rFonts w:ascii="Verdana" w:eastAsia="Times New Roman" w:hAnsi="Verdana" w:cs="Arial"/>
          <w:sz w:val="20"/>
          <w:szCs w:val="20"/>
          <w:lang w:eastAsia="es-CO"/>
        </w:rPr>
        <w:t>.</w:t>
      </w:r>
      <w:r w:rsidRPr="005141DF">
        <w:rPr>
          <w:rFonts w:ascii="Verdana" w:hAnsi="Verdana"/>
          <w:sz w:val="20"/>
          <w:szCs w:val="20"/>
          <w:vertAlign w:val="superscript"/>
          <w:lang w:eastAsia="es-CO"/>
        </w:rPr>
        <w:footnoteReference w:id="5"/>
      </w:r>
    </w:p>
    <w:p w14:paraId="503F74E6" w14:textId="77777777" w:rsidR="006B5F4A" w:rsidRPr="0071334E" w:rsidRDefault="006B5F4A" w:rsidP="006B5F4A">
      <w:pPr>
        <w:pStyle w:val="Prrafodelista"/>
        <w:spacing w:after="0" w:line="276" w:lineRule="auto"/>
        <w:ind w:right="709"/>
        <w:jc w:val="both"/>
        <w:rPr>
          <w:rFonts w:ascii="Verdana" w:eastAsia="Times New Roman" w:hAnsi="Verdana" w:cs="Arial"/>
          <w:sz w:val="21"/>
          <w:szCs w:val="21"/>
          <w:lang w:eastAsia="es-CO"/>
        </w:rPr>
      </w:pPr>
    </w:p>
    <w:p w14:paraId="2D748C79" w14:textId="77777777" w:rsidR="006B5F4A" w:rsidRPr="0071334E" w:rsidRDefault="006B5F4A" w:rsidP="006B5F4A">
      <w:pPr>
        <w:pStyle w:val="Prrafodelista"/>
        <w:numPr>
          <w:ilvl w:val="0"/>
          <w:numId w:val="7"/>
        </w:numPr>
        <w:spacing w:after="120" w:line="276" w:lineRule="auto"/>
        <w:jc w:val="both"/>
        <w:rPr>
          <w:rFonts w:ascii="Verdana" w:hAnsi="Verdana" w:cs="Arial"/>
          <w:color w:val="000000"/>
          <w:shd w:val="clear" w:color="auto" w:fill="FFFFFF"/>
          <w:lang w:val="es-MX" w:eastAsia="es-CO"/>
        </w:rPr>
      </w:pPr>
      <w:r w:rsidRPr="0071334E">
        <w:rPr>
          <w:rFonts w:ascii="Verdana" w:hAnsi="Verdana" w:cs="Arial"/>
          <w:lang w:val="es-MX"/>
        </w:rPr>
        <w:t xml:space="preserve">Conforme a lo anterior, la terminación unilateral del contrato </w:t>
      </w:r>
      <w:r w:rsidRPr="0071334E">
        <w:rPr>
          <w:rFonts w:ascii="Verdana" w:hAnsi="Verdana" w:cs="Arial"/>
          <w:color w:val="000000"/>
          <w:shd w:val="clear" w:color="auto" w:fill="FFFFFF"/>
          <w:lang w:val="es-MX"/>
        </w:rPr>
        <w:t xml:space="preserve">es una prerrogativa excepcional que, lejos de fungir como un acto represivo contra el contratista o en contra de la ejecución del contrato mismo, constituye una herramienta cuyo fin exclusivo es el de lograr el cabal cumplimiento de los cometidos estatales. En todo caso, el ejercicio de esta potestad supone el reconocimiento y pago de las compensaciones e indemnizaciones a las que haya lugar, así como la aplicación de los mecanismos de reajuste. </w:t>
      </w:r>
      <w:r w:rsidRPr="0071334E">
        <w:rPr>
          <w:rFonts w:ascii="Verdana" w:hAnsi="Verdana" w:cs="Arial"/>
          <w:color w:val="000000"/>
          <w:shd w:val="clear" w:color="auto" w:fill="FFFFFF"/>
          <w:lang w:val="es-MX" w:eastAsia="es-CO"/>
        </w:rPr>
        <w:t xml:space="preserve">Lo anterior indica que la terminación unilateral del contrato estatal no entraña una sanción, por lo que, a partir de su ejecutoria no se genera inhabilidad para el contratista por este solo hecho. </w:t>
      </w:r>
    </w:p>
    <w:p w14:paraId="6B3DCD87" w14:textId="77777777" w:rsidR="006B5F4A" w:rsidRPr="0071334E" w:rsidRDefault="006B5F4A" w:rsidP="006B5F4A">
      <w:pPr>
        <w:pStyle w:val="Prrafodelista"/>
        <w:spacing w:after="120" w:line="276" w:lineRule="auto"/>
        <w:jc w:val="both"/>
        <w:rPr>
          <w:rFonts w:ascii="Verdana" w:hAnsi="Verdana" w:cs="Arial"/>
          <w:color w:val="000000"/>
          <w:shd w:val="clear" w:color="auto" w:fill="FFFFFF"/>
          <w:lang w:val="es-MX" w:eastAsia="es-CO"/>
        </w:rPr>
      </w:pPr>
    </w:p>
    <w:p w14:paraId="3D02B080" w14:textId="77777777" w:rsidR="006B5F4A" w:rsidRDefault="006B5F4A" w:rsidP="006B5F4A">
      <w:pPr>
        <w:pStyle w:val="Prrafodelista"/>
        <w:numPr>
          <w:ilvl w:val="0"/>
          <w:numId w:val="7"/>
        </w:numPr>
        <w:spacing w:after="120" w:line="276" w:lineRule="auto"/>
        <w:jc w:val="both"/>
        <w:rPr>
          <w:rFonts w:ascii="Verdana" w:eastAsia="Times New Roman" w:hAnsi="Verdana" w:cs="Arial"/>
          <w:lang w:eastAsia="es-CO"/>
        </w:rPr>
      </w:pPr>
      <w:r w:rsidRPr="0071334E">
        <w:rPr>
          <w:rFonts w:ascii="Verdana" w:eastAsia="Times New Roman" w:hAnsi="Verdana" w:cs="Arial"/>
          <w:lang w:eastAsia="es-CO"/>
        </w:rPr>
        <w:t xml:space="preserve">Ahora bien, la causal de terminación unilateral consagrada en el numeral 2 del artículo 17 de la Ley 80 de 1993, prevé </w:t>
      </w:r>
      <w:r>
        <w:rPr>
          <w:rFonts w:ascii="Verdana" w:eastAsia="Times New Roman" w:hAnsi="Verdana" w:cs="Arial"/>
          <w:lang w:eastAsia="es-CO"/>
        </w:rPr>
        <w:t>“</w:t>
      </w:r>
      <w:r w:rsidRPr="0071334E">
        <w:rPr>
          <w:rFonts w:ascii="Verdana" w:eastAsia="Times New Roman" w:hAnsi="Verdana" w:cs="Arial"/>
          <w:lang w:eastAsia="es-CO"/>
        </w:rPr>
        <w:t>[…] muerte o incapacidad física permanente del contratista, si es persona natural, o por disolución de la persona jurídica del contratista</w:t>
      </w:r>
      <w:r>
        <w:rPr>
          <w:rFonts w:ascii="Verdana" w:eastAsia="Times New Roman" w:hAnsi="Verdana" w:cs="Arial"/>
          <w:lang w:eastAsia="es-CO"/>
        </w:rPr>
        <w:t>”</w:t>
      </w:r>
      <w:r w:rsidRPr="0071334E">
        <w:rPr>
          <w:rFonts w:ascii="Verdana" w:eastAsia="Times New Roman" w:hAnsi="Verdana" w:cs="Arial"/>
          <w:lang w:eastAsia="es-CO"/>
        </w:rPr>
        <w:t xml:space="preserve">. Esta causal se explica, tanto para la persona natural como para la persona jurídica, por la naturaleza </w:t>
      </w:r>
      <w:r w:rsidRPr="0071334E">
        <w:rPr>
          <w:rFonts w:ascii="Verdana" w:eastAsia="Times New Roman" w:hAnsi="Verdana" w:cs="Arial"/>
          <w:i/>
          <w:iCs/>
          <w:lang w:eastAsia="es-CO"/>
        </w:rPr>
        <w:t>intuito personae</w:t>
      </w:r>
      <w:r w:rsidRPr="0071334E">
        <w:rPr>
          <w:rFonts w:ascii="Verdana" w:eastAsia="Times New Roman" w:hAnsi="Verdana" w:cs="Arial"/>
          <w:lang w:eastAsia="es-CO"/>
        </w:rPr>
        <w:t xml:space="preserve"> del contrato estatal, según lo previsto en el inciso tercero del artículo 41 de la Ley 80 de 1993</w:t>
      </w:r>
      <w:r w:rsidRPr="0071334E">
        <w:rPr>
          <w:rFonts w:ascii="Verdana" w:hAnsi="Verdana"/>
          <w:vertAlign w:val="superscript"/>
          <w:lang w:eastAsia="es-CO"/>
        </w:rPr>
        <w:footnoteReference w:id="6"/>
      </w:r>
      <w:r w:rsidRPr="0071334E">
        <w:rPr>
          <w:rFonts w:ascii="Verdana" w:eastAsia="Times New Roman" w:hAnsi="Verdana" w:cs="Arial"/>
          <w:lang w:eastAsia="es-CO"/>
        </w:rPr>
        <w:t xml:space="preserve">. Por ello, la muerte o discapacidad </w:t>
      </w:r>
      <w:r w:rsidRPr="0071334E">
        <w:rPr>
          <w:rFonts w:ascii="Verdana" w:eastAsia="Times New Roman" w:hAnsi="Verdana" w:cs="Arial"/>
          <w:lang w:eastAsia="es-CO"/>
        </w:rPr>
        <w:lastRenderedPageBreak/>
        <w:t>permanente de la persona natural, así como la disolución de la persona jurídica, constituyen hechos que impiden que los sujetos que en virtud de sus calidades fueron escogidos para desarrollar el contrato puedan seguirlo haciendo, por lo que justifican la terminación del contrato, máxime aun considerado que tales calidades no se trasmiten a sus herederos o causahabientes</w:t>
      </w:r>
      <w:r w:rsidRPr="0071334E">
        <w:rPr>
          <w:rFonts w:ascii="Verdana" w:hAnsi="Verdana"/>
          <w:vertAlign w:val="superscript"/>
          <w:lang w:eastAsia="es-CO"/>
        </w:rPr>
        <w:footnoteReference w:id="7"/>
      </w:r>
      <w:r w:rsidRPr="0071334E">
        <w:rPr>
          <w:rFonts w:ascii="Verdana" w:eastAsia="Times New Roman" w:hAnsi="Verdana" w:cs="Arial"/>
          <w:lang w:eastAsia="es-CO"/>
        </w:rPr>
        <w:t>.</w:t>
      </w:r>
    </w:p>
    <w:p w14:paraId="2B39ED1A" w14:textId="77777777" w:rsidR="006B5F4A" w:rsidRPr="00333099" w:rsidRDefault="006B5F4A" w:rsidP="006B5F4A">
      <w:pPr>
        <w:pStyle w:val="Prrafodelista"/>
        <w:rPr>
          <w:rFonts w:ascii="Verdana" w:eastAsia="Times New Roman" w:hAnsi="Verdana" w:cs="Arial"/>
          <w:lang w:eastAsia="es-CO"/>
        </w:rPr>
      </w:pPr>
    </w:p>
    <w:p w14:paraId="6849C6AD" w14:textId="77777777" w:rsidR="006B5F4A" w:rsidRPr="00E105DB" w:rsidRDefault="006B5F4A" w:rsidP="006B5F4A">
      <w:pPr>
        <w:pStyle w:val="Prrafodelista"/>
        <w:numPr>
          <w:ilvl w:val="0"/>
          <w:numId w:val="7"/>
        </w:numPr>
        <w:spacing w:after="120" w:line="276" w:lineRule="auto"/>
        <w:jc w:val="both"/>
        <w:rPr>
          <w:rFonts w:ascii="Verdana" w:hAnsi="Verdana" w:cs="Arial"/>
          <w:lang w:val="es-MX"/>
        </w:rPr>
      </w:pPr>
      <w:r w:rsidRPr="00333099">
        <w:rPr>
          <w:rFonts w:ascii="Verdana" w:eastAsia="Times New Roman" w:hAnsi="Verdana" w:cs="Arial"/>
          <w:lang w:eastAsia="es-CO"/>
        </w:rPr>
        <w:t xml:space="preserve">El artículo 13 de la </w:t>
      </w:r>
      <w:r>
        <w:rPr>
          <w:rFonts w:ascii="Verdana" w:eastAsia="Times New Roman" w:hAnsi="Verdana" w:cs="Arial"/>
          <w:lang w:eastAsia="es-CO"/>
        </w:rPr>
        <w:t>L</w:t>
      </w:r>
      <w:r w:rsidRPr="00333099">
        <w:rPr>
          <w:rFonts w:ascii="Verdana" w:eastAsia="Times New Roman" w:hAnsi="Verdana" w:cs="Arial"/>
          <w:lang w:eastAsia="es-CO"/>
        </w:rPr>
        <w:t>ey 80 de 1993,</w:t>
      </w:r>
      <w:r>
        <w:rPr>
          <w:rFonts w:ascii="Verdana" w:eastAsia="Times New Roman" w:hAnsi="Verdana" w:cs="Arial"/>
          <w:lang w:eastAsia="es-CO"/>
        </w:rPr>
        <w:t xml:space="preserve"> </w:t>
      </w:r>
      <w:r w:rsidRPr="00333099">
        <w:rPr>
          <w:rFonts w:ascii="Verdana" w:eastAsia="Times New Roman" w:hAnsi="Verdana" w:cs="Arial"/>
          <w:lang w:eastAsia="es-CO"/>
        </w:rPr>
        <w:t>cita que</w:t>
      </w:r>
      <w:r>
        <w:rPr>
          <w:rFonts w:ascii="Verdana" w:eastAsia="Times New Roman" w:hAnsi="Verdana" w:cs="Arial"/>
          <w:lang w:eastAsia="es-CO"/>
        </w:rPr>
        <w:t>:</w:t>
      </w:r>
    </w:p>
    <w:p w14:paraId="7157B895" w14:textId="77777777" w:rsidR="006B5F4A" w:rsidRPr="00D92D3D" w:rsidRDefault="006B5F4A" w:rsidP="006B5F4A">
      <w:pPr>
        <w:spacing w:after="120" w:line="240" w:lineRule="auto"/>
        <w:ind w:left="709" w:right="709"/>
        <w:jc w:val="both"/>
        <w:rPr>
          <w:rFonts w:ascii="Verdana" w:hAnsi="Verdana" w:cs="Arial"/>
          <w:i/>
          <w:sz w:val="21"/>
          <w:szCs w:val="21"/>
          <w:lang w:val="es-MX"/>
        </w:rPr>
      </w:pPr>
      <w:r w:rsidRPr="00D92D3D">
        <w:rPr>
          <w:rFonts w:ascii="Verdana" w:eastAsia="Times New Roman" w:hAnsi="Verdana" w:cs="Arial"/>
          <w:i/>
          <w:sz w:val="21"/>
          <w:szCs w:val="21"/>
          <w:lang w:eastAsia="es-CO"/>
        </w:rPr>
        <w:t>“</w:t>
      </w:r>
      <w:r w:rsidRPr="00D92D3D">
        <w:rPr>
          <w:rFonts w:ascii="Verdana" w:hAnsi="Verdana" w:cs="Arial"/>
          <w:i/>
          <w:sz w:val="21"/>
          <w:szCs w:val="21"/>
          <w:lang w:val="es-MX"/>
        </w:rPr>
        <w:t>Los contratos que celebren las entidades a que se refiere el artículo 2 del presente estatuto se regirán por las disposiciones comerciales y civiles pertinentes, salvo en las materias particularmente reguladas en esta Ley.</w:t>
      </w:r>
    </w:p>
    <w:p w14:paraId="4D510EE2" w14:textId="77777777" w:rsidR="006B5F4A" w:rsidRPr="00D92D3D" w:rsidRDefault="006B5F4A" w:rsidP="006B5F4A">
      <w:pPr>
        <w:spacing w:after="120" w:line="240" w:lineRule="auto"/>
        <w:ind w:left="709" w:right="709"/>
        <w:jc w:val="both"/>
        <w:rPr>
          <w:rFonts w:ascii="Verdana" w:eastAsia="Times New Roman" w:hAnsi="Verdana" w:cs="Arial"/>
          <w:i/>
          <w:sz w:val="21"/>
          <w:szCs w:val="21"/>
          <w:lang w:val="es-MX" w:eastAsia="es-CO"/>
        </w:rPr>
      </w:pPr>
      <w:r w:rsidRPr="00D92D3D">
        <w:rPr>
          <w:rFonts w:ascii="Verdana" w:eastAsia="Times New Roman" w:hAnsi="Verdana" w:cs="Arial"/>
          <w:i/>
          <w:sz w:val="21"/>
          <w:szCs w:val="21"/>
          <w:lang w:val="es-MX" w:eastAsia="es-CO"/>
        </w:rPr>
        <w:t>Los contratos celebrados en el exterior se podrán regir en su ejecución por las reglas del país en donde se hayan suscrito, a menos que deban cumplirse en Colombia”</w:t>
      </w:r>
    </w:p>
    <w:p w14:paraId="39B4DD87" w14:textId="77777777" w:rsidR="006B5F4A" w:rsidRPr="0071334E" w:rsidRDefault="006B5F4A" w:rsidP="006B5F4A">
      <w:pPr>
        <w:pStyle w:val="Prrafodelista"/>
        <w:numPr>
          <w:ilvl w:val="0"/>
          <w:numId w:val="7"/>
        </w:numPr>
        <w:spacing w:before="120" w:after="120" w:line="276" w:lineRule="auto"/>
        <w:jc w:val="both"/>
        <w:rPr>
          <w:rFonts w:ascii="Verdana" w:hAnsi="Verdana" w:cs="Arial"/>
          <w:color w:val="000000" w:themeColor="text1"/>
          <w:lang w:val="es-MX"/>
        </w:rPr>
      </w:pPr>
      <w:r w:rsidRPr="0071334E">
        <w:rPr>
          <w:rFonts w:ascii="Verdana" w:hAnsi="Verdana" w:cs="Arial"/>
          <w:lang w:val="es-MX"/>
        </w:rPr>
        <w:t xml:space="preserve">Con todo, en aplicación del derecho </w:t>
      </w:r>
      <w:r w:rsidRPr="00A621F7">
        <w:rPr>
          <w:rFonts w:ascii="Verdana" w:hAnsi="Verdana" w:cs="Arial"/>
          <w:lang w:val="es-MX"/>
        </w:rPr>
        <w:t>civil, la muerte de una persona natural puede implicar la apertura de un proceso de sucesión, mediante el cual se transmiten todos los derechos y obligaciones que estaban</w:t>
      </w:r>
      <w:r w:rsidRPr="0071334E">
        <w:rPr>
          <w:rFonts w:ascii="Verdana" w:hAnsi="Verdana" w:cs="Arial"/>
          <w:lang w:val="es-MX"/>
        </w:rPr>
        <w:t xml:space="preserve"> a nombre del causante</w:t>
      </w:r>
      <w:r w:rsidRPr="0071334E">
        <w:rPr>
          <w:rFonts w:ascii="Verdana" w:hAnsi="Verdana"/>
          <w:vertAlign w:val="superscript"/>
          <w:lang w:val="es-MX"/>
        </w:rPr>
        <w:footnoteReference w:id="8"/>
      </w:r>
      <w:r w:rsidRPr="0071334E">
        <w:rPr>
          <w:rFonts w:ascii="Verdana" w:hAnsi="Verdana" w:cs="Arial"/>
          <w:lang w:val="es-MX"/>
        </w:rPr>
        <w:t>, es decir, si el causante tenía un contrato vigente al momento de fallecer, esta posición podría llegar a ser ocupada por sus herederos, si cumplen con las condiciones necesarias para ejecutar el contrato.</w:t>
      </w:r>
      <w:r w:rsidRPr="0071334E">
        <w:rPr>
          <w:rFonts w:ascii="Verdana" w:hAnsi="Verdana" w:cs="Arial"/>
          <w:color w:val="000000" w:themeColor="text1"/>
          <w:lang w:val="es-MX"/>
        </w:rPr>
        <w:t xml:space="preserve"> Lo anterior ha sido reconocido por parte del Consejo de Estado, donde ha puesto de presente: </w:t>
      </w:r>
      <w:r>
        <w:rPr>
          <w:rFonts w:ascii="Verdana" w:hAnsi="Verdana" w:cs="Arial"/>
          <w:color w:val="000000" w:themeColor="text1"/>
          <w:lang w:val="es-MX"/>
        </w:rPr>
        <w:t>“</w:t>
      </w:r>
      <w:r w:rsidRPr="0071334E">
        <w:rPr>
          <w:rFonts w:ascii="Verdana" w:hAnsi="Verdana" w:cs="Arial"/>
          <w:color w:val="000000" w:themeColor="text1"/>
          <w:lang w:val="es-MX"/>
        </w:rPr>
        <w:t xml:space="preserve">[…] </w:t>
      </w:r>
      <w:r w:rsidRPr="0071334E">
        <w:rPr>
          <w:rFonts w:ascii="Verdana" w:hAnsi="Verdana" w:cs="Arial"/>
          <w:lang w:val="es-MX"/>
        </w:rPr>
        <w:t xml:space="preserve">en la sucesión por causa de muerte a título universal, “se sucede al difunto en todos sus bienes, derechos y </w:t>
      </w:r>
      <w:r w:rsidRPr="0071334E">
        <w:rPr>
          <w:rFonts w:ascii="Verdana" w:hAnsi="Verdana" w:cs="Arial"/>
          <w:lang w:val="es-MX"/>
        </w:rPr>
        <w:lastRenderedPageBreak/>
        <w:t>obligaciones transmisibles” con lo cual los herederos pueden ocupar la posición contractual del causante en el contrato y convertirse en los titulares de los derechos y las obligaciones pactadas en el mismo […]</w:t>
      </w:r>
      <w:r>
        <w:rPr>
          <w:rFonts w:ascii="Verdana" w:hAnsi="Verdana" w:cs="Arial"/>
          <w:noProof/>
          <w:lang w:val="es-ES_tradnl"/>
        </w:rPr>
        <w:t>”</w:t>
      </w:r>
      <w:r w:rsidRPr="0071334E">
        <w:rPr>
          <w:rFonts w:ascii="Verdana" w:hAnsi="Verdana" w:cs="Arial"/>
          <w:noProof/>
          <w:lang w:val="es-ES_tradnl"/>
        </w:rPr>
        <w:t>.</w:t>
      </w:r>
      <w:r w:rsidRPr="0071334E">
        <w:rPr>
          <w:rFonts w:ascii="Verdana" w:hAnsi="Verdana"/>
          <w:vertAlign w:val="superscript"/>
          <w:lang w:val="es-MX"/>
        </w:rPr>
        <w:footnoteReference w:id="9"/>
      </w:r>
    </w:p>
    <w:p w14:paraId="6AA34D52" w14:textId="77777777" w:rsidR="006B5F4A" w:rsidRPr="0071334E" w:rsidRDefault="006B5F4A" w:rsidP="006B5F4A">
      <w:pPr>
        <w:pStyle w:val="Prrafodelista"/>
        <w:rPr>
          <w:rFonts w:ascii="Verdana" w:hAnsi="Verdana" w:cs="Arial"/>
          <w:color w:val="000000" w:themeColor="text1"/>
          <w:lang w:val="es-MX"/>
        </w:rPr>
      </w:pPr>
    </w:p>
    <w:p w14:paraId="15DA355B" w14:textId="77777777" w:rsidR="006B5F4A" w:rsidRPr="0071334E" w:rsidRDefault="006B5F4A" w:rsidP="006B5F4A">
      <w:pPr>
        <w:pStyle w:val="Prrafodelista"/>
        <w:numPr>
          <w:ilvl w:val="0"/>
          <w:numId w:val="7"/>
        </w:numPr>
        <w:spacing w:after="0" w:line="276" w:lineRule="auto"/>
        <w:jc w:val="both"/>
        <w:rPr>
          <w:rFonts w:ascii="Verdana" w:hAnsi="Verdana" w:cs="Arial"/>
          <w:noProof/>
          <w:lang w:val="es-ES_tradnl"/>
        </w:rPr>
      </w:pPr>
      <w:r w:rsidRPr="0071334E">
        <w:rPr>
          <w:rFonts w:ascii="Verdana" w:hAnsi="Verdana" w:cs="Arial"/>
          <w:lang w:val="es-MX"/>
        </w:rPr>
        <w:t xml:space="preserve">Además, sea para contratistas persona natural o persona jurídica, el inciso final del artículo 17 de la Ley 80 de 1993 dispone que </w:t>
      </w:r>
      <w:r>
        <w:rPr>
          <w:rFonts w:ascii="Verdana" w:hAnsi="Verdana" w:cs="Arial"/>
          <w:lang w:val="es-MX"/>
        </w:rPr>
        <w:t>“</w:t>
      </w:r>
      <w:r w:rsidRPr="0071334E">
        <w:rPr>
          <w:rFonts w:ascii="Verdana" w:hAnsi="Verdana" w:cs="Arial"/>
          <w:lang w:val="es-MX"/>
        </w:rPr>
        <w:t xml:space="preserve">[…] </w:t>
      </w:r>
      <w:r w:rsidRPr="0071334E">
        <w:rPr>
          <w:rFonts w:ascii="Verdana" w:hAnsi="Verdana" w:cs="Arial"/>
          <w:color w:val="000000" w:themeColor="text1"/>
          <w:lang w:val="es-MX"/>
        </w:rPr>
        <w:t>en los casos a que se refieren los numerales 2o. y 3o. de este artículo podrá continuarse la ejecución con el garante de la obligación</w:t>
      </w:r>
      <w:r>
        <w:rPr>
          <w:rFonts w:ascii="Verdana" w:hAnsi="Verdana" w:cs="Arial"/>
          <w:noProof/>
          <w:lang w:val="es-ES_tradnl"/>
        </w:rPr>
        <w:t>”</w:t>
      </w:r>
      <w:r w:rsidRPr="0071334E">
        <w:rPr>
          <w:rFonts w:ascii="Verdana" w:hAnsi="Verdana" w:cs="Arial"/>
          <w:noProof/>
          <w:lang w:val="es-ES_tradnl"/>
        </w:rPr>
        <w:t xml:space="preserve">. Es decir, si la persona natural muere o es declarada con incapacidad fisica permanente o si la persona jurídica se disuelve, la ejecución contractual puede continuar con el garante de la obligación. </w:t>
      </w:r>
    </w:p>
    <w:p w14:paraId="6F3DB37B" w14:textId="77777777" w:rsidR="006B5F4A" w:rsidRPr="0071334E" w:rsidRDefault="006B5F4A" w:rsidP="006B5F4A">
      <w:pPr>
        <w:pStyle w:val="Prrafodelista"/>
        <w:rPr>
          <w:rFonts w:ascii="Verdana" w:hAnsi="Verdana" w:cs="Arial"/>
          <w:noProof/>
          <w:lang w:val="es-ES_tradnl"/>
        </w:rPr>
      </w:pPr>
    </w:p>
    <w:p w14:paraId="2D1B6434" w14:textId="77777777" w:rsidR="006B5F4A" w:rsidRPr="0071334E" w:rsidRDefault="006B5F4A" w:rsidP="006B5F4A">
      <w:pPr>
        <w:pStyle w:val="Prrafodelista"/>
        <w:numPr>
          <w:ilvl w:val="0"/>
          <w:numId w:val="7"/>
        </w:numPr>
        <w:spacing w:after="0" w:line="276" w:lineRule="auto"/>
        <w:jc w:val="both"/>
        <w:rPr>
          <w:rFonts w:ascii="Verdana" w:hAnsi="Verdana" w:cs="Arial"/>
          <w:noProof/>
          <w:lang w:val="es-ES_tradnl"/>
        </w:rPr>
      </w:pPr>
      <w:r w:rsidRPr="00D92D3D">
        <w:rPr>
          <w:rFonts w:ascii="Verdana" w:hAnsi="Verdana" w:cs="Arial"/>
          <w:lang w:val="es-MX"/>
        </w:rPr>
        <w:t>Sobre la muerte del contratista persona natural</w:t>
      </w:r>
      <w:r w:rsidRPr="0071334E">
        <w:rPr>
          <w:rFonts w:ascii="Verdana" w:hAnsi="Verdana" w:cs="Arial"/>
          <w:noProof/>
          <w:lang w:val="es-ES_tradnl"/>
        </w:rPr>
        <w:t>, la doctrina se ha pronunciado en el sentido de avalar la procedencia de la aplicación de esta causal en los casos en los que se presenta la muerte del contratista. En este sentido el autor Pino Ricci ha manifestado:</w:t>
      </w:r>
    </w:p>
    <w:p w14:paraId="0EDFF5BC" w14:textId="77777777" w:rsidR="006B5F4A" w:rsidRPr="0071334E" w:rsidRDefault="006B5F4A" w:rsidP="006B5F4A">
      <w:pPr>
        <w:pStyle w:val="Prrafodelista"/>
        <w:spacing w:after="0" w:line="276" w:lineRule="auto"/>
        <w:ind w:left="709" w:right="709"/>
        <w:jc w:val="both"/>
        <w:rPr>
          <w:rFonts w:ascii="Verdana" w:hAnsi="Verdana" w:cs="Arial"/>
          <w:noProof/>
          <w:lang w:val="es-ES_tradnl"/>
        </w:rPr>
      </w:pPr>
    </w:p>
    <w:p w14:paraId="40E2F4C7" w14:textId="77777777" w:rsidR="006B5F4A" w:rsidRPr="00A621F7" w:rsidRDefault="006B5F4A" w:rsidP="006B5F4A">
      <w:pPr>
        <w:pStyle w:val="Prrafodelista"/>
        <w:spacing w:after="200" w:line="240" w:lineRule="auto"/>
        <w:ind w:left="709" w:right="709"/>
        <w:jc w:val="both"/>
        <w:rPr>
          <w:rFonts w:ascii="Verdana" w:hAnsi="Verdana" w:cs="Arial"/>
          <w:sz w:val="20"/>
          <w:szCs w:val="20"/>
          <w:lang w:val="es-MX"/>
        </w:rPr>
      </w:pPr>
      <w:r>
        <w:rPr>
          <w:rFonts w:ascii="Verdana" w:hAnsi="Verdana" w:cs="Arial"/>
          <w:sz w:val="20"/>
          <w:szCs w:val="20"/>
          <w:lang w:val="es-MX"/>
        </w:rPr>
        <w:t>“</w:t>
      </w:r>
      <w:r w:rsidRPr="00A621F7">
        <w:rPr>
          <w:rFonts w:ascii="Verdana" w:hAnsi="Verdana" w:cs="Arial"/>
          <w:noProof/>
          <w:sz w:val="20"/>
          <w:szCs w:val="20"/>
          <w:lang w:val="es-ES_tradnl"/>
        </w:rPr>
        <w:t>La muerte del contratista genera la terminación unilateral del contrato. Las entidades estatales no pueden asumir las consecuencias de la muerte del contratista frente a sus derechos y obligaciones, particularmente lo relacionado con el juicio o trámite de la sucesión. En el caso de los consorcios y uniones temporales, la muerte de uno de sus integrantes también genera la terminación unilateral del contrato.</w:t>
      </w:r>
      <w:r>
        <w:rPr>
          <w:rFonts w:ascii="Verdana" w:hAnsi="Verdana" w:cs="Arial"/>
          <w:sz w:val="20"/>
          <w:szCs w:val="20"/>
          <w:lang w:val="es-MX"/>
        </w:rPr>
        <w:t>”</w:t>
      </w:r>
      <w:r w:rsidRPr="00A621F7">
        <w:rPr>
          <w:rFonts w:ascii="Verdana" w:hAnsi="Verdana"/>
          <w:noProof/>
          <w:sz w:val="20"/>
          <w:szCs w:val="20"/>
          <w:vertAlign w:val="superscript"/>
          <w:lang w:val="es-ES_tradnl"/>
        </w:rPr>
        <w:footnoteReference w:id="10"/>
      </w:r>
    </w:p>
    <w:p w14:paraId="5DD55B12" w14:textId="77777777" w:rsidR="006B5F4A" w:rsidRPr="0071334E" w:rsidRDefault="006B5F4A" w:rsidP="006B5F4A">
      <w:pPr>
        <w:pStyle w:val="Prrafodelista"/>
        <w:spacing w:after="200" w:line="240" w:lineRule="auto"/>
        <w:ind w:right="709"/>
        <w:jc w:val="both"/>
        <w:rPr>
          <w:rFonts w:ascii="Verdana" w:hAnsi="Verdana" w:cs="Arial"/>
          <w:noProof/>
          <w:sz w:val="21"/>
          <w:szCs w:val="21"/>
          <w:lang w:val="es-ES_tradnl"/>
        </w:rPr>
      </w:pPr>
    </w:p>
    <w:p w14:paraId="5D13A724" w14:textId="77777777" w:rsidR="006B5F4A" w:rsidRPr="0071334E" w:rsidRDefault="006B5F4A" w:rsidP="006B5F4A">
      <w:pPr>
        <w:pStyle w:val="Prrafodelista"/>
        <w:numPr>
          <w:ilvl w:val="0"/>
          <w:numId w:val="7"/>
        </w:numPr>
        <w:spacing w:after="200" w:line="276" w:lineRule="auto"/>
        <w:jc w:val="both"/>
        <w:rPr>
          <w:rFonts w:ascii="Verdana" w:hAnsi="Verdana" w:cs="Arial"/>
          <w:noProof/>
          <w:lang w:val="es-ES_tradnl"/>
        </w:rPr>
      </w:pPr>
      <w:r w:rsidRPr="0071334E">
        <w:rPr>
          <w:rFonts w:ascii="Verdana" w:hAnsi="Verdana" w:cs="Arial"/>
          <w:noProof/>
          <w:lang w:val="es-ES_tradnl"/>
        </w:rPr>
        <w:t>En el mismo sentido, Palacio Hincapié sostiene que la muerte justifica la terminación del contrato, así:</w:t>
      </w:r>
    </w:p>
    <w:p w14:paraId="55FFF59B" w14:textId="77777777" w:rsidR="006B5F4A" w:rsidRPr="0071334E" w:rsidRDefault="006B5F4A" w:rsidP="006B5F4A">
      <w:pPr>
        <w:pStyle w:val="Prrafodelista"/>
        <w:spacing w:after="200" w:line="276" w:lineRule="auto"/>
        <w:jc w:val="both"/>
        <w:rPr>
          <w:rFonts w:ascii="Verdana" w:hAnsi="Verdana" w:cs="Arial"/>
          <w:noProof/>
          <w:lang w:val="es-ES_tradnl"/>
        </w:rPr>
      </w:pPr>
    </w:p>
    <w:p w14:paraId="577E19DE" w14:textId="77777777" w:rsidR="006B5F4A" w:rsidRPr="00A621F7" w:rsidRDefault="006B5F4A" w:rsidP="006B5F4A">
      <w:pPr>
        <w:pStyle w:val="Prrafodelista"/>
        <w:spacing w:after="0" w:line="240" w:lineRule="auto"/>
        <w:ind w:left="1491" w:right="357"/>
        <w:jc w:val="both"/>
        <w:rPr>
          <w:rFonts w:ascii="Verdana" w:hAnsi="Verdana" w:cs="Arial"/>
          <w:sz w:val="20"/>
          <w:szCs w:val="20"/>
          <w:lang w:val="es-MX"/>
        </w:rPr>
      </w:pPr>
      <w:r>
        <w:rPr>
          <w:rFonts w:ascii="Verdana" w:hAnsi="Verdana" w:cs="Arial"/>
          <w:sz w:val="20"/>
          <w:szCs w:val="20"/>
          <w:lang w:val="es-MX"/>
        </w:rPr>
        <w:t>“</w:t>
      </w:r>
      <w:r w:rsidRPr="00A621F7">
        <w:rPr>
          <w:rFonts w:ascii="Verdana" w:hAnsi="Verdana" w:cs="Arial"/>
          <w:noProof/>
          <w:sz w:val="20"/>
          <w:szCs w:val="20"/>
          <w:lang w:val="es-ES_tradnl"/>
        </w:rPr>
        <w:t xml:space="preserve">La terminación unilateral en este evento no es una sanción al contratista, sino la simple reafirmación de que un contrato es intuito personae y no, como lo sostienen algunos, que es por la reducción a una sola parte, dando lugar a la terminación del vínculo; y no lo es </w:t>
      </w:r>
      <w:r w:rsidRPr="00A621F7">
        <w:rPr>
          <w:rFonts w:ascii="Verdana" w:hAnsi="Verdana" w:cs="Arial"/>
          <w:noProof/>
          <w:sz w:val="20"/>
          <w:szCs w:val="20"/>
          <w:lang w:val="es-ES_tradnl"/>
        </w:rPr>
        <w:lastRenderedPageBreak/>
        <w:t>porque las partes continúan para los efectos de la liquidación del contrato y para la responsabilidad a que haya lugar, ya que la Administración tendrá derechos y deberes en relación con los causahabientes del contratista</w:t>
      </w:r>
      <w:r>
        <w:rPr>
          <w:rFonts w:ascii="Verdana" w:hAnsi="Verdana" w:cs="Arial"/>
          <w:sz w:val="20"/>
          <w:szCs w:val="20"/>
          <w:lang w:val="es-MX"/>
        </w:rPr>
        <w:t>”</w:t>
      </w:r>
      <w:r w:rsidRPr="00A621F7">
        <w:rPr>
          <w:rFonts w:ascii="Verdana" w:hAnsi="Verdana" w:cs="Arial"/>
          <w:sz w:val="20"/>
          <w:szCs w:val="20"/>
          <w:lang w:val="es-MX"/>
        </w:rPr>
        <w:t>.</w:t>
      </w:r>
      <w:r w:rsidRPr="00A621F7">
        <w:rPr>
          <w:rFonts w:ascii="Verdana" w:hAnsi="Verdana"/>
          <w:noProof/>
          <w:sz w:val="20"/>
          <w:szCs w:val="20"/>
          <w:vertAlign w:val="superscript"/>
          <w:lang w:val="es-ES_tradnl"/>
        </w:rPr>
        <w:footnoteReference w:id="11"/>
      </w:r>
    </w:p>
    <w:p w14:paraId="1BB33C55" w14:textId="77777777" w:rsidR="006B5F4A" w:rsidRPr="0071334E" w:rsidRDefault="006B5F4A" w:rsidP="006B5F4A">
      <w:pPr>
        <w:pStyle w:val="Prrafodelista"/>
        <w:spacing w:after="0" w:line="240" w:lineRule="auto"/>
        <w:ind w:right="709"/>
        <w:jc w:val="both"/>
        <w:rPr>
          <w:rFonts w:ascii="Verdana" w:hAnsi="Verdana" w:cs="Arial"/>
          <w:noProof/>
          <w:sz w:val="21"/>
          <w:szCs w:val="21"/>
          <w:lang w:val="es-ES_tradnl"/>
        </w:rPr>
      </w:pPr>
    </w:p>
    <w:p w14:paraId="461E44D2" w14:textId="77777777" w:rsidR="006B5F4A" w:rsidRPr="0071334E" w:rsidRDefault="006B5F4A" w:rsidP="006B5F4A">
      <w:pPr>
        <w:pStyle w:val="Prrafodelista"/>
        <w:numPr>
          <w:ilvl w:val="0"/>
          <w:numId w:val="7"/>
        </w:numPr>
        <w:spacing w:after="120" w:line="276" w:lineRule="auto"/>
        <w:jc w:val="both"/>
        <w:rPr>
          <w:rFonts w:ascii="Verdana" w:hAnsi="Verdana" w:cs="Arial"/>
          <w:lang w:val="es-MX"/>
        </w:rPr>
      </w:pPr>
      <w:r w:rsidRPr="0071334E">
        <w:rPr>
          <w:rFonts w:ascii="Verdana" w:hAnsi="Verdana" w:cs="Arial"/>
          <w:noProof/>
          <w:lang w:val="es-ES_tradnl"/>
        </w:rPr>
        <w:t xml:space="preserve">Según estas consideraciones, la causal del numeral 2 del artículo 17 de la Ley 80 de 1993 resulta aplicable en aquellos eventos de deceso del contratista en virtud del carácter </w:t>
      </w:r>
      <w:r w:rsidRPr="0071334E">
        <w:rPr>
          <w:rFonts w:ascii="Verdana" w:hAnsi="Verdana" w:cs="Arial"/>
          <w:i/>
          <w:iCs/>
          <w:lang w:val="es-MX"/>
        </w:rPr>
        <w:t xml:space="preserve">intuito personae </w:t>
      </w:r>
      <w:r w:rsidRPr="0071334E">
        <w:rPr>
          <w:rFonts w:ascii="Verdana" w:hAnsi="Verdana" w:cs="Arial"/>
          <w:lang w:val="es-MX"/>
        </w:rPr>
        <w:t>del</w:t>
      </w:r>
      <w:r w:rsidRPr="0071334E">
        <w:rPr>
          <w:rFonts w:ascii="Verdana" w:hAnsi="Verdana" w:cs="Arial"/>
          <w:i/>
          <w:iCs/>
          <w:lang w:val="es-MX"/>
        </w:rPr>
        <w:t xml:space="preserve"> </w:t>
      </w:r>
      <w:r w:rsidRPr="0071334E">
        <w:rPr>
          <w:rFonts w:ascii="Verdana" w:hAnsi="Verdana" w:cs="Arial"/>
          <w:lang w:val="es-MX"/>
        </w:rPr>
        <w:t xml:space="preserve">contrato, que se vería afectado por la falta de una de las personas cuyas calidades, determinaron la escogencia como contratista. </w:t>
      </w:r>
    </w:p>
    <w:p w14:paraId="1243121F" w14:textId="77777777" w:rsidR="006B5F4A" w:rsidRPr="0071334E" w:rsidRDefault="006B5F4A" w:rsidP="006B5F4A">
      <w:pPr>
        <w:pStyle w:val="Prrafodelista"/>
        <w:spacing w:after="120" w:line="276" w:lineRule="auto"/>
        <w:jc w:val="both"/>
        <w:rPr>
          <w:rFonts w:ascii="Verdana" w:hAnsi="Verdana" w:cs="Arial"/>
          <w:lang w:val="es-MX"/>
        </w:rPr>
      </w:pPr>
    </w:p>
    <w:p w14:paraId="321ADCF8" w14:textId="77777777" w:rsidR="006B5F4A" w:rsidRPr="0071334E" w:rsidRDefault="006B5F4A" w:rsidP="006B5F4A">
      <w:pPr>
        <w:pStyle w:val="Prrafodelista"/>
        <w:numPr>
          <w:ilvl w:val="0"/>
          <w:numId w:val="7"/>
        </w:numPr>
        <w:spacing w:after="120" w:line="276" w:lineRule="auto"/>
        <w:jc w:val="both"/>
        <w:rPr>
          <w:rFonts w:ascii="Verdana" w:hAnsi="Verdana" w:cs="Arial"/>
          <w:noProof/>
          <w:lang w:val="es-ES_tradnl"/>
        </w:rPr>
      </w:pPr>
      <w:r w:rsidRPr="0071334E">
        <w:rPr>
          <w:rFonts w:ascii="Verdana" w:hAnsi="Verdana" w:cs="Arial"/>
          <w:lang w:val="es-MX"/>
        </w:rPr>
        <w:t xml:space="preserve">Lo anterior permite concluir, con apoyo en la doctrina, que, ante el deceso del contratista resultaría procedente el ejercicio de la potestad de terminación unilateral, considerando </w:t>
      </w:r>
      <w:r w:rsidRPr="0071334E">
        <w:rPr>
          <w:rFonts w:ascii="Verdana" w:hAnsi="Verdana" w:cs="Arial"/>
          <w:noProof/>
          <w:lang w:val="es-ES_tradnl"/>
        </w:rPr>
        <w:t>que la prestación de un servicio y el desarrollo de un contrato podrían afectarse gravemente por este hecho, el cual supone la ausencia de la persona encargada de ejecutar el contrato. En ese sentido, la facultad de dar por terminado de manera unilateral y anticipada el contrato se ofrece como una herramienta para que las entidades estatales puedan garantizar la continua prestación de servicios a su cargo y el cumplimiento de los fines del contrato.</w:t>
      </w:r>
    </w:p>
    <w:p w14:paraId="4B9BE84A" w14:textId="77777777" w:rsidR="006B5F4A" w:rsidRPr="0071334E" w:rsidRDefault="006B5F4A" w:rsidP="006B5F4A">
      <w:pPr>
        <w:pStyle w:val="Prrafodelista"/>
        <w:rPr>
          <w:rFonts w:ascii="Verdana" w:hAnsi="Verdana" w:cs="Arial"/>
          <w:noProof/>
          <w:lang w:val="es-ES_tradnl"/>
        </w:rPr>
      </w:pPr>
    </w:p>
    <w:p w14:paraId="372B42B0" w14:textId="77777777" w:rsidR="006B5F4A" w:rsidRPr="0071334E" w:rsidRDefault="006B5F4A" w:rsidP="006B5F4A">
      <w:pPr>
        <w:pStyle w:val="Prrafodelista"/>
        <w:numPr>
          <w:ilvl w:val="0"/>
          <w:numId w:val="7"/>
        </w:numPr>
        <w:spacing w:after="200" w:line="276" w:lineRule="auto"/>
        <w:jc w:val="both"/>
        <w:rPr>
          <w:rFonts w:ascii="Verdana" w:hAnsi="Verdana" w:cs="Arial"/>
          <w:noProof/>
          <w:lang w:val="es-ES_tradnl"/>
        </w:rPr>
      </w:pPr>
      <w:r w:rsidRPr="0071334E">
        <w:rPr>
          <w:rFonts w:ascii="Verdana" w:hAnsi="Verdana" w:cs="Arial"/>
          <w:noProof/>
          <w:lang w:val="es-ES_tradnl"/>
        </w:rPr>
        <w:t xml:space="preserve">Ahora bien, para efectos de la consulta realizada, es menester precisar que </w:t>
      </w:r>
      <w:r w:rsidRPr="00A621F7">
        <w:rPr>
          <w:rFonts w:ascii="Verdana" w:hAnsi="Verdana" w:cs="Arial"/>
          <w:noProof/>
          <w:lang w:val="es-ES_tradnl"/>
        </w:rPr>
        <w:t>la normativa del Sistema de Compra Pública no establece un procedimiento reglado especificamente para la liquidación unilateral en eventos de muerte del contratista, ni la forma de realizar el pago de las sumas debidas a un contratista fallecido.</w:t>
      </w:r>
    </w:p>
    <w:p w14:paraId="11AA31AF" w14:textId="77777777" w:rsidR="006B5F4A" w:rsidRPr="0071334E" w:rsidRDefault="006B5F4A" w:rsidP="006B5F4A">
      <w:pPr>
        <w:pStyle w:val="Prrafodelista"/>
        <w:rPr>
          <w:rFonts w:ascii="Verdana" w:hAnsi="Verdana" w:cs="Arial"/>
          <w:noProof/>
          <w:lang w:val="es-ES_tradnl"/>
        </w:rPr>
      </w:pPr>
    </w:p>
    <w:p w14:paraId="4940AE96" w14:textId="77777777" w:rsidR="006B5F4A" w:rsidRPr="0071334E" w:rsidRDefault="006B5F4A" w:rsidP="006B5F4A">
      <w:pPr>
        <w:pStyle w:val="Prrafodelista"/>
        <w:numPr>
          <w:ilvl w:val="0"/>
          <w:numId w:val="7"/>
        </w:numPr>
        <w:spacing w:after="200" w:line="276" w:lineRule="auto"/>
        <w:jc w:val="both"/>
        <w:rPr>
          <w:rFonts w:ascii="Verdana" w:hAnsi="Verdana" w:cs="Arial"/>
          <w:lang w:val="es-MX"/>
        </w:rPr>
      </w:pPr>
      <w:r w:rsidRPr="0071334E">
        <w:rPr>
          <w:rFonts w:ascii="Verdana" w:hAnsi="Verdana" w:cs="Arial"/>
          <w:lang w:val="es-ES_tradnl"/>
        </w:rPr>
        <w:t xml:space="preserve">De este modo, y concordancia con lo dispuesto en el artículo </w:t>
      </w:r>
      <w:r w:rsidRPr="0071334E">
        <w:rPr>
          <w:rFonts w:ascii="Verdana" w:hAnsi="Verdana" w:cs="Arial"/>
          <w:lang w:val="es-MX"/>
        </w:rPr>
        <w:t xml:space="preserve">8 de la Ley 153 de 1887, </w:t>
      </w:r>
      <w:r w:rsidRPr="0071334E">
        <w:rPr>
          <w:rFonts w:ascii="Verdana" w:hAnsi="Verdana" w:cs="Arial"/>
          <w:lang w:val="es-ES_tradnl"/>
        </w:rPr>
        <w:t xml:space="preserve">es viable que, ante el </w:t>
      </w:r>
      <w:r w:rsidRPr="0071334E">
        <w:rPr>
          <w:rFonts w:ascii="Verdana" w:hAnsi="Verdana" w:cs="Arial"/>
          <w:lang w:val="es-MX"/>
        </w:rPr>
        <w:t xml:space="preserve">vacío de regulación concreta en el planteamiento de la consulta, se acuda a la </w:t>
      </w:r>
      <w:r w:rsidRPr="0071334E">
        <w:rPr>
          <w:rFonts w:ascii="Verdana" w:hAnsi="Verdana" w:cs="Arial"/>
          <w:i/>
          <w:lang w:val="es-MX"/>
        </w:rPr>
        <w:t xml:space="preserve">analogia legis, </w:t>
      </w:r>
      <w:r w:rsidRPr="0071334E">
        <w:rPr>
          <w:rFonts w:ascii="Verdana" w:hAnsi="Verdana" w:cs="Arial"/>
          <w:lang w:val="es-MX"/>
        </w:rPr>
        <w:t xml:space="preserve">analizada por la Corte Constitucional, en los siguientes términos: </w:t>
      </w:r>
    </w:p>
    <w:p w14:paraId="51768A2E" w14:textId="77777777" w:rsidR="006B5F4A" w:rsidRPr="0071334E" w:rsidRDefault="006B5F4A" w:rsidP="006B5F4A">
      <w:pPr>
        <w:pStyle w:val="Prrafodelista"/>
        <w:rPr>
          <w:rFonts w:ascii="Verdana" w:hAnsi="Verdana" w:cs="Arial"/>
          <w:lang w:val="es-MX"/>
        </w:rPr>
      </w:pPr>
    </w:p>
    <w:p w14:paraId="4B9FF0CF" w14:textId="77777777" w:rsidR="006B5F4A" w:rsidRPr="00A621F7" w:rsidRDefault="006B5F4A" w:rsidP="006B5F4A">
      <w:pPr>
        <w:pStyle w:val="Prrafodelista"/>
        <w:spacing w:after="200" w:line="240" w:lineRule="auto"/>
        <w:ind w:left="1491" w:right="357"/>
        <w:jc w:val="both"/>
        <w:rPr>
          <w:rFonts w:ascii="Verdana" w:hAnsi="Verdana" w:cs="Arial"/>
          <w:sz w:val="20"/>
          <w:szCs w:val="20"/>
          <w:lang w:val="es-MX"/>
        </w:rPr>
      </w:pPr>
      <w:r>
        <w:rPr>
          <w:rFonts w:ascii="Verdana" w:hAnsi="Verdana" w:cs="Arial"/>
          <w:sz w:val="20"/>
          <w:szCs w:val="20"/>
          <w:lang w:val="es-MX"/>
        </w:rPr>
        <w:lastRenderedPageBreak/>
        <w:t>“</w:t>
      </w:r>
      <w:r w:rsidRPr="00A621F7">
        <w:rPr>
          <w:rFonts w:ascii="Verdana" w:hAnsi="Verdana" w:cs="Arial"/>
          <w:sz w:val="20"/>
          <w:szCs w:val="20"/>
          <w:lang w:val="es-MX"/>
        </w:rPr>
        <w:t>La analogía es la aplicación de la ley a situaciones no contempladas expresamente en ella, pero que sólo difieren de las que sí lo están en aspectos jurídicamente irrelevantes, es decir, ajenos a aquéllos que explican y fundamentan la ratio juris o razón de ser de la norma. La consagración positiva de la analogía halla su justificación en el principio de igualdad, base a la vez de la justicia, pues, en función de ésta, los seres y las situaciones iguales deben recibir un tratamiento igual. Discernir los aspectos relevantes de los irrelevantes implica, desde luego, un esfuerzo interpretativo que en nada difiere del que ordinariamente tiene que realizar el juez para determinar si un caso particular es o no subsumible en una norma de carácter general. La analogía no constituye una fuente autónoma, diferente de la legislación. El juez que acude a ella no hace nada distinto de atenerse al imperio de la ley. Su consagración en la disposición que se examina resulta, pues, a tono con el artículo 230 de la Constitución (…) Cuando el juez razona por analogía, aplica la ley a una situación no contemplada explícitamente en ella, pero esencialmente igual, para los efectos de su regulación jurídica, a la que sí lo está. Esta modalidad se conoce en doctrina como analogia legis, y se la contrasta con la analogia juris en la cual, a partir de diversas disposiciones del ordenamiento, se extraen los principios generales que las informan, por una suerte de inducción, y se aplican a casos o situaciones no previstas de modo expreso en una norma determinada</w:t>
      </w:r>
      <w:r>
        <w:rPr>
          <w:rFonts w:ascii="Verdana" w:hAnsi="Verdana" w:cs="Arial"/>
          <w:sz w:val="20"/>
          <w:szCs w:val="20"/>
          <w:lang w:val="es-MX"/>
        </w:rPr>
        <w:t>”</w:t>
      </w:r>
      <w:r w:rsidRPr="00A621F7">
        <w:rPr>
          <w:rFonts w:ascii="Verdana" w:hAnsi="Verdana"/>
          <w:sz w:val="20"/>
          <w:szCs w:val="20"/>
          <w:vertAlign w:val="superscript"/>
          <w:lang w:val="es-MX"/>
        </w:rPr>
        <w:footnoteReference w:id="12"/>
      </w:r>
      <w:r w:rsidRPr="00A621F7">
        <w:rPr>
          <w:rFonts w:ascii="Verdana" w:hAnsi="Verdana" w:cs="Arial"/>
          <w:sz w:val="20"/>
          <w:szCs w:val="20"/>
          <w:lang w:val="es-MX"/>
        </w:rPr>
        <w:t>.</w:t>
      </w:r>
    </w:p>
    <w:p w14:paraId="51E616D4" w14:textId="77777777" w:rsidR="006B5F4A" w:rsidRPr="0071334E" w:rsidRDefault="006B5F4A" w:rsidP="006B5F4A">
      <w:pPr>
        <w:pStyle w:val="Prrafodelista"/>
        <w:spacing w:after="200" w:line="240" w:lineRule="auto"/>
        <w:ind w:left="1491" w:right="357"/>
        <w:jc w:val="both"/>
        <w:rPr>
          <w:rFonts w:ascii="Verdana" w:hAnsi="Verdana" w:cs="Arial"/>
          <w:sz w:val="21"/>
          <w:szCs w:val="21"/>
          <w:lang w:val="es-MX"/>
        </w:rPr>
      </w:pPr>
    </w:p>
    <w:p w14:paraId="0306B6DC" w14:textId="77777777" w:rsidR="006B5F4A" w:rsidRPr="00A621F7" w:rsidRDefault="006B5F4A" w:rsidP="006B5F4A">
      <w:pPr>
        <w:pStyle w:val="Prrafodelista"/>
        <w:rPr>
          <w:rFonts w:ascii="Verdana" w:hAnsi="Verdana" w:cs="Arial"/>
          <w:noProof/>
          <w:lang w:val="es-ES_tradnl"/>
        </w:rPr>
      </w:pPr>
    </w:p>
    <w:p w14:paraId="33A1C25B" w14:textId="77777777" w:rsidR="006B5F4A" w:rsidRPr="0071334E" w:rsidRDefault="006B5F4A" w:rsidP="006B5F4A">
      <w:pPr>
        <w:pStyle w:val="Prrafodelista"/>
        <w:numPr>
          <w:ilvl w:val="0"/>
          <w:numId w:val="7"/>
        </w:numPr>
        <w:spacing w:after="200" w:line="276" w:lineRule="auto"/>
        <w:jc w:val="both"/>
        <w:rPr>
          <w:rFonts w:ascii="Verdana" w:hAnsi="Verdana" w:cs="Arial"/>
          <w:lang w:val="es-ES_tradnl"/>
        </w:rPr>
      </w:pPr>
      <w:r w:rsidRPr="00A621F7">
        <w:rPr>
          <w:rFonts w:ascii="Verdana" w:hAnsi="Verdana" w:cs="Arial"/>
          <w:noProof/>
          <w:lang w:val="es-ES_tradnl"/>
        </w:rPr>
        <w:t xml:space="preserve">Lo anterior, en concordancia con lo dispuesto en los artículos 1008 y 1155 del Código Civil, ya que los sucesores, sean herederos y/o legatarios, se convierten en acreedores de los deudores que tuviera el causante al momento de su muerte, pues representan al difunto para sucederle en todos sus bienes, derechos y obligaciones transmisibles. De este modo, en aquellos eventos en los cuales con ocasión de la liquidación se generen saldos a favor del contratista, estos integran su masa sucesoral y por lo tanto, sus herederos y/o legatarios podrían tener derecho a reclamar dichas sumas de dinero. </w:t>
      </w:r>
      <w:r w:rsidRPr="00A621F7">
        <w:rPr>
          <w:rFonts w:ascii="Verdana" w:hAnsi="Verdana" w:cs="Arial"/>
          <w:lang w:val="es-ES_tradnl"/>
        </w:rPr>
        <w:t xml:space="preserve">Al respecto, la </w:t>
      </w:r>
      <w:r w:rsidRPr="00A621F7">
        <w:rPr>
          <w:rFonts w:ascii="Verdana" w:hAnsi="Verdana" w:cs="Arial"/>
          <w:lang w:val="es-MX"/>
        </w:rPr>
        <w:t>Sala de lo Contencioso Administrativo del Consejo de Estado</w:t>
      </w:r>
      <w:r w:rsidRPr="0071334E">
        <w:rPr>
          <w:rFonts w:ascii="Verdana" w:hAnsi="Verdana" w:cs="Arial"/>
          <w:lang w:val="es-MX"/>
        </w:rPr>
        <w:t xml:space="preserve"> expresó:</w:t>
      </w:r>
    </w:p>
    <w:p w14:paraId="5FA9EBE2" w14:textId="77777777" w:rsidR="006B5F4A" w:rsidRPr="0071334E" w:rsidRDefault="006B5F4A" w:rsidP="006B5F4A">
      <w:pPr>
        <w:pStyle w:val="Prrafodelista"/>
        <w:rPr>
          <w:rFonts w:ascii="Verdana" w:hAnsi="Verdana" w:cs="Arial"/>
          <w:lang w:val="es-ES_tradnl"/>
        </w:rPr>
      </w:pPr>
    </w:p>
    <w:p w14:paraId="14CB313E" w14:textId="77777777" w:rsidR="006B5F4A" w:rsidRDefault="006B5F4A" w:rsidP="006B5F4A">
      <w:pPr>
        <w:pStyle w:val="Prrafodelista"/>
        <w:tabs>
          <w:tab w:val="left" w:pos="426"/>
        </w:tabs>
        <w:spacing w:after="0" w:line="240" w:lineRule="auto"/>
        <w:ind w:left="1491" w:right="357"/>
        <w:jc w:val="both"/>
        <w:rPr>
          <w:rFonts w:ascii="Verdana" w:hAnsi="Verdana" w:cs="Arial"/>
          <w:sz w:val="20"/>
          <w:szCs w:val="20"/>
          <w:lang w:val="es-MX"/>
        </w:rPr>
      </w:pPr>
      <w:r>
        <w:rPr>
          <w:rFonts w:ascii="Verdana" w:hAnsi="Verdana" w:cs="Arial"/>
          <w:sz w:val="20"/>
          <w:szCs w:val="20"/>
          <w:lang w:val="es-MX"/>
        </w:rPr>
        <w:t>“</w:t>
      </w:r>
      <w:r w:rsidRPr="0071334E">
        <w:rPr>
          <w:rFonts w:ascii="Verdana" w:hAnsi="Verdana" w:cs="Arial"/>
          <w:sz w:val="20"/>
          <w:szCs w:val="20"/>
          <w:lang w:val="es-MX"/>
        </w:rPr>
        <w:t xml:space="preserve">En relación con lo anterior la Sala advierte que, en efecto, en la sucesión por causa de muerte a título universal, “se sucede al difunto </w:t>
      </w:r>
      <w:r w:rsidRPr="0071334E">
        <w:rPr>
          <w:rFonts w:ascii="Verdana" w:hAnsi="Verdana" w:cs="Arial"/>
          <w:sz w:val="20"/>
          <w:szCs w:val="20"/>
          <w:lang w:val="es-MX"/>
        </w:rPr>
        <w:lastRenderedPageBreak/>
        <w:t>en todos sus bienes, derechos y obligaciones transmisibles” con lo cual los herederos pueden ocupar la posición contractual del causante en el contrato y convertirse en los titulares de los derechos y las obligaciones pactadas en el mismo. Ello no podía ocurrir en este caso, porque el contrato terminó como consecuencia de un acto administrativo vigente proferido por la entidad estatal Contratante como consecuencia de la muerte del causante. Sus herederos no podían incluir como activo transmisible en la sucesión los derechos del causante en el contrato; lo que podían haber incluido eran los derechos resultantes de la liquidación del contrato</w:t>
      </w:r>
      <w:r>
        <w:rPr>
          <w:rFonts w:ascii="Verdana" w:hAnsi="Verdana" w:cs="Arial"/>
          <w:sz w:val="20"/>
          <w:szCs w:val="20"/>
          <w:lang w:val="es-MX"/>
        </w:rPr>
        <w:t>”</w:t>
      </w:r>
      <w:r w:rsidRPr="0071334E">
        <w:rPr>
          <w:rFonts w:ascii="Verdana" w:hAnsi="Verdana"/>
          <w:sz w:val="20"/>
          <w:szCs w:val="20"/>
          <w:vertAlign w:val="superscript"/>
          <w:lang w:val="es-MX"/>
        </w:rPr>
        <w:footnoteReference w:id="13"/>
      </w:r>
      <w:r w:rsidRPr="0071334E">
        <w:rPr>
          <w:rFonts w:ascii="Verdana" w:hAnsi="Verdana" w:cs="Arial"/>
          <w:sz w:val="20"/>
          <w:szCs w:val="20"/>
          <w:lang w:val="es-MX"/>
        </w:rPr>
        <w:t>.</w:t>
      </w:r>
    </w:p>
    <w:p w14:paraId="522CDFD4" w14:textId="77777777" w:rsidR="006B5F4A" w:rsidRDefault="006B5F4A" w:rsidP="006B5F4A">
      <w:pPr>
        <w:pStyle w:val="Prrafodelista"/>
        <w:tabs>
          <w:tab w:val="left" w:pos="426"/>
        </w:tabs>
        <w:spacing w:after="0" w:line="240" w:lineRule="auto"/>
        <w:ind w:left="1491" w:right="357"/>
        <w:jc w:val="both"/>
        <w:rPr>
          <w:rFonts w:ascii="Verdana" w:hAnsi="Verdana" w:cs="Arial"/>
          <w:sz w:val="20"/>
          <w:szCs w:val="20"/>
          <w:lang w:val="es-MX"/>
        </w:rPr>
      </w:pPr>
    </w:p>
    <w:p w14:paraId="1E93ACB9" w14:textId="77777777" w:rsidR="006B5F4A" w:rsidRDefault="006B5F4A" w:rsidP="006B5F4A">
      <w:pPr>
        <w:pStyle w:val="Prrafodelista"/>
        <w:tabs>
          <w:tab w:val="left" w:pos="426"/>
        </w:tabs>
        <w:spacing w:after="0" w:line="240" w:lineRule="auto"/>
        <w:ind w:left="1491" w:right="357"/>
        <w:jc w:val="both"/>
        <w:rPr>
          <w:rFonts w:ascii="Verdana" w:hAnsi="Verdana" w:cs="Arial"/>
          <w:sz w:val="20"/>
          <w:szCs w:val="20"/>
          <w:lang w:val="es-MX"/>
        </w:rPr>
      </w:pPr>
    </w:p>
    <w:p w14:paraId="3C2E76E4" w14:textId="42FA565D" w:rsidR="00D87A25" w:rsidRPr="00A621F7" w:rsidRDefault="00D87A25" w:rsidP="00D87A25">
      <w:pPr>
        <w:pStyle w:val="Prrafodelista"/>
        <w:numPr>
          <w:ilvl w:val="0"/>
          <w:numId w:val="7"/>
        </w:numPr>
        <w:spacing w:after="120" w:line="276" w:lineRule="auto"/>
        <w:jc w:val="both"/>
        <w:rPr>
          <w:rFonts w:ascii="Verdana" w:hAnsi="Verdana" w:cs="Arial"/>
          <w:lang w:val="es-ES_tradnl" w:eastAsia="es-ES"/>
        </w:rPr>
      </w:pPr>
      <w:r>
        <w:rPr>
          <w:rFonts w:ascii="Verdana" w:hAnsi="Verdana" w:cs="Arial"/>
          <w:lang w:val="es-MX"/>
        </w:rPr>
        <w:t xml:space="preserve">Finalmente, </w:t>
      </w:r>
      <w:r w:rsidRPr="0071334E">
        <w:rPr>
          <w:rFonts w:ascii="Verdana" w:hAnsi="Verdana" w:cs="Arial"/>
          <w:lang w:val="es-MX"/>
        </w:rPr>
        <w:t xml:space="preserve">se puede afirmar que </w:t>
      </w:r>
      <w:r w:rsidRPr="0071334E">
        <w:rPr>
          <w:rFonts w:ascii="Verdana" w:hAnsi="Verdana" w:cs="Arial"/>
          <w:lang w:val="es-ES_tradnl" w:eastAsia="es-ES"/>
        </w:rPr>
        <w:t xml:space="preserve">la </w:t>
      </w:r>
      <w:r w:rsidRPr="0071334E">
        <w:rPr>
          <w:rFonts w:ascii="Verdana" w:hAnsi="Verdana" w:cs="Arial"/>
          <w:iCs/>
          <w:color w:val="000000"/>
          <w:lang w:val="es-MX" w:eastAsia="es-CO"/>
        </w:rPr>
        <w:t xml:space="preserve">muerte o incapacidad física permanente del contratista, si es persona natural </w:t>
      </w:r>
      <w:r w:rsidRPr="0071334E">
        <w:rPr>
          <w:rFonts w:ascii="Verdana" w:hAnsi="Verdana" w:cs="Arial"/>
          <w:lang w:val="es-ES_tradnl" w:eastAsia="es-ES"/>
        </w:rPr>
        <w:t xml:space="preserve">constituye un hecho que impide la liquidación bilateral por las razones ya expuestas en </w:t>
      </w:r>
      <w:r w:rsidRPr="00A621F7">
        <w:rPr>
          <w:rFonts w:ascii="Verdana" w:hAnsi="Verdana" w:cs="Arial"/>
          <w:lang w:val="es-ES_tradnl" w:eastAsia="es-ES"/>
        </w:rPr>
        <w:t xml:space="preserve">el desarrollo de este concepto para la terminación unilateral y tal sentido la entidad estatal tiene la facultad de liquidarlo unilateralmente durante el término de 2 meses contados a partir del vencimiento del plazo que acuerden las partes para efectuar la liquidación bilateralmente, o ante el silencio de estas, del vencimiento de los 4 meses supletivos establecidos en la Ley. En todo caso, transcurridos estos 2 meses, la liquidación podrá ser realizada en cualquier tiempo, dentro de los dos años siguientes al vencimiento del término referido. </w:t>
      </w:r>
    </w:p>
    <w:p w14:paraId="5D93D04F" w14:textId="77777777" w:rsidR="00D87A25" w:rsidRPr="00A621F7" w:rsidRDefault="00D87A25" w:rsidP="00D87A25">
      <w:pPr>
        <w:pStyle w:val="Prrafodelista"/>
        <w:spacing w:after="120" w:line="276" w:lineRule="auto"/>
        <w:jc w:val="both"/>
        <w:rPr>
          <w:rFonts w:ascii="Verdana" w:hAnsi="Verdana" w:cs="Arial"/>
          <w:lang w:val="es-ES_tradnl" w:eastAsia="es-ES"/>
        </w:rPr>
      </w:pPr>
    </w:p>
    <w:p w14:paraId="0AAB4B7B" w14:textId="77777777" w:rsidR="00D87A25" w:rsidRPr="00A621F7" w:rsidRDefault="00D87A25" w:rsidP="00D87A25">
      <w:pPr>
        <w:pStyle w:val="Prrafodelista"/>
        <w:numPr>
          <w:ilvl w:val="0"/>
          <w:numId w:val="7"/>
        </w:numPr>
        <w:spacing w:after="120" w:line="276" w:lineRule="auto"/>
        <w:jc w:val="both"/>
        <w:rPr>
          <w:rFonts w:ascii="Verdana" w:hAnsi="Verdana" w:cs="Arial"/>
          <w:noProof/>
          <w:lang w:val="es-ES_tradnl"/>
        </w:rPr>
      </w:pPr>
      <w:r w:rsidRPr="00A621F7">
        <w:rPr>
          <w:rFonts w:ascii="Verdana" w:hAnsi="Verdana" w:cs="Arial"/>
          <w:noProof/>
          <w:lang w:val="es-ES_tradnl"/>
        </w:rPr>
        <w:t>De este modo, conforme a lo considerado en el presente concepto, en la liquidación uniltaeral se deberá proceder a realizar las respectivas indemnizaciones, compensaciones y reajustes a los que haya lugar en favor de los involucrados, como, por ejemplo, los causababientes del fallecido.</w:t>
      </w:r>
    </w:p>
    <w:p w14:paraId="276E05BA" w14:textId="77777777" w:rsidR="009237B6" w:rsidRPr="009237B6" w:rsidRDefault="009237B6" w:rsidP="009237B6">
      <w:pPr>
        <w:tabs>
          <w:tab w:val="left" w:pos="426"/>
        </w:tabs>
        <w:spacing w:after="0" w:line="240" w:lineRule="auto"/>
        <w:ind w:right="357"/>
        <w:jc w:val="both"/>
        <w:rPr>
          <w:rFonts w:ascii="Verdana" w:hAnsi="Verdana" w:cs="Arial"/>
          <w:sz w:val="20"/>
          <w:szCs w:val="20"/>
          <w:lang w:val="es-MX"/>
        </w:rPr>
      </w:pPr>
    </w:p>
    <w:p w14:paraId="2255ED7B" w14:textId="77777777" w:rsidR="006B5F4A" w:rsidRPr="0071334E" w:rsidRDefault="006B5F4A" w:rsidP="006B5F4A">
      <w:pPr>
        <w:pStyle w:val="Prrafodelista"/>
        <w:tabs>
          <w:tab w:val="left" w:pos="426"/>
        </w:tabs>
        <w:spacing w:after="0" w:line="240" w:lineRule="auto"/>
        <w:ind w:left="1491" w:right="357"/>
        <w:jc w:val="both"/>
        <w:rPr>
          <w:rFonts w:ascii="Verdana" w:hAnsi="Verdana" w:cs="Arial"/>
          <w:sz w:val="20"/>
          <w:szCs w:val="20"/>
          <w:lang w:val="es-MX"/>
        </w:rPr>
      </w:pPr>
    </w:p>
    <w:p w14:paraId="55844AF8" w14:textId="77777777" w:rsidR="006B5F4A" w:rsidRPr="0071334E" w:rsidRDefault="006B5F4A" w:rsidP="006B5F4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334E">
        <w:rPr>
          <w:rFonts w:ascii="Verdana" w:eastAsia="Century Gothic" w:hAnsi="Verdana" w:cs="Century Gothic"/>
          <w:b/>
          <w:bCs/>
        </w:rPr>
        <w:t>Referencias normativas, jurisprudenciales y otras fuentes:</w:t>
      </w:r>
    </w:p>
    <w:p w14:paraId="4F3CEA47" w14:textId="77777777" w:rsidR="006B5F4A" w:rsidRPr="0071334E" w:rsidRDefault="006B5F4A" w:rsidP="006B5F4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B5F4A" w:rsidRPr="0071334E" w14:paraId="4DE6AB53" w14:textId="77777777" w:rsidTr="00FB1C43">
        <w:trPr>
          <w:trHeight w:val="870"/>
        </w:trPr>
        <w:tc>
          <w:tcPr>
            <w:tcW w:w="8647" w:type="dxa"/>
          </w:tcPr>
          <w:p w14:paraId="6EF48BFE" w14:textId="77777777" w:rsidR="006B5F4A" w:rsidRPr="00291D8F"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rPr>
              <w:lastRenderedPageBreak/>
              <w:t>Código Civil: artículos 1008 y 1155.</w:t>
            </w:r>
          </w:p>
          <w:p w14:paraId="36AB862F" w14:textId="77777777" w:rsidR="006B5F4A" w:rsidRPr="00291D8F"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lang w:val="es-MX"/>
              </w:rPr>
              <w:t xml:space="preserve">Ley 153 de 1887: </w:t>
            </w:r>
            <w:r w:rsidRPr="00272E0E">
              <w:rPr>
                <w:rFonts w:ascii="Verdana" w:hAnsi="Verdana" w:cs="Arial"/>
                <w:lang w:val="es-ES_tradnl"/>
              </w:rPr>
              <w:t xml:space="preserve">artículo </w:t>
            </w:r>
            <w:r w:rsidRPr="00272E0E">
              <w:rPr>
                <w:rFonts w:ascii="Verdana" w:hAnsi="Verdana" w:cs="Arial"/>
                <w:lang w:val="es-MX"/>
              </w:rPr>
              <w:t>8.</w:t>
            </w:r>
          </w:p>
          <w:p w14:paraId="6D479D1A" w14:textId="77777777" w:rsidR="006B5F4A" w:rsidRPr="00272E0E"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rPr>
              <w:t xml:space="preserve">Ley </w:t>
            </w:r>
            <w:r w:rsidRPr="00272E0E">
              <w:rPr>
                <w:rFonts w:ascii="Verdana" w:hAnsi="Verdana" w:cs="Arial"/>
                <w:lang w:val="es-MX"/>
              </w:rPr>
              <w:t xml:space="preserve">80 de 1993: artículos 3, </w:t>
            </w:r>
            <w:r>
              <w:rPr>
                <w:rFonts w:ascii="Verdana" w:hAnsi="Verdana" w:cs="Arial"/>
                <w:lang w:val="es-MX"/>
              </w:rPr>
              <w:t xml:space="preserve">13, </w:t>
            </w:r>
            <w:r w:rsidRPr="00272E0E">
              <w:rPr>
                <w:rFonts w:ascii="Verdana" w:hAnsi="Verdana" w:cs="Arial"/>
                <w:lang w:val="es-MX"/>
              </w:rPr>
              <w:t xml:space="preserve">14 numeral 2, 17, y </w:t>
            </w:r>
            <w:r w:rsidRPr="00272E0E">
              <w:rPr>
                <w:rFonts w:ascii="Verdana" w:hAnsi="Verdana" w:cs="Arial"/>
              </w:rPr>
              <w:t>41</w:t>
            </w:r>
            <w:r w:rsidRPr="00272E0E">
              <w:rPr>
                <w:rFonts w:ascii="Verdana" w:hAnsi="Verdana" w:cs="Arial"/>
                <w:lang w:val="es-MX"/>
              </w:rPr>
              <w:t xml:space="preserve"> </w:t>
            </w:r>
            <w:r w:rsidRPr="00272E0E">
              <w:rPr>
                <w:rFonts w:ascii="Verdana" w:hAnsi="Verdana" w:cs="Arial"/>
              </w:rPr>
              <w:t>inciso 3º.</w:t>
            </w:r>
          </w:p>
          <w:p w14:paraId="6F62DB17" w14:textId="77777777" w:rsidR="006B5F4A" w:rsidRPr="00272E0E"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rPr>
              <w:t>CONSEJO DE ESTADO. Sección Tercera. Subsección B. Sentencia de 8 de mayo de 2019. Exp: 56343. MP: Martin Bermúdez Muñoz.</w:t>
            </w:r>
          </w:p>
          <w:p w14:paraId="3E7BE9E2" w14:textId="77777777" w:rsidR="006B5F4A" w:rsidRPr="00272E0E"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rPr>
              <w:t>PINO RICCI, Jorge. El régimen jurídico de los contratos estatales. Primera edición, 2005, Universidad Externado de Colombia. pp. 354.</w:t>
            </w:r>
          </w:p>
          <w:p w14:paraId="32C84590" w14:textId="77777777" w:rsidR="006B5F4A" w:rsidRPr="00272E0E"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rPr>
              <w:t>EXPÓSITO VÉLEZ, Juan Carlos. Forma y contenido del contrato estatal, Bogotá: Universidad Externado de Colombia, 2013, p. 190, 202, 203, y 207 a 210.</w:t>
            </w:r>
          </w:p>
          <w:p w14:paraId="48218392" w14:textId="77777777" w:rsidR="006B5F4A" w:rsidRPr="00272E0E" w:rsidRDefault="006B5F4A" w:rsidP="006B5F4A">
            <w:pPr>
              <w:pStyle w:val="Prrafodelista"/>
              <w:widowControl w:val="0"/>
              <w:numPr>
                <w:ilvl w:val="0"/>
                <w:numId w:val="8"/>
              </w:numPr>
              <w:autoSpaceDE w:val="0"/>
              <w:autoSpaceDN w:val="0"/>
              <w:spacing w:before="120" w:after="120" w:line="276" w:lineRule="auto"/>
              <w:jc w:val="both"/>
              <w:rPr>
                <w:rFonts w:ascii="Verdana" w:hAnsi="Verdana" w:cs="Arial"/>
              </w:rPr>
            </w:pPr>
            <w:r w:rsidRPr="00272E0E">
              <w:rPr>
                <w:rFonts w:ascii="Verdana" w:hAnsi="Verdana" w:cs="Arial"/>
              </w:rPr>
              <w:t xml:space="preserve">PALACIO HINCAPIÉ, Juan A. La contratación de entidades estatales. Octava edición. 2020. Librería Jurídica Sánchez. p 565-566.  </w:t>
            </w:r>
          </w:p>
          <w:p w14:paraId="48C16536" w14:textId="77777777" w:rsidR="006B5F4A" w:rsidRPr="0071334E" w:rsidRDefault="006B5F4A" w:rsidP="006B5F4A">
            <w:pPr>
              <w:pStyle w:val="Prrafodelista"/>
              <w:widowControl w:val="0"/>
              <w:numPr>
                <w:ilvl w:val="0"/>
                <w:numId w:val="8"/>
              </w:numPr>
              <w:autoSpaceDE w:val="0"/>
              <w:autoSpaceDN w:val="0"/>
              <w:spacing w:before="120" w:after="120" w:line="276" w:lineRule="auto"/>
              <w:contextualSpacing w:val="0"/>
              <w:jc w:val="both"/>
              <w:rPr>
                <w:rFonts w:ascii="Verdana" w:hAnsi="Verdana" w:cs="Arial"/>
              </w:rPr>
            </w:pPr>
            <w:r w:rsidRPr="00C26FA4">
              <w:rPr>
                <w:rFonts w:ascii="Verdana" w:hAnsi="Verdana" w:cs="Arial"/>
              </w:rPr>
              <w:t xml:space="preserve">Jurisprudencia del Consejo de Estado. Disponible en: </w:t>
            </w:r>
            <w:hyperlink r:id="rId13" w:history="1">
              <w:r w:rsidRPr="0071334E">
                <w:rPr>
                  <w:rStyle w:val="Hipervnculo"/>
                  <w:rFonts w:ascii="Verdana" w:hAnsi="Verdana" w:cs="Arial"/>
                </w:rPr>
                <w:t>https://relatoria.colombiacompra.gov.co/providencias-consejo-de-estado/</w:t>
              </w:r>
            </w:hyperlink>
            <w:r w:rsidRPr="0071334E">
              <w:rPr>
                <w:rFonts w:ascii="Verdana" w:hAnsi="Verdana" w:cs="Arial"/>
              </w:rPr>
              <w:t xml:space="preserve"> </w:t>
            </w:r>
          </w:p>
          <w:p w14:paraId="3E54950B" w14:textId="77777777" w:rsidR="006B5F4A" w:rsidRPr="00062A55" w:rsidRDefault="006B5F4A" w:rsidP="006B5F4A">
            <w:pPr>
              <w:pStyle w:val="Prrafodelista"/>
              <w:widowControl w:val="0"/>
              <w:numPr>
                <w:ilvl w:val="0"/>
                <w:numId w:val="8"/>
              </w:numPr>
              <w:autoSpaceDE w:val="0"/>
              <w:autoSpaceDN w:val="0"/>
              <w:spacing w:before="120" w:after="120" w:line="276" w:lineRule="auto"/>
              <w:contextualSpacing w:val="0"/>
              <w:jc w:val="both"/>
              <w:rPr>
                <w:rFonts w:ascii="Verdana" w:hAnsi="Verdana" w:cs="Arial"/>
              </w:rPr>
            </w:pPr>
            <w:r w:rsidRPr="00C26FA4">
              <w:rPr>
                <w:rFonts w:ascii="Verdana" w:hAnsi="Verdana" w:cs="Arial"/>
              </w:rPr>
              <w:t>Guías y manuales expedidos por la ANCP-CCE. Disponible en:</w:t>
            </w:r>
            <w:r w:rsidRPr="00C26FA4">
              <w:rPr>
                <w:rFonts w:ascii="Verdana" w:hAnsi="Verdana"/>
              </w:rPr>
              <w:t xml:space="preserve"> </w:t>
            </w:r>
            <w:hyperlink r:id="rId14" w:history="1">
              <w:r w:rsidRPr="0071334E">
                <w:rPr>
                  <w:rStyle w:val="Hipervnculo"/>
                  <w:rFonts w:ascii="Verdana" w:hAnsi="Verdana" w:cs="Arial"/>
                </w:rPr>
                <w:t>https://www.colombiacompra.gov.co/manuales-guias-y-pliegos-tipo/manuales-y-guias</w:t>
              </w:r>
            </w:hyperlink>
            <w:r w:rsidRPr="0071334E">
              <w:rPr>
                <w:rFonts w:ascii="Verdana" w:hAnsi="Verdana" w:cs="Arial"/>
              </w:rPr>
              <w:t xml:space="preserve"> </w:t>
            </w:r>
          </w:p>
        </w:tc>
      </w:tr>
    </w:tbl>
    <w:p w14:paraId="2547714F" w14:textId="77777777" w:rsidR="006B5F4A" w:rsidRPr="0071334E" w:rsidRDefault="006B5F4A" w:rsidP="006B5F4A">
      <w:pPr>
        <w:widowControl w:val="0"/>
        <w:autoSpaceDE w:val="0"/>
        <w:autoSpaceDN w:val="0"/>
        <w:spacing w:after="0" w:line="276" w:lineRule="auto"/>
        <w:jc w:val="both"/>
        <w:rPr>
          <w:rFonts w:ascii="Verdana" w:hAnsi="Verdana" w:cs="Arial"/>
        </w:rPr>
      </w:pPr>
    </w:p>
    <w:p w14:paraId="40D2BB97" w14:textId="77777777" w:rsidR="006B5F4A" w:rsidRPr="0071334E" w:rsidRDefault="006B5F4A" w:rsidP="006B5F4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1334E">
        <w:rPr>
          <w:rFonts w:ascii="Verdana" w:eastAsia="Century Gothic" w:hAnsi="Verdana" w:cs="Century Gothic"/>
          <w:b/>
          <w:bCs/>
        </w:rPr>
        <w:t>Doctrina de la Agencia Nacional de Contratación Pública:</w:t>
      </w:r>
    </w:p>
    <w:p w14:paraId="6F736C2A" w14:textId="77777777" w:rsidR="006B5F4A" w:rsidRPr="0071334E" w:rsidRDefault="006B5F4A" w:rsidP="006B5F4A">
      <w:pPr>
        <w:widowControl w:val="0"/>
        <w:autoSpaceDE w:val="0"/>
        <w:autoSpaceDN w:val="0"/>
        <w:spacing w:after="0" w:line="276" w:lineRule="auto"/>
        <w:jc w:val="both"/>
        <w:rPr>
          <w:rFonts w:ascii="Verdana" w:hAnsi="Verdana" w:cs="Arial"/>
        </w:rPr>
      </w:pPr>
    </w:p>
    <w:p w14:paraId="3A097F12" w14:textId="77777777" w:rsidR="006B5F4A" w:rsidRPr="0071334E" w:rsidRDefault="006B5F4A" w:rsidP="006B5F4A">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23C09">
        <w:rPr>
          <w:rStyle w:val="normaltextrun"/>
          <w:rFonts w:ascii="Verdana" w:hAnsi="Verdana" w:cs="Arial"/>
          <w:shd w:val="clear" w:color="auto" w:fill="FFFFFF"/>
        </w:rPr>
        <w:t>Sobre la liquidación de los contratos estatales esta Subdirección se pronunció en los conceptos No. 4201912000004908 del 27 de septiembre de 2019, CU-028 de 25 de febrero de 2020, C-221 de 21 de abril de 2020, C-078 del 17 de marzo de 2021 y C-220 del 18 de mayo de 2021, C-739 del 29 de noviembre del 2022, C-015 del 24 de febrero del 2023, C-158 del 06 de junio del 2023, C-176 del 03 de mayo del 2023</w:t>
      </w:r>
      <w:r>
        <w:rPr>
          <w:rStyle w:val="normaltextrun"/>
          <w:rFonts w:ascii="Verdana" w:hAnsi="Verdana" w:cs="Arial"/>
          <w:shd w:val="clear" w:color="auto" w:fill="FFFFFF"/>
        </w:rPr>
        <w:t>,</w:t>
      </w:r>
      <w:r w:rsidRPr="00623C09">
        <w:rPr>
          <w:rStyle w:val="normaltextrun"/>
          <w:rFonts w:ascii="Verdana" w:hAnsi="Verdana" w:cs="Arial"/>
          <w:shd w:val="clear" w:color="auto" w:fill="FFFFFF"/>
        </w:rPr>
        <w:t xml:space="preserve"> C-427 del 27 de noviembre del 2023</w:t>
      </w:r>
      <w:r>
        <w:rPr>
          <w:rStyle w:val="normaltextrun"/>
          <w:rFonts w:ascii="Verdana" w:hAnsi="Verdana" w:cs="Arial"/>
          <w:shd w:val="clear" w:color="auto" w:fill="FFFFFF"/>
        </w:rPr>
        <w:t xml:space="preserve"> y C-346 del 29 de agosto de 2024, entre otros</w:t>
      </w:r>
      <w:r w:rsidRPr="0071334E">
        <w:rPr>
          <w:rStyle w:val="normaltextrun"/>
          <w:rFonts w:ascii="Verdana" w:hAnsi="Verdana" w:cs="Arial"/>
          <w:color w:val="7030A0"/>
          <w:shd w:val="clear" w:color="auto" w:fill="FFFFFF"/>
          <w:lang w:val="es-ES"/>
        </w:rPr>
        <w:t xml:space="preserve">. </w:t>
      </w:r>
      <w:r w:rsidRPr="00FB3675">
        <w:rPr>
          <w:rStyle w:val="normaltextrun"/>
          <w:rFonts w:ascii="Verdana" w:hAnsi="Verdana" w:cs="Arial"/>
          <w:shd w:val="clear" w:color="auto" w:fill="FFFFFF"/>
          <w:lang w:val="es-ES"/>
        </w:rPr>
        <w:t xml:space="preserve">En particular, en los conceptos C-286 del 12 de mayo de 2022, C-805 del 23 de noviembre de 2022, C-514 del 10 de agosto del 2022, y C-873 del 21 de diciembre de 2022 se estudió la causal de </w:t>
      </w:r>
      <w:r>
        <w:rPr>
          <w:rStyle w:val="normaltextrun"/>
          <w:rFonts w:ascii="Verdana" w:hAnsi="Verdana" w:cs="Arial"/>
          <w:shd w:val="clear" w:color="auto" w:fill="FFFFFF"/>
          <w:lang w:val="es-ES"/>
        </w:rPr>
        <w:t>termin</w:t>
      </w:r>
      <w:r w:rsidRPr="00FB3675">
        <w:rPr>
          <w:rStyle w:val="normaltextrun"/>
          <w:rFonts w:ascii="Verdana" w:hAnsi="Verdana" w:cs="Arial"/>
          <w:shd w:val="clear" w:color="auto" w:fill="FFFFFF"/>
          <w:lang w:val="es-ES"/>
        </w:rPr>
        <w:t xml:space="preserve">ación </w:t>
      </w:r>
      <w:r>
        <w:rPr>
          <w:rStyle w:val="normaltextrun"/>
          <w:rFonts w:ascii="Verdana" w:hAnsi="Verdana" w:cs="Arial"/>
          <w:shd w:val="clear" w:color="auto" w:fill="FFFFFF"/>
          <w:lang w:val="es-ES"/>
        </w:rPr>
        <w:t>u</w:t>
      </w:r>
      <w:r w:rsidRPr="00FB3675">
        <w:rPr>
          <w:rStyle w:val="normaltextrun"/>
          <w:rFonts w:ascii="Verdana" w:hAnsi="Verdana" w:cs="Arial"/>
          <w:shd w:val="clear" w:color="auto" w:fill="FFFFFF"/>
          <w:lang w:val="es-ES"/>
        </w:rPr>
        <w:t xml:space="preserve">nilateral contenida en el numeral 2° del artículo 17 de la Ley 80 de 1993. </w:t>
      </w:r>
      <w:r w:rsidRPr="0071334E">
        <w:rPr>
          <w:rStyle w:val="normaltextrun"/>
          <w:rFonts w:ascii="Verdana" w:hAnsi="Verdana" w:cs="Arial"/>
          <w:shd w:val="clear" w:color="auto" w:fill="FFFFFF"/>
          <w:lang w:val="es-ES"/>
        </w:rPr>
        <w:t>Es</w:t>
      </w:r>
      <w:r w:rsidRPr="0071334E">
        <w:rPr>
          <w:rFonts w:ascii="Verdana" w:hAnsi="Verdana"/>
        </w:rPr>
        <w:t>tos y otros conceptos se encuentran disponibles para consulta en el Sistema de relatoría de la Agencia, al cual se puede acceder a través del siguiente enlace:</w:t>
      </w:r>
      <w:r w:rsidRPr="0071334E">
        <w:rPr>
          <w:rStyle w:val="normaltextrun"/>
          <w:rFonts w:ascii="Verdana" w:hAnsi="Verdana" w:cs="Arial"/>
          <w:shd w:val="clear" w:color="auto" w:fill="FFFFFF"/>
          <w:lang w:val="es-ES"/>
        </w:rPr>
        <w:t xml:space="preserve"> </w:t>
      </w:r>
      <w:hyperlink r:id="rId15" w:history="1">
        <w:r w:rsidRPr="0071334E">
          <w:rPr>
            <w:rStyle w:val="Hipervnculo"/>
            <w:rFonts w:ascii="Verdana" w:hAnsi="Verdana" w:cs="Arial"/>
            <w:shd w:val="clear" w:color="auto" w:fill="FFFFFF"/>
            <w:lang w:val="es-ES"/>
          </w:rPr>
          <w:t>https://relatoria.colombiacompra.gov.co/busqueda/conceptos</w:t>
        </w:r>
      </w:hyperlink>
      <w:r w:rsidRPr="0071334E">
        <w:rPr>
          <w:rStyle w:val="normaltextrun"/>
          <w:rFonts w:ascii="Verdana" w:hAnsi="Verdana" w:cs="Arial"/>
          <w:color w:val="FF0000"/>
          <w:shd w:val="clear" w:color="auto" w:fill="FFFFFF"/>
          <w:lang w:val="es-ES"/>
        </w:rPr>
        <w:t xml:space="preserve">. </w:t>
      </w:r>
    </w:p>
    <w:p w14:paraId="195C9A1A" w14:textId="77777777" w:rsidR="006B5F4A" w:rsidRPr="0071334E" w:rsidRDefault="006B5F4A" w:rsidP="006B5F4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09092A4" w14:textId="77777777" w:rsidR="006B5F4A" w:rsidRPr="00511C0F" w:rsidRDefault="006B5F4A" w:rsidP="006B5F4A">
      <w:pPr>
        <w:widowControl w:val="0"/>
        <w:autoSpaceDE w:val="0"/>
        <w:autoSpaceDN w:val="0"/>
        <w:spacing w:after="0" w:line="276" w:lineRule="auto"/>
        <w:jc w:val="both"/>
      </w:pPr>
      <w:r w:rsidRPr="0071334E">
        <w:rPr>
          <w:rStyle w:val="normaltextrun"/>
          <w:rFonts w:ascii="Verdana" w:hAnsi="Verdana" w:cs="Arial"/>
          <w:color w:val="000000" w:themeColor="text1"/>
          <w:shd w:val="clear" w:color="auto" w:fill="FFFFFF"/>
          <w:lang w:val="es-ES"/>
        </w:rPr>
        <w:t xml:space="preserve">También </w:t>
      </w:r>
      <w:r>
        <w:rPr>
          <w:rFonts w:ascii="Verdana" w:hAnsi="Verdana" w:cs="Arial"/>
          <w:color w:val="000000" w:themeColor="text1"/>
          <w:shd w:val="clear" w:color="auto" w:fill="FFFFFF"/>
        </w:rPr>
        <w:t>l</w:t>
      </w:r>
      <w:r w:rsidRPr="00F8442B">
        <w:rPr>
          <w:rFonts w:ascii="Verdana" w:hAnsi="Verdana" w:cs="Arial"/>
          <w:color w:val="000000" w:themeColor="text1"/>
          <w:shd w:val="clear" w:color="auto" w:fill="FFFFFF"/>
        </w:rPr>
        <w:t xml:space="preserve">e invitamos a revisar la </w:t>
      </w:r>
      <w:r>
        <w:rPr>
          <w:rFonts w:ascii="Verdana" w:hAnsi="Verdana" w:cs="Arial"/>
          <w:color w:val="000000" w:themeColor="text1"/>
          <w:shd w:val="clear" w:color="auto" w:fill="FFFFFF"/>
        </w:rPr>
        <w:t>sexta</w:t>
      </w:r>
      <w:r w:rsidRPr="00F8442B">
        <w:rPr>
          <w:rFonts w:ascii="Verdana" w:hAnsi="Verdana" w:cs="Arial"/>
          <w:color w:val="000000" w:themeColor="text1"/>
          <w:shd w:val="clear" w:color="auto" w:fill="FFFFFF"/>
        </w:rPr>
        <w:t xml:space="preserve"> edición del Boletín de Relatoría de 2024. Puede consultarlo en el siguiente enla</w:t>
      </w:r>
      <w:r w:rsidRPr="00511C0F">
        <w:rPr>
          <w:rFonts w:ascii="Verdana" w:hAnsi="Verdana" w:cs="Arial"/>
          <w:color w:val="000000" w:themeColor="text1"/>
          <w:shd w:val="clear" w:color="auto" w:fill="FFFFFF"/>
        </w:rPr>
        <w:t>ce: </w:t>
      </w:r>
      <w:hyperlink r:id="rId16" w:tgtFrame="_blank" w:tooltip="Dirección URL original: https://www.colombiacompra.gov.co/sala-de-prensa/boletin-digital/boletin-de-relatoria-2024-vi-modalidad-de-seleccion-de-seleccion-de. Haga clic o pulse si confía en este vínculo." w:history="1">
        <w:r w:rsidRPr="00096766">
          <w:rPr>
            <w:rStyle w:val="Hipervnculo"/>
            <w:rFonts w:ascii="Verdana" w:hAnsi="Verdana"/>
          </w:rPr>
          <w:t>https://www.colombiacompra.gov.co/sala-de-prensa/boletin-digital/boletin-de-relatoria-2024-vi-modalidad-de-seleccion-de-seleccion-de</w:t>
        </w:r>
      </w:hyperlink>
    </w:p>
    <w:p w14:paraId="15566417" w14:textId="77777777" w:rsidR="006B5F4A" w:rsidRDefault="006B5F4A" w:rsidP="006B5F4A">
      <w:pPr>
        <w:widowControl w:val="0"/>
        <w:autoSpaceDE w:val="0"/>
        <w:autoSpaceDN w:val="0"/>
        <w:spacing w:after="0" w:line="276" w:lineRule="auto"/>
        <w:jc w:val="both"/>
        <w:rPr>
          <w:rStyle w:val="Hipervnculo"/>
          <w:rFonts w:ascii="Verdana" w:hAnsi="Verdana" w:cs="Arial"/>
          <w:shd w:val="clear" w:color="auto" w:fill="FFFFFF"/>
        </w:rPr>
      </w:pPr>
      <w:r>
        <w:t xml:space="preserve"> </w:t>
      </w:r>
    </w:p>
    <w:p w14:paraId="2E4A76E9" w14:textId="77777777" w:rsidR="006B5F4A" w:rsidRPr="0071334E" w:rsidRDefault="006B5F4A" w:rsidP="006B5F4A">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9C09717" w14:textId="77777777" w:rsidR="006B5F4A" w:rsidRPr="0071334E" w:rsidRDefault="006B5F4A" w:rsidP="006B5F4A">
      <w:pPr>
        <w:spacing w:after="0" w:line="240" w:lineRule="auto"/>
        <w:jc w:val="both"/>
        <w:rPr>
          <w:rFonts w:ascii="Verdana" w:hAnsi="Verdana"/>
        </w:rPr>
      </w:pPr>
      <w:r w:rsidRPr="0071334E">
        <w:rPr>
          <w:rFonts w:ascii="Verdana" w:hAnsi="Verdana"/>
        </w:rPr>
        <w:t xml:space="preserve">Por último, lo invitamos a seguirnos en las redes sociales en las cuales se difunde información institucional: </w:t>
      </w:r>
    </w:p>
    <w:p w14:paraId="6C715460" w14:textId="77777777" w:rsidR="006B5F4A" w:rsidRPr="0071334E" w:rsidRDefault="006B5F4A" w:rsidP="006B5F4A">
      <w:pPr>
        <w:spacing w:after="0" w:line="240" w:lineRule="auto"/>
        <w:jc w:val="both"/>
        <w:rPr>
          <w:rFonts w:ascii="Verdana" w:hAnsi="Verdana"/>
        </w:rPr>
      </w:pPr>
    </w:p>
    <w:p w14:paraId="52BECD00" w14:textId="77777777" w:rsidR="006B5F4A" w:rsidRPr="0071334E" w:rsidRDefault="006B5F4A" w:rsidP="006B5F4A">
      <w:pPr>
        <w:spacing w:after="0" w:line="240" w:lineRule="auto"/>
        <w:jc w:val="both"/>
        <w:rPr>
          <w:rFonts w:ascii="Verdana" w:hAnsi="Verdana"/>
        </w:rPr>
      </w:pPr>
      <w:r w:rsidRPr="0071334E">
        <w:rPr>
          <w:rFonts w:ascii="Verdana" w:hAnsi="Verdana"/>
        </w:rPr>
        <w:t xml:space="preserve">Twitter: </w:t>
      </w:r>
      <w:r w:rsidRPr="0071334E">
        <w:rPr>
          <w:rStyle w:val="Hipervnculo"/>
          <w:rFonts w:ascii="Verdana" w:hAnsi="Verdana"/>
          <w:color w:val="4472C4" w:themeColor="accent1"/>
        </w:rPr>
        <w:t>@colombiacompra</w:t>
      </w:r>
      <w:r w:rsidRPr="0071334E">
        <w:rPr>
          <w:rFonts w:ascii="Verdana" w:hAnsi="Verdana"/>
          <w:color w:val="4472C4" w:themeColor="accent1"/>
        </w:rPr>
        <w:t xml:space="preserve"> </w:t>
      </w:r>
    </w:p>
    <w:p w14:paraId="7CCB6904" w14:textId="77777777" w:rsidR="006B5F4A" w:rsidRPr="0071334E" w:rsidRDefault="006B5F4A" w:rsidP="006B5F4A">
      <w:pPr>
        <w:spacing w:after="0" w:line="240" w:lineRule="auto"/>
        <w:jc w:val="both"/>
        <w:rPr>
          <w:rFonts w:ascii="Verdana" w:hAnsi="Verdana"/>
        </w:rPr>
      </w:pPr>
      <w:r w:rsidRPr="0071334E">
        <w:rPr>
          <w:rFonts w:ascii="Verdana" w:hAnsi="Verdana"/>
        </w:rPr>
        <w:t xml:space="preserve">Facebook: </w:t>
      </w:r>
      <w:r w:rsidRPr="0071334E">
        <w:rPr>
          <w:rStyle w:val="Hipervnculo"/>
          <w:rFonts w:ascii="Verdana" w:hAnsi="Verdana"/>
          <w:color w:val="4472C4" w:themeColor="accent1"/>
        </w:rPr>
        <w:t>ColombiaCompraEficiente</w:t>
      </w:r>
    </w:p>
    <w:p w14:paraId="2288AD80" w14:textId="77777777" w:rsidR="006B5F4A" w:rsidRPr="0071334E" w:rsidRDefault="006B5F4A" w:rsidP="006B5F4A">
      <w:pPr>
        <w:spacing w:after="0" w:line="240" w:lineRule="auto"/>
        <w:jc w:val="both"/>
        <w:rPr>
          <w:rFonts w:ascii="Verdana" w:hAnsi="Verdana"/>
        </w:rPr>
      </w:pPr>
      <w:r w:rsidRPr="0071334E">
        <w:rPr>
          <w:rFonts w:ascii="Verdana" w:hAnsi="Verdana"/>
        </w:rPr>
        <w:t xml:space="preserve">LinkedIn: </w:t>
      </w:r>
      <w:r w:rsidRPr="0071334E">
        <w:rPr>
          <w:rStyle w:val="Hipervnculo"/>
          <w:rFonts w:ascii="Verdana" w:hAnsi="Verdana"/>
          <w:color w:val="4472C4" w:themeColor="accent1"/>
        </w:rPr>
        <w:t>Agencia Nacional de Contratación Pública - Colombia Compra Eficiente</w:t>
      </w:r>
      <w:r w:rsidRPr="0071334E">
        <w:rPr>
          <w:rFonts w:ascii="Verdana" w:hAnsi="Verdana"/>
          <w:color w:val="4472C4" w:themeColor="accent1"/>
        </w:rPr>
        <w:t xml:space="preserve"> </w:t>
      </w:r>
      <w:r w:rsidRPr="0071334E">
        <w:rPr>
          <w:rFonts w:ascii="Verdana" w:hAnsi="Verdana"/>
        </w:rPr>
        <w:t xml:space="preserve">Instagram: </w:t>
      </w:r>
      <w:r w:rsidRPr="0071334E">
        <w:rPr>
          <w:rStyle w:val="Hipervnculo"/>
          <w:rFonts w:ascii="Verdana" w:hAnsi="Verdana"/>
          <w:color w:val="4472C4" w:themeColor="accent1"/>
        </w:rPr>
        <w:t>@colombiacompraeficiente_cce</w:t>
      </w:r>
    </w:p>
    <w:p w14:paraId="7074C277" w14:textId="77777777" w:rsidR="006B5F4A" w:rsidRPr="0071334E" w:rsidRDefault="006B5F4A" w:rsidP="006B5F4A">
      <w:pPr>
        <w:widowControl w:val="0"/>
        <w:autoSpaceDE w:val="0"/>
        <w:autoSpaceDN w:val="0"/>
        <w:spacing w:after="0" w:line="276" w:lineRule="auto"/>
        <w:jc w:val="both"/>
        <w:rPr>
          <w:rFonts w:ascii="Verdana" w:hAnsi="Verdana" w:cs="Arial"/>
        </w:rPr>
      </w:pPr>
    </w:p>
    <w:p w14:paraId="4A554D8F" w14:textId="77777777" w:rsidR="006B5F4A" w:rsidRPr="0071334E" w:rsidRDefault="006B5F4A" w:rsidP="006B5F4A">
      <w:pPr>
        <w:widowControl w:val="0"/>
        <w:autoSpaceDE w:val="0"/>
        <w:autoSpaceDN w:val="0"/>
        <w:spacing w:after="0" w:line="276" w:lineRule="auto"/>
        <w:jc w:val="both"/>
        <w:rPr>
          <w:rFonts w:ascii="Verdana" w:hAnsi="Verdana" w:cs="Arial"/>
          <w:lang w:val="es-ES_tradnl"/>
        </w:rPr>
      </w:pPr>
      <w:r w:rsidRPr="0071334E">
        <w:rPr>
          <w:rFonts w:ascii="Verdana" w:hAnsi="Verdana" w:cs="Arial"/>
        </w:rPr>
        <w:t xml:space="preserve">Este concepto tiene el alcance previsto en el artículo 28 del Código de Procedimiento Administrativo y de lo Contencioso Administrativo </w:t>
      </w:r>
      <w:r w:rsidRPr="0071334E">
        <w:rPr>
          <w:rFonts w:ascii="Verdana" w:hAnsi="Verdana" w:cs="Arial"/>
          <w:lang w:val="es-ES_tradnl"/>
        </w:rPr>
        <w:t>y las expresiones aquí utilizadas con mayúscula inicial deben ser entendidas con el significado que les otorga el artículo 2.2.1.1.1.3.1. del Decreto 1082 de 2015.</w:t>
      </w:r>
    </w:p>
    <w:p w14:paraId="458D4A61" w14:textId="5023BBCE" w:rsidR="006B5F4A" w:rsidRPr="0071334E" w:rsidRDefault="006B5F4A" w:rsidP="006B5F4A">
      <w:pPr>
        <w:widowControl w:val="0"/>
        <w:autoSpaceDE w:val="0"/>
        <w:autoSpaceDN w:val="0"/>
        <w:spacing w:after="0" w:line="276" w:lineRule="auto"/>
        <w:jc w:val="both"/>
        <w:rPr>
          <w:rFonts w:ascii="Verdana" w:hAnsi="Verdana" w:cs="Arial"/>
        </w:rPr>
      </w:pPr>
    </w:p>
    <w:p w14:paraId="586B4680" w14:textId="1C373730" w:rsidR="006B5F4A" w:rsidRPr="0071334E" w:rsidRDefault="006B5F4A" w:rsidP="006B5F4A">
      <w:pPr>
        <w:spacing w:after="0" w:line="240" w:lineRule="auto"/>
        <w:rPr>
          <w:rFonts w:ascii="Verdana" w:hAnsi="Verdana" w:cs="Arial"/>
          <w:lang w:eastAsia="es-CO"/>
        </w:rPr>
      </w:pPr>
      <w:r w:rsidRPr="0071334E">
        <w:rPr>
          <w:rFonts w:ascii="Verdana" w:eastAsia="Times New Roman" w:hAnsi="Verdana" w:cs="Arial"/>
          <w:lang w:eastAsia="es-CO"/>
        </w:rPr>
        <w:t>Atentamente,</w:t>
      </w:r>
      <w:r w:rsidRPr="0071334E">
        <w:rPr>
          <w:rFonts w:ascii="Verdana" w:hAnsi="Verdana" w:cs="Arial"/>
          <w:lang w:eastAsia="es-CO"/>
        </w:rPr>
        <w:t xml:space="preserve"> </w:t>
      </w:r>
    </w:p>
    <w:p w14:paraId="398A7BF5" w14:textId="05E8B5C4" w:rsidR="00A14628" w:rsidRPr="00A14628" w:rsidRDefault="00A14628" w:rsidP="00A14628">
      <w:pPr>
        <w:spacing w:line="276" w:lineRule="auto"/>
        <w:jc w:val="center"/>
        <w:rPr>
          <w:rFonts w:ascii="Verdana" w:hAnsi="Verdana" w:cs="Arial"/>
          <w:color w:val="000000"/>
          <w:lang w:val="es-MX" w:eastAsia="es-CO"/>
        </w:rPr>
      </w:pPr>
      <w:r w:rsidRPr="00A14628">
        <w:rPr>
          <w:rFonts w:ascii="Verdana" w:hAnsi="Verdana" w:cs="Arial"/>
          <w:noProof/>
          <w:color w:val="000000"/>
          <w:lang w:val="es-MX" w:eastAsia="es-CO"/>
        </w:rPr>
        <w:drawing>
          <wp:anchor distT="0" distB="0" distL="114300" distR="114300" simplePos="0" relativeHeight="251659264" behindDoc="0" locked="0" layoutInCell="1" allowOverlap="1" wp14:anchorId="3948D119" wp14:editId="608E2FCC">
            <wp:simplePos x="0" y="0"/>
            <wp:positionH relativeFrom="column">
              <wp:posOffset>1034609</wp:posOffset>
            </wp:positionH>
            <wp:positionV relativeFrom="paragraph">
              <wp:posOffset>277026</wp:posOffset>
            </wp:positionV>
            <wp:extent cx="3195955" cy="1186180"/>
            <wp:effectExtent l="0" t="0" r="4445" b="0"/>
            <wp:wrapTopAndBottom/>
            <wp:docPr id="201943315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33158" name="Imagen 2"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595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C7F7B" w14:textId="2E2DA098" w:rsidR="006B5F4A" w:rsidRPr="0071334E" w:rsidRDefault="006B5F4A" w:rsidP="006B5F4A">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B5F4A" w:rsidRPr="00ED55E0" w14:paraId="66948FE4" w14:textId="77777777" w:rsidTr="00FB1C43">
        <w:trPr>
          <w:trHeight w:val="315"/>
        </w:trPr>
        <w:tc>
          <w:tcPr>
            <w:tcW w:w="893" w:type="dxa"/>
            <w:vAlign w:val="center"/>
            <w:hideMark/>
          </w:tcPr>
          <w:p w14:paraId="11336981" w14:textId="77777777" w:rsidR="006B5F4A" w:rsidRPr="00ED55E0" w:rsidRDefault="006B5F4A" w:rsidP="00FB1C43">
            <w:pPr>
              <w:contextualSpacing/>
              <w:rPr>
                <w:rFonts w:ascii="Verdana" w:hAnsi="Verdana" w:cs="Arial"/>
                <w:sz w:val="14"/>
                <w:szCs w:val="14"/>
                <w:lang w:val="es-ES" w:eastAsia="es-ES"/>
              </w:rPr>
            </w:pPr>
            <w:r w:rsidRPr="00ED55E0">
              <w:rPr>
                <w:rFonts w:ascii="Verdana" w:hAnsi="Verdana" w:cs="Arial"/>
                <w:sz w:val="14"/>
                <w:szCs w:val="14"/>
                <w:lang w:val="es-ES" w:eastAsia="es-ES"/>
              </w:rPr>
              <w:t>Elaboró:</w:t>
            </w:r>
          </w:p>
        </w:tc>
        <w:tc>
          <w:tcPr>
            <w:tcW w:w="5628" w:type="dxa"/>
            <w:tcBorders>
              <w:top w:val="nil"/>
              <w:left w:val="nil"/>
              <w:bottom w:val="dotted" w:sz="4" w:space="0" w:color="7F7F7F" w:themeColor="text1" w:themeTint="80"/>
              <w:right w:val="nil"/>
            </w:tcBorders>
            <w:vAlign w:val="center"/>
            <w:hideMark/>
          </w:tcPr>
          <w:p w14:paraId="7C6328D7" w14:textId="77777777" w:rsidR="006B5F4A" w:rsidRPr="00ED55E0" w:rsidRDefault="006B5F4A" w:rsidP="00FB1C43">
            <w:pPr>
              <w:contextualSpacing/>
              <w:rPr>
                <w:rStyle w:val="normaltextrun"/>
                <w:rFonts w:ascii="Verdana" w:hAnsi="Verdana"/>
                <w:sz w:val="14"/>
                <w:szCs w:val="14"/>
              </w:rPr>
            </w:pPr>
            <w:r w:rsidRPr="00ED55E0">
              <w:rPr>
                <w:rStyle w:val="normaltextrun"/>
                <w:rFonts w:ascii="Verdana" w:hAnsi="Verdana"/>
                <w:sz w:val="14"/>
                <w:szCs w:val="14"/>
              </w:rPr>
              <w:t>Gloria Ximena Moreno Guio</w:t>
            </w:r>
          </w:p>
          <w:p w14:paraId="0322BC0A" w14:textId="77777777" w:rsidR="006B5F4A" w:rsidRPr="00ED55E0" w:rsidRDefault="006B5F4A" w:rsidP="00FB1C43">
            <w:pPr>
              <w:contextualSpacing/>
              <w:rPr>
                <w:rFonts w:ascii="Verdana" w:eastAsia="Arial" w:hAnsi="Verdana" w:cs="Arial"/>
                <w:sz w:val="14"/>
                <w:szCs w:val="14"/>
              </w:rPr>
            </w:pPr>
            <w:r w:rsidRPr="00ED55E0">
              <w:rPr>
                <w:rStyle w:val="normaltextrun"/>
                <w:rFonts w:ascii="Verdana" w:hAnsi="Verdana"/>
                <w:sz w:val="14"/>
                <w:szCs w:val="14"/>
              </w:rPr>
              <w:t xml:space="preserve">Contratista </w:t>
            </w:r>
            <w:r w:rsidRPr="00ED55E0">
              <w:rPr>
                <w:rStyle w:val="normaltextrun"/>
                <w:rFonts w:ascii="Verdana" w:eastAsia="Arial" w:hAnsi="Verdana" w:cs="Arial"/>
                <w:sz w:val="14"/>
                <w:szCs w:val="14"/>
              </w:rPr>
              <w:t>de la Subdirección de Gestión Contractual</w:t>
            </w:r>
          </w:p>
        </w:tc>
      </w:tr>
      <w:tr w:rsidR="006B5F4A" w:rsidRPr="00ED55E0" w14:paraId="3B61C7A5" w14:textId="77777777" w:rsidTr="00FB1C43">
        <w:trPr>
          <w:trHeight w:val="330"/>
        </w:trPr>
        <w:tc>
          <w:tcPr>
            <w:tcW w:w="893" w:type="dxa"/>
            <w:vAlign w:val="center"/>
            <w:hideMark/>
          </w:tcPr>
          <w:p w14:paraId="6C6109E0" w14:textId="77777777" w:rsidR="006B5F4A" w:rsidRPr="00ED55E0" w:rsidRDefault="006B5F4A" w:rsidP="00FB1C43">
            <w:pPr>
              <w:contextualSpacing/>
              <w:rPr>
                <w:rFonts w:ascii="Verdana" w:hAnsi="Verdana" w:cs="Arial"/>
                <w:sz w:val="14"/>
                <w:szCs w:val="14"/>
                <w:lang w:val="es-ES" w:eastAsia="es-ES"/>
              </w:rPr>
            </w:pPr>
            <w:r w:rsidRPr="00ED55E0">
              <w:rPr>
                <w:rFonts w:ascii="Verdana" w:hAnsi="Verdana" w:cs="Arial"/>
                <w:sz w:val="14"/>
                <w:szCs w:val="14"/>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1C4C45E" w14:textId="77777777" w:rsidR="006B5F4A" w:rsidRPr="00ED55E0" w:rsidRDefault="006B5F4A" w:rsidP="00FB1C43">
            <w:pPr>
              <w:pStyle w:val="paragraph"/>
              <w:spacing w:after="0"/>
              <w:contextualSpacing/>
              <w:textAlignment w:val="baseline"/>
              <w:rPr>
                <w:rStyle w:val="normaltextrun"/>
                <w:rFonts w:ascii="Verdana" w:hAnsi="Verdana" w:cs="Arial"/>
                <w:sz w:val="14"/>
                <w:szCs w:val="14"/>
                <w:lang w:val="es-ES"/>
              </w:rPr>
            </w:pPr>
            <w:r w:rsidRPr="00ED55E0">
              <w:rPr>
                <w:rStyle w:val="normaltextrun"/>
                <w:rFonts w:ascii="Verdana" w:hAnsi="Verdana" w:cs="Arial"/>
                <w:sz w:val="14"/>
                <w:szCs w:val="14"/>
                <w:lang w:val="es-ES"/>
              </w:rPr>
              <w:t>Ximena Ríos López</w:t>
            </w:r>
          </w:p>
          <w:p w14:paraId="54AE3CDD" w14:textId="77777777" w:rsidR="006B5F4A" w:rsidRPr="00ED55E0" w:rsidRDefault="006B5F4A" w:rsidP="00FB1C43">
            <w:pPr>
              <w:pStyle w:val="paragraph"/>
              <w:spacing w:before="0" w:beforeAutospacing="0" w:after="0" w:afterAutospacing="0"/>
              <w:contextualSpacing/>
              <w:textAlignment w:val="baseline"/>
              <w:rPr>
                <w:rFonts w:ascii="Verdana" w:hAnsi="Verdana" w:cs="Segoe UI"/>
                <w:sz w:val="14"/>
                <w:szCs w:val="14"/>
              </w:rPr>
            </w:pPr>
            <w:r w:rsidRPr="00ED55E0">
              <w:rPr>
                <w:rStyle w:val="normaltextrun"/>
                <w:rFonts w:ascii="Verdana" w:hAnsi="Verdana" w:cs="Arial"/>
                <w:sz w:val="14"/>
                <w:szCs w:val="14"/>
                <w:lang w:val="es-ES"/>
              </w:rPr>
              <w:t>Gestor T1-11 de la Subdirección de Gestión Contractual</w:t>
            </w:r>
          </w:p>
        </w:tc>
      </w:tr>
      <w:tr w:rsidR="006B5F4A" w:rsidRPr="00ED55E0" w14:paraId="3C95D72B" w14:textId="77777777" w:rsidTr="00FB1C43">
        <w:trPr>
          <w:trHeight w:val="300"/>
        </w:trPr>
        <w:tc>
          <w:tcPr>
            <w:tcW w:w="893" w:type="dxa"/>
            <w:vAlign w:val="center"/>
          </w:tcPr>
          <w:p w14:paraId="3134EB38" w14:textId="77777777" w:rsidR="006B5F4A" w:rsidRPr="00ED55E0" w:rsidRDefault="006B5F4A" w:rsidP="00FB1C43">
            <w:pPr>
              <w:contextualSpacing/>
              <w:rPr>
                <w:rFonts w:ascii="Verdana" w:hAnsi="Verdana" w:cs="Arial"/>
                <w:sz w:val="14"/>
                <w:szCs w:val="14"/>
                <w:lang w:val="es-ES" w:eastAsia="es-ES"/>
              </w:rPr>
            </w:pPr>
            <w:r w:rsidRPr="00ED55E0">
              <w:rPr>
                <w:rFonts w:ascii="Verdana" w:hAnsi="Verdana" w:cs="Arial"/>
                <w:sz w:val="14"/>
                <w:szCs w:val="14"/>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6309ADC" w14:textId="77777777" w:rsidR="006B5F4A" w:rsidRPr="00ED55E0" w:rsidRDefault="006B5F4A" w:rsidP="00FB1C43">
            <w:pPr>
              <w:contextualSpacing/>
              <w:rPr>
                <w:rFonts w:ascii="Verdana" w:eastAsia="Calibri" w:hAnsi="Verdana" w:cs="Arial"/>
                <w:sz w:val="14"/>
                <w:szCs w:val="14"/>
                <w:lang w:val="pt-BR" w:eastAsia="es-ES"/>
              </w:rPr>
            </w:pPr>
            <w:r w:rsidRPr="00ED55E0">
              <w:rPr>
                <w:rFonts w:ascii="Verdana" w:eastAsia="Calibri" w:hAnsi="Verdana" w:cs="Arial"/>
                <w:sz w:val="14"/>
                <w:szCs w:val="14"/>
                <w:lang w:val="pt-BR" w:eastAsia="es-ES"/>
              </w:rPr>
              <w:t>Carolina Quintero Gacharná</w:t>
            </w:r>
          </w:p>
          <w:p w14:paraId="21B1C9C2" w14:textId="77777777" w:rsidR="006B5F4A" w:rsidRPr="00ED55E0" w:rsidRDefault="006B5F4A" w:rsidP="00FB1C43">
            <w:pPr>
              <w:contextualSpacing/>
              <w:rPr>
                <w:rFonts w:ascii="Verdana" w:eastAsia="Calibri" w:hAnsi="Verdana" w:cs="Arial"/>
                <w:sz w:val="14"/>
                <w:szCs w:val="14"/>
                <w:lang w:val="pt-BR" w:eastAsia="es-ES"/>
              </w:rPr>
            </w:pPr>
            <w:r w:rsidRPr="00ED55E0">
              <w:rPr>
                <w:rFonts w:ascii="Verdana" w:eastAsia="Calibri" w:hAnsi="Verdana" w:cs="Arial"/>
                <w:sz w:val="14"/>
                <w:szCs w:val="14"/>
                <w:lang w:eastAsia="es-ES"/>
              </w:rPr>
              <w:t>Subdirectora</w:t>
            </w:r>
            <w:r w:rsidRPr="00ED55E0">
              <w:rPr>
                <w:rFonts w:ascii="Verdana" w:eastAsia="Calibri" w:hAnsi="Verdana" w:cs="Arial"/>
                <w:sz w:val="14"/>
                <w:szCs w:val="14"/>
                <w:lang w:val="pt-BR" w:eastAsia="es-ES"/>
              </w:rPr>
              <w:t xml:space="preserve"> de Gestión Contractual ANCP – CCE</w:t>
            </w:r>
          </w:p>
        </w:tc>
      </w:tr>
      <w:bookmarkEnd w:id="0"/>
    </w:tbl>
    <w:p w14:paraId="0083C991" w14:textId="5C765C2F" w:rsidR="5D8505AD" w:rsidRPr="006B5F4A" w:rsidRDefault="5D8505AD" w:rsidP="00584EBA"/>
    <w:sectPr w:rsidR="5D8505AD" w:rsidRPr="006B5F4A"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B56A" w14:textId="77777777" w:rsidR="00CB270D" w:rsidRDefault="00CB270D" w:rsidP="00B30448">
      <w:pPr>
        <w:spacing w:after="0" w:line="240" w:lineRule="auto"/>
      </w:pPr>
      <w:r>
        <w:separator/>
      </w:r>
    </w:p>
  </w:endnote>
  <w:endnote w:type="continuationSeparator" w:id="0">
    <w:p w14:paraId="1F0E73FB" w14:textId="77777777" w:rsidR="00CB270D" w:rsidRDefault="00CB270D" w:rsidP="00B30448">
      <w:pPr>
        <w:spacing w:after="0" w:line="240" w:lineRule="auto"/>
      </w:pPr>
      <w:r>
        <w:continuationSeparator/>
      </w:r>
    </w:p>
  </w:endnote>
  <w:endnote w:type="continuationNotice" w:id="1">
    <w:p w14:paraId="513001AD" w14:textId="77777777" w:rsidR="00CB270D" w:rsidRDefault="00CB2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AD06" w14:textId="77777777" w:rsidR="00CB270D" w:rsidRDefault="00CB270D" w:rsidP="00B30448">
      <w:pPr>
        <w:spacing w:after="0" w:line="240" w:lineRule="auto"/>
      </w:pPr>
      <w:r>
        <w:separator/>
      </w:r>
    </w:p>
  </w:footnote>
  <w:footnote w:type="continuationSeparator" w:id="0">
    <w:p w14:paraId="5DFD9CB7" w14:textId="77777777" w:rsidR="00CB270D" w:rsidRDefault="00CB270D" w:rsidP="00B30448">
      <w:pPr>
        <w:spacing w:after="0" w:line="240" w:lineRule="auto"/>
      </w:pPr>
      <w:r>
        <w:continuationSeparator/>
      </w:r>
    </w:p>
  </w:footnote>
  <w:footnote w:type="continuationNotice" w:id="1">
    <w:p w14:paraId="61165231" w14:textId="77777777" w:rsidR="00CB270D" w:rsidRDefault="00CB270D">
      <w:pPr>
        <w:spacing w:after="0" w:line="240" w:lineRule="auto"/>
      </w:pPr>
    </w:p>
  </w:footnote>
  <w:footnote w:id="2">
    <w:p w14:paraId="4C327F4F" w14:textId="77777777" w:rsidR="006B5F4A" w:rsidRPr="000F233E" w:rsidRDefault="006B5F4A" w:rsidP="006B5F4A">
      <w:pPr>
        <w:pStyle w:val="Textonotapie"/>
        <w:ind w:firstLine="708"/>
        <w:jc w:val="both"/>
        <w:rPr>
          <w:rFonts w:ascii="Verdana" w:hAnsi="Verdana" w:cs="Arial"/>
          <w:sz w:val="16"/>
          <w:szCs w:val="16"/>
        </w:rPr>
      </w:pPr>
      <w:r w:rsidRPr="000F233E">
        <w:rPr>
          <w:rStyle w:val="Refdenotaalpie"/>
          <w:rFonts w:ascii="Verdana" w:hAnsi="Verdana" w:cs="Arial"/>
          <w:sz w:val="16"/>
          <w:szCs w:val="16"/>
        </w:rPr>
        <w:footnoteRef/>
      </w:r>
      <w:r w:rsidRPr="000F233E">
        <w:rPr>
          <w:rFonts w:ascii="Verdana" w:hAnsi="Verdana" w:cs="Arial"/>
          <w:sz w:val="16"/>
          <w:szCs w:val="16"/>
        </w:rPr>
        <w:t xml:space="preserve"> EXPÓSITO VÉLEZ, Juan Carlos. Forma y contenido del contrato estatal, Bogotá: Universidad Externado de Colombia, 2013, p. 190. </w:t>
      </w:r>
    </w:p>
    <w:p w14:paraId="484AD0EA" w14:textId="77777777" w:rsidR="006B5F4A" w:rsidRPr="000F233E" w:rsidRDefault="006B5F4A" w:rsidP="006B5F4A">
      <w:pPr>
        <w:pStyle w:val="Textonotapie"/>
        <w:ind w:firstLine="708"/>
        <w:jc w:val="both"/>
        <w:rPr>
          <w:rFonts w:ascii="Verdana" w:hAnsi="Verdana" w:cs="Arial"/>
          <w:sz w:val="16"/>
          <w:szCs w:val="16"/>
        </w:rPr>
      </w:pPr>
    </w:p>
  </w:footnote>
  <w:footnote w:id="3">
    <w:p w14:paraId="793D8B54" w14:textId="77777777" w:rsidR="006B5F4A" w:rsidRPr="000F233E" w:rsidRDefault="006B5F4A" w:rsidP="006B5F4A">
      <w:pPr>
        <w:spacing w:after="0"/>
        <w:ind w:firstLine="708"/>
        <w:jc w:val="both"/>
        <w:rPr>
          <w:rFonts w:ascii="Verdana" w:hAnsi="Verdana" w:cs="Arial"/>
          <w:color w:val="000000" w:themeColor="text1"/>
          <w:sz w:val="16"/>
          <w:szCs w:val="16"/>
        </w:rPr>
      </w:pPr>
      <w:r w:rsidRPr="000F233E">
        <w:rPr>
          <w:rStyle w:val="Refdenotaalpie"/>
          <w:rFonts w:ascii="Verdana" w:hAnsi="Verdana" w:cs="Arial"/>
          <w:color w:val="000000" w:themeColor="text1"/>
          <w:sz w:val="16"/>
          <w:szCs w:val="16"/>
        </w:rPr>
        <w:footnoteRef/>
      </w:r>
      <w:r w:rsidRPr="000F233E">
        <w:rPr>
          <w:rFonts w:ascii="Verdana" w:hAnsi="Verdana" w:cs="Arial"/>
          <w:color w:val="000000" w:themeColor="text1"/>
          <w:sz w:val="16"/>
          <w:szCs w:val="16"/>
        </w:rPr>
        <w:t xml:space="preserve"> Diario Oficial No. 41.094 de 28 de octubre de 1993</w:t>
      </w:r>
    </w:p>
  </w:footnote>
  <w:footnote w:id="4">
    <w:p w14:paraId="49170C0D" w14:textId="77777777" w:rsidR="006B5F4A" w:rsidRPr="000F233E" w:rsidRDefault="006B5F4A" w:rsidP="006B5F4A">
      <w:pPr>
        <w:pStyle w:val="Textonotapie"/>
        <w:ind w:firstLine="708"/>
        <w:jc w:val="both"/>
        <w:rPr>
          <w:rFonts w:ascii="Verdana" w:hAnsi="Verdana" w:cs="Arial"/>
          <w:sz w:val="16"/>
          <w:szCs w:val="16"/>
        </w:rPr>
      </w:pPr>
      <w:r w:rsidRPr="000F233E">
        <w:rPr>
          <w:rStyle w:val="Refdenotaalpie"/>
          <w:rFonts w:ascii="Verdana" w:hAnsi="Verdana" w:cs="Arial"/>
          <w:sz w:val="16"/>
          <w:szCs w:val="16"/>
        </w:rPr>
        <w:footnoteRef/>
      </w:r>
      <w:r w:rsidRPr="000F233E">
        <w:rPr>
          <w:rFonts w:ascii="Verdana" w:hAnsi="Verdana" w:cs="Arial"/>
          <w:sz w:val="16"/>
          <w:szCs w:val="16"/>
        </w:rPr>
        <w:t xml:space="preserve"> EXPÓSITO VÉLEZ, Juan Carlos. Forma y contenido del contrato estatal, Bogotá: Universidad Externado de Colombia, 2013, p. 202 y 203. </w:t>
      </w:r>
    </w:p>
  </w:footnote>
  <w:footnote w:id="5">
    <w:p w14:paraId="1436365A" w14:textId="77777777" w:rsidR="006B5F4A" w:rsidRPr="000F233E" w:rsidRDefault="006B5F4A" w:rsidP="006B5F4A">
      <w:pPr>
        <w:pStyle w:val="Textonotapie"/>
        <w:ind w:firstLine="708"/>
        <w:jc w:val="both"/>
        <w:rPr>
          <w:rFonts w:ascii="Verdana" w:hAnsi="Verdana" w:cs="Arial"/>
          <w:sz w:val="16"/>
          <w:szCs w:val="16"/>
          <w:lang w:val="es-ES"/>
        </w:rPr>
      </w:pPr>
      <w:r w:rsidRPr="000F233E">
        <w:rPr>
          <w:rStyle w:val="Refdenotaalpie"/>
          <w:rFonts w:ascii="Verdana" w:hAnsi="Verdana" w:cs="Arial"/>
          <w:sz w:val="16"/>
          <w:szCs w:val="16"/>
        </w:rPr>
        <w:footnoteRef/>
      </w:r>
      <w:r w:rsidRPr="000F233E">
        <w:rPr>
          <w:rFonts w:ascii="Verdana" w:hAnsi="Verdana" w:cs="Arial"/>
          <w:sz w:val="16"/>
          <w:szCs w:val="16"/>
        </w:rPr>
        <w:t xml:space="preserve"> </w:t>
      </w:r>
      <w:r w:rsidRPr="000F233E">
        <w:rPr>
          <w:rFonts w:ascii="Verdana" w:hAnsi="Verdana" w:cs="Arial"/>
          <w:sz w:val="16"/>
          <w:szCs w:val="16"/>
          <w:lang w:val="es-ES"/>
        </w:rPr>
        <w:t>CONSEJO DE ESTADO. Sección Tercera. Subsección A. Sentencia de 9 de mayo de 2012. Exp. 20.968. C.P. Mauricio Fajardo Gómez.</w:t>
      </w:r>
    </w:p>
  </w:footnote>
  <w:footnote w:id="6">
    <w:p w14:paraId="7ECFD62F" w14:textId="77777777" w:rsidR="006B5F4A" w:rsidRPr="000F233E" w:rsidRDefault="006B5F4A" w:rsidP="006B5F4A">
      <w:pPr>
        <w:pStyle w:val="Textonotapie"/>
        <w:ind w:firstLine="708"/>
        <w:jc w:val="both"/>
        <w:rPr>
          <w:rFonts w:ascii="Verdana" w:hAnsi="Verdana" w:cs="Arial"/>
          <w:sz w:val="16"/>
          <w:szCs w:val="16"/>
        </w:rPr>
      </w:pPr>
      <w:r w:rsidRPr="000F233E">
        <w:rPr>
          <w:rStyle w:val="Refdenotaalpie"/>
          <w:rFonts w:ascii="Verdana" w:hAnsi="Verdana" w:cs="Arial"/>
          <w:sz w:val="16"/>
          <w:szCs w:val="16"/>
        </w:rPr>
        <w:footnoteRef/>
      </w:r>
      <w:r w:rsidRPr="000F233E">
        <w:rPr>
          <w:rFonts w:ascii="Verdana" w:hAnsi="Verdana" w:cs="Arial"/>
          <w:sz w:val="16"/>
          <w:szCs w:val="16"/>
        </w:rPr>
        <w:t xml:space="preserve"> Artículo 41 de la Ley 80 de 1993. Del perfeccionamiento del contrato estatal: “[…]</w:t>
      </w:r>
    </w:p>
    <w:p w14:paraId="0658D1D2" w14:textId="77777777" w:rsidR="006B5F4A" w:rsidRPr="000F233E" w:rsidRDefault="006B5F4A" w:rsidP="006B5F4A">
      <w:pPr>
        <w:pStyle w:val="Textonotapie"/>
        <w:ind w:firstLine="708"/>
        <w:jc w:val="both"/>
        <w:rPr>
          <w:rFonts w:ascii="Verdana" w:hAnsi="Verdana" w:cs="Arial"/>
          <w:sz w:val="16"/>
          <w:szCs w:val="16"/>
        </w:rPr>
      </w:pPr>
      <w:r w:rsidRPr="000F233E">
        <w:rPr>
          <w:rFonts w:ascii="Verdana" w:hAnsi="Verdana" w:cs="Arial"/>
          <w:sz w:val="16"/>
          <w:szCs w:val="16"/>
        </w:rPr>
        <w:t>Los contratos estatales son intuito personae y, en consecuencia, una vez celebrados no podrán cederse sin previa autorización escrita de la entidad contratante. […]”.</w:t>
      </w:r>
    </w:p>
  </w:footnote>
  <w:footnote w:id="7">
    <w:p w14:paraId="18762BCD" w14:textId="77777777" w:rsidR="006B5F4A" w:rsidRPr="000F233E" w:rsidRDefault="006B5F4A" w:rsidP="006B5F4A">
      <w:pPr>
        <w:pStyle w:val="Textonotapie"/>
        <w:ind w:firstLine="708"/>
        <w:jc w:val="both"/>
        <w:rPr>
          <w:rFonts w:ascii="Verdana" w:hAnsi="Verdana" w:cs="Arial"/>
          <w:sz w:val="16"/>
          <w:szCs w:val="16"/>
        </w:rPr>
      </w:pPr>
      <w:r w:rsidRPr="000F233E">
        <w:rPr>
          <w:rStyle w:val="Refdenotaalpie"/>
          <w:rFonts w:ascii="Verdana" w:hAnsi="Verdana" w:cs="Arial"/>
          <w:sz w:val="16"/>
          <w:szCs w:val="16"/>
        </w:rPr>
        <w:footnoteRef/>
      </w:r>
      <w:r w:rsidRPr="000F233E">
        <w:rPr>
          <w:rFonts w:ascii="Verdana" w:hAnsi="Verdana" w:cs="Arial"/>
          <w:sz w:val="16"/>
          <w:szCs w:val="16"/>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087B0808" w14:textId="77777777" w:rsidR="006B5F4A" w:rsidRPr="000F233E" w:rsidRDefault="006B5F4A" w:rsidP="006B5F4A">
      <w:pPr>
        <w:pStyle w:val="Textonotapie"/>
        <w:ind w:firstLine="708"/>
        <w:jc w:val="both"/>
        <w:rPr>
          <w:rFonts w:ascii="Verdana" w:hAnsi="Verdana" w:cs="Arial"/>
          <w:sz w:val="16"/>
          <w:szCs w:val="16"/>
        </w:rPr>
      </w:pPr>
      <w:r w:rsidRPr="000F233E">
        <w:rPr>
          <w:rFonts w:ascii="Verdana" w:hAnsi="Verdana" w:cs="Arial"/>
          <w:sz w:val="16"/>
          <w:szCs w:val="16"/>
        </w:rPr>
        <w:t xml:space="preserve">“Respecto de la incapacidad física permanente del contratista, la misma se constituye en una causal de terminación unilateral del contrato por las mismas razones determinadas para la muerte del colaborador de la administración. </w:t>
      </w:r>
    </w:p>
    <w:p w14:paraId="72EFC2FD" w14:textId="77777777" w:rsidR="006B5F4A" w:rsidRPr="000F233E" w:rsidRDefault="006B5F4A" w:rsidP="006B5F4A">
      <w:pPr>
        <w:pStyle w:val="Textonotapie"/>
        <w:ind w:firstLine="708"/>
        <w:jc w:val="both"/>
        <w:rPr>
          <w:rFonts w:ascii="Verdana" w:hAnsi="Verdana" w:cs="Arial"/>
          <w:sz w:val="16"/>
          <w:szCs w:val="16"/>
        </w:rPr>
      </w:pPr>
      <w:r w:rsidRPr="000F233E">
        <w:rPr>
          <w:rFonts w:ascii="Verdana" w:hAnsi="Verdana" w:cs="Arial"/>
          <w:sz w:val="16"/>
          <w:szCs w:val="16"/>
        </w:rPr>
        <w:t>“[E]n relación con la disolución de la persona jurídica contratista, su justificación como causal de terminación unilateral del contrato se hace evidente, toda vez que la misma, al comprender su desaparecimiento del mundo jurídico, equivale a la muerte de una persona natural […]”. EXPÓSITO VÉLEZ, Juan Carlos. Forma y contenido del contrato estatal, Bogotá: Universidad Externado de Colombia, 2013, p. 207 a 210.</w:t>
      </w:r>
    </w:p>
    <w:p w14:paraId="73186AEE" w14:textId="77777777" w:rsidR="006B5F4A" w:rsidRPr="000F233E" w:rsidRDefault="006B5F4A" w:rsidP="006B5F4A">
      <w:pPr>
        <w:pStyle w:val="Textonotapie"/>
        <w:ind w:firstLine="708"/>
        <w:jc w:val="both"/>
        <w:rPr>
          <w:rFonts w:ascii="Verdana" w:hAnsi="Verdana" w:cs="Arial"/>
          <w:sz w:val="16"/>
          <w:szCs w:val="16"/>
        </w:rPr>
      </w:pPr>
    </w:p>
  </w:footnote>
  <w:footnote w:id="8">
    <w:p w14:paraId="0ACB1297" w14:textId="77777777" w:rsidR="006B5F4A" w:rsidRPr="000F233E" w:rsidRDefault="006B5F4A" w:rsidP="006B5F4A">
      <w:pPr>
        <w:pStyle w:val="Textonotapie"/>
        <w:ind w:firstLine="708"/>
        <w:jc w:val="both"/>
        <w:rPr>
          <w:rFonts w:ascii="Verdana" w:hAnsi="Verdana" w:cs="Arial"/>
          <w:sz w:val="16"/>
          <w:szCs w:val="16"/>
          <w:lang w:val="es-ES"/>
        </w:rPr>
      </w:pPr>
      <w:r w:rsidRPr="000F233E">
        <w:rPr>
          <w:rStyle w:val="Refdenotaalpie"/>
          <w:rFonts w:ascii="Verdana" w:hAnsi="Verdana" w:cs="Arial"/>
          <w:sz w:val="16"/>
          <w:szCs w:val="16"/>
        </w:rPr>
        <w:footnoteRef/>
      </w:r>
      <w:r w:rsidRPr="000F233E">
        <w:rPr>
          <w:rFonts w:ascii="Verdana" w:hAnsi="Verdana" w:cs="Arial"/>
          <w:sz w:val="16"/>
          <w:szCs w:val="16"/>
        </w:rPr>
        <w:t xml:space="preserve"> </w:t>
      </w:r>
      <w:r w:rsidRPr="000F233E">
        <w:rPr>
          <w:rFonts w:ascii="Verdana" w:hAnsi="Verdana" w:cs="Arial"/>
          <w:sz w:val="16"/>
          <w:szCs w:val="16"/>
          <w:lang w:val="es-ES"/>
        </w:rPr>
        <w:t xml:space="preserve">Artículo 1008 del Código Civil. </w:t>
      </w:r>
    </w:p>
  </w:footnote>
  <w:footnote w:id="9">
    <w:p w14:paraId="2B94F483" w14:textId="77777777" w:rsidR="006B5F4A" w:rsidRPr="000F233E" w:rsidRDefault="006B5F4A" w:rsidP="006B5F4A">
      <w:pPr>
        <w:pStyle w:val="Textonotapie"/>
        <w:ind w:firstLine="708"/>
        <w:jc w:val="both"/>
        <w:rPr>
          <w:rFonts w:ascii="Verdana" w:hAnsi="Verdana" w:cs="Arial"/>
          <w:sz w:val="16"/>
          <w:szCs w:val="16"/>
        </w:rPr>
      </w:pPr>
    </w:p>
    <w:p w14:paraId="0C750E46" w14:textId="77777777" w:rsidR="006B5F4A" w:rsidRDefault="006B5F4A" w:rsidP="006B5F4A">
      <w:pPr>
        <w:pStyle w:val="Textonotapie"/>
        <w:ind w:firstLine="708"/>
        <w:jc w:val="both"/>
        <w:rPr>
          <w:rFonts w:ascii="Verdana" w:hAnsi="Verdana" w:cs="Arial"/>
          <w:sz w:val="16"/>
          <w:szCs w:val="16"/>
          <w:lang w:val="es-ES"/>
        </w:rPr>
      </w:pPr>
      <w:r w:rsidRPr="000F233E">
        <w:rPr>
          <w:rStyle w:val="Refdenotaalpie"/>
          <w:rFonts w:ascii="Verdana" w:hAnsi="Verdana" w:cs="Arial"/>
          <w:sz w:val="16"/>
          <w:szCs w:val="16"/>
        </w:rPr>
        <w:footnoteRef/>
      </w:r>
      <w:r w:rsidRPr="000F233E">
        <w:rPr>
          <w:rFonts w:ascii="Verdana" w:hAnsi="Verdana" w:cs="Arial"/>
          <w:sz w:val="16"/>
          <w:szCs w:val="16"/>
        </w:rPr>
        <w:t xml:space="preserve"> </w:t>
      </w:r>
      <w:r w:rsidRPr="000F233E">
        <w:rPr>
          <w:rFonts w:ascii="Verdana" w:hAnsi="Verdana" w:cs="Arial"/>
          <w:sz w:val="16"/>
          <w:szCs w:val="16"/>
          <w:lang w:val="es-ES"/>
        </w:rPr>
        <w:t xml:space="preserve">CONSEJO DE ESTADO. Sección Tercera. Subsección B. Sentencia de 8 de mayo de 2019. Exp: 56343. MP: Martin Bermúdez Muñoz. </w:t>
      </w:r>
    </w:p>
    <w:p w14:paraId="01B14E41" w14:textId="77777777" w:rsidR="006B5F4A" w:rsidRPr="000F233E" w:rsidRDefault="006B5F4A" w:rsidP="006B5F4A">
      <w:pPr>
        <w:pStyle w:val="Textonotapie"/>
        <w:ind w:firstLine="708"/>
        <w:jc w:val="both"/>
        <w:rPr>
          <w:rFonts w:ascii="Verdana" w:hAnsi="Verdana" w:cs="Arial"/>
          <w:sz w:val="16"/>
          <w:szCs w:val="16"/>
          <w:lang w:val="es-ES"/>
        </w:rPr>
      </w:pPr>
    </w:p>
  </w:footnote>
  <w:footnote w:id="10">
    <w:p w14:paraId="0A13B748" w14:textId="77777777" w:rsidR="006B5F4A" w:rsidRPr="000F233E" w:rsidRDefault="006B5F4A" w:rsidP="006B5F4A">
      <w:pPr>
        <w:pStyle w:val="Textonotapie"/>
        <w:ind w:firstLine="708"/>
        <w:jc w:val="both"/>
        <w:rPr>
          <w:rFonts w:ascii="Verdana" w:hAnsi="Verdana" w:cs="Arial"/>
          <w:sz w:val="16"/>
          <w:szCs w:val="16"/>
        </w:rPr>
      </w:pPr>
      <w:r w:rsidRPr="000F233E">
        <w:rPr>
          <w:rStyle w:val="Refdenotaalpie"/>
          <w:rFonts w:ascii="Verdana" w:hAnsi="Verdana" w:cs="Arial"/>
          <w:sz w:val="16"/>
          <w:szCs w:val="16"/>
        </w:rPr>
        <w:footnoteRef/>
      </w:r>
      <w:r w:rsidRPr="000F233E">
        <w:rPr>
          <w:rFonts w:ascii="Verdana" w:hAnsi="Verdana" w:cs="Arial"/>
          <w:sz w:val="16"/>
          <w:szCs w:val="16"/>
        </w:rPr>
        <w:t xml:space="preserve"> PINO RICCI, Jorge. El régimen jurídico de los contratos estatales. Primera edición, 2005, Universidad Externado de Colombia. pp. 354.  </w:t>
      </w:r>
    </w:p>
    <w:p w14:paraId="316B0A52" w14:textId="77777777" w:rsidR="006B5F4A" w:rsidRPr="000F233E" w:rsidRDefault="006B5F4A" w:rsidP="006B5F4A">
      <w:pPr>
        <w:pStyle w:val="Textonotapie"/>
        <w:ind w:firstLine="708"/>
        <w:jc w:val="both"/>
        <w:rPr>
          <w:rFonts w:ascii="Verdana" w:hAnsi="Verdana" w:cs="Arial"/>
          <w:sz w:val="16"/>
          <w:szCs w:val="16"/>
        </w:rPr>
      </w:pPr>
    </w:p>
  </w:footnote>
  <w:footnote w:id="11">
    <w:p w14:paraId="7277A8FE" w14:textId="77777777" w:rsidR="006B5F4A" w:rsidRPr="000F233E" w:rsidRDefault="006B5F4A" w:rsidP="006B5F4A">
      <w:pPr>
        <w:pStyle w:val="Textonotapie"/>
        <w:ind w:firstLine="708"/>
        <w:jc w:val="both"/>
        <w:rPr>
          <w:rFonts w:ascii="Verdana" w:hAnsi="Verdana" w:cs="Arial"/>
          <w:sz w:val="16"/>
          <w:szCs w:val="16"/>
        </w:rPr>
      </w:pPr>
      <w:r w:rsidRPr="000F233E">
        <w:rPr>
          <w:rStyle w:val="Refdenotaalpie"/>
          <w:rFonts w:ascii="Verdana" w:hAnsi="Verdana" w:cs="Arial"/>
          <w:sz w:val="16"/>
          <w:szCs w:val="16"/>
        </w:rPr>
        <w:footnoteRef/>
      </w:r>
      <w:r w:rsidRPr="000F233E">
        <w:rPr>
          <w:rFonts w:ascii="Verdana" w:hAnsi="Verdana" w:cs="Arial"/>
          <w:sz w:val="16"/>
          <w:szCs w:val="16"/>
        </w:rPr>
        <w:t xml:space="preserve"> PALACIO HINCAPIÉ, Juan A. La contratación de entidades estatales. Octava edición. 2020. Librería Jurídica Sánchez. p 565-566.</w:t>
      </w:r>
    </w:p>
  </w:footnote>
  <w:footnote w:id="12">
    <w:p w14:paraId="739B1896" w14:textId="77777777" w:rsidR="006B5F4A" w:rsidRPr="000F233E" w:rsidRDefault="006B5F4A" w:rsidP="006B5F4A">
      <w:pPr>
        <w:pStyle w:val="Textonotapie"/>
        <w:ind w:firstLine="851"/>
        <w:jc w:val="both"/>
        <w:rPr>
          <w:rFonts w:ascii="Verdana" w:hAnsi="Verdana" w:cs="Arial"/>
          <w:sz w:val="16"/>
          <w:szCs w:val="16"/>
          <w:lang w:val="es-ES"/>
        </w:rPr>
      </w:pPr>
      <w:r w:rsidRPr="000F233E">
        <w:rPr>
          <w:rStyle w:val="Refdenotaalpie"/>
          <w:rFonts w:ascii="Verdana" w:hAnsi="Verdana" w:cs="Arial"/>
          <w:sz w:val="16"/>
          <w:szCs w:val="16"/>
        </w:rPr>
        <w:footnoteRef/>
      </w:r>
      <w:r w:rsidRPr="000F233E">
        <w:rPr>
          <w:rFonts w:ascii="Verdana" w:hAnsi="Verdana" w:cs="Arial"/>
          <w:sz w:val="16"/>
          <w:szCs w:val="16"/>
        </w:rPr>
        <w:t xml:space="preserve"> CORTE CONSTITUCIONAL. Sentencia C-083 de 1995. M.P. Carlos Gaviria Díaz</w:t>
      </w:r>
    </w:p>
  </w:footnote>
  <w:footnote w:id="13">
    <w:p w14:paraId="200B21EA" w14:textId="77777777" w:rsidR="006B5F4A" w:rsidRPr="000F233E" w:rsidRDefault="006B5F4A" w:rsidP="006B5F4A">
      <w:pPr>
        <w:pStyle w:val="Textonotapie"/>
        <w:ind w:firstLine="851"/>
        <w:jc w:val="both"/>
        <w:rPr>
          <w:rFonts w:ascii="Verdana" w:hAnsi="Verdana" w:cs="Arial"/>
          <w:sz w:val="16"/>
          <w:szCs w:val="16"/>
          <w:lang w:val="es-ES"/>
        </w:rPr>
      </w:pPr>
      <w:r w:rsidRPr="000F233E">
        <w:rPr>
          <w:rStyle w:val="Refdenotaalpie"/>
          <w:rFonts w:ascii="Verdana" w:hAnsi="Verdana" w:cs="Arial"/>
          <w:sz w:val="16"/>
          <w:szCs w:val="16"/>
        </w:rPr>
        <w:footnoteRef/>
      </w:r>
      <w:r w:rsidRPr="000F233E">
        <w:rPr>
          <w:rFonts w:ascii="Verdana" w:hAnsi="Verdana" w:cs="Arial"/>
          <w:sz w:val="16"/>
          <w:szCs w:val="16"/>
        </w:rPr>
        <w:t xml:space="preserve"> CONSEJO DE ESTADO. Sección Tercera Subsección B. Sentencia del 8 de mayo de 2019.C.P. Martín Bermúdez Muñoz Exp. No. 56.343.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702695"/>
    <w:multiLevelType w:val="hybridMultilevel"/>
    <w:tmpl w:val="A9C8E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107241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1642A"/>
    <w:rsid w:val="0003132F"/>
    <w:rsid w:val="00031584"/>
    <w:rsid w:val="00032A0E"/>
    <w:rsid w:val="00037347"/>
    <w:rsid w:val="00041EA3"/>
    <w:rsid w:val="000442CC"/>
    <w:rsid w:val="000464E2"/>
    <w:rsid w:val="000556D4"/>
    <w:rsid w:val="00062A55"/>
    <w:rsid w:val="00064A28"/>
    <w:rsid w:val="00064A39"/>
    <w:rsid w:val="00065F9C"/>
    <w:rsid w:val="000716AB"/>
    <w:rsid w:val="00080332"/>
    <w:rsid w:val="000819CD"/>
    <w:rsid w:val="00082E4C"/>
    <w:rsid w:val="000849D5"/>
    <w:rsid w:val="0008528F"/>
    <w:rsid w:val="00086A3E"/>
    <w:rsid w:val="000A3F4F"/>
    <w:rsid w:val="000A6E0C"/>
    <w:rsid w:val="000A6E41"/>
    <w:rsid w:val="000A79D0"/>
    <w:rsid w:val="000A7A56"/>
    <w:rsid w:val="000B1FF7"/>
    <w:rsid w:val="000B2513"/>
    <w:rsid w:val="000B4024"/>
    <w:rsid w:val="000C3C51"/>
    <w:rsid w:val="000C7262"/>
    <w:rsid w:val="000D2A7F"/>
    <w:rsid w:val="000D4FCE"/>
    <w:rsid w:val="000E1169"/>
    <w:rsid w:val="00101F7A"/>
    <w:rsid w:val="001061BB"/>
    <w:rsid w:val="0011037E"/>
    <w:rsid w:val="00125312"/>
    <w:rsid w:val="00126E12"/>
    <w:rsid w:val="00127EDA"/>
    <w:rsid w:val="0013059D"/>
    <w:rsid w:val="001363C7"/>
    <w:rsid w:val="00137843"/>
    <w:rsid w:val="00141AC5"/>
    <w:rsid w:val="00146B11"/>
    <w:rsid w:val="00147A04"/>
    <w:rsid w:val="001513E8"/>
    <w:rsid w:val="0015476D"/>
    <w:rsid w:val="00161E13"/>
    <w:rsid w:val="00164AE0"/>
    <w:rsid w:val="00165E83"/>
    <w:rsid w:val="00166CD7"/>
    <w:rsid w:val="0017120C"/>
    <w:rsid w:val="00172F3A"/>
    <w:rsid w:val="0018037B"/>
    <w:rsid w:val="00185406"/>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36A"/>
    <w:rsid w:val="00212A46"/>
    <w:rsid w:val="0021401D"/>
    <w:rsid w:val="002146B8"/>
    <w:rsid w:val="00215516"/>
    <w:rsid w:val="0021697A"/>
    <w:rsid w:val="00216E35"/>
    <w:rsid w:val="002527C2"/>
    <w:rsid w:val="00270443"/>
    <w:rsid w:val="00270EE2"/>
    <w:rsid w:val="00272972"/>
    <w:rsid w:val="00272E0E"/>
    <w:rsid w:val="00286491"/>
    <w:rsid w:val="002A0F8D"/>
    <w:rsid w:val="002A125D"/>
    <w:rsid w:val="002B6E44"/>
    <w:rsid w:val="002D3A76"/>
    <w:rsid w:val="002E1DB5"/>
    <w:rsid w:val="002E5DAE"/>
    <w:rsid w:val="002F6CCB"/>
    <w:rsid w:val="0030461E"/>
    <w:rsid w:val="0032756A"/>
    <w:rsid w:val="00334EF8"/>
    <w:rsid w:val="00336408"/>
    <w:rsid w:val="00340DFB"/>
    <w:rsid w:val="0034404F"/>
    <w:rsid w:val="00354B1F"/>
    <w:rsid w:val="0035645B"/>
    <w:rsid w:val="00356980"/>
    <w:rsid w:val="00362187"/>
    <w:rsid w:val="00367462"/>
    <w:rsid w:val="00371ECA"/>
    <w:rsid w:val="0037201C"/>
    <w:rsid w:val="00372748"/>
    <w:rsid w:val="0037332A"/>
    <w:rsid w:val="0038151A"/>
    <w:rsid w:val="0039082A"/>
    <w:rsid w:val="00390C21"/>
    <w:rsid w:val="00393EB8"/>
    <w:rsid w:val="003A0817"/>
    <w:rsid w:val="003A37BD"/>
    <w:rsid w:val="003B6D94"/>
    <w:rsid w:val="003C4C96"/>
    <w:rsid w:val="003C55E0"/>
    <w:rsid w:val="003C5BCD"/>
    <w:rsid w:val="003D1042"/>
    <w:rsid w:val="003E7EED"/>
    <w:rsid w:val="003F24E4"/>
    <w:rsid w:val="003F519B"/>
    <w:rsid w:val="0040544F"/>
    <w:rsid w:val="00406A19"/>
    <w:rsid w:val="0041222D"/>
    <w:rsid w:val="0041483E"/>
    <w:rsid w:val="00415369"/>
    <w:rsid w:val="00421166"/>
    <w:rsid w:val="0042718B"/>
    <w:rsid w:val="00430492"/>
    <w:rsid w:val="004378B3"/>
    <w:rsid w:val="00450526"/>
    <w:rsid w:val="00450BE7"/>
    <w:rsid w:val="00455AE9"/>
    <w:rsid w:val="00456A52"/>
    <w:rsid w:val="00461B95"/>
    <w:rsid w:val="00461EB3"/>
    <w:rsid w:val="0046741E"/>
    <w:rsid w:val="00472CC6"/>
    <w:rsid w:val="0048026E"/>
    <w:rsid w:val="004807A9"/>
    <w:rsid w:val="004813EE"/>
    <w:rsid w:val="00493278"/>
    <w:rsid w:val="004943D9"/>
    <w:rsid w:val="004A0E7B"/>
    <w:rsid w:val="004A17BA"/>
    <w:rsid w:val="004A3498"/>
    <w:rsid w:val="004A4098"/>
    <w:rsid w:val="004B0C45"/>
    <w:rsid w:val="004C0AB2"/>
    <w:rsid w:val="004C1619"/>
    <w:rsid w:val="004C1A26"/>
    <w:rsid w:val="004C1CC9"/>
    <w:rsid w:val="004C3755"/>
    <w:rsid w:val="004C4485"/>
    <w:rsid w:val="004C7527"/>
    <w:rsid w:val="004D11AF"/>
    <w:rsid w:val="004F068D"/>
    <w:rsid w:val="00500DFA"/>
    <w:rsid w:val="005019AA"/>
    <w:rsid w:val="005021BB"/>
    <w:rsid w:val="005139E7"/>
    <w:rsid w:val="005141DF"/>
    <w:rsid w:val="005147DA"/>
    <w:rsid w:val="00515FB5"/>
    <w:rsid w:val="0052365C"/>
    <w:rsid w:val="005271EB"/>
    <w:rsid w:val="005426DB"/>
    <w:rsid w:val="0055082B"/>
    <w:rsid w:val="00552503"/>
    <w:rsid w:val="00552B57"/>
    <w:rsid w:val="00554443"/>
    <w:rsid w:val="00557DA1"/>
    <w:rsid w:val="0056196E"/>
    <w:rsid w:val="0056322C"/>
    <w:rsid w:val="00584EBA"/>
    <w:rsid w:val="00585036"/>
    <w:rsid w:val="0058743A"/>
    <w:rsid w:val="005946BF"/>
    <w:rsid w:val="005A30BB"/>
    <w:rsid w:val="005A4DB0"/>
    <w:rsid w:val="005A74D6"/>
    <w:rsid w:val="005A7B8E"/>
    <w:rsid w:val="005B012B"/>
    <w:rsid w:val="005B0C87"/>
    <w:rsid w:val="005D23F6"/>
    <w:rsid w:val="005D2FA8"/>
    <w:rsid w:val="005E2281"/>
    <w:rsid w:val="005E667C"/>
    <w:rsid w:val="005F077C"/>
    <w:rsid w:val="005F63D0"/>
    <w:rsid w:val="005F7973"/>
    <w:rsid w:val="00605C88"/>
    <w:rsid w:val="00610200"/>
    <w:rsid w:val="0061690E"/>
    <w:rsid w:val="00620BCA"/>
    <w:rsid w:val="00627361"/>
    <w:rsid w:val="0063017E"/>
    <w:rsid w:val="00631B28"/>
    <w:rsid w:val="00635AF1"/>
    <w:rsid w:val="006409CA"/>
    <w:rsid w:val="00643C52"/>
    <w:rsid w:val="00645B90"/>
    <w:rsid w:val="00650991"/>
    <w:rsid w:val="006511D7"/>
    <w:rsid w:val="00663D75"/>
    <w:rsid w:val="00670AEF"/>
    <w:rsid w:val="00675678"/>
    <w:rsid w:val="00677012"/>
    <w:rsid w:val="006825B4"/>
    <w:rsid w:val="00682AF2"/>
    <w:rsid w:val="006864DF"/>
    <w:rsid w:val="00696424"/>
    <w:rsid w:val="006A3C8A"/>
    <w:rsid w:val="006A7552"/>
    <w:rsid w:val="006B5874"/>
    <w:rsid w:val="006B5953"/>
    <w:rsid w:val="006B5F4A"/>
    <w:rsid w:val="006B7A81"/>
    <w:rsid w:val="006B7FEC"/>
    <w:rsid w:val="006C4BAC"/>
    <w:rsid w:val="006C52F3"/>
    <w:rsid w:val="006D5510"/>
    <w:rsid w:val="006E7F37"/>
    <w:rsid w:val="006F3B81"/>
    <w:rsid w:val="006F4F79"/>
    <w:rsid w:val="006F7230"/>
    <w:rsid w:val="00705B37"/>
    <w:rsid w:val="00710213"/>
    <w:rsid w:val="00711FD9"/>
    <w:rsid w:val="0071334E"/>
    <w:rsid w:val="00717DEC"/>
    <w:rsid w:val="00735062"/>
    <w:rsid w:val="00742944"/>
    <w:rsid w:val="00746BA5"/>
    <w:rsid w:val="007471E6"/>
    <w:rsid w:val="00751D23"/>
    <w:rsid w:val="00770577"/>
    <w:rsid w:val="00777666"/>
    <w:rsid w:val="0078159B"/>
    <w:rsid w:val="00782E10"/>
    <w:rsid w:val="0078706B"/>
    <w:rsid w:val="00790836"/>
    <w:rsid w:val="00793573"/>
    <w:rsid w:val="00797131"/>
    <w:rsid w:val="007A3C1D"/>
    <w:rsid w:val="007B030D"/>
    <w:rsid w:val="007B2636"/>
    <w:rsid w:val="007B285D"/>
    <w:rsid w:val="007C6BC6"/>
    <w:rsid w:val="007E57E9"/>
    <w:rsid w:val="007F67B1"/>
    <w:rsid w:val="00801DCC"/>
    <w:rsid w:val="00807D79"/>
    <w:rsid w:val="00813634"/>
    <w:rsid w:val="00822821"/>
    <w:rsid w:val="00831C29"/>
    <w:rsid w:val="008431EF"/>
    <w:rsid w:val="008468E0"/>
    <w:rsid w:val="00851919"/>
    <w:rsid w:val="00871B59"/>
    <w:rsid w:val="00877D03"/>
    <w:rsid w:val="00877E96"/>
    <w:rsid w:val="008806CA"/>
    <w:rsid w:val="008815E5"/>
    <w:rsid w:val="0088580A"/>
    <w:rsid w:val="00887B37"/>
    <w:rsid w:val="008909B9"/>
    <w:rsid w:val="00891DFC"/>
    <w:rsid w:val="008928A3"/>
    <w:rsid w:val="00896E94"/>
    <w:rsid w:val="008A222C"/>
    <w:rsid w:val="008A7E6B"/>
    <w:rsid w:val="008B12B4"/>
    <w:rsid w:val="008B7914"/>
    <w:rsid w:val="008C5D2A"/>
    <w:rsid w:val="008C70E4"/>
    <w:rsid w:val="008C7AF4"/>
    <w:rsid w:val="008D529F"/>
    <w:rsid w:val="008D7CB3"/>
    <w:rsid w:val="008F5CC8"/>
    <w:rsid w:val="009023E8"/>
    <w:rsid w:val="009061B8"/>
    <w:rsid w:val="00906A38"/>
    <w:rsid w:val="0091008B"/>
    <w:rsid w:val="00911EA2"/>
    <w:rsid w:val="009140E0"/>
    <w:rsid w:val="00916C7D"/>
    <w:rsid w:val="009237B6"/>
    <w:rsid w:val="0092575D"/>
    <w:rsid w:val="00930247"/>
    <w:rsid w:val="009341DA"/>
    <w:rsid w:val="009430F9"/>
    <w:rsid w:val="009442E8"/>
    <w:rsid w:val="00946BD0"/>
    <w:rsid w:val="0095426C"/>
    <w:rsid w:val="00970087"/>
    <w:rsid w:val="00971074"/>
    <w:rsid w:val="00994355"/>
    <w:rsid w:val="00995D86"/>
    <w:rsid w:val="009A5453"/>
    <w:rsid w:val="009B375E"/>
    <w:rsid w:val="009B4D94"/>
    <w:rsid w:val="009C2871"/>
    <w:rsid w:val="009D3C33"/>
    <w:rsid w:val="009D7F3A"/>
    <w:rsid w:val="009E4885"/>
    <w:rsid w:val="009E743B"/>
    <w:rsid w:val="00A07DB6"/>
    <w:rsid w:val="00A10A73"/>
    <w:rsid w:val="00A14628"/>
    <w:rsid w:val="00A170B3"/>
    <w:rsid w:val="00A223D5"/>
    <w:rsid w:val="00A37D1C"/>
    <w:rsid w:val="00A5453E"/>
    <w:rsid w:val="00A56F6C"/>
    <w:rsid w:val="00A621F7"/>
    <w:rsid w:val="00A62E5C"/>
    <w:rsid w:val="00A65C22"/>
    <w:rsid w:val="00A670E4"/>
    <w:rsid w:val="00A73975"/>
    <w:rsid w:val="00A76C8C"/>
    <w:rsid w:val="00A85F30"/>
    <w:rsid w:val="00A9099E"/>
    <w:rsid w:val="00A91FB7"/>
    <w:rsid w:val="00A9298F"/>
    <w:rsid w:val="00AA0351"/>
    <w:rsid w:val="00AA10FC"/>
    <w:rsid w:val="00AA5F4A"/>
    <w:rsid w:val="00AB1984"/>
    <w:rsid w:val="00AB2685"/>
    <w:rsid w:val="00AB52B1"/>
    <w:rsid w:val="00AB5A77"/>
    <w:rsid w:val="00AC4CB3"/>
    <w:rsid w:val="00AC55F0"/>
    <w:rsid w:val="00AC780D"/>
    <w:rsid w:val="00AD036B"/>
    <w:rsid w:val="00AD1996"/>
    <w:rsid w:val="00AD4099"/>
    <w:rsid w:val="00AD4901"/>
    <w:rsid w:val="00AF63C6"/>
    <w:rsid w:val="00B02FE0"/>
    <w:rsid w:val="00B057B6"/>
    <w:rsid w:val="00B115E8"/>
    <w:rsid w:val="00B11C04"/>
    <w:rsid w:val="00B25408"/>
    <w:rsid w:val="00B30448"/>
    <w:rsid w:val="00B30BE2"/>
    <w:rsid w:val="00B34786"/>
    <w:rsid w:val="00B35C37"/>
    <w:rsid w:val="00B400EC"/>
    <w:rsid w:val="00B40162"/>
    <w:rsid w:val="00B41ACE"/>
    <w:rsid w:val="00B50156"/>
    <w:rsid w:val="00B518AD"/>
    <w:rsid w:val="00B60A96"/>
    <w:rsid w:val="00B60F49"/>
    <w:rsid w:val="00B678EC"/>
    <w:rsid w:val="00B7674C"/>
    <w:rsid w:val="00B76C94"/>
    <w:rsid w:val="00B772D0"/>
    <w:rsid w:val="00B836EA"/>
    <w:rsid w:val="00B84C05"/>
    <w:rsid w:val="00B91B81"/>
    <w:rsid w:val="00B9485D"/>
    <w:rsid w:val="00B97135"/>
    <w:rsid w:val="00BB3072"/>
    <w:rsid w:val="00BC4F89"/>
    <w:rsid w:val="00BC56B3"/>
    <w:rsid w:val="00BC7632"/>
    <w:rsid w:val="00BD48A9"/>
    <w:rsid w:val="00BD630F"/>
    <w:rsid w:val="00BD7EC6"/>
    <w:rsid w:val="00BE3BF9"/>
    <w:rsid w:val="00BE73FA"/>
    <w:rsid w:val="00BF6B4B"/>
    <w:rsid w:val="00C050B9"/>
    <w:rsid w:val="00C0511C"/>
    <w:rsid w:val="00C20ACF"/>
    <w:rsid w:val="00C22307"/>
    <w:rsid w:val="00C23469"/>
    <w:rsid w:val="00C24878"/>
    <w:rsid w:val="00C26FA4"/>
    <w:rsid w:val="00C30367"/>
    <w:rsid w:val="00C30C62"/>
    <w:rsid w:val="00C371DF"/>
    <w:rsid w:val="00C41C2E"/>
    <w:rsid w:val="00C42055"/>
    <w:rsid w:val="00C44B4C"/>
    <w:rsid w:val="00C45DBC"/>
    <w:rsid w:val="00C46734"/>
    <w:rsid w:val="00C47A86"/>
    <w:rsid w:val="00C53220"/>
    <w:rsid w:val="00C55B8A"/>
    <w:rsid w:val="00C725EC"/>
    <w:rsid w:val="00C95E14"/>
    <w:rsid w:val="00CA3347"/>
    <w:rsid w:val="00CB270D"/>
    <w:rsid w:val="00CC209D"/>
    <w:rsid w:val="00CC299A"/>
    <w:rsid w:val="00CD03E3"/>
    <w:rsid w:val="00CE6BDA"/>
    <w:rsid w:val="00CF31CF"/>
    <w:rsid w:val="00CF60C2"/>
    <w:rsid w:val="00D03DBE"/>
    <w:rsid w:val="00D072C0"/>
    <w:rsid w:val="00D132A5"/>
    <w:rsid w:val="00D34C82"/>
    <w:rsid w:val="00D3725F"/>
    <w:rsid w:val="00D3757A"/>
    <w:rsid w:val="00D504A9"/>
    <w:rsid w:val="00D5206D"/>
    <w:rsid w:val="00D66844"/>
    <w:rsid w:val="00D7177D"/>
    <w:rsid w:val="00D8092E"/>
    <w:rsid w:val="00D81311"/>
    <w:rsid w:val="00D83CE7"/>
    <w:rsid w:val="00D87A25"/>
    <w:rsid w:val="00DB201E"/>
    <w:rsid w:val="00DC0E68"/>
    <w:rsid w:val="00DC2EB4"/>
    <w:rsid w:val="00DC7EB7"/>
    <w:rsid w:val="00DD25ED"/>
    <w:rsid w:val="00DE0D6E"/>
    <w:rsid w:val="00E1610C"/>
    <w:rsid w:val="00E16D73"/>
    <w:rsid w:val="00E20625"/>
    <w:rsid w:val="00E23E9E"/>
    <w:rsid w:val="00E25722"/>
    <w:rsid w:val="00E27F0A"/>
    <w:rsid w:val="00E4231E"/>
    <w:rsid w:val="00E4302C"/>
    <w:rsid w:val="00E44AC7"/>
    <w:rsid w:val="00E45F4B"/>
    <w:rsid w:val="00E60A16"/>
    <w:rsid w:val="00E71E20"/>
    <w:rsid w:val="00E82B6E"/>
    <w:rsid w:val="00E90A7B"/>
    <w:rsid w:val="00E94258"/>
    <w:rsid w:val="00E96C18"/>
    <w:rsid w:val="00EA2E61"/>
    <w:rsid w:val="00EA4E95"/>
    <w:rsid w:val="00EA7D7F"/>
    <w:rsid w:val="00EB02F4"/>
    <w:rsid w:val="00EB2FA2"/>
    <w:rsid w:val="00EB769A"/>
    <w:rsid w:val="00EC3A35"/>
    <w:rsid w:val="00EE0AB7"/>
    <w:rsid w:val="00EE17F2"/>
    <w:rsid w:val="00EE3138"/>
    <w:rsid w:val="00EF2AC7"/>
    <w:rsid w:val="00EF400A"/>
    <w:rsid w:val="00EF436C"/>
    <w:rsid w:val="00EF6BE4"/>
    <w:rsid w:val="00EF6E5D"/>
    <w:rsid w:val="00F07764"/>
    <w:rsid w:val="00F12517"/>
    <w:rsid w:val="00F131DD"/>
    <w:rsid w:val="00F14611"/>
    <w:rsid w:val="00F159FC"/>
    <w:rsid w:val="00F16BA1"/>
    <w:rsid w:val="00F24435"/>
    <w:rsid w:val="00F30C0F"/>
    <w:rsid w:val="00F314E8"/>
    <w:rsid w:val="00F323A2"/>
    <w:rsid w:val="00F33B57"/>
    <w:rsid w:val="00F33D5C"/>
    <w:rsid w:val="00F34E90"/>
    <w:rsid w:val="00F356D6"/>
    <w:rsid w:val="00F36066"/>
    <w:rsid w:val="00F47E82"/>
    <w:rsid w:val="00F53BE2"/>
    <w:rsid w:val="00F55684"/>
    <w:rsid w:val="00F57581"/>
    <w:rsid w:val="00F64D5A"/>
    <w:rsid w:val="00F709CD"/>
    <w:rsid w:val="00F8442B"/>
    <w:rsid w:val="00F906F4"/>
    <w:rsid w:val="00F94194"/>
    <w:rsid w:val="00FA0716"/>
    <w:rsid w:val="00FB3675"/>
    <w:rsid w:val="00FB4629"/>
    <w:rsid w:val="00FB6FB1"/>
    <w:rsid w:val="00FB7063"/>
    <w:rsid w:val="00FC0DE3"/>
    <w:rsid w:val="00FC7056"/>
    <w:rsid w:val="00FE12FF"/>
    <w:rsid w:val="00FE1A00"/>
    <w:rsid w:val="00FE57F5"/>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3B"/>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2006592502">
      <w:bodyDiv w:val="1"/>
      <w:marLeft w:val="0"/>
      <w:marRight w:val="0"/>
      <w:marTop w:val="0"/>
      <w:marBottom w:val="0"/>
      <w:divBdr>
        <w:top w:val="none" w:sz="0" w:space="0" w:color="auto"/>
        <w:left w:val="none" w:sz="0" w:space="0" w:color="auto"/>
        <w:bottom w:val="none" w:sz="0" w:space="0" w:color="auto"/>
        <w:right w:val="none" w:sz="0" w:space="0" w:color="auto"/>
      </w:divBdr>
    </w:div>
    <w:div w:id="201642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nielacantillomestre@gmai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2Fboletin-de-relatoria-2024-vi-modalidad-de-seleccion-de-seleccion-de&amp;data=05%7C02%7Cximena.rios%40colombiacompra.gov.co%7Cbfe984f445ba489d3fc108dcf2b8281e%7C7b09041e245149d08cb179d5e3d8c1be%7C0%7C0%7C638652119981384751%7CUnknown%7CTWFpbGZsb3d8eyJWIjoiMC4wLjAwMDAiLCJQIjoiV2luMzIiLCJBTiI6Ik1haWwiLCJXVCI6Mn0%3D%7C0%7C%7C%7C&amp;sdata=XrMn%2Be3nrszIVKMjtO2N8MgysIMBSi6Imcomz2KgH0Q%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4586</Words>
  <Characters>25225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16</cp:revision>
  <dcterms:created xsi:type="dcterms:W3CDTF">2024-10-28T23:03:00Z</dcterms:created>
  <dcterms:modified xsi:type="dcterms:W3CDTF">2024-11-19T20:20:00Z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