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01089" w14:textId="77777777" w:rsidR="00336C66" w:rsidRPr="00D85B0B" w:rsidRDefault="00336C66" w:rsidP="00336C66">
      <w:pPr>
        <w:tabs>
          <w:tab w:val="left" w:pos="709"/>
        </w:tabs>
        <w:spacing w:after="0" w:line="240" w:lineRule="auto"/>
        <w:contextualSpacing/>
        <w:jc w:val="both"/>
        <w:rPr>
          <w:rFonts w:ascii="Verdana" w:eastAsia="Calibri" w:hAnsi="Verdana" w:cs="Arial"/>
          <w:b/>
          <w:lang w:val="es-ES"/>
        </w:rPr>
      </w:pPr>
      <w:bookmarkStart w:id="0" w:name="_Hlk143780582"/>
      <w:r w:rsidRPr="00D85B0B">
        <w:rPr>
          <w:rFonts w:ascii="Verdana" w:eastAsia="Calibri" w:hAnsi="Verdana" w:cs="Arial"/>
          <w:b/>
          <w:lang w:val="es-ES"/>
        </w:rPr>
        <w:t>SISTEMA GENERAL DE REGALÍAS – Fundamento normativo – Acto Legislativo 01 de 2019</w:t>
      </w:r>
    </w:p>
    <w:p w14:paraId="5CF74430" w14:textId="77777777" w:rsidR="00336C66" w:rsidRPr="00D85B0B" w:rsidRDefault="00336C66" w:rsidP="00336C66">
      <w:pPr>
        <w:tabs>
          <w:tab w:val="left" w:pos="709"/>
        </w:tabs>
        <w:spacing w:after="0" w:line="240" w:lineRule="auto"/>
        <w:contextualSpacing/>
        <w:jc w:val="both"/>
        <w:rPr>
          <w:rFonts w:ascii="Verdana" w:eastAsia="Calibri" w:hAnsi="Verdana" w:cs="Arial"/>
          <w:bCs/>
          <w:sz w:val="20"/>
          <w:szCs w:val="20"/>
          <w:lang w:val="es-ES"/>
        </w:rPr>
      </w:pPr>
      <w:r w:rsidRPr="00D85B0B">
        <w:rPr>
          <w:rFonts w:ascii="Verdana" w:eastAsia="Calibri" w:hAnsi="Verdana" w:cs="Arial"/>
          <w:bCs/>
          <w:sz w:val="20"/>
          <w:szCs w:val="20"/>
          <w:lang w:val="es-ES"/>
        </w:rPr>
        <w:t xml:space="preserve"> </w:t>
      </w:r>
    </w:p>
    <w:p w14:paraId="14FFDF46" w14:textId="77777777" w:rsidR="00336C66" w:rsidRDefault="00336C66" w:rsidP="00336C66">
      <w:pPr>
        <w:spacing w:after="0" w:line="240" w:lineRule="auto"/>
        <w:contextualSpacing/>
        <w:jc w:val="both"/>
        <w:rPr>
          <w:rFonts w:ascii="Verdana" w:hAnsi="Verdana" w:cs="Arial"/>
          <w:noProof/>
          <w:sz w:val="20"/>
          <w:szCs w:val="20"/>
          <w:lang w:val="es-ES_tradnl"/>
        </w:rPr>
      </w:pPr>
      <w:r w:rsidRPr="00D85B0B">
        <w:rPr>
          <w:rFonts w:ascii="Verdana" w:hAnsi="Verdana" w:cs="Arial"/>
          <w:noProof/>
          <w:sz w:val="20"/>
          <w:szCs w:val="20"/>
          <w:lang w:val="es-ES_tradnl"/>
        </w:rPr>
        <w:t xml:space="preserve">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 </w:t>
      </w:r>
    </w:p>
    <w:p w14:paraId="3725413E" w14:textId="77777777" w:rsidR="00336C66" w:rsidRPr="00D85B0B" w:rsidRDefault="00336C66" w:rsidP="00336C66">
      <w:pPr>
        <w:spacing w:after="0" w:line="240" w:lineRule="auto"/>
        <w:contextualSpacing/>
        <w:jc w:val="both"/>
        <w:rPr>
          <w:rFonts w:ascii="Verdana" w:hAnsi="Verdana" w:cs="Arial"/>
          <w:noProof/>
          <w:sz w:val="20"/>
          <w:szCs w:val="20"/>
          <w:lang w:val="es-ES_tradnl"/>
        </w:rPr>
      </w:pPr>
    </w:p>
    <w:p w14:paraId="2B44C5EF" w14:textId="77777777" w:rsidR="00336C66" w:rsidRPr="00D85B0B" w:rsidRDefault="00336C66" w:rsidP="00336C66">
      <w:pPr>
        <w:spacing w:after="0" w:line="240" w:lineRule="auto"/>
        <w:contextualSpacing/>
        <w:jc w:val="both"/>
        <w:rPr>
          <w:rFonts w:ascii="Verdana" w:hAnsi="Verdana" w:cs="Arial"/>
          <w:noProof/>
          <w:sz w:val="20"/>
          <w:szCs w:val="20"/>
          <w:lang w:val="es-ES_tradnl"/>
        </w:rPr>
      </w:pPr>
      <w:r w:rsidRPr="00D85B0B">
        <w:rPr>
          <w:rFonts w:ascii="Verdana" w:hAnsi="Verdana" w:cs="Arial"/>
          <w:noProof/>
          <w:sz w:val="20"/>
          <w:szCs w:val="20"/>
          <w:lang w:val="es-ES_tradnl"/>
        </w:rPr>
        <w:t xml:space="preserve">El artículo 1 del Acto Legislativo 05 de 2019 modificó el artículo 361 de la Constitución, disponiendo que “los ingresos corrientes del Sistema General de Regalías se destinarán a la financiación de proyectos de inversión que contribuyan al desarrollo social, económico y ambiental de las entidades territoriales”. </w:t>
      </w:r>
    </w:p>
    <w:p w14:paraId="086A3692" w14:textId="77777777" w:rsidR="00336C66" w:rsidRPr="00D85B0B" w:rsidRDefault="00336C66" w:rsidP="00336C66">
      <w:pPr>
        <w:tabs>
          <w:tab w:val="left" w:pos="709"/>
        </w:tabs>
        <w:spacing w:after="0" w:line="240" w:lineRule="auto"/>
        <w:contextualSpacing/>
        <w:jc w:val="both"/>
        <w:rPr>
          <w:rFonts w:ascii="Verdana" w:eastAsia="Calibri" w:hAnsi="Verdana" w:cs="Arial"/>
          <w:bCs/>
          <w:sz w:val="20"/>
          <w:szCs w:val="20"/>
          <w:lang w:val="es-ES_tradnl"/>
        </w:rPr>
      </w:pPr>
    </w:p>
    <w:p w14:paraId="6DBC4339" w14:textId="77777777" w:rsidR="00336C66" w:rsidRDefault="00336C66" w:rsidP="00336C66">
      <w:pPr>
        <w:tabs>
          <w:tab w:val="left" w:pos="709"/>
        </w:tabs>
        <w:spacing w:after="0" w:line="240" w:lineRule="auto"/>
        <w:contextualSpacing/>
        <w:jc w:val="both"/>
        <w:rPr>
          <w:rFonts w:ascii="Verdana" w:eastAsia="Calibri" w:hAnsi="Verdana" w:cs="Arial"/>
          <w:b/>
          <w:lang w:val="es-MX"/>
        </w:rPr>
      </w:pPr>
      <w:r w:rsidRPr="00D85B0B">
        <w:rPr>
          <w:rFonts w:ascii="Verdana" w:eastAsia="Calibri" w:hAnsi="Verdana" w:cs="Arial"/>
          <w:b/>
          <w:lang w:val="es-MX"/>
        </w:rPr>
        <w:t>SISTEMA GENERAL DE REGALÍAS – Ley 2056 de 2020 – Finalidad – Objeto</w:t>
      </w:r>
    </w:p>
    <w:p w14:paraId="6A6BC6C8" w14:textId="77777777" w:rsidR="00336C66" w:rsidRPr="00D85B0B" w:rsidRDefault="00336C66" w:rsidP="00336C66">
      <w:pPr>
        <w:tabs>
          <w:tab w:val="left" w:pos="709"/>
        </w:tabs>
        <w:spacing w:after="0" w:line="240" w:lineRule="auto"/>
        <w:contextualSpacing/>
        <w:jc w:val="both"/>
        <w:rPr>
          <w:rFonts w:ascii="Verdana" w:eastAsia="Calibri" w:hAnsi="Verdana" w:cs="Arial"/>
          <w:b/>
          <w:sz w:val="20"/>
          <w:szCs w:val="20"/>
          <w:lang w:val="es-MX"/>
        </w:rPr>
      </w:pPr>
    </w:p>
    <w:p w14:paraId="43B5E835" w14:textId="77777777" w:rsidR="00336C66" w:rsidRPr="00D85B0B" w:rsidRDefault="00336C66" w:rsidP="00336C66">
      <w:pPr>
        <w:tabs>
          <w:tab w:val="left" w:pos="709"/>
        </w:tabs>
        <w:spacing w:after="0" w:line="240" w:lineRule="auto"/>
        <w:contextualSpacing/>
        <w:jc w:val="both"/>
        <w:rPr>
          <w:rFonts w:ascii="Verdana" w:hAnsi="Verdana" w:cs="Arial"/>
          <w:sz w:val="20"/>
          <w:szCs w:val="20"/>
        </w:rPr>
      </w:pPr>
      <w:r w:rsidRPr="00D85B0B">
        <w:rPr>
          <w:rFonts w:ascii="Verdana" w:hAnsi="Verdana" w:cs="Arial"/>
          <w:noProof/>
          <w:sz w:val="20"/>
          <w:szCs w:val="20"/>
          <w:lang w:val="es-ES_tradnl"/>
        </w:rPr>
        <w:t xml:space="preserve">Con fundamento en los artículos 360 y 361 de la Constitución Política, se expidió la Ley 2056 de 2020, por medio de la cual se deroga, entre otras, la Ley 1530 de 2012, y </w:t>
      </w:r>
      <w:r w:rsidRPr="00D85B0B">
        <w:rPr>
          <w:rFonts w:ascii="Verdana" w:hAnsi="Verdana" w:cs="Arial"/>
          <w:bCs/>
          <w:sz w:val="20"/>
          <w:szCs w:val="20"/>
          <w:lang w:val="es-ES_tradnl"/>
        </w:rPr>
        <w:t>“</w:t>
      </w:r>
      <w:r w:rsidRPr="00D85B0B">
        <w:rPr>
          <w:rFonts w:ascii="Verdana" w:hAnsi="Verdana" w:cs="Arial"/>
          <w:sz w:val="20"/>
          <w:szCs w:val="20"/>
        </w:rPr>
        <w:t>Por la cual se regula la organización y el funcionamiento del Sistema General de Regalías</w:t>
      </w:r>
      <w:r w:rsidRPr="00D85B0B">
        <w:rPr>
          <w:rFonts w:ascii="Verdana" w:hAnsi="Verdana" w:cs="Arial"/>
          <w:noProof/>
          <w:sz w:val="20"/>
          <w:szCs w:val="20"/>
        </w:rPr>
        <w:t>”</w:t>
      </w:r>
      <w:r w:rsidRPr="00D85B0B">
        <w:rPr>
          <w:rFonts w:ascii="Verdana" w:hAnsi="Verdana" w:cs="Arial"/>
          <w:sz w:val="20"/>
          <w:szCs w:val="20"/>
        </w:rPr>
        <w:t>.</w:t>
      </w:r>
    </w:p>
    <w:p w14:paraId="349A1544" w14:textId="77777777" w:rsidR="00336C66" w:rsidRPr="00D85B0B" w:rsidRDefault="00336C66" w:rsidP="00336C66">
      <w:pPr>
        <w:tabs>
          <w:tab w:val="left" w:pos="709"/>
        </w:tabs>
        <w:spacing w:after="0" w:line="240" w:lineRule="auto"/>
        <w:contextualSpacing/>
        <w:jc w:val="both"/>
        <w:rPr>
          <w:rFonts w:ascii="Verdana" w:hAnsi="Verdana" w:cs="Arial"/>
          <w:sz w:val="20"/>
          <w:szCs w:val="20"/>
        </w:rPr>
      </w:pPr>
    </w:p>
    <w:p w14:paraId="162EADA5" w14:textId="77777777" w:rsidR="00336C66" w:rsidRPr="00D85B0B" w:rsidRDefault="00336C66" w:rsidP="00336C66">
      <w:pPr>
        <w:tabs>
          <w:tab w:val="left" w:pos="709"/>
        </w:tabs>
        <w:spacing w:after="0" w:line="240" w:lineRule="auto"/>
        <w:contextualSpacing/>
        <w:jc w:val="both"/>
        <w:rPr>
          <w:rFonts w:ascii="Verdana" w:hAnsi="Verdana" w:cs="Arial"/>
          <w:sz w:val="20"/>
          <w:szCs w:val="20"/>
        </w:rPr>
      </w:pPr>
      <w:r w:rsidRPr="00D85B0B">
        <w:rPr>
          <w:rFonts w:ascii="Verdana" w:hAnsi="Verdana" w:cs="Arial"/>
          <w:sz w:val="20"/>
          <w:szCs w:val="20"/>
        </w:rPr>
        <w:t>[…]</w:t>
      </w:r>
    </w:p>
    <w:p w14:paraId="17C8418D" w14:textId="77777777" w:rsidR="00336C66" w:rsidRPr="00D85B0B" w:rsidRDefault="00336C66" w:rsidP="00336C66">
      <w:pPr>
        <w:spacing w:after="0" w:line="240" w:lineRule="auto"/>
        <w:contextualSpacing/>
        <w:jc w:val="both"/>
        <w:rPr>
          <w:rFonts w:ascii="Verdana" w:hAnsi="Verdana" w:cs="Arial"/>
          <w:noProof/>
          <w:sz w:val="20"/>
          <w:szCs w:val="20"/>
          <w:lang w:val="es-ES_tradnl"/>
        </w:rPr>
      </w:pPr>
    </w:p>
    <w:p w14:paraId="788770F2" w14:textId="77777777" w:rsidR="00336C66" w:rsidRPr="00D85B0B" w:rsidRDefault="00336C66" w:rsidP="00336C66">
      <w:pPr>
        <w:spacing w:after="0" w:line="240" w:lineRule="auto"/>
        <w:contextualSpacing/>
        <w:jc w:val="both"/>
        <w:rPr>
          <w:rFonts w:ascii="Verdana" w:hAnsi="Verdana" w:cs="Arial"/>
          <w:noProof/>
          <w:sz w:val="20"/>
          <w:szCs w:val="20"/>
          <w:lang w:val="es-ES_tradnl"/>
        </w:rPr>
      </w:pPr>
      <w:r w:rsidRPr="00D85B0B">
        <w:rPr>
          <w:rFonts w:ascii="Verdana" w:hAnsi="Verdana" w:cs="Arial"/>
          <w:noProof/>
          <w:sz w:val="20"/>
          <w:szCs w:val="20"/>
          <w:lang w:val="es-ES_tradnl"/>
        </w:rPr>
        <w:t xml:space="preserve">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 El artículo 3 establece los organos del Estado que hacen parte del Sistema General Regalias, como son </w:t>
      </w:r>
      <w:r w:rsidRPr="00D85B0B">
        <w:rPr>
          <w:rFonts w:ascii="Verdana" w:hAnsi="Verdana" w:cs="Arial"/>
          <w:sz w:val="20"/>
          <w:szCs w:val="20"/>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D85B0B">
        <w:rPr>
          <w:rFonts w:ascii="Verdana" w:hAnsi="Verdana" w:cs="Arial"/>
          <w:noProof/>
          <w:sz w:val="20"/>
          <w:szCs w:val="20"/>
          <w:lang w:val="es-ES_tradnl"/>
        </w:rPr>
        <w:t xml:space="preserve"> incluyendo dentro de los mismos al Ministerio de Ciencia, Tenoclogía e Innovación. Estas entidades deben ejercer sus competencias, de acuerdo a lo prescrito en dicha ley y los lineamientos que expida la Comisión Rectora. </w:t>
      </w:r>
    </w:p>
    <w:p w14:paraId="7F04F2FD" w14:textId="77777777" w:rsidR="00336C66" w:rsidRPr="00D85B0B" w:rsidRDefault="00336C66" w:rsidP="00336C66">
      <w:pPr>
        <w:spacing w:after="0" w:line="240" w:lineRule="auto"/>
        <w:contextualSpacing/>
        <w:jc w:val="both"/>
        <w:rPr>
          <w:rFonts w:ascii="Verdana" w:hAnsi="Verdana" w:cs="Arial"/>
          <w:noProof/>
          <w:sz w:val="20"/>
          <w:szCs w:val="20"/>
          <w:lang w:val="es-ES_tradnl"/>
        </w:rPr>
      </w:pPr>
    </w:p>
    <w:p w14:paraId="7BEAD682" w14:textId="77777777" w:rsidR="00336C66" w:rsidRDefault="00336C66" w:rsidP="00336C66">
      <w:pPr>
        <w:tabs>
          <w:tab w:val="left" w:pos="709"/>
        </w:tabs>
        <w:spacing w:after="0" w:line="240" w:lineRule="auto"/>
        <w:contextualSpacing/>
        <w:jc w:val="both"/>
        <w:rPr>
          <w:rFonts w:ascii="Verdana" w:eastAsia="Calibri" w:hAnsi="Verdana" w:cs="Arial"/>
          <w:b/>
          <w:bCs/>
          <w:lang w:val="es-MX"/>
        </w:rPr>
      </w:pPr>
      <w:r w:rsidRPr="00D85B0B">
        <w:rPr>
          <w:rFonts w:ascii="Verdana" w:eastAsia="Calibri" w:hAnsi="Verdana" w:cs="Arial"/>
          <w:b/>
          <w:bCs/>
          <w:lang w:val="es-MX"/>
        </w:rPr>
        <w:t xml:space="preserve">SISTEMA GENERAL DE GARANTÍAS – Régimen contractual – Entidades ejecutoras – Aplicación del Estatuto General de Contratación de la Administración Pública </w:t>
      </w:r>
    </w:p>
    <w:p w14:paraId="7B342A24" w14:textId="77777777" w:rsidR="00336C66" w:rsidRPr="00D85B0B" w:rsidRDefault="00336C66" w:rsidP="00336C66">
      <w:pPr>
        <w:tabs>
          <w:tab w:val="left" w:pos="709"/>
        </w:tabs>
        <w:spacing w:after="0" w:line="240" w:lineRule="auto"/>
        <w:contextualSpacing/>
        <w:jc w:val="both"/>
        <w:rPr>
          <w:rFonts w:ascii="Verdana" w:eastAsia="Calibri" w:hAnsi="Verdana" w:cs="Arial"/>
          <w:b/>
          <w:bCs/>
          <w:lang w:val="es-MX"/>
        </w:rPr>
      </w:pPr>
    </w:p>
    <w:p w14:paraId="1B419D18" w14:textId="77777777" w:rsidR="00336C66" w:rsidRPr="00D85B0B" w:rsidRDefault="00336C66" w:rsidP="00336C66">
      <w:pPr>
        <w:spacing w:after="0" w:line="240" w:lineRule="auto"/>
        <w:contextualSpacing/>
        <w:jc w:val="both"/>
        <w:rPr>
          <w:rFonts w:ascii="Verdana" w:hAnsi="Verdana" w:cs="Arial"/>
          <w:noProof/>
          <w:sz w:val="20"/>
          <w:szCs w:val="20"/>
        </w:rPr>
      </w:pPr>
      <w:r w:rsidRPr="00D85B0B">
        <w:rPr>
          <w:rFonts w:ascii="Verdana" w:hAnsi="Verdana" w:cs="Arial"/>
          <w:sz w:val="20"/>
          <w:szCs w:val="20"/>
        </w:rPr>
        <w:t xml:space="preserve">[…] el parágrafo primero del artículo 37 dispone: “La ejecución de proyectos de </w:t>
      </w:r>
      <w:proofErr w:type="spellStart"/>
      <w:r w:rsidRPr="00D85B0B">
        <w:rPr>
          <w:rFonts w:ascii="Verdana" w:hAnsi="Verdana" w:cs="Arial"/>
          <w:sz w:val="20"/>
          <w:szCs w:val="20"/>
        </w:rPr>
        <w:t>que</w:t>
      </w:r>
      <w:proofErr w:type="spellEnd"/>
      <w:r w:rsidRPr="00D85B0B">
        <w:rPr>
          <w:rFonts w:ascii="Verdana" w:hAnsi="Verdana" w:cs="Arial"/>
          <w:sz w:val="20"/>
          <w:szCs w:val="20"/>
        </w:rPr>
        <w:t xml:space="preserve"> trata este artículo, se adelantará, con estricta sujeción al régimen presupuestal definido en esta ley, </w:t>
      </w:r>
      <w:r w:rsidRPr="00D85B0B">
        <w:rPr>
          <w:rFonts w:ascii="Verdana" w:hAnsi="Verdana" w:cs="Arial"/>
          <w:i/>
          <w:iCs/>
          <w:sz w:val="20"/>
          <w:szCs w:val="20"/>
        </w:rPr>
        <w:t>al de contratación pública</w:t>
      </w:r>
      <w:r w:rsidRPr="00D85B0B">
        <w:rPr>
          <w:rFonts w:ascii="Verdana" w:hAnsi="Verdana" w:cs="Arial"/>
          <w:sz w:val="20"/>
          <w:szCs w:val="20"/>
        </w:rPr>
        <w:t xml:space="preserve"> y las demás normas legales vigentes. El ejecutor garantizará la correcta ejecución de los recursos asignados al proyecto de inversión, así como el suministro y registro de la información requerida por el sistema de seguimiento, evaluación y control” [Énfasis fuera del texto original].</w:t>
      </w:r>
      <w:r w:rsidRPr="00D85B0B">
        <w:rPr>
          <w:rFonts w:ascii="Verdana" w:hAnsi="Verdana" w:cs="Arial"/>
          <w:noProof/>
          <w:sz w:val="20"/>
          <w:szCs w:val="20"/>
        </w:rPr>
        <w:t xml:space="preserve"> A partir de esta norma, el ejercutor de los proyectos de inversion en el Sistema General de Regalias debe sujetarse a las reglas de contratación pública, es decir, a las prescripciones establecidas en el Estatuto General de Contratación de la Administración Pública, así como las normas que lo modifiquen, sustituyan o reglamenten. En efecto, el ejecutor debe someterse a las reglas generales de la contratación pública cuando desarrolle proyectos en el marco del Sistema General de Regalías. </w:t>
      </w:r>
    </w:p>
    <w:p w14:paraId="3F34587E" w14:textId="77777777" w:rsidR="00336C66" w:rsidRDefault="00336C66" w:rsidP="00336C66">
      <w:pPr>
        <w:spacing w:after="0" w:line="240" w:lineRule="auto"/>
        <w:contextualSpacing/>
        <w:jc w:val="both"/>
        <w:rPr>
          <w:rFonts w:ascii="Verdana" w:hAnsi="Verdana" w:cs="Arial"/>
          <w:sz w:val="20"/>
          <w:szCs w:val="20"/>
        </w:rPr>
      </w:pPr>
    </w:p>
    <w:p w14:paraId="5633AB25" w14:textId="77777777" w:rsidR="00336C66" w:rsidRPr="00D85B0B" w:rsidRDefault="00336C66" w:rsidP="00336C66">
      <w:pPr>
        <w:spacing w:after="0" w:line="240" w:lineRule="auto"/>
        <w:contextualSpacing/>
        <w:jc w:val="both"/>
        <w:rPr>
          <w:rFonts w:ascii="Verdana" w:hAnsi="Verdana" w:cs="Arial"/>
          <w:color w:val="000000"/>
          <w:sz w:val="20"/>
          <w:szCs w:val="20"/>
          <w:bdr w:val="none" w:sz="0" w:space="0" w:color="auto" w:frame="1"/>
          <w:lang w:val="es-MX"/>
        </w:rPr>
      </w:pPr>
      <w:r w:rsidRPr="00D85B0B">
        <w:rPr>
          <w:rFonts w:ascii="Verdana" w:hAnsi="Verdana" w:cs="Arial"/>
          <w:sz w:val="20"/>
          <w:szCs w:val="20"/>
        </w:rPr>
        <w:t>Por tanto, en caso de que se realicen proyectos de inversión en el marco del Sistema General de Regalías, los ejecutores designados para desarrollarlos deben sujetarse al Estatuto General de Contratación de la Administración Pública</w:t>
      </w:r>
      <w:r w:rsidRPr="00D85B0B">
        <w:rPr>
          <w:rFonts w:ascii="Verdana" w:eastAsia="Calibri" w:hAnsi="Verdana" w:cs="Arial"/>
          <w:sz w:val="20"/>
          <w:szCs w:val="20"/>
          <w:lang w:val="es-MX"/>
        </w:rPr>
        <w:t>.</w:t>
      </w:r>
      <w:r w:rsidRPr="00D85B0B">
        <w:rPr>
          <w:rFonts w:ascii="Verdana" w:hAnsi="Verdana" w:cs="Arial"/>
          <w:sz w:val="20"/>
          <w:szCs w:val="20"/>
        </w:rPr>
        <w:t xml:space="preserve"> </w:t>
      </w:r>
      <w:r w:rsidRPr="00D85B0B">
        <w:rPr>
          <w:rFonts w:ascii="Verdana" w:hAnsi="Verdana" w:cs="Arial"/>
          <w:color w:val="000000"/>
          <w:sz w:val="20"/>
          <w:szCs w:val="20"/>
          <w:bdr w:val="none" w:sz="0" w:space="0" w:color="auto" w:frame="1"/>
        </w:rPr>
        <w:t xml:space="preserve">En </w:t>
      </w:r>
      <w:r w:rsidRPr="00D85B0B">
        <w:rPr>
          <w:rFonts w:ascii="Verdana" w:hAnsi="Verdana" w:cs="Arial"/>
          <w:color w:val="000000"/>
          <w:sz w:val="20"/>
          <w:szCs w:val="20"/>
          <w:bdr w:val="none" w:sz="0" w:space="0" w:color="auto" w:frame="1"/>
          <w:lang w:val="es-MX"/>
        </w:rPr>
        <w:t xml:space="preserve">el evento en que determinados asuntos estén sometidos por norma especial al Estatuto General de Contratación de la Administración Pública, la ejecución de los contratos deberá realizarse conforme a este régimen. </w:t>
      </w:r>
    </w:p>
    <w:p w14:paraId="17398E53" w14:textId="77777777" w:rsidR="00336C66" w:rsidRPr="00D85B0B" w:rsidRDefault="00336C66" w:rsidP="00336C66">
      <w:pPr>
        <w:tabs>
          <w:tab w:val="left" w:pos="709"/>
        </w:tabs>
        <w:spacing w:after="0" w:line="240" w:lineRule="auto"/>
        <w:contextualSpacing/>
        <w:jc w:val="both"/>
        <w:rPr>
          <w:rFonts w:ascii="Verdana" w:eastAsia="Calibri" w:hAnsi="Verdana" w:cs="Arial"/>
          <w:sz w:val="20"/>
          <w:szCs w:val="20"/>
          <w:lang w:val="es-MX"/>
        </w:rPr>
      </w:pPr>
    </w:p>
    <w:p w14:paraId="1615BE80" w14:textId="77777777" w:rsidR="00336C66" w:rsidRPr="00D85B0B" w:rsidRDefault="00336C66" w:rsidP="00336C66">
      <w:pPr>
        <w:tabs>
          <w:tab w:val="left" w:pos="709"/>
        </w:tabs>
        <w:spacing w:after="0" w:line="240" w:lineRule="auto"/>
        <w:contextualSpacing/>
        <w:jc w:val="both"/>
        <w:rPr>
          <w:rFonts w:ascii="Verdana" w:eastAsia="Calibri" w:hAnsi="Verdana" w:cs="Arial"/>
          <w:b/>
          <w:lang w:eastAsia="es-ES"/>
        </w:rPr>
      </w:pPr>
      <w:r w:rsidRPr="00D85B0B">
        <w:rPr>
          <w:rFonts w:ascii="Verdana" w:eastAsia="Calibri" w:hAnsi="Verdana" w:cs="Arial"/>
          <w:b/>
          <w:lang w:eastAsia="es-ES"/>
        </w:rPr>
        <w:t xml:space="preserve">SUPERVISIÓN – Noción ‒ Ley 1474 de 2011 </w:t>
      </w:r>
    </w:p>
    <w:p w14:paraId="5B39FEC1" w14:textId="77777777" w:rsidR="00336C66" w:rsidRDefault="00336C66" w:rsidP="00336C66">
      <w:pPr>
        <w:spacing w:after="0" w:line="240" w:lineRule="auto"/>
        <w:contextualSpacing/>
        <w:jc w:val="both"/>
        <w:rPr>
          <w:rFonts w:ascii="Verdana" w:eastAsia="Calibri" w:hAnsi="Verdana" w:cs="Arial"/>
          <w:bCs/>
          <w:color w:val="000000"/>
          <w:sz w:val="20"/>
          <w:szCs w:val="20"/>
        </w:rPr>
      </w:pPr>
    </w:p>
    <w:p w14:paraId="5AEF0C2D" w14:textId="77777777" w:rsidR="00336C66" w:rsidRPr="00D85B0B" w:rsidRDefault="00336C66" w:rsidP="00336C66">
      <w:pPr>
        <w:spacing w:after="0" w:line="240" w:lineRule="auto"/>
        <w:contextualSpacing/>
        <w:jc w:val="both"/>
        <w:rPr>
          <w:rFonts w:ascii="Verdana" w:eastAsia="Calibri" w:hAnsi="Verdana" w:cs="Arial"/>
          <w:bCs/>
          <w:color w:val="000000"/>
          <w:sz w:val="20"/>
          <w:szCs w:val="20"/>
        </w:rPr>
      </w:pPr>
      <w:r w:rsidRPr="00D85B0B">
        <w:rPr>
          <w:rFonts w:ascii="Verdana" w:eastAsia="Calibri" w:hAnsi="Verdana" w:cs="Arial"/>
          <w:bCs/>
          <w:color w:val="000000"/>
          <w:sz w:val="20"/>
          <w:szCs w:val="20"/>
        </w:rPr>
        <w:t xml:space="preserve">La remisión al Estatuto General de Contratación de la Administración Pública en lo que respecta a la supervisión de los proyectos de inversión se refuerza si se tienen en cuenta que, las disposiciones contenidas en </w:t>
      </w:r>
      <w:r w:rsidRPr="00D85B0B">
        <w:rPr>
          <w:rFonts w:ascii="Verdana" w:hAnsi="Verdana" w:cs="Arial"/>
          <w:noProof/>
          <w:sz w:val="20"/>
          <w:szCs w:val="20"/>
          <w:lang w:val="es-MX"/>
        </w:rPr>
        <w:t>el Decreto 1821 de 2020, “</w:t>
      </w:r>
      <w:r w:rsidRPr="00D85B0B">
        <w:rPr>
          <w:rFonts w:ascii="Verdana" w:hAnsi="Verdana" w:cs="Arial"/>
          <w:noProof/>
          <w:sz w:val="20"/>
          <w:szCs w:val="20"/>
        </w:rPr>
        <w:t>Por el cual se expide el Decreto Único Reglamentario del Sistema General de Regalías”. Especificamernte, el artículo 1.2.3.3.2. dispone que, la supervisión y la interventoría de los proyectos de inversión se encuentran sujetas a las reglas contenidas en el artículo 83 de la Ley 1474 de 2011 o las normas que la adicionen, modifiquen o sustituyan. En ese sentido, la supervisión o interventoría de los proyectos de inversión con cargo a recursos de regalias se sujetan a los dipuesto en la Ley 1474 de 2011</w:t>
      </w:r>
      <w:r w:rsidRPr="00D85B0B">
        <w:rPr>
          <w:rFonts w:ascii="Verdana" w:eastAsia="Calibri" w:hAnsi="Verdana" w:cs="Arial"/>
          <w:bCs/>
          <w:color w:val="000000"/>
          <w:sz w:val="20"/>
          <w:szCs w:val="20"/>
        </w:rPr>
        <w:t xml:space="preserve">, la cual enmarcó el seguimiento, control y vigilancia de la ejecución del contrato estatal dentro del principio de moralidad administrativa. </w:t>
      </w:r>
    </w:p>
    <w:p w14:paraId="1FB300ED" w14:textId="77777777" w:rsidR="00336C66" w:rsidRDefault="00336C66" w:rsidP="00336C66">
      <w:pPr>
        <w:spacing w:after="0" w:line="240" w:lineRule="auto"/>
        <w:contextualSpacing/>
        <w:jc w:val="both"/>
        <w:rPr>
          <w:rFonts w:ascii="Verdana" w:eastAsia="Calibri" w:hAnsi="Verdana" w:cs="Arial"/>
          <w:bCs/>
          <w:color w:val="000000"/>
          <w:sz w:val="20"/>
          <w:szCs w:val="20"/>
        </w:rPr>
      </w:pPr>
    </w:p>
    <w:p w14:paraId="31375120" w14:textId="77777777" w:rsidR="00336C66" w:rsidRPr="00D85B0B" w:rsidRDefault="00336C66" w:rsidP="00336C66">
      <w:pPr>
        <w:spacing w:after="0" w:line="240" w:lineRule="auto"/>
        <w:contextualSpacing/>
        <w:jc w:val="both"/>
        <w:rPr>
          <w:rFonts w:ascii="Verdana" w:hAnsi="Verdana" w:cs="Arial"/>
          <w:color w:val="000000"/>
          <w:sz w:val="20"/>
          <w:szCs w:val="20"/>
          <w:bdr w:val="none" w:sz="0" w:space="0" w:color="auto" w:frame="1"/>
          <w:lang w:val="es-MX"/>
        </w:rPr>
      </w:pPr>
      <w:r w:rsidRPr="00D85B0B">
        <w:rPr>
          <w:rFonts w:ascii="Verdana" w:eastAsia="Calibri" w:hAnsi="Verdana" w:cs="Arial"/>
          <w:bCs/>
          <w:color w:val="000000"/>
          <w:sz w:val="20"/>
          <w:szCs w:val="20"/>
        </w:rPr>
        <w:t xml:space="preserve">El artículo 83 </w:t>
      </w:r>
      <w:r w:rsidRPr="00D85B0B">
        <w:rPr>
          <w:rFonts w:ascii="Verdana" w:eastAsia="Calibri" w:hAnsi="Verdana" w:cs="Arial"/>
          <w:bCs/>
          <w:i/>
          <w:iCs/>
          <w:color w:val="000000"/>
          <w:sz w:val="20"/>
          <w:szCs w:val="20"/>
        </w:rPr>
        <w:t xml:space="preserve">ibidem </w:t>
      </w:r>
      <w:r w:rsidRPr="00D85B0B">
        <w:rPr>
          <w:rFonts w:ascii="Verdana" w:eastAsia="Calibri" w:hAnsi="Verdana" w:cs="Arial"/>
          <w:bCs/>
          <w:color w:val="000000"/>
          <w:sz w:val="20"/>
          <w:szCs w:val="20"/>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14:paraId="323007FA" w14:textId="77777777" w:rsidR="00336C66" w:rsidRPr="00D85B0B" w:rsidRDefault="00336C66" w:rsidP="00336C66">
      <w:pPr>
        <w:tabs>
          <w:tab w:val="left" w:pos="709"/>
        </w:tabs>
        <w:spacing w:after="0" w:line="240" w:lineRule="auto"/>
        <w:contextualSpacing/>
        <w:jc w:val="both"/>
        <w:rPr>
          <w:rFonts w:ascii="Verdana" w:eastAsia="Calibri" w:hAnsi="Verdana" w:cs="Arial"/>
          <w:b/>
          <w:sz w:val="20"/>
          <w:szCs w:val="20"/>
          <w:lang w:val="es-MX" w:eastAsia="es-ES"/>
        </w:rPr>
      </w:pPr>
    </w:p>
    <w:p w14:paraId="77AEC301" w14:textId="77777777" w:rsidR="00336C66" w:rsidRPr="00D85B0B" w:rsidRDefault="00336C66" w:rsidP="00336C66">
      <w:pPr>
        <w:tabs>
          <w:tab w:val="left" w:pos="709"/>
        </w:tabs>
        <w:spacing w:after="0" w:line="240" w:lineRule="auto"/>
        <w:contextualSpacing/>
        <w:jc w:val="both"/>
        <w:rPr>
          <w:rFonts w:ascii="Verdana" w:eastAsia="Calibri" w:hAnsi="Verdana" w:cs="Arial"/>
          <w:b/>
          <w:lang w:eastAsia="es-ES"/>
        </w:rPr>
      </w:pPr>
      <w:r w:rsidRPr="00D85B0B">
        <w:rPr>
          <w:rFonts w:ascii="Verdana" w:eastAsia="Calibri" w:hAnsi="Verdana" w:cs="Arial"/>
          <w:b/>
          <w:lang w:eastAsia="es-ES"/>
        </w:rPr>
        <w:t>SUPERVISIÓN – Rol</w:t>
      </w:r>
    </w:p>
    <w:p w14:paraId="067BFE9E" w14:textId="77777777" w:rsidR="00336C66" w:rsidRDefault="00336C66" w:rsidP="00336C66">
      <w:pPr>
        <w:widowControl w:val="0"/>
        <w:autoSpaceDE w:val="0"/>
        <w:autoSpaceDN w:val="0"/>
        <w:spacing w:after="0" w:line="240" w:lineRule="auto"/>
        <w:contextualSpacing/>
        <w:jc w:val="both"/>
        <w:rPr>
          <w:rFonts w:ascii="Verdana" w:hAnsi="Verdana" w:cs="Arial"/>
          <w:noProof/>
          <w:sz w:val="20"/>
          <w:szCs w:val="20"/>
        </w:rPr>
      </w:pPr>
    </w:p>
    <w:p w14:paraId="5DE3B39C" w14:textId="77777777" w:rsidR="00336C66" w:rsidRPr="00D85B0B" w:rsidRDefault="00336C66" w:rsidP="00336C66">
      <w:pPr>
        <w:widowControl w:val="0"/>
        <w:autoSpaceDE w:val="0"/>
        <w:autoSpaceDN w:val="0"/>
        <w:spacing w:after="0" w:line="240" w:lineRule="auto"/>
        <w:contextualSpacing/>
        <w:jc w:val="both"/>
        <w:rPr>
          <w:rFonts w:ascii="Verdana" w:hAnsi="Verdana" w:cs="Arial"/>
          <w:noProof/>
          <w:sz w:val="20"/>
          <w:szCs w:val="20"/>
        </w:rPr>
      </w:pPr>
      <w:r w:rsidRPr="00D85B0B">
        <w:rPr>
          <w:rFonts w:ascii="Verdana" w:hAnsi="Verdana" w:cs="Arial"/>
          <w:noProof/>
          <w:sz w:val="20"/>
          <w:szCs w:val="20"/>
        </w:rPr>
        <w:t xml:space="preserve">Ahora bien, frente al rol de un supervisor en un proyecto de inversión financiado con recursos del Sistema General de Regalias debe tenerse en cuenta lo disuesto en el artículo 84 </w:t>
      </w:r>
      <w:r w:rsidRPr="00D85B0B">
        <w:rPr>
          <w:rFonts w:ascii="Verdana" w:hAnsi="Verdana" w:cs="Arial"/>
          <w:i/>
          <w:iCs/>
          <w:noProof/>
          <w:sz w:val="20"/>
          <w:szCs w:val="20"/>
        </w:rPr>
        <w:t>ibidem</w:t>
      </w:r>
      <w:r w:rsidRPr="00D85B0B">
        <w:rPr>
          <w:rFonts w:ascii="Verdana" w:hAnsi="Verdana" w:cs="Arial"/>
          <w:noProof/>
          <w:sz w:val="20"/>
          <w:szCs w:val="20"/>
        </w:rPr>
        <w:t xml:space="preserve">, según el cual la supervisión e interventoría contractual implica el seguimiento al ejercicio del cumplimiento obligacional por la entidad contratante sobre las obligaciones a cargo del contratista. De acuerdo con el citado artículo los supervisores </w:t>
      </w:r>
      <w:r w:rsidRPr="00D85B0B">
        <w:rPr>
          <w:rFonts w:ascii="Verdana" w:hAnsi="Verdana" w:cs="Arial"/>
          <w:noProof/>
          <w:sz w:val="20"/>
          <w:szCs w:val="20"/>
        </w:rPr>
        <w:lastRenderedPageBreak/>
        <w:t>se encuentran facultados para solictar informes, aclaraciones y explicaciones sobre el desarrollo de la ejecución contractual. Así mismo,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036E5B11" w14:textId="77777777" w:rsidR="00336C66" w:rsidRPr="00D85B0B" w:rsidRDefault="00336C66" w:rsidP="00336C66">
      <w:pPr>
        <w:tabs>
          <w:tab w:val="left" w:pos="709"/>
        </w:tabs>
        <w:spacing w:after="0" w:line="240" w:lineRule="auto"/>
        <w:contextualSpacing/>
        <w:jc w:val="both"/>
        <w:rPr>
          <w:rFonts w:ascii="Verdana" w:eastAsia="Calibri" w:hAnsi="Verdana" w:cs="Arial"/>
          <w:b/>
          <w:sz w:val="20"/>
          <w:szCs w:val="20"/>
          <w:lang w:eastAsia="es-ES"/>
        </w:rPr>
      </w:pPr>
    </w:p>
    <w:p w14:paraId="3BA8442A" w14:textId="77777777" w:rsidR="00336C66" w:rsidRPr="00D85B0B" w:rsidRDefault="00336C66" w:rsidP="00336C66">
      <w:pPr>
        <w:tabs>
          <w:tab w:val="left" w:pos="709"/>
        </w:tabs>
        <w:spacing w:after="0" w:line="240" w:lineRule="auto"/>
        <w:contextualSpacing/>
        <w:jc w:val="both"/>
        <w:rPr>
          <w:rFonts w:ascii="Verdana" w:eastAsia="Calibri" w:hAnsi="Verdana" w:cs="Arial"/>
          <w:b/>
          <w:lang w:eastAsia="es-ES"/>
        </w:rPr>
      </w:pPr>
      <w:r w:rsidRPr="00D85B0B">
        <w:rPr>
          <w:rFonts w:ascii="Verdana" w:eastAsia="Calibri" w:hAnsi="Verdana" w:cs="Arial"/>
          <w:b/>
          <w:lang w:eastAsia="es-ES"/>
        </w:rPr>
        <w:t>SUPERVISIÓN – Designación</w:t>
      </w:r>
    </w:p>
    <w:p w14:paraId="414BC072" w14:textId="77777777" w:rsidR="00336C66" w:rsidRDefault="00336C66" w:rsidP="00336C66">
      <w:pPr>
        <w:widowControl w:val="0"/>
        <w:autoSpaceDE w:val="0"/>
        <w:autoSpaceDN w:val="0"/>
        <w:spacing w:after="0" w:line="240" w:lineRule="auto"/>
        <w:contextualSpacing/>
        <w:jc w:val="both"/>
        <w:rPr>
          <w:rFonts w:ascii="Verdana" w:hAnsi="Verdana" w:cs="Arial"/>
          <w:noProof/>
          <w:sz w:val="20"/>
          <w:szCs w:val="20"/>
        </w:rPr>
      </w:pPr>
    </w:p>
    <w:p w14:paraId="1222B04E" w14:textId="77777777" w:rsidR="00336C66" w:rsidRPr="00D85B0B" w:rsidRDefault="00336C66" w:rsidP="00336C66">
      <w:pPr>
        <w:widowControl w:val="0"/>
        <w:autoSpaceDE w:val="0"/>
        <w:autoSpaceDN w:val="0"/>
        <w:spacing w:after="0" w:line="240" w:lineRule="auto"/>
        <w:contextualSpacing/>
        <w:jc w:val="both"/>
        <w:rPr>
          <w:rFonts w:ascii="Verdana" w:hAnsi="Verdana" w:cs="Arial"/>
          <w:noProof/>
          <w:sz w:val="20"/>
          <w:szCs w:val="20"/>
        </w:rPr>
      </w:pPr>
      <w:r w:rsidRPr="00D85B0B">
        <w:rPr>
          <w:rFonts w:ascii="Verdana" w:hAnsi="Verdana" w:cs="Arial"/>
          <w:noProof/>
          <w:sz w:val="20"/>
          <w:szCs w:val="20"/>
        </w:rPr>
        <w:t>E</w:t>
      </w:r>
      <w:r w:rsidRPr="00D85B0B">
        <w:rPr>
          <w:rFonts w:ascii="Verdana" w:eastAsia="Calibri" w:hAnsi="Verdana" w:cs="Arial"/>
          <w:bCs/>
          <w:color w:val="000000"/>
          <w:sz w:val="20"/>
          <w:szCs w:val="20"/>
        </w:rPr>
        <w:t xml:space="preserve">n cuanto a la designación del supervisor, la Agencia Nacional de Contratación Pública – Colombia Compra Eficiente, en la “Guía para el ejercicio de las funciones de supervisión e interventoría de los contratos del Estado”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7DB00EAD" w14:textId="77777777" w:rsidR="00336C66" w:rsidRDefault="00336C66">
      <w:pPr>
        <w:rPr>
          <w:rFonts w:ascii="Verdana" w:hAnsi="Verdana"/>
        </w:rPr>
      </w:pPr>
      <w:r>
        <w:rPr>
          <w:rFonts w:ascii="Verdana" w:hAnsi="Verdana"/>
        </w:rPr>
        <w:br w:type="page"/>
      </w:r>
    </w:p>
    <w:p w14:paraId="3FE2184B" w14:textId="7FF5399C" w:rsidR="00E245AB" w:rsidRPr="0044528D" w:rsidRDefault="00E245AB" w:rsidP="00E245AB">
      <w:pPr>
        <w:spacing w:after="0"/>
        <w:rPr>
          <w:rFonts w:ascii="Verdana" w:hAnsi="Verdana"/>
        </w:rPr>
      </w:pPr>
      <w:r w:rsidRPr="0044528D">
        <w:rPr>
          <w:rFonts w:ascii="Verdana" w:hAnsi="Verdana"/>
        </w:rPr>
        <w:lastRenderedPageBreak/>
        <w:t xml:space="preserve">Bogotá D.C., </w:t>
      </w:r>
      <w:r w:rsidR="008F2687">
        <w:rPr>
          <w:rFonts w:ascii="Verdana" w:hAnsi="Verdana"/>
        </w:rPr>
        <w:t>28 de octubre de 2024.</w:t>
      </w:r>
    </w:p>
    <w:bookmarkEnd w:id="0"/>
    <w:p w14:paraId="0C453BA1" w14:textId="12DAAF8D" w:rsidR="0059129A" w:rsidRPr="0084743F" w:rsidRDefault="0059129A" w:rsidP="008F2687">
      <w:pPr>
        <w:spacing w:after="0" w:line="240" w:lineRule="auto"/>
        <w:jc w:val="right"/>
        <w:rPr>
          <w:rFonts w:ascii="Verdana" w:eastAsia="Calibri" w:hAnsi="Verdana" w:cs="Arial"/>
          <w:lang w:val="es-ES"/>
        </w:rPr>
      </w:pPr>
      <w:r w:rsidRPr="0059129A">
        <w:rPr>
          <w:rFonts w:ascii="Verdana" w:eastAsia="Calibri" w:hAnsi="Verdana" w:cs="Arial"/>
          <w:noProof/>
          <w:lang w:val="es-ES"/>
        </w:rPr>
        <w:drawing>
          <wp:inline distT="0" distB="0" distL="0" distR="0" wp14:anchorId="358B218C" wp14:editId="07DAAB44">
            <wp:extent cx="2320555" cy="721077"/>
            <wp:effectExtent l="0" t="0" r="3810" b="3175"/>
            <wp:docPr id="10449539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5391" name="Imagen 1" descr="Texto&#10;&#10;Descripción generada automáticamente"/>
                    <pic:cNvPicPr/>
                  </pic:nvPicPr>
                  <pic:blipFill>
                    <a:blip r:embed="rId10"/>
                    <a:stretch>
                      <a:fillRect/>
                    </a:stretch>
                  </pic:blipFill>
                  <pic:spPr>
                    <a:xfrm>
                      <a:off x="0" y="0"/>
                      <a:ext cx="2343969" cy="728353"/>
                    </a:xfrm>
                    <a:prstGeom prst="rect">
                      <a:avLst/>
                    </a:prstGeom>
                  </pic:spPr>
                </pic:pic>
              </a:graphicData>
            </a:graphic>
          </wp:inline>
        </w:drawing>
      </w:r>
    </w:p>
    <w:p w14:paraId="27103044" w14:textId="77777777" w:rsidR="00A74E44" w:rsidRPr="0084743F" w:rsidRDefault="00A74E44" w:rsidP="00A74E44">
      <w:pPr>
        <w:spacing w:after="0" w:line="240" w:lineRule="auto"/>
        <w:jc w:val="both"/>
        <w:rPr>
          <w:rFonts w:ascii="Verdana" w:eastAsia="Calibri" w:hAnsi="Verdana" w:cs="Arial"/>
          <w:lang w:val="es-ES" w:eastAsia="es-ES"/>
        </w:rPr>
      </w:pPr>
      <w:r w:rsidRPr="0084743F">
        <w:rPr>
          <w:rFonts w:ascii="Verdana" w:eastAsia="Calibri" w:hAnsi="Verdana" w:cs="Arial"/>
          <w:lang w:val="es-ES" w:eastAsia="es-ES"/>
        </w:rPr>
        <w:t>Señor</w:t>
      </w:r>
    </w:p>
    <w:p w14:paraId="331875AC" w14:textId="77777777" w:rsidR="00A74E44" w:rsidRPr="0084743F" w:rsidRDefault="00A74E44" w:rsidP="00A74E44">
      <w:pPr>
        <w:spacing w:after="0" w:line="240" w:lineRule="auto"/>
        <w:rPr>
          <w:rFonts w:ascii="Verdana" w:eastAsia="Calibri" w:hAnsi="Verdana" w:cs="Arial"/>
          <w:b/>
          <w:bCs/>
          <w:lang w:val="es-ES" w:eastAsia="es-ES"/>
        </w:rPr>
      </w:pPr>
      <w:r w:rsidRPr="0084743F">
        <w:rPr>
          <w:rFonts w:ascii="Verdana" w:eastAsia="Calibri" w:hAnsi="Verdana" w:cs="Arial"/>
          <w:b/>
          <w:bCs/>
          <w:lang w:val="es-ES" w:eastAsia="es-ES"/>
        </w:rPr>
        <w:t>Oscar Fabian Lopez Sierra</w:t>
      </w:r>
    </w:p>
    <w:p w14:paraId="4C672093" w14:textId="77777777" w:rsidR="00A74E44" w:rsidRPr="0084743F" w:rsidRDefault="00A74E44" w:rsidP="00A74E44">
      <w:pPr>
        <w:spacing w:after="0" w:line="240" w:lineRule="auto"/>
        <w:rPr>
          <w:rFonts w:ascii="Verdana" w:eastAsia="Calibri" w:hAnsi="Verdana" w:cs="Arial"/>
          <w:b/>
          <w:bCs/>
          <w:lang w:val="es-ES" w:eastAsia="es-ES"/>
        </w:rPr>
      </w:pPr>
      <w:r w:rsidRPr="0084743F">
        <w:rPr>
          <w:rFonts w:ascii="Verdana" w:eastAsia="Calibri" w:hAnsi="Verdana" w:cs="Arial"/>
          <w:lang w:val="es-ES" w:eastAsia="es-ES"/>
        </w:rPr>
        <w:t>Tunja, Boyacá</w:t>
      </w:r>
    </w:p>
    <w:p w14:paraId="2B59801E" w14:textId="77777777" w:rsidR="00A74E44" w:rsidRPr="0084743F" w:rsidRDefault="00A74E44" w:rsidP="00A74E44">
      <w:pPr>
        <w:spacing w:after="0" w:line="240" w:lineRule="auto"/>
        <w:rPr>
          <w:rFonts w:ascii="Verdana" w:eastAsia="Calibri" w:hAnsi="Verdana" w:cs="Arial"/>
          <w:b/>
          <w:bCs/>
          <w:lang w:val="es-ES_tradnl" w:eastAsia="es-ES_tradnl"/>
        </w:rPr>
      </w:pPr>
    </w:p>
    <w:p w14:paraId="2394DB23" w14:textId="77777777" w:rsidR="00A74E44" w:rsidRPr="0084743F" w:rsidRDefault="00A74E44" w:rsidP="00A74E44">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74E44" w:rsidRPr="0084743F" w14:paraId="124837CF" w14:textId="77777777" w:rsidTr="00774769">
        <w:trPr>
          <w:trHeight w:val="243"/>
        </w:trPr>
        <w:tc>
          <w:tcPr>
            <w:tcW w:w="2689" w:type="dxa"/>
          </w:tcPr>
          <w:p w14:paraId="20A79832" w14:textId="77777777" w:rsidR="00A74E44" w:rsidRPr="0084743F" w:rsidRDefault="00A74E44" w:rsidP="00774769">
            <w:pPr>
              <w:jc w:val="both"/>
              <w:rPr>
                <w:rFonts w:ascii="Verdana" w:eastAsia="Calibri" w:hAnsi="Verdana" w:cs="Arial"/>
                <w:b/>
                <w:bCs/>
                <w:lang w:val="es-ES_tradnl" w:eastAsia="es-ES_tradnl"/>
              </w:rPr>
            </w:pPr>
          </w:p>
        </w:tc>
        <w:tc>
          <w:tcPr>
            <w:tcW w:w="6100" w:type="dxa"/>
          </w:tcPr>
          <w:p w14:paraId="58867EC5" w14:textId="77777777" w:rsidR="00A74E44" w:rsidRPr="0084743F" w:rsidRDefault="00A74E44" w:rsidP="00774769">
            <w:pPr>
              <w:jc w:val="both"/>
              <w:rPr>
                <w:rFonts w:ascii="Verdana" w:eastAsia="Calibri" w:hAnsi="Verdana" w:cs="Arial"/>
                <w:b/>
                <w:bCs/>
                <w:lang w:val="es-ES" w:eastAsia="es-ES"/>
              </w:rPr>
            </w:pPr>
            <w:r w:rsidRPr="0084743F">
              <w:rPr>
                <w:rFonts w:ascii="Verdana" w:eastAsia="Calibri" w:hAnsi="Verdana" w:cs="Arial"/>
                <w:b/>
                <w:bCs/>
                <w:lang w:val="es-ES" w:eastAsia="es-ES"/>
              </w:rPr>
              <w:t>Concepto C- 610 de 2024</w:t>
            </w:r>
          </w:p>
          <w:p w14:paraId="3ABA25C8" w14:textId="77777777" w:rsidR="00A74E44" w:rsidRPr="0084743F" w:rsidRDefault="00A74E44" w:rsidP="00774769">
            <w:pPr>
              <w:jc w:val="both"/>
              <w:rPr>
                <w:rFonts w:ascii="Verdana" w:eastAsia="Calibri" w:hAnsi="Verdana" w:cs="Arial"/>
                <w:b/>
                <w:bCs/>
                <w:lang w:val="es-ES" w:eastAsia="es-ES"/>
              </w:rPr>
            </w:pPr>
          </w:p>
        </w:tc>
      </w:tr>
      <w:tr w:rsidR="00A74E44" w:rsidRPr="0084743F" w14:paraId="2DDB24B1" w14:textId="77777777" w:rsidTr="00774769">
        <w:trPr>
          <w:trHeight w:val="884"/>
        </w:trPr>
        <w:tc>
          <w:tcPr>
            <w:tcW w:w="2689" w:type="dxa"/>
          </w:tcPr>
          <w:p w14:paraId="7791C4FB" w14:textId="77777777" w:rsidR="00A74E44" w:rsidRPr="0084743F" w:rsidRDefault="00A74E44" w:rsidP="00774769">
            <w:pPr>
              <w:jc w:val="both"/>
              <w:rPr>
                <w:rFonts w:ascii="Verdana" w:eastAsia="Calibri" w:hAnsi="Verdana" w:cs="Arial"/>
                <w:lang w:val="es-ES_tradnl" w:eastAsia="es-ES_tradnl"/>
              </w:rPr>
            </w:pPr>
            <w:r w:rsidRPr="0084743F">
              <w:rPr>
                <w:rFonts w:ascii="Verdana" w:eastAsia="Calibri" w:hAnsi="Verdana" w:cs="Arial"/>
                <w:b/>
                <w:lang w:val="es-ES_tradnl" w:eastAsia="es-ES_tradnl"/>
              </w:rPr>
              <w:t>Temas:</w:t>
            </w:r>
            <w:r w:rsidRPr="0084743F">
              <w:rPr>
                <w:rFonts w:ascii="Verdana" w:eastAsia="Calibri" w:hAnsi="Verdana" w:cs="Arial"/>
                <w:lang w:val="es-ES_tradnl" w:eastAsia="es-ES_tradnl"/>
              </w:rPr>
              <w:t xml:space="preserve">                   </w:t>
            </w:r>
          </w:p>
        </w:tc>
        <w:tc>
          <w:tcPr>
            <w:tcW w:w="6100" w:type="dxa"/>
          </w:tcPr>
          <w:p w14:paraId="2E3EC7A6" w14:textId="54971157" w:rsidR="00A74E44" w:rsidRDefault="00A74E44" w:rsidP="00774769">
            <w:pPr>
              <w:tabs>
                <w:tab w:val="left" w:pos="709"/>
              </w:tabs>
              <w:jc w:val="both"/>
              <w:rPr>
                <w:rFonts w:ascii="Verdana" w:eastAsia="Calibri" w:hAnsi="Verdana" w:cs="Arial"/>
                <w:bCs/>
                <w:lang w:eastAsia="es-ES"/>
              </w:rPr>
            </w:pPr>
            <w:r w:rsidRPr="0084743F">
              <w:rPr>
                <w:rFonts w:ascii="Verdana" w:eastAsia="Calibri" w:hAnsi="Verdana" w:cs="Arial"/>
                <w:bCs/>
                <w:lang w:val="es-ES"/>
              </w:rPr>
              <w:t xml:space="preserve">SISTEMA GENERAL DE REGALÍAS – Fundamento normativo – Acto Legislativo 01 de 2019 / </w:t>
            </w:r>
            <w:r w:rsidRPr="0084743F">
              <w:rPr>
                <w:rFonts w:ascii="Verdana" w:eastAsia="Calibri" w:hAnsi="Verdana" w:cs="Arial"/>
                <w:bCs/>
                <w:lang w:val="es-MX"/>
              </w:rPr>
              <w:t xml:space="preserve">SISTEMA GENERAL DE REGALÍAS – Ley 2056 de 2020 – Finalidad – Objeto / </w:t>
            </w:r>
            <w:r w:rsidRPr="0084743F">
              <w:rPr>
                <w:rFonts w:ascii="Verdana" w:eastAsia="Calibri" w:hAnsi="Verdana" w:cs="Arial"/>
                <w:lang w:val="es-MX"/>
              </w:rPr>
              <w:t xml:space="preserve">SISTEMA GENERAL DE </w:t>
            </w:r>
            <w:r w:rsidR="00431AB5" w:rsidRPr="0084743F">
              <w:rPr>
                <w:rFonts w:ascii="Verdana" w:eastAsia="Calibri" w:hAnsi="Verdana" w:cs="Arial"/>
                <w:bCs/>
                <w:lang w:val="es-MX"/>
              </w:rPr>
              <w:t>REGALÍAS</w:t>
            </w:r>
            <w:r w:rsidRPr="0084743F">
              <w:rPr>
                <w:rFonts w:ascii="Verdana" w:eastAsia="Calibri" w:hAnsi="Verdana" w:cs="Arial"/>
                <w:lang w:val="es-MX"/>
              </w:rPr>
              <w:t xml:space="preserve"> – Régimen contractual – Entidades ejecutoras – Aplicación del Estatuto General de Contratación de la Administración Pública / </w:t>
            </w:r>
            <w:r w:rsidRPr="0084743F">
              <w:rPr>
                <w:rFonts w:ascii="Verdana" w:eastAsia="Calibri" w:hAnsi="Verdana" w:cs="Arial"/>
                <w:bCs/>
                <w:lang w:eastAsia="es-ES"/>
              </w:rPr>
              <w:t xml:space="preserve">SUPERVISIÓN – Noción ‒ Ley 1474 de 2011 / SUPERVISIÓN – </w:t>
            </w:r>
            <w:r>
              <w:rPr>
                <w:rFonts w:ascii="Verdana" w:eastAsia="Calibri" w:hAnsi="Verdana" w:cs="Arial"/>
                <w:bCs/>
                <w:lang w:eastAsia="es-ES"/>
              </w:rPr>
              <w:t xml:space="preserve">Rol / </w:t>
            </w:r>
            <w:r w:rsidRPr="0084743F">
              <w:rPr>
                <w:rFonts w:ascii="Verdana" w:eastAsia="Calibri" w:hAnsi="Verdana" w:cs="Arial"/>
                <w:bCs/>
                <w:lang w:eastAsia="es-ES"/>
              </w:rPr>
              <w:t>SUPERVISIÓN – Designación</w:t>
            </w:r>
          </w:p>
          <w:p w14:paraId="397DE586" w14:textId="77777777" w:rsidR="00A74E44" w:rsidRPr="0084743F" w:rsidRDefault="00A74E44" w:rsidP="00774769">
            <w:pPr>
              <w:tabs>
                <w:tab w:val="left" w:pos="709"/>
              </w:tabs>
              <w:jc w:val="both"/>
              <w:rPr>
                <w:rFonts w:ascii="Verdana" w:eastAsia="Calibri" w:hAnsi="Verdana" w:cs="Arial"/>
                <w:lang w:val="es-MX" w:eastAsia="es-ES"/>
              </w:rPr>
            </w:pPr>
          </w:p>
        </w:tc>
      </w:tr>
      <w:tr w:rsidR="00A74E44" w:rsidRPr="0084743F" w14:paraId="06455F31" w14:textId="77777777" w:rsidTr="00774769">
        <w:trPr>
          <w:trHeight w:val="377"/>
        </w:trPr>
        <w:tc>
          <w:tcPr>
            <w:tcW w:w="2689" w:type="dxa"/>
          </w:tcPr>
          <w:p w14:paraId="4B1B5A10" w14:textId="77777777" w:rsidR="00A74E44" w:rsidRPr="0084743F" w:rsidRDefault="00A74E44" w:rsidP="00774769">
            <w:pPr>
              <w:jc w:val="both"/>
              <w:rPr>
                <w:rFonts w:ascii="Verdana" w:eastAsia="Calibri" w:hAnsi="Verdana" w:cs="Arial"/>
                <w:b/>
                <w:lang w:val="es-ES_tradnl" w:eastAsia="es-ES_tradnl"/>
              </w:rPr>
            </w:pPr>
            <w:r w:rsidRPr="0084743F">
              <w:rPr>
                <w:rFonts w:ascii="Verdana" w:eastAsia="Calibri" w:hAnsi="Verdana" w:cs="Arial"/>
                <w:b/>
                <w:lang w:val="es-ES_tradnl" w:eastAsia="es-ES_tradnl"/>
              </w:rPr>
              <w:t>Radicación:</w:t>
            </w:r>
            <w:r w:rsidRPr="0084743F">
              <w:rPr>
                <w:rFonts w:ascii="Verdana" w:eastAsia="Calibri" w:hAnsi="Verdana" w:cs="Arial"/>
                <w:lang w:val="es-ES_tradnl" w:eastAsia="es-ES_tradnl"/>
              </w:rPr>
              <w:t xml:space="preserve">               </w:t>
            </w:r>
          </w:p>
        </w:tc>
        <w:tc>
          <w:tcPr>
            <w:tcW w:w="6100" w:type="dxa"/>
          </w:tcPr>
          <w:p w14:paraId="735B07C1" w14:textId="77777777" w:rsidR="00A74E44" w:rsidRPr="0084743F" w:rsidRDefault="00A74E44" w:rsidP="00774769">
            <w:pPr>
              <w:jc w:val="both"/>
              <w:rPr>
                <w:rFonts w:ascii="Verdana" w:hAnsi="Verdana" w:cs="Calibri"/>
                <w:color w:val="000000"/>
              </w:rPr>
            </w:pPr>
            <w:r w:rsidRPr="0084743F">
              <w:rPr>
                <w:rFonts w:ascii="Verdana" w:eastAsia="Calibri" w:hAnsi="Verdana" w:cs="Arial"/>
                <w:lang w:val="es-ES_tradnl" w:eastAsia="es-ES_tradnl"/>
              </w:rPr>
              <w:t xml:space="preserve">Respuesta a consulta con radicado No. </w:t>
            </w:r>
            <w:r w:rsidRPr="0084743F">
              <w:rPr>
                <w:rFonts w:ascii="Verdana" w:hAnsi="Verdana" w:cs="Calibri"/>
                <w:color w:val="000000"/>
              </w:rPr>
              <w:t>P20240913009376</w:t>
            </w:r>
          </w:p>
        </w:tc>
      </w:tr>
    </w:tbl>
    <w:p w14:paraId="2E6199D1" w14:textId="77777777" w:rsidR="00A74E44" w:rsidRPr="0084743F" w:rsidRDefault="00A74E44" w:rsidP="00A74E44">
      <w:pPr>
        <w:spacing w:after="0" w:line="240" w:lineRule="auto"/>
        <w:jc w:val="both"/>
        <w:rPr>
          <w:rFonts w:ascii="Verdana" w:eastAsia="Calibri" w:hAnsi="Verdana" w:cs="Arial"/>
          <w:lang w:val="es-ES_tradnl" w:eastAsia="es-ES_tradnl"/>
        </w:rPr>
      </w:pPr>
    </w:p>
    <w:p w14:paraId="7156B78C" w14:textId="77777777" w:rsidR="00A74E44" w:rsidRPr="0084743F" w:rsidRDefault="00A74E44" w:rsidP="00A74E44">
      <w:pPr>
        <w:spacing w:after="0" w:line="240" w:lineRule="auto"/>
        <w:jc w:val="both"/>
        <w:rPr>
          <w:rFonts w:ascii="Verdana" w:eastAsia="Calibri" w:hAnsi="Verdana" w:cs="Arial"/>
          <w:lang w:val="es-ES_tradnl" w:eastAsia="es-ES_tradnl"/>
        </w:rPr>
      </w:pPr>
    </w:p>
    <w:p w14:paraId="26CC60C9" w14:textId="77777777" w:rsidR="00A74E44" w:rsidRPr="0084743F" w:rsidRDefault="00A74E44" w:rsidP="00A74E44">
      <w:pPr>
        <w:spacing w:after="0" w:line="276" w:lineRule="auto"/>
        <w:jc w:val="both"/>
        <w:rPr>
          <w:rFonts w:ascii="Verdana" w:eastAsia="Calibri" w:hAnsi="Verdana" w:cs="Arial"/>
          <w:lang w:val="es-ES" w:eastAsia="es-ES"/>
        </w:rPr>
      </w:pPr>
      <w:r w:rsidRPr="0084743F">
        <w:rPr>
          <w:rFonts w:ascii="Verdana" w:eastAsia="Calibri" w:hAnsi="Verdana" w:cs="Arial"/>
          <w:lang w:val="es-ES" w:eastAsia="es-ES"/>
        </w:rPr>
        <w:t xml:space="preserve">Estimado señor </w:t>
      </w:r>
      <w:r w:rsidRPr="0084743F">
        <w:rPr>
          <w:rFonts w:ascii="Verdana" w:eastAsia="Calibri" w:hAnsi="Verdana" w:cs="Arial"/>
          <w:lang w:val="es-ES_tradnl" w:eastAsia="es-ES_tradnl"/>
        </w:rPr>
        <w:t>Lopez Sierra</w:t>
      </w:r>
      <w:r w:rsidRPr="0084743F">
        <w:rPr>
          <w:rFonts w:ascii="Verdana" w:eastAsia="Calibri" w:hAnsi="Verdana" w:cs="Arial"/>
          <w:lang w:val="es-ES" w:eastAsia="es-ES"/>
        </w:rPr>
        <w:t xml:space="preserve">: </w:t>
      </w:r>
    </w:p>
    <w:p w14:paraId="09A9BA4B" w14:textId="77777777" w:rsidR="00A74E44" w:rsidRPr="0084743F" w:rsidRDefault="00A74E44" w:rsidP="00A74E44">
      <w:pPr>
        <w:tabs>
          <w:tab w:val="left" w:pos="3768"/>
        </w:tabs>
        <w:spacing w:after="0" w:line="276" w:lineRule="auto"/>
        <w:jc w:val="both"/>
        <w:rPr>
          <w:rFonts w:ascii="Verdana" w:eastAsia="Calibri" w:hAnsi="Verdana" w:cs="Arial"/>
          <w:lang w:val="es-ES" w:eastAsia="es-ES"/>
        </w:rPr>
      </w:pPr>
      <w:r w:rsidRPr="0084743F">
        <w:rPr>
          <w:rFonts w:ascii="Verdana" w:eastAsia="Calibri" w:hAnsi="Verdana" w:cs="Arial"/>
          <w:lang w:val="es-ES" w:eastAsia="es-ES"/>
        </w:rPr>
        <w:tab/>
      </w:r>
    </w:p>
    <w:p w14:paraId="4F5C765C" w14:textId="77777777" w:rsidR="00A74E44" w:rsidRPr="0084743F" w:rsidRDefault="00A74E44" w:rsidP="00A74E44">
      <w:pPr>
        <w:spacing w:after="0" w:line="276" w:lineRule="auto"/>
        <w:jc w:val="both"/>
        <w:rPr>
          <w:rFonts w:ascii="Verdana" w:eastAsia="Calibri" w:hAnsi="Verdana" w:cs="Arial"/>
          <w:lang w:val="es-ES" w:eastAsia="es-ES"/>
        </w:rPr>
      </w:pPr>
      <w:r w:rsidRPr="0084743F">
        <w:rPr>
          <w:rFonts w:ascii="Verdana" w:eastAsia="Calibri" w:hAnsi="Verdana" w:cs="Arial"/>
          <w:lang w:val="es-ES" w:eastAsia="es-ES"/>
        </w:rPr>
        <w:t>En ejercicio de la competencia otorgada por los artículos 3, numeral 5º, y 11, numeral 8º, del Decreto Ley 4170 de 2011,</w:t>
      </w:r>
      <w:r w:rsidRPr="0084743F">
        <w:rPr>
          <w:rFonts w:ascii="Verdana" w:eastAsia="Arial MT" w:hAnsi="Verdana" w:cs="Arial MT"/>
          <w:lang w:val="es-ES" w:eastAsia="es-ES"/>
        </w:rPr>
        <w:t xml:space="preserve"> </w:t>
      </w:r>
      <w:r w:rsidRPr="0084743F">
        <w:rPr>
          <w:rFonts w:ascii="Verdana" w:hAnsi="Verdana" w:cs="Arial"/>
        </w:rPr>
        <w:t xml:space="preserve">así como lo establecido en el artículo 4 de la Resolución 1707 de 2018 expedida por esta Entidad, </w:t>
      </w:r>
      <w:r w:rsidRPr="0084743F">
        <w:rPr>
          <w:rFonts w:ascii="Verdana" w:eastAsia="Calibri" w:hAnsi="Verdana" w:cs="Arial"/>
          <w:lang w:val="es-ES" w:eastAsia="es-ES"/>
        </w:rPr>
        <w:t xml:space="preserve">la Agencia Nacional de Contratación Pública – Colombia Compra Eficiente– responde su solicitud de consulta de fecha 13 de septiembre de 2024, en la cual manifiesta lo siguiente: </w:t>
      </w:r>
    </w:p>
    <w:p w14:paraId="29357A38" w14:textId="77777777" w:rsidR="00A74E44" w:rsidRPr="0084743F" w:rsidRDefault="00A74E44" w:rsidP="00A74E44">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039E852C" w14:textId="77777777" w:rsidR="00A74E44" w:rsidRPr="0084743F" w:rsidRDefault="00A74E44" w:rsidP="00A74E44">
      <w:pPr>
        <w:spacing w:after="0" w:line="240" w:lineRule="auto"/>
        <w:ind w:left="709" w:right="709"/>
        <w:jc w:val="both"/>
        <w:rPr>
          <w:rFonts w:ascii="Verdana" w:eastAsia="Century Gothic" w:hAnsi="Verdana" w:cs="Century Gothic"/>
          <w:sz w:val="20"/>
          <w:szCs w:val="20"/>
          <w:lang w:val="es-ES"/>
        </w:rPr>
      </w:pPr>
      <w:bookmarkStart w:id="1" w:name="_Hlk95313578"/>
      <w:r w:rsidRPr="0084743F">
        <w:rPr>
          <w:rFonts w:ascii="Verdana" w:eastAsia="Century Gothic" w:hAnsi="Verdana" w:cs="Century Gothic"/>
          <w:sz w:val="20"/>
          <w:szCs w:val="20"/>
          <w:lang w:val="es-ES"/>
        </w:rPr>
        <w:t xml:space="preserve">“1) </w:t>
      </w:r>
      <w:proofErr w:type="gramStart"/>
      <w:r w:rsidRPr="0084743F">
        <w:rPr>
          <w:rFonts w:ascii="Verdana" w:eastAsia="Century Gothic" w:hAnsi="Verdana" w:cs="Century Gothic"/>
          <w:sz w:val="20"/>
          <w:szCs w:val="20"/>
          <w:lang w:val="es-ES"/>
        </w:rPr>
        <w:t xml:space="preserve">Los contratos que se celebren y ejecuten en marco de un proyecto de inversión, financiado con recursos del Sistema General de Regalías en cuanto a supervisión contractual, le es aplicable la Ley 1474 de 2011 o existe una norma de supervisión </w:t>
      </w:r>
      <w:proofErr w:type="spellStart"/>
      <w:r w:rsidRPr="0084743F">
        <w:rPr>
          <w:rFonts w:ascii="Verdana" w:eastAsia="Century Gothic" w:hAnsi="Verdana" w:cs="Century Gothic"/>
          <w:sz w:val="20"/>
          <w:szCs w:val="20"/>
          <w:lang w:val="es-ES"/>
        </w:rPr>
        <w:t>especifica</w:t>
      </w:r>
      <w:proofErr w:type="spellEnd"/>
      <w:r w:rsidRPr="0084743F">
        <w:rPr>
          <w:rFonts w:ascii="Verdana" w:eastAsia="Century Gothic" w:hAnsi="Verdana" w:cs="Century Gothic"/>
          <w:sz w:val="20"/>
          <w:szCs w:val="20"/>
          <w:lang w:val="es-ES"/>
        </w:rPr>
        <w:t xml:space="preserve"> para estos casos?</w:t>
      </w:r>
      <w:proofErr w:type="gramEnd"/>
    </w:p>
    <w:p w14:paraId="73679FC1" w14:textId="77777777" w:rsidR="00A74E44" w:rsidRPr="0084743F" w:rsidRDefault="00A74E44" w:rsidP="00A74E44">
      <w:pPr>
        <w:spacing w:after="0" w:line="240" w:lineRule="auto"/>
        <w:ind w:left="709" w:right="709"/>
        <w:jc w:val="both"/>
        <w:rPr>
          <w:rFonts w:ascii="Verdana" w:eastAsia="Century Gothic" w:hAnsi="Verdana" w:cs="Century Gothic"/>
          <w:sz w:val="20"/>
          <w:szCs w:val="20"/>
          <w:lang w:val="es-ES"/>
        </w:rPr>
      </w:pPr>
    </w:p>
    <w:p w14:paraId="6968A6D9" w14:textId="77777777" w:rsidR="00A74E44" w:rsidRPr="0084743F" w:rsidRDefault="00A74E44" w:rsidP="00A74E44">
      <w:pPr>
        <w:spacing w:after="0" w:line="240" w:lineRule="auto"/>
        <w:ind w:left="709" w:right="709"/>
        <w:jc w:val="both"/>
        <w:rPr>
          <w:rFonts w:ascii="Verdana" w:eastAsia="Century Gothic" w:hAnsi="Verdana" w:cs="Century Gothic"/>
          <w:sz w:val="20"/>
          <w:szCs w:val="20"/>
          <w:lang w:val="es-ES"/>
        </w:rPr>
      </w:pPr>
      <w:r w:rsidRPr="0084743F">
        <w:rPr>
          <w:rFonts w:ascii="Verdana" w:eastAsia="Century Gothic" w:hAnsi="Verdana" w:cs="Century Gothic"/>
          <w:sz w:val="20"/>
          <w:szCs w:val="20"/>
          <w:lang w:val="es-ES"/>
        </w:rPr>
        <w:t>2) El supervisor de un proyecto de inversión, financiado con recursos del Sistema General de Regalías, puede ser el supervisor de los contratos que se celebren y ejecuten en marco del proyecto, sin que medie acta de designación de supervisión para estos contratos.</w:t>
      </w:r>
    </w:p>
    <w:p w14:paraId="6ED5B6DC" w14:textId="77777777" w:rsidR="00A74E44" w:rsidRPr="0084743F" w:rsidRDefault="00A74E44" w:rsidP="00A74E44">
      <w:pPr>
        <w:spacing w:after="0" w:line="240" w:lineRule="auto"/>
        <w:ind w:left="709" w:right="709"/>
        <w:jc w:val="both"/>
        <w:rPr>
          <w:rFonts w:ascii="Verdana" w:eastAsia="Century Gothic" w:hAnsi="Verdana" w:cs="Century Gothic"/>
          <w:sz w:val="20"/>
          <w:szCs w:val="20"/>
          <w:lang w:val="es-ES"/>
        </w:rPr>
      </w:pPr>
    </w:p>
    <w:p w14:paraId="17D50292" w14:textId="77777777" w:rsidR="00A74E44" w:rsidRPr="0084743F" w:rsidRDefault="00A74E44" w:rsidP="00A74E44">
      <w:pPr>
        <w:spacing w:after="0" w:line="240" w:lineRule="auto"/>
        <w:ind w:left="709" w:right="709"/>
        <w:jc w:val="both"/>
        <w:rPr>
          <w:rFonts w:ascii="Verdana" w:eastAsia="Century Gothic" w:hAnsi="Verdana" w:cs="Century Gothic"/>
          <w:sz w:val="20"/>
          <w:szCs w:val="20"/>
          <w:lang w:val="es-ES"/>
        </w:rPr>
      </w:pPr>
      <w:r w:rsidRPr="0084743F">
        <w:rPr>
          <w:rFonts w:ascii="Verdana" w:eastAsia="Century Gothic" w:hAnsi="Verdana" w:cs="Century Gothic"/>
          <w:sz w:val="20"/>
          <w:szCs w:val="20"/>
          <w:lang w:val="es-ES"/>
        </w:rPr>
        <w:lastRenderedPageBreak/>
        <w:t>3) Cual es el rol especifico de un supervisor en un proyecto de inversión, financiado con recursos del Sistema General de Regalías.</w:t>
      </w:r>
    </w:p>
    <w:p w14:paraId="61D05D33" w14:textId="77777777" w:rsidR="00A74E44" w:rsidRPr="0084743F" w:rsidRDefault="00A74E44" w:rsidP="00A74E44">
      <w:pPr>
        <w:spacing w:after="0" w:line="240" w:lineRule="auto"/>
        <w:ind w:left="709" w:right="709"/>
        <w:jc w:val="both"/>
        <w:rPr>
          <w:rFonts w:ascii="Verdana" w:eastAsia="Century Gothic" w:hAnsi="Verdana" w:cs="Century Gothic"/>
          <w:sz w:val="20"/>
          <w:szCs w:val="20"/>
          <w:lang w:val="es-ES"/>
        </w:rPr>
      </w:pPr>
    </w:p>
    <w:p w14:paraId="11945648" w14:textId="77777777" w:rsidR="00A74E44" w:rsidRPr="0084743F" w:rsidRDefault="00A74E44" w:rsidP="00A74E44">
      <w:pPr>
        <w:spacing w:after="0" w:line="240" w:lineRule="auto"/>
        <w:ind w:left="709" w:right="709"/>
        <w:jc w:val="both"/>
        <w:rPr>
          <w:rFonts w:ascii="Verdana" w:eastAsia="Century Gothic" w:hAnsi="Verdana" w:cs="Century Gothic"/>
          <w:sz w:val="20"/>
          <w:szCs w:val="20"/>
          <w:lang w:val="es-ES"/>
        </w:rPr>
      </w:pPr>
      <w:r w:rsidRPr="0084743F">
        <w:rPr>
          <w:rFonts w:ascii="Verdana" w:eastAsia="Century Gothic" w:hAnsi="Verdana" w:cs="Century Gothic"/>
          <w:sz w:val="20"/>
          <w:szCs w:val="20"/>
          <w:lang w:val="es-ES"/>
        </w:rPr>
        <w:t>4) Es viable que un contrato sin ejecutar, en un proyecto de inversión, financiado con recursos del Sistema General de Regalías pueda quedar sin designación de supervisor”</w:t>
      </w:r>
      <w:bookmarkEnd w:id="1"/>
      <w:r w:rsidRPr="0084743F">
        <w:rPr>
          <w:rFonts w:ascii="Verdana" w:eastAsia="Century Gothic" w:hAnsi="Verdana" w:cs="Century Gothic"/>
          <w:sz w:val="20"/>
          <w:szCs w:val="20"/>
          <w:lang w:val="es-ES"/>
        </w:rPr>
        <w:t>.</w:t>
      </w:r>
    </w:p>
    <w:p w14:paraId="02BEB917" w14:textId="77777777" w:rsidR="00A74E44" w:rsidRPr="0084743F" w:rsidRDefault="00A74E44" w:rsidP="00A74E44">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69CF4BEB" w14:textId="77777777" w:rsidR="00A74E44" w:rsidRPr="0084743F" w:rsidRDefault="00A74E44" w:rsidP="00A74E44">
      <w:pPr>
        <w:spacing w:after="120" w:line="276" w:lineRule="auto"/>
        <w:jc w:val="both"/>
        <w:rPr>
          <w:rFonts w:ascii="Verdana" w:eastAsia="Calibri" w:hAnsi="Verdana" w:cs="Arial"/>
          <w:color w:val="000000"/>
          <w:lang w:val="es-ES_tradnl" w:eastAsia="es-ES_tradnl"/>
        </w:rPr>
      </w:pPr>
      <w:r w:rsidRPr="0084743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4743F">
        <w:rPr>
          <w:rFonts w:ascii="Verdana" w:eastAsia="Calibri" w:hAnsi="Verdana" w:cs="Arial"/>
          <w:color w:val="000000"/>
          <w:lang w:val="es-ES_tradnl" w:eastAsia="es-ES_tradnl"/>
        </w:rPr>
        <w:tab/>
      </w:r>
    </w:p>
    <w:p w14:paraId="50A068CA" w14:textId="77777777" w:rsidR="00A74E44" w:rsidRPr="0084743F" w:rsidRDefault="00A74E44" w:rsidP="00A74E44">
      <w:pPr>
        <w:spacing w:after="0" w:line="276" w:lineRule="auto"/>
        <w:ind w:firstLine="709"/>
        <w:jc w:val="both"/>
        <w:rPr>
          <w:rFonts w:ascii="Verdana" w:eastAsia="Calibri" w:hAnsi="Verdana" w:cs="Arial"/>
          <w:color w:val="000000"/>
          <w:lang w:val="es-ES" w:eastAsia="es-ES"/>
        </w:rPr>
      </w:pPr>
      <w:r w:rsidRPr="0084743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unas consideraciones sobre las normas generales relacionadas con los problemas</w:t>
      </w:r>
      <w:r w:rsidRPr="0084743F">
        <w:rPr>
          <w:rFonts w:ascii="Verdana" w:eastAsia="Calibri" w:hAnsi="Verdana" w:cs="Arial"/>
          <w:color w:val="7030A0"/>
          <w:lang w:val="es-ES" w:eastAsia="es-ES"/>
        </w:rPr>
        <w:t xml:space="preserve"> </w:t>
      </w:r>
      <w:r w:rsidRPr="0084743F">
        <w:rPr>
          <w:rFonts w:ascii="Verdana" w:eastAsia="Calibri" w:hAnsi="Verdana" w:cs="Arial"/>
          <w:color w:val="000000"/>
          <w:lang w:val="es-ES" w:eastAsia="es-ES"/>
        </w:rPr>
        <w:t>jurídicos</w:t>
      </w:r>
      <w:r w:rsidRPr="0084743F">
        <w:rPr>
          <w:rFonts w:ascii="Verdana" w:eastAsia="Calibri" w:hAnsi="Verdana" w:cs="Arial"/>
          <w:color w:val="7030A0"/>
          <w:lang w:val="es-ES" w:eastAsia="es-ES"/>
        </w:rPr>
        <w:t xml:space="preserve"> </w:t>
      </w:r>
      <w:r w:rsidRPr="0084743F">
        <w:rPr>
          <w:rFonts w:ascii="Verdana" w:eastAsia="Calibri" w:hAnsi="Verdana" w:cs="Arial"/>
          <w:color w:val="000000"/>
          <w:lang w:val="es-ES" w:eastAsia="es-ES"/>
        </w:rPr>
        <w:t xml:space="preserve">de su consulta. </w:t>
      </w:r>
    </w:p>
    <w:p w14:paraId="34E0E5E0" w14:textId="77777777" w:rsidR="00A74E44" w:rsidRPr="0084743F" w:rsidRDefault="00A74E44" w:rsidP="00A74E44">
      <w:pPr>
        <w:spacing w:after="0" w:line="276" w:lineRule="auto"/>
        <w:ind w:firstLine="709"/>
        <w:jc w:val="both"/>
        <w:rPr>
          <w:rFonts w:ascii="Verdana" w:eastAsia="Calibri" w:hAnsi="Verdana" w:cs="Arial"/>
          <w:color w:val="000000"/>
          <w:lang w:val="es-ES" w:eastAsia="es-ES"/>
        </w:rPr>
      </w:pPr>
    </w:p>
    <w:p w14:paraId="32DF89B5" w14:textId="77777777" w:rsidR="00A74E44" w:rsidRPr="0084743F" w:rsidRDefault="00A74E44" w:rsidP="00A74E4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4743F">
        <w:rPr>
          <w:rFonts w:ascii="Verdana" w:eastAsia="Century Gothic" w:hAnsi="Verdana" w:cs="Century Gothic"/>
          <w:b/>
          <w:bCs/>
        </w:rPr>
        <w:t>Problema planteado:</w:t>
      </w:r>
    </w:p>
    <w:p w14:paraId="44B2BB99" w14:textId="77777777" w:rsidR="00A74E44" w:rsidRPr="0084743F" w:rsidRDefault="00A74E44" w:rsidP="00A74E44">
      <w:pPr>
        <w:tabs>
          <w:tab w:val="left" w:pos="426"/>
        </w:tabs>
        <w:spacing w:after="0" w:line="276" w:lineRule="auto"/>
        <w:jc w:val="both"/>
        <w:rPr>
          <w:rFonts w:ascii="Verdana" w:eastAsia="Century Gothic" w:hAnsi="Verdana" w:cs="Century Gothic"/>
          <w:lang w:val="es-ES"/>
        </w:rPr>
      </w:pPr>
    </w:p>
    <w:p w14:paraId="17D3A411" w14:textId="77777777" w:rsidR="00A74E44" w:rsidRPr="0084743F" w:rsidRDefault="00A74E44" w:rsidP="00A74E44">
      <w:pPr>
        <w:spacing w:after="0" w:line="276" w:lineRule="auto"/>
        <w:jc w:val="both"/>
        <w:rPr>
          <w:rFonts w:ascii="Verdana" w:eastAsia="Century Gothic" w:hAnsi="Verdana" w:cs="Century Gothic"/>
          <w:b/>
          <w:bCs/>
        </w:rPr>
      </w:pPr>
      <w:r w:rsidRPr="0084743F">
        <w:rPr>
          <w:rFonts w:ascii="Verdana" w:eastAsia="Century Gothic" w:hAnsi="Verdana" w:cs="Century Gothic"/>
        </w:rPr>
        <w:t xml:space="preserve">De acuerdo con el contenido de su solicitud, esta Agencia resolverá los siguientes problemas jurídicos: i) ¿A los contratos que se celebren y ejecuten en el marco de un proyecto de inversión financiado con recursos del Sistema General de Regalías les aplica la Ley 1474 de 2011 en lo que respecta a la supervisión de los mismos?; </w:t>
      </w:r>
      <w:proofErr w:type="spellStart"/>
      <w:r w:rsidRPr="0084743F">
        <w:rPr>
          <w:rFonts w:ascii="Verdana" w:eastAsia="Century Gothic" w:hAnsi="Verdana" w:cs="Century Gothic"/>
        </w:rPr>
        <w:t>ii</w:t>
      </w:r>
      <w:proofErr w:type="spellEnd"/>
      <w:r w:rsidRPr="0084743F">
        <w:rPr>
          <w:rFonts w:ascii="Verdana" w:eastAsia="Century Gothic" w:hAnsi="Verdana" w:cs="Century Gothic"/>
        </w:rPr>
        <w:t xml:space="preserve">) ¿Cuál es el rol que desempeña un supervisor en el marco de un proyecto de inversión financiado con recursos del Sistema General de Regalías? y; </w:t>
      </w:r>
      <w:proofErr w:type="spellStart"/>
      <w:r w:rsidRPr="0084743F">
        <w:rPr>
          <w:rFonts w:ascii="Verdana" w:eastAsia="Century Gothic" w:hAnsi="Verdana" w:cs="Century Gothic"/>
        </w:rPr>
        <w:t>iii</w:t>
      </w:r>
      <w:proofErr w:type="spellEnd"/>
      <w:r w:rsidRPr="0084743F">
        <w:rPr>
          <w:rFonts w:ascii="Verdana" w:eastAsia="Century Gothic" w:hAnsi="Verdana" w:cs="Century Gothic"/>
        </w:rPr>
        <w:t>) ¿Qué se debe tener en cuenta para la designación del supervisor en el marco de un proyecto de inversión financiado con recursos del Sistema General de Regalías?</w:t>
      </w:r>
    </w:p>
    <w:p w14:paraId="2D49DE98" w14:textId="77777777" w:rsidR="00A74E44" w:rsidRPr="0084743F" w:rsidRDefault="00A74E44" w:rsidP="00A74E44">
      <w:pPr>
        <w:spacing w:after="0" w:line="276" w:lineRule="auto"/>
        <w:jc w:val="both"/>
        <w:rPr>
          <w:rFonts w:ascii="Verdana" w:eastAsia="Calibri" w:hAnsi="Verdana" w:cs="Arial"/>
        </w:rPr>
      </w:pPr>
    </w:p>
    <w:p w14:paraId="05ED2C76" w14:textId="77777777" w:rsidR="00A74E44" w:rsidRPr="0084743F" w:rsidRDefault="00A74E44" w:rsidP="00A74E4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4743F">
        <w:rPr>
          <w:rFonts w:ascii="Verdana" w:eastAsia="Century Gothic" w:hAnsi="Verdana" w:cs="Century Gothic"/>
          <w:b/>
          <w:bCs/>
        </w:rPr>
        <w:t>Respuesta:</w:t>
      </w:r>
    </w:p>
    <w:p w14:paraId="76CF6A07" w14:textId="77777777" w:rsidR="00A74E44" w:rsidRPr="0084743F" w:rsidRDefault="00A74E44" w:rsidP="00A74E4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74E44" w:rsidRPr="0084743F" w14:paraId="616CE2B0" w14:textId="77777777" w:rsidTr="00774769">
        <w:tc>
          <w:tcPr>
            <w:tcW w:w="8828" w:type="dxa"/>
            <w:shd w:val="clear" w:color="auto" w:fill="auto"/>
          </w:tcPr>
          <w:p w14:paraId="0E239378" w14:textId="77777777" w:rsidR="00A74E44" w:rsidRPr="0084743F" w:rsidRDefault="00A74E44" w:rsidP="00774769">
            <w:pPr>
              <w:spacing w:after="120" w:line="276" w:lineRule="auto"/>
              <w:jc w:val="both"/>
              <w:rPr>
                <w:rFonts w:ascii="Verdana" w:eastAsia="Calibri" w:hAnsi="Verdana" w:cs="Arial"/>
                <w:bCs/>
                <w:color w:val="000000"/>
              </w:rPr>
            </w:pPr>
            <w:r w:rsidRPr="0084743F">
              <w:rPr>
                <w:rFonts w:ascii="Verdana" w:hAnsi="Verdana" w:cs="Arial"/>
                <w:noProof/>
              </w:rPr>
              <w:lastRenderedPageBreak/>
              <w:t xml:space="preserve">i) De acuerdo con el artículo 1.2.3.3.2. del </w:t>
            </w:r>
            <w:r w:rsidRPr="0084743F">
              <w:rPr>
                <w:rFonts w:ascii="Verdana" w:hAnsi="Verdana" w:cs="Arial"/>
                <w:noProof/>
                <w:lang w:val="es-ES_tradnl"/>
              </w:rPr>
              <w:t xml:space="preserve">Decreto 1821 de 2020, </w:t>
            </w:r>
            <w:r w:rsidRPr="0084743F">
              <w:rPr>
                <w:rFonts w:ascii="Verdana" w:hAnsi="Verdana" w:cs="Arial"/>
                <w:noProof/>
              </w:rPr>
              <w:t>la supervisión y la interventoría de los proyectos de inversión se encuentran sujetas a las reglas contenidas en el artículo 83 de la Ley 1474 de 2011 o las normas que la adicionen, modifiquen o sustituyan. En ese sentido, la supervisión o interventoría de los proyectos de inversión con cargo a recursos de regalias se sujetan a los dipuesto en la Ley 1474 de 2011</w:t>
            </w:r>
            <w:r w:rsidRPr="0084743F">
              <w:rPr>
                <w:rFonts w:ascii="Verdana" w:eastAsia="Calibri" w:hAnsi="Verdana" w:cs="Arial"/>
                <w:bCs/>
                <w:color w:val="000000"/>
              </w:rPr>
              <w:t>, la cual enmarcó el seguimiento, control y vigilancia de la ejecución del contrato estatal dentro del principio de moralidad administrativa.</w:t>
            </w:r>
          </w:p>
          <w:p w14:paraId="05DD1F11" w14:textId="77777777" w:rsidR="00A74E44" w:rsidRPr="0084743F" w:rsidRDefault="00A74E44" w:rsidP="00774769">
            <w:pPr>
              <w:spacing w:line="276" w:lineRule="auto"/>
              <w:ind w:firstLine="709"/>
              <w:jc w:val="both"/>
              <w:rPr>
                <w:rFonts w:ascii="Verdana" w:eastAsia="Calibri" w:hAnsi="Verdana" w:cs="Arial"/>
                <w:bCs/>
                <w:color w:val="000000"/>
              </w:rPr>
            </w:pPr>
            <w:r w:rsidRPr="0084743F">
              <w:rPr>
                <w:rFonts w:ascii="Verdana" w:eastAsia="Calibri" w:hAnsi="Verdana" w:cs="Arial"/>
                <w:bCs/>
                <w:color w:val="000000"/>
              </w:rPr>
              <w:t xml:space="preserve">El artículo 83 </w:t>
            </w:r>
            <w:r w:rsidRPr="0084743F">
              <w:rPr>
                <w:rFonts w:ascii="Verdana" w:eastAsia="Calibri" w:hAnsi="Verdana" w:cs="Arial"/>
                <w:bCs/>
                <w:i/>
                <w:iCs/>
                <w:color w:val="000000"/>
              </w:rPr>
              <w:t xml:space="preserve">ibidem </w:t>
            </w:r>
            <w:r w:rsidRPr="0084743F">
              <w:rPr>
                <w:rFonts w:ascii="Verdana" w:eastAsia="Calibri" w:hAnsi="Verdana" w:cs="Arial"/>
                <w:bCs/>
                <w:color w:val="000000"/>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14:paraId="0EFD72B2" w14:textId="77777777" w:rsidR="00A74E44" w:rsidRPr="0084743F" w:rsidRDefault="00A74E44" w:rsidP="00774769">
            <w:pPr>
              <w:spacing w:line="276" w:lineRule="auto"/>
              <w:ind w:firstLine="709"/>
              <w:jc w:val="both"/>
              <w:rPr>
                <w:rFonts w:ascii="Verdana" w:eastAsia="Calibri" w:hAnsi="Verdana" w:cs="Arial"/>
                <w:bCs/>
                <w:color w:val="000000"/>
              </w:rPr>
            </w:pPr>
          </w:p>
          <w:p w14:paraId="2C25CDE3" w14:textId="77777777" w:rsidR="00A74E44" w:rsidRPr="0084743F" w:rsidRDefault="00A74E44" w:rsidP="00774769">
            <w:pPr>
              <w:widowControl w:val="0"/>
              <w:autoSpaceDE w:val="0"/>
              <w:autoSpaceDN w:val="0"/>
              <w:spacing w:line="276" w:lineRule="auto"/>
              <w:jc w:val="both"/>
              <w:rPr>
                <w:rFonts w:ascii="Verdana" w:hAnsi="Verdana" w:cs="Arial"/>
                <w:noProof/>
              </w:rPr>
            </w:pPr>
            <w:r w:rsidRPr="0084743F">
              <w:rPr>
                <w:rFonts w:ascii="Verdana" w:hAnsi="Verdana" w:cs="Arial"/>
                <w:noProof/>
              </w:rPr>
              <w:t xml:space="preserve">ii) Frente al rol de un supervisor en un proyecto de inversión financiado con recursos del Sistema General de Regalias debe tenerse en cuenta lo disuesto en el artículo 84 </w:t>
            </w:r>
            <w:r w:rsidRPr="0084743F">
              <w:rPr>
                <w:rFonts w:ascii="Verdana" w:hAnsi="Verdana" w:cs="Arial"/>
                <w:i/>
                <w:iCs/>
                <w:noProof/>
              </w:rPr>
              <w:t>ibidem</w:t>
            </w:r>
            <w:r w:rsidRPr="0084743F">
              <w:rPr>
                <w:rFonts w:ascii="Verdana" w:hAnsi="Verdana" w:cs="Arial"/>
                <w:noProof/>
              </w:rPr>
              <w:t>, según el cual la supervisión e interventoría contractual implica el seguimiento al ejercicio del cumplimiento obligacional por la entidad contratante sobre las obligaciones a cargo del contratista. De acuerdo con el citado artículo los supervisores se encuentran facultados para solictar informes, aclaraciones y explicaciones sobre el desarrollo de la ejecución contractual. Así mismo,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41585249" w14:textId="77777777" w:rsidR="00A74E44" w:rsidRPr="0084743F" w:rsidRDefault="00A74E44" w:rsidP="00774769">
            <w:pPr>
              <w:widowControl w:val="0"/>
              <w:autoSpaceDE w:val="0"/>
              <w:autoSpaceDN w:val="0"/>
              <w:spacing w:after="120" w:line="276" w:lineRule="auto"/>
              <w:jc w:val="both"/>
              <w:rPr>
                <w:rFonts w:ascii="Verdana" w:hAnsi="Verdana" w:cs="Arial"/>
                <w:noProof/>
              </w:rPr>
            </w:pPr>
          </w:p>
          <w:p w14:paraId="745985AB" w14:textId="77777777" w:rsidR="00A74E44" w:rsidRPr="0084743F" w:rsidRDefault="00A74E44" w:rsidP="00774769">
            <w:pPr>
              <w:widowControl w:val="0"/>
              <w:autoSpaceDE w:val="0"/>
              <w:autoSpaceDN w:val="0"/>
              <w:spacing w:after="120" w:line="276" w:lineRule="auto"/>
              <w:ind w:firstLine="708"/>
              <w:jc w:val="both"/>
              <w:rPr>
                <w:rFonts w:ascii="Verdana" w:hAnsi="Verdana" w:cs="Arial"/>
                <w:color w:val="000000"/>
                <w:bdr w:val="none" w:sz="0" w:space="0" w:color="auto" w:frame="1"/>
              </w:rPr>
            </w:pPr>
            <w:r w:rsidRPr="0084743F">
              <w:rPr>
                <w:rFonts w:ascii="Verdana" w:hAnsi="Verdana" w:cs="Arial"/>
                <w:noProof/>
              </w:rPr>
              <w:t xml:space="preserve">iii) </w:t>
            </w:r>
            <w:r w:rsidRPr="00BF1CC2">
              <w:rPr>
                <w:rFonts w:ascii="Verdana" w:hAnsi="Verdana" w:cs="Arial"/>
                <w:noProof/>
              </w:rPr>
              <w:t>E</w:t>
            </w:r>
            <w:r w:rsidRPr="00BF1CC2">
              <w:rPr>
                <w:rFonts w:ascii="Verdana" w:eastAsia="Calibri" w:hAnsi="Verdana" w:cs="Arial"/>
                <w:bCs/>
                <w:color w:val="000000"/>
              </w:rPr>
              <w:t xml:space="preserve">n cuanto a la designación del supervisor, </w:t>
            </w:r>
            <w:r>
              <w:rPr>
                <w:rFonts w:ascii="Verdana" w:eastAsia="Calibri" w:hAnsi="Verdana" w:cs="Arial"/>
                <w:bCs/>
                <w:color w:val="000000"/>
              </w:rPr>
              <w:t xml:space="preserve">debe tenerse en cuenta que </w:t>
            </w:r>
            <w:r w:rsidRPr="0084743F">
              <w:rPr>
                <w:rFonts w:ascii="Verdana" w:eastAsia="Calibri" w:hAnsi="Verdana" w:cs="Arial"/>
                <w:bCs/>
                <w:color w:val="000000"/>
              </w:rPr>
              <w:t xml:space="preserve">los artículos 4, 5, 12, 14 y 26 de la Ley 80 de 1993 establecen, entre otros aspectos, la obligación de las Entidades Estatales de velar por el correcto y oportuno cumplimiento de las prestaciones del contrato, las especificaciones de los bienes, obras y servicios objeto </w:t>
            </w:r>
            <w:proofErr w:type="gramStart"/>
            <w:r w:rsidRPr="0084743F">
              <w:rPr>
                <w:rFonts w:ascii="Verdana" w:eastAsia="Calibri" w:hAnsi="Verdana" w:cs="Arial"/>
                <w:bCs/>
                <w:color w:val="000000"/>
              </w:rPr>
              <w:t>del mismo</w:t>
            </w:r>
            <w:proofErr w:type="gramEnd"/>
            <w:r w:rsidRPr="0084743F">
              <w:rPr>
                <w:rFonts w:ascii="Verdana" w:eastAsia="Calibri" w:hAnsi="Verdana" w:cs="Arial"/>
                <w:bCs/>
                <w:color w:val="000000"/>
              </w:rPr>
              <w:t>, las condiciones de calidad ofrecidas, etc. En ese sentido, las Entidades Estatales deben ejercer el control de la ejecución del contrato y, de ser el caso, tomar medidas para exigir el adecuado cumplimiento.</w:t>
            </w:r>
            <w:r>
              <w:rPr>
                <w:rFonts w:ascii="Verdana" w:eastAsia="Calibri" w:hAnsi="Verdana" w:cs="Arial"/>
                <w:bCs/>
                <w:color w:val="000000"/>
              </w:rPr>
              <w:t xml:space="preserve"> Así mismo, l</w:t>
            </w:r>
            <w:r w:rsidRPr="0084743F">
              <w:rPr>
                <w:rFonts w:ascii="Verdana" w:eastAsia="Calibri" w:hAnsi="Verdana" w:cs="Arial"/>
                <w:bCs/>
                <w:color w:val="000000"/>
              </w:rPr>
              <w:t xml:space="preserve">as Leyes 1150 de 2007 y 1474 de 2011 complementan el régimen jurídico de la obligación de vigilar la correcta ejecución de los contratos estatales. Allí se impone el debido proceso como </w:t>
            </w:r>
            <w:r w:rsidRPr="0084743F">
              <w:rPr>
                <w:rFonts w:ascii="Verdana" w:eastAsia="Calibri" w:hAnsi="Verdana" w:cs="Arial"/>
                <w:bCs/>
                <w:color w:val="000000"/>
              </w:rPr>
              <w:lastRenderedPageBreak/>
              <w:t xml:space="preserve">principio rector en materia sancionatoria contractual, entre otros, para la imposición de multas y la decisión de hacer efectiva la cláusula penal; principio que se debe respetar en el ejercicio del control y vigilancia de la ejecución contractual. También se establecen los límites de la responsabilidad del representante legal ante la delegación de sus funciones en materia contractual y se regula la supervisión y la interventoría de los contratos estatales. </w:t>
            </w:r>
          </w:p>
          <w:p w14:paraId="2969F871" w14:textId="77777777" w:rsidR="00A74E44" w:rsidRPr="0084743F" w:rsidRDefault="00A74E44" w:rsidP="00774769">
            <w:pPr>
              <w:widowControl w:val="0"/>
              <w:autoSpaceDE w:val="0"/>
              <w:autoSpaceDN w:val="0"/>
              <w:spacing w:after="120" w:line="276" w:lineRule="auto"/>
              <w:ind w:firstLine="708"/>
              <w:jc w:val="both"/>
              <w:rPr>
                <w:rFonts w:ascii="Verdana" w:hAnsi="Verdana" w:cs="Arial"/>
                <w:noProof/>
              </w:rPr>
            </w:pPr>
            <w:r>
              <w:rPr>
                <w:rFonts w:ascii="Verdana" w:eastAsia="Calibri" w:hAnsi="Verdana" w:cs="Arial"/>
                <w:bCs/>
                <w:color w:val="000000"/>
              </w:rPr>
              <w:t xml:space="preserve">Ahora bien, la Agencia Nacional de Contratación Pública – </w:t>
            </w:r>
            <w:r w:rsidRPr="00BF1CC2">
              <w:rPr>
                <w:rFonts w:ascii="Verdana" w:eastAsia="Calibri" w:hAnsi="Verdana" w:cs="Arial"/>
                <w:bCs/>
                <w:color w:val="000000"/>
              </w:rPr>
              <w:t>Colombia</w:t>
            </w:r>
            <w:r>
              <w:rPr>
                <w:rFonts w:ascii="Verdana" w:eastAsia="Calibri" w:hAnsi="Verdana" w:cs="Arial"/>
                <w:bCs/>
                <w:color w:val="000000"/>
              </w:rPr>
              <w:t xml:space="preserve"> </w:t>
            </w:r>
            <w:r w:rsidRPr="00BF1CC2">
              <w:rPr>
                <w:rFonts w:ascii="Verdana" w:eastAsia="Calibri" w:hAnsi="Verdana" w:cs="Arial"/>
                <w:bCs/>
                <w:color w:val="000000"/>
              </w:rPr>
              <w:t xml:space="preserve">Compra Eficiente, en la “Guía para el ejercicio de las funciones de supervisión e interventoría de los contratos del Estado”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tc>
      </w:tr>
    </w:tbl>
    <w:p w14:paraId="29415966" w14:textId="77777777" w:rsidR="00A74E44" w:rsidRPr="0084743F" w:rsidRDefault="00A74E44" w:rsidP="00A74E44">
      <w:pPr>
        <w:tabs>
          <w:tab w:val="left" w:pos="142"/>
          <w:tab w:val="left" w:pos="284"/>
        </w:tabs>
        <w:spacing w:after="0" w:line="276" w:lineRule="auto"/>
        <w:jc w:val="both"/>
        <w:rPr>
          <w:rFonts w:ascii="Verdana" w:eastAsia="Century Gothic" w:hAnsi="Verdana" w:cs="Century Gothic"/>
          <w:b/>
          <w:bCs/>
          <w:lang w:val="es-ES"/>
        </w:rPr>
      </w:pPr>
    </w:p>
    <w:p w14:paraId="4B0F6144" w14:textId="77777777" w:rsidR="00A74E44" w:rsidRPr="0084743F" w:rsidRDefault="00A74E44" w:rsidP="00A74E4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4743F">
        <w:rPr>
          <w:rFonts w:ascii="Verdana" w:eastAsia="Century Gothic" w:hAnsi="Verdana" w:cs="Century Gothic"/>
          <w:b/>
          <w:bCs/>
        </w:rPr>
        <w:t>Razones de la respuesta:</w:t>
      </w:r>
    </w:p>
    <w:p w14:paraId="281344EC" w14:textId="77777777" w:rsidR="00A74E44" w:rsidRPr="0084743F" w:rsidRDefault="00A74E44" w:rsidP="00A74E44">
      <w:pPr>
        <w:spacing w:after="0" w:line="276" w:lineRule="auto"/>
        <w:jc w:val="both"/>
        <w:rPr>
          <w:rFonts w:ascii="Verdana" w:eastAsia="Calibri" w:hAnsi="Verdana" w:cs="Arial"/>
          <w:lang w:val="es-ES"/>
        </w:rPr>
      </w:pPr>
    </w:p>
    <w:p w14:paraId="0647D5B3" w14:textId="77777777" w:rsidR="00A74E44" w:rsidRPr="0084743F" w:rsidRDefault="00A74E44" w:rsidP="00A74E44">
      <w:pPr>
        <w:spacing w:after="0" w:line="276" w:lineRule="auto"/>
        <w:jc w:val="both"/>
        <w:rPr>
          <w:rFonts w:ascii="Verdana" w:eastAsia="Calibri" w:hAnsi="Verdana" w:cs="Arial"/>
          <w:lang w:val="es-ES"/>
        </w:rPr>
      </w:pPr>
      <w:r w:rsidRPr="0084743F">
        <w:rPr>
          <w:rFonts w:ascii="Verdana" w:eastAsia="Calibri" w:hAnsi="Verdana" w:cs="Arial"/>
          <w:lang w:val="es-ES"/>
        </w:rPr>
        <w:t xml:space="preserve">Lo anterior se sustenta en las siguientes consideraciones: </w:t>
      </w:r>
    </w:p>
    <w:p w14:paraId="0CDDDDD7" w14:textId="77777777" w:rsidR="00A74E44" w:rsidRPr="0084743F" w:rsidRDefault="00A74E44" w:rsidP="00A74E44">
      <w:pPr>
        <w:spacing w:after="0" w:line="276" w:lineRule="auto"/>
        <w:jc w:val="both"/>
        <w:rPr>
          <w:rFonts w:ascii="Verdana" w:eastAsia="Calibri" w:hAnsi="Verdana" w:cs="Arial"/>
          <w:lang w:val="es-ES" w:eastAsia="es-ES"/>
        </w:rPr>
      </w:pPr>
    </w:p>
    <w:p w14:paraId="36944238" w14:textId="77777777" w:rsidR="00A74E44" w:rsidRPr="0084743F" w:rsidRDefault="00A74E44" w:rsidP="00A74E44">
      <w:pPr>
        <w:tabs>
          <w:tab w:val="left" w:pos="426"/>
        </w:tabs>
        <w:spacing w:after="0" w:line="276" w:lineRule="auto"/>
        <w:jc w:val="both"/>
        <w:rPr>
          <w:rFonts w:ascii="Verdana" w:eastAsia="Calibri" w:hAnsi="Verdana" w:cs="Arial"/>
          <w:color w:val="000000" w:themeColor="text1"/>
          <w:lang w:val="es-ES_tradnl"/>
        </w:rPr>
      </w:pPr>
      <w:r w:rsidRPr="0084743F">
        <w:rPr>
          <w:rFonts w:ascii="Verdana" w:eastAsia="Calibri" w:hAnsi="Verdana" w:cs="Arial"/>
          <w:color w:val="000000" w:themeColor="text1"/>
          <w:lang w:val="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w:t>
      </w:r>
    </w:p>
    <w:p w14:paraId="70BD3243" w14:textId="77777777" w:rsidR="00A74E44" w:rsidRPr="0084743F" w:rsidRDefault="00A74E44" w:rsidP="00A74E44">
      <w:pPr>
        <w:tabs>
          <w:tab w:val="left" w:pos="426"/>
        </w:tabs>
        <w:spacing w:after="0" w:line="276" w:lineRule="auto"/>
        <w:jc w:val="both"/>
        <w:rPr>
          <w:rFonts w:ascii="Verdana" w:eastAsia="Calibri" w:hAnsi="Verdana" w:cs="Arial"/>
          <w:color w:val="000000" w:themeColor="text1"/>
          <w:lang w:val="es-ES_tradnl"/>
        </w:rPr>
      </w:pPr>
    </w:p>
    <w:p w14:paraId="253E1EF7" w14:textId="77777777" w:rsidR="00A74E44" w:rsidRPr="0084743F" w:rsidRDefault="00A74E44" w:rsidP="00A74E44">
      <w:pPr>
        <w:spacing w:after="0" w:line="240" w:lineRule="auto"/>
        <w:ind w:left="709" w:right="709"/>
        <w:jc w:val="both"/>
        <w:rPr>
          <w:rFonts w:ascii="Verdana" w:eastAsia="Calibri" w:hAnsi="Verdana" w:cs="Arial"/>
          <w:sz w:val="20"/>
          <w:szCs w:val="20"/>
          <w:lang w:val="es-ES_tradnl"/>
        </w:rPr>
      </w:pPr>
      <w:r w:rsidRPr="0084743F">
        <w:rPr>
          <w:rFonts w:ascii="Verdana" w:eastAsia="Calibri" w:hAnsi="Verdana" w:cs="Arial"/>
          <w:sz w:val="20"/>
          <w:szCs w:val="20"/>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5B36AF7D" w14:textId="77777777" w:rsidR="00A74E44" w:rsidRPr="0084743F" w:rsidRDefault="00A74E44" w:rsidP="00A74E44">
      <w:pPr>
        <w:spacing w:after="0" w:line="240" w:lineRule="auto"/>
        <w:ind w:left="709" w:right="709"/>
        <w:jc w:val="both"/>
        <w:rPr>
          <w:rFonts w:ascii="Verdana" w:eastAsia="Calibri" w:hAnsi="Verdana" w:cs="Arial"/>
          <w:sz w:val="20"/>
          <w:szCs w:val="20"/>
          <w:lang w:val="es-ES_tradnl"/>
        </w:rPr>
      </w:pPr>
    </w:p>
    <w:p w14:paraId="5BF72C5E" w14:textId="77777777" w:rsidR="00A74E44" w:rsidRPr="0084743F" w:rsidRDefault="00A74E44" w:rsidP="00A74E44">
      <w:pPr>
        <w:spacing w:after="0" w:line="240" w:lineRule="auto"/>
        <w:ind w:left="709" w:right="709"/>
        <w:jc w:val="both"/>
        <w:rPr>
          <w:rFonts w:ascii="Verdana" w:eastAsia="Calibri" w:hAnsi="Verdana" w:cs="Arial"/>
          <w:sz w:val="20"/>
          <w:szCs w:val="20"/>
          <w:lang w:val="es-ES_tradnl"/>
        </w:rPr>
      </w:pPr>
      <w:r w:rsidRPr="0084743F">
        <w:rPr>
          <w:rFonts w:ascii="Verdana" w:eastAsia="Calibri" w:hAnsi="Verdana" w:cs="Arial"/>
          <w:sz w:val="20"/>
          <w:szCs w:val="20"/>
          <w:lang w:val="es-ES_tradnl"/>
        </w:rPr>
        <w:t xml:space="preserve">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w:t>
      </w:r>
      <w:r w:rsidRPr="0084743F">
        <w:rPr>
          <w:rFonts w:ascii="Verdana" w:eastAsia="Calibri" w:hAnsi="Verdana" w:cs="Arial"/>
          <w:sz w:val="20"/>
          <w:szCs w:val="20"/>
          <w:lang w:val="es-ES_tradnl"/>
        </w:rPr>
        <w:lastRenderedPageBreak/>
        <w:t>participación de sus beneficiarios. Este conjunto de ingresos, asignaciones, órganos, procedimientos y regulaciones constituye el Sistema General de Regalías”.</w:t>
      </w:r>
    </w:p>
    <w:p w14:paraId="346E09CF" w14:textId="77777777" w:rsidR="00A74E44" w:rsidRPr="0084743F" w:rsidRDefault="00A74E44" w:rsidP="00A74E44">
      <w:pPr>
        <w:spacing w:after="0" w:line="276" w:lineRule="auto"/>
        <w:ind w:left="709" w:right="709"/>
        <w:jc w:val="both"/>
        <w:rPr>
          <w:rFonts w:ascii="Verdana" w:eastAsia="Calibri" w:hAnsi="Verdana" w:cs="Arial"/>
          <w:lang w:val="es-ES_tradnl"/>
        </w:rPr>
      </w:pPr>
    </w:p>
    <w:p w14:paraId="7C7B271B" w14:textId="77777777" w:rsidR="00A74E44" w:rsidRPr="0084743F" w:rsidRDefault="00A74E44" w:rsidP="00A74E44">
      <w:pPr>
        <w:spacing w:after="120" w:line="276" w:lineRule="auto"/>
        <w:ind w:firstLine="709"/>
        <w:jc w:val="both"/>
        <w:rPr>
          <w:rFonts w:ascii="Verdana" w:hAnsi="Verdana" w:cs="Arial"/>
          <w:noProof/>
          <w:lang w:val="es-ES_tradnl"/>
        </w:rPr>
      </w:pPr>
      <w:r w:rsidRPr="0084743F">
        <w:rPr>
          <w:rFonts w:ascii="Verdana" w:hAnsi="Verdana" w:cs="Arial"/>
          <w:noProof/>
          <w:lang w:val="es-ES_tradnl"/>
        </w:rPr>
        <w:t>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r w:rsidRPr="0084743F">
        <w:rPr>
          <w:rFonts w:ascii="Verdana" w:hAnsi="Verdana" w:cs="Arial"/>
          <w:noProof/>
          <w:vertAlign w:val="superscript"/>
          <w:lang w:val="es-ES_tradnl"/>
        </w:rPr>
        <w:footnoteReference w:id="2"/>
      </w:r>
      <w:r w:rsidRPr="0084743F">
        <w:rPr>
          <w:rFonts w:ascii="Verdana" w:hAnsi="Verdana" w:cs="Arial"/>
          <w:noProof/>
          <w:lang w:val="es-ES_tradnl"/>
        </w:rPr>
        <w:t xml:space="preserve">. </w:t>
      </w:r>
    </w:p>
    <w:p w14:paraId="1B984001" w14:textId="77777777" w:rsidR="00A74E44" w:rsidRPr="0084743F" w:rsidRDefault="00A74E44" w:rsidP="00A74E44">
      <w:pPr>
        <w:spacing w:after="120" w:line="276" w:lineRule="auto"/>
        <w:ind w:firstLine="709"/>
        <w:jc w:val="both"/>
        <w:rPr>
          <w:rFonts w:ascii="Verdana" w:hAnsi="Verdana" w:cs="Arial"/>
          <w:noProof/>
          <w:lang w:val="es-ES_tradnl"/>
        </w:rPr>
      </w:pPr>
      <w:r w:rsidRPr="0084743F">
        <w:rPr>
          <w:rFonts w:ascii="Verdana" w:hAnsi="Verdana" w:cs="Arial"/>
          <w:noProof/>
          <w:lang w:val="es-ES_tradnl"/>
        </w:rPr>
        <w:t xml:space="preserve">El artículo 1 del Acto Legislativo 05 de 2019 modificó el artículo 361 de la Constitución, disponiendo que “los ingresos corrientes del Sistema General de Regalías se destinarán a la financiación de proyectos de inversión que contribuyan al desarrollo social, económico y ambiental de las entidades territoriales”. </w:t>
      </w:r>
    </w:p>
    <w:p w14:paraId="3ADC3051" w14:textId="77777777" w:rsidR="00A74E44" w:rsidRPr="0084743F" w:rsidRDefault="00A74E44" w:rsidP="00A74E44">
      <w:pPr>
        <w:spacing w:before="120" w:after="0" w:line="276" w:lineRule="auto"/>
        <w:ind w:firstLine="709"/>
        <w:jc w:val="both"/>
        <w:rPr>
          <w:rFonts w:ascii="Verdana" w:hAnsi="Verdana" w:cs="Arial"/>
        </w:rPr>
      </w:pPr>
      <w:r w:rsidRPr="0084743F">
        <w:rPr>
          <w:rFonts w:ascii="Verdana" w:hAnsi="Verdana" w:cs="Arial"/>
          <w:noProof/>
          <w:lang w:val="es-ES_tradnl"/>
        </w:rPr>
        <w:t xml:space="preserve">Con fundamento en los artículos </w:t>
      </w:r>
      <w:bookmarkStart w:id="2" w:name="_Hlk181026059"/>
      <w:r w:rsidRPr="0084743F">
        <w:rPr>
          <w:rFonts w:ascii="Verdana" w:hAnsi="Verdana" w:cs="Arial"/>
          <w:noProof/>
          <w:lang w:val="es-ES_tradnl"/>
        </w:rPr>
        <w:t>360 y 361 de la Constitución Política</w:t>
      </w:r>
      <w:bookmarkEnd w:id="2"/>
      <w:r w:rsidRPr="0084743F">
        <w:rPr>
          <w:rFonts w:ascii="Verdana" w:hAnsi="Verdana" w:cs="Arial"/>
          <w:noProof/>
          <w:lang w:val="es-ES_tradnl"/>
        </w:rPr>
        <w:t xml:space="preserve">, se expidió la </w:t>
      </w:r>
      <w:bookmarkStart w:id="3" w:name="_Hlk181026083"/>
      <w:r w:rsidRPr="0084743F">
        <w:rPr>
          <w:rFonts w:ascii="Verdana" w:hAnsi="Verdana" w:cs="Arial"/>
          <w:noProof/>
          <w:lang w:val="es-ES_tradnl"/>
        </w:rPr>
        <w:t>Ley 2056 de 2020</w:t>
      </w:r>
      <w:bookmarkEnd w:id="3"/>
      <w:r w:rsidRPr="0084743F">
        <w:rPr>
          <w:rFonts w:ascii="Verdana" w:hAnsi="Verdana" w:cs="Arial"/>
          <w:noProof/>
          <w:lang w:val="es-ES_tradnl"/>
        </w:rPr>
        <w:t xml:space="preserve">, por medio de la cual se deroga, entre otras, la Ley 1530 de 2012, y </w:t>
      </w:r>
      <w:r w:rsidRPr="0084743F">
        <w:rPr>
          <w:rFonts w:ascii="Verdana" w:hAnsi="Verdana" w:cs="Arial"/>
          <w:bCs/>
          <w:lang w:val="es-ES_tradnl"/>
        </w:rPr>
        <w:t>“</w:t>
      </w:r>
      <w:r w:rsidRPr="0084743F">
        <w:rPr>
          <w:rFonts w:ascii="Verdana" w:hAnsi="Verdana" w:cs="Arial"/>
        </w:rPr>
        <w:t xml:space="preserve">Por la cual se regula la organización y el funcionamiento del </w:t>
      </w:r>
      <w:r w:rsidRPr="0084743F">
        <w:rPr>
          <w:rFonts w:ascii="Verdana" w:hAnsi="Verdana" w:cs="Arial"/>
        </w:rPr>
        <w:lastRenderedPageBreak/>
        <w:t>Sistema General de Regalías</w:t>
      </w:r>
      <w:r w:rsidRPr="0084743F">
        <w:rPr>
          <w:rFonts w:ascii="Verdana" w:hAnsi="Verdana" w:cs="Arial"/>
          <w:noProof/>
        </w:rPr>
        <w:t>”</w:t>
      </w:r>
      <w:r w:rsidRPr="0084743F">
        <w:rPr>
          <w:rFonts w:ascii="Verdana" w:hAnsi="Verdana" w:cs="Arial"/>
        </w:rPr>
        <w:t xml:space="preserve">. En este sentido, la exposición de motivos de esta Ley expresó que: </w:t>
      </w:r>
    </w:p>
    <w:p w14:paraId="2C3677FB" w14:textId="77777777" w:rsidR="00A74E44" w:rsidRPr="0084743F" w:rsidRDefault="00A74E44" w:rsidP="00A74E44">
      <w:pPr>
        <w:spacing w:after="0" w:line="276" w:lineRule="auto"/>
        <w:jc w:val="both"/>
        <w:rPr>
          <w:rFonts w:ascii="Verdana" w:hAnsi="Verdana" w:cs="Arial"/>
        </w:rPr>
      </w:pPr>
    </w:p>
    <w:p w14:paraId="40A5A8E2" w14:textId="77777777" w:rsidR="00A74E44" w:rsidRPr="0084743F" w:rsidRDefault="00A74E44" w:rsidP="00A74E44">
      <w:pPr>
        <w:spacing w:after="0" w:line="240" w:lineRule="auto"/>
        <w:ind w:left="709" w:right="709"/>
        <w:contextualSpacing/>
        <w:jc w:val="both"/>
        <w:rPr>
          <w:rFonts w:ascii="Verdana" w:hAnsi="Verdana" w:cs="Arial"/>
          <w:sz w:val="20"/>
          <w:szCs w:val="20"/>
        </w:rPr>
      </w:pPr>
      <w:r w:rsidRPr="0084743F">
        <w:rPr>
          <w:rFonts w:ascii="Verdana" w:hAnsi="Verdana" w:cs="Arial"/>
          <w:sz w:val="20"/>
          <w:szCs w:val="20"/>
        </w:rPr>
        <w:t xml:space="preserve">“Para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w:t>
      </w:r>
    </w:p>
    <w:p w14:paraId="2E4CB1A1" w14:textId="77777777" w:rsidR="00A74E44" w:rsidRPr="0084743F" w:rsidRDefault="00A74E44" w:rsidP="00A74E44">
      <w:pPr>
        <w:pStyle w:val="Prrafodelista"/>
        <w:numPr>
          <w:ilvl w:val="0"/>
          <w:numId w:val="18"/>
        </w:numPr>
        <w:spacing w:after="0" w:line="240" w:lineRule="auto"/>
        <w:ind w:left="709" w:right="709" w:firstLine="0"/>
        <w:jc w:val="both"/>
        <w:rPr>
          <w:rFonts w:ascii="Verdana" w:hAnsi="Verdana" w:cs="Arial"/>
          <w:sz w:val="20"/>
          <w:szCs w:val="20"/>
        </w:rPr>
      </w:pPr>
      <w:r w:rsidRPr="0084743F">
        <w:rPr>
          <w:rFonts w:ascii="Verdana" w:hAnsi="Verdana" w:cs="Arial"/>
          <w:sz w:val="20"/>
          <w:szCs w:val="20"/>
        </w:rPr>
        <w:t xml:space="preserve">Incentivar en el territorio nacional el desarrollo de actividades de exploración y explotación de recursos naturales no renovables, en el marco de la normativa vigente. </w:t>
      </w:r>
    </w:p>
    <w:p w14:paraId="4F474AEC" w14:textId="77777777" w:rsidR="00A74E44" w:rsidRPr="0084743F" w:rsidRDefault="00A74E44" w:rsidP="00A74E44">
      <w:pPr>
        <w:pStyle w:val="Prrafodelista"/>
        <w:spacing w:after="0" w:line="240" w:lineRule="auto"/>
        <w:ind w:left="709" w:right="709"/>
        <w:jc w:val="both"/>
        <w:rPr>
          <w:rFonts w:ascii="Verdana" w:hAnsi="Verdana" w:cs="Arial"/>
          <w:sz w:val="20"/>
          <w:szCs w:val="20"/>
        </w:rPr>
      </w:pPr>
    </w:p>
    <w:p w14:paraId="7D122CFA" w14:textId="77777777" w:rsidR="00A74E44" w:rsidRPr="0084743F" w:rsidRDefault="00A74E44" w:rsidP="00A74E44">
      <w:pPr>
        <w:pStyle w:val="Prrafodelista"/>
        <w:numPr>
          <w:ilvl w:val="0"/>
          <w:numId w:val="18"/>
        </w:numPr>
        <w:spacing w:after="0" w:line="240" w:lineRule="auto"/>
        <w:ind w:left="709" w:right="709" w:firstLine="0"/>
        <w:jc w:val="both"/>
        <w:rPr>
          <w:rFonts w:ascii="Verdana" w:hAnsi="Verdana" w:cs="Arial"/>
          <w:sz w:val="20"/>
          <w:szCs w:val="20"/>
        </w:rPr>
      </w:pPr>
      <w:r w:rsidRPr="0084743F">
        <w:rPr>
          <w:rFonts w:ascii="Verdana" w:hAnsi="Verdana" w:cs="Arial"/>
          <w:sz w:val="20"/>
          <w:szCs w:val="20"/>
        </w:rPr>
        <w:t>Fomentar la estructuración y aprobación de proyectos de inversión que permitan la implementación del Acuerdo Final para la Terminación del Conflicto y la Construcción de una Paz Estable y Duradera, en los términos establecidos en las normas vigentes”</w:t>
      </w:r>
      <w:r w:rsidRPr="0084743F">
        <w:rPr>
          <w:rStyle w:val="Refdenotaalpie"/>
          <w:rFonts w:ascii="Verdana" w:hAnsi="Verdana" w:cs="Arial"/>
          <w:sz w:val="20"/>
          <w:szCs w:val="20"/>
        </w:rPr>
        <w:footnoteReference w:id="3"/>
      </w:r>
      <w:r w:rsidRPr="0084743F">
        <w:rPr>
          <w:rFonts w:ascii="Verdana" w:hAnsi="Verdana" w:cs="Arial"/>
          <w:sz w:val="20"/>
          <w:szCs w:val="20"/>
        </w:rPr>
        <w:t xml:space="preserve">. </w:t>
      </w:r>
    </w:p>
    <w:p w14:paraId="3D546C94" w14:textId="77777777" w:rsidR="00A74E44" w:rsidRPr="0084743F" w:rsidRDefault="00A74E44" w:rsidP="00A74E44">
      <w:pPr>
        <w:pStyle w:val="Prrafodelista"/>
        <w:spacing w:line="276" w:lineRule="auto"/>
        <w:ind w:left="709" w:right="709"/>
        <w:contextualSpacing w:val="0"/>
        <w:jc w:val="both"/>
        <w:rPr>
          <w:rFonts w:ascii="Verdana" w:hAnsi="Verdana" w:cs="Arial"/>
        </w:rPr>
      </w:pPr>
    </w:p>
    <w:p w14:paraId="6AD64A0C" w14:textId="77777777" w:rsidR="00A74E44" w:rsidRPr="0084743F" w:rsidRDefault="00A74E44" w:rsidP="00A74E44">
      <w:pPr>
        <w:spacing w:after="120" w:line="276" w:lineRule="auto"/>
        <w:ind w:firstLine="709"/>
        <w:jc w:val="both"/>
        <w:rPr>
          <w:rFonts w:ascii="Verdana" w:hAnsi="Verdana" w:cs="Arial"/>
          <w:noProof/>
          <w:lang w:val="es-ES_tradnl"/>
        </w:rPr>
      </w:pPr>
      <w:r w:rsidRPr="0084743F">
        <w:rPr>
          <w:rFonts w:ascii="Verdana" w:hAnsi="Verdana" w:cs="Arial"/>
          <w:noProof/>
          <w:lang w:val="es-ES_tradnl"/>
        </w:rPr>
        <w:t>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Pr="0084743F">
        <w:rPr>
          <w:rFonts w:ascii="Verdana" w:hAnsi="Verdana" w:cs="Arial"/>
          <w:noProof/>
          <w:vertAlign w:val="superscript"/>
          <w:lang w:val="es-ES_tradnl"/>
        </w:rPr>
        <w:footnoteReference w:id="4"/>
      </w:r>
      <w:r w:rsidRPr="0084743F">
        <w:rPr>
          <w:rFonts w:ascii="Verdana" w:hAnsi="Verdana" w:cs="Arial"/>
          <w:noProof/>
          <w:lang w:val="es-ES_tradnl"/>
        </w:rPr>
        <w:t xml:space="preserve">. El artículo 3 establece los organos del Estado que hacen parte del Sistema General Regalias, como son </w:t>
      </w:r>
      <w:r w:rsidRPr="0084743F">
        <w:rPr>
          <w:rFonts w:ascii="Verdana" w:hAnsi="Verdana" w:cs="Arial"/>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84743F">
        <w:rPr>
          <w:rFonts w:ascii="Verdana" w:hAnsi="Verdana" w:cs="Arial"/>
          <w:noProof/>
          <w:lang w:val="es-ES_tradnl"/>
        </w:rPr>
        <w:t xml:space="preserve"> incluyendo dentro de los mismos al Ministerio de Ciencia, Tenoclogía e Innovación</w:t>
      </w:r>
      <w:r w:rsidRPr="0084743F">
        <w:rPr>
          <w:rFonts w:ascii="Verdana" w:hAnsi="Verdana" w:cs="Arial"/>
          <w:noProof/>
          <w:vertAlign w:val="superscript"/>
          <w:lang w:val="es-ES_tradnl"/>
        </w:rPr>
        <w:footnoteReference w:id="5"/>
      </w:r>
      <w:r w:rsidRPr="0084743F">
        <w:rPr>
          <w:rFonts w:ascii="Verdana" w:hAnsi="Verdana" w:cs="Arial"/>
          <w:noProof/>
          <w:lang w:val="es-ES_tradnl"/>
        </w:rPr>
        <w:t xml:space="preserve">. Estas entidades deben ejercer sus competencias, de acuerdo a lo prescrito en dicha ley y los lineamientos que expida la Comisión Rectora. </w:t>
      </w:r>
    </w:p>
    <w:p w14:paraId="39E397DC" w14:textId="77777777" w:rsidR="00A74E44" w:rsidRPr="0084743F" w:rsidRDefault="00A74E44" w:rsidP="00A74E44">
      <w:pPr>
        <w:spacing w:after="120" w:line="276" w:lineRule="auto"/>
        <w:ind w:firstLine="709"/>
        <w:jc w:val="both"/>
        <w:rPr>
          <w:rFonts w:ascii="Verdana" w:hAnsi="Verdana" w:cs="Arial"/>
          <w:noProof/>
          <w:lang w:val="es-ES_tradnl"/>
        </w:rPr>
      </w:pPr>
      <w:r w:rsidRPr="0084743F">
        <w:rPr>
          <w:rFonts w:ascii="Verdana" w:hAnsi="Verdana" w:cs="Arial"/>
          <w:noProof/>
        </w:rPr>
        <w:lastRenderedPageBreak/>
        <w:t>E</w:t>
      </w:r>
      <w:r w:rsidRPr="0084743F">
        <w:rPr>
          <w:rFonts w:ascii="Verdana" w:hAnsi="Verdana" w:cs="Arial"/>
          <w:noProof/>
          <w:lang w:val="es-ES_tradnl"/>
        </w:rPr>
        <w:t xml:space="preserve">n el marco de la Ley 2056 de 2020, tambien se expidió el </w:t>
      </w:r>
      <w:bookmarkStart w:id="4" w:name="_Hlk181026109"/>
      <w:r w:rsidRPr="0084743F">
        <w:rPr>
          <w:rFonts w:ascii="Verdana" w:hAnsi="Verdana" w:cs="Arial"/>
          <w:noProof/>
          <w:lang w:val="es-ES_tradnl"/>
        </w:rPr>
        <w:t>Decreto 1821 de 2020</w:t>
      </w:r>
      <w:bookmarkEnd w:id="4"/>
      <w:r w:rsidRPr="0084743F">
        <w:rPr>
          <w:rFonts w:ascii="Verdana" w:hAnsi="Verdana" w:cs="Arial"/>
          <w:noProof/>
          <w:lang w:val="es-ES_tradnl"/>
        </w:rPr>
        <w:t>, “</w:t>
      </w:r>
      <w:r w:rsidRPr="0084743F">
        <w:rPr>
          <w:rStyle w:val="Textoennegrita"/>
          <w:rFonts w:ascii="Verdana" w:hAnsi="Verdana" w:cs="Arial"/>
          <w:b w:val="0"/>
          <w:bCs w:val="0"/>
          <w:shd w:val="clear" w:color="auto" w:fill="FFFFFF"/>
        </w:rPr>
        <w:t>Por el cual se expide el Decreto Único Reglamentario del Sistema General de Regalías”</w:t>
      </w:r>
      <w:r w:rsidRPr="0084743F">
        <w:rPr>
          <w:rFonts w:ascii="Verdana" w:hAnsi="Verdana" w:cs="Arial"/>
          <w:noProof/>
          <w:lang w:val="es-ES_tradnl"/>
        </w:rPr>
        <w:t xml:space="preserve">, reglamento que regula la ejecución de los proyectos. A partir de lo expuesto, se analizará el régimen de contratación aplicable de las entidades públicas ejecutoras en el Sistema General de Regalías, con el fin de dar respuesta al problema juridico planteado. </w:t>
      </w:r>
    </w:p>
    <w:p w14:paraId="6B45A32B" w14:textId="77777777" w:rsidR="00A74E44" w:rsidRPr="0084743F" w:rsidRDefault="00A74E44" w:rsidP="00A74E44">
      <w:pPr>
        <w:spacing w:after="120" w:line="276" w:lineRule="auto"/>
        <w:ind w:firstLine="709"/>
        <w:jc w:val="both"/>
        <w:rPr>
          <w:rFonts w:ascii="Verdana" w:hAnsi="Verdana" w:cs="Arial"/>
          <w:noProof/>
          <w:lang w:val="es-ES_tradnl"/>
        </w:rPr>
      </w:pPr>
      <w:r w:rsidRPr="0084743F">
        <w:rPr>
          <w:rFonts w:ascii="Verdana" w:hAnsi="Verdana" w:cs="Arial"/>
          <w:noProof/>
          <w:lang w:val="es-ES_tradnl"/>
        </w:rPr>
        <w:t xml:space="preserve">En </w:t>
      </w:r>
      <w:r w:rsidRPr="0084743F">
        <w:rPr>
          <w:rFonts w:ascii="Verdana" w:hAnsi="Verdana" w:cs="Arial"/>
          <w:noProof/>
        </w:rPr>
        <w:t xml:space="preserve">el Título IV, Capítulo I, la Ley 2056 de 2020 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69919710" w14:textId="77777777" w:rsidR="00A74E44" w:rsidRPr="0084743F" w:rsidRDefault="00A74E44" w:rsidP="00A74E44">
      <w:pPr>
        <w:spacing w:after="120" w:line="276" w:lineRule="auto"/>
        <w:ind w:firstLine="708"/>
        <w:jc w:val="both"/>
        <w:rPr>
          <w:rFonts w:ascii="Verdana" w:hAnsi="Verdana" w:cs="Arial"/>
          <w:noProof/>
        </w:rPr>
      </w:pPr>
      <w:r w:rsidRPr="0084743F">
        <w:rPr>
          <w:rFonts w:ascii="Verdana" w:hAnsi="Verdana" w:cs="Arial"/>
          <w:noProof/>
        </w:rPr>
        <w:t>i) E</w:t>
      </w:r>
      <w:r w:rsidRPr="0084743F">
        <w:rPr>
          <w:rFonts w:ascii="Verdana" w:hAnsi="Verdana" w:cs="Arial"/>
          <w:noProof/>
          <w:lang w:val="es-ES_tradnl"/>
        </w:rPr>
        <w:t>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A su vez, se dispone que estos recursos no podrán financiar gastos permanentes: una vez finalizada la etapa de inversión, la prestación del servicio debe ser sostenible y financiada por recursos diferentes al Sistema General de Regalías</w:t>
      </w:r>
      <w:r w:rsidRPr="0084743F">
        <w:rPr>
          <w:rStyle w:val="Refdenotaalpie"/>
          <w:rFonts w:ascii="Verdana" w:hAnsi="Verdana" w:cs="Arial"/>
          <w:noProof/>
          <w:lang w:val="es-ES_tradnl"/>
        </w:rPr>
        <w:footnoteReference w:id="6"/>
      </w:r>
      <w:r w:rsidRPr="0084743F">
        <w:rPr>
          <w:rFonts w:ascii="Verdana" w:hAnsi="Verdana" w:cs="Arial"/>
          <w:noProof/>
          <w:lang w:val="es-ES_tradnl"/>
        </w:rPr>
        <w:t>.</w:t>
      </w:r>
      <w:r w:rsidRPr="0084743F">
        <w:rPr>
          <w:rFonts w:ascii="Verdana" w:hAnsi="Verdana" w:cs="Arial"/>
          <w:noProof/>
        </w:rPr>
        <w:t xml:space="preserve"> </w:t>
      </w:r>
    </w:p>
    <w:p w14:paraId="115D3721" w14:textId="77777777" w:rsidR="00A74E44" w:rsidRPr="0084743F" w:rsidRDefault="00A74E44" w:rsidP="00A74E44">
      <w:pPr>
        <w:spacing w:after="120" w:line="276" w:lineRule="auto"/>
        <w:ind w:firstLine="709"/>
        <w:jc w:val="both"/>
        <w:rPr>
          <w:rFonts w:ascii="Verdana" w:hAnsi="Verdana" w:cs="Arial"/>
          <w:noProof/>
        </w:rPr>
      </w:pPr>
      <w:r w:rsidRPr="0084743F">
        <w:rPr>
          <w:rFonts w:ascii="Verdana" w:hAnsi="Verdana" w:cs="Arial"/>
          <w:noProof/>
        </w:rPr>
        <w:lastRenderedPageBreak/>
        <w:t>ii) El artículo 35, parágrafo 2, dispone que los Departamentos y Órganos Colegiados de Administración y Decisión Regionales de que trata el artículo citado, en el marco de sus competencia, deben designar una</w:t>
      </w:r>
      <w:r w:rsidRPr="0084743F" w:rsidDel="003822CF">
        <w:rPr>
          <w:rFonts w:ascii="Verdana" w:hAnsi="Verdana" w:cs="Arial"/>
          <w:noProof/>
        </w:rPr>
        <w:t xml:space="preserve"> </w:t>
      </w:r>
      <w:r w:rsidRPr="0084743F">
        <w:rPr>
          <w:rFonts w:ascii="Verdana" w:hAnsi="Verdana" w:cs="Arial"/>
          <w:noProof/>
        </w:rPr>
        <w:t>entidad ejecutora de naturaleza pública, que además debe estar a cargo de la contratación de la interventoría, de acuerdo a lo regulado en dicha ley</w:t>
      </w:r>
      <w:r w:rsidRPr="0084743F">
        <w:rPr>
          <w:rStyle w:val="Refdenotaalpie"/>
          <w:rFonts w:ascii="Verdana" w:hAnsi="Verdana" w:cs="Arial"/>
          <w:noProof/>
        </w:rPr>
        <w:footnoteReference w:id="7"/>
      </w:r>
      <w:r w:rsidRPr="0084743F">
        <w:rPr>
          <w:rFonts w:ascii="Verdana" w:hAnsi="Verdana" w:cs="Arial"/>
          <w:noProof/>
        </w:rPr>
        <w:t xml:space="preserve">. </w:t>
      </w:r>
    </w:p>
    <w:p w14:paraId="40189932" w14:textId="77777777" w:rsidR="00A74E44" w:rsidRPr="0084743F" w:rsidRDefault="00A74E44" w:rsidP="00A74E44">
      <w:pPr>
        <w:spacing w:after="120" w:line="276" w:lineRule="auto"/>
        <w:ind w:firstLine="709"/>
        <w:jc w:val="both"/>
        <w:rPr>
          <w:rFonts w:ascii="Verdana" w:hAnsi="Verdana" w:cs="Arial"/>
        </w:rPr>
      </w:pPr>
      <w:r w:rsidRPr="0084743F">
        <w:rPr>
          <w:rFonts w:ascii="Verdana" w:hAnsi="Verdana" w:cs="Arial"/>
          <w:noProof/>
        </w:rPr>
        <w:t xml:space="preserve">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84743F">
        <w:rPr>
          <w:rFonts w:ascii="Verdana" w:hAnsi="Verdana" w:cs="Arial"/>
        </w:rPr>
        <w:t>así como de verificar su disponibilidad, conforme con la metodología del Departamento Nacional de Planeación</w:t>
      </w:r>
      <w:r w:rsidRPr="0084743F">
        <w:rPr>
          <w:rStyle w:val="Refdenotaalpie"/>
          <w:rFonts w:ascii="Verdana" w:hAnsi="Verdana" w:cs="Arial"/>
        </w:rPr>
        <w:footnoteReference w:id="8"/>
      </w:r>
      <w:r w:rsidRPr="0084743F">
        <w:rPr>
          <w:rFonts w:ascii="Verdana" w:hAnsi="Verdana" w:cs="Arial"/>
        </w:rPr>
        <w:t>.</w:t>
      </w:r>
    </w:p>
    <w:p w14:paraId="0AB9F373" w14:textId="77777777" w:rsidR="00A74E44" w:rsidRPr="0084743F" w:rsidRDefault="00A74E44" w:rsidP="00A74E44">
      <w:pPr>
        <w:spacing w:after="120" w:line="276" w:lineRule="auto"/>
        <w:ind w:firstLine="709"/>
        <w:jc w:val="both"/>
        <w:rPr>
          <w:rFonts w:ascii="Verdana" w:hAnsi="Verdana" w:cs="Arial"/>
        </w:rPr>
      </w:pPr>
      <w:proofErr w:type="spellStart"/>
      <w:r w:rsidRPr="0084743F">
        <w:rPr>
          <w:rFonts w:ascii="Verdana" w:hAnsi="Verdana" w:cs="Arial"/>
        </w:rPr>
        <w:t>iv</w:t>
      </w:r>
      <w:proofErr w:type="spellEnd"/>
      <w:r w:rsidRPr="0084743F">
        <w:rPr>
          <w:rFonts w:ascii="Verdana" w:hAnsi="Verdana" w:cs="Arial"/>
        </w:rPr>
        <w:t xml:space="preserve">) </w:t>
      </w:r>
      <w:bookmarkStart w:id="7" w:name="_Hlk181022545"/>
      <w:r w:rsidRPr="0084743F">
        <w:rPr>
          <w:rFonts w:ascii="Verdana" w:hAnsi="Verdana" w:cs="Arial"/>
        </w:rPr>
        <w:t xml:space="preserve">El artículo 37 de la Ley 2056 de 2020 dispone que los proyectos de inversión que se financien con cargo al Sistema General de Regalías serán ejecutados por quien designe las entidades u órganos de que tratan los artículos 35 y 36 </w:t>
      </w:r>
      <w:r w:rsidRPr="0084743F">
        <w:rPr>
          <w:rFonts w:ascii="Verdana" w:hAnsi="Verdana" w:cs="Arial"/>
          <w:i/>
          <w:iCs/>
        </w:rPr>
        <w:t>ibidem</w:t>
      </w:r>
      <w:r w:rsidRPr="0084743F">
        <w:rPr>
          <w:rFonts w:ascii="Verdana" w:hAnsi="Verdana" w:cs="Arial"/>
        </w:rPr>
        <w:t xml:space="preserve">. También agrega que la Entidad Pública ejecutora tiene el deber de adelantar la contratación de la interventoría, de conformidad con lo previsto en la presente ley. Las entidades ejecutoras de recursos del Sistema son </w:t>
      </w:r>
      <w:r w:rsidRPr="0084743F">
        <w:rPr>
          <w:rFonts w:ascii="Verdana" w:hAnsi="Verdana" w:cs="Arial"/>
        </w:rPr>
        <w:lastRenderedPageBreak/>
        <w:t xml:space="preserve">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w:t>
      </w:r>
      <w:proofErr w:type="gramStart"/>
      <w:r w:rsidRPr="0084743F">
        <w:rPr>
          <w:rFonts w:ascii="Verdana" w:hAnsi="Verdana" w:cs="Arial"/>
        </w:rPr>
        <w:t>los mismos</w:t>
      </w:r>
      <w:proofErr w:type="gramEnd"/>
      <w:r w:rsidRPr="0084743F">
        <w:rPr>
          <w:rFonts w:ascii="Verdana" w:hAnsi="Verdana" w:cs="Arial"/>
        </w:rPr>
        <w:t xml:space="preserve">, sin perjuicio de las acciones de control a las que haya lugar. </w:t>
      </w:r>
    </w:p>
    <w:p w14:paraId="1ABD45EA" w14:textId="77777777" w:rsidR="00A74E44" w:rsidRPr="0084743F" w:rsidRDefault="00A74E44" w:rsidP="00A74E44">
      <w:pPr>
        <w:spacing w:after="120" w:line="276" w:lineRule="auto"/>
        <w:ind w:firstLine="708"/>
        <w:jc w:val="both"/>
        <w:rPr>
          <w:rFonts w:ascii="Verdana" w:hAnsi="Verdana" w:cs="Arial"/>
          <w:noProof/>
        </w:rPr>
      </w:pPr>
      <w:r w:rsidRPr="0084743F">
        <w:rPr>
          <w:rFonts w:ascii="Verdana" w:hAnsi="Verdana" w:cs="Arial"/>
        </w:rPr>
        <w:t xml:space="preserve">En esta línea, el parágrafo primero del artículo 37 dispone: “La ejecución de proyectos de </w:t>
      </w:r>
      <w:proofErr w:type="spellStart"/>
      <w:r w:rsidRPr="0084743F">
        <w:rPr>
          <w:rFonts w:ascii="Verdana" w:hAnsi="Verdana" w:cs="Arial"/>
        </w:rPr>
        <w:t>que</w:t>
      </w:r>
      <w:proofErr w:type="spellEnd"/>
      <w:r w:rsidRPr="0084743F">
        <w:rPr>
          <w:rFonts w:ascii="Verdana" w:hAnsi="Verdana" w:cs="Arial"/>
        </w:rPr>
        <w:t xml:space="preserve"> trata este artículo, se adelantará, con estricta sujeción al régimen presupuestal definido en esta ley, </w:t>
      </w:r>
      <w:r w:rsidRPr="0084743F">
        <w:rPr>
          <w:rFonts w:ascii="Verdana" w:hAnsi="Verdana" w:cs="Arial"/>
          <w:i/>
          <w:iCs/>
        </w:rPr>
        <w:t>al de contratación pública</w:t>
      </w:r>
      <w:r w:rsidRPr="0084743F">
        <w:rPr>
          <w:rFonts w:ascii="Verdana" w:hAnsi="Verdana" w:cs="Arial"/>
        </w:rPr>
        <w:t xml:space="preserve"> y las demás normas legales vigentes. El ejecutor garantizará la correcta ejecución de los recursos asignados al proyecto de inversión, así como el suministro y registro de la información requerida por el sistema de seguimiento, evaluación y control”</w:t>
      </w:r>
      <w:r w:rsidRPr="0084743F">
        <w:rPr>
          <w:rStyle w:val="Refdenotaalpie"/>
          <w:rFonts w:ascii="Verdana" w:hAnsi="Verdana" w:cs="Arial"/>
        </w:rPr>
        <w:footnoteReference w:id="9"/>
      </w:r>
      <w:r w:rsidRPr="0084743F">
        <w:rPr>
          <w:rFonts w:ascii="Verdana" w:hAnsi="Verdana" w:cs="Arial"/>
        </w:rPr>
        <w:t xml:space="preserve"> [Énfasis fuera del texto original].</w:t>
      </w:r>
      <w:r w:rsidRPr="0084743F">
        <w:rPr>
          <w:rFonts w:ascii="Verdana" w:hAnsi="Verdana" w:cs="Arial"/>
          <w:noProof/>
        </w:rPr>
        <w:t xml:space="preserve"> </w:t>
      </w:r>
      <w:bookmarkEnd w:id="7"/>
      <w:r w:rsidRPr="0084743F">
        <w:rPr>
          <w:rFonts w:ascii="Verdana" w:hAnsi="Verdana" w:cs="Arial"/>
          <w:noProof/>
        </w:rPr>
        <w:t xml:space="preserve">A partir de esta norma, el ejercutor de los proyectos de inversion en el Sistema General de Regalias debe sujetarse a las reglas de contratación pública, es decir, a las prescripciones establecidas en el Estatuto General de Contratación de la Administración Pública, así como las normas que lo modifiquen, sustituyan o reglamenten. En efecto, el ejecutor debe someterse a las reglas generales de la contratación pública cuando desarrolle proyectos en el marco del Sistema General de Regalías. </w:t>
      </w:r>
    </w:p>
    <w:p w14:paraId="6A2FF241" w14:textId="77777777" w:rsidR="00A74E44" w:rsidRPr="0084743F" w:rsidRDefault="00A74E44" w:rsidP="00A74E44">
      <w:pPr>
        <w:spacing w:after="120" w:line="276" w:lineRule="auto"/>
        <w:ind w:firstLine="709"/>
        <w:jc w:val="both"/>
        <w:rPr>
          <w:rFonts w:ascii="Verdana" w:hAnsi="Verdana" w:cs="Arial"/>
          <w:color w:val="000000"/>
          <w:bdr w:val="none" w:sz="0" w:space="0" w:color="auto" w:frame="1"/>
          <w:lang w:val="es-MX"/>
        </w:rPr>
      </w:pPr>
      <w:r w:rsidRPr="0084743F">
        <w:rPr>
          <w:rFonts w:ascii="Verdana" w:hAnsi="Verdana" w:cs="Arial"/>
        </w:rPr>
        <w:lastRenderedPageBreak/>
        <w:t>Por tanto, en caso de que se realicen proyectos de inversión en el marco del Sistema General de Regalías, los ejecutores designados para desarrollarlos deben sujetarse al Estatuto General de Contratación de la Administración Pública</w:t>
      </w:r>
      <w:r w:rsidRPr="0084743F">
        <w:rPr>
          <w:rFonts w:ascii="Verdana" w:eastAsia="Calibri" w:hAnsi="Verdana" w:cs="Arial"/>
          <w:lang w:val="es-MX"/>
        </w:rPr>
        <w:t>.</w:t>
      </w:r>
      <w:r w:rsidRPr="0084743F">
        <w:rPr>
          <w:rFonts w:ascii="Verdana" w:hAnsi="Verdana" w:cs="Arial"/>
        </w:rPr>
        <w:t xml:space="preserve"> </w:t>
      </w:r>
      <w:r w:rsidRPr="0084743F">
        <w:rPr>
          <w:rFonts w:ascii="Verdana" w:hAnsi="Verdana" w:cs="Arial"/>
          <w:color w:val="000000"/>
          <w:bdr w:val="none" w:sz="0" w:space="0" w:color="auto" w:frame="1"/>
        </w:rPr>
        <w:t xml:space="preserve">En </w:t>
      </w:r>
      <w:r w:rsidRPr="0084743F">
        <w:rPr>
          <w:rFonts w:ascii="Verdana" w:hAnsi="Verdana" w:cs="Arial"/>
          <w:color w:val="000000"/>
          <w:bdr w:val="none" w:sz="0" w:space="0" w:color="auto" w:frame="1"/>
          <w:lang w:val="es-MX"/>
        </w:rPr>
        <w:t xml:space="preserve">el evento en que determinados asuntos estén sometidos por norma especial al Estatuto General de Contratación de la Administración Pública, la ejecución de los contratos deberá realizarse conforme a este régimen. </w:t>
      </w:r>
    </w:p>
    <w:p w14:paraId="4C6D960F" w14:textId="77777777" w:rsidR="00A74E44" w:rsidRPr="0084743F" w:rsidRDefault="00A74E44" w:rsidP="00A74E44">
      <w:pPr>
        <w:spacing w:after="120" w:line="276" w:lineRule="auto"/>
        <w:ind w:firstLine="709"/>
        <w:jc w:val="both"/>
        <w:rPr>
          <w:rFonts w:ascii="Verdana" w:hAnsi="Verdana" w:cs="Arial"/>
          <w:color w:val="000000"/>
          <w:bdr w:val="none" w:sz="0" w:space="0" w:color="auto" w:frame="1"/>
          <w:lang w:val="es-MX"/>
        </w:rPr>
      </w:pPr>
      <w:r w:rsidRPr="0084743F">
        <w:rPr>
          <w:rFonts w:ascii="Verdana" w:hAnsi="Verdana" w:cs="Arial"/>
          <w:color w:val="000000"/>
          <w:bdr w:val="none" w:sz="0" w:space="0" w:color="auto" w:frame="1"/>
          <w:lang w:val="es-MX"/>
        </w:rPr>
        <w:t xml:space="preserve">Conforme lo expuesto, respecto a la supervisión de los </w:t>
      </w:r>
      <w:r w:rsidRPr="0084743F">
        <w:rPr>
          <w:rFonts w:ascii="Verdana" w:hAnsi="Verdana" w:cs="Arial"/>
        </w:rPr>
        <w:t xml:space="preserve">proyectos de inversión que se ejecuten en el marco del Sistema General de Regalías es menester remitirse al Estatuto General de Contratación de la Administración Pública. Sobre el particular, </w:t>
      </w:r>
      <w:bookmarkStart w:id="9" w:name="_Hlk181028391"/>
      <w:r w:rsidRPr="0084743F">
        <w:rPr>
          <w:rFonts w:ascii="Verdana" w:eastAsia="Calibri" w:hAnsi="Verdana" w:cs="Arial"/>
          <w:bCs/>
          <w:color w:val="000000"/>
        </w:rPr>
        <w:t xml:space="preserve">los artículos 4, 5, 12, 14 y 26 de la Ley 80 de 1993 </w:t>
      </w:r>
      <w:bookmarkEnd w:id="9"/>
      <w:r w:rsidRPr="0084743F">
        <w:rPr>
          <w:rFonts w:ascii="Verdana" w:eastAsia="Calibri" w:hAnsi="Verdana" w:cs="Arial"/>
          <w:bCs/>
          <w:color w:val="000000"/>
        </w:rPr>
        <w:t xml:space="preserve">consagran normas relacionadas con el control y vigilancia de la ejecución de los contratos estatales. </w:t>
      </w:r>
      <w:bookmarkStart w:id="10" w:name="_Hlk181028374"/>
      <w:r w:rsidRPr="0084743F">
        <w:rPr>
          <w:rFonts w:ascii="Verdana" w:eastAsia="Calibri" w:hAnsi="Verdana" w:cs="Arial"/>
          <w:bCs/>
          <w:color w:val="000000"/>
        </w:rPr>
        <w:t xml:space="preserve">Estas disposiciones establecen, entre otros aspectos, la obligación de las Entidades Estatales de velar por el correcto y oportuno cumplimiento de las prestaciones del contrato, las especificaciones de los bienes, obras y servicios objeto </w:t>
      </w:r>
      <w:proofErr w:type="gramStart"/>
      <w:r w:rsidRPr="0084743F">
        <w:rPr>
          <w:rFonts w:ascii="Verdana" w:eastAsia="Calibri" w:hAnsi="Verdana" w:cs="Arial"/>
          <w:bCs/>
          <w:color w:val="000000"/>
        </w:rPr>
        <w:t>del mismo</w:t>
      </w:r>
      <w:proofErr w:type="gramEnd"/>
      <w:r w:rsidRPr="0084743F">
        <w:rPr>
          <w:rFonts w:ascii="Verdana" w:eastAsia="Calibri" w:hAnsi="Verdana" w:cs="Arial"/>
          <w:bCs/>
          <w:color w:val="000000"/>
        </w:rPr>
        <w:t>, las condiciones de calidad ofrecidas, etc. En ese sentido, las Entidades Estatales deben ejercer el control de la ejecución del contrato y, de ser el caso, tomar medidas para exigir el adecuado cumplimiento.</w:t>
      </w:r>
    </w:p>
    <w:p w14:paraId="23228D40" w14:textId="77777777" w:rsidR="00A74E44" w:rsidRPr="0084743F" w:rsidRDefault="00A74E44" w:rsidP="00A74E44">
      <w:pPr>
        <w:spacing w:after="120" w:line="276" w:lineRule="auto"/>
        <w:ind w:firstLine="709"/>
        <w:jc w:val="both"/>
        <w:rPr>
          <w:rFonts w:ascii="Verdana" w:hAnsi="Verdana" w:cs="Arial"/>
          <w:color w:val="000000"/>
          <w:bdr w:val="none" w:sz="0" w:space="0" w:color="auto" w:frame="1"/>
        </w:rPr>
      </w:pPr>
      <w:r w:rsidRPr="0084743F">
        <w:rPr>
          <w:rFonts w:ascii="Verdana" w:eastAsia="Calibri" w:hAnsi="Verdana" w:cs="Arial"/>
          <w:bCs/>
          <w:color w:val="000000"/>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84743F">
        <w:rPr>
          <w:rFonts w:ascii="Verdana" w:hAnsi="Verdana"/>
          <w:vertAlign w:val="superscript"/>
        </w:rPr>
        <w:footnoteReference w:id="10"/>
      </w:r>
      <w:r w:rsidRPr="0084743F">
        <w:rPr>
          <w:rFonts w:ascii="Verdana" w:eastAsia="Calibri" w:hAnsi="Verdana" w:cs="Arial"/>
          <w:bCs/>
          <w:color w:val="000000"/>
        </w:rPr>
        <w:t>. También se establecen los límites de la responsabilidad del representante legal ante la delegación de sus funciones en materia contractual</w:t>
      </w:r>
      <w:r w:rsidRPr="0084743F">
        <w:rPr>
          <w:rFonts w:ascii="Verdana" w:hAnsi="Verdana"/>
          <w:vertAlign w:val="superscript"/>
        </w:rPr>
        <w:footnoteReference w:id="11"/>
      </w:r>
      <w:r w:rsidRPr="0084743F">
        <w:rPr>
          <w:rFonts w:ascii="Verdana" w:eastAsia="Calibri" w:hAnsi="Verdana" w:cs="Arial"/>
          <w:bCs/>
          <w:color w:val="000000"/>
        </w:rPr>
        <w:t xml:space="preserve"> y se regula la supervisión y la interventoría de los contratos estatales</w:t>
      </w:r>
      <w:r w:rsidRPr="0084743F">
        <w:rPr>
          <w:rFonts w:ascii="Verdana" w:hAnsi="Verdana"/>
          <w:vertAlign w:val="superscript"/>
        </w:rPr>
        <w:footnoteReference w:id="12"/>
      </w:r>
      <w:r w:rsidRPr="0084743F">
        <w:rPr>
          <w:rFonts w:ascii="Verdana" w:eastAsia="Calibri" w:hAnsi="Verdana" w:cs="Arial"/>
          <w:bCs/>
          <w:color w:val="000000"/>
        </w:rPr>
        <w:t xml:space="preserve">. </w:t>
      </w:r>
      <w:bookmarkStart w:id="11" w:name="_Hlk93306307"/>
    </w:p>
    <w:bookmarkEnd w:id="10"/>
    <w:p w14:paraId="7F9194E1" w14:textId="77777777" w:rsidR="00A74E44" w:rsidRPr="0084743F" w:rsidRDefault="00A74E44" w:rsidP="00A74E44">
      <w:pPr>
        <w:spacing w:after="120" w:line="276" w:lineRule="auto"/>
        <w:ind w:firstLine="709"/>
        <w:jc w:val="both"/>
        <w:rPr>
          <w:rFonts w:ascii="Verdana" w:eastAsia="Calibri" w:hAnsi="Verdana" w:cs="Arial"/>
          <w:bCs/>
          <w:color w:val="000000"/>
        </w:rPr>
      </w:pPr>
      <w:r w:rsidRPr="0084743F">
        <w:rPr>
          <w:rFonts w:ascii="Verdana" w:eastAsia="Calibri" w:hAnsi="Verdana" w:cs="Arial"/>
          <w:bCs/>
          <w:color w:val="000000"/>
        </w:rPr>
        <w:t xml:space="preserve">La remisión al Estatuto General de Contratación de la Administración Pública en lo que respecta a la supervisión de los proyectos de inversión se refuerza si se tienen en cuenta que, las disposiciones contenidas en </w:t>
      </w:r>
      <w:r w:rsidRPr="0084743F">
        <w:rPr>
          <w:rFonts w:ascii="Verdana" w:hAnsi="Verdana" w:cs="Arial"/>
          <w:noProof/>
          <w:lang w:val="es-MX"/>
        </w:rPr>
        <w:t>el Decreto 1821 de 2020, “</w:t>
      </w:r>
      <w:r w:rsidRPr="0084743F">
        <w:rPr>
          <w:rFonts w:ascii="Verdana" w:hAnsi="Verdana" w:cs="Arial"/>
          <w:noProof/>
        </w:rPr>
        <w:t xml:space="preserve">Por el cual se expide el Decreto Único Reglamentario del Sistema General de Regalías”. Especificamernte, </w:t>
      </w:r>
      <w:bookmarkStart w:id="12" w:name="_Hlk181027250"/>
      <w:r w:rsidRPr="0084743F">
        <w:rPr>
          <w:rFonts w:ascii="Verdana" w:hAnsi="Verdana" w:cs="Arial"/>
          <w:noProof/>
        </w:rPr>
        <w:t xml:space="preserve">el </w:t>
      </w:r>
      <w:bookmarkStart w:id="13" w:name="_Hlk181027216"/>
      <w:r w:rsidRPr="0084743F">
        <w:rPr>
          <w:rFonts w:ascii="Verdana" w:hAnsi="Verdana" w:cs="Arial"/>
          <w:noProof/>
        </w:rPr>
        <w:t>artículo</w:t>
      </w:r>
      <w:bookmarkStart w:id="14" w:name="1.2.3.3.2"/>
      <w:bookmarkEnd w:id="14"/>
      <w:r w:rsidRPr="0084743F">
        <w:rPr>
          <w:rFonts w:ascii="Verdana" w:hAnsi="Verdana" w:cs="Arial"/>
          <w:noProof/>
        </w:rPr>
        <w:t xml:space="preserve"> </w:t>
      </w:r>
      <w:r w:rsidRPr="00002631">
        <w:rPr>
          <w:rFonts w:ascii="Verdana" w:hAnsi="Verdana" w:cs="Arial"/>
          <w:noProof/>
        </w:rPr>
        <w:t>1.2.3.3.2.</w:t>
      </w:r>
      <w:r w:rsidRPr="0084743F">
        <w:rPr>
          <w:rFonts w:ascii="Verdana" w:hAnsi="Verdana" w:cs="Arial"/>
          <w:noProof/>
        </w:rPr>
        <w:t xml:space="preserve"> </w:t>
      </w:r>
      <w:bookmarkEnd w:id="13"/>
      <w:r w:rsidRPr="0084743F">
        <w:rPr>
          <w:rFonts w:ascii="Verdana" w:hAnsi="Verdana" w:cs="Arial"/>
          <w:noProof/>
        </w:rPr>
        <w:t>dispone que, l</w:t>
      </w:r>
      <w:r w:rsidRPr="00002631">
        <w:rPr>
          <w:rFonts w:ascii="Verdana" w:hAnsi="Verdana" w:cs="Arial"/>
          <w:noProof/>
        </w:rPr>
        <w:t xml:space="preserve">a supervisión y la interventoría de los proyectos de inversión se encuentran sujetas a las reglas contenidas en el </w:t>
      </w:r>
      <w:bookmarkStart w:id="15" w:name="_Hlk181027181"/>
      <w:r w:rsidRPr="00002631">
        <w:rPr>
          <w:rFonts w:ascii="Verdana" w:hAnsi="Verdana" w:cs="Arial"/>
          <w:noProof/>
        </w:rPr>
        <w:t xml:space="preserve">artículo 83 de la Ley 1474 de 2011 </w:t>
      </w:r>
      <w:bookmarkEnd w:id="15"/>
      <w:r w:rsidRPr="00002631">
        <w:rPr>
          <w:rFonts w:ascii="Verdana" w:hAnsi="Verdana" w:cs="Arial"/>
          <w:noProof/>
        </w:rPr>
        <w:t xml:space="preserve">o las </w:t>
      </w:r>
      <w:r w:rsidRPr="00002631">
        <w:rPr>
          <w:rFonts w:ascii="Verdana" w:hAnsi="Verdana" w:cs="Arial"/>
          <w:noProof/>
        </w:rPr>
        <w:lastRenderedPageBreak/>
        <w:t>normas que la adicionen, modifiquen o sustituyan.</w:t>
      </w:r>
      <w:r w:rsidRPr="0084743F">
        <w:rPr>
          <w:rFonts w:ascii="Verdana" w:hAnsi="Verdana" w:cs="Arial"/>
          <w:noProof/>
        </w:rPr>
        <w:t xml:space="preserve"> En ese sentido, la supervisión o interventoría de los proyectos de inversión con cargo a recursos de regalias se sujetan a los dipuesto en la Ley 1474 de 2011</w:t>
      </w:r>
      <w:r w:rsidRPr="0084743F">
        <w:rPr>
          <w:rFonts w:ascii="Verdana" w:eastAsia="Calibri" w:hAnsi="Verdana" w:cs="Arial"/>
          <w:bCs/>
          <w:color w:val="000000"/>
        </w:rPr>
        <w:t xml:space="preserve">, la cual enmarcó el seguimiento, control y vigilancia de la ejecución del contrato estatal dentro del principio de moralidad administrativa. </w:t>
      </w:r>
    </w:p>
    <w:p w14:paraId="0F098AA1" w14:textId="77777777" w:rsidR="00A74E44" w:rsidRPr="0084743F" w:rsidRDefault="00A74E44" w:rsidP="00A74E44">
      <w:pPr>
        <w:spacing w:after="120" w:line="276" w:lineRule="auto"/>
        <w:ind w:firstLine="709"/>
        <w:jc w:val="both"/>
        <w:rPr>
          <w:rFonts w:ascii="Verdana" w:hAnsi="Verdana" w:cs="Arial"/>
          <w:color w:val="000000"/>
          <w:bdr w:val="none" w:sz="0" w:space="0" w:color="auto" w:frame="1"/>
          <w:lang w:val="es-MX"/>
        </w:rPr>
      </w:pPr>
      <w:r w:rsidRPr="0084743F">
        <w:rPr>
          <w:rFonts w:ascii="Verdana" w:eastAsia="Calibri" w:hAnsi="Verdana" w:cs="Arial"/>
          <w:bCs/>
          <w:color w:val="000000"/>
        </w:rPr>
        <w:t xml:space="preserve">El artículo 83 </w:t>
      </w:r>
      <w:r w:rsidRPr="0084743F">
        <w:rPr>
          <w:rFonts w:ascii="Verdana" w:eastAsia="Calibri" w:hAnsi="Verdana" w:cs="Arial"/>
          <w:bCs/>
          <w:i/>
          <w:iCs/>
          <w:color w:val="000000"/>
        </w:rPr>
        <w:t xml:space="preserve">ibidem </w:t>
      </w:r>
      <w:r w:rsidRPr="0084743F">
        <w:rPr>
          <w:rFonts w:ascii="Verdana" w:eastAsia="Calibri" w:hAnsi="Verdana" w:cs="Arial"/>
          <w:bCs/>
          <w:color w:val="000000"/>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bookmarkEnd w:id="11"/>
    </w:p>
    <w:bookmarkEnd w:id="12"/>
    <w:p w14:paraId="7C1804F2" w14:textId="77777777" w:rsidR="00A74E44" w:rsidRPr="0084743F" w:rsidRDefault="00A74E44" w:rsidP="00A74E44">
      <w:pPr>
        <w:widowControl w:val="0"/>
        <w:autoSpaceDE w:val="0"/>
        <w:autoSpaceDN w:val="0"/>
        <w:spacing w:after="120" w:line="276" w:lineRule="auto"/>
        <w:jc w:val="both"/>
        <w:rPr>
          <w:rFonts w:ascii="Verdana" w:hAnsi="Verdana" w:cs="Arial"/>
          <w:noProof/>
        </w:rPr>
      </w:pPr>
      <w:r w:rsidRPr="0084743F">
        <w:rPr>
          <w:rFonts w:ascii="Verdana" w:hAnsi="Verdana" w:cs="Arial"/>
          <w:noProof/>
        </w:rPr>
        <w:tab/>
        <w:t xml:space="preserve">Ahora bien, </w:t>
      </w:r>
      <w:bookmarkStart w:id="16" w:name="_Hlk181027297"/>
      <w:bookmarkStart w:id="17" w:name="_Hlk181027717"/>
      <w:r w:rsidRPr="0084743F">
        <w:rPr>
          <w:rFonts w:ascii="Verdana" w:hAnsi="Verdana" w:cs="Arial"/>
          <w:noProof/>
        </w:rPr>
        <w:t xml:space="preserve">frente al rol de un supervisor en un proyecto de inversión financiado con recursos del Sistema General de Regalias debe tenerse en cuenta lo disuesto en el artículo 84 </w:t>
      </w:r>
      <w:r w:rsidRPr="0084743F">
        <w:rPr>
          <w:rFonts w:ascii="Verdana" w:hAnsi="Verdana" w:cs="Arial"/>
          <w:i/>
          <w:iCs/>
          <w:noProof/>
        </w:rPr>
        <w:t>ibidem</w:t>
      </w:r>
      <w:r w:rsidRPr="0084743F">
        <w:rPr>
          <w:rFonts w:ascii="Verdana" w:hAnsi="Verdana" w:cs="Arial"/>
          <w:noProof/>
        </w:rPr>
        <w:t>, según el cual la supervisión e interventoría contractual implica el seguimiento al ejercicio del cumplimiento obligacional por la entidad contratante sobre las obligaciones a cargo del contratista. De acuerdo con el citado artículo los supervisores se encuentran facultados para solictar informes, aclaraciones y explicaciones sobre el desarrollo de la ejecución contractual. Así mismo,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bookmarkEnd w:id="16"/>
    </w:p>
    <w:bookmarkEnd w:id="17"/>
    <w:p w14:paraId="4082BC8A" w14:textId="77777777" w:rsidR="00A74E44" w:rsidRPr="0084743F" w:rsidRDefault="00A74E44" w:rsidP="00A74E44">
      <w:pPr>
        <w:widowControl w:val="0"/>
        <w:autoSpaceDE w:val="0"/>
        <w:autoSpaceDN w:val="0"/>
        <w:spacing w:after="120" w:line="276" w:lineRule="auto"/>
        <w:ind w:firstLine="708"/>
        <w:jc w:val="both"/>
        <w:rPr>
          <w:rFonts w:ascii="Verdana" w:hAnsi="Verdana" w:cs="Arial"/>
          <w:noProof/>
        </w:rPr>
      </w:pPr>
      <w:r w:rsidRPr="0084743F">
        <w:rPr>
          <w:rFonts w:ascii="Verdana" w:hAnsi="Verdana" w:cs="Arial"/>
          <w:noProof/>
        </w:rPr>
        <w:t>E</w:t>
      </w:r>
      <w:r w:rsidRPr="0084743F">
        <w:rPr>
          <w:rFonts w:ascii="Verdana" w:eastAsia="Calibri" w:hAnsi="Verdana" w:cs="Arial"/>
          <w:bCs/>
          <w:color w:val="000000"/>
        </w:rPr>
        <w:t xml:space="preserve">n cuanto a la designación del supervisor, la Agencia Nacional de Contratación Pública – Colombia Compra Eficiente, en la “Guía para el ejercicio de las funciones de supervisión e interventoría de los contratos del Estado”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7287C116" w14:textId="77777777" w:rsidR="00A74E44" w:rsidRPr="0084743F" w:rsidRDefault="00A74E44" w:rsidP="00A74E44">
      <w:pPr>
        <w:widowControl w:val="0"/>
        <w:autoSpaceDE w:val="0"/>
        <w:autoSpaceDN w:val="0"/>
        <w:spacing w:after="120" w:line="276" w:lineRule="auto"/>
        <w:ind w:firstLine="708"/>
        <w:jc w:val="both"/>
        <w:rPr>
          <w:rFonts w:ascii="Verdana" w:hAnsi="Verdana" w:cs="Arial"/>
          <w:noProof/>
        </w:rPr>
      </w:pPr>
      <w:r w:rsidRPr="0084743F">
        <w:rPr>
          <w:rFonts w:ascii="Verdana" w:eastAsia="Calibri" w:hAnsi="Verdana" w:cs="Arial"/>
          <w:bCs/>
          <w:color w:val="000000"/>
        </w:rPr>
        <w:t xml:space="preserve">La designación podrá hacerse por el representante legal de la entidad o por el ordenador del gasto, en caso de que esta función se encuentre delegada y para el efecto podrán definirse las funciones en el pliego de condiciones, en </w:t>
      </w:r>
      <w:r w:rsidRPr="0084743F">
        <w:rPr>
          <w:rFonts w:ascii="Verdana" w:eastAsia="Calibri" w:hAnsi="Verdana" w:cs="Arial"/>
          <w:bCs/>
          <w:color w:val="000000"/>
        </w:rPr>
        <w:lastRenderedPageBreak/>
        <w:t>una cláusula del contrato, en el manual de contratación o en el acto de la asignación de la función al servidor público escogido para ejercer la supervisión.</w:t>
      </w:r>
    </w:p>
    <w:p w14:paraId="5D0769B8" w14:textId="77777777" w:rsidR="00A74E44" w:rsidRPr="0084743F" w:rsidRDefault="00A74E44" w:rsidP="00A74E44">
      <w:pPr>
        <w:widowControl w:val="0"/>
        <w:autoSpaceDE w:val="0"/>
        <w:autoSpaceDN w:val="0"/>
        <w:spacing w:after="120" w:line="276" w:lineRule="auto"/>
        <w:ind w:firstLine="708"/>
        <w:jc w:val="both"/>
        <w:rPr>
          <w:rFonts w:ascii="Verdana" w:hAnsi="Verdana" w:cs="Arial"/>
          <w:noProof/>
        </w:rPr>
      </w:pPr>
      <w:r w:rsidRPr="0084743F">
        <w:rPr>
          <w:rFonts w:ascii="Verdana" w:eastAsia="Calibri" w:hAnsi="Verdana" w:cs="Arial"/>
          <w:bCs/>
          <w:color w:val="000000"/>
        </w:rPr>
        <w:t>Si bien es cierto que para desarrollar la supervisión del contrato podrían no requerirse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los aspectos a supervisar. Lo anterior con la finalidad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w:t>
      </w:r>
    </w:p>
    <w:p w14:paraId="006F9416" w14:textId="77777777" w:rsidR="00A74E44" w:rsidRPr="0084743F" w:rsidRDefault="00A74E44" w:rsidP="00A74E44">
      <w:pPr>
        <w:widowControl w:val="0"/>
        <w:autoSpaceDE w:val="0"/>
        <w:autoSpaceDN w:val="0"/>
        <w:spacing w:after="120" w:line="276" w:lineRule="auto"/>
        <w:ind w:firstLine="708"/>
        <w:jc w:val="both"/>
        <w:rPr>
          <w:rFonts w:ascii="Verdana" w:hAnsi="Verdana" w:cs="Arial"/>
          <w:noProof/>
        </w:rPr>
      </w:pPr>
      <w:r w:rsidRPr="0084743F">
        <w:rPr>
          <w:rFonts w:ascii="Verdana" w:eastAsia="Calibri" w:hAnsi="Verdana" w:cs="Arial"/>
          <w:bCs/>
          <w:color w:val="000000"/>
        </w:rPr>
        <w:t>En este contexto, al tener el supervisor la obligación de vigilar permanentemente la totalidad de los aspectos identificados en el inciso segundo del artículo 83 de la Ley 1474 de 2011, está obligado al seguimiento financiero del contrato</w:t>
      </w:r>
      <w:r w:rsidRPr="0084743F">
        <w:rPr>
          <w:rFonts w:ascii="Verdana" w:hAnsi="Verdana"/>
          <w:vertAlign w:val="superscript"/>
        </w:rPr>
        <w:footnoteReference w:id="13"/>
      </w:r>
      <w:r w:rsidRPr="0084743F">
        <w:rPr>
          <w:rFonts w:ascii="Verdana" w:eastAsia="Calibri" w:hAnsi="Verdana" w:cs="Arial"/>
          <w:bCs/>
          <w:color w:val="000000"/>
        </w:rPr>
        <w:t xml:space="preserve">. A esto se refiere la norma citada cuando dispone que “La supervisión consistirá en el seguimiento técnico, administrativo, </w:t>
      </w:r>
      <w:r w:rsidRPr="0084743F">
        <w:rPr>
          <w:rFonts w:ascii="Verdana" w:eastAsia="Calibri" w:hAnsi="Verdana" w:cs="Arial"/>
          <w:bCs/>
          <w:i/>
          <w:iCs/>
          <w:color w:val="000000"/>
        </w:rPr>
        <w:t>financiero</w:t>
      </w:r>
      <w:r w:rsidRPr="0084743F">
        <w:rPr>
          <w:rFonts w:ascii="Verdana" w:eastAsia="Calibri" w:hAnsi="Verdana" w:cs="Arial"/>
          <w:bCs/>
          <w:color w:val="000000"/>
        </w:rPr>
        <w:t xml:space="preserve">, contable, y jurídico que, sobre el cumplimiento del objeto del contrato, es ejercida por la misma entidad estatal cuando no requieren conocimientos especializados […]” (Énfasis fuera de texto). No obstante, es importante precisar que las actividades de supervisión deben limitarse principalmente a lo pactado por las partes en el contrato vigilado. Al respecto, la “Guía para el ejercicio de las funciones de supervisión e interventoría de los contratos del Estado” explica que: “Los supervisores e interventores tienen la función general de ejercer el control y vigilancia sobre la ejecución contractual de los contratos vigilados, dirigida a verificar el cumplimiento de las condiciones pactadas en los mismos y como consecuencia de ello están facultados para solicitar informes, aclaraciones y explicaciones sobre el desarrollo de la ejecución contractual, impartir instrucciones al contratista y hacer recomendaciones encaminadas a lograr la </w:t>
      </w:r>
      <w:r w:rsidRPr="0084743F">
        <w:rPr>
          <w:rFonts w:ascii="Verdana" w:eastAsia="Calibri" w:hAnsi="Verdana" w:cs="Arial"/>
          <w:bCs/>
          <w:color w:val="000000"/>
        </w:rPr>
        <w:lastRenderedPageBreak/>
        <w:t>correcta ejecución del objeto contratado”. Por lo demás, agrega lo siguiente: “En ningún caso los interventores o supervisores en ejercicio de sus funciones pueden sustituir a la Entidad Estatal en la toma de decisiones sobre el contrato vigilado por lo que las mismas siempre deben ser tomadas por el representante legal de la Entidad Estatal con base en lo que los primeros hubieran informado sobre la ejecución de las obligaciones contractuales”.</w:t>
      </w:r>
    </w:p>
    <w:p w14:paraId="5390B41B" w14:textId="77777777" w:rsidR="00A74E44" w:rsidRPr="0084743F" w:rsidRDefault="00A74E44" w:rsidP="00A74E44">
      <w:pPr>
        <w:widowControl w:val="0"/>
        <w:autoSpaceDE w:val="0"/>
        <w:autoSpaceDN w:val="0"/>
        <w:spacing w:after="0" w:line="276" w:lineRule="auto"/>
        <w:ind w:firstLine="709"/>
        <w:jc w:val="both"/>
        <w:rPr>
          <w:rFonts w:ascii="Verdana" w:hAnsi="Verdana" w:cs="Arial"/>
          <w:noProof/>
        </w:rPr>
      </w:pPr>
      <w:r w:rsidRPr="0084743F">
        <w:rPr>
          <w:rFonts w:ascii="Verdana" w:hAnsi="Verdana" w:cs="Arial"/>
          <w:noProof/>
        </w:rPr>
        <w:t xml:space="preserve">Finalmente, resulta importante indicar que, el artículo 55 de la Ley 2056 de 2011 se refiere especificamente a la supervisión o interventoría de proyectos de inversión en ciencia, tecnología e innovación. Esta disposición señala que, cuando los ejecutores sean entidades de naturaleza jurídica privada, el Ministerio de Ciencia, Tecnología e Innovación, o los departamentos que así lo soliciten, con cargo a los recursos del proyecto de inversión, vigilará la correcta ejecución del proyecto directamente o a través de terceros, en los términos del artículo </w:t>
      </w:r>
      <w:hyperlink r:id="rId11" w:anchor="83" w:history="1">
        <w:r w:rsidRPr="0084743F">
          <w:rPr>
            <w:rStyle w:val="Hipervnculo"/>
            <w:rFonts w:ascii="Verdana" w:hAnsi="Verdana" w:cs="Arial"/>
            <w:noProof/>
            <w:color w:val="auto"/>
            <w:u w:val="none"/>
          </w:rPr>
          <w:t>83</w:t>
        </w:r>
      </w:hyperlink>
      <w:r w:rsidRPr="0084743F">
        <w:rPr>
          <w:rFonts w:ascii="Verdana" w:hAnsi="Verdana" w:cs="Arial"/>
          <w:noProof/>
          <w:lang w:val="es-ES_tradnl"/>
        </w:rPr>
        <w:t xml:space="preserve"> </w:t>
      </w:r>
      <w:r w:rsidRPr="0084743F">
        <w:rPr>
          <w:rFonts w:ascii="Verdana" w:hAnsi="Verdana" w:cs="Arial"/>
          <w:noProof/>
        </w:rPr>
        <w:t>de la Ley 1474 de 2011, o la norma que la modifique o sustituya, y reportará al Sistema de Seguimiento, Evaluación y Control del Sistema General de Regalías los actos, hechos u omisiones que puedan constituir una irregularidad o incumplimiento en la ejecución de los proyectos de inversión de ciencia, tecnología e innovación financiados con el Sistema General de Regalías.</w:t>
      </w:r>
    </w:p>
    <w:p w14:paraId="715A5EC7" w14:textId="77777777" w:rsidR="00A74E44" w:rsidRPr="0084743F" w:rsidRDefault="00A74E44" w:rsidP="00A74E44">
      <w:pPr>
        <w:widowControl w:val="0"/>
        <w:autoSpaceDE w:val="0"/>
        <w:autoSpaceDN w:val="0"/>
        <w:spacing w:after="0" w:line="276" w:lineRule="auto"/>
        <w:ind w:firstLine="709"/>
        <w:jc w:val="both"/>
        <w:rPr>
          <w:rFonts w:ascii="Verdana" w:hAnsi="Verdana" w:cs="Arial"/>
          <w:noProof/>
        </w:rPr>
      </w:pPr>
    </w:p>
    <w:p w14:paraId="32F2DDF9" w14:textId="77777777" w:rsidR="00A74E44" w:rsidRPr="0084743F" w:rsidRDefault="00A74E44" w:rsidP="00A74E4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4743F">
        <w:rPr>
          <w:rFonts w:ascii="Verdana" w:eastAsia="Century Gothic" w:hAnsi="Verdana" w:cs="Century Gothic"/>
          <w:b/>
          <w:bCs/>
        </w:rPr>
        <w:t>Referencias normativas, jurisprudenciales y otras fuentes:</w:t>
      </w:r>
    </w:p>
    <w:p w14:paraId="2A3A5FAB" w14:textId="77777777" w:rsidR="00A74E44" w:rsidRPr="0084743F" w:rsidRDefault="00A74E44" w:rsidP="00A74E4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74E44" w:rsidRPr="0084743F" w14:paraId="732408E0" w14:textId="77777777" w:rsidTr="00774769">
        <w:trPr>
          <w:trHeight w:val="870"/>
        </w:trPr>
        <w:tc>
          <w:tcPr>
            <w:tcW w:w="8647" w:type="dxa"/>
          </w:tcPr>
          <w:p w14:paraId="1C74DE2B" w14:textId="77777777" w:rsidR="00A74E44" w:rsidRPr="0084743F" w:rsidRDefault="00A74E44" w:rsidP="009844D5">
            <w:pPr>
              <w:pStyle w:val="Prrafodelista"/>
              <w:numPr>
                <w:ilvl w:val="0"/>
                <w:numId w:val="17"/>
              </w:numPr>
              <w:spacing w:line="276" w:lineRule="auto"/>
              <w:jc w:val="both"/>
              <w:rPr>
                <w:rFonts w:ascii="Verdana" w:hAnsi="Verdana" w:cs="Arial"/>
                <w:lang w:val="es-CO"/>
              </w:rPr>
            </w:pPr>
            <w:r w:rsidRPr="0084743F">
              <w:rPr>
                <w:rFonts w:ascii="Verdana" w:hAnsi="Verdana" w:cs="Arial"/>
                <w:noProof/>
                <w:lang w:val="es-ES_tradnl"/>
              </w:rPr>
              <w:t xml:space="preserve">Constitución Política: 360 y 361. </w:t>
            </w:r>
          </w:p>
          <w:p w14:paraId="4A7BD031" w14:textId="77777777" w:rsidR="00A74E44" w:rsidRPr="0084743F" w:rsidRDefault="00A74E44" w:rsidP="009844D5">
            <w:pPr>
              <w:pStyle w:val="Prrafodelista"/>
              <w:numPr>
                <w:ilvl w:val="0"/>
                <w:numId w:val="17"/>
              </w:numPr>
              <w:spacing w:line="276" w:lineRule="auto"/>
              <w:jc w:val="both"/>
              <w:rPr>
                <w:rFonts w:ascii="Verdana" w:hAnsi="Verdana" w:cs="Arial"/>
                <w:lang w:val="es-CO"/>
              </w:rPr>
            </w:pPr>
            <w:r w:rsidRPr="00002631">
              <w:rPr>
                <w:rFonts w:ascii="Verdana" w:hAnsi="Verdana" w:cs="Arial"/>
                <w:noProof/>
                <w:lang w:val="es-CO"/>
              </w:rPr>
              <w:t>Ley 1474 de 2011</w:t>
            </w:r>
            <w:r w:rsidRPr="0084743F">
              <w:rPr>
                <w:rFonts w:ascii="Verdana" w:hAnsi="Verdana" w:cs="Arial"/>
                <w:noProof/>
              </w:rPr>
              <w:t>: A</w:t>
            </w:r>
            <w:r w:rsidRPr="00002631">
              <w:rPr>
                <w:rFonts w:ascii="Verdana" w:hAnsi="Verdana" w:cs="Arial"/>
                <w:noProof/>
                <w:lang w:val="es-CO"/>
              </w:rPr>
              <w:t>rtículo 83</w:t>
            </w:r>
            <w:r w:rsidRPr="0084743F">
              <w:rPr>
                <w:rFonts w:ascii="Verdana" w:hAnsi="Verdana" w:cs="Arial"/>
                <w:noProof/>
              </w:rPr>
              <w:t xml:space="preserve"> y 84. </w:t>
            </w:r>
          </w:p>
          <w:p w14:paraId="0AEEC6F7" w14:textId="77777777" w:rsidR="00A74E44" w:rsidRPr="0084743F" w:rsidRDefault="00A74E44" w:rsidP="009844D5">
            <w:pPr>
              <w:pStyle w:val="Prrafodelista"/>
              <w:numPr>
                <w:ilvl w:val="0"/>
                <w:numId w:val="17"/>
              </w:numPr>
              <w:spacing w:line="276" w:lineRule="auto"/>
              <w:jc w:val="both"/>
              <w:rPr>
                <w:rFonts w:ascii="Verdana" w:hAnsi="Verdana" w:cs="Arial"/>
                <w:lang w:val="es-CO"/>
              </w:rPr>
            </w:pPr>
            <w:r w:rsidRPr="0084743F">
              <w:rPr>
                <w:rFonts w:ascii="Verdana" w:hAnsi="Verdana" w:cs="Arial"/>
                <w:noProof/>
                <w:lang w:val="es-ES_tradnl"/>
              </w:rPr>
              <w:t>Ley 2056 de 2020: Artículo 37 y 55.</w:t>
            </w:r>
          </w:p>
          <w:p w14:paraId="05539912" w14:textId="77777777" w:rsidR="00A74E44" w:rsidRPr="0084743F" w:rsidRDefault="00A74E44" w:rsidP="009844D5">
            <w:pPr>
              <w:pStyle w:val="Prrafodelista"/>
              <w:numPr>
                <w:ilvl w:val="0"/>
                <w:numId w:val="17"/>
              </w:numPr>
              <w:spacing w:line="276" w:lineRule="auto"/>
              <w:jc w:val="both"/>
              <w:rPr>
                <w:rFonts w:ascii="Verdana" w:hAnsi="Verdana" w:cs="Arial"/>
                <w:lang w:val="es-MX"/>
              </w:rPr>
            </w:pPr>
            <w:r w:rsidRPr="0084743F">
              <w:rPr>
                <w:rFonts w:ascii="Verdana" w:hAnsi="Verdana" w:cs="Arial"/>
                <w:noProof/>
                <w:lang w:val="es-ES_tradnl"/>
              </w:rPr>
              <w:t xml:space="preserve">Decreto 1821 de 2020: </w:t>
            </w:r>
            <w:r w:rsidRPr="0084743F">
              <w:rPr>
                <w:rFonts w:ascii="Verdana" w:hAnsi="Verdana" w:cs="Arial"/>
                <w:noProof/>
              </w:rPr>
              <w:t xml:space="preserve">Artículo </w:t>
            </w:r>
            <w:r w:rsidRPr="00002631">
              <w:rPr>
                <w:rFonts w:ascii="Verdana" w:hAnsi="Verdana" w:cs="Arial"/>
                <w:noProof/>
                <w:lang w:val="es-CO"/>
              </w:rPr>
              <w:t>1.2.3.3.2.</w:t>
            </w:r>
          </w:p>
        </w:tc>
      </w:tr>
    </w:tbl>
    <w:p w14:paraId="48756233" w14:textId="77777777" w:rsidR="00A74E44" w:rsidRPr="0084743F" w:rsidRDefault="00A74E44" w:rsidP="00A74E44">
      <w:pPr>
        <w:widowControl w:val="0"/>
        <w:autoSpaceDE w:val="0"/>
        <w:autoSpaceDN w:val="0"/>
        <w:spacing w:after="0" w:line="276" w:lineRule="auto"/>
        <w:jc w:val="both"/>
        <w:rPr>
          <w:rFonts w:ascii="Verdana" w:hAnsi="Verdana" w:cs="Arial"/>
        </w:rPr>
      </w:pPr>
    </w:p>
    <w:p w14:paraId="5A451CDC" w14:textId="77777777" w:rsidR="00A74E44" w:rsidRPr="0084743F" w:rsidRDefault="00A74E44" w:rsidP="00A74E4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4743F">
        <w:rPr>
          <w:rFonts w:ascii="Verdana" w:eastAsia="Century Gothic" w:hAnsi="Verdana" w:cs="Century Gothic"/>
          <w:b/>
          <w:bCs/>
        </w:rPr>
        <w:t>Doctrina de la Agencia Nacional de Contratación Pública:</w:t>
      </w:r>
    </w:p>
    <w:p w14:paraId="28711810" w14:textId="77777777" w:rsidR="00A74E44" w:rsidRPr="0084743F" w:rsidRDefault="00A74E44" w:rsidP="00A74E44">
      <w:pPr>
        <w:widowControl w:val="0"/>
        <w:autoSpaceDE w:val="0"/>
        <w:autoSpaceDN w:val="0"/>
        <w:spacing w:after="0" w:line="276" w:lineRule="auto"/>
        <w:jc w:val="both"/>
        <w:rPr>
          <w:rFonts w:ascii="Verdana" w:hAnsi="Verdana" w:cs="Arial"/>
        </w:rPr>
      </w:pPr>
    </w:p>
    <w:p w14:paraId="15B4E61F" w14:textId="77777777" w:rsidR="00A74E44" w:rsidRPr="0084743F" w:rsidRDefault="00A74E44" w:rsidP="00A74E44">
      <w:pPr>
        <w:widowControl w:val="0"/>
        <w:autoSpaceDE w:val="0"/>
        <w:autoSpaceDN w:val="0"/>
        <w:spacing w:after="0" w:line="276" w:lineRule="auto"/>
        <w:jc w:val="both"/>
        <w:rPr>
          <w:rStyle w:val="normaltextrun"/>
          <w:rFonts w:ascii="Verdana" w:hAnsi="Verdana" w:cs="Arial"/>
          <w:shd w:val="clear" w:color="auto" w:fill="FFFFFF"/>
          <w:lang w:val="es-ES"/>
        </w:rPr>
      </w:pPr>
      <w:r w:rsidRPr="0084743F">
        <w:rPr>
          <w:rFonts w:ascii="Verdana" w:eastAsia="Calibri" w:hAnsi="Verdana" w:cs="Arial"/>
          <w:lang w:val="es-ES_tradnl"/>
        </w:rPr>
        <w:t xml:space="preserve">la Agencia Nacional de Contratación Pública –Colombia Compra Eficiente– ha expedido conceptos relacionados con el Sistema General de Regalías, su régimen de contratación y demás particularidades, por lo que se resaltan los conceptos C- 370 del 28 de julio de 2021, </w:t>
      </w:r>
      <w:r w:rsidRPr="0084743F">
        <w:rPr>
          <w:rFonts w:ascii="Verdana" w:hAnsi="Verdana" w:cs="Arial"/>
          <w:noProof/>
          <w:lang w:val="es-ES_tradnl"/>
        </w:rPr>
        <w:t xml:space="preserve">C-604 del 09 de septiembre de 2020, C-095 del 22 de marzo de 2022, C-353 del 2 de junio de 2022, entre otros. Así mismo, esta </w:t>
      </w:r>
      <w:r w:rsidRPr="0084743F">
        <w:rPr>
          <w:rFonts w:ascii="Verdana" w:hAnsi="Verdana" w:cs="Arial"/>
          <w:shd w:val="clear" w:color="auto" w:fill="FFFFFF"/>
        </w:rPr>
        <w:t xml:space="preserve">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w:t>
      </w:r>
      <w:r w:rsidRPr="0084743F">
        <w:rPr>
          <w:rFonts w:ascii="Verdana" w:hAnsi="Verdana" w:cs="Arial"/>
          <w:shd w:val="clear" w:color="auto" w:fill="FFFFFF"/>
        </w:rPr>
        <w:lastRenderedPageBreak/>
        <w:t>2020, C–180 del 13 de abril de 2020, C-344 de 26 de mayo de 2020, C-765 de 1 de enero de 2021, C-603 de 02 de noviembre de 2021 y C-521 del 8 de septiembre de 2024.</w:t>
      </w:r>
      <w:r w:rsidRPr="0084743F">
        <w:rPr>
          <w:rFonts w:ascii="Verdana" w:eastAsia="Calibri" w:hAnsi="Verdana" w:cs="Arial"/>
          <w:lang w:val="es-ES"/>
        </w:rPr>
        <w:t xml:space="preserve"> </w:t>
      </w:r>
      <w:r w:rsidRPr="0084743F">
        <w:rPr>
          <w:rStyle w:val="normaltextrun"/>
          <w:rFonts w:ascii="Verdana" w:hAnsi="Verdana" w:cs="Arial"/>
          <w:shd w:val="clear" w:color="auto" w:fill="FFFFFF"/>
          <w:lang w:val="es-ES"/>
        </w:rPr>
        <w:t>Es</w:t>
      </w:r>
      <w:r w:rsidRPr="0084743F">
        <w:rPr>
          <w:rFonts w:ascii="Verdana" w:hAnsi="Verdana"/>
        </w:rPr>
        <w:t>tos y otros conceptos se encuentran disponibles para consulta en el Sistema de relatoría de la Agencia, al cual se puede acceder a través del siguiente enlace:</w:t>
      </w:r>
      <w:r w:rsidRPr="0084743F">
        <w:rPr>
          <w:rStyle w:val="normaltextrun"/>
          <w:rFonts w:ascii="Verdana" w:hAnsi="Verdana" w:cs="Arial"/>
          <w:shd w:val="clear" w:color="auto" w:fill="FFFFFF"/>
          <w:lang w:val="es-ES"/>
        </w:rPr>
        <w:t xml:space="preserve"> </w:t>
      </w:r>
      <w:hyperlink r:id="rId12" w:history="1">
        <w:r w:rsidRPr="0084743F">
          <w:rPr>
            <w:rStyle w:val="Hipervnculo"/>
            <w:rFonts w:ascii="Verdana" w:hAnsi="Verdana" w:cs="Arial"/>
            <w:shd w:val="clear" w:color="auto" w:fill="FFFFFF"/>
            <w:lang w:val="es-ES"/>
          </w:rPr>
          <w:t>https://relatoria.colombiacompra.gov.co/busqueda/conceptos</w:t>
        </w:r>
      </w:hyperlink>
      <w:r w:rsidRPr="0084743F">
        <w:rPr>
          <w:rStyle w:val="normaltextrun"/>
          <w:rFonts w:ascii="Verdana" w:hAnsi="Verdana" w:cs="Arial"/>
          <w:shd w:val="clear" w:color="auto" w:fill="FFFFFF"/>
          <w:lang w:val="es-ES"/>
        </w:rPr>
        <w:t>.</w:t>
      </w:r>
    </w:p>
    <w:p w14:paraId="57ECF19A" w14:textId="77777777" w:rsidR="00A74E44" w:rsidRPr="0084743F" w:rsidRDefault="00A74E44" w:rsidP="00A74E44">
      <w:pPr>
        <w:widowControl w:val="0"/>
        <w:autoSpaceDE w:val="0"/>
        <w:autoSpaceDN w:val="0"/>
        <w:spacing w:after="0" w:line="276" w:lineRule="auto"/>
        <w:jc w:val="both"/>
        <w:rPr>
          <w:rFonts w:ascii="Verdana" w:hAnsi="Verdana" w:cs="Arial"/>
        </w:rPr>
      </w:pPr>
    </w:p>
    <w:p w14:paraId="37FD7F95" w14:textId="77777777" w:rsidR="00A74E44" w:rsidRPr="0084743F" w:rsidRDefault="00A74E44" w:rsidP="00A74E44">
      <w:pPr>
        <w:widowControl w:val="0"/>
        <w:autoSpaceDE w:val="0"/>
        <w:autoSpaceDN w:val="0"/>
        <w:spacing w:after="0" w:line="276" w:lineRule="auto"/>
        <w:jc w:val="both"/>
        <w:rPr>
          <w:rFonts w:ascii="Verdana" w:hAnsi="Verdana" w:cs="Arial"/>
          <w:lang w:val="es-ES_tradnl"/>
        </w:rPr>
      </w:pPr>
      <w:r w:rsidRPr="0084743F">
        <w:rPr>
          <w:rFonts w:ascii="Verdana" w:hAnsi="Verdana" w:cs="Arial"/>
        </w:rPr>
        <w:t xml:space="preserve">Este concepto tiene el alcance previsto en el artículo 28 del Código de Procedimiento Administrativo y de lo Contencioso Administrativo </w:t>
      </w:r>
      <w:r w:rsidRPr="0084743F">
        <w:rPr>
          <w:rFonts w:ascii="Verdana" w:hAnsi="Verdana" w:cs="Arial"/>
          <w:lang w:val="es-ES_tradnl"/>
        </w:rPr>
        <w:t>y las expresiones aquí utilizadas con mayúscula inicial deben ser entendidas con el significado que les otorga el artículo 2.2.1.1.1.3.1. del Decreto 1082 de 2015.</w:t>
      </w:r>
    </w:p>
    <w:p w14:paraId="13143A6B" w14:textId="77777777" w:rsidR="00A74E44" w:rsidRPr="0084743F" w:rsidRDefault="00A74E44" w:rsidP="00A74E44">
      <w:pPr>
        <w:widowControl w:val="0"/>
        <w:autoSpaceDE w:val="0"/>
        <w:autoSpaceDN w:val="0"/>
        <w:spacing w:after="0" w:line="276" w:lineRule="auto"/>
        <w:jc w:val="both"/>
        <w:rPr>
          <w:rFonts w:ascii="Verdana" w:hAnsi="Verdana" w:cs="Arial"/>
        </w:rPr>
      </w:pPr>
    </w:p>
    <w:p w14:paraId="0A11D2B2" w14:textId="77777777" w:rsidR="00A74E44" w:rsidRPr="0084743F" w:rsidRDefault="00A74E44" w:rsidP="00A74E44">
      <w:pPr>
        <w:spacing w:after="0" w:line="240" w:lineRule="auto"/>
        <w:rPr>
          <w:rFonts w:ascii="Verdana" w:hAnsi="Verdana" w:cs="Arial"/>
          <w:lang w:eastAsia="es-CO"/>
        </w:rPr>
      </w:pPr>
      <w:r w:rsidRPr="0084743F">
        <w:rPr>
          <w:rFonts w:ascii="Verdana" w:eastAsia="Times New Roman" w:hAnsi="Verdana" w:cs="Arial"/>
          <w:lang w:eastAsia="es-CO"/>
        </w:rPr>
        <w:t>Atentamente,</w:t>
      </w:r>
      <w:r w:rsidRPr="0084743F">
        <w:rPr>
          <w:rFonts w:ascii="Verdana" w:hAnsi="Verdana" w:cs="Arial"/>
          <w:lang w:eastAsia="es-CO"/>
        </w:rPr>
        <w:t xml:space="preserve"> </w:t>
      </w:r>
    </w:p>
    <w:p w14:paraId="68CCB680" w14:textId="54C0A299" w:rsidR="00A74E44" w:rsidRPr="0084743F" w:rsidRDefault="002F73E8" w:rsidP="00A74E44">
      <w:pPr>
        <w:spacing w:line="276" w:lineRule="auto"/>
        <w:jc w:val="center"/>
        <w:rPr>
          <w:rFonts w:ascii="Verdana" w:hAnsi="Verdana" w:cs="Arial"/>
          <w:color w:val="000000"/>
          <w:lang w:val="es-ES_tradnl" w:eastAsia="es-CO"/>
        </w:rPr>
      </w:pPr>
      <w:r>
        <w:rPr>
          <w:noProof/>
        </w:rPr>
        <w:drawing>
          <wp:inline distT="0" distB="0" distL="0" distR="0" wp14:anchorId="7D2AA4DD" wp14:editId="522F30D1">
            <wp:extent cx="3346450" cy="940875"/>
            <wp:effectExtent l="0" t="0" r="635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3"/>
                    <a:srcRect t="20995" b="13519"/>
                    <a:stretch/>
                  </pic:blipFill>
                  <pic:spPr bwMode="auto">
                    <a:xfrm>
                      <a:off x="0" y="0"/>
                      <a:ext cx="3364452" cy="945936"/>
                    </a:xfrm>
                    <a:prstGeom prst="rect">
                      <a:avLst/>
                    </a:prstGeom>
                    <a:ln>
                      <a:noFill/>
                    </a:ln>
                    <a:extLst>
                      <a:ext uri="{53640926-AAD7-44D8-BBD7-CCE9431645EC}">
                        <a14:shadowObscured xmlns:a14="http://schemas.microsoft.com/office/drawing/2010/main"/>
                      </a:ext>
                    </a:extLst>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74E44" w:rsidRPr="0084743F" w14:paraId="040A820D" w14:textId="77777777" w:rsidTr="00774769">
        <w:trPr>
          <w:trHeight w:val="409"/>
        </w:trPr>
        <w:tc>
          <w:tcPr>
            <w:tcW w:w="817" w:type="dxa"/>
            <w:tcBorders>
              <w:top w:val="nil"/>
              <w:left w:val="nil"/>
              <w:bottom w:val="nil"/>
              <w:right w:val="nil"/>
            </w:tcBorders>
            <w:vAlign w:val="center"/>
            <w:hideMark/>
          </w:tcPr>
          <w:p w14:paraId="1082436A" w14:textId="77777777" w:rsidR="00A74E44" w:rsidRPr="0084743F" w:rsidRDefault="00A74E44" w:rsidP="00774769">
            <w:pPr>
              <w:spacing w:after="0" w:line="240" w:lineRule="auto"/>
              <w:jc w:val="both"/>
              <w:rPr>
                <w:rFonts w:ascii="Verdana" w:hAnsi="Verdana" w:cs="Arial"/>
                <w:sz w:val="16"/>
                <w:szCs w:val="16"/>
              </w:rPr>
            </w:pPr>
            <w:r w:rsidRPr="0084743F">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060F719" w14:textId="77777777" w:rsidR="00A74E44" w:rsidRPr="0084743F" w:rsidRDefault="00A74E44" w:rsidP="00774769">
            <w:pPr>
              <w:spacing w:after="0" w:line="240" w:lineRule="auto"/>
              <w:jc w:val="both"/>
              <w:rPr>
                <w:rFonts w:ascii="Verdana" w:hAnsi="Verdana" w:cs="Arial"/>
                <w:sz w:val="16"/>
                <w:szCs w:val="16"/>
              </w:rPr>
            </w:pPr>
            <w:r w:rsidRPr="0084743F">
              <w:rPr>
                <w:rFonts w:ascii="Verdana" w:hAnsi="Verdana" w:cs="Arial"/>
                <w:sz w:val="16"/>
                <w:szCs w:val="16"/>
              </w:rPr>
              <w:t>Diana Lucia Saavedra Castañeda</w:t>
            </w:r>
          </w:p>
          <w:p w14:paraId="52F45FC2" w14:textId="77777777" w:rsidR="00A74E44" w:rsidRPr="0084743F" w:rsidRDefault="00A74E44" w:rsidP="00774769">
            <w:pPr>
              <w:spacing w:after="0" w:line="240" w:lineRule="auto"/>
              <w:jc w:val="both"/>
              <w:rPr>
                <w:rFonts w:ascii="Verdana" w:hAnsi="Verdana" w:cs="Arial"/>
                <w:sz w:val="16"/>
                <w:szCs w:val="16"/>
              </w:rPr>
            </w:pPr>
            <w:r w:rsidRPr="0084743F">
              <w:rPr>
                <w:rFonts w:ascii="Verdana" w:hAnsi="Verdana" w:cs="Arial"/>
                <w:sz w:val="16"/>
                <w:szCs w:val="16"/>
              </w:rPr>
              <w:t>Contratista de la Subdirección de Gestión Contractual</w:t>
            </w:r>
          </w:p>
        </w:tc>
      </w:tr>
      <w:tr w:rsidR="00A74E44" w:rsidRPr="0084743F" w14:paraId="43551913" w14:textId="77777777" w:rsidTr="00774769">
        <w:trPr>
          <w:trHeight w:val="409"/>
        </w:trPr>
        <w:tc>
          <w:tcPr>
            <w:tcW w:w="817" w:type="dxa"/>
            <w:tcBorders>
              <w:top w:val="nil"/>
              <w:left w:val="nil"/>
              <w:right w:val="nil"/>
            </w:tcBorders>
            <w:vAlign w:val="center"/>
          </w:tcPr>
          <w:p w14:paraId="222BE7C5" w14:textId="77777777" w:rsidR="00A74E44" w:rsidRPr="0084743F" w:rsidRDefault="00A74E44" w:rsidP="00774769">
            <w:pPr>
              <w:spacing w:after="0"/>
              <w:jc w:val="both"/>
              <w:rPr>
                <w:rFonts w:ascii="Verdana" w:hAnsi="Verdana" w:cs="Arial"/>
                <w:sz w:val="16"/>
                <w:szCs w:val="16"/>
              </w:rPr>
            </w:pPr>
            <w:r w:rsidRPr="0084743F">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9672924" w14:textId="77777777" w:rsidR="00A74E44" w:rsidRPr="0084743F" w:rsidRDefault="00A74E44" w:rsidP="00774769">
            <w:pPr>
              <w:spacing w:after="0" w:line="240" w:lineRule="auto"/>
              <w:jc w:val="both"/>
              <w:rPr>
                <w:rStyle w:val="normaltextrun"/>
                <w:rFonts w:ascii="Verdana" w:eastAsia="Times New Roman" w:hAnsi="Verdana" w:cs="Segoe UI"/>
                <w:color w:val="000000" w:themeColor="text1"/>
                <w:sz w:val="16"/>
                <w:szCs w:val="16"/>
                <w:lang w:eastAsia="es-CO"/>
              </w:rPr>
            </w:pPr>
            <w:r w:rsidRPr="0084743F">
              <w:rPr>
                <w:rStyle w:val="normaltextrun"/>
                <w:rFonts w:ascii="Verdana" w:eastAsia="Times New Roman" w:hAnsi="Verdana" w:cs="Segoe UI"/>
                <w:color w:val="000000" w:themeColor="text1"/>
                <w:sz w:val="16"/>
                <w:szCs w:val="16"/>
                <w:lang w:eastAsia="es-CO"/>
              </w:rPr>
              <w:t>Alejandro Sarmiento Cantillo</w:t>
            </w:r>
          </w:p>
          <w:p w14:paraId="55A202DF" w14:textId="77777777" w:rsidR="00A74E44" w:rsidRPr="0084743F" w:rsidRDefault="00A74E44" w:rsidP="00774769">
            <w:pPr>
              <w:spacing w:after="0" w:line="240" w:lineRule="auto"/>
              <w:jc w:val="both"/>
              <w:rPr>
                <w:rFonts w:ascii="Verdana" w:hAnsi="Verdana" w:cs="Arial"/>
                <w:sz w:val="16"/>
                <w:szCs w:val="16"/>
              </w:rPr>
            </w:pPr>
            <w:r w:rsidRPr="0084743F">
              <w:rPr>
                <w:rStyle w:val="normaltextrun"/>
                <w:rFonts w:ascii="Verdana" w:eastAsia="Times New Roman" w:hAnsi="Verdana" w:cs="Segoe UI"/>
                <w:color w:val="000000" w:themeColor="text1"/>
                <w:sz w:val="16"/>
                <w:szCs w:val="16"/>
                <w:lang w:eastAsia="es-CO"/>
              </w:rPr>
              <w:t xml:space="preserve">Gestor T1 </w:t>
            </w:r>
            <w:r w:rsidRPr="0084743F">
              <w:rPr>
                <w:rStyle w:val="normaltextrun"/>
                <w:rFonts w:ascii="Verdana" w:eastAsia="Times New Roman" w:hAnsi="Verdana" w:cs="Arial"/>
                <w:color w:val="000000" w:themeColor="text1"/>
                <w:sz w:val="16"/>
                <w:szCs w:val="16"/>
                <w:lang w:eastAsia="es-CO"/>
              </w:rPr>
              <w:t>‒</w:t>
            </w:r>
            <w:r w:rsidRPr="0084743F">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A74E44" w:rsidRPr="0084743F" w14:paraId="136887D3" w14:textId="77777777" w:rsidTr="00774769">
        <w:trPr>
          <w:trHeight w:val="389"/>
        </w:trPr>
        <w:tc>
          <w:tcPr>
            <w:tcW w:w="817" w:type="dxa"/>
            <w:tcBorders>
              <w:top w:val="nil"/>
              <w:left w:val="nil"/>
              <w:bottom w:val="nil"/>
              <w:right w:val="nil"/>
            </w:tcBorders>
            <w:vAlign w:val="center"/>
            <w:hideMark/>
          </w:tcPr>
          <w:p w14:paraId="32AFD59B" w14:textId="77777777" w:rsidR="00A74E44" w:rsidRPr="0084743F" w:rsidRDefault="00A74E44" w:rsidP="00774769">
            <w:pPr>
              <w:spacing w:after="0" w:line="240" w:lineRule="auto"/>
              <w:jc w:val="both"/>
              <w:rPr>
                <w:rFonts w:ascii="Verdana" w:hAnsi="Verdana" w:cs="Arial"/>
                <w:sz w:val="16"/>
                <w:szCs w:val="16"/>
              </w:rPr>
            </w:pPr>
            <w:r w:rsidRPr="0084743F">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EA25DC6" w14:textId="77777777" w:rsidR="00A74E44" w:rsidRPr="0084743F" w:rsidRDefault="00A74E44" w:rsidP="00774769">
            <w:pPr>
              <w:spacing w:after="0"/>
              <w:rPr>
                <w:rFonts w:ascii="Verdana" w:eastAsia="Calibri" w:hAnsi="Verdana" w:cs="Arial"/>
                <w:sz w:val="16"/>
                <w:szCs w:val="16"/>
                <w:lang w:val="pt-BR" w:eastAsia="es-ES"/>
              </w:rPr>
            </w:pPr>
            <w:r w:rsidRPr="0084743F">
              <w:rPr>
                <w:rFonts w:ascii="Verdana" w:eastAsia="Calibri" w:hAnsi="Verdana" w:cs="Arial"/>
                <w:sz w:val="16"/>
                <w:szCs w:val="16"/>
                <w:lang w:val="pt-BR" w:eastAsia="es-ES"/>
              </w:rPr>
              <w:t>Carolina Quintero Gacharná</w:t>
            </w:r>
          </w:p>
          <w:p w14:paraId="55F42CD3" w14:textId="77777777" w:rsidR="00A74E44" w:rsidRPr="0084743F" w:rsidRDefault="00A74E44" w:rsidP="00774769">
            <w:pPr>
              <w:spacing w:after="0" w:line="240" w:lineRule="auto"/>
              <w:jc w:val="both"/>
              <w:rPr>
                <w:rFonts w:ascii="Verdana" w:hAnsi="Verdana" w:cs="Arial"/>
                <w:sz w:val="16"/>
                <w:szCs w:val="16"/>
              </w:rPr>
            </w:pPr>
            <w:r w:rsidRPr="0084743F">
              <w:rPr>
                <w:rFonts w:ascii="Verdana" w:hAnsi="Verdana" w:cs="Arial"/>
                <w:sz w:val="16"/>
                <w:szCs w:val="16"/>
              </w:rPr>
              <w:t>Subdirectora de Gestión Contractual ANCP – CCE</w:t>
            </w:r>
          </w:p>
        </w:tc>
      </w:tr>
    </w:tbl>
    <w:p w14:paraId="2C2F7615" w14:textId="77777777" w:rsidR="00A74E44" w:rsidRPr="0084743F" w:rsidRDefault="00A74E44" w:rsidP="00A74E44">
      <w:pPr>
        <w:pStyle w:val="Default"/>
        <w:tabs>
          <w:tab w:val="left" w:pos="2864"/>
        </w:tabs>
        <w:jc w:val="both"/>
        <w:rPr>
          <w:rFonts w:ascii="Verdana" w:hAnsi="Verdana"/>
          <w:sz w:val="22"/>
          <w:szCs w:val="22"/>
          <w:lang w:val="es-ES"/>
        </w:rPr>
      </w:pPr>
    </w:p>
    <w:p w14:paraId="33D1C198" w14:textId="77777777" w:rsidR="00A74E44" w:rsidRPr="0084743F" w:rsidRDefault="00A74E44" w:rsidP="00A74E44">
      <w:pPr>
        <w:spacing w:after="0" w:line="240" w:lineRule="auto"/>
        <w:rPr>
          <w:rFonts w:ascii="Verdana" w:eastAsia="Times New Roman" w:hAnsi="Verdana" w:cs="Arial"/>
          <w:sz w:val="24"/>
          <w:szCs w:val="24"/>
          <w:lang w:val="es-ES" w:eastAsia="es-ES"/>
        </w:rPr>
      </w:pPr>
    </w:p>
    <w:p w14:paraId="0F293BF4" w14:textId="161B9E48" w:rsidR="00127233" w:rsidRPr="00A74E44" w:rsidRDefault="00127233" w:rsidP="00665D70">
      <w:pPr>
        <w:spacing w:after="0"/>
        <w:jc w:val="both"/>
        <w:rPr>
          <w:rFonts w:ascii="Verdana" w:hAnsi="Verdana"/>
          <w:lang w:val="es-ES"/>
        </w:rPr>
      </w:pPr>
    </w:p>
    <w:sectPr w:rsidR="00127233" w:rsidRPr="00A74E44"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E42B" w14:textId="77777777" w:rsidR="003A26D1" w:rsidRDefault="003A26D1" w:rsidP="004A1847">
      <w:pPr>
        <w:spacing w:after="0" w:line="240" w:lineRule="auto"/>
      </w:pPr>
      <w:r>
        <w:separator/>
      </w:r>
    </w:p>
  </w:endnote>
  <w:endnote w:type="continuationSeparator" w:id="0">
    <w:p w14:paraId="430A73B4" w14:textId="77777777" w:rsidR="003A26D1" w:rsidRDefault="003A26D1" w:rsidP="004A1847">
      <w:pPr>
        <w:spacing w:after="0" w:line="240" w:lineRule="auto"/>
      </w:pPr>
      <w:r>
        <w:continuationSeparator/>
      </w:r>
    </w:p>
  </w:endnote>
  <w:endnote w:type="continuationNotice" w:id="1">
    <w:p w14:paraId="1DB5EF28" w14:textId="77777777" w:rsidR="00D2562B" w:rsidRDefault="00D25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F77B" w14:textId="77777777" w:rsidR="003A26D1" w:rsidRDefault="003A26D1" w:rsidP="004A1847">
      <w:pPr>
        <w:spacing w:after="0" w:line="240" w:lineRule="auto"/>
      </w:pPr>
      <w:r>
        <w:separator/>
      </w:r>
    </w:p>
  </w:footnote>
  <w:footnote w:type="continuationSeparator" w:id="0">
    <w:p w14:paraId="665EFA4D" w14:textId="77777777" w:rsidR="003A26D1" w:rsidRDefault="003A26D1" w:rsidP="004A1847">
      <w:pPr>
        <w:spacing w:after="0" w:line="240" w:lineRule="auto"/>
      </w:pPr>
      <w:r>
        <w:continuationSeparator/>
      </w:r>
    </w:p>
  </w:footnote>
  <w:footnote w:type="continuationNotice" w:id="1">
    <w:p w14:paraId="07B9559B" w14:textId="77777777" w:rsidR="00D2562B" w:rsidRDefault="00D2562B">
      <w:pPr>
        <w:spacing w:after="0" w:line="240" w:lineRule="auto"/>
      </w:pPr>
    </w:p>
  </w:footnote>
  <w:footnote w:id="2">
    <w:p w14:paraId="2D4FC384" w14:textId="77777777" w:rsidR="00A74E44" w:rsidRPr="00947E57" w:rsidRDefault="00A74E44" w:rsidP="00A74E44">
      <w:pPr>
        <w:pStyle w:val="Textonotapie"/>
        <w:ind w:firstLine="708"/>
        <w:contextualSpacing/>
        <w:jc w:val="both"/>
        <w:rPr>
          <w:rFonts w:ascii="Verdana" w:hAnsi="Verdana" w:cs="Arial"/>
          <w:sz w:val="14"/>
          <w:szCs w:val="14"/>
          <w:shd w:val="clear" w:color="auto" w:fill="FFFFFF"/>
        </w:rPr>
      </w:pPr>
      <w:r w:rsidRPr="00947E57">
        <w:rPr>
          <w:rStyle w:val="Refdenotaalpie"/>
          <w:rFonts w:ascii="Verdana" w:hAnsi="Verdana" w:cs="Arial"/>
          <w:sz w:val="14"/>
          <w:szCs w:val="14"/>
        </w:rPr>
        <w:footnoteRef/>
      </w:r>
      <w:r w:rsidRPr="00947E57">
        <w:rPr>
          <w:rFonts w:ascii="Verdana" w:hAnsi="Verdana" w:cs="Arial"/>
          <w:sz w:val="14"/>
          <w:szCs w:val="14"/>
        </w:rPr>
        <w:t xml:space="preserve"> Al respecto, la Corte indicó: “</w:t>
      </w:r>
      <w:r w:rsidRPr="00947E57">
        <w:rPr>
          <w:rFonts w:ascii="Verdana" w:hAnsi="Verdana" w:cs="Arial"/>
          <w:sz w:val="14"/>
          <w:szCs w:val="14"/>
          <w:shd w:val="clear" w:color="auto" w:fill="FFFFFF"/>
        </w:rPr>
        <w:t>Las regalías son comprendidas por el derecho constitucional como una </w:t>
      </w:r>
      <w:r w:rsidRPr="00947E57">
        <w:rPr>
          <w:rFonts w:ascii="Verdana" w:hAnsi="Verdana" w:cs="Arial"/>
          <w:i/>
          <w:iCs/>
          <w:sz w:val="14"/>
          <w:szCs w:val="14"/>
          <w:shd w:val="clear" w:color="auto" w:fill="FFFFFF"/>
        </w:rPr>
        <w:t>contraprestación económica </w:t>
      </w:r>
      <w:r w:rsidRPr="00947E57">
        <w:rPr>
          <w:rFonts w:ascii="Verdana" w:hAnsi="Verdana" w:cs="Arial"/>
          <w:sz w:val="14"/>
          <w:szCs w:val="14"/>
          <w:shd w:val="clear" w:color="auto" w:fill="FFFFFF"/>
        </w:rPr>
        <w:t xml:space="preserve">que recibe el Estado, </w:t>
      </w:r>
      <w:proofErr w:type="gramStart"/>
      <w:r w:rsidRPr="00947E57">
        <w:rPr>
          <w:rFonts w:ascii="Verdana" w:hAnsi="Verdana" w:cs="Arial"/>
          <w:sz w:val="14"/>
          <w:szCs w:val="14"/>
          <w:shd w:val="clear" w:color="auto" w:fill="FFFFFF"/>
        </w:rPr>
        <w:t>en razón de</w:t>
      </w:r>
      <w:proofErr w:type="gramEnd"/>
      <w:r w:rsidRPr="00947E57">
        <w:rPr>
          <w:rFonts w:ascii="Verdana" w:hAnsi="Verdana" w:cs="Arial"/>
          <w:sz w:val="14"/>
          <w:szCs w:val="14"/>
          <w:shd w:val="clear" w:color="auto" w:fill="FFFFFF"/>
        </w:rPr>
        <w:t xml:space="preserve"> la extracción de recursos naturales no renovables existentes en el subsuelo.  Como lo ha explicado la jurisprudencia reiterada, este concepto refiere a la </w:t>
      </w:r>
      <w:r w:rsidRPr="00947E57">
        <w:rPr>
          <w:rFonts w:ascii="Verdana" w:hAnsi="Verdana" w:cs="Arial"/>
          <w:i/>
          <w:iCs/>
          <w:sz w:val="14"/>
          <w:szCs w:val="14"/>
          <w:shd w:val="clear" w:color="auto" w:fill="FFFFFF"/>
        </w:rPr>
        <w:t>“c</w:t>
      </w:r>
      <w:r w:rsidRPr="00947E57">
        <w:rPr>
          <w:rFonts w:ascii="Verdana" w:hAnsi="Verdana" w:cs="Arial"/>
          <w:i/>
          <w:iCs/>
          <w:spacing w:val="-3"/>
          <w:sz w:val="14"/>
          <w:szCs w:val="14"/>
          <w:shd w:val="clear" w:color="auto" w:fill="FFFFFF"/>
        </w:rPr>
        <w:t>ontraprestación económica que percibe el Estado de las personas a quienes se les concede el derecho a explotar los recursos naturales no renovables en determinado porcentaje sobre el producto bruto explotado.</w:t>
      </w:r>
      <w:r w:rsidRPr="00947E57">
        <w:rPr>
          <w:rFonts w:ascii="Verdana" w:hAnsi="Verdana" w:cs="Arial"/>
          <w:spacing w:val="-3"/>
          <w:sz w:val="14"/>
          <w:szCs w:val="14"/>
          <w:shd w:val="clear" w:color="auto" w:fill="FFFFFF"/>
        </w:rPr>
        <w:t xml:space="preserve"> A su vez, de acuerdo con el mismo precedente, en lo que respecta al derecho a las compensaciones, este </w:t>
      </w:r>
      <w:r w:rsidRPr="00947E57">
        <w:rPr>
          <w:rFonts w:ascii="Verdana" w:hAnsi="Verdana" w:cs="Arial"/>
          <w:sz w:val="14"/>
          <w:szCs w:val="14"/>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680C7066" w14:textId="77777777" w:rsidR="00A74E44" w:rsidRPr="00947E57" w:rsidRDefault="00A74E44" w:rsidP="00A74E44">
      <w:pPr>
        <w:pStyle w:val="Textonotapie"/>
        <w:ind w:firstLine="708"/>
        <w:contextualSpacing/>
        <w:jc w:val="both"/>
        <w:rPr>
          <w:rFonts w:ascii="Verdana" w:hAnsi="Verdana" w:cs="Arial"/>
          <w:sz w:val="14"/>
          <w:szCs w:val="14"/>
          <w:shd w:val="clear" w:color="auto" w:fill="FFFFFF"/>
        </w:rPr>
      </w:pPr>
    </w:p>
    <w:p w14:paraId="4040E3E7" w14:textId="77777777" w:rsidR="00A74E44" w:rsidRPr="00947E57" w:rsidRDefault="00A74E44" w:rsidP="00A74E44">
      <w:pPr>
        <w:pStyle w:val="Textonotapie"/>
        <w:ind w:firstLine="708"/>
        <w:contextualSpacing/>
        <w:jc w:val="both"/>
        <w:rPr>
          <w:rFonts w:ascii="Verdana" w:hAnsi="Verdana" w:cs="Arial"/>
          <w:sz w:val="14"/>
          <w:szCs w:val="14"/>
          <w:lang w:val="es-CO"/>
        </w:rPr>
      </w:pPr>
      <w:r w:rsidRPr="00947E57">
        <w:rPr>
          <w:rFonts w:ascii="Verdana" w:hAnsi="Verdana" w:cs="Arial"/>
          <w:sz w:val="14"/>
          <w:szCs w:val="14"/>
          <w:shd w:val="clear" w:color="auto" w:fill="FFFFFF"/>
        </w:rPr>
        <w:t>Así lo ha explicado la Corte al prever que las regalías carecen de naturaleza tributaria, ya que </w:t>
      </w:r>
      <w:r w:rsidRPr="00947E57">
        <w:rPr>
          <w:rFonts w:ascii="Verdana" w:hAnsi="Verdana" w:cs="Arial"/>
          <w:i/>
          <w:iCs/>
          <w:sz w:val="14"/>
          <w:szCs w:val="14"/>
          <w:shd w:val="clear" w:color="auto" w:fill="FFFFFF"/>
        </w:rPr>
        <w:t>“</w:t>
      </w:r>
      <w:r w:rsidRPr="00947E57">
        <w:rPr>
          <w:rFonts w:ascii="Verdana" w:hAnsi="Verdana" w:cs="Arial"/>
          <w:sz w:val="14"/>
          <w:szCs w:val="14"/>
          <w:shd w:val="clear" w:color="auto" w:fill="FFFFFF"/>
        </w:rPr>
        <w:t>[a]</w:t>
      </w:r>
      <w:r w:rsidRPr="00947E57">
        <w:rPr>
          <w:rFonts w:ascii="Verdana" w:hAnsi="Verdana" w:cs="Arial"/>
          <w:i/>
          <w:iCs/>
          <w:sz w:val="14"/>
          <w:szCs w:val="14"/>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947E57">
        <w:rPr>
          <w:rFonts w:ascii="Verdana" w:hAnsi="Verdana" w:cs="Arial"/>
          <w:sz w:val="14"/>
          <w:szCs w:val="14"/>
          <w:lang w:val="es-CO"/>
        </w:rPr>
        <w:t xml:space="preserve">Corte Constitucional. Sentencias C-748 de 2012 y C-010 de 2013. M.P. Luis Ernesto Vargas Silva. </w:t>
      </w:r>
    </w:p>
    <w:p w14:paraId="1473EF82" w14:textId="77777777" w:rsidR="00A74E44" w:rsidRPr="00947E57" w:rsidRDefault="00A74E44" w:rsidP="00A74E44">
      <w:pPr>
        <w:pStyle w:val="Textonotapie"/>
        <w:ind w:firstLine="708"/>
        <w:contextualSpacing/>
        <w:jc w:val="both"/>
        <w:rPr>
          <w:rFonts w:ascii="Verdana" w:hAnsi="Verdana" w:cs="Arial"/>
          <w:sz w:val="14"/>
          <w:szCs w:val="14"/>
          <w:shd w:val="clear" w:color="auto" w:fill="FFFFFF"/>
        </w:rPr>
      </w:pPr>
    </w:p>
  </w:footnote>
  <w:footnote w:id="3">
    <w:p w14:paraId="3EB818DB" w14:textId="77777777" w:rsidR="00A74E44" w:rsidRPr="00947E57" w:rsidRDefault="00A74E44" w:rsidP="00A74E44">
      <w:pPr>
        <w:pStyle w:val="Textonotapie"/>
        <w:ind w:firstLine="708"/>
        <w:contextualSpacing/>
        <w:jc w:val="both"/>
        <w:rPr>
          <w:rFonts w:ascii="Verdana" w:hAnsi="Verdana" w:cs="Arial"/>
          <w:sz w:val="14"/>
          <w:szCs w:val="14"/>
        </w:rPr>
      </w:pPr>
      <w:r w:rsidRPr="00947E57">
        <w:rPr>
          <w:rStyle w:val="Refdenotaalpie"/>
          <w:rFonts w:ascii="Verdana" w:hAnsi="Verdana" w:cs="Arial"/>
          <w:sz w:val="14"/>
          <w:szCs w:val="14"/>
        </w:rPr>
        <w:footnoteRef/>
      </w:r>
      <w:r w:rsidRPr="00947E57">
        <w:rPr>
          <w:rFonts w:ascii="Verdana" w:hAnsi="Verdana" w:cs="Arial"/>
          <w:sz w:val="14"/>
          <w:szCs w:val="14"/>
        </w:rPr>
        <w:t xml:space="preserve"> CÁMARA DE REPRESENTANTES. Exposición de motivos del Proyecto de Ley No 311 de 2020. Gaceta No 638 de 2020. </w:t>
      </w:r>
    </w:p>
    <w:p w14:paraId="379E601A" w14:textId="77777777" w:rsidR="00A74E44" w:rsidRPr="00947E57" w:rsidRDefault="00A74E44" w:rsidP="00A74E44">
      <w:pPr>
        <w:pStyle w:val="Textonotapie"/>
        <w:ind w:firstLine="708"/>
        <w:contextualSpacing/>
        <w:jc w:val="both"/>
        <w:rPr>
          <w:rFonts w:ascii="Verdana" w:hAnsi="Verdana" w:cs="Arial"/>
          <w:sz w:val="14"/>
          <w:szCs w:val="14"/>
          <w:lang w:val="es-CO"/>
        </w:rPr>
      </w:pPr>
    </w:p>
  </w:footnote>
  <w:footnote w:id="4">
    <w:p w14:paraId="51D9976B" w14:textId="77777777" w:rsidR="00A74E44" w:rsidRPr="00947E57" w:rsidRDefault="00A74E44" w:rsidP="00A74E44">
      <w:pPr>
        <w:pStyle w:val="Textonotapie"/>
        <w:ind w:firstLine="708"/>
        <w:contextualSpacing/>
        <w:jc w:val="both"/>
        <w:rPr>
          <w:rFonts w:ascii="Verdana" w:hAnsi="Verdana" w:cs="Arial"/>
          <w:sz w:val="14"/>
          <w:szCs w:val="14"/>
        </w:rPr>
      </w:pPr>
      <w:r w:rsidRPr="00947E57">
        <w:rPr>
          <w:rStyle w:val="Refdenotaalpie"/>
          <w:rFonts w:ascii="Verdana" w:hAnsi="Verdana" w:cs="Arial"/>
          <w:sz w:val="14"/>
          <w:szCs w:val="14"/>
        </w:rPr>
        <w:footnoteRef/>
      </w:r>
      <w:r w:rsidRPr="00947E57">
        <w:rPr>
          <w:rFonts w:ascii="Verdana" w:hAnsi="Verdana" w:cs="Arial"/>
          <w:sz w:val="14"/>
          <w:szCs w:val="14"/>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p w14:paraId="2392B2C6" w14:textId="77777777" w:rsidR="00A74E44" w:rsidRPr="00947E57" w:rsidRDefault="00A74E44" w:rsidP="00A74E44">
      <w:pPr>
        <w:pStyle w:val="Textonotapie"/>
        <w:ind w:firstLine="708"/>
        <w:contextualSpacing/>
        <w:jc w:val="both"/>
        <w:rPr>
          <w:rFonts w:ascii="Verdana" w:hAnsi="Verdana" w:cs="Arial"/>
          <w:sz w:val="14"/>
          <w:szCs w:val="14"/>
        </w:rPr>
      </w:pPr>
    </w:p>
  </w:footnote>
  <w:footnote w:id="5">
    <w:p w14:paraId="4DE113AC" w14:textId="77777777" w:rsidR="00A74E44" w:rsidRPr="00947E57" w:rsidRDefault="00A74E44" w:rsidP="00A74E44">
      <w:pPr>
        <w:pStyle w:val="Textonotapie"/>
        <w:ind w:firstLine="708"/>
        <w:contextualSpacing/>
        <w:jc w:val="both"/>
        <w:rPr>
          <w:rFonts w:ascii="Verdana" w:hAnsi="Verdana" w:cs="Arial"/>
          <w:sz w:val="14"/>
          <w:szCs w:val="14"/>
        </w:rPr>
      </w:pPr>
      <w:r w:rsidRPr="00947E57">
        <w:rPr>
          <w:rStyle w:val="Refdenotaalpie"/>
          <w:rFonts w:ascii="Verdana" w:hAnsi="Verdana" w:cs="Arial"/>
          <w:sz w:val="14"/>
          <w:szCs w:val="14"/>
        </w:rPr>
        <w:footnoteRef/>
      </w:r>
      <w:r w:rsidRPr="00947E57">
        <w:rPr>
          <w:rFonts w:ascii="Verdana" w:hAnsi="Verdana" w:cs="Arial"/>
          <w:sz w:val="14"/>
          <w:szCs w:val="14"/>
        </w:rPr>
        <w:t xml:space="preserve"> “Artículo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w:t>
      </w:r>
    </w:p>
    <w:p w14:paraId="4EBC7ABC" w14:textId="77777777" w:rsidR="00A74E44" w:rsidRPr="00947E57" w:rsidRDefault="00A74E44" w:rsidP="00A74E44">
      <w:pPr>
        <w:pStyle w:val="Textonotapie"/>
        <w:ind w:firstLine="708"/>
        <w:contextualSpacing/>
        <w:jc w:val="both"/>
        <w:rPr>
          <w:rFonts w:ascii="Verdana" w:hAnsi="Verdana" w:cs="Arial"/>
          <w:sz w:val="14"/>
          <w:szCs w:val="14"/>
        </w:rPr>
      </w:pPr>
      <w:r w:rsidRPr="00947E57">
        <w:rPr>
          <w:rFonts w:ascii="Verdana" w:hAnsi="Verdana" w:cs="Arial"/>
          <w:sz w:val="14"/>
          <w:szCs w:val="14"/>
        </w:rPr>
        <w:t xml:space="preserve"> </w:t>
      </w:r>
    </w:p>
  </w:footnote>
  <w:footnote w:id="6">
    <w:p w14:paraId="2FBD628D"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lang w:eastAsia="en-US"/>
        </w:rPr>
      </w:pPr>
      <w:r w:rsidRPr="00947E57">
        <w:rPr>
          <w:rStyle w:val="Refdenotaalpie"/>
          <w:rFonts w:ascii="Verdana" w:hAnsi="Verdana" w:cs="Arial"/>
          <w:sz w:val="14"/>
          <w:szCs w:val="14"/>
        </w:rPr>
        <w:footnoteRef/>
      </w:r>
      <w:r w:rsidRPr="00947E57">
        <w:rPr>
          <w:rFonts w:ascii="Verdana" w:hAnsi="Verdana" w:cs="Arial"/>
          <w:sz w:val="14"/>
          <w:szCs w:val="14"/>
        </w:rPr>
        <w:t xml:space="preserve"> </w:t>
      </w:r>
      <w:r w:rsidRPr="00947E57">
        <w:rPr>
          <w:rFonts w:ascii="Verdana" w:hAnsi="Verdana" w:cs="Arial"/>
          <w:color w:val="000000" w:themeColor="text1"/>
          <w:sz w:val="14"/>
          <w:szCs w:val="14"/>
          <w:lang w:val="es-ES_tradnl"/>
        </w:rPr>
        <w:t>“</w:t>
      </w:r>
      <w:r w:rsidRPr="00947E57">
        <w:rPr>
          <w:rFonts w:ascii="Verdana" w:hAnsi="Verdana" w:cs="Arial"/>
          <w:bCs/>
          <w:sz w:val="14"/>
          <w:szCs w:val="14"/>
        </w:rPr>
        <w:t>Artículo 28. Destinación.</w:t>
      </w:r>
      <w:r w:rsidRPr="00947E57">
        <w:rPr>
          <w:rFonts w:ascii="Verdana" w:hAnsi="Verdana" w:cs="Arial"/>
          <w:sz w:val="14"/>
          <w:szCs w:val="14"/>
        </w:rPr>
        <w:t xml:space="preserve"> Con los recursos del Sistema General de Regalías se financiarán proyectos de inversión en sus diferentes etapas, siempre y cuando esté definido en los mismos el horizonte de realización.</w:t>
      </w:r>
    </w:p>
    <w:p w14:paraId="0F7A966A"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6CE91627"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Lo anterior de conformidad con la metodología para la formulación de los proyectos de inversión establecida por el Departamento Nacional de Planeación.</w:t>
      </w:r>
    </w:p>
    <w:p w14:paraId="4503D878"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En todo caso, no podrán financiarse gastos permanentes y, una vez terminada la etapa de inversión, la prestación del servicio debe ser sostenible y financiada por recursos diferentes al Sistema General de Regalías.</w:t>
      </w:r>
    </w:p>
    <w:p w14:paraId="3F9448A3" w14:textId="77777777" w:rsidR="00A74E44" w:rsidRPr="00947E57" w:rsidRDefault="00A74E44" w:rsidP="00A74E44">
      <w:pPr>
        <w:pStyle w:val="NormalWeb"/>
        <w:spacing w:before="0" w:beforeAutospacing="0" w:after="0" w:afterAutospacing="0"/>
        <w:ind w:firstLine="708"/>
        <w:contextualSpacing/>
        <w:jc w:val="both"/>
        <w:rPr>
          <w:rFonts w:ascii="Verdana" w:hAnsi="Verdana"/>
          <w:sz w:val="14"/>
          <w:szCs w:val="14"/>
        </w:rPr>
      </w:pPr>
      <w:r w:rsidRPr="00947E57">
        <w:rPr>
          <w:rStyle w:val="baj"/>
          <w:rFonts w:ascii="Verdana" w:hAnsi="Verdana" w:cs="Arial"/>
          <w:bCs/>
          <w:sz w:val="14"/>
          <w:szCs w:val="14"/>
        </w:rPr>
        <w:t>Parágrafo.</w:t>
      </w:r>
      <w:r w:rsidRPr="00947E57">
        <w:rPr>
          <w:rFonts w:ascii="Verdana" w:hAnsi="Verdana" w:cs="Arial"/>
          <w:sz w:val="14"/>
          <w:szCs w:val="14"/>
        </w:rPr>
        <w:t> Los recursos de que trata este artículo podrán ser usados para financiar parte del Programa de Alimentación Escolar (PAE) y del programa de transporte escolar</w:t>
      </w:r>
      <w:r w:rsidRPr="00947E57">
        <w:rPr>
          <w:rFonts w:ascii="Verdana" w:hAnsi="Verdana" w:cs="Arial"/>
          <w:color w:val="000000" w:themeColor="text1"/>
          <w:sz w:val="14"/>
          <w:szCs w:val="14"/>
          <w:lang w:val="es-ES_tradnl"/>
        </w:rPr>
        <w:t>»</w:t>
      </w:r>
      <w:r w:rsidRPr="00947E57">
        <w:rPr>
          <w:rFonts w:ascii="Verdana" w:hAnsi="Verdana" w:cs="Arial"/>
          <w:sz w:val="14"/>
          <w:szCs w:val="14"/>
        </w:rPr>
        <w:t>.</w:t>
      </w:r>
    </w:p>
  </w:footnote>
  <w:footnote w:id="7">
    <w:p w14:paraId="36B37546" w14:textId="77777777" w:rsidR="00A74E44" w:rsidRPr="00947E57" w:rsidRDefault="00A74E44" w:rsidP="00A74E44">
      <w:pPr>
        <w:pStyle w:val="NormalWeb"/>
        <w:spacing w:after="0"/>
        <w:ind w:firstLine="708"/>
        <w:contextualSpacing/>
        <w:jc w:val="both"/>
        <w:rPr>
          <w:rFonts w:ascii="Verdana" w:hAnsi="Verdana" w:cs="Arial"/>
          <w:sz w:val="14"/>
          <w:szCs w:val="14"/>
        </w:rPr>
      </w:pPr>
    </w:p>
    <w:p w14:paraId="1DA6D307"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lang w:eastAsia="en-US"/>
        </w:rPr>
      </w:pPr>
      <w:r w:rsidRPr="00947E57">
        <w:rPr>
          <w:rStyle w:val="Refdenotaalpie"/>
          <w:rFonts w:ascii="Verdana" w:hAnsi="Verdana" w:cs="Arial"/>
          <w:sz w:val="14"/>
          <w:szCs w:val="14"/>
        </w:rPr>
        <w:footnoteRef/>
      </w:r>
      <w:r w:rsidRPr="00947E57">
        <w:rPr>
          <w:rFonts w:ascii="Verdana" w:hAnsi="Verdana" w:cs="Arial"/>
          <w:sz w:val="14"/>
          <w:szCs w:val="14"/>
        </w:rPr>
        <w:t xml:space="preserve"> </w:t>
      </w:r>
      <w:bookmarkStart w:id="5" w:name="35"/>
      <w:r w:rsidRPr="00947E57">
        <w:rPr>
          <w:rFonts w:ascii="Verdana" w:hAnsi="Verdana" w:cs="Arial"/>
          <w:sz w:val="14"/>
          <w:szCs w:val="14"/>
        </w:rPr>
        <w:t>“</w:t>
      </w:r>
      <w:r w:rsidRPr="00947E57">
        <w:rPr>
          <w:rFonts w:ascii="Verdana" w:hAnsi="Verdana" w:cs="Arial"/>
          <w:bCs/>
          <w:sz w:val="14"/>
          <w:szCs w:val="14"/>
        </w:rPr>
        <w:t>Artículo 35. Priorización y aprobación de los proyectos de inversión de la asignación para la inversión regional.</w:t>
      </w:r>
      <w:bookmarkEnd w:id="5"/>
      <w:r w:rsidRPr="00947E57">
        <w:rPr>
          <w:rFonts w:ascii="Verdana" w:hAnsi="Verdana" w:cs="Arial"/>
          <w:sz w:val="14"/>
          <w:szCs w:val="14"/>
        </w:rPr>
        <w:t> La priorización y aprobación de los proyectos de inversión de la Asignación para la Inversión Regional en cabeza de los departamentos estará a cargo de los respectivos departamentos.</w:t>
      </w:r>
    </w:p>
    <w:p w14:paraId="23FA69CB"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58B957B4" w14:textId="77777777" w:rsidR="00A74E44" w:rsidRPr="00947E57" w:rsidRDefault="00A74E44" w:rsidP="00A74E44">
      <w:pPr>
        <w:pStyle w:val="NormalWeb"/>
        <w:spacing w:after="0"/>
        <w:contextualSpacing/>
        <w:jc w:val="both"/>
        <w:rPr>
          <w:rFonts w:ascii="Verdana" w:hAnsi="Verdana" w:cs="Arial"/>
          <w:sz w:val="14"/>
          <w:szCs w:val="14"/>
        </w:rPr>
      </w:pPr>
      <w:r w:rsidRPr="00947E57">
        <w:rPr>
          <w:rFonts w:ascii="Verdana" w:hAnsi="Verdana" w:cs="Arial"/>
          <w:sz w:val="14"/>
          <w:szCs w:val="14"/>
        </w:rPr>
        <w:t>[…]</w:t>
      </w:r>
    </w:p>
    <w:p w14:paraId="59666EC1"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rPr>
      </w:pPr>
      <w:r w:rsidRPr="00947E57">
        <w:rPr>
          <w:rStyle w:val="baj"/>
          <w:rFonts w:ascii="Verdana" w:hAnsi="Verdana" w:cs="Arial"/>
          <w:bCs/>
          <w:sz w:val="14"/>
          <w:szCs w:val="14"/>
        </w:rPr>
        <w:t>Parágrafo 1o.</w:t>
      </w:r>
      <w:r w:rsidRPr="00947E57">
        <w:rPr>
          <w:rFonts w:ascii="Verdana" w:hAnsi="Verdana" w:cs="Arial"/>
          <w:sz w:val="14"/>
          <w:szCs w:val="14"/>
        </w:rPr>
        <w:t> En las zonas no interconectadas del país, tendrán especial consideración los proyectos de energización, conectividad e infraestructura vial.</w:t>
      </w:r>
    </w:p>
    <w:p w14:paraId="49B3BE33" w14:textId="77777777" w:rsidR="00A74E44" w:rsidRPr="00947E57" w:rsidRDefault="00A74E44" w:rsidP="00A74E44">
      <w:pPr>
        <w:pStyle w:val="NormalWeb"/>
        <w:spacing w:after="0"/>
        <w:ind w:firstLine="708"/>
        <w:contextualSpacing/>
        <w:jc w:val="both"/>
        <w:rPr>
          <w:rFonts w:ascii="Verdana" w:hAnsi="Verdana" w:cs="Arial"/>
          <w:sz w:val="14"/>
          <w:szCs w:val="14"/>
        </w:rPr>
      </w:pPr>
      <w:r w:rsidRPr="00947E57">
        <w:rPr>
          <w:rStyle w:val="baj"/>
          <w:rFonts w:ascii="Verdana" w:hAnsi="Verdana" w:cs="Arial"/>
          <w:bCs/>
          <w:sz w:val="14"/>
          <w:szCs w:val="14"/>
        </w:rPr>
        <w:t>Parágrafo 2o.</w:t>
      </w:r>
      <w:r w:rsidRPr="00947E57">
        <w:rPr>
          <w:rFonts w:ascii="Verdana" w:hAnsi="Verdana" w:cs="Arial"/>
          <w:sz w:val="14"/>
          <w:szCs w:val="14"/>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947E57">
        <w:rPr>
          <w:rFonts w:ascii="Verdana" w:hAnsi="Verdana" w:cs="Arial"/>
          <w:sz w:val="14"/>
          <w:szCs w:val="14"/>
          <w:lang w:val="es-ES"/>
        </w:rPr>
        <w:t>”</w:t>
      </w:r>
      <w:r w:rsidRPr="00947E57">
        <w:rPr>
          <w:rFonts w:ascii="Verdana" w:hAnsi="Verdana" w:cs="Arial"/>
          <w:sz w:val="14"/>
          <w:szCs w:val="14"/>
        </w:rPr>
        <w:t>.</w:t>
      </w:r>
    </w:p>
    <w:p w14:paraId="0F948D70" w14:textId="77777777" w:rsidR="00A74E44" w:rsidRPr="00947E57" w:rsidRDefault="00A74E44" w:rsidP="00A74E44">
      <w:pPr>
        <w:pStyle w:val="NormalWeb"/>
        <w:spacing w:after="0"/>
        <w:ind w:firstLine="708"/>
        <w:contextualSpacing/>
        <w:jc w:val="both"/>
        <w:rPr>
          <w:rFonts w:ascii="Verdana" w:hAnsi="Verdana" w:cs="Arial"/>
          <w:sz w:val="14"/>
          <w:szCs w:val="14"/>
        </w:rPr>
      </w:pPr>
    </w:p>
  </w:footnote>
  <w:footnote w:id="8">
    <w:p w14:paraId="5102AC2C"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lang w:eastAsia="en-US"/>
        </w:rPr>
      </w:pPr>
      <w:r w:rsidRPr="00947E57">
        <w:rPr>
          <w:rStyle w:val="Refdenotaalpie"/>
          <w:rFonts w:ascii="Verdana" w:hAnsi="Verdana" w:cs="Arial"/>
          <w:sz w:val="14"/>
          <w:szCs w:val="14"/>
        </w:rPr>
        <w:footnoteRef/>
      </w:r>
      <w:bookmarkStart w:id="6" w:name="36"/>
      <w:r w:rsidRPr="00947E57">
        <w:rPr>
          <w:rFonts w:ascii="Verdana" w:hAnsi="Verdana" w:cs="Arial"/>
          <w:sz w:val="14"/>
          <w:szCs w:val="14"/>
        </w:rPr>
        <w:t xml:space="preserve">“Artículo 36. </w:t>
      </w:r>
      <w:r w:rsidRPr="00947E57">
        <w:rPr>
          <w:rFonts w:ascii="Verdana" w:hAnsi="Verdana" w:cs="Arial"/>
          <w:bCs/>
          <w:sz w:val="14"/>
          <w:szCs w:val="14"/>
        </w:rPr>
        <w:t>Priorización y aprobación de proyectos de inversión para las asignaciones directas y asignación para la inversión local.</w:t>
      </w:r>
      <w:bookmarkEnd w:id="6"/>
      <w:r w:rsidRPr="00947E57">
        <w:rPr>
          <w:rFonts w:ascii="Verdana" w:hAnsi="Verdana" w:cs="Arial"/>
          <w:sz w:val="14"/>
          <w:szCs w:val="14"/>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6E93ED72"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rPr>
      </w:pPr>
      <w:r w:rsidRPr="00947E57">
        <w:rPr>
          <w:rStyle w:val="baj"/>
          <w:rFonts w:ascii="Verdana" w:hAnsi="Verdana" w:cs="Arial"/>
          <w:bCs/>
          <w:sz w:val="14"/>
          <w:szCs w:val="14"/>
        </w:rPr>
        <w:t>Parágrafo.</w:t>
      </w:r>
      <w:r w:rsidRPr="00947E57">
        <w:rPr>
          <w:rFonts w:ascii="Verdana" w:hAnsi="Verdana" w:cs="Arial"/>
          <w:sz w:val="14"/>
          <w:szCs w:val="14"/>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3C0929F9"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469BFD2A" w14:textId="77777777" w:rsidR="00A74E44" w:rsidRPr="00947E57" w:rsidRDefault="00A74E44" w:rsidP="00A74E44">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694C0793" w14:textId="77777777" w:rsidR="00A74E44" w:rsidRPr="00947E57" w:rsidRDefault="00A74E44" w:rsidP="00A74E44">
      <w:pPr>
        <w:pStyle w:val="Textonotapie"/>
        <w:ind w:firstLine="708"/>
        <w:contextualSpacing/>
        <w:rPr>
          <w:rFonts w:ascii="Verdana" w:hAnsi="Verdana"/>
          <w:sz w:val="14"/>
          <w:szCs w:val="14"/>
          <w:lang w:val="es-CO"/>
        </w:rPr>
      </w:pPr>
      <w:r w:rsidRPr="00947E57">
        <w:rPr>
          <w:rFonts w:ascii="Verdana" w:hAnsi="Verdana" w:cs="Arial"/>
          <w:sz w:val="14"/>
          <w:szCs w:val="14"/>
          <w:lang w:val="es-ES"/>
        </w:rPr>
        <w:t xml:space="preserve"> </w:t>
      </w:r>
      <w:r w:rsidRPr="00947E57">
        <w:rPr>
          <w:rStyle w:val="baj"/>
          <w:rFonts w:ascii="Verdana" w:hAnsi="Verdana" w:cs="Arial"/>
          <w:bCs/>
          <w:sz w:val="14"/>
          <w:szCs w:val="14"/>
        </w:rPr>
        <w:t>Parágrafo transitorio.</w:t>
      </w:r>
      <w:r w:rsidRPr="00947E57">
        <w:rPr>
          <w:rFonts w:ascii="Verdana" w:hAnsi="Verdana" w:cs="Arial"/>
          <w:sz w:val="14"/>
          <w:szCs w:val="14"/>
        </w:rPr>
        <w:t> Para el año 2021 no aplicará la metodología de cierre de brechas de que trata el parágrafo anterior dirigida a las entidades territoriales receptoras de la Asignación para la Inversión Local</w:t>
      </w:r>
      <w:r w:rsidRPr="00947E57">
        <w:rPr>
          <w:rFonts w:ascii="Verdana" w:hAnsi="Verdana" w:cs="Arial"/>
          <w:sz w:val="14"/>
          <w:szCs w:val="14"/>
          <w:lang w:val="es-ES"/>
        </w:rPr>
        <w:t>”</w:t>
      </w:r>
      <w:r w:rsidRPr="00947E57">
        <w:rPr>
          <w:rFonts w:ascii="Verdana" w:hAnsi="Verdana" w:cs="Arial"/>
          <w:sz w:val="14"/>
          <w:szCs w:val="14"/>
        </w:rPr>
        <w:t>.</w:t>
      </w:r>
    </w:p>
  </w:footnote>
  <w:footnote w:id="9">
    <w:p w14:paraId="24CB9202" w14:textId="77777777" w:rsidR="00A74E44" w:rsidRPr="00947E57" w:rsidRDefault="00A74E44" w:rsidP="00A74E44">
      <w:pPr>
        <w:spacing w:after="0" w:line="240" w:lineRule="auto"/>
        <w:ind w:firstLine="708"/>
        <w:contextualSpacing/>
        <w:jc w:val="both"/>
        <w:rPr>
          <w:rFonts w:ascii="Verdana" w:hAnsi="Verdana" w:cs="Arial"/>
          <w:sz w:val="14"/>
          <w:szCs w:val="14"/>
        </w:rPr>
      </w:pPr>
    </w:p>
    <w:p w14:paraId="30AD1704" w14:textId="77777777" w:rsidR="00A74E44" w:rsidRPr="00947E57" w:rsidRDefault="00A74E44" w:rsidP="00A74E44">
      <w:pPr>
        <w:spacing w:after="0" w:line="240" w:lineRule="auto"/>
        <w:ind w:firstLine="708"/>
        <w:contextualSpacing/>
        <w:jc w:val="both"/>
        <w:rPr>
          <w:rFonts w:ascii="Verdana" w:hAnsi="Verdana" w:cs="Arial"/>
          <w:sz w:val="14"/>
          <w:szCs w:val="14"/>
        </w:rPr>
      </w:pPr>
      <w:r w:rsidRPr="00947E57">
        <w:rPr>
          <w:rStyle w:val="Refdenotaalpie"/>
          <w:rFonts w:ascii="Verdana" w:hAnsi="Verdana" w:cs="Arial"/>
          <w:sz w:val="14"/>
          <w:szCs w:val="14"/>
        </w:rPr>
        <w:footnoteRef/>
      </w:r>
      <w:r w:rsidRPr="00947E57">
        <w:rPr>
          <w:rFonts w:ascii="Verdana" w:hAnsi="Verdana" w:cs="Arial"/>
          <w:sz w:val="14"/>
          <w:szCs w:val="14"/>
        </w:rPr>
        <w:t xml:space="preserve"> </w:t>
      </w:r>
      <w:bookmarkStart w:id="8" w:name="37"/>
      <w:r w:rsidRPr="00947E57">
        <w:rPr>
          <w:rFonts w:ascii="Verdana" w:hAnsi="Verdana" w:cs="Arial"/>
          <w:sz w:val="14"/>
          <w:szCs w:val="14"/>
        </w:rPr>
        <w:t>“</w:t>
      </w:r>
      <w:r w:rsidRPr="00947E57">
        <w:rPr>
          <w:rFonts w:ascii="Verdana" w:hAnsi="Verdana" w:cs="Arial"/>
          <w:bCs/>
          <w:sz w:val="14"/>
          <w:szCs w:val="14"/>
        </w:rPr>
        <w:t>Artículo 37. ejecución de proyectos de inversión.</w:t>
      </w:r>
      <w:bookmarkEnd w:id="8"/>
      <w:r w:rsidRPr="00947E57">
        <w:rPr>
          <w:rFonts w:ascii="Verdana" w:hAnsi="Verdana" w:cs="Arial"/>
          <w:sz w:val="14"/>
          <w:szCs w:val="14"/>
        </w:rPr>
        <w:t> los proyectos de inversión que se financien con cargo al sistema general de regalías serán ejecutados por quien designe las entidades u órganos de que tratan los artículos </w:t>
      </w:r>
      <w:hyperlink r:id="rId1" w:anchor="35" w:history="1">
        <w:r w:rsidRPr="00947E57">
          <w:rPr>
            <w:rFonts w:ascii="Verdana" w:hAnsi="Verdana" w:cs="Arial"/>
            <w:sz w:val="14"/>
            <w:szCs w:val="14"/>
          </w:rPr>
          <w:t>35</w:t>
        </w:r>
      </w:hyperlink>
      <w:r w:rsidRPr="00947E57">
        <w:rPr>
          <w:rFonts w:ascii="Verdana" w:hAnsi="Verdana" w:cs="Arial"/>
          <w:sz w:val="14"/>
          <w:szCs w:val="14"/>
        </w:rPr>
        <w:t> y </w:t>
      </w:r>
      <w:hyperlink r:id="rId2" w:anchor="36" w:history="1">
        <w:r w:rsidRPr="00947E57">
          <w:rPr>
            <w:rFonts w:ascii="Verdana" w:hAnsi="Verdana" w:cs="Arial"/>
            <w:sz w:val="14"/>
            <w:szCs w:val="14"/>
          </w:rPr>
          <w:t>36</w:t>
        </w:r>
      </w:hyperlink>
      <w:r w:rsidRPr="00947E57">
        <w:rPr>
          <w:rFonts w:ascii="Verdana" w:hAnsi="Verdana" w:cs="Arial"/>
          <w:sz w:val="14"/>
          <w:szCs w:val="14"/>
        </w:rPr>
        <w:t> de la presente ley. así mismo, la entidad ejecutora estará a cargo de la contratación de la interventoría, de conformidad con lo previsto en la presente ley.</w:t>
      </w:r>
    </w:p>
    <w:p w14:paraId="7B58C872" w14:textId="77777777" w:rsidR="00A74E44" w:rsidRPr="00947E57" w:rsidRDefault="00A74E44" w:rsidP="00A74E44">
      <w:pPr>
        <w:spacing w:after="0" w:line="240" w:lineRule="auto"/>
        <w:ind w:firstLine="708"/>
        <w:contextualSpacing/>
        <w:jc w:val="both"/>
        <w:rPr>
          <w:rFonts w:ascii="Verdana" w:hAnsi="Verdana" w:cs="Arial"/>
          <w:sz w:val="14"/>
          <w:szCs w:val="14"/>
        </w:rPr>
      </w:pPr>
      <w:r w:rsidRPr="00947E57">
        <w:rPr>
          <w:rFonts w:ascii="Verdana" w:hAnsi="Verdana" w:cs="Arial"/>
          <w:sz w:val="14"/>
          <w:szCs w:val="14"/>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proofErr w:type="gramStart"/>
      <w:r w:rsidRPr="00947E57">
        <w:rPr>
          <w:rFonts w:ascii="Verdana" w:hAnsi="Verdana" w:cs="Arial"/>
          <w:sz w:val="14"/>
          <w:szCs w:val="14"/>
        </w:rPr>
        <w:t>los mismos</w:t>
      </w:r>
      <w:proofErr w:type="gramEnd"/>
      <w:r w:rsidRPr="00947E57">
        <w:rPr>
          <w:rFonts w:ascii="Verdana" w:hAnsi="Verdana" w:cs="Arial"/>
          <w:sz w:val="14"/>
          <w:szCs w:val="14"/>
        </w:rPr>
        <w:t>, sin perjuicio de las acciones de control a las que haya lugar.</w:t>
      </w:r>
    </w:p>
    <w:p w14:paraId="180EAF02" w14:textId="77777777" w:rsidR="00A74E44" w:rsidRPr="00947E57" w:rsidRDefault="00A74E44" w:rsidP="00A74E44">
      <w:pPr>
        <w:spacing w:after="0" w:line="240" w:lineRule="auto"/>
        <w:ind w:firstLine="708"/>
        <w:contextualSpacing/>
        <w:jc w:val="both"/>
        <w:rPr>
          <w:rFonts w:ascii="Verdana" w:hAnsi="Verdana" w:cs="Arial"/>
          <w:sz w:val="14"/>
          <w:szCs w:val="14"/>
        </w:rPr>
      </w:pPr>
      <w:r w:rsidRPr="00947E57">
        <w:rPr>
          <w:rFonts w:ascii="Verdana" w:hAnsi="Verdana" w:cs="Arial"/>
          <w:bCs/>
          <w:sz w:val="14"/>
          <w:szCs w:val="14"/>
        </w:rPr>
        <w:t>Parágrafo 1o.</w:t>
      </w:r>
      <w:r w:rsidRPr="00947E57">
        <w:rPr>
          <w:rFonts w:ascii="Verdana" w:hAnsi="Verdana" w:cs="Arial"/>
          <w:sz w:val="14"/>
          <w:szCs w:val="14"/>
        </w:rPr>
        <w:t xml:space="preserve"> La ejecución de proyectos de que trata este </w:t>
      </w:r>
      <w:proofErr w:type="gramStart"/>
      <w:r w:rsidRPr="00947E57">
        <w:rPr>
          <w:rFonts w:ascii="Verdana" w:hAnsi="Verdana" w:cs="Arial"/>
          <w:sz w:val="14"/>
          <w:szCs w:val="14"/>
        </w:rPr>
        <w:t>artículo,</w:t>
      </w:r>
      <w:proofErr w:type="gramEnd"/>
      <w:r w:rsidRPr="00947E57">
        <w:rPr>
          <w:rFonts w:ascii="Verdana" w:hAnsi="Verdana" w:cs="Arial"/>
          <w:sz w:val="14"/>
          <w:szCs w:val="14"/>
        </w:rPr>
        <w:t xml:space="preserve">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065CA14B" w14:textId="77777777" w:rsidR="00A74E44" w:rsidRPr="00947E57" w:rsidRDefault="00A74E44" w:rsidP="00A74E44">
      <w:pPr>
        <w:spacing w:after="0" w:line="240" w:lineRule="auto"/>
        <w:ind w:firstLine="708"/>
        <w:contextualSpacing/>
        <w:jc w:val="both"/>
        <w:rPr>
          <w:rFonts w:ascii="Verdana" w:hAnsi="Verdana" w:cs="Arial"/>
          <w:sz w:val="14"/>
          <w:szCs w:val="14"/>
        </w:rPr>
      </w:pPr>
      <w:r w:rsidRPr="00947E57">
        <w:rPr>
          <w:rFonts w:ascii="Verdana" w:hAnsi="Verdana" w:cs="Arial"/>
          <w:bCs/>
          <w:sz w:val="14"/>
          <w:szCs w:val="14"/>
        </w:rPr>
        <w:t>Parágrafo 2o.</w:t>
      </w:r>
      <w:r w:rsidRPr="00947E57">
        <w:rPr>
          <w:rFonts w:ascii="Verdana" w:hAnsi="Verdana" w:cs="Arial"/>
          <w:sz w:val="14"/>
          <w:szCs w:val="14"/>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2AA46B40" w14:textId="77777777" w:rsidR="00A74E44" w:rsidRPr="00947E57" w:rsidRDefault="00A74E44" w:rsidP="00A74E44">
      <w:pPr>
        <w:spacing w:after="0" w:line="240" w:lineRule="auto"/>
        <w:ind w:firstLine="708"/>
        <w:contextualSpacing/>
        <w:jc w:val="both"/>
        <w:rPr>
          <w:rFonts w:ascii="Verdana" w:hAnsi="Verdana" w:cs="Arial"/>
          <w:sz w:val="14"/>
          <w:szCs w:val="14"/>
        </w:rPr>
      </w:pPr>
      <w:r w:rsidRPr="00947E57">
        <w:rPr>
          <w:rFonts w:ascii="Verdana" w:hAnsi="Verdana" w:cs="Arial"/>
          <w:bCs/>
          <w:sz w:val="14"/>
          <w:szCs w:val="14"/>
        </w:rPr>
        <w:t>Parágrafo 3o.</w:t>
      </w:r>
      <w:r w:rsidRPr="00947E57">
        <w:rPr>
          <w:rFonts w:ascii="Verdana" w:hAnsi="Verdana" w:cs="Arial"/>
          <w:sz w:val="14"/>
          <w:szCs w:val="14"/>
        </w:rPr>
        <w:t xml:space="preserve"> La entidad designada ejecutora por las entidades u órganos de que tratan los artículos </w:t>
      </w:r>
      <w:hyperlink r:id="rId3" w:anchor="35" w:history="1">
        <w:r w:rsidRPr="00947E57">
          <w:rPr>
            <w:rFonts w:ascii="Verdana" w:hAnsi="Verdana" w:cs="Arial"/>
            <w:sz w:val="14"/>
            <w:szCs w:val="14"/>
          </w:rPr>
          <w:t>35</w:t>
        </w:r>
      </w:hyperlink>
      <w:r w:rsidRPr="00947E57">
        <w:rPr>
          <w:rFonts w:ascii="Verdana" w:hAnsi="Verdana" w:cs="Arial"/>
          <w:sz w:val="14"/>
          <w:szCs w:val="14"/>
        </w:rPr>
        <w:t xml:space="preserve"> y </w:t>
      </w:r>
      <w:hyperlink r:id="rId4" w:anchor="36" w:history="1">
        <w:r w:rsidRPr="00947E57">
          <w:rPr>
            <w:rFonts w:ascii="Verdana" w:hAnsi="Verdana" w:cs="Arial"/>
            <w:sz w:val="14"/>
            <w:szCs w:val="14"/>
          </w:rPr>
          <w:t>36</w:t>
        </w:r>
      </w:hyperlink>
      <w:r w:rsidRPr="00947E57">
        <w:rPr>
          <w:rFonts w:ascii="Verdana" w:hAnsi="Verdana" w:cs="Arial"/>
          <w:sz w:val="14"/>
          <w:szCs w:val="14"/>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00B34827" w14:textId="77777777" w:rsidR="00A74E44" w:rsidRPr="00947E57" w:rsidRDefault="00A74E44" w:rsidP="00A74E44">
      <w:pPr>
        <w:spacing w:after="0" w:line="240" w:lineRule="auto"/>
        <w:ind w:firstLine="708"/>
        <w:contextualSpacing/>
        <w:jc w:val="both"/>
        <w:rPr>
          <w:rFonts w:ascii="Verdana" w:hAnsi="Verdana" w:cs="Arial"/>
          <w:sz w:val="14"/>
          <w:szCs w:val="14"/>
        </w:rPr>
      </w:pPr>
      <w:r w:rsidRPr="00947E57">
        <w:rPr>
          <w:rFonts w:ascii="Verdana" w:hAnsi="Verdana" w:cs="Arial"/>
          <w:sz w:val="14"/>
          <w:szCs w:val="14"/>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78E3A1BC" w14:textId="77777777" w:rsidR="00A74E44" w:rsidRPr="00947E57" w:rsidRDefault="00A74E44" w:rsidP="00A74E44">
      <w:pPr>
        <w:spacing w:after="0" w:line="240" w:lineRule="auto"/>
        <w:ind w:firstLine="708"/>
        <w:contextualSpacing/>
        <w:jc w:val="both"/>
        <w:rPr>
          <w:rFonts w:ascii="Verdana" w:hAnsi="Verdana" w:cs="Arial"/>
          <w:sz w:val="14"/>
          <w:szCs w:val="14"/>
        </w:rPr>
      </w:pPr>
      <w:r w:rsidRPr="00947E57">
        <w:rPr>
          <w:rFonts w:ascii="Verdana" w:hAnsi="Verdana" w:cs="Arial"/>
          <w:sz w:val="14"/>
          <w:szCs w:val="14"/>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947E57">
        <w:rPr>
          <w:rFonts w:ascii="Verdana" w:hAnsi="Verdana" w:cs="Arial"/>
          <w:sz w:val="14"/>
          <w:szCs w:val="14"/>
          <w:lang w:val="es-ES"/>
        </w:rPr>
        <w:t>”</w:t>
      </w:r>
      <w:r w:rsidRPr="00947E57">
        <w:rPr>
          <w:rFonts w:ascii="Verdana" w:hAnsi="Verdana" w:cs="Arial"/>
          <w:sz w:val="14"/>
          <w:szCs w:val="14"/>
        </w:rPr>
        <w:t>.</w:t>
      </w:r>
    </w:p>
    <w:p w14:paraId="4FC09186" w14:textId="77777777" w:rsidR="00A74E44" w:rsidRPr="00947E57" w:rsidRDefault="00A74E44" w:rsidP="00A74E44">
      <w:pPr>
        <w:spacing w:after="0" w:line="240" w:lineRule="auto"/>
        <w:ind w:firstLine="708"/>
        <w:contextualSpacing/>
        <w:jc w:val="both"/>
        <w:rPr>
          <w:rFonts w:ascii="Verdana" w:hAnsi="Verdana"/>
          <w:sz w:val="14"/>
          <w:szCs w:val="14"/>
        </w:rPr>
      </w:pPr>
    </w:p>
  </w:footnote>
  <w:footnote w:id="10">
    <w:p w14:paraId="299B9A2C" w14:textId="77777777" w:rsidR="00A74E44" w:rsidRPr="00947E57" w:rsidRDefault="00A74E44" w:rsidP="00A74E44">
      <w:pPr>
        <w:pStyle w:val="Textonotapie"/>
        <w:ind w:firstLine="708"/>
        <w:contextualSpacing/>
        <w:jc w:val="both"/>
        <w:rPr>
          <w:rFonts w:ascii="Verdana" w:hAnsi="Verdana" w:cstheme="minorHAnsi"/>
          <w:iCs/>
          <w:color w:val="1A1A1A"/>
          <w:sz w:val="14"/>
          <w:szCs w:val="14"/>
        </w:rPr>
      </w:pPr>
      <w:r w:rsidRPr="00947E57">
        <w:rPr>
          <w:rStyle w:val="Refdenotaalpie"/>
          <w:rFonts w:ascii="Verdana" w:hAnsi="Verdana" w:cstheme="minorHAnsi"/>
          <w:color w:val="1A1A1A"/>
          <w:sz w:val="14"/>
          <w:szCs w:val="14"/>
        </w:rPr>
        <w:footnoteRef/>
      </w:r>
      <w:r w:rsidRPr="00947E57">
        <w:rPr>
          <w:rFonts w:ascii="Verdana" w:hAnsi="Verdana" w:cstheme="minorHAnsi"/>
          <w:color w:val="1A1A1A"/>
          <w:sz w:val="14"/>
          <w:szCs w:val="14"/>
        </w:rPr>
        <w:t xml:space="preserve"> </w:t>
      </w:r>
      <w:r w:rsidRPr="00947E57">
        <w:rPr>
          <w:rFonts w:ascii="Verdana" w:hAnsi="Verdana" w:cstheme="minorHAnsi"/>
          <w:iCs/>
          <w:color w:val="1A1A1A"/>
          <w:sz w:val="14"/>
          <w:szCs w:val="14"/>
        </w:rPr>
        <w:t>Artículo 17 de la Ley 1150 de 2007.</w:t>
      </w:r>
    </w:p>
    <w:p w14:paraId="51765151" w14:textId="77777777" w:rsidR="00A74E44" w:rsidRPr="00947E57" w:rsidRDefault="00A74E44" w:rsidP="00A74E44">
      <w:pPr>
        <w:pStyle w:val="Textonotapie"/>
        <w:ind w:firstLine="708"/>
        <w:contextualSpacing/>
        <w:jc w:val="both"/>
        <w:rPr>
          <w:rFonts w:ascii="Verdana" w:hAnsi="Verdana" w:cstheme="minorHAnsi"/>
          <w:iCs/>
          <w:color w:val="1A1A1A"/>
          <w:sz w:val="14"/>
          <w:szCs w:val="14"/>
        </w:rPr>
      </w:pPr>
    </w:p>
  </w:footnote>
  <w:footnote w:id="11">
    <w:p w14:paraId="431A6745" w14:textId="77777777" w:rsidR="00A74E44" w:rsidRPr="00947E57" w:rsidRDefault="00A74E44" w:rsidP="00A74E44">
      <w:pPr>
        <w:pStyle w:val="Textonotapie"/>
        <w:ind w:firstLine="708"/>
        <w:contextualSpacing/>
        <w:jc w:val="both"/>
        <w:rPr>
          <w:rFonts w:ascii="Verdana" w:hAnsi="Verdana" w:cstheme="minorHAnsi"/>
          <w:iCs/>
          <w:color w:val="1A1A1A"/>
          <w:sz w:val="14"/>
          <w:szCs w:val="14"/>
        </w:rPr>
      </w:pPr>
      <w:r w:rsidRPr="00947E57">
        <w:rPr>
          <w:rStyle w:val="Refdenotaalpie"/>
          <w:rFonts w:ascii="Verdana" w:hAnsi="Verdana" w:cstheme="minorHAnsi"/>
          <w:color w:val="1A1A1A"/>
          <w:sz w:val="14"/>
          <w:szCs w:val="14"/>
        </w:rPr>
        <w:footnoteRef/>
      </w:r>
      <w:r w:rsidRPr="00947E57">
        <w:rPr>
          <w:rFonts w:ascii="Verdana" w:hAnsi="Verdana" w:cstheme="minorHAnsi"/>
          <w:color w:val="1A1A1A"/>
          <w:sz w:val="14"/>
          <w:szCs w:val="14"/>
        </w:rPr>
        <w:t xml:space="preserve"> </w:t>
      </w:r>
      <w:r w:rsidRPr="00947E57">
        <w:rPr>
          <w:rFonts w:ascii="Verdana" w:hAnsi="Verdana" w:cstheme="minorHAnsi"/>
          <w:iCs/>
          <w:color w:val="1A1A1A"/>
          <w:sz w:val="14"/>
          <w:szCs w:val="14"/>
        </w:rPr>
        <w:t>Artículo 21 de la Ley 1150 de 2007.</w:t>
      </w:r>
    </w:p>
  </w:footnote>
  <w:footnote w:id="12">
    <w:p w14:paraId="66F8898C" w14:textId="77777777" w:rsidR="00A74E44" w:rsidRPr="00947E57" w:rsidRDefault="00A74E44" w:rsidP="00A74E44">
      <w:pPr>
        <w:pStyle w:val="Textonotapie"/>
        <w:ind w:firstLine="708"/>
        <w:contextualSpacing/>
        <w:jc w:val="both"/>
        <w:rPr>
          <w:rFonts w:ascii="Verdana" w:hAnsi="Verdana" w:cstheme="minorHAnsi"/>
          <w:color w:val="1A1A1A"/>
          <w:sz w:val="14"/>
          <w:szCs w:val="14"/>
        </w:rPr>
      </w:pPr>
    </w:p>
    <w:p w14:paraId="67C1A4A3" w14:textId="77777777" w:rsidR="00A74E44" w:rsidRPr="00947E57" w:rsidRDefault="00A74E44" w:rsidP="00A74E44">
      <w:pPr>
        <w:pStyle w:val="Textonotapie"/>
        <w:ind w:firstLine="708"/>
        <w:contextualSpacing/>
        <w:jc w:val="both"/>
        <w:rPr>
          <w:rFonts w:ascii="Verdana" w:hAnsi="Verdana" w:cstheme="minorHAnsi"/>
          <w:iCs/>
          <w:color w:val="1A1A1A"/>
          <w:sz w:val="14"/>
          <w:szCs w:val="14"/>
        </w:rPr>
      </w:pPr>
      <w:r w:rsidRPr="00947E57">
        <w:rPr>
          <w:rStyle w:val="Refdenotaalpie"/>
          <w:rFonts w:ascii="Verdana" w:hAnsi="Verdana" w:cstheme="minorHAnsi"/>
          <w:color w:val="1A1A1A"/>
          <w:sz w:val="14"/>
          <w:szCs w:val="14"/>
        </w:rPr>
        <w:footnoteRef/>
      </w:r>
      <w:r w:rsidRPr="00947E57">
        <w:rPr>
          <w:rFonts w:ascii="Verdana" w:hAnsi="Verdana" w:cstheme="minorHAnsi"/>
          <w:color w:val="1A1A1A"/>
          <w:sz w:val="14"/>
          <w:szCs w:val="14"/>
        </w:rPr>
        <w:t xml:space="preserve"> </w:t>
      </w:r>
      <w:r w:rsidRPr="00947E57">
        <w:rPr>
          <w:rFonts w:ascii="Verdana" w:hAnsi="Verdana" w:cstheme="minorHAnsi"/>
          <w:iCs/>
          <w:color w:val="1A1A1A"/>
          <w:sz w:val="14"/>
          <w:szCs w:val="14"/>
        </w:rPr>
        <w:t>Artículos 83 a 86 de la Ley 1474 de 2011.</w:t>
      </w:r>
    </w:p>
    <w:p w14:paraId="0AD5E6D2" w14:textId="77777777" w:rsidR="00A74E44" w:rsidRPr="00947E57" w:rsidRDefault="00A74E44" w:rsidP="00A74E44">
      <w:pPr>
        <w:pStyle w:val="Textonotapie"/>
        <w:ind w:firstLine="708"/>
        <w:contextualSpacing/>
        <w:jc w:val="both"/>
        <w:rPr>
          <w:rFonts w:ascii="Verdana" w:hAnsi="Verdana" w:cstheme="minorHAnsi"/>
          <w:iCs/>
          <w:color w:val="1A1A1A"/>
          <w:sz w:val="14"/>
          <w:szCs w:val="14"/>
        </w:rPr>
      </w:pPr>
    </w:p>
  </w:footnote>
  <w:footnote w:id="13">
    <w:p w14:paraId="4B04C574" w14:textId="77777777" w:rsidR="00A74E44" w:rsidRPr="00947E57" w:rsidRDefault="00A74E44" w:rsidP="00A74E44">
      <w:pPr>
        <w:pStyle w:val="Textonotapie"/>
        <w:ind w:firstLine="708"/>
        <w:contextualSpacing/>
        <w:jc w:val="both"/>
        <w:rPr>
          <w:rFonts w:ascii="Verdana" w:hAnsi="Verdana" w:cstheme="minorHAnsi"/>
          <w:sz w:val="14"/>
          <w:szCs w:val="14"/>
        </w:rPr>
      </w:pPr>
      <w:r w:rsidRPr="00947E57">
        <w:rPr>
          <w:rStyle w:val="Refdenotaalpie"/>
          <w:rFonts w:ascii="Verdana" w:hAnsi="Verdana" w:cstheme="minorHAnsi"/>
          <w:sz w:val="14"/>
          <w:szCs w:val="14"/>
        </w:rPr>
        <w:footnoteRef/>
      </w:r>
      <w:r w:rsidRPr="00947E57">
        <w:rPr>
          <w:rFonts w:ascii="Verdana" w:hAnsi="Verdana" w:cstheme="minorHAnsi"/>
          <w:sz w:val="14"/>
          <w:szCs w:val="14"/>
        </w:rPr>
        <w:t xml:space="preserve">  De acuerdo con la Circular No. 021 del 2016 de la Procuraduría General de la Nación, el seguimiento financiero se refiere a “[…] un seguimiento a las actuaciones del contratista de orden presupuestal y financiero, manejo de anticipo, recursos invertidos que deban realizarse en el contrato suscrito”.</w:t>
      </w:r>
    </w:p>
    <w:p w14:paraId="1117D1B4" w14:textId="77777777" w:rsidR="00A74E44" w:rsidRPr="00947E57" w:rsidRDefault="00A74E44" w:rsidP="00A74E44">
      <w:pPr>
        <w:pStyle w:val="Textonotapie"/>
        <w:ind w:firstLine="708"/>
        <w:contextualSpacing/>
        <w:jc w:val="both"/>
        <w:rPr>
          <w:rFonts w:ascii="Verdana" w:hAnsi="Verdana" w:cstheme="minorHAnsi"/>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5pt;height:11.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01457A"/>
    <w:multiLevelType w:val="hybridMultilevel"/>
    <w:tmpl w:val="38A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4"/>
  </w:num>
  <w:num w:numId="14" w16cid:durableId="895897244">
    <w:abstractNumId w:val="14"/>
  </w:num>
  <w:num w:numId="15" w16cid:durableId="390349800">
    <w:abstractNumId w:val="10"/>
  </w:num>
  <w:num w:numId="16" w16cid:durableId="1330140246">
    <w:abstractNumId w:val="0"/>
  </w:num>
  <w:num w:numId="17" w16cid:durableId="784039179">
    <w:abstractNumId w:val="15"/>
  </w:num>
  <w:num w:numId="18" w16cid:durableId="565458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56AE"/>
    <w:rsid w:val="00061B2A"/>
    <w:rsid w:val="00082362"/>
    <w:rsid w:val="000A683E"/>
    <w:rsid w:val="000B19B9"/>
    <w:rsid w:val="000D0334"/>
    <w:rsid w:val="000F6486"/>
    <w:rsid w:val="00125105"/>
    <w:rsid w:val="00127233"/>
    <w:rsid w:val="001321E2"/>
    <w:rsid w:val="0019639A"/>
    <w:rsid w:val="001A182C"/>
    <w:rsid w:val="001E4177"/>
    <w:rsid w:val="001F5FF8"/>
    <w:rsid w:val="001F7DC6"/>
    <w:rsid w:val="002421BB"/>
    <w:rsid w:val="0025796E"/>
    <w:rsid w:val="002707A2"/>
    <w:rsid w:val="002951A0"/>
    <w:rsid w:val="002962BC"/>
    <w:rsid w:val="002A093D"/>
    <w:rsid w:val="002A0DD0"/>
    <w:rsid w:val="002A49AC"/>
    <w:rsid w:val="002A64FD"/>
    <w:rsid w:val="002C7A84"/>
    <w:rsid w:val="002E4FD9"/>
    <w:rsid w:val="002F73E8"/>
    <w:rsid w:val="00322A85"/>
    <w:rsid w:val="00324168"/>
    <w:rsid w:val="00336C66"/>
    <w:rsid w:val="003448F4"/>
    <w:rsid w:val="00374F5E"/>
    <w:rsid w:val="00377E3E"/>
    <w:rsid w:val="003A26D1"/>
    <w:rsid w:val="003A779E"/>
    <w:rsid w:val="003D0F4D"/>
    <w:rsid w:val="003D5B0D"/>
    <w:rsid w:val="003E0499"/>
    <w:rsid w:val="003F3941"/>
    <w:rsid w:val="00406575"/>
    <w:rsid w:val="0042722E"/>
    <w:rsid w:val="00431AB5"/>
    <w:rsid w:val="0044528D"/>
    <w:rsid w:val="004574E4"/>
    <w:rsid w:val="00462178"/>
    <w:rsid w:val="004A1847"/>
    <w:rsid w:val="004A305D"/>
    <w:rsid w:val="004F21C4"/>
    <w:rsid w:val="004F685F"/>
    <w:rsid w:val="00553766"/>
    <w:rsid w:val="005566E8"/>
    <w:rsid w:val="00574867"/>
    <w:rsid w:val="0059129A"/>
    <w:rsid w:val="00591460"/>
    <w:rsid w:val="00592628"/>
    <w:rsid w:val="005C3777"/>
    <w:rsid w:val="005C5CDC"/>
    <w:rsid w:val="005D476C"/>
    <w:rsid w:val="00610812"/>
    <w:rsid w:val="006219F8"/>
    <w:rsid w:val="00650FF7"/>
    <w:rsid w:val="00665D70"/>
    <w:rsid w:val="00666730"/>
    <w:rsid w:val="00671DAC"/>
    <w:rsid w:val="006900D9"/>
    <w:rsid w:val="006D12F8"/>
    <w:rsid w:val="00706C16"/>
    <w:rsid w:val="00756841"/>
    <w:rsid w:val="007649AB"/>
    <w:rsid w:val="00771D0C"/>
    <w:rsid w:val="007833AC"/>
    <w:rsid w:val="007B268C"/>
    <w:rsid w:val="007B7171"/>
    <w:rsid w:val="007C0C0F"/>
    <w:rsid w:val="007C3DC2"/>
    <w:rsid w:val="007E5497"/>
    <w:rsid w:val="007F0D6D"/>
    <w:rsid w:val="00806F5F"/>
    <w:rsid w:val="00820278"/>
    <w:rsid w:val="008843B6"/>
    <w:rsid w:val="00891928"/>
    <w:rsid w:val="00891DA7"/>
    <w:rsid w:val="008A446D"/>
    <w:rsid w:val="008D180B"/>
    <w:rsid w:val="008F0EA7"/>
    <w:rsid w:val="008F2687"/>
    <w:rsid w:val="008F3805"/>
    <w:rsid w:val="00923EEF"/>
    <w:rsid w:val="009419F9"/>
    <w:rsid w:val="00947E57"/>
    <w:rsid w:val="0095685E"/>
    <w:rsid w:val="00961B09"/>
    <w:rsid w:val="00965334"/>
    <w:rsid w:val="0097093E"/>
    <w:rsid w:val="009844D5"/>
    <w:rsid w:val="009A0DFA"/>
    <w:rsid w:val="009B2D26"/>
    <w:rsid w:val="009C71FA"/>
    <w:rsid w:val="009C72E7"/>
    <w:rsid w:val="009D3058"/>
    <w:rsid w:val="009F3A13"/>
    <w:rsid w:val="00A122D3"/>
    <w:rsid w:val="00A17F13"/>
    <w:rsid w:val="00A20739"/>
    <w:rsid w:val="00A33C78"/>
    <w:rsid w:val="00A74E44"/>
    <w:rsid w:val="00AB0ADB"/>
    <w:rsid w:val="00B01B1A"/>
    <w:rsid w:val="00B67E05"/>
    <w:rsid w:val="00B72CD3"/>
    <w:rsid w:val="00B72FFF"/>
    <w:rsid w:val="00BC3D36"/>
    <w:rsid w:val="00BD7F72"/>
    <w:rsid w:val="00BE76C6"/>
    <w:rsid w:val="00C04FB3"/>
    <w:rsid w:val="00C330EB"/>
    <w:rsid w:val="00C754BE"/>
    <w:rsid w:val="00C76B1C"/>
    <w:rsid w:val="00CA43E0"/>
    <w:rsid w:val="00CB6357"/>
    <w:rsid w:val="00CC1B26"/>
    <w:rsid w:val="00D21AF5"/>
    <w:rsid w:val="00D2562B"/>
    <w:rsid w:val="00D423A2"/>
    <w:rsid w:val="00D520D8"/>
    <w:rsid w:val="00D63AC2"/>
    <w:rsid w:val="00D7383B"/>
    <w:rsid w:val="00DA231B"/>
    <w:rsid w:val="00DA23A0"/>
    <w:rsid w:val="00DB00B7"/>
    <w:rsid w:val="00DC39FC"/>
    <w:rsid w:val="00DF5254"/>
    <w:rsid w:val="00E16408"/>
    <w:rsid w:val="00E20894"/>
    <w:rsid w:val="00E245AB"/>
    <w:rsid w:val="00E2764C"/>
    <w:rsid w:val="00E27F2E"/>
    <w:rsid w:val="00E413EA"/>
    <w:rsid w:val="00E50AFE"/>
    <w:rsid w:val="00E75C92"/>
    <w:rsid w:val="00E771DC"/>
    <w:rsid w:val="00E817A3"/>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74E4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4E44"/>
    <w:rPr>
      <w:rFonts w:ascii="Geomanist Light" w:hAnsi="Geomanist Light"/>
      <w:lang w:val="es-ES"/>
    </w:rPr>
  </w:style>
  <w:style w:type="character" w:styleId="Textoennegrita">
    <w:name w:val="Strong"/>
    <w:basedOn w:val="Fuentedeprrafopredeter"/>
    <w:uiPriority w:val="22"/>
    <w:qFormat/>
    <w:rsid w:val="00A74E44"/>
    <w:rPr>
      <w:b/>
      <w:bCs/>
    </w:rPr>
  </w:style>
  <w:style w:type="character" w:customStyle="1" w:styleId="NormalWebCar">
    <w:name w:val="Normal (Web) Car"/>
    <w:link w:val="NormalWeb"/>
    <w:uiPriority w:val="99"/>
    <w:rsid w:val="00A74E44"/>
    <w:rPr>
      <w:rFonts w:ascii="Times New Roman" w:eastAsia="Times New Roman" w:hAnsi="Times New Roman" w:cs="Times New Roman"/>
      <w:sz w:val="24"/>
      <w:szCs w:val="24"/>
      <w:lang w:eastAsia="es-CO"/>
    </w:rPr>
  </w:style>
  <w:style w:type="character" w:customStyle="1" w:styleId="baj">
    <w:name w:val="b_aj"/>
    <w:basedOn w:val="Fuentedeprrafopredeter"/>
    <w:rsid w:val="00A7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4329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E9D9A96-C6F0-4D14-BB83-6C9B5A875EEB}"/>
</file>

<file path=customXml/itemProps3.xml><?xml version="1.0" encoding="utf-8"?>
<ds:datastoreItem xmlns:ds="http://schemas.openxmlformats.org/officeDocument/2006/customXml" ds:itemID="{163618BE-28CB-4D69-955E-CDA788483BED}">
  <ds:schemaRefs>
    <ds:schemaRef ds:uri="http://purl.org/dc/elements/1.1/"/>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36c82cfe-0eda-494d-b392-a9281b89aaf0"/>
    <ds:schemaRef ds:uri="http://schemas.openxmlformats.org/package/2006/metadata/core-properties"/>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5545</Words>
  <Characters>30501</Characters>
  <Application>Microsoft Office Word</Application>
  <DocSecurity>0</DocSecurity>
  <Lines>254</Lines>
  <Paragraphs>71</Paragraphs>
  <ScaleCrop>false</ScaleCrop>
  <Company/>
  <LinksUpToDate>false</LinksUpToDate>
  <CharactersWithSpaces>35975</CharactersWithSpaces>
  <SharedDoc>false</SharedDoc>
  <HLinks>
    <vt:vector size="36" baseType="variant">
      <vt:variant>
        <vt:i4>7471218</vt:i4>
      </vt:variant>
      <vt:variant>
        <vt:i4>3</vt:i4>
      </vt:variant>
      <vt:variant>
        <vt:i4>0</vt:i4>
      </vt:variant>
      <vt:variant>
        <vt:i4>5</vt:i4>
      </vt:variant>
      <vt:variant>
        <vt:lpwstr>https://relatoria.colombiacompra.gov.co/busqueda/conceptos</vt:lpwstr>
      </vt:variant>
      <vt:variant>
        <vt:lpwstr/>
      </vt:variant>
      <vt:variant>
        <vt:i4>1835035</vt:i4>
      </vt:variant>
      <vt:variant>
        <vt:i4>0</vt:i4>
      </vt:variant>
      <vt:variant>
        <vt:i4>0</vt:i4>
      </vt:variant>
      <vt:variant>
        <vt:i4>5</vt:i4>
      </vt:variant>
      <vt:variant>
        <vt:lpwstr>https://www.funcionpublica.gov.co/eva/gestornormativo/norma.php?i=43292</vt:lpwstr>
      </vt:variant>
      <vt:variant>
        <vt:lpwstr>83</vt:lpwstr>
      </vt:variant>
      <vt:variant>
        <vt:i4>65552</vt:i4>
      </vt:variant>
      <vt:variant>
        <vt:i4>9</vt:i4>
      </vt:variant>
      <vt:variant>
        <vt:i4>0</vt:i4>
      </vt:variant>
      <vt:variant>
        <vt:i4>5</vt:i4>
      </vt:variant>
      <vt:variant>
        <vt:lpwstr>http://www.secretariasenado.gov.co/senado/basedoc/ley_2056_2020.html</vt:lpwstr>
      </vt:variant>
      <vt:variant>
        <vt:lpwstr>36</vt:lpwstr>
      </vt:variant>
      <vt:variant>
        <vt:i4>131088</vt:i4>
      </vt:variant>
      <vt:variant>
        <vt:i4>6</vt:i4>
      </vt:variant>
      <vt:variant>
        <vt:i4>0</vt:i4>
      </vt:variant>
      <vt:variant>
        <vt:i4>5</vt:i4>
      </vt:variant>
      <vt:variant>
        <vt:lpwstr>http://www.secretariasenado.gov.co/senado/basedoc/ley_2056_2020.html</vt:lpwstr>
      </vt:variant>
      <vt:variant>
        <vt:lpwstr>35</vt:lpwstr>
      </vt:variant>
      <vt:variant>
        <vt:i4>65552</vt:i4>
      </vt:variant>
      <vt:variant>
        <vt:i4>3</vt:i4>
      </vt:variant>
      <vt:variant>
        <vt:i4>0</vt:i4>
      </vt:variant>
      <vt:variant>
        <vt:i4>5</vt:i4>
      </vt:variant>
      <vt:variant>
        <vt:lpwstr>http://www.secretariasenado.gov.co/senado/basedoc/ley_2056_2020.html</vt:lpwstr>
      </vt:variant>
      <vt:variant>
        <vt:lpwstr>36</vt:lpwstr>
      </vt:variant>
      <vt:variant>
        <vt:i4>131088</vt:i4>
      </vt:variant>
      <vt:variant>
        <vt:i4>0</vt:i4>
      </vt:variant>
      <vt:variant>
        <vt:i4>0</vt:i4>
      </vt:variant>
      <vt:variant>
        <vt:i4>5</vt:i4>
      </vt:variant>
      <vt:variant>
        <vt:lpwstr>http://www.secretariasenado.gov.co/senado/basedoc/ley_2056_2020.html</vt:lpwstr>
      </vt:variant>
      <vt:variant>
        <vt:lpwstr>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9</cp:revision>
  <cp:lastPrinted>2023-01-10T21:18:00Z</cp:lastPrinted>
  <dcterms:created xsi:type="dcterms:W3CDTF">2024-10-29T00:12:00Z</dcterms:created>
  <dcterms:modified xsi:type="dcterms:W3CDTF">2024-11-05T15:40:00Z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