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BFC64" w14:textId="77777777" w:rsidR="007D4EA6" w:rsidRPr="000C598A" w:rsidRDefault="007D4EA6" w:rsidP="007D4EA6">
      <w:pPr>
        <w:spacing w:after="0" w:line="240" w:lineRule="auto"/>
        <w:jc w:val="both"/>
        <w:rPr>
          <w:rFonts w:ascii="Verdana" w:eastAsia="Times New Roman" w:hAnsi="Verdana" w:cs="Arial"/>
          <w:b/>
          <w:lang w:eastAsia="es-ES_tradnl"/>
        </w:rPr>
      </w:pPr>
      <w:bookmarkStart w:id="0" w:name="_Hlk143780582"/>
      <w:r w:rsidRPr="000C598A">
        <w:rPr>
          <w:rFonts w:ascii="Verdana" w:eastAsia="Times New Roman" w:hAnsi="Verdana" w:cs="Arial"/>
          <w:b/>
          <w:lang w:val="es-MX" w:eastAsia="es-ES_tradnl"/>
        </w:rPr>
        <w:t>EMPRESAS INDUSTRIALES Y COMERCIALES DEL ESTADO – Naturaleza Jurídica –</w:t>
      </w:r>
      <w:r w:rsidRPr="000C598A">
        <w:rPr>
          <w:rFonts w:ascii="Verdana" w:eastAsia="Times New Roman" w:hAnsi="Verdana" w:cs="Arial"/>
          <w:b/>
          <w:lang w:eastAsia="es-ES_tradnl"/>
        </w:rPr>
        <w:t xml:space="preserve"> </w:t>
      </w:r>
      <w:r w:rsidRPr="000C598A">
        <w:rPr>
          <w:rFonts w:ascii="Verdana" w:eastAsia="Times New Roman" w:hAnsi="Verdana" w:cs="Arial"/>
          <w:b/>
          <w:lang w:val="es-MX" w:eastAsia="es-ES_tradnl"/>
        </w:rPr>
        <w:t>Régimen de contratación</w:t>
      </w:r>
      <w:r w:rsidRPr="000C598A">
        <w:rPr>
          <w:rFonts w:ascii="Verdana" w:eastAsia="Times New Roman" w:hAnsi="Verdana" w:cs="Arial"/>
          <w:b/>
          <w:lang w:eastAsia="es-ES_tradnl"/>
        </w:rPr>
        <w:t xml:space="preserve"> </w:t>
      </w:r>
    </w:p>
    <w:p w14:paraId="717E5B1F" w14:textId="77777777" w:rsidR="007D4EA6" w:rsidRPr="000C598A" w:rsidRDefault="007D4EA6" w:rsidP="007D4EA6">
      <w:pPr>
        <w:spacing w:after="0" w:line="240" w:lineRule="auto"/>
        <w:jc w:val="both"/>
        <w:rPr>
          <w:rFonts w:ascii="Verdana" w:eastAsia="Times New Roman" w:hAnsi="Verdana" w:cs="Arial"/>
          <w:b/>
          <w:sz w:val="20"/>
          <w:szCs w:val="20"/>
          <w:lang w:val="es-MX" w:eastAsia="es-ES_tradnl"/>
        </w:rPr>
      </w:pPr>
    </w:p>
    <w:p w14:paraId="177AA974" w14:textId="77777777" w:rsidR="007D4EA6" w:rsidRPr="000C598A" w:rsidRDefault="007D4EA6" w:rsidP="007D4EA6">
      <w:pPr>
        <w:spacing w:after="0" w:line="240" w:lineRule="auto"/>
        <w:jc w:val="both"/>
        <w:rPr>
          <w:rFonts w:ascii="Verdana" w:eastAsia="Calibri" w:hAnsi="Verdana" w:cs="Arial"/>
          <w:sz w:val="20"/>
          <w:szCs w:val="20"/>
        </w:rPr>
      </w:pPr>
      <w:r w:rsidRPr="000C598A">
        <w:rPr>
          <w:rFonts w:ascii="Verdana" w:eastAsia="Calibri" w:hAnsi="Verdana" w:cs="Arial"/>
          <w:sz w:val="20"/>
          <w:szCs w:val="20"/>
        </w:rPr>
        <w:t xml:space="preserve">Dentro de la estructura de la Administración Pública se encuentran las entidades descentralizadas por servicios, y dentro de dicha categoría se ubican las </w:t>
      </w:r>
      <w:r w:rsidRPr="000C598A">
        <w:rPr>
          <w:rFonts w:ascii="Verdana" w:hAnsi="Verdana" w:cs="Arial"/>
          <w:sz w:val="20"/>
          <w:szCs w:val="20"/>
        </w:rPr>
        <w:t>EICE</w:t>
      </w:r>
      <w:r w:rsidRPr="000C598A">
        <w:rPr>
          <w:rFonts w:ascii="Verdana" w:eastAsia="Calibri" w:hAnsi="Verdana" w:cs="Arial"/>
          <w:sz w:val="20"/>
          <w:szCs w:val="20"/>
        </w:rPr>
        <w:t>, las cuales – sin perjuicio del control de tutela – tienen personería jurídica, autonomía administrativa y patrimonio propio.</w:t>
      </w:r>
      <w:r w:rsidRPr="000C598A">
        <w:rPr>
          <w:rFonts w:ascii="Verdana" w:eastAsia="Calibri" w:hAnsi="Verdana" w:cs="Arial"/>
          <w:b/>
          <w:bCs/>
          <w:sz w:val="20"/>
          <w:szCs w:val="20"/>
        </w:rPr>
        <w:t xml:space="preserve"> </w:t>
      </w:r>
      <w:r w:rsidRPr="000C598A">
        <w:rPr>
          <w:rFonts w:ascii="Verdana" w:eastAsia="Calibri" w:hAnsi="Verdana" w:cs="Arial"/>
          <w:sz w:val="20"/>
          <w:szCs w:val="20"/>
        </w:rPr>
        <w:t xml:space="preserve">Estas entidades, como su nombre lo indica, se caracterizan por desarrollar actividades de carácter industrial o comercial. Así, por ejemplo, son EICE la Imprenta Nacional de Colombia, Coljuegos, Indumil, la Caja Promotora de Vivienda Militar y de Policía, Colpensiones, entre otras. </w:t>
      </w:r>
    </w:p>
    <w:p w14:paraId="57C37DE9" w14:textId="77777777" w:rsidR="007D4EA6" w:rsidRDefault="007D4EA6" w:rsidP="007D4EA6">
      <w:pPr>
        <w:spacing w:after="0" w:line="240" w:lineRule="auto"/>
        <w:jc w:val="both"/>
        <w:rPr>
          <w:rFonts w:ascii="Verdana" w:eastAsia="Times New Roman" w:hAnsi="Verdana" w:cs="Arial"/>
          <w:bCs/>
          <w:sz w:val="20"/>
          <w:szCs w:val="20"/>
          <w:lang w:val="es-MX" w:eastAsia="es-ES_tradnl"/>
        </w:rPr>
      </w:pPr>
    </w:p>
    <w:p w14:paraId="01C24B62" w14:textId="77777777" w:rsidR="007D4EA6" w:rsidRPr="000C598A" w:rsidRDefault="007D4EA6" w:rsidP="007D4EA6">
      <w:pPr>
        <w:spacing w:after="0" w:line="240" w:lineRule="auto"/>
        <w:jc w:val="both"/>
        <w:rPr>
          <w:rFonts w:ascii="Verdana" w:eastAsia="Times New Roman" w:hAnsi="Verdana" w:cs="Arial"/>
          <w:bCs/>
          <w:sz w:val="20"/>
          <w:szCs w:val="20"/>
          <w:lang w:val="es-MX" w:eastAsia="es-ES_tradnl"/>
        </w:rPr>
      </w:pPr>
      <w:r w:rsidRPr="000C598A">
        <w:rPr>
          <w:rFonts w:ascii="Verdana" w:eastAsia="Times New Roman" w:hAnsi="Verdana" w:cs="Arial"/>
          <w:bCs/>
          <w:sz w:val="20"/>
          <w:szCs w:val="20"/>
          <w:lang w:val="es-MX" w:eastAsia="es-ES_tradnl"/>
        </w:rPr>
        <w:t xml:space="preserve">[…] </w:t>
      </w:r>
      <w:r w:rsidRPr="000C598A">
        <w:rPr>
          <w:rFonts w:ascii="Verdana" w:hAnsi="Verdana" w:cs="Arial"/>
          <w:sz w:val="20"/>
          <w:szCs w:val="20"/>
        </w:rPr>
        <w:t xml:space="preserve">el artículo 14 de la Ley 1150 de 2007 – modificado por el artículo 93 de la Ley 1474 de 2011 – dispuso un régimen exceptivo de aplicación del derecho privado para la actividad contractual de las EICE que ejercen su actividad en competencia con el sector público o privado, o en mercados regulados, quedando las otras EICE dentro del ámbito de aplicación del EGCAP. </w:t>
      </w:r>
    </w:p>
    <w:p w14:paraId="15D2AC1F" w14:textId="77777777" w:rsidR="007D4EA6" w:rsidRDefault="007D4EA6" w:rsidP="007D4EA6">
      <w:pPr>
        <w:spacing w:after="0" w:line="240" w:lineRule="auto"/>
        <w:jc w:val="both"/>
        <w:rPr>
          <w:rFonts w:ascii="Verdana" w:eastAsia="Calibri" w:hAnsi="Verdana" w:cs="Arial"/>
          <w:bCs/>
          <w:sz w:val="20"/>
          <w:szCs w:val="20"/>
        </w:rPr>
      </w:pPr>
    </w:p>
    <w:p w14:paraId="4E21D99C" w14:textId="77777777" w:rsidR="007D4EA6" w:rsidRPr="000C598A" w:rsidRDefault="007D4EA6" w:rsidP="007D4EA6">
      <w:pPr>
        <w:spacing w:after="0" w:line="240" w:lineRule="auto"/>
        <w:jc w:val="both"/>
        <w:rPr>
          <w:rFonts w:ascii="Verdana" w:eastAsia="Calibri" w:hAnsi="Verdana" w:cs="Arial"/>
          <w:b/>
        </w:rPr>
      </w:pPr>
      <w:r w:rsidRPr="000C598A">
        <w:rPr>
          <w:rFonts w:ascii="Verdana" w:eastAsia="Calibri" w:hAnsi="Verdana" w:cs="Arial"/>
          <w:b/>
        </w:rPr>
        <w:t>CONTRATOS Y CONVENIOS INTERADMINISTRATIVOS – Definición – Sujetos – Entidades Estatales – Entidades exceptuadas</w:t>
      </w:r>
    </w:p>
    <w:p w14:paraId="03A616EF" w14:textId="77777777" w:rsidR="007D4EA6" w:rsidRDefault="007D4EA6" w:rsidP="007D4EA6">
      <w:pPr>
        <w:spacing w:after="0" w:line="240" w:lineRule="auto"/>
        <w:jc w:val="both"/>
        <w:rPr>
          <w:rFonts w:ascii="Verdana" w:eastAsia="Calibri" w:hAnsi="Verdana" w:cs="Arial"/>
          <w:color w:val="000000" w:themeColor="text1"/>
          <w:sz w:val="20"/>
          <w:szCs w:val="20"/>
        </w:rPr>
      </w:pPr>
    </w:p>
    <w:p w14:paraId="15CA7976" w14:textId="77777777" w:rsidR="007D4EA6" w:rsidRDefault="007D4EA6" w:rsidP="007D4EA6">
      <w:pPr>
        <w:spacing w:after="0" w:line="240" w:lineRule="auto"/>
        <w:jc w:val="both"/>
        <w:rPr>
          <w:rFonts w:ascii="Verdana" w:eastAsia="Calibri" w:hAnsi="Verdana" w:cs="Arial"/>
          <w:color w:val="000000" w:themeColor="text1"/>
          <w:sz w:val="20"/>
          <w:szCs w:val="20"/>
        </w:rPr>
      </w:pPr>
      <w:r w:rsidRPr="000C598A">
        <w:rPr>
          <w:rFonts w:ascii="Verdana" w:eastAsia="Calibri" w:hAnsi="Verdana" w:cs="Arial"/>
          <w:color w:val="000000" w:themeColor="text1"/>
          <w:sz w:val="20"/>
          <w:szCs w:val="20"/>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0C598A">
        <w:rPr>
          <w:rFonts w:ascii="Verdana" w:hAnsi="Verdana" w:cs="Arial"/>
          <w:color w:val="000000" w:themeColor="text1"/>
          <w:sz w:val="20"/>
          <w:szCs w:val="20"/>
        </w:rPr>
        <w:t xml:space="preserve"> </w:t>
      </w:r>
      <w:r w:rsidRPr="000C598A">
        <w:rPr>
          <w:rFonts w:ascii="Verdana" w:eastAsia="Calibri" w:hAnsi="Verdana" w:cs="Arial"/>
          <w:color w:val="000000" w:themeColor="text1"/>
          <w:sz w:val="20"/>
          <w:szCs w:val="20"/>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13A264E8" w14:textId="77777777" w:rsidR="007D4EA6" w:rsidRPr="000C598A" w:rsidRDefault="007D4EA6" w:rsidP="007D4EA6">
      <w:pPr>
        <w:spacing w:after="0" w:line="240" w:lineRule="auto"/>
        <w:jc w:val="both"/>
        <w:rPr>
          <w:rFonts w:ascii="Verdana" w:eastAsia="Calibri" w:hAnsi="Verdana" w:cs="Arial"/>
          <w:color w:val="000000" w:themeColor="text1"/>
          <w:sz w:val="20"/>
          <w:szCs w:val="20"/>
        </w:rPr>
      </w:pPr>
    </w:p>
    <w:p w14:paraId="5805E53B" w14:textId="77777777" w:rsidR="007D4EA6" w:rsidRPr="000C598A" w:rsidRDefault="007D4EA6" w:rsidP="007D4EA6">
      <w:pPr>
        <w:spacing w:after="0" w:line="240" w:lineRule="auto"/>
        <w:jc w:val="both"/>
        <w:rPr>
          <w:rFonts w:ascii="Verdana" w:hAnsi="Verdana" w:cs="Arial"/>
          <w:color w:val="000000" w:themeColor="text1"/>
          <w:sz w:val="20"/>
          <w:szCs w:val="20"/>
          <w:lang w:val="es-ES_tradnl"/>
        </w:rPr>
      </w:pPr>
      <w:r w:rsidRPr="000C598A">
        <w:rPr>
          <w:rFonts w:ascii="Verdana" w:eastAsia="Calibri" w:hAnsi="Verdana" w:cs="Arial"/>
          <w:color w:val="000000" w:themeColor="text1"/>
          <w:sz w:val="20"/>
          <w:szCs w:val="20"/>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 como es el caso de un municipio – bien puede celebrar esta clase de convenios con una Entidad Estatal de régimen especial – como una EICE – y no por ello dejará de ser un contrato o convenio interadministrativo.</w:t>
      </w:r>
    </w:p>
    <w:p w14:paraId="7537F72D" w14:textId="77777777" w:rsidR="007D4EA6" w:rsidRPr="000C598A" w:rsidRDefault="007D4EA6" w:rsidP="007D4EA6">
      <w:pPr>
        <w:spacing w:after="0" w:line="240" w:lineRule="auto"/>
        <w:jc w:val="both"/>
        <w:rPr>
          <w:rFonts w:ascii="Verdana" w:eastAsia="Times New Roman" w:hAnsi="Verdana" w:cs="Arial"/>
          <w:sz w:val="20"/>
          <w:szCs w:val="20"/>
          <w:lang w:val="es-ES_tradnl" w:eastAsia="es-ES_tradnl"/>
        </w:rPr>
      </w:pPr>
    </w:p>
    <w:p w14:paraId="7F126504" w14:textId="77777777" w:rsidR="007D4EA6" w:rsidRPr="000C598A" w:rsidRDefault="007D4EA6" w:rsidP="007D4EA6">
      <w:pPr>
        <w:spacing w:after="0" w:line="240" w:lineRule="auto"/>
        <w:jc w:val="both"/>
        <w:rPr>
          <w:rFonts w:ascii="Verdana" w:eastAsia="Times New Roman" w:hAnsi="Verdana" w:cs="Arial"/>
          <w:b/>
          <w:bCs/>
          <w:lang w:val="es-MX" w:eastAsia="es-ES_tradnl"/>
        </w:rPr>
      </w:pPr>
      <w:r w:rsidRPr="000C598A">
        <w:rPr>
          <w:rFonts w:ascii="Verdana" w:eastAsia="Times New Roman" w:hAnsi="Verdana" w:cs="Arial"/>
          <w:b/>
          <w:bCs/>
          <w:lang w:val="es-MX" w:eastAsia="es-ES_tradnl"/>
        </w:rPr>
        <w:t>CONTRATO INTERADMINISTRATIVO – Modalidad de selección</w:t>
      </w:r>
    </w:p>
    <w:p w14:paraId="7FBA4B67" w14:textId="77777777" w:rsidR="007D4EA6" w:rsidRDefault="007D4EA6" w:rsidP="007D4EA6">
      <w:pPr>
        <w:spacing w:after="0" w:line="240" w:lineRule="auto"/>
        <w:jc w:val="both"/>
        <w:rPr>
          <w:rFonts w:ascii="Verdana" w:eastAsia="Times New Roman" w:hAnsi="Verdana" w:cs="Arial"/>
          <w:bCs/>
          <w:sz w:val="20"/>
          <w:szCs w:val="20"/>
          <w:lang w:val="es-MX" w:eastAsia="es-ES_tradnl"/>
        </w:rPr>
      </w:pPr>
    </w:p>
    <w:p w14:paraId="28EB9F7D" w14:textId="77777777" w:rsidR="007D4EA6" w:rsidRPr="000C598A" w:rsidRDefault="007D4EA6" w:rsidP="007D4EA6">
      <w:pPr>
        <w:spacing w:after="0" w:line="240" w:lineRule="auto"/>
        <w:jc w:val="both"/>
        <w:rPr>
          <w:rFonts w:ascii="Verdana" w:eastAsia="Times New Roman" w:hAnsi="Verdana" w:cs="Arial"/>
          <w:sz w:val="20"/>
          <w:szCs w:val="20"/>
          <w:lang w:val="es-MX" w:eastAsia="es-ES_tradnl"/>
        </w:rPr>
      </w:pPr>
      <w:r w:rsidRPr="000C598A">
        <w:rPr>
          <w:rFonts w:ascii="Verdana" w:eastAsia="Times New Roman" w:hAnsi="Verdana" w:cs="Arial"/>
          <w:bCs/>
          <w:sz w:val="20"/>
          <w:szCs w:val="20"/>
          <w:lang w:val="es-MX" w:eastAsia="es-ES_tradnl"/>
        </w:rPr>
        <w:t xml:space="preserve">[…] </w:t>
      </w:r>
      <w:r w:rsidRPr="000C598A">
        <w:rPr>
          <w:rFonts w:ascii="Verdana" w:hAnsi="Verdana" w:cs="Arial"/>
          <w:sz w:val="20"/>
          <w:szCs w:val="20"/>
        </w:rPr>
        <w:t>debe señalarse, e</w:t>
      </w:r>
      <w:r w:rsidRPr="000C598A">
        <w:rPr>
          <w:rFonts w:ascii="Verdana" w:eastAsia="Calibri" w:hAnsi="Verdana" w:cs="Arial"/>
          <w:color w:val="000000" w:themeColor="text1"/>
          <w:sz w:val="20"/>
          <w:szCs w:val="20"/>
        </w:rPr>
        <w:t>n relación con la modalidad de selección aplicable a la celebración de contratos interadministrativos, que la Ley 1150 de 2007 establece que las Entidades Estatales pueden suscribirlos de manera directa, siempre que las obligaciones derivadas de los mismos tengan relación con el objeto de la entidad ejecutora.</w:t>
      </w:r>
    </w:p>
    <w:p w14:paraId="725235A1" w14:textId="77777777" w:rsidR="007D4EA6" w:rsidRDefault="007D4EA6" w:rsidP="007D4EA6">
      <w:pPr>
        <w:spacing w:after="0" w:line="240" w:lineRule="auto"/>
        <w:jc w:val="both"/>
        <w:rPr>
          <w:rFonts w:ascii="Verdana" w:eastAsia="Calibri" w:hAnsi="Verdana" w:cs="Arial"/>
          <w:color w:val="000000" w:themeColor="text1"/>
          <w:sz w:val="20"/>
          <w:szCs w:val="20"/>
          <w:lang w:val="es-ES_tradnl"/>
        </w:rPr>
      </w:pPr>
    </w:p>
    <w:p w14:paraId="56E05CAB" w14:textId="77777777" w:rsidR="007D4EA6" w:rsidRPr="000C598A" w:rsidRDefault="007D4EA6" w:rsidP="007D4EA6">
      <w:pPr>
        <w:spacing w:after="0" w:line="240" w:lineRule="auto"/>
        <w:jc w:val="both"/>
        <w:rPr>
          <w:rFonts w:ascii="Verdana" w:eastAsia="Calibri" w:hAnsi="Verdana" w:cs="Arial"/>
          <w:color w:val="000000" w:themeColor="text1"/>
          <w:sz w:val="20"/>
          <w:szCs w:val="20"/>
          <w:lang w:val="es-ES_tradnl"/>
        </w:rPr>
      </w:pPr>
      <w:r w:rsidRPr="000C598A">
        <w:rPr>
          <w:rFonts w:ascii="Verdana" w:eastAsia="Calibri" w:hAnsi="Verdana" w:cs="Arial"/>
          <w:color w:val="000000" w:themeColor="text1"/>
          <w:sz w:val="20"/>
          <w:szCs w:val="20"/>
          <w:lang w:val="es-ES_tradnl"/>
        </w:rPr>
        <w:t>[…]</w:t>
      </w:r>
    </w:p>
    <w:p w14:paraId="784FFDA2" w14:textId="77777777" w:rsidR="007D4EA6" w:rsidRDefault="007D4EA6" w:rsidP="007D4EA6">
      <w:pPr>
        <w:spacing w:after="0" w:line="240" w:lineRule="auto"/>
        <w:jc w:val="both"/>
        <w:rPr>
          <w:rFonts w:ascii="Verdana" w:eastAsia="Calibri" w:hAnsi="Verdana" w:cs="Arial"/>
          <w:color w:val="000000" w:themeColor="text1"/>
          <w:sz w:val="20"/>
          <w:szCs w:val="20"/>
          <w:lang w:val="es-ES_tradnl"/>
        </w:rPr>
      </w:pPr>
    </w:p>
    <w:p w14:paraId="2FC2372C" w14:textId="77777777" w:rsidR="007D4EA6" w:rsidRPr="000C598A" w:rsidRDefault="007D4EA6" w:rsidP="007D4EA6">
      <w:pPr>
        <w:spacing w:after="0" w:line="240" w:lineRule="auto"/>
        <w:jc w:val="both"/>
        <w:rPr>
          <w:rFonts w:ascii="Verdana" w:eastAsia="Calibri" w:hAnsi="Verdana" w:cs="Arial"/>
          <w:color w:val="000000" w:themeColor="text1"/>
          <w:sz w:val="20"/>
          <w:szCs w:val="20"/>
          <w:lang w:val="es-ES_tradnl"/>
        </w:rPr>
      </w:pPr>
      <w:r w:rsidRPr="000C598A">
        <w:rPr>
          <w:rFonts w:ascii="Verdana" w:eastAsia="Calibri" w:hAnsi="Verdana" w:cs="Arial"/>
          <w:color w:val="000000" w:themeColor="text1"/>
          <w:sz w:val="20"/>
          <w:szCs w:val="20"/>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p w14:paraId="48CB6E9F" w14:textId="77777777" w:rsidR="007D4EA6" w:rsidRPr="000C598A" w:rsidRDefault="007D4EA6" w:rsidP="007D4EA6">
      <w:pPr>
        <w:spacing w:after="0" w:line="240" w:lineRule="auto"/>
        <w:jc w:val="both"/>
        <w:rPr>
          <w:rFonts w:ascii="Verdana" w:eastAsia="Times New Roman" w:hAnsi="Verdana" w:cs="Arial"/>
          <w:sz w:val="20"/>
          <w:szCs w:val="20"/>
          <w:lang w:val="es-ES_tradnl" w:eastAsia="es-ES_tradnl"/>
        </w:rPr>
      </w:pPr>
    </w:p>
    <w:p w14:paraId="3F5FA939" w14:textId="77777777" w:rsidR="007D4EA6" w:rsidRDefault="007D4EA6" w:rsidP="007D4EA6">
      <w:pPr>
        <w:rPr>
          <w:rFonts w:ascii="Verdana" w:eastAsia="Times New Roman" w:hAnsi="Verdana" w:cs="Arial"/>
          <w:b/>
          <w:bCs/>
          <w:lang w:val="es-MX" w:eastAsia="es-ES_tradnl"/>
        </w:rPr>
      </w:pPr>
      <w:r>
        <w:rPr>
          <w:rFonts w:ascii="Verdana" w:eastAsia="Times New Roman" w:hAnsi="Verdana" w:cs="Arial"/>
          <w:b/>
          <w:bCs/>
          <w:lang w:val="es-MX" w:eastAsia="es-ES_tradnl"/>
        </w:rPr>
        <w:br w:type="page"/>
      </w:r>
    </w:p>
    <w:p w14:paraId="4CF43ABA" w14:textId="77777777" w:rsidR="007D4EA6" w:rsidRDefault="007D4EA6" w:rsidP="00E245AB">
      <w:pPr>
        <w:spacing w:after="0"/>
        <w:rPr>
          <w:rFonts w:ascii="Verdana" w:hAnsi="Verdana"/>
        </w:rPr>
      </w:pPr>
    </w:p>
    <w:p w14:paraId="0666FC02" w14:textId="77777777" w:rsidR="007D4EA6" w:rsidRDefault="007D4EA6" w:rsidP="00E245AB">
      <w:pPr>
        <w:spacing w:after="0"/>
        <w:rPr>
          <w:rFonts w:ascii="Verdana" w:hAnsi="Verdana"/>
        </w:rPr>
      </w:pPr>
    </w:p>
    <w:p w14:paraId="6FD7F702" w14:textId="77777777" w:rsidR="007D4EA6" w:rsidRDefault="007D4EA6" w:rsidP="00E245AB">
      <w:pPr>
        <w:spacing w:after="0"/>
        <w:rPr>
          <w:rFonts w:ascii="Verdana" w:hAnsi="Verdana"/>
        </w:rPr>
      </w:pPr>
    </w:p>
    <w:p w14:paraId="3FE2184B" w14:textId="37DE8D1A"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[Mes</w:t>
      </w:r>
      <w:r w:rsidR="00E413EA">
        <w:rPr>
          <w:rFonts w:ascii="Verdana" w:hAnsi="Verdana"/>
        </w:rPr>
        <w:t>.</w:t>
      </w:r>
      <w:r w:rsidR="00891928" w:rsidRPr="0044528D">
        <w:rPr>
          <w:rFonts w:ascii="Verdana" w:hAnsi="Verdana"/>
        </w:rPr>
        <w:t>NombreCapitalizado] [Año]</w:t>
      </w:r>
      <w:r w:rsidR="00891928" w:rsidRPr="0044528D">
        <w:rPr>
          <w:rFonts w:ascii="Verdana" w:hAnsi="Verdana"/>
        </w:rPr>
        <w:tab/>
      </w:r>
    </w:p>
    <w:p w14:paraId="5FCADBF9" w14:textId="77777777" w:rsidR="00E245AB" w:rsidRPr="0044528D" w:rsidRDefault="00E245AB" w:rsidP="00E245AB">
      <w:pPr>
        <w:spacing w:after="0"/>
        <w:rPr>
          <w:rFonts w:ascii="Verdana" w:hAnsi="Verdana"/>
        </w:rPr>
      </w:pPr>
    </w:p>
    <w:p w14:paraId="0465BA6D" w14:textId="77777777" w:rsidR="00E245AB" w:rsidRPr="0044528D" w:rsidRDefault="00E245AB" w:rsidP="00E245AB">
      <w:pPr>
        <w:spacing w:after="0"/>
        <w:rPr>
          <w:rFonts w:ascii="Verdana" w:hAnsi="Verdana"/>
        </w:rPr>
      </w:pPr>
    </w:p>
    <w:bookmarkEnd w:id="0"/>
    <w:p w14:paraId="4D2280BB" w14:textId="77777777" w:rsidR="000F03FD" w:rsidRPr="001C374F" w:rsidRDefault="000F03FD" w:rsidP="000F03FD">
      <w:pPr>
        <w:spacing w:after="0" w:line="240" w:lineRule="auto"/>
        <w:jc w:val="both"/>
        <w:rPr>
          <w:rFonts w:ascii="Verdana" w:eastAsia="Calibri" w:hAnsi="Verdana" w:cs="Arial"/>
          <w:lang w:val="es-ES" w:eastAsia="es-ES"/>
        </w:rPr>
      </w:pPr>
      <w:r w:rsidRPr="001C374F">
        <w:rPr>
          <w:rFonts w:ascii="Verdana" w:eastAsia="Calibri" w:hAnsi="Verdana" w:cs="Arial"/>
          <w:lang w:val="es-ES" w:eastAsia="es-ES"/>
        </w:rPr>
        <w:t>Señor</w:t>
      </w:r>
    </w:p>
    <w:p w14:paraId="3FB15AD4" w14:textId="77777777" w:rsidR="000F03FD" w:rsidRPr="001C374F" w:rsidRDefault="000F03FD" w:rsidP="000F03FD">
      <w:pPr>
        <w:spacing w:after="0" w:line="240" w:lineRule="auto"/>
        <w:rPr>
          <w:rFonts w:ascii="Verdana" w:eastAsia="Calibri" w:hAnsi="Verdana" w:cs="Arial"/>
          <w:lang w:val="es-ES" w:eastAsia="es-ES"/>
        </w:rPr>
      </w:pPr>
      <w:r w:rsidRPr="001C374F">
        <w:rPr>
          <w:rFonts w:ascii="Verdana" w:eastAsia="Calibri" w:hAnsi="Verdana" w:cs="Arial"/>
          <w:b/>
          <w:bCs/>
          <w:lang w:val="es-ES" w:eastAsia="es-ES"/>
        </w:rPr>
        <w:t>Hugo Ernesto Ortega Guerrero</w:t>
      </w:r>
      <w:r w:rsidRPr="001C374F">
        <w:rPr>
          <w:rFonts w:ascii="Verdana" w:eastAsia="Calibri" w:hAnsi="Verdana" w:cs="Arial"/>
          <w:b/>
          <w:bCs/>
          <w:lang w:val="es-ES" w:eastAsia="es-ES"/>
        </w:rPr>
        <w:cr/>
      </w:r>
      <w:r w:rsidRPr="001C374F">
        <w:rPr>
          <w:rFonts w:ascii="Verdana" w:eastAsia="Calibri" w:hAnsi="Verdana" w:cs="Arial"/>
          <w:lang w:val="es-ES" w:eastAsia="es-ES"/>
        </w:rPr>
        <w:t>heog0519@gmail.com</w:t>
      </w:r>
      <w:r>
        <w:rPr>
          <w:rFonts w:ascii="Verdana" w:eastAsia="Calibri" w:hAnsi="Verdana" w:cs="Arial"/>
          <w:lang w:val="es-ES" w:eastAsia="es-ES"/>
        </w:rPr>
        <w:t xml:space="preserve"> </w:t>
      </w:r>
      <w:r w:rsidRPr="001C374F">
        <w:rPr>
          <w:rFonts w:ascii="Verdana" w:eastAsia="Calibri" w:hAnsi="Verdana" w:cs="Arial"/>
          <w:lang w:val="es-ES" w:eastAsia="es-ES"/>
        </w:rPr>
        <w:t xml:space="preserve"> </w:t>
      </w:r>
    </w:p>
    <w:p w14:paraId="11F64924" w14:textId="77777777" w:rsidR="000F03FD" w:rsidRPr="001C374F" w:rsidRDefault="000F03FD" w:rsidP="000F03FD">
      <w:pPr>
        <w:spacing w:after="0" w:line="240" w:lineRule="auto"/>
        <w:rPr>
          <w:rFonts w:ascii="Verdana" w:eastAsia="Calibri" w:hAnsi="Verdana" w:cs="Arial"/>
          <w:lang w:val="es-ES" w:eastAsia="es-ES"/>
        </w:rPr>
      </w:pPr>
      <w:r w:rsidRPr="001C374F">
        <w:rPr>
          <w:rFonts w:ascii="Verdana" w:eastAsia="Calibri" w:hAnsi="Verdana" w:cs="Arial"/>
          <w:lang w:val="es-ES" w:eastAsia="es-ES"/>
        </w:rPr>
        <w:t>Bogotá D.C</w:t>
      </w:r>
      <w:r>
        <w:rPr>
          <w:rFonts w:ascii="Verdana" w:eastAsia="Calibri" w:hAnsi="Verdana" w:cs="Arial"/>
          <w:lang w:val="es-ES" w:eastAsia="es-ES"/>
        </w:rPr>
        <w:t xml:space="preserve">. </w:t>
      </w:r>
    </w:p>
    <w:p w14:paraId="3060A08D" w14:textId="77777777" w:rsidR="000F03FD" w:rsidRDefault="000F03FD" w:rsidP="000F03FD">
      <w:pPr>
        <w:spacing w:after="0" w:line="240" w:lineRule="auto"/>
        <w:rPr>
          <w:rFonts w:ascii="Verdana" w:eastAsia="Calibri" w:hAnsi="Verdana" w:cs="Arial"/>
          <w:b/>
          <w:bCs/>
          <w:color w:val="000000"/>
          <w:lang w:val="es-ES_tradnl" w:eastAsia="es-ES_tradnl"/>
        </w:rPr>
      </w:pPr>
    </w:p>
    <w:p w14:paraId="79C10529" w14:textId="16AAC16F" w:rsidR="00421447" w:rsidRPr="001C374F" w:rsidRDefault="00421447" w:rsidP="00421447">
      <w:pPr>
        <w:spacing w:after="0" w:line="240" w:lineRule="auto"/>
        <w:jc w:val="right"/>
        <w:rPr>
          <w:rFonts w:ascii="Verdana" w:eastAsia="Calibri" w:hAnsi="Verdana" w:cs="Arial"/>
          <w:b/>
          <w:bCs/>
          <w:color w:val="000000"/>
          <w:lang w:val="es-ES_tradnl" w:eastAsia="es-ES_tradnl"/>
        </w:rPr>
      </w:pPr>
      <w:r w:rsidRPr="00421447">
        <w:rPr>
          <w:rFonts w:ascii="Verdana" w:eastAsia="Calibri" w:hAnsi="Verdana" w:cs="Arial"/>
          <w:b/>
          <w:bCs/>
          <w:color w:val="000000"/>
          <w:lang w:val="es-ES_tradnl" w:eastAsia="es-ES_tradnl"/>
        </w:rPr>
        <w:drawing>
          <wp:inline distT="0" distB="0" distL="0" distR="0" wp14:anchorId="2FCB8B27" wp14:editId="2EA62A1D">
            <wp:extent cx="3520745" cy="1044030"/>
            <wp:effectExtent l="0" t="0" r="3810" b="3810"/>
            <wp:docPr id="931045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45539" name=""/>
                    <pic:cNvPicPr/>
                  </pic:nvPicPr>
                  <pic:blipFill>
                    <a:blip r:embed="rId11"/>
                    <a:stretch>
                      <a:fillRect/>
                    </a:stretch>
                  </pic:blipFill>
                  <pic:spPr>
                    <a:xfrm>
                      <a:off x="0" y="0"/>
                      <a:ext cx="3520745" cy="1044030"/>
                    </a:xfrm>
                    <a:prstGeom prst="rect">
                      <a:avLst/>
                    </a:prstGeom>
                  </pic:spPr>
                </pic:pic>
              </a:graphicData>
            </a:graphic>
          </wp:inline>
        </w:drawing>
      </w:r>
    </w:p>
    <w:p w14:paraId="05FC1D17" w14:textId="77777777" w:rsidR="000F03FD" w:rsidRPr="001C374F" w:rsidRDefault="000F03FD" w:rsidP="000F03FD">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F03FD" w:rsidRPr="001C374F" w14:paraId="507AB863" w14:textId="77777777" w:rsidTr="000A586A">
        <w:trPr>
          <w:trHeight w:val="884"/>
        </w:trPr>
        <w:tc>
          <w:tcPr>
            <w:tcW w:w="2689" w:type="dxa"/>
          </w:tcPr>
          <w:p w14:paraId="33F4A2FE" w14:textId="77777777" w:rsidR="000F03FD" w:rsidRPr="001C374F" w:rsidRDefault="000F03FD" w:rsidP="000A586A">
            <w:pPr>
              <w:jc w:val="both"/>
              <w:rPr>
                <w:rFonts w:ascii="Verdana" w:eastAsia="Calibri" w:hAnsi="Verdana" w:cs="Arial"/>
                <w:b/>
                <w:bCs/>
                <w:color w:val="7030A0"/>
                <w:lang w:val="es-ES_tradnl" w:eastAsia="es-ES_tradnl"/>
              </w:rPr>
            </w:pPr>
          </w:p>
        </w:tc>
        <w:tc>
          <w:tcPr>
            <w:tcW w:w="6100" w:type="dxa"/>
          </w:tcPr>
          <w:p w14:paraId="4B1DC77C" w14:textId="77777777" w:rsidR="000F03FD" w:rsidRPr="001C374F" w:rsidRDefault="000F03FD" w:rsidP="000A586A">
            <w:pPr>
              <w:jc w:val="both"/>
              <w:rPr>
                <w:rFonts w:ascii="Verdana" w:eastAsia="Calibri" w:hAnsi="Verdana" w:cs="Arial"/>
                <w:lang w:val="es-ES" w:eastAsia="es-ES"/>
              </w:rPr>
            </w:pPr>
            <w:r w:rsidRPr="001C374F">
              <w:rPr>
                <w:rFonts w:ascii="Verdana" w:eastAsia="Calibri" w:hAnsi="Verdana" w:cs="Arial"/>
                <w:b/>
                <w:bCs/>
                <w:lang w:val="es-ES" w:eastAsia="es-ES"/>
              </w:rPr>
              <w:t>Concepto C – 612 de 2024</w:t>
            </w:r>
          </w:p>
        </w:tc>
      </w:tr>
      <w:tr w:rsidR="000F03FD" w:rsidRPr="001C374F" w14:paraId="269F92A5" w14:textId="77777777" w:rsidTr="000A586A">
        <w:trPr>
          <w:trHeight w:val="884"/>
        </w:trPr>
        <w:tc>
          <w:tcPr>
            <w:tcW w:w="2689" w:type="dxa"/>
          </w:tcPr>
          <w:p w14:paraId="0F008DBA" w14:textId="77777777" w:rsidR="000F03FD" w:rsidRPr="001C374F" w:rsidRDefault="000F03FD" w:rsidP="000A586A">
            <w:pPr>
              <w:jc w:val="both"/>
              <w:rPr>
                <w:rFonts w:ascii="Verdana" w:eastAsia="Calibri" w:hAnsi="Verdana" w:cs="Arial"/>
                <w:color w:val="000000"/>
                <w:lang w:val="es-ES_tradnl" w:eastAsia="es-ES_tradnl"/>
              </w:rPr>
            </w:pPr>
            <w:r w:rsidRPr="001C374F">
              <w:rPr>
                <w:rFonts w:ascii="Verdana" w:eastAsia="Calibri" w:hAnsi="Verdana" w:cs="Arial"/>
                <w:b/>
                <w:color w:val="000000"/>
                <w:lang w:val="es-ES_tradnl" w:eastAsia="es-ES_tradnl"/>
              </w:rPr>
              <w:t>Temas:</w:t>
            </w:r>
            <w:r w:rsidRPr="001C374F">
              <w:rPr>
                <w:rFonts w:ascii="Verdana" w:eastAsia="Calibri" w:hAnsi="Verdana" w:cs="Arial"/>
                <w:color w:val="000000"/>
                <w:lang w:val="es-ES_tradnl" w:eastAsia="es-ES_tradnl"/>
              </w:rPr>
              <w:t xml:space="preserve">                </w:t>
            </w:r>
          </w:p>
        </w:tc>
        <w:tc>
          <w:tcPr>
            <w:tcW w:w="6100" w:type="dxa"/>
          </w:tcPr>
          <w:p w14:paraId="2349D14B" w14:textId="77777777" w:rsidR="000F03FD" w:rsidRPr="001C374F" w:rsidRDefault="000F03FD" w:rsidP="000A586A">
            <w:pPr>
              <w:spacing w:line="276" w:lineRule="auto"/>
              <w:jc w:val="both"/>
              <w:rPr>
                <w:rFonts w:ascii="Verdana" w:eastAsia="Times New Roman" w:hAnsi="Verdana" w:cs="Arial"/>
                <w:lang w:val="es-MX" w:eastAsia="es-ES_tradnl"/>
              </w:rPr>
            </w:pPr>
            <w:r w:rsidRPr="00804AFF">
              <w:rPr>
                <w:rFonts w:ascii="Verdana" w:eastAsia="Calibri" w:hAnsi="Verdana" w:cs="Arial"/>
                <w:lang w:val="es-MX"/>
              </w:rPr>
              <w:t xml:space="preserve">CONTRATO INTERADMINISTRATIVO – Concepto – Régimen jurídico aplicable / </w:t>
            </w:r>
            <w:r w:rsidRPr="00804AFF">
              <w:rPr>
                <w:rFonts w:ascii="Verdana" w:eastAsia="Calibri" w:hAnsi="Verdana" w:cs="Arial"/>
                <w:lang w:val="es-ES"/>
              </w:rPr>
              <w:t xml:space="preserve">PRINCIPIO DE SELECCIÓN OBJETIVA </w:t>
            </w:r>
            <w:r w:rsidRPr="00804AFF">
              <w:rPr>
                <w:rFonts w:ascii="Verdana" w:eastAsia="Calibri" w:hAnsi="Verdana" w:cs="Arial"/>
              </w:rPr>
              <w:t>–</w:t>
            </w:r>
            <w:r w:rsidRPr="00804AFF">
              <w:rPr>
                <w:rFonts w:ascii="Verdana" w:eastAsia="Calibri" w:hAnsi="Verdana" w:cs="Arial"/>
                <w:lang w:val="es-ES"/>
              </w:rPr>
              <w:t xml:space="preserve"> Contratación directa </w:t>
            </w:r>
            <w:r w:rsidRPr="00804AFF">
              <w:rPr>
                <w:rFonts w:ascii="Verdana" w:eastAsia="Calibri" w:hAnsi="Verdana" w:cs="Arial"/>
              </w:rPr>
              <w:t xml:space="preserve">– Aplicación / </w:t>
            </w:r>
            <w:r w:rsidRPr="00804AFF">
              <w:rPr>
                <w:rFonts w:ascii="Verdana" w:eastAsia="Calibri" w:hAnsi="Verdana" w:cs="Arial"/>
                <w:lang w:val="es-ES"/>
              </w:rPr>
              <w:t xml:space="preserve">PRINCIPIO DE PLANEACIÓN </w:t>
            </w:r>
            <w:r w:rsidRPr="00804AFF">
              <w:rPr>
                <w:rFonts w:ascii="Verdana" w:eastAsia="Calibri" w:hAnsi="Verdana" w:cs="Arial"/>
              </w:rPr>
              <w:t>–</w:t>
            </w:r>
            <w:r w:rsidRPr="00804AFF">
              <w:rPr>
                <w:rFonts w:ascii="Verdana" w:eastAsia="Calibri" w:hAnsi="Verdana" w:cs="Arial"/>
                <w:lang w:val="es-ES"/>
              </w:rPr>
              <w:t xml:space="preserve"> Estudios previos </w:t>
            </w:r>
            <w:r w:rsidRPr="00804AFF">
              <w:rPr>
                <w:rFonts w:ascii="Verdana" w:eastAsia="Calibri" w:hAnsi="Verdana" w:cs="Arial"/>
              </w:rPr>
              <w:t>–</w:t>
            </w:r>
            <w:r w:rsidRPr="00804AFF">
              <w:rPr>
                <w:rFonts w:ascii="Verdana" w:eastAsia="Calibri" w:hAnsi="Verdana" w:cs="Arial"/>
                <w:lang w:val="es-ES"/>
              </w:rPr>
              <w:t xml:space="preserve"> Contratación directa / </w:t>
            </w:r>
            <w:r w:rsidRPr="001C374F">
              <w:rPr>
                <w:rFonts w:ascii="Verdana" w:eastAsia="Times New Roman" w:hAnsi="Verdana" w:cs="Arial"/>
                <w:bCs/>
                <w:lang w:eastAsia="es-ES_tradnl"/>
              </w:rPr>
              <w:t xml:space="preserve"> </w:t>
            </w:r>
            <w:r w:rsidRPr="001C374F">
              <w:rPr>
                <w:rFonts w:ascii="Verdana" w:eastAsia="Calibri" w:hAnsi="Verdana" w:cs="Arial"/>
                <w:bCs/>
              </w:rPr>
              <w:t xml:space="preserve">CONTRATOS Y CONVENIOS INTERADMINISTRATIVOS </w:t>
            </w:r>
            <w:r w:rsidRPr="00736E65">
              <w:rPr>
                <w:rFonts w:ascii="Verdana" w:eastAsia="Calibri" w:hAnsi="Verdana" w:cs="Arial"/>
                <w:bCs/>
              </w:rPr>
              <w:t>–</w:t>
            </w:r>
            <w:r>
              <w:rPr>
                <w:rFonts w:ascii="Verdana" w:eastAsia="Calibri" w:hAnsi="Verdana" w:cs="Arial"/>
                <w:bCs/>
              </w:rPr>
              <w:t xml:space="preserve"> Diferencias </w:t>
            </w:r>
            <w:r w:rsidRPr="001C374F">
              <w:rPr>
                <w:rFonts w:ascii="Verdana" w:eastAsia="Calibri" w:hAnsi="Verdana" w:cs="Arial"/>
                <w:bCs/>
              </w:rPr>
              <w:t xml:space="preserve">/ </w:t>
            </w:r>
            <w:r w:rsidRPr="001C374F">
              <w:rPr>
                <w:rFonts w:ascii="Verdana" w:eastAsia="Times New Roman" w:hAnsi="Verdana" w:cs="Arial"/>
                <w:lang w:val="es-MX" w:eastAsia="es-ES_tradnl"/>
              </w:rPr>
              <w:t>CONTRATO INTERADMINISTRATIVO – Modalidad de selección</w:t>
            </w:r>
          </w:p>
          <w:p w14:paraId="61EEF0FA" w14:textId="77777777" w:rsidR="000F03FD" w:rsidRPr="001C374F" w:rsidRDefault="000F03FD" w:rsidP="000A586A">
            <w:pPr>
              <w:spacing w:line="276" w:lineRule="auto"/>
              <w:jc w:val="both"/>
              <w:rPr>
                <w:rFonts w:ascii="Verdana" w:eastAsia="Calibri" w:hAnsi="Verdana" w:cs="Arial"/>
                <w:lang w:val="es-ES" w:eastAsia="es-ES"/>
              </w:rPr>
            </w:pPr>
            <w:r w:rsidRPr="001C374F">
              <w:rPr>
                <w:rFonts w:ascii="Verdana" w:eastAsia="Calibri" w:hAnsi="Verdana" w:cs="Arial"/>
                <w:lang w:val="es-ES" w:eastAsia="es-ES"/>
              </w:rPr>
              <w:t xml:space="preserve">  </w:t>
            </w:r>
          </w:p>
        </w:tc>
      </w:tr>
      <w:tr w:rsidR="000F03FD" w:rsidRPr="001C374F" w14:paraId="42A4F791" w14:textId="77777777" w:rsidTr="000A586A">
        <w:tc>
          <w:tcPr>
            <w:tcW w:w="2689" w:type="dxa"/>
          </w:tcPr>
          <w:p w14:paraId="52C98607" w14:textId="77777777" w:rsidR="000F03FD" w:rsidRPr="001C374F" w:rsidRDefault="000F03FD" w:rsidP="000A586A">
            <w:pPr>
              <w:jc w:val="both"/>
              <w:rPr>
                <w:rFonts w:ascii="Verdana" w:eastAsia="Calibri" w:hAnsi="Verdana" w:cs="Arial"/>
                <w:b/>
                <w:lang w:val="es-ES_tradnl" w:eastAsia="es-ES_tradnl"/>
              </w:rPr>
            </w:pPr>
            <w:r w:rsidRPr="001C374F">
              <w:rPr>
                <w:rFonts w:ascii="Verdana" w:eastAsia="Calibri" w:hAnsi="Verdana" w:cs="Arial"/>
                <w:b/>
                <w:lang w:val="es-ES_tradnl" w:eastAsia="es-ES_tradnl"/>
              </w:rPr>
              <w:t>Radicación:</w:t>
            </w:r>
            <w:r w:rsidRPr="001C374F">
              <w:rPr>
                <w:rFonts w:ascii="Verdana" w:eastAsia="Calibri" w:hAnsi="Verdana" w:cs="Arial"/>
                <w:lang w:val="es-ES_tradnl" w:eastAsia="es-ES_tradnl"/>
              </w:rPr>
              <w:t xml:space="preserve">               </w:t>
            </w:r>
          </w:p>
        </w:tc>
        <w:tc>
          <w:tcPr>
            <w:tcW w:w="6100" w:type="dxa"/>
          </w:tcPr>
          <w:p w14:paraId="18279C54" w14:textId="77777777" w:rsidR="000F03FD" w:rsidRPr="001C374F" w:rsidRDefault="000F03FD" w:rsidP="000A586A">
            <w:pPr>
              <w:jc w:val="both"/>
              <w:rPr>
                <w:rFonts w:ascii="Verdana" w:eastAsia="Calibri" w:hAnsi="Verdana" w:cs="Arial"/>
                <w:lang w:eastAsia="es-ES_tradnl"/>
              </w:rPr>
            </w:pPr>
            <w:r w:rsidRPr="001C374F">
              <w:rPr>
                <w:rFonts w:ascii="Verdana" w:eastAsia="Calibri" w:hAnsi="Verdana" w:cs="Arial"/>
                <w:lang w:val="es-ES_tradnl" w:eastAsia="es-ES_tradnl"/>
              </w:rPr>
              <w:t xml:space="preserve">Respuesta a las consultas con radicado No. </w:t>
            </w:r>
            <w:r w:rsidRPr="001C374F">
              <w:rPr>
                <w:rFonts w:ascii="Verdana" w:eastAsia="Calibri" w:hAnsi="Verdana" w:cs="Arial"/>
                <w:lang w:eastAsia="es-ES_tradnl"/>
              </w:rPr>
              <w:t>P20240914009397</w:t>
            </w:r>
          </w:p>
        </w:tc>
      </w:tr>
    </w:tbl>
    <w:p w14:paraId="4DBA403B" w14:textId="77777777" w:rsidR="000F03FD" w:rsidRPr="001C374F" w:rsidRDefault="000F03FD" w:rsidP="000F03FD">
      <w:pPr>
        <w:spacing w:after="0" w:line="240" w:lineRule="auto"/>
        <w:jc w:val="both"/>
        <w:rPr>
          <w:rFonts w:ascii="Verdana" w:eastAsia="Calibri" w:hAnsi="Verdana" w:cs="Arial"/>
          <w:color w:val="000000"/>
          <w:lang w:val="es-ES_tradnl" w:eastAsia="es-ES_tradnl"/>
        </w:rPr>
      </w:pPr>
    </w:p>
    <w:p w14:paraId="7D3EE701" w14:textId="77777777" w:rsidR="000F03FD" w:rsidRPr="001C374F" w:rsidRDefault="000F03FD" w:rsidP="000F03FD">
      <w:pPr>
        <w:spacing w:after="0" w:line="240" w:lineRule="auto"/>
        <w:jc w:val="both"/>
        <w:rPr>
          <w:rFonts w:ascii="Verdana" w:eastAsia="Calibri" w:hAnsi="Verdana" w:cs="Arial"/>
          <w:color w:val="000000"/>
          <w:lang w:val="es-ES_tradnl" w:eastAsia="es-ES_tradnl"/>
        </w:rPr>
      </w:pPr>
    </w:p>
    <w:p w14:paraId="71310DD1" w14:textId="77777777" w:rsidR="000F03FD" w:rsidRPr="001C374F" w:rsidRDefault="000F03FD" w:rsidP="000F03FD">
      <w:pPr>
        <w:spacing w:after="0" w:line="276" w:lineRule="auto"/>
        <w:jc w:val="both"/>
        <w:rPr>
          <w:rFonts w:ascii="Verdana" w:eastAsia="Calibri" w:hAnsi="Verdana" w:cs="Arial"/>
          <w:lang w:val="es-ES" w:eastAsia="es-ES"/>
        </w:rPr>
      </w:pPr>
      <w:r w:rsidRPr="001C374F">
        <w:rPr>
          <w:rFonts w:ascii="Verdana" w:eastAsia="Calibri" w:hAnsi="Verdana" w:cs="Arial"/>
          <w:lang w:val="es-ES" w:eastAsia="es-ES"/>
        </w:rPr>
        <w:t xml:space="preserve">Estimado señor </w:t>
      </w:r>
      <w:r w:rsidRPr="001C374F">
        <w:rPr>
          <w:rFonts w:ascii="Verdana" w:eastAsia="Times New Roman" w:hAnsi="Verdana" w:cs="Times New Roman"/>
          <w:lang w:eastAsia="es-MX"/>
        </w:rPr>
        <w:t>Ortega:</w:t>
      </w:r>
      <w:r w:rsidRPr="001C374F">
        <w:rPr>
          <w:rFonts w:ascii="Verdana" w:eastAsia="Times New Roman" w:hAnsi="Verdana" w:cs="Times New Roman"/>
          <w:lang w:eastAsia="es-MX"/>
        </w:rPr>
        <w:tab/>
      </w:r>
      <w:r w:rsidRPr="001C374F">
        <w:rPr>
          <w:rFonts w:ascii="Verdana" w:eastAsia="Times New Roman" w:hAnsi="Verdana" w:cs="Times New Roman"/>
          <w:lang w:eastAsia="es-MX"/>
        </w:rPr>
        <w:tab/>
      </w:r>
      <w:r w:rsidRPr="001C374F">
        <w:rPr>
          <w:rFonts w:ascii="Verdana" w:eastAsia="Calibri" w:hAnsi="Verdana" w:cs="Arial"/>
          <w:lang w:val="es-ES" w:eastAsia="es-ES"/>
        </w:rPr>
        <w:t xml:space="preserve"> </w:t>
      </w:r>
    </w:p>
    <w:p w14:paraId="01EBFFE5" w14:textId="77777777" w:rsidR="000F03FD" w:rsidRPr="001C374F" w:rsidRDefault="000F03FD" w:rsidP="000F03FD">
      <w:pPr>
        <w:tabs>
          <w:tab w:val="left" w:pos="3768"/>
        </w:tabs>
        <w:spacing w:after="0" w:line="276" w:lineRule="auto"/>
        <w:jc w:val="both"/>
        <w:rPr>
          <w:rFonts w:ascii="Verdana" w:eastAsia="Calibri" w:hAnsi="Verdana" w:cs="Arial"/>
          <w:color w:val="000000" w:themeColor="text1"/>
          <w:lang w:val="es-ES" w:eastAsia="es-ES"/>
        </w:rPr>
      </w:pPr>
      <w:r w:rsidRPr="001C374F">
        <w:rPr>
          <w:rFonts w:ascii="Verdana" w:eastAsia="Calibri" w:hAnsi="Verdana" w:cs="Arial"/>
          <w:color w:val="000000" w:themeColor="text1"/>
          <w:lang w:val="es-ES" w:eastAsia="es-ES"/>
        </w:rPr>
        <w:tab/>
      </w:r>
    </w:p>
    <w:p w14:paraId="55C49622" w14:textId="77777777" w:rsidR="000F03FD" w:rsidRDefault="000F03FD" w:rsidP="000F03FD">
      <w:pPr>
        <w:tabs>
          <w:tab w:val="left" w:pos="851"/>
        </w:tabs>
        <w:spacing w:after="120" w:line="276" w:lineRule="auto"/>
        <w:ind w:right="49"/>
        <w:jc w:val="both"/>
        <w:rPr>
          <w:rFonts w:ascii="Verdana" w:eastAsia="Calibri" w:hAnsi="Verdana" w:cs="Arial"/>
          <w:lang w:val="es-ES" w:eastAsia="es-ES"/>
        </w:rPr>
      </w:pPr>
      <w:r w:rsidRPr="0044045F">
        <w:rPr>
          <w:rFonts w:ascii="Verdana" w:eastAsia="Calibri" w:hAnsi="Verdana" w:cs="Arial"/>
          <w:color w:val="000000" w:themeColor="text1"/>
          <w:lang w:val="es-ES" w:eastAsia="es-ES"/>
        </w:rPr>
        <w:t>En ejercicio de la competencia otorgada por los artículos 3, numeral 5º, y 11, numeral 8º, del Decreto Ley 4170 de 2011,</w:t>
      </w:r>
      <w:r w:rsidRPr="0044045F">
        <w:rPr>
          <w:rFonts w:ascii="Verdana" w:eastAsia="Arial MT" w:hAnsi="Verdana" w:cs="Arial MT"/>
          <w:lang w:val="es-ES" w:eastAsia="es-ES"/>
        </w:rPr>
        <w:t xml:space="preserve"> </w:t>
      </w:r>
      <w:r w:rsidRPr="0044045F">
        <w:rPr>
          <w:rFonts w:ascii="Verdana" w:hAnsi="Verdana" w:cs="Arial"/>
        </w:rPr>
        <w:t xml:space="preserve">así como lo establecido en el artículo 4 de la Resolución 1707 de 2018 expedida por esta Entidad, </w:t>
      </w:r>
      <w:r w:rsidRPr="0044045F">
        <w:rPr>
          <w:rFonts w:ascii="Verdana" w:eastAsia="Calibri" w:hAnsi="Verdana" w:cs="Arial"/>
          <w:color w:val="000000" w:themeColor="text1"/>
          <w:lang w:val="es-ES" w:eastAsia="es-ES"/>
        </w:rPr>
        <w:t xml:space="preserve">la Agencia Nacional de Contratación Pública – Colombia Compra Eficiente responde la solicitud de consulta de </w:t>
      </w:r>
      <w:r w:rsidRPr="0044045F">
        <w:rPr>
          <w:rFonts w:ascii="Verdana" w:eastAsia="Calibri" w:hAnsi="Verdana" w:cs="Arial"/>
          <w:lang w:val="es-ES" w:eastAsia="es-ES"/>
        </w:rPr>
        <w:t>fecha 1</w:t>
      </w:r>
      <w:r w:rsidRPr="0044045F">
        <w:rPr>
          <w:rFonts w:ascii="Verdana" w:eastAsia="Calibri" w:hAnsi="Verdana" w:cs="Arial"/>
          <w:lang w:val="es-ES" w:eastAsia="es-ES"/>
        </w:rPr>
        <w:softHyphen/>
      </w:r>
      <w:r w:rsidRPr="0044045F">
        <w:rPr>
          <w:rFonts w:ascii="Verdana" w:eastAsia="Calibri" w:hAnsi="Verdana" w:cs="Arial"/>
          <w:lang w:val="es-ES" w:eastAsia="es-ES"/>
        </w:rPr>
        <w:softHyphen/>
      </w:r>
      <w:r w:rsidRPr="0044045F">
        <w:rPr>
          <w:rFonts w:ascii="Verdana" w:eastAsia="Calibri" w:hAnsi="Verdana" w:cs="Arial"/>
          <w:lang w:val="es-ES" w:eastAsia="es-ES"/>
        </w:rPr>
        <w:softHyphen/>
        <w:t>4 septiembre de 2024, en las cuales plantea lo siguiente:</w:t>
      </w:r>
    </w:p>
    <w:p w14:paraId="71C07B0E"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alibri" w:hAnsi="Verdana" w:cs="Arial"/>
          <w:sz w:val="20"/>
          <w:szCs w:val="20"/>
          <w:lang w:val="es-ES" w:eastAsia="es-ES"/>
        </w:rPr>
        <w:lastRenderedPageBreak/>
        <w:t xml:space="preserve"> </w:t>
      </w:r>
      <w:r w:rsidRPr="00804AFF">
        <w:rPr>
          <w:rFonts w:ascii="Verdana" w:eastAsia="Century Gothic" w:hAnsi="Verdana" w:cs="Century Gothic"/>
          <w:sz w:val="20"/>
          <w:szCs w:val="20"/>
          <w:lang w:val="es-ES"/>
        </w:rPr>
        <w:t>“</w:t>
      </w:r>
      <w:r w:rsidRPr="00804AFF">
        <w:rPr>
          <w:rFonts w:ascii="Verdana" w:eastAsia="Century Gothic" w:hAnsi="Verdana" w:cs="Century Gothic"/>
          <w:sz w:val="20"/>
          <w:szCs w:val="20"/>
        </w:rPr>
        <w:t xml:space="preserve">1.5.1. Frente a los Contratos Interadministrativos </w:t>
      </w:r>
    </w:p>
    <w:p w14:paraId="003DBDBA"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Respecto al tema de los contratos interadministrativos propongo las siguientes consultas y preguntas:</w:t>
      </w:r>
    </w:p>
    <w:p w14:paraId="5BA442F0"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1.5.1.1. ¿Una Entidad Pública que oferte bienes y/o servicios en competencia con el sector privado, puede suscribir un Contrato Interadministrativo bajo la Modalidad Directa para proveer dichos bienes y servicios?</w:t>
      </w:r>
    </w:p>
    <w:p w14:paraId="47A8DE22"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1.5.1.2. En caso afirmativo y en armonía con la Constitución, la Ley y la Jurisprudencia, ¿Cuáles son las Leyes que habilitan celebrar este tipo de contratos a las Entidades Públicas ejecutoras y ejecutantes?</w:t>
      </w:r>
    </w:p>
    <w:p w14:paraId="345EAAA0"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1.5.1.3. ¿Bajo qué modalidad o modalidades de contratación una Entidad Pública que oferte bienes y/o servicios en competencia con el sector privado, puede celebrar contratos interadministrativos de manera válida?</w:t>
      </w:r>
    </w:p>
    <w:p w14:paraId="2EC481A9"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w:t>
      </w:r>
    </w:p>
    <w:p w14:paraId="43AEF973"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 xml:space="preserve">1.5.2. Frente a los Convenios Interadministrativos </w:t>
      </w:r>
    </w:p>
    <w:p w14:paraId="2AA48E70"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Ahora, frente a los convenios interadministrativos se planean las siguientes consultas:</w:t>
      </w:r>
    </w:p>
    <w:p w14:paraId="05F93A7B"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1.5.2.1. ¿Una Entidad Pública que oferte bienes y/o servicios en competencia con el sector privado, puede suscribir un Convenio Interadministrativo bajo la Modalidad Directa para proveer dichos bienes y servicios?</w:t>
      </w:r>
    </w:p>
    <w:p w14:paraId="4545215A"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1.5.2.2. En caso afirmativo y en armonía con la Constitución, la Ley y la Jurisprudencia, ¿Qué condiciones deben cumplir las Entidades involucradas para suscribir dicho convenio?</w:t>
      </w:r>
    </w:p>
    <w:p w14:paraId="081D5B08" w14:textId="77777777" w:rsidR="000F03FD" w:rsidRPr="00804AFF" w:rsidRDefault="000F03FD" w:rsidP="000F03FD">
      <w:pPr>
        <w:tabs>
          <w:tab w:val="left" w:pos="851"/>
        </w:tabs>
        <w:spacing w:after="120" w:line="240" w:lineRule="auto"/>
        <w:ind w:left="851" w:right="758"/>
        <w:jc w:val="both"/>
        <w:rPr>
          <w:rFonts w:ascii="Verdana" w:eastAsia="Century Gothic" w:hAnsi="Verdana" w:cs="Century Gothic"/>
          <w:sz w:val="20"/>
          <w:szCs w:val="20"/>
        </w:rPr>
      </w:pPr>
      <w:r w:rsidRPr="00804AFF">
        <w:rPr>
          <w:rFonts w:ascii="Verdana" w:eastAsia="Century Gothic" w:hAnsi="Verdana" w:cs="Century Gothic"/>
          <w:sz w:val="20"/>
          <w:szCs w:val="20"/>
        </w:rPr>
        <w:t>1.5.2.3. ¿Una Entidad Pública que oferte bienes y/o servicios en competencia con el sector privado, puede suscribir un Convenio Interadministrativo para desarrollar actividades distintas a las de proveer bienes y servicios 1.5.2.4. En caso de ser afirmativa la anterior respuesta ¿Qué actividades podría desarrollar?” [sic]</w:t>
      </w:r>
    </w:p>
    <w:p w14:paraId="6939F382" w14:textId="77777777" w:rsidR="000F03FD" w:rsidRPr="001C374F" w:rsidRDefault="000F03FD" w:rsidP="000F03FD">
      <w:pPr>
        <w:tabs>
          <w:tab w:val="left" w:pos="142"/>
          <w:tab w:val="left" w:pos="284"/>
        </w:tabs>
        <w:spacing w:after="120" w:line="276" w:lineRule="auto"/>
        <w:ind w:firstLine="142"/>
        <w:jc w:val="both"/>
        <w:rPr>
          <w:rFonts w:ascii="Verdana" w:eastAsia="Calibri" w:hAnsi="Verdana" w:cs="Arial"/>
          <w:color w:val="000000"/>
          <w:lang w:val="es-ES" w:eastAsia="es-ES"/>
        </w:rPr>
      </w:pPr>
      <w:r w:rsidRPr="007B43DA">
        <w:rPr>
          <w:rFonts w:ascii="Verdana" w:eastAsia="Century Gothic" w:hAnsi="Verdana" w:cs="Century Gothic"/>
          <w:sz w:val="20"/>
          <w:szCs w:val="20"/>
          <w:lang w:val="es-ES"/>
        </w:rPr>
        <w:t xml:space="preserve">  </w:t>
      </w:r>
      <w:r w:rsidRPr="007B43DA">
        <w:rPr>
          <w:rFonts w:ascii="Verdana" w:eastAsia="Century Gothic" w:hAnsi="Verdana" w:cs="Century Gothic"/>
          <w:sz w:val="20"/>
          <w:szCs w:val="20"/>
          <w:lang w:val="es-ES"/>
        </w:rPr>
        <w:tab/>
      </w:r>
      <w:r w:rsidRPr="007B43DA">
        <w:rPr>
          <w:rFonts w:ascii="Verdana" w:eastAsia="Century Gothic" w:hAnsi="Verdana" w:cs="Century Gothic"/>
          <w:sz w:val="20"/>
          <w:szCs w:val="20"/>
          <w:lang w:val="es-ES"/>
        </w:rPr>
        <w:tab/>
      </w:r>
      <w:r w:rsidRPr="001C374F">
        <w:rPr>
          <w:rFonts w:ascii="Verdana" w:eastAsia="Calibri" w:hAnsi="Verdana" w:cs="Arial"/>
          <w:color w:val="000000"/>
          <w:lang w:val="es-ES" w:eastAsia="es-ES"/>
        </w:rPr>
        <w:t xml:space="preserve">De manera preliminar, resulta necesario acotar que esta entidad sólo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w:t>
      </w:r>
      <w:r w:rsidRPr="001C374F">
        <w:rPr>
          <w:rFonts w:ascii="Verdana" w:eastAsia="Calibri" w:hAnsi="Verdana" w:cs="Arial"/>
          <w:color w:val="000000"/>
          <w:lang w:val="es-ES" w:eastAsia="es-ES"/>
        </w:rPr>
        <w:lastRenderedPageBreak/>
        <w:t xml:space="preserve">normas generales, por definición, no puede extenderse a la resolución de controversias ni a brindar asesorías sobre casos puntuales. </w:t>
      </w:r>
    </w:p>
    <w:p w14:paraId="6F3FA581" w14:textId="77777777" w:rsidR="000F03FD" w:rsidRPr="001C374F" w:rsidRDefault="000F03FD" w:rsidP="000F03FD">
      <w:pPr>
        <w:spacing w:after="0" w:line="276" w:lineRule="auto"/>
        <w:ind w:firstLine="709"/>
        <w:jc w:val="both"/>
        <w:rPr>
          <w:rFonts w:ascii="Verdana" w:eastAsia="Calibri" w:hAnsi="Verdana" w:cs="Arial"/>
          <w:color w:val="000000"/>
          <w:lang w:val="es-ES" w:eastAsia="es-ES"/>
        </w:rPr>
      </w:pPr>
      <w:r w:rsidRPr="001C374F">
        <w:rPr>
          <w:rFonts w:ascii="Verdana" w:eastAsia="Calibri" w:hAnsi="Verdana" w:cs="Arial"/>
          <w:color w:val="000000"/>
          <w:lang w:val="es-ES" w:eastAsia="es-ES"/>
        </w:rPr>
        <w:t>Conforme lo expuesto, en aras de satisfacer el derecho fundamental de petición se resolverán las preguntas realizadas dentro de los límites de la referida competencia consultiva, esto es, haciendo abstracción de las circunstancias particulares y concretas mencionadas en las solicitudes, pero haciendo unas consideraciones sobre las normas generales relacionadas con el</w:t>
      </w:r>
      <w:r w:rsidRPr="001C374F">
        <w:rPr>
          <w:rFonts w:ascii="Verdana" w:eastAsia="Calibri" w:hAnsi="Verdana" w:cs="Arial"/>
          <w:color w:val="7030A0"/>
          <w:lang w:val="es-ES" w:eastAsia="es-ES"/>
        </w:rPr>
        <w:t xml:space="preserve"> </w:t>
      </w:r>
      <w:r w:rsidRPr="001C374F">
        <w:rPr>
          <w:rFonts w:ascii="Verdana" w:eastAsia="Calibri" w:hAnsi="Verdana" w:cs="Arial"/>
          <w:color w:val="000000"/>
          <w:lang w:val="es-ES" w:eastAsia="es-ES"/>
        </w:rPr>
        <w:t>problema</w:t>
      </w:r>
      <w:r w:rsidRPr="001C374F">
        <w:rPr>
          <w:rFonts w:ascii="Verdana" w:eastAsia="Calibri" w:hAnsi="Verdana" w:cs="Arial"/>
          <w:color w:val="7030A0"/>
          <w:lang w:val="es-ES" w:eastAsia="es-ES"/>
        </w:rPr>
        <w:t xml:space="preserve"> </w:t>
      </w:r>
      <w:r w:rsidRPr="001C374F">
        <w:rPr>
          <w:rFonts w:ascii="Verdana" w:eastAsia="Calibri" w:hAnsi="Verdana" w:cs="Arial"/>
          <w:color w:val="000000"/>
          <w:lang w:val="es-ES" w:eastAsia="es-ES"/>
        </w:rPr>
        <w:t>jurídico</w:t>
      </w:r>
      <w:r w:rsidRPr="001C374F">
        <w:rPr>
          <w:rFonts w:ascii="Verdana" w:eastAsia="Calibri" w:hAnsi="Verdana" w:cs="Arial"/>
          <w:color w:val="7030A0"/>
          <w:lang w:val="es-ES" w:eastAsia="es-ES"/>
        </w:rPr>
        <w:t xml:space="preserve"> </w:t>
      </w:r>
      <w:r w:rsidRPr="001C374F">
        <w:rPr>
          <w:rFonts w:ascii="Verdana" w:eastAsia="Calibri" w:hAnsi="Verdana" w:cs="Arial"/>
          <w:color w:val="000000"/>
          <w:lang w:val="es-ES" w:eastAsia="es-ES"/>
        </w:rPr>
        <w:t xml:space="preserve">de sus consultas. </w:t>
      </w:r>
    </w:p>
    <w:p w14:paraId="77BD398D" w14:textId="77777777" w:rsidR="000F03FD" w:rsidRPr="001C374F" w:rsidRDefault="000F03FD" w:rsidP="000F03FD">
      <w:pPr>
        <w:spacing w:after="0" w:line="276" w:lineRule="auto"/>
        <w:ind w:firstLine="709"/>
        <w:jc w:val="both"/>
        <w:rPr>
          <w:rFonts w:ascii="Verdana" w:eastAsia="Calibri" w:hAnsi="Verdana" w:cs="Arial"/>
          <w:color w:val="000000"/>
          <w:lang w:val="es-ES" w:eastAsia="es-ES"/>
        </w:rPr>
      </w:pPr>
    </w:p>
    <w:p w14:paraId="3155C172" w14:textId="77777777" w:rsidR="000F03FD" w:rsidRPr="001C374F" w:rsidRDefault="000F03FD" w:rsidP="000F03FD">
      <w:pPr>
        <w:numPr>
          <w:ilvl w:val="0"/>
          <w:numId w:val="16"/>
        </w:numPr>
        <w:tabs>
          <w:tab w:val="left" w:pos="142"/>
          <w:tab w:val="left" w:pos="284"/>
        </w:tabs>
        <w:spacing w:after="0" w:line="276" w:lineRule="auto"/>
        <w:ind w:left="993"/>
        <w:contextualSpacing/>
        <w:jc w:val="both"/>
        <w:rPr>
          <w:rFonts w:ascii="Verdana" w:eastAsia="Century Gothic" w:hAnsi="Verdana" w:cs="Century Gothic"/>
          <w:b/>
          <w:bCs/>
          <w:lang w:val="es-ES"/>
        </w:rPr>
      </w:pPr>
      <w:r w:rsidRPr="001C374F">
        <w:rPr>
          <w:rFonts w:ascii="Verdana" w:eastAsia="Century Gothic" w:hAnsi="Verdana" w:cs="Century Gothic"/>
          <w:b/>
          <w:bCs/>
          <w:lang w:val="es-ES"/>
        </w:rPr>
        <w:t>Problemas planteados:</w:t>
      </w:r>
    </w:p>
    <w:p w14:paraId="41EB098E" w14:textId="77777777" w:rsidR="000F03FD" w:rsidRPr="007B43DA" w:rsidRDefault="000F03FD" w:rsidP="000F03FD">
      <w:pPr>
        <w:pStyle w:val="pf0"/>
        <w:spacing w:before="0" w:beforeAutospacing="0" w:line="276" w:lineRule="auto"/>
        <w:ind w:left="0"/>
        <w:jc w:val="both"/>
        <w:rPr>
          <w:rFonts w:ascii="Verdana" w:eastAsiaTheme="minorHAnsi" w:hAnsi="Verdana" w:cs="Arial"/>
          <w:sz w:val="22"/>
          <w:szCs w:val="22"/>
          <w:lang w:eastAsia="en-US"/>
        </w:rPr>
      </w:pPr>
      <w:r w:rsidRPr="007B43DA">
        <w:rPr>
          <w:rFonts w:ascii="Verdana" w:eastAsia="Century Gothic" w:hAnsi="Verdana" w:cs="Century Gothic"/>
          <w:sz w:val="22"/>
          <w:szCs w:val="22"/>
        </w:rPr>
        <w:t xml:space="preserve">De acuerdo con el contenido de su solicitud, esta Agencia resolverá </w:t>
      </w:r>
      <w:r w:rsidRPr="007B43DA">
        <w:rPr>
          <w:rFonts w:ascii="Verdana" w:eastAsiaTheme="minorHAnsi" w:hAnsi="Verdana" w:cs="Arial"/>
          <w:sz w:val="22"/>
          <w:szCs w:val="22"/>
          <w:lang w:eastAsia="en-US"/>
        </w:rPr>
        <w:t xml:space="preserve">los siguientes problemas jurídicos: </w:t>
      </w:r>
      <w:r>
        <w:rPr>
          <w:rFonts w:ascii="Verdana" w:eastAsiaTheme="minorHAnsi" w:hAnsi="Verdana" w:cs="Arial"/>
          <w:sz w:val="22"/>
          <w:szCs w:val="22"/>
          <w:lang w:eastAsia="en-US"/>
        </w:rPr>
        <w:t xml:space="preserve">i) </w:t>
      </w:r>
      <w:r w:rsidRPr="007B43DA">
        <w:rPr>
          <w:rFonts w:ascii="Verdana" w:eastAsiaTheme="minorHAnsi" w:hAnsi="Verdana" w:cs="Arial"/>
          <w:sz w:val="22"/>
          <w:szCs w:val="22"/>
          <w:lang w:eastAsia="en-US"/>
        </w:rPr>
        <w:t>¿</w:t>
      </w:r>
      <w:r w:rsidRPr="00350177">
        <w:rPr>
          <w:rFonts w:ascii="Verdana" w:eastAsiaTheme="minorHAnsi" w:hAnsi="Verdana" w:cs="Arial"/>
          <w:sz w:val="22"/>
          <w:szCs w:val="22"/>
          <w:lang w:eastAsia="en-US"/>
        </w:rPr>
        <w:t>e</w:t>
      </w:r>
      <w:r w:rsidRPr="007B43DA">
        <w:rPr>
          <w:rFonts w:ascii="Verdana" w:eastAsiaTheme="minorHAnsi" w:hAnsi="Verdana" w:cs="Arial"/>
          <w:sz w:val="22"/>
          <w:szCs w:val="22"/>
          <w:lang w:eastAsia="en-US"/>
        </w:rPr>
        <w:t>n qué condiciones y modalidad pueden las Entidades Estatales sometidas al E</w:t>
      </w:r>
      <w:r>
        <w:rPr>
          <w:rFonts w:ascii="Verdana" w:eastAsiaTheme="minorHAnsi" w:hAnsi="Verdana" w:cs="Arial"/>
          <w:sz w:val="22"/>
          <w:szCs w:val="22"/>
          <w:lang w:eastAsia="en-US"/>
        </w:rPr>
        <w:t xml:space="preserve">statuto </w:t>
      </w:r>
      <w:r w:rsidRPr="007B43DA">
        <w:rPr>
          <w:rFonts w:ascii="Verdana" w:eastAsiaTheme="minorHAnsi" w:hAnsi="Verdana" w:cs="Arial"/>
          <w:sz w:val="22"/>
          <w:szCs w:val="22"/>
          <w:lang w:eastAsia="en-US"/>
        </w:rPr>
        <w:t>G</w:t>
      </w:r>
      <w:r>
        <w:rPr>
          <w:rFonts w:ascii="Verdana" w:eastAsiaTheme="minorHAnsi" w:hAnsi="Verdana" w:cs="Arial"/>
          <w:sz w:val="22"/>
          <w:szCs w:val="22"/>
          <w:lang w:eastAsia="en-US"/>
        </w:rPr>
        <w:t xml:space="preserve">eneral de </w:t>
      </w:r>
      <w:r w:rsidRPr="007B43DA">
        <w:rPr>
          <w:rFonts w:ascii="Verdana" w:eastAsiaTheme="minorHAnsi" w:hAnsi="Verdana" w:cs="Arial"/>
          <w:sz w:val="22"/>
          <w:szCs w:val="22"/>
          <w:lang w:eastAsia="en-US"/>
        </w:rPr>
        <w:t>C</w:t>
      </w:r>
      <w:r>
        <w:rPr>
          <w:rFonts w:ascii="Verdana" w:eastAsiaTheme="minorHAnsi" w:hAnsi="Verdana" w:cs="Arial"/>
          <w:sz w:val="22"/>
          <w:szCs w:val="22"/>
          <w:lang w:eastAsia="en-US"/>
        </w:rPr>
        <w:t xml:space="preserve">ontratación de la Administración </w:t>
      </w:r>
      <w:r w:rsidRPr="00DC5FF6">
        <w:rPr>
          <w:rFonts w:ascii="Verdana" w:eastAsiaTheme="minorHAnsi" w:hAnsi="Verdana" w:cs="Arial"/>
          <w:sz w:val="22"/>
          <w:szCs w:val="22"/>
          <w:lang w:eastAsia="en-US"/>
        </w:rPr>
        <w:t>P</w:t>
      </w:r>
      <w:r>
        <w:rPr>
          <w:rFonts w:ascii="Verdana" w:eastAsiaTheme="minorHAnsi" w:hAnsi="Verdana" w:cs="Arial"/>
          <w:sz w:val="22"/>
          <w:szCs w:val="22"/>
          <w:lang w:eastAsia="en-US"/>
        </w:rPr>
        <w:t xml:space="preserve">ública </w:t>
      </w:r>
      <w:r w:rsidRPr="00DC5FF6">
        <w:rPr>
          <w:rFonts w:ascii="Verdana" w:eastAsiaTheme="minorHAnsi" w:hAnsi="Verdana" w:cs="Arial"/>
          <w:sz w:val="22"/>
          <w:szCs w:val="22"/>
          <w:lang w:eastAsia="en-US"/>
        </w:rPr>
        <w:t>celebrar</w:t>
      </w:r>
      <w:r w:rsidRPr="007B43DA">
        <w:rPr>
          <w:rFonts w:ascii="Verdana" w:eastAsiaTheme="minorHAnsi" w:hAnsi="Verdana" w:cs="Arial"/>
          <w:sz w:val="22"/>
          <w:szCs w:val="22"/>
          <w:lang w:eastAsia="en-US"/>
        </w:rPr>
        <w:t xml:space="preserve"> contratos interadministrativos con Entidades Exceptuadas que se encuentren en competencia con el sector privado?</w:t>
      </w:r>
      <w:r w:rsidRPr="00350177">
        <w:rPr>
          <w:rFonts w:ascii="Verdana" w:eastAsiaTheme="minorHAnsi" w:hAnsi="Verdana" w:cs="Arial"/>
          <w:sz w:val="22"/>
          <w:szCs w:val="22"/>
          <w:lang w:eastAsia="en-US"/>
        </w:rPr>
        <w:t xml:space="preserve">; y </w:t>
      </w:r>
      <w:r w:rsidRPr="007B43DA">
        <w:rPr>
          <w:rFonts w:ascii="Verdana" w:eastAsiaTheme="minorHAnsi" w:hAnsi="Verdana" w:cs="Arial"/>
          <w:sz w:val="22"/>
          <w:szCs w:val="22"/>
          <w:lang w:eastAsia="en-US"/>
        </w:rPr>
        <w:t>ii) ¿</w:t>
      </w:r>
      <w:r w:rsidRPr="00350177">
        <w:rPr>
          <w:rFonts w:ascii="Verdana" w:eastAsiaTheme="minorHAnsi" w:hAnsi="Verdana" w:cs="Arial"/>
          <w:sz w:val="22"/>
          <w:szCs w:val="22"/>
          <w:lang w:eastAsia="en-US"/>
        </w:rPr>
        <w:t>e</w:t>
      </w:r>
      <w:r w:rsidRPr="007B43DA">
        <w:rPr>
          <w:rFonts w:ascii="Verdana" w:eastAsiaTheme="minorHAnsi" w:hAnsi="Verdana" w:cs="Arial"/>
          <w:sz w:val="22"/>
          <w:szCs w:val="22"/>
          <w:lang w:eastAsia="en-US"/>
        </w:rPr>
        <w:t xml:space="preserve">n qué condiciones y </w:t>
      </w:r>
      <w:r w:rsidRPr="00350177">
        <w:rPr>
          <w:rFonts w:ascii="Verdana" w:eastAsiaTheme="minorHAnsi" w:hAnsi="Verdana" w:cs="Arial"/>
          <w:sz w:val="22"/>
          <w:szCs w:val="22"/>
          <w:lang w:eastAsia="en-US"/>
        </w:rPr>
        <w:t>modalidades</w:t>
      </w:r>
      <w:r w:rsidRPr="007B43DA">
        <w:rPr>
          <w:rFonts w:ascii="Verdana" w:eastAsiaTheme="minorHAnsi" w:hAnsi="Verdana" w:cs="Arial"/>
          <w:sz w:val="22"/>
          <w:szCs w:val="22"/>
          <w:lang w:eastAsia="en-US"/>
        </w:rPr>
        <w:t xml:space="preserve"> podrían las Entidades Estatales exceptuadas de</w:t>
      </w:r>
      <w:r w:rsidRPr="00350177">
        <w:rPr>
          <w:rFonts w:ascii="Verdana" w:eastAsiaTheme="minorHAnsi" w:hAnsi="Verdana" w:cs="Arial"/>
          <w:sz w:val="22"/>
          <w:szCs w:val="22"/>
          <w:lang w:eastAsia="en-US"/>
        </w:rPr>
        <w:t xml:space="preserve"> Estatuto General de Contratación</w:t>
      </w:r>
      <w:r w:rsidRPr="007B43DA">
        <w:rPr>
          <w:rFonts w:ascii="Verdana" w:eastAsiaTheme="minorHAnsi" w:hAnsi="Verdana" w:cs="Arial"/>
          <w:sz w:val="22"/>
          <w:szCs w:val="22"/>
          <w:lang w:eastAsia="en-US"/>
        </w:rPr>
        <w:t>, que se encuentren en competencia con el sector privado, celebrar convenios interadministrativos con Entidades Estatales?</w:t>
      </w:r>
    </w:p>
    <w:p w14:paraId="70DA6FF0" w14:textId="77777777" w:rsidR="000F03FD" w:rsidRPr="001C374F" w:rsidRDefault="000F03FD" w:rsidP="000F03FD">
      <w:pPr>
        <w:numPr>
          <w:ilvl w:val="0"/>
          <w:numId w:val="16"/>
        </w:numPr>
        <w:tabs>
          <w:tab w:val="left" w:pos="142"/>
          <w:tab w:val="left" w:pos="284"/>
        </w:tabs>
        <w:spacing w:after="0" w:line="276" w:lineRule="auto"/>
        <w:jc w:val="both"/>
        <w:rPr>
          <w:rFonts w:ascii="Verdana" w:eastAsia="Century Gothic" w:hAnsi="Verdana" w:cs="Century Gothic"/>
          <w:b/>
          <w:bCs/>
          <w:lang w:val="es-ES"/>
        </w:rPr>
      </w:pPr>
      <w:r w:rsidRPr="001C374F">
        <w:rPr>
          <w:rFonts w:ascii="Verdana" w:eastAsia="Century Gothic" w:hAnsi="Verdana" w:cs="Century Gothic"/>
          <w:b/>
          <w:bCs/>
          <w:lang w:val="es-ES"/>
        </w:rPr>
        <w:t>Respuestas:</w:t>
      </w:r>
    </w:p>
    <w:p w14:paraId="070544D9" w14:textId="77777777" w:rsidR="000F03FD" w:rsidRPr="001C374F" w:rsidRDefault="000F03FD" w:rsidP="000F03F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F03FD" w:rsidRPr="001C374F" w14:paraId="0DE3C754" w14:textId="77777777" w:rsidTr="000A586A">
        <w:trPr>
          <w:jc w:val="center"/>
        </w:trPr>
        <w:tc>
          <w:tcPr>
            <w:tcW w:w="8828" w:type="dxa"/>
            <w:shd w:val="clear" w:color="auto" w:fill="auto"/>
          </w:tcPr>
          <w:p w14:paraId="702EF9A4" w14:textId="77777777" w:rsidR="000F03FD" w:rsidRPr="00350177" w:rsidRDefault="000F03FD" w:rsidP="000A586A">
            <w:pPr>
              <w:autoSpaceDE w:val="0"/>
              <w:autoSpaceDN w:val="0"/>
              <w:adjustRightInd w:val="0"/>
              <w:spacing w:after="120" w:line="276" w:lineRule="auto"/>
              <w:jc w:val="both"/>
              <w:rPr>
                <w:rFonts w:ascii="Verdana" w:eastAsia="Calibri" w:hAnsi="Verdana" w:cs="Arial"/>
                <w:color w:val="000000" w:themeColor="text1"/>
              </w:rPr>
            </w:pPr>
            <w:r w:rsidRPr="00350177">
              <w:rPr>
                <w:rFonts w:ascii="Verdana" w:eastAsia="Calibri" w:hAnsi="Verdana" w:cs="Arial"/>
                <w:color w:val="000000" w:themeColor="text1"/>
              </w:rPr>
              <w:t xml:space="preserve">Con relación al </w:t>
            </w:r>
            <w:r w:rsidRPr="00804AFF">
              <w:rPr>
                <w:rFonts w:ascii="Verdana" w:eastAsia="Calibri" w:hAnsi="Verdana" w:cs="Arial"/>
                <w:i/>
                <w:iCs/>
                <w:color w:val="000000" w:themeColor="text1"/>
              </w:rPr>
              <w:t>primer problema</w:t>
            </w:r>
            <w:r w:rsidRPr="00350177">
              <w:rPr>
                <w:rFonts w:ascii="Verdana" w:eastAsia="Calibri" w:hAnsi="Verdana" w:cs="Arial"/>
                <w:color w:val="000000" w:themeColor="text1"/>
              </w:rPr>
              <w:t xml:space="preserve"> planteado se estima que, de acuerdo con la causal establecida en el literal c) del numeral 4 del artículo 2 de la Ley 1150 de 2007, las Entidades Estatales pueden celebrar contratos interadministrativos para que sean ejecutados por Entidades Estatales, siempre que las obligaciones derivadas del mismo tengan relación directa con el objeto de la entidad ejecutora señalado en la ley o en sus reglamentos. De esta posibilidad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referidas entidad, siempre que participen en procesos de selección competitivos de acuerdo con lo dispuesto por los numerales 1 y 2 del presente artículo.    </w:t>
            </w:r>
          </w:p>
          <w:p w14:paraId="552C0D5A" w14:textId="77777777" w:rsidR="000F03FD" w:rsidRPr="00350177" w:rsidRDefault="000F03FD" w:rsidP="000A586A">
            <w:pPr>
              <w:autoSpaceDE w:val="0"/>
              <w:autoSpaceDN w:val="0"/>
              <w:adjustRightInd w:val="0"/>
              <w:spacing w:after="120" w:line="276" w:lineRule="auto"/>
              <w:ind w:firstLine="709"/>
              <w:jc w:val="both"/>
              <w:rPr>
                <w:rFonts w:ascii="Verdana" w:eastAsia="Calibri" w:hAnsi="Verdana" w:cs="Arial"/>
                <w:color w:val="000000" w:themeColor="text1"/>
              </w:rPr>
            </w:pPr>
            <w:r w:rsidRPr="00350177">
              <w:rPr>
                <w:rFonts w:ascii="Verdana" w:eastAsia="Calibri" w:hAnsi="Verdana" w:cs="Arial"/>
                <w:color w:val="000000" w:themeColor="text1"/>
              </w:rPr>
              <w:lastRenderedPageBreak/>
              <w:t xml:space="preserve">En todo caso, estos contratos interadministrativos también pueden ser celebrados con Entidades Estatales exceptuadas del EGCAP, caso en el cual prevalecerá el régimen público. Esto salvo en el caso en el que la Entidad Estatal ejecutora desarrolle su actividad en competencia con el sector privado o cuando la ejecución del contrato interadministrativo tenga relación directa con el desarrollo de su actividad. </w:t>
            </w:r>
          </w:p>
          <w:p w14:paraId="16090A71" w14:textId="77777777" w:rsidR="000F03FD" w:rsidRPr="00804AFF" w:rsidRDefault="000F03FD" w:rsidP="000A586A">
            <w:pPr>
              <w:spacing w:before="120" w:line="276" w:lineRule="auto"/>
              <w:ind w:firstLine="720"/>
              <w:jc w:val="both"/>
              <w:rPr>
                <w:rFonts w:ascii="Verdana" w:eastAsia="Calibri" w:hAnsi="Verdana" w:cs="Arial"/>
                <w:color w:val="000000"/>
              </w:rPr>
            </w:pPr>
            <w:r w:rsidRPr="00804AFF">
              <w:rPr>
                <w:rFonts w:ascii="Verdana" w:eastAsia="Calibri" w:hAnsi="Verdana" w:cs="Arial"/>
                <w:color w:val="000000"/>
              </w:rPr>
              <w:t xml:space="preserve">Con todo, para la aplicación en la causal prevista en </w:t>
            </w:r>
            <w:r w:rsidRPr="00350177">
              <w:rPr>
                <w:rFonts w:ascii="Verdana" w:eastAsia="Calibri" w:hAnsi="Verdana" w:cs="Arial"/>
                <w:color w:val="000000" w:themeColor="text1"/>
              </w:rPr>
              <w:t xml:space="preserve">el literal c) del numeral 4 del artículo 2 de la Ley 1150 de 2007, </w:t>
            </w:r>
            <w:r w:rsidRPr="00804AFF">
              <w:rPr>
                <w:rFonts w:ascii="Verdana" w:eastAsia="Calibri" w:hAnsi="Verdana" w:cs="Arial"/>
                <w:color w:val="000000"/>
              </w:rPr>
              <w:t xml:space="preserve">es necesario que la entidad justifique las razones por las cuales se contratará directamente con la entidad estatal basado en criterios objetivos como la experiencia, la idoneidad, capacidad financiera, capacidad técnica y operativa, entre otros. De esta manera, la entidad estatal, además de verificar el cumplimiento de los requisitos señalados en el literal c) del numeral 4 del artículo 2 de la Ley 1150 de 2007, deberá constatar que la entidad con la cual se celebrará el contrato está en capacidad de ejecutar el objeto contractual y que haya demostrado la idoneidad para cumplirlo, sin que sea necesario que haya obtenido previamente varias ofertas, de lo cual la entidad deberá dejar la constancia respectiva. </w:t>
            </w:r>
          </w:p>
          <w:p w14:paraId="73E2553C" w14:textId="77777777" w:rsidR="000F03FD" w:rsidRDefault="000F03FD" w:rsidP="000A586A">
            <w:pPr>
              <w:autoSpaceDE w:val="0"/>
              <w:autoSpaceDN w:val="0"/>
              <w:adjustRightInd w:val="0"/>
              <w:spacing w:after="120" w:line="276" w:lineRule="auto"/>
              <w:ind w:firstLine="709"/>
              <w:jc w:val="both"/>
              <w:rPr>
                <w:rFonts w:ascii="Verdana" w:hAnsi="Verdana" w:cs="Arial"/>
              </w:rPr>
            </w:pPr>
            <w:r w:rsidRPr="00350177">
              <w:rPr>
                <w:rFonts w:ascii="Verdana" w:hAnsi="Verdana" w:cs="Arial"/>
              </w:rPr>
              <w:t xml:space="preserve">De otra parte, con relación al </w:t>
            </w:r>
            <w:r w:rsidRPr="00804AFF">
              <w:rPr>
                <w:rFonts w:ascii="Verdana" w:hAnsi="Verdana" w:cs="Arial"/>
                <w:i/>
                <w:iCs/>
              </w:rPr>
              <w:t>segundo problema</w:t>
            </w:r>
            <w:r w:rsidRPr="00350177">
              <w:rPr>
                <w:rFonts w:ascii="Verdana" w:hAnsi="Verdana" w:cs="Arial"/>
              </w:rPr>
              <w:t xml:space="preserve"> es menester indicar que, de acuerdo con el artículo 95 de la Ley 489 de 1998, las entidades públicas tienen la posibilidad de celebrar convenios interadministrativos con otras entidades públicas con el fin de cooperar en el desarrollo de funciones administrativas o la prestación de servicios públicos. En todo caso, las actividades que se desarrollen a través de estos convenios necesariamente deberán estar relacionadas dirigidas al cumplimiento de funciones administrativas atribuidas a las entidades involucradas o prestación conjunta de los servicios que se hallen a su cargo. </w:t>
            </w:r>
          </w:p>
          <w:p w14:paraId="4CECC3E0" w14:textId="77777777" w:rsidR="000F03FD" w:rsidRDefault="000F03FD" w:rsidP="000A586A">
            <w:pPr>
              <w:autoSpaceDE w:val="0"/>
              <w:autoSpaceDN w:val="0"/>
              <w:adjustRightInd w:val="0"/>
              <w:spacing w:after="120" w:line="276" w:lineRule="auto"/>
              <w:ind w:firstLine="709"/>
              <w:jc w:val="both"/>
              <w:rPr>
                <w:rFonts w:ascii="Verdana" w:hAnsi="Verdana" w:cs="Arial"/>
              </w:rPr>
            </w:pPr>
            <w:r w:rsidRPr="00350177">
              <w:rPr>
                <w:rFonts w:ascii="Verdana" w:hAnsi="Verdana" w:cs="Arial"/>
              </w:rPr>
              <w:t>Con todo, corresponde a cada entidad estatal determinar en cada caso concreto la viabilidad jurídica, técnica y financiera de los negocios jurídicos a celebrar. A estos efectos, deberán verificar el objeto de cada negocio interadministrativo a celebrar, estableciendo su alcance de acuerdo con las funciones administrativas, servicios públicos a cargo y fines misionales de cada entidad pública involucrada.</w:t>
            </w:r>
          </w:p>
          <w:p w14:paraId="32234390" w14:textId="77777777" w:rsidR="000F03FD" w:rsidRPr="00804AFF" w:rsidRDefault="000F03FD" w:rsidP="000A586A">
            <w:pPr>
              <w:autoSpaceDE w:val="0"/>
              <w:autoSpaceDN w:val="0"/>
              <w:adjustRightInd w:val="0"/>
              <w:spacing w:after="120" w:line="276" w:lineRule="auto"/>
              <w:jc w:val="both"/>
              <w:rPr>
                <w:rFonts w:ascii="Verdana" w:hAnsi="Verdana"/>
              </w:rPr>
            </w:pPr>
            <w:r>
              <w:rPr>
                <w:rFonts w:ascii="Verdana" w:hAnsi="Verdana" w:cs="Arial"/>
              </w:rPr>
              <w:t xml:space="preserve">         Por último, en relación con lo solicitado</w:t>
            </w:r>
            <w:r w:rsidRPr="00DB1B6D">
              <w:rPr>
                <w:rFonts w:ascii="Verdana" w:hAnsi="Verdana" w:cs="Arial"/>
              </w:rPr>
              <w:t xml:space="preserve"> en el numeral 1.5.1.4</w:t>
            </w:r>
            <w:r>
              <w:rPr>
                <w:rFonts w:ascii="Verdana" w:hAnsi="Verdana" w:cs="Arial"/>
              </w:rPr>
              <w:t>., se incluye en oficio anexo.</w:t>
            </w:r>
          </w:p>
        </w:tc>
      </w:tr>
    </w:tbl>
    <w:p w14:paraId="76629716" w14:textId="77777777" w:rsidR="000F03FD" w:rsidRPr="001C374F" w:rsidRDefault="000F03FD" w:rsidP="000F03FD">
      <w:pPr>
        <w:tabs>
          <w:tab w:val="left" w:pos="142"/>
          <w:tab w:val="left" w:pos="284"/>
        </w:tabs>
        <w:spacing w:after="0" w:line="276" w:lineRule="auto"/>
        <w:jc w:val="both"/>
        <w:rPr>
          <w:rFonts w:ascii="Verdana" w:eastAsia="Century Gothic" w:hAnsi="Verdana" w:cs="Century Gothic"/>
          <w:b/>
          <w:bCs/>
          <w:lang w:val="es-ES"/>
        </w:rPr>
      </w:pPr>
    </w:p>
    <w:p w14:paraId="3F4B2253" w14:textId="77777777" w:rsidR="000F03FD" w:rsidRPr="001C374F" w:rsidRDefault="000F03FD" w:rsidP="000F03FD">
      <w:pPr>
        <w:numPr>
          <w:ilvl w:val="0"/>
          <w:numId w:val="16"/>
        </w:numPr>
        <w:tabs>
          <w:tab w:val="left" w:pos="142"/>
          <w:tab w:val="left" w:pos="284"/>
        </w:tabs>
        <w:spacing w:after="0" w:line="276" w:lineRule="auto"/>
        <w:jc w:val="both"/>
        <w:rPr>
          <w:rFonts w:ascii="Verdana" w:eastAsia="Century Gothic" w:hAnsi="Verdana" w:cs="Century Gothic"/>
          <w:b/>
          <w:bCs/>
          <w:lang w:val="es-ES"/>
        </w:rPr>
      </w:pPr>
      <w:r w:rsidRPr="001C374F">
        <w:rPr>
          <w:rFonts w:ascii="Verdana" w:eastAsia="Century Gothic" w:hAnsi="Verdana" w:cs="Century Gothic"/>
          <w:b/>
          <w:bCs/>
          <w:lang w:val="es-ES"/>
        </w:rPr>
        <w:lastRenderedPageBreak/>
        <w:t>Razones de las respuestas:</w:t>
      </w:r>
    </w:p>
    <w:p w14:paraId="4070A364" w14:textId="77777777" w:rsidR="000F03FD" w:rsidRPr="001C374F" w:rsidRDefault="000F03FD" w:rsidP="000F03FD">
      <w:pPr>
        <w:spacing w:after="0" w:line="276" w:lineRule="auto"/>
        <w:jc w:val="both"/>
        <w:rPr>
          <w:rFonts w:ascii="Verdana" w:eastAsia="Calibri" w:hAnsi="Verdana" w:cs="Arial"/>
          <w:color w:val="7030A0"/>
          <w:lang w:val="es-ES"/>
        </w:rPr>
      </w:pPr>
    </w:p>
    <w:p w14:paraId="3C3919FB" w14:textId="77777777" w:rsidR="000F03FD" w:rsidRDefault="000F03FD" w:rsidP="000F03FD">
      <w:pPr>
        <w:spacing w:after="0" w:line="276" w:lineRule="auto"/>
        <w:jc w:val="both"/>
        <w:rPr>
          <w:rFonts w:ascii="Verdana" w:eastAsia="Calibri" w:hAnsi="Verdana" w:cs="Arial"/>
          <w:lang w:val="es-ES"/>
        </w:rPr>
      </w:pPr>
      <w:r w:rsidRPr="001C374F">
        <w:rPr>
          <w:rFonts w:ascii="Verdana" w:eastAsia="Calibri" w:hAnsi="Verdana" w:cs="Arial"/>
          <w:lang w:val="es-ES"/>
        </w:rPr>
        <w:t>Lo anterior se sustenta en las siguientes consideraciones:</w:t>
      </w:r>
    </w:p>
    <w:p w14:paraId="75A6862D" w14:textId="77777777" w:rsidR="000F03FD" w:rsidRDefault="000F03FD" w:rsidP="000F03FD">
      <w:pPr>
        <w:spacing w:after="0" w:line="276" w:lineRule="auto"/>
        <w:jc w:val="both"/>
        <w:rPr>
          <w:rFonts w:ascii="Verdana" w:eastAsia="Calibri" w:hAnsi="Verdana" w:cs="Arial"/>
          <w:lang w:val="es-ES"/>
        </w:rPr>
      </w:pPr>
    </w:p>
    <w:p w14:paraId="10765DF1" w14:textId="77777777" w:rsidR="000F03FD" w:rsidRPr="00350177" w:rsidRDefault="000F03FD" w:rsidP="000F03FD">
      <w:pPr>
        <w:spacing w:after="120" w:line="276" w:lineRule="auto"/>
        <w:jc w:val="both"/>
        <w:rPr>
          <w:rFonts w:ascii="Verdana" w:eastAsia="Times New Roman" w:hAnsi="Verdana" w:cs="Arial"/>
          <w:color w:val="000000" w:themeColor="text1"/>
          <w:lang w:eastAsia="es-CO"/>
        </w:rPr>
      </w:pPr>
      <w:r w:rsidRPr="00350177">
        <w:rPr>
          <w:rFonts w:ascii="Verdana" w:eastAsia="Times New Roman" w:hAnsi="Verdana" w:cs="Arial"/>
          <w:color w:val="000000" w:themeColor="text1"/>
          <w:lang w:val="es-ES_tradnl" w:eastAsia="es-CO"/>
        </w:rPr>
        <w:t>La contratación Estatal constituye un instrumento a través del cual las Entidades Públicas realizan el aprovisionamiento de sus bienes, obras y servicios, con el propósito de satisfacer las necesidades e intereses colectivos</w:t>
      </w:r>
      <w:r w:rsidRPr="00350177">
        <w:rPr>
          <w:rFonts w:ascii="Verdana" w:eastAsia="Times New Roman" w:hAnsi="Verdana" w:cs="Arial"/>
          <w:color w:val="000000" w:themeColor="text1"/>
          <w:vertAlign w:val="superscript"/>
          <w:lang w:eastAsia="es-CO"/>
        </w:rPr>
        <w:footnoteReference w:id="1"/>
      </w:r>
      <w:r w:rsidRPr="00350177">
        <w:rPr>
          <w:rFonts w:ascii="Verdana" w:eastAsia="Times New Roman" w:hAnsi="Verdana" w:cs="Arial"/>
          <w:color w:val="000000" w:themeColor="text1"/>
          <w:lang w:val="es-ES_tradnl" w:eastAsia="es-CO"/>
        </w:rPr>
        <w:t xml:space="preserve">. Para este propósito se sirve de la colaboración de los particulares o de otras entidades que integran la administración pública. </w:t>
      </w:r>
      <w:r w:rsidRPr="00350177">
        <w:rPr>
          <w:rFonts w:ascii="Verdana" w:eastAsia="Times New Roman" w:hAnsi="Verdana" w:cs="Arial"/>
          <w:color w:val="000000" w:themeColor="text1"/>
          <w:lang w:eastAsia="es-CO"/>
        </w:rPr>
        <w:t>Cuando se trata de contratos celebrados por dos Entidades Estatales, tales negocios jurídicos se han denominado como interadministrativos, en el entendido de que son celebrados entre Entidades Públicas. En efecto, la doctrina ha señalado que “se denominan contratos interadministrativos los contratos bilaterales celebrados entre dos entidades estatales”</w:t>
      </w:r>
      <w:r w:rsidRPr="00350177">
        <w:rPr>
          <w:rFonts w:ascii="Verdana" w:eastAsia="Times New Roman" w:hAnsi="Verdana" w:cs="Arial"/>
          <w:color w:val="000000" w:themeColor="text1"/>
          <w:vertAlign w:val="superscript"/>
          <w:lang w:eastAsia="es-CO"/>
        </w:rPr>
        <w:footnoteReference w:id="2"/>
      </w:r>
      <w:r w:rsidRPr="00350177">
        <w:rPr>
          <w:rFonts w:ascii="Verdana" w:eastAsia="Times New Roman" w:hAnsi="Verdana" w:cs="Arial"/>
          <w:color w:val="000000" w:themeColor="text1"/>
          <w:lang w:eastAsia="es-CO"/>
        </w:rPr>
        <w:t xml:space="preserve">. </w:t>
      </w:r>
    </w:p>
    <w:p w14:paraId="27FEA81D" w14:textId="77777777" w:rsidR="000F03FD" w:rsidRPr="00350177" w:rsidRDefault="000F03FD" w:rsidP="000F03FD">
      <w:pPr>
        <w:spacing w:after="120" w:line="276" w:lineRule="auto"/>
        <w:ind w:firstLine="708"/>
        <w:jc w:val="both"/>
        <w:rPr>
          <w:rFonts w:ascii="Verdana" w:eastAsia="Times New Roman" w:hAnsi="Verdana" w:cs="Arial"/>
          <w:color w:val="000000" w:themeColor="text1"/>
          <w:lang w:val="es-ES" w:eastAsia="es-CO"/>
        </w:rPr>
      </w:pPr>
      <w:r w:rsidRPr="00350177">
        <w:rPr>
          <w:rFonts w:ascii="Verdana" w:eastAsia="Times New Roman" w:hAnsi="Verdana" w:cs="Arial"/>
          <w:color w:val="000000" w:themeColor="text1"/>
          <w:lang w:val="es-ES" w:eastAsia="es-CO"/>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350177">
        <w:rPr>
          <w:rFonts w:ascii="Verdana" w:eastAsia="Times New Roman" w:hAnsi="Verdana" w:cs="Arial"/>
          <w:color w:val="000000" w:themeColor="text1"/>
          <w:vertAlign w:val="superscript"/>
          <w:lang w:val="es-ES" w:eastAsia="es-CO"/>
        </w:rPr>
        <w:footnoteReference w:id="3"/>
      </w:r>
      <w:r w:rsidRPr="00350177">
        <w:rPr>
          <w:rFonts w:ascii="Verdana" w:eastAsia="Times New Roman" w:hAnsi="Verdana" w:cs="Arial"/>
          <w:color w:val="000000" w:themeColor="text1"/>
          <w:lang w:val="es-ES"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6F8437E6" w14:textId="77777777" w:rsidR="000F03FD" w:rsidRPr="00804AFF" w:rsidRDefault="000F03FD" w:rsidP="000F03FD">
      <w:pPr>
        <w:snapToGrid w:val="0"/>
        <w:spacing w:before="120" w:after="0" w:line="276" w:lineRule="auto"/>
        <w:ind w:firstLine="709"/>
        <w:jc w:val="both"/>
        <w:rPr>
          <w:rFonts w:ascii="Verdana" w:eastAsia="Calibri" w:hAnsi="Verdana" w:cs="Arial"/>
          <w:bCs/>
          <w:color w:val="000000" w:themeColor="text1"/>
          <w:szCs w:val="24"/>
          <w:lang w:eastAsia="es-ES_tradnl" w:bidi="es-ES"/>
        </w:rPr>
      </w:pPr>
      <w:r w:rsidRPr="00350177">
        <w:rPr>
          <w:rFonts w:ascii="Verdana" w:eastAsia="Times New Roman" w:hAnsi="Verdana" w:cs="Arial"/>
          <w:color w:val="000000" w:themeColor="text1"/>
          <w:lang w:val="es-ES" w:eastAsia="es-CO"/>
        </w:rPr>
        <w:t xml:space="preserve">De otra parte, se tiene que, </w:t>
      </w:r>
      <w:r w:rsidRPr="00804AFF">
        <w:rPr>
          <w:rFonts w:ascii="Verdana" w:eastAsia="Calibri" w:hAnsi="Verdana" w:cs="Arial"/>
          <w:color w:val="000000" w:themeColor="text1"/>
          <w:lang w:val="es-ES_tradnl"/>
        </w:rPr>
        <w:t>el artículo 95 de la Ley 489 de 1998 permite a las entidades públicas asociarse entre ellas, para ejecutar actividades que son de su competencia a través de convenios interadministrativos</w:t>
      </w:r>
      <w:r w:rsidRPr="00804AFF">
        <w:rPr>
          <w:rStyle w:val="Refdenotaalpie"/>
          <w:rFonts w:ascii="Verdana" w:eastAsia="Calibri" w:hAnsi="Verdana" w:cs="Arial"/>
          <w:color w:val="000000" w:themeColor="text1"/>
          <w:lang w:val="es-ES_tradnl"/>
        </w:rPr>
        <w:footnoteReference w:id="4"/>
      </w:r>
      <w:r w:rsidRPr="00804AFF">
        <w:rPr>
          <w:rFonts w:ascii="Verdana" w:eastAsia="Calibri" w:hAnsi="Verdana" w:cs="Arial"/>
          <w:color w:val="000000" w:themeColor="text1"/>
          <w:lang w:val="es-ES_tradnl"/>
        </w:rPr>
        <w:t xml:space="preserve">. La celebración </w:t>
      </w:r>
      <w:r w:rsidRPr="00804AFF">
        <w:rPr>
          <w:rFonts w:ascii="Verdana" w:eastAsia="Calibri" w:hAnsi="Verdana" w:cs="Arial"/>
          <w:color w:val="000000" w:themeColor="text1"/>
          <w:lang w:val="es-ES_tradnl"/>
        </w:rPr>
        <w:lastRenderedPageBreak/>
        <w:t xml:space="preserve">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Esto significa que no necesariamente la asociación entre entidades públicas se materializa en la creación de una persona jurídica autónoma. Al respecto, es importante distinguir dos escenarios: </w:t>
      </w:r>
    </w:p>
    <w:p w14:paraId="3E616AD1" w14:textId="77777777" w:rsidR="000F03FD" w:rsidRPr="00804AFF" w:rsidRDefault="000F03FD" w:rsidP="000F03FD">
      <w:pPr>
        <w:spacing w:before="120" w:after="120" w:line="276" w:lineRule="auto"/>
        <w:ind w:firstLine="709"/>
        <w:jc w:val="both"/>
        <w:rPr>
          <w:rFonts w:ascii="Verdana" w:eastAsia="Calibri" w:hAnsi="Verdana" w:cs="Arial"/>
          <w:color w:val="000000" w:themeColor="text1"/>
          <w:lang w:val="es-ES"/>
        </w:rPr>
      </w:pPr>
      <w:r w:rsidRPr="00804AFF">
        <w:rPr>
          <w:rFonts w:ascii="Verdana" w:eastAsia="Calibri" w:hAnsi="Verdana" w:cs="Arial"/>
          <w:color w:val="000000" w:themeColor="text1"/>
          <w:lang w:val="es-ES"/>
        </w:rPr>
        <w:t xml:space="preserve">i) La asociación de entidades públicas de la que no resulta una persona jurídica; evento en el </w:t>
      </w:r>
      <w:r w:rsidRPr="5473A1BC">
        <w:rPr>
          <w:rFonts w:ascii="Verdana" w:eastAsia="Calibri" w:hAnsi="Verdana" w:cs="Arial"/>
          <w:color w:val="000000" w:themeColor="text1"/>
          <w:lang w:val="es-ES"/>
        </w:rPr>
        <w:t>cual,</w:t>
      </w:r>
      <w:r w:rsidRPr="00804AFF">
        <w:rPr>
          <w:rFonts w:ascii="Verdana" w:eastAsia="Calibri" w:hAnsi="Verdana" w:cs="Arial"/>
          <w:color w:val="000000" w:themeColor="text1"/>
          <w:lang w:val="es-ES"/>
        </w:rPr>
        <w:t xml:space="preserve"> si del convenio se desprende la obligación para alguna de las entidades asociadas de celebrar contratos para cumplir el objeto de aquel, el régimen jurídico que debe aplicar la entidad contratante es el que por regla general la rige. Así, por ejemplo, si se celebra un convenio de asociación entre universidades públicas, sin dar lugar a la creación de una persona jurídica, y posteriormente alguna de estas debe celebrar un contrato en ejecución de sus obligaciones adquiridas en el convenio, la celebración de aquel se rige por el derecho privado, ya que así lo dispone el artículo 93 de la Ley 30 de 1992. A conclusión distinta se llega si el régimen de la entidad estatal asociada es el del Estatuto General de Contratación de la Administración Pública, pues en este caso los contratos que celebre, en ejecución del convenio de asociación, se rigen por la Ley 80 de 1993 y disposiciones normativas complementarias.  </w:t>
      </w:r>
    </w:p>
    <w:p w14:paraId="3A4B9BEF" w14:textId="77777777" w:rsidR="000F03FD" w:rsidRPr="00804AFF" w:rsidRDefault="000F03FD" w:rsidP="000F03FD">
      <w:pPr>
        <w:spacing w:before="120" w:after="120" w:line="276" w:lineRule="auto"/>
        <w:ind w:firstLine="709"/>
        <w:jc w:val="both"/>
        <w:rPr>
          <w:rFonts w:ascii="Verdana" w:eastAsia="Calibri" w:hAnsi="Verdana" w:cs="Arial"/>
          <w:color w:val="000000" w:themeColor="text1"/>
          <w:lang w:val="es-ES"/>
        </w:rPr>
      </w:pPr>
      <w:r w:rsidRPr="00804AFF">
        <w:rPr>
          <w:rFonts w:ascii="Verdana" w:eastAsia="Calibri" w:hAnsi="Verdana" w:cs="Arial"/>
          <w:color w:val="000000" w:themeColor="text1"/>
          <w:lang w:val="es-ES"/>
        </w:rPr>
        <w:t>ii) La asociación de entidades públicas que se refleja en la creación de una persona jurídica nueva, es decir, distinta de las entidades que se asocian. Este es un caso de descentralización por servicios indirecta. Al respecto, el segundo inciso del artículo 95 de la Ley 489 de 1998 establece: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 Sin embargo, esta norma fue declarada condicionalmente exequible</w:t>
      </w:r>
      <w:r w:rsidRPr="00804AFF">
        <w:rPr>
          <w:rStyle w:val="Refdenotaalpie"/>
          <w:rFonts w:ascii="Verdana" w:eastAsia="Calibri" w:hAnsi="Verdana" w:cs="Arial"/>
          <w:color w:val="000000" w:themeColor="text1"/>
          <w:lang w:val="es-ES_tradnl"/>
        </w:rPr>
        <w:footnoteReference w:id="5"/>
      </w:r>
      <w:r w:rsidRPr="00804AFF">
        <w:rPr>
          <w:rFonts w:ascii="Verdana" w:eastAsia="Calibri" w:hAnsi="Verdana" w:cs="Arial"/>
          <w:color w:val="000000" w:themeColor="text1"/>
          <w:lang w:val="es-ES"/>
        </w:rPr>
        <w:t xml:space="preserve">. </w:t>
      </w:r>
    </w:p>
    <w:p w14:paraId="01A9E8A9" w14:textId="77777777" w:rsidR="000F03FD" w:rsidRPr="00804AFF" w:rsidRDefault="000F03FD" w:rsidP="000F03FD">
      <w:pPr>
        <w:spacing w:after="0" w:line="276" w:lineRule="auto"/>
        <w:ind w:firstLine="709"/>
        <w:jc w:val="both"/>
        <w:rPr>
          <w:rFonts w:ascii="Verdana" w:eastAsia="Calibri" w:hAnsi="Verdana" w:cs="Arial"/>
          <w:color w:val="000000" w:themeColor="text1"/>
          <w:lang w:val="es-ES_tradnl"/>
        </w:rPr>
      </w:pPr>
      <w:r w:rsidRPr="00804AFF">
        <w:rPr>
          <w:rFonts w:ascii="Verdana" w:eastAsia="Calibri" w:hAnsi="Verdana" w:cs="Arial"/>
          <w:color w:val="000000" w:themeColor="text1"/>
          <w:lang w:val="es-ES_tradnl"/>
        </w:rPr>
        <w:lastRenderedPageBreak/>
        <w:t>Por tanto, acorde con el condicionamiento de constitucionalidad emitido por la Corte Constitucional en la Sentencia C-671 de 1999, se puede concluir que si el convenio de asociación es celebrado entre dos o más entidades estatales exceptuadas de la aplicación del Estatuto General de Contratación de la Administración Pública y 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r w:rsidRPr="00804AFF">
        <w:rPr>
          <w:rStyle w:val="Refdenotaalpie"/>
          <w:rFonts w:ascii="Verdana" w:eastAsia="Calibri" w:hAnsi="Verdana" w:cs="Arial"/>
          <w:color w:val="000000" w:themeColor="text1"/>
          <w:lang w:val="es-ES_tradnl"/>
        </w:rPr>
        <w:footnoteReference w:id="6"/>
      </w:r>
      <w:r w:rsidRPr="00804AFF">
        <w:rPr>
          <w:rFonts w:ascii="Verdana" w:eastAsia="Calibri" w:hAnsi="Verdana" w:cs="Arial"/>
          <w:color w:val="000000" w:themeColor="text1"/>
          <w:lang w:val="es-ES_tradnl"/>
        </w:rPr>
        <w:t>. En el mismo orden de ideas, si el régimen contractual de las entidades estatales que se asocian es el Estatuto General de Contratación de la Administración Pública, el de la persona jurídica derivada lo será también aquel.</w:t>
      </w:r>
    </w:p>
    <w:p w14:paraId="6E4F3DC9" w14:textId="77777777" w:rsidR="000F03FD" w:rsidRPr="00804AFF" w:rsidRDefault="000F03FD" w:rsidP="000F03FD">
      <w:pPr>
        <w:spacing w:after="120" w:line="276" w:lineRule="auto"/>
        <w:ind w:firstLine="708"/>
        <w:jc w:val="both"/>
        <w:rPr>
          <w:rFonts w:ascii="Verdana" w:eastAsia="Times New Roman" w:hAnsi="Verdana" w:cs="Arial"/>
          <w:color w:val="000000" w:themeColor="text1"/>
          <w:lang w:val="es-ES_tradnl" w:eastAsia="es-CO"/>
        </w:rPr>
      </w:pPr>
    </w:p>
    <w:p w14:paraId="7102302B" w14:textId="77777777" w:rsidR="000F03FD" w:rsidRPr="00804AFF" w:rsidRDefault="000F03FD" w:rsidP="000F03FD">
      <w:pPr>
        <w:spacing w:before="120" w:after="0" w:line="276" w:lineRule="auto"/>
        <w:ind w:firstLine="709"/>
        <w:jc w:val="both"/>
        <w:rPr>
          <w:rFonts w:ascii="Verdana" w:eastAsia="Calibri" w:hAnsi="Verdana" w:cs="Arial"/>
          <w:color w:val="000000" w:themeColor="text1"/>
          <w:lang w:val="es-ES_tradnl"/>
        </w:rPr>
      </w:pPr>
      <w:r w:rsidRPr="00804AFF">
        <w:rPr>
          <w:rFonts w:ascii="Verdana" w:eastAsia="Calibri" w:hAnsi="Verdana" w:cs="Arial"/>
          <w:bCs/>
          <w:color w:val="000000" w:themeColor="text1"/>
          <w:szCs w:val="24"/>
          <w:lang w:eastAsia="es-ES_tradnl" w:bidi="es-ES"/>
        </w:rPr>
        <w:t xml:space="preserve">Además, el Decreto 1082 de 2015 dispone que los convenios o contratos interadministrativos, así denominados en su artículo 2.2.1.2.1.4.4, se contratan directamente, por lo que no hay lugar a dudas que dichos acuerdos no están exceptuados del Estatuto General de Contratación de la Administración Pública y que para efectos de la modalidad de contratación representan lo mismo en la medida en que concurran entidades estatales en el acuerdo de voluntades. Así </w:t>
      </w:r>
      <w:r w:rsidRPr="00804AFF">
        <w:rPr>
          <w:rFonts w:ascii="Verdana" w:eastAsia="Calibri" w:hAnsi="Verdana" w:cs="Arial"/>
          <w:bCs/>
          <w:color w:val="000000" w:themeColor="text1"/>
          <w:szCs w:val="24"/>
          <w:lang w:eastAsia="es-ES_tradnl" w:bidi="es-ES"/>
        </w:rPr>
        <w:lastRenderedPageBreak/>
        <w:t>sucede también al dar aplicación al derecho privado y a la definición contenida en el Código Civil respecto de cada una de estas figuras.</w:t>
      </w:r>
    </w:p>
    <w:p w14:paraId="7BFED96E" w14:textId="77777777" w:rsidR="000F03FD" w:rsidRPr="00804AFF" w:rsidRDefault="000F03FD" w:rsidP="000F03FD">
      <w:pPr>
        <w:spacing w:before="120" w:after="0" w:line="276" w:lineRule="auto"/>
        <w:ind w:firstLine="709"/>
        <w:jc w:val="both"/>
        <w:rPr>
          <w:rFonts w:ascii="Verdana" w:eastAsia="Calibri" w:hAnsi="Verdana" w:cs="Arial"/>
          <w:color w:val="000000" w:themeColor="text1"/>
          <w:lang w:val="es-ES_tradnl"/>
        </w:rPr>
      </w:pPr>
      <w:r w:rsidRPr="00804AFF">
        <w:rPr>
          <w:rFonts w:ascii="Verdana" w:eastAsia="Calibri" w:hAnsi="Verdana" w:cs="Arial"/>
          <w:bCs/>
          <w:color w:val="000000" w:themeColor="text1"/>
          <w:szCs w:val="24"/>
          <w:lang w:eastAsia="es-ES_tradnl" w:bidi="es-ES"/>
        </w:rPr>
        <w:t xml:space="preserve">No obstante, la doctrina y la jurisprudencia recientes han resaltado las diferencias entre los contratos interadministrativos y los convenios interadministrativos de que trata el artículo 95 de la Ley 489 de 1998. </w:t>
      </w:r>
      <w:r w:rsidRPr="00804AFF">
        <w:rPr>
          <w:rFonts w:ascii="Verdana" w:eastAsia="Calibri" w:hAnsi="Verdana" w:cs="Arial"/>
          <w:bCs/>
          <w:color w:val="000000" w:themeColor="text1"/>
          <w:lang w:eastAsia="es-ES_tradnl" w:bidi="es-ES"/>
        </w:rPr>
        <w:t xml:space="preserve"> </w:t>
      </w:r>
      <w:r w:rsidRPr="00804AFF">
        <w:rPr>
          <w:rFonts w:ascii="Verdana" w:eastAsia="Calibri" w:hAnsi="Verdana" w:cs="Arial"/>
          <w:bCs/>
          <w:color w:val="000000" w:themeColor="text1"/>
          <w:szCs w:val="24"/>
          <w:lang w:eastAsia="es-ES_tradnl" w:bidi="es-ES"/>
        </w:rPr>
        <w:t xml:space="preserve">Al respecto, la Sala de Consulta y Servicio Civil del Consejo de Estado expresó lo siguiente: </w:t>
      </w:r>
    </w:p>
    <w:p w14:paraId="7AE83BE1" w14:textId="77777777" w:rsidR="000F03FD" w:rsidRPr="00804AFF" w:rsidRDefault="000F03FD" w:rsidP="000F03FD">
      <w:pPr>
        <w:spacing w:beforeLines="120" w:before="288" w:afterLines="120" w:after="288" w:line="276" w:lineRule="auto"/>
        <w:ind w:firstLine="708"/>
        <w:contextualSpacing/>
        <w:jc w:val="both"/>
        <w:rPr>
          <w:rFonts w:ascii="Verdana" w:eastAsia="Calibri" w:hAnsi="Verdana" w:cs="Arial"/>
          <w:bCs/>
          <w:color w:val="000000" w:themeColor="text1"/>
          <w:szCs w:val="24"/>
          <w:lang w:eastAsia="es-ES_tradnl" w:bidi="es-ES"/>
        </w:rPr>
      </w:pPr>
    </w:p>
    <w:p w14:paraId="3A4E2EBC" w14:textId="77777777" w:rsidR="000F03FD" w:rsidRPr="00804AFF" w:rsidRDefault="000F03FD" w:rsidP="000F03FD">
      <w:pPr>
        <w:spacing w:after="0" w:line="240" w:lineRule="auto"/>
        <w:ind w:left="709" w:right="709"/>
        <w:contextualSpacing/>
        <w:jc w:val="both"/>
        <w:rPr>
          <w:rFonts w:ascii="Verdana" w:eastAsia="Calibri" w:hAnsi="Verdana" w:cs="Arial"/>
          <w:bCs/>
          <w:color w:val="000000" w:themeColor="text1"/>
          <w:sz w:val="20"/>
          <w:szCs w:val="20"/>
          <w:lang w:eastAsia="es-ES_tradnl" w:bidi="es-ES"/>
        </w:rPr>
      </w:pPr>
      <w:r w:rsidRPr="00804AFF">
        <w:rPr>
          <w:rFonts w:ascii="Verdana" w:eastAsia="Calibri" w:hAnsi="Verdana" w:cs="Arial"/>
          <w:bCs/>
          <w:color w:val="000000" w:themeColor="text1"/>
          <w:sz w:val="20"/>
          <w:szCs w:val="20"/>
          <w:lang w:eastAsia="es-ES_tradnl" w:bidi="es-ES"/>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sidRPr="00804AFF">
        <w:rPr>
          <w:rFonts w:ascii="Verdana" w:eastAsia="Calibri" w:hAnsi="Verdana" w:cs="Arial"/>
          <w:bCs/>
          <w:color w:val="000000" w:themeColor="text1"/>
          <w:sz w:val="20"/>
          <w:szCs w:val="20"/>
          <w:vertAlign w:val="superscript"/>
          <w:lang w:val="es-ES_tradnl" w:eastAsia="es-ES_tradnl" w:bidi="es-ES"/>
        </w:rPr>
        <w:t xml:space="preserve"> </w:t>
      </w:r>
      <w:r w:rsidRPr="00804AFF">
        <w:rPr>
          <w:rFonts w:ascii="Verdana" w:eastAsia="Calibri" w:hAnsi="Verdana" w:cs="Arial"/>
          <w:bCs/>
          <w:color w:val="000000" w:themeColor="text1"/>
          <w:sz w:val="20"/>
          <w:szCs w:val="20"/>
          <w:vertAlign w:val="superscript"/>
          <w:lang w:val="es-ES_tradnl" w:eastAsia="es-ES_tradnl" w:bidi="es-ES"/>
        </w:rPr>
        <w:footnoteReference w:id="7"/>
      </w:r>
    </w:p>
    <w:p w14:paraId="6463AFD9" w14:textId="77777777" w:rsidR="000F03FD" w:rsidRPr="00804AFF" w:rsidRDefault="000F03FD" w:rsidP="000F03FD">
      <w:pPr>
        <w:spacing w:beforeLines="120" w:before="288" w:afterLines="120" w:after="288" w:line="276" w:lineRule="auto"/>
        <w:ind w:firstLine="708"/>
        <w:contextualSpacing/>
        <w:jc w:val="both"/>
        <w:rPr>
          <w:rFonts w:ascii="Verdana" w:eastAsia="Calibri" w:hAnsi="Verdana" w:cs="Arial"/>
          <w:bCs/>
          <w:color w:val="000000" w:themeColor="text1"/>
          <w:szCs w:val="24"/>
          <w:lang w:eastAsia="es-ES_tradnl" w:bidi="es-ES"/>
        </w:rPr>
      </w:pPr>
    </w:p>
    <w:p w14:paraId="5F5DF198" w14:textId="77777777" w:rsidR="000F03FD" w:rsidRPr="00804AFF" w:rsidRDefault="000F03FD" w:rsidP="000F03FD">
      <w:pPr>
        <w:spacing w:after="0" w:line="276" w:lineRule="auto"/>
        <w:ind w:firstLine="709"/>
        <w:contextualSpacing/>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En línea con lo anterior, la Sala Contenciosa Administrativa del Consejo de Estado en sentencia del 14 de junio de 2019 también señaló:</w:t>
      </w:r>
    </w:p>
    <w:p w14:paraId="320A4549" w14:textId="77777777" w:rsidR="000F03FD" w:rsidRPr="00804AFF" w:rsidRDefault="000F03FD" w:rsidP="000F03FD">
      <w:pPr>
        <w:spacing w:beforeLines="120" w:before="288" w:afterLines="120" w:after="288" w:line="276" w:lineRule="auto"/>
        <w:contextualSpacing/>
        <w:rPr>
          <w:rFonts w:ascii="Verdana" w:eastAsia="Calibri" w:hAnsi="Verdana" w:cs="Arial"/>
          <w:bCs/>
          <w:color w:val="000000" w:themeColor="text1"/>
          <w:szCs w:val="24"/>
          <w:lang w:eastAsia="es-ES_tradnl" w:bidi="es-ES"/>
        </w:rPr>
      </w:pPr>
    </w:p>
    <w:p w14:paraId="4F10DF08" w14:textId="77777777" w:rsidR="000F03FD" w:rsidRPr="00804AFF" w:rsidRDefault="000F03FD" w:rsidP="000F03FD">
      <w:pPr>
        <w:spacing w:after="0" w:line="240" w:lineRule="auto"/>
        <w:ind w:left="709" w:right="709"/>
        <w:contextualSpacing/>
        <w:jc w:val="both"/>
        <w:rPr>
          <w:rFonts w:ascii="Verdana" w:eastAsia="Calibri" w:hAnsi="Verdana" w:cs="Arial"/>
          <w:bCs/>
          <w:color w:val="000000" w:themeColor="text1"/>
          <w:sz w:val="21"/>
          <w:szCs w:val="21"/>
          <w:lang w:val="es-ES_tradnl" w:eastAsia="es-ES_tradnl" w:bidi="es-ES"/>
        </w:rPr>
      </w:pPr>
      <w:r w:rsidRPr="00804AFF">
        <w:rPr>
          <w:rFonts w:ascii="Verdana" w:eastAsia="Calibri" w:hAnsi="Verdana" w:cs="Arial"/>
          <w:bCs/>
          <w:color w:val="000000" w:themeColor="text1"/>
          <w:sz w:val="21"/>
          <w:szCs w:val="21"/>
          <w:lang w:val="es-ES_tradnl" w:eastAsia="es-ES_tradnl" w:bidi="es-ES"/>
        </w:rPr>
        <w:t>“La Sala de Consulta y Servicio Civil</w:t>
      </w:r>
      <w:r w:rsidRPr="00804AFF">
        <w:rPr>
          <w:rFonts w:ascii="Verdana" w:eastAsia="Calibri" w:hAnsi="Verdana" w:cs="Arial"/>
          <w:bCs/>
          <w:color w:val="000000" w:themeColor="text1"/>
          <w:sz w:val="21"/>
          <w:szCs w:val="21"/>
          <w:vertAlign w:val="superscript"/>
          <w:lang w:val="es-ES_tradnl" w:eastAsia="es-ES_tradnl" w:bidi="es-ES"/>
        </w:rPr>
        <w:footnoteReference w:id="8"/>
      </w:r>
      <w:r w:rsidRPr="00804AFF">
        <w:rPr>
          <w:rFonts w:ascii="Verdana" w:eastAsia="Calibri" w:hAnsi="Verdana" w:cs="Arial"/>
          <w:bCs/>
          <w:color w:val="000000" w:themeColor="text1"/>
          <w:sz w:val="21"/>
          <w:szCs w:val="21"/>
          <w:lang w:val="es-ES_tradnl" w:eastAsia="es-ES_tradnl" w:bidi="es-ES"/>
        </w:rPr>
        <w:t xml:space="preserve"> de esta Corporación se ha referido a los </w:t>
      </w:r>
      <w:r w:rsidRPr="00804AFF">
        <w:rPr>
          <w:rFonts w:ascii="Verdana" w:eastAsia="Calibri" w:hAnsi="Verdana" w:cs="Arial"/>
          <w:bCs/>
          <w:i/>
          <w:color w:val="000000" w:themeColor="text1"/>
          <w:sz w:val="21"/>
          <w:szCs w:val="21"/>
          <w:lang w:val="es-ES_tradnl" w:eastAsia="es-ES_tradnl" w:bidi="es-ES"/>
        </w:rPr>
        <w:t>“convenios interadministrativos”</w:t>
      </w:r>
      <w:r w:rsidRPr="00804AFF">
        <w:rPr>
          <w:rFonts w:ascii="Verdana" w:eastAsia="Calibri" w:hAnsi="Verdana" w:cs="Arial"/>
          <w:bCs/>
          <w:color w:val="000000" w:themeColor="text1"/>
          <w:sz w:val="21"/>
          <w:szCs w:val="21"/>
          <w:lang w:val="es-ES_tradnl" w:eastAsia="es-ES_tradnl" w:bidi="es-ES"/>
        </w:rPr>
        <w:t xml:space="preserve"> a los cuales alude el artículo 95 de la Ley 489 de 1998, calificándolos de </w:t>
      </w:r>
      <w:r w:rsidRPr="00804AFF">
        <w:rPr>
          <w:rFonts w:ascii="Verdana" w:eastAsia="Calibri" w:hAnsi="Verdana" w:cs="Arial"/>
          <w:bCs/>
          <w:i/>
          <w:color w:val="000000" w:themeColor="text1"/>
          <w:sz w:val="21"/>
          <w:szCs w:val="21"/>
          <w:lang w:val="es-ES_tradnl" w:eastAsia="es-ES_tradnl" w:bidi="es-ES"/>
        </w:rPr>
        <w:t xml:space="preserve">“puros” </w:t>
      </w:r>
      <w:r w:rsidRPr="00804AFF">
        <w:rPr>
          <w:rFonts w:ascii="Verdana" w:eastAsia="Calibri" w:hAnsi="Verdana" w:cs="Arial"/>
          <w:bCs/>
          <w:color w:val="000000" w:themeColor="text1"/>
          <w:sz w:val="21"/>
          <w:szCs w:val="21"/>
          <w:lang w:val="es-ES_tradnl" w:eastAsia="es-ES_tradnl" w:bidi="es-ES"/>
        </w:rPr>
        <w:t xml:space="preserve">y entendiendo que estos, además de perseguir la finalidad de cooperación antes indicada, no implican intereses contrapuestos ni tampoco se circunscriben a un </w:t>
      </w:r>
      <w:r w:rsidRPr="00804AFF">
        <w:rPr>
          <w:rFonts w:ascii="Verdana" w:eastAsia="Calibri" w:hAnsi="Verdana" w:cs="Arial"/>
          <w:bCs/>
          <w:i/>
          <w:color w:val="000000" w:themeColor="text1"/>
          <w:sz w:val="21"/>
          <w:szCs w:val="21"/>
          <w:lang w:val="es-ES_tradnl" w:eastAsia="es-ES_tradnl" w:bidi="es-ES"/>
        </w:rPr>
        <w:t>“intercambio patrimonial”</w:t>
      </w:r>
      <w:r w:rsidRPr="00804AFF">
        <w:rPr>
          <w:rFonts w:ascii="Verdana" w:eastAsia="Calibri" w:hAnsi="Verdana" w:cs="Arial"/>
          <w:bCs/>
          <w:color w:val="000000" w:themeColor="text1"/>
          <w:sz w:val="21"/>
          <w:szCs w:val="21"/>
          <w:lang w:val="es-ES_tradnl" w:eastAsia="es-ES_tradnl" w:bidi="es-ES"/>
        </w:rPr>
        <w:t>. Sin perjuicio de lo anterior, en otra oportunidad, la misma Sala</w:t>
      </w:r>
      <w:r w:rsidRPr="00804AFF">
        <w:rPr>
          <w:rFonts w:ascii="Verdana" w:eastAsia="Calibri" w:hAnsi="Verdana" w:cs="Arial"/>
          <w:bCs/>
          <w:color w:val="000000" w:themeColor="text1"/>
          <w:sz w:val="21"/>
          <w:szCs w:val="21"/>
          <w:vertAlign w:val="superscript"/>
          <w:lang w:val="es-ES_tradnl" w:eastAsia="es-ES_tradnl" w:bidi="es-ES"/>
        </w:rPr>
        <w:footnoteReference w:id="9"/>
      </w:r>
      <w:r w:rsidRPr="00804AFF">
        <w:rPr>
          <w:rFonts w:ascii="Verdana" w:eastAsia="Calibri" w:hAnsi="Verdana" w:cs="Arial"/>
          <w:bCs/>
          <w:color w:val="000000" w:themeColor="text1"/>
          <w:sz w:val="21"/>
          <w:szCs w:val="21"/>
          <w:lang w:val="es-ES_tradnl" w:eastAsia="es-ES_tradnl" w:bidi="es-ES"/>
        </w:rPr>
        <w:t xml:space="preserve"> había indicado que, si bien en dichos convenios no se daba un </w:t>
      </w:r>
      <w:r w:rsidRPr="00804AFF">
        <w:rPr>
          <w:rFonts w:ascii="Verdana" w:eastAsia="Calibri" w:hAnsi="Verdana" w:cs="Arial"/>
          <w:bCs/>
          <w:i/>
          <w:color w:val="000000" w:themeColor="text1"/>
          <w:sz w:val="21"/>
          <w:szCs w:val="21"/>
          <w:lang w:val="es-ES_tradnl" w:eastAsia="es-ES_tradnl" w:bidi="es-ES"/>
        </w:rPr>
        <w:t>“verdadero intercambio de bienes o servicios (contrato conmutativo)”</w:t>
      </w:r>
      <w:r w:rsidRPr="00804AFF">
        <w:rPr>
          <w:rFonts w:ascii="Verdana" w:eastAsia="Calibri" w:hAnsi="Verdana" w:cs="Arial"/>
          <w:bCs/>
          <w:color w:val="000000" w:themeColor="text1"/>
          <w:sz w:val="21"/>
          <w:szCs w:val="21"/>
          <w:lang w:val="es-ES_tradnl" w:eastAsia="es-ES_tradnl" w:bidi="es-ES"/>
        </w:rPr>
        <w:t>, ello no impedía que se conviniera una remuneración a cargo de alguna(s) entidad(es).</w:t>
      </w:r>
    </w:p>
    <w:p w14:paraId="554903C1" w14:textId="77777777" w:rsidR="000F03FD" w:rsidRPr="00804AFF" w:rsidRDefault="000F03FD" w:rsidP="000F03FD">
      <w:pPr>
        <w:spacing w:beforeLines="120" w:before="288" w:afterLines="120" w:after="288" w:line="276" w:lineRule="auto"/>
        <w:ind w:left="708" w:right="709" w:firstLine="708"/>
        <w:contextualSpacing/>
        <w:jc w:val="both"/>
        <w:rPr>
          <w:rFonts w:ascii="Verdana" w:eastAsia="Calibri" w:hAnsi="Verdana" w:cs="Arial"/>
          <w:bCs/>
          <w:color w:val="000000" w:themeColor="text1"/>
          <w:sz w:val="21"/>
          <w:lang w:val="es-ES_tradnl" w:eastAsia="es-ES_tradnl" w:bidi="es-ES"/>
        </w:rPr>
      </w:pPr>
    </w:p>
    <w:p w14:paraId="6D21F8C0" w14:textId="77777777" w:rsidR="000F03FD" w:rsidRPr="00804AFF" w:rsidRDefault="000F03FD" w:rsidP="000F03FD">
      <w:pPr>
        <w:spacing w:beforeLines="120" w:before="288" w:afterLines="120" w:after="288" w:line="240" w:lineRule="auto"/>
        <w:ind w:left="708" w:right="709"/>
        <w:contextualSpacing/>
        <w:jc w:val="both"/>
        <w:rPr>
          <w:rFonts w:ascii="Verdana" w:eastAsia="Calibri" w:hAnsi="Verdana" w:cs="Arial"/>
          <w:bCs/>
          <w:color w:val="000000" w:themeColor="text1"/>
          <w:sz w:val="21"/>
          <w:szCs w:val="21"/>
          <w:lang w:eastAsia="es-ES_tradnl" w:bidi="es-ES"/>
        </w:rPr>
      </w:pPr>
      <w:r w:rsidRPr="00804AFF">
        <w:rPr>
          <w:rFonts w:ascii="Verdana" w:eastAsia="Calibri" w:hAnsi="Verdana" w:cs="Arial"/>
          <w:bCs/>
          <w:color w:val="000000" w:themeColor="text1"/>
          <w:sz w:val="21"/>
          <w:szCs w:val="21"/>
          <w:lang w:val="es-ES_tradnl" w:eastAsia="es-ES_tradnl" w:bidi="es-ES"/>
        </w:rPr>
        <w:t xml:space="preserve">Lo expuesto evidencia que, en general, las interpretaciones en torno a los </w:t>
      </w:r>
      <w:r w:rsidRPr="00804AFF">
        <w:rPr>
          <w:rFonts w:ascii="Verdana" w:eastAsia="Calibri" w:hAnsi="Verdana" w:cs="Arial"/>
          <w:bCs/>
          <w:i/>
          <w:color w:val="000000" w:themeColor="text1"/>
          <w:sz w:val="21"/>
          <w:szCs w:val="21"/>
          <w:lang w:val="es-ES_tradnl" w:eastAsia="es-ES_tradnl" w:bidi="es-ES"/>
        </w:rPr>
        <w:t>“convenios interadministrativos”</w:t>
      </w:r>
      <w:r w:rsidRPr="00804AFF">
        <w:rPr>
          <w:rFonts w:ascii="Verdana" w:eastAsia="Calibri" w:hAnsi="Verdana" w:cs="Arial"/>
          <w:bCs/>
          <w:color w:val="000000" w:themeColor="text1"/>
          <w:sz w:val="21"/>
          <w:szCs w:val="21"/>
          <w:lang w:val="es-ES_tradnl" w:eastAsia="es-ES_tradnl" w:bidi="es-ES"/>
        </w:rPr>
        <w:t xml:space="preserve"> previstos en el artículo 95 de la Ley 489 de 1998, en el propósito de encasillarlos dentro de una categoría normativa delimitada en su estructura, elementos y régimen jurídico, han sido dubitativas al vincular o no las obligaciones propias </w:t>
      </w:r>
      <w:r w:rsidRPr="00804AFF">
        <w:rPr>
          <w:rFonts w:ascii="Verdana" w:eastAsia="Calibri" w:hAnsi="Verdana" w:cs="Arial"/>
          <w:bCs/>
          <w:color w:val="000000" w:themeColor="text1"/>
          <w:sz w:val="21"/>
          <w:szCs w:val="21"/>
          <w:lang w:val="es-ES_tradnl" w:eastAsia="es-ES_tradnl" w:bidi="es-ES"/>
        </w:rPr>
        <w:lastRenderedPageBreak/>
        <w:t>de dichos convenios con las de los contratos estatales sometidos al EGCAP, las cuales tienen por objeto prestaciones patrimoniales”</w:t>
      </w:r>
      <w:r w:rsidRPr="00804AFF">
        <w:rPr>
          <w:rFonts w:ascii="Verdana" w:eastAsia="Calibri" w:hAnsi="Verdana" w:cs="Arial"/>
          <w:bCs/>
          <w:color w:val="000000" w:themeColor="text1"/>
          <w:sz w:val="21"/>
          <w:szCs w:val="21"/>
          <w:vertAlign w:val="superscript"/>
          <w:lang w:val="es-ES_tradnl" w:eastAsia="es-ES_tradnl" w:bidi="es-ES"/>
        </w:rPr>
        <w:footnoteReference w:id="10"/>
      </w:r>
      <w:r w:rsidRPr="00804AFF">
        <w:rPr>
          <w:rFonts w:ascii="Verdana" w:eastAsia="Calibri" w:hAnsi="Verdana" w:cs="Arial"/>
          <w:bCs/>
          <w:color w:val="000000" w:themeColor="text1"/>
          <w:sz w:val="21"/>
          <w:szCs w:val="21"/>
          <w:lang w:val="es-ES_tradnl" w:eastAsia="es-ES_tradnl" w:bidi="es-ES"/>
        </w:rPr>
        <w:t>.</w:t>
      </w:r>
      <w:r w:rsidRPr="00804AFF">
        <w:rPr>
          <w:rStyle w:val="Refdenotaalpie"/>
          <w:rFonts w:ascii="Verdana" w:eastAsia="Calibri" w:hAnsi="Verdana" w:cs="Arial"/>
          <w:bCs/>
          <w:color w:val="000000" w:themeColor="text1"/>
          <w:sz w:val="21"/>
          <w:szCs w:val="21"/>
          <w:lang w:eastAsia="es-ES_tradnl" w:bidi="es-ES"/>
        </w:rPr>
        <w:footnoteReference w:id="11"/>
      </w:r>
      <w:r w:rsidRPr="00804AFF">
        <w:rPr>
          <w:rFonts w:ascii="Verdana" w:eastAsia="Calibri" w:hAnsi="Verdana" w:cs="Arial"/>
          <w:bCs/>
          <w:color w:val="000000" w:themeColor="text1"/>
          <w:sz w:val="21"/>
          <w:szCs w:val="21"/>
          <w:lang w:val="es-ES_tradnl" w:eastAsia="es-ES_tradnl" w:bidi="es-ES"/>
        </w:rPr>
        <w:t xml:space="preserve"> </w:t>
      </w:r>
    </w:p>
    <w:p w14:paraId="4B50BE55" w14:textId="77777777" w:rsidR="000F03FD" w:rsidRPr="00804AFF" w:rsidRDefault="000F03FD" w:rsidP="000F03FD">
      <w:pPr>
        <w:spacing w:beforeLines="120" w:before="288" w:afterLines="120" w:after="288" w:line="276" w:lineRule="auto"/>
        <w:contextualSpacing/>
        <w:rPr>
          <w:rFonts w:ascii="Verdana" w:eastAsia="Calibri" w:hAnsi="Verdana" w:cs="Arial"/>
          <w:bCs/>
          <w:color w:val="000000" w:themeColor="text1"/>
          <w:szCs w:val="24"/>
          <w:lang w:eastAsia="es-ES_tradnl" w:bidi="es-ES"/>
        </w:rPr>
      </w:pPr>
    </w:p>
    <w:p w14:paraId="73A2A1F6" w14:textId="77777777" w:rsidR="000F03FD" w:rsidRPr="00804AFF" w:rsidRDefault="000F03FD" w:rsidP="000F03FD">
      <w:pPr>
        <w:spacing w:after="0" w:line="276" w:lineRule="auto"/>
        <w:ind w:firstLine="709"/>
        <w:contextualSpacing/>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En esta ocasión la referida corporación judicial resaltó la finalidad del acuerdo de voluntades como un factor de diferenciación entre las dos figuras. Si bien estas tienen un tronco común, se diferencian en su naturaleza y finalidad en la medida en que los contratos estatales –en general– comportan obligaciones de contenido patrimonial que se traducen en intereses contrapuestos entre las partes pues implican un gravamen a cambio de un beneficio en una relación de carácter conmutativo, mientras que los convenios interadministrativos involucran la ejecución de actividades en función de un interés común para las partes; si bien se puede pactar remuneración</w:t>
      </w:r>
      <w:r w:rsidRPr="00804AFF">
        <w:rPr>
          <w:rStyle w:val="Refdenotaalpie"/>
          <w:rFonts w:ascii="Verdana" w:eastAsia="Calibri" w:hAnsi="Verdana" w:cs="Arial"/>
          <w:bCs/>
          <w:color w:val="000000" w:themeColor="text1"/>
          <w:szCs w:val="24"/>
          <w:lang w:eastAsia="es-ES_tradnl" w:bidi="es-ES"/>
        </w:rPr>
        <w:footnoteReference w:id="12"/>
      </w:r>
      <w:r w:rsidRPr="00804AFF">
        <w:rPr>
          <w:rFonts w:ascii="Verdana" w:eastAsia="Calibri" w:hAnsi="Verdana" w:cs="Arial"/>
          <w:bCs/>
          <w:color w:val="000000" w:themeColor="text1"/>
          <w:szCs w:val="24"/>
          <w:lang w:eastAsia="es-ES_tradnl" w:bidi="es-ES"/>
        </w:rPr>
        <w:t xml:space="preserve">, en esencia se pretende el cumplimiento de fines coincidentes entre quienes lo ejecutan. </w:t>
      </w:r>
    </w:p>
    <w:p w14:paraId="412C4777" w14:textId="77777777" w:rsidR="000F03FD" w:rsidRPr="00804AFF" w:rsidRDefault="000F03FD" w:rsidP="000F03FD">
      <w:pPr>
        <w:spacing w:before="120" w:after="0" w:line="276" w:lineRule="auto"/>
        <w:ind w:firstLine="709"/>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Mientras que en el contrato interadministrativo las finalidades de las partes divergen, en el convenio convergen y cooperan en función del cumplimiento eficiente de un propósito estatal común superior. En esa línea, una interpretación sistemática de las leyes 80 de 1993, 1150 de 2007 y 1474 de 2011 invitaría a considerar el contrato interadministrativo como una relación jurídica patrimonial, onerosa y conmutativa, en la que existen unas exigencias y restricciones normativas adicionales, de manera que, en efecto, dista de la naturaleza y esencia del convenio interadministrativo.</w:t>
      </w:r>
    </w:p>
    <w:p w14:paraId="5ABE65B0" w14:textId="77777777" w:rsidR="000F03FD" w:rsidRPr="00804AFF" w:rsidRDefault="000F03FD" w:rsidP="000F03FD">
      <w:pPr>
        <w:spacing w:before="120" w:after="0" w:line="276" w:lineRule="auto"/>
        <w:ind w:firstLine="709"/>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 xml:space="preserve">En suma, el convenio interadministrativo es un negocio jurídico en el cual están presentes dos  entidades públicas y cuyo objeto es coordinar, cooperar, colaborar o distribuir competencias en la realización de funciones administrativas de interés común y, por tanto, tienen intereses convergentes o coincidentes, sin que se reciba por alguna de ellas el pago de un precio o contraprestación; en tanto que el contrato interadministrativo, aunque es celebrado también entre dos  entidades públicas, es un negocio jurídico generador de obligaciones al cual </w:t>
      </w:r>
      <w:r w:rsidRPr="00804AFF">
        <w:rPr>
          <w:rFonts w:ascii="Verdana" w:eastAsia="Calibri" w:hAnsi="Verdana" w:cs="Arial"/>
          <w:bCs/>
          <w:color w:val="000000" w:themeColor="text1"/>
          <w:szCs w:val="24"/>
          <w:lang w:eastAsia="es-ES_tradnl" w:bidi="es-ES"/>
        </w:rPr>
        <w:lastRenderedPageBreak/>
        <w:t>acuden estas con diversidad de intereses y en ellos</w:t>
      </w:r>
      <w:r w:rsidRPr="00804AFF">
        <w:rPr>
          <w:rFonts w:ascii="Verdana" w:eastAsia="Calibri" w:hAnsi="Verdana" w:cs="Arial"/>
          <w:bCs/>
          <w:color w:val="000000" w:themeColor="text1"/>
          <w:lang w:eastAsia="es-ES_tradnl" w:bidi="es-ES"/>
        </w:rPr>
        <w:t xml:space="preserve"> existe una contraprestación directa a favor de la entidad contratista que ha entregado el bien o prestado el servicio o realizado la obra a favor de la entidad contratante. </w:t>
      </w:r>
    </w:p>
    <w:p w14:paraId="554FF963" w14:textId="77777777" w:rsidR="000F03FD" w:rsidRPr="00804AFF" w:rsidRDefault="000F03FD" w:rsidP="000F03FD">
      <w:pPr>
        <w:spacing w:before="120" w:after="0" w:line="276" w:lineRule="auto"/>
        <w:ind w:firstLine="709"/>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De aquí que la Sala de Consulta y Servicio Civil del Consejo de Estado</w:t>
      </w:r>
      <w:r w:rsidRPr="00804AFF">
        <w:rPr>
          <w:rFonts w:ascii="Verdana" w:eastAsia="Calibri" w:hAnsi="Verdana" w:cs="Arial"/>
          <w:bCs/>
          <w:color w:val="000000" w:themeColor="text1"/>
          <w:szCs w:val="24"/>
          <w:vertAlign w:val="superscript"/>
          <w:lang w:eastAsia="es-ES_tradnl" w:bidi="es-ES"/>
        </w:rPr>
        <w:footnoteReference w:id="13"/>
      </w:r>
      <w:r w:rsidRPr="00804AFF">
        <w:rPr>
          <w:rFonts w:ascii="Verdana" w:eastAsia="Calibri" w:hAnsi="Verdana" w:cs="Arial"/>
          <w:bCs/>
          <w:color w:val="000000" w:themeColor="text1"/>
          <w:szCs w:val="24"/>
          <w:lang w:eastAsia="es-ES_tradnl" w:bidi="es-ES"/>
        </w:rPr>
        <w:t xml:space="preserve"> haya señalado la necesidad de diferenciar el régimen jurídico aplicable a ciertas situaciones específicas del convenio interadministrativo que se separan del régimen jurídico común:</w:t>
      </w:r>
    </w:p>
    <w:p w14:paraId="781F2CBE" w14:textId="77777777" w:rsidR="000F03FD" w:rsidRPr="00804AFF" w:rsidRDefault="000F03FD" w:rsidP="000F03FD">
      <w:pPr>
        <w:spacing w:beforeLines="120" w:before="288" w:afterLines="120" w:after="288" w:line="276" w:lineRule="auto"/>
        <w:ind w:firstLine="708"/>
        <w:contextualSpacing/>
        <w:rPr>
          <w:rFonts w:ascii="Verdana" w:eastAsia="Calibri" w:hAnsi="Verdana" w:cs="Arial"/>
          <w:bCs/>
          <w:color w:val="000000" w:themeColor="text1"/>
          <w:szCs w:val="24"/>
          <w:lang w:eastAsia="es-ES_tradnl" w:bidi="es-ES"/>
        </w:rPr>
      </w:pPr>
    </w:p>
    <w:p w14:paraId="5F0476CC" w14:textId="77777777" w:rsidR="000F03FD" w:rsidRPr="00804AFF" w:rsidRDefault="000F03FD" w:rsidP="000F03FD">
      <w:pPr>
        <w:spacing w:beforeLines="120" w:before="288" w:afterLines="120" w:after="288" w:line="240" w:lineRule="auto"/>
        <w:ind w:left="708" w:right="709"/>
        <w:contextualSpacing/>
        <w:jc w:val="both"/>
        <w:rPr>
          <w:rFonts w:ascii="Verdana" w:eastAsia="Calibri" w:hAnsi="Verdana" w:cs="Arial"/>
          <w:bCs/>
          <w:color w:val="000000" w:themeColor="text1"/>
          <w:sz w:val="21"/>
          <w:lang w:eastAsia="es-ES_tradnl" w:bidi="es-ES"/>
        </w:rPr>
      </w:pPr>
      <w:r w:rsidRPr="00804AFF">
        <w:rPr>
          <w:rFonts w:ascii="Verdana" w:eastAsia="Calibri" w:hAnsi="Verdana" w:cs="Arial"/>
          <w:bCs/>
          <w:color w:val="000000" w:themeColor="text1"/>
          <w:sz w:val="21"/>
          <w:lang w:eastAsia="es-ES_tradnl"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494E6107" w14:textId="77777777" w:rsidR="000F03FD" w:rsidRPr="00804AFF" w:rsidRDefault="000F03FD" w:rsidP="000F03FD">
      <w:pPr>
        <w:spacing w:beforeLines="120" w:before="288" w:afterLines="120" w:after="288" w:line="240" w:lineRule="auto"/>
        <w:ind w:left="708" w:right="709"/>
        <w:contextualSpacing/>
        <w:jc w:val="both"/>
        <w:rPr>
          <w:rFonts w:ascii="Verdana" w:eastAsia="Calibri" w:hAnsi="Verdana" w:cs="Arial"/>
          <w:bCs/>
          <w:color w:val="000000" w:themeColor="text1"/>
          <w:sz w:val="21"/>
          <w:lang w:eastAsia="es-ES_tradnl" w:bidi="es-ES"/>
        </w:rPr>
      </w:pPr>
    </w:p>
    <w:p w14:paraId="5EED191E" w14:textId="77777777" w:rsidR="000F03FD" w:rsidRPr="00804AFF" w:rsidRDefault="000F03FD" w:rsidP="000F03FD">
      <w:pPr>
        <w:spacing w:beforeLines="120" w:before="288" w:afterLines="120" w:after="288" w:line="240" w:lineRule="auto"/>
        <w:ind w:left="708" w:right="709"/>
        <w:contextualSpacing/>
        <w:jc w:val="both"/>
        <w:rPr>
          <w:rFonts w:ascii="Verdana" w:eastAsia="Calibri" w:hAnsi="Verdana" w:cs="Arial"/>
          <w:bCs/>
          <w:color w:val="000000" w:themeColor="text1"/>
          <w:sz w:val="21"/>
          <w:lang w:eastAsia="es-ES_tradnl" w:bidi="es-ES"/>
        </w:rPr>
      </w:pPr>
      <w:r w:rsidRPr="00804AFF">
        <w:rPr>
          <w:rFonts w:ascii="Verdana" w:eastAsia="Calibri" w:hAnsi="Verdana" w:cs="Arial"/>
          <w:bCs/>
          <w:color w:val="000000" w:themeColor="text1"/>
          <w:sz w:val="21"/>
          <w:lang w:eastAsia="es-ES_tradnl" w:bidi="es-ES"/>
        </w:rPr>
        <w:t>Ahora, dada la naturaleza jurídica explicada de los convenios interadministrativos</w:t>
      </w:r>
      <w:r w:rsidRPr="00804AFF">
        <w:rPr>
          <w:rFonts w:ascii="Verdana" w:eastAsia="Calibri" w:hAnsi="Verdana" w:cs="Arial"/>
          <w:bCs/>
          <w:i/>
          <w:iCs/>
          <w:color w:val="000000" w:themeColor="text1"/>
          <w:sz w:val="21"/>
          <w:lang w:eastAsia="es-ES_tradnl"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804AFF">
        <w:rPr>
          <w:rFonts w:ascii="Verdana" w:eastAsia="Calibri" w:hAnsi="Verdana" w:cs="Arial"/>
          <w:bCs/>
          <w:color w:val="000000" w:themeColor="text1"/>
          <w:sz w:val="21"/>
          <w:lang w:eastAsia="es-ES_tradnl" w:bidi="es-ES"/>
        </w:rPr>
        <w:t xml:space="preserve">. (Cursiva fuera del texto original) </w:t>
      </w:r>
    </w:p>
    <w:p w14:paraId="48E969FE" w14:textId="77777777" w:rsidR="000F03FD" w:rsidRPr="00804AFF" w:rsidRDefault="000F03FD" w:rsidP="000F03FD">
      <w:pPr>
        <w:spacing w:beforeLines="120" w:before="288" w:afterLines="120" w:after="288" w:line="276" w:lineRule="auto"/>
        <w:ind w:firstLine="708"/>
        <w:contextualSpacing/>
        <w:rPr>
          <w:rFonts w:ascii="Verdana" w:eastAsia="Calibri" w:hAnsi="Verdana" w:cs="Arial"/>
          <w:bCs/>
          <w:color w:val="000000" w:themeColor="text1"/>
          <w:szCs w:val="24"/>
          <w:lang w:eastAsia="es-ES_tradnl" w:bidi="es-ES"/>
        </w:rPr>
      </w:pPr>
    </w:p>
    <w:p w14:paraId="3D9403CC" w14:textId="77777777" w:rsidR="000F03FD" w:rsidRPr="00804AFF" w:rsidRDefault="000F03FD" w:rsidP="000F03FD">
      <w:pPr>
        <w:snapToGrid w:val="0"/>
        <w:spacing w:after="0" w:line="276" w:lineRule="auto"/>
        <w:ind w:firstLine="709"/>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 xml:space="preserve">A juicio de la citada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w:t>
      </w:r>
    </w:p>
    <w:p w14:paraId="726290BC" w14:textId="77777777" w:rsidR="000F03FD" w:rsidRPr="00804AFF" w:rsidRDefault="000F03FD" w:rsidP="000F03FD">
      <w:pPr>
        <w:snapToGrid w:val="0"/>
        <w:spacing w:before="120" w:after="0" w:line="276" w:lineRule="auto"/>
        <w:ind w:firstLine="709"/>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lastRenderedPageBreak/>
        <w:t>En ese orden, por ejemplo, no serán aplicables, en principio, para los convenios interadministrativos, las cláusulas excepcionales al derecho común</w:t>
      </w:r>
      <w:r w:rsidRPr="00804AFF">
        <w:rPr>
          <w:rFonts w:ascii="Verdana" w:eastAsia="Calibri" w:hAnsi="Verdana" w:cs="Arial"/>
          <w:bCs/>
          <w:color w:val="000000" w:themeColor="text1"/>
          <w:szCs w:val="24"/>
          <w:vertAlign w:val="superscript"/>
          <w:lang w:eastAsia="es-ES_tradnl" w:bidi="es-ES"/>
        </w:rPr>
        <w:footnoteReference w:id="14"/>
      </w:r>
      <w:r w:rsidRPr="00804AFF">
        <w:rPr>
          <w:rFonts w:ascii="Verdana" w:eastAsia="Calibri" w:hAnsi="Verdana" w:cs="Arial"/>
          <w:bCs/>
          <w:color w:val="000000" w:themeColor="text1"/>
          <w:szCs w:val="24"/>
          <w:lang w:eastAsia="es-ES_tradnl" w:bidi="es-ES"/>
        </w:rPr>
        <w:t xml:space="preserve"> y tampoco sería procedente la inclusión de figuras contractuales como liquidación unilateral</w:t>
      </w:r>
      <w:r w:rsidRPr="00804AFF">
        <w:rPr>
          <w:rStyle w:val="Refdenotaalpie"/>
          <w:rFonts w:ascii="Verdana" w:eastAsia="Calibri" w:hAnsi="Verdana" w:cs="Arial"/>
          <w:bCs/>
          <w:color w:val="000000" w:themeColor="text1"/>
          <w:szCs w:val="24"/>
          <w:lang w:eastAsia="es-ES_tradnl" w:bidi="es-ES"/>
        </w:rPr>
        <w:footnoteReference w:id="15"/>
      </w:r>
      <w:r w:rsidRPr="00804AFF">
        <w:rPr>
          <w:rFonts w:ascii="Verdana" w:eastAsia="Calibri" w:hAnsi="Verdana" w:cs="Arial"/>
          <w:bCs/>
          <w:color w:val="000000" w:themeColor="text1"/>
          <w:szCs w:val="24"/>
          <w:lang w:eastAsia="es-ES_tradnl" w:bidi="es-ES"/>
        </w:rPr>
        <w:t xml:space="preserve">. En todo caso, siguiendo la senda interpretativa expuesta por la Sala de Consulta y Servicio Civil en el concepto que acaba de citarse, la aplicación o inaplicación de estas y otras instituciones contractuales deberá definirse al analizar el contenido preciso de cada convenio interadministrativo celebrado y tal cuestión no puede concluirse </w:t>
      </w:r>
      <w:r w:rsidRPr="00804AFF">
        <w:rPr>
          <w:rFonts w:ascii="Verdana" w:eastAsia="Calibri" w:hAnsi="Verdana" w:cs="Arial"/>
          <w:bCs/>
          <w:i/>
          <w:iCs/>
          <w:color w:val="000000" w:themeColor="text1"/>
          <w:szCs w:val="24"/>
          <w:lang w:eastAsia="es-ES_tradnl" w:bidi="es-ES"/>
        </w:rPr>
        <w:t>a priori</w:t>
      </w:r>
      <w:r w:rsidRPr="00804AFF">
        <w:rPr>
          <w:rFonts w:ascii="Verdana" w:eastAsia="Calibri" w:hAnsi="Verdana" w:cs="Arial"/>
          <w:bCs/>
          <w:color w:val="000000" w:themeColor="text1"/>
          <w:szCs w:val="24"/>
          <w:lang w:eastAsia="es-ES_tradnl" w:bidi="es-ES"/>
        </w:rPr>
        <w:t xml:space="preserve"> o de manera automática. </w:t>
      </w:r>
    </w:p>
    <w:p w14:paraId="4A575E27" w14:textId="77777777" w:rsidR="000F03FD" w:rsidRPr="00804AFF" w:rsidRDefault="000F03FD" w:rsidP="000F03FD">
      <w:pPr>
        <w:snapToGrid w:val="0"/>
        <w:spacing w:before="120" w:after="0" w:line="276" w:lineRule="auto"/>
        <w:ind w:firstLine="709"/>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 xml:space="preserve">Esto por cuanto, por una parte, el carácter de convenio interadministrativo no se deriva de su simple denominación como tal, sino de que el acuerdo de voluntades respectivo cumpla a cabalidad con las características que la normativa, la jurisprudencia y la doctrina le han atribuido y que han sido explicados en este concepto. Así, aun si el negocio jurídico de que se trate se suscriba bajo la denominación de “convenio interadministrativo” o algo similar, pero de la lectura de sus cláusulas se concluya una relación conmutativa y claramente onerosa entre las partes y se nota ausente la finalidad asociativa o colaborativa entre las entidades suscribientes, entonces, tal acuerdo no podría corresponder a la figura de convenio interadministrativo por carecer de sus elementos esenciales. En ese sentido, en tal caso, será distinto el análisis sobre la aplicación de institutos como la liquidación unilateral y de las demás figuras contractuales que se analicen en determinado caso. En ese orden, para efectos de definir si la respectiva figura es o no aplicable al convenio interadministrativo, habrá que determinar si la misma es o no compatible con la naturaleza y contenido de dicho convenio, es decir, si es acorde con su finalidad asociativa, su carácter no oneroso o la ausencia de un objeto o finalidad patrimonial. </w:t>
      </w:r>
    </w:p>
    <w:p w14:paraId="14C3E0B4" w14:textId="77777777" w:rsidR="000F03FD" w:rsidRPr="00804AFF" w:rsidRDefault="000F03FD" w:rsidP="000F03FD">
      <w:pPr>
        <w:snapToGrid w:val="0"/>
        <w:spacing w:before="120" w:after="120" w:line="276" w:lineRule="auto"/>
        <w:ind w:firstLine="709"/>
        <w:jc w:val="both"/>
        <w:rPr>
          <w:rFonts w:ascii="Verdana" w:eastAsia="Calibri" w:hAnsi="Verdana" w:cs="Arial"/>
          <w:bCs/>
          <w:color w:val="000000" w:themeColor="text1"/>
          <w:szCs w:val="24"/>
          <w:lang w:eastAsia="es-ES_tradnl" w:bidi="es-ES"/>
        </w:rPr>
      </w:pPr>
      <w:r w:rsidRPr="00804AFF">
        <w:rPr>
          <w:rFonts w:ascii="Verdana" w:eastAsia="Calibri" w:hAnsi="Verdana" w:cs="Arial"/>
          <w:bCs/>
          <w:color w:val="000000" w:themeColor="text1"/>
          <w:szCs w:val="24"/>
          <w:lang w:eastAsia="es-ES_tradnl" w:bidi="es-ES"/>
        </w:rPr>
        <w:t>En suma, si bien tanto los contratos como convenios interadministrativos comparten características comunes, entre ellas que ambos se celebran entre entidades públicas, difieren en cuanto a ciertas características esenciales</w:t>
      </w:r>
      <w:r w:rsidRPr="00804AFF">
        <w:rPr>
          <w:rFonts w:ascii="Verdana" w:eastAsia="Calibri" w:hAnsi="Verdana" w:cs="Arial"/>
          <w:color w:val="000000" w:themeColor="text1"/>
          <w:szCs w:val="24"/>
          <w:lang w:eastAsia="es-ES_tradnl" w:bidi="es-ES"/>
        </w:rPr>
        <w:t xml:space="preserve">, según lo ha venido señalando el Consejo de Estado. </w:t>
      </w:r>
      <w:r w:rsidRPr="00804AFF">
        <w:rPr>
          <w:rFonts w:ascii="Verdana" w:eastAsia="Calibri" w:hAnsi="Verdana" w:cs="Arial"/>
          <w:bCs/>
          <w:color w:val="000000" w:themeColor="text1"/>
          <w:szCs w:val="24"/>
          <w:lang w:eastAsia="es-ES_tradnl" w:bidi="es-ES"/>
        </w:rPr>
        <w:t xml:space="preserve">Así, mientras que el contrato interadministrativo se caracteriza por su naturaleza onerosa, patrimonial y se conforma por intereses básicamente contrapuestos, los convenios interadministrativos, por su parte, tienen una finalidad asociativa perseguida por </w:t>
      </w:r>
      <w:r w:rsidRPr="00804AFF">
        <w:rPr>
          <w:rFonts w:ascii="Verdana" w:eastAsia="Calibri" w:hAnsi="Verdana" w:cs="Arial"/>
          <w:bCs/>
          <w:color w:val="000000" w:themeColor="text1"/>
          <w:szCs w:val="24"/>
          <w:lang w:eastAsia="es-ES_tradnl" w:bidi="es-ES"/>
        </w:rPr>
        <w:lastRenderedPageBreak/>
        <w:t xml:space="preserve">las partes suscriptoras cuyos intereses se encaminan en la misma dirección y persiguen los mismos objetivos, de conformidad con el ejercicio de las funciones y competencias que les son propias y propendiendo por la cooperación interinstitucional. </w:t>
      </w:r>
    </w:p>
    <w:p w14:paraId="39900766" w14:textId="77777777" w:rsidR="000F03FD" w:rsidRPr="00350177" w:rsidRDefault="000F03FD" w:rsidP="000F03FD">
      <w:pPr>
        <w:spacing w:after="0" w:line="276" w:lineRule="auto"/>
        <w:ind w:firstLine="708"/>
        <w:jc w:val="both"/>
        <w:rPr>
          <w:rFonts w:ascii="Verdana" w:eastAsia="Calibri" w:hAnsi="Verdana" w:cs="Arial"/>
          <w:color w:val="000000" w:themeColor="text1"/>
          <w:lang w:val="es-ES_tradnl"/>
        </w:rPr>
      </w:pPr>
      <w:r w:rsidRPr="00350177">
        <w:rPr>
          <w:rFonts w:ascii="Verdana" w:eastAsia="Calibri" w:hAnsi="Verdana" w:cs="Arial"/>
        </w:rPr>
        <w:t xml:space="preserve">Ahora bien, con </w:t>
      </w:r>
      <w:bookmarkStart w:id="1" w:name="_Hlk136184980"/>
      <w:r w:rsidRPr="00350177">
        <w:rPr>
          <w:rFonts w:ascii="Verdana" w:eastAsia="Calibri" w:hAnsi="Verdana" w:cs="Arial"/>
          <w:color w:val="000000" w:themeColor="text1"/>
        </w:rPr>
        <w:t>relación con la modalidad de selección aplicable a la celebración de contratos interadministrativos, que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artículo 2, numeral 4, literal c), de la mencionada ley – modificado por el artículo 92 de la Ley 1474 de 2011 – estableció lo siguiente:</w:t>
      </w:r>
    </w:p>
    <w:p w14:paraId="65789BC2" w14:textId="77777777" w:rsidR="000F03FD" w:rsidRPr="00350177" w:rsidRDefault="000F03FD" w:rsidP="000F03FD">
      <w:pPr>
        <w:pStyle w:val="Prrafodelista"/>
        <w:spacing w:after="0" w:line="276" w:lineRule="auto"/>
        <w:contextualSpacing w:val="0"/>
        <w:rPr>
          <w:rFonts w:ascii="Verdana" w:eastAsia="Calibri" w:hAnsi="Verdana" w:cs="Arial"/>
          <w:color w:val="000000" w:themeColor="text1"/>
          <w:lang w:val="es-ES_tradnl"/>
        </w:rPr>
      </w:pPr>
    </w:p>
    <w:p w14:paraId="5EFC5B29" w14:textId="77777777" w:rsidR="000F03FD" w:rsidRPr="00350177" w:rsidRDefault="000F03FD" w:rsidP="000F03FD">
      <w:pPr>
        <w:pStyle w:val="NormalWeb"/>
        <w:spacing w:before="0" w:beforeAutospacing="0" w:after="0" w:afterAutospacing="0"/>
        <w:ind w:left="709" w:right="709"/>
        <w:jc w:val="both"/>
        <w:rPr>
          <w:rFonts w:ascii="Verdana" w:hAnsi="Verdana" w:cs="Arial"/>
          <w:sz w:val="20"/>
          <w:szCs w:val="20"/>
        </w:rPr>
      </w:pPr>
      <w:r w:rsidRPr="00350177">
        <w:rPr>
          <w:rFonts w:ascii="Verdana" w:hAnsi="Verdana" w:cs="Arial"/>
          <w:sz w:val="20"/>
          <w:szCs w:val="20"/>
        </w:rPr>
        <w:t xml:space="preserve">“Artículo 92. Contratos interadministrativos. Modificase el inciso primero del literal c) del numeral 4 del artículo </w:t>
      </w:r>
      <w:hyperlink r:id="rId12" w:anchor="2" w:history="1">
        <w:r w:rsidRPr="00350177">
          <w:rPr>
            <w:rStyle w:val="Hipervnculo"/>
            <w:rFonts w:ascii="Verdana" w:eastAsiaTheme="majorEastAsia" w:hAnsi="Verdana" w:cs="Arial"/>
            <w:color w:val="auto"/>
            <w:sz w:val="20"/>
            <w:szCs w:val="20"/>
            <w:u w:val="none"/>
          </w:rPr>
          <w:t>2</w:t>
        </w:r>
      </w:hyperlink>
      <w:r w:rsidRPr="00350177">
        <w:rPr>
          <w:rFonts w:ascii="Verdana" w:hAnsi="Verdana" w:cs="Arial"/>
          <w:sz w:val="20"/>
          <w:szCs w:val="20"/>
        </w:rPr>
        <w:t>o de la Ley 1150 de 2007, el cual quedará así:</w:t>
      </w:r>
    </w:p>
    <w:p w14:paraId="12420D23" w14:textId="77777777" w:rsidR="000F03FD" w:rsidRPr="00350177" w:rsidRDefault="000F03FD" w:rsidP="000F03FD">
      <w:pPr>
        <w:pStyle w:val="NormalWeb"/>
        <w:spacing w:before="0" w:beforeAutospacing="0" w:after="0" w:afterAutospacing="0"/>
        <w:ind w:left="709" w:right="709"/>
        <w:jc w:val="both"/>
        <w:rPr>
          <w:rFonts w:ascii="Verdana" w:hAnsi="Verdana" w:cs="Arial"/>
          <w:sz w:val="20"/>
          <w:szCs w:val="20"/>
        </w:rPr>
      </w:pPr>
    </w:p>
    <w:p w14:paraId="0AFEB802" w14:textId="77777777" w:rsidR="000F03FD" w:rsidRPr="00350177" w:rsidRDefault="000F03FD" w:rsidP="000F03FD">
      <w:pPr>
        <w:pStyle w:val="NormalWeb"/>
        <w:spacing w:before="0" w:beforeAutospacing="0" w:after="0" w:afterAutospacing="0"/>
        <w:ind w:left="709" w:right="709"/>
        <w:jc w:val="both"/>
        <w:rPr>
          <w:rFonts w:ascii="Verdana" w:hAnsi="Verdana" w:cs="Arial"/>
          <w:sz w:val="20"/>
          <w:szCs w:val="20"/>
        </w:rPr>
      </w:pPr>
      <w:r w:rsidRPr="00350177">
        <w:rPr>
          <w:rFonts w:ascii="Verdana" w:hAnsi="Verdana" w:cs="Arial"/>
          <w:sz w:val="20"/>
          <w:szCs w:val="20"/>
        </w:rPr>
        <w:t>c) Contratos interadministrativos, siempre que las obligaciones derivadas del mismo tengan relación directa con el objeto de la entidad ejecutora señalado en la ley o en sus reglamentos.</w:t>
      </w:r>
    </w:p>
    <w:p w14:paraId="68E5D25B" w14:textId="77777777" w:rsidR="000F03FD" w:rsidRPr="00350177" w:rsidRDefault="000F03FD" w:rsidP="000F03FD">
      <w:pPr>
        <w:pStyle w:val="NormalWeb"/>
        <w:spacing w:before="0" w:beforeAutospacing="0" w:after="0" w:afterAutospacing="0"/>
        <w:ind w:left="709" w:right="709"/>
        <w:jc w:val="both"/>
        <w:rPr>
          <w:rFonts w:ascii="Verdana" w:hAnsi="Verdana" w:cs="Arial"/>
          <w:sz w:val="20"/>
          <w:szCs w:val="20"/>
        </w:rPr>
      </w:pPr>
    </w:p>
    <w:p w14:paraId="53C3DEA6" w14:textId="77777777" w:rsidR="000F03FD" w:rsidRPr="00350177" w:rsidRDefault="000F03FD" w:rsidP="000F03FD">
      <w:pPr>
        <w:pStyle w:val="NormalWeb"/>
        <w:spacing w:before="0" w:beforeAutospacing="0" w:after="0" w:afterAutospacing="0"/>
        <w:ind w:left="709" w:right="709"/>
        <w:jc w:val="both"/>
        <w:rPr>
          <w:rFonts w:ascii="Verdana" w:hAnsi="Verdana" w:cs="Arial"/>
          <w:sz w:val="20"/>
          <w:szCs w:val="20"/>
        </w:rPr>
      </w:pPr>
      <w:r w:rsidRPr="00350177">
        <w:rPr>
          <w:rFonts w:ascii="Verdana" w:hAnsi="Verdana" w:cs="Arial"/>
          <w:sz w:val="20"/>
          <w:szCs w:val="20"/>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C416E3C" w14:textId="77777777" w:rsidR="000F03FD" w:rsidRPr="00350177" w:rsidRDefault="000F03FD" w:rsidP="000F03FD">
      <w:pPr>
        <w:pStyle w:val="NormalWeb"/>
        <w:spacing w:before="0" w:beforeAutospacing="0" w:after="0" w:afterAutospacing="0" w:line="276" w:lineRule="auto"/>
        <w:ind w:left="346"/>
        <w:jc w:val="both"/>
        <w:rPr>
          <w:rFonts w:ascii="Verdana" w:hAnsi="Verdana" w:cs="Arial"/>
          <w:sz w:val="22"/>
          <w:szCs w:val="22"/>
        </w:rPr>
      </w:pPr>
    </w:p>
    <w:p w14:paraId="152EA4CE" w14:textId="77777777" w:rsidR="000F03FD" w:rsidRPr="00350177" w:rsidRDefault="000F03FD" w:rsidP="000F03FD">
      <w:pPr>
        <w:spacing w:after="120" w:line="276" w:lineRule="auto"/>
        <w:ind w:firstLine="709"/>
        <w:jc w:val="both"/>
        <w:rPr>
          <w:rFonts w:ascii="Verdana" w:eastAsia="Calibri" w:hAnsi="Verdana" w:cs="Arial"/>
          <w:color w:val="000000" w:themeColor="text1"/>
          <w:lang w:val="es-ES_tradnl"/>
        </w:rPr>
      </w:pPr>
      <w:r w:rsidRPr="00350177">
        <w:rPr>
          <w:rFonts w:ascii="Verdana" w:eastAsia="Calibri" w:hAnsi="Verdana" w:cs="Arial"/>
          <w:color w:val="000000" w:themeColor="text1"/>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p w14:paraId="39751E5F" w14:textId="77777777" w:rsidR="000F03FD" w:rsidRPr="00804AFF" w:rsidRDefault="000F03FD" w:rsidP="000F03FD">
      <w:pPr>
        <w:spacing w:before="120" w:after="120" w:line="276" w:lineRule="auto"/>
        <w:ind w:firstLine="709"/>
        <w:jc w:val="both"/>
        <w:rPr>
          <w:rFonts w:ascii="Verdana" w:eastAsia="Calibri" w:hAnsi="Verdana" w:cs="Arial"/>
          <w:color w:val="000000" w:themeColor="text1"/>
          <w:lang w:val="es-ES_tradnl"/>
        </w:rPr>
      </w:pPr>
      <w:r w:rsidRPr="00350177">
        <w:rPr>
          <w:rFonts w:ascii="Verdana" w:eastAsia="Calibri" w:hAnsi="Verdana" w:cs="Arial"/>
          <w:color w:val="000000" w:themeColor="text1"/>
          <w:lang w:val="es-ES_tradnl"/>
        </w:rPr>
        <w:lastRenderedPageBreak/>
        <w:t>De otro lado, para efectos de responder su consulta, se encuentra que el inciso segundo establece una limitación a la contratación directa mediante la causal del literal c) – transcrito anteriormente –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los primeros a los cuales se refiere en su escrito.</w:t>
      </w:r>
      <w:r w:rsidRPr="00804AFF">
        <w:rPr>
          <w:rFonts w:ascii="Verdana" w:eastAsia="Calibri" w:hAnsi="Verdana" w:cs="Arial"/>
          <w:color w:val="000000" w:themeColor="text1"/>
          <w:lang w:val="es-ES_tradnl"/>
        </w:rPr>
        <w:t xml:space="preserve"> En esos supuestos específicos deberán adelantarse procesos competitivos, de acuerdo con las demás modalidades de selección establecidas en el EGCAP, en los cuales dichas entidades podrían participar en igualdad de condiciones e, incluso, resultar adjudicatarias.</w:t>
      </w:r>
    </w:p>
    <w:p w14:paraId="5D1AEA71" w14:textId="77777777" w:rsidR="000F03FD" w:rsidRPr="00804AFF" w:rsidRDefault="000F03FD" w:rsidP="000F03FD">
      <w:pPr>
        <w:spacing w:before="120" w:after="120" w:line="276" w:lineRule="auto"/>
        <w:ind w:firstLine="709"/>
        <w:jc w:val="both"/>
        <w:rPr>
          <w:rFonts w:ascii="Verdana" w:hAnsi="Verdana" w:cs="Arial"/>
          <w:color w:val="000000"/>
          <w:lang w:eastAsia="es-CO"/>
        </w:rPr>
      </w:pPr>
      <w:r w:rsidRPr="00804AFF">
        <w:rPr>
          <w:rFonts w:ascii="Verdana" w:eastAsia="Calibri" w:hAnsi="Verdana" w:cs="Arial"/>
          <w:color w:val="000000" w:themeColor="text1"/>
          <w:lang w:val="es-ES_tradnl"/>
        </w:rPr>
        <w:t xml:space="preserve">Cabe destacar que de conformidad con lo dispuesto en el inciso tercero de la norma objeto de análisis, </w:t>
      </w:r>
      <w:r w:rsidRPr="00804AFF">
        <w:rPr>
          <w:rFonts w:ascii="Verdana" w:hAnsi="Verdana" w:cs="Arial"/>
          <w:bCs/>
        </w:rPr>
        <w:t>la ejecución</w:t>
      </w:r>
      <w:r w:rsidRPr="00804AFF">
        <w:rPr>
          <w:rFonts w:ascii="Verdana" w:hAnsi="Verdana" w:cs="Arial"/>
        </w:rPr>
        <w:t xml:space="preserve"> de los contratos interadministrativos quedó sometida por regla general al </w:t>
      </w:r>
      <w:r w:rsidRPr="00804AFF">
        <w:rPr>
          <w:rFonts w:ascii="Verdana" w:hAnsi="Verdana" w:cs="Arial"/>
          <w:color w:val="000000"/>
          <w:lang w:eastAsia="es-CO"/>
        </w:rPr>
        <w:t>EGCAP</w:t>
      </w:r>
      <w:r w:rsidRPr="00804AFF">
        <w:rPr>
          <w:rFonts w:ascii="Verdana" w:hAnsi="Verdana" w:cs="Arial"/>
        </w:rPr>
        <w:t xml:space="preserve">, salvo los casos en que la entidad ejecutora actúa en régimen de competencia con el sector privado o cuando el contrato tenga relación directa con su actividad. </w:t>
      </w:r>
      <w:r w:rsidRPr="00804AFF">
        <w:rPr>
          <w:rFonts w:ascii="Verdana" w:hAnsi="Verdana" w:cs="Arial"/>
          <w:color w:val="000000"/>
          <w:lang w:eastAsia="es-CO"/>
        </w:rPr>
        <w:t>En otras palabras, la ejecución del respectivo contrato interadministrativo podrá hacerse bajo unas normas distintas a las dispuestas en el EGCAP si existe una relación inmediata entre el objeto del contrato y la actividad propia de la entidad ejecutora.</w:t>
      </w:r>
    </w:p>
    <w:p w14:paraId="6CA0D946" w14:textId="77777777" w:rsidR="000F03FD" w:rsidRPr="00804AFF" w:rsidRDefault="000F03FD" w:rsidP="000F03FD">
      <w:pPr>
        <w:spacing w:before="120" w:line="276" w:lineRule="auto"/>
        <w:ind w:firstLine="709"/>
        <w:jc w:val="both"/>
        <w:rPr>
          <w:rFonts w:ascii="Verdana" w:hAnsi="Verdana" w:cs="Arial"/>
          <w:color w:val="000000"/>
          <w:lang w:eastAsia="es-CO"/>
        </w:rPr>
      </w:pPr>
      <w:r w:rsidRPr="00804AFF">
        <w:rPr>
          <w:rFonts w:ascii="Verdana" w:hAnsi="Verdana" w:cs="Arial"/>
          <w:color w:val="000000"/>
          <w:lang w:eastAsia="es-CO"/>
        </w:rPr>
        <w:t>Aunado a la verificación de las condiciones anteriormente descritas, las entidades públicas también deben garantizar el cumplimiento de los principios de transparencia y selección objetiva</w:t>
      </w:r>
      <w:r w:rsidRPr="00804AFF">
        <w:rPr>
          <w:rStyle w:val="Refdenotaalpie"/>
          <w:rFonts w:ascii="Verdana" w:hAnsi="Verdana" w:cs="Arial"/>
        </w:rPr>
        <w:footnoteReference w:id="16"/>
      </w:r>
      <w:r w:rsidRPr="00804AFF">
        <w:rPr>
          <w:rFonts w:ascii="Verdana" w:hAnsi="Verdana" w:cs="Arial"/>
          <w:color w:val="000000"/>
          <w:lang w:eastAsia="es-CO"/>
        </w:rPr>
        <w:t>. Así lo ha señalado de manera unánime la jurisprudencia de la sección tercera del Consejo de Estado, en el sentido de que independiente de modalidad de selección, esto es mediate la contratación directa o un mecanismo competitivo, la celebración de los contratos del estado deben estar orientados por los principios de la contratación estatal, siendo uno de ellos el de transparencia y selección objetiva, tal y como se pasa a explicar</w:t>
      </w:r>
      <w:r w:rsidRPr="00804AFF">
        <w:rPr>
          <w:rStyle w:val="Refdenotaalpie"/>
          <w:rFonts w:ascii="Verdana" w:hAnsi="Verdana" w:cs="Arial"/>
          <w:color w:val="000000"/>
          <w:lang w:eastAsia="es-CO"/>
        </w:rPr>
        <w:footnoteReference w:id="17"/>
      </w:r>
      <w:r w:rsidRPr="00804AFF">
        <w:rPr>
          <w:rFonts w:ascii="Verdana" w:hAnsi="Verdana" w:cs="Arial"/>
          <w:color w:val="000000"/>
          <w:lang w:eastAsia="es-CO"/>
        </w:rPr>
        <w:t xml:space="preserve">. </w:t>
      </w:r>
    </w:p>
    <w:p w14:paraId="71BC45AB" w14:textId="77777777" w:rsidR="000F03FD" w:rsidRPr="00804AFF" w:rsidRDefault="000F03FD" w:rsidP="000F03FD">
      <w:pPr>
        <w:spacing w:before="120" w:line="276" w:lineRule="auto"/>
        <w:ind w:firstLine="720"/>
        <w:jc w:val="both"/>
        <w:rPr>
          <w:rFonts w:ascii="Verdana" w:eastAsia="Arial" w:hAnsi="Verdana" w:cs="Arial"/>
          <w:color w:val="000000" w:themeColor="text1"/>
          <w:lang w:val="es-ES"/>
        </w:rPr>
      </w:pPr>
      <w:r w:rsidRPr="00804AFF">
        <w:rPr>
          <w:rFonts w:ascii="Verdana" w:eastAsia="Calibri" w:hAnsi="Verdana" w:cs="Arial"/>
          <w:color w:val="000000"/>
        </w:rPr>
        <w:lastRenderedPageBreak/>
        <w:t>De acuerdo con lo explicado con</w:t>
      </w:r>
      <w:r w:rsidRPr="00804AFF">
        <w:rPr>
          <w:rFonts w:ascii="Verdana" w:eastAsia="Calibri" w:hAnsi="Verdana" w:cs="Arial"/>
          <w:color w:val="000000"/>
          <w:lang w:val="es-ES_tradnl"/>
        </w:rPr>
        <w:t xml:space="preserve"> relación con la causal de contratación directa establecida en el literal c del numeral 4 del artículo 2 de la Ley 1150 de 2007, las entidades estatales pueden suscribir contratos interadministrativos siempre que las obligaciones derivadas de los mismos tengan relación con el objeto de la entidad ejecutora. Como se explicó en el numeral 2.1,</w:t>
      </w:r>
      <w:r w:rsidRPr="00804AFF">
        <w:rPr>
          <w:rFonts w:ascii="Verdana" w:eastAsia="Arial" w:hAnsi="Verdana" w:cs="Arial"/>
          <w:color w:val="000000" w:themeColor="text1"/>
          <w:lang w:val="es-ES"/>
        </w:rPr>
        <w:t xml:space="preserve"> los contratos o convenios interadministrativos están determinados por un criterio orgánico, pues es necesario que los extremos de la relación contractual sean entidades</w:t>
      </w:r>
      <w:r w:rsidRPr="00804AFF">
        <w:rPr>
          <w:rFonts w:ascii="Verdana" w:eastAsia="Arial" w:hAnsi="Verdana" w:cs="Arial"/>
          <w:color w:val="000000" w:themeColor="text1"/>
          <w:spacing w:val="-6"/>
          <w:lang w:val="es-ES"/>
        </w:rPr>
        <w:t xml:space="preserve"> </w:t>
      </w:r>
      <w:r w:rsidRPr="00804AFF">
        <w:rPr>
          <w:rFonts w:ascii="Verdana" w:eastAsia="Arial" w:hAnsi="Verdana" w:cs="Arial"/>
          <w:color w:val="000000" w:themeColor="text1"/>
          <w:lang w:val="es-ES"/>
        </w:rPr>
        <w:t>estatales.</w:t>
      </w:r>
    </w:p>
    <w:p w14:paraId="5EC9990C" w14:textId="77777777" w:rsidR="000F03FD" w:rsidRPr="00804AFF" w:rsidRDefault="000F03FD" w:rsidP="000F03FD">
      <w:pPr>
        <w:spacing w:before="120" w:line="276" w:lineRule="auto"/>
        <w:ind w:firstLine="720"/>
        <w:jc w:val="both"/>
        <w:rPr>
          <w:rFonts w:ascii="Verdana" w:eastAsia="Arial" w:hAnsi="Verdana" w:cs="Arial"/>
        </w:rPr>
      </w:pPr>
      <w:r w:rsidRPr="00804AFF">
        <w:rPr>
          <w:rFonts w:ascii="Verdana" w:eastAsia="Calibri" w:hAnsi="Verdana" w:cs="Arial"/>
          <w:color w:val="000000"/>
          <w:lang w:val="es-ES_tradnl"/>
        </w:rPr>
        <w:t xml:space="preserve">Por consiguiente, la justificación de esta causal de contratación directa debe partir de la base de dos aspectos primordiales: i) el contratista ejecutor debe ser una entidad estatal o </w:t>
      </w:r>
      <w:r w:rsidRPr="00804AFF">
        <w:rPr>
          <w:rFonts w:ascii="Verdana" w:eastAsia="Arial" w:hAnsi="Verdana" w:cs="Arial"/>
          <w:color w:val="000000" w:themeColor="text1"/>
          <w:lang w:val="es-ES"/>
        </w:rPr>
        <w:t xml:space="preserve">persona jurídica de derecho público, independientemente de que esta cuente con un régimen especial de contratación y ii) </w:t>
      </w:r>
      <w:r w:rsidRPr="00804AFF">
        <w:rPr>
          <w:rFonts w:ascii="Verdana" w:eastAsia="Arial" w:hAnsi="Verdana" w:cs="Arial"/>
        </w:rPr>
        <w:t xml:space="preserve">es imperativo que el objeto de dicha entidad tenga relación directa con las obligaciones del contrato a ejecutar, pues, de lo contrario, no se cumpliría con el requisito establecido en la ley, aun cuando esta sea una entidad estatal. Al respecto, en pronunciamiento de la Sala de Consulta y Servicio Civil del Consejo de Estado se señaló:  </w:t>
      </w:r>
      <w:r w:rsidRPr="00804AFF">
        <w:rPr>
          <w:rFonts w:ascii="Verdana" w:eastAsia="Calibri" w:hAnsi="Verdana" w:cs="Arial"/>
          <w:color w:val="000000"/>
        </w:rPr>
        <w:t>“</w:t>
      </w:r>
      <w:r w:rsidRPr="00804AFF">
        <w:rPr>
          <w:rFonts w:ascii="Verdana" w:eastAsia="Arial" w:hAnsi="Verdana" w:cs="Arial"/>
        </w:rPr>
        <w:t>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r w:rsidRPr="00804AFF">
        <w:rPr>
          <w:rFonts w:ascii="Verdana" w:eastAsia="Calibri" w:hAnsi="Verdana" w:cs="Arial"/>
          <w:bCs/>
          <w:lang w:val="es-ES_tradnl"/>
        </w:rPr>
        <w:t>”</w:t>
      </w:r>
      <w:r w:rsidRPr="00804AFF">
        <w:rPr>
          <w:rStyle w:val="Refdenotaalpie"/>
          <w:rFonts w:ascii="Verdana" w:eastAsia="Calibri" w:hAnsi="Verdana" w:cs="Arial"/>
          <w:bCs/>
          <w:lang w:val="es-ES_tradnl"/>
        </w:rPr>
        <w:footnoteReference w:id="18"/>
      </w:r>
      <w:r w:rsidRPr="00804AFF">
        <w:rPr>
          <w:rFonts w:ascii="Verdana" w:eastAsia="Calibri" w:hAnsi="Verdana" w:cs="Arial"/>
          <w:bCs/>
          <w:lang w:val="es-ES_tradnl"/>
        </w:rPr>
        <w:t>.</w:t>
      </w:r>
    </w:p>
    <w:p w14:paraId="770138CC" w14:textId="77777777" w:rsidR="000F03FD" w:rsidRPr="00804AFF" w:rsidRDefault="000F03FD" w:rsidP="000F03FD">
      <w:pPr>
        <w:spacing w:before="120" w:line="276" w:lineRule="auto"/>
        <w:ind w:firstLine="720"/>
        <w:jc w:val="both"/>
        <w:rPr>
          <w:rFonts w:ascii="Verdana" w:eastAsia="Arial" w:hAnsi="Verdana" w:cs="Arial"/>
        </w:rPr>
      </w:pPr>
      <w:r w:rsidRPr="00804AFF">
        <w:rPr>
          <w:rFonts w:ascii="Verdana" w:eastAsia="Arial" w:hAnsi="Verdana" w:cs="Arial"/>
          <w:color w:val="000000" w:themeColor="text1"/>
          <w:lang w:val="es-ES"/>
        </w:rPr>
        <w:t xml:space="preserve">De esta manera, cada uno de estos aspectos debe contemplar la justificación suficiente que permita determinar que la causal escogida por la entidad estatal se ajusta a lo dispuesto en la norma. Lo anterior, teniendo en cuenta que la modalidad de contratación directa es de aplicación restrictiva y solo procede por las causales previstas en la ley. </w:t>
      </w:r>
    </w:p>
    <w:p w14:paraId="04ECE957" w14:textId="77777777" w:rsidR="000F03FD" w:rsidRPr="00804AFF" w:rsidRDefault="000F03FD" w:rsidP="000F03FD">
      <w:pPr>
        <w:spacing w:before="120" w:after="120" w:line="276" w:lineRule="auto"/>
        <w:ind w:firstLine="708"/>
        <w:jc w:val="both"/>
        <w:rPr>
          <w:rFonts w:ascii="Verdana" w:eastAsia="Arial" w:hAnsi="Verdana" w:cs="Arial"/>
          <w:color w:val="000000" w:themeColor="text1"/>
          <w:lang w:val="es-ES_tradnl"/>
        </w:rPr>
      </w:pPr>
      <w:r w:rsidRPr="00804AFF">
        <w:rPr>
          <w:rFonts w:ascii="Verdana" w:eastAsia="Calibri" w:hAnsi="Verdana" w:cs="Arial"/>
        </w:rPr>
        <w:t xml:space="preserve">Ahora bien, frente a consulta planteada sobre la justificación de esta causal cuando existen varias entidades que pueden prestar el servicio, es pertinente indicar que es </w:t>
      </w:r>
      <w:r w:rsidRPr="00804AFF">
        <w:rPr>
          <w:rFonts w:ascii="Verdana" w:eastAsia="Arial" w:hAnsi="Verdana" w:cs="Arial"/>
          <w:color w:val="000000" w:themeColor="text1"/>
          <w:lang w:val="es-ES"/>
        </w:rPr>
        <w:t xml:space="preserve">la Ley 1150 de 2007 la que prescribe que los contratos interadministrativos pueden celebrarse directamente, sin perjuicio de que, eventualmente, se celebren en el marco de un proceso de selección competitivo, como se explicó en el numeral 2.1. de este concepto. Por ello, al tratarse de una causal de contratación directa establecida por el legislador no será obligatorio contar con varias ofertas para escoger libremente a la entidad estatal con la cual </w:t>
      </w:r>
      <w:r w:rsidRPr="00804AFF">
        <w:rPr>
          <w:rFonts w:ascii="Verdana" w:eastAsia="Arial" w:hAnsi="Verdana" w:cs="Arial"/>
          <w:color w:val="000000" w:themeColor="text1"/>
          <w:lang w:val="es-ES"/>
        </w:rPr>
        <w:lastRenderedPageBreak/>
        <w:t>se suscribirá el contrato interadministrativo. En efecto, como se indicó, l</w:t>
      </w:r>
      <w:r w:rsidRPr="00804AFF">
        <w:rPr>
          <w:rFonts w:ascii="Verdana" w:eastAsia="Arial" w:hAnsi="Verdana" w:cs="Arial"/>
          <w:color w:val="000000" w:themeColor="text1"/>
          <w:lang w:val="es-ES_tradnl"/>
        </w:rPr>
        <w:t xml:space="preserve">a modalidad de contratación directa es una excepción a los principios de libre concurrencia y libre competencia, por lo que </w:t>
      </w:r>
      <w:r w:rsidRPr="00804AFF">
        <w:rPr>
          <w:rFonts w:ascii="Verdana" w:eastAsia="Calibri" w:hAnsi="Verdana" w:cs="Arial"/>
          <w:color w:val="000000"/>
          <w:lang w:val="es-ES_tradnl"/>
        </w:rPr>
        <w:t>no es necesario que la entidad estatal reciba más de una oferta, la cual proviene de la persona que la entidad señala directamente y la invita a ofertar el bien o servicio que requiere. Lo anterior obedece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0FC07292" w14:textId="77777777" w:rsidR="000F03FD" w:rsidRPr="00804AFF" w:rsidRDefault="000F03FD" w:rsidP="000F03FD">
      <w:pPr>
        <w:spacing w:before="120" w:after="120" w:line="276" w:lineRule="auto"/>
        <w:ind w:firstLine="709"/>
        <w:jc w:val="both"/>
        <w:rPr>
          <w:rFonts w:ascii="Verdana" w:eastAsia="Calibri" w:hAnsi="Verdana" w:cs="Arial"/>
        </w:rPr>
      </w:pPr>
      <w:r w:rsidRPr="00804AFF">
        <w:rPr>
          <w:rFonts w:ascii="Verdana" w:eastAsia="Calibri" w:hAnsi="Verdana" w:cs="Arial"/>
        </w:rPr>
        <w:t xml:space="preserve">Sobre el particular, el Consejo de Estado ha señalado que la contratación directa es </w:t>
      </w:r>
      <w:r w:rsidRPr="00804AFF">
        <w:rPr>
          <w:rFonts w:ascii="Verdana" w:eastAsia="Calibri" w:hAnsi="Verdana" w:cs="Arial"/>
          <w:color w:val="000000"/>
          <w:lang w:val="es-ES_tradnl"/>
        </w:rPr>
        <w:t>“</w:t>
      </w:r>
      <w:r w:rsidRPr="00804AFF">
        <w:rPr>
          <w:rFonts w:ascii="Verdana" w:eastAsia="Calibri" w:hAnsi="Verdana" w:cs="Arial"/>
        </w:rPr>
        <w:t>aquella forma de escoger al contratista donde no es necesario que la administración obtenga dos o más ofertas, toda vez que es la única manera de entender que de verdad la contratación es directa. Si necesitara varias propuestas, la modalidad no sería esta, ya que la expresión contratación directa debe dar la idea de que la contratación se realiza con quien la entidad escoja libremente, de no ser así no sería directa</w:t>
      </w:r>
      <w:r w:rsidRPr="00804AFF">
        <w:rPr>
          <w:rFonts w:ascii="Verdana" w:eastAsia="Calibri" w:hAnsi="Verdana" w:cs="Arial"/>
          <w:color w:val="000000"/>
          <w:lang w:val="es-ES_tradnl"/>
        </w:rPr>
        <w:t>”</w:t>
      </w:r>
      <w:r w:rsidRPr="00804AFF">
        <w:rPr>
          <w:rFonts w:ascii="Verdana" w:eastAsia="Calibri" w:hAnsi="Verdana" w:cs="Arial"/>
        </w:rPr>
        <w:t xml:space="preserve">. Así mismo, señaló que </w:t>
      </w:r>
      <w:r w:rsidRPr="00804AFF">
        <w:rPr>
          <w:rFonts w:ascii="Verdana" w:eastAsia="Calibri" w:hAnsi="Verdana" w:cs="Arial"/>
          <w:color w:val="000000"/>
          <w:lang w:val="es-ES_tradnl"/>
        </w:rPr>
        <w:t>“</w:t>
      </w:r>
      <w:r w:rsidRPr="00804AFF">
        <w:rPr>
          <w:rFonts w:ascii="Verdana" w:eastAsia="Calibri" w:hAnsi="Verdana" w:cs="Arial"/>
        </w:rPr>
        <w:t>Del articulado mismo de la ley 1150 se desprende que las causales de contratación directa no requieren de la obtención de un número plural de ofertas. Por el contrario, la escoge libremente, bien pidiendo una sola oferta o incluso ninguna, pudiendo pasarse -en este último caso- a suscribir directamente el contrato</w:t>
      </w:r>
      <w:r w:rsidRPr="00804AFF">
        <w:rPr>
          <w:rFonts w:ascii="Verdana" w:eastAsia="Calibri" w:hAnsi="Verdana" w:cs="Arial"/>
          <w:color w:val="000000"/>
          <w:lang w:val="es-ES_tradnl"/>
        </w:rPr>
        <w:t>”</w:t>
      </w:r>
      <w:r w:rsidRPr="00804AFF">
        <w:rPr>
          <w:rStyle w:val="Refdenotaalpie"/>
          <w:rFonts w:ascii="Verdana" w:eastAsia="Calibri" w:hAnsi="Verdana" w:cs="Arial"/>
          <w:color w:val="000000"/>
          <w:lang w:val="es-ES_tradnl"/>
        </w:rPr>
        <w:footnoteReference w:id="19"/>
      </w:r>
      <w:r w:rsidRPr="00804AFF">
        <w:rPr>
          <w:rFonts w:ascii="Verdana" w:eastAsia="Calibri" w:hAnsi="Verdana" w:cs="Arial"/>
        </w:rPr>
        <w:t>. De ahí que, para esta modalidad de contratación, incluyendo la causal de contratos interadministrativos objeto de análisis, no resulta obligatoria la comparación de varias ofertas, pudiendo la entidad celebrar directamente el contrato con aquella entidad que cumpla con los requisitos necesarios para la ejecución del mismo.</w:t>
      </w:r>
    </w:p>
    <w:p w14:paraId="64F7F4D9" w14:textId="77777777" w:rsidR="000F03FD" w:rsidRPr="00804AFF" w:rsidRDefault="000F03FD" w:rsidP="000F03FD">
      <w:pPr>
        <w:spacing w:line="276" w:lineRule="auto"/>
        <w:ind w:firstLine="720"/>
        <w:jc w:val="both"/>
        <w:rPr>
          <w:rFonts w:ascii="Verdana" w:eastAsia="Calibri" w:hAnsi="Verdana" w:cs="Arial"/>
          <w:color w:val="000000"/>
          <w:lang w:val="es-ES_tradnl"/>
        </w:rPr>
      </w:pPr>
      <w:r w:rsidRPr="00804AFF">
        <w:rPr>
          <w:rFonts w:ascii="Verdana" w:eastAsia="Arial" w:hAnsi="Verdana" w:cs="Arial"/>
          <w:color w:val="000000" w:themeColor="text1"/>
          <w:lang w:val="es-ES"/>
        </w:rPr>
        <w:t>Sin embargo, esto no significa que esta contratación esté exenta</w:t>
      </w:r>
      <w:r w:rsidRPr="00804AFF">
        <w:rPr>
          <w:rFonts w:ascii="Verdana" w:eastAsia="Calibri" w:hAnsi="Verdana" w:cs="Arial"/>
          <w:color w:val="000000"/>
          <w:lang w:val="es-ES_tradnl"/>
        </w:rPr>
        <w:t xml:space="preserve"> del cumplimiento de los principios de transparencia y selección objetiva que rigen la contratación pública. En la contratación directa la entidad también deberá realizar un análisis previo a la suscripción del contrato, en el que se verifique que el contratista cumple con lo requerido para satisfacer la necesidad </w:t>
      </w:r>
      <w:r w:rsidRPr="00804AFF">
        <w:rPr>
          <w:rFonts w:ascii="Verdana" w:eastAsia="Calibri" w:hAnsi="Verdana" w:cs="Arial"/>
        </w:rPr>
        <w:t>contractual</w:t>
      </w:r>
      <w:r w:rsidRPr="00804AFF">
        <w:rPr>
          <w:rFonts w:ascii="Verdana" w:eastAsia="Calibri" w:hAnsi="Verdana" w:cs="Arial"/>
          <w:color w:val="000000"/>
          <w:lang w:val="es-ES_tradnl"/>
        </w:rPr>
        <w:t>. Por tanto, la entidad tiene la obligación de escoger al contratista de manera objetiva, es decir, que “</w:t>
      </w:r>
      <w:r w:rsidRPr="00804AFF">
        <w:rPr>
          <w:rFonts w:ascii="Verdana" w:eastAsia="Calibri" w:hAnsi="Verdana" w:cs="Arial"/>
          <w:color w:val="000000"/>
        </w:rPr>
        <w:t xml:space="preserve">el contratista elegido no lo sea por razones políticas, o de amistad, o de recomendación basada en criterios caprichosos, sino en motivos como la buena calidad del trabajo, la experiencia profesional reconocida, la imagen pública de su actividad profesional, entre otros factores </w:t>
      </w:r>
      <w:r w:rsidRPr="00804AFF">
        <w:rPr>
          <w:rFonts w:ascii="Verdana" w:eastAsia="Calibri" w:hAnsi="Verdana" w:cs="Arial"/>
          <w:color w:val="000000"/>
        </w:rPr>
        <w:lastRenderedPageBreak/>
        <w:t>objetivos y criterios de valoración profesional que alejan la arbitrariedad, la subjetividad y el capricho de la selección del contratista, cuando se escoge en forma directa”</w:t>
      </w:r>
      <w:r w:rsidRPr="00804AFF">
        <w:rPr>
          <w:rStyle w:val="Refdenotaalpie"/>
          <w:rFonts w:ascii="Verdana" w:eastAsia="Calibri" w:hAnsi="Verdana" w:cs="Arial"/>
          <w:color w:val="000000"/>
          <w:lang w:val="es-ES_tradnl"/>
        </w:rPr>
        <w:footnoteReference w:id="20"/>
      </w:r>
      <w:r w:rsidRPr="00804AFF">
        <w:rPr>
          <w:rFonts w:ascii="Verdana" w:eastAsia="Calibri" w:hAnsi="Verdana" w:cs="Arial"/>
          <w:color w:val="000000"/>
        </w:rPr>
        <w:t>.</w:t>
      </w:r>
    </w:p>
    <w:p w14:paraId="17791050" w14:textId="77777777" w:rsidR="000F03FD" w:rsidRPr="00804AFF" w:rsidRDefault="000F03FD" w:rsidP="000F03FD">
      <w:pPr>
        <w:spacing w:before="120" w:line="276" w:lineRule="auto"/>
        <w:ind w:firstLine="720"/>
        <w:jc w:val="both"/>
        <w:rPr>
          <w:rFonts w:ascii="Verdana" w:eastAsia="Calibri" w:hAnsi="Verdana" w:cs="Arial"/>
          <w:color w:val="000000"/>
        </w:rPr>
      </w:pPr>
      <w:r w:rsidRPr="00804AFF">
        <w:rPr>
          <w:rFonts w:ascii="Verdana" w:eastAsia="Calibri" w:hAnsi="Verdana" w:cs="Arial"/>
          <w:color w:val="000000"/>
        </w:rPr>
        <w:t xml:space="preserve">En este contexto, en la causal de contratos interadministrativos es necesario que la entidad justifique las razones por las cuales se contratará directamente con la entidad estatal basado en criterios objetivos como la experiencia, la idoneidad, capacidad financiera, capacidad técnica y operativa, entre otros. De esta manera, la entidad estatal, además de verificar el cumplimiento de los requisitos señalados en el literal c del numeral 4 del artículo 2 de la Ley 1150 de 2007, deberá constatar que la entidad con la cual se celebrará el contrato está en capacidad de ejecutar el objeto contractual y que haya demostrado la idoneidad para cumplirlo, sin que sea necesario que haya obtenido previamente varias ofertas, de lo cual la entidad deberá dejar la constancia respectiva. </w:t>
      </w:r>
    </w:p>
    <w:p w14:paraId="1A737A9F" w14:textId="77777777" w:rsidR="000F03FD" w:rsidRPr="00804AFF" w:rsidRDefault="000F03FD" w:rsidP="000F03FD">
      <w:pPr>
        <w:spacing w:before="120" w:line="276" w:lineRule="auto"/>
        <w:ind w:firstLine="720"/>
        <w:jc w:val="both"/>
        <w:rPr>
          <w:rFonts w:ascii="Verdana" w:eastAsia="Calibri" w:hAnsi="Verdana" w:cs="Arial"/>
          <w:color w:val="000000"/>
        </w:rPr>
      </w:pPr>
      <w:r w:rsidRPr="00804AFF">
        <w:rPr>
          <w:rFonts w:ascii="Verdana" w:eastAsia="Calibri" w:hAnsi="Verdana" w:cs="Arial"/>
          <w:color w:val="000000"/>
        </w:rPr>
        <w:t xml:space="preserve">Lo expuesto guarda relación con el numeral segundo del artículo </w:t>
      </w:r>
      <w:r w:rsidRPr="00804AFF">
        <w:rPr>
          <w:rFonts w:ascii="Verdana" w:eastAsia="Arial" w:hAnsi="Verdana" w:cs="Arial"/>
        </w:rPr>
        <w:t xml:space="preserve">2.2.1.2.1.4.1. del Decreto 1082 de 2015 referente al objeto del contrato como elemento del acto administrativo de justificación de la contratación directa, en la medida en que la entidad deberá relacionar el objeto del contrato a ejecutar, el cual debe encontrarse en consonancia con el objeto de la entidad ejecutora, conforme lo exige </w:t>
      </w:r>
      <w:r w:rsidRPr="00804AFF">
        <w:rPr>
          <w:rFonts w:ascii="Verdana" w:eastAsia="Calibri" w:hAnsi="Verdana" w:cs="Arial"/>
          <w:color w:val="000000"/>
        </w:rPr>
        <w:t>el literal c del numeral 4 del artículo 2 de la Ley 1150 de 2007.</w:t>
      </w:r>
    </w:p>
    <w:p w14:paraId="5B33EA05" w14:textId="77777777" w:rsidR="000F03FD" w:rsidRPr="00804AFF" w:rsidRDefault="000F03FD" w:rsidP="000F03FD">
      <w:pPr>
        <w:spacing w:before="120" w:line="276" w:lineRule="auto"/>
        <w:ind w:firstLine="709"/>
        <w:jc w:val="both"/>
        <w:rPr>
          <w:rFonts w:ascii="Verdana" w:eastAsia="Calibri" w:hAnsi="Verdana" w:cs="Arial"/>
          <w:bCs/>
          <w:lang w:val="es-ES_tradnl"/>
        </w:rPr>
      </w:pPr>
      <w:r w:rsidRPr="00804AFF">
        <w:rPr>
          <w:rFonts w:ascii="Verdana" w:eastAsia="Calibri" w:hAnsi="Verdana" w:cs="Arial"/>
          <w:color w:val="000000"/>
        </w:rPr>
        <w:t xml:space="preserve">En relación con el numeral 3 del artículo </w:t>
      </w:r>
      <w:r w:rsidRPr="00804AFF">
        <w:rPr>
          <w:rFonts w:ascii="Verdana" w:eastAsia="Arial" w:hAnsi="Verdana" w:cs="Arial"/>
        </w:rPr>
        <w:t xml:space="preserve">2.2.1.2.1.4.1. del Decreto 1082 de 2015, se establece la obligación de señalar el presupuesto para la contratación y las condiciones que exigirá al contratista. </w:t>
      </w:r>
      <w:r w:rsidRPr="00804AFF">
        <w:rPr>
          <w:rFonts w:ascii="Verdana" w:eastAsia="Calibri" w:hAnsi="Verdana" w:cs="Arial"/>
          <w:bCs/>
          <w:lang w:val="es-ES_tradnl"/>
        </w:rPr>
        <w:t xml:space="preserve">Para estos efectos, es importante considerar que el artículo </w:t>
      </w:r>
      <w:bookmarkStart w:id="2" w:name="_Hlk36117416"/>
      <w:r w:rsidRPr="00804AFF">
        <w:rPr>
          <w:rFonts w:ascii="Verdana" w:eastAsia="Calibri" w:hAnsi="Verdana" w:cs="Arial"/>
          <w:bCs/>
          <w:lang w:val="es-ES_tradnl"/>
        </w:rPr>
        <w:t>2.2.1.1.1.6.1 del Decreto 1082 de 2015</w:t>
      </w:r>
      <w:bookmarkEnd w:id="2"/>
      <w:r w:rsidRPr="00804AFF">
        <w:rPr>
          <w:rFonts w:ascii="Verdana" w:eastAsia="Calibri" w:hAnsi="Verdana" w:cs="Arial"/>
          <w:bCs/>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w:t>
      </w:r>
    </w:p>
    <w:p w14:paraId="71A5ADDC" w14:textId="77777777" w:rsidR="000F03FD" w:rsidRPr="00804AFF" w:rsidRDefault="000F03FD" w:rsidP="000F03FD">
      <w:pPr>
        <w:spacing w:before="120" w:line="276" w:lineRule="auto"/>
        <w:ind w:firstLine="709"/>
        <w:jc w:val="both"/>
        <w:rPr>
          <w:rFonts w:ascii="Verdana" w:eastAsia="Calibri" w:hAnsi="Verdana" w:cs="Arial"/>
          <w:bCs/>
          <w:lang w:val="es-ES_tradnl"/>
        </w:rPr>
      </w:pPr>
      <w:r w:rsidRPr="00804AFF">
        <w:rPr>
          <w:rFonts w:ascii="Verdana" w:eastAsia="Calibri" w:hAnsi="Verdana" w:cs="Arial"/>
          <w:bCs/>
          <w:lang w:val="es-ES_tradnl"/>
        </w:rPr>
        <w:t xml:space="preserve">De acuerdo con la norma citada, </w:t>
      </w:r>
      <w:bookmarkStart w:id="3" w:name="_Hlk36140682"/>
      <w:r w:rsidRPr="00804AFF">
        <w:rPr>
          <w:rFonts w:ascii="Verdana" w:eastAsia="Calibri" w:hAnsi="Verdana" w:cs="Arial"/>
          <w:bCs/>
          <w:lang w:val="es-ES_tradnl"/>
        </w:rPr>
        <w:t xml:space="preserve">la entidad debe realizar el análisis necesario para conocer el sector relativo al objeto del proceso de contratación, sin que sea relevante la modalidad de selección. </w:t>
      </w:r>
      <w:bookmarkEnd w:id="3"/>
      <w:r w:rsidRPr="00804AFF">
        <w:rPr>
          <w:rFonts w:ascii="Verdana" w:eastAsia="Calibri" w:hAnsi="Verdana" w:cs="Arial"/>
          <w:bCs/>
          <w:lang w:val="es-ES_tradnl"/>
        </w:rPr>
        <w:t xml:space="preserve">Si bien los estudios del sector son de gran relevancia en los procesos de contratación donde existe pluralidad de oferentes, nada obsta para que se elaboren allí donde no existiría competencia. Para estos efectos, la Guía de Elaboración de Estudios de Sector elaborada por esta Agencia, explica que “En la contratación directa, el estudio </w:t>
      </w:r>
      <w:r w:rsidRPr="00804AFF">
        <w:rPr>
          <w:rFonts w:ascii="Verdana" w:eastAsia="Calibri" w:hAnsi="Verdana" w:cs="Arial"/>
          <w:bCs/>
          <w:lang w:val="es-ES_tradnl"/>
        </w:rPr>
        <w:lastRenderedPageBreak/>
        <w:t>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w:t>
      </w:r>
      <w:r w:rsidRPr="00804AFF">
        <w:rPr>
          <w:rStyle w:val="Refdenotaalpie"/>
          <w:rFonts w:ascii="Verdana" w:eastAsia="Calibri" w:hAnsi="Verdana" w:cs="Arial"/>
          <w:bCs/>
          <w:lang w:val="es-ES_tradnl"/>
        </w:rPr>
        <w:footnoteReference w:id="21"/>
      </w:r>
      <w:r w:rsidRPr="00804AFF">
        <w:rPr>
          <w:rFonts w:ascii="Verdana" w:eastAsia="Calibri" w:hAnsi="Verdana" w:cs="Arial"/>
          <w:bCs/>
          <w:lang w:val="es-ES_tradnl"/>
        </w:rPr>
        <w:t xml:space="preserve">. </w:t>
      </w:r>
    </w:p>
    <w:p w14:paraId="7C0BCE46" w14:textId="77777777" w:rsidR="000F03FD" w:rsidRPr="00804AFF" w:rsidRDefault="000F03FD" w:rsidP="000F03FD">
      <w:pPr>
        <w:spacing w:before="120" w:line="276" w:lineRule="auto"/>
        <w:ind w:firstLine="709"/>
        <w:jc w:val="both"/>
        <w:rPr>
          <w:rFonts w:ascii="Verdana" w:eastAsia="Calibri" w:hAnsi="Verdana" w:cs="Arial"/>
          <w:lang w:val="es-ES"/>
        </w:rPr>
      </w:pPr>
      <w:r w:rsidRPr="00804AFF">
        <w:rPr>
          <w:rFonts w:ascii="Verdana" w:eastAsia="Calibri" w:hAnsi="Verdana" w:cs="Arial"/>
          <w:lang w:val="es-ES"/>
        </w:rPr>
        <w:t xml:space="preserve">La Entidad Estatal debe consignar en los </w:t>
      </w:r>
      <w:r w:rsidRPr="00804AFF">
        <w:rPr>
          <w:rFonts w:ascii="Verdana" w:eastAsia="Calibri" w:hAnsi="Verdana" w:cs="Arial"/>
          <w:i/>
          <w:iCs/>
          <w:lang w:val="es-ES"/>
        </w:rPr>
        <w:t>Documentos del Proceso</w:t>
      </w:r>
      <w:r w:rsidRPr="00804AFF">
        <w:rPr>
          <w:rFonts w:ascii="Verdana" w:eastAsia="Calibri" w:hAnsi="Verdana" w:cs="Arial"/>
          <w:lang w:val="es-ES"/>
        </w:rPr>
        <w:t>, bien sea en los estudios previos o en la información de soporte de los mismos, los aspectos de que trata el artículo 2.2.1.1.1.6.1 del Decreto 1082 de 2015. De esta manera, en la contratación directa también deben existir unos estudios previos para fijar los criterios de escogencia del contratista.</w:t>
      </w:r>
    </w:p>
    <w:p w14:paraId="6BF54F49" w14:textId="77777777" w:rsidR="000F03FD" w:rsidRPr="00804AFF" w:rsidRDefault="000F03FD" w:rsidP="000F03FD">
      <w:pPr>
        <w:spacing w:before="120" w:line="276" w:lineRule="auto"/>
        <w:ind w:firstLine="709"/>
        <w:jc w:val="both"/>
        <w:rPr>
          <w:rFonts w:ascii="Verdana" w:eastAsia="Calibri" w:hAnsi="Verdana" w:cs="Arial"/>
          <w:sz w:val="21"/>
          <w:szCs w:val="21"/>
          <w:lang w:val="es-ES_tradnl"/>
        </w:rPr>
      </w:pPr>
      <w:r w:rsidRPr="00804AFF">
        <w:rPr>
          <w:rFonts w:ascii="Verdana" w:eastAsia="Calibri" w:hAnsi="Verdana" w:cs="Arial"/>
          <w:lang w:val="es-ES_tradnl"/>
        </w:rPr>
        <w:t>El Consejo de Estado, se pronunció sobre la relación existente entre el estudio del sector y la estimación del valor del contrato, indicando que se deben tener en cuenta las diferentes variables del mercado como los costos de la cadena de producción. Pero, independientemente de esto, la entidad debe obtener el menor precio o uno razonable. En todo caso el valor debe estar justificado para que no corresponda a sobrecostos ni a precios artificialmente bajos, y que con ello la entidad pague un valor adecuado. Esto se logra con el estudio del mercado y sus costos, el cual debe estar a disposición de los participantes del procedimiento contractual</w:t>
      </w:r>
      <w:r w:rsidRPr="00804AFF">
        <w:rPr>
          <w:rFonts w:ascii="Verdana" w:eastAsia="Calibri" w:hAnsi="Verdana" w:cs="Arial"/>
          <w:vertAlign w:val="superscript"/>
          <w:lang w:val="es-ES_tradnl"/>
        </w:rPr>
        <w:footnoteReference w:id="22"/>
      </w:r>
      <w:r w:rsidRPr="00804AFF">
        <w:rPr>
          <w:rFonts w:ascii="Verdana" w:eastAsia="Calibri" w:hAnsi="Verdana" w:cs="Arial"/>
          <w:lang w:val="es-ES_tradnl"/>
        </w:rPr>
        <w:t>.</w:t>
      </w:r>
    </w:p>
    <w:p w14:paraId="3CEF871A" w14:textId="77777777" w:rsidR="000F03FD" w:rsidRPr="00804AFF" w:rsidRDefault="000F03FD" w:rsidP="000F03FD">
      <w:pPr>
        <w:spacing w:before="120" w:line="276" w:lineRule="auto"/>
        <w:ind w:firstLine="709"/>
        <w:jc w:val="both"/>
        <w:rPr>
          <w:rFonts w:ascii="Verdana" w:eastAsia="Calibri" w:hAnsi="Verdana" w:cs="Arial"/>
          <w:lang w:val="es-ES_tradnl"/>
        </w:rPr>
      </w:pPr>
      <w:r w:rsidRPr="00804AFF">
        <w:rPr>
          <w:rFonts w:ascii="Verdana" w:eastAsia="Calibri" w:hAnsi="Verdana" w:cs="Arial"/>
          <w:lang w:val="es-ES_tradnl"/>
        </w:rPr>
        <w:t xml:space="preserve"> Aunque en la contratación directa no es obligatoria la comparación de ofertas o el requerimiento de cotizaciones, nada obsta para que la entidad estatal realice el análisis correspondiente que permita determinar el valor de la contratación con el fin de que el contrato a ejecutar cuente con un presupuesto adecuado y razonable. En este estudio resulta de especial importancia el análisis del comportamiento del gasto histórico que realice la entidad en relación con la forma en la cual se ha realizado dicha contratación por parte de esta entidad y de otras entidades estatales</w:t>
      </w:r>
      <w:r w:rsidRPr="00804AFF">
        <w:rPr>
          <w:rStyle w:val="Refdenotaalpie"/>
          <w:rFonts w:ascii="Verdana" w:eastAsia="Calibri" w:hAnsi="Verdana" w:cs="Arial"/>
          <w:lang w:val="es-ES_tradnl"/>
        </w:rPr>
        <w:footnoteReference w:id="23"/>
      </w:r>
      <w:r w:rsidRPr="00804AFF">
        <w:rPr>
          <w:rFonts w:ascii="Verdana" w:eastAsia="Calibri" w:hAnsi="Verdana" w:cs="Arial"/>
          <w:lang w:val="es-ES_tradnl"/>
        </w:rPr>
        <w:t xml:space="preserve">. </w:t>
      </w:r>
    </w:p>
    <w:p w14:paraId="4C1EB35B" w14:textId="77777777" w:rsidR="000F03FD" w:rsidRPr="00804AFF" w:rsidRDefault="000F03FD" w:rsidP="000F03FD">
      <w:pPr>
        <w:spacing w:before="120" w:line="276" w:lineRule="auto"/>
        <w:jc w:val="both"/>
        <w:rPr>
          <w:rFonts w:ascii="Verdana" w:eastAsia="Calibri" w:hAnsi="Verdana" w:cs="Arial"/>
          <w:shd w:val="clear" w:color="auto" w:fill="FFFFFF"/>
        </w:rPr>
      </w:pPr>
      <w:r w:rsidRPr="00804AFF">
        <w:rPr>
          <w:rFonts w:ascii="Verdana" w:eastAsia="Calibri" w:hAnsi="Verdana" w:cs="Arial"/>
          <w:shd w:val="clear" w:color="auto" w:fill="FFFFFF"/>
        </w:rPr>
        <w:tab/>
        <w:t xml:space="preserve">Como se mencionó, los estudios previos deben contener las condiciones mínimas y necesarias que debe acreditar el contratista, para demostrar su capacidad de cumplir el contrato. Respecto de la contratación directa, los estudios previos sustentan o exponen los argumentos relacionados con la </w:t>
      </w:r>
      <w:r w:rsidRPr="00804AFF">
        <w:rPr>
          <w:rFonts w:ascii="Verdana" w:eastAsia="Calibri" w:hAnsi="Verdana" w:cs="Arial"/>
          <w:shd w:val="clear" w:color="auto" w:fill="FFFFFF"/>
        </w:rPr>
        <w:lastRenderedPageBreak/>
        <w:t xml:space="preserve">idoneidad de la persona o entidad a contratar, y contienen las razones de que esta sea la adecuada para ejecutar el objeto contractual. El artículo 2.2.1.1.2.1.1. del Decreto 1082 de 2015, que señala el contenido de los estudios y documentos previos y el principio de selección objetiva determinan lo relacionado con los estudios previos para conocer las condiciones en que se debe adquirir el bien o servicio que satisface su necesidad. </w:t>
      </w:r>
    </w:p>
    <w:p w14:paraId="50D38BC4" w14:textId="77777777" w:rsidR="000F03FD" w:rsidRPr="00804AFF" w:rsidRDefault="000F03FD" w:rsidP="000F03FD">
      <w:pPr>
        <w:spacing w:before="120" w:line="276" w:lineRule="auto"/>
        <w:ind w:firstLine="709"/>
        <w:jc w:val="both"/>
        <w:rPr>
          <w:rFonts w:ascii="Verdana" w:eastAsia="Calibri" w:hAnsi="Verdana" w:cs="Arial"/>
          <w:shd w:val="clear" w:color="auto" w:fill="FFFFFF"/>
          <w:lang w:val="es-MX"/>
        </w:rPr>
      </w:pPr>
      <w:r w:rsidRPr="00804AFF">
        <w:rPr>
          <w:rFonts w:ascii="Verdana" w:eastAsia="Calibri" w:hAnsi="Verdana" w:cs="Arial"/>
          <w:shd w:val="clear" w:color="auto" w:fill="FFFFFF"/>
          <w:lang w:val="es-MX"/>
        </w:rPr>
        <w:t xml:space="preserve">Así las cosas, en relación con la causal de contratos interadministrativos, por ser el objeto de esta consulta, conviene concluir que es una causal de contratación directa, y que en ella se debe verificar la idoneidad o experiencia del contratista y demás aspectos relevantes, sin que sea necesario recibir varias ofertas o cotizaciones de precios. Ello no obsta para que exista una selección objetiva al verificar las condiciones que arrojaron los estudios previos y que se invite a ofertar de forma directa a la entidad estatal que se considere idónea y adecuada con base en los estudios realizados en dichos documentos.  </w:t>
      </w:r>
    </w:p>
    <w:p w14:paraId="5EA5B2A5" w14:textId="77777777" w:rsidR="000F03FD" w:rsidRPr="00804AFF" w:rsidRDefault="000F03FD" w:rsidP="000F03FD">
      <w:pPr>
        <w:spacing w:before="120" w:line="276" w:lineRule="auto"/>
        <w:ind w:firstLine="709"/>
        <w:jc w:val="both"/>
        <w:rPr>
          <w:rFonts w:ascii="Verdana" w:eastAsia="Arial" w:hAnsi="Verdana" w:cs="Arial"/>
        </w:rPr>
      </w:pPr>
      <w:r w:rsidRPr="00804AFF">
        <w:rPr>
          <w:rFonts w:ascii="Verdana" w:eastAsia="Calibri" w:hAnsi="Verdana" w:cs="Arial"/>
          <w:shd w:val="clear" w:color="auto" w:fill="FFFFFF"/>
          <w:lang w:val="es-MX"/>
        </w:rPr>
        <w:t>Finalmente, el numeral</w:t>
      </w:r>
      <w:r w:rsidRPr="00804AFF">
        <w:rPr>
          <w:rFonts w:ascii="Verdana" w:eastAsia="Calibri" w:hAnsi="Verdana" w:cs="Arial"/>
          <w:color w:val="000000"/>
        </w:rPr>
        <w:t xml:space="preserve"> 4 del artículo </w:t>
      </w:r>
      <w:r w:rsidRPr="00804AFF">
        <w:rPr>
          <w:rFonts w:ascii="Verdana" w:eastAsia="Arial" w:hAnsi="Verdana" w:cs="Arial"/>
        </w:rPr>
        <w:t>2.2.1.2.1.4.1. del Decreto 1082 de 2015, señala que el acto administrativo de justificación deberá contener el lugar en el cual los interesados pueden consultar los estudios y documentos previos. Esta obligación es concordante con</w:t>
      </w:r>
      <w:r w:rsidRPr="00804AFF">
        <w:rPr>
          <w:rFonts w:ascii="Verdana" w:eastAsia="Arial" w:hAnsi="Verdana" w:cs="Arial"/>
          <w:color w:val="000000"/>
        </w:rPr>
        <w:t xml:space="preserve"> lo dispuesto en el artículo 2.2.1.1.1.7.1. del Decreto 1082 de 2015 que establece que “La Entidad Estatal está obligada a publicar en el SECOP los Documentos del Proceso y los actos administrativos del Proceso de Contratación, dentro de los tres (3) días siguientes a su expedición</w:t>
      </w:r>
      <w:r w:rsidRPr="00804AFF">
        <w:rPr>
          <w:rFonts w:ascii="Verdana" w:eastAsia="Calibri" w:hAnsi="Verdana" w:cs="Arial"/>
          <w:bCs/>
          <w:lang w:val="es-ES_tradnl"/>
        </w:rPr>
        <w:t>”</w:t>
      </w:r>
      <w:r w:rsidRPr="00804AFF">
        <w:rPr>
          <w:rFonts w:ascii="Verdana" w:eastAsia="Arial" w:hAnsi="Verdana" w:cs="Arial"/>
          <w:color w:val="000000"/>
        </w:rPr>
        <w:t>.</w:t>
      </w:r>
      <w:r w:rsidRPr="00804AFF">
        <w:rPr>
          <w:rFonts w:ascii="Verdana" w:eastAsia="Arial" w:hAnsi="Verdana" w:cs="Arial"/>
        </w:rPr>
        <w:t xml:space="preserve"> Por tanto, en la </w:t>
      </w:r>
      <w:r w:rsidRPr="00804AFF">
        <w:rPr>
          <w:rFonts w:ascii="Verdana" w:eastAsia="Arial" w:hAnsi="Verdana" w:cs="Arial"/>
          <w:color w:val="000000"/>
        </w:rPr>
        <w:t>contratación directa los estudios previos, una vez expedidos, deben publicarse en el SECOP dentro de los tres (3) días siguientes, de conformidad con la normativa vigente.</w:t>
      </w:r>
    </w:p>
    <w:bookmarkEnd w:id="1"/>
    <w:p w14:paraId="15C358FB" w14:textId="77777777" w:rsidR="000F03FD" w:rsidRPr="001C374F" w:rsidRDefault="000F03FD" w:rsidP="000F03FD">
      <w:pPr>
        <w:spacing w:after="0" w:line="276" w:lineRule="auto"/>
        <w:jc w:val="both"/>
        <w:rPr>
          <w:rFonts w:ascii="Verdana" w:eastAsia="Times New Roman" w:hAnsi="Verdana" w:cs="Arial"/>
          <w:color w:val="000000" w:themeColor="text1"/>
          <w:lang w:eastAsia="es-CO"/>
        </w:rPr>
      </w:pPr>
    </w:p>
    <w:p w14:paraId="02396463" w14:textId="77777777" w:rsidR="000F03FD" w:rsidRPr="001C374F" w:rsidRDefault="000F03FD" w:rsidP="000F03FD">
      <w:pPr>
        <w:numPr>
          <w:ilvl w:val="0"/>
          <w:numId w:val="16"/>
        </w:numPr>
        <w:tabs>
          <w:tab w:val="left" w:pos="142"/>
          <w:tab w:val="left" w:pos="284"/>
        </w:tabs>
        <w:spacing w:after="0" w:line="276" w:lineRule="auto"/>
        <w:jc w:val="both"/>
        <w:rPr>
          <w:rFonts w:ascii="Verdana" w:eastAsia="Century Gothic" w:hAnsi="Verdana" w:cs="Century Gothic"/>
          <w:b/>
          <w:bCs/>
          <w:lang w:val="es-ES"/>
        </w:rPr>
      </w:pPr>
      <w:r w:rsidRPr="001C374F">
        <w:rPr>
          <w:rFonts w:ascii="Verdana" w:eastAsia="Century Gothic" w:hAnsi="Verdana" w:cs="Century Gothic"/>
          <w:b/>
          <w:bCs/>
          <w:lang w:val="es-ES"/>
        </w:rPr>
        <w:t>Referencias normativas:</w:t>
      </w:r>
    </w:p>
    <w:p w14:paraId="6ECCDD37" w14:textId="77777777" w:rsidR="000F03FD" w:rsidRPr="001C374F" w:rsidRDefault="000F03FD" w:rsidP="000F03FD">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F03FD" w:rsidRPr="001C374F" w14:paraId="73CE1E83" w14:textId="77777777" w:rsidTr="000A586A">
        <w:trPr>
          <w:trHeight w:val="870"/>
          <w:jc w:val="center"/>
        </w:trPr>
        <w:tc>
          <w:tcPr>
            <w:tcW w:w="8647" w:type="dxa"/>
          </w:tcPr>
          <w:p w14:paraId="444F6A1D" w14:textId="77777777" w:rsidR="000F03FD" w:rsidRPr="00F17DA0" w:rsidRDefault="000F03FD" w:rsidP="000A586A">
            <w:pPr>
              <w:numPr>
                <w:ilvl w:val="0"/>
                <w:numId w:val="17"/>
              </w:numPr>
              <w:spacing w:line="276" w:lineRule="auto"/>
              <w:contextualSpacing/>
              <w:jc w:val="both"/>
              <w:rPr>
                <w:rFonts w:ascii="Verdana" w:eastAsia="Calibri" w:hAnsi="Verdana" w:cs="Arial"/>
                <w:color w:val="000000" w:themeColor="text1"/>
                <w:lang w:val="es-ES_tradnl"/>
              </w:rPr>
            </w:pPr>
            <w:r w:rsidRPr="001C374F">
              <w:rPr>
                <w:rFonts w:ascii="Verdana" w:eastAsia="Calibri" w:hAnsi="Verdana" w:cs="Arial"/>
                <w:color w:val="000000" w:themeColor="text1"/>
                <w:lang w:val="es-ES"/>
              </w:rPr>
              <w:t xml:space="preserve">Ley 1150 de 2007: Artículo 2, numeral 4, literal c)– modificado por el artículo 92 de la Ley 1474 de 2011. </w:t>
            </w:r>
          </w:p>
          <w:p w14:paraId="35A6B0EE" w14:textId="77777777" w:rsidR="000F03FD" w:rsidRPr="00350177" w:rsidRDefault="000F03FD" w:rsidP="000A586A">
            <w:pPr>
              <w:spacing w:line="276" w:lineRule="auto"/>
              <w:ind w:left="720"/>
              <w:contextualSpacing/>
              <w:jc w:val="both"/>
              <w:rPr>
                <w:rFonts w:ascii="Verdana" w:eastAsia="Calibri" w:hAnsi="Verdana" w:cs="Arial"/>
                <w:color w:val="000000" w:themeColor="text1"/>
                <w:lang w:val="es-ES_tradnl"/>
              </w:rPr>
            </w:pPr>
          </w:p>
          <w:p w14:paraId="56DE5E7F" w14:textId="77777777" w:rsidR="000F03FD" w:rsidRPr="001C374F" w:rsidRDefault="000F03FD" w:rsidP="000A586A">
            <w:pPr>
              <w:numPr>
                <w:ilvl w:val="0"/>
                <w:numId w:val="17"/>
              </w:numPr>
              <w:spacing w:line="276" w:lineRule="auto"/>
              <w:contextualSpacing/>
              <w:jc w:val="both"/>
              <w:rPr>
                <w:rFonts w:ascii="Verdana" w:hAnsi="Verdana" w:cs="Arial"/>
                <w:lang w:val="es-ES"/>
              </w:rPr>
            </w:pPr>
            <w:r w:rsidRPr="001C374F">
              <w:rPr>
                <w:rFonts w:ascii="Verdana" w:hAnsi="Verdana" w:cs="Arial"/>
                <w:color w:val="000000" w:themeColor="text1"/>
                <w:lang w:val="es-ES"/>
              </w:rPr>
              <w:t>Decreto 1082 de 2015: Artículo 2.2.1.2.1.4.4.</w:t>
            </w:r>
          </w:p>
          <w:p w14:paraId="2BDC0548" w14:textId="77777777" w:rsidR="000F03FD" w:rsidRPr="001C374F" w:rsidRDefault="000F03FD" w:rsidP="000A586A">
            <w:pPr>
              <w:spacing w:line="276" w:lineRule="auto"/>
              <w:ind w:hanging="360"/>
              <w:jc w:val="both"/>
              <w:rPr>
                <w:rFonts w:ascii="Verdana" w:eastAsia="Calibri" w:hAnsi="Verdana" w:cs="Arial"/>
                <w:color w:val="000000" w:themeColor="text1"/>
                <w:lang w:val="es-ES_tradnl"/>
              </w:rPr>
            </w:pPr>
          </w:p>
          <w:p w14:paraId="32C35826" w14:textId="77777777" w:rsidR="000F03FD" w:rsidRPr="001C374F" w:rsidRDefault="000F03FD" w:rsidP="000A586A">
            <w:pPr>
              <w:numPr>
                <w:ilvl w:val="0"/>
                <w:numId w:val="17"/>
              </w:numPr>
              <w:spacing w:line="276" w:lineRule="auto"/>
              <w:contextualSpacing/>
              <w:jc w:val="both"/>
              <w:rPr>
                <w:rFonts w:ascii="Verdana" w:hAnsi="Verdana"/>
                <w:lang w:val="es-ES"/>
              </w:rPr>
            </w:pPr>
            <w:r w:rsidRPr="001C374F">
              <w:rPr>
                <w:rFonts w:ascii="Verdana" w:hAnsi="Verdana" w:cs="Arial"/>
                <w:lang w:val="es-ES"/>
              </w:rPr>
              <w:t>Consejo de Estado. Sala de Consulta y Servicio Civil. Concepto de 28 de junio de 2012. Rad: 11001-03-06-000-2012-00016-00(2092). Consejero Ponente: William Zambrano Cetina.</w:t>
            </w:r>
          </w:p>
          <w:p w14:paraId="0B197E1A" w14:textId="77777777" w:rsidR="000F03FD" w:rsidRPr="001C374F" w:rsidRDefault="000F03FD" w:rsidP="000A586A">
            <w:pPr>
              <w:spacing w:line="276" w:lineRule="auto"/>
              <w:ind w:left="-360"/>
              <w:jc w:val="both"/>
              <w:rPr>
                <w:rFonts w:ascii="Verdana" w:eastAsia="Calibri" w:hAnsi="Verdana" w:cs="Arial"/>
                <w:color w:val="000000" w:themeColor="text1"/>
                <w:lang w:val="es-ES_tradnl"/>
              </w:rPr>
            </w:pPr>
          </w:p>
          <w:p w14:paraId="6C076C2E" w14:textId="77777777" w:rsidR="000F03FD" w:rsidRPr="001C374F" w:rsidRDefault="000F03FD" w:rsidP="000A586A">
            <w:pPr>
              <w:widowControl w:val="0"/>
              <w:numPr>
                <w:ilvl w:val="0"/>
                <w:numId w:val="17"/>
              </w:numPr>
              <w:autoSpaceDE w:val="0"/>
              <w:autoSpaceDN w:val="0"/>
              <w:spacing w:line="276" w:lineRule="auto"/>
              <w:jc w:val="both"/>
              <w:rPr>
                <w:rFonts w:ascii="Verdana" w:hAnsi="Verdana" w:cs="Arial"/>
                <w:lang w:val="es-ES"/>
              </w:rPr>
            </w:pPr>
            <w:r w:rsidRPr="001C374F">
              <w:rPr>
                <w:rFonts w:ascii="Verdana" w:hAnsi="Verdana" w:cs="Arial"/>
                <w:lang w:val="es-ES"/>
              </w:rPr>
              <w:lastRenderedPageBreak/>
              <w:t>Consejo de Estado. Sala de la Contencioso Administrativo. Sección Tercera. Sentencia del 19 de agosto de 2004 Exp. 12.342, reiterada en sentencia de 6 de febrero de 2006, Exp. 13.414.</w:t>
            </w:r>
          </w:p>
        </w:tc>
      </w:tr>
    </w:tbl>
    <w:p w14:paraId="457586E5" w14:textId="77777777" w:rsidR="000F03FD" w:rsidRPr="001C374F" w:rsidRDefault="000F03FD" w:rsidP="000F03FD">
      <w:pPr>
        <w:widowControl w:val="0"/>
        <w:autoSpaceDE w:val="0"/>
        <w:autoSpaceDN w:val="0"/>
        <w:spacing w:after="0" w:line="276" w:lineRule="auto"/>
        <w:jc w:val="both"/>
        <w:rPr>
          <w:rFonts w:ascii="Verdana" w:hAnsi="Verdana" w:cs="Arial"/>
        </w:rPr>
      </w:pPr>
    </w:p>
    <w:p w14:paraId="48C4CA0B" w14:textId="77777777" w:rsidR="000F03FD" w:rsidRPr="001C374F" w:rsidRDefault="000F03FD" w:rsidP="000F03FD">
      <w:pPr>
        <w:numPr>
          <w:ilvl w:val="0"/>
          <w:numId w:val="16"/>
        </w:numPr>
        <w:tabs>
          <w:tab w:val="left" w:pos="142"/>
          <w:tab w:val="left" w:pos="284"/>
        </w:tabs>
        <w:spacing w:after="0" w:line="276" w:lineRule="auto"/>
        <w:jc w:val="both"/>
        <w:rPr>
          <w:rFonts w:ascii="Verdana" w:eastAsia="Century Gothic" w:hAnsi="Verdana" w:cs="Century Gothic"/>
          <w:b/>
          <w:bCs/>
          <w:lang w:val="es-ES"/>
        </w:rPr>
      </w:pPr>
      <w:r w:rsidRPr="001C374F">
        <w:rPr>
          <w:rFonts w:ascii="Verdana" w:eastAsia="Century Gothic" w:hAnsi="Verdana" w:cs="Century Gothic"/>
          <w:b/>
          <w:bCs/>
          <w:lang w:val="es-ES"/>
        </w:rPr>
        <w:t>Doctrina de la Agencia Nacional de Contratación Pública:</w:t>
      </w:r>
    </w:p>
    <w:p w14:paraId="4087F372" w14:textId="77777777" w:rsidR="000F03FD" w:rsidRPr="001C374F" w:rsidRDefault="000F03FD" w:rsidP="000F03FD">
      <w:pPr>
        <w:widowControl w:val="0"/>
        <w:autoSpaceDE w:val="0"/>
        <w:autoSpaceDN w:val="0"/>
        <w:spacing w:after="0" w:line="276" w:lineRule="auto"/>
        <w:jc w:val="both"/>
        <w:rPr>
          <w:rFonts w:ascii="Verdana" w:hAnsi="Verdana" w:cs="Arial"/>
        </w:rPr>
      </w:pPr>
    </w:p>
    <w:p w14:paraId="3A932206" w14:textId="77777777" w:rsidR="000F03FD" w:rsidRPr="001C374F" w:rsidRDefault="000F03FD" w:rsidP="000F03FD">
      <w:pPr>
        <w:widowControl w:val="0"/>
        <w:autoSpaceDE w:val="0"/>
        <w:autoSpaceDN w:val="0"/>
        <w:spacing w:after="0" w:line="276" w:lineRule="auto"/>
        <w:jc w:val="both"/>
        <w:rPr>
          <w:rFonts w:ascii="Verdana" w:hAnsi="Verdana" w:cs="Arial"/>
          <w:color w:val="FF0000"/>
          <w:shd w:val="clear" w:color="auto" w:fill="FFFFFF"/>
          <w:lang w:val="es-ES"/>
        </w:rPr>
      </w:pPr>
      <w:r w:rsidRPr="001C374F">
        <w:rPr>
          <w:rFonts w:ascii="Verdana" w:eastAsia="Calibri" w:hAnsi="Verdana" w:cs="Arial"/>
          <w:color w:val="000000" w:themeColor="text1"/>
          <w:lang w:eastAsia="es-ES_tradnl"/>
        </w:rPr>
        <w:t xml:space="preserve">La Agencia Nacional de Contratación Pública – Colombia Compra Eficiente </w:t>
      </w:r>
      <w:r w:rsidRPr="001C374F">
        <w:rPr>
          <w:rFonts w:ascii="Verdana" w:eastAsia="Arial" w:hAnsi="Verdana" w:cs="Arial"/>
          <w:lang w:val="es-MX" w:eastAsia="es-ES_tradnl"/>
        </w:rPr>
        <w:t xml:space="preserve">ha analizado diferentes aspectos </w:t>
      </w:r>
      <w:r w:rsidRPr="001C374F">
        <w:rPr>
          <w:rFonts w:ascii="Verdana" w:eastAsia="Times New Roman" w:hAnsi="Verdana" w:cs="Arial"/>
          <w:bCs/>
          <w:color w:val="000000" w:themeColor="text1"/>
          <w:lang w:val="es-MX" w:eastAsia="es-ES_tradnl"/>
        </w:rPr>
        <w:t xml:space="preserve">sobre el concepto y régimen jurídico aplicable a los contratos interadministrativos, entre otros, en los Conceptos: </w:t>
      </w:r>
      <w:r w:rsidRPr="001C374F">
        <w:rPr>
          <w:rFonts w:ascii="Verdana" w:eastAsia="Calibri" w:hAnsi="Verdana" w:cs="Arial"/>
          <w:color w:val="000000" w:themeColor="text1"/>
          <w:lang w:eastAsia="es-ES_tradnl"/>
        </w:rPr>
        <w:t xml:space="preserve">4201913000004536 del 27 de julio de 2019, C-023 del 3 de febrero de 2020, C-702 del 11 de diciembre de 2020, C-097 de 23 de marzo de 202, C-350 del 16 de julio de 2021, C-352 del 27 de julio de 2021, C-508 del 20 de septiembre de 2021, C-616 del 3 de noviembre de 2021, C-662 del 1 de diciembre de 2022, C-147 del 25 de julio de 2023, C-369 del 12 de septiembre de 2022. Sobre la excepción de celebrar contratos y convenios interadministrativos de forma directa establecida en el inciso segundo </w:t>
      </w:r>
      <w:r w:rsidRPr="001C374F">
        <w:rPr>
          <w:rFonts w:ascii="Verdana" w:eastAsia="Calibri" w:hAnsi="Verdana" w:cs="Arial"/>
          <w:color w:val="000000" w:themeColor="text1"/>
          <w:lang w:val="es-ES"/>
        </w:rPr>
        <w:t>artículo 2, numeral 4, literal c), de la mencionada ley – modificado por el artículo 92 de la Ley 1474 de 2011 – se ha pronunciado en los conceptos C-157 del 16 de marzo de 2020, C-593 del 9 de octubre de 2020, C-691 del 27 de noviembre de 2020, C-173 del 19 de abril de 2021, C-116 del 30 de marzo de 2021, C-149 del 8 de abril de 2021, C-284 del 16 de junio de 2021, C-508 del 20 de septiembre de 2021, C-033 del 27 de febrero de 2023, C-285 del 19 de julio de 2023, C-379 del 19 de octubre de 2023, C-004 del 22 de enero de 2024 y C-139 del 14 de agosto de 2024.</w:t>
      </w:r>
      <w:r w:rsidRPr="001C374F">
        <w:rPr>
          <w:rFonts w:ascii="Verdana" w:eastAsia="Times New Roman" w:hAnsi="Verdana" w:cs="Arial"/>
          <w:color w:val="000000"/>
          <w:shd w:val="clear" w:color="auto" w:fill="FFFFFF"/>
          <w:lang w:eastAsia="es-ES_tradnl"/>
        </w:rPr>
        <w:t xml:space="preserve"> Igualmente, </w:t>
      </w:r>
      <w:r w:rsidRPr="001C374F">
        <w:rPr>
          <w:rFonts w:ascii="Verdana" w:eastAsia="Times New Roman" w:hAnsi="Verdana" w:cs="Arial"/>
          <w:color w:val="000000"/>
          <w:shd w:val="clear" w:color="auto" w:fill="FFFFFF"/>
          <w:lang w:val="es-MX" w:eastAsia="es-ES_tradnl"/>
        </w:rPr>
        <w:t xml:space="preserve">se ha referido previamente al régimen contractual de las </w:t>
      </w:r>
      <w:r w:rsidRPr="001C374F">
        <w:rPr>
          <w:rFonts w:ascii="Verdana" w:eastAsia="Times New Roman" w:hAnsi="Verdana" w:cs="Arial"/>
          <w:color w:val="000000"/>
          <w:shd w:val="clear" w:color="auto" w:fill="FFFFFF"/>
          <w:lang w:eastAsia="es-ES_tradnl"/>
        </w:rPr>
        <w:t xml:space="preserve">empresas industriales </w:t>
      </w:r>
      <w:r w:rsidRPr="001C374F">
        <w:rPr>
          <w:rFonts w:ascii="Verdana" w:eastAsia="Times New Roman" w:hAnsi="Verdana" w:cs="Arial"/>
          <w:color w:val="000000"/>
          <w:shd w:val="clear" w:color="auto" w:fill="FFFFFF"/>
          <w:lang w:val="es-MX" w:eastAsia="es-ES_tradnl"/>
        </w:rPr>
        <w:t xml:space="preserve">y </w:t>
      </w:r>
      <w:r w:rsidRPr="001C374F">
        <w:rPr>
          <w:rFonts w:ascii="Verdana" w:eastAsia="Times New Roman" w:hAnsi="Verdana" w:cs="Arial"/>
          <w:color w:val="000000"/>
          <w:shd w:val="clear" w:color="auto" w:fill="FFFFFF"/>
          <w:lang w:eastAsia="es-ES_tradnl"/>
        </w:rPr>
        <w:t xml:space="preserve">comerciales </w:t>
      </w:r>
      <w:r w:rsidRPr="001C374F">
        <w:rPr>
          <w:rFonts w:ascii="Verdana" w:eastAsia="Times New Roman" w:hAnsi="Verdana" w:cs="Arial"/>
          <w:color w:val="000000"/>
          <w:shd w:val="clear" w:color="auto" w:fill="FFFFFF"/>
          <w:lang w:val="es-MX" w:eastAsia="es-ES_tradnl"/>
        </w:rPr>
        <w:t>del Estado, según desarrollen o no sus actividades en competencia con el sector privado o en mercados regulados, en los conceptos 4201913000001662, C</w:t>
      </w:r>
      <w:r w:rsidRPr="001C374F">
        <w:rPr>
          <w:rFonts w:ascii="Verdana" w:eastAsia="Times New Roman" w:hAnsi="Verdana" w:cs="Arial"/>
          <w:color w:val="000000"/>
          <w:shd w:val="clear" w:color="auto" w:fill="FFFFFF"/>
          <w:lang w:eastAsia="es-ES_tradnl"/>
        </w:rPr>
        <w:t>-</w:t>
      </w:r>
      <w:r w:rsidRPr="001C374F">
        <w:rPr>
          <w:rFonts w:ascii="Verdana" w:eastAsia="Times New Roman" w:hAnsi="Verdana" w:cs="Arial"/>
          <w:color w:val="000000"/>
          <w:shd w:val="clear" w:color="auto" w:fill="FFFFFF"/>
          <w:lang w:val="es-MX" w:eastAsia="es-ES_tradnl"/>
        </w:rPr>
        <w:t>251 del 27 de mayo de 2020, C-280 del 6 de julio de 2020, C</w:t>
      </w:r>
      <w:r w:rsidRPr="001C374F">
        <w:rPr>
          <w:rFonts w:ascii="Verdana" w:eastAsia="Times New Roman" w:hAnsi="Verdana" w:cs="Arial"/>
          <w:color w:val="000000"/>
          <w:shd w:val="clear" w:color="auto" w:fill="FFFFFF"/>
          <w:lang w:eastAsia="es-ES_tradnl"/>
        </w:rPr>
        <w:t>-</w:t>
      </w:r>
      <w:r w:rsidRPr="001C374F">
        <w:rPr>
          <w:rFonts w:ascii="Verdana" w:eastAsia="Times New Roman" w:hAnsi="Verdana" w:cs="Arial"/>
          <w:color w:val="000000"/>
          <w:shd w:val="clear" w:color="auto" w:fill="FFFFFF"/>
          <w:lang w:val="es-MX" w:eastAsia="es-ES_tradnl"/>
        </w:rPr>
        <w:t>253 del 2 de junio de 2021, C</w:t>
      </w:r>
      <w:r w:rsidRPr="001C374F">
        <w:rPr>
          <w:rFonts w:ascii="Verdana" w:eastAsia="Times New Roman" w:hAnsi="Verdana" w:cs="Arial"/>
          <w:color w:val="000000"/>
          <w:shd w:val="clear" w:color="auto" w:fill="FFFFFF"/>
          <w:lang w:eastAsia="es-ES_tradnl"/>
        </w:rPr>
        <w:t>-</w:t>
      </w:r>
      <w:r w:rsidRPr="001C374F">
        <w:rPr>
          <w:rFonts w:ascii="Verdana" w:eastAsia="Times New Roman" w:hAnsi="Verdana" w:cs="Arial"/>
          <w:color w:val="000000"/>
          <w:shd w:val="clear" w:color="auto" w:fill="FFFFFF"/>
          <w:lang w:val="es-MX" w:eastAsia="es-ES_tradnl"/>
        </w:rPr>
        <w:t>616 del 3 de noviembre de 2021, C-176 del 6 de abril de 2022</w:t>
      </w:r>
      <w:r w:rsidRPr="001C374F">
        <w:rPr>
          <w:rFonts w:ascii="Verdana" w:eastAsia="Times New Roman" w:hAnsi="Verdana" w:cs="Arial"/>
          <w:color w:val="000000"/>
          <w:shd w:val="clear" w:color="auto" w:fill="FFFFFF"/>
          <w:lang w:eastAsia="es-ES_tradnl"/>
        </w:rPr>
        <w:t xml:space="preserve">, </w:t>
      </w:r>
      <w:r w:rsidRPr="001C374F">
        <w:rPr>
          <w:rFonts w:ascii="Verdana" w:eastAsia="Calibri" w:hAnsi="Verdana" w:cs="Arial"/>
          <w:color w:val="000000" w:themeColor="text1"/>
          <w:lang w:eastAsia="es-ES_tradnl"/>
        </w:rPr>
        <w:t xml:space="preserve">C-369 del 12 de septiembre de 2022, </w:t>
      </w:r>
      <w:r w:rsidRPr="001C374F">
        <w:rPr>
          <w:rFonts w:ascii="Verdana" w:eastAsia="Times New Roman" w:hAnsi="Verdana" w:cs="Arial"/>
          <w:color w:val="000000"/>
          <w:shd w:val="clear" w:color="auto" w:fill="FFFFFF"/>
          <w:lang w:val="es-ES" w:eastAsia="es-ES_tradnl"/>
        </w:rPr>
        <w:t xml:space="preserve">entre otros. </w:t>
      </w:r>
      <w:r w:rsidRPr="001C374F">
        <w:rPr>
          <w:rFonts w:ascii="Verdana" w:hAnsi="Verdana" w:cs="Arial"/>
          <w:shd w:val="clear" w:color="auto" w:fill="FFFFFF"/>
          <w:lang w:val="es-ES"/>
        </w:rPr>
        <w:t>Es</w:t>
      </w:r>
      <w:r w:rsidRPr="001C374F">
        <w:rPr>
          <w:rFonts w:ascii="Verdana" w:hAnsi="Verdana"/>
        </w:rPr>
        <w:t>tos y otros conceptos se encuentran disponibles para consulta en el Sistema de relatoría de la Agencia, al cual se puede acceder a través del siguiente enlace:</w:t>
      </w:r>
      <w:r w:rsidRPr="001C374F">
        <w:rPr>
          <w:rFonts w:ascii="Verdana" w:hAnsi="Verdana" w:cs="Arial"/>
          <w:shd w:val="clear" w:color="auto" w:fill="FFFFFF"/>
          <w:lang w:val="es-ES"/>
        </w:rPr>
        <w:t xml:space="preserve"> </w:t>
      </w:r>
      <w:hyperlink r:id="rId13" w:history="1">
        <w:r w:rsidRPr="001C374F">
          <w:rPr>
            <w:rFonts w:ascii="Verdana" w:hAnsi="Verdana" w:cs="Arial"/>
            <w:color w:val="0000FF"/>
            <w:u w:val="single"/>
            <w:shd w:val="clear" w:color="auto" w:fill="FFFFFF"/>
            <w:lang w:val="es-ES"/>
          </w:rPr>
          <w:t>https://relatoria.colombiacompra.gov.co/busqueda/conceptos</w:t>
        </w:r>
      </w:hyperlink>
      <w:r w:rsidRPr="001C374F">
        <w:rPr>
          <w:rFonts w:ascii="Verdana" w:hAnsi="Verdana" w:cs="Arial"/>
          <w:color w:val="FF0000"/>
          <w:shd w:val="clear" w:color="auto" w:fill="FFFFFF"/>
          <w:lang w:val="es-ES"/>
        </w:rPr>
        <w:t xml:space="preserve">. </w:t>
      </w:r>
    </w:p>
    <w:p w14:paraId="398D1034" w14:textId="77777777" w:rsidR="000F03FD" w:rsidRPr="001C374F" w:rsidRDefault="000F03FD" w:rsidP="000F03FD">
      <w:pPr>
        <w:widowControl w:val="0"/>
        <w:autoSpaceDE w:val="0"/>
        <w:autoSpaceDN w:val="0"/>
        <w:spacing w:after="0" w:line="276" w:lineRule="auto"/>
        <w:jc w:val="both"/>
        <w:rPr>
          <w:rFonts w:ascii="Verdana" w:hAnsi="Verdana" w:cs="Arial"/>
        </w:rPr>
      </w:pPr>
    </w:p>
    <w:p w14:paraId="73B3746D" w14:textId="77777777" w:rsidR="000F03FD" w:rsidRPr="001C374F" w:rsidRDefault="000F03FD" w:rsidP="000F03FD">
      <w:pPr>
        <w:widowControl w:val="0"/>
        <w:autoSpaceDE w:val="0"/>
        <w:autoSpaceDN w:val="0"/>
        <w:spacing w:after="0" w:line="276" w:lineRule="auto"/>
        <w:jc w:val="both"/>
        <w:rPr>
          <w:rFonts w:ascii="Verdana" w:hAnsi="Verdana" w:cs="Arial"/>
          <w:shd w:val="clear" w:color="auto" w:fill="FFFFFF"/>
          <w:lang w:val="es-ES"/>
        </w:rPr>
      </w:pPr>
      <w:r w:rsidRPr="001C374F">
        <w:rPr>
          <w:rFonts w:ascii="Verdana" w:hAnsi="Verdana" w:cs="Arial"/>
          <w:shd w:val="clear" w:color="auto" w:fill="FFFFFF"/>
        </w:rPr>
        <w:t xml:space="preserve">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w:t>
      </w:r>
      <w:r w:rsidRPr="001C374F">
        <w:rPr>
          <w:rFonts w:ascii="Verdana" w:hAnsi="Verdana" w:cs="Arial"/>
          <w:shd w:val="clear" w:color="auto" w:fill="FFFFFF"/>
        </w:rPr>
        <w:lastRenderedPageBreak/>
        <w:t>enlace: </w:t>
      </w:r>
      <w:hyperlink r:id="rId14" w:tgtFrame="_blank" w:tooltip="Dirección URL original: https://www.colombiacompra.gov.co/sala-de-prensa/boletin-digital/boletin-de-relatoria-2024-iv. Haga clic o pulse si confía en este vínculo." w:history="1">
        <w:r w:rsidRPr="001C374F">
          <w:rPr>
            <w:rFonts w:ascii="Verdana" w:hAnsi="Verdana" w:cs="Arial"/>
            <w:color w:val="0000FF"/>
            <w:u w:val="single"/>
            <w:shd w:val="clear" w:color="auto" w:fill="FFFFFF"/>
          </w:rPr>
          <w:t>BOLETÍN DE RELATORÍA 2024 – IV | Colombia Compra Eficiente | Agencia Nacional de Contratación Pública</w:t>
        </w:r>
      </w:hyperlink>
    </w:p>
    <w:p w14:paraId="46867C1F" w14:textId="77777777" w:rsidR="000F03FD" w:rsidRPr="001C374F" w:rsidRDefault="000F03FD" w:rsidP="000F03FD">
      <w:pPr>
        <w:widowControl w:val="0"/>
        <w:autoSpaceDE w:val="0"/>
        <w:autoSpaceDN w:val="0"/>
        <w:spacing w:after="0" w:line="276" w:lineRule="auto"/>
        <w:jc w:val="both"/>
        <w:rPr>
          <w:rFonts w:ascii="Verdana" w:hAnsi="Verdana" w:cs="Arial"/>
          <w:color w:val="FF0000"/>
          <w:shd w:val="clear" w:color="auto" w:fill="FFFFFF"/>
          <w:lang w:val="es-ES"/>
        </w:rPr>
      </w:pPr>
    </w:p>
    <w:p w14:paraId="30549B49" w14:textId="77777777" w:rsidR="000F03FD" w:rsidRPr="001C374F" w:rsidRDefault="000F03FD" w:rsidP="000F03FD">
      <w:pPr>
        <w:spacing w:after="0" w:line="240" w:lineRule="auto"/>
        <w:jc w:val="both"/>
        <w:rPr>
          <w:rFonts w:ascii="Verdana" w:hAnsi="Verdana"/>
        </w:rPr>
      </w:pPr>
      <w:r w:rsidRPr="001C374F">
        <w:rPr>
          <w:rFonts w:ascii="Verdana" w:hAnsi="Verdana"/>
        </w:rPr>
        <w:t xml:space="preserve">Por último, lo invitamos a seguirnos en las redes sociales en las cuales se difunde información institucional: </w:t>
      </w:r>
    </w:p>
    <w:p w14:paraId="38D61A2F" w14:textId="77777777" w:rsidR="000F03FD" w:rsidRPr="001C374F" w:rsidRDefault="000F03FD" w:rsidP="000F03FD">
      <w:pPr>
        <w:spacing w:after="0" w:line="240" w:lineRule="auto"/>
        <w:jc w:val="both"/>
        <w:rPr>
          <w:rFonts w:ascii="Verdana" w:hAnsi="Verdana"/>
        </w:rPr>
      </w:pPr>
    </w:p>
    <w:p w14:paraId="08B74EAD" w14:textId="77777777" w:rsidR="000F03FD" w:rsidRPr="001C374F" w:rsidRDefault="000F03FD" w:rsidP="000F03FD">
      <w:pPr>
        <w:spacing w:after="0" w:line="240" w:lineRule="auto"/>
        <w:jc w:val="both"/>
        <w:rPr>
          <w:rFonts w:ascii="Verdana" w:hAnsi="Verdana"/>
        </w:rPr>
      </w:pPr>
      <w:r w:rsidRPr="001C374F">
        <w:rPr>
          <w:rFonts w:ascii="Verdana" w:hAnsi="Verdana"/>
        </w:rPr>
        <w:t xml:space="preserve">Twitter: </w:t>
      </w:r>
      <w:r w:rsidRPr="001C374F">
        <w:rPr>
          <w:rFonts w:ascii="Verdana" w:hAnsi="Verdana"/>
          <w:color w:val="4472C4" w:themeColor="accent1"/>
          <w:u w:val="single"/>
        </w:rPr>
        <w:t>@colombiacompra</w:t>
      </w:r>
      <w:r w:rsidRPr="001C374F">
        <w:rPr>
          <w:rFonts w:ascii="Verdana" w:hAnsi="Verdana"/>
          <w:color w:val="4472C4" w:themeColor="accent1"/>
        </w:rPr>
        <w:t xml:space="preserve"> </w:t>
      </w:r>
    </w:p>
    <w:p w14:paraId="7B51EEE7" w14:textId="77777777" w:rsidR="000F03FD" w:rsidRPr="001C374F" w:rsidRDefault="000F03FD" w:rsidP="000F03FD">
      <w:pPr>
        <w:spacing w:after="0" w:line="240" w:lineRule="auto"/>
        <w:jc w:val="both"/>
        <w:rPr>
          <w:rFonts w:ascii="Verdana" w:hAnsi="Verdana"/>
        </w:rPr>
      </w:pPr>
      <w:r w:rsidRPr="001C374F">
        <w:rPr>
          <w:rFonts w:ascii="Verdana" w:hAnsi="Verdana"/>
        </w:rPr>
        <w:t xml:space="preserve">Facebook: </w:t>
      </w:r>
      <w:r w:rsidRPr="001C374F">
        <w:rPr>
          <w:rFonts w:ascii="Verdana" w:hAnsi="Verdana"/>
          <w:color w:val="4472C4" w:themeColor="accent1"/>
          <w:u w:val="single"/>
        </w:rPr>
        <w:t>ColombiaCompraEficiente</w:t>
      </w:r>
    </w:p>
    <w:p w14:paraId="11470CA1" w14:textId="77777777" w:rsidR="000F03FD" w:rsidRPr="001C374F" w:rsidRDefault="000F03FD" w:rsidP="000F03FD">
      <w:pPr>
        <w:spacing w:after="0" w:line="240" w:lineRule="auto"/>
        <w:jc w:val="both"/>
        <w:rPr>
          <w:rFonts w:ascii="Verdana" w:hAnsi="Verdana"/>
        </w:rPr>
      </w:pPr>
      <w:r w:rsidRPr="001C374F">
        <w:rPr>
          <w:rFonts w:ascii="Verdana" w:hAnsi="Verdana"/>
        </w:rPr>
        <w:t xml:space="preserve">LinkedIn: </w:t>
      </w:r>
      <w:r w:rsidRPr="001C374F">
        <w:rPr>
          <w:rFonts w:ascii="Verdana" w:hAnsi="Verdana"/>
          <w:color w:val="4472C4" w:themeColor="accent1"/>
          <w:u w:val="single"/>
        </w:rPr>
        <w:t>Agencia Nacional de Contratación Pública - Colombia Compra Eficiente</w:t>
      </w:r>
      <w:r w:rsidRPr="001C374F">
        <w:rPr>
          <w:rFonts w:ascii="Verdana" w:hAnsi="Verdana"/>
          <w:color w:val="4472C4" w:themeColor="accent1"/>
        </w:rPr>
        <w:t xml:space="preserve"> </w:t>
      </w:r>
      <w:r w:rsidRPr="001C374F">
        <w:rPr>
          <w:rFonts w:ascii="Verdana" w:hAnsi="Verdana"/>
        </w:rPr>
        <w:t xml:space="preserve">Instagram: </w:t>
      </w:r>
      <w:r w:rsidRPr="001C374F">
        <w:rPr>
          <w:rFonts w:ascii="Verdana" w:hAnsi="Verdana"/>
          <w:color w:val="4472C4" w:themeColor="accent1"/>
          <w:u w:val="single"/>
        </w:rPr>
        <w:t>@colombiacompraeficiente_cce</w:t>
      </w:r>
    </w:p>
    <w:p w14:paraId="6DBC47F0" w14:textId="77777777" w:rsidR="000F03FD" w:rsidRPr="001C374F" w:rsidRDefault="000F03FD" w:rsidP="000F03FD">
      <w:pPr>
        <w:widowControl w:val="0"/>
        <w:autoSpaceDE w:val="0"/>
        <w:autoSpaceDN w:val="0"/>
        <w:spacing w:after="0" w:line="276" w:lineRule="auto"/>
        <w:jc w:val="both"/>
        <w:rPr>
          <w:rFonts w:ascii="Verdana" w:hAnsi="Verdana" w:cs="Arial"/>
        </w:rPr>
      </w:pPr>
    </w:p>
    <w:p w14:paraId="6B20BF04" w14:textId="77777777" w:rsidR="000F03FD" w:rsidRPr="001C374F" w:rsidRDefault="000F03FD" w:rsidP="000F03FD">
      <w:pPr>
        <w:widowControl w:val="0"/>
        <w:autoSpaceDE w:val="0"/>
        <w:autoSpaceDN w:val="0"/>
        <w:spacing w:after="0" w:line="276" w:lineRule="auto"/>
        <w:jc w:val="both"/>
        <w:rPr>
          <w:rFonts w:ascii="Verdana" w:hAnsi="Verdana" w:cs="Arial"/>
          <w:lang w:val="es-ES_tradnl"/>
        </w:rPr>
      </w:pPr>
      <w:r w:rsidRPr="001C374F">
        <w:rPr>
          <w:rFonts w:ascii="Verdana" w:hAnsi="Verdana" w:cs="Arial"/>
        </w:rPr>
        <w:t xml:space="preserve">Este concepto tiene el alcance previsto en el artículo 28 del Código de Procedimiento Administrativo y de lo Contencioso Administrativo </w:t>
      </w:r>
      <w:r w:rsidRPr="001C374F">
        <w:rPr>
          <w:rFonts w:ascii="Verdana" w:hAnsi="Verdana" w:cs="Arial"/>
          <w:lang w:val="es-ES_tradnl"/>
        </w:rPr>
        <w:t>y las expresiones aquí utilizadas con mayúscula inicial deben ser entendidas con el significado que les otorga el artículo 2.2.1.1.1.3.1. del Decreto 1082 de 2015.</w:t>
      </w:r>
    </w:p>
    <w:p w14:paraId="624CEDF8" w14:textId="77777777" w:rsidR="000F03FD" w:rsidRPr="001C374F" w:rsidRDefault="000F03FD" w:rsidP="000F03FD">
      <w:pPr>
        <w:widowControl w:val="0"/>
        <w:autoSpaceDE w:val="0"/>
        <w:autoSpaceDN w:val="0"/>
        <w:spacing w:after="0" w:line="276" w:lineRule="auto"/>
        <w:jc w:val="both"/>
        <w:rPr>
          <w:rFonts w:ascii="Verdana" w:hAnsi="Verdana" w:cs="Arial"/>
        </w:rPr>
      </w:pPr>
    </w:p>
    <w:p w14:paraId="3C522420" w14:textId="77777777" w:rsidR="000F03FD" w:rsidRPr="001C374F" w:rsidRDefault="000F03FD" w:rsidP="000F03FD">
      <w:pPr>
        <w:spacing w:after="0" w:line="240" w:lineRule="auto"/>
        <w:rPr>
          <w:rFonts w:ascii="Verdana" w:hAnsi="Verdana" w:cs="Arial"/>
          <w:lang w:eastAsia="es-CO"/>
        </w:rPr>
      </w:pPr>
      <w:r w:rsidRPr="001C374F">
        <w:rPr>
          <w:rFonts w:ascii="Verdana" w:eastAsia="Times New Roman" w:hAnsi="Verdana" w:cs="Arial"/>
          <w:lang w:eastAsia="es-CO"/>
        </w:rPr>
        <w:t>Atentamente,</w:t>
      </w:r>
      <w:r w:rsidRPr="001C374F">
        <w:rPr>
          <w:rFonts w:ascii="Verdana" w:hAnsi="Verdana" w:cs="Arial"/>
          <w:lang w:eastAsia="es-CO"/>
        </w:rPr>
        <w:t xml:space="preserve"> </w:t>
      </w:r>
    </w:p>
    <w:p w14:paraId="3640C215" w14:textId="060C1627" w:rsidR="000F03FD" w:rsidRPr="00885085" w:rsidRDefault="0071316F" w:rsidP="000F03FD">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18BA76D7" wp14:editId="446DD11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p w14:paraId="6D626D07" w14:textId="77777777" w:rsidR="000F03FD" w:rsidRPr="0044528D" w:rsidRDefault="000F03FD" w:rsidP="000F03FD">
      <w:pPr>
        <w:spacing w:after="0" w:line="240" w:lineRule="auto"/>
        <w:textAlignment w:val="baseline"/>
        <w:rPr>
          <w:rFonts w:ascii="Verdana" w:eastAsia="Times New Roman" w:hAnsi="Verdana" w:cs="Segoe UI"/>
          <w:sz w:val="18"/>
          <w:szCs w:val="18"/>
          <w:lang w:eastAsia="es-CO"/>
        </w:rPr>
      </w:pPr>
    </w:p>
    <w:tbl>
      <w:tblPr>
        <w:tblW w:w="60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5286"/>
      </w:tblGrid>
      <w:tr w:rsidR="000F03FD" w:rsidRPr="00E45A64" w14:paraId="6B4FFA48" w14:textId="77777777" w:rsidTr="000A586A">
        <w:trPr>
          <w:trHeight w:val="315"/>
        </w:trPr>
        <w:tc>
          <w:tcPr>
            <w:tcW w:w="810" w:type="dxa"/>
            <w:tcBorders>
              <w:top w:val="nil"/>
              <w:left w:val="nil"/>
              <w:bottom w:val="nil"/>
              <w:right w:val="nil"/>
            </w:tcBorders>
            <w:shd w:val="clear" w:color="auto" w:fill="auto"/>
            <w:vAlign w:val="center"/>
            <w:hideMark/>
          </w:tcPr>
          <w:p w14:paraId="73FD97BB"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sidRPr="00892ABA">
              <w:rPr>
                <w:rFonts w:ascii="Verdana" w:eastAsia="Calibri" w:hAnsi="Verdana" w:cs="Arial"/>
                <w:sz w:val="16"/>
                <w:szCs w:val="16"/>
              </w:rPr>
              <w:t>Elaboró: </w:t>
            </w:r>
          </w:p>
        </w:tc>
        <w:tc>
          <w:tcPr>
            <w:tcW w:w="5286" w:type="dxa"/>
            <w:tcBorders>
              <w:top w:val="nil"/>
              <w:left w:val="nil"/>
              <w:bottom w:val="dotted" w:sz="6" w:space="0" w:color="7F7F7F"/>
              <w:right w:val="nil"/>
            </w:tcBorders>
            <w:shd w:val="clear" w:color="auto" w:fill="auto"/>
            <w:vAlign w:val="center"/>
            <w:hideMark/>
          </w:tcPr>
          <w:p w14:paraId="62B2DA3E" w14:textId="77777777" w:rsidR="000F03FD" w:rsidRPr="004B4715" w:rsidRDefault="000F03FD" w:rsidP="000A586A">
            <w:pPr>
              <w:spacing w:after="0" w:line="240" w:lineRule="auto"/>
              <w:jc w:val="both"/>
              <w:rPr>
                <w:rFonts w:ascii="Verdana" w:eastAsia="Calibri" w:hAnsi="Verdana" w:cs="Arial"/>
                <w:sz w:val="16"/>
                <w:szCs w:val="16"/>
              </w:rPr>
            </w:pPr>
            <w:r>
              <w:rPr>
                <w:rFonts w:ascii="Verdana" w:eastAsia="Calibri" w:hAnsi="Verdana" w:cs="Arial"/>
                <w:sz w:val="16"/>
                <w:szCs w:val="16"/>
              </w:rPr>
              <w:t xml:space="preserve">Diana </w:t>
            </w:r>
            <w:r w:rsidRPr="004B4715">
              <w:rPr>
                <w:rFonts w:ascii="Verdana" w:eastAsia="Calibri" w:hAnsi="Verdana" w:cs="Arial"/>
                <w:sz w:val="16"/>
                <w:szCs w:val="16"/>
              </w:rPr>
              <w:t xml:space="preserve">Carolina Blanco Rodríguez </w:t>
            </w:r>
          </w:p>
          <w:p w14:paraId="026B595D"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sidRPr="004B4715">
              <w:rPr>
                <w:rFonts w:ascii="Verdana" w:eastAsia="Calibri" w:hAnsi="Verdana" w:cs="Arial"/>
                <w:sz w:val="16"/>
                <w:szCs w:val="16"/>
              </w:rPr>
              <w:t xml:space="preserve">Contratista </w:t>
            </w:r>
            <w:r w:rsidRPr="00892ABA">
              <w:rPr>
                <w:rFonts w:ascii="Verdana" w:eastAsia="Calibri" w:hAnsi="Verdana" w:cs="Arial"/>
                <w:sz w:val="16"/>
                <w:szCs w:val="16"/>
              </w:rPr>
              <w:t>de la Subdirección de Gestión Contractual</w:t>
            </w:r>
          </w:p>
        </w:tc>
      </w:tr>
      <w:tr w:rsidR="000F03FD" w:rsidRPr="00E45A64" w14:paraId="4CCB85AA" w14:textId="77777777" w:rsidTr="000A586A">
        <w:trPr>
          <w:trHeight w:val="315"/>
        </w:trPr>
        <w:tc>
          <w:tcPr>
            <w:tcW w:w="810" w:type="dxa"/>
            <w:tcBorders>
              <w:top w:val="nil"/>
              <w:left w:val="nil"/>
              <w:bottom w:val="nil"/>
              <w:right w:val="nil"/>
            </w:tcBorders>
            <w:shd w:val="clear" w:color="auto" w:fill="auto"/>
            <w:vAlign w:val="center"/>
            <w:hideMark/>
          </w:tcPr>
          <w:p w14:paraId="76419085"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sidRPr="00892ABA">
              <w:rPr>
                <w:rFonts w:ascii="Verdana" w:eastAsia="Calibri" w:hAnsi="Verdana" w:cs="Arial"/>
                <w:sz w:val="16"/>
                <w:szCs w:val="16"/>
              </w:rPr>
              <w:t>Revisó: </w:t>
            </w:r>
          </w:p>
        </w:tc>
        <w:tc>
          <w:tcPr>
            <w:tcW w:w="5286" w:type="dxa"/>
            <w:tcBorders>
              <w:top w:val="dotted" w:sz="6" w:space="0" w:color="7F7F7F"/>
              <w:left w:val="nil"/>
              <w:bottom w:val="dotted" w:sz="6" w:space="0" w:color="7F7F7F"/>
              <w:right w:val="nil"/>
            </w:tcBorders>
            <w:shd w:val="clear" w:color="auto" w:fill="auto"/>
            <w:vAlign w:val="center"/>
            <w:hideMark/>
          </w:tcPr>
          <w:p w14:paraId="4C523288" w14:textId="77777777" w:rsidR="000F03FD" w:rsidRPr="001C374F" w:rsidRDefault="000F03FD" w:rsidP="000A586A">
            <w:pPr>
              <w:spacing w:before="100" w:beforeAutospacing="1" w:afterAutospacing="1"/>
              <w:contextualSpacing/>
              <w:textAlignment w:val="baseline"/>
              <w:rPr>
                <w:rFonts w:ascii="Verdana" w:eastAsia="Times New Roman" w:hAnsi="Verdana" w:cs="Arial"/>
                <w:sz w:val="16"/>
                <w:szCs w:val="16"/>
                <w:lang w:val="es-ES" w:eastAsia="es-CO"/>
              </w:rPr>
            </w:pPr>
            <w:r w:rsidRPr="001C374F">
              <w:rPr>
                <w:rFonts w:ascii="Verdana" w:eastAsia="Times New Roman" w:hAnsi="Verdana" w:cs="Arial"/>
                <w:sz w:val="16"/>
                <w:szCs w:val="16"/>
                <w:lang w:val="es-ES" w:eastAsia="es-CO"/>
              </w:rPr>
              <w:t>Alejandro Sarmiento Cantillo</w:t>
            </w:r>
          </w:p>
          <w:p w14:paraId="08695AC2"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sidRPr="004B4715">
              <w:rPr>
                <w:rFonts w:ascii="Verdana" w:eastAsia="Calibri" w:hAnsi="Verdana" w:cs="Arial"/>
                <w:sz w:val="16"/>
                <w:szCs w:val="16"/>
              </w:rPr>
              <w:t xml:space="preserve">Gestor T1-15 </w:t>
            </w:r>
            <w:r w:rsidRPr="00892ABA">
              <w:rPr>
                <w:rFonts w:ascii="Verdana" w:eastAsia="Calibri" w:hAnsi="Verdana" w:cs="Arial"/>
                <w:sz w:val="16"/>
                <w:szCs w:val="16"/>
              </w:rPr>
              <w:t>de la Subdirección de Gestión Contractual</w:t>
            </w:r>
          </w:p>
        </w:tc>
      </w:tr>
      <w:tr w:rsidR="000F03FD" w:rsidRPr="00E45A64" w14:paraId="452E5D81" w14:textId="77777777" w:rsidTr="000A586A">
        <w:trPr>
          <w:trHeight w:val="300"/>
        </w:trPr>
        <w:tc>
          <w:tcPr>
            <w:tcW w:w="810" w:type="dxa"/>
            <w:tcBorders>
              <w:top w:val="nil"/>
              <w:left w:val="nil"/>
              <w:bottom w:val="nil"/>
              <w:right w:val="nil"/>
            </w:tcBorders>
            <w:shd w:val="clear" w:color="auto" w:fill="auto"/>
            <w:vAlign w:val="center"/>
            <w:hideMark/>
          </w:tcPr>
          <w:p w14:paraId="36D3A5A6"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sidRPr="00892ABA">
              <w:rPr>
                <w:rFonts w:ascii="Verdana" w:eastAsia="Calibri" w:hAnsi="Verdana" w:cs="Arial"/>
                <w:sz w:val="16"/>
                <w:szCs w:val="16"/>
              </w:rPr>
              <w:t>Aprobó: </w:t>
            </w:r>
          </w:p>
        </w:tc>
        <w:tc>
          <w:tcPr>
            <w:tcW w:w="5286" w:type="dxa"/>
            <w:tcBorders>
              <w:top w:val="dotted" w:sz="6" w:space="0" w:color="7F7F7F"/>
              <w:left w:val="nil"/>
              <w:bottom w:val="dotted" w:sz="6" w:space="0" w:color="7F7F7F"/>
              <w:right w:val="nil"/>
            </w:tcBorders>
            <w:shd w:val="clear" w:color="auto" w:fill="auto"/>
            <w:vAlign w:val="center"/>
            <w:hideMark/>
          </w:tcPr>
          <w:p w14:paraId="70869171" w14:textId="77777777" w:rsidR="000F03FD" w:rsidRPr="00892ABA" w:rsidRDefault="000F03FD" w:rsidP="000A586A">
            <w:pPr>
              <w:autoSpaceDE w:val="0"/>
              <w:autoSpaceDN w:val="0"/>
              <w:adjustRightInd w:val="0"/>
              <w:spacing w:after="0" w:line="240" w:lineRule="auto"/>
              <w:jc w:val="both"/>
              <w:rPr>
                <w:rFonts w:ascii="Verdana" w:eastAsia="Calibri" w:hAnsi="Verdana" w:cs="Arial"/>
                <w:sz w:val="16"/>
                <w:szCs w:val="16"/>
              </w:rPr>
            </w:pPr>
            <w:r w:rsidRPr="00892ABA">
              <w:rPr>
                <w:rFonts w:ascii="Verdana" w:eastAsia="Calibri" w:hAnsi="Verdana" w:cs="Arial"/>
                <w:sz w:val="16"/>
                <w:szCs w:val="16"/>
              </w:rPr>
              <w:t>Carolina Quintero Gacharná</w:t>
            </w:r>
          </w:p>
          <w:p w14:paraId="75868878"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sidRPr="00892ABA">
              <w:rPr>
                <w:rFonts w:ascii="Verdana" w:eastAsia="Calibri" w:hAnsi="Verdana" w:cs="Arial"/>
                <w:sz w:val="16"/>
                <w:szCs w:val="16"/>
              </w:rPr>
              <w:t>Subdirectora de Gestión Contractual ANCP-CCE</w:t>
            </w:r>
          </w:p>
        </w:tc>
      </w:tr>
      <w:tr w:rsidR="000F03FD" w:rsidRPr="00E45A64" w14:paraId="186CA772" w14:textId="77777777" w:rsidTr="000A586A">
        <w:trPr>
          <w:trHeight w:val="300"/>
        </w:trPr>
        <w:tc>
          <w:tcPr>
            <w:tcW w:w="810" w:type="dxa"/>
            <w:tcBorders>
              <w:top w:val="nil"/>
              <w:left w:val="nil"/>
              <w:bottom w:val="nil"/>
              <w:right w:val="nil"/>
            </w:tcBorders>
            <w:shd w:val="clear" w:color="auto" w:fill="auto"/>
            <w:vAlign w:val="center"/>
          </w:tcPr>
          <w:p w14:paraId="1EC5E5B9"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sidRPr="00E45A64">
              <w:rPr>
                <w:rFonts w:ascii="Verdana" w:eastAsia="Calibri" w:hAnsi="Verdana" w:cs="Arial"/>
                <w:sz w:val="16"/>
                <w:szCs w:val="16"/>
              </w:rPr>
              <w:t>Anexos:</w:t>
            </w:r>
          </w:p>
        </w:tc>
        <w:tc>
          <w:tcPr>
            <w:tcW w:w="5286" w:type="dxa"/>
            <w:tcBorders>
              <w:top w:val="dotted" w:sz="6" w:space="0" w:color="7F7F7F"/>
              <w:left w:val="nil"/>
              <w:bottom w:val="dotted" w:sz="6" w:space="0" w:color="7F7F7F"/>
              <w:right w:val="nil"/>
            </w:tcBorders>
            <w:shd w:val="clear" w:color="auto" w:fill="auto"/>
            <w:vAlign w:val="center"/>
          </w:tcPr>
          <w:p w14:paraId="290AA51A" w14:textId="77777777" w:rsidR="000F03FD" w:rsidRPr="00E45A64" w:rsidRDefault="000F03FD" w:rsidP="000A586A">
            <w:pPr>
              <w:autoSpaceDE w:val="0"/>
              <w:autoSpaceDN w:val="0"/>
              <w:adjustRightInd w:val="0"/>
              <w:spacing w:after="0" w:line="240" w:lineRule="auto"/>
              <w:jc w:val="both"/>
              <w:rPr>
                <w:rFonts w:ascii="Verdana" w:eastAsia="Calibri" w:hAnsi="Verdana" w:cs="Arial"/>
                <w:sz w:val="16"/>
                <w:szCs w:val="16"/>
              </w:rPr>
            </w:pPr>
            <w:r>
              <w:rPr>
                <w:rFonts w:ascii="Verdana" w:hAnsi="Verdana" w:cs="Arial"/>
                <w:sz w:val="16"/>
                <w:szCs w:val="16"/>
                <w:lang w:val="es-MX" w:eastAsia="es-ES"/>
              </w:rPr>
              <w:t>Respuesta a pregunta 1.5.1.4</w:t>
            </w:r>
          </w:p>
        </w:tc>
      </w:tr>
    </w:tbl>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6BED7" w14:textId="77777777" w:rsidR="0093065D" w:rsidRDefault="0093065D" w:rsidP="004A1847">
      <w:pPr>
        <w:spacing w:after="0" w:line="240" w:lineRule="auto"/>
      </w:pPr>
      <w:r>
        <w:separator/>
      </w:r>
    </w:p>
  </w:endnote>
  <w:endnote w:type="continuationSeparator" w:id="0">
    <w:p w14:paraId="36BDF32C" w14:textId="77777777" w:rsidR="0093065D" w:rsidRDefault="0093065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6C8E" w14:textId="77777777" w:rsidR="0093065D" w:rsidRDefault="0093065D" w:rsidP="004A1847">
      <w:pPr>
        <w:spacing w:after="0" w:line="240" w:lineRule="auto"/>
      </w:pPr>
      <w:r>
        <w:separator/>
      </w:r>
    </w:p>
  </w:footnote>
  <w:footnote w:type="continuationSeparator" w:id="0">
    <w:p w14:paraId="31AEEB19" w14:textId="77777777" w:rsidR="0093065D" w:rsidRDefault="0093065D" w:rsidP="004A1847">
      <w:pPr>
        <w:spacing w:after="0" w:line="240" w:lineRule="auto"/>
      </w:pPr>
      <w:r>
        <w:continuationSeparator/>
      </w:r>
    </w:p>
  </w:footnote>
  <w:footnote w:id="1">
    <w:p w14:paraId="6D03BD19" w14:textId="77777777" w:rsidR="000F03FD" w:rsidRPr="001D1419" w:rsidRDefault="000F03FD" w:rsidP="000F03FD">
      <w:pPr>
        <w:pStyle w:val="Textonotapie"/>
        <w:ind w:firstLine="708"/>
        <w:contextualSpacing/>
        <w:jc w:val="both"/>
        <w:rPr>
          <w:rFonts w:ascii="Verdana" w:hAnsi="Verdana" w:cs="Arial"/>
          <w:sz w:val="12"/>
          <w:szCs w:val="12"/>
        </w:rPr>
      </w:pPr>
      <w:r w:rsidRPr="001D1419">
        <w:rPr>
          <w:rFonts w:ascii="Verdana" w:hAnsi="Verdana"/>
          <w:sz w:val="12"/>
          <w:szCs w:val="12"/>
          <w:vertAlign w:val="superscript"/>
        </w:rPr>
        <w:footnoteRef/>
      </w:r>
      <w:r w:rsidRPr="001D1419">
        <w:rPr>
          <w:rFonts w:ascii="Verdana" w:hAnsi="Verdana" w:cs="Arial"/>
          <w:sz w:val="12"/>
          <w:szCs w:val="12"/>
        </w:rPr>
        <w:t xml:space="preserve"> Corte Constitucional, Sentencia C-449 de 1992, y Consejo de Estado, Sala de lo Contencioso Administrativo, Sección Tercera, Sentencia del 3 de diciembre de 2007, expedientes acumulados: (25206, 25409, 24524, 27834, 25410, 26105, 28244, 31447).</w:t>
      </w:r>
    </w:p>
  </w:footnote>
  <w:footnote w:id="2">
    <w:p w14:paraId="437A53C1" w14:textId="77777777" w:rsidR="000F03FD" w:rsidRPr="001D1419" w:rsidRDefault="000F03FD" w:rsidP="000F03FD">
      <w:pPr>
        <w:pStyle w:val="Textonotapie"/>
        <w:ind w:firstLine="708"/>
        <w:contextualSpacing/>
        <w:jc w:val="both"/>
        <w:rPr>
          <w:rFonts w:ascii="Verdana" w:hAnsi="Verdana" w:cs="Arial"/>
          <w:sz w:val="12"/>
          <w:szCs w:val="12"/>
        </w:rPr>
      </w:pPr>
      <w:r w:rsidRPr="001D1419">
        <w:rPr>
          <w:rFonts w:ascii="Verdana" w:hAnsi="Verdana"/>
          <w:sz w:val="12"/>
          <w:szCs w:val="12"/>
          <w:vertAlign w:val="superscript"/>
        </w:rPr>
        <w:footnoteRef/>
      </w:r>
      <w:r w:rsidRPr="001D1419">
        <w:rPr>
          <w:rFonts w:ascii="Verdana" w:hAnsi="Verdana" w:cs="Arial"/>
          <w:sz w:val="12"/>
          <w:szCs w:val="12"/>
          <w:vertAlign w:val="superscript"/>
        </w:rPr>
        <w:t xml:space="preserve"> </w:t>
      </w:r>
      <w:r w:rsidRPr="001D1419">
        <w:rPr>
          <w:rFonts w:ascii="Verdana" w:hAnsi="Verdana" w:cs="Arial"/>
          <w:sz w:val="12"/>
          <w:szCs w:val="12"/>
        </w:rPr>
        <w:t>DÁVILA VINUEZA. Luis Guillermo. Régimen jurídico de la contratación estatal. 3ª ed. Bogotá: Temis, 2016. p. 494.</w:t>
      </w:r>
    </w:p>
  </w:footnote>
  <w:footnote w:id="3">
    <w:p w14:paraId="46EBEDB4" w14:textId="77777777" w:rsidR="000F03FD" w:rsidRPr="001D1419" w:rsidRDefault="000F03FD" w:rsidP="000F03FD">
      <w:pPr>
        <w:pStyle w:val="Textonotapie"/>
        <w:ind w:firstLine="708"/>
        <w:contextualSpacing/>
        <w:jc w:val="both"/>
        <w:rPr>
          <w:rFonts w:ascii="Verdana" w:hAnsi="Verdana" w:cs="Arial"/>
          <w:sz w:val="12"/>
          <w:szCs w:val="12"/>
        </w:rPr>
      </w:pPr>
      <w:r w:rsidRPr="001D1419">
        <w:rPr>
          <w:rFonts w:ascii="Verdana" w:hAnsi="Verdana"/>
          <w:sz w:val="12"/>
          <w:szCs w:val="12"/>
          <w:vertAlign w:val="superscript"/>
        </w:rPr>
        <w:footnoteRef/>
      </w:r>
      <w:r w:rsidRPr="001D1419">
        <w:rPr>
          <w:rFonts w:ascii="Verdana" w:hAnsi="Verdana" w:cs="Arial"/>
          <w:sz w:val="12"/>
          <w:szCs w:val="12"/>
          <w:vertAlign w:val="superscript"/>
        </w:rPr>
        <w:t xml:space="preserve"> </w:t>
      </w:r>
      <w:r w:rsidRPr="001D1419">
        <w:rPr>
          <w:rFonts w:ascii="Verdana" w:hAnsi="Verdana" w:cs="Arial"/>
          <w:sz w:val="12"/>
          <w:szCs w:val="12"/>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40ADD04" w14:textId="77777777" w:rsidR="000F03FD" w:rsidRPr="001D1419" w:rsidRDefault="000F03FD" w:rsidP="000F03FD">
      <w:pPr>
        <w:pStyle w:val="Textonotapie"/>
        <w:ind w:firstLine="708"/>
        <w:contextualSpacing/>
        <w:jc w:val="both"/>
        <w:rPr>
          <w:rFonts w:ascii="Verdana" w:hAnsi="Verdana" w:cs="Arial"/>
          <w:sz w:val="12"/>
          <w:szCs w:val="12"/>
        </w:rPr>
      </w:pPr>
      <w:r w:rsidRPr="001D1419">
        <w:rPr>
          <w:rFonts w:ascii="Verdana" w:hAnsi="Verdana"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4">
    <w:p w14:paraId="0FCDDF5D" w14:textId="77777777" w:rsidR="000F03FD" w:rsidRPr="001D1419" w:rsidRDefault="000F03FD" w:rsidP="000F03FD">
      <w:pPr>
        <w:pStyle w:val="Textonotapie"/>
        <w:ind w:firstLine="709"/>
        <w:jc w:val="both"/>
        <w:rPr>
          <w:rFonts w:ascii="Verdana" w:hAnsi="Verdana" w:cs="Arial"/>
          <w:color w:val="000000" w:themeColor="text1"/>
          <w:sz w:val="12"/>
          <w:szCs w:val="12"/>
        </w:rPr>
      </w:pPr>
      <w:r w:rsidRPr="001D1419">
        <w:rPr>
          <w:rStyle w:val="Refdenotaalpie"/>
          <w:rFonts w:ascii="Verdana" w:hAnsi="Verdana" w:cs="Arial"/>
          <w:color w:val="000000" w:themeColor="text1"/>
          <w:sz w:val="12"/>
          <w:szCs w:val="12"/>
        </w:rPr>
        <w:footnoteRef/>
      </w:r>
      <w:r w:rsidRPr="001D1419">
        <w:rPr>
          <w:rFonts w:ascii="Verdana" w:hAnsi="Verdana" w:cs="Arial"/>
          <w:color w:val="000000" w:themeColor="text1"/>
          <w:sz w:val="12"/>
          <w:szCs w:val="12"/>
        </w:rPr>
        <w:t xml:space="preserve"> Así lo prevé dicho artículo: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67FE9E64" w14:textId="1A586926" w:rsidR="000F03FD" w:rsidRPr="00804AFF" w:rsidRDefault="001D1419" w:rsidP="000F03FD">
      <w:pPr>
        <w:pStyle w:val="Textonotapie"/>
        <w:ind w:firstLine="709"/>
        <w:jc w:val="both"/>
        <w:rPr>
          <w:rFonts w:ascii="Verdana" w:hAnsi="Verdana" w:cs="Arial"/>
          <w:color w:val="000000" w:themeColor="text1"/>
          <w:sz w:val="16"/>
          <w:szCs w:val="16"/>
        </w:rPr>
      </w:pPr>
      <w:r w:rsidRPr="001D1419">
        <w:rPr>
          <w:rFonts w:ascii="Verdana" w:hAnsi="Verdana" w:cs="Arial"/>
          <w:color w:val="000000" w:themeColor="text1"/>
          <w:sz w:val="12"/>
          <w:szCs w:val="12"/>
        </w:rPr>
        <w:t>“</w:t>
      </w:r>
      <w:r w:rsidR="000F03FD" w:rsidRPr="001D1419">
        <w:rPr>
          <w:rFonts w:ascii="Verdana" w:hAnsi="Verdana" w:cs="Arial"/>
          <w:color w:val="000000" w:themeColor="text1"/>
          <w:sz w:val="12"/>
          <w:szCs w:val="12"/>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Pr="001D1419">
        <w:rPr>
          <w:rFonts w:ascii="Verdana" w:hAnsi="Verdana" w:cs="Arial"/>
          <w:color w:val="000000" w:themeColor="text1"/>
          <w:sz w:val="12"/>
          <w:szCs w:val="12"/>
        </w:rPr>
        <w:t>”</w:t>
      </w:r>
      <w:r w:rsidR="000F03FD" w:rsidRPr="001D1419">
        <w:rPr>
          <w:rFonts w:ascii="Verdana" w:hAnsi="Verdana" w:cs="Arial"/>
          <w:color w:val="000000" w:themeColor="text1"/>
          <w:sz w:val="12"/>
          <w:szCs w:val="12"/>
        </w:rPr>
        <w:t>.</w:t>
      </w:r>
    </w:p>
  </w:footnote>
  <w:footnote w:id="5">
    <w:p w14:paraId="2E0F5798" w14:textId="77777777" w:rsidR="000F03FD" w:rsidRPr="001D1419" w:rsidRDefault="000F03FD" w:rsidP="000F03FD">
      <w:pPr>
        <w:spacing w:after="120" w:line="240" w:lineRule="auto"/>
        <w:ind w:firstLine="709"/>
        <w:jc w:val="both"/>
        <w:rPr>
          <w:rFonts w:ascii="Verdana" w:hAnsi="Verdana" w:cs="Arial"/>
          <w:color w:val="000000" w:themeColor="text1"/>
          <w:sz w:val="12"/>
          <w:szCs w:val="12"/>
        </w:rPr>
      </w:pPr>
      <w:r w:rsidRPr="001D1419">
        <w:rPr>
          <w:rStyle w:val="Refdenotaalpie"/>
          <w:rFonts w:ascii="Verdana" w:hAnsi="Verdana" w:cs="Arial"/>
          <w:color w:val="000000" w:themeColor="text1"/>
          <w:sz w:val="12"/>
          <w:szCs w:val="12"/>
        </w:rPr>
        <w:footnoteRef/>
      </w:r>
      <w:r w:rsidRPr="001D1419">
        <w:rPr>
          <w:rFonts w:ascii="Verdana" w:hAnsi="Verdana" w:cs="Arial"/>
          <w:color w:val="000000" w:themeColor="text1"/>
          <w:sz w:val="12"/>
          <w:szCs w:val="12"/>
        </w:rPr>
        <w:t xml:space="preserve"> Esta decisión se encuentra en la Sentencia C-671 de 1999. Magistrado Ponente: Alfredo Beltrán: “En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1DA01FF6" w14:textId="77777777" w:rsidR="000F03FD" w:rsidRPr="001D1419" w:rsidRDefault="000F03FD" w:rsidP="000F03FD">
      <w:pPr>
        <w:pStyle w:val="Textonotapie"/>
        <w:ind w:firstLine="709"/>
        <w:jc w:val="both"/>
        <w:rPr>
          <w:rFonts w:ascii="Verdana" w:hAnsi="Verdana" w:cs="Arial"/>
          <w:color w:val="000000" w:themeColor="text1"/>
          <w:sz w:val="12"/>
          <w:szCs w:val="12"/>
        </w:rPr>
      </w:pPr>
      <w:r w:rsidRPr="001D1419">
        <w:rPr>
          <w:rFonts w:ascii="Verdana" w:hAnsi="Verdana" w:cs="Arial"/>
          <w:color w:val="000000" w:themeColor="text1"/>
          <w:sz w:val="12"/>
          <w:szCs w:val="12"/>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22F6ED9F" w14:textId="77777777" w:rsidR="000F03FD" w:rsidRPr="001D1419" w:rsidRDefault="000F03FD" w:rsidP="000F03FD">
      <w:pPr>
        <w:pStyle w:val="Textonotapie"/>
        <w:ind w:firstLine="709"/>
        <w:jc w:val="both"/>
        <w:rPr>
          <w:rFonts w:ascii="Verdana" w:hAnsi="Verdana" w:cs="Arial"/>
          <w:color w:val="000000" w:themeColor="text1"/>
          <w:sz w:val="12"/>
          <w:szCs w:val="12"/>
        </w:rPr>
      </w:pPr>
      <w:r w:rsidRPr="001D1419">
        <w:rPr>
          <w:rFonts w:ascii="Verdana" w:hAnsi="Verdana" w:cs="Arial"/>
          <w:color w:val="000000" w:themeColor="text1"/>
          <w:sz w:val="12"/>
          <w:szCs w:val="12"/>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w:t>
      </w:r>
      <w:r w:rsidRPr="00804AFF">
        <w:rPr>
          <w:rFonts w:ascii="Verdana" w:hAnsi="Verdana" w:cs="Arial"/>
          <w:color w:val="000000" w:themeColor="text1"/>
          <w:sz w:val="16"/>
          <w:szCs w:val="16"/>
        </w:rPr>
        <w:t xml:space="preserve"> </w:t>
      </w:r>
      <w:r w:rsidRPr="001D1419">
        <w:rPr>
          <w:rFonts w:ascii="Verdana" w:hAnsi="Verdana" w:cs="Arial"/>
          <w:color w:val="000000" w:themeColor="text1"/>
          <w:sz w:val="12"/>
          <w:szCs w:val="12"/>
        </w:rPr>
        <w:t>orgánica de cada una de las entidades públicas participantes, y los respectivos regímenes de actos, contratación, controles y responsabilidad.</w:t>
      </w:r>
    </w:p>
    <w:p w14:paraId="7606AAA6" w14:textId="7B50010D" w:rsidR="000F03FD" w:rsidRPr="001D1419" w:rsidRDefault="001D1419" w:rsidP="000F03FD">
      <w:pPr>
        <w:pStyle w:val="Textonotapie"/>
        <w:jc w:val="both"/>
        <w:rPr>
          <w:rFonts w:ascii="Verdana" w:hAnsi="Verdana" w:cs="Arial"/>
          <w:color w:val="000000" w:themeColor="text1"/>
          <w:sz w:val="12"/>
          <w:szCs w:val="12"/>
        </w:rPr>
      </w:pPr>
      <w:r w:rsidRPr="001D1419">
        <w:rPr>
          <w:rFonts w:ascii="Verdana" w:hAnsi="Verdana" w:cs="Arial"/>
          <w:color w:val="000000" w:themeColor="text1"/>
          <w:sz w:val="12"/>
          <w:szCs w:val="12"/>
        </w:rPr>
        <w:t>“</w:t>
      </w:r>
      <w:r w:rsidR="000F03FD" w:rsidRPr="001D1419">
        <w:rPr>
          <w:rFonts w:ascii="Verdana" w:hAnsi="Verdana" w:cs="Arial"/>
          <w:color w:val="000000" w:themeColor="text1"/>
          <w:sz w:val="12"/>
          <w:szCs w:val="12"/>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78CDA3DA" w14:textId="77777777" w:rsidR="000F03FD" w:rsidRPr="001D1419" w:rsidRDefault="000F03FD" w:rsidP="000F03FD">
      <w:pPr>
        <w:pStyle w:val="Textonotapie"/>
        <w:ind w:firstLine="709"/>
        <w:jc w:val="both"/>
        <w:rPr>
          <w:rFonts w:ascii="Verdana" w:hAnsi="Verdana" w:cs="Arial"/>
          <w:color w:val="000000" w:themeColor="text1"/>
          <w:sz w:val="12"/>
          <w:szCs w:val="12"/>
        </w:rPr>
      </w:pPr>
      <w:r w:rsidRPr="001D1419">
        <w:rPr>
          <w:rFonts w:ascii="Verdana" w:hAnsi="Verdana" w:cs="Arial"/>
          <w:color w:val="000000" w:themeColor="text1"/>
          <w:sz w:val="12"/>
          <w:szCs w:val="12"/>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0413E4A6" w14:textId="77777777" w:rsidR="000F03FD" w:rsidRPr="001D1419" w:rsidRDefault="000F03FD" w:rsidP="000F03FD">
      <w:pPr>
        <w:pStyle w:val="Textonotapie"/>
        <w:ind w:firstLine="709"/>
        <w:jc w:val="both"/>
        <w:rPr>
          <w:rFonts w:ascii="Verdana" w:hAnsi="Verdana" w:cs="Arial"/>
          <w:color w:val="000000" w:themeColor="text1"/>
          <w:sz w:val="12"/>
          <w:szCs w:val="12"/>
        </w:rPr>
      </w:pPr>
      <w:r w:rsidRPr="001D1419">
        <w:rPr>
          <w:rFonts w:ascii="Verdana" w:hAnsi="Verdana" w:cs="Arial"/>
          <w:color w:val="000000" w:themeColor="text1"/>
          <w:sz w:val="12"/>
          <w:szCs w:val="12"/>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footnote>
  <w:footnote w:id="6">
    <w:p w14:paraId="0A3770ED" w14:textId="77777777" w:rsidR="000F03FD" w:rsidRPr="001D1419" w:rsidRDefault="000F03FD" w:rsidP="000F03FD">
      <w:pPr>
        <w:pStyle w:val="Textonotapie"/>
        <w:ind w:firstLine="709"/>
        <w:jc w:val="both"/>
        <w:rPr>
          <w:rFonts w:ascii="Verdana" w:hAnsi="Verdana" w:cs="Arial"/>
          <w:color w:val="000000" w:themeColor="text1"/>
          <w:sz w:val="12"/>
          <w:szCs w:val="12"/>
        </w:rPr>
      </w:pPr>
    </w:p>
    <w:p w14:paraId="0BF3E58E" w14:textId="5154BFFA" w:rsidR="000F03FD" w:rsidRPr="001D1419" w:rsidRDefault="000F03FD" w:rsidP="000F03FD">
      <w:pPr>
        <w:pStyle w:val="Textonotapie"/>
        <w:ind w:firstLine="709"/>
        <w:jc w:val="both"/>
        <w:rPr>
          <w:rFonts w:ascii="Verdana" w:hAnsi="Verdana" w:cs="Arial"/>
          <w:color w:val="000000" w:themeColor="text1"/>
          <w:sz w:val="12"/>
          <w:szCs w:val="12"/>
        </w:rPr>
      </w:pPr>
      <w:r w:rsidRPr="001D1419">
        <w:rPr>
          <w:rStyle w:val="Refdenotaalpie"/>
          <w:rFonts w:ascii="Verdana" w:hAnsi="Verdana" w:cs="Arial"/>
          <w:color w:val="000000" w:themeColor="text1"/>
          <w:sz w:val="12"/>
          <w:szCs w:val="12"/>
        </w:rPr>
        <w:footnoteRef/>
      </w:r>
      <w:r w:rsidRPr="001D1419">
        <w:rPr>
          <w:rFonts w:ascii="Verdana" w:hAnsi="Verdana" w:cs="Arial"/>
          <w:color w:val="000000" w:themeColor="text1"/>
          <w:sz w:val="12"/>
          <w:szCs w:val="12"/>
        </w:rPr>
        <w:t xml:space="preserve"> Así también lo ha reconocido la doctrina, al indicar: </w:t>
      </w:r>
      <w:r w:rsidR="001D1419" w:rsidRPr="001D1419">
        <w:rPr>
          <w:rFonts w:ascii="Verdana" w:hAnsi="Verdana" w:cs="Arial"/>
          <w:color w:val="000000" w:themeColor="text1"/>
          <w:sz w:val="12"/>
          <w:szCs w:val="12"/>
        </w:rPr>
        <w:t>“</w:t>
      </w:r>
      <w:r w:rsidRPr="001D1419">
        <w:rPr>
          <w:rFonts w:ascii="Verdana" w:hAnsi="Verdana" w:cs="Arial"/>
          <w:color w:val="000000" w:themeColor="text1"/>
          <w:sz w:val="12"/>
          <w:szCs w:val="12"/>
        </w:rPr>
        <w:t>Es oportuno señalar respecto de los temas anteriores, que la necesidad de coherencia de las nuevas personas jurídicas y las entidades asociadas, fue considerada por la Corte Constitucional, al desatar la demanda presentada contra el artículo 95 de la Ley 489, en el sentido de que las primeras deben sujetarse a la voluntad original del Legislador que actuando en ejercicio de la potestad conformadora de la organización (CP, artículo 150, numeral 7), haya definido los objetivos generales y la estructura orgánica de cada una de las entidades públicas participantes en el convenio, así como los respectivos regímenes de actos, contratación, controles y responsabilidad</w:t>
      </w:r>
      <w:r w:rsidR="001D1419" w:rsidRPr="001D1419">
        <w:rPr>
          <w:rFonts w:ascii="Verdana" w:hAnsi="Verdana" w:cs="Arial"/>
          <w:color w:val="000000" w:themeColor="text1"/>
          <w:sz w:val="12"/>
          <w:szCs w:val="12"/>
        </w:rPr>
        <w:t>”</w:t>
      </w:r>
      <w:r w:rsidRPr="001D1419">
        <w:rPr>
          <w:rFonts w:ascii="Verdana" w:hAnsi="Verdana" w:cs="Arial"/>
          <w:color w:val="000000" w:themeColor="text1"/>
          <w:sz w:val="12"/>
          <w:szCs w:val="12"/>
        </w:rPr>
        <w:t xml:space="preserve"> (CHÁVEZ MARÍN, Augusto Ramón. Los convenios de la Administración: entre la gestión pública y la actividad contractual. 2ª ed. Bogotá: Universidad del Rosario, 2012, p. 243).</w:t>
      </w:r>
    </w:p>
    <w:p w14:paraId="26BA2791" w14:textId="77777777" w:rsidR="000F03FD" w:rsidRPr="00804AFF" w:rsidRDefault="000F03FD" w:rsidP="000F03FD">
      <w:pPr>
        <w:pStyle w:val="Textonotapie"/>
        <w:ind w:firstLine="709"/>
        <w:jc w:val="both"/>
        <w:rPr>
          <w:rFonts w:ascii="Verdana" w:hAnsi="Verdana" w:cs="Arial"/>
          <w:color w:val="000000" w:themeColor="text1"/>
          <w:sz w:val="16"/>
          <w:szCs w:val="16"/>
        </w:rPr>
      </w:pPr>
    </w:p>
  </w:footnote>
  <w:footnote w:id="7">
    <w:p w14:paraId="4E8CBB3E" w14:textId="77777777" w:rsidR="000F03FD" w:rsidRPr="001D1419" w:rsidRDefault="000F03FD" w:rsidP="000F03FD">
      <w:pPr>
        <w:ind w:firstLine="708"/>
        <w:contextualSpacing/>
        <w:jc w:val="both"/>
        <w:rPr>
          <w:rFonts w:ascii="Verdana" w:hAnsi="Verdana" w:cs="Arial"/>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Consejo de Estado. Sala de Consulta y Servicio Civil. Concepto 26 de julio de 2016. Exp. 2.257. C.P. Álvaro Namén Vargas.</w:t>
      </w:r>
    </w:p>
  </w:footnote>
  <w:footnote w:id="8">
    <w:p w14:paraId="07F82400" w14:textId="77777777" w:rsidR="000F03FD" w:rsidRPr="001D1419" w:rsidRDefault="000F03FD" w:rsidP="000F03FD">
      <w:pPr>
        <w:ind w:firstLine="708"/>
        <w:contextualSpacing/>
        <w:jc w:val="both"/>
        <w:rPr>
          <w:rFonts w:ascii="Verdana" w:hAnsi="Verdana" w:cs="Arial"/>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[Referencia propia de la cita] «CE. SCSC. Concepto de 1 de noviembre de 2016 [Rad. 11001-03-06-000-2016-00125-00(2305)]. MP. Germán Alberto Bula Escobar».</w:t>
      </w:r>
    </w:p>
  </w:footnote>
  <w:footnote w:id="9">
    <w:p w14:paraId="5589CBBF" w14:textId="5285A3DF" w:rsidR="000F03FD" w:rsidRPr="00804AFF" w:rsidRDefault="000F03FD" w:rsidP="000F03FD">
      <w:pPr>
        <w:ind w:firstLine="708"/>
        <w:contextualSpacing/>
        <w:jc w:val="both"/>
        <w:rPr>
          <w:rFonts w:ascii="Verdana" w:hAnsi="Verdana" w:cs="Arial"/>
          <w:sz w:val="16"/>
          <w:szCs w:val="16"/>
        </w:rPr>
      </w:pPr>
      <w:r w:rsidRPr="001D1419">
        <w:rPr>
          <w:rStyle w:val="Refdenotaalpie"/>
          <w:rFonts w:ascii="Verdana" w:hAnsi="Verdana" w:cs="Arial"/>
          <w:sz w:val="12"/>
          <w:szCs w:val="12"/>
        </w:rPr>
        <w:footnoteRef/>
      </w:r>
      <w:r w:rsidRPr="001D1419">
        <w:rPr>
          <w:rFonts w:ascii="Verdana" w:hAnsi="Verdana" w:cs="Arial"/>
          <w:sz w:val="12"/>
          <w:szCs w:val="12"/>
        </w:rPr>
        <w:t xml:space="preserve"> [Referencia propia de la cita] «CE. SCSC. Concepto de 30 de abril de 2008 [Rad. 11001-03-06-000-2008-00013-00(1881)]. MP. Enrique José Arboleda Perdomo. En esta oportunidad, la Sala indicó que el contenido </w:t>
      </w:r>
      <w:r w:rsidRPr="001D1419">
        <w:rPr>
          <w:rFonts w:ascii="Verdana" w:hAnsi="Verdana" w:cs="Arial"/>
          <w:i/>
          <w:sz w:val="12"/>
          <w:szCs w:val="12"/>
        </w:rPr>
        <w:t>“obligacional”</w:t>
      </w:r>
      <w:r w:rsidRPr="001D1419">
        <w:rPr>
          <w:rFonts w:ascii="Verdana" w:hAnsi="Verdana" w:cs="Arial"/>
          <w:sz w:val="12"/>
          <w:szCs w:val="12"/>
        </w:rPr>
        <w:t xml:space="preserve"> de los convenios se estructura definiendo el resultado querido por las partes y los medios que cada entidad despliega para la obtención del respectivo objeto</w:t>
      </w:r>
      <w:r w:rsidR="001D1419" w:rsidRPr="001D1419">
        <w:rPr>
          <w:rFonts w:ascii="Verdana" w:hAnsi="Verdana" w:cs="Arial"/>
          <w:sz w:val="12"/>
          <w:szCs w:val="12"/>
        </w:rPr>
        <w:t>”</w:t>
      </w:r>
      <w:r w:rsidRPr="001D1419">
        <w:rPr>
          <w:rFonts w:ascii="Verdana" w:hAnsi="Verdana" w:cs="Arial"/>
          <w:sz w:val="12"/>
          <w:szCs w:val="12"/>
        </w:rPr>
        <w:t>.</w:t>
      </w:r>
    </w:p>
  </w:footnote>
  <w:footnote w:id="10">
    <w:p w14:paraId="225A3D9F" w14:textId="77777777" w:rsidR="000F03FD" w:rsidRPr="001D1419" w:rsidRDefault="000F03FD" w:rsidP="000F03FD">
      <w:pPr>
        <w:spacing w:after="0" w:line="240" w:lineRule="auto"/>
        <w:ind w:firstLine="709"/>
        <w:contextualSpacing/>
        <w:jc w:val="both"/>
        <w:rPr>
          <w:rFonts w:ascii="Verdana" w:hAnsi="Verdana" w:cs="Arial"/>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[Referencia propia de la cita] “La normativa vigente del EGCAP </w:t>
      </w:r>
      <w:r w:rsidRPr="001D1419">
        <w:rPr>
          <w:rFonts w:ascii="Verdana" w:hAnsi="Verdana" w:cs="Arial"/>
          <w:i/>
          <w:sz w:val="12"/>
          <w:szCs w:val="12"/>
        </w:rPr>
        <w:t>[literal c) del numeral 4. del artículo 2 de la Ley 1150/07]</w:t>
      </w:r>
      <w:r w:rsidRPr="001D1419">
        <w:rPr>
          <w:rFonts w:ascii="Verdana" w:hAnsi="Verdana" w:cs="Arial"/>
          <w:sz w:val="12"/>
          <w:szCs w:val="12"/>
        </w:rPr>
        <w:t xml:space="preserve"> se refiere a </w:t>
      </w:r>
      <w:r w:rsidRPr="001D1419">
        <w:rPr>
          <w:rFonts w:ascii="Verdana" w:hAnsi="Verdana" w:cs="Arial"/>
          <w:i/>
          <w:sz w:val="12"/>
          <w:szCs w:val="12"/>
        </w:rPr>
        <w:t>“contratos interadministrativos”</w:t>
      </w:r>
      <w:r w:rsidRPr="001D1419">
        <w:rPr>
          <w:rFonts w:ascii="Verdana" w:hAnsi="Verdana"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7AFAD16D" w14:textId="77777777" w:rsidR="000F03FD" w:rsidRPr="001D1419" w:rsidRDefault="000F03FD" w:rsidP="000F03FD">
      <w:pPr>
        <w:spacing w:after="0" w:line="240" w:lineRule="auto"/>
        <w:ind w:firstLine="709"/>
        <w:contextualSpacing/>
        <w:jc w:val="both"/>
        <w:rPr>
          <w:rFonts w:ascii="Verdana" w:hAnsi="Verdana" w:cs="Arial"/>
          <w:sz w:val="12"/>
          <w:szCs w:val="12"/>
        </w:rPr>
      </w:pPr>
    </w:p>
  </w:footnote>
  <w:footnote w:id="11">
    <w:p w14:paraId="03414C8B" w14:textId="77777777" w:rsidR="000F03FD" w:rsidRPr="001D1419" w:rsidRDefault="000F03FD" w:rsidP="000F03FD">
      <w:pPr>
        <w:pStyle w:val="Textonotapie"/>
        <w:ind w:firstLine="709"/>
        <w:jc w:val="both"/>
        <w:rPr>
          <w:rFonts w:ascii="Verdana" w:hAnsi="Verdana" w:cs="Arial"/>
          <w:sz w:val="12"/>
          <w:szCs w:val="12"/>
          <w:lang w:val="es-ES"/>
        </w:rPr>
      </w:pPr>
      <w:r w:rsidRPr="001D1419">
        <w:rPr>
          <w:rStyle w:val="Refdenotaalpie"/>
          <w:rFonts w:ascii="Verdana" w:hAnsi="Verdana" w:cs="Arial"/>
          <w:sz w:val="12"/>
          <w:szCs w:val="12"/>
        </w:rPr>
        <w:footnoteRef/>
      </w:r>
      <w:r w:rsidRPr="001D1419">
        <w:rPr>
          <w:rFonts w:ascii="Verdana" w:hAnsi="Verdana" w:cs="Arial"/>
          <w:sz w:val="12"/>
          <w:szCs w:val="12"/>
        </w:rPr>
        <w:t xml:space="preserve"> En sentido similar </w:t>
      </w:r>
      <w:r w:rsidRPr="001D1419">
        <w:rPr>
          <w:rFonts w:ascii="Verdana" w:hAnsi="Verdana" w:cs="Arial"/>
          <w:sz w:val="12"/>
          <w:szCs w:val="12"/>
          <w:lang w:val="es-ES"/>
        </w:rPr>
        <w:t xml:space="preserve">ver, entre otras, al Consejo de Estado, Sala de lo Contencioso Administrativo, Sección Tercera, sentencia del 22 de octubre de 2021, Rad. 65978, M.P. Martha Nubia Velásquez; Consejo de Estado, Sala de lo Contencioso Administrativo, Sección Tercera, Subsección A, Sentencia del 23 de abril de 2021, Rad. 49148, M.P. María Adriana Marín; Consejo de Estado, Sala de lo Contencioso Administrativo, Sección Tercera, Subsección A, Sentencia del 21 de mayo de 2021, Rad. 66756, M.P. José Roberto Sáchica Méndez; Consejo de Estado, Sala de lo Contencioso Administrativo, Sección Tercera, Subsección C, Auto del 30 de septiembre de 2020, Rad. 65358, M.P. Guillermo Sánchez Luque. </w:t>
      </w:r>
    </w:p>
    <w:p w14:paraId="7B223367" w14:textId="77777777" w:rsidR="000F03FD" w:rsidRPr="001D1419" w:rsidRDefault="000F03FD" w:rsidP="000F03FD">
      <w:pPr>
        <w:pStyle w:val="Textonotapie"/>
        <w:ind w:firstLine="709"/>
        <w:jc w:val="both"/>
        <w:rPr>
          <w:rFonts w:ascii="Verdana" w:hAnsi="Verdana" w:cs="Arial"/>
          <w:sz w:val="12"/>
          <w:szCs w:val="12"/>
          <w:lang w:val="es-ES"/>
        </w:rPr>
      </w:pPr>
    </w:p>
  </w:footnote>
  <w:footnote w:id="12">
    <w:p w14:paraId="6A1AFE7D" w14:textId="77777777" w:rsidR="000F03FD" w:rsidRPr="00804AFF" w:rsidRDefault="000F03FD" w:rsidP="000F03FD">
      <w:pPr>
        <w:pStyle w:val="Textonotapie"/>
        <w:ind w:firstLine="708"/>
        <w:jc w:val="both"/>
        <w:rPr>
          <w:rFonts w:ascii="Verdana" w:hAnsi="Verdana" w:cs="Arial"/>
          <w:sz w:val="16"/>
          <w:szCs w:val="16"/>
        </w:rPr>
      </w:pPr>
      <w:r w:rsidRPr="001D1419">
        <w:rPr>
          <w:rStyle w:val="Refdenotaalpie"/>
          <w:rFonts w:ascii="Verdana" w:hAnsi="Verdana" w:cs="Arial"/>
          <w:sz w:val="12"/>
          <w:szCs w:val="12"/>
        </w:rPr>
        <w:footnoteRef/>
      </w:r>
      <w:r w:rsidRPr="001D1419">
        <w:rPr>
          <w:rFonts w:ascii="Verdana" w:hAnsi="Verdana" w:cs="Arial"/>
          <w:sz w:val="12"/>
          <w:szCs w:val="12"/>
        </w:rPr>
        <w:t xml:space="preserve"> Sobre el particular, en ocasiones el Consejo de Estado ha establecido que en aquellos casos en que se pacte remuneración en el marco de un convenio interadministrativo, independientemente de la denominación que se adopte, el negocio jurídico podría no corresponder a su naturaleza y en consecuencia a sus efectos jurídicos. A juicio de esta corporación “en realidad, los convenios en los cuales las partes se obligan patrimonialmente constituyen contratos en toda la extensión del concepto y con todos los efectos de esa particular institución jurídica”, de manera que indudablemente les será aplicable el EGCAP. (Consejo de Estado. Sala de lo Contencioso Administrativo, Sección Tercera. Sentencia de 23 de junio de 2010, Exp. 1998-00261. C.P. Mauricio Fajardo Gómez). Cfr. Consejo de Estado. Sala de Consulta y Servicio Civil. Concepto de 30 de abril de 2008. Rad. 1881.</w:t>
      </w:r>
    </w:p>
  </w:footnote>
  <w:footnote w:id="13">
    <w:p w14:paraId="28A1ECEF" w14:textId="77777777" w:rsidR="000F03FD" w:rsidRPr="001D1419" w:rsidRDefault="000F03FD" w:rsidP="000F03FD">
      <w:pPr>
        <w:pStyle w:val="Textonotapie"/>
        <w:ind w:firstLine="708"/>
        <w:jc w:val="both"/>
        <w:rPr>
          <w:rFonts w:ascii="Verdana" w:hAnsi="Verdana" w:cs="Arial"/>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CONSEJO DE ESTADO. Sala de Consulta y Servicio Civil. Concepto 26 de julio de 2016. Exp. 2.257. C.P. Álvaro Namén Vargas.</w:t>
      </w:r>
    </w:p>
  </w:footnote>
  <w:footnote w:id="14">
    <w:p w14:paraId="670B5966" w14:textId="214C501D" w:rsidR="000F03FD" w:rsidRPr="001D1419" w:rsidRDefault="000F03FD" w:rsidP="000F03FD">
      <w:pPr>
        <w:pStyle w:val="Textonotapie"/>
        <w:ind w:firstLine="708"/>
        <w:jc w:val="both"/>
        <w:rPr>
          <w:rFonts w:ascii="Verdana" w:hAnsi="Verdana" w:cs="Arial"/>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Si bien el parágrafo de artículo 14 de la Ley 80 de 1993 establece que se deberá prescindir de las cláusulas excepcionales en los ‘contratos interadministrativos’, el Consejo de Estado ha señalado que tal disposición aplica indiscutiblemente para los convenios, pero, para el caso de los contratos administrativos </w:t>
      </w:r>
      <w:r w:rsidR="001D1419" w:rsidRPr="001D1419">
        <w:rPr>
          <w:rFonts w:ascii="Verdana" w:hAnsi="Verdana" w:cs="Arial"/>
          <w:sz w:val="12"/>
          <w:szCs w:val="12"/>
        </w:rPr>
        <w:t>“</w:t>
      </w:r>
      <w:r w:rsidRPr="001D1419">
        <w:rPr>
          <w:rFonts w:ascii="Verdana" w:hAnsi="Verdana" w:cs="Arial"/>
          <w:sz w:val="12"/>
          <w:szCs w:val="12"/>
        </w:rPr>
        <w:t xml:space="preserve">dado el ámbito de subordinación, no puede descartarse </w:t>
      </w:r>
      <w:r w:rsidRPr="001D1419">
        <w:rPr>
          <w:rFonts w:ascii="Verdana" w:hAnsi="Verdana" w:cs="Arial"/>
          <w:i/>
          <w:iCs/>
          <w:sz w:val="12"/>
          <w:szCs w:val="12"/>
        </w:rPr>
        <w:t>prima facie</w:t>
      </w:r>
      <w:r w:rsidRPr="001D1419">
        <w:rPr>
          <w:rFonts w:ascii="Verdana" w:hAnsi="Verdana" w:cs="Arial"/>
          <w:sz w:val="12"/>
          <w:szCs w:val="12"/>
        </w:rPr>
        <w:t xml:space="preserve">». De hecho, se ha referido en concreto a la procedencia de la imposición de multas, sanciones y declaratorias de incumplimiento en contratos interadministrativos. (Consejo de Estado. Sala de Consulta y Servicio Civil, </w:t>
      </w:r>
      <w:r w:rsidRPr="001D1419">
        <w:rPr>
          <w:rFonts w:ascii="Verdana" w:hAnsi="Verdana" w:cs="Arial"/>
          <w:i/>
          <w:iCs/>
          <w:sz w:val="12"/>
          <w:szCs w:val="12"/>
        </w:rPr>
        <w:t>ibídem</w:t>
      </w:r>
      <w:r w:rsidRPr="001D1419">
        <w:rPr>
          <w:rFonts w:ascii="Verdana" w:hAnsi="Verdana" w:cs="Arial"/>
          <w:sz w:val="12"/>
          <w:szCs w:val="12"/>
        </w:rPr>
        <w:t>). Cfr. SANTOS Rodríguez Jorge Enrique. “Consideraciones sobre los contratos y convenios interadministrativos”. Revista Digital de Derecho Administrativo, Núm. 1, Universidad Externado de Colombia, Bogotá, 2009. Pág. 19.</w:t>
      </w:r>
    </w:p>
    <w:p w14:paraId="39719052" w14:textId="77777777" w:rsidR="000F03FD" w:rsidRPr="001D1419" w:rsidRDefault="000F03FD" w:rsidP="000F03FD">
      <w:pPr>
        <w:pStyle w:val="Textonotapie"/>
        <w:ind w:firstLine="708"/>
        <w:jc w:val="both"/>
        <w:rPr>
          <w:rFonts w:ascii="Verdana" w:hAnsi="Verdana" w:cs="Arial"/>
          <w:sz w:val="12"/>
          <w:szCs w:val="12"/>
        </w:rPr>
      </w:pPr>
    </w:p>
  </w:footnote>
  <w:footnote w:id="15">
    <w:p w14:paraId="54BA73B4" w14:textId="77777777" w:rsidR="000F03FD" w:rsidRPr="001D1419" w:rsidRDefault="000F03FD" w:rsidP="000F03FD">
      <w:pPr>
        <w:pStyle w:val="Textonotapie"/>
        <w:ind w:firstLine="708"/>
        <w:jc w:val="both"/>
        <w:rPr>
          <w:rFonts w:ascii="Verdana" w:hAnsi="Verdana" w:cs="Arial"/>
          <w:sz w:val="12"/>
          <w:szCs w:val="12"/>
          <w:lang w:val="es-ES"/>
        </w:rPr>
      </w:pPr>
      <w:r w:rsidRPr="001D1419">
        <w:rPr>
          <w:rStyle w:val="Refdenotaalpie"/>
          <w:rFonts w:ascii="Verdana" w:hAnsi="Verdana" w:cs="Arial"/>
          <w:sz w:val="12"/>
          <w:szCs w:val="12"/>
        </w:rPr>
        <w:footnoteRef/>
      </w:r>
      <w:r w:rsidRPr="001D1419">
        <w:rPr>
          <w:rFonts w:ascii="Verdana" w:hAnsi="Verdana" w:cs="Arial"/>
          <w:sz w:val="12"/>
          <w:szCs w:val="12"/>
        </w:rPr>
        <w:t xml:space="preserve"> </w:t>
      </w:r>
      <w:r w:rsidRPr="001D1419">
        <w:rPr>
          <w:rFonts w:ascii="Verdana" w:hAnsi="Verdana" w:cs="Arial"/>
          <w:sz w:val="12"/>
          <w:szCs w:val="12"/>
          <w:lang w:val="es-ES"/>
        </w:rPr>
        <w:t xml:space="preserve">CONSEJO DE ESTADO, Sección Tercera, Sentencia del 05 de febrero de 2021, rad. </w:t>
      </w:r>
      <w:r w:rsidRPr="001D1419">
        <w:rPr>
          <w:rFonts w:ascii="Verdana" w:hAnsi="Verdana" w:cs="Arial"/>
          <w:sz w:val="12"/>
          <w:szCs w:val="12"/>
        </w:rPr>
        <w:t>25000-23-26-000-2011-00144-01(49792), M.P. María Adriana Marín.</w:t>
      </w:r>
      <w:r w:rsidRPr="001D1419">
        <w:rPr>
          <w:rFonts w:ascii="Verdana" w:hAnsi="Verdana" w:cs="Arial"/>
          <w:b/>
          <w:sz w:val="12"/>
          <w:szCs w:val="12"/>
        </w:rPr>
        <w:t xml:space="preserve"> </w:t>
      </w:r>
      <w:r w:rsidRPr="001D1419">
        <w:rPr>
          <w:rFonts w:ascii="Verdana" w:hAnsi="Verdana" w:cs="Arial"/>
          <w:bCs/>
          <w:sz w:val="12"/>
          <w:szCs w:val="12"/>
        </w:rPr>
        <w:t>Esta posición fue acogida por esta Subdirección a través del Concepto C-168 del 29 de abril de 2021.</w:t>
      </w:r>
      <w:r w:rsidRPr="001D1419">
        <w:rPr>
          <w:rFonts w:ascii="Verdana" w:hAnsi="Verdana" w:cs="Arial"/>
          <w:b/>
          <w:sz w:val="12"/>
          <w:szCs w:val="12"/>
        </w:rPr>
        <w:t xml:space="preserve"> </w:t>
      </w:r>
    </w:p>
  </w:footnote>
  <w:footnote w:id="16">
    <w:p w14:paraId="0FF59909" w14:textId="77777777" w:rsidR="000F03FD" w:rsidRPr="001D1419" w:rsidRDefault="000F03FD" w:rsidP="000F03FD">
      <w:pPr>
        <w:pStyle w:val="Textonotapie"/>
        <w:ind w:firstLine="708"/>
        <w:jc w:val="both"/>
        <w:rPr>
          <w:rFonts w:ascii="Verdana" w:hAnsi="Verdana" w:cs="Arial"/>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CONSEJO DE ESTADO, Sala de lo Contencioso Administrativo, Sección Tercera, Subsección A, sentencia del 21 de mayo de 2021, radicado: 250002336000 201501315 01 (57822).</w:t>
      </w:r>
    </w:p>
    <w:p w14:paraId="5BFC9D2C" w14:textId="77777777" w:rsidR="000F03FD" w:rsidRPr="001D1419" w:rsidRDefault="000F03FD" w:rsidP="000F03FD">
      <w:pPr>
        <w:pStyle w:val="Textonotapie"/>
        <w:ind w:firstLine="708"/>
        <w:jc w:val="both"/>
        <w:rPr>
          <w:rFonts w:ascii="Verdana" w:hAnsi="Verdana" w:cs="Arial"/>
          <w:sz w:val="12"/>
          <w:szCs w:val="12"/>
        </w:rPr>
      </w:pPr>
    </w:p>
  </w:footnote>
  <w:footnote w:id="17">
    <w:p w14:paraId="052695F4" w14:textId="77777777" w:rsidR="000F03FD" w:rsidRPr="00804AFF" w:rsidRDefault="000F03FD" w:rsidP="000F03FD">
      <w:pPr>
        <w:pStyle w:val="Textonotapie"/>
        <w:ind w:firstLine="708"/>
        <w:jc w:val="both"/>
        <w:rPr>
          <w:rFonts w:ascii="Verdana" w:hAnsi="Verdana" w:cs="Arial"/>
          <w:sz w:val="16"/>
          <w:szCs w:val="16"/>
        </w:rPr>
      </w:pPr>
      <w:r w:rsidRPr="001D1419">
        <w:rPr>
          <w:rStyle w:val="Refdenotaalpie"/>
          <w:rFonts w:ascii="Verdana" w:hAnsi="Verdana" w:cs="Arial"/>
          <w:sz w:val="12"/>
          <w:szCs w:val="12"/>
        </w:rPr>
        <w:footnoteRef/>
      </w:r>
      <w:r w:rsidRPr="001D1419">
        <w:rPr>
          <w:rFonts w:ascii="Verdana" w:hAnsi="Verdana" w:cs="Arial"/>
          <w:sz w:val="12"/>
          <w:szCs w:val="12"/>
        </w:rPr>
        <w:t xml:space="preserve"> Sentencia del 14 de abril de 2005 radicación número: 19001-23-31-000-2002-01577-01 (AP); Sentencia del 28 de mayo de 2012 radicación número: 07001-23-31-000-1999-00546-01 (21489).</w:t>
      </w:r>
    </w:p>
  </w:footnote>
  <w:footnote w:id="18">
    <w:p w14:paraId="34535382" w14:textId="77777777" w:rsidR="000F03FD" w:rsidRPr="001D1419" w:rsidRDefault="000F03FD" w:rsidP="000F03FD">
      <w:pPr>
        <w:pStyle w:val="Textonotapie"/>
        <w:ind w:firstLine="709"/>
        <w:jc w:val="both"/>
        <w:rPr>
          <w:rFonts w:ascii="Verdana" w:hAnsi="Verdana" w:cs="Arial"/>
          <w:color w:val="000000"/>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w:t>
      </w:r>
      <w:r w:rsidRPr="001D1419">
        <w:rPr>
          <w:rFonts w:ascii="Verdana" w:hAnsi="Verdana" w:cs="Arial"/>
          <w:color w:val="000000"/>
          <w:sz w:val="12"/>
          <w:szCs w:val="12"/>
        </w:rPr>
        <w:t>Consejo de Estado. Sala de Consulta y Servicio Civil. Subsección A. Concepto del 26 de julio de 2016. Rad. 2257. consejero Ponente: Álvaro Namén Vargas.</w:t>
      </w:r>
    </w:p>
  </w:footnote>
  <w:footnote w:id="19">
    <w:p w14:paraId="7BB77FF5" w14:textId="77777777" w:rsidR="000F03FD" w:rsidRPr="001D1419" w:rsidRDefault="000F03FD" w:rsidP="000F03FD">
      <w:pPr>
        <w:pStyle w:val="Textonotapie"/>
        <w:ind w:firstLine="709"/>
        <w:jc w:val="both"/>
        <w:rPr>
          <w:rFonts w:ascii="Verdana" w:hAnsi="Verdana" w:cs="Arial"/>
          <w:color w:val="000000"/>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w:t>
      </w:r>
      <w:r w:rsidRPr="001D1419">
        <w:rPr>
          <w:rFonts w:ascii="Verdana" w:hAnsi="Verdana" w:cs="Arial"/>
          <w:color w:val="000000"/>
          <w:sz w:val="12"/>
          <w:szCs w:val="12"/>
        </w:rPr>
        <w:t>CONSEJO DE ESTADO. Sección Tercera. Subsección A. Sentencia del 7 de marzo de 2011. Exp. 37.044 Consejero Ponente: Enrique Gil Botero.</w:t>
      </w:r>
    </w:p>
    <w:p w14:paraId="49B4E31F" w14:textId="77777777" w:rsidR="000F03FD" w:rsidRPr="001D1419" w:rsidRDefault="000F03FD" w:rsidP="000F03FD">
      <w:pPr>
        <w:pStyle w:val="Textonotapie"/>
        <w:ind w:firstLine="709"/>
        <w:jc w:val="both"/>
        <w:rPr>
          <w:rFonts w:ascii="Verdana" w:hAnsi="Verdana" w:cs="Arial"/>
          <w:sz w:val="12"/>
          <w:szCs w:val="12"/>
          <w:lang w:val="es-CO"/>
        </w:rPr>
      </w:pPr>
    </w:p>
  </w:footnote>
  <w:footnote w:id="20">
    <w:p w14:paraId="3B7A05B0" w14:textId="77777777" w:rsidR="000F03FD" w:rsidRPr="00804AFF" w:rsidRDefault="000F03FD" w:rsidP="000F03FD">
      <w:pPr>
        <w:pStyle w:val="Textonotapie"/>
        <w:ind w:firstLine="709"/>
        <w:jc w:val="both"/>
        <w:rPr>
          <w:rFonts w:ascii="Verdana" w:hAnsi="Verdana" w:cs="Arial"/>
          <w:sz w:val="16"/>
          <w:szCs w:val="16"/>
          <w:lang w:val="es-CO"/>
        </w:rPr>
      </w:pPr>
      <w:r w:rsidRPr="001D1419">
        <w:rPr>
          <w:rStyle w:val="Refdenotaalpie"/>
          <w:rFonts w:ascii="Verdana" w:hAnsi="Verdana" w:cs="Arial"/>
          <w:sz w:val="12"/>
          <w:szCs w:val="12"/>
        </w:rPr>
        <w:footnoteRef/>
      </w:r>
      <w:r w:rsidRPr="001D1419">
        <w:rPr>
          <w:rFonts w:ascii="Verdana" w:hAnsi="Verdana" w:cs="Arial"/>
          <w:sz w:val="12"/>
          <w:szCs w:val="12"/>
        </w:rPr>
        <w:t xml:space="preserve"> </w:t>
      </w:r>
      <w:r w:rsidRPr="001D1419">
        <w:rPr>
          <w:rFonts w:ascii="Verdana" w:hAnsi="Verdana" w:cs="Arial"/>
          <w:i/>
          <w:iCs/>
          <w:sz w:val="12"/>
          <w:szCs w:val="12"/>
          <w:lang w:val="es-CO"/>
        </w:rPr>
        <w:t>Ibidem</w:t>
      </w:r>
      <w:r w:rsidRPr="001D1419">
        <w:rPr>
          <w:rFonts w:ascii="Verdana" w:hAnsi="Verdana" w:cs="Arial"/>
          <w:sz w:val="12"/>
          <w:szCs w:val="12"/>
          <w:lang w:val="es-CO"/>
        </w:rPr>
        <w:t>.</w:t>
      </w:r>
    </w:p>
  </w:footnote>
  <w:footnote w:id="21">
    <w:p w14:paraId="5338FA37" w14:textId="77777777" w:rsidR="000F03FD" w:rsidRPr="001D1419" w:rsidRDefault="000F03FD" w:rsidP="000F03FD">
      <w:pPr>
        <w:pStyle w:val="Textonotapie"/>
        <w:ind w:firstLine="709"/>
        <w:jc w:val="both"/>
        <w:rPr>
          <w:rFonts w:ascii="Verdana" w:hAnsi="Verdana" w:cs="Arial"/>
          <w:sz w:val="12"/>
          <w:szCs w:val="12"/>
        </w:rPr>
      </w:pPr>
      <w:r w:rsidRPr="001D1419">
        <w:rPr>
          <w:rStyle w:val="Refdenotaalpie"/>
          <w:rFonts w:ascii="Verdana" w:hAnsi="Verdana" w:cs="Arial"/>
          <w:sz w:val="12"/>
          <w:szCs w:val="12"/>
        </w:rPr>
        <w:footnoteRef/>
      </w:r>
      <w:r w:rsidRPr="001D1419">
        <w:rPr>
          <w:rFonts w:ascii="Verdana" w:hAnsi="Verdana" w:cs="Arial"/>
          <w:sz w:val="12"/>
          <w:szCs w:val="12"/>
        </w:rPr>
        <w:t xml:space="preserve"> Disponible en: </w:t>
      </w:r>
      <w:hyperlink r:id="rId1" w:history="1">
        <w:r w:rsidRPr="001D1419">
          <w:rPr>
            <w:rFonts w:ascii="Verdana" w:hAnsi="Verdana" w:cs="Arial"/>
            <w:sz w:val="12"/>
            <w:szCs w:val="12"/>
          </w:rPr>
          <w:t>https://colombiacompra.gov.co/sites/cce_public/files/cce_documentos/cce-eicp-gi-18._gees_v.2_2.pdf</w:t>
        </w:r>
      </w:hyperlink>
      <w:r w:rsidRPr="001D1419">
        <w:rPr>
          <w:rFonts w:ascii="Verdana" w:hAnsi="Verdana" w:cs="Arial"/>
          <w:sz w:val="12"/>
          <w:szCs w:val="12"/>
        </w:rPr>
        <w:t xml:space="preserve">. </w:t>
      </w:r>
    </w:p>
    <w:p w14:paraId="4BE4028C" w14:textId="77777777" w:rsidR="000F03FD" w:rsidRPr="001D1419" w:rsidRDefault="000F03FD" w:rsidP="000F03FD">
      <w:pPr>
        <w:pStyle w:val="Textonotapie"/>
        <w:ind w:firstLine="709"/>
        <w:jc w:val="both"/>
        <w:rPr>
          <w:rFonts w:ascii="Verdana" w:hAnsi="Verdana" w:cs="Arial"/>
          <w:sz w:val="12"/>
          <w:szCs w:val="12"/>
        </w:rPr>
      </w:pPr>
    </w:p>
  </w:footnote>
  <w:footnote w:id="22">
    <w:p w14:paraId="0542844A" w14:textId="77777777" w:rsidR="000F03FD" w:rsidRPr="001D1419" w:rsidRDefault="000F03FD" w:rsidP="000F03FD">
      <w:pPr>
        <w:pStyle w:val="Textonotapie"/>
        <w:ind w:firstLine="708"/>
        <w:jc w:val="both"/>
        <w:rPr>
          <w:rFonts w:ascii="Verdana" w:hAnsi="Verdana" w:cs="Arial"/>
          <w:sz w:val="12"/>
          <w:szCs w:val="12"/>
          <w:lang w:val="es-CO"/>
        </w:rPr>
      </w:pPr>
      <w:r w:rsidRPr="001D1419">
        <w:rPr>
          <w:rStyle w:val="Refdenotaalpie"/>
          <w:rFonts w:ascii="Verdana" w:hAnsi="Verdana" w:cs="Arial"/>
          <w:sz w:val="12"/>
          <w:szCs w:val="12"/>
        </w:rPr>
        <w:footnoteRef/>
      </w:r>
      <w:r w:rsidRPr="001D1419">
        <w:rPr>
          <w:rFonts w:ascii="Verdana" w:hAnsi="Verdana" w:cs="Arial"/>
          <w:sz w:val="12"/>
          <w:szCs w:val="12"/>
        </w:rPr>
        <w:t xml:space="preserve"> Consejo de Estado. Sección Tercera. Sentencia del 27 de abril de 2011. Exp. 18.293. C.P. Ruth Stella Correa Palacio.</w:t>
      </w:r>
    </w:p>
  </w:footnote>
  <w:footnote w:id="23">
    <w:p w14:paraId="63D9ACAC" w14:textId="7A903D8E" w:rsidR="000F03FD" w:rsidRPr="00804AFF" w:rsidRDefault="000F03FD" w:rsidP="000F03FD">
      <w:pPr>
        <w:pStyle w:val="Textonotapie"/>
        <w:ind w:firstLine="709"/>
        <w:jc w:val="both"/>
        <w:rPr>
          <w:rFonts w:ascii="Verdana" w:hAnsi="Verdana" w:cs="Arial"/>
          <w:sz w:val="16"/>
          <w:szCs w:val="16"/>
          <w:lang w:val="es-CO"/>
        </w:rPr>
      </w:pPr>
      <w:r w:rsidRPr="001D1419">
        <w:rPr>
          <w:rStyle w:val="Refdenotaalpie"/>
          <w:rFonts w:ascii="Verdana" w:hAnsi="Verdana" w:cs="Arial"/>
          <w:sz w:val="12"/>
          <w:szCs w:val="12"/>
        </w:rPr>
        <w:footnoteRef/>
      </w:r>
      <w:r w:rsidRPr="001D1419">
        <w:rPr>
          <w:rFonts w:ascii="Verdana" w:hAnsi="Verdana" w:cs="Arial"/>
          <w:sz w:val="12"/>
          <w:szCs w:val="12"/>
        </w:rPr>
        <w:t xml:space="preserve"> La Guía</w:t>
      </w:r>
      <w:r w:rsidRPr="001D1419">
        <w:rPr>
          <w:rFonts w:ascii="Verdana" w:eastAsia="Calibri" w:hAnsi="Verdana" w:cs="Arial"/>
          <w:bCs/>
          <w:sz w:val="12"/>
          <w:szCs w:val="12"/>
          <w:lang w:val="es-ES_tradnl"/>
        </w:rPr>
        <w:t xml:space="preserve"> </w:t>
      </w:r>
      <w:r w:rsidRPr="001D1419">
        <w:rPr>
          <w:rFonts w:ascii="Verdana" w:hAnsi="Verdana" w:cs="Arial"/>
          <w:bCs/>
          <w:sz w:val="12"/>
          <w:szCs w:val="12"/>
          <w:lang w:val="es-ES_tradnl"/>
        </w:rPr>
        <w:t>de Elaboración de Estudios de Sector</w:t>
      </w:r>
      <w:r w:rsidRPr="001D1419">
        <w:rPr>
          <w:rFonts w:ascii="Verdana" w:hAnsi="Verdana" w:cs="Arial"/>
          <w:sz w:val="12"/>
          <w:szCs w:val="12"/>
        </w:rPr>
        <w:t xml:space="preserve"> define al gasto histórico como el </w:t>
      </w:r>
      <w:r w:rsidR="001D1419" w:rsidRPr="001D1419">
        <w:rPr>
          <w:rFonts w:ascii="Verdana" w:eastAsia="Calibri" w:hAnsi="Verdana" w:cs="Arial"/>
          <w:bCs/>
          <w:sz w:val="12"/>
          <w:szCs w:val="12"/>
          <w:lang w:val="es-ES_tradnl"/>
        </w:rPr>
        <w:t>“</w:t>
      </w:r>
      <w:r w:rsidRPr="001D1419">
        <w:rPr>
          <w:rFonts w:ascii="Verdana" w:hAnsi="Verdana" w:cs="Arial"/>
          <w:sz w:val="12"/>
          <w:szCs w:val="12"/>
        </w:rPr>
        <w:t>Proceso de recolección y compilación de información que permite determinar cuál ha sido el comportamiento del gasto según las categorías de los bienes y servicios adquiridos en un periodo de tiempo determinado. Dicho proceso sirve para soportar los análisis de tendencias, patrones de comportamiento, concretar las necesidades y proyectar las mismas a futuro, basándose en datos de las adquisiciones anteriores</w:t>
      </w:r>
      <w:r w:rsidR="001D1419" w:rsidRPr="001D1419">
        <w:rPr>
          <w:rFonts w:ascii="Verdana" w:eastAsia="Calibri" w:hAnsi="Verdana" w:cs="Arial"/>
          <w:bCs/>
          <w:sz w:val="12"/>
          <w:szCs w:val="12"/>
          <w:lang w:val="es-ES_tradnl"/>
        </w:rPr>
        <w:t>”</w:t>
      </w:r>
      <w:r w:rsidRPr="001D1419">
        <w:rPr>
          <w:rFonts w:ascii="Verdana" w:eastAsia="Calibri" w:hAnsi="Verdana" w:cs="Arial"/>
          <w:bCs/>
          <w:sz w:val="12"/>
          <w:szCs w:val="12"/>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10.8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258EF"/>
    <w:multiLevelType w:val="hybridMultilevel"/>
    <w:tmpl w:val="710E8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12810"/>
    <w:multiLevelType w:val="hybridMultilevel"/>
    <w:tmpl w:val="C86099D8"/>
    <w:lvl w:ilvl="0" w:tplc="0CC2E4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E7056C"/>
    <w:multiLevelType w:val="hybridMultilevel"/>
    <w:tmpl w:val="7BD2865A"/>
    <w:lvl w:ilvl="0" w:tplc="8E5AB79C">
      <w:start w:val="1"/>
      <w:numFmt w:val="lowerRoman"/>
      <w:lvlText w:val="%1)"/>
      <w:lvlJc w:val="right"/>
      <w:pPr>
        <w:ind w:left="1020" w:hanging="360"/>
      </w:pPr>
    </w:lvl>
    <w:lvl w:ilvl="1" w:tplc="957076BC">
      <w:start w:val="1"/>
      <w:numFmt w:val="lowerRoman"/>
      <w:lvlText w:val="%2)"/>
      <w:lvlJc w:val="right"/>
      <w:pPr>
        <w:ind w:left="1020" w:hanging="360"/>
      </w:pPr>
    </w:lvl>
    <w:lvl w:ilvl="2" w:tplc="9378DD24">
      <w:start w:val="1"/>
      <w:numFmt w:val="lowerRoman"/>
      <w:lvlText w:val="%3)"/>
      <w:lvlJc w:val="right"/>
      <w:pPr>
        <w:ind w:left="1020" w:hanging="360"/>
      </w:pPr>
    </w:lvl>
    <w:lvl w:ilvl="3" w:tplc="2C484C7E">
      <w:start w:val="1"/>
      <w:numFmt w:val="lowerRoman"/>
      <w:lvlText w:val="%4)"/>
      <w:lvlJc w:val="right"/>
      <w:pPr>
        <w:ind w:left="1020" w:hanging="360"/>
      </w:pPr>
    </w:lvl>
    <w:lvl w:ilvl="4" w:tplc="EB50FD16">
      <w:start w:val="1"/>
      <w:numFmt w:val="lowerRoman"/>
      <w:lvlText w:val="%5)"/>
      <w:lvlJc w:val="right"/>
      <w:pPr>
        <w:ind w:left="1020" w:hanging="360"/>
      </w:pPr>
    </w:lvl>
    <w:lvl w:ilvl="5" w:tplc="C4D4986A">
      <w:start w:val="1"/>
      <w:numFmt w:val="lowerRoman"/>
      <w:lvlText w:val="%6)"/>
      <w:lvlJc w:val="right"/>
      <w:pPr>
        <w:ind w:left="1020" w:hanging="360"/>
      </w:pPr>
    </w:lvl>
    <w:lvl w:ilvl="6" w:tplc="873EE54C">
      <w:start w:val="1"/>
      <w:numFmt w:val="lowerRoman"/>
      <w:lvlText w:val="%7)"/>
      <w:lvlJc w:val="right"/>
      <w:pPr>
        <w:ind w:left="1020" w:hanging="360"/>
      </w:pPr>
    </w:lvl>
    <w:lvl w:ilvl="7" w:tplc="1DFA4A4A">
      <w:start w:val="1"/>
      <w:numFmt w:val="lowerRoman"/>
      <w:lvlText w:val="%8)"/>
      <w:lvlJc w:val="right"/>
      <w:pPr>
        <w:ind w:left="1020" w:hanging="360"/>
      </w:pPr>
    </w:lvl>
    <w:lvl w:ilvl="8" w:tplc="5EB6E4E8">
      <w:start w:val="1"/>
      <w:numFmt w:val="lowerRoman"/>
      <w:lvlText w:val="%9)"/>
      <w:lvlJc w:val="right"/>
      <w:pPr>
        <w:ind w:left="102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A56E96"/>
    <w:multiLevelType w:val="hybridMultilevel"/>
    <w:tmpl w:val="6EA664D6"/>
    <w:lvl w:ilvl="0" w:tplc="EC366446">
      <w:start w:val="1"/>
      <w:numFmt w:val="low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F2453F8"/>
    <w:multiLevelType w:val="hybridMultilevel"/>
    <w:tmpl w:val="4AF62C5E"/>
    <w:lvl w:ilvl="0" w:tplc="6C32456E">
      <w:start w:val="1"/>
      <w:numFmt w:val="lowerRoman"/>
      <w:lvlText w:val="%1)"/>
      <w:lvlJc w:val="right"/>
      <w:pPr>
        <w:ind w:left="1020" w:hanging="360"/>
      </w:pPr>
    </w:lvl>
    <w:lvl w:ilvl="1" w:tplc="E12CFD0A">
      <w:start w:val="1"/>
      <w:numFmt w:val="lowerRoman"/>
      <w:lvlText w:val="%2)"/>
      <w:lvlJc w:val="right"/>
      <w:pPr>
        <w:ind w:left="1020" w:hanging="360"/>
      </w:pPr>
    </w:lvl>
    <w:lvl w:ilvl="2" w:tplc="29DAEBEE">
      <w:start w:val="1"/>
      <w:numFmt w:val="lowerRoman"/>
      <w:lvlText w:val="%3)"/>
      <w:lvlJc w:val="right"/>
      <w:pPr>
        <w:ind w:left="1020" w:hanging="360"/>
      </w:pPr>
    </w:lvl>
    <w:lvl w:ilvl="3" w:tplc="B02C07C0">
      <w:start w:val="1"/>
      <w:numFmt w:val="lowerRoman"/>
      <w:lvlText w:val="%4)"/>
      <w:lvlJc w:val="right"/>
      <w:pPr>
        <w:ind w:left="1020" w:hanging="360"/>
      </w:pPr>
    </w:lvl>
    <w:lvl w:ilvl="4" w:tplc="8D5C6338">
      <w:start w:val="1"/>
      <w:numFmt w:val="lowerRoman"/>
      <w:lvlText w:val="%5)"/>
      <w:lvlJc w:val="right"/>
      <w:pPr>
        <w:ind w:left="1020" w:hanging="360"/>
      </w:pPr>
    </w:lvl>
    <w:lvl w:ilvl="5" w:tplc="DFF0A5DE">
      <w:start w:val="1"/>
      <w:numFmt w:val="lowerRoman"/>
      <w:lvlText w:val="%6)"/>
      <w:lvlJc w:val="right"/>
      <w:pPr>
        <w:ind w:left="1020" w:hanging="360"/>
      </w:pPr>
    </w:lvl>
    <w:lvl w:ilvl="6" w:tplc="A6A80256">
      <w:start w:val="1"/>
      <w:numFmt w:val="lowerRoman"/>
      <w:lvlText w:val="%7)"/>
      <w:lvlJc w:val="right"/>
      <w:pPr>
        <w:ind w:left="1020" w:hanging="360"/>
      </w:pPr>
    </w:lvl>
    <w:lvl w:ilvl="7" w:tplc="E8EE88FC">
      <w:start w:val="1"/>
      <w:numFmt w:val="lowerRoman"/>
      <w:lvlText w:val="%8)"/>
      <w:lvlJc w:val="right"/>
      <w:pPr>
        <w:ind w:left="1020" w:hanging="360"/>
      </w:pPr>
    </w:lvl>
    <w:lvl w:ilvl="8" w:tplc="9C9EDA14">
      <w:start w:val="1"/>
      <w:numFmt w:val="lowerRoman"/>
      <w:lvlText w:val="%9)"/>
      <w:lvlJc w:val="right"/>
      <w:pPr>
        <w:ind w:left="1020" w:hanging="360"/>
      </w:pPr>
    </w:lvl>
  </w:abstractNum>
  <w:abstractNum w:abstractNumId="15" w15:restartNumberingAfterBreak="0">
    <w:nsid w:val="5CE03688"/>
    <w:multiLevelType w:val="multilevel"/>
    <w:tmpl w:val="65BA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8D5954"/>
    <w:multiLevelType w:val="hybridMultilevel"/>
    <w:tmpl w:val="74B01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3"/>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9"/>
  </w:num>
  <w:num w:numId="7" w16cid:durableId="1946422806">
    <w:abstractNumId w:val="8"/>
  </w:num>
  <w:num w:numId="8" w16cid:durableId="152644682">
    <w:abstractNumId w:val="18"/>
  </w:num>
  <w:num w:numId="9" w16cid:durableId="1317221377">
    <w:abstractNumId w:val="10"/>
  </w:num>
  <w:num w:numId="10" w16cid:durableId="1471245386">
    <w:abstractNumId w:val="17"/>
  </w:num>
  <w:num w:numId="11" w16cid:durableId="289172385">
    <w:abstractNumId w:val="11"/>
  </w:num>
  <w:num w:numId="12" w16cid:durableId="1470781324">
    <w:abstractNumId w:val="1"/>
  </w:num>
  <w:num w:numId="13" w16cid:durableId="1512908409">
    <w:abstractNumId w:val="4"/>
  </w:num>
  <w:num w:numId="14" w16cid:durableId="895897244">
    <w:abstractNumId w:val="20"/>
  </w:num>
  <w:num w:numId="15" w16cid:durableId="390349800">
    <w:abstractNumId w:val="16"/>
  </w:num>
  <w:num w:numId="16" w16cid:durableId="1330140246">
    <w:abstractNumId w:val="0"/>
  </w:num>
  <w:num w:numId="17" w16cid:durableId="679089576">
    <w:abstractNumId w:val="12"/>
  </w:num>
  <w:num w:numId="18" w16cid:durableId="634213832">
    <w:abstractNumId w:val="6"/>
  </w:num>
  <w:num w:numId="19" w16cid:durableId="1428576571">
    <w:abstractNumId w:val="14"/>
  </w:num>
  <w:num w:numId="20" w16cid:durableId="1806120240">
    <w:abstractNumId w:val="15"/>
    <w:lvlOverride w:ilvl="0">
      <w:lvl w:ilvl="0">
        <w:numFmt w:val="lowerRoman"/>
        <w:lvlText w:val="%1."/>
        <w:lvlJc w:val="right"/>
      </w:lvl>
    </w:lvlOverride>
  </w:num>
  <w:num w:numId="21" w16cid:durableId="1775131880">
    <w:abstractNumId w:val="5"/>
  </w:num>
  <w:num w:numId="22" w16cid:durableId="1016418894">
    <w:abstractNumId w:val="13"/>
  </w:num>
  <w:num w:numId="23" w16cid:durableId="2113816560">
    <w:abstractNumId w:val="2"/>
  </w:num>
  <w:num w:numId="24" w16cid:durableId="13292084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03FD"/>
    <w:rsid w:val="000F6486"/>
    <w:rsid w:val="00125105"/>
    <w:rsid w:val="00127233"/>
    <w:rsid w:val="001932BC"/>
    <w:rsid w:val="001C374F"/>
    <w:rsid w:val="001C41AD"/>
    <w:rsid w:val="001D1419"/>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B5CBF"/>
    <w:rsid w:val="003D0F4D"/>
    <w:rsid w:val="003D5B0D"/>
    <w:rsid w:val="003E0499"/>
    <w:rsid w:val="003F3941"/>
    <w:rsid w:val="00406575"/>
    <w:rsid w:val="00421447"/>
    <w:rsid w:val="0042722E"/>
    <w:rsid w:val="0044045F"/>
    <w:rsid w:val="0044528D"/>
    <w:rsid w:val="004A1847"/>
    <w:rsid w:val="004A305D"/>
    <w:rsid w:val="004F21C4"/>
    <w:rsid w:val="004F685F"/>
    <w:rsid w:val="005566E8"/>
    <w:rsid w:val="00574867"/>
    <w:rsid w:val="005823FE"/>
    <w:rsid w:val="00590FF4"/>
    <w:rsid w:val="00591460"/>
    <w:rsid w:val="00592628"/>
    <w:rsid w:val="005C3777"/>
    <w:rsid w:val="005C5CDC"/>
    <w:rsid w:val="005D476C"/>
    <w:rsid w:val="00610812"/>
    <w:rsid w:val="006219F8"/>
    <w:rsid w:val="00650FF7"/>
    <w:rsid w:val="00665D70"/>
    <w:rsid w:val="00671DAC"/>
    <w:rsid w:val="006900D9"/>
    <w:rsid w:val="006A01B0"/>
    <w:rsid w:val="006A1D33"/>
    <w:rsid w:val="006D07E0"/>
    <w:rsid w:val="006D12F8"/>
    <w:rsid w:val="006D511A"/>
    <w:rsid w:val="006D5A5A"/>
    <w:rsid w:val="006F4727"/>
    <w:rsid w:val="00706C16"/>
    <w:rsid w:val="0071316F"/>
    <w:rsid w:val="00756841"/>
    <w:rsid w:val="007649AB"/>
    <w:rsid w:val="00771D0C"/>
    <w:rsid w:val="007833AC"/>
    <w:rsid w:val="007B268C"/>
    <w:rsid w:val="007B43DA"/>
    <w:rsid w:val="007B7171"/>
    <w:rsid w:val="007C0C0F"/>
    <w:rsid w:val="007C3DC2"/>
    <w:rsid w:val="007D3177"/>
    <w:rsid w:val="007D4EA6"/>
    <w:rsid w:val="007E5497"/>
    <w:rsid w:val="007E65DC"/>
    <w:rsid w:val="00806F5F"/>
    <w:rsid w:val="00820278"/>
    <w:rsid w:val="0086517B"/>
    <w:rsid w:val="008843B6"/>
    <w:rsid w:val="00891928"/>
    <w:rsid w:val="008A446D"/>
    <w:rsid w:val="008D180B"/>
    <w:rsid w:val="008E5C3A"/>
    <w:rsid w:val="008F0EA7"/>
    <w:rsid w:val="00923EEF"/>
    <w:rsid w:val="0093065D"/>
    <w:rsid w:val="00934EBD"/>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35A09"/>
    <w:rsid w:val="00A43CC1"/>
    <w:rsid w:val="00AB0ADB"/>
    <w:rsid w:val="00AC1B64"/>
    <w:rsid w:val="00AC3789"/>
    <w:rsid w:val="00B01B1A"/>
    <w:rsid w:val="00B06CD7"/>
    <w:rsid w:val="00B72CD3"/>
    <w:rsid w:val="00B72FFF"/>
    <w:rsid w:val="00BC3D36"/>
    <w:rsid w:val="00BD7F72"/>
    <w:rsid w:val="00C04FB3"/>
    <w:rsid w:val="00C30809"/>
    <w:rsid w:val="00C330EB"/>
    <w:rsid w:val="00C754BE"/>
    <w:rsid w:val="00C76B1C"/>
    <w:rsid w:val="00CB6357"/>
    <w:rsid w:val="00CC1B26"/>
    <w:rsid w:val="00D423A2"/>
    <w:rsid w:val="00D520D8"/>
    <w:rsid w:val="00D63AC2"/>
    <w:rsid w:val="00D7383B"/>
    <w:rsid w:val="00DA2159"/>
    <w:rsid w:val="00DA231B"/>
    <w:rsid w:val="00DA23A0"/>
    <w:rsid w:val="00DC1605"/>
    <w:rsid w:val="00DC39FC"/>
    <w:rsid w:val="00DC5FF6"/>
    <w:rsid w:val="00DF5254"/>
    <w:rsid w:val="00DF580E"/>
    <w:rsid w:val="00E16408"/>
    <w:rsid w:val="00E20894"/>
    <w:rsid w:val="00E245AB"/>
    <w:rsid w:val="00E2764C"/>
    <w:rsid w:val="00E27F2E"/>
    <w:rsid w:val="00E413EA"/>
    <w:rsid w:val="00E50AFE"/>
    <w:rsid w:val="00E578B6"/>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B6216"/>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C374F"/>
    <w:pPr>
      <w:spacing w:line="240" w:lineRule="exact"/>
    </w:pPr>
    <w:rPr>
      <w:vertAlign w:val="superscript"/>
    </w:rPr>
  </w:style>
  <w:style w:type="character" w:styleId="Refdecomentario">
    <w:name w:val="annotation reference"/>
    <w:basedOn w:val="Fuentedeprrafopredeter"/>
    <w:uiPriority w:val="99"/>
    <w:semiHidden/>
    <w:unhideWhenUsed/>
    <w:rsid w:val="00C30809"/>
    <w:rPr>
      <w:sz w:val="16"/>
      <w:szCs w:val="16"/>
    </w:rPr>
  </w:style>
  <w:style w:type="paragraph" w:styleId="Textocomentario">
    <w:name w:val="annotation text"/>
    <w:basedOn w:val="Normal"/>
    <w:link w:val="TextocomentarioCar"/>
    <w:uiPriority w:val="99"/>
    <w:unhideWhenUsed/>
    <w:rsid w:val="00C30809"/>
    <w:pPr>
      <w:spacing w:line="240" w:lineRule="auto"/>
    </w:pPr>
    <w:rPr>
      <w:sz w:val="20"/>
      <w:szCs w:val="20"/>
    </w:rPr>
  </w:style>
  <w:style w:type="character" w:customStyle="1" w:styleId="TextocomentarioCar">
    <w:name w:val="Texto comentario Car"/>
    <w:basedOn w:val="Fuentedeprrafopredeter"/>
    <w:link w:val="Textocomentario"/>
    <w:uiPriority w:val="99"/>
    <w:rsid w:val="00C30809"/>
    <w:rPr>
      <w:sz w:val="20"/>
      <w:szCs w:val="20"/>
    </w:rPr>
  </w:style>
  <w:style w:type="paragraph" w:styleId="Asuntodelcomentario">
    <w:name w:val="annotation subject"/>
    <w:basedOn w:val="Textocomentario"/>
    <w:next w:val="Textocomentario"/>
    <w:link w:val="AsuntodelcomentarioCar"/>
    <w:uiPriority w:val="99"/>
    <w:semiHidden/>
    <w:unhideWhenUsed/>
    <w:rsid w:val="00C30809"/>
    <w:rPr>
      <w:b/>
      <w:bCs/>
    </w:rPr>
  </w:style>
  <w:style w:type="character" w:customStyle="1" w:styleId="AsuntodelcomentarioCar">
    <w:name w:val="Asunto del comentario Car"/>
    <w:basedOn w:val="TextocomentarioCar"/>
    <w:link w:val="Asuntodelcomentario"/>
    <w:uiPriority w:val="99"/>
    <w:semiHidden/>
    <w:rsid w:val="00C30809"/>
    <w:rPr>
      <w:b/>
      <w:bCs/>
      <w:sz w:val="20"/>
      <w:szCs w:val="20"/>
    </w:rPr>
  </w:style>
  <w:style w:type="paragraph" w:customStyle="1" w:styleId="pf0">
    <w:name w:val="pf0"/>
    <w:basedOn w:val="Normal"/>
    <w:rsid w:val="00DA2159"/>
    <w:pPr>
      <w:spacing w:before="100" w:beforeAutospacing="1" w:after="100" w:afterAutospacing="1" w:line="240" w:lineRule="auto"/>
      <w:ind w:left="300"/>
    </w:pPr>
    <w:rPr>
      <w:rFonts w:ascii="Times New Roman" w:eastAsia="Times New Roman" w:hAnsi="Times New Roman" w:cs="Times New Roman"/>
      <w:sz w:val="24"/>
      <w:szCs w:val="24"/>
      <w:lang w:eastAsia="es-CO"/>
    </w:rPr>
  </w:style>
  <w:style w:type="character" w:customStyle="1" w:styleId="cf01">
    <w:name w:val="cf01"/>
    <w:basedOn w:val="Fuentedeprrafopredeter"/>
    <w:rsid w:val="00DA2159"/>
    <w:rPr>
      <w:rFonts w:ascii="Segoe UI" w:hAnsi="Segoe UI" w:cs="Segoe UI" w:hint="default"/>
      <w:sz w:val="18"/>
      <w:szCs w:val="18"/>
    </w:rPr>
  </w:style>
  <w:style w:type="paragraph" w:customStyle="1" w:styleId="pf1">
    <w:name w:val="pf1"/>
    <w:basedOn w:val="Normal"/>
    <w:rsid w:val="00DA215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C5FF6"/>
    <w:rPr>
      <w:rFonts w:ascii="Geomanist Light" w:hAnsi="Geomanist Light"/>
      <w:lang w:val="es-ES"/>
    </w:rPr>
  </w:style>
  <w:style w:type="character" w:styleId="nfasis">
    <w:name w:val="Emphasis"/>
    <w:basedOn w:val="Fuentedeprrafopredeter"/>
    <w:uiPriority w:val="20"/>
    <w:qFormat/>
    <w:rsid w:val="00A35A09"/>
    <w:rPr>
      <w:i/>
      <w:iCs/>
    </w:rPr>
  </w:style>
  <w:style w:type="character" w:customStyle="1" w:styleId="NormalWebCar">
    <w:name w:val="Normal (Web) Car"/>
    <w:link w:val="NormalWeb"/>
    <w:uiPriority w:val="99"/>
    <w:rsid w:val="000F03FD"/>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29368921">
      <w:bodyDiv w:val="1"/>
      <w:marLeft w:val="0"/>
      <w:marRight w:val="0"/>
      <w:marTop w:val="0"/>
      <w:marBottom w:val="0"/>
      <w:divBdr>
        <w:top w:val="none" w:sz="0" w:space="0" w:color="auto"/>
        <w:left w:val="none" w:sz="0" w:space="0" w:color="auto"/>
        <w:bottom w:val="none" w:sz="0" w:space="0" w:color="auto"/>
        <w:right w:val="none" w:sz="0" w:space="0" w:color="auto"/>
      </w:divBdr>
    </w:div>
    <w:div w:id="965353279">
      <w:bodyDiv w:val="1"/>
      <w:marLeft w:val="0"/>
      <w:marRight w:val="0"/>
      <w:marTop w:val="0"/>
      <w:marBottom w:val="0"/>
      <w:divBdr>
        <w:top w:val="none" w:sz="0" w:space="0" w:color="auto"/>
        <w:left w:val="none" w:sz="0" w:space="0" w:color="auto"/>
        <w:bottom w:val="none" w:sz="0" w:space="0" w:color="auto"/>
        <w:right w:val="none" w:sz="0" w:space="0" w:color="auto"/>
      </w:divBdr>
    </w:div>
    <w:div w:id="1026373327">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150_2007.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2Fboletin-de-relatoria-2024-iv&amp;data=05%7C02%7Cmartha.romero%40colombiacompra.gov.co%7C616b83c3423e4d31151908dce489c00d%7C7b09041e245149d08cb179d5e3d8c1be%7C0%7C0%7C638636527543104822%7CUnknown%7CTWFpbGZsb3d8eyJWIjoiMC4wLjAwMDAiLCJQIjoiV2luMzIiLCJBTiI6Ik1haWwiLCJXVCI6Mn0%3D%7C0%7C%7C%7C&amp;sdata=jQbIixzKnvlTxK08x1im6W1SukgnBeTEqeQT2ezV5aU%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os/cce-eicp-gi-18._gees_v.2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D9FC8D03-FBE3-4EAA-8B0C-6D8DB4CAB275}"/>
</file>

<file path=customXml/itemProps3.xml><?xml version="1.0" encoding="utf-8"?>
<ds:datastoreItem xmlns:ds="http://schemas.openxmlformats.org/officeDocument/2006/customXml" ds:itemID="{2B095D08-735B-4B9C-B4DA-C828FADB4AA9}">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7501</Words>
  <Characters>41257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7</cp:revision>
  <cp:lastPrinted>2023-01-10T21:18:00Z</cp:lastPrinted>
  <dcterms:created xsi:type="dcterms:W3CDTF">2024-10-28T20:29:00Z</dcterms:created>
  <dcterms:modified xsi:type="dcterms:W3CDTF">2024-11-25T22:37:00Z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