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ED6A0" w14:textId="77777777" w:rsidR="008C29F9" w:rsidRPr="00D209FA" w:rsidRDefault="008C29F9" w:rsidP="008C29F9">
      <w:pPr>
        <w:spacing w:after="0" w:line="240" w:lineRule="auto"/>
        <w:jc w:val="both"/>
        <w:rPr>
          <w:rStyle w:val="normaltextrun"/>
          <w:rFonts w:ascii="Verdana" w:hAnsi="Verdana"/>
          <w:b/>
          <w:bCs/>
          <w:shd w:val="clear" w:color="auto" w:fill="FFFFFF"/>
          <w:lang w:val="es-ES"/>
        </w:rPr>
      </w:pPr>
      <w:bookmarkStart w:id="0" w:name="_Hlk143780582"/>
      <w:r w:rsidRPr="00D209FA">
        <w:rPr>
          <w:rFonts w:ascii="Verdana" w:eastAsia="Calibri" w:hAnsi="Verdana" w:cs="Arial"/>
          <w:b/>
          <w:bCs/>
          <w:lang w:val="es-ES_tradnl"/>
        </w:rPr>
        <w:t>M</w:t>
      </w:r>
      <w:r w:rsidRPr="00D209FA">
        <w:rPr>
          <w:rStyle w:val="normaltextrun"/>
          <w:rFonts w:ascii="Verdana" w:hAnsi="Verdana"/>
          <w:b/>
          <w:bCs/>
          <w:shd w:val="clear" w:color="auto" w:fill="FFFFFF"/>
          <w:lang w:val="es-ES"/>
        </w:rPr>
        <w:t>ODIFICACIÓN DE LOS CONTRATOS ESTATALES - Procedencia – Límites</w:t>
      </w:r>
    </w:p>
    <w:p w14:paraId="786C92EF" w14:textId="77777777" w:rsidR="008C29F9" w:rsidRPr="00D209FA" w:rsidRDefault="008C29F9" w:rsidP="008C29F9">
      <w:pPr>
        <w:spacing w:after="0" w:line="240" w:lineRule="auto"/>
        <w:jc w:val="both"/>
        <w:rPr>
          <w:rStyle w:val="normaltextrun"/>
          <w:rFonts w:ascii="Verdana" w:hAnsi="Verdana"/>
          <w:b/>
          <w:bCs/>
          <w:shd w:val="clear" w:color="auto" w:fill="FFFFFF"/>
          <w:lang w:val="es-ES"/>
        </w:rPr>
      </w:pPr>
    </w:p>
    <w:p w14:paraId="784DE0B8" w14:textId="77777777" w:rsidR="008C29F9" w:rsidRPr="00D209FA" w:rsidRDefault="008C29F9" w:rsidP="008C29F9">
      <w:pPr>
        <w:spacing w:after="0" w:line="240" w:lineRule="auto"/>
        <w:jc w:val="both"/>
        <w:rPr>
          <w:rStyle w:val="normaltextrun"/>
          <w:rFonts w:ascii="Verdana" w:hAnsi="Verdana"/>
          <w:shd w:val="clear" w:color="auto" w:fill="FFFFFF"/>
          <w:lang w:val="es-ES"/>
        </w:rPr>
      </w:pPr>
      <w:r w:rsidRPr="00D209FA">
        <w:rPr>
          <w:rFonts w:ascii="Verdana" w:eastAsia="Calibri" w:hAnsi="Verdana" w:cs="Arial"/>
          <w:bCs/>
          <w:lang w:val="es-ES_tradnl" w:eastAsia="es-ES_tradnl"/>
        </w:rPr>
        <w:t xml:space="preserve">[…] </w:t>
      </w:r>
      <w:r w:rsidRPr="00D209FA">
        <w:rPr>
          <w:rStyle w:val="normaltextrun"/>
          <w:rFonts w:ascii="Verdana" w:hAnsi="Verdana"/>
          <w:shd w:val="clear" w:color="auto" w:fill="FFFFFF"/>
          <w:lang w:val="es-ES"/>
        </w:rPr>
        <w:t xml:space="preserve">Conforme a la regulación legal y a la interpretación que de la 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D209FA">
        <w:rPr>
          <w:rFonts w:ascii="Verdana" w:eastAsia="Calibri" w:hAnsi="Verdana" w:cs="Arial"/>
          <w:bCs/>
          <w:lang w:val="es-ES_tradnl" w:eastAsia="es-ES_tradnl"/>
        </w:rPr>
        <w:t>[…]</w:t>
      </w:r>
    </w:p>
    <w:p w14:paraId="5EB2E376" w14:textId="77777777" w:rsidR="008C29F9" w:rsidRPr="00D209FA" w:rsidRDefault="008C29F9" w:rsidP="008C29F9">
      <w:pPr>
        <w:spacing w:after="0" w:line="240" w:lineRule="auto"/>
        <w:jc w:val="both"/>
        <w:rPr>
          <w:rStyle w:val="normaltextrun"/>
          <w:rFonts w:ascii="Verdana" w:hAnsi="Verdana"/>
          <w:b/>
          <w:bCs/>
          <w:shd w:val="clear" w:color="auto" w:fill="FFFFFF"/>
          <w:lang w:val="es-ES"/>
        </w:rPr>
      </w:pPr>
    </w:p>
    <w:p w14:paraId="0FCD0002" w14:textId="77777777" w:rsidR="008C29F9" w:rsidRPr="00D209FA" w:rsidRDefault="008C29F9" w:rsidP="008C29F9">
      <w:pPr>
        <w:spacing w:after="0" w:line="240" w:lineRule="auto"/>
        <w:jc w:val="both"/>
        <w:rPr>
          <w:rStyle w:val="eop"/>
          <w:rFonts w:ascii="Verdana" w:hAnsi="Verdana"/>
          <w:b/>
          <w:bCs/>
          <w:shd w:val="clear" w:color="auto" w:fill="FFFFFF"/>
        </w:rPr>
      </w:pPr>
      <w:r w:rsidRPr="00D209FA">
        <w:rPr>
          <w:rStyle w:val="normaltextrun"/>
          <w:rFonts w:ascii="Verdana" w:hAnsi="Verdana"/>
          <w:b/>
          <w:bCs/>
          <w:shd w:val="clear" w:color="auto" w:fill="FFFFFF"/>
          <w:lang w:val="es-ES"/>
        </w:rPr>
        <w:t>ADICIÓN - Concepto - Distintos supuestos - Prohibición - Adición en más del 50%</w:t>
      </w:r>
      <w:r w:rsidRPr="00D209FA">
        <w:rPr>
          <w:rStyle w:val="eop"/>
          <w:rFonts w:ascii="Verdana" w:hAnsi="Verdana"/>
          <w:b/>
          <w:bCs/>
          <w:shd w:val="clear" w:color="auto" w:fill="FFFFFF"/>
        </w:rPr>
        <w:t> </w:t>
      </w:r>
    </w:p>
    <w:p w14:paraId="468613E9" w14:textId="77777777" w:rsidR="008C29F9" w:rsidRPr="00D209FA" w:rsidRDefault="008C29F9" w:rsidP="008C29F9">
      <w:pPr>
        <w:spacing w:after="0" w:line="240" w:lineRule="auto"/>
        <w:jc w:val="both"/>
        <w:rPr>
          <w:rStyle w:val="eop"/>
          <w:rFonts w:ascii="Verdana" w:hAnsi="Verdana"/>
          <w:b/>
          <w:bCs/>
          <w:shd w:val="clear" w:color="auto" w:fill="FFFFFF"/>
        </w:rPr>
      </w:pPr>
    </w:p>
    <w:p w14:paraId="20B69A8D" w14:textId="77777777" w:rsidR="008C29F9" w:rsidRPr="00D209FA" w:rsidRDefault="008C29F9" w:rsidP="008C2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Arial"/>
          <w:color w:val="000000"/>
        </w:rPr>
      </w:pPr>
      <w:r w:rsidRPr="00D209FA">
        <w:rPr>
          <w:rFonts w:ascii="Verdana" w:eastAsia="Calibri" w:hAnsi="Verdana" w:cs="Arial"/>
          <w:bCs/>
          <w:lang w:val="es-ES_tradnl" w:eastAsia="es-ES_tradnl"/>
        </w:rPr>
        <w:t xml:space="preserve">[…] </w:t>
      </w:r>
      <w:r w:rsidRPr="00D209FA">
        <w:rPr>
          <w:rFonts w:ascii="Verdana" w:hAnsi="Verdana" w:cs="Arial"/>
          <w:color w:val="000000"/>
        </w:rPr>
        <w:t>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w:t>
      </w:r>
    </w:p>
    <w:p w14:paraId="1853E2F3" w14:textId="77777777" w:rsidR="008C29F9" w:rsidRPr="00D209FA" w:rsidRDefault="008C29F9" w:rsidP="008C2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Arial"/>
          <w:color w:val="000000"/>
        </w:rPr>
      </w:pPr>
    </w:p>
    <w:p w14:paraId="653641F1" w14:textId="77777777" w:rsidR="008C29F9" w:rsidRPr="00D209FA" w:rsidRDefault="008C29F9" w:rsidP="008C29F9">
      <w:pPr>
        <w:spacing w:after="0" w:line="240" w:lineRule="auto"/>
        <w:jc w:val="both"/>
        <w:rPr>
          <w:rStyle w:val="normaltextrun"/>
          <w:rFonts w:ascii="Verdana" w:hAnsi="Verdana"/>
          <w:b/>
          <w:bCs/>
          <w:shd w:val="clear" w:color="auto" w:fill="FFFFFF"/>
          <w:lang w:val="es-ES"/>
        </w:rPr>
      </w:pPr>
      <w:r w:rsidRPr="00D209FA">
        <w:rPr>
          <w:rStyle w:val="normaltextrun"/>
          <w:rFonts w:ascii="Verdana" w:hAnsi="Verdana"/>
          <w:b/>
          <w:bCs/>
          <w:shd w:val="clear" w:color="auto" w:fill="FFFFFF"/>
          <w:lang w:val="es-ES"/>
        </w:rPr>
        <w:t>LIMITE A LAS MODIFICACIONES – Imposibilidad de modificación del objeto</w:t>
      </w:r>
    </w:p>
    <w:p w14:paraId="6D8CA732" w14:textId="77777777" w:rsidR="008C29F9" w:rsidRPr="00D209FA" w:rsidRDefault="008C29F9" w:rsidP="008C2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Arial"/>
          <w:color w:val="000000"/>
        </w:rPr>
      </w:pPr>
    </w:p>
    <w:p w14:paraId="47F7118A" w14:textId="77777777" w:rsidR="008C29F9" w:rsidRPr="00D209FA" w:rsidRDefault="008C29F9" w:rsidP="008C2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Arial"/>
          <w:color w:val="000000"/>
        </w:rPr>
      </w:pPr>
      <w:r w:rsidRPr="00D209FA">
        <w:rPr>
          <w:rFonts w:ascii="Verdana" w:hAnsi="Verdana" w:cs="Arial"/>
          <w:color w:val="000000"/>
        </w:rPr>
        <w:t xml:space="preserve">[…]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 </w:t>
      </w:r>
    </w:p>
    <w:p w14:paraId="6C68B605" w14:textId="77777777" w:rsidR="008C29F9" w:rsidRPr="00D209FA" w:rsidRDefault="008C29F9" w:rsidP="008C2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Arial"/>
          <w:color w:val="000000"/>
          <w:lang w:val="es-ES"/>
        </w:rPr>
      </w:pPr>
    </w:p>
    <w:p w14:paraId="081BC452" w14:textId="77777777" w:rsidR="008C29F9" w:rsidRPr="00D209FA" w:rsidRDefault="008C29F9" w:rsidP="008C29F9">
      <w:pPr>
        <w:spacing w:after="0" w:line="240" w:lineRule="auto"/>
        <w:jc w:val="both"/>
        <w:rPr>
          <w:rFonts w:ascii="Verdana" w:hAnsi="Verdana" w:cs="Arial"/>
          <w:color w:val="000000"/>
        </w:rPr>
      </w:pPr>
      <w:r w:rsidRPr="00D209FA">
        <w:rPr>
          <w:rStyle w:val="normaltextrun"/>
          <w:rFonts w:ascii="Verdana" w:hAnsi="Verdana"/>
          <w:b/>
          <w:bCs/>
          <w:shd w:val="clear" w:color="auto" w:fill="FFFFFF"/>
          <w:lang w:val="es-ES"/>
        </w:rPr>
        <w:t>ANÁLISIS CASO CONCRETO – Circunstancias fácticas – Identificación necesidad</w:t>
      </w:r>
    </w:p>
    <w:p w14:paraId="2C4743D9" w14:textId="77777777" w:rsidR="008C29F9" w:rsidRPr="00D209FA" w:rsidRDefault="008C29F9" w:rsidP="008C2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Arial"/>
          <w:color w:val="000000"/>
        </w:rPr>
      </w:pPr>
    </w:p>
    <w:p w14:paraId="4502AF4D" w14:textId="77777777" w:rsidR="008C29F9" w:rsidRPr="00D209FA" w:rsidRDefault="008C29F9" w:rsidP="008C2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Arial"/>
          <w:color w:val="000000"/>
        </w:rPr>
      </w:pPr>
      <w:r w:rsidRPr="00D209FA">
        <w:rPr>
          <w:rFonts w:ascii="Verdana" w:hAnsi="Verdana" w:cs="Arial"/>
          <w:color w:val="000000"/>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130C0427" w14:textId="77777777" w:rsidR="008C29F9" w:rsidRPr="00D209FA" w:rsidRDefault="008C29F9" w:rsidP="008C2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Arial"/>
          <w:color w:val="000000"/>
          <w:lang w:val="es-ES"/>
        </w:rPr>
      </w:pPr>
    </w:p>
    <w:p w14:paraId="4F080437" w14:textId="56A2503F" w:rsidR="008C29F9" w:rsidRDefault="008C29F9" w:rsidP="008C29F9">
      <w:pPr>
        <w:spacing w:after="0"/>
        <w:rPr>
          <w:rFonts w:ascii="Verdana" w:hAnsi="Verdana"/>
        </w:rPr>
      </w:pPr>
      <w:r w:rsidRPr="0044528D">
        <w:rPr>
          <w:rFonts w:ascii="Verdana" w:hAnsi="Verdana"/>
        </w:rPr>
        <w:lastRenderedPageBreak/>
        <w:t xml:space="preserve">Bogotá D.C., </w:t>
      </w:r>
      <w:r w:rsidR="00B17032">
        <w:rPr>
          <w:rFonts w:ascii="Verdana" w:hAnsi="Verdana"/>
        </w:rPr>
        <w:t>29 de octubre de 2024</w:t>
      </w:r>
    </w:p>
    <w:p w14:paraId="019686BA" w14:textId="77777777" w:rsidR="008C29F9" w:rsidRDefault="008C29F9" w:rsidP="008C29F9">
      <w:pPr>
        <w:spacing w:after="0"/>
        <w:rPr>
          <w:rFonts w:ascii="Verdana" w:hAnsi="Verdana"/>
        </w:rPr>
      </w:pPr>
    </w:p>
    <w:p w14:paraId="06BB51C2" w14:textId="77777777" w:rsidR="008C29F9" w:rsidRDefault="008C29F9" w:rsidP="008C29F9">
      <w:pPr>
        <w:spacing w:after="0"/>
        <w:rPr>
          <w:rFonts w:ascii="Verdana" w:hAnsi="Verdana"/>
        </w:rPr>
      </w:pPr>
    </w:p>
    <w:p w14:paraId="5B3C3E31" w14:textId="77777777" w:rsidR="008C29F9" w:rsidRPr="00560511" w:rsidRDefault="008C29F9" w:rsidP="008C29F9">
      <w:pPr>
        <w:spacing w:after="0" w:line="240" w:lineRule="auto"/>
        <w:jc w:val="both"/>
        <w:rPr>
          <w:rFonts w:ascii="Verdana" w:eastAsia="Calibri" w:hAnsi="Verdana" w:cs="Arial"/>
          <w:lang w:eastAsia="es-ES"/>
        </w:rPr>
      </w:pPr>
      <w:r w:rsidRPr="00560511">
        <w:rPr>
          <w:rFonts w:ascii="Verdana" w:eastAsia="Calibri" w:hAnsi="Verdana" w:cs="Arial"/>
          <w:lang w:eastAsia="es-ES"/>
        </w:rPr>
        <w:t>Señor</w:t>
      </w:r>
    </w:p>
    <w:p w14:paraId="64E9037C" w14:textId="21EE39F0" w:rsidR="00B17032" w:rsidRDefault="008C29F9" w:rsidP="008C29F9">
      <w:pPr>
        <w:spacing w:after="0" w:line="240" w:lineRule="auto"/>
        <w:rPr>
          <w:rFonts w:ascii="Verdana" w:eastAsia="Calibri" w:hAnsi="Verdana" w:cs="Arial"/>
          <w:b/>
          <w:bCs/>
          <w:lang w:eastAsia="es-ES_tradnl"/>
        </w:rPr>
      </w:pPr>
      <w:r>
        <w:rPr>
          <w:rFonts w:ascii="Verdana" w:eastAsia="Calibri" w:hAnsi="Verdana" w:cs="Arial"/>
          <w:b/>
          <w:bCs/>
          <w:lang w:eastAsia="es-ES_tradnl"/>
        </w:rPr>
        <w:t>BRANDON SMITH SIERRA NUÑEZ</w:t>
      </w:r>
    </w:p>
    <w:p w14:paraId="50BDFA29" w14:textId="77777777" w:rsidR="008C29F9" w:rsidRPr="00303188" w:rsidRDefault="008C29F9" w:rsidP="008C29F9">
      <w:pPr>
        <w:spacing w:after="0" w:line="240" w:lineRule="auto"/>
        <w:rPr>
          <w:rFonts w:ascii="Verdana" w:hAnsi="Verdana"/>
        </w:rPr>
      </w:pPr>
      <w:hyperlink r:id="rId10" w:history="1">
        <w:r w:rsidRPr="000A0E89">
          <w:rPr>
            <w:rStyle w:val="Hipervnculo"/>
            <w:rFonts w:ascii="Verdana" w:hAnsi="Verdana"/>
          </w:rPr>
          <w:t>brandonlawer02@gmail.com</w:t>
        </w:r>
      </w:hyperlink>
    </w:p>
    <w:p w14:paraId="2332E710" w14:textId="77777777" w:rsidR="008C29F9" w:rsidRPr="00B96799" w:rsidRDefault="008C29F9" w:rsidP="008C29F9">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p>
    <w:p w14:paraId="72D7276D" w14:textId="77777777" w:rsidR="008C29F9" w:rsidRDefault="008C29F9" w:rsidP="008C29F9">
      <w:pPr>
        <w:spacing w:after="0" w:line="240" w:lineRule="auto"/>
        <w:rPr>
          <w:rFonts w:ascii="Verdana" w:eastAsia="Calibri" w:hAnsi="Verdana" w:cs="Arial"/>
          <w:b/>
          <w:bCs/>
          <w:color w:val="000000"/>
          <w:lang w:val="es-ES_tradnl" w:eastAsia="es-ES_tradnl"/>
        </w:rPr>
      </w:pPr>
    </w:p>
    <w:p w14:paraId="43D8E445" w14:textId="6F79A9F5" w:rsidR="00B17032" w:rsidRDefault="00B17032" w:rsidP="00B17032">
      <w:pPr>
        <w:spacing w:after="0" w:line="240" w:lineRule="auto"/>
        <w:jc w:val="right"/>
        <w:rPr>
          <w:rFonts w:ascii="Verdana" w:eastAsia="Calibri" w:hAnsi="Verdana" w:cs="Arial"/>
          <w:b/>
          <w:bCs/>
          <w:color w:val="000000"/>
          <w:lang w:val="es-ES_tradnl" w:eastAsia="es-ES_tradnl"/>
        </w:rPr>
      </w:pPr>
      <w:r>
        <w:rPr>
          <w:rFonts w:ascii="Verdana" w:eastAsia="Calibri" w:hAnsi="Verdana" w:cs="Arial"/>
          <w:b/>
          <w:bCs/>
          <w:noProof/>
          <w:color w:val="000000"/>
          <w:lang w:val="es-ES_tradnl" w:eastAsia="es-ES_tradnl"/>
        </w:rPr>
        <w:drawing>
          <wp:inline distT="0" distB="0" distL="0" distR="0" wp14:anchorId="4CAF31F4" wp14:editId="5029D267">
            <wp:extent cx="2743200" cy="838200"/>
            <wp:effectExtent l="0" t="0" r="0" b="0"/>
            <wp:docPr id="19789538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14:paraId="4C77AF2B" w14:textId="77777777" w:rsidR="00B17032" w:rsidRPr="00593A5F" w:rsidRDefault="00B17032" w:rsidP="008C29F9">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804"/>
      </w:tblGrid>
      <w:tr w:rsidR="008C29F9" w:rsidRPr="00593A5F" w14:paraId="1B89F004" w14:textId="77777777" w:rsidTr="00907B88">
        <w:trPr>
          <w:trHeight w:val="884"/>
        </w:trPr>
        <w:tc>
          <w:tcPr>
            <w:tcW w:w="2410" w:type="dxa"/>
          </w:tcPr>
          <w:p w14:paraId="43107FE7" w14:textId="77777777" w:rsidR="008C29F9" w:rsidRPr="00E5644F" w:rsidRDefault="008C29F9" w:rsidP="00907B88">
            <w:pPr>
              <w:jc w:val="both"/>
              <w:rPr>
                <w:rFonts w:ascii="Verdana" w:eastAsia="Calibri" w:hAnsi="Verdana" w:cs="Arial"/>
                <w:b/>
                <w:bCs/>
                <w:color w:val="7030A0"/>
                <w:lang w:val="es-ES_tradnl" w:eastAsia="es-ES_tradnl"/>
              </w:rPr>
            </w:pPr>
          </w:p>
        </w:tc>
        <w:tc>
          <w:tcPr>
            <w:tcW w:w="6804" w:type="dxa"/>
          </w:tcPr>
          <w:p w14:paraId="6B078BC5" w14:textId="77777777" w:rsidR="008C29F9" w:rsidRPr="00E5644F" w:rsidRDefault="008C29F9" w:rsidP="00907B88">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 xml:space="preserve">615 </w:t>
            </w:r>
            <w:r w:rsidRPr="00E5644F">
              <w:rPr>
                <w:rFonts w:ascii="Verdana" w:eastAsia="Calibri" w:hAnsi="Verdana" w:cs="Arial"/>
                <w:b/>
                <w:bCs/>
                <w:lang w:val="es-ES" w:eastAsia="es-ES"/>
              </w:rPr>
              <w:t>de 2024</w:t>
            </w:r>
          </w:p>
        </w:tc>
      </w:tr>
      <w:tr w:rsidR="008C29F9" w:rsidRPr="00593A5F" w14:paraId="719D0DCC" w14:textId="77777777" w:rsidTr="00907B88">
        <w:trPr>
          <w:trHeight w:val="884"/>
        </w:trPr>
        <w:tc>
          <w:tcPr>
            <w:tcW w:w="2410" w:type="dxa"/>
          </w:tcPr>
          <w:p w14:paraId="15C98F37" w14:textId="77777777" w:rsidR="008C29F9" w:rsidRPr="00593A5F" w:rsidRDefault="008C29F9" w:rsidP="00907B88">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tcPr>
          <w:p w14:paraId="7087E893" w14:textId="77777777" w:rsidR="008C29F9" w:rsidRDefault="008C29F9" w:rsidP="00907B88">
            <w:pPr>
              <w:spacing w:line="276" w:lineRule="auto"/>
              <w:jc w:val="both"/>
              <w:textAlignment w:val="baseline"/>
              <w:rPr>
                <w:rFonts w:ascii="Verdana" w:eastAsia="Arial" w:hAnsi="Verdana" w:cs="Arial"/>
                <w:lang w:bidi="es-ES"/>
              </w:rPr>
            </w:pPr>
            <w:r w:rsidRPr="00485B58">
              <w:rPr>
                <w:rFonts w:ascii="Verdana" w:eastAsia="Arial" w:hAnsi="Verdana" w:cs="Arial"/>
                <w:bCs/>
                <w:lang w:val="es-ES" w:bidi="es-ES"/>
              </w:rPr>
              <w:t xml:space="preserve">MODIFICACIÓN DE LOS CONTRATOS ESTATALES - Procedencia – Límites </w:t>
            </w:r>
            <w:r w:rsidRPr="00485B58">
              <w:rPr>
                <w:rFonts w:ascii="Verdana" w:eastAsia="Arial" w:hAnsi="Verdana" w:cs="Arial"/>
                <w:lang w:bidi="es-ES"/>
              </w:rPr>
              <w:t>/ ADICIÓN - Concepto - Distintos supuestos - Prohibición - Adición en más del 50% / LIMITE A LAS MODIFICACIONES – Imposibilidad de modificación del objeto / ANÁLISIS CASO CONCRETO – Circunstancias fácticas – Identificación necesidad</w:t>
            </w:r>
            <w:r>
              <w:rPr>
                <w:rFonts w:ascii="Verdana" w:eastAsia="Arial" w:hAnsi="Verdana" w:cs="Arial"/>
                <w:lang w:bidi="es-ES"/>
              </w:rPr>
              <w:t>.</w:t>
            </w:r>
          </w:p>
          <w:p w14:paraId="28F24711" w14:textId="77777777" w:rsidR="008C29F9" w:rsidRPr="00E6165F" w:rsidRDefault="008C29F9" w:rsidP="00907B88">
            <w:pPr>
              <w:spacing w:line="276" w:lineRule="auto"/>
              <w:jc w:val="both"/>
              <w:rPr>
                <w:rFonts w:ascii="Verdana" w:eastAsia="Calibri" w:hAnsi="Verdana" w:cs="Arial"/>
                <w:lang w:val="es-ES" w:eastAsia="es-ES"/>
              </w:rPr>
            </w:pPr>
          </w:p>
        </w:tc>
      </w:tr>
      <w:tr w:rsidR="008C29F9" w:rsidRPr="00593A5F" w14:paraId="64BB1160" w14:textId="77777777" w:rsidTr="00907B88">
        <w:tc>
          <w:tcPr>
            <w:tcW w:w="2410" w:type="dxa"/>
          </w:tcPr>
          <w:p w14:paraId="312734E9" w14:textId="77777777" w:rsidR="008C29F9" w:rsidRPr="006730E9" w:rsidRDefault="008C29F9" w:rsidP="00907B88">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tcPr>
          <w:p w14:paraId="48259467" w14:textId="77777777" w:rsidR="008C29F9" w:rsidRPr="006730E9" w:rsidRDefault="008C29F9" w:rsidP="00907B88">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Pr="00D57942">
              <w:rPr>
                <w:rFonts w:ascii="Verdana" w:eastAsia="Calibri" w:hAnsi="Verdana" w:cs="Arial"/>
                <w:lang w:val="es-ES_tradnl" w:eastAsia="es-ES_tradnl"/>
              </w:rPr>
              <w:t>P20240916009424</w:t>
            </w:r>
          </w:p>
        </w:tc>
      </w:tr>
    </w:tbl>
    <w:p w14:paraId="77968788" w14:textId="77777777" w:rsidR="008C29F9" w:rsidRPr="00593A5F" w:rsidRDefault="008C29F9" w:rsidP="008C29F9">
      <w:pPr>
        <w:spacing w:after="0" w:line="240" w:lineRule="auto"/>
        <w:jc w:val="both"/>
        <w:rPr>
          <w:rFonts w:ascii="Verdana" w:eastAsia="Calibri" w:hAnsi="Verdana" w:cs="Arial"/>
          <w:color w:val="000000"/>
          <w:lang w:val="es-ES_tradnl" w:eastAsia="es-ES_tradnl"/>
        </w:rPr>
      </w:pPr>
    </w:p>
    <w:p w14:paraId="64DA6FAE" w14:textId="77777777" w:rsidR="008C29F9" w:rsidRPr="00593A5F" w:rsidRDefault="008C29F9" w:rsidP="008C29F9">
      <w:pPr>
        <w:spacing w:after="0" w:line="240" w:lineRule="auto"/>
        <w:jc w:val="both"/>
        <w:rPr>
          <w:rFonts w:ascii="Verdana" w:eastAsia="Calibri" w:hAnsi="Verdana" w:cs="Arial"/>
          <w:color w:val="000000"/>
          <w:lang w:val="es-ES_tradnl" w:eastAsia="es-ES_tradnl"/>
        </w:rPr>
      </w:pPr>
    </w:p>
    <w:p w14:paraId="2AFB490B" w14:textId="77777777" w:rsidR="008C29F9" w:rsidRPr="006730E9" w:rsidRDefault="008C29F9" w:rsidP="008C29F9">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 xml:space="preserve">señor </w:t>
      </w:r>
      <w:r>
        <w:rPr>
          <w:rFonts w:ascii="Verdana" w:eastAsia="Calibri" w:hAnsi="Verdana" w:cs="Arial"/>
          <w:lang w:val="es-ES" w:eastAsia="es-ES"/>
        </w:rPr>
        <w:t>Sierra;</w:t>
      </w:r>
      <w:r w:rsidRPr="006730E9">
        <w:rPr>
          <w:rFonts w:ascii="Verdana" w:eastAsia="Calibri" w:hAnsi="Verdana" w:cs="Arial"/>
          <w:lang w:val="es-ES" w:eastAsia="es-ES"/>
        </w:rPr>
        <w:t xml:space="preserve"> </w:t>
      </w:r>
    </w:p>
    <w:p w14:paraId="052DF4E1" w14:textId="77777777" w:rsidR="008C29F9" w:rsidRDefault="008C29F9" w:rsidP="008C29F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F1812F6" w14:textId="77777777" w:rsidR="008C29F9" w:rsidRPr="006730E9" w:rsidRDefault="008C29F9" w:rsidP="008C29F9">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trasladada por competencia por el Departamento Administrativo de la Función Pública y radicada en esta entidad </w:t>
      </w:r>
      <w:r w:rsidRPr="00E5644F">
        <w:rPr>
          <w:rFonts w:ascii="Verdana" w:eastAsia="Calibri" w:hAnsi="Verdana" w:cs="Arial"/>
          <w:lang w:val="es-ES" w:eastAsia="es-ES"/>
        </w:rPr>
        <w:t xml:space="preserve">el </w:t>
      </w:r>
      <w:r>
        <w:rPr>
          <w:rFonts w:ascii="Verdana" w:eastAsia="Calibri" w:hAnsi="Verdana" w:cs="Arial"/>
          <w:lang w:val="es-ES" w:eastAsia="es-ES"/>
        </w:rPr>
        <w:t>16</w:t>
      </w:r>
      <w:r w:rsidRPr="00E5644F">
        <w:rPr>
          <w:rFonts w:ascii="Verdana" w:eastAsia="Calibri" w:hAnsi="Verdana" w:cs="Arial"/>
          <w:lang w:val="es-ES" w:eastAsia="es-ES"/>
        </w:rPr>
        <w:t xml:space="preserve"> de </w:t>
      </w:r>
      <w:r>
        <w:rPr>
          <w:rFonts w:ascii="Verdana" w:eastAsia="Calibri" w:hAnsi="Verdana" w:cs="Arial"/>
          <w:lang w:val="es-ES" w:eastAsia="es-ES"/>
        </w:rPr>
        <w:t>septiembre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699C3C2F" w14:textId="77777777" w:rsidR="008C29F9" w:rsidRPr="00326382" w:rsidRDefault="008C29F9" w:rsidP="008C29F9">
      <w:pPr>
        <w:spacing w:after="0" w:line="240" w:lineRule="auto"/>
        <w:ind w:left="709" w:right="709"/>
        <w:jc w:val="both"/>
        <w:rPr>
          <w:rFonts w:ascii="Verdana" w:hAnsi="Verdana" w:cs="Arial"/>
          <w:sz w:val="20"/>
          <w:szCs w:val="20"/>
          <w:shd w:val="clear" w:color="auto" w:fill="FFFFFF"/>
        </w:rPr>
      </w:pPr>
      <w:bookmarkStart w:id="1" w:name="_Hlk95313578"/>
    </w:p>
    <w:bookmarkEnd w:id="1"/>
    <w:p w14:paraId="29BDC898" w14:textId="77777777" w:rsidR="008C29F9" w:rsidRDefault="008C29F9" w:rsidP="008C29F9">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sidRPr="00263A88">
        <w:rPr>
          <w:rFonts w:ascii="Verdana" w:eastAsia="Century Gothic" w:hAnsi="Verdana" w:cs="Century Gothic"/>
          <w:i/>
          <w:iCs/>
          <w:lang w:val="es-CO"/>
        </w:rPr>
        <w:t>(…)</w:t>
      </w:r>
      <w:r>
        <w:rPr>
          <w:rFonts w:ascii="Verdana" w:eastAsia="Century Gothic" w:hAnsi="Verdana" w:cs="Century Gothic"/>
          <w:i/>
          <w:iCs/>
          <w:lang w:val="es-CO"/>
        </w:rPr>
        <w:t xml:space="preserve"> </w:t>
      </w:r>
      <w:r w:rsidRPr="00D15311">
        <w:rPr>
          <w:rFonts w:ascii="Verdana" w:eastAsia="Century Gothic" w:hAnsi="Verdana" w:cs="Century Gothic"/>
          <w:i/>
          <w:iCs/>
          <w:lang w:val="es-CO"/>
        </w:rPr>
        <w:t>En un municipio, la Secretaria de Hacienda Municipal, requiere consultar lo siguiente: ¿Es viable</w:t>
      </w:r>
      <w:r>
        <w:rPr>
          <w:rFonts w:ascii="Verdana" w:eastAsia="Century Gothic" w:hAnsi="Verdana" w:cs="Century Gothic"/>
          <w:i/>
          <w:iCs/>
          <w:lang w:val="es-CO"/>
        </w:rPr>
        <w:t xml:space="preserve"> </w:t>
      </w:r>
      <w:r w:rsidRPr="00D15311">
        <w:rPr>
          <w:rFonts w:ascii="Verdana" w:eastAsia="Century Gothic" w:hAnsi="Verdana" w:cs="Century Gothic"/>
          <w:i/>
          <w:iCs/>
          <w:lang w:val="es-CO"/>
        </w:rPr>
        <w:t>jurídicamente el pago de los honorarios de un contrato de prestación de servicios a un tercero distinto al</w:t>
      </w:r>
      <w:r>
        <w:rPr>
          <w:rFonts w:ascii="Verdana" w:eastAsia="Century Gothic" w:hAnsi="Verdana" w:cs="Century Gothic"/>
          <w:i/>
          <w:iCs/>
          <w:lang w:val="es-CO"/>
        </w:rPr>
        <w:t xml:space="preserve"> </w:t>
      </w:r>
      <w:r w:rsidRPr="00D15311">
        <w:rPr>
          <w:rFonts w:ascii="Verdana" w:eastAsia="Century Gothic" w:hAnsi="Verdana" w:cs="Century Gothic"/>
          <w:i/>
          <w:iCs/>
          <w:lang w:val="es-CO"/>
        </w:rPr>
        <w:t xml:space="preserve">contratista si media autorización expresa de este último </w:t>
      </w:r>
      <w:r w:rsidRPr="00D15311">
        <w:rPr>
          <w:rFonts w:ascii="Verdana" w:eastAsia="Century Gothic" w:hAnsi="Verdana" w:cs="Century Gothic"/>
          <w:i/>
          <w:iCs/>
          <w:lang w:val="es-CO"/>
        </w:rPr>
        <w:lastRenderedPageBreak/>
        <w:t>para obrar de ese modo?</w:t>
      </w:r>
      <w:r>
        <w:rPr>
          <w:rFonts w:ascii="Verdana" w:eastAsia="Century Gothic" w:hAnsi="Verdana" w:cs="Century Gothic"/>
          <w:i/>
          <w:iCs/>
          <w:lang w:val="es-CO"/>
        </w:rPr>
        <w:t xml:space="preserve"> </w:t>
      </w:r>
      <w:r w:rsidRPr="00D15311">
        <w:rPr>
          <w:rFonts w:ascii="Verdana" w:eastAsia="Century Gothic" w:hAnsi="Verdana" w:cs="Century Gothic"/>
          <w:i/>
          <w:iCs/>
          <w:lang w:val="es-CO"/>
        </w:rPr>
        <w:t>En caso afirmativo, se necesita conocer por favor los fundamentos jurídicos de tipo normativos o</w:t>
      </w:r>
      <w:r>
        <w:rPr>
          <w:rFonts w:ascii="Verdana" w:eastAsia="Century Gothic" w:hAnsi="Verdana" w:cs="Century Gothic"/>
          <w:i/>
          <w:iCs/>
          <w:lang w:val="es-CO"/>
        </w:rPr>
        <w:t xml:space="preserve"> </w:t>
      </w:r>
      <w:r w:rsidRPr="00D15311">
        <w:rPr>
          <w:rFonts w:ascii="Verdana" w:eastAsia="Century Gothic" w:hAnsi="Verdana" w:cs="Century Gothic"/>
          <w:i/>
          <w:iCs/>
          <w:lang w:val="es-CO"/>
        </w:rPr>
        <w:t>jurisprudenciales que soportan la viabilidad</w:t>
      </w:r>
      <w:r>
        <w:rPr>
          <w:rFonts w:ascii="Verdana" w:eastAsia="Century Gothic" w:hAnsi="Verdana" w:cs="Century Gothic"/>
          <w:i/>
          <w:iCs/>
          <w:lang w:val="es-CO"/>
        </w:rPr>
        <w:t xml:space="preserve"> </w:t>
      </w:r>
      <w:r w:rsidRPr="00263A88">
        <w:rPr>
          <w:rFonts w:ascii="Verdana" w:eastAsia="Century Gothic" w:hAnsi="Verdana" w:cs="Century Gothic"/>
          <w:i/>
          <w:iCs/>
          <w:lang w:val="es-CO"/>
        </w:rPr>
        <w:t>(…)</w:t>
      </w:r>
    </w:p>
    <w:p w14:paraId="70C529CF" w14:textId="77777777" w:rsidR="008C29F9" w:rsidRDefault="008C29F9" w:rsidP="008C29F9">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56E1EC0D" w14:textId="77777777" w:rsidR="008C29F9" w:rsidRDefault="008C29F9" w:rsidP="008C29F9">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34298052" w14:textId="77777777" w:rsidR="008C29F9" w:rsidRPr="00263A88" w:rsidRDefault="008C29F9" w:rsidP="008C29F9">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372C9C36" w14:textId="77777777" w:rsidR="008C29F9" w:rsidRPr="00593A5F" w:rsidRDefault="008C29F9" w:rsidP="008C29F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57195F7" w14:textId="77777777" w:rsidR="008C29F9" w:rsidRPr="00593A5F" w:rsidRDefault="008C29F9" w:rsidP="008C29F9">
      <w:pPr>
        <w:tabs>
          <w:tab w:val="left" w:pos="426"/>
        </w:tabs>
        <w:spacing w:after="0" w:line="276" w:lineRule="auto"/>
        <w:jc w:val="both"/>
        <w:rPr>
          <w:rFonts w:ascii="Verdana" w:eastAsia="Century Gothic" w:hAnsi="Verdana" w:cs="Century Gothic"/>
          <w:lang w:val="es-ES"/>
        </w:rPr>
      </w:pPr>
    </w:p>
    <w:p w14:paraId="3192F01C" w14:textId="0EAE7F4A" w:rsidR="008C29F9" w:rsidRPr="00727DDD" w:rsidRDefault="008C29F9" w:rsidP="008C29F9">
      <w:pPr>
        <w:pStyle w:val="Prrafodelista"/>
        <w:ind w:left="0" w:right="49"/>
        <w:jc w:val="both"/>
        <w:rPr>
          <w:rFonts w:ascii="Verdana" w:eastAsia="Century Gothic" w:hAnsi="Verdana" w:cs="Century Gothic"/>
          <w:i/>
          <w:iCs/>
        </w:rPr>
      </w:pPr>
      <w:r w:rsidRPr="005A7AF3">
        <w:rPr>
          <w:rFonts w:ascii="Verdana" w:eastAsia="Century Gothic" w:hAnsi="Verdana" w:cs="Century Gothic"/>
          <w:i/>
          <w:iCs/>
        </w:rPr>
        <w:t xml:space="preserve">De acuerdo con el contenido de su solicitud, esta Agencia resolverá </w:t>
      </w:r>
      <w:r>
        <w:rPr>
          <w:rFonts w:ascii="Verdana" w:eastAsia="Century Gothic" w:hAnsi="Verdana" w:cs="Century Gothic"/>
          <w:i/>
          <w:iCs/>
        </w:rPr>
        <w:t xml:space="preserve">el </w:t>
      </w:r>
      <w:r w:rsidRPr="005A7AF3">
        <w:rPr>
          <w:rFonts w:ascii="Verdana" w:eastAsia="Century Gothic" w:hAnsi="Verdana" w:cs="Century Gothic"/>
          <w:i/>
          <w:iCs/>
        </w:rPr>
        <w:t>siguiente problema jurídico: i) ¿Es valido</w:t>
      </w:r>
      <w:r>
        <w:rPr>
          <w:rFonts w:ascii="Verdana" w:eastAsia="Century Gothic" w:hAnsi="Verdana" w:cs="Century Gothic"/>
          <w:i/>
          <w:iCs/>
        </w:rPr>
        <w:t xml:space="preserve"> </w:t>
      </w:r>
      <w:r w:rsidR="002E5174">
        <w:rPr>
          <w:rFonts w:ascii="Verdana" w:eastAsia="Century Gothic" w:hAnsi="Verdana" w:cs="Century Gothic"/>
          <w:i/>
          <w:iCs/>
        </w:rPr>
        <w:t>la modificación de la forma de pago en un contrato?</w:t>
      </w:r>
    </w:p>
    <w:p w14:paraId="6D1231AB" w14:textId="77777777" w:rsidR="008C29F9" w:rsidRPr="001B53B7" w:rsidRDefault="008C29F9" w:rsidP="008C29F9">
      <w:pPr>
        <w:pStyle w:val="Prrafodelista"/>
        <w:spacing w:after="0" w:line="276" w:lineRule="auto"/>
        <w:ind w:left="426" w:right="1041"/>
        <w:jc w:val="both"/>
        <w:rPr>
          <w:rFonts w:ascii="Verdana" w:eastAsia="Calibri" w:hAnsi="Verdana" w:cs="Arial"/>
          <w:color w:val="7030A0"/>
        </w:rPr>
      </w:pPr>
    </w:p>
    <w:p w14:paraId="6E08629B" w14:textId="77777777" w:rsidR="008C29F9" w:rsidRPr="00593A5F" w:rsidRDefault="008C29F9" w:rsidP="008C29F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2BBCD51" w14:textId="77777777" w:rsidR="008C29F9" w:rsidRPr="00593A5F" w:rsidRDefault="008C29F9" w:rsidP="008C29F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C29F9" w:rsidRPr="00593A5F" w14:paraId="3786F993" w14:textId="77777777" w:rsidTr="00907B88">
        <w:tc>
          <w:tcPr>
            <w:tcW w:w="8828" w:type="dxa"/>
            <w:shd w:val="clear" w:color="auto" w:fill="auto"/>
          </w:tcPr>
          <w:p w14:paraId="09C083C1" w14:textId="77777777" w:rsidR="008C29F9" w:rsidRDefault="008C29F9" w:rsidP="00907B88">
            <w:pPr>
              <w:spacing w:after="120" w:line="276" w:lineRule="auto"/>
              <w:jc w:val="both"/>
              <w:rPr>
                <w:rFonts w:ascii="Verdana" w:eastAsia="Arial MT" w:hAnsi="Verdana" w:cs="Arial"/>
                <w:lang w:eastAsia="es-ES" w:bidi="es-ES"/>
              </w:rPr>
            </w:pPr>
            <w:r>
              <w:rPr>
                <w:rFonts w:ascii="Verdana" w:eastAsia="Arial MT" w:hAnsi="Verdana" w:cs="Arial"/>
                <w:lang w:eastAsia="es-ES" w:bidi="es-ES"/>
              </w:rPr>
              <w:t>El artículo 14 de la Ley 80 de 1993 contempla los medios que pueden utilizar los entidades estatales para el cumplimiento del objeto contractual, en consecuencia, dentro de estas posibilidades de discrecionalidad se encuentra la modificación de lo contratado, lo cual es permitido desde el amparo de los principios de la función administrativa, e</w:t>
            </w:r>
            <w:r w:rsidRPr="00E90A2D">
              <w:rPr>
                <w:rFonts w:ascii="Verdana" w:eastAsia="Arial MT" w:hAnsi="Verdana" w:cs="Arial"/>
                <w:lang w:eastAsia="es-ES" w:bidi="es-ES"/>
              </w:rPr>
              <w:t xml:space="preserve">l </w:t>
            </w:r>
            <w:r>
              <w:rPr>
                <w:rFonts w:ascii="Verdana" w:eastAsia="Arial MT" w:hAnsi="Verdana" w:cs="Arial"/>
                <w:lang w:eastAsia="es-ES" w:bidi="es-ES"/>
              </w:rPr>
              <w:t>artículo 209 superior y l</w:t>
            </w:r>
            <w:r w:rsidRPr="00E90A2D">
              <w:rPr>
                <w:rFonts w:ascii="Verdana" w:eastAsia="Arial MT" w:hAnsi="Verdana" w:cs="Arial"/>
                <w:lang w:eastAsia="es-ES" w:bidi="es-ES"/>
              </w:rPr>
              <w:t xml:space="preserve">os </w:t>
            </w:r>
            <w:r>
              <w:rPr>
                <w:rFonts w:ascii="Verdana" w:eastAsia="Arial MT" w:hAnsi="Verdana" w:cs="Arial"/>
                <w:lang w:eastAsia="es-ES" w:bidi="es-ES"/>
              </w:rPr>
              <w:t>principios de la contratación pública, teniendo presente que siempre que se acuda a ella será de manera excepcional para el aseguramiento del interés general y los fines de la contratación contemplados en el artículo 3 del Estatuto General.</w:t>
            </w:r>
          </w:p>
          <w:p w14:paraId="398B4919" w14:textId="77777777" w:rsidR="008C29F9" w:rsidRDefault="008C29F9" w:rsidP="00907B88">
            <w:pPr>
              <w:spacing w:after="120" w:line="276" w:lineRule="auto"/>
              <w:jc w:val="both"/>
              <w:rPr>
                <w:rFonts w:ascii="Verdana" w:hAnsi="Verdana" w:cs="Arial"/>
                <w:color w:val="333333"/>
              </w:rPr>
            </w:pPr>
            <w:r>
              <w:rPr>
                <w:rFonts w:ascii="Verdana" w:eastAsia="Arial MT" w:hAnsi="Verdana" w:cs="Arial"/>
                <w:lang w:eastAsia="es-ES" w:bidi="es-ES"/>
              </w:rPr>
              <w:t>Asi las cosas, l</w:t>
            </w:r>
            <w:r w:rsidRPr="0046393B">
              <w:rPr>
                <w:rFonts w:ascii="Verdana" w:eastAsia="Arial MT" w:hAnsi="Verdana" w:cs="Arial"/>
                <w:lang w:eastAsia="es-ES" w:bidi="es-ES"/>
              </w:rPr>
              <w:t xml:space="preserve">as entidades estatales podrán acudir a la modificación del contrato excepcionalmente </w:t>
            </w:r>
            <w:r w:rsidRPr="0046393B">
              <w:rPr>
                <w:rFonts w:ascii="Verdana" w:hAnsi="Verdana" w:cs="Arial"/>
                <w:color w:val="333333"/>
              </w:rPr>
              <w:t xml:space="preserve">con el exclusivo objeto de evitar la paralización o la afectación grave de los servicios públicos a su cargo y asegurar la inmediata, continua y adecuada prestación, por lo que realizar su trámite requerirá de las justificaciones administrativas, jurídicas y financieras que permitan no contradecir el principio de planeación y análisis de riesgos tramitados en la etapa de planeación, puesto que se ha indicado es que la entidad estatal está sujeta a los mismos documentos de la etapa precontractual y a la normativa vigente. </w:t>
            </w:r>
          </w:p>
          <w:p w14:paraId="2F801096" w14:textId="77777777" w:rsidR="008C29F9" w:rsidRDefault="008C29F9" w:rsidP="00907B88">
            <w:pPr>
              <w:spacing w:after="120" w:line="276" w:lineRule="auto"/>
              <w:jc w:val="both"/>
              <w:rPr>
                <w:rFonts w:ascii="Verdana" w:eastAsia="Arial MT" w:hAnsi="Verdana" w:cs="Arial"/>
                <w:lang w:eastAsia="es-ES" w:bidi="es-ES"/>
              </w:rPr>
            </w:pPr>
            <w:r>
              <w:rPr>
                <w:rFonts w:ascii="Verdana" w:eastAsia="Arial MT" w:hAnsi="Verdana" w:cs="Arial"/>
                <w:lang w:eastAsia="es-ES" w:bidi="es-ES"/>
              </w:rPr>
              <w:t>Ahora bien, dentro del contenido del contrato estatal</w:t>
            </w:r>
            <w:r>
              <w:t>,</w:t>
            </w:r>
            <w:r>
              <w:rPr>
                <w:rFonts w:ascii="Verdana" w:eastAsia="Arial MT" w:hAnsi="Verdana" w:cs="Arial"/>
                <w:lang w:eastAsia="es-ES" w:bidi="es-ES"/>
              </w:rPr>
              <w:t xml:space="preserve"> la entidad contratante define diversas estipulaciones las cuales son de la esencia, de la naturaleza y accidentales conforme a la tipología contractual y deberán ir concordancia con lo señalado en el estudio previo. En tal sentido, no le está permitido a la entidad estatal realizar modificaciones al objeto del contrato, puesto que hace parte de las cláusulas sustanciales del contrato, a lo que el Consejo de Estado ha llamado límites al contrato. </w:t>
            </w:r>
          </w:p>
          <w:p w14:paraId="5F090F6D" w14:textId="77777777" w:rsidR="008C29F9" w:rsidRDefault="008C29F9" w:rsidP="00907B88">
            <w:pPr>
              <w:spacing w:after="120" w:line="276" w:lineRule="auto"/>
              <w:jc w:val="both"/>
              <w:rPr>
                <w:rFonts w:ascii="Verdana" w:eastAsia="Arial MT" w:hAnsi="Verdana" w:cs="Arial"/>
                <w:lang w:eastAsia="es-ES" w:bidi="es-ES"/>
              </w:rPr>
            </w:pPr>
            <w:r>
              <w:rPr>
                <w:rFonts w:ascii="Verdana" w:eastAsia="Arial MT" w:hAnsi="Verdana" w:cs="Arial"/>
                <w:lang w:eastAsia="es-ES" w:bidi="es-ES"/>
              </w:rPr>
              <w:lastRenderedPageBreak/>
              <w:t xml:space="preserve">Como se expondrá en las consideraciones del presente concepto, la jurisprudencia ha sostenido la excepcionalidad en la adopción de modificaciones, y los límites desde el ámbito temporal, formal y material para su adopción, con el propósito de preservar los principios de igualdad, transparencia, libertad de concurrencia y protección del interés público en la actividad contractual de las Entidades Estatales.  </w:t>
            </w:r>
          </w:p>
          <w:p w14:paraId="79A1A6A1" w14:textId="77777777" w:rsidR="008C29F9" w:rsidRDefault="008C29F9" w:rsidP="00907B88">
            <w:pPr>
              <w:spacing w:after="120" w:line="276" w:lineRule="auto"/>
              <w:jc w:val="both"/>
              <w:rPr>
                <w:rFonts w:ascii="Verdana" w:eastAsia="Arial MT" w:hAnsi="Verdana" w:cs="Arial"/>
                <w:lang w:eastAsia="es-ES" w:bidi="es-ES"/>
              </w:rPr>
            </w:pPr>
            <w:r>
              <w:rPr>
                <w:rFonts w:ascii="Verdana" w:eastAsia="Arial MT" w:hAnsi="Verdana" w:cs="Arial"/>
                <w:lang w:eastAsia="es-ES" w:bidi="es-ES"/>
              </w:rPr>
              <w:t xml:space="preserve">Es así como la norma ibidem prescribe que los contratos no podrán adicionarse en más del 50% de su valor inicial, expresado este en salarios mínimos legales mensuales, esto refiriéndose en cuanto al valor del contrato. En ese sentido, la norma se queda corta debido a que no desarrolla la modificación del contrato frente a la </w:t>
            </w:r>
            <w:r w:rsidRPr="009B5AE6">
              <w:rPr>
                <w:rFonts w:ascii="Verdana" w:eastAsia="Arial MT" w:hAnsi="Verdana" w:cs="Arial"/>
                <w:lang w:eastAsia="es-ES" w:bidi="es-ES"/>
              </w:rPr>
              <w:t xml:space="preserve">prórroga, su alcance, </w:t>
            </w:r>
            <w:r w:rsidRPr="0086225C">
              <w:rPr>
                <w:rFonts w:ascii="Verdana" w:eastAsia="Arial MT" w:hAnsi="Verdana" w:cs="Arial"/>
                <w:b/>
                <w:bCs/>
                <w:lang w:eastAsia="es-ES" w:bidi="es-ES"/>
              </w:rPr>
              <w:t>forma de pago</w:t>
            </w:r>
            <w:r>
              <w:rPr>
                <w:rFonts w:ascii="Verdana" w:eastAsia="Arial MT" w:hAnsi="Verdana" w:cs="Arial"/>
                <w:lang w:eastAsia="es-ES" w:bidi="es-ES"/>
              </w:rPr>
              <w:t xml:space="preserve">, </w:t>
            </w:r>
            <w:r w:rsidRPr="009B5AE6">
              <w:rPr>
                <w:rFonts w:ascii="Verdana" w:eastAsia="Arial MT" w:hAnsi="Verdana" w:cs="Arial"/>
                <w:lang w:eastAsia="es-ES" w:bidi="es-ES"/>
              </w:rPr>
              <w:t>contenido y limites</w:t>
            </w:r>
            <w:r>
              <w:rPr>
                <w:rFonts w:ascii="Verdana" w:eastAsia="Arial MT" w:hAnsi="Verdana" w:cs="Arial"/>
                <w:lang w:eastAsia="es-ES" w:bidi="es-ES"/>
              </w:rPr>
              <w:t xml:space="preserve">, aspectos que también pueden ser modificados </w:t>
            </w:r>
            <w:r w:rsidRPr="009B5AE6">
              <w:rPr>
                <w:rFonts w:ascii="Verdana" w:eastAsia="Arial MT" w:hAnsi="Verdana" w:cs="Arial"/>
                <w:lang w:eastAsia="es-ES" w:bidi="es-ES"/>
              </w:rPr>
              <w:t>en</w:t>
            </w:r>
            <w:r>
              <w:rPr>
                <w:rFonts w:ascii="Verdana" w:eastAsia="Arial MT" w:hAnsi="Verdana" w:cs="Arial"/>
                <w:lang w:eastAsia="es-ES" w:bidi="es-ES"/>
              </w:rPr>
              <w:t xml:space="preserve"> el</w:t>
            </w:r>
            <w:r w:rsidRPr="009B5AE6">
              <w:rPr>
                <w:rFonts w:ascii="Verdana" w:eastAsia="Arial MT" w:hAnsi="Verdana" w:cs="Arial"/>
                <w:lang w:eastAsia="es-ES" w:bidi="es-ES"/>
              </w:rPr>
              <w:t xml:space="preserve"> contrato</w:t>
            </w:r>
            <w:r>
              <w:rPr>
                <w:rFonts w:ascii="Verdana" w:eastAsia="Arial MT" w:hAnsi="Verdana" w:cs="Arial"/>
                <w:lang w:eastAsia="es-ES" w:bidi="es-ES"/>
              </w:rPr>
              <w:t xml:space="preserve"> estatal.</w:t>
            </w:r>
          </w:p>
          <w:p w14:paraId="49826D1E" w14:textId="77777777" w:rsidR="008C29F9" w:rsidRDefault="008C29F9" w:rsidP="00907B88">
            <w:pPr>
              <w:spacing w:after="120" w:line="276" w:lineRule="auto"/>
              <w:jc w:val="both"/>
              <w:rPr>
                <w:rFonts w:ascii="Verdana" w:eastAsia="Arial MT" w:hAnsi="Verdana" w:cs="Arial"/>
                <w:lang w:eastAsia="es-ES" w:bidi="es-ES"/>
              </w:rPr>
            </w:pPr>
            <w:r>
              <w:rPr>
                <w:rFonts w:ascii="Verdana" w:eastAsia="Arial MT" w:hAnsi="Verdana" w:cs="Arial"/>
                <w:lang w:eastAsia="es-ES" w:bidi="es-ES"/>
              </w:rPr>
              <w:t>Respecto a lo antes señalado, la jurisprudencia del Consejo de Estado y de la Corte Constitucional</w:t>
            </w:r>
            <w:r w:rsidRPr="00E97F5B">
              <w:rPr>
                <w:rFonts w:ascii="Verdana" w:eastAsia="Arial MT" w:hAnsi="Verdana" w:cs="Arial"/>
                <w:lang w:eastAsia="es-ES" w:bidi="es-ES"/>
              </w:rPr>
              <w:t xml:space="preserve">, la cual se comparte por esta Agencia en </w:t>
            </w:r>
            <w:r>
              <w:rPr>
                <w:rFonts w:ascii="Verdana" w:eastAsia="Arial MT" w:hAnsi="Verdana" w:cs="Arial"/>
                <w:lang w:eastAsia="es-ES" w:bidi="es-ES"/>
              </w:rPr>
              <w:t>algunos conceptos como el C-004 de 2023</w:t>
            </w:r>
            <w:r w:rsidRPr="00E97F5B">
              <w:rPr>
                <w:rFonts w:ascii="Verdana" w:eastAsia="Arial MT" w:hAnsi="Verdana" w:cs="Arial"/>
                <w:lang w:eastAsia="es-ES" w:bidi="es-ES"/>
              </w:rPr>
              <w:t xml:space="preserve">, se </w:t>
            </w:r>
            <w:r>
              <w:rPr>
                <w:rFonts w:ascii="Verdana" w:eastAsia="Arial MT" w:hAnsi="Verdana" w:cs="Arial"/>
                <w:lang w:eastAsia="es-ES" w:bidi="es-ES"/>
              </w:rPr>
              <w:t xml:space="preserve">ha </w:t>
            </w:r>
            <w:r w:rsidRPr="00E97F5B">
              <w:rPr>
                <w:rFonts w:ascii="Verdana" w:eastAsia="Arial MT" w:hAnsi="Verdana" w:cs="Arial"/>
                <w:lang w:eastAsia="es-ES" w:bidi="es-ES"/>
              </w:rPr>
              <w:t>considera</w:t>
            </w:r>
            <w:r>
              <w:rPr>
                <w:rFonts w:ascii="Verdana" w:eastAsia="Arial MT" w:hAnsi="Verdana" w:cs="Arial"/>
                <w:lang w:eastAsia="es-ES" w:bidi="es-ES"/>
              </w:rPr>
              <w:t xml:space="preserve">do </w:t>
            </w:r>
            <w:r w:rsidRPr="00E97F5B">
              <w:rPr>
                <w:rFonts w:ascii="Verdana" w:eastAsia="Arial MT" w:hAnsi="Verdana" w:cs="Arial"/>
                <w:lang w:eastAsia="es-ES" w:bidi="es-ES"/>
              </w:rPr>
              <w:t xml:space="preserve"> que es viable jurídicamente modificar los contratos estatales, </w:t>
            </w:r>
            <w:r>
              <w:rPr>
                <w:rFonts w:ascii="Verdana" w:eastAsia="Arial MT" w:hAnsi="Verdana" w:cs="Arial"/>
                <w:lang w:eastAsia="es-ES" w:bidi="es-ES"/>
              </w:rPr>
              <w:t xml:space="preserve">solo de manera excepcional </w:t>
            </w:r>
            <w:r w:rsidRPr="00E97F5B">
              <w:rPr>
                <w:rFonts w:ascii="Verdana" w:eastAsia="Arial MT" w:hAnsi="Verdana" w:cs="Arial"/>
                <w:lang w:eastAsia="es-ES" w:bidi="es-ES"/>
              </w:rPr>
              <w:t xml:space="preserve">y </w:t>
            </w:r>
            <w:r>
              <w:rPr>
                <w:rFonts w:ascii="Verdana" w:eastAsia="Arial MT" w:hAnsi="Verdana" w:cs="Arial"/>
                <w:lang w:eastAsia="es-ES" w:bidi="es-ES"/>
              </w:rPr>
              <w:t>en la medida en que con dicha modificación se busque</w:t>
            </w:r>
            <w:r w:rsidRPr="00E97F5B">
              <w:rPr>
                <w:rFonts w:ascii="Verdana" w:eastAsia="Arial MT" w:hAnsi="Verdana" w:cs="Arial"/>
                <w:lang w:eastAsia="es-ES" w:bidi="es-ES"/>
              </w:rPr>
              <w:t xml:space="preserve"> garantizar el interés público, </w:t>
            </w:r>
            <w:r>
              <w:rPr>
                <w:rFonts w:ascii="Verdana" w:eastAsia="Arial MT" w:hAnsi="Verdana" w:cs="Arial"/>
                <w:lang w:eastAsia="es-ES" w:bidi="es-ES"/>
              </w:rPr>
              <w:t xml:space="preserve">o </w:t>
            </w:r>
            <w:r w:rsidRPr="00E97F5B">
              <w:rPr>
                <w:rFonts w:ascii="Verdana" w:eastAsia="Arial MT" w:hAnsi="Verdana" w:cs="Arial"/>
                <w:lang w:eastAsia="es-ES" w:bidi="es-ES"/>
              </w:rPr>
              <w:t>cuando la entidad haya verificado y así pueda constatarse por cualquier</w:t>
            </w:r>
            <w:r>
              <w:rPr>
                <w:rFonts w:ascii="Verdana" w:eastAsia="Arial MT" w:hAnsi="Verdana" w:cs="Arial"/>
                <w:lang w:eastAsia="es-ES" w:bidi="es-ES"/>
              </w:rPr>
              <w:t>a</w:t>
            </w:r>
            <w:r w:rsidRPr="00E97F5B">
              <w:rPr>
                <w:rFonts w:ascii="Verdana" w:eastAsia="Arial MT" w:hAnsi="Verdana" w:cs="Arial"/>
                <w:lang w:eastAsia="es-ES" w:bidi="es-ES"/>
              </w:rPr>
              <w:t xml:space="preserve"> que la causa de la modificación es real y cierta, y cuando se deriva de previsiones legales, esto es, cuando la modificación </w:t>
            </w:r>
            <w:r>
              <w:rPr>
                <w:rFonts w:ascii="Verdana" w:eastAsia="Arial MT" w:hAnsi="Verdana" w:cs="Arial"/>
                <w:lang w:eastAsia="es-ES" w:bidi="es-ES"/>
              </w:rPr>
              <w:t>se fundamenta no solo</w:t>
            </w:r>
            <w:r w:rsidRPr="00E97F5B">
              <w:rPr>
                <w:rFonts w:ascii="Verdana" w:eastAsia="Arial MT" w:hAnsi="Verdana" w:cs="Arial"/>
                <w:lang w:eastAsia="es-ES" w:bidi="es-ES"/>
              </w:rPr>
              <w:t xml:space="preserve"> en circunstancias fácticas propias de la ejecución del contrato, sino, además, cuando </w:t>
            </w:r>
            <w:r>
              <w:rPr>
                <w:rFonts w:ascii="Verdana" w:eastAsia="Arial MT" w:hAnsi="Verdana" w:cs="Arial"/>
                <w:lang w:eastAsia="es-ES" w:bidi="es-ES"/>
              </w:rPr>
              <w:t xml:space="preserve">esos escenarios </w:t>
            </w:r>
            <w:r w:rsidRPr="00E97F5B">
              <w:rPr>
                <w:rFonts w:ascii="Verdana" w:eastAsia="Arial MT" w:hAnsi="Verdana" w:cs="Arial"/>
                <w:lang w:eastAsia="es-ES" w:bidi="es-ES"/>
              </w:rPr>
              <w:t xml:space="preserve">ponen de presente la necesidad de dar cumplimiento a previsiones establecidas por el legislador. </w:t>
            </w:r>
          </w:p>
          <w:p w14:paraId="2BA0F0D7" w14:textId="77777777" w:rsidR="008C29F9" w:rsidRDefault="008C29F9" w:rsidP="00907B88">
            <w:pPr>
              <w:widowControl w:val="0"/>
              <w:autoSpaceDE w:val="0"/>
              <w:autoSpaceDN w:val="0"/>
              <w:spacing w:after="120" w:line="276" w:lineRule="auto"/>
              <w:jc w:val="both"/>
              <w:rPr>
                <w:rFonts w:ascii="Verdana" w:eastAsia="Arial MT" w:hAnsi="Verdana" w:cs="Arial"/>
                <w:lang w:eastAsia="es-ES" w:bidi="es-ES"/>
              </w:rPr>
            </w:pPr>
            <w:r w:rsidRPr="00E97F5B">
              <w:rPr>
                <w:rFonts w:ascii="Verdana" w:eastAsia="Arial MT" w:hAnsi="Verdana" w:cs="Arial"/>
                <w:lang w:eastAsia="es-ES" w:bidi="es-ES"/>
              </w:rPr>
              <w:t>Así las cosas, para establecer si un contrato determinado puede ser susceptible de modificación</w:t>
            </w:r>
            <w:r>
              <w:rPr>
                <w:rFonts w:ascii="Verdana" w:eastAsia="Arial MT" w:hAnsi="Verdana" w:cs="Arial"/>
                <w:lang w:eastAsia="es-ES" w:bidi="es-ES"/>
              </w:rPr>
              <w:t xml:space="preserve"> bilateral</w:t>
            </w:r>
            <w:r w:rsidRPr="00E97F5B">
              <w:rPr>
                <w:rFonts w:ascii="Verdana" w:eastAsia="Arial MT" w:hAnsi="Verdana" w:cs="Arial"/>
                <w:lang w:eastAsia="es-ES" w:bidi="es-ES"/>
              </w:rPr>
              <w:t xml:space="preserve">, </w:t>
            </w:r>
            <w:r w:rsidRPr="0086225C">
              <w:rPr>
                <w:rFonts w:ascii="Verdana" w:eastAsia="Arial MT" w:hAnsi="Verdana" w:cs="Arial"/>
                <w:b/>
                <w:bCs/>
                <w:lang w:eastAsia="es-ES" w:bidi="es-ES"/>
              </w:rPr>
              <w:t>como es el caso de la modificación en cuanto a su forma de pago</w:t>
            </w:r>
            <w:r>
              <w:rPr>
                <w:rFonts w:ascii="Verdana" w:eastAsia="Arial MT" w:hAnsi="Verdana" w:cs="Arial"/>
                <w:b/>
                <w:bCs/>
                <w:lang w:eastAsia="es-ES" w:bidi="es-ES"/>
              </w:rPr>
              <w:t xml:space="preserve"> planteada en su consulta</w:t>
            </w:r>
            <w:r>
              <w:rPr>
                <w:rFonts w:ascii="Verdana" w:eastAsia="Arial MT" w:hAnsi="Verdana" w:cs="Arial"/>
                <w:lang w:eastAsia="es-ES" w:bidi="es-ES"/>
              </w:rPr>
              <w:t xml:space="preserve">, </w:t>
            </w:r>
            <w:r w:rsidRPr="00E97F5B">
              <w:rPr>
                <w:rFonts w:ascii="Verdana" w:eastAsia="Arial MT" w:hAnsi="Verdana" w:cs="Arial"/>
                <w:lang w:eastAsia="es-ES" w:bidi="es-ES"/>
              </w:rPr>
              <w:t xml:space="preserve">se hace necesario que la Administración analice, en cada caso, la concurrencia de los aspectos antes referidos. </w:t>
            </w:r>
            <w:r>
              <w:rPr>
                <w:rFonts w:ascii="Verdana" w:eastAsia="Arial MT" w:hAnsi="Verdana" w:cs="Arial"/>
                <w:lang w:eastAsia="es-ES" w:bidi="es-ES"/>
              </w:rPr>
              <w:t xml:space="preserve">Ahora bien, la norma también contempla de forma expresa la modificación unilateral del contrato, la cual procederá a fin de, </w:t>
            </w:r>
            <w:r w:rsidRPr="00A527D2">
              <w:rPr>
                <w:rFonts w:ascii="Verdana" w:eastAsia="Arial MT" w:hAnsi="Verdana" w:cs="Arial"/>
                <w:lang w:eastAsia="es-ES" w:bidi="es-ES"/>
              </w:rPr>
              <w:t>evitar la paralización o la afectación grave del servicio público que se deba satisfacer con él</w:t>
            </w:r>
            <w:r>
              <w:rPr>
                <w:rFonts w:ascii="Verdana" w:eastAsia="Arial MT" w:hAnsi="Verdana" w:cs="Arial"/>
                <w:lang w:eastAsia="es-ES" w:bidi="es-ES"/>
              </w:rPr>
              <w:t>; cuando</w:t>
            </w:r>
            <w:r w:rsidRPr="00A527D2">
              <w:rPr>
                <w:rFonts w:ascii="Verdana" w:eastAsia="Arial MT" w:hAnsi="Verdana" w:cs="Arial"/>
                <w:lang w:eastAsia="es-ES" w:bidi="es-ES"/>
              </w:rPr>
              <w:t xml:space="preserve"> fuere necesario introducir variaciones en el contrato y previamente las partes no llegan al acuerdo respectivo</w:t>
            </w:r>
            <w:r>
              <w:rPr>
                <w:rFonts w:ascii="Verdana" w:eastAsia="Arial MT" w:hAnsi="Verdana" w:cs="Arial"/>
                <w:lang w:eastAsia="es-ES" w:bidi="es-ES"/>
              </w:rPr>
              <w:t xml:space="preserve">, en ese sentido, </w:t>
            </w:r>
            <w:r w:rsidRPr="00A527D2">
              <w:rPr>
                <w:rFonts w:ascii="Verdana" w:eastAsia="Arial MT" w:hAnsi="Verdana" w:cs="Arial"/>
                <w:lang w:eastAsia="es-ES" w:bidi="es-ES"/>
              </w:rPr>
              <w:t xml:space="preserve"> la entidad en acto administrativo debidamente motivado, lo modificará mediante la supresión o adición de obras, trabajos, suministros o servicios</w:t>
            </w:r>
            <w:r>
              <w:rPr>
                <w:rFonts w:ascii="Verdana" w:eastAsia="Arial MT" w:hAnsi="Verdana" w:cs="Arial"/>
                <w:lang w:eastAsia="es-ES" w:bidi="es-ES"/>
              </w:rPr>
              <w:t>, conforme el artículo 16 de la ley 80 de 1993.</w:t>
            </w:r>
          </w:p>
          <w:p w14:paraId="4B60EC94" w14:textId="384992BF" w:rsidR="008C29F9" w:rsidRDefault="00D94487" w:rsidP="00907B88">
            <w:pPr>
              <w:spacing w:after="120" w:line="276" w:lineRule="auto"/>
              <w:jc w:val="both"/>
              <w:rPr>
                <w:rFonts w:ascii="Verdana" w:eastAsia="Arial MT" w:hAnsi="Verdana" w:cs="Arial"/>
                <w:lang w:eastAsia="es-ES" w:bidi="es-ES"/>
              </w:rPr>
            </w:pPr>
            <w:r w:rsidRPr="00372688">
              <w:rPr>
                <w:rFonts w:ascii="Verdana" w:eastAsia="Arial" w:hAnsi="Verdana" w:cs="Arial"/>
                <w:color w:val="000000" w:themeColor="text1"/>
                <w:lang w:eastAsia="es-ES" w:bidi="es-ES"/>
              </w:rPr>
              <w:lastRenderedPageBreak/>
              <w:t xml:space="preserve">En todo </w:t>
            </w:r>
            <w:r w:rsidRPr="00372688">
              <w:rPr>
                <w:rFonts w:ascii="Verdana" w:hAnsi="Verdana"/>
              </w:rPr>
              <w:t>caso, corresponde a las Entidades Estatales estudiar en caso concreto determinar en cada caso concreto si se presentan o no circunstancias que den lugar a la configuración de inhabilidades o incompatibilidades. Adicionalmente, cuando el interés general propio de la función pública entre en conflicto con el interés particular</w:t>
            </w:r>
            <w:r w:rsidRPr="00372688">
              <w:rPr>
                <w:rFonts w:ascii="Verdana" w:eastAsia="Arial" w:hAnsi="Verdana" w:cs="Arial"/>
                <w:color w:val="000000" w:themeColor="text1"/>
                <w:lang w:eastAsia="es-ES" w:bidi="es-ES"/>
              </w:rPr>
              <w:t xml:space="preserve"> y directo del servidor público, este deberá declararse impedido, de conformidad con el artículo 11 del Código de Procedimiento Administrativo y de lo Contencioso Administrativo.</w:t>
            </w:r>
            <w:r w:rsidR="008C29F9">
              <w:rPr>
                <w:rFonts w:ascii="Verdana" w:eastAsia="Arial MT" w:hAnsi="Verdana" w:cs="Arial"/>
                <w:lang w:eastAsia="es-ES" w:bidi="es-ES"/>
              </w:rPr>
              <w:t>Ahora bien, respecto al procedimiento que debe seguirse para modificar un contrato estatal, es menester indicar que, la norma no lo contempla sino el manual de contratación de cada entidad, sin embargo, aun cuando la modificación sea unilateral o bilateral, la Entidad Estatal debe asegurarse de justificar con base en hechos concreto la necesidad de la modificar el contrato, debido a que se entiende que la administración debió cumplir con el deber de planeación en la etapa precontractual.</w:t>
            </w:r>
          </w:p>
          <w:p w14:paraId="6060D9DB" w14:textId="77777777" w:rsidR="008C29F9" w:rsidRDefault="008C29F9" w:rsidP="00907B88">
            <w:pPr>
              <w:spacing w:after="120" w:line="276" w:lineRule="auto"/>
              <w:jc w:val="both"/>
              <w:rPr>
                <w:rFonts w:ascii="Verdana" w:eastAsia="Arial MT" w:hAnsi="Verdana" w:cs="Arial"/>
                <w:lang w:eastAsia="es-ES" w:bidi="es-ES"/>
              </w:rPr>
            </w:pPr>
            <w:r>
              <w:rPr>
                <w:rFonts w:ascii="Verdana" w:eastAsia="Arial MT" w:hAnsi="Verdana" w:cs="Arial"/>
                <w:lang w:eastAsia="es-ES" w:bidi="es-ES"/>
              </w:rPr>
              <w:t xml:space="preserve">Es por esto por lo que, tanto el contratista, como la administración tienen la obligación de motivar la necesidad de modificar el contrato que permita determinar desde la </w:t>
            </w:r>
            <w:r w:rsidRPr="00C776BC">
              <w:rPr>
                <w:rFonts w:ascii="Verdana" w:eastAsia="Arial" w:hAnsi="Verdana" w:cs="Arial"/>
                <w:color w:val="000000" w:themeColor="text1"/>
                <w:lang w:val="es-ES" w:eastAsia="es-ES" w:bidi="es-ES"/>
              </w:rPr>
              <w:t>perspectiva jurídica, técnica y financiera</w:t>
            </w:r>
            <w:r>
              <w:rPr>
                <w:rFonts w:ascii="Verdana" w:eastAsia="Arial MT" w:hAnsi="Verdana" w:cs="Arial"/>
                <w:lang w:eastAsia="es-ES" w:bidi="es-ES"/>
              </w:rPr>
              <w:t xml:space="preserve"> la viabilidad de este, reconocimiento que existe un riesgo real de paralización o afectación del servicio. </w:t>
            </w:r>
          </w:p>
          <w:p w14:paraId="7E929C91" w14:textId="77777777" w:rsidR="008C29F9" w:rsidRDefault="008C29F9" w:rsidP="00907B88">
            <w:pPr>
              <w:widowControl w:val="0"/>
              <w:autoSpaceDE w:val="0"/>
              <w:autoSpaceDN w:val="0"/>
              <w:spacing w:after="120" w:line="276" w:lineRule="auto"/>
              <w:jc w:val="both"/>
              <w:rPr>
                <w:rFonts w:ascii="Verdana" w:eastAsia="Arial MT" w:hAnsi="Verdana" w:cs="Arial"/>
                <w:lang w:eastAsia="es-ES" w:bidi="es-ES"/>
              </w:rPr>
            </w:pPr>
            <w:r>
              <w:rPr>
                <w:rFonts w:ascii="Verdana" w:eastAsia="Arial MT" w:hAnsi="Verdana" w:cs="Arial"/>
                <w:lang w:eastAsia="es-ES" w:bidi="es-ES"/>
              </w:rPr>
              <w:t xml:space="preserve">Téngase presente que el contrato estatal es solemne, por lo cual, la solicitud de modificación de un contrato estatal debe  constar por escrito, con el fin de que se pueda alcanzar existencia, validez y eficacia, ya que </w:t>
            </w:r>
            <w:r w:rsidRPr="00307B33">
              <w:rPr>
                <w:rFonts w:ascii="Verdana" w:eastAsia="Arial MT" w:hAnsi="Verdana" w:cs="Arial"/>
                <w:lang w:eastAsia="es-ES" w:bidi="es-ES"/>
              </w:rPr>
              <w:t>debe surtir el mismo proceso que se dio para su constitución, dado que el acuerdo modificatorio está tomando el lugar del acuerdo originario y la solemnidad que se predica legalmente del acuerdo originario, ha de ser exigida para reconocer existencia, validez y eficacia, al que lo modifica</w:t>
            </w:r>
            <w:r>
              <w:rPr>
                <w:rStyle w:val="Refdenotaalpie"/>
                <w:rFonts w:ascii="Verdana" w:eastAsia="Arial MT" w:hAnsi="Verdana" w:cs="Arial"/>
                <w:lang w:eastAsia="es-ES" w:bidi="es-ES"/>
              </w:rPr>
              <w:footnoteReference w:id="2"/>
            </w:r>
            <w:r>
              <w:rPr>
                <w:rFonts w:ascii="Verdana" w:eastAsia="Arial MT" w:hAnsi="Verdana" w:cs="Arial"/>
                <w:lang w:eastAsia="es-ES" w:bidi="es-ES"/>
              </w:rPr>
              <w:t>.</w:t>
            </w:r>
          </w:p>
          <w:p w14:paraId="598D6A19" w14:textId="77777777" w:rsidR="008C29F9" w:rsidRDefault="008C29F9" w:rsidP="00907B88">
            <w:pPr>
              <w:spacing w:after="120" w:line="276" w:lineRule="auto"/>
              <w:jc w:val="both"/>
              <w:rPr>
                <w:rFonts w:ascii="Verdana" w:eastAsia="Arial MT" w:hAnsi="Verdana" w:cs="Arial"/>
                <w:lang w:eastAsia="es-ES" w:bidi="es-ES"/>
              </w:rPr>
            </w:pPr>
            <w:r>
              <w:rPr>
                <w:rFonts w:ascii="Verdana" w:eastAsia="Arial MT" w:hAnsi="Verdana" w:cs="Arial"/>
                <w:lang w:eastAsia="es-ES" w:bidi="es-ES"/>
              </w:rPr>
              <w:t xml:space="preserve">Finalmente, es necesario tener en cuenta el </w:t>
            </w:r>
            <w:r w:rsidRPr="00014363">
              <w:rPr>
                <w:rFonts w:ascii="Verdana" w:eastAsia="Arial MT" w:hAnsi="Verdana" w:cs="Arial"/>
                <w:lang w:eastAsia="es-ES" w:bidi="es-ES"/>
              </w:rPr>
              <w:t xml:space="preserve">principio de publicidad </w:t>
            </w:r>
            <w:r>
              <w:rPr>
                <w:rFonts w:ascii="Verdana" w:eastAsia="Arial MT" w:hAnsi="Verdana" w:cs="Arial"/>
                <w:lang w:eastAsia="es-ES" w:bidi="es-ES"/>
              </w:rPr>
              <w:t xml:space="preserve">que </w:t>
            </w:r>
            <w:r w:rsidRPr="00014363">
              <w:rPr>
                <w:rFonts w:ascii="Verdana" w:eastAsia="Arial MT" w:hAnsi="Verdana" w:cs="Arial"/>
                <w:lang w:eastAsia="es-ES" w:bidi="es-ES"/>
              </w:rPr>
              <w:t>impone a las autoridades administrativas el deber de dar a conocer sus actos, contratos y decisiones, para que se divulguen y eventualmente se controlen las actuaciones</w:t>
            </w:r>
            <w:r>
              <w:rPr>
                <w:rFonts w:ascii="Verdana" w:eastAsia="Arial MT" w:hAnsi="Verdana" w:cs="Arial"/>
                <w:lang w:eastAsia="es-ES" w:bidi="es-ES"/>
              </w:rPr>
              <w:t xml:space="preserve">. </w:t>
            </w:r>
          </w:p>
          <w:p w14:paraId="212C3200" w14:textId="77777777" w:rsidR="008C29F9" w:rsidRPr="00593A5F" w:rsidRDefault="008C29F9" w:rsidP="00907B88">
            <w:pPr>
              <w:spacing w:before="120" w:line="276" w:lineRule="auto"/>
              <w:ind w:firstLine="709"/>
              <w:jc w:val="both"/>
              <w:rPr>
                <w:rFonts w:ascii="Verdana" w:eastAsia="Calibri" w:hAnsi="Verdana" w:cs="Arial"/>
                <w:color w:val="7030A0"/>
                <w:lang w:val="es-ES"/>
              </w:rPr>
            </w:pPr>
            <w:r>
              <w:rPr>
                <w:rFonts w:ascii="Verdana" w:eastAsia="Arial MT" w:hAnsi="Verdana" w:cs="Arial"/>
                <w:lang w:eastAsia="es-ES" w:bidi="es-ES"/>
              </w:rPr>
              <w:t xml:space="preserve">En concordancia con lo anterior, la modificación del contrato no es ajena al principio de publicidad, por lo cual deberá darse cumplimiento a la aplicación del </w:t>
            </w:r>
            <w:r w:rsidRPr="00E3217F">
              <w:rPr>
                <w:rFonts w:ascii="Verdana" w:eastAsia="Arial MT" w:hAnsi="Verdana" w:cs="Arial"/>
                <w:lang w:eastAsia="es-ES" w:bidi="es-ES"/>
              </w:rPr>
              <w:t>literal c) del artículo 3 de la Ley 1150 de 2007</w:t>
            </w:r>
            <w:r>
              <w:rPr>
                <w:rFonts w:ascii="Verdana" w:eastAsia="Arial MT" w:hAnsi="Verdana" w:cs="Arial"/>
                <w:lang w:eastAsia="es-ES" w:bidi="es-ES"/>
              </w:rPr>
              <w:t xml:space="preserve"> y del</w:t>
            </w:r>
            <w:r w:rsidRPr="002049AB">
              <w:rPr>
                <w:rFonts w:ascii="Verdana" w:eastAsia="Arial MT" w:hAnsi="Verdana" w:cs="Arial"/>
                <w:lang w:eastAsia="es-ES" w:bidi="es-ES"/>
              </w:rPr>
              <w:t xml:space="preserve"> artículo 2.2.1.1.1.7. </w:t>
            </w:r>
            <w:r w:rsidRPr="002049AB">
              <w:rPr>
                <w:rFonts w:ascii="Verdana" w:eastAsia="Arial MT" w:hAnsi="Verdana" w:cs="Arial"/>
                <w:lang w:eastAsia="es-ES" w:bidi="es-ES"/>
              </w:rPr>
              <w:lastRenderedPageBreak/>
              <w:t>del Decreto 1082 del 2015</w:t>
            </w:r>
            <w:r>
              <w:rPr>
                <w:rFonts w:ascii="Verdana" w:eastAsia="Arial MT" w:hAnsi="Verdana" w:cs="Arial"/>
                <w:lang w:eastAsia="es-ES" w:bidi="es-ES"/>
              </w:rPr>
              <w:t xml:space="preserve"> que </w:t>
            </w:r>
            <w:r w:rsidRPr="002049AB">
              <w:rPr>
                <w:rFonts w:ascii="Verdana" w:eastAsia="Arial MT" w:hAnsi="Verdana" w:cs="Arial"/>
                <w:lang w:eastAsia="es-ES" w:bidi="es-ES"/>
              </w:rPr>
              <w:t xml:space="preserve"> prescribe que “ La Entidad Estatal está obligada a publicar en el SECOP los Documentos del Proceso y los actos administrativos del Proceso de Contratación ( … ) ” , entiéndase documentos del proceso “ (a) los estudios y documentos previos; (b) el aviso de convocatoria; (c) los pliegos de condiciones o la invitación; (d) las Adendas; (e) la oferta; (f) el informe de evaluación; (g) el contrato</w:t>
            </w:r>
            <w:r w:rsidRPr="0028332F">
              <w:rPr>
                <w:rFonts w:ascii="Verdana" w:eastAsia="Arial MT" w:hAnsi="Verdana" w:cs="Arial"/>
                <w:b/>
                <w:bCs/>
                <w:lang w:eastAsia="es-ES" w:bidi="es-ES"/>
              </w:rPr>
              <w:t>; y cualquier otro documento expedido por la Entidad Estatal durante el Proceso de Contratación</w:t>
            </w:r>
            <w:r w:rsidRPr="002049AB">
              <w:rPr>
                <w:rFonts w:ascii="Verdana" w:eastAsia="Arial MT" w:hAnsi="Verdana" w:cs="Arial"/>
                <w:lang w:eastAsia="es-ES" w:bidi="es-ES"/>
              </w:rPr>
              <w:t xml:space="preserve"> ”</w:t>
            </w:r>
            <w:r>
              <w:rPr>
                <w:rFonts w:ascii="Verdana" w:eastAsia="Arial MT" w:hAnsi="Verdana" w:cs="Arial"/>
                <w:lang w:eastAsia="es-ES" w:bidi="es-ES"/>
              </w:rPr>
              <w:t>; en ese sentido, cualquier modificación efectuada al contrato deberá ser publicada ante el SECOP I o II conforme a la obligatoriedad de la entidad.</w:t>
            </w:r>
            <w:r w:rsidRPr="002E2804">
              <w:rPr>
                <w:rFonts w:ascii="Verdana" w:eastAsia="Calibri" w:hAnsi="Verdana" w:cs="Arial"/>
                <w:color w:val="000000" w:themeColor="text1"/>
                <w:lang w:val="es-ES_tradnl"/>
              </w:rPr>
              <w:t xml:space="preserve"> </w:t>
            </w:r>
          </w:p>
        </w:tc>
      </w:tr>
      <w:tr w:rsidR="008C29F9" w:rsidRPr="00593A5F" w14:paraId="2966A0AA" w14:textId="77777777" w:rsidTr="00907B88">
        <w:tc>
          <w:tcPr>
            <w:tcW w:w="8828" w:type="dxa"/>
            <w:shd w:val="clear" w:color="auto" w:fill="auto"/>
          </w:tcPr>
          <w:p w14:paraId="5021527F" w14:textId="77777777" w:rsidR="008C29F9" w:rsidRPr="002973E9" w:rsidRDefault="008C29F9" w:rsidP="00907B88">
            <w:pPr>
              <w:spacing w:line="276" w:lineRule="auto"/>
              <w:jc w:val="both"/>
              <w:rPr>
                <w:rFonts w:ascii="Verdana" w:eastAsia="Calibri" w:hAnsi="Verdana" w:cs="Arial"/>
                <w:lang w:val="es-ES"/>
              </w:rPr>
            </w:pPr>
          </w:p>
        </w:tc>
      </w:tr>
    </w:tbl>
    <w:p w14:paraId="612E5B05" w14:textId="77777777" w:rsidR="008C29F9" w:rsidRDefault="008C29F9" w:rsidP="008C29F9">
      <w:pPr>
        <w:tabs>
          <w:tab w:val="left" w:pos="142"/>
          <w:tab w:val="left" w:pos="284"/>
        </w:tabs>
        <w:spacing w:after="0" w:line="276" w:lineRule="auto"/>
        <w:jc w:val="both"/>
        <w:rPr>
          <w:rFonts w:ascii="Verdana" w:eastAsia="Century Gothic" w:hAnsi="Verdana" w:cs="Century Gothic"/>
          <w:b/>
          <w:bCs/>
          <w:lang w:val="es-ES"/>
        </w:rPr>
      </w:pPr>
    </w:p>
    <w:p w14:paraId="4A66B0AC" w14:textId="77777777" w:rsidR="008C29F9" w:rsidRPr="00593A5F" w:rsidRDefault="008C29F9" w:rsidP="008C29F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09498DD" w14:textId="77777777" w:rsidR="008C29F9" w:rsidRPr="00593A5F" w:rsidRDefault="008C29F9" w:rsidP="008C29F9">
      <w:pPr>
        <w:spacing w:after="0" w:line="276" w:lineRule="auto"/>
        <w:jc w:val="both"/>
        <w:rPr>
          <w:rFonts w:ascii="Verdana" w:eastAsia="Calibri" w:hAnsi="Verdana" w:cs="Arial"/>
          <w:color w:val="7030A0"/>
          <w:lang w:val="es-ES"/>
        </w:rPr>
      </w:pPr>
    </w:p>
    <w:p w14:paraId="3FB94315" w14:textId="77777777" w:rsidR="008C29F9" w:rsidRPr="00D23A72" w:rsidRDefault="008C29F9" w:rsidP="008C29F9">
      <w:pPr>
        <w:spacing w:after="0" w:line="276" w:lineRule="auto"/>
        <w:jc w:val="both"/>
        <w:rPr>
          <w:rFonts w:ascii="Verdana" w:eastAsia="Calibri" w:hAnsi="Verdana" w:cs="Arial"/>
          <w:lang w:val="es-ES"/>
        </w:rPr>
      </w:pPr>
      <w:r w:rsidRPr="00D23A72">
        <w:rPr>
          <w:rFonts w:ascii="Verdana" w:eastAsia="Calibri" w:hAnsi="Verdana" w:cs="Arial"/>
          <w:lang w:val="es-ES"/>
        </w:rPr>
        <w:t xml:space="preserve">Lo anterior se sustenta en las siguientes consideraciones: </w:t>
      </w:r>
    </w:p>
    <w:p w14:paraId="414F4C94" w14:textId="77777777" w:rsidR="008C29F9" w:rsidRPr="00D23A72" w:rsidRDefault="008C29F9" w:rsidP="008C29F9">
      <w:pPr>
        <w:spacing w:after="0" w:line="276" w:lineRule="auto"/>
        <w:jc w:val="both"/>
        <w:rPr>
          <w:rFonts w:ascii="Verdana" w:eastAsia="Calibri" w:hAnsi="Verdana" w:cs="Arial"/>
          <w:lang w:val="es-ES"/>
        </w:rPr>
      </w:pPr>
    </w:p>
    <w:p w14:paraId="1A399C57" w14:textId="77777777" w:rsidR="008C29F9" w:rsidRDefault="008C29F9" w:rsidP="008C29F9">
      <w:pPr>
        <w:tabs>
          <w:tab w:val="left" w:pos="284"/>
        </w:tabs>
        <w:spacing w:line="276" w:lineRule="auto"/>
        <w:jc w:val="both"/>
        <w:rPr>
          <w:rFonts w:ascii="Verdana" w:hAnsi="Verdana" w:cs="Arial"/>
        </w:rPr>
      </w:pPr>
      <w:r w:rsidRPr="00D23A72">
        <w:rPr>
          <w:rFonts w:ascii="Verdana" w:hAnsi="Verdana" w:cs="Arial"/>
        </w:rPr>
        <w:t xml:space="preserve">El Estatuto General de Contratación de la Administración Pública, contenido en las Leyes 80 de 1993 y 1150 de 2007, así como en las normas que las han modificado y las reglamentan, no consagran una regulación expresa sobre la posibilidad de modificar los contratos celebrados por las Entidades Estatales. </w:t>
      </w:r>
    </w:p>
    <w:p w14:paraId="2F2F6F87" w14:textId="77777777" w:rsidR="008C29F9" w:rsidRPr="00D23A72" w:rsidRDefault="008C29F9" w:rsidP="008C29F9">
      <w:pPr>
        <w:tabs>
          <w:tab w:val="left" w:pos="284"/>
        </w:tabs>
        <w:spacing w:line="276" w:lineRule="auto"/>
        <w:jc w:val="both"/>
        <w:rPr>
          <w:rFonts w:ascii="Verdana" w:hAnsi="Verdana" w:cs="Arial"/>
        </w:rPr>
      </w:pPr>
      <w:r>
        <w:rPr>
          <w:rFonts w:ascii="Verdana" w:hAnsi="Verdana" w:cs="Arial"/>
        </w:rPr>
        <w:tab/>
      </w:r>
      <w:r>
        <w:rPr>
          <w:rFonts w:ascii="Verdana" w:hAnsi="Verdana" w:cs="Arial"/>
        </w:rPr>
        <w:tab/>
      </w:r>
      <w:r w:rsidRPr="00D23A72">
        <w:rPr>
          <w:rFonts w:ascii="Verdana" w:hAnsi="Verdana" w:cs="Arial"/>
        </w:rPr>
        <w:t>Ello encuentra sustento en que, en principio, los contratos deben ejecutarse en las condiciones pactadas inicialmente, pues tales condiciones fueron convenidas luego de que la Entidad Estatal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w:t>
      </w:r>
      <w:r>
        <w:rPr>
          <w:rFonts w:ascii="Verdana" w:hAnsi="Verdana" w:cs="Arial"/>
        </w:rPr>
        <w:t xml:space="preserve"> </w:t>
      </w:r>
      <w:r w:rsidRPr="00D23A72">
        <w:rPr>
          <w:rFonts w:ascii="Verdana" w:hAnsi="Verdana" w:cs="Arial"/>
        </w:rPr>
        <w:t>los porcentajes límite para adicionar los valores inicialmente pactados, como lo hace el artículo 40 de la Ley 80 de 1993</w:t>
      </w:r>
      <w:r w:rsidRPr="00EC7006">
        <w:rPr>
          <w:rFonts w:ascii="Arial" w:eastAsia="Arial" w:hAnsi="Arial" w:cs="Arial"/>
          <w:vertAlign w:val="superscript"/>
          <w:lang w:val="es-MX" w:eastAsia="es-ES" w:bidi="es-ES"/>
        </w:rPr>
        <w:footnoteReference w:id="3"/>
      </w:r>
      <w:r w:rsidRPr="00D23A72">
        <w:rPr>
          <w:rFonts w:ascii="Verdana" w:hAnsi="Verdana" w:cs="Arial"/>
        </w:rPr>
        <w:t xml:space="preserve">.  </w:t>
      </w:r>
    </w:p>
    <w:p w14:paraId="49D6512E" w14:textId="77777777" w:rsidR="008C29F9" w:rsidRDefault="008C29F9" w:rsidP="008C29F9">
      <w:pPr>
        <w:tabs>
          <w:tab w:val="left" w:pos="284"/>
        </w:tabs>
        <w:spacing w:after="0" w:line="276" w:lineRule="auto"/>
        <w:jc w:val="both"/>
        <w:rPr>
          <w:rFonts w:ascii="Verdana" w:hAnsi="Verdana" w:cs="Arial"/>
        </w:rPr>
      </w:pPr>
      <w:r>
        <w:rPr>
          <w:rFonts w:ascii="Verdana" w:hAnsi="Verdana" w:cs="Arial"/>
        </w:rPr>
        <w:tab/>
      </w:r>
      <w:r>
        <w:rPr>
          <w:rFonts w:ascii="Verdana" w:hAnsi="Verdana" w:cs="Arial"/>
        </w:rPr>
        <w:tab/>
      </w:r>
      <w:r w:rsidRPr="00D23A72">
        <w:rPr>
          <w:rFonts w:ascii="Verdana" w:hAnsi="Verdana" w:cs="Arial"/>
        </w:rPr>
        <w:t xml:space="preserve">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generales conforme a las cuales </w:t>
      </w:r>
      <w:r w:rsidRPr="00D23A72">
        <w:rPr>
          <w:rFonts w:ascii="Verdana" w:hAnsi="Verdana" w:cs="Arial"/>
        </w:rPr>
        <w:lastRenderedPageBreak/>
        <w:t>la Administración Pública debe evaluar, teniendo cuenta las particularidades de cada caso, si resulta procedente suscribir documentos de modificación a los contratos que ha celebrado. Así, por ejemplo, la Corte Constitucional, mediante sentencia C - 416 de 2012</w:t>
      </w:r>
      <w:r>
        <w:rPr>
          <w:rStyle w:val="Refdenotaalpie"/>
          <w:rFonts w:ascii="Arial" w:eastAsia="Arial" w:hAnsi="Arial" w:cs="Arial"/>
          <w:lang w:val="es-ES" w:eastAsia="es-ES" w:bidi="es-ES"/>
        </w:rPr>
        <w:footnoteReference w:id="4"/>
      </w:r>
      <w:r w:rsidRPr="00D23A72">
        <w:rPr>
          <w:rFonts w:ascii="Verdana" w:hAnsi="Verdana" w:cs="Arial"/>
        </w:rPr>
        <w:t>, expresó lo siguiente sobre la posibilidad de modificar los contratos estatales:</w:t>
      </w:r>
    </w:p>
    <w:p w14:paraId="3DF521F6" w14:textId="77777777" w:rsidR="008C29F9" w:rsidRDefault="008C29F9" w:rsidP="008C29F9">
      <w:pPr>
        <w:tabs>
          <w:tab w:val="left" w:pos="284"/>
        </w:tabs>
        <w:spacing w:after="0" w:line="276" w:lineRule="auto"/>
        <w:jc w:val="both"/>
        <w:rPr>
          <w:rFonts w:ascii="Verdana" w:hAnsi="Verdana" w:cs="Arial"/>
        </w:rPr>
      </w:pPr>
    </w:p>
    <w:p w14:paraId="0024A274" w14:textId="77777777" w:rsidR="008C29F9" w:rsidRDefault="008C29F9" w:rsidP="008C29F9">
      <w:pPr>
        <w:tabs>
          <w:tab w:val="left" w:pos="284"/>
        </w:tabs>
        <w:spacing w:after="0" w:line="240" w:lineRule="auto"/>
        <w:ind w:left="1049" w:right="709"/>
        <w:jc w:val="both"/>
        <w:rPr>
          <w:rFonts w:ascii="Verdana" w:hAnsi="Verdana" w:cs="Arial"/>
          <w:sz w:val="21"/>
          <w:szCs w:val="21"/>
          <w:lang w:val="es-ES"/>
        </w:rPr>
      </w:pPr>
      <w:r>
        <w:rPr>
          <w:rFonts w:ascii="Verdana" w:hAnsi="Verdana" w:cs="Arial"/>
          <w:sz w:val="21"/>
          <w:szCs w:val="21"/>
        </w:rPr>
        <w:t>“</w:t>
      </w:r>
      <w:r w:rsidRPr="00A677A9">
        <w:rPr>
          <w:rFonts w:ascii="Verdana" w:hAnsi="Verdana" w:cs="Arial"/>
          <w:sz w:val="21"/>
          <w:szCs w:val="21"/>
        </w:rPr>
        <w:t>Por regla general, los contratos estatales pueden ser modificados cuando sea necesario para lograr su finalidad y en aras de la realización de los fines del Estado, a los cuales sirve el contrato</w:t>
      </w:r>
      <w:r w:rsidRPr="003A0A80">
        <w:rPr>
          <w:rFonts w:ascii="Arial" w:eastAsia="Arial" w:hAnsi="Arial" w:cs="Arial"/>
          <w:sz w:val="20"/>
          <w:szCs w:val="20"/>
          <w:vertAlign w:val="superscript"/>
          <w:lang w:val="es-ES" w:eastAsia="es-ES" w:bidi="es-ES"/>
        </w:rPr>
        <w:footnoteReference w:id="5"/>
      </w:r>
      <w:r>
        <w:rPr>
          <w:rFonts w:ascii="Verdana" w:hAnsi="Verdana" w:cs="Arial"/>
          <w:sz w:val="21"/>
          <w:szCs w:val="21"/>
        </w:rPr>
        <w:t xml:space="preserve">. </w:t>
      </w:r>
      <w:r w:rsidRPr="00A677A9">
        <w:rPr>
          <w:rFonts w:ascii="Verdana" w:hAnsi="Verdana" w:cs="Arial"/>
          <w:sz w:val="21"/>
          <w:szCs w:val="21"/>
        </w:rPr>
        <w:t xml:space="preserve">Así lo prevén por ejemplo los artículos 14 y 16 de la ley 80, los cuales facultan a las entidades contratantes a modificar los contratos de común acuerdo o de forma unilateral, para </w:t>
      </w:r>
      <w:r>
        <w:rPr>
          <w:rFonts w:ascii="Verdana" w:hAnsi="Verdana" w:cs="Arial"/>
          <w:sz w:val="21"/>
          <w:szCs w:val="21"/>
        </w:rPr>
        <w:t>“</w:t>
      </w:r>
      <w:r w:rsidRPr="00A677A9">
        <w:rPr>
          <w:rFonts w:ascii="Verdana" w:hAnsi="Verdana" w:cs="Arial"/>
          <w:sz w:val="21"/>
          <w:szCs w:val="21"/>
        </w:rPr>
        <w:t>[…] evitar la paralización o la afectación grave de los servicios públicos a su cargo y asegurar la inmediata, continua y adecuada prestación”, entre otros. En el mismo sentido, en la sentencia C-949 de 2001</w:t>
      </w:r>
      <w:r w:rsidRPr="003A0A80">
        <w:rPr>
          <w:rFonts w:ascii="Arial" w:eastAsia="Arial" w:hAnsi="Arial" w:cs="Arial"/>
          <w:sz w:val="20"/>
          <w:szCs w:val="20"/>
          <w:vertAlign w:val="superscript"/>
          <w:lang w:val="es-ES" w:eastAsia="es-ES" w:bidi="es-ES"/>
        </w:rPr>
        <w:footnoteReference w:id="6"/>
      </w:r>
      <w:r w:rsidRPr="00A677A9">
        <w:rPr>
          <w:rFonts w:ascii="Verdana" w:hAnsi="Verdana" w:cs="Arial"/>
          <w:sz w:val="21"/>
          <w:szCs w:val="21"/>
        </w:rPr>
        <w:t>, la Corte Constitucional señaló que las prórrogas de los contratos –como especie de modificación- pueden ser un instrumento útil para lograr los fines propios de la contratación estatal</w:t>
      </w:r>
      <w:r w:rsidRPr="003A0A80">
        <w:rPr>
          <w:rFonts w:ascii="Arial" w:eastAsia="Arial" w:hAnsi="Arial" w:cs="Arial"/>
          <w:sz w:val="20"/>
          <w:szCs w:val="20"/>
          <w:vertAlign w:val="superscript"/>
          <w:lang w:val="es-ES" w:eastAsia="es-ES" w:bidi="es-ES"/>
        </w:rPr>
        <w:footnoteReference w:id="7"/>
      </w:r>
      <w:r>
        <w:rPr>
          <w:rFonts w:ascii="Verdana" w:hAnsi="Verdana" w:cs="Arial"/>
          <w:sz w:val="21"/>
          <w:szCs w:val="21"/>
          <w:lang w:val="es-ES"/>
        </w:rPr>
        <w:t>.</w:t>
      </w:r>
    </w:p>
    <w:p w14:paraId="1878E594" w14:textId="77777777" w:rsidR="008C29F9" w:rsidRPr="005C7610" w:rsidRDefault="008C29F9" w:rsidP="008C29F9">
      <w:pPr>
        <w:tabs>
          <w:tab w:val="left" w:pos="284"/>
        </w:tabs>
        <w:spacing w:after="0" w:line="240" w:lineRule="auto"/>
        <w:ind w:left="1049" w:right="709"/>
        <w:jc w:val="both"/>
        <w:rPr>
          <w:rFonts w:ascii="Verdana" w:hAnsi="Verdana" w:cs="Arial"/>
          <w:sz w:val="21"/>
          <w:szCs w:val="21"/>
          <w:lang w:val="es-ES"/>
        </w:rPr>
      </w:pPr>
    </w:p>
    <w:p w14:paraId="710C2366" w14:textId="77777777" w:rsidR="008C29F9" w:rsidRDefault="008C29F9" w:rsidP="008C29F9">
      <w:pPr>
        <w:tabs>
          <w:tab w:val="left" w:pos="284"/>
        </w:tabs>
        <w:spacing w:after="0" w:line="240" w:lineRule="auto"/>
        <w:ind w:left="1049" w:right="709"/>
        <w:jc w:val="both"/>
        <w:rPr>
          <w:rFonts w:ascii="Verdana" w:hAnsi="Verdana" w:cs="Arial"/>
          <w:sz w:val="21"/>
          <w:szCs w:val="21"/>
        </w:rPr>
      </w:pPr>
      <w:r w:rsidRPr="00A677A9">
        <w:rPr>
          <w:rFonts w:ascii="Verdana" w:hAnsi="Verdana" w:cs="Arial"/>
          <w:sz w:val="21"/>
          <w:szCs w:val="21"/>
        </w:rPr>
        <w:t xml:space="preserve">[…] </w:t>
      </w:r>
    </w:p>
    <w:p w14:paraId="79B6F6F2" w14:textId="77777777" w:rsidR="008C29F9" w:rsidRPr="00A677A9" w:rsidRDefault="008C29F9" w:rsidP="008C29F9">
      <w:pPr>
        <w:tabs>
          <w:tab w:val="left" w:pos="284"/>
        </w:tabs>
        <w:spacing w:after="0" w:line="240" w:lineRule="auto"/>
        <w:ind w:left="1049" w:right="709"/>
        <w:jc w:val="both"/>
        <w:rPr>
          <w:rFonts w:ascii="Verdana" w:hAnsi="Verdana" w:cs="Arial"/>
          <w:sz w:val="21"/>
          <w:szCs w:val="21"/>
        </w:rPr>
      </w:pPr>
    </w:p>
    <w:p w14:paraId="7B2C8DBC" w14:textId="77777777" w:rsidR="008C29F9" w:rsidRDefault="008C29F9" w:rsidP="008C29F9">
      <w:pPr>
        <w:tabs>
          <w:tab w:val="left" w:pos="284"/>
        </w:tabs>
        <w:spacing w:after="0" w:line="240" w:lineRule="auto"/>
        <w:ind w:left="1049" w:right="709"/>
        <w:jc w:val="both"/>
        <w:rPr>
          <w:rFonts w:ascii="Verdana" w:hAnsi="Verdana" w:cs="Arial"/>
          <w:sz w:val="21"/>
          <w:szCs w:val="21"/>
        </w:rPr>
      </w:pPr>
      <w:r w:rsidRPr="00A677A9">
        <w:rPr>
          <w:rFonts w:ascii="Verdana" w:hAnsi="Verdana" w:cs="Arial"/>
          <w:sz w:val="21"/>
          <w:szCs w:val="21"/>
        </w:rPr>
        <w:t xml:space="preserve">La modificación de los contratos estatales es especialmente importante en aquellos por naturaleza incompletos, es decir, (i) los afectados por asimetrías de información que impiden la previsión de todas las contingencias que pueden afectar su ejecución, y (ii)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 </w:t>
      </w:r>
    </w:p>
    <w:p w14:paraId="77464DD2" w14:textId="77777777" w:rsidR="008C29F9" w:rsidRPr="00A677A9" w:rsidRDefault="008C29F9" w:rsidP="008C29F9">
      <w:pPr>
        <w:tabs>
          <w:tab w:val="left" w:pos="284"/>
        </w:tabs>
        <w:spacing w:after="0" w:line="240" w:lineRule="auto"/>
        <w:ind w:left="1049" w:right="709"/>
        <w:jc w:val="both"/>
        <w:rPr>
          <w:rFonts w:ascii="Verdana" w:hAnsi="Verdana" w:cs="Arial"/>
          <w:sz w:val="21"/>
          <w:szCs w:val="21"/>
        </w:rPr>
      </w:pPr>
    </w:p>
    <w:p w14:paraId="5F245A1D" w14:textId="77777777" w:rsidR="008C29F9" w:rsidRDefault="008C29F9" w:rsidP="008C29F9">
      <w:pPr>
        <w:tabs>
          <w:tab w:val="left" w:pos="284"/>
        </w:tabs>
        <w:spacing w:after="0" w:line="240" w:lineRule="auto"/>
        <w:ind w:left="1049" w:right="709"/>
        <w:jc w:val="both"/>
        <w:rPr>
          <w:rFonts w:ascii="Verdana" w:hAnsi="Verdana" w:cs="Arial"/>
          <w:sz w:val="21"/>
          <w:szCs w:val="21"/>
        </w:rPr>
      </w:pPr>
      <w:r w:rsidRPr="00A677A9">
        <w:rPr>
          <w:rFonts w:ascii="Verdana" w:hAnsi="Verdana" w:cs="Arial"/>
          <w:sz w:val="21"/>
          <w:szCs w:val="21"/>
        </w:rPr>
        <w:lastRenderedPageBreak/>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r>
        <w:rPr>
          <w:rFonts w:ascii="Verdana" w:hAnsi="Verdana" w:cs="Arial"/>
          <w:sz w:val="21"/>
          <w:szCs w:val="21"/>
        </w:rPr>
        <w:t>”.</w:t>
      </w:r>
    </w:p>
    <w:p w14:paraId="10A1E8E0" w14:textId="77777777" w:rsidR="008C29F9" w:rsidRPr="00A677A9" w:rsidRDefault="008C29F9" w:rsidP="008C29F9">
      <w:pPr>
        <w:tabs>
          <w:tab w:val="left" w:pos="284"/>
        </w:tabs>
        <w:spacing w:after="0" w:line="240" w:lineRule="auto"/>
        <w:ind w:left="1049" w:right="709"/>
        <w:jc w:val="both"/>
        <w:rPr>
          <w:rFonts w:ascii="Verdana" w:eastAsia="Arial MT" w:hAnsi="Verdana" w:cs="Arial"/>
        </w:rPr>
      </w:pPr>
    </w:p>
    <w:p w14:paraId="2E6F80CA" w14:textId="77777777" w:rsidR="008C29F9" w:rsidRDefault="008C29F9" w:rsidP="008C29F9">
      <w:pPr>
        <w:widowControl w:val="0"/>
        <w:autoSpaceDE w:val="0"/>
        <w:autoSpaceDN w:val="0"/>
        <w:spacing w:after="0" w:line="276" w:lineRule="auto"/>
        <w:ind w:right="-2" w:firstLine="709"/>
        <w:jc w:val="both"/>
        <w:rPr>
          <w:rFonts w:ascii="Verdana" w:hAnsi="Verdana" w:cs="Arial"/>
        </w:rPr>
      </w:pPr>
      <w:r w:rsidRPr="001432E1">
        <w:rPr>
          <w:rFonts w:ascii="Verdana" w:hAnsi="Verdana" w:cs="Arial"/>
        </w:rPr>
        <w:t>A su turno, el Consejo de Estado</w:t>
      </w:r>
      <w:r w:rsidRPr="001432E1">
        <w:rPr>
          <w:rFonts w:ascii="Verdana" w:hAnsi="Verdana" w:cs="Arial"/>
          <w:vertAlign w:val="superscript"/>
        </w:rPr>
        <w:footnoteReference w:id="8"/>
      </w:r>
      <w:r w:rsidRPr="001432E1">
        <w:rPr>
          <w:rFonts w:ascii="Verdana" w:hAnsi="Verdana" w:cs="Arial"/>
        </w:rPr>
        <w:t>, ha expresado lo siguiente sobre el asunto:</w:t>
      </w:r>
    </w:p>
    <w:p w14:paraId="06AC8DB1" w14:textId="77777777" w:rsidR="008C29F9" w:rsidRDefault="008C29F9" w:rsidP="008C29F9">
      <w:pPr>
        <w:widowControl w:val="0"/>
        <w:autoSpaceDE w:val="0"/>
        <w:autoSpaceDN w:val="0"/>
        <w:spacing w:after="0" w:line="276" w:lineRule="auto"/>
        <w:ind w:right="-2" w:firstLine="709"/>
        <w:jc w:val="both"/>
        <w:rPr>
          <w:rFonts w:ascii="Verdana" w:hAnsi="Verdana" w:cs="Arial"/>
        </w:rPr>
      </w:pPr>
    </w:p>
    <w:p w14:paraId="24C47DA5" w14:textId="77777777" w:rsidR="008C29F9" w:rsidRDefault="008C29F9" w:rsidP="008C29F9">
      <w:pPr>
        <w:tabs>
          <w:tab w:val="left" w:pos="284"/>
        </w:tabs>
        <w:spacing w:after="0" w:line="240" w:lineRule="auto"/>
        <w:ind w:left="1049" w:right="709"/>
        <w:jc w:val="both"/>
        <w:rPr>
          <w:rFonts w:ascii="Verdana" w:hAnsi="Verdana" w:cs="Arial"/>
          <w:sz w:val="21"/>
          <w:szCs w:val="21"/>
        </w:rPr>
      </w:pPr>
      <w:r w:rsidRPr="00680411">
        <w:rPr>
          <w:rFonts w:ascii="Verdana" w:hAnsi="Verdana" w:cs="Arial"/>
          <w:sz w:val="21"/>
          <w:szCs w:val="21"/>
        </w:rPr>
        <w:t>“La contratación estatal responde de múltiples maneras a ese mandato y, en cuanto al concepto que se emite, se resalta que la posibilidad de modificar los contratos estatales es una especial forma de hacer prevalecer la finalidad del contrato sobre los restantes elementos del mismo.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2114DB37" w14:textId="77777777" w:rsidR="008C29F9" w:rsidRPr="00680411" w:rsidRDefault="008C29F9" w:rsidP="008C29F9">
      <w:pPr>
        <w:tabs>
          <w:tab w:val="left" w:pos="284"/>
        </w:tabs>
        <w:spacing w:after="0" w:line="240" w:lineRule="auto"/>
        <w:ind w:left="1049" w:right="709"/>
        <w:jc w:val="both"/>
        <w:rPr>
          <w:rFonts w:ascii="Verdana" w:hAnsi="Verdana" w:cs="Arial"/>
          <w:sz w:val="21"/>
          <w:szCs w:val="21"/>
        </w:rPr>
      </w:pPr>
    </w:p>
    <w:p w14:paraId="382A9044" w14:textId="77777777" w:rsidR="008C29F9" w:rsidRDefault="008C29F9" w:rsidP="008C29F9">
      <w:pPr>
        <w:tabs>
          <w:tab w:val="left" w:pos="284"/>
        </w:tabs>
        <w:spacing w:after="0" w:line="240" w:lineRule="auto"/>
        <w:ind w:left="1049" w:right="709"/>
        <w:jc w:val="both"/>
        <w:rPr>
          <w:rFonts w:ascii="Verdana" w:hAnsi="Verdana" w:cs="Arial"/>
          <w:sz w:val="21"/>
          <w:szCs w:val="21"/>
        </w:rPr>
      </w:pPr>
      <w:r w:rsidRPr="00680411">
        <w:rPr>
          <w:rFonts w:ascii="Verdana" w:hAnsi="Verdana" w:cs="Arial"/>
          <w:sz w:val="21"/>
          <w:szCs w:val="21"/>
        </w:rPr>
        <w:t>[…]</w:t>
      </w:r>
    </w:p>
    <w:p w14:paraId="53ED5EE3" w14:textId="77777777" w:rsidR="008C29F9" w:rsidRPr="00680411" w:rsidRDefault="008C29F9" w:rsidP="008C29F9">
      <w:pPr>
        <w:tabs>
          <w:tab w:val="left" w:pos="284"/>
        </w:tabs>
        <w:spacing w:after="0" w:line="240" w:lineRule="auto"/>
        <w:ind w:left="1049" w:right="709"/>
        <w:jc w:val="both"/>
        <w:rPr>
          <w:rFonts w:ascii="Verdana" w:hAnsi="Verdana" w:cs="Arial"/>
          <w:sz w:val="21"/>
          <w:szCs w:val="21"/>
        </w:rPr>
      </w:pPr>
    </w:p>
    <w:p w14:paraId="545E10AB" w14:textId="77777777" w:rsidR="008C29F9" w:rsidRDefault="008C29F9" w:rsidP="008C29F9">
      <w:pPr>
        <w:tabs>
          <w:tab w:val="left" w:pos="284"/>
        </w:tabs>
        <w:spacing w:after="0" w:line="240" w:lineRule="auto"/>
        <w:ind w:left="1049" w:right="709"/>
        <w:jc w:val="both"/>
        <w:rPr>
          <w:rFonts w:ascii="Verdana" w:hAnsi="Verdana" w:cs="Arial"/>
          <w:sz w:val="21"/>
          <w:szCs w:val="21"/>
        </w:rPr>
      </w:pPr>
      <w:r w:rsidRPr="00680411">
        <w:rPr>
          <w:rFonts w:ascii="Verdana" w:hAnsi="Verdana" w:cs="Arial"/>
          <w:sz w:val="21"/>
          <w:szCs w:val="21"/>
        </w:rPr>
        <w:t xml:space="preserve">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w:t>
      </w:r>
      <w:r w:rsidRPr="00680411">
        <w:rPr>
          <w:rFonts w:ascii="Verdana" w:hAnsi="Verdana" w:cs="Arial"/>
          <w:sz w:val="21"/>
          <w:szCs w:val="21"/>
        </w:rPr>
        <w:lastRenderedPageBreak/>
        <w:t>las ideas de una causa cierta y unos fines públicos que hay que salvaguardar.</w:t>
      </w:r>
    </w:p>
    <w:p w14:paraId="37B240AB" w14:textId="77777777" w:rsidR="008C29F9" w:rsidRPr="00680411" w:rsidRDefault="008C29F9" w:rsidP="008C29F9">
      <w:pPr>
        <w:tabs>
          <w:tab w:val="left" w:pos="284"/>
        </w:tabs>
        <w:spacing w:after="0" w:line="240" w:lineRule="auto"/>
        <w:ind w:left="1049" w:right="709"/>
        <w:jc w:val="both"/>
        <w:rPr>
          <w:rFonts w:ascii="Verdana" w:hAnsi="Verdana" w:cs="Arial"/>
          <w:sz w:val="21"/>
          <w:szCs w:val="21"/>
        </w:rPr>
      </w:pPr>
    </w:p>
    <w:p w14:paraId="4C67C413" w14:textId="77777777" w:rsidR="008C29F9" w:rsidRDefault="008C29F9" w:rsidP="008C29F9">
      <w:pPr>
        <w:tabs>
          <w:tab w:val="left" w:pos="284"/>
        </w:tabs>
        <w:spacing w:after="0" w:line="240" w:lineRule="auto"/>
        <w:ind w:left="1049" w:right="709"/>
        <w:jc w:val="both"/>
        <w:rPr>
          <w:rFonts w:ascii="Verdana" w:hAnsi="Verdana" w:cs="Arial"/>
          <w:sz w:val="21"/>
          <w:szCs w:val="21"/>
        </w:rPr>
      </w:pPr>
      <w:r w:rsidRPr="00680411">
        <w:rPr>
          <w:rFonts w:ascii="Verdana" w:hAnsi="Verdana" w:cs="Arial"/>
          <w:sz w:val="21"/>
          <w:szCs w:val="21"/>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43D9F295" w14:textId="77777777" w:rsidR="008C29F9" w:rsidRPr="00680411" w:rsidRDefault="008C29F9" w:rsidP="008C29F9">
      <w:pPr>
        <w:tabs>
          <w:tab w:val="left" w:pos="284"/>
        </w:tabs>
        <w:spacing w:after="0" w:line="240" w:lineRule="auto"/>
        <w:ind w:left="1049" w:right="709"/>
        <w:jc w:val="both"/>
        <w:rPr>
          <w:rFonts w:ascii="Verdana" w:hAnsi="Verdana" w:cs="Arial"/>
          <w:sz w:val="21"/>
          <w:szCs w:val="21"/>
        </w:rPr>
      </w:pPr>
    </w:p>
    <w:p w14:paraId="1B3C0444" w14:textId="77777777" w:rsidR="008C29F9" w:rsidRDefault="008C29F9" w:rsidP="008C29F9">
      <w:pPr>
        <w:tabs>
          <w:tab w:val="left" w:pos="284"/>
        </w:tabs>
        <w:spacing w:after="0" w:line="240" w:lineRule="auto"/>
        <w:ind w:left="1049" w:right="709"/>
        <w:jc w:val="both"/>
        <w:rPr>
          <w:rFonts w:ascii="Verdana" w:hAnsi="Verdana" w:cs="Arial"/>
          <w:sz w:val="21"/>
          <w:szCs w:val="21"/>
        </w:rPr>
      </w:pPr>
      <w:r w:rsidRPr="00680411">
        <w:rPr>
          <w:rFonts w:ascii="Verdana" w:hAnsi="Verdana" w:cs="Arial"/>
          <w:sz w:val="21"/>
          <w:szCs w:val="21"/>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p>
    <w:p w14:paraId="687C58C7" w14:textId="77777777" w:rsidR="008C29F9" w:rsidRDefault="008C29F9" w:rsidP="008C29F9">
      <w:pPr>
        <w:tabs>
          <w:tab w:val="left" w:pos="284"/>
        </w:tabs>
        <w:spacing w:after="0" w:line="240" w:lineRule="auto"/>
        <w:ind w:left="1049" w:right="709"/>
        <w:jc w:val="both"/>
        <w:rPr>
          <w:rFonts w:ascii="Verdana" w:hAnsi="Verdana" w:cs="Arial"/>
          <w:sz w:val="21"/>
          <w:szCs w:val="21"/>
        </w:rPr>
      </w:pPr>
    </w:p>
    <w:p w14:paraId="0566AD5A" w14:textId="77777777" w:rsidR="008C29F9" w:rsidRDefault="008C29F9" w:rsidP="008C29F9">
      <w:pPr>
        <w:widowControl w:val="0"/>
        <w:autoSpaceDE w:val="0"/>
        <w:autoSpaceDN w:val="0"/>
        <w:spacing w:after="0" w:line="276" w:lineRule="auto"/>
        <w:ind w:right="-2" w:firstLine="709"/>
        <w:jc w:val="both"/>
        <w:rPr>
          <w:rFonts w:ascii="Verdana" w:eastAsia="Arial" w:hAnsi="Verdana" w:cs="Arial"/>
          <w:lang w:val="es-MX" w:eastAsia="es-ES" w:bidi="es-ES"/>
        </w:rPr>
      </w:pPr>
      <w:r w:rsidRPr="00DA7C75">
        <w:rPr>
          <w:rFonts w:ascii="Verdana" w:eastAsia="Arial" w:hAnsi="Verdana" w:cs="Arial"/>
          <w:lang w:val="es-ES" w:eastAsia="es-ES" w:bidi="es-ES"/>
        </w:rPr>
        <w:t xml:space="preserve">En el mismo sentido, en el concepto 2263 del 17 de marzo del 2016, la Sala de Consulta y Servicio Civil del Consejo de Estado precisó que </w:t>
      </w:r>
      <w:r w:rsidRPr="00DA7C75">
        <w:rPr>
          <w:rFonts w:ascii="Verdana" w:eastAsia="Arial" w:hAnsi="Verdana" w:cs="Arial"/>
          <w:lang w:val="es-MX" w:eastAsia="es-ES" w:bidi="es-ES"/>
        </w:rPr>
        <w:t>la regla general es la no modificación del contrato, y la vía excepcional su modificación, sometida a límites legales; límites que, en los términos definidos en el referido concepto, corresponden a los siguientes:</w:t>
      </w:r>
    </w:p>
    <w:p w14:paraId="4F150E1E" w14:textId="77777777" w:rsidR="008C29F9" w:rsidRPr="00DA7C75" w:rsidRDefault="008C29F9" w:rsidP="008C29F9">
      <w:pPr>
        <w:widowControl w:val="0"/>
        <w:autoSpaceDE w:val="0"/>
        <w:autoSpaceDN w:val="0"/>
        <w:spacing w:after="0" w:line="276" w:lineRule="auto"/>
        <w:ind w:right="-2" w:firstLine="709"/>
        <w:jc w:val="both"/>
        <w:rPr>
          <w:rFonts w:ascii="Verdana" w:eastAsia="Arial" w:hAnsi="Verdana" w:cs="Arial"/>
          <w:lang w:val="es-MX" w:eastAsia="es-ES" w:bidi="es-ES"/>
        </w:rPr>
      </w:pPr>
    </w:p>
    <w:p w14:paraId="75CB661E"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r>
        <w:rPr>
          <w:rFonts w:ascii="Verdana" w:hAnsi="Verdana" w:cs="Arial"/>
          <w:sz w:val="21"/>
          <w:szCs w:val="21"/>
        </w:rPr>
        <w:t>“</w:t>
      </w:r>
      <w:r w:rsidRPr="002F4C21">
        <w:rPr>
          <w:rFonts w:ascii="Verdana" w:hAnsi="Verdana" w:cs="Arial"/>
          <w:sz w:val="21"/>
          <w:szCs w:val="21"/>
        </w:rPr>
        <w:t>1.</w:t>
      </w:r>
      <w:r>
        <w:rPr>
          <w:rFonts w:ascii="Verdana" w:hAnsi="Verdana" w:cs="Arial"/>
          <w:sz w:val="21"/>
          <w:szCs w:val="21"/>
        </w:rPr>
        <w:t xml:space="preserve"> </w:t>
      </w:r>
      <w:r w:rsidRPr="002F4C21">
        <w:rPr>
          <w:rFonts w:ascii="Verdana" w:hAnsi="Verdana" w:cs="Arial"/>
          <w:sz w:val="21"/>
          <w:szCs w:val="21"/>
        </w:rPr>
        <w:t xml:space="preserve">La necesidad de preservar los principios de igualdad, transparencia y libertad de concurrencia, durante la fase de ejecución del contrato. </w:t>
      </w:r>
    </w:p>
    <w:p w14:paraId="17198935"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p>
    <w:p w14:paraId="49B176EB"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r w:rsidRPr="002F4C21">
        <w:rPr>
          <w:rFonts w:ascii="Verdana" w:hAnsi="Verdana" w:cs="Arial"/>
          <w:sz w:val="21"/>
          <w:szCs w:val="21"/>
        </w:rPr>
        <w:t xml:space="preserve">Este límite encuentra sustento en el hecho de que, para celebrar contratos estatales las entidades públicas eligen, dentro de un </w:t>
      </w:r>
      <w:r>
        <w:rPr>
          <w:rFonts w:ascii="Verdana" w:hAnsi="Verdana" w:cs="Arial"/>
          <w:sz w:val="21"/>
          <w:szCs w:val="21"/>
        </w:rPr>
        <w:t>“</w:t>
      </w:r>
      <w:r w:rsidRPr="002F4C21">
        <w:rPr>
          <w:rFonts w:ascii="Verdana" w:hAnsi="Verdana" w:cs="Arial"/>
          <w:sz w:val="21"/>
          <w:szCs w:val="21"/>
        </w:rPr>
        <w:t>régimen de concurrencia y de igualdad, las mejores condiciones de costo, calidad e idoneidad de la prestación requerida</w:t>
      </w:r>
      <w:r>
        <w:rPr>
          <w:rFonts w:ascii="Verdana" w:hAnsi="Verdana" w:cs="Arial"/>
          <w:sz w:val="21"/>
          <w:szCs w:val="21"/>
        </w:rPr>
        <w:t>”</w:t>
      </w:r>
      <w:r w:rsidRPr="002F4C21">
        <w:rPr>
          <w:rFonts w:ascii="Verdana" w:hAnsi="Verdana" w:cs="Arial"/>
          <w:sz w:val="21"/>
          <w:szCs w:val="21"/>
        </w:rPr>
        <w:t>,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382BE5D8"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p>
    <w:p w14:paraId="071D6C75"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r w:rsidRPr="002F4C21">
        <w:rPr>
          <w:rFonts w:ascii="Verdana" w:hAnsi="Verdana" w:cs="Arial"/>
          <w:sz w:val="21"/>
          <w:szCs w:val="21"/>
        </w:rPr>
        <w:t xml:space="preserve">Así, según lo expuesto en el concepto en cuestión </w:t>
      </w:r>
      <w:r>
        <w:rPr>
          <w:rFonts w:ascii="Verdana" w:hAnsi="Verdana" w:cs="Arial"/>
          <w:sz w:val="21"/>
          <w:szCs w:val="21"/>
        </w:rPr>
        <w:t>“</w:t>
      </w:r>
      <w:r w:rsidRPr="002F4C21">
        <w:rPr>
          <w:rFonts w:ascii="Verdana" w:hAnsi="Verdana" w:cs="Arial"/>
          <w:sz w:val="21"/>
          <w:szCs w:val="21"/>
        </w:rPr>
        <w:t xml:space="preserve">la aplicación de los principios de transparencia, de libertad de concurrencia y de igualdad, consagrados en el Estatuto Contractual, y las reglas sustanciales del pliego de condiciones, que permitieron elegir la mejor oferta, previo cumplimiento de los requisitos habilitantes y </w:t>
      </w:r>
      <w:r w:rsidRPr="002F4C21">
        <w:rPr>
          <w:rFonts w:ascii="Verdana" w:hAnsi="Verdana" w:cs="Arial"/>
          <w:sz w:val="21"/>
          <w:szCs w:val="21"/>
        </w:rPr>
        <w:lastRenderedPageBreak/>
        <w:t>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p>
    <w:p w14:paraId="0ED687F1"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p>
    <w:p w14:paraId="5729EE4F"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r w:rsidRPr="002F4C21">
        <w:rPr>
          <w:rFonts w:ascii="Verdana" w:hAnsi="Verdana" w:cs="Arial"/>
          <w:sz w:val="21"/>
          <w:szCs w:val="21"/>
        </w:rPr>
        <w:t>2.Límites de orden temporal, entre los que están comprendidos: i) la vigencia del contrato, pues no podría modificarse un contrato cuyo plazo ha culminado y ii) la prohibición de consagrar prórrogas automáticas, sucesivas o indefinidas, en tanto resultan contrarias al derecho esencial de la libertad de competencia.</w:t>
      </w:r>
    </w:p>
    <w:p w14:paraId="7EA82AA8"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p>
    <w:p w14:paraId="147966B2"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r w:rsidRPr="002F4C21">
        <w:rPr>
          <w:rFonts w:ascii="Verdana" w:hAnsi="Verdana" w:cs="Arial"/>
          <w:sz w:val="21"/>
          <w:szCs w:val="21"/>
        </w:rPr>
        <w:t xml:space="preserve">3. Límites de orden formal, que comprenden: i) La solemnidad del contrato de modificación, derivada del carácter solemne del contrato estatal, que exige que </w:t>
      </w:r>
      <w:r>
        <w:rPr>
          <w:rFonts w:ascii="Verdana" w:hAnsi="Verdana" w:cs="Arial"/>
          <w:sz w:val="21"/>
          <w:szCs w:val="21"/>
        </w:rPr>
        <w:t xml:space="preserve">la </w:t>
      </w:r>
      <w:r w:rsidRPr="002F4C21">
        <w:rPr>
          <w:rFonts w:ascii="Verdana" w:hAnsi="Verdana" w:cs="Arial"/>
          <w:sz w:val="21"/>
          <w:szCs w:val="21"/>
        </w:rPr>
        <w:t>modificación de los contratos conste por escrito</w:t>
      </w:r>
      <w:r w:rsidRPr="0064170D">
        <w:rPr>
          <w:rFonts w:ascii="Verdana" w:hAnsi="Verdana" w:cs="Arial"/>
          <w:sz w:val="21"/>
          <w:szCs w:val="21"/>
          <w:vertAlign w:val="superscript"/>
        </w:rPr>
        <w:footnoteReference w:id="9"/>
      </w:r>
      <w:r w:rsidRPr="002F4C21">
        <w:rPr>
          <w:rFonts w:ascii="Verdana" w:hAnsi="Verdana" w:cs="Arial"/>
          <w:sz w:val="21"/>
          <w:szCs w:val="21"/>
        </w:rPr>
        <w:t>; ii) la motivación y justificación de la modificación, la cual constituye un elemento esencial que permite determinar la juridicidad y la necesidad de una modificación determinada; así como su racionalidad y la proporcionalidad de su contenido.</w:t>
      </w:r>
    </w:p>
    <w:p w14:paraId="1065714A"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p>
    <w:p w14:paraId="1EB7E752"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rPr>
      </w:pPr>
      <w:r w:rsidRPr="002F4C21">
        <w:rPr>
          <w:rFonts w:ascii="Verdana" w:hAnsi="Verdana" w:cs="Arial"/>
          <w:sz w:val="21"/>
          <w:szCs w:val="21"/>
        </w:rPr>
        <w:t xml:space="preserve">4. Límites de orden material, que corresponden a: i) la prohibición de modificar las condiciones sustanciales del contrato, que se presentará en los casos en que se incluyan elementos que, </w:t>
      </w:r>
      <w:r>
        <w:rPr>
          <w:rFonts w:ascii="Verdana" w:hAnsi="Verdana" w:cs="Arial"/>
          <w:sz w:val="21"/>
          <w:szCs w:val="21"/>
        </w:rPr>
        <w:t>“</w:t>
      </w:r>
      <w:r w:rsidRPr="002F4C21">
        <w:rPr>
          <w:rFonts w:ascii="Verdana" w:hAnsi="Verdana" w:cs="Arial"/>
          <w:sz w:val="21"/>
          <w:szCs w:val="21"/>
        </w:rPr>
        <w:t>habiendo figurado en el procedimiento inicial, hubiera permitido la participación de otros interesados aparte de los inicialmente admitidos, o seleccionar una oferta distinta de la inicialmente seleccionada</w:t>
      </w:r>
      <w:r>
        <w:rPr>
          <w:rFonts w:ascii="Verdana" w:hAnsi="Verdana" w:cs="Arial"/>
          <w:sz w:val="21"/>
          <w:szCs w:val="21"/>
        </w:rPr>
        <w:t>”</w:t>
      </w:r>
      <w:r w:rsidRPr="002F4C21">
        <w:rPr>
          <w:rFonts w:ascii="Verdana" w:hAnsi="Verdana" w:cs="Arial"/>
          <w:sz w:val="21"/>
          <w:szCs w:val="21"/>
        </w:rPr>
        <w:t>.</w:t>
      </w:r>
    </w:p>
    <w:p w14:paraId="1031FA8D" w14:textId="77777777" w:rsidR="008C29F9" w:rsidRPr="002F4C21" w:rsidRDefault="008C29F9" w:rsidP="008C29F9">
      <w:pPr>
        <w:tabs>
          <w:tab w:val="left" w:pos="284"/>
        </w:tabs>
        <w:spacing w:after="0" w:line="240" w:lineRule="auto"/>
        <w:ind w:left="1049" w:right="709"/>
        <w:jc w:val="both"/>
        <w:rPr>
          <w:rFonts w:ascii="Verdana" w:hAnsi="Verdana" w:cs="Arial"/>
          <w:sz w:val="21"/>
          <w:szCs w:val="21"/>
          <w:lang w:val="es-ES_tradnl"/>
        </w:rPr>
      </w:pPr>
    </w:p>
    <w:p w14:paraId="6865AAD1" w14:textId="77777777" w:rsidR="008C29F9" w:rsidRDefault="008C29F9" w:rsidP="008C29F9">
      <w:pPr>
        <w:widowControl w:val="0"/>
        <w:autoSpaceDE w:val="0"/>
        <w:autoSpaceDN w:val="0"/>
        <w:spacing w:after="0" w:line="276" w:lineRule="auto"/>
        <w:ind w:right="104" w:firstLine="708"/>
        <w:jc w:val="both"/>
        <w:rPr>
          <w:rFonts w:ascii="Verdana" w:eastAsia="Arial" w:hAnsi="Verdana" w:cs="Arial"/>
          <w:lang w:val="es-MX" w:eastAsia="es-ES" w:bidi="es-ES"/>
        </w:rPr>
      </w:pPr>
      <w:r w:rsidRPr="00A1034F">
        <w:rPr>
          <w:rFonts w:ascii="Verdana" w:eastAsia="Arial" w:hAnsi="Verdana" w:cs="Arial"/>
          <w:lang w:val="es-MX" w:eastAsia="es-ES" w:bidi="es-ES"/>
        </w:rPr>
        <w:t>Sobre el alcance de dicha prohibición, la Sala de Consulta y Servicio Civil expresó lo siguiente</w:t>
      </w:r>
      <w:r w:rsidRPr="00A1034F">
        <w:rPr>
          <w:rFonts w:ascii="Verdana" w:eastAsia="Arial" w:hAnsi="Verdana" w:cs="Arial"/>
          <w:vertAlign w:val="superscript"/>
          <w:lang w:val="es-MX" w:eastAsia="es-ES" w:bidi="es-ES"/>
        </w:rPr>
        <w:footnoteReference w:id="10"/>
      </w:r>
      <w:r w:rsidRPr="00A1034F">
        <w:rPr>
          <w:rFonts w:ascii="Verdana" w:eastAsia="Arial" w:hAnsi="Verdana" w:cs="Arial"/>
          <w:lang w:val="es-MX" w:eastAsia="es-ES" w:bidi="es-ES"/>
        </w:rPr>
        <w:t>:</w:t>
      </w:r>
    </w:p>
    <w:p w14:paraId="1F570B97" w14:textId="77777777" w:rsidR="008C29F9" w:rsidRDefault="008C29F9" w:rsidP="008C29F9">
      <w:pPr>
        <w:widowControl w:val="0"/>
        <w:autoSpaceDE w:val="0"/>
        <w:autoSpaceDN w:val="0"/>
        <w:spacing w:after="0" w:line="276" w:lineRule="auto"/>
        <w:ind w:right="104" w:firstLine="708"/>
        <w:jc w:val="both"/>
        <w:rPr>
          <w:rFonts w:ascii="Verdana" w:eastAsia="Arial" w:hAnsi="Verdana" w:cs="Arial"/>
          <w:lang w:val="es-MX" w:eastAsia="es-ES" w:bidi="es-ES"/>
        </w:rPr>
      </w:pPr>
    </w:p>
    <w:p w14:paraId="69645667" w14:textId="77777777" w:rsidR="008C29F9" w:rsidRPr="005A7020" w:rsidRDefault="008C29F9" w:rsidP="008C29F9">
      <w:pPr>
        <w:widowControl w:val="0"/>
        <w:autoSpaceDE w:val="0"/>
        <w:autoSpaceDN w:val="0"/>
        <w:spacing w:line="276" w:lineRule="auto"/>
        <w:ind w:left="709" w:right="709"/>
        <w:jc w:val="both"/>
        <w:rPr>
          <w:rFonts w:ascii="Verdana" w:eastAsia="Arial" w:hAnsi="Verdana" w:cs="Arial"/>
          <w:bCs/>
          <w:iCs/>
          <w:sz w:val="21"/>
          <w:szCs w:val="21"/>
          <w:lang w:val="es-MX" w:eastAsia="es-ES" w:bidi="es-ES"/>
        </w:rPr>
      </w:pPr>
      <w:r>
        <w:rPr>
          <w:rFonts w:ascii="Verdana" w:eastAsia="Arial" w:hAnsi="Verdana" w:cs="Arial"/>
          <w:bCs/>
          <w:iCs/>
          <w:sz w:val="21"/>
          <w:szCs w:val="21"/>
          <w:lang w:val="es-MX" w:eastAsia="es-ES" w:bidi="es-ES"/>
        </w:rPr>
        <w:t>“</w:t>
      </w:r>
      <w:r w:rsidRPr="005A7020">
        <w:rPr>
          <w:rFonts w:ascii="Verdana" w:eastAsia="Arial" w:hAnsi="Verdana" w:cs="Arial"/>
          <w:bCs/>
          <w:iCs/>
          <w:sz w:val="21"/>
          <w:szCs w:val="21"/>
          <w:lang w:val="es-MX" w:eastAsia="es-ES" w:bidi="es-ES"/>
        </w:rPr>
        <w:t xml:space="preserve">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Estado aportan los elementos necesarios que permiten </w:t>
      </w:r>
      <w:r w:rsidRPr="005A7020">
        <w:rPr>
          <w:rFonts w:ascii="Verdana" w:eastAsia="Arial" w:hAnsi="Verdana" w:cs="Arial"/>
          <w:bCs/>
          <w:iCs/>
          <w:sz w:val="21"/>
          <w:szCs w:val="21"/>
          <w:lang w:val="es-MX" w:eastAsia="es-ES" w:bidi="es-ES"/>
        </w:rPr>
        <w:lastRenderedPageBreak/>
        <w:t>orientar a la Administración sobre esta vía excepcional y sus requisitos:</w:t>
      </w:r>
    </w:p>
    <w:p w14:paraId="49539040" w14:textId="77777777" w:rsidR="008C29F9" w:rsidRPr="005A7020" w:rsidRDefault="008C29F9" w:rsidP="008C29F9">
      <w:pPr>
        <w:widowControl w:val="0"/>
        <w:autoSpaceDE w:val="0"/>
        <w:autoSpaceDN w:val="0"/>
        <w:spacing w:line="276" w:lineRule="auto"/>
        <w:ind w:left="709" w:right="709"/>
        <w:jc w:val="both"/>
        <w:rPr>
          <w:rFonts w:ascii="Verdana" w:eastAsia="Arial" w:hAnsi="Verdana" w:cs="Arial"/>
          <w:bCs/>
          <w:iCs/>
          <w:sz w:val="21"/>
          <w:szCs w:val="21"/>
          <w:lang w:val="es-MX" w:eastAsia="es-ES" w:bidi="es-ES"/>
        </w:rPr>
      </w:pPr>
      <w:r w:rsidRPr="005A7020">
        <w:rPr>
          <w:rFonts w:ascii="Verdana" w:eastAsia="Arial" w:hAnsi="Verdana" w:cs="Arial"/>
          <w:bCs/>
          <w:iCs/>
          <w:sz w:val="21"/>
          <w:szCs w:val="21"/>
          <w:lang w:val="es-MX" w:eastAsia="es-ES" w:bidi="es-ES"/>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25D1B122" w14:textId="77777777" w:rsidR="008C29F9" w:rsidRPr="005A7020" w:rsidRDefault="008C29F9" w:rsidP="008C29F9">
      <w:pPr>
        <w:widowControl w:val="0"/>
        <w:autoSpaceDE w:val="0"/>
        <w:autoSpaceDN w:val="0"/>
        <w:spacing w:line="276" w:lineRule="auto"/>
        <w:ind w:left="709" w:right="709"/>
        <w:jc w:val="both"/>
        <w:rPr>
          <w:rFonts w:ascii="Verdana" w:eastAsia="Arial" w:hAnsi="Verdana" w:cs="Arial"/>
          <w:bCs/>
          <w:iCs/>
          <w:sz w:val="21"/>
          <w:szCs w:val="21"/>
          <w:lang w:val="es-MX" w:eastAsia="es-ES" w:bidi="es-ES"/>
        </w:rPr>
      </w:pPr>
      <w:r w:rsidRPr="005A7020">
        <w:rPr>
          <w:rFonts w:ascii="Verdana" w:eastAsia="Arial" w:hAnsi="Verdana" w:cs="Arial"/>
          <w:bCs/>
          <w:iCs/>
          <w:sz w:val="21"/>
          <w:szCs w:val="21"/>
          <w:lang w:val="es-MX" w:eastAsia="es-ES" w:bidi="es-ES"/>
        </w:rPr>
        <w:t>[…]</w:t>
      </w:r>
    </w:p>
    <w:p w14:paraId="78851C92" w14:textId="77777777" w:rsidR="008C29F9" w:rsidRPr="005A7020" w:rsidRDefault="008C29F9" w:rsidP="008C29F9">
      <w:pPr>
        <w:widowControl w:val="0"/>
        <w:autoSpaceDE w:val="0"/>
        <w:autoSpaceDN w:val="0"/>
        <w:spacing w:line="276" w:lineRule="auto"/>
        <w:ind w:left="709" w:right="709"/>
        <w:jc w:val="both"/>
        <w:rPr>
          <w:rFonts w:ascii="Verdana" w:eastAsia="Arial" w:hAnsi="Verdana" w:cs="Arial"/>
          <w:bCs/>
          <w:iCs/>
          <w:sz w:val="21"/>
          <w:szCs w:val="21"/>
          <w:lang w:val="es-MX" w:eastAsia="es-ES" w:bidi="es-ES"/>
        </w:rPr>
      </w:pPr>
      <w:r w:rsidRPr="005A7020">
        <w:rPr>
          <w:rFonts w:ascii="Verdana" w:eastAsia="Arial" w:hAnsi="Verdana" w:cs="Arial"/>
          <w:bCs/>
          <w:iCs/>
          <w:sz w:val="21"/>
          <w:szCs w:val="21"/>
          <w:lang w:val="es-MX" w:eastAsia="es-ES" w:bidi="es-ES"/>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25A60839" w14:textId="77777777" w:rsidR="008C29F9" w:rsidRPr="005A7020" w:rsidRDefault="008C29F9" w:rsidP="008C29F9">
      <w:pPr>
        <w:widowControl w:val="0"/>
        <w:autoSpaceDE w:val="0"/>
        <w:autoSpaceDN w:val="0"/>
        <w:spacing w:line="276" w:lineRule="auto"/>
        <w:ind w:left="709" w:right="709"/>
        <w:jc w:val="both"/>
        <w:rPr>
          <w:rFonts w:ascii="Verdana" w:eastAsia="Arial" w:hAnsi="Verdana" w:cs="Arial"/>
          <w:bCs/>
          <w:iCs/>
          <w:sz w:val="21"/>
          <w:szCs w:val="21"/>
          <w:lang w:val="es-MX" w:eastAsia="es-ES" w:bidi="es-ES"/>
        </w:rPr>
      </w:pPr>
      <w:r w:rsidRPr="005A7020">
        <w:rPr>
          <w:rFonts w:ascii="Verdana" w:eastAsia="Arial" w:hAnsi="Verdana" w:cs="Arial"/>
          <w:bCs/>
          <w:iCs/>
          <w:sz w:val="21"/>
          <w:szCs w:val="21"/>
          <w:lang w:val="es-MX" w:eastAsia="es-ES" w:bidi="es-ES"/>
        </w:rPr>
        <w:t>-La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w:t>
      </w:r>
      <w:r>
        <w:rPr>
          <w:rFonts w:ascii="Verdana" w:eastAsia="Arial" w:hAnsi="Verdana" w:cs="Arial"/>
          <w:bCs/>
          <w:iCs/>
          <w:sz w:val="21"/>
          <w:szCs w:val="21"/>
          <w:lang w:val="es-MX" w:eastAsia="es-ES" w:bidi="es-ES"/>
        </w:rPr>
        <w:t>.</w:t>
      </w:r>
    </w:p>
    <w:p w14:paraId="6D963DDC" w14:textId="77777777" w:rsidR="008C29F9" w:rsidRPr="005A7020" w:rsidRDefault="008C29F9" w:rsidP="008C29F9">
      <w:pPr>
        <w:widowControl w:val="0"/>
        <w:autoSpaceDE w:val="0"/>
        <w:autoSpaceDN w:val="0"/>
        <w:spacing w:line="276" w:lineRule="auto"/>
        <w:ind w:left="709" w:right="709"/>
        <w:jc w:val="both"/>
        <w:rPr>
          <w:rFonts w:ascii="Verdana" w:eastAsia="Arial" w:hAnsi="Verdana" w:cs="Arial"/>
          <w:bCs/>
          <w:iCs/>
          <w:sz w:val="21"/>
          <w:szCs w:val="21"/>
          <w:lang w:val="es-MX" w:eastAsia="es-ES" w:bidi="es-ES"/>
        </w:rPr>
      </w:pPr>
      <w:r w:rsidRPr="005A7020">
        <w:rPr>
          <w:rFonts w:ascii="Verdana" w:eastAsia="Arial" w:hAnsi="Verdana" w:cs="Arial"/>
          <w:bCs/>
          <w:iCs/>
          <w:sz w:val="21"/>
          <w:szCs w:val="21"/>
          <w:lang w:val="es-MX" w:eastAsia="es-ES" w:bidi="es-ES"/>
        </w:rPr>
        <w:t>-El cumplimiento del límite cuantitativo consagrado en la ley para los contratos adicionales. […]</w:t>
      </w:r>
    </w:p>
    <w:p w14:paraId="37D001E1" w14:textId="77777777" w:rsidR="008C29F9" w:rsidRDefault="008C29F9" w:rsidP="008C29F9">
      <w:pPr>
        <w:widowControl w:val="0"/>
        <w:autoSpaceDE w:val="0"/>
        <w:autoSpaceDN w:val="0"/>
        <w:spacing w:after="0" w:line="276" w:lineRule="auto"/>
        <w:ind w:left="709" w:right="709"/>
        <w:jc w:val="both"/>
        <w:rPr>
          <w:rFonts w:ascii="Verdana" w:eastAsia="Arial" w:hAnsi="Verdana" w:cs="Arial"/>
          <w:bCs/>
          <w:iCs/>
          <w:sz w:val="21"/>
          <w:szCs w:val="21"/>
          <w:lang w:val="es-ES_tradnl" w:eastAsia="es-ES" w:bidi="es-ES"/>
        </w:rPr>
      </w:pPr>
      <w:r w:rsidRPr="005A7020">
        <w:rPr>
          <w:rFonts w:ascii="Verdana" w:eastAsia="Arial" w:hAnsi="Verdana" w:cs="Arial"/>
          <w:bCs/>
          <w:iCs/>
          <w:sz w:val="21"/>
          <w:szCs w:val="21"/>
          <w:lang w:val="es-MX" w:eastAsia="es-ES" w:bidi="es-ES"/>
        </w:rPr>
        <w:t>-Debe tratarse de prestaciones necesarias e inseparables técnica o económicamente del contrato inicial, que no permitan su uso o aprovechamiento independiente</w:t>
      </w:r>
      <w:r>
        <w:rPr>
          <w:rFonts w:ascii="Verdana" w:eastAsia="Arial" w:hAnsi="Verdana" w:cs="Arial"/>
          <w:bCs/>
          <w:iCs/>
          <w:sz w:val="21"/>
          <w:szCs w:val="21"/>
          <w:lang w:val="es-MX" w:eastAsia="es-ES" w:bidi="es-ES"/>
        </w:rPr>
        <w:t>.</w:t>
      </w:r>
      <w:r w:rsidRPr="005A7020">
        <w:rPr>
          <w:rFonts w:ascii="Verdana" w:eastAsia="Arial" w:hAnsi="Verdana" w:cs="Arial"/>
          <w:bCs/>
          <w:iCs/>
          <w:sz w:val="21"/>
          <w:szCs w:val="21"/>
          <w:lang w:val="es-MX" w:eastAsia="es-ES" w:bidi="es-ES"/>
        </w:rPr>
        <w:t xml:space="preserve"> La modificación de las condiciones de </w:t>
      </w:r>
      <w:r w:rsidRPr="005A7020">
        <w:rPr>
          <w:rFonts w:ascii="Verdana" w:eastAsia="Arial" w:hAnsi="Verdana" w:cs="Arial"/>
          <w:bCs/>
          <w:iCs/>
          <w:sz w:val="21"/>
          <w:szCs w:val="21"/>
          <w:lang w:val="es-MX" w:eastAsia="es-ES" w:bidi="es-ES"/>
        </w:rPr>
        <w:lastRenderedPageBreak/>
        <w:t>la prestación o del contrato debe presuponer que no pueda ser materia de un nuevo proceso de selección, o de su contratación con un tercero, en razón a que, por su naturaleza, resulte inseparable técnica o económicamente de la prestación pactada en el contrato inicial</w:t>
      </w:r>
      <w:r>
        <w:rPr>
          <w:rFonts w:ascii="Verdana" w:eastAsia="Arial" w:hAnsi="Verdana" w:cs="Arial"/>
          <w:bCs/>
          <w:iCs/>
          <w:sz w:val="21"/>
          <w:szCs w:val="21"/>
          <w:lang w:val="es-ES_tradnl" w:eastAsia="es-ES" w:bidi="es-ES"/>
        </w:rPr>
        <w:t>.”</w:t>
      </w:r>
    </w:p>
    <w:p w14:paraId="41E4F060" w14:textId="77777777" w:rsidR="008C29F9" w:rsidRDefault="008C29F9" w:rsidP="008C29F9">
      <w:pPr>
        <w:widowControl w:val="0"/>
        <w:autoSpaceDE w:val="0"/>
        <w:autoSpaceDN w:val="0"/>
        <w:spacing w:after="0" w:line="276" w:lineRule="auto"/>
        <w:ind w:left="709" w:right="709"/>
        <w:jc w:val="both"/>
        <w:rPr>
          <w:rFonts w:ascii="Verdana" w:eastAsia="Arial" w:hAnsi="Verdana" w:cs="Arial"/>
          <w:bCs/>
          <w:iCs/>
          <w:sz w:val="21"/>
          <w:szCs w:val="21"/>
          <w:lang w:val="es-ES_tradnl" w:eastAsia="es-ES" w:bidi="es-ES"/>
        </w:rPr>
      </w:pPr>
    </w:p>
    <w:p w14:paraId="06E67256" w14:textId="77777777" w:rsidR="008C29F9" w:rsidRDefault="008C29F9" w:rsidP="008C29F9">
      <w:pPr>
        <w:widowControl w:val="0"/>
        <w:autoSpaceDE w:val="0"/>
        <w:autoSpaceDN w:val="0"/>
        <w:spacing w:after="120" w:line="276" w:lineRule="auto"/>
        <w:ind w:right="-2" w:firstLine="709"/>
        <w:jc w:val="both"/>
        <w:rPr>
          <w:rFonts w:ascii="Verdana" w:eastAsia="Arial" w:hAnsi="Verdana" w:cs="Arial"/>
          <w:lang w:val="es-ES" w:eastAsia="es-ES" w:bidi="es-ES"/>
        </w:rPr>
      </w:pPr>
      <w:r w:rsidRPr="00C776BC">
        <w:rPr>
          <w:rFonts w:ascii="Verdana" w:eastAsia="Arial" w:hAnsi="Verdana" w:cs="Arial"/>
          <w:lang w:val="es-ES" w:eastAsia="es-ES" w:bidi="es-ES"/>
        </w:rPr>
        <w:t xml:space="preserve">Es claro, entonces, que 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w:t>
      </w:r>
    </w:p>
    <w:p w14:paraId="51BD1074" w14:textId="77777777" w:rsidR="008C29F9" w:rsidRPr="00C776BC" w:rsidRDefault="008C29F9" w:rsidP="008C29F9">
      <w:pPr>
        <w:widowControl w:val="0"/>
        <w:autoSpaceDE w:val="0"/>
        <w:autoSpaceDN w:val="0"/>
        <w:spacing w:after="120" w:line="276" w:lineRule="auto"/>
        <w:ind w:right="-2" w:firstLine="709"/>
        <w:jc w:val="both"/>
        <w:rPr>
          <w:rFonts w:ascii="Verdana" w:eastAsia="Arial" w:hAnsi="Verdana" w:cs="Arial"/>
          <w:color w:val="000000" w:themeColor="text1"/>
          <w:lang w:val="es-ES" w:eastAsia="es-ES" w:bidi="es-ES"/>
        </w:rPr>
      </w:pPr>
      <w:r w:rsidRPr="00C776BC">
        <w:rPr>
          <w:rFonts w:ascii="Verdana" w:eastAsia="Arial" w:hAnsi="Verdana" w:cs="Arial"/>
          <w:lang w:val="es-ES" w:eastAsia="es-ES" w:bidi="es-ES"/>
        </w:rPr>
        <w:t xml:space="preserve">Así las cosas, </w:t>
      </w:r>
      <w:r>
        <w:rPr>
          <w:rFonts w:ascii="Verdana" w:eastAsia="Arial" w:hAnsi="Verdana" w:cs="Arial"/>
          <w:lang w:val="es-ES" w:eastAsia="es-ES" w:bidi="es-ES"/>
        </w:rPr>
        <w:t xml:space="preserve">y frente a la consulta planteada </w:t>
      </w:r>
      <w:r w:rsidRPr="00C776BC">
        <w:rPr>
          <w:rFonts w:ascii="Verdana" w:eastAsia="Arial" w:hAnsi="Verdana" w:cs="Arial"/>
          <w:lang w:val="es-ES" w:eastAsia="es-ES" w:bidi="es-ES"/>
        </w:rPr>
        <w:t>para establecer si un contrato determinado puede ser susceptible de modificación</w:t>
      </w:r>
      <w:r>
        <w:rPr>
          <w:rFonts w:ascii="Verdana" w:eastAsia="Arial" w:hAnsi="Verdana" w:cs="Arial"/>
          <w:lang w:val="es-ES" w:eastAsia="es-ES" w:bidi="es-ES"/>
        </w:rPr>
        <w:t xml:space="preserve"> en cuanto as u forma de pago</w:t>
      </w:r>
      <w:r w:rsidRPr="00C776BC">
        <w:rPr>
          <w:rFonts w:ascii="Verdana" w:eastAsia="Arial" w:hAnsi="Verdana" w:cs="Arial"/>
          <w:lang w:val="es-ES" w:eastAsia="es-ES" w:bidi="es-ES"/>
        </w:rPr>
        <w:t>, se hace necesario que la Administración analice, en cada caso, la concurrencia de los aspectos antes referidos.</w:t>
      </w:r>
      <w:r>
        <w:rPr>
          <w:rFonts w:ascii="Verdana" w:eastAsia="Arial" w:hAnsi="Verdana" w:cs="Arial"/>
          <w:lang w:val="es-ES" w:eastAsia="es-ES" w:bidi="es-ES"/>
        </w:rPr>
        <w:t xml:space="preserve"> </w:t>
      </w:r>
      <w:r w:rsidRPr="00C776BC">
        <w:rPr>
          <w:rFonts w:ascii="Verdana" w:eastAsia="Arial" w:hAnsi="Verdana" w:cs="Arial"/>
          <w:color w:val="000000" w:themeColor="text1"/>
          <w:lang w:val="es-ES" w:eastAsia="es-ES"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2" w:name="_ftnref22"/>
      <w:r w:rsidRPr="00C776BC">
        <w:rPr>
          <w:rFonts w:ascii="Verdana" w:eastAsia="Arial" w:hAnsi="Verdana" w:cs="Arial"/>
          <w:color w:val="000000" w:themeColor="text1"/>
          <w:lang w:val="es-ES" w:eastAsia="es-ES" w:bidi="es-ES"/>
        </w:rPr>
        <w:t xml:space="preserve"> </w:t>
      </w:r>
    </w:p>
    <w:p w14:paraId="5D2D095B" w14:textId="77777777" w:rsidR="008C29F9" w:rsidRDefault="008C29F9" w:rsidP="008C29F9">
      <w:pPr>
        <w:widowControl w:val="0"/>
        <w:autoSpaceDE w:val="0"/>
        <w:autoSpaceDN w:val="0"/>
        <w:spacing w:after="120" w:line="276" w:lineRule="auto"/>
        <w:ind w:firstLine="709"/>
        <w:jc w:val="both"/>
        <w:rPr>
          <w:rFonts w:ascii="Verdana" w:eastAsia="Arial" w:hAnsi="Verdana" w:cs="Arial"/>
          <w:color w:val="000000" w:themeColor="text1"/>
          <w:lang w:val="es-ES" w:eastAsia="es-ES" w:bidi="es-ES"/>
        </w:rPr>
      </w:pPr>
      <w:r w:rsidRPr="00C776BC">
        <w:rPr>
          <w:rFonts w:ascii="Verdana" w:eastAsia="Arial" w:hAnsi="Verdana" w:cs="Arial"/>
          <w:color w:val="000000" w:themeColor="text1"/>
          <w:lang w:val="es-ES" w:eastAsia="es-ES" w:bidi="es-ES"/>
        </w:rPr>
        <w:t>Sobre este último punto, la doctrina</w:t>
      </w:r>
      <w:r w:rsidRPr="00C776BC">
        <w:rPr>
          <w:rFonts w:ascii="Verdana" w:eastAsia="Arial" w:hAnsi="Verdana" w:cs="Arial"/>
          <w:color w:val="000000" w:themeColor="text1"/>
          <w:vertAlign w:val="superscript"/>
          <w:lang w:val="es-ES" w:eastAsia="es-ES" w:bidi="es-ES"/>
        </w:rPr>
        <w:footnoteReference w:id="11"/>
      </w:r>
      <w:r w:rsidRPr="00C776BC">
        <w:rPr>
          <w:rFonts w:ascii="Verdana" w:eastAsia="Arial" w:hAnsi="Verdana" w:cs="Arial"/>
          <w:color w:val="000000" w:themeColor="text1"/>
          <w:lang w:val="es-ES" w:eastAsia="es-ES" w:bidi="es-ES"/>
        </w:rPr>
        <w:t xml:space="preserve"> ha precisado que cuando </w:t>
      </w:r>
      <w:r>
        <w:rPr>
          <w:rFonts w:ascii="Verdana" w:eastAsia="Arial" w:hAnsi="Verdana" w:cs="Arial"/>
          <w:color w:val="000000" w:themeColor="text1"/>
          <w:lang w:val="es-MX" w:eastAsia="es-ES" w:bidi="es-ES"/>
        </w:rPr>
        <w:t>“</w:t>
      </w:r>
      <w:r w:rsidRPr="00C776BC">
        <w:rPr>
          <w:rFonts w:ascii="Verdana" w:eastAsia="Arial" w:hAnsi="Verdana" w:cs="Arial"/>
          <w:i/>
          <w:iCs/>
          <w:color w:val="000000" w:themeColor="text1"/>
          <w:lang w:val="es-ES" w:eastAsia="es-ES"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Pr>
          <w:rFonts w:ascii="Verdana" w:eastAsia="Arial" w:hAnsi="Verdana" w:cs="Arial"/>
          <w:i/>
          <w:iCs/>
          <w:color w:val="000000" w:themeColor="text1"/>
          <w:lang w:val="es-MX" w:eastAsia="es-ES" w:bidi="es-ES"/>
        </w:rPr>
        <w:t>”</w:t>
      </w:r>
      <w:r w:rsidRPr="00C776BC">
        <w:rPr>
          <w:rFonts w:ascii="Verdana" w:eastAsia="Arial" w:hAnsi="Verdana" w:cs="Arial"/>
          <w:i/>
          <w:iCs/>
          <w:color w:val="000000" w:themeColor="text1"/>
          <w:vertAlign w:val="superscript"/>
          <w:lang w:val="es-MX" w:eastAsia="es-ES" w:bidi="es-ES"/>
        </w:rPr>
        <w:footnoteReference w:id="12"/>
      </w:r>
      <w:r w:rsidRPr="00C776BC">
        <w:rPr>
          <w:rFonts w:ascii="Verdana" w:eastAsia="Arial" w:hAnsi="Verdana" w:cs="Arial"/>
          <w:color w:val="000000" w:themeColor="text1"/>
          <w:lang w:val="es-ES" w:eastAsia="es-ES" w:bidi="es-ES"/>
        </w:rPr>
        <w:t xml:space="preserve">. </w:t>
      </w:r>
      <w:bookmarkEnd w:id="2"/>
    </w:p>
    <w:p w14:paraId="23CCD262" w14:textId="77777777" w:rsidR="008C29F9" w:rsidRPr="00C776BC" w:rsidRDefault="008C29F9" w:rsidP="008C29F9">
      <w:pPr>
        <w:widowControl w:val="0"/>
        <w:autoSpaceDE w:val="0"/>
        <w:autoSpaceDN w:val="0"/>
        <w:spacing w:after="120" w:line="276" w:lineRule="auto"/>
        <w:ind w:firstLine="709"/>
        <w:jc w:val="both"/>
        <w:rPr>
          <w:rFonts w:ascii="Verdana" w:eastAsia="Arial" w:hAnsi="Verdana" w:cs="Arial"/>
          <w:color w:val="000000" w:themeColor="text1"/>
          <w:lang w:val="es-ES" w:eastAsia="es-ES" w:bidi="es-ES"/>
        </w:rPr>
      </w:pPr>
      <w:r w:rsidRPr="00C776BC">
        <w:rPr>
          <w:rFonts w:ascii="Verdana" w:eastAsia="Arial" w:hAnsi="Verdana" w:cs="Arial"/>
          <w:color w:val="000000" w:themeColor="text1"/>
          <w:lang w:val="es-ES" w:eastAsia="es-ES"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w:t>
      </w:r>
      <w:r w:rsidRPr="00C776BC">
        <w:rPr>
          <w:rFonts w:ascii="Verdana" w:eastAsia="Arial" w:hAnsi="Verdana" w:cs="Arial"/>
          <w:color w:val="000000" w:themeColor="text1"/>
          <w:lang w:val="es-ES" w:eastAsia="es-ES" w:bidi="es-ES"/>
        </w:rPr>
        <w:lastRenderedPageBreak/>
        <w:t xml:space="preserve">Las definiciones de cada uno de dichos conceptos efectuadas en el artículo en comento resultarán útiles para establecer, en un caso determinado, si una específica modificación altera la esencia del contrato. </w:t>
      </w:r>
    </w:p>
    <w:p w14:paraId="03AFC9C7" w14:textId="77777777" w:rsidR="008C29F9" w:rsidRDefault="008C29F9" w:rsidP="008C29F9">
      <w:pPr>
        <w:widowControl w:val="0"/>
        <w:autoSpaceDE w:val="0"/>
        <w:autoSpaceDN w:val="0"/>
        <w:spacing w:after="120" w:line="276" w:lineRule="auto"/>
        <w:ind w:firstLine="709"/>
        <w:jc w:val="both"/>
        <w:rPr>
          <w:rFonts w:ascii="Verdana" w:eastAsia="Arial" w:hAnsi="Verdana" w:cs="Arial"/>
          <w:color w:val="000000" w:themeColor="text1"/>
          <w:lang w:val="es-ES" w:eastAsia="es-ES" w:bidi="es-ES"/>
        </w:rPr>
      </w:pPr>
      <w:r w:rsidRPr="00C776BC">
        <w:rPr>
          <w:rFonts w:ascii="Verdana" w:eastAsia="Arial" w:hAnsi="Verdana" w:cs="Arial"/>
          <w:color w:val="000000" w:themeColor="text1"/>
          <w:lang w:val="es-ES" w:eastAsia="es-ES" w:bidi="es-ES"/>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09DC9869" w14:textId="77777777" w:rsidR="008C29F9" w:rsidRDefault="008C29F9" w:rsidP="008C29F9">
      <w:pPr>
        <w:widowControl w:val="0"/>
        <w:autoSpaceDE w:val="0"/>
        <w:autoSpaceDN w:val="0"/>
        <w:spacing w:after="120" w:line="276" w:lineRule="auto"/>
        <w:ind w:firstLine="709"/>
        <w:jc w:val="both"/>
        <w:rPr>
          <w:rFonts w:ascii="Verdana" w:eastAsia="Arial" w:hAnsi="Verdana" w:cs="Arial"/>
          <w:color w:val="000000" w:themeColor="text1"/>
          <w:lang w:eastAsia="es-ES" w:bidi="es-ES"/>
        </w:rPr>
      </w:pPr>
      <w:r>
        <w:rPr>
          <w:rFonts w:ascii="Verdana" w:eastAsia="Arial" w:hAnsi="Verdana" w:cs="Arial"/>
          <w:color w:val="000000" w:themeColor="text1"/>
          <w:lang w:val="es-ES" w:eastAsia="es-ES" w:bidi="es-ES"/>
        </w:rPr>
        <w:t xml:space="preserve">Ahora bien, frente a la forma de cómo se debe adelantar una modificación de un contrato estatal, la norma no contempló un procedimiento al respecto sino que se debe acudir al Manual de contratación de la entidad estatal; no obstante, es más que claro que </w:t>
      </w:r>
      <w:r w:rsidRPr="001C0DDE">
        <w:rPr>
          <w:rFonts w:ascii="Verdana" w:eastAsia="Arial" w:hAnsi="Verdana" w:cs="Arial"/>
          <w:color w:val="000000" w:themeColor="text1"/>
          <w:lang w:eastAsia="es-ES" w:bidi="es-ES"/>
        </w:rPr>
        <w:t>en esencia, los contratos estatales, por regla general, son contratos solemnes, lo cual a la luz del artículo 1500 Código Civil significa que están sujetos a la observancia de ciertas formalidades especiales, de manera que sin ellas no producen ningún efecto</w:t>
      </w:r>
      <w:r>
        <w:rPr>
          <w:rStyle w:val="Refdenotaalpie"/>
          <w:rFonts w:ascii="Verdana" w:eastAsia="Arial" w:hAnsi="Verdana" w:cs="Arial"/>
          <w:color w:val="000000" w:themeColor="text1"/>
          <w:lang w:val="es-ES" w:eastAsia="es-ES" w:bidi="es-ES"/>
        </w:rPr>
        <w:footnoteReference w:id="13"/>
      </w:r>
      <w:r>
        <w:rPr>
          <w:rFonts w:ascii="Verdana" w:eastAsia="Arial" w:hAnsi="Verdana" w:cs="Arial"/>
          <w:color w:val="000000" w:themeColor="text1"/>
          <w:lang w:eastAsia="es-ES" w:bidi="es-ES"/>
        </w:rPr>
        <w:t xml:space="preserve">, de tal manera que la modificación del mismo debe revestir dicha solemnidad. </w:t>
      </w:r>
    </w:p>
    <w:p w14:paraId="6ECFA1B3" w14:textId="77777777" w:rsidR="008C29F9" w:rsidRDefault="008C29F9" w:rsidP="008C29F9">
      <w:pPr>
        <w:spacing w:after="120" w:line="276" w:lineRule="auto"/>
        <w:ind w:firstLine="708"/>
        <w:jc w:val="both"/>
        <w:rPr>
          <w:rFonts w:ascii="Verdana" w:eastAsia="Arial MT" w:hAnsi="Verdana" w:cs="Arial"/>
          <w:lang w:eastAsia="es-ES" w:bidi="es-ES"/>
        </w:rPr>
      </w:pPr>
      <w:r>
        <w:rPr>
          <w:rFonts w:ascii="Verdana" w:eastAsia="Arial" w:hAnsi="Verdana" w:cs="Arial"/>
          <w:color w:val="000000" w:themeColor="text1"/>
          <w:lang w:eastAsia="es-ES" w:bidi="es-ES"/>
        </w:rPr>
        <w:t xml:space="preserve">En ese sentido, dando cumplimiento a la solemnidad del acto, la norma señala de forma expresa la obligatoriedad de cumplir con el principio de publicidad que rigen las actuaciones administrativas, de tal manera que, </w:t>
      </w:r>
      <w:r>
        <w:rPr>
          <w:rFonts w:ascii="Verdana" w:eastAsia="Arial MT" w:hAnsi="Verdana" w:cs="Arial"/>
          <w:lang w:eastAsia="es-ES" w:bidi="es-ES"/>
        </w:rPr>
        <w:t xml:space="preserve">la modificación del contrato no es ajena a este, por lo cual deberá darse cumplimiento a la aplicación del </w:t>
      </w:r>
      <w:r w:rsidRPr="00E3217F">
        <w:rPr>
          <w:rFonts w:ascii="Verdana" w:eastAsia="Arial MT" w:hAnsi="Verdana" w:cs="Arial"/>
          <w:lang w:eastAsia="es-ES" w:bidi="es-ES"/>
        </w:rPr>
        <w:t>literal c) del artículo 3 de la Ley 1150 de 2007</w:t>
      </w:r>
      <w:r>
        <w:rPr>
          <w:rFonts w:ascii="Verdana" w:eastAsia="Arial MT" w:hAnsi="Verdana" w:cs="Arial"/>
          <w:lang w:eastAsia="es-ES" w:bidi="es-ES"/>
        </w:rPr>
        <w:t xml:space="preserve"> </w:t>
      </w:r>
      <w:r>
        <w:rPr>
          <w:rStyle w:val="Refdenotaalpie"/>
          <w:rFonts w:ascii="Verdana" w:eastAsia="Arial MT" w:hAnsi="Verdana" w:cs="Arial"/>
          <w:lang w:eastAsia="es-ES" w:bidi="es-ES"/>
        </w:rPr>
        <w:footnoteReference w:id="14"/>
      </w:r>
      <w:r>
        <w:rPr>
          <w:rFonts w:ascii="Verdana" w:eastAsia="Arial MT" w:hAnsi="Verdana" w:cs="Arial"/>
          <w:lang w:eastAsia="es-ES" w:bidi="es-ES"/>
        </w:rPr>
        <w:t xml:space="preserve"> y del</w:t>
      </w:r>
      <w:r w:rsidRPr="002049AB">
        <w:rPr>
          <w:rFonts w:ascii="Verdana" w:eastAsia="Arial MT" w:hAnsi="Verdana" w:cs="Arial"/>
          <w:lang w:eastAsia="es-ES" w:bidi="es-ES"/>
        </w:rPr>
        <w:t xml:space="preserve"> artículo 2.2.1.1.1.7. </w:t>
      </w:r>
      <w:r>
        <w:rPr>
          <w:rStyle w:val="Refdenotaalpie"/>
          <w:rFonts w:ascii="Verdana" w:eastAsia="Arial MT" w:hAnsi="Verdana" w:cs="Arial"/>
          <w:lang w:eastAsia="es-ES" w:bidi="es-ES"/>
        </w:rPr>
        <w:footnoteReference w:id="15"/>
      </w:r>
      <w:r w:rsidRPr="002049AB">
        <w:rPr>
          <w:rFonts w:ascii="Verdana" w:eastAsia="Arial MT" w:hAnsi="Verdana" w:cs="Arial"/>
          <w:lang w:eastAsia="es-ES" w:bidi="es-ES"/>
        </w:rPr>
        <w:t>del Decreto 1082 del 2015</w:t>
      </w:r>
      <w:r>
        <w:rPr>
          <w:rFonts w:ascii="Verdana" w:eastAsia="Arial MT" w:hAnsi="Verdana" w:cs="Arial"/>
          <w:lang w:eastAsia="es-ES" w:bidi="es-ES"/>
        </w:rPr>
        <w:t xml:space="preserve">, de decir, publicar </w:t>
      </w:r>
      <w:r>
        <w:rPr>
          <w:rFonts w:ascii="Verdana" w:eastAsia="Arial MT" w:hAnsi="Verdana" w:cs="Arial"/>
          <w:lang w:eastAsia="es-ES" w:bidi="es-ES"/>
        </w:rPr>
        <w:lastRenderedPageBreak/>
        <w:t>cualquier documento expedido por la entidad estatal haciendo uso de las plataformas SECOP I o SECOP II, conforme sea el caso que les aplique.</w:t>
      </w:r>
    </w:p>
    <w:p w14:paraId="2E7B3AA7" w14:textId="77777777" w:rsidR="008C29F9" w:rsidRDefault="008C29F9" w:rsidP="008C29F9">
      <w:pPr>
        <w:spacing w:after="120" w:line="276" w:lineRule="auto"/>
        <w:ind w:firstLine="708"/>
        <w:jc w:val="both"/>
        <w:rPr>
          <w:rFonts w:ascii="Verdana" w:eastAsia="Times New Roman" w:hAnsi="Verdana" w:cs="Arial"/>
        </w:rPr>
      </w:pPr>
    </w:p>
    <w:p w14:paraId="4885DE6D" w14:textId="77777777" w:rsidR="008C29F9" w:rsidRPr="00593A5F" w:rsidRDefault="008C29F9" w:rsidP="008C29F9">
      <w:pPr>
        <w:spacing w:after="120" w:line="276" w:lineRule="auto"/>
        <w:ind w:firstLine="708"/>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2B2D98F" w14:textId="77777777" w:rsidR="008C29F9" w:rsidRPr="00593A5F" w:rsidRDefault="008C29F9" w:rsidP="008C29F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C29F9" w:rsidRPr="00593A5F" w14:paraId="76B08A2C" w14:textId="77777777" w:rsidTr="00907B88">
        <w:trPr>
          <w:trHeight w:val="870"/>
        </w:trPr>
        <w:tc>
          <w:tcPr>
            <w:tcW w:w="8647" w:type="dxa"/>
          </w:tcPr>
          <w:p w14:paraId="3251143F" w14:textId="77777777" w:rsidR="008C29F9" w:rsidRDefault="008C29F9" w:rsidP="00907B88">
            <w:pPr>
              <w:pStyle w:val="Prrafodelista"/>
              <w:jc w:val="both"/>
              <w:rPr>
                <w:rFonts w:ascii="Verdana" w:hAnsi="Verdana" w:cs="Arial"/>
              </w:rPr>
            </w:pPr>
          </w:p>
          <w:p w14:paraId="6B8291CC" w14:textId="77777777" w:rsidR="008C29F9" w:rsidRPr="007E0B4F" w:rsidRDefault="008C29F9" w:rsidP="008C29F9">
            <w:pPr>
              <w:pStyle w:val="Prrafodelista"/>
              <w:widowControl w:val="0"/>
              <w:numPr>
                <w:ilvl w:val="0"/>
                <w:numId w:val="17"/>
              </w:numPr>
              <w:autoSpaceDE w:val="0"/>
              <w:autoSpaceDN w:val="0"/>
              <w:spacing w:line="276" w:lineRule="auto"/>
              <w:jc w:val="both"/>
              <w:rPr>
                <w:rFonts w:ascii="Verdana" w:hAnsi="Verdana" w:cs="Arial"/>
              </w:rPr>
            </w:pPr>
            <w:r w:rsidRPr="007E0B4F">
              <w:rPr>
                <w:rFonts w:ascii="Verdana" w:hAnsi="Verdana" w:cs="Arial"/>
              </w:rPr>
              <w:t>Ley 80 de 1993, artículo</w:t>
            </w:r>
            <w:r>
              <w:rPr>
                <w:rFonts w:ascii="Verdana" w:hAnsi="Verdana" w:cs="Arial"/>
              </w:rPr>
              <w:t>s 14, 16 y 40.</w:t>
            </w:r>
          </w:p>
          <w:p w14:paraId="0B2021F1" w14:textId="77777777" w:rsidR="008C29F9" w:rsidRPr="00F75238" w:rsidRDefault="008C29F9" w:rsidP="008C29F9">
            <w:pPr>
              <w:pStyle w:val="Prrafodelista"/>
              <w:widowControl w:val="0"/>
              <w:numPr>
                <w:ilvl w:val="0"/>
                <w:numId w:val="17"/>
              </w:numPr>
              <w:tabs>
                <w:tab w:val="left" w:pos="8419"/>
              </w:tabs>
              <w:autoSpaceDE w:val="0"/>
              <w:autoSpaceDN w:val="0"/>
              <w:spacing w:line="276" w:lineRule="auto"/>
              <w:jc w:val="both"/>
              <w:rPr>
                <w:rFonts w:ascii="Verdana" w:hAnsi="Verdana" w:cs="Arial"/>
              </w:rPr>
            </w:pPr>
            <w:r>
              <w:rPr>
                <w:rFonts w:ascii="Verdana" w:hAnsi="Verdana" w:cs="Arial"/>
              </w:rPr>
              <w:t>Código Civil, artículo 1501.</w:t>
            </w:r>
          </w:p>
          <w:p w14:paraId="6AC2E481" w14:textId="77777777" w:rsidR="008C29F9" w:rsidRDefault="008C29F9" w:rsidP="008C29F9">
            <w:pPr>
              <w:pStyle w:val="Prrafodelista"/>
              <w:widowControl w:val="0"/>
              <w:numPr>
                <w:ilvl w:val="0"/>
                <w:numId w:val="17"/>
              </w:numPr>
              <w:tabs>
                <w:tab w:val="left" w:pos="8419"/>
              </w:tabs>
              <w:autoSpaceDE w:val="0"/>
              <w:autoSpaceDN w:val="0"/>
              <w:spacing w:line="276" w:lineRule="auto"/>
              <w:jc w:val="both"/>
              <w:rPr>
                <w:rFonts w:ascii="Verdana" w:hAnsi="Verdana" w:cs="Arial"/>
              </w:rPr>
            </w:pPr>
            <w:r w:rsidRPr="002859AF">
              <w:rPr>
                <w:rFonts w:ascii="Verdana" w:hAnsi="Verdana" w:cs="Arial"/>
                <w:lang w:val="pt-BR"/>
              </w:rPr>
              <w:t xml:space="preserve">Corte Constitucional. </w:t>
            </w:r>
            <w:r>
              <w:rPr>
                <w:rFonts w:ascii="Verdana" w:hAnsi="Verdana" w:cs="Arial"/>
                <w:lang w:val="pt-BR"/>
              </w:rPr>
              <w:t>S</w:t>
            </w:r>
            <w:r w:rsidRPr="00DE7A3E">
              <w:rPr>
                <w:rFonts w:ascii="Verdana" w:hAnsi="Verdana" w:cs="Arial"/>
                <w:lang w:val="pt-BR"/>
              </w:rPr>
              <w:t>entencia C - 416 de 2012</w:t>
            </w:r>
            <w:r w:rsidRPr="002859AF">
              <w:rPr>
                <w:rFonts w:ascii="Verdana" w:hAnsi="Verdana" w:cs="Arial"/>
                <w:lang w:val="pt-BR"/>
              </w:rPr>
              <w:t xml:space="preserve">. </w:t>
            </w:r>
            <w:r w:rsidRPr="007E2D0D">
              <w:rPr>
                <w:rFonts w:ascii="Verdana" w:hAnsi="Verdana" w:cs="Arial"/>
              </w:rPr>
              <w:t>M</w:t>
            </w:r>
            <w:r>
              <w:rPr>
                <w:rFonts w:ascii="Verdana" w:hAnsi="Verdana" w:cs="Arial"/>
              </w:rPr>
              <w:t>.</w:t>
            </w:r>
            <w:r w:rsidRPr="007E2D0D">
              <w:rPr>
                <w:rFonts w:ascii="Verdana" w:hAnsi="Verdana" w:cs="Arial"/>
              </w:rPr>
              <w:t xml:space="preserve"> P</w:t>
            </w:r>
            <w:r>
              <w:rPr>
                <w:rFonts w:ascii="Verdana" w:hAnsi="Verdana" w:cs="Arial"/>
              </w:rPr>
              <w:t>.</w:t>
            </w:r>
            <w:r w:rsidRPr="007E2D0D">
              <w:rPr>
                <w:rFonts w:ascii="Verdana" w:hAnsi="Verdana" w:cs="Arial"/>
              </w:rPr>
              <w:t xml:space="preserve">: </w:t>
            </w:r>
            <w:r w:rsidRPr="002D7DA0">
              <w:rPr>
                <w:rFonts w:ascii="Verdana" w:hAnsi="Verdana" w:cs="Arial"/>
              </w:rPr>
              <w:t>Adriana María Guillén Arango</w:t>
            </w:r>
            <w:r>
              <w:rPr>
                <w:rFonts w:ascii="Verdana" w:hAnsi="Verdana" w:cs="Arial"/>
              </w:rPr>
              <w:t>:</w:t>
            </w:r>
          </w:p>
          <w:p w14:paraId="51C50D6B" w14:textId="77777777" w:rsidR="008C29F9" w:rsidRDefault="008C29F9" w:rsidP="00907B88">
            <w:pPr>
              <w:pStyle w:val="Prrafodelista"/>
              <w:widowControl w:val="0"/>
              <w:tabs>
                <w:tab w:val="left" w:pos="8419"/>
              </w:tabs>
              <w:autoSpaceDE w:val="0"/>
              <w:autoSpaceDN w:val="0"/>
              <w:spacing w:line="276" w:lineRule="auto"/>
              <w:jc w:val="both"/>
              <w:rPr>
                <w:rFonts w:ascii="Verdana" w:hAnsi="Verdana" w:cs="Arial"/>
              </w:rPr>
            </w:pPr>
            <w:hyperlink r:id="rId12" w:history="1">
              <w:r w:rsidRPr="00D35EEB">
                <w:rPr>
                  <w:rStyle w:val="Hipervnculo"/>
                  <w:rFonts w:ascii="Verdana" w:hAnsi="Verdana" w:cs="Arial"/>
                </w:rPr>
                <w:t>https://www.corteconstitucional.gov.co/relatoria/2012/C-416-12.htm</w:t>
              </w:r>
            </w:hyperlink>
            <w:r>
              <w:rPr>
                <w:rFonts w:ascii="Verdana" w:hAnsi="Verdana" w:cs="Arial"/>
              </w:rPr>
              <w:t xml:space="preserve"> </w:t>
            </w:r>
          </w:p>
          <w:p w14:paraId="0FA09292" w14:textId="77777777" w:rsidR="008C29F9" w:rsidRPr="00DA3E19" w:rsidRDefault="008C29F9" w:rsidP="008C29F9">
            <w:pPr>
              <w:pStyle w:val="Prrafodelista"/>
              <w:widowControl w:val="0"/>
              <w:numPr>
                <w:ilvl w:val="0"/>
                <w:numId w:val="17"/>
              </w:numPr>
              <w:tabs>
                <w:tab w:val="left" w:pos="8419"/>
              </w:tabs>
              <w:autoSpaceDE w:val="0"/>
              <w:autoSpaceDN w:val="0"/>
              <w:spacing w:line="276" w:lineRule="auto"/>
              <w:jc w:val="both"/>
              <w:rPr>
                <w:rFonts w:ascii="Verdana" w:hAnsi="Verdana" w:cs="Arial"/>
                <w:lang w:val="pt-BR"/>
              </w:rPr>
            </w:pPr>
            <w:r w:rsidRPr="002859AF">
              <w:rPr>
                <w:rFonts w:ascii="Verdana" w:hAnsi="Verdana" w:cs="Arial"/>
                <w:lang w:val="pt-BR"/>
              </w:rPr>
              <w:t>Corte Constitucional.</w:t>
            </w:r>
            <w:r>
              <w:rPr>
                <w:rFonts w:ascii="Verdana" w:hAnsi="Verdana" w:cs="Arial"/>
                <w:lang w:val="pt-BR"/>
              </w:rPr>
              <w:t xml:space="preserve"> </w:t>
            </w:r>
            <w:r>
              <w:rPr>
                <w:rFonts w:ascii="Verdana" w:hAnsi="Verdana" w:cs="Arial"/>
                <w:sz w:val="21"/>
                <w:szCs w:val="21"/>
                <w:lang w:val="pt-BR"/>
              </w:rPr>
              <w:t>S</w:t>
            </w:r>
            <w:r w:rsidRPr="00FF6951">
              <w:rPr>
                <w:rFonts w:ascii="Verdana" w:hAnsi="Verdana" w:cs="Arial"/>
                <w:sz w:val="21"/>
                <w:szCs w:val="21"/>
                <w:lang w:val="pt-BR"/>
              </w:rPr>
              <w:t>entencia C-949 de 2001</w:t>
            </w:r>
            <w:r>
              <w:rPr>
                <w:rFonts w:ascii="Verdana" w:hAnsi="Verdana" w:cs="Arial"/>
                <w:sz w:val="21"/>
                <w:szCs w:val="21"/>
                <w:lang w:val="pt-BR"/>
              </w:rPr>
              <w:t xml:space="preserve">. M. P.: </w:t>
            </w:r>
            <w:r w:rsidRPr="00DA3E19">
              <w:rPr>
                <w:rFonts w:ascii="Verdana" w:hAnsi="Verdana" w:cs="Arial"/>
                <w:sz w:val="21"/>
                <w:szCs w:val="21"/>
              </w:rPr>
              <w:t>Clara Inés Vargas Hernandez</w:t>
            </w:r>
            <w:r>
              <w:rPr>
                <w:rFonts w:ascii="Verdana" w:hAnsi="Verdana" w:cs="Arial"/>
                <w:sz w:val="21"/>
                <w:szCs w:val="21"/>
              </w:rPr>
              <w:t>:</w:t>
            </w:r>
          </w:p>
          <w:p w14:paraId="1E23B692" w14:textId="77777777" w:rsidR="008C29F9" w:rsidRPr="00FF6951" w:rsidRDefault="008C29F9" w:rsidP="00907B88">
            <w:pPr>
              <w:pStyle w:val="Prrafodelista"/>
              <w:widowControl w:val="0"/>
              <w:tabs>
                <w:tab w:val="left" w:pos="8419"/>
              </w:tabs>
              <w:autoSpaceDE w:val="0"/>
              <w:autoSpaceDN w:val="0"/>
              <w:spacing w:line="276" w:lineRule="auto"/>
              <w:jc w:val="both"/>
              <w:rPr>
                <w:rFonts w:ascii="Verdana" w:hAnsi="Verdana" w:cs="Arial"/>
                <w:lang w:val="pt-BR"/>
              </w:rPr>
            </w:pPr>
            <w:hyperlink r:id="rId13" w:history="1">
              <w:r w:rsidRPr="00D35EEB">
                <w:rPr>
                  <w:rStyle w:val="Hipervnculo"/>
                  <w:rFonts w:ascii="Verdana" w:hAnsi="Verdana" w:cs="Arial"/>
                  <w:lang w:val="pt-BR"/>
                </w:rPr>
                <w:t>https://www.corteconstitucional.gov.co/relatoria/2001/C-949-01.htm</w:t>
              </w:r>
            </w:hyperlink>
            <w:r>
              <w:rPr>
                <w:rFonts w:ascii="Verdana" w:hAnsi="Verdana" w:cs="Arial"/>
                <w:lang w:val="pt-BR"/>
              </w:rPr>
              <w:t xml:space="preserve"> </w:t>
            </w:r>
          </w:p>
          <w:p w14:paraId="5B1FB61C" w14:textId="77777777" w:rsidR="008C29F9" w:rsidRDefault="008C29F9" w:rsidP="008C29F9">
            <w:pPr>
              <w:pStyle w:val="Prrafodelista"/>
              <w:widowControl w:val="0"/>
              <w:numPr>
                <w:ilvl w:val="0"/>
                <w:numId w:val="17"/>
              </w:numPr>
              <w:tabs>
                <w:tab w:val="left" w:pos="8419"/>
              </w:tabs>
              <w:autoSpaceDE w:val="0"/>
              <w:autoSpaceDN w:val="0"/>
              <w:spacing w:line="276" w:lineRule="auto"/>
              <w:jc w:val="both"/>
              <w:rPr>
                <w:rFonts w:ascii="Verdana" w:hAnsi="Verdana" w:cs="Arial"/>
                <w:lang w:val="pt-BR"/>
              </w:rPr>
            </w:pPr>
            <w:r w:rsidRPr="00881679">
              <w:rPr>
                <w:rFonts w:ascii="Verdana" w:hAnsi="Verdana" w:cs="Arial"/>
                <w:lang w:val="pt-BR"/>
              </w:rPr>
              <w:t>Consejo de Estado. Sala de Consulta y Servicio Civil, concepto del 13 de agosto de 2009, rad. 1.952, C.P.</w:t>
            </w:r>
            <w:r>
              <w:rPr>
                <w:rFonts w:ascii="Verdana" w:hAnsi="Verdana" w:cs="Arial"/>
                <w:lang w:val="pt-BR"/>
              </w:rPr>
              <w:t>:</w:t>
            </w:r>
            <w:r w:rsidRPr="00881679">
              <w:rPr>
                <w:rFonts w:ascii="Verdana" w:hAnsi="Verdana" w:cs="Arial"/>
                <w:lang w:val="pt-BR"/>
              </w:rPr>
              <w:t xml:space="preserve"> Enrique José Arboleda Perdomo:</w:t>
            </w:r>
          </w:p>
          <w:p w14:paraId="6A9A3D6A" w14:textId="77777777" w:rsidR="008C29F9" w:rsidRPr="00881679" w:rsidRDefault="008C29F9" w:rsidP="00907B88">
            <w:pPr>
              <w:pStyle w:val="Prrafodelista"/>
              <w:widowControl w:val="0"/>
              <w:tabs>
                <w:tab w:val="left" w:pos="8419"/>
              </w:tabs>
              <w:autoSpaceDE w:val="0"/>
              <w:autoSpaceDN w:val="0"/>
              <w:spacing w:line="276" w:lineRule="auto"/>
              <w:jc w:val="both"/>
              <w:rPr>
                <w:rFonts w:ascii="Verdana" w:hAnsi="Verdana" w:cs="Arial"/>
                <w:lang w:val="pt-BR"/>
              </w:rPr>
            </w:pPr>
            <w:hyperlink r:id="rId14" w:history="1">
              <w:r w:rsidRPr="00D35EEB">
                <w:rPr>
                  <w:rStyle w:val="Hipervnculo"/>
                  <w:rFonts w:ascii="Verdana" w:hAnsi="Verdana" w:cs="Arial"/>
                  <w:lang w:val="pt-BR"/>
                </w:rPr>
                <w:t>http://servicios.consejodeestado.gov.co/WebRelatoria/FileReferenceServlet?corp=ce&amp;ext=doc&amp;file=2000171</w:t>
              </w:r>
            </w:hyperlink>
            <w:r>
              <w:rPr>
                <w:rFonts w:ascii="Verdana" w:hAnsi="Verdana" w:cs="Arial"/>
                <w:lang w:val="pt-BR"/>
              </w:rPr>
              <w:t xml:space="preserve"> </w:t>
            </w:r>
          </w:p>
          <w:p w14:paraId="3A330544" w14:textId="77777777" w:rsidR="008C29F9" w:rsidRPr="00253B48" w:rsidRDefault="008C29F9" w:rsidP="008C29F9">
            <w:pPr>
              <w:pStyle w:val="Prrafodelista"/>
              <w:widowControl w:val="0"/>
              <w:numPr>
                <w:ilvl w:val="0"/>
                <w:numId w:val="17"/>
              </w:numPr>
              <w:tabs>
                <w:tab w:val="left" w:pos="8419"/>
              </w:tabs>
              <w:autoSpaceDE w:val="0"/>
              <w:autoSpaceDN w:val="0"/>
              <w:spacing w:line="276" w:lineRule="auto"/>
              <w:jc w:val="both"/>
              <w:rPr>
                <w:rFonts w:ascii="Verdana" w:hAnsi="Verdana" w:cs="Arial"/>
              </w:rPr>
            </w:pPr>
            <w:r w:rsidRPr="00253B48">
              <w:rPr>
                <w:rFonts w:ascii="Verdana" w:hAnsi="Verdana" w:cs="Arial"/>
              </w:rPr>
              <w:t xml:space="preserve">Consejo de Estado. </w:t>
            </w:r>
            <w:r w:rsidRPr="00253B48">
              <w:rPr>
                <w:rFonts w:ascii="Verdana" w:eastAsia="Arial" w:hAnsi="Verdana" w:cs="Arial"/>
                <w:lang w:eastAsia="es-ES" w:bidi="es-ES"/>
              </w:rPr>
              <w:t>Sala de Consulta y Servicio Civil del Consejo de Estado.</w:t>
            </w:r>
            <w:r w:rsidRPr="00253B48">
              <w:rPr>
                <w:rFonts w:ascii="Verdana" w:hAnsi="Verdana" w:cs="Arial"/>
              </w:rPr>
              <w:t xml:space="preserve"> C</w:t>
            </w:r>
            <w:r w:rsidRPr="00253B48">
              <w:rPr>
                <w:rFonts w:ascii="Verdana" w:eastAsia="Arial" w:hAnsi="Verdana" w:cs="Arial"/>
                <w:lang w:eastAsia="es-ES" w:bidi="es-ES"/>
              </w:rPr>
              <w:t xml:space="preserve">oncepto 2263 del 17 de marzo del 2016, </w:t>
            </w:r>
            <w:r>
              <w:rPr>
                <w:rFonts w:ascii="Verdana" w:eastAsia="Arial" w:hAnsi="Verdana" w:cs="Arial"/>
                <w:lang w:eastAsia="es-ES" w:bidi="es-ES"/>
              </w:rPr>
              <w:t xml:space="preserve">C. P.: </w:t>
            </w:r>
            <w:r w:rsidRPr="006A2981">
              <w:rPr>
                <w:rFonts w:ascii="Verdana" w:hAnsi="Verdana" w:cs="Arial"/>
              </w:rPr>
              <w:t>Édgar González López</w:t>
            </w:r>
            <w:r w:rsidRPr="00253B48">
              <w:rPr>
                <w:rFonts w:ascii="Verdana" w:hAnsi="Verdana" w:cs="Arial"/>
              </w:rPr>
              <w:t>.</w:t>
            </w:r>
          </w:p>
          <w:p w14:paraId="525DE1E9" w14:textId="77777777" w:rsidR="008C29F9" w:rsidRPr="000D446F" w:rsidRDefault="008C29F9" w:rsidP="00907B88">
            <w:pPr>
              <w:pStyle w:val="Prrafodelista"/>
              <w:jc w:val="both"/>
              <w:rPr>
                <w:rFonts w:ascii="Verdana" w:hAnsi="Verdana" w:cs="Arial"/>
              </w:rPr>
            </w:pPr>
            <w:r>
              <w:rPr>
                <w:rFonts w:ascii="Verdana" w:hAnsi="Verdana" w:cs="Arial"/>
              </w:rPr>
              <w:t>Código Civil, artículo 1501.</w:t>
            </w:r>
          </w:p>
        </w:tc>
      </w:tr>
    </w:tbl>
    <w:p w14:paraId="6DB1B4B7" w14:textId="77777777" w:rsidR="008C29F9" w:rsidRPr="00593A5F" w:rsidRDefault="008C29F9" w:rsidP="008C29F9">
      <w:pPr>
        <w:widowControl w:val="0"/>
        <w:autoSpaceDE w:val="0"/>
        <w:autoSpaceDN w:val="0"/>
        <w:spacing w:after="0" w:line="276" w:lineRule="auto"/>
        <w:jc w:val="both"/>
        <w:rPr>
          <w:rFonts w:ascii="Verdana" w:hAnsi="Verdana" w:cs="Arial"/>
        </w:rPr>
      </w:pPr>
    </w:p>
    <w:p w14:paraId="556EBEB3" w14:textId="77777777" w:rsidR="008C29F9" w:rsidRPr="00593A5F" w:rsidRDefault="008C29F9" w:rsidP="008C29F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496BA5D" w14:textId="77777777" w:rsidR="008C29F9" w:rsidRDefault="008C29F9" w:rsidP="008C29F9">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1F58403F" w14:textId="77777777" w:rsidR="008C29F9" w:rsidRDefault="008C29F9" w:rsidP="008C29F9">
      <w:pPr>
        <w:widowControl w:val="0"/>
        <w:autoSpaceDE w:val="0"/>
        <w:autoSpaceDN w:val="0"/>
        <w:spacing w:after="0" w:line="276" w:lineRule="auto"/>
        <w:jc w:val="both"/>
        <w:rPr>
          <w:rStyle w:val="normaltextrun"/>
          <w:rFonts w:ascii="Verdana" w:hAnsi="Verdana" w:cs="Arial"/>
          <w:shd w:val="clear" w:color="auto" w:fill="FFFFFF"/>
          <w:lang w:val="es-ES"/>
        </w:rPr>
      </w:pPr>
      <w:r w:rsidRPr="0053731C">
        <w:rPr>
          <w:rFonts w:ascii="Verdana" w:eastAsia="Calibri" w:hAnsi="Verdana" w:cs="Arial"/>
          <w:lang w:val="es-ES_tradnl" w:eastAsia="es-ES_tradnl"/>
        </w:rPr>
        <w:t xml:space="preserve">Sobre </w:t>
      </w:r>
      <w:r w:rsidRPr="00823C6A">
        <w:rPr>
          <w:rFonts w:ascii="Verdana" w:hAnsi="Verdana"/>
        </w:rPr>
        <w:t>las modificaciones y adiciones en los contratos estatales</w:t>
      </w:r>
      <w:r>
        <w:rPr>
          <w:rFonts w:ascii="Verdana" w:hAnsi="Verdana"/>
        </w:rPr>
        <w:t>, la Agencia se ha pronunciado</w:t>
      </w:r>
      <w:r w:rsidRPr="00823C6A">
        <w:rPr>
          <w:rFonts w:ascii="Verdana" w:hAnsi="Verdana"/>
        </w:rPr>
        <w:t xml:space="preserve"> en los conceptos Nro. C-277 de 21 de junio de 2021, C-644 de 18 de noviembre de 2021, C-755 de 21 de enero de 2022, C-152 de 1 de abril de 2022, C-267 de 5 de mayo de 2022, C-432 de 13 de julio de 2022, C-630 del 29 de septiembre de 2022, C784 del 21 de noviembre del 2022, C-398 del 27 de septiembre de 2023, C-452 del 7 de noviembre de 2023, C-463 del 22 de </w:t>
      </w:r>
      <w:r w:rsidRPr="00823C6A">
        <w:rPr>
          <w:rFonts w:ascii="Verdana" w:hAnsi="Verdana"/>
        </w:rPr>
        <w:lastRenderedPageBreak/>
        <w:t>noviembre de 2023, C-471 del 25 de enero del 2024</w:t>
      </w:r>
      <w:r w:rsidRPr="00823C6A">
        <w:rPr>
          <w:rStyle w:val="normaltextrun"/>
          <w:rFonts w:ascii="Verdana" w:hAnsi="Verdana" w:cs="Arial"/>
          <w:color w:val="7030A0"/>
          <w:shd w:val="clear" w:color="auto" w:fill="FFFFFF"/>
          <w:lang w:val="es-ES"/>
        </w:rPr>
        <w:t xml:space="preserve">. </w:t>
      </w:r>
      <w:r w:rsidRPr="000722D1">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823C6A">
        <w:rPr>
          <w:rFonts w:ascii="Verdana" w:hAnsi="Verdana"/>
        </w:rPr>
        <w:t>:</w:t>
      </w:r>
      <w:r w:rsidRPr="00823C6A">
        <w:rPr>
          <w:rStyle w:val="normaltextrun"/>
          <w:rFonts w:ascii="Verdana" w:hAnsi="Verdana" w:cs="Arial"/>
          <w:shd w:val="clear" w:color="auto" w:fill="FFFFFF"/>
          <w:lang w:val="es-ES"/>
        </w:rPr>
        <w:t xml:space="preserve"> </w:t>
      </w:r>
    </w:p>
    <w:p w14:paraId="17A57E4A" w14:textId="77777777" w:rsidR="008C29F9" w:rsidRDefault="008C29F9" w:rsidP="008C29F9">
      <w:pPr>
        <w:widowControl w:val="0"/>
        <w:autoSpaceDE w:val="0"/>
        <w:autoSpaceDN w:val="0"/>
        <w:spacing w:after="0" w:line="276" w:lineRule="auto"/>
        <w:jc w:val="both"/>
        <w:rPr>
          <w:rStyle w:val="normaltextrun"/>
          <w:rFonts w:ascii="Verdana" w:hAnsi="Verdana" w:cs="Arial"/>
          <w:shd w:val="clear" w:color="auto" w:fill="FFFFFF"/>
          <w:lang w:val="es-ES"/>
        </w:rPr>
      </w:pPr>
    </w:p>
    <w:p w14:paraId="42EAA8B6" w14:textId="77777777" w:rsidR="008C29F9" w:rsidRPr="0022079C" w:rsidRDefault="008C29F9" w:rsidP="008C29F9">
      <w:pPr>
        <w:pStyle w:val="Prrafodelista"/>
        <w:widowControl w:val="0"/>
        <w:numPr>
          <w:ilvl w:val="0"/>
          <w:numId w:val="18"/>
        </w:numPr>
        <w:autoSpaceDE w:val="0"/>
        <w:autoSpaceDN w:val="0"/>
        <w:spacing w:after="0" w:line="276" w:lineRule="auto"/>
        <w:jc w:val="both"/>
        <w:rPr>
          <w:rStyle w:val="normaltextrun"/>
          <w:rFonts w:ascii="Verdana" w:hAnsi="Verdana" w:cs="Arial"/>
          <w:color w:val="000000" w:themeColor="text1"/>
          <w:shd w:val="clear" w:color="auto" w:fill="FFFFFF"/>
        </w:rPr>
      </w:pPr>
      <w:hyperlink r:id="rId15" w:history="1">
        <w:r w:rsidRPr="0022079C">
          <w:rPr>
            <w:rStyle w:val="Hipervnculo"/>
            <w:rFonts w:ascii="Verdana" w:hAnsi="Verdana" w:cs="Arial"/>
            <w:shd w:val="clear" w:color="auto" w:fill="FFFFFF"/>
          </w:rPr>
          <w:t>https://relatoria.colombiacompra.gov.co/</w:t>
        </w:r>
      </w:hyperlink>
      <w:r w:rsidRPr="0022079C">
        <w:rPr>
          <w:rFonts w:ascii="Verdana" w:hAnsi="Verdana" w:cs="Arial"/>
          <w:shd w:val="clear" w:color="auto" w:fill="FFFFFF"/>
        </w:rPr>
        <w:t xml:space="preserve"> </w:t>
      </w:r>
    </w:p>
    <w:p w14:paraId="3F572110" w14:textId="77777777" w:rsidR="008C29F9" w:rsidRDefault="008C29F9" w:rsidP="008C29F9">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7"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0C9C3F94" w14:textId="77777777" w:rsidR="008C29F9" w:rsidRDefault="008C29F9" w:rsidP="008C29F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13FBF4B" w14:textId="77777777" w:rsidR="008C29F9" w:rsidRDefault="008C29F9" w:rsidP="008C29F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8"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659A98BB" w14:textId="77777777" w:rsidR="008C29F9" w:rsidRDefault="008C29F9" w:rsidP="008C29F9">
      <w:pPr>
        <w:spacing w:after="0" w:line="240" w:lineRule="auto"/>
        <w:jc w:val="both"/>
        <w:rPr>
          <w:rFonts w:ascii="Verdana" w:hAnsi="Verdana"/>
        </w:rPr>
      </w:pPr>
    </w:p>
    <w:p w14:paraId="76E21AC4" w14:textId="77777777" w:rsidR="008C29F9" w:rsidRPr="003E2460" w:rsidRDefault="008C29F9" w:rsidP="008C29F9">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5B29D36D" w14:textId="77777777" w:rsidR="008C29F9" w:rsidRPr="003E2460" w:rsidRDefault="008C29F9" w:rsidP="008C29F9">
      <w:pPr>
        <w:spacing w:after="0" w:line="240" w:lineRule="auto"/>
        <w:jc w:val="both"/>
        <w:rPr>
          <w:rFonts w:ascii="Verdana" w:hAnsi="Verdana"/>
        </w:rPr>
      </w:pPr>
    </w:p>
    <w:p w14:paraId="6EA0F11C" w14:textId="77777777" w:rsidR="008C29F9" w:rsidRPr="003E2460" w:rsidRDefault="008C29F9" w:rsidP="008C29F9">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2F4EAA52" w14:textId="77777777" w:rsidR="008C29F9" w:rsidRPr="003E2460" w:rsidRDefault="008C29F9" w:rsidP="008C29F9">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77E8DC09" w14:textId="77777777" w:rsidR="008C29F9" w:rsidRPr="003E2460" w:rsidRDefault="008C29F9" w:rsidP="008C29F9">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B4E33B7" w14:textId="77777777" w:rsidR="008C29F9" w:rsidRPr="00593A5F" w:rsidRDefault="008C29F9" w:rsidP="008C29F9">
      <w:pPr>
        <w:widowControl w:val="0"/>
        <w:autoSpaceDE w:val="0"/>
        <w:autoSpaceDN w:val="0"/>
        <w:spacing w:after="0" w:line="276" w:lineRule="auto"/>
        <w:jc w:val="both"/>
        <w:rPr>
          <w:rFonts w:ascii="Verdana" w:hAnsi="Verdana" w:cs="Arial"/>
        </w:rPr>
      </w:pPr>
    </w:p>
    <w:p w14:paraId="4222C36E" w14:textId="77777777" w:rsidR="008C29F9" w:rsidRPr="00593A5F" w:rsidRDefault="008C29F9" w:rsidP="008C29F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4AB02588" w14:textId="77777777" w:rsidR="008C29F9" w:rsidRPr="00593A5F" w:rsidRDefault="008C29F9" w:rsidP="008C29F9">
      <w:pPr>
        <w:widowControl w:val="0"/>
        <w:autoSpaceDE w:val="0"/>
        <w:autoSpaceDN w:val="0"/>
        <w:spacing w:after="0" w:line="276" w:lineRule="auto"/>
        <w:jc w:val="both"/>
        <w:rPr>
          <w:rFonts w:ascii="Verdana" w:hAnsi="Verdana" w:cs="Arial"/>
        </w:rPr>
      </w:pPr>
    </w:p>
    <w:p w14:paraId="629CB2B0" w14:textId="77777777" w:rsidR="008C29F9" w:rsidRPr="00593A5F" w:rsidRDefault="008C29F9" w:rsidP="008C29F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07FF370" w14:textId="2BED57A8" w:rsidR="008C29F9" w:rsidRDefault="008C29F9" w:rsidP="008C29F9">
      <w:pPr>
        <w:spacing w:line="276" w:lineRule="auto"/>
        <w:jc w:val="center"/>
        <w:rPr>
          <w:rFonts w:ascii="Verdana" w:hAnsi="Verdana"/>
          <w:noProof/>
        </w:rPr>
      </w:pPr>
    </w:p>
    <w:p w14:paraId="38AB2565" w14:textId="77777777" w:rsidR="00B17032" w:rsidRDefault="00B17032" w:rsidP="008C29F9">
      <w:pPr>
        <w:spacing w:line="276" w:lineRule="auto"/>
        <w:jc w:val="center"/>
        <w:rPr>
          <w:rFonts w:ascii="Verdana" w:hAnsi="Verdana"/>
          <w:noProof/>
          <w:color w:val="000000"/>
          <w:lang w:val="es-ES_tradnl"/>
        </w:rPr>
      </w:pPr>
    </w:p>
    <w:p w14:paraId="7CA6F5C3" w14:textId="77777777" w:rsidR="00B17032" w:rsidRDefault="00B17032" w:rsidP="008C29F9">
      <w:pPr>
        <w:spacing w:line="276" w:lineRule="auto"/>
        <w:jc w:val="center"/>
        <w:rPr>
          <w:rFonts w:ascii="Verdana" w:hAnsi="Verdana"/>
          <w:noProof/>
          <w:color w:val="000000"/>
          <w:lang w:val="es-ES_tradnl"/>
        </w:rPr>
      </w:pPr>
    </w:p>
    <w:p w14:paraId="299937EA" w14:textId="77777777" w:rsidR="00B17032" w:rsidRDefault="00B17032" w:rsidP="008C29F9">
      <w:pPr>
        <w:spacing w:line="276" w:lineRule="auto"/>
        <w:jc w:val="center"/>
        <w:rPr>
          <w:rFonts w:ascii="Verdana" w:hAnsi="Verdana"/>
          <w:noProof/>
          <w:color w:val="000000"/>
          <w:lang w:val="es-ES_tradnl"/>
        </w:rPr>
      </w:pPr>
    </w:p>
    <w:p w14:paraId="462E59E2" w14:textId="593F04A9" w:rsidR="00B17032" w:rsidRPr="00B17032" w:rsidRDefault="00B17032" w:rsidP="00B17032">
      <w:pPr>
        <w:spacing w:line="276" w:lineRule="auto"/>
        <w:jc w:val="center"/>
        <w:rPr>
          <w:rFonts w:ascii="Verdana" w:hAnsi="Verdana"/>
          <w:noProof/>
          <w:color w:val="000000"/>
        </w:rPr>
      </w:pPr>
      <w:r w:rsidRPr="00B17032">
        <w:rPr>
          <w:rFonts w:ascii="Verdana" w:hAnsi="Verdana"/>
          <w:noProof/>
          <w:color w:val="000000"/>
        </w:rPr>
        <w:drawing>
          <wp:inline distT="0" distB="0" distL="0" distR="0" wp14:anchorId="7CCFAD0A" wp14:editId="4C269C21">
            <wp:extent cx="3286125" cy="1410676"/>
            <wp:effectExtent l="0" t="0" r="0" b="0"/>
            <wp:docPr id="641233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2747" cy="1413519"/>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C29F9" w:rsidRPr="00593A5F" w14:paraId="1B122949" w14:textId="77777777" w:rsidTr="00907B88">
        <w:trPr>
          <w:trHeight w:val="315"/>
        </w:trPr>
        <w:tc>
          <w:tcPr>
            <w:tcW w:w="893" w:type="dxa"/>
            <w:vAlign w:val="center"/>
            <w:hideMark/>
          </w:tcPr>
          <w:p w14:paraId="37AADFF0" w14:textId="77777777" w:rsidR="008C29F9" w:rsidRPr="003751C7" w:rsidRDefault="008C29F9" w:rsidP="00907B88">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15DC245" w14:textId="77777777" w:rsidR="008C29F9" w:rsidRPr="00BE4B85" w:rsidRDefault="008C29F9" w:rsidP="00907B88">
            <w:pPr>
              <w:contextualSpacing/>
              <w:rPr>
                <w:rFonts w:ascii="Verdana" w:eastAsia="Arial" w:hAnsi="Verdana" w:cs="Arial"/>
                <w:color w:val="7030A0"/>
                <w:sz w:val="16"/>
                <w:szCs w:val="16"/>
              </w:rPr>
            </w:pPr>
            <w:r w:rsidRPr="00BE4B85">
              <w:rPr>
                <w:rStyle w:val="normaltextrun"/>
                <w:rFonts w:ascii="Verdana" w:hAnsi="Verdana"/>
                <w:sz w:val="16"/>
                <w:szCs w:val="16"/>
              </w:rPr>
              <w:t>Christian Camilo Orjuela Galeano</w:t>
            </w:r>
          </w:p>
          <w:p w14:paraId="74F2A0DD" w14:textId="77777777" w:rsidR="008C29F9" w:rsidRPr="00BE4B85" w:rsidRDefault="008C29F9" w:rsidP="00907B88">
            <w:pPr>
              <w:contextualSpacing/>
              <w:rPr>
                <w:rFonts w:ascii="Verdana" w:eastAsia="Arial" w:hAnsi="Verdana" w:cs="Arial"/>
                <w:sz w:val="16"/>
                <w:szCs w:val="16"/>
              </w:rPr>
            </w:pPr>
            <w:r w:rsidRPr="00BE4B85">
              <w:rPr>
                <w:rStyle w:val="normaltextrun"/>
                <w:rFonts w:ascii="Verdana" w:eastAsia="Arial" w:hAnsi="Verdana" w:cs="Arial"/>
                <w:sz w:val="16"/>
                <w:szCs w:val="16"/>
              </w:rPr>
              <w:t>Contratista de la Subdirección de Gestión Contractual</w:t>
            </w:r>
          </w:p>
        </w:tc>
      </w:tr>
      <w:tr w:rsidR="008C29F9" w:rsidRPr="00593A5F" w14:paraId="03AF8854" w14:textId="77777777" w:rsidTr="00907B88">
        <w:trPr>
          <w:trHeight w:val="330"/>
        </w:trPr>
        <w:tc>
          <w:tcPr>
            <w:tcW w:w="893" w:type="dxa"/>
            <w:vAlign w:val="center"/>
            <w:hideMark/>
          </w:tcPr>
          <w:p w14:paraId="22C697AF" w14:textId="77777777" w:rsidR="008C29F9" w:rsidRPr="003751C7" w:rsidRDefault="008C29F9" w:rsidP="00907B88">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B5D6F6" w14:textId="77777777" w:rsidR="008C29F9" w:rsidRPr="0031103E" w:rsidRDefault="008C29F9" w:rsidP="00907B88">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Adriana López Rodríguez</w:t>
            </w:r>
          </w:p>
          <w:p w14:paraId="560472A8" w14:textId="77777777" w:rsidR="008C29F9" w:rsidRPr="00BE4B85" w:rsidRDefault="008C29F9" w:rsidP="00907B88">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eastAsia="Arial" w:hAnsi="Verdana" w:cs="Arial"/>
                <w:sz w:val="16"/>
                <w:szCs w:val="16"/>
              </w:rPr>
              <w:t>Contratista de la Subdirección de Gestión Contractual</w:t>
            </w:r>
          </w:p>
        </w:tc>
      </w:tr>
      <w:tr w:rsidR="008C29F9" w:rsidRPr="00593A5F" w14:paraId="47008DE4" w14:textId="77777777" w:rsidTr="00907B88">
        <w:trPr>
          <w:trHeight w:val="300"/>
        </w:trPr>
        <w:tc>
          <w:tcPr>
            <w:tcW w:w="893" w:type="dxa"/>
            <w:vAlign w:val="center"/>
          </w:tcPr>
          <w:p w14:paraId="000DA435" w14:textId="77777777" w:rsidR="008C29F9" w:rsidRPr="003751C7" w:rsidRDefault="008C29F9" w:rsidP="00907B8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66146BE" w14:textId="77777777" w:rsidR="008C29F9" w:rsidRPr="00BE4B85" w:rsidRDefault="008C29F9" w:rsidP="00907B88">
            <w:pPr>
              <w:contextualSpacing/>
              <w:rPr>
                <w:rFonts w:ascii="Verdana" w:eastAsia="Calibri" w:hAnsi="Verdana" w:cs="Arial"/>
                <w:sz w:val="16"/>
                <w:szCs w:val="16"/>
                <w:lang w:val="pt-BR" w:eastAsia="es-ES"/>
              </w:rPr>
            </w:pPr>
            <w:r w:rsidRPr="00BE4B85">
              <w:rPr>
                <w:rFonts w:ascii="Verdana" w:eastAsia="Calibri" w:hAnsi="Verdana" w:cs="Arial"/>
                <w:sz w:val="16"/>
                <w:szCs w:val="16"/>
                <w:lang w:val="pt-BR" w:eastAsia="es-ES"/>
              </w:rPr>
              <w:t>Carolina Quintero Gacharná</w:t>
            </w:r>
          </w:p>
          <w:p w14:paraId="7CE3B76B" w14:textId="77777777" w:rsidR="008C29F9" w:rsidRPr="00BE4B85" w:rsidRDefault="008C29F9" w:rsidP="00907B88">
            <w:pPr>
              <w:contextualSpacing/>
              <w:rPr>
                <w:rFonts w:ascii="Verdana" w:eastAsia="Calibri" w:hAnsi="Verdana" w:cs="Arial"/>
                <w:sz w:val="16"/>
                <w:szCs w:val="16"/>
                <w:lang w:val="pt-BR" w:eastAsia="es-ES"/>
              </w:rPr>
            </w:pPr>
            <w:r w:rsidRPr="00BE4B85">
              <w:rPr>
                <w:rFonts w:ascii="Verdana" w:eastAsia="Calibri" w:hAnsi="Verdana" w:cs="Arial"/>
                <w:sz w:val="16"/>
                <w:szCs w:val="16"/>
                <w:lang w:eastAsia="es-ES"/>
              </w:rPr>
              <w:t>Subdirectora</w:t>
            </w:r>
            <w:r w:rsidRPr="00BE4B85">
              <w:rPr>
                <w:rFonts w:ascii="Verdana" w:eastAsia="Calibri" w:hAnsi="Verdana" w:cs="Arial"/>
                <w:sz w:val="16"/>
                <w:szCs w:val="16"/>
                <w:lang w:val="pt-BR" w:eastAsia="es-ES"/>
              </w:rPr>
              <w:t xml:space="preserve"> de Gestión Contractual ANCP – CCE</w:t>
            </w:r>
          </w:p>
        </w:tc>
      </w:tr>
    </w:tbl>
    <w:p w14:paraId="7B502DC7" w14:textId="77777777" w:rsidR="008C29F9" w:rsidRPr="00593A5F" w:rsidRDefault="008C29F9" w:rsidP="008C29F9">
      <w:pPr>
        <w:spacing w:after="0" w:line="240" w:lineRule="auto"/>
        <w:rPr>
          <w:rFonts w:ascii="Verdana" w:eastAsia="Times New Roman" w:hAnsi="Verdana" w:cs="Arial"/>
          <w:sz w:val="24"/>
          <w:szCs w:val="24"/>
          <w:lang w:eastAsia="es-ES"/>
        </w:rPr>
      </w:pPr>
    </w:p>
    <w:p w14:paraId="4DF93636" w14:textId="77777777" w:rsidR="008C29F9" w:rsidRPr="00871B59" w:rsidRDefault="008C29F9" w:rsidP="008C29F9"/>
    <w:p w14:paraId="6CA18676" w14:textId="77777777" w:rsidR="008C29F9" w:rsidRPr="00A65B93" w:rsidRDefault="008C29F9" w:rsidP="008C29F9">
      <w:pPr>
        <w:spacing w:after="0"/>
        <w:rPr>
          <w:rFonts w:ascii="Verdana" w:hAnsi="Verdana"/>
          <w:lang w:val="es-ES"/>
        </w:rPr>
      </w:pPr>
    </w:p>
    <w:p w14:paraId="0BB05CB3" w14:textId="77777777" w:rsidR="008C29F9" w:rsidRPr="00C86D1D" w:rsidRDefault="008C29F9" w:rsidP="008C29F9"/>
    <w:p w14:paraId="07E0EE03" w14:textId="77777777" w:rsidR="008C29F9" w:rsidRPr="0044528D" w:rsidRDefault="008C29F9" w:rsidP="008C29F9">
      <w:pPr>
        <w:spacing w:after="0"/>
        <w:rPr>
          <w:rFonts w:ascii="Verdana" w:hAnsi="Verdana"/>
        </w:rPr>
      </w:pPr>
      <w:r w:rsidRPr="0044528D">
        <w:rPr>
          <w:rFonts w:ascii="Verdana" w:hAnsi="Verdana"/>
        </w:rPr>
        <w:tab/>
      </w:r>
    </w:p>
    <w:p w14:paraId="5B17984B" w14:textId="77777777" w:rsidR="008C29F9" w:rsidRPr="0044528D" w:rsidRDefault="008C29F9" w:rsidP="008C29F9">
      <w:pPr>
        <w:spacing w:after="0"/>
        <w:rPr>
          <w:rFonts w:ascii="Verdana" w:hAnsi="Verdana"/>
        </w:rPr>
      </w:pPr>
    </w:p>
    <w:bookmarkEnd w:id="0"/>
    <w:p w14:paraId="333A5FB8" w14:textId="77777777" w:rsidR="008C29F9" w:rsidRPr="0044528D" w:rsidRDefault="008C29F9" w:rsidP="008C29F9">
      <w:pPr>
        <w:spacing w:after="0"/>
        <w:rPr>
          <w:rFonts w:ascii="Verdana" w:hAnsi="Verdana"/>
        </w:rPr>
      </w:pPr>
    </w:p>
    <w:p w14:paraId="0F293BF4" w14:textId="7BBFAB11" w:rsidR="00127233" w:rsidRPr="002B5915" w:rsidRDefault="00127233" w:rsidP="002B5915"/>
    <w:sectPr w:rsidR="00127233" w:rsidRPr="002B5915"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F0556" w14:textId="77777777" w:rsidR="005354FA" w:rsidRDefault="005354FA" w:rsidP="004A1847">
      <w:pPr>
        <w:spacing w:after="0" w:line="240" w:lineRule="auto"/>
      </w:pPr>
      <w:r>
        <w:separator/>
      </w:r>
    </w:p>
  </w:endnote>
  <w:endnote w:type="continuationSeparator" w:id="0">
    <w:p w14:paraId="0632B9E8" w14:textId="77777777" w:rsidR="005354FA" w:rsidRDefault="005354FA" w:rsidP="004A1847">
      <w:pPr>
        <w:spacing w:after="0" w:line="240" w:lineRule="auto"/>
      </w:pPr>
      <w:r>
        <w:continuationSeparator/>
      </w:r>
    </w:p>
  </w:endnote>
  <w:endnote w:type="continuationNotice" w:id="1">
    <w:p w14:paraId="5DC2686C" w14:textId="77777777" w:rsidR="005354FA" w:rsidRDefault="00535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032E" w14:textId="77777777" w:rsidR="005354FA" w:rsidRDefault="005354FA" w:rsidP="004A1847">
      <w:pPr>
        <w:spacing w:after="0" w:line="240" w:lineRule="auto"/>
      </w:pPr>
      <w:r>
        <w:separator/>
      </w:r>
    </w:p>
  </w:footnote>
  <w:footnote w:type="continuationSeparator" w:id="0">
    <w:p w14:paraId="09A933D3" w14:textId="77777777" w:rsidR="005354FA" w:rsidRDefault="005354FA" w:rsidP="004A1847">
      <w:pPr>
        <w:spacing w:after="0" w:line="240" w:lineRule="auto"/>
      </w:pPr>
      <w:r>
        <w:continuationSeparator/>
      </w:r>
    </w:p>
  </w:footnote>
  <w:footnote w:type="continuationNotice" w:id="1">
    <w:p w14:paraId="1DD741A4" w14:textId="77777777" w:rsidR="005354FA" w:rsidRDefault="005354FA">
      <w:pPr>
        <w:spacing w:after="0" w:line="240" w:lineRule="auto"/>
      </w:pPr>
    </w:p>
  </w:footnote>
  <w:footnote w:id="2">
    <w:p w14:paraId="7769840A" w14:textId="77777777" w:rsidR="008C29F9" w:rsidRPr="005C0627" w:rsidRDefault="008C29F9" w:rsidP="008C29F9">
      <w:pPr>
        <w:pStyle w:val="Textonotapie"/>
        <w:ind w:firstLine="708"/>
        <w:jc w:val="both"/>
        <w:rPr>
          <w:rFonts w:ascii="Verdana" w:hAnsi="Verdana"/>
          <w:sz w:val="14"/>
          <w:szCs w:val="14"/>
        </w:rPr>
      </w:pPr>
      <w:r w:rsidRPr="005C0627">
        <w:rPr>
          <w:rStyle w:val="Refdenotaalpie"/>
          <w:rFonts w:ascii="Verdana" w:hAnsi="Verdana"/>
          <w:sz w:val="14"/>
          <w:szCs w:val="14"/>
        </w:rPr>
        <w:footnoteRef/>
      </w:r>
      <w:r w:rsidRPr="005C0627">
        <w:rPr>
          <w:rFonts w:ascii="Verdana" w:hAnsi="Verdana"/>
          <w:sz w:val="14"/>
          <w:szCs w:val="14"/>
        </w:rPr>
        <w:t xml:space="preserve"> CONSEJO DE ESTADO SALA DE LO CONTENCIOSO ADMINISTRATIVO SECCION TERCERA SUBSECCION B Consejero ponente: DANILO ROJAS BETANCOURTH Bogotá D.C., tres (3) de mayo de dos mil trece (2013) Radicación número: 25000-23-26-000-2000-00634-01(24221)</w:t>
      </w:r>
    </w:p>
    <w:p w14:paraId="25FB7D94" w14:textId="77777777" w:rsidR="008C29F9" w:rsidRPr="005C0627" w:rsidRDefault="008C29F9" w:rsidP="008C29F9">
      <w:pPr>
        <w:pStyle w:val="Textonotapie"/>
        <w:jc w:val="both"/>
        <w:rPr>
          <w:rFonts w:ascii="Verdana" w:hAnsi="Verdana"/>
          <w:sz w:val="14"/>
          <w:szCs w:val="14"/>
          <w:lang w:val="es-ES"/>
        </w:rPr>
      </w:pPr>
    </w:p>
  </w:footnote>
  <w:footnote w:id="3">
    <w:p w14:paraId="3C0D59AD" w14:textId="77777777" w:rsidR="008C29F9" w:rsidRPr="005C0627" w:rsidRDefault="008C29F9" w:rsidP="008C29F9">
      <w:pPr>
        <w:pStyle w:val="Textonotapie"/>
        <w:jc w:val="both"/>
        <w:rPr>
          <w:rFonts w:ascii="Verdana" w:hAnsi="Verdana" w:cs="Arial"/>
          <w:sz w:val="14"/>
          <w:szCs w:val="14"/>
          <w:lang w:val="es-CO"/>
        </w:rPr>
      </w:pPr>
      <w:r w:rsidRPr="005C0627">
        <w:rPr>
          <w:rStyle w:val="Refdenotaalpie"/>
          <w:rFonts w:ascii="Verdana" w:hAnsi="Verdana" w:cs="Arial"/>
          <w:sz w:val="14"/>
          <w:szCs w:val="14"/>
        </w:rPr>
        <w:footnoteRef/>
      </w:r>
      <w:r w:rsidRPr="005C0627">
        <w:rPr>
          <w:rFonts w:ascii="Verdana" w:hAnsi="Verdana" w:cs="Arial"/>
          <w:sz w:val="14"/>
          <w:szCs w:val="14"/>
        </w:rPr>
        <w:t xml:space="preserve"> </w:t>
      </w:r>
      <w:r w:rsidRPr="005C0627">
        <w:rPr>
          <w:rFonts w:ascii="Verdana" w:hAnsi="Verdana" w:cs="Arial"/>
          <w:sz w:val="14"/>
          <w:szCs w:val="14"/>
          <w:lang w:val="es-CO"/>
        </w:rPr>
        <w:t>El artículo 40 de la Ley 80 de 1993 dispone que los contratos no podrán adicionarse en más del 50% de su valor inicial, expresado en SMLMV.</w:t>
      </w:r>
    </w:p>
    <w:p w14:paraId="6736238D" w14:textId="77777777" w:rsidR="008C29F9" w:rsidRPr="005C0627" w:rsidRDefault="008C29F9" w:rsidP="008C29F9">
      <w:pPr>
        <w:pStyle w:val="Textonotapie"/>
        <w:jc w:val="both"/>
        <w:rPr>
          <w:rFonts w:ascii="Verdana" w:hAnsi="Verdana" w:cs="Arial"/>
          <w:sz w:val="14"/>
          <w:szCs w:val="14"/>
          <w:lang w:val="es-CO"/>
        </w:rPr>
      </w:pPr>
    </w:p>
  </w:footnote>
  <w:footnote w:id="4">
    <w:p w14:paraId="22FED308" w14:textId="77777777" w:rsidR="008C29F9" w:rsidRPr="005C0627" w:rsidRDefault="008C29F9" w:rsidP="008C29F9">
      <w:pPr>
        <w:pStyle w:val="Textonotapie"/>
        <w:jc w:val="both"/>
        <w:rPr>
          <w:rFonts w:ascii="Verdana" w:hAnsi="Verdana" w:cs="Arial"/>
          <w:color w:val="2D2D2D"/>
          <w:sz w:val="14"/>
          <w:szCs w:val="14"/>
          <w:shd w:val="clear" w:color="auto" w:fill="FFFFFF"/>
        </w:rPr>
      </w:pPr>
      <w:r w:rsidRPr="005C0627">
        <w:rPr>
          <w:rStyle w:val="Refdenotaalpie"/>
          <w:rFonts w:ascii="Verdana" w:hAnsi="Verdana" w:cs="Arial"/>
          <w:sz w:val="14"/>
          <w:szCs w:val="14"/>
        </w:rPr>
        <w:footnoteRef/>
      </w:r>
      <w:r w:rsidRPr="005C0627">
        <w:rPr>
          <w:rFonts w:ascii="Verdana" w:hAnsi="Verdana" w:cs="Arial"/>
          <w:sz w:val="14"/>
          <w:szCs w:val="14"/>
        </w:rPr>
        <w:t xml:space="preserve">  M.P. </w:t>
      </w:r>
      <w:r w:rsidRPr="005C0627">
        <w:rPr>
          <w:rFonts w:ascii="Verdana" w:hAnsi="Verdana" w:cs="Arial"/>
          <w:color w:val="2D2D2D"/>
          <w:sz w:val="14"/>
          <w:szCs w:val="14"/>
          <w:shd w:val="clear" w:color="auto" w:fill="FFFFFF"/>
        </w:rPr>
        <w:t>Adriana María Guillén Arango.</w:t>
      </w:r>
    </w:p>
    <w:p w14:paraId="24F2A895" w14:textId="77777777" w:rsidR="008C29F9" w:rsidRPr="005C0627" w:rsidRDefault="008C29F9" w:rsidP="008C29F9">
      <w:pPr>
        <w:pStyle w:val="Textonotapie"/>
        <w:ind w:firstLine="708"/>
        <w:jc w:val="both"/>
        <w:rPr>
          <w:rFonts w:ascii="Verdana" w:hAnsi="Verdana" w:cs="Arial"/>
          <w:sz w:val="14"/>
          <w:szCs w:val="14"/>
        </w:rPr>
      </w:pPr>
    </w:p>
  </w:footnote>
  <w:footnote w:id="5">
    <w:p w14:paraId="0C3A2B55" w14:textId="77777777" w:rsidR="008C29F9" w:rsidRPr="005C0627" w:rsidRDefault="008C29F9" w:rsidP="008C29F9">
      <w:pPr>
        <w:pStyle w:val="Textonotapie"/>
        <w:jc w:val="both"/>
        <w:rPr>
          <w:rFonts w:ascii="Verdana" w:hAnsi="Verdana" w:cs="Arial"/>
          <w:sz w:val="14"/>
          <w:szCs w:val="14"/>
        </w:rPr>
      </w:pPr>
      <w:r w:rsidRPr="005C0627">
        <w:rPr>
          <w:rStyle w:val="Refdenotaalpie"/>
          <w:rFonts w:ascii="Verdana" w:hAnsi="Verdana" w:cs="Arial"/>
          <w:sz w:val="14"/>
          <w:szCs w:val="14"/>
        </w:rPr>
        <w:footnoteRef/>
      </w:r>
      <w:r w:rsidRPr="005C0627">
        <w:rPr>
          <w:rFonts w:ascii="Verdana" w:hAnsi="Verdana" w:cs="Arial"/>
          <w:sz w:val="14"/>
          <w:szCs w:val="14"/>
        </w:rPr>
        <w:t xml:space="preserve"> 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5C0627">
          <w:rPr>
            <w:rFonts w:ascii="Verdana" w:hAnsi="Verdana" w:cs="Arial"/>
            <w:sz w:val="14"/>
            <w:szCs w:val="14"/>
          </w:rPr>
          <w:t>2007, M</w:t>
        </w:r>
      </w:smartTag>
      <w:r w:rsidRPr="005C0627">
        <w:rPr>
          <w:rFonts w:ascii="Verdana" w:hAnsi="Verdana" w:cs="Arial"/>
          <w:sz w:val="14"/>
          <w:szCs w:val="14"/>
        </w:rPr>
        <w:t>.P. Marco Gerardo Monroy Cabra.</w:t>
      </w:r>
    </w:p>
    <w:p w14:paraId="2E9D0F22" w14:textId="77777777" w:rsidR="008C29F9" w:rsidRPr="005C0627" w:rsidRDefault="008C29F9" w:rsidP="008C29F9">
      <w:pPr>
        <w:pStyle w:val="Textonotapie"/>
        <w:jc w:val="both"/>
        <w:rPr>
          <w:rFonts w:ascii="Verdana" w:hAnsi="Verdana" w:cs="Arial"/>
          <w:sz w:val="14"/>
          <w:szCs w:val="14"/>
        </w:rPr>
      </w:pPr>
    </w:p>
  </w:footnote>
  <w:footnote w:id="6">
    <w:p w14:paraId="5A5A481E" w14:textId="77777777" w:rsidR="008C29F9" w:rsidRPr="005C0627" w:rsidRDefault="008C29F9" w:rsidP="008C29F9">
      <w:pPr>
        <w:pStyle w:val="Textonotapie"/>
        <w:jc w:val="both"/>
        <w:rPr>
          <w:rFonts w:ascii="Verdana" w:hAnsi="Verdana" w:cs="Arial"/>
          <w:sz w:val="14"/>
          <w:szCs w:val="14"/>
        </w:rPr>
      </w:pPr>
      <w:r w:rsidRPr="005C0627">
        <w:rPr>
          <w:rStyle w:val="Refdenotaalpie"/>
          <w:rFonts w:ascii="Verdana" w:hAnsi="Verdana" w:cs="Arial"/>
          <w:sz w:val="14"/>
          <w:szCs w:val="14"/>
        </w:rPr>
        <w:footnoteRef/>
      </w:r>
      <w:r w:rsidRPr="005C0627">
        <w:rPr>
          <w:rFonts w:ascii="Verdana" w:hAnsi="Verdana" w:cs="Arial"/>
          <w:sz w:val="14"/>
          <w:szCs w:val="14"/>
        </w:rPr>
        <w:t xml:space="preserve"> M.P. Clara Inés Vargas Hernández.</w:t>
      </w:r>
    </w:p>
    <w:p w14:paraId="548D8CA6" w14:textId="77777777" w:rsidR="008C29F9" w:rsidRPr="005C0627" w:rsidRDefault="008C29F9" w:rsidP="008C29F9">
      <w:pPr>
        <w:pStyle w:val="Textonotapie"/>
        <w:jc w:val="both"/>
        <w:rPr>
          <w:rFonts w:ascii="Verdana" w:hAnsi="Verdana" w:cs="Arial"/>
          <w:sz w:val="14"/>
          <w:szCs w:val="14"/>
        </w:rPr>
      </w:pPr>
    </w:p>
  </w:footnote>
  <w:footnote w:id="7">
    <w:p w14:paraId="5559AFC5" w14:textId="77777777" w:rsidR="008C29F9" w:rsidRPr="005C0627" w:rsidRDefault="008C29F9" w:rsidP="008C29F9">
      <w:pPr>
        <w:pStyle w:val="Textonotapie"/>
        <w:jc w:val="both"/>
        <w:rPr>
          <w:rFonts w:ascii="Verdana" w:hAnsi="Verdana" w:cs="Arial"/>
          <w:sz w:val="14"/>
          <w:szCs w:val="14"/>
        </w:rPr>
      </w:pPr>
      <w:r w:rsidRPr="005C0627">
        <w:rPr>
          <w:rStyle w:val="Refdenotaalpie"/>
          <w:rFonts w:ascii="Verdana" w:hAnsi="Verdana" w:cs="Arial"/>
          <w:sz w:val="14"/>
          <w:szCs w:val="14"/>
        </w:rPr>
        <w:footnoteRef/>
      </w:r>
      <w:r w:rsidRPr="005C0627">
        <w:rPr>
          <w:rFonts w:ascii="Verdana" w:hAnsi="Verdana" w:cs="Arial"/>
          <w:sz w:val="14"/>
          <w:szCs w:val="14"/>
        </w:rPr>
        <w:t xml:space="preserve"> Ver también la sentencia C-068 de </w:t>
      </w:r>
      <w:smartTag w:uri="urn:schemas-microsoft-com:office:smarttags" w:element="metricconverter">
        <w:smartTagPr>
          <w:attr w:name="ProductID" w:val="2009, M"/>
        </w:smartTagPr>
        <w:r w:rsidRPr="005C0627">
          <w:rPr>
            <w:rFonts w:ascii="Verdana" w:hAnsi="Verdana" w:cs="Arial"/>
            <w:sz w:val="14"/>
            <w:szCs w:val="14"/>
          </w:rPr>
          <w:t>2009, M</w:t>
        </w:r>
      </w:smartTag>
      <w:r w:rsidRPr="005C0627">
        <w:rPr>
          <w:rFonts w:ascii="Verdana" w:hAnsi="Verdana" w:cs="Arial"/>
          <w:sz w:val="14"/>
          <w:szCs w:val="14"/>
        </w:rPr>
        <w:t>.P. Mauricio González Cuervo</w:t>
      </w:r>
      <w:r w:rsidRPr="005C0627">
        <w:rPr>
          <w:rFonts w:ascii="Verdana" w:hAnsi="Verdana" w:cs="Arial"/>
          <w:b/>
          <w:sz w:val="14"/>
          <w:szCs w:val="14"/>
        </w:rPr>
        <w:t xml:space="preserve">, </w:t>
      </w:r>
      <w:r w:rsidRPr="005C0627">
        <w:rPr>
          <w:rFonts w:ascii="Verdana" w:hAnsi="Verdana" w:cs="Arial"/>
          <w:sz w:val="14"/>
          <w:szCs w:val="14"/>
        </w:rPr>
        <w:t>sobre la constitucional</w:t>
      </w:r>
      <w:r w:rsidRPr="005C0627">
        <w:rPr>
          <w:rFonts w:ascii="Verdana" w:hAnsi="Verdana" w:cs="Arial"/>
          <w:b/>
          <w:sz w:val="14"/>
          <w:szCs w:val="14"/>
        </w:rPr>
        <w:t xml:space="preserve"> </w:t>
      </w:r>
      <w:r w:rsidRPr="005C0627">
        <w:rPr>
          <w:rFonts w:ascii="Verdana" w:hAnsi="Verdana" w:cs="Arial"/>
          <w:sz w:val="14"/>
          <w:szCs w:val="14"/>
        </w:rPr>
        <w:t>de la posibilidad de prorrogar los contratos de concesión portuaria [artículo 8º de la ley 1º de 1991].</w:t>
      </w:r>
    </w:p>
  </w:footnote>
  <w:footnote w:id="8">
    <w:p w14:paraId="6CB8EEE2" w14:textId="77777777" w:rsidR="008C29F9" w:rsidRPr="005C0627" w:rsidRDefault="008C29F9" w:rsidP="008C29F9">
      <w:pPr>
        <w:pStyle w:val="Textonotapie"/>
        <w:jc w:val="both"/>
        <w:rPr>
          <w:rFonts w:ascii="Verdana" w:hAnsi="Verdana" w:cs="Arial"/>
          <w:sz w:val="14"/>
          <w:szCs w:val="14"/>
        </w:rPr>
      </w:pPr>
      <w:r w:rsidRPr="005C0627">
        <w:rPr>
          <w:rStyle w:val="Refdenotaalpie"/>
          <w:rFonts w:ascii="Verdana" w:hAnsi="Verdana" w:cs="Arial"/>
          <w:sz w:val="14"/>
          <w:szCs w:val="14"/>
        </w:rPr>
        <w:footnoteRef/>
      </w:r>
      <w:r w:rsidRPr="005C0627">
        <w:rPr>
          <w:rFonts w:ascii="Verdana" w:hAnsi="Verdana" w:cs="Arial"/>
          <w:sz w:val="14"/>
          <w:szCs w:val="14"/>
        </w:rPr>
        <w:t xml:space="preserve"> </w:t>
      </w:r>
      <w:r w:rsidRPr="005C0627">
        <w:rPr>
          <w:rFonts w:ascii="Verdana" w:hAnsi="Verdana" w:cs="Arial"/>
          <w:i/>
          <w:sz w:val="14"/>
          <w:szCs w:val="14"/>
        </w:rPr>
        <w:t xml:space="preserve">Cfr. </w:t>
      </w:r>
      <w:r w:rsidRPr="005C0627">
        <w:rPr>
          <w:rFonts w:ascii="Verdana" w:hAnsi="Verdana" w:cs="Arial"/>
          <w:sz w:val="14"/>
          <w:szCs w:val="14"/>
        </w:rPr>
        <w:t xml:space="preserve">Consejo de Estado, Sala de Consulta y Servicio Civil, concepto del 13 de agosto de 2009, rad. </w:t>
      </w:r>
      <w:smartTag w:uri="urn:schemas-microsoft-com:office:smarttags" w:element="metricconverter">
        <w:smartTagPr>
          <w:attr w:name="ProductID" w:val="1.952, C"/>
        </w:smartTagPr>
        <w:r w:rsidRPr="005C0627">
          <w:rPr>
            <w:rFonts w:ascii="Verdana" w:hAnsi="Verdana" w:cs="Arial"/>
            <w:bCs/>
            <w:sz w:val="14"/>
            <w:szCs w:val="14"/>
          </w:rPr>
          <w:t>1.952, C</w:t>
        </w:r>
      </w:smartTag>
      <w:r w:rsidRPr="005C0627">
        <w:rPr>
          <w:rFonts w:ascii="Verdana" w:hAnsi="Verdana" w:cs="Arial"/>
          <w:bCs/>
          <w:sz w:val="14"/>
          <w:szCs w:val="14"/>
        </w:rPr>
        <w:t>.P. Enrique José Arboleda Perdomo. En este concepto la Sala de Consulta se ocupó, entre otras preguntas, de la siguiente formulada por el Ministerio de Transporte: “</w:t>
      </w:r>
      <w:r w:rsidRPr="005C0627">
        <w:rPr>
          <w:rFonts w:ascii="Verdana" w:hAnsi="Verdana" w:cs="Arial"/>
          <w:bCs/>
          <w:iCs/>
          <w:sz w:val="14"/>
          <w:szCs w:val="14"/>
          <w:lang w:val="es-ES_tradnl"/>
        </w:rPr>
        <w:t>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9">
    <w:p w14:paraId="0DB13789" w14:textId="77777777" w:rsidR="008C29F9" w:rsidRPr="005C0627" w:rsidRDefault="008C29F9" w:rsidP="008C29F9">
      <w:pPr>
        <w:pStyle w:val="Textonotapie"/>
        <w:jc w:val="both"/>
        <w:rPr>
          <w:rFonts w:ascii="Verdana" w:hAnsi="Verdana" w:cs="Arial"/>
          <w:bCs/>
          <w:iCs/>
          <w:sz w:val="14"/>
          <w:szCs w:val="14"/>
          <w:lang w:val="es-ES_tradnl"/>
        </w:rPr>
      </w:pPr>
      <w:r w:rsidRPr="005C0627">
        <w:rPr>
          <w:rStyle w:val="Refdenotaalpie"/>
          <w:rFonts w:ascii="Verdana" w:hAnsi="Verdana" w:cs="Arial"/>
          <w:sz w:val="14"/>
          <w:szCs w:val="14"/>
        </w:rPr>
        <w:footnoteRef/>
      </w:r>
      <w:r w:rsidRPr="005C0627">
        <w:rPr>
          <w:rFonts w:ascii="Verdana" w:hAnsi="Verdana" w:cs="Arial"/>
          <w:sz w:val="14"/>
          <w:szCs w:val="14"/>
        </w:rPr>
        <w:t xml:space="preserve"> 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r w:rsidRPr="005C0627">
        <w:rPr>
          <w:rFonts w:ascii="Verdana" w:hAnsi="Verdana" w:cs="Arial"/>
          <w:bCs/>
          <w:iCs/>
          <w:sz w:val="14"/>
          <w:szCs w:val="14"/>
          <w:lang w:val="es-ES_tradnl"/>
        </w:rPr>
        <w:t>”.</w:t>
      </w:r>
    </w:p>
    <w:p w14:paraId="62AC37BE" w14:textId="77777777" w:rsidR="008C29F9" w:rsidRPr="005C0627" w:rsidRDefault="008C29F9" w:rsidP="008C29F9">
      <w:pPr>
        <w:pStyle w:val="Textonotapie"/>
        <w:jc w:val="both"/>
        <w:rPr>
          <w:rFonts w:ascii="Verdana" w:hAnsi="Verdana" w:cs="Arial"/>
          <w:sz w:val="14"/>
          <w:szCs w:val="14"/>
          <w:lang w:val="es-CO"/>
        </w:rPr>
      </w:pPr>
    </w:p>
  </w:footnote>
  <w:footnote w:id="10">
    <w:p w14:paraId="03E35DFA" w14:textId="77777777" w:rsidR="008C29F9" w:rsidRPr="005C0627" w:rsidRDefault="008C29F9" w:rsidP="008C29F9">
      <w:pPr>
        <w:pStyle w:val="Textonotapie"/>
        <w:jc w:val="both"/>
        <w:rPr>
          <w:rFonts w:ascii="Verdana" w:hAnsi="Verdana" w:cs="Arial"/>
          <w:sz w:val="14"/>
          <w:szCs w:val="14"/>
          <w:lang w:val="es-CO"/>
        </w:rPr>
      </w:pPr>
      <w:r w:rsidRPr="005C0627">
        <w:rPr>
          <w:rStyle w:val="Refdenotaalpie"/>
          <w:rFonts w:ascii="Verdana" w:hAnsi="Verdana" w:cs="Arial"/>
          <w:sz w:val="14"/>
          <w:szCs w:val="14"/>
        </w:rPr>
        <w:footnoteRef/>
      </w:r>
      <w:r w:rsidRPr="005C0627">
        <w:rPr>
          <w:rFonts w:ascii="Verdana" w:hAnsi="Verdana" w:cs="Arial"/>
          <w:sz w:val="14"/>
          <w:szCs w:val="14"/>
        </w:rPr>
        <w:t xml:space="preserve"> Ibídem</w:t>
      </w:r>
    </w:p>
  </w:footnote>
  <w:footnote w:id="11">
    <w:p w14:paraId="4498ED27" w14:textId="77777777" w:rsidR="008C29F9" w:rsidRPr="005C0627" w:rsidRDefault="008C29F9" w:rsidP="008C29F9">
      <w:pPr>
        <w:pStyle w:val="Textonotapie"/>
        <w:jc w:val="both"/>
        <w:rPr>
          <w:rFonts w:ascii="Verdana" w:hAnsi="Verdana" w:cs="Arial"/>
          <w:sz w:val="14"/>
          <w:szCs w:val="14"/>
        </w:rPr>
      </w:pPr>
      <w:r w:rsidRPr="005C0627">
        <w:rPr>
          <w:rStyle w:val="Refdenotaalpie"/>
          <w:rFonts w:ascii="Verdana" w:hAnsi="Verdana" w:cs="Arial"/>
          <w:sz w:val="14"/>
          <w:szCs w:val="14"/>
        </w:rPr>
        <w:footnoteRef/>
      </w:r>
      <w:r w:rsidRPr="005C0627">
        <w:rPr>
          <w:rFonts w:ascii="Verdana" w:hAnsi="Verdana" w:cs="Arial"/>
          <w:sz w:val="14"/>
          <w:szCs w:val="14"/>
        </w:rPr>
        <w:t xml:space="preserve"> </w:t>
      </w:r>
      <w:r w:rsidRPr="005C0627">
        <w:rPr>
          <w:rFonts w:ascii="Verdana" w:hAnsi="Verdana" w:cs="Arial"/>
          <w:bCs/>
          <w:i/>
          <w:sz w:val="14"/>
          <w:szCs w:val="14"/>
        </w:rPr>
        <w:t xml:space="preserve">Cfr. </w:t>
      </w:r>
      <w:r w:rsidRPr="005C0627">
        <w:rPr>
          <w:rFonts w:ascii="Verdana" w:hAnsi="Verdana" w:cs="Arial"/>
          <w:sz w:val="14"/>
          <w:szCs w:val="14"/>
        </w:rPr>
        <w:t>DAVILA VINUEZA Luis Guillermo. Régimen Jurídico de la contratación estatal. Bogotá: Editorial Legis, 2001, p. 387.</w:t>
      </w:r>
    </w:p>
    <w:p w14:paraId="39CEC6E3" w14:textId="77777777" w:rsidR="008C29F9" w:rsidRPr="005C0627" w:rsidRDefault="008C29F9" w:rsidP="008C29F9">
      <w:pPr>
        <w:pStyle w:val="Textonotapie"/>
        <w:jc w:val="both"/>
        <w:rPr>
          <w:rFonts w:ascii="Verdana" w:hAnsi="Verdana" w:cs="Arial"/>
          <w:sz w:val="14"/>
          <w:szCs w:val="14"/>
          <w:lang w:val="es-CO"/>
        </w:rPr>
      </w:pPr>
    </w:p>
  </w:footnote>
  <w:footnote w:id="12">
    <w:p w14:paraId="4CB0C483" w14:textId="77777777" w:rsidR="008C29F9" w:rsidRPr="005C0627" w:rsidRDefault="008C29F9" w:rsidP="008C29F9">
      <w:pPr>
        <w:pStyle w:val="Textonotapie"/>
        <w:jc w:val="both"/>
        <w:rPr>
          <w:rFonts w:ascii="Verdana" w:hAnsi="Verdana" w:cs="Arial"/>
          <w:sz w:val="14"/>
          <w:szCs w:val="14"/>
          <w:lang w:val="es-CO"/>
        </w:rPr>
      </w:pPr>
      <w:r w:rsidRPr="005C0627">
        <w:rPr>
          <w:rStyle w:val="Refdenotaalpie"/>
          <w:rFonts w:ascii="Verdana" w:hAnsi="Verdana" w:cs="Arial"/>
          <w:sz w:val="14"/>
          <w:szCs w:val="14"/>
        </w:rPr>
        <w:footnoteRef/>
      </w:r>
      <w:r w:rsidRPr="005C0627">
        <w:rPr>
          <w:rFonts w:ascii="Verdana" w:hAnsi="Verdana" w:cs="Arial"/>
          <w:sz w:val="14"/>
          <w:szCs w:val="14"/>
        </w:rPr>
        <w:t xml:space="preserve"> </w:t>
      </w:r>
      <w:r w:rsidRPr="005C0627">
        <w:rPr>
          <w:rFonts w:ascii="Verdana" w:hAnsi="Verdana" w:cs="Arial"/>
          <w:sz w:val="14"/>
          <w:szCs w:val="14"/>
          <w:lang w:val="es-CO"/>
        </w:rPr>
        <w:t>Sobre el particular resultan pertinentes las consideraciones efectuadas en el mismo sentido por la</w:t>
      </w:r>
      <w:r w:rsidRPr="005C0627">
        <w:rPr>
          <w:rFonts w:ascii="Verdana" w:eastAsia="Times New Roman" w:hAnsi="Verdana" w:cs="Arial"/>
          <w:sz w:val="14"/>
          <w:szCs w:val="14"/>
          <w:lang w:val="es-ES" w:eastAsia="es-ES"/>
        </w:rPr>
        <w:t xml:space="preserve"> Sala de Consulta y Servicio Civil del Consejo de Estado en el concepto del 13 de agosto de 2009, rad. </w:t>
      </w:r>
      <w:smartTag w:uri="urn:schemas-microsoft-com:office:smarttags" w:element="metricconverter">
        <w:smartTagPr>
          <w:attr w:name="ProductID" w:val="1.952, C"/>
        </w:smartTagPr>
        <w:r w:rsidRPr="005C0627">
          <w:rPr>
            <w:rFonts w:ascii="Verdana" w:eastAsia="Times New Roman" w:hAnsi="Verdana" w:cs="Arial"/>
            <w:bCs/>
            <w:sz w:val="14"/>
            <w:szCs w:val="14"/>
            <w:lang w:val="es-ES" w:eastAsia="es-ES"/>
          </w:rPr>
          <w:t>1.952, C</w:t>
        </w:r>
      </w:smartTag>
      <w:r w:rsidRPr="005C0627">
        <w:rPr>
          <w:rFonts w:ascii="Verdana" w:eastAsia="Times New Roman" w:hAnsi="Verdana" w:cs="Arial"/>
          <w:bCs/>
          <w:sz w:val="14"/>
          <w:szCs w:val="14"/>
          <w:lang w:val="es-ES" w:eastAsia="es-ES"/>
        </w:rPr>
        <w:t xml:space="preserve">.P. Enrique José Arboleda Perdomo y por la Corte Constitucional en la sentencia C-300 de 2012. </w:t>
      </w:r>
    </w:p>
  </w:footnote>
  <w:footnote w:id="13">
    <w:p w14:paraId="346FAB75" w14:textId="77777777" w:rsidR="008C29F9" w:rsidRPr="00F77588" w:rsidRDefault="008C29F9" w:rsidP="008C29F9">
      <w:pPr>
        <w:pStyle w:val="Textonotapie"/>
        <w:rPr>
          <w:lang w:val="es-ES"/>
        </w:rPr>
      </w:pPr>
      <w:r>
        <w:rPr>
          <w:rStyle w:val="Refdenotaalpie"/>
        </w:rPr>
        <w:footnoteRef/>
      </w:r>
      <w:r>
        <w:t xml:space="preserve"> </w:t>
      </w:r>
      <w:r w:rsidRPr="00F77588">
        <w:rPr>
          <w:rFonts w:ascii="Verdana" w:hAnsi="Verdana"/>
          <w:sz w:val="16"/>
          <w:szCs w:val="16"/>
          <w:lang w:val="es-CO"/>
        </w:rPr>
        <w:t>Jaime Orlando Santofimio Gamboa. Delitos de celebración indebida de contratos, Bogotá, Universidad Externado de Colombia, 2000, p. 290.</w:t>
      </w:r>
    </w:p>
  </w:footnote>
  <w:footnote w:id="14">
    <w:p w14:paraId="3B11877D" w14:textId="77777777" w:rsidR="008C29F9" w:rsidRPr="0028332F" w:rsidRDefault="008C29F9" w:rsidP="008C29F9">
      <w:pPr>
        <w:pStyle w:val="Textonotapie"/>
        <w:jc w:val="both"/>
        <w:rPr>
          <w:rFonts w:ascii="Verdana" w:hAnsi="Verdana"/>
          <w:sz w:val="16"/>
          <w:szCs w:val="16"/>
          <w:lang w:val="es-CO"/>
        </w:rPr>
      </w:pPr>
      <w:r w:rsidRPr="0028332F">
        <w:rPr>
          <w:rStyle w:val="Refdenotaalpie"/>
          <w:rFonts w:ascii="Verdana" w:hAnsi="Verdana"/>
          <w:sz w:val="16"/>
          <w:szCs w:val="16"/>
        </w:rPr>
        <w:footnoteRef/>
      </w:r>
      <w:r w:rsidRPr="0028332F">
        <w:rPr>
          <w:rFonts w:ascii="Verdana" w:hAnsi="Verdana"/>
          <w:sz w:val="16"/>
          <w:szCs w:val="16"/>
        </w:rPr>
        <w:t xml:space="preserve"> </w:t>
      </w:r>
      <w:r w:rsidRPr="0028332F">
        <w:rPr>
          <w:rFonts w:ascii="Verdana" w:hAnsi="Verdana"/>
          <w:sz w:val="16"/>
          <w:szCs w:val="16"/>
          <w:lang w:val="es-CO"/>
        </w:rPr>
        <w:t>ARTÍCULO 3o. DE LA CONTRATACIÓN PÚBLICA ELECTRÓNICA. De conformidad con lo dispuesto en la Ley </w:t>
      </w:r>
      <w:hyperlink r:id="rId1" w:anchor="1" w:history="1">
        <w:r w:rsidRPr="0028332F">
          <w:rPr>
            <w:rStyle w:val="Hipervnculo"/>
            <w:rFonts w:ascii="Verdana" w:hAnsi="Verdana"/>
            <w:sz w:val="16"/>
            <w:szCs w:val="16"/>
            <w:lang w:val="es-CO"/>
          </w:rPr>
          <w:t>527</w:t>
        </w:r>
      </w:hyperlink>
      <w:r w:rsidRPr="0028332F">
        <w:rPr>
          <w:rFonts w:ascii="Verdana" w:hAnsi="Verdana"/>
          <w:sz w:val="16"/>
          <w:szCs w:val="16"/>
          <w:lang w:val="es-CO"/>
        </w:rPr>
        <w:t>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w:t>
      </w:r>
      <w:r w:rsidRPr="0028332F">
        <w:rPr>
          <w:rFonts w:ascii="Verdana" w:hAnsi="Verdana"/>
          <w:sz w:val="16"/>
          <w:szCs w:val="16"/>
          <w:u w:val="single"/>
          <w:lang w:val="es-CO"/>
        </w:rPr>
        <w:t>Los mecanismos e instrumentos por medio de los cuales las entidades cumplirán con las obligaciones de publicidad del proceso contractual serán señalados por el Gobierno Nacional</w:t>
      </w:r>
      <w:r w:rsidRPr="0028332F">
        <w:rPr>
          <w:rFonts w:ascii="Verdana" w:hAnsi="Verdana"/>
          <w:sz w:val="16"/>
          <w:szCs w:val="16"/>
          <w:lang w:val="es-CO"/>
        </w:rPr>
        <w:t>.</w:t>
      </w:r>
    </w:p>
    <w:p w14:paraId="2A87940A" w14:textId="77777777" w:rsidR="008C29F9" w:rsidRPr="0028332F" w:rsidRDefault="008C29F9" w:rsidP="008C29F9">
      <w:pPr>
        <w:pStyle w:val="Textonotapie"/>
        <w:jc w:val="both"/>
        <w:rPr>
          <w:rFonts w:ascii="Verdana" w:hAnsi="Verdana"/>
          <w:sz w:val="16"/>
          <w:szCs w:val="16"/>
          <w:lang w:val="es-CO"/>
        </w:rPr>
      </w:pPr>
      <w:r w:rsidRPr="0028332F">
        <w:rPr>
          <w:rFonts w:ascii="Verdana" w:hAnsi="Verdana"/>
          <w:sz w:val="16"/>
          <w:szCs w:val="16"/>
          <w:lang w:val="es-CO"/>
        </w:rPr>
        <w:t>Lo anterior, sin perjuicio de las publicaciones previstas en el numeral 3 del artículo </w:t>
      </w:r>
      <w:hyperlink r:id="rId2" w:anchor="30" w:history="1">
        <w:r w:rsidRPr="0028332F">
          <w:rPr>
            <w:rStyle w:val="Hipervnculo"/>
            <w:rFonts w:ascii="Verdana" w:hAnsi="Verdana"/>
            <w:sz w:val="16"/>
            <w:szCs w:val="16"/>
            <w:lang w:val="es-CO"/>
          </w:rPr>
          <w:t>30</w:t>
        </w:r>
      </w:hyperlink>
      <w:r w:rsidRPr="0028332F">
        <w:rPr>
          <w:rFonts w:ascii="Verdana" w:hAnsi="Verdana"/>
          <w:sz w:val="16"/>
          <w:szCs w:val="16"/>
          <w:lang w:val="es-CO"/>
        </w:rPr>
        <w:t> de la Ley 80 de 1993.</w:t>
      </w:r>
    </w:p>
    <w:p w14:paraId="2E46FE01" w14:textId="77777777" w:rsidR="008C29F9" w:rsidRPr="0028332F" w:rsidRDefault="008C29F9" w:rsidP="008C29F9">
      <w:pPr>
        <w:pStyle w:val="Textonotapie"/>
        <w:jc w:val="both"/>
        <w:rPr>
          <w:rFonts w:ascii="Verdana" w:hAnsi="Verdana"/>
          <w:sz w:val="16"/>
          <w:szCs w:val="16"/>
          <w:lang w:val="es-CO"/>
        </w:rPr>
      </w:pPr>
      <w:r w:rsidRPr="0028332F">
        <w:rPr>
          <w:rFonts w:ascii="Verdana" w:hAnsi="Verdana"/>
          <w:sz w:val="16"/>
          <w:szCs w:val="16"/>
          <w:lang w:val="es-CO"/>
        </w:rPr>
        <w:t xml:space="preserve">Con el fin de materializar los objetivos a que se refiere el inciso anterior, el Gobierno Nacional desarrollará el Sistema Electrónico para la Contratación Pública, SECOP, el cual: </w:t>
      </w:r>
    </w:p>
    <w:p w14:paraId="748B32F1" w14:textId="77777777" w:rsidR="008C29F9" w:rsidRPr="0028332F" w:rsidRDefault="008C29F9" w:rsidP="008C29F9">
      <w:pPr>
        <w:pStyle w:val="Textonotapie"/>
        <w:jc w:val="both"/>
        <w:rPr>
          <w:rFonts w:ascii="Verdana" w:hAnsi="Verdana"/>
          <w:sz w:val="16"/>
          <w:szCs w:val="16"/>
          <w:lang w:val="es-CO"/>
        </w:rPr>
      </w:pPr>
      <w:r w:rsidRPr="0028332F">
        <w:rPr>
          <w:rFonts w:ascii="Verdana" w:hAnsi="Verdana"/>
          <w:sz w:val="16"/>
          <w:szCs w:val="16"/>
          <w:lang w:val="es-CO"/>
        </w:rPr>
        <w:t>(…) c) Contará con la información oficial de la contratación realizada con dineros públicos, para lo cual establecerá los patrones a que haya lugar y se encargará de su difusión a través de canales electrónicos (…)</w:t>
      </w:r>
    </w:p>
    <w:p w14:paraId="1B2E4BCD" w14:textId="77777777" w:rsidR="008C29F9" w:rsidRPr="0028332F" w:rsidRDefault="008C29F9" w:rsidP="008C29F9">
      <w:pPr>
        <w:pStyle w:val="Textonotapie"/>
        <w:rPr>
          <w:lang w:val="es-ES"/>
        </w:rPr>
      </w:pPr>
    </w:p>
  </w:footnote>
  <w:footnote w:id="15">
    <w:p w14:paraId="5A1EC1E0" w14:textId="77777777" w:rsidR="008C29F9" w:rsidRPr="00F77588" w:rsidRDefault="008C29F9" w:rsidP="008C29F9">
      <w:pPr>
        <w:pStyle w:val="Textonotapie"/>
        <w:jc w:val="both"/>
        <w:rPr>
          <w:rFonts w:ascii="Verdana" w:hAnsi="Verdana"/>
          <w:sz w:val="16"/>
          <w:szCs w:val="16"/>
          <w:lang w:val="es-CO"/>
        </w:rPr>
      </w:pPr>
      <w:r w:rsidRPr="00F77588">
        <w:rPr>
          <w:rStyle w:val="Refdenotaalpie"/>
          <w:rFonts w:ascii="Verdana" w:hAnsi="Verdana"/>
          <w:sz w:val="16"/>
          <w:szCs w:val="16"/>
        </w:rPr>
        <w:footnoteRef/>
      </w:r>
      <w:r w:rsidRPr="00F77588">
        <w:rPr>
          <w:rFonts w:ascii="Verdana" w:hAnsi="Verdana"/>
          <w:sz w:val="16"/>
          <w:szCs w:val="16"/>
        </w:rPr>
        <w:t xml:space="preserve"> </w:t>
      </w:r>
      <w:r w:rsidRPr="00F77588">
        <w:rPr>
          <w:rFonts w:ascii="Verdana" w:hAnsi="Verdana"/>
          <w:sz w:val="16"/>
          <w:szCs w:val="16"/>
          <w:lang w:val="es-CO"/>
        </w:rPr>
        <w:t>ARTÍCULO </w:t>
      </w:r>
      <w:bookmarkStart w:id="3" w:name="2.2.1.1.1.7.1"/>
      <w:bookmarkEnd w:id="3"/>
      <w:r w:rsidRPr="00F77588">
        <w:rPr>
          <w:rFonts w:ascii="Verdana" w:hAnsi="Verdana"/>
          <w:sz w:val="16"/>
          <w:szCs w:val="16"/>
          <w:lang w:val="es-CO"/>
        </w:rPr>
        <w:t xml:space="preserve">2.2.1.1.1.7.1.  Decreto 1082 de 105 </w:t>
      </w:r>
      <w:r w:rsidRPr="00F77588">
        <w:rPr>
          <w:rFonts w:ascii="Verdana" w:hAnsi="Verdana"/>
          <w:i/>
          <w:iCs/>
          <w:sz w:val="16"/>
          <w:szCs w:val="16"/>
          <w:lang w:val="es-CO"/>
        </w:rPr>
        <w:t>Publicidad en el SECOP.</w:t>
      </w:r>
      <w:r w:rsidRPr="00F77588">
        <w:rPr>
          <w:rFonts w:ascii="Verdana" w:hAnsi="Verdana"/>
          <w:sz w:val="16"/>
          <w:szCs w:val="16"/>
          <w:lang w:val="es-CO"/>
        </w:rPr>
        <w:t>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69009660" w14:textId="77777777" w:rsidR="008C29F9" w:rsidRPr="00F77588" w:rsidRDefault="008C29F9" w:rsidP="008C29F9">
      <w:pPr>
        <w:pStyle w:val="Textonotapie"/>
        <w:jc w:val="both"/>
        <w:rPr>
          <w:rFonts w:ascii="Verdana" w:hAnsi="Verdana"/>
          <w:sz w:val="16"/>
          <w:szCs w:val="16"/>
          <w:lang w:val="es-CO"/>
        </w:rPr>
      </w:pPr>
      <w:r w:rsidRPr="00F77588">
        <w:rPr>
          <w:rFonts w:ascii="Verdana" w:hAnsi="Verdana"/>
          <w:sz w:val="16"/>
          <w:szCs w:val="16"/>
          <w:lang w:val="es-CO"/>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5695BF35" w14:textId="77777777" w:rsidR="008C29F9" w:rsidRPr="00F77588" w:rsidRDefault="008C29F9" w:rsidP="008C29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41D29B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4A6B7C"/>
    <w:multiLevelType w:val="hybridMultilevel"/>
    <w:tmpl w:val="629EB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1380713882">
    <w:abstractNumId w:val="0"/>
  </w:num>
  <w:num w:numId="17" w16cid:durableId="679089576">
    <w:abstractNumId w:val="9"/>
  </w:num>
  <w:num w:numId="18" w16cid:durableId="609122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0D63"/>
    <w:rsid w:val="00082362"/>
    <w:rsid w:val="00096CB4"/>
    <w:rsid w:val="000A683E"/>
    <w:rsid w:val="000B19B9"/>
    <w:rsid w:val="000D0334"/>
    <w:rsid w:val="000F6486"/>
    <w:rsid w:val="00125105"/>
    <w:rsid w:val="00127233"/>
    <w:rsid w:val="001E4177"/>
    <w:rsid w:val="001F7DC6"/>
    <w:rsid w:val="002421BB"/>
    <w:rsid w:val="0025796E"/>
    <w:rsid w:val="002707A2"/>
    <w:rsid w:val="002951A0"/>
    <w:rsid w:val="002962BC"/>
    <w:rsid w:val="002A093D"/>
    <w:rsid w:val="002A0D45"/>
    <w:rsid w:val="002A0DD0"/>
    <w:rsid w:val="002A49AC"/>
    <w:rsid w:val="002A64FD"/>
    <w:rsid w:val="002B5915"/>
    <w:rsid w:val="002C7A84"/>
    <w:rsid w:val="002E4FD9"/>
    <w:rsid w:val="002E5174"/>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354FA"/>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833AC"/>
    <w:rsid w:val="007B19FD"/>
    <w:rsid w:val="007B268C"/>
    <w:rsid w:val="007B7171"/>
    <w:rsid w:val="007C0C0F"/>
    <w:rsid w:val="007C3DC2"/>
    <w:rsid w:val="007D46F1"/>
    <w:rsid w:val="007D4E02"/>
    <w:rsid w:val="007E5497"/>
    <w:rsid w:val="00806F5F"/>
    <w:rsid w:val="00820278"/>
    <w:rsid w:val="00877232"/>
    <w:rsid w:val="008843B6"/>
    <w:rsid w:val="00891928"/>
    <w:rsid w:val="008A446D"/>
    <w:rsid w:val="008C29F9"/>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1B1A"/>
    <w:rsid w:val="00B17032"/>
    <w:rsid w:val="00B72CD3"/>
    <w:rsid w:val="00B72FFF"/>
    <w:rsid w:val="00BC3D36"/>
    <w:rsid w:val="00BD7F72"/>
    <w:rsid w:val="00C04FB3"/>
    <w:rsid w:val="00C330EB"/>
    <w:rsid w:val="00C754BE"/>
    <w:rsid w:val="00C76B1C"/>
    <w:rsid w:val="00C80531"/>
    <w:rsid w:val="00CB6357"/>
    <w:rsid w:val="00CC1B26"/>
    <w:rsid w:val="00D423A2"/>
    <w:rsid w:val="00D520D8"/>
    <w:rsid w:val="00D63AC2"/>
    <w:rsid w:val="00D7383B"/>
    <w:rsid w:val="00D94487"/>
    <w:rsid w:val="00DA231B"/>
    <w:rsid w:val="00DA23A0"/>
    <w:rsid w:val="00DC39FC"/>
    <w:rsid w:val="00DD1DED"/>
    <w:rsid w:val="00DF5254"/>
    <w:rsid w:val="00E16408"/>
    <w:rsid w:val="00E20894"/>
    <w:rsid w:val="00E245AB"/>
    <w:rsid w:val="00E2764C"/>
    <w:rsid w:val="00E27F2E"/>
    <w:rsid w:val="00E413EA"/>
    <w:rsid w:val="00E50AFE"/>
    <w:rsid w:val="00E75C92"/>
    <w:rsid w:val="00E771DC"/>
    <w:rsid w:val="00E8772A"/>
    <w:rsid w:val="00E90A2D"/>
    <w:rsid w:val="00E90F6B"/>
    <w:rsid w:val="00E92C27"/>
    <w:rsid w:val="00EA0E3D"/>
    <w:rsid w:val="00EC38A7"/>
    <w:rsid w:val="00EC41CC"/>
    <w:rsid w:val="00EE1AA8"/>
    <w:rsid w:val="00F31EDC"/>
    <w:rsid w:val="00F321BC"/>
    <w:rsid w:val="00F462B3"/>
    <w:rsid w:val="00F5664F"/>
    <w:rsid w:val="00F666C4"/>
    <w:rsid w:val="00F76AFC"/>
    <w:rsid w:val="00FA1614"/>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8C29F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29F9"/>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51025048">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891989443">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rteconstitucional.gov.co/relatoria/2001/C-949-01.htm"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rteconstitucional.gov.co/relatoria/2012/C-416-12.htm" TargetMode="External"/><Relationship Id="rId17"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relatoria.colombiacompra.gov.co/" TargetMode="External"/><Relationship Id="rId23" Type="http://schemas.openxmlformats.org/officeDocument/2006/relationships/theme" Target="theme/theme1.xml"/><Relationship Id="rId10" Type="http://schemas.openxmlformats.org/officeDocument/2006/relationships/hyperlink" Target="mailto:brandonlawer02@gmail.com"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rvicios.consejodeestado.gov.co/WebRelatoria/FileReferenceServlet?corp=ce&amp;ext=doc&amp;file=200017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527_199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48265-0EF1-41B0-B640-CF9B01D26FE2}"/>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5123</Words>
  <Characters>28178</Characters>
  <Application>Microsoft Office Word</Application>
  <DocSecurity>0</DocSecurity>
  <Lines>234</Lines>
  <Paragraphs>66</Paragraphs>
  <ScaleCrop>false</ScaleCrop>
  <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Christian Camilo Orjuela Galeano</cp:lastModifiedBy>
  <cp:revision>3</cp:revision>
  <cp:lastPrinted>2023-01-10T21:18:00Z</cp:lastPrinted>
  <dcterms:created xsi:type="dcterms:W3CDTF">2024-10-29T16:22:00Z</dcterms:created>
  <dcterms:modified xsi:type="dcterms:W3CDTF">2024-10-30T13:00:00Z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