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0C757" w14:textId="77777777" w:rsidR="00203798" w:rsidRPr="00DF7E02" w:rsidRDefault="00203798" w:rsidP="00203798">
      <w:pPr>
        <w:spacing w:before="120" w:after="120" w:line="276" w:lineRule="auto"/>
        <w:jc w:val="both"/>
        <w:rPr>
          <w:rFonts w:ascii="Verdana" w:eastAsia="Calibri" w:hAnsi="Verdana" w:cs="Arial"/>
          <w:b/>
          <w:color w:val="000000" w:themeColor="text1"/>
          <w:lang w:val="es-ES_tradnl"/>
        </w:rPr>
      </w:pPr>
      <w:r w:rsidRPr="00DF7E02">
        <w:rPr>
          <w:rFonts w:ascii="Verdana" w:eastAsia="Calibri" w:hAnsi="Verdana" w:cs="Arial"/>
          <w:b/>
          <w:color w:val="000000" w:themeColor="text1"/>
          <w:lang w:val="es-ES_tradnl"/>
        </w:rPr>
        <w:t xml:space="preserve">LEY DE EMPRENDIMIENTO – Ley 2069 de 2020– Finalidad </w:t>
      </w:r>
    </w:p>
    <w:p w14:paraId="057BFECB" w14:textId="77777777" w:rsidR="00203798" w:rsidRPr="00DF7E02" w:rsidRDefault="00203798" w:rsidP="00203798">
      <w:pPr>
        <w:spacing w:line="276" w:lineRule="auto"/>
        <w:jc w:val="both"/>
        <w:rPr>
          <w:rFonts w:ascii="Verdana" w:hAnsi="Verdana"/>
          <w:lang w:val="es-ES_tradnl"/>
        </w:rPr>
      </w:pPr>
    </w:p>
    <w:p w14:paraId="00EA6F57" w14:textId="77777777" w:rsidR="00203798" w:rsidRPr="00DF7E02" w:rsidRDefault="00203798" w:rsidP="00203798">
      <w:pPr>
        <w:spacing w:after="0" w:line="240" w:lineRule="auto"/>
        <w:jc w:val="both"/>
        <w:rPr>
          <w:rFonts w:ascii="Verdana" w:eastAsia="Calibri" w:hAnsi="Verdana" w:cs="Arial"/>
          <w:sz w:val="20"/>
          <w:szCs w:val="20"/>
          <w:lang w:val="es-ES"/>
        </w:rPr>
      </w:pPr>
      <w:r w:rsidRPr="00DF7E02">
        <w:rPr>
          <w:rFonts w:ascii="Verdana" w:eastAsia="Calibri" w:hAnsi="Verdana"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w:t>
      </w:r>
    </w:p>
    <w:p w14:paraId="3CBE1BEC" w14:textId="77777777" w:rsidR="00203798" w:rsidRPr="00DF7E02" w:rsidRDefault="00203798" w:rsidP="00203798">
      <w:pPr>
        <w:spacing w:line="276" w:lineRule="auto"/>
        <w:jc w:val="both"/>
        <w:rPr>
          <w:rFonts w:ascii="Verdana" w:eastAsia="Calibri" w:hAnsi="Verdana" w:cs="Arial"/>
          <w:sz w:val="20"/>
          <w:szCs w:val="20"/>
          <w:lang w:val="es-ES"/>
        </w:rPr>
      </w:pPr>
    </w:p>
    <w:p w14:paraId="6441F2DE" w14:textId="77777777" w:rsidR="00203798" w:rsidRPr="00DF7E02" w:rsidRDefault="00203798" w:rsidP="00203798">
      <w:pPr>
        <w:spacing w:before="120" w:after="120" w:line="276" w:lineRule="auto"/>
        <w:jc w:val="both"/>
        <w:rPr>
          <w:rFonts w:ascii="Verdana" w:eastAsia="Calibri" w:hAnsi="Verdana" w:cs="Arial"/>
          <w:b/>
          <w:color w:val="000000" w:themeColor="text1"/>
          <w:lang w:val="es-ES_tradnl"/>
        </w:rPr>
      </w:pPr>
      <w:r w:rsidRPr="00DF7E02">
        <w:rPr>
          <w:rFonts w:ascii="Verdana" w:eastAsia="Calibri" w:hAnsi="Verdana" w:cs="Arial"/>
          <w:b/>
          <w:color w:val="000000" w:themeColor="text1"/>
          <w:lang w:val="es-ES_tradnl"/>
        </w:rPr>
        <w:t>LEY DE EMPRENDIMIENTO – Ley 2069 de 2020 – Artículo 32 – Criterios diferenciales – Emprendimientos de mujeres – Empresas de mujeres – Necesidad de reglamentación – Decreto 1860 de 2021</w:t>
      </w:r>
    </w:p>
    <w:p w14:paraId="510F148D" w14:textId="77777777" w:rsidR="00203798" w:rsidRPr="00DF7E02" w:rsidRDefault="00203798" w:rsidP="00203798">
      <w:pPr>
        <w:spacing w:line="276" w:lineRule="auto"/>
        <w:jc w:val="both"/>
        <w:rPr>
          <w:rFonts w:ascii="Verdana" w:eastAsia="Calibri" w:hAnsi="Verdana" w:cs="Arial"/>
          <w:bCs/>
          <w:color w:val="000000"/>
          <w:sz w:val="20"/>
          <w:szCs w:val="20"/>
          <w:lang w:val="es-ES_tradnl"/>
        </w:rPr>
      </w:pPr>
    </w:p>
    <w:p w14:paraId="4A944043" w14:textId="77777777" w:rsidR="00203798" w:rsidRPr="00DF7E02" w:rsidRDefault="00203798" w:rsidP="00203798">
      <w:pPr>
        <w:spacing w:after="0" w:line="240" w:lineRule="auto"/>
        <w:jc w:val="both"/>
        <w:rPr>
          <w:rFonts w:ascii="Verdana" w:eastAsia="Calibri" w:hAnsi="Verdana" w:cs="Arial"/>
          <w:sz w:val="20"/>
          <w:szCs w:val="20"/>
          <w:lang w:val="es-ES"/>
        </w:rPr>
      </w:pPr>
      <w:r w:rsidRPr="00DF7E02">
        <w:rPr>
          <w:rFonts w:ascii="Verdana" w:eastAsia="Calibri" w:hAnsi="Verdana" w:cs="Arial"/>
          <w:sz w:val="20"/>
          <w:szCs w:val="20"/>
          <w:lang w:val="es-ES"/>
        </w:rPr>
        <w:t xml:space="preserve">Conforme se viene explicando, el artículo 32 de la Ley 2069 de 2021 introduce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 </w:t>
      </w:r>
    </w:p>
    <w:p w14:paraId="3472186B" w14:textId="77777777" w:rsidR="00203798" w:rsidRPr="00DF7E02" w:rsidRDefault="00203798" w:rsidP="00203798">
      <w:pPr>
        <w:spacing w:after="0" w:line="240" w:lineRule="auto"/>
        <w:jc w:val="both"/>
        <w:rPr>
          <w:rFonts w:ascii="Verdana" w:eastAsia="Calibri" w:hAnsi="Verdana" w:cs="Arial"/>
          <w:sz w:val="20"/>
          <w:szCs w:val="20"/>
          <w:lang w:val="es-ES"/>
        </w:rPr>
      </w:pPr>
      <w:r w:rsidRPr="00DF7E02">
        <w:rPr>
          <w:rFonts w:ascii="Verdana" w:eastAsia="Calibri" w:hAnsi="Verdana" w:cs="Arial"/>
          <w:sz w:val="20"/>
          <w:szCs w:val="20"/>
          <w:lang w:val="es-ES"/>
        </w:rPr>
        <w:t>En desarrollo de lo dispuesto en el parágrafo del artículo 32 de la Ley 2069 de 2020, el Decreto 1860 de 2021 adicionó el artículo 2.2.1.2.4.2.14 al Decreto 1082 de 2015. Esta norma establece las condiciones y requisitos en atención a los cuales se definen los requisitos de las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siendo relevante para la consulta el segundo de dichos numerales.</w:t>
      </w:r>
    </w:p>
    <w:p w14:paraId="181F7EB1" w14:textId="77777777" w:rsidR="00203798" w:rsidRPr="00DF7E02" w:rsidRDefault="00203798" w:rsidP="00203798">
      <w:pPr>
        <w:spacing w:line="276" w:lineRule="auto"/>
        <w:jc w:val="both"/>
        <w:rPr>
          <w:rFonts w:ascii="Verdana" w:eastAsia="Calibri" w:hAnsi="Verdana" w:cs="Arial"/>
          <w:bCs/>
          <w:color w:val="000000"/>
          <w:sz w:val="20"/>
          <w:szCs w:val="20"/>
          <w:lang w:val="es-ES_tradnl"/>
        </w:rPr>
      </w:pPr>
    </w:p>
    <w:p w14:paraId="0B4BFA29" w14:textId="77777777" w:rsidR="00203798" w:rsidRPr="00DF7E02" w:rsidRDefault="00203798" w:rsidP="00203798">
      <w:pPr>
        <w:spacing w:before="120" w:after="120" w:line="276" w:lineRule="auto"/>
        <w:jc w:val="both"/>
        <w:rPr>
          <w:rFonts w:ascii="Verdana" w:eastAsia="Calibri" w:hAnsi="Verdana" w:cs="Arial"/>
          <w:b/>
          <w:color w:val="000000" w:themeColor="text1"/>
          <w:lang w:val="es-ES_tradnl"/>
        </w:rPr>
      </w:pPr>
      <w:r w:rsidRPr="00DF7E02">
        <w:rPr>
          <w:rFonts w:ascii="Verdana" w:eastAsia="Calibri" w:hAnsi="Verdana" w:cs="Arial"/>
          <w:b/>
          <w:color w:val="000000" w:themeColor="text1"/>
          <w:lang w:val="es-ES_tradnl"/>
        </w:rPr>
        <w:lastRenderedPageBreak/>
        <w:t>DECRETO 1860 DE 2021 – Vigencia</w:t>
      </w:r>
    </w:p>
    <w:p w14:paraId="7CC8B0A9" w14:textId="77777777" w:rsidR="00203798" w:rsidRPr="00DF7E02" w:rsidRDefault="00203798" w:rsidP="00203798">
      <w:pPr>
        <w:spacing w:line="276" w:lineRule="auto"/>
        <w:jc w:val="both"/>
        <w:rPr>
          <w:rFonts w:ascii="Verdana" w:eastAsia="Calibri" w:hAnsi="Verdana" w:cs="Arial"/>
          <w:b/>
          <w:color w:val="000000" w:themeColor="text1"/>
          <w:lang w:val="es-ES_tradnl"/>
        </w:rPr>
      </w:pPr>
    </w:p>
    <w:p w14:paraId="3A2E4552" w14:textId="77777777" w:rsidR="00203798" w:rsidRPr="00DF7E02" w:rsidRDefault="00203798" w:rsidP="00203798">
      <w:pPr>
        <w:spacing w:after="0" w:line="240" w:lineRule="auto"/>
        <w:jc w:val="both"/>
        <w:rPr>
          <w:rFonts w:ascii="Verdana" w:eastAsia="Calibri" w:hAnsi="Verdana" w:cs="Arial"/>
          <w:sz w:val="20"/>
          <w:szCs w:val="20"/>
          <w:lang w:val="es-ES"/>
        </w:rPr>
      </w:pPr>
      <w:r w:rsidRPr="00DF7E02">
        <w:rPr>
          <w:rFonts w:ascii="Verdana" w:eastAsia="Calibri" w:hAnsi="Verdana" w:cs="Arial"/>
          <w:sz w:val="20"/>
          <w:szCs w:val="20"/>
          <w:lang w:val="es-ES"/>
        </w:rPr>
        <w:t xml:space="preserv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 </w:t>
      </w:r>
    </w:p>
    <w:p w14:paraId="1C26336F"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008FD83C"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29671E09"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73F80780"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0D44A2BD"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1D23F7D1"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07E6C786"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3B8114CE"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6207F45B"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663638DF"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4930BFD8"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6E3C8C78"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23E5D0FB"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428EEA8D"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7FC8F3FE"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5B455022"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0D2001BF"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1FEFA440"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477CF701"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201CAD58"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0732C37E"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418266EE"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42B38E1B"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7D5F6CE2"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50E11A74"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66C0B3D2"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09BF7DC6"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6E6D4424" w14:textId="77777777" w:rsidR="00203798" w:rsidRDefault="00203798" w:rsidP="00203798">
      <w:pPr>
        <w:rPr>
          <w:rFonts w:ascii="Verdana" w:eastAsia="Geomanist Light" w:hAnsi="Verdana" w:cs="Arial"/>
          <w:color w:val="000000" w:themeColor="text1"/>
          <w:lang w:val="es-MX"/>
        </w:rPr>
      </w:pPr>
    </w:p>
    <w:p w14:paraId="793D040A" w14:textId="374F6FBE" w:rsidR="00707C1F" w:rsidRPr="00593A5F" w:rsidRDefault="00707C1F" w:rsidP="00707C1F">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4B796A">
        <w:rPr>
          <w:rFonts w:ascii="Verdana" w:eastAsia="Geomanist Light" w:hAnsi="Verdana" w:cs="Arial"/>
          <w:color w:val="201F1E"/>
          <w:lang w:val="es-MX"/>
        </w:rPr>
        <w:t>30 de octubre de 2024</w:t>
      </w:r>
    </w:p>
    <w:p w14:paraId="34D0FE07" w14:textId="77777777" w:rsidR="00707C1F" w:rsidRPr="00593A5F" w:rsidRDefault="00707C1F" w:rsidP="00707C1F">
      <w:pPr>
        <w:spacing w:after="0" w:line="240" w:lineRule="auto"/>
        <w:jc w:val="both"/>
        <w:rPr>
          <w:rFonts w:ascii="Verdana" w:eastAsia="Calibri" w:hAnsi="Verdana" w:cs="Arial"/>
          <w:color w:val="000000"/>
          <w:lang w:val="es-ES"/>
        </w:rPr>
      </w:pPr>
    </w:p>
    <w:p w14:paraId="50AE18E6" w14:textId="77777777" w:rsidR="00707C1F" w:rsidRPr="00B96799" w:rsidRDefault="00707C1F" w:rsidP="00707C1F">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41FE1EE6" w14:textId="4C09AD6C" w:rsidR="00707C1F" w:rsidRPr="00B96799" w:rsidRDefault="00707C1F" w:rsidP="00707C1F">
      <w:pPr>
        <w:spacing w:after="0" w:line="240" w:lineRule="auto"/>
        <w:rPr>
          <w:rFonts w:ascii="Verdana" w:eastAsia="Calibri" w:hAnsi="Verdana" w:cs="Arial"/>
          <w:b/>
          <w:lang w:val="es-ES_tradnl" w:eastAsia="es-ES_tradnl"/>
        </w:rPr>
      </w:pPr>
      <w:r w:rsidRPr="003C6889">
        <w:rPr>
          <w:rFonts w:ascii="Verdana" w:eastAsia="Calibri" w:hAnsi="Verdana" w:cs="Arial"/>
          <w:b/>
          <w:lang w:val="es-ES_tradnl" w:eastAsia="es-ES_tradnl"/>
        </w:rPr>
        <w:t>María Mónica Bula Jiménez</w:t>
      </w:r>
    </w:p>
    <w:p w14:paraId="4CF4343F" w14:textId="636C2771" w:rsidR="00707C1F" w:rsidRDefault="00707C1F" w:rsidP="00707C1F">
      <w:pPr>
        <w:spacing w:after="0" w:line="240" w:lineRule="auto"/>
        <w:rPr>
          <w:rFonts w:ascii="Verdana" w:eastAsia="Calibri" w:hAnsi="Verdana" w:cs="Arial"/>
          <w:u w:val="single"/>
          <w:lang w:val="es-ES" w:eastAsia="es-ES"/>
        </w:rPr>
      </w:pPr>
      <w:hyperlink r:id="rId11" w:history="1">
        <w:r w:rsidRPr="007D42BD">
          <w:rPr>
            <w:rStyle w:val="Hipervnculo"/>
            <w:rFonts w:ascii="Verdana" w:eastAsia="Calibri" w:hAnsi="Verdana" w:cs="Arial"/>
            <w:lang w:val="es-ES" w:eastAsia="es-ES"/>
          </w:rPr>
          <w:t>monicabulaj@gmail.com</w:t>
        </w:r>
      </w:hyperlink>
    </w:p>
    <w:p w14:paraId="4F8534CB" w14:textId="4731FD1B" w:rsidR="00707C1F" w:rsidRPr="00B96799" w:rsidRDefault="00E12773" w:rsidP="00707C1F">
      <w:pPr>
        <w:spacing w:after="0" w:line="240" w:lineRule="auto"/>
        <w:rPr>
          <w:rFonts w:ascii="Verdana" w:eastAsia="Calibri" w:hAnsi="Verdana" w:cs="Arial"/>
          <w:b/>
          <w:bCs/>
          <w:lang w:val="es-ES" w:eastAsia="es-ES"/>
        </w:rPr>
      </w:pPr>
      <w:r w:rsidRPr="00E12773">
        <w:rPr>
          <w:rFonts w:ascii="Verdana" w:eastAsia="Calibri" w:hAnsi="Verdana" w:cs="Arial"/>
          <w:b/>
          <w:bCs/>
          <w:noProof/>
          <w:lang w:val="es-ES_tradnl" w:eastAsia="es-ES_tradnl"/>
        </w:rPr>
        <w:drawing>
          <wp:anchor distT="0" distB="0" distL="114300" distR="114300" simplePos="0" relativeHeight="251658240" behindDoc="0" locked="0" layoutInCell="1" allowOverlap="1" wp14:anchorId="41345CD4" wp14:editId="67D05493">
            <wp:simplePos x="0" y="0"/>
            <wp:positionH relativeFrom="margin">
              <wp:posOffset>2162534</wp:posOffset>
            </wp:positionH>
            <wp:positionV relativeFrom="paragraph">
              <wp:posOffset>197402</wp:posOffset>
            </wp:positionV>
            <wp:extent cx="2329180" cy="652145"/>
            <wp:effectExtent l="0" t="0" r="0" b="0"/>
            <wp:wrapTopAndBottom/>
            <wp:docPr id="105889135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91356" name="Imagen 1"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329180" cy="652145"/>
                    </a:xfrm>
                    <a:prstGeom prst="rect">
                      <a:avLst/>
                    </a:prstGeom>
                  </pic:spPr>
                </pic:pic>
              </a:graphicData>
            </a:graphic>
            <wp14:sizeRelH relativeFrom="margin">
              <wp14:pctWidth>0</wp14:pctWidth>
            </wp14:sizeRelH>
            <wp14:sizeRelV relativeFrom="margin">
              <wp14:pctHeight>0</wp14:pctHeight>
            </wp14:sizeRelV>
          </wp:anchor>
        </w:drawing>
      </w:r>
      <w:r w:rsidR="00707C1F">
        <w:rPr>
          <w:rFonts w:ascii="Verdana" w:eastAsia="Calibri" w:hAnsi="Verdana" w:cs="Arial"/>
          <w:lang w:val="es-ES" w:eastAsia="es-ES"/>
        </w:rPr>
        <w:t>Montería</w:t>
      </w:r>
      <w:r w:rsidR="00707C1F" w:rsidRPr="00B96799">
        <w:rPr>
          <w:rFonts w:ascii="Verdana" w:eastAsia="Calibri" w:hAnsi="Verdana" w:cs="Arial"/>
          <w:lang w:val="es-ES" w:eastAsia="es-ES"/>
        </w:rPr>
        <w:t>, C</w:t>
      </w:r>
      <w:r w:rsidR="00707C1F">
        <w:rPr>
          <w:rFonts w:ascii="Verdana" w:eastAsia="Calibri" w:hAnsi="Verdana" w:cs="Arial"/>
          <w:lang w:val="es-ES" w:eastAsia="es-ES"/>
        </w:rPr>
        <w:t>órdoba</w:t>
      </w:r>
    </w:p>
    <w:p w14:paraId="44473CC4" w14:textId="5FA4CEE5" w:rsidR="00707C1F" w:rsidRPr="00055C08" w:rsidRDefault="00707C1F" w:rsidP="00707C1F">
      <w:pPr>
        <w:spacing w:after="0" w:line="240" w:lineRule="auto"/>
        <w:rPr>
          <w:rFonts w:ascii="Verdana" w:eastAsia="Calibri" w:hAnsi="Verdana" w:cs="Arial"/>
          <w:b/>
          <w:bCs/>
          <w:lang w:val="es-ES_tradnl" w:eastAsia="es-ES_tradnl"/>
        </w:rPr>
      </w:pPr>
    </w:p>
    <w:p w14:paraId="7BF3100E" w14:textId="77777777" w:rsidR="00707C1F" w:rsidRPr="00055C08" w:rsidRDefault="00707C1F" w:rsidP="00707C1F">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07C1F" w:rsidRPr="00DF7E02" w14:paraId="2EC2DA7E" w14:textId="77777777" w:rsidTr="00063619">
        <w:trPr>
          <w:trHeight w:val="884"/>
        </w:trPr>
        <w:tc>
          <w:tcPr>
            <w:tcW w:w="2689" w:type="dxa"/>
          </w:tcPr>
          <w:p w14:paraId="36BBD5A8" w14:textId="77777777" w:rsidR="00707C1F" w:rsidRPr="00DF7E02" w:rsidRDefault="00707C1F" w:rsidP="00063619">
            <w:pPr>
              <w:jc w:val="both"/>
              <w:rPr>
                <w:rFonts w:ascii="Verdana" w:eastAsia="Calibri" w:hAnsi="Verdana" w:cs="Arial"/>
                <w:b/>
                <w:bCs/>
                <w:lang w:val="es-ES_tradnl" w:eastAsia="es-ES_tradnl"/>
              </w:rPr>
            </w:pPr>
          </w:p>
        </w:tc>
        <w:tc>
          <w:tcPr>
            <w:tcW w:w="6100" w:type="dxa"/>
          </w:tcPr>
          <w:p w14:paraId="5F006F83" w14:textId="77777777" w:rsidR="00707C1F" w:rsidRPr="00DF7E02" w:rsidRDefault="00707C1F" w:rsidP="00063619">
            <w:pPr>
              <w:jc w:val="both"/>
              <w:rPr>
                <w:rFonts w:ascii="Verdana" w:eastAsia="Calibri" w:hAnsi="Verdana" w:cs="Arial"/>
                <w:b/>
                <w:bCs/>
                <w:lang w:val="es-ES" w:eastAsia="es-ES"/>
              </w:rPr>
            </w:pPr>
            <w:r w:rsidRPr="00DF7E02">
              <w:rPr>
                <w:rFonts w:ascii="Verdana" w:eastAsia="Calibri" w:hAnsi="Verdana" w:cs="Arial"/>
                <w:b/>
                <w:bCs/>
                <w:lang w:val="es-ES" w:eastAsia="es-ES"/>
              </w:rPr>
              <w:t>Concepto C-626 de 2024</w:t>
            </w:r>
          </w:p>
        </w:tc>
      </w:tr>
      <w:tr w:rsidR="00707C1F" w:rsidRPr="00DF7E02" w14:paraId="7C61ECC6" w14:textId="77777777" w:rsidTr="00063619">
        <w:trPr>
          <w:trHeight w:val="884"/>
        </w:trPr>
        <w:tc>
          <w:tcPr>
            <w:tcW w:w="2689" w:type="dxa"/>
          </w:tcPr>
          <w:p w14:paraId="0444EED1" w14:textId="77777777" w:rsidR="00707C1F" w:rsidRPr="00DF7E02" w:rsidRDefault="00707C1F" w:rsidP="00063619">
            <w:pPr>
              <w:jc w:val="both"/>
              <w:rPr>
                <w:rFonts w:ascii="Verdana" w:eastAsia="Calibri" w:hAnsi="Verdana" w:cs="Arial"/>
                <w:lang w:val="es-ES_tradnl" w:eastAsia="es-ES_tradnl"/>
              </w:rPr>
            </w:pPr>
            <w:r w:rsidRPr="00DF7E02">
              <w:rPr>
                <w:rFonts w:ascii="Verdana" w:eastAsia="Calibri" w:hAnsi="Verdana" w:cs="Arial"/>
                <w:b/>
                <w:lang w:val="es-ES_tradnl" w:eastAsia="es-ES_tradnl"/>
              </w:rPr>
              <w:t>Temas:</w:t>
            </w:r>
            <w:r w:rsidRPr="00DF7E02">
              <w:rPr>
                <w:rFonts w:ascii="Verdana" w:eastAsia="Calibri" w:hAnsi="Verdana" w:cs="Arial"/>
                <w:lang w:val="es-ES_tradnl" w:eastAsia="es-ES_tradnl"/>
              </w:rPr>
              <w:t xml:space="preserve">                   </w:t>
            </w:r>
          </w:p>
        </w:tc>
        <w:tc>
          <w:tcPr>
            <w:tcW w:w="6100" w:type="dxa"/>
          </w:tcPr>
          <w:p w14:paraId="638A6FA3" w14:textId="77777777" w:rsidR="00707C1F" w:rsidRPr="006430BD" w:rsidRDefault="00707C1F" w:rsidP="00063619">
            <w:pPr>
              <w:spacing w:after="18" w:line="259" w:lineRule="auto"/>
              <w:jc w:val="both"/>
              <w:rPr>
                <w:rFonts w:ascii="Verdana" w:hAnsi="Verdana"/>
              </w:rPr>
            </w:pPr>
            <w:r w:rsidRPr="006430BD">
              <w:rPr>
                <w:rFonts w:ascii="Verdana" w:hAnsi="Verdana"/>
              </w:rPr>
              <w:t xml:space="preserve">LEY DE EMPRENDIMIENTO – Ley 2069 de 2020 – </w:t>
            </w:r>
          </w:p>
          <w:p w14:paraId="50E9A465" w14:textId="5962D59B" w:rsidR="00707C1F" w:rsidRPr="006430BD" w:rsidRDefault="00707C1F" w:rsidP="00063619">
            <w:pPr>
              <w:spacing w:line="276" w:lineRule="auto"/>
              <w:ind w:right="78"/>
              <w:jc w:val="both"/>
              <w:rPr>
                <w:rFonts w:ascii="Verdana" w:hAnsi="Verdana"/>
              </w:rPr>
            </w:pPr>
            <w:r w:rsidRPr="006430BD">
              <w:rPr>
                <w:rFonts w:ascii="Verdana" w:hAnsi="Verdana"/>
              </w:rPr>
              <w:t xml:space="preserve">Artículo 32 – Criterios diferenciales – Emprendimientos de </w:t>
            </w:r>
            <w:r w:rsidR="00166093" w:rsidRPr="006430BD">
              <w:rPr>
                <w:rFonts w:ascii="Verdana" w:hAnsi="Verdana"/>
              </w:rPr>
              <w:t>mujeres –</w:t>
            </w:r>
            <w:r w:rsidRPr="006430BD">
              <w:rPr>
                <w:rFonts w:ascii="Verdana" w:hAnsi="Verdana"/>
              </w:rPr>
              <w:t xml:space="preserve"> Empresas de </w:t>
            </w:r>
            <w:r w:rsidR="008D36B7" w:rsidRPr="006430BD">
              <w:rPr>
                <w:rFonts w:ascii="Verdana" w:hAnsi="Verdana"/>
              </w:rPr>
              <w:t>mujeres –</w:t>
            </w:r>
            <w:r w:rsidRPr="006430BD">
              <w:rPr>
                <w:rFonts w:ascii="Verdana" w:hAnsi="Verdana"/>
              </w:rPr>
              <w:t xml:space="preserve"> Necesidad de </w:t>
            </w:r>
            <w:r w:rsidR="00F96ED6" w:rsidRPr="006430BD">
              <w:rPr>
                <w:rFonts w:ascii="Verdana" w:hAnsi="Verdana"/>
              </w:rPr>
              <w:t>reglamentación –</w:t>
            </w:r>
            <w:r w:rsidRPr="006430BD">
              <w:rPr>
                <w:rFonts w:ascii="Verdana" w:hAnsi="Verdana"/>
              </w:rPr>
              <w:t xml:space="preserve"> Decreto 1860 de 2020 </w:t>
            </w:r>
            <w:r w:rsidR="00CE1CE8" w:rsidRPr="006430BD">
              <w:rPr>
                <w:rFonts w:ascii="Verdana" w:hAnsi="Verdana"/>
              </w:rPr>
              <w:t>/ DECRETO</w:t>
            </w:r>
            <w:r w:rsidRPr="006430BD">
              <w:rPr>
                <w:rFonts w:ascii="Verdana" w:hAnsi="Verdana"/>
              </w:rPr>
              <w:t xml:space="preserve"> 1082 DE </w:t>
            </w:r>
            <w:r w:rsidR="008E0F82" w:rsidRPr="006430BD">
              <w:rPr>
                <w:rFonts w:ascii="Verdana" w:hAnsi="Verdana"/>
              </w:rPr>
              <w:t>2015 –</w:t>
            </w:r>
            <w:r w:rsidRPr="006430BD">
              <w:rPr>
                <w:rFonts w:ascii="Verdana" w:hAnsi="Verdana"/>
              </w:rPr>
              <w:t xml:space="preserve"> Articulo 2.2.1.2.4.2.14  –  Acreditación – Emprendimientos y empresas de mujeres</w:t>
            </w:r>
          </w:p>
          <w:p w14:paraId="2E548AEA" w14:textId="77777777" w:rsidR="00707C1F" w:rsidRPr="00DF7E02" w:rsidRDefault="00707C1F" w:rsidP="00063619">
            <w:pPr>
              <w:spacing w:line="276" w:lineRule="auto"/>
              <w:jc w:val="both"/>
              <w:rPr>
                <w:rFonts w:ascii="Verdana" w:eastAsia="Calibri" w:hAnsi="Verdana" w:cs="Arial"/>
                <w:lang w:val="es-ES" w:eastAsia="es-ES"/>
              </w:rPr>
            </w:pPr>
          </w:p>
        </w:tc>
      </w:tr>
      <w:tr w:rsidR="00707C1F" w:rsidRPr="00DF7E02" w14:paraId="1D6BACCC" w14:textId="77777777" w:rsidTr="00063619">
        <w:trPr>
          <w:trHeight w:val="339"/>
        </w:trPr>
        <w:tc>
          <w:tcPr>
            <w:tcW w:w="2689" w:type="dxa"/>
          </w:tcPr>
          <w:p w14:paraId="53C569DB" w14:textId="77777777" w:rsidR="00707C1F" w:rsidRPr="00DF7E02" w:rsidRDefault="00707C1F" w:rsidP="00063619">
            <w:pPr>
              <w:jc w:val="both"/>
              <w:rPr>
                <w:rFonts w:ascii="Verdana" w:eastAsia="Calibri" w:hAnsi="Verdana" w:cs="Arial"/>
                <w:b/>
                <w:lang w:val="es-ES_tradnl" w:eastAsia="es-ES_tradnl"/>
              </w:rPr>
            </w:pPr>
            <w:r w:rsidRPr="00DF7E02">
              <w:rPr>
                <w:rFonts w:ascii="Verdana" w:eastAsia="Calibri" w:hAnsi="Verdana" w:cs="Arial"/>
                <w:b/>
                <w:lang w:val="es-ES_tradnl" w:eastAsia="es-ES_tradnl"/>
              </w:rPr>
              <w:t>Radicación:</w:t>
            </w:r>
            <w:r w:rsidRPr="00DF7E02">
              <w:rPr>
                <w:rFonts w:ascii="Verdana" w:eastAsia="Calibri" w:hAnsi="Verdana" w:cs="Arial"/>
                <w:lang w:val="es-ES_tradnl" w:eastAsia="es-ES_tradnl"/>
              </w:rPr>
              <w:t xml:space="preserve">               </w:t>
            </w:r>
          </w:p>
        </w:tc>
        <w:tc>
          <w:tcPr>
            <w:tcW w:w="6100" w:type="dxa"/>
          </w:tcPr>
          <w:p w14:paraId="577ACF33" w14:textId="77777777" w:rsidR="00707C1F" w:rsidRPr="00DF7E02" w:rsidRDefault="00707C1F" w:rsidP="00063619">
            <w:pPr>
              <w:jc w:val="both"/>
              <w:rPr>
                <w:rFonts w:ascii="Verdana" w:eastAsia="Calibri" w:hAnsi="Verdana" w:cs="Arial"/>
                <w:lang w:val="es-ES_tradnl" w:eastAsia="es-ES_tradnl"/>
              </w:rPr>
            </w:pPr>
            <w:r w:rsidRPr="00DF7E02">
              <w:rPr>
                <w:rFonts w:ascii="Verdana" w:eastAsia="Calibri" w:hAnsi="Verdana" w:cs="Arial"/>
                <w:lang w:val="es-ES_tradnl" w:eastAsia="es-ES_tradnl"/>
              </w:rPr>
              <w:t>Respuesta a consulta con radicado No. P20240917009503</w:t>
            </w:r>
          </w:p>
        </w:tc>
      </w:tr>
    </w:tbl>
    <w:p w14:paraId="46D0DCB6" w14:textId="77777777" w:rsidR="00707C1F" w:rsidRPr="00055C08" w:rsidRDefault="00707C1F" w:rsidP="00707C1F">
      <w:pPr>
        <w:spacing w:after="0" w:line="240" w:lineRule="auto"/>
        <w:jc w:val="both"/>
        <w:rPr>
          <w:rFonts w:ascii="Verdana" w:eastAsia="Calibri" w:hAnsi="Verdana" w:cs="Arial"/>
          <w:lang w:val="es-ES_tradnl" w:eastAsia="es-ES_tradnl"/>
        </w:rPr>
      </w:pPr>
    </w:p>
    <w:p w14:paraId="55AFFA59" w14:textId="77777777" w:rsidR="00707C1F" w:rsidRPr="00055C08" w:rsidRDefault="00707C1F" w:rsidP="00707C1F">
      <w:pPr>
        <w:spacing w:after="0" w:line="276" w:lineRule="auto"/>
        <w:jc w:val="both"/>
        <w:rPr>
          <w:rFonts w:ascii="Verdana" w:eastAsia="Calibri" w:hAnsi="Verdana" w:cs="Arial"/>
          <w:lang w:val="es-ES" w:eastAsia="es-ES"/>
        </w:rPr>
      </w:pPr>
      <w:r w:rsidRPr="00055C08">
        <w:rPr>
          <w:rFonts w:ascii="Verdana" w:eastAsia="Calibri" w:hAnsi="Verdana" w:cs="Arial"/>
          <w:lang w:val="es-ES" w:eastAsia="es-ES"/>
        </w:rPr>
        <w:t xml:space="preserve">Estimada señora María Mónica: </w:t>
      </w:r>
    </w:p>
    <w:p w14:paraId="5B240611" w14:textId="77777777" w:rsidR="00707C1F" w:rsidRPr="00055C08" w:rsidRDefault="00707C1F" w:rsidP="00707C1F">
      <w:pPr>
        <w:tabs>
          <w:tab w:val="left" w:pos="3768"/>
        </w:tabs>
        <w:spacing w:after="0" w:line="276" w:lineRule="auto"/>
        <w:jc w:val="both"/>
        <w:rPr>
          <w:rFonts w:ascii="Verdana" w:eastAsia="Calibri" w:hAnsi="Verdana" w:cs="Arial"/>
          <w:lang w:val="es-ES" w:eastAsia="es-ES"/>
        </w:rPr>
      </w:pPr>
      <w:r w:rsidRPr="00055C08">
        <w:rPr>
          <w:rFonts w:ascii="Verdana" w:eastAsia="Calibri" w:hAnsi="Verdana" w:cs="Arial"/>
          <w:lang w:val="es-ES" w:eastAsia="es-ES"/>
        </w:rPr>
        <w:tab/>
      </w:r>
    </w:p>
    <w:p w14:paraId="10099CEF" w14:textId="77777777" w:rsidR="00707C1F" w:rsidRPr="00055C08" w:rsidRDefault="00707C1F" w:rsidP="00707C1F">
      <w:pPr>
        <w:spacing w:after="0" w:line="276" w:lineRule="auto"/>
        <w:jc w:val="both"/>
        <w:rPr>
          <w:rFonts w:ascii="Verdana" w:eastAsia="Calibri" w:hAnsi="Verdana" w:cs="Arial"/>
          <w:lang w:val="es-ES" w:eastAsia="es-ES"/>
        </w:rPr>
      </w:pPr>
      <w:r w:rsidRPr="00055C08">
        <w:rPr>
          <w:rFonts w:ascii="Verdana" w:eastAsia="Calibri" w:hAnsi="Verdana" w:cs="Arial"/>
          <w:lang w:val="es-ES" w:eastAsia="es-ES"/>
        </w:rPr>
        <w:t>En ejercicio de la competencia otorgada por los artículos 3, numeral 5º, y 11, numeral 8º, del Decreto Ley 4170 de 2011,</w:t>
      </w:r>
      <w:r w:rsidRPr="00055C08">
        <w:rPr>
          <w:rFonts w:ascii="Verdana" w:eastAsia="Arial MT" w:hAnsi="Verdana" w:cs="Arial MT"/>
          <w:lang w:val="es-ES" w:eastAsia="es-ES"/>
        </w:rPr>
        <w:t xml:space="preserve"> </w:t>
      </w:r>
      <w:r w:rsidRPr="00055C08">
        <w:rPr>
          <w:rFonts w:ascii="Verdana" w:hAnsi="Verdana" w:cs="Arial"/>
        </w:rPr>
        <w:t xml:space="preserve">así como lo establecido en el artículo 4 de la Resolución 1707 de 2018 expedida por esta Entidad, </w:t>
      </w:r>
      <w:r w:rsidRPr="00055C08">
        <w:rPr>
          <w:rFonts w:ascii="Verdana" w:eastAsia="Calibri" w:hAnsi="Verdana" w:cs="Arial"/>
          <w:lang w:val="es-ES" w:eastAsia="es-ES"/>
        </w:rPr>
        <w:t xml:space="preserve">la Agencia Nacional de Contratación Pública – Colombia Compra Eficiente– responde su solicitud de consulta de fecha 17 de septiembre de 2024, en la cual manifiesta lo siguiente: </w:t>
      </w:r>
    </w:p>
    <w:p w14:paraId="5BD63FBC" w14:textId="77777777" w:rsidR="00707C1F" w:rsidRPr="00055C08" w:rsidRDefault="00707C1F" w:rsidP="00707C1F">
      <w:pPr>
        <w:pStyle w:val="Prrafodelista"/>
        <w:tabs>
          <w:tab w:val="left" w:pos="142"/>
          <w:tab w:val="left" w:pos="284"/>
        </w:tabs>
        <w:spacing w:line="276" w:lineRule="auto"/>
        <w:ind w:left="0"/>
        <w:jc w:val="both"/>
        <w:rPr>
          <w:rFonts w:ascii="Verdana" w:eastAsia="Century Gothic" w:hAnsi="Verdana" w:cs="Century Gothic"/>
          <w:b/>
          <w:bCs/>
        </w:rPr>
      </w:pPr>
    </w:p>
    <w:p w14:paraId="4557F101" w14:textId="77777777" w:rsidR="00707C1F" w:rsidRPr="00055C08" w:rsidRDefault="00707C1F" w:rsidP="00707C1F">
      <w:pPr>
        <w:spacing w:after="0" w:line="240" w:lineRule="auto"/>
        <w:ind w:left="709" w:right="709"/>
        <w:jc w:val="both"/>
        <w:rPr>
          <w:rFonts w:ascii="Verdana" w:hAnsi="Verdana" w:cs="Arial"/>
          <w:sz w:val="20"/>
          <w:szCs w:val="20"/>
          <w:shd w:val="clear" w:color="auto" w:fill="FFFFFF"/>
        </w:rPr>
      </w:pPr>
      <w:bookmarkStart w:id="0" w:name="_Hlk95313578"/>
      <w:r w:rsidRPr="00055C08">
        <w:rPr>
          <w:rFonts w:ascii="Verdana" w:eastAsia="Century Gothic" w:hAnsi="Verdana" w:cs="Century Gothic"/>
          <w:sz w:val="20"/>
          <w:szCs w:val="20"/>
          <w:lang w:val="es-ES"/>
        </w:rPr>
        <w:t>“</w:t>
      </w:r>
      <w:r w:rsidRPr="00055C08">
        <w:rPr>
          <w:rFonts w:ascii="Verdana" w:hAnsi="Verdana" w:cs="Arial"/>
          <w:sz w:val="20"/>
          <w:szCs w:val="20"/>
          <w:shd w:val="clear" w:color="auto" w:fill="FFFFFF"/>
        </w:rPr>
        <w:t xml:space="preserve">1. Si al diligenciar el FORMATO 12A – ACREDITACIÓN DE EMPRENDIMIENTOS Y EMPRESAS DE MUJERES (PERSONA JURÍDICA) en la opción 2, el proponente no incluye al representante legal o director </w:t>
      </w:r>
      <w:r w:rsidRPr="00055C08">
        <w:rPr>
          <w:rFonts w:ascii="Verdana" w:hAnsi="Verdana" w:cs="Arial"/>
          <w:sz w:val="20"/>
          <w:szCs w:val="20"/>
          <w:shd w:val="clear" w:color="auto" w:fill="FFFFFF"/>
        </w:rPr>
        <w:lastRenderedPageBreak/>
        <w:t xml:space="preserve">ejecutivo dentro de los cargos directivos de las sociedades, ¿las entidades deben otorgar el puntaje por dicho criterio, aun considerando que según el artículo 2.2.1.2.4.2.14 del Decreto 1082 de 2015 señala dentro de los cargos directivos a quienes desempeñan cargos encaminados al cumplimiento de funciones orientadas a representar al empleador?. </w:t>
      </w:r>
    </w:p>
    <w:p w14:paraId="59C587CE" w14:textId="77777777" w:rsidR="00707C1F" w:rsidRPr="00055C08" w:rsidRDefault="00707C1F" w:rsidP="00707C1F">
      <w:pPr>
        <w:spacing w:after="0" w:line="240" w:lineRule="auto"/>
        <w:ind w:left="709" w:right="709"/>
        <w:jc w:val="both"/>
        <w:rPr>
          <w:rFonts w:ascii="Verdana" w:eastAsia="Century Gothic" w:hAnsi="Verdana" w:cs="Century Gothic"/>
          <w:sz w:val="20"/>
          <w:szCs w:val="20"/>
          <w:lang w:val="es-ES"/>
        </w:rPr>
      </w:pPr>
      <w:r w:rsidRPr="00055C08">
        <w:rPr>
          <w:rFonts w:ascii="Verdana" w:hAnsi="Verdana" w:cs="Arial"/>
          <w:sz w:val="20"/>
          <w:szCs w:val="20"/>
          <w:shd w:val="clear" w:color="auto" w:fill="FFFFFF"/>
        </w:rPr>
        <w:t>2. Cuando el representante legal de la compañía es un socio y se incluye al mismo dentro del FORMATO 12A – ACREDITACIÓN DE EMPRENDIMIENTOS Y EMPRESAS DE MUJERES (PERSONA JURÍDICA) en la opción 2, para hacerse acreedor del puntaje por este criterio ¿Se debe aportar la planilla de seguridad social del último año de la compañía donde se verifique la afiliación del representante legal? ¿Se debe aportar contrato laboral o en caso de no existir, dada la naturaleza del cargo, el certificado de funciones?</w:t>
      </w:r>
      <w:r w:rsidRPr="00055C08">
        <w:rPr>
          <w:rFonts w:ascii="Verdana" w:hAnsi="Verdana" w:cs="Arial"/>
          <w:sz w:val="20"/>
          <w:szCs w:val="20"/>
          <w:shd w:val="clear" w:color="auto" w:fill="FFFFFF"/>
          <w:lang w:val="es-ES"/>
        </w:rPr>
        <w:t xml:space="preserve"> </w:t>
      </w:r>
      <w:r w:rsidRPr="00055C08">
        <w:rPr>
          <w:rStyle w:val="normaltextrun"/>
          <w:rFonts w:ascii="Verdana" w:hAnsi="Verdana" w:cs="Arial"/>
          <w:sz w:val="20"/>
          <w:szCs w:val="20"/>
          <w:shd w:val="clear" w:color="auto" w:fill="FFFFFF"/>
          <w:lang w:val="es-ES"/>
        </w:rPr>
        <w:t>[…]</w:t>
      </w:r>
      <w:r w:rsidRPr="00055C08">
        <w:rPr>
          <w:rFonts w:ascii="Verdana" w:eastAsia="Century Gothic" w:hAnsi="Verdana" w:cs="Century Gothic"/>
          <w:sz w:val="20"/>
          <w:szCs w:val="20"/>
          <w:lang w:val="es-ES"/>
        </w:rPr>
        <w:t>”</w:t>
      </w:r>
      <w:bookmarkEnd w:id="0"/>
      <w:r w:rsidRPr="00055C08">
        <w:rPr>
          <w:rFonts w:ascii="Verdana" w:eastAsia="Century Gothic" w:hAnsi="Verdana" w:cs="Century Gothic"/>
          <w:sz w:val="20"/>
          <w:szCs w:val="20"/>
          <w:lang w:val="es-ES"/>
        </w:rPr>
        <w:t>.</w:t>
      </w:r>
    </w:p>
    <w:p w14:paraId="09F7DEE1" w14:textId="77777777" w:rsidR="00707C1F" w:rsidRPr="00593A5F" w:rsidRDefault="00707C1F" w:rsidP="00707C1F">
      <w:pPr>
        <w:pStyle w:val="Prrafodelista"/>
        <w:tabs>
          <w:tab w:val="left" w:pos="142"/>
          <w:tab w:val="left" w:pos="284"/>
        </w:tabs>
        <w:spacing w:line="276" w:lineRule="auto"/>
        <w:ind w:left="0"/>
        <w:jc w:val="both"/>
        <w:rPr>
          <w:rFonts w:ascii="Verdana" w:eastAsia="Century Gothic" w:hAnsi="Verdana" w:cs="Century Gothic"/>
          <w:b/>
          <w:bCs/>
        </w:rPr>
      </w:pPr>
    </w:p>
    <w:p w14:paraId="052E0694" w14:textId="77777777" w:rsidR="00707C1F" w:rsidRDefault="00707C1F" w:rsidP="00707C1F">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1BF0F04" w14:textId="77777777" w:rsidR="00707C1F" w:rsidRPr="00055C08" w:rsidRDefault="00707C1F" w:rsidP="00707C1F">
      <w:pPr>
        <w:spacing w:after="0" w:line="276" w:lineRule="auto"/>
        <w:ind w:firstLine="709"/>
        <w:jc w:val="both"/>
        <w:rPr>
          <w:rFonts w:ascii="Verdana" w:eastAsia="Calibri" w:hAnsi="Verdana" w:cs="Arial"/>
          <w:lang w:val="es-ES" w:eastAsia="es-ES"/>
        </w:rPr>
      </w:pPr>
      <w:r w:rsidRPr="00593A5F">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w:t>
      </w:r>
      <w:r w:rsidRPr="00055C08">
        <w:rPr>
          <w:rFonts w:ascii="Verdana" w:eastAsia="Calibri" w:hAnsi="Verdana" w:cs="Arial"/>
          <w:lang w:val="es-ES" w:eastAsia="es-ES"/>
        </w:rPr>
        <w:t xml:space="preserve">abstracción de las circunstancias particulares y concretas mencionadas en su petición, pero haciendo unas consideraciones sobre las normas generales relacionadas con los problemas jurídicos de su consulta. </w:t>
      </w:r>
    </w:p>
    <w:p w14:paraId="29AFEF96" w14:textId="77777777" w:rsidR="00707C1F" w:rsidRPr="00055C08" w:rsidRDefault="00707C1F" w:rsidP="00707C1F">
      <w:pPr>
        <w:spacing w:after="0" w:line="276" w:lineRule="auto"/>
        <w:ind w:firstLine="709"/>
        <w:jc w:val="both"/>
        <w:rPr>
          <w:rFonts w:ascii="Verdana" w:eastAsia="Calibri" w:hAnsi="Verdana" w:cs="Arial"/>
          <w:lang w:val="es-ES" w:eastAsia="es-ES"/>
        </w:rPr>
      </w:pPr>
    </w:p>
    <w:p w14:paraId="5D870CE1" w14:textId="77777777" w:rsidR="00707C1F" w:rsidRPr="00055C08" w:rsidRDefault="00707C1F" w:rsidP="00707C1F">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055C08">
        <w:rPr>
          <w:rFonts w:ascii="Verdana" w:eastAsia="Century Gothic" w:hAnsi="Verdana" w:cs="Century Gothic"/>
          <w:b/>
          <w:bCs/>
        </w:rPr>
        <w:t>Problema planteado:</w:t>
      </w:r>
    </w:p>
    <w:p w14:paraId="21060734" w14:textId="77777777" w:rsidR="00707C1F" w:rsidRPr="00055C08" w:rsidRDefault="00707C1F" w:rsidP="00707C1F">
      <w:pPr>
        <w:tabs>
          <w:tab w:val="left" w:pos="426"/>
        </w:tabs>
        <w:spacing w:after="0" w:line="276" w:lineRule="auto"/>
        <w:jc w:val="both"/>
        <w:rPr>
          <w:rFonts w:ascii="Verdana" w:eastAsia="Century Gothic" w:hAnsi="Verdana" w:cs="Century Gothic"/>
          <w:lang w:val="es-ES"/>
        </w:rPr>
      </w:pPr>
    </w:p>
    <w:p w14:paraId="7F4F2C34" w14:textId="77777777" w:rsidR="00707C1F" w:rsidRPr="00055C08" w:rsidRDefault="00707C1F" w:rsidP="00707C1F">
      <w:pPr>
        <w:spacing w:after="0" w:line="276" w:lineRule="auto"/>
        <w:jc w:val="both"/>
        <w:rPr>
          <w:rFonts w:ascii="Verdana" w:eastAsia="Century Gothic" w:hAnsi="Verdana" w:cs="Century Gothic"/>
        </w:rPr>
      </w:pPr>
      <w:r w:rsidRPr="00055C08">
        <w:rPr>
          <w:rFonts w:ascii="Verdana" w:eastAsia="Century Gothic" w:hAnsi="Verdana" w:cs="Century Gothic"/>
        </w:rPr>
        <w:lastRenderedPageBreak/>
        <w:t>De acuerdo con el contenido de su solicitud, esta Agencia resolverá los siguientes problemas jurídicos: ¿Es posible otorgar el puntaje adicional para emprendimientos y empresas de mujeres establecido en el artículo 2.2.1.2.4.2.14 del Decreto 1082 de 2015 cuando</w:t>
      </w:r>
      <w:r w:rsidRPr="00DF7E02">
        <w:rPr>
          <w:rFonts w:ascii="Verdana" w:hAnsi="Verdana"/>
        </w:rPr>
        <w:t xml:space="preserve"> </w:t>
      </w:r>
      <w:r w:rsidRPr="00055C08">
        <w:rPr>
          <w:rFonts w:ascii="Verdana" w:eastAsia="Century Gothic" w:hAnsi="Verdana" w:cs="Century Gothic"/>
        </w:rPr>
        <w:t>el proponente no incluya al representante legal o director ejecutivo dentro de los cargos directivos de las sociedades?, y, en el mismo sentido, en caso de ser incluido el representante legal en la propuesta</w:t>
      </w:r>
      <w:r>
        <w:rPr>
          <w:rFonts w:ascii="Verdana" w:eastAsia="Century Gothic" w:hAnsi="Verdana" w:cs="Century Gothic"/>
        </w:rPr>
        <w:t xml:space="preserve"> </w:t>
      </w:r>
      <w:r w:rsidRPr="00DF7E02">
        <w:rPr>
          <w:rFonts w:ascii="Verdana" w:eastAsia="Century Gothic" w:hAnsi="Verdana" w:cs="Century Gothic"/>
        </w:rPr>
        <w:t>¿deben ser incluidas las planillas de seguridad social del último año de la compañía donde se verifique la afiliación del representante legal?</w:t>
      </w:r>
    </w:p>
    <w:p w14:paraId="1B5FD0B0" w14:textId="77777777" w:rsidR="00707C1F" w:rsidRPr="00593A5F" w:rsidRDefault="00707C1F" w:rsidP="00707C1F">
      <w:pPr>
        <w:spacing w:after="0" w:line="276" w:lineRule="auto"/>
        <w:jc w:val="both"/>
        <w:rPr>
          <w:rFonts w:ascii="Verdana" w:eastAsia="Calibri" w:hAnsi="Verdana" w:cs="Arial"/>
          <w:color w:val="7030A0"/>
          <w:lang w:val="es-ES"/>
        </w:rPr>
      </w:pPr>
    </w:p>
    <w:p w14:paraId="45D5A4E9" w14:textId="77777777" w:rsidR="00707C1F" w:rsidRPr="00593A5F" w:rsidRDefault="00707C1F" w:rsidP="00707C1F">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0246898" w14:textId="77777777" w:rsidR="00707C1F" w:rsidRPr="00593A5F" w:rsidRDefault="00707C1F" w:rsidP="00707C1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07C1F" w:rsidRPr="00DF7E02" w14:paraId="0E1DCD91" w14:textId="77777777" w:rsidTr="00063619">
        <w:tc>
          <w:tcPr>
            <w:tcW w:w="8828" w:type="dxa"/>
            <w:shd w:val="clear" w:color="auto" w:fill="auto"/>
          </w:tcPr>
          <w:p w14:paraId="7FCD62E9" w14:textId="77777777" w:rsidR="00707C1F" w:rsidRPr="00DF7E02" w:rsidRDefault="00707C1F" w:rsidP="00063619">
            <w:pPr>
              <w:spacing w:after="120" w:line="276" w:lineRule="auto"/>
              <w:ind w:right="77"/>
              <w:jc w:val="both"/>
              <w:rPr>
                <w:rFonts w:ascii="Verdana" w:hAnsi="Verdana"/>
              </w:rPr>
            </w:pPr>
            <w:r w:rsidRPr="00DF7E02">
              <w:rPr>
                <w:rFonts w:ascii="Verdana" w:hAnsi="Verdana"/>
              </w:rPr>
              <w:t>La certificación y los soportes a los que se refiere el Decreto 1082 de 2015, en el artículo 2.2.1.2.4.2.14, numeral 2, deben contener información de todas las personas que ocupan cargos del nivel directivo, es decir, hombres y mujeres, en caso de que existan hombres que ocupen dichos cargos. Esto comoquiera que, tal información resulta relevante para verificar que haya una mayoría de mujeres vinculadas en la totalidad de los cargos que integran el personal directivo de la empresa.</w:t>
            </w:r>
          </w:p>
          <w:p w14:paraId="055880BB" w14:textId="77777777" w:rsidR="00707C1F" w:rsidRDefault="00707C1F" w:rsidP="00063619">
            <w:pPr>
              <w:spacing w:after="120" w:line="276" w:lineRule="auto"/>
              <w:ind w:right="78"/>
              <w:jc w:val="both"/>
              <w:rPr>
                <w:rFonts w:ascii="Verdana" w:hAnsi="Verdana"/>
              </w:rPr>
            </w:pPr>
            <w:r w:rsidRPr="00DF7E02">
              <w:rPr>
                <w:rFonts w:ascii="Verdana" w:hAnsi="Verdana"/>
              </w:rPr>
              <w:t>Independientemente de la denominación del cargo, su naturaleza será directiva bien porque se encuentra en un nivel especial de mando o porque, de acuerdo con su jerarquía, representan al empleador. En ese sentido, cuando la norma estudiada hace referencia a cargos directivos, hace alusión al representante legal o administrador, no obstante, la determinación de si un cargo es del nivel directivo o no corresponde realizarla de acuerdo con la organización interna de la sociedad o empresa.</w:t>
            </w:r>
          </w:p>
          <w:p w14:paraId="2F4F319E" w14:textId="77777777" w:rsidR="00707C1F" w:rsidRPr="00DF7E02" w:rsidRDefault="00707C1F" w:rsidP="00063619">
            <w:pPr>
              <w:spacing w:after="307" w:line="276" w:lineRule="auto"/>
              <w:jc w:val="both"/>
              <w:rPr>
                <w:rFonts w:ascii="Verdana" w:hAnsi="Verdana"/>
              </w:rPr>
            </w:pPr>
            <w:r w:rsidRPr="00DF7E02">
              <w:rPr>
                <w:rFonts w:ascii="Verdana" w:hAnsi="Verdana"/>
              </w:rPr>
              <w:t>Adicionalmente,</w:t>
            </w:r>
            <w:r>
              <w:rPr>
                <w:rFonts w:ascii="Verdana" w:hAnsi="Verdana"/>
              </w:rPr>
              <w:t xml:space="preserve"> sobre su pregunta de los documentos que se deben allegar para los cargos del nivel directivo, incluido el representante legal,</w:t>
            </w:r>
            <w:r w:rsidRPr="00DF7E02">
              <w:rPr>
                <w:rFonts w:ascii="Verdana" w:hAnsi="Verdana"/>
              </w:rPr>
              <w:t xml:space="preserve"> el inciso cuarto del numeral 2 del artículo en estudio establece lo siguiente:</w:t>
            </w:r>
          </w:p>
          <w:p w14:paraId="0C2F5045" w14:textId="77777777" w:rsidR="00707C1F" w:rsidRPr="00DF7E02" w:rsidRDefault="00707C1F" w:rsidP="00063619">
            <w:pPr>
              <w:spacing w:after="307" w:line="276" w:lineRule="auto"/>
              <w:ind w:left="638" w:right="716"/>
              <w:jc w:val="both"/>
              <w:rPr>
                <w:rFonts w:ascii="Verdana" w:hAnsi="Verdana"/>
                <w:sz w:val="20"/>
                <w:szCs w:val="20"/>
              </w:rPr>
            </w:pPr>
            <w:r w:rsidRPr="00DF7E02">
              <w:rPr>
                <w:rFonts w:ascii="Verdana" w:hAnsi="Verdana"/>
                <w:sz w:val="20"/>
                <w:szCs w:val="20"/>
              </w:rPr>
              <w:t xml:space="preserve">“La certificación deberá relacionar el nombre completo y el número de documento de identidad de cada una de las personas que conforman el nivel directivo del proponente. Como soporte, se anexará copia de los </w:t>
            </w:r>
            <w:r w:rsidRPr="00DF7E02">
              <w:rPr>
                <w:rFonts w:ascii="Verdana" w:hAnsi="Verdana"/>
                <w:sz w:val="20"/>
                <w:szCs w:val="20"/>
              </w:rPr>
              <w:lastRenderedPageBreak/>
              <w:t>respectivos documentos de identidad, copia de los contratos de trabajo o certificación laboral con las funciones, así como el certificado de aportes a seguridad social del último año en el que se demuestren los pagos realizados por el empleador”.</w:t>
            </w:r>
          </w:p>
          <w:p w14:paraId="0E2720B1" w14:textId="77777777" w:rsidR="00707C1F" w:rsidRPr="00BC1A15" w:rsidRDefault="00707C1F" w:rsidP="00063619">
            <w:pPr>
              <w:spacing w:after="432" w:line="271" w:lineRule="auto"/>
              <w:ind w:right="79"/>
              <w:jc w:val="both"/>
              <w:rPr>
                <w:rFonts w:ascii="Verdana" w:hAnsi="Verdana"/>
              </w:rPr>
            </w:pPr>
            <w:r>
              <w:rPr>
                <w:rFonts w:ascii="Verdana" w:hAnsi="Verdana"/>
              </w:rPr>
              <w:t>Finalmente d</w:t>
            </w:r>
            <w:r w:rsidRPr="00BC1A15">
              <w:rPr>
                <w:rFonts w:ascii="Verdana" w:hAnsi="Verdana"/>
              </w:rPr>
              <w:t>ebe advertirse que corresponde a las entidades estatales contratantes determinar en cada caso concreto si, en efecto, se cumplen las condiciones antes explicadas, verificando además que dicha acreditación se haga con sujeción al marco jurídico aplicable. Para estos efectos deberá realizarse el análisis de cada uno de los empleos certificados para determinar si cada uno de ellos puede ser considerado del nivel directivo en virtud de las funciones que tenga asignadas</w:t>
            </w:r>
            <w:r>
              <w:rPr>
                <w:rFonts w:ascii="Verdana" w:hAnsi="Verdana"/>
              </w:rPr>
              <w:t xml:space="preserve"> y adicionalmente la empresa deberá allegar en su totalidad la documentación requerida.</w:t>
            </w:r>
          </w:p>
        </w:tc>
      </w:tr>
    </w:tbl>
    <w:p w14:paraId="2863EE0C" w14:textId="77777777" w:rsidR="00707C1F" w:rsidRPr="00593A5F" w:rsidRDefault="00707C1F" w:rsidP="00707C1F">
      <w:pPr>
        <w:tabs>
          <w:tab w:val="left" w:pos="142"/>
          <w:tab w:val="left" w:pos="284"/>
        </w:tabs>
        <w:spacing w:after="0" w:line="276" w:lineRule="auto"/>
        <w:jc w:val="both"/>
        <w:rPr>
          <w:rFonts w:ascii="Verdana" w:eastAsia="Century Gothic" w:hAnsi="Verdana" w:cs="Century Gothic"/>
          <w:b/>
          <w:bCs/>
          <w:lang w:val="es-ES"/>
        </w:rPr>
      </w:pPr>
    </w:p>
    <w:p w14:paraId="1CB008F2" w14:textId="77777777" w:rsidR="00707C1F" w:rsidRPr="00593A5F" w:rsidRDefault="00707C1F" w:rsidP="00707C1F">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2853E370" w14:textId="77777777" w:rsidR="00707C1F" w:rsidRPr="00593A5F" w:rsidRDefault="00707C1F" w:rsidP="00707C1F">
      <w:pPr>
        <w:spacing w:after="0" w:line="276" w:lineRule="auto"/>
        <w:jc w:val="both"/>
        <w:rPr>
          <w:rFonts w:ascii="Verdana" w:eastAsia="Calibri" w:hAnsi="Verdana" w:cs="Arial"/>
          <w:color w:val="7030A0"/>
          <w:lang w:val="es-ES"/>
        </w:rPr>
      </w:pPr>
    </w:p>
    <w:p w14:paraId="35490A04" w14:textId="77777777" w:rsidR="00707C1F" w:rsidRPr="00B96799" w:rsidRDefault="00707C1F" w:rsidP="00707C1F">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4E121C7C" w14:textId="77777777" w:rsidR="00707C1F" w:rsidRPr="00DF7E02" w:rsidRDefault="00707C1F" w:rsidP="00707C1F">
      <w:pPr>
        <w:spacing w:after="0" w:line="276" w:lineRule="auto"/>
        <w:jc w:val="both"/>
        <w:rPr>
          <w:rFonts w:ascii="Verdana" w:eastAsia="Calibri" w:hAnsi="Verdana" w:cs="Arial"/>
          <w:lang w:val="es-ES"/>
        </w:rPr>
      </w:pPr>
    </w:p>
    <w:p w14:paraId="27DBA381" w14:textId="77777777" w:rsidR="00707C1F" w:rsidRPr="00DF7E02" w:rsidRDefault="00707C1F" w:rsidP="00707C1F">
      <w:pPr>
        <w:pStyle w:val="Prrafodelista"/>
        <w:numPr>
          <w:ilvl w:val="0"/>
          <w:numId w:val="10"/>
        </w:numPr>
        <w:spacing w:after="311" w:line="271" w:lineRule="auto"/>
        <w:ind w:right="63"/>
        <w:jc w:val="both"/>
        <w:rPr>
          <w:rFonts w:ascii="Verdana" w:hAnsi="Verdana"/>
        </w:rPr>
      </w:pPr>
      <w:r w:rsidRPr="00DF7E02">
        <w:rPr>
          <w:rFonts w:ascii="Verdana" w:hAnsi="Verdana"/>
        </w:rPr>
        <w:t>El artículo 32 de la Ley 2069 de 2021 introduce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 en adelante EGCAP,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301C5944" w14:textId="77777777" w:rsidR="00707C1F" w:rsidRPr="00DF7E02" w:rsidRDefault="00707C1F" w:rsidP="00707C1F">
      <w:pPr>
        <w:pStyle w:val="Prrafodelista"/>
        <w:ind w:right="63"/>
        <w:rPr>
          <w:rFonts w:ascii="Verdana" w:hAnsi="Verdana"/>
        </w:rPr>
      </w:pPr>
    </w:p>
    <w:p w14:paraId="4A995188" w14:textId="77777777" w:rsidR="00707C1F" w:rsidRPr="00DF7E02" w:rsidRDefault="00707C1F" w:rsidP="00707C1F">
      <w:pPr>
        <w:pStyle w:val="Prrafodelista"/>
        <w:numPr>
          <w:ilvl w:val="0"/>
          <w:numId w:val="10"/>
        </w:numPr>
        <w:spacing w:after="311" w:line="271" w:lineRule="auto"/>
        <w:ind w:right="63"/>
        <w:jc w:val="both"/>
        <w:rPr>
          <w:rFonts w:ascii="Verdana" w:hAnsi="Verdana"/>
        </w:rPr>
      </w:pPr>
      <w:r w:rsidRPr="00DF7E02">
        <w:rPr>
          <w:rFonts w:ascii="Verdana" w:hAnsi="Verdana"/>
        </w:rPr>
        <w:t xml:space="preserve">El artículo 2.2.1.2.4.2.14 del Decreto 1082 de 2015 establece las condiciones y requisitos en atención a los cuales se definen los emprendimientos y empresas de mujeres, a las que les aplican los </w:t>
      </w:r>
      <w:r w:rsidRPr="00DF7E02">
        <w:rPr>
          <w:rFonts w:ascii="Verdana" w:hAnsi="Verdana"/>
        </w:rPr>
        <w:lastRenderedPageBreak/>
        <w:t>criterios diferenciales. Para estos efectos, cada uno de los cuatro numerales de la norma establecen unas condiciones alternativas que definen los emprendimientos y empresas de mujeres, a efectos de aplicar los criterios diferenciales.</w:t>
      </w:r>
    </w:p>
    <w:p w14:paraId="76D9A159" w14:textId="77777777" w:rsidR="00707C1F" w:rsidRPr="00DF7E02" w:rsidRDefault="00707C1F" w:rsidP="00707C1F">
      <w:pPr>
        <w:pStyle w:val="Prrafodelista"/>
        <w:ind w:right="63"/>
        <w:rPr>
          <w:rFonts w:ascii="Verdana" w:hAnsi="Verdana"/>
        </w:rPr>
      </w:pPr>
    </w:p>
    <w:p w14:paraId="160FD676" w14:textId="77777777" w:rsidR="00707C1F" w:rsidRPr="00DF7E02" w:rsidRDefault="00707C1F" w:rsidP="00707C1F">
      <w:pPr>
        <w:pStyle w:val="Prrafodelista"/>
        <w:numPr>
          <w:ilvl w:val="0"/>
          <w:numId w:val="10"/>
        </w:numPr>
        <w:spacing w:after="311" w:line="271" w:lineRule="auto"/>
        <w:ind w:right="63"/>
        <w:jc w:val="both"/>
        <w:rPr>
          <w:rFonts w:ascii="Verdana" w:hAnsi="Verdana"/>
        </w:rPr>
      </w:pPr>
      <w:r w:rsidRPr="00DF7E02">
        <w:rPr>
          <w:rFonts w:ascii="Verdana" w:hAnsi="Verdana"/>
        </w:rPr>
        <w:t xml:space="preserve">Por su parte, el </w:t>
      </w:r>
      <w:r w:rsidRPr="00DF7E02">
        <w:rPr>
          <w:rFonts w:ascii="Verdana" w:hAnsi="Verdana"/>
          <w:i/>
        </w:rPr>
        <w:t>numeral</w:t>
      </w:r>
      <w:r w:rsidRPr="00DF7E02">
        <w:rPr>
          <w:rFonts w:ascii="Verdana" w:hAnsi="Verdana"/>
        </w:rPr>
        <w:t xml:space="preserve"> </w:t>
      </w:r>
      <w:r w:rsidRPr="00DF7E02">
        <w:rPr>
          <w:rFonts w:ascii="Verdana" w:hAnsi="Verdana"/>
          <w:i/>
        </w:rPr>
        <w:t xml:space="preserve"> 2 </w:t>
      </w:r>
      <w:r w:rsidRPr="00DF7E02">
        <w:rPr>
          <w:rFonts w:ascii="Verdana" w:hAnsi="Verdana"/>
        </w:rPr>
        <w:t xml:space="preserve">, establece que, tratándose de personas jurídicas,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ii ) estas hayan estado vinculadas laboralmente en dichos cargos durante al menos el último año anterior a la fecha de cierre del Proceso de Selección en el mismo cargo u otro del mismo nivel. </w:t>
      </w:r>
    </w:p>
    <w:p w14:paraId="78A31B8B" w14:textId="77777777" w:rsidR="00707C1F" w:rsidRPr="00DF7E02" w:rsidRDefault="00707C1F" w:rsidP="00707C1F">
      <w:pPr>
        <w:pStyle w:val="Prrafodelista"/>
        <w:ind w:right="63"/>
        <w:rPr>
          <w:rFonts w:ascii="Verdana" w:hAnsi="Verdana"/>
        </w:rPr>
      </w:pPr>
    </w:p>
    <w:p w14:paraId="2464A9EB" w14:textId="77777777" w:rsidR="00707C1F" w:rsidRPr="00DF7E02" w:rsidRDefault="00707C1F" w:rsidP="00707C1F">
      <w:pPr>
        <w:pStyle w:val="Prrafodelista"/>
        <w:numPr>
          <w:ilvl w:val="0"/>
          <w:numId w:val="10"/>
        </w:numPr>
        <w:spacing w:after="470" w:line="271" w:lineRule="auto"/>
        <w:ind w:right="63"/>
        <w:jc w:val="both"/>
        <w:rPr>
          <w:rFonts w:ascii="Verdana" w:hAnsi="Verdana"/>
        </w:rPr>
      </w:pPr>
      <w:r w:rsidRPr="00DF7E02">
        <w:rPr>
          <w:rFonts w:ascii="Verdana" w:hAnsi="Verdana"/>
        </w:rPr>
        <w:t>Los “empleos del nivel directivo” a los que se refiere la norma son aquellos relacionados con la dirección de áreas misionales y las decisiones de nivel estratégico de la respectiva persona jurídica.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de acuerdo con su jerarquía, representan al empleador en los términos del artículo 32 del Código Sustantivo del Trabajo</w:t>
      </w:r>
      <w:r w:rsidRPr="00DF7E02">
        <w:rPr>
          <w:rFonts w:ascii="Verdana" w:hAnsi="Verdana"/>
          <w:vertAlign w:val="superscript"/>
        </w:rPr>
        <w:footnoteReference w:id="2"/>
      </w:r>
      <w:r w:rsidRPr="00DF7E02">
        <w:rPr>
          <w:rFonts w:ascii="Verdana" w:hAnsi="Verdana"/>
        </w:rPr>
        <w:t xml:space="preserve">. </w:t>
      </w:r>
    </w:p>
    <w:p w14:paraId="44D7711D" w14:textId="77777777" w:rsidR="00707C1F" w:rsidRPr="00DF7E02" w:rsidRDefault="00707C1F" w:rsidP="00707C1F">
      <w:pPr>
        <w:pStyle w:val="Prrafodelista"/>
        <w:rPr>
          <w:rFonts w:ascii="Verdana" w:hAnsi="Verdana"/>
        </w:rPr>
      </w:pPr>
    </w:p>
    <w:p w14:paraId="181B5016" w14:textId="77777777" w:rsidR="00707C1F" w:rsidRDefault="00707C1F" w:rsidP="00707C1F">
      <w:pPr>
        <w:pStyle w:val="Prrafodelista"/>
        <w:numPr>
          <w:ilvl w:val="0"/>
          <w:numId w:val="10"/>
        </w:numPr>
        <w:spacing w:after="470" w:line="271" w:lineRule="auto"/>
        <w:ind w:right="63"/>
        <w:jc w:val="both"/>
        <w:rPr>
          <w:rFonts w:ascii="Verdana" w:hAnsi="Verdana"/>
        </w:rPr>
      </w:pPr>
      <w:r w:rsidRPr="00DF7E02">
        <w:rPr>
          <w:rFonts w:ascii="Verdana" w:hAnsi="Verdana"/>
        </w:rPr>
        <w:t>Para la acreditación de este requisito la norma establece que deben entenderse como empleos</w:t>
      </w:r>
      <w:r w:rsidRPr="00DF7E02">
        <w:rPr>
          <w:rFonts w:ascii="Verdana" w:hAnsi="Verdana"/>
          <w:i/>
        </w:rPr>
        <w:t xml:space="preserve"> del nivel directivo</w:t>
      </w:r>
      <w:r w:rsidRPr="00DF7E02">
        <w:rPr>
          <w:rFonts w:ascii="Verdana" w:hAnsi="Verdana"/>
        </w:rPr>
        <w:t xml:space="preserve"> aquellos relacionados con la dirección de áreas misionales y la toma de decisiones estratégicas. </w:t>
      </w:r>
      <w:r w:rsidRPr="00DF7E02">
        <w:rPr>
          <w:rFonts w:ascii="Verdana" w:hAnsi="Verdana"/>
        </w:rPr>
        <w:lastRenderedPageBreak/>
        <w:t>Además, que también lo serán aquellos que se encuentran ubicados en un nivel de mando o los que por su jerarquía desempeñan cargos encaminados al cumplimiento de funciones orientadas a representar al empleador. En relación con lo anterior, el artículo 196 del Código de Comercio establece que “La representación de la sociedad y la administración de sus bienes y negocios se ajustarán a las estipulaciones del contrato social, conforme al régimen de cada tipo de sociedad [ … ] ” . En ese orden, el contrato social indica cuáles son los cargos mediante los que se ejerce la dirección, administración y control de la empresa. No obstante, con respecto a la administración, la Ley 222 de 1995 establece en su artículo 22 que son administradores “el representante legal, el liquidador, el factor, los miembros de juntas o consejos directivos y quienes de acuerdo con los estatutos ejerzan o detente esas funciones”.</w:t>
      </w:r>
    </w:p>
    <w:p w14:paraId="6ADC1AB4" w14:textId="77777777" w:rsidR="00707C1F" w:rsidRPr="00387831" w:rsidRDefault="00707C1F" w:rsidP="00707C1F">
      <w:pPr>
        <w:pStyle w:val="Prrafodelista"/>
        <w:spacing w:after="470" w:line="271" w:lineRule="auto"/>
        <w:ind w:right="63"/>
        <w:jc w:val="both"/>
        <w:rPr>
          <w:rFonts w:ascii="Verdana" w:hAnsi="Verdana"/>
        </w:rPr>
      </w:pPr>
    </w:p>
    <w:p w14:paraId="18F96CDF" w14:textId="77777777" w:rsidR="00707C1F" w:rsidRDefault="00707C1F" w:rsidP="00707C1F">
      <w:pPr>
        <w:pStyle w:val="Prrafodelista"/>
        <w:numPr>
          <w:ilvl w:val="0"/>
          <w:numId w:val="10"/>
        </w:numPr>
        <w:spacing w:after="637" w:line="271" w:lineRule="auto"/>
        <w:ind w:right="63"/>
        <w:jc w:val="both"/>
        <w:rPr>
          <w:rFonts w:ascii="Verdana" w:hAnsi="Verdana"/>
        </w:rPr>
      </w:pPr>
      <w:r w:rsidRPr="00DF7E02">
        <w:rPr>
          <w:rFonts w:ascii="Verdana" w:hAnsi="Verdana"/>
        </w:rPr>
        <w:t>Usualmente, la junta directiva es el primer órgano directivo con miras a la adopción de decisiones estratégicas que permitan la orientación gerencial de la actividad económica, la generación de valor y la gestión de sus riesgos a largo plazo</w:t>
      </w:r>
      <w:r w:rsidRPr="00DF7E02">
        <w:rPr>
          <w:rFonts w:ascii="Verdana" w:hAnsi="Verdana"/>
          <w:vertAlign w:val="superscript"/>
        </w:rPr>
        <w:footnoteReference w:id="3"/>
      </w:r>
      <w:r w:rsidRPr="00DF7E02">
        <w:rPr>
          <w:rFonts w:ascii="Verdana" w:hAnsi="Verdana"/>
        </w:rPr>
        <w:t xml:space="preserve"> . La junta o comisión directiva se encarga entonces, entre otros asuntos, de la designación, evaluación y remoción del personal directivo; la definición, aprobación y seguimiento del plan estratégico, de los objetivos de gestión y presupuesto anual; y de la aprobación de inversiones o desinversiones materiales o estratégicas</w:t>
      </w:r>
      <w:r w:rsidRPr="00DF7E02">
        <w:rPr>
          <w:rFonts w:ascii="Verdana" w:hAnsi="Verdana"/>
          <w:vertAlign w:val="superscript"/>
        </w:rPr>
        <w:footnoteReference w:id="4"/>
      </w:r>
      <w:r w:rsidRPr="00DF7E02">
        <w:rPr>
          <w:rFonts w:ascii="Verdana" w:hAnsi="Verdana"/>
        </w:rPr>
        <w:t xml:space="preserve">. </w:t>
      </w:r>
    </w:p>
    <w:p w14:paraId="33D255B1" w14:textId="77777777" w:rsidR="00707C1F" w:rsidRPr="00387831" w:rsidRDefault="00707C1F" w:rsidP="00707C1F">
      <w:pPr>
        <w:pStyle w:val="Prrafodelista"/>
        <w:spacing w:after="637" w:line="271" w:lineRule="auto"/>
        <w:ind w:right="63"/>
        <w:jc w:val="both"/>
        <w:rPr>
          <w:rFonts w:ascii="Verdana" w:hAnsi="Verdana"/>
        </w:rPr>
      </w:pPr>
    </w:p>
    <w:p w14:paraId="272E475C" w14:textId="77777777" w:rsidR="00707C1F" w:rsidRPr="00DF7E02" w:rsidRDefault="00707C1F" w:rsidP="00707C1F">
      <w:pPr>
        <w:pStyle w:val="Prrafodelista"/>
        <w:numPr>
          <w:ilvl w:val="0"/>
          <w:numId w:val="10"/>
        </w:numPr>
        <w:spacing w:after="432" w:line="271" w:lineRule="auto"/>
        <w:jc w:val="both"/>
        <w:rPr>
          <w:rFonts w:ascii="Verdana" w:hAnsi="Verdana"/>
        </w:rPr>
      </w:pPr>
      <w:r w:rsidRPr="00DF7E02">
        <w:rPr>
          <w:rFonts w:ascii="Verdana" w:hAnsi="Verdana"/>
        </w:rPr>
        <w:t xml:space="preserve">También ejercerán actividades de dirección, según lo establece el Decreto 1860 de 2021, quienes lideren áreas misionales y quienes lideren procesos operativos que resulten claves para la actividad de la persona jurídica de cara a su desempeño y rentabilidad, tales como la dirección jurídica o la dirección financiera de la empresa. Estos se diseñan y adaptan </w:t>
      </w:r>
      <w:r w:rsidRPr="00DF7E02">
        <w:rPr>
          <w:rFonts w:ascii="Verdana" w:hAnsi="Verdana"/>
        </w:rPr>
        <w:lastRenderedPageBreak/>
        <w:t>al tamaño de la persona jurídica, requerimientos del mercado, a la entrada de insumos y recursos, y a la producción de los bienes o servicios específicos, de manera que pueden resultar diferentes e incluso dinámicos. En este sentido, corresponderá a cada proponente, atendiendo a sus circunstancias particulares, señalar cuáles son sus cargos del nivel directivo.</w:t>
      </w:r>
    </w:p>
    <w:p w14:paraId="35746904" w14:textId="77777777" w:rsidR="00707C1F" w:rsidRPr="00DF7E02" w:rsidRDefault="00707C1F" w:rsidP="00707C1F">
      <w:pPr>
        <w:pStyle w:val="Prrafodelista"/>
        <w:spacing w:after="432"/>
        <w:rPr>
          <w:rFonts w:ascii="Verdana" w:hAnsi="Verdana"/>
        </w:rPr>
      </w:pPr>
    </w:p>
    <w:p w14:paraId="4DED9B10" w14:textId="77777777" w:rsidR="00707C1F" w:rsidRPr="00DF7E02" w:rsidRDefault="00707C1F" w:rsidP="00707C1F">
      <w:pPr>
        <w:pStyle w:val="Prrafodelista"/>
        <w:numPr>
          <w:ilvl w:val="0"/>
          <w:numId w:val="10"/>
        </w:numPr>
        <w:spacing w:after="311" w:line="271" w:lineRule="auto"/>
        <w:ind w:right="63"/>
        <w:jc w:val="both"/>
        <w:rPr>
          <w:rFonts w:ascii="Verdana" w:hAnsi="Verdana"/>
        </w:rPr>
      </w:pPr>
      <w:r w:rsidRPr="00DF7E02">
        <w:rPr>
          <w:rFonts w:ascii="Verdana" w:hAnsi="Verdana"/>
        </w:rPr>
        <w:t xml:space="preserve">Así las cosas, para la aplicación de la definición en comento debe tenerse en cuenta únicamente a los empleos del nivel directivo, lo que excluye a los demás empleos de la planta de personal, como por ejemplo los operativos. </w:t>
      </w:r>
    </w:p>
    <w:p w14:paraId="2F62A222" w14:textId="77777777" w:rsidR="00707C1F" w:rsidRPr="00DF7E02" w:rsidRDefault="00707C1F" w:rsidP="00707C1F">
      <w:pPr>
        <w:pStyle w:val="Prrafodelista"/>
        <w:rPr>
          <w:rFonts w:ascii="Verdana" w:hAnsi="Verdana"/>
        </w:rPr>
      </w:pPr>
    </w:p>
    <w:p w14:paraId="75F2CCB6" w14:textId="77777777" w:rsidR="00707C1F" w:rsidRPr="00DF7E02" w:rsidRDefault="00707C1F" w:rsidP="00707C1F">
      <w:pPr>
        <w:pStyle w:val="Prrafodelista"/>
        <w:numPr>
          <w:ilvl w:val="0"/>
          <w:numId w:val="10"/>
        </w:numPr>
        <w:spacing w:after="311" w:line="271" w:lineRule="auto"/>
        <w:ind w:right="63"/>
        <w:jc w:val="both"/>
        <w:rPr>
          <w:rFonts w:ascii="Verdana" w:hAnsi="Verdana"/>
        </w:rPr>
      </w:pPr>
      <w:r w:rsidRPr="00DF7E02">
        <w:rPr>
          <w:rFonts w:ascii="Verdana" w:hAnsi="Verdana"/>
        </w:rPr>
        <w:t>Por otro lado, no basta con que los cargos directivos en una sociedad sean mayoritariamente de mujeres para que sea considerada como un emprendimiento o empresa a las que se refiere la norma, sino que, además es necesario que dicha vinculación mayoritaria de mujeres en los empleos del nivel directivo de la persona jurídica se haya mantenido como mínimo durante el periodo de un (1) año, contado a partir de la fecha de cierre del proceso de selección.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(1) año.</w:t>
      </w:r>
    </w:p>
    <w:p w14:paraId="7EA46490" w14:textId="77777777" w:rsidR="00707C1F" w:rsidRPr="00DF7E02" w:rsidRDefault="00707C1F" w:rsidP="00707C1F">
      <w:pPr>
        <w:pStyle w:val="Prrafodelista"/>
        <w:ind w:right="63"/>
        <w:rPr>
          <w:rFonts w:ascii="Verdana" w:hAnsi="Verdana"/>
        </w:rPr>
      </w:pPr>
    </w:p>
    <w:p w14:paraId="03B2F1A9" w14:textId="77777777" w:rsidR="00707C1F" w:rsidRPr="00DF7E02" w:rsidRDefault="00707C1F" w:rsidP="00707C1F">
      <w:pPr>
        <w:pStyle w:val="Prrafodelista"/>
        <w:numPr>
          <w:ilvl w:val="0"/>
          <w:numId w:val="10"/>
        </w:numPr>
        <w:spacing w:after="311" w:line="271" w:lineRule="auto"/>
        <w:ind w:right="63"/>
        <w:jc w:val="both"/>
        <w:rPr>
          <w:rFonts w:ascii="Verdana" w:hAnsi="Verdana"/>
        </w:rPr>
      </w:pPr>
      <w:r w:rsidRPr="00DF7E02">
        <w:rPr>
          <w:rFonts w:ascii="Verdana" w:hAnsi="Verdana"/>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debe presentarse acompañada de copia de los respectivos documentos de identidad, copia de los contratos de trabajo o certificación laboral con </w:t>
      </w:r>
      <w:r w:rsidRPr="00DF7E02">
        <w:rPr>
          <w:rFonts w:ascii="Verdana" w:hAnsi="Verdana"/>
        </w:rPr>
        <w:lastRenderedPageBreak/>
        <w:t xml:space="preserve">funciones, así como el certificado de aportes a seguridad social del último año en el que se demuestren los pagos realizados por el empleador. </w:t>
      </w:r>
    </w:p>
    <w:p w14:paraId="02ED91ED" w14:textId="77777777" w:rsidR="00707C1F" w:rsidRPr="00DF7E02" w:rsidRDefault="00707C1F" w:rsidP="00707C1F">
      <w:pPr>
        <w:pStyle w:val="Prrafodelista"/>
        <w:rPr>
          <w:rFonts w:ascii="Verdana" w:hAnsi="Verdana"/>
        </w:rPr>
      </w:pPr>
    </w:p>
    <w:p w14:paraId="6F03E70B" w14:textId="77777777" w:rsidR="00707C1F" w:rsidRPr="00DF7E02" w:rsidRDefault="00707C1F" w:rsidP="00707C1F">
      <w:pPr>
        <w:pStyle w:val="Prrafodelista"/>
        <w:numPr>
          <w:ilvl w:val="0"/>
          <w:numId w:val="10"/>
        </w:numPr>
        <w:spacing w:after="4" w:line="271" w:lineRule="auto"/>
        <w:ind w:right="63"/>
        <w:jc w:val="both"/>
        <w:rPr>
          <w:rFonts w:ascii="Verdana" w:hAnsi="Verdana"/>
        </w:rPr>
      </w:pPr>
      <w:r w:rsidRPr="00DF7E02">
        <w:rPr>
          <w:rFonts w:ascii="Verdana" w:hAnsi="Verdana"/>
        </w:rPr>
        <w:t>Conviene destacar que los documentos a los que se refiere la norma son, por regla general, certificaciones emitidas bajo la gravedad del juramento. Por tanto, teniendo en cuenta i) que el reglamento define los documentos que demuestran las circunstancias reguladas en los artículos 2.2.1.2.4.2.14. y  2.2.1.2.4.2.15. ,  ii ) que las entidades estatales deben presumir la buena fe, como lo ordena el artículo 83 de la Constitución Política, y que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03C388D0" w14:textId="77777777" w:rsidR="00707C1F" w:rsidRPr="00DF7E02" w:rsidRDefault="00707C1F" w:rsidP="00707C1F">
      <w:pPr>
        <w:pStyle w:val="Prrafodelista"/>
        <w:spacing w:after="4"/>
        <w:ind w:right="63"/>
        <w:rPr>
          <w:rFonts w:ascii="Verdana" w:hAnsi="Verdana"/>
        </w:rPr>
      </w:pPr>
    </w:p>
    <w:p w14:paraId="7F6448AF" w14:textId="77777777" w:rsidR="00707C1F" w:rsidRPr="00DF7E02" w:rsidRDefault="00707C1F" w:rsidP="00707C1F">
      <w:pPr>
        <w:pStyle w:val="Prrafodelista"/>
        <w:numPr>
          <w:ilvl w:val="0"/>
          <w:numId w:val="10"/>
        </w:numPr>
        <w:spacing w:after="311" w:line="271" w:lineRule="auto"/>
        <w:ind w:left="357" w:hanging="357"/>
        <w:jc w:val="both"/>
        <w:rPr>
          <w:rFonts w:ascii="Verdana" w:hAnsi="Verdana"/>
        </w:rPr>
      </w:pPr>
      <w:r w:rsidRPr="00DF7E02">
        <w:rPr>
          <w:rFonts w:ascii="Verdana" w:hAnsi="Verdana"/>
        </w:rPr>
        <w:t>Conforme a lo anterior, en el evento en que un proponente presente la referida certificación con los respectivos soportes, pero se encuentre que los mismos no acreditan las condiciones descritas en el numeral 2 del artículo 2.2.1.2.4.2.14, la entidad deberá tener por no acreditada la condición de emprendimiento o empresa de mujeres y, en consecuencia, abstenerse de aplicar criterios diferenciales en favor de este oferente.</w:t>
      </w:r>
    </w:p>
    <w:p w14:paraId="45455976" w14:textId="77777777" w:rsidR="00707C1F" w:rsidRPr="00DF7E02" w:rsidRDefault="00707C1F" w:rsidP="00707C1F">
      <w:pPr>
        <w:pStyle w:val="Prrafodelista"/>
        <w:ind w:left="567" w:right="567"/>
        <w:rPr>
          <w:rFonts w:ascii="Verdana" w:hAnsi="Verdana"/>
        </w:rPr>
      </w:pPr>
    </w:p>
    <w:p w14:paraId="1085CF53" w14:textId="77777777" w:rsidR="00707C1F" w:rsidRPr="00593A5F" w:rsidRDefault="00707C1F" w:rsidP="00707C1F">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786F5341" w14:textId="77777777" w:rsidR="00707C1F" w:rsidRPr="00593A5F" w:rsidRDefault="00707C1F" w:rsidP="00707C1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07C1F" w:rsidRPr="00DF7E02" w14:paraId="68ECF7E7" w14:textId="77777777" w:rsidTr="00063619">
        <w:trPr>
          <w:trHeight w:val="870"/>
        </w:trPr>
        <w:tc>
          <w:tcPr>
            <w:tcW w:w="8647" w:type="dxa"/>
          </w:tcPr>
          <w:p w14:paraId="61D9D5FA" w14:textId="77777777" w:rsidR="00707C1F" w:rsidRPr="00B34BA4" w:rsidRDefault="00707C1F" w:rsidP="00707C1F">
            <w:pPr>
              <w:pStyle w:val="Prrafodelista"/>
              <w:numPr>
                <w:ilvl w:val="0"/>
                <w:numId w:val="11"/>
              </w:numPr>
              <w:jc w:val="both"/>
              <w:rPr>
                <w:rFonts w:ascii="Verdana" w:hAnsi="Verdana"/>
                <w:color w:val="0070C0"/>
              </w:rPr>
            </w:pPr>
            <w:r w:rsidRPr="00B34BA4">
              <w:rPr>
                <w:rFonts w:ascii="Verdana" w:hAnsi="Verdana"/>
              </w:rPr>
              <w:t xml:space="preserve">Decreto 1082 de 2015 Articulo 2.2.1.2.4.2.14. Disponible en: </w:t>
            </w:r>
            <w:hyperlink r:id="rId13">
              <w:r w:rsidRPr="00B34BA4">
                <w:rPr>
                  <w:rStyle w:val="Hipervnculo"/>
                  <w:rFonts w:ascii="Verdana" w:hAnsi="Verdana"/>
                  <w:color w:val="0070C0"/>
                </w:rPr>
                <w:t>https</w:t>
              </w:r>
            </w:hyperlink>
            <w:hyperlink r:id="rId14">
              <w:r w:rsidRPr="00B34BA4">
                <w:rPr>
                  <w:rStyle w:val="Hipervnculo"/>
                  <w:rFonts w:ascii="Verdana" w:hAnsi="Verdana"/>
                  <w:color w:val="0070C0"/>
                </w:rPr>
                <w:t>:/</w:t>
              </w:r>
            </w:hyperlink>
          </w:p>
          <w:p w14:paraId="7CF2D147" w14:textId="77777777" w:rsidR="00707C1F" w:rsidRPr="00B34BA4" w:rsidRDefault="00707C1F" w:rsidP="00063619">
            <w:pPr>
              <w:pStyle w:val="Prrafodelista"/>
              <w:rPr>
                <w:rFonts w:ascii="Verdana" w:hAnsi="Verdana"/>
                <w:color w:val="0070C0"/>
              </w:rPr>
            </w:pPr>
            <w:hyperlink r:id="rId15">
              <w:r w:rsidRPr="00B34BA4">
                <w:rPr>
                  <w:rStyle w:val="Hipervnculo"/>
                  <w:rFonts w:ascii="Verdana" w:hAnsi="Verdana"/>
                  <w:color w:val="0070C0"/>
                </w:rPr>
                <w:t>/relatoria.colombiacompra.gov.co/normativa/decreto-1082-de2015/</w:t>
              </w:r>
            </w:hyperlink>
          </w:p>
          <w:p w14:paraId="0A537B7F" w14:textId="77777777" w:rsidR="00707C1F" w:rsidRPr="00B34BA4" w:rsidRDefault="00707C1F" w:rsidP="00063619">
            <w:pPr>
              <w:pStyle w:val="Prrafodelista"/>
              <w:rPr>
                <w:rFonts w:ascii="Verdana" w:hAnsi="Verdana"/>
                <w:color w:val="0070C0"/>
              </w:rPr>
            </w:pPr>
          </w:p>
          <w:p w14:paraId="3FB55D6D" w14:textId="77777777" w:rsidR="00707C1F" w:rsidRPr="00B34BA4" w:rsidRDefault="00707C1F" w:rsidP="00707C1F">
            <w:pPr>
              <w:pStyle w:val="Prrafodelista"/>
              <w:numPr>
                <w:ilvl w:val="0"/>
                <w:numId w:val="11"/>
              </w:numPr>
              <w:jc w:val="both"/>
              <w:rPr>
                <w:rFonts w:ascii="Verdana" w:hAnsi="Verdana"/>
                <w:color w:val="0070C0"/>
              </w:rPr>
            </w:pPr>
            <w:r w:rsidRPr="00B34BA4">
              <w:rPr>
                <w:rFonts w:ascii="Verdana" w:hAnsi="Verdana"/>
              </w:rPr>
              <w:t xml:space="preserve">Ley 2069 de 2020  – Artículo 32 Disponible en: </w:t>
            </w:r>
            <w:hyperlink r:id="rId16">
              <w:r w:rsidRPr="00B34BA4">
                <w:rPr>
                  <w:rStyle w:val="Hipervnculo"/>
                  <w:rFonts w:ascii="Verdana" w:hAnsi="Verdana"/>
                  <w:color w:val="0070C0"/>
                </w:rPr>
                <w:t>https://relatoria.co</w:t>
              </w:r>
            </w:hyperlink>
            <w:hyperlink r:id="rId17">
              <w:r w:rsidRPr="00B34BA4">
                <w:rPr>
                  <w:rStyle w:val="Hipervnculo"/>
                  <w:rFonts w:ascii="Verdana" w:hAnsi="Verdana"/>
                  <w:color w:val="0070C0"/>
                </w:rPr>
                <w:t xml:space="preserve">lo </w:t>
              </w:r>
            </w:hyperlink>
            <w:hyperlink r:id="rId18">
              <w:r w:rsidRPr="00B34BA4">
                <w:rPr>
                  <w:rStyle w:val="Hipervnculo"/>
                  <w:rFonts w:ascii="Verdana" w:hAnsi="Verdana"/>
                  <w:color w:val="0070C0"/>
                </w:rPr>
                <w:t>mbiacompra.gov.co/normativa/ley-2069-de-2020/</w:t>
              </w:r>
            </w:hyperlink>
          </w:p>
          <w:p w14:paraId="2BCDF178" w14:textId="77777777" w:rsidR="00707C1F" w:rsidRPr="00B34BA4" w:rsidRDefault="00707C1F" w:rsidP="00063619">
            <w:pPr>
              <w:pStyle w:val="Prrafodelista"/>
              <w:rPr>
                <w:rFonts w:ascii="Verdana" w:hAnsi="Verdana"/>
              </w:rPr>
            </w:pPr>
          </w:p>
          <w:p w14:paraId="16B55E64" w14:textId="77777777" w:rsidR="00707C1F" w:rsidRPr="00B34BA4" w:rsidRDefault="00707C1F" w:rsidP="00707C1F">
            <w:pPr>
              <w:pStyle w:val="Prrafodelista"/>
              <w:numPr>
                <w:ilvl w:val="0"/>
                <w:numId w:val="11"/>
              </w:numPr>
              <w:jc w:val="both"/>
              <w:rPr>
                <w:rFonts w:ascii="Verdana" w:hAnsi="Verdana"/>
                <w:color w:val="0070C0"/>
              </w:rPr>
            </w:pPr>
            <w:r w:rsidRPr="00B34BA4">
              <w:rPr>
                <w:rFonts w:ascii="Verdana" w:hAnsi="Verdana"/>
              </w:rPr>
              <w:lastRenderedPageBreak/>
              <w:t xml:space="preserve">Decreto  1860  </w:t>
            </w:r>
            <w:r>
              <w:rPr>
                <w:rFonts w:ascii="Verdana" w:hAnsi="Verdana"/>
              </w:rPr>
              <w:t>de</w:t>
            </w:r>
            <w:r w:rsidRPr="00B34BA4">
              <w:rPr>
                <w:rFonts w:ascii="Verdana" w:hAnsi="Verdana"/>
              </w:rPr>
              <w:t xml:space="preserve">  2021 Disponible en: </w:t>
            </w:r>
            <w:hyperlink r:id="rId19">
              <w:r w:rsidRPr="00B34BA4">
                <w:rPr>
                  <w:rStyle w:val="Hipervnculo"/>
                  <w:rFonts w:ascii="Verdana" w:hAnsi="Verdana"/>
                  <w:color w:val="0070C0"/>
                </w:rPr>
                <w:t xml:space="preserve"> </w:t>
              </w:r>
            </w:hyperlink>
            <w:hyperlink r:id="rId20">
              <w:r w:rsidRPr="00B34BA4">
                <w:rPr>
                  <w:rStyle w:val="Hipervnculo"/>
                  <w:rFonts w:ascii="Verdana" w:hAnsi="Verdana"/>
                  <w:color w:val="0070C0"/>
                </w:rPr>
                <w:t xml:space="preserve">https://relatoria.colombiacomp </w:t>
              </w:r>
            </w:hyperlink>
            <w:hyperlink r:id="rId21">
              <w:r w:rsidRPr="00B34BA4">
                <w:rPr>
                  <w:rStyle w:val="Hipervnculo"/>
                  <w:rFonts w:ascii="Verdana" w:hAnsi="Verdana"/>
                  <w:color w:val="0070C0"/>
                </w:rPr>
                <w:t>ra.gov.co/normativa/decreto-1860-de-2021/</w:t>
              </w:r>
            </w:hyperlink>
          </w:p>
          <w:p w14:paraId="46F2D4FB" w14:textId="77777777" w:rsidR="00707C1F" w:rsidRPr="00B34BA4" w:rsidRDefault="00707C1F" w:rsidP="00063619">
            <w:pPr>
              <w:pStyle w:val="Prrafodelista"/>
              <w:rPr>
                <w:rFonts w:ascii="Verdana" w:hAnsi="Verdana"/>
              </w:rPr>
            </w:pPr>
          </w:p>
          <w:p w14:paraId="6CE172EE" w14:textId="77777777" w:rsidR="00707C1F" w:rsidRPr="00B34BA4" w:rsidRDefault="00707C1F" w:rsidP="00707C1F">
            <w:pPr>
              <w:pStyle w:val="Prrafodelista"/>
              <w:numPr>
                <w:ilvl w:val="0"/>
                <w:numId w:val="11"/>
              </w:numPr>
              <w:jc w:val="both"/>
              <w:rPr>
                <w:rFonts w:ascii="Verdana" w:hAnsi="Verdana"/>
              </w:rPr>
            </w:pPr>
            <w:r w:rsidRPr="00B34BA4">
              <w:rPr>
                <w:rFonts w:ascii="Verdana" w:hAnsi="Verdana"/>
              </w:rPr>
              <w:t xml:space="preserve">Ley </w:t>
            </w:r>
            <w:r w:rsidRPr="00B34BA4">
              <w:rPr>
                <w:rFonts w:ascii="Verdana" w:hAnsi="Verdana"/>
              </w:rPr>
              <w:tab/>
              <w:t xml:space="preserve">222 </w:t>
            </w:r>
            <w:r w:rsidRPr="00B34BA4">
              <w:rPr>
                <w:rFonts w:ascii="Verdana" w:hAnsi="Verdana"/>
              </w:rPr>
              <w:tab/>
              <w:t xml:space="preserve">de </w:t>
            </w:r>
            <w:r w:rsidRPr="00B34BA4">
              <w:rPr>
                <w:rFonts w:ascii="Verdana" w:hAnsi="Verdana"/>
              </w:rPr>
              <w:tab/>
              <w:t xml:space="preserve">1995. Artículo 22. Disponible </w:t>
            </w:r>
            <w:r w:rsidRPr="00B34BA4">
              <w:rPr>
                <w:rFonts w:ascii="Verdana" w:hAnsi="Verdana"/>
              </w:rPr>
              <w:tab/>
              <w:t xml:space="preserve">en:  </w:t>
            </w:r>
            <w:hyperlink r:id="rId22">
              <w:r w:rsidRPr="00B34BA4">
                <w:rPr>
                  <w:rStyle w:val="Hipervnculo"/>
                  <w:rFonts w:ascii="Verdana" w:hAnsi="Verdana"/>
                  <w:color w:val="0070C0"/>
                </w:rPr>
                <w:t>https://relatoria.colombiacompra.gov.co/normativa/ley-222-de</w:t>
              </w:r>
            </w:hyperlink>
            <w:hyperlink r:id="rId23">
              <w:r w:rsidRPr="00B34BA4">
                <w:rPr>
                  <w:rStyle w:val="Hipervnculo"/>
                  <w:rFonts w:ascii="Verdana" w:hAnsi="Verdana"/>
                  <w:color w:val="0070C0"/>
                </w:rPr>
                <w:t>1995/</w:t>
              </w:r>
            </w:hyperlink>
          </w:p>
          <w:p w14:paraId="2002F4D2" w14:textId="77777777" w:rsidR="00707C1F" w:rsidRPr="00B34BA4" w:rsidRDefault="00707C1F" w:rsidP="00063619">
            <w:pPr>
              <w:pStyle w:val="Prrafodelista"/>
              <w:rPr>
                <w:rFonts w:ascii="Verdana" w:hAnsi="Verdana"/>
              </w:rPr>
            </w:pPr>
          </w:p>
          <w:p w14:paraId="2C76E68B" w14:textId="77777777" w:rsidR="00707C1F" w:rsidRPr="00B34BA4" w:rsidRDefault="00707C1F" w:rsidP="00707C1F">
            <w:pPr>
              <w:pStyle w:val="Prrafodelista"/>
              <w:numPr>
                <w:ilvl w:val="0"/>
                <w:numId w:val="11"/>
              </w:numPr>
              <w:jc w:val="both"/>
              <w:rPr>
                <w:rFonts w:ascii="Verdana" w:hAnsi="Verdana"/>
              </w:rPr>
            </w:pPr>
            <w:r w:rsidRPr="00B34BA4">
              <w:rPr>
                <w:rFonts w:ascii="Verdana" w:hAnsi="Verdana"/>
              </w:rPr>
              <w:t xml:space="preserve">Constitución </w:t>
            </w:r>
            <w:r w:rsidRPr="00B34BA4">
              <w:rPr>
                <w:rFonts w:ascii="Verdana" w:hAnsi="Verdana"/>
              </w:rPr>
              <w:tab/>
              <w:t xml:space="preserve">Política. </w:t>
            </w:r>
            <w:r w:rsidRPr="00B34BA4">
              <w:rPr>
                <w:rFonts w:ascii="Verdana" w:hAnsi="Verdana"/>
              </w:rPr>
              <w:tab/>
              <w:t xml:space="preserve"> Artículo </w:t>
            </w:r>
            <w:r w:rsidRPr="00B34BA4">
              <w:rPr>
                <w:rFonts w:ascii="Verdana" w:hAnsi="Verdana"/>
              </w:rPr>
              <w:tab/>
              <w:t xml:space="preserve"> </w:t>
            </w:r>
            <w:r w:rsidRPr="00B34BA4">
              <w:rPr>
                <w:rFonts w:ascii="Verdana" w:hAnsi="Verdana"/>
              </w:rPr>
              <w:tab/>
              <w:t xml:space="preserve">83. </w:t>
            </w:r>
            <w:r w:rsidRPr="00B34BA4">
              <w:rPr>
                <w:rFonts w:ascii="Verdana" w:hAnsi="Verdana"/>
              </w:rPr>
              <w:tab/>
              <w:t>Disponible en:</w:t>
            </w:r>
            <w:hyperlink r:id="rId24" w:history="1">
              <w:r w:rsidRPr="00B34BA4">
                <w:rPr>
                  <w:rStyle w:val="Hipervnculo"/>
                  <w:rFonts w:ascii="Verdana" w:hAnsi="Verdana"/>
                  <w:color w:val="0070C0"/>
                </w:rPr>
                <w:t>https://relatoria.colombiacompra.gov.co/normativa/constitucion</w:t>
              </w:r>
            </w:hyperlink>
            <w:hyperlink r:id="rId25">
              <w:r w:rsidRPr="00B34BA4">
                <w:rPr>
                  <w:rStyle w:val="Hipervnculo"/>
                  <w:rFonts w:ascii="Verdana" w:hAnsi="Verdana"/>
                  <w:color w:val="0070C0"/>
                </w:rPr>
                <w:t>politica-de-colombia/</w:t>
              </w:r>
            </w:hyperlink>
          </w:p>
          <w:p w14:paraId="68773C8F" w14:textId="77777777" w:rsidR="00707C1F" w:rsidRPr="00B34BA4" w:rsidRDefault="00707C1F" w:rsidP="00063619">
            <w:pPr>
              <w:pStyle w:val="Prrafodelista"/>
              <w:rPr>
                <w:rFonts w:ascii="Verdana" w:hAnsi="Verdana"/>
              </w:rPr>
            </w:pPr>
          </w:p>
          <w:p w14:paraId="415B2087" w14:textId="77777777" w:rsidR="00707C1F" w:rsidRPr="00B34BA4" w:rsidRDefault="00707C1F" w:rsidP="00707C1F">
            <w:pPr>
              <w:pStyle w:val="Prrafodelista"/>
              <w:numPr>
                <w:ilvl w:val="0"/>
                <w:numId w:val="11"/>
              </w:numPr>
              <w:jc w:val="both"/>
              <w:rPr>
                <w:rFonts w:ascii="Verdana" w:hAnsi="Verdana"/>
              </w:rPr>
            </w:pPr>
            <w:r w:rsidRPr="00B34BA4">
              <w:rPr>
                <w:rFonts w:ascii="Verdana" w:hAnsi="Verdana"/>
              </w:rPr>
              <w:t xml:space="preserve">Ley 80 de 1993 los numerales 1 y 2 del artículo 25.  Disponible en:  </w:t>
            </w:r>
            <w:hyperlink r:id="rId26">
              <w:r w:rsidRPr="00B34BA4">
                <w:rPr>
                  <w:rStyle w:val="Hipervnculo"/>
                  <w:rFonts w:ascii="Verdana" w:hAnsi="Verdana"/>
                  <w:color w:val="0070C0"/>
                </w:rPr>
                <w:t>https://relatoria.colombiacompra.gov.co/normativa/ley-80-de-1993/</w:t>
              </w:r>
            </w:hyperlink>
          </w:p>
          <w:p w14:paraId="5FFBA811" w14:textId="77777777" w:rsidR="00707C1F" w:rsidRPr="00B34BA4" w:rsidRDefault="00707C1F" w:rsidP="00063619">
            <w:pPr>
              <w:pStyle w:val="Prrafodelista"/>
              <w:rPr>
                <w:rFonts w:ascii="Verdana" w:hAnsi="Verdana"/>
              </w:rPr>
            </w:pPr>
          </w:p>
          <w:p w14:paraId="546B89E3" w14:textId="77777777" w:rsidR="00707C1F" w:rsidRPr="00B34BA4" w:rsidRDefault="00707C1F" w:rsidP="00063619">
            <w:pPr>
              <w:pStyle w:val="Prrafodelista"/>
              <w:rPr>
                <w:rFonts w:ascii="Verdana" w:hAnsi="Verdana"/>
              </w:rPr>
            </w:pPr>
          </w:p>
          <w:p w14:paraId="3C95B104" w14:textId="77777777" w:rsidR="00707C1F" w:rsidRPr="00B34BA4" w:rsidRDefault="00707C1F" w:rsidP="00707C1F">
            <w:pPr>
              <w:pStyle w:val="Prrafodelista"/>
              <w:numPr>
                <w:ilvl w:val="0"/>
                <w:numId w:val="11"/>
              </w:numPr>
              <w:jc w:val="both"/>
              <w:rPr>
                <w:rFonts w:ascii="Verdana" w:hAnsi="Verdana"/>
              </w:rPr>
            </w:pPr>
            <w:r w:rsidRPr="00B34BA4">
              <w:rPr>
                <w:rFonts w:ascii="Verdana" w:hAnsi="Verdana"/>
              </w:rPr>
              <w:t xml:space="preserve">Código </w:t>
            </w:r>
            <w:r w:rsidRPr="00B34BA4">
              <w:rPr>
                <w:rFonts w:ascii="Verdana" w:hAnsi="Verdana"/>
              </w:rPr>
              <w:tab/>
              <w:t xml:space="preserve">de </w:t>
            </w:r>
            <w:r w:rsidRPr="00B34BA4">
              <w:rPr>
                <w:rFonts w:ascii="Verdana" w:hAnsi="Verdana"/>
              </w:rPr>
              <w:tab/>
              <w:t xml:space="preserve">Comercio. </w:t>
            </w:r>
            <w:r w:rsidRPr="00B34BA4">
              <w:rPr>
                <w:rFonts w:ascii="Verdana" w:hAnsi="Verdana"/>
              </w:rPr>
              <w:tab/>
              <w:t xml:space="preserve">Artículo </w:t>
            </w:r>
            <w:r w:rsidRPr="00B34BA4">
              <w:rPr>
                <w:rFonts w:ascii="Verdana" w:hAnsi="Verdana"/>
              </w:rPr>
              <w:tab/>
              <w:t xml:space="preserve">196 . </w:t>
            </w:r>
            <w:r w:rsidRPr="00B34BA4">
              <w:rPr>
                <w:rFonts w:ascii="Verdana" w:hAnsi="Verdana"/>
              </w:rPr>
              <w:tab/>
              <w:t xml:space="preserve">Disponible en:  </w:t>
            </w:r>
            <w:hyperlink r:id="rId27" w:history="1">
              <w:r w:rsidRPr="00B34BA4">
                <w:rPr>
                  <w:rStyle w:val="Hipervnculo"/>
                  <w:rFonts w:ascii="Verdana" w:hAnsi="Verdana"/>
                  <w:color w:val="0070C0"/>
                </w:rPr>
                <w:t>https://relatoria.colombiacompra.gov.co/normativa/codigo-de</w:t>
              </w:r>
            </w:hyperlink>
            <w:hyperlink r:id="rId28">
              <w:r w:rsidRPr="00B34BA4">
                <w:rPr>
                  <w:rStyle w:val="Hipervnculo"/>
                  <w:rFonts w:ascii="Verdana" w:hAnsi="Verdana"/>
                  <w:color w:val="0070C0"/>
                </w:rPr>
                <w:t>comercio-decreto-410-de-1971/</w:t>
              </w:r>
            </w:hyperlink>
          </w:p>
          <w:p w14:paraId="55B4C157" w14:textId="77777777" w:rsidR="00707C1F" w:rsidRPr="00B34BA4" w:rsidRDefault="00707C1F" w:rsidP="00063619">
            <w:pPr>
              <w:pStyle w:val="Prrafodelista"/>
              <w:rPr>
                <w:rFonts w:ascii="Verdana" w:hAnsi="Verdana"/>
              </w:rPr>
            </w:pPr>
          </w:p>
          <w:p w14:paraId="126A0D1C" w14:textId="77777777" w:rsidR="00707C1F" w:rsidRPr="00B34BA4" w:rsidRDefault="00707C1F" w:rsidP="00707C1F">
            <w:pPr>
              <w:pStyle w:val="Prrafodelista"/>
              <w:numPr>
                <w:ilvl w:val="0"/>
                <w:numId w:val="11"/>
              </w:numPr>
              <w:jc w:val="both"/>
              <w:rPr>
                <w:rFonts w:ascii="Verdana" w:hAnsi="Verdana"/>
                <w:color w:val="0070C0"/>
              </w:rPr>
            </w:pPr>
            <w:r w:rsidRPr="00B34BA4">
              <w:rPr>
                <w:rFonts w:ascii="Verdana" w:hAnsi="Verdana"/>
              </w:rPr>
              <w:t xml:space="preserve">Código Sustantivo del Trabajo. Disponible en: </w:t>
            </w:r>
            <w:hyperlink r:id="rId29" w:history="1">
              <w:r w:rsidRPr="00B34BA4">
                <w:rPr>
                  <w:rStyle w:val="Hipervnculo"/>
                  <w:rFonts w:ascii="Verdana" w:hAnsi="Verdana"/>
                  <w:color w:val="0070C0"/>
                </w:rPr>
                <w:t>https://relatoria.colombiacompra.gov.co/normativa/codigo</w:t>
              </w:r>
            </w:hyperlink>
            <w:hyperlink r:id="rId30">
              <w:r w:rsidRPr="00B34BA4">
                <w:rPr>
                  <w:rFonts w:ascii="Verdana" w:hAnsi="Verdana"/>
                  <w:color w:val="0070C0"/>
                  <w:u w:val="single" w:color="0000FF"/>
                </w:rPr>
                <w:t>sustantivo-del-trabajo/</w:t>
              </w:r>
            </w:hyperlink>
          </w:p>
          <w:p w14:paraId="0985B13C" w14:textId="77777777" w:rsidR="00707C1F" w:rsidRPr="00DF7E02" w:rsidRDefault="00707C1F" w:rsidP="00063619">
            <w:pPr>
              <w:widowControl w:val="0"/>
              <w:autoSpaceDE w:val="0"/>
              <w:autoSpaceDN w:val="0"/>
              <w:spacing w:after="120" w:line="276" w:lineRule="auto"/>
              <w:ind w:left="360"/>
              <w:jc w:val="both"/>
              <w:rPr>
                <w:rFonts w:ascii="Verdana" w:hAnsi="Verdana" w:cs="Arial"/>
              </w:rPr>
            </w:pPr>
          </w:p>
        </w:tc>
      </w:tr>
    </w:tbl>
    <w:p w14:paraId="65EF4018" w14:textId="77777777" w:rsidR="00707C1F" w:rsidRPr="00593A5F" w:rsidRDefault="00707C1F" w:rsidP="00707C1F">
      <w:pPr>
        <w:widowControl w:val="0"/>
        <w:autoSpaceDE w:val="0"/>
        <w:autoSpaceDN w:val="0"/>
        <w:spacing w:after="0" w:line="276" w:lineRule="auto"/>
        <w:jc w:val="both"/>
        <w:rPr>
          <w:rFonts w:ascii="Verdana" w:hAnsi="Verdana" w:cs="Arial"/>
        </w:rPr>
      </w:pPr>
    </w:p>
    <w:p w14:paraId="267AB721" w14:textId="77777777" w:rsidR="00707C1F" w:rsidRPr="00593A5F" w:rsidRDefault="00707C1F" w:rsidP="00707C1F">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CD041BB" w14:textId="77777777" w:rsidR="00707C1F" w:rsidRPr="00593A5F" w:rsidRDefault="00707C1F" w:rsidP="00707C1F">
      <w:pPr>
        <w:widowControl w:val="0"/>
        <w:autoSpaceDE w:val="0"/>
        <w:autoSpaceDN w:val="0"/>
        <w:spacing w:after="0" w:line="276" w:lineRule="auto"/>
        <w:jc w:val="both"/>
        <w:rPr>
          <w:rFonts w:ascii="Verdana" w:hAnsi="Verdana" w:cs="Arial"/>
        </w:rPr>
      </w:pPr>
    </w:p>
    <w:p w14:paraId="6C768D7B" w14:textId="77777777" w:rsidR="00707C1F" w:rsidRDefault="00707C1F" w:rsidP="00707C1F">
      <w:pPr>
        <w:spacing w:after="632" w:line="276" w:lineRule="auto"/>
        <w:ind w:left="-5"/>
        <w:jc w:val="both"/>
        <w:rPr>
          <w:rFonts w:ascii="Verdana" w:hAnsi="Verdana"/>
        </w:rPr>
      </w:pPr>
      <w:r w:rsidRPr="00DC4821">
        <w:rPr>
          <w:rFonts w:ascii="Verdana" w:hAnsi="Verdana"/>
        </w:rPr>
        <w:t xml:space="preserve">La Agencia Nacional de Contratación Pública  – Colombia Compra Eficiente se ha pronunciado, en términos generales, sobre el contenido de la Ley de Emprendimiento en diferentes conceptos, refiriéndose, especialmente, a lo dispuesto en el artículo 32 de dicha ley, alusivo a los criterios diferenciales para emprendimientos y empresas de mujeres, en los conceptos, C-029 de 21 de febrero de 2021, C-037 del 26 de febrero de 2021, C-141 del 8 de abril de 2021, C-114 del 13 de abril de 2015, C-031 del 1 de marzo de 2022, C-476 del 21 de junio de 2022, C-429 del 18 de julio de 2022, C-438 del 11 de julio de 2022, C- 454 del 13 de julio de 2022, C-476 del 21 de junio de 2022, C-479 del 26 de julio de 2022, C-504 del 8 de agosto de 2022, C-522 del 16 de agosto de 2022, </w:t>
      </w:r>
      <w:r w:rsidRPr="00DC4821">
        <w:rPr>
          <w:rFonts w:ascii="Verdana" w:hAnsi="Verdana"/>
        </w:rPr>
        <w:lastRenderedPageBreak/>
        <w:t>C-533 de 25 de agosto de 2022, C-587 del 21 de septiembre de 2022, C-715 del 4 de noviembre de 2022, C-781 del 25 de noviembre de 2022, C-152 del 28 de septiembre de 2023 ,  C -156 del 23 de agosto de 2024 , C- 391 del 2 de septiembre de 2024, C-401 del 9 de noviembre de 2024</w:t>
      </w:r>
      <w:r>
        <w:rPr>
          <w:rFonts w:ascii="Verdana" w:hAnsi="Verdana"/>
        </w:rPr>
        <w:t>.</w:t>
      </w:r>
      <w:r w:rsidRPr="0071334E">
        <w:rPr>
          <w:rStyle w:val="normaltextrun"/>
          <w:rFonts w:ascii="Verdana" w:hAnsi="Verdana" w:cs="Arial"/>
          <w:color w:val="000000" w:themeColor="text1"/>
          <w:shd w:val="clear" w:color="auto" w:fill="FFFFFF"/>
          <w:lang w:val="es-ES"/>
        </w:rPr>
        <w:t xml:space="preserve">También </w:t>
      </w:r>
      <w:r>
        <w:rPr>
          <w:rFonts w:ascii="Verdana" w:hAnsi="Verdana" w:cs="Arial"/>
          <w:color w:val="000000" w:themeColor="text1"/>
          <w:shd w:val="clear" w:color="auto" w:fill="FFFFFF"/>
        </w:rPr>
        <w:t>l</w:t>
      </w:r>
      <w:r w:rsidRPr="00F8442B">
        <w:rPr>
          <w:rFonts w:ascii="Verdana" w:hAnsi="Verdana" w:cs="Arial"/>
          <w:color w:val="000000" w:themeColor="text1"/>
          <w:shd w:val="clear" w:color="auto" w:fill="FFFFFF"/>
        </w:rPr>
        <w:t xml:space="preserve">e invitamos a revisar la </w:t>
      </w:r>
      <w:r>
        <w:rPr>
          <w:rFonts w:ascii="Verdana" w:hAnsi="Verdana" w:cs="Arial"/>
          <w:color w:val="000000" w:themeColor="text1"/>
          <w:shd w:val="clear" w:color="auto" w:fill="FFFFFF"/>
        </w:rPr>
        <w:t>sexta</w:t>
      </w:r>
      <w:r w:rsidRPr="00F8442B">
        <w:rPr>
          <w:rFonts w:ascii="Verdana" w:hAnsi="Verdana" w:cs="Arial"/>
          <w:color w:val="000000" w:themeColor="text1"/>
          <w:shd w:val="clear" w:color="auto" w:fill="FFFFFF"/>
        </w:rPr>
        <w:t xml:space="preserve"> edición del Boletín de Relatoría de 2024. Puede consultarlo en el siguiente enlace: </w:t>
      </w:r>
      <w:hyperlink r:id="rId31" w:tgtFrame="_blank" w:tooltip="Dirección URL original: https://www.colombiacompra.gov.co/sala-de-prensa/boletin-digital/boletin-de-relatoria-2024-vi-modalidad-de-seleccion-de-seleccion-de. Haga clic o pulse si confía en este vínculo." w:history="1">
        <w:r w:rsidRPr="00256630">
          <w:rPr>
            <w:rStyle w:val="Hipervnculo"/>
            <w:rFonts w:ascii="Verdana" w:hAnsi="Verdana" w:cs="Arial"/>
            <w:shd w:val="clear" w:color="auto" w:fill="FFFFFF"/>
          </w:rPr>
          <w:t>https://www.colombiacompra.gov.co/sala-de-prensa/boletin-digital/boletin-de-relatoria-2024-vi-modalidad-de-seleccion-de-seleccion-de</w:t>
        </w:r>
      </w:hyperlink>
    </w:p>
    <w:p w14:paraId="1B1E8CC4" w14:textId="77777777" w:rsidR="00707C1F" w:rsidRDefault="00707C1F" w:rsidP="00707C1F">
      <w:pPr>
        <w:spacing w:after="632" w:line="276" w:lineRule="auto"/>
        <w:ind w:left="-5"/>
        <w:jc w:val="both"/>
        <w:rPr>
          <w:rFonts w:ascii="Verdana" w:hAnsi="Verdana"/>
        </w:rPr>
      </w:pPr>
    </w:p>
    <w:p w14:paraId="7E0AF006" w14:textId="77777777" w:rsidR="00707C1F" w:rsidRPr="00545C00" w:rsidRDefault="00707C1F" w:rsidP="00707C1F">
      <w:pPr>
        <w:spacing w:after="0" w:line="276" w:lineRule="auto"/>
        <w:jc w:val="both"/>
        <w:rPr>
          <w:rFonts w:ascii="Verdana" w:hAnsi="Verdana"/>
        </w:rPr>
      </w:pPr>
      <w:r w:rsidRPr="00545C00">
        <w:rPr>
          <w:rFonts w:ascii="Verdana" w:hAnsi="Verdana"/>
        </w:rPr>
        <w:t xml:space="preserve">Por último, lo invitamos a seguirnos en las redes sociales en las cuales se difunde información institucional: </w:t>
      </w:r>
    </w:p>
    <w:p w14:paraId="04A7188F" w14:textId="77777777" w:rsidR="00707C1F" w:rsidRPr="00545C00" w:rsidRDefault="00707C1F" w:rsidP="00707C1F">
      <w:pPr>
        <w:spacing w:after="0" w:line="276" w:lineRule="auto"/>
        <w:jc w:val="both"/>
        <w:rPr>
          <w:rFonts w:ascii="Verdana" w:hAnsi="Verdana"/>
        </w:rPr>
      </w:pPr>
      <w:r w:rsidRPr="00545C00">
        <w:rPr>
          <w:rFonts w:ascii="Verdana" w:hAnsi="Verdana"/>
        </w:rPr>
        <w:t xml:space="preserve">Twitter: </w:t>
      </w:r>
      <w:r w:rsidRPr="00545C00">
        <w:rPr>
          <w:rStyle w:val="Hipervnculo"/>
          <w:rFonts w:ascii="Verdana" w:hAnsi="Verdana"/>
          <w:color w:val="4472C4" w:themeColor="accent1"/>
        </w:rPr>
        <w:t>@colombiacompra</w:t>
      </w:r>
      <w:r w:rsidRPr="00545C00">
        <w:rPr>
          <w:rFonts w:ascii="Verdana" w:hAnsi="Verdana"/>
          <w:color w:val="4472C4" w:themeColor="accent1"/>
        </w:rPr>
        <w:t xml:space="preserve"> </w:t>
      </w:r>
    </w:p>
    <w:p w14:paraId="1965DB87" w14:textId="77777777" w:rsidR="00707C1F" w:rsidRPr="00545C00" w:rsidRDefault="00707C1F" w:rsidP="00707C1F">
      <w:pPr>
        <w:spacing w:after="0" w:line="276" w:lineRule="auto"/>
        <w:jc w:val="both"/>
        <w:rPr>
          <w:rFonts w:ascii="Verdana" w:hAnsi="Verdana"/>
        </w:rPr>
      </w:pPr>
      <w:r w:rsidRPr="00545C00">
        <w:rPr>
          <w:rFonts w:ascii="Verdana" w:hAnsi="Verdana"/>
        </w:rPr>
        <w:t xml:space="preserve">Facebook: </w:t>
      </w:r>
      <w:r w:rsidRPr="00545C00">
        <w:rPr>
          <w:rStyle w:val="Hipervnculo"/>
          <w:rFonts w:ascii="Verdana" w:hAnsi="Verdana"/>
          <w:color w:val="4472C4" w:themeColor="accent1"/>
        </w:rPr>
        <w:t>ColombiaCompraEficiente</w:t>
      </w:r>
    </w:p>
    <w:p w14:paraId="73A378A5" w14:textId="77777777" w:rsidR="00707C1F" w:rsidRPr="00545C00" w:rsidRDefault="00707C1F" w:rsidP="00707C1F">
      <w:pPr>
        <w:spacing w:after="0" w:line="276" w:lineRule="auto"/>
        <w:jc w:val="both"/>
        <w:rPr>
          <w:rFonts w:ascii="Verdana" w:hAnsi="Verdana"/>
        </w:rPr>
      </w:pPr>
      <w:r w:rsidRPr="00545C00">
        <w:rPr>
          <w:rFonts w:ascii="Verdana" w:hAnsi="Verdana"/>
        </w:rPr>
        <w:t xml:space="preserve">LinkedIn: </w:t>
      </w:r>
      <w:r w:rsidRPr="00545C00">
        <w:rPr>
          <w:rStyle w:val="Hipervnculo"/>
          <w:rFonts w:ascii="Verdana" w:hAnsi="Verdana"/>
          <w:color w:val="4472C4" w:themeColor="accent1"/>
        </w:rPr>
        <w:t>Agencia Nacional de Contratación Pública - Colombia Compra Eficiente</w:t>
      </w:r>
      <w:r w:rsidRPr="00545C00">
        <w:rPr>
          <w:rFonts w:ascii="Verdana" w:hAnsi="Verdana"/>
          <w:color w:val="4472C4" w:themeColor="accent1"/>
        </w:rPr>
        <w:t xml:space="preserve"> </w:t>
      </w:r>
      <w:r w:rsidRPr="00545C00">
        <w:rPr>
          <w:rFonts w:ascii="Verdana" w:hAnsi="Verdana"/>
        </w:rPr>
        <w:t xml:space="preserve">Instagram: </w:t>
      </w:r>
      <w:r w:rsidRPr="00545C00">
        <w:rPr>
          <w:rStyle w:val="Hipervnculo"/>
          <w:rFonts w:ascii="Verdana" w:hAnsi="Verdana"/>
          <w:color w:val="4472C4" w:themeColor="accent1"/>
        </w:rPr>
        <w:t>@colombiacompraeficiente_cce</w:t>
      </w:r>
    </w:p>
    <w:p w14:paraId="61585165" w14:textId="77777777" w:rsidR="00707C1F" w:rsidRDefault="00707C1F" w:rsidP="00707C1F">
      <w:pPr>
        <w:widowControl w:val="0"/>
        <w:autoSpaceDE w:val="0"/>
        <w:autoSpaceDN w:val="0"/>
        <w:spacing w:after="0" w:line="276" w:lineRule="auto"/>
        <w:jc w:val="both"/>
        <w:rPr>
          <w:rFonts w:ascii="Verdana" w:hAnsi="Verdana"/>
        </w:rPr>
      </w:pPr>
    </w:p>
    <w:p w14:paraId="1437687C" w14:textId="77777777" w:rsidR="00707C1F" w:rsidRPr="00593A5F" w:rsidRDefault="00707C1F" w:rsidP="00707C1F">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CB019E4" w14:textId="77777777" w:rsidR="00707C1F" w:rsidRPr="00593A5F" w:rsidRDefault="00707C1F" w:rsidP="00707C1F">
      <w:pPr>
        <w:widowControl w:val="0"/>
        <w:autoSpaceDE w:val="0"/>
        <w:autoSpaceDN w:val="0"/>
        <w:spacing w:after="0" w:line="276" w:lineRule="auto"/>
        <w:jc w:val="both"/>
        <w:rPr>
          <w:rFonts w:ascii="Verdana" w:hAnsi="Verdana" w:cs="Arial"/>
        </w:rPr>
      </w:pPr>
    </w:p>
    <w:p w14:paraId="7ADE062F" w14:textId="77777777" w:rsidR="00707C1F" w:rsidRPr="00593A5F" w:rsidRDefault="00707C1F" w:rsidP="00707C1F">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2A0286B" w14:textId="6CC0428C" w:rsidR="00707C1F" w:rsidRPr="00593A5F" w:rsidRDefault="00BB7089" w:rsidP="00707C1F">
      <w:pPr>
        <w:spacing w:line="276" w:lineRule="auto"/>
        <w:jc w:val="center"/>
        <w:rPr>
          <w:rFonts w:ascii="Verdana" w:hAnsi="Verdana" w:cs="Arial"/>
          <w:color w:val="000000"/>
          <w:lang w:val="es-ES_tradnl" w:eastAsia="es-CO"/>
        </w:rPr>
      </w:pPr>
      <w:r>
        <w:rPr>
          <w:noProof/>
        </w:rPr>
        <w:drawing>
          <wp:inline distT="0" distB="0" distL="0" distR="0" wp14:anchorId="012089B9" wp14:editId="74FE0DE9">
            <wp:extent cx="3771429" cy="1400000"/>
            <wp:effectExtent l="0" t="0" r="635" b="0"/>
            <wp:docPr id="7302809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80935" name="Imagen 1" descr="Texto&#10;&#10;Descripción generada automáticamente"/>
                    <pic:cNvPicPr/>
                  </pic:nvPicPr>
                  <pic:blipFill>
                    <a:blip r:embed="rId32"/>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07C1F" w:rsidRPr="002D3A76" w14:paraId="13C9F90C" w14:textId="77777777" w:rsidTr="00063619">
        <w:trPr>
          <w:trHeight w:val="315"/>
        </w:trPr>
        <w:tc>
          <w:tcPr>
            <w:tcW w:w="893" w:type="dxa"/>
            <w:vAlign w:val="center"/>
            <w:hideMark/>
          </w:tcPr>
          <w:p w14:paraId="453B67B7" w14:textId="77777777" w:rsidR="00707C1F" w:rsidRPr="002D3A76" w:rsidRDefault="00707C1F" w:rsidP="00063619">
            <w:pPr>
              <w:contextualSpacing/>
              <w:rPr>
                <w:rFonts w:ascii="Verdana" w:hAnsi="Verdana" w:cs="Arial"/>
                <w:sz w:val="16"/>
                <w:szCs w:val="16"/>
                <w:lang w:val="es-ES" w:eastAsia="es-ES"/>
              </w:rPr>
            </w:pPr>
            <w:r w:rsidRPr="002D3A76">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3069EF7" w14:textId="77777777" w:rsidR="00707C1F" w:rsidRPr="002D3A76" w:rsidRDefault="00707C1F" w:rsidP="00063619">
            <w:pPr>
              <w:contextualSpacing/>
              <w:rPr>
                <w:rStyle w:val="normaltextrun"/>
                <w:rFonts w:ascii="Verdana" w:hAnsi="Verdana"/>
                <w:sz w:val="16"/>
                <w:szCs w:val="16"/>
              </w:rPr>
            </w:pPr>
            <w:r w:rsidRPr="002D3A76">
              <w:rPr>
                <w:rStyle w:val="normaltextrun"/>
                <w:rFonts w:ascii="Verdana" w:hAnsi="Verdana"/>
                <w:sz w:val="16"/>
                <w:szCs w:val="16"/>
              </w:rPr>
              <w:t>Gloria Ximena Moreno Guio</w:t>
            </w:r>
          </w:p>
          <w:p w14:paraId="000D2826" w14:textId="77777777" w:rsidR="00707C1F" w:rsidRPr="002D3A76" w:rsidRDefault="00707C1F" w:rsidP="00063619">
            <w:pPr>
              <w:contextualSpacing/>
              <w:rPr>
                <w:rFonts w:ascii="Verdana" w:eastAsia="Arial" w:hAnsi="Verdana" w:cs="Arial"/>
                <w:sz w:val="16"/>
                <w:szCs w:val="16"/>
              </w:rPr>
            </w:pPr>
            <w:r w:rsidRPr="002D3A76">
              <w:rPr>
                <w:rStyle w:val="normaltextrun"/>
                <w:rFonts w:ascii="Verdana" w:hAnsi="Verdana"/>
                <w:sz w:val="16"/>
                <w:szCs w:val="16"/>
              </w:rPr>
              <w:t xml:space="preserve">Contratista </w:t>
            </w:r>
            <w:r w:rsidRPr="002D3A76">
              <w:rPr>
                <w:rStyle w:val="normaltextrun"/>
                <w:rFonts w:ascii="Verdana" w:eastAsia="Arial" w:hAnsi="Verdana" w:cs="Arial"/>
                <w:sz w:val="16"/>
                <w:szCs w:val="16"/>
              </w:rPr>
              <w:t>de la Subdirección de Gestión Contractual</w:t>
            </w:r>
          </w:p>
        </w:tc>
      </w:tr>
      <w:tr w:rsidR="00707C1F" w:rsidRPr="0071334E" w14:paraId="25EB3E05" w14:textId="77777777" w:rsidTr="00063619">
        <w:trPr>
          <w:trHeight w:val="330"/>
        </w:trPr>
        <w:tc>
          <w:tcPr>
            <w:tcW w:w="893" w:type="dxa"/>
            <w:vAlign w:val="center"/>
            <w:hideMark/>
          </w:tcPr>
          <w:p w14:paraId="46640086" w14:textId="77777777" w:rsidR="00707C1F" w:rsidRPr="0071334E" w:rsidRDefault="00707C1F" w:rsidP="00063619">
            <w:pPr>
              <w:contextualSpacing/>
              <w:rPr>
                <w:rFonts w:ascii="Verdana" w:hAnsi="Verdana" w:cs="Arial"/>
                <w:sz w:val="16"/>
                <w:szCs w:val="16"/>
                <w:lang w:val="es-ES" w:eastAsia="es-ES"/>
              </w:rPr>
            </w:pPr>
            <w:r w:rsidRPr="0071334E">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57500E6" w14:textId="77777777" w:rsidR="00707C1F" w:rsidRPr="003C21F0" w:rsidRDefault="00707C1F" w:rsidP="00063619">
            <w:pPr>
              <w:pStyle w:val="paragraph"/>
              <w:spacing w:after="0"/>
              <w:contextualSpacing/>
              <w:textAlignment w:val="baseline"/>
              <w:rPr>
                <w:rStyle w:val="normaltextrun"/>
                <w:rFonts w:ascii="Verdana" w:hAnsi="Verdana" w:cs="Arial"/>
                <w:sz w:val="16"/>
                <w:szCs w:val="16"/>
                <w:lang w:val="es-ES"/>
              </w:rPr>
            </w:pPr>
            <w:r w:rsidRPr="003C21F0">
              <w:rPr>
                <w:rStyle w:val="normaltextrun"/>
                <w:rFonts w:ascii="Verdana" w:hAnsi="Verdana" w:cs="Arial"/>
                <w:sz w:val="16"/>
                <w:szCs w:val="16"/>
                <w:lang w:val="es-ES"/>
              </w:rPr>
              <w:t>Ximena Ríos López</w:t>
            </w:r>
          </w:p>
          <w:p w14:paraId="74B02E40" w14:textId="77777777" w:rsidR="00707C1F" w:rsidRPr="0071334E" w:rsidRDefault="00707C1F" w:rsidP="00063619">
            <w:pPr>
              <w:pStyle w:val="paragraph"/>
              <w:spacing w:before="0" w:beforeAutospacing="0" w:after="0" w:afterAutospacing="0"/>
              <w:contextualSpacing/>
              <w:textAlignment w:val="baseline"/>
              <w:rPr>
                <w:rFonts w:ascii="Verdana" w:hAnsi="Verdana" w:cs="Segoe UI"/>
                <w:sz w:val="16"/>
                <w:szCs w:val="16"/>
              </w:rPr>
            </w:pPr>
            <w:r w:rsidRPr="003C21F0">
              <w:rPr>
                <w:rStyle w:val="normaltextrun"/>
                <w:rFonts w:ascii="Verdana" w:hAnsi="Verdana" w:cs="Arial"/>
                <w:sz w:val="16"/>
                <w:szCs w:val="16"/>
                <w:lang w:val="es-ES"/>
              </w:rPr>
              <w:t>Gestor T1-11 de la Subdirección de Gestión Contractual</w:t>
            </w:r>
          </w:p>
        </w:tc>
      </w:tr>
      <w:tr w:rsidR="00707C1F" w:rsidRPr="0071334E" w14:paraId="37F73897" w14:textId="77777777" w:rsidTr="00063619">
        <w:trPr>
          <w:trHeight w:val="300"/>
        </w:trPr>
        <w:tc>
          <w:tcPr>
            <w:tcW w:w="893" w:type="dxa"/>
            <w:vAlign w:val="center"/>
          </w:tcPr>
          <w:p w14:paraId="4CB70787" w14:textId="77777777" w:rsidR="00707C1F" w:rsidRPr="0071334E" w:rsidRDefault="00707C1F" w:rsidP="00063619">
            <w:pPr>
              <w:contextualSpacing/>
              <w:rPr>
                <w:rFonts w:ascii="Verdana" w:hAnsi="Verdana" w:cs="Arial"/>
                <w:sz w:val="16"/>
                <w:szCs w:val="16"/>
                <w:lang w:val="es-ES" w:eastAsia="es-ES"/>
              </w:rPr>
            </w:pPr>
            <w:r w:rsidRPr="0071334E">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4A8AB59" w14:textId="77777777" w:rsidR="00707C1F" w:rsidRPr="0071334E" w:rsidRDefault="00707C1F" w:rsidP="00063619">
            <w:pPr>
              <w:contextualSpacing/>
              <w:rPr>
                <w:rFonts w:ascii="Verdana" w:eastAsia="Calibri" w:hAnsi="Verdana" w:cs="Arial"/>
                <w:sz w:val="16"/>
                <w:szCs w:val="16"/>
                <w:lang w:val="pt-BR" w:eastAsia="es-ES"/>
              </w:rPr>
            </w:pPr>
            <w:r w:rsidRPr="0071334E">
              <w:rPr>
                <w:rFonts w:ascii="Verdana" w:eastAsia="Calibri" w:hAnsi="Verdana" w:cs="Arial"/>
                <w:sz w:val="16"/>
                <w:szCs w:val="16"/>
                <w:lang w:val="pt-BR" w:eastAsia="es-ES"/>
              </w:rPr>
              <w:t>Carolina Quintero Gacharná</w:t>
            </w:r>
          </w:p>
          <w:p w14:paraId="75C23EFC" w14:textId="77777777" w:rsidR="00707C1F" w:rsidRPr="0071334E" w:rsidRDefault="00707C1F" w:rsidP="00063619">
            <w:pPr>
              <w:contextualSpacing/>
              <w:rPr>
                <w:rFonts w:ascii="Verdana" w:eastAsia="Calibri" w:hAnsi="Verdana" w:cs="Arial"/>
                <w:sz w:val="16"/>
                <w:szCs w:val="16"/>
                <w:lang w:val="pt-BR" w:eastAsia="es-ES"/>
              </w:rPr>
            </w:pPr>
            <w:r w:rsidRPr="0071334E">
              <w:rPr>
                <w:rFonts w:ascii="Verdana" w:eastAsia="Calibri" w:hAnsi="Verdana" w:cs="Arial"/>
                <w:sz w:val="16"/>
                <w:szCs w:val="16"/>
                <w:lang w:eastAsia="es-ES"/>
              </w:rPr>
              <w:t>Subdirectora</w:t>
            </w:r>
            <w:r w:rsidRPr="0071334E">
              <w:rPr>
                <w:rFonts w:ascii="Verdana" w:eastAsia="Calibri" w:hAnsi="Verdana" w:cs="Arial"/>
                <w:sz w:val="16"/>
                <w:szCs w:val="16"/>
                <w:lang w:val="pt-BR" w:eastAsia="es-ES"/>
              </w:rPr>
              <w:t xml:space="preserve"> de Gestión Contractual ANCP – CCE</w:t>
            </w:r>
          </w:p>
        </w:tc>
      </w:tr>
    </w:tbl>
    <w:p w14:paraId="79B93B66" w14:textId="77777777" w:rsidR="00707C1F" w:rsidRPr="00DF7E02" w:rsidRDefault="00707C1F" w:rsidP="00707C1F">
      <w:pPr>
        <w:rPr>
          <w:rFonts w:ascii="Verdana" w:hAnsi="Verdana"/>
        </w:rPr>
      </w:pPr>
    </w:p>
    <w:p w14:paraId="5228C1B2" w14:textId="77777777" w:rsidR="00707C1F" w:rsidRPr="00DF7E02" w:rsidRDefault="00707C1F" w:rsidP="00707C1F">
      <w:pPr>
        <w:rPr>
          <w:rFonts w:ascii="Verdana" w:hAnsi="Verdana"/>
        </w:rPr>
      </w:pPr>
    </w:p>
    <w:p w14:paraId="009BBD6F" w14:textId="77777777" w:rsidR="00707C1F" w:rsidRPr="00823F1F" w:rsidRDefault="00707C1F" w:rsidP="00707C1F">
      <w:pPr>
        <w:ind w:left="708" w:hanging="708"/>
        <w:rPr>
          <w:rFonts w:ascii="Verdana" w:hAnsi="Verdana"/>
        </w:rPr>
      </w:pPr>
    </w:p>
    <w:p w14:paraId="535EDC7A" w14:textId="77777777" w:rsidR="00707C1F" w:rsidRPr="00DF7E02" w:rsidRDefault="00707C1F" w:rsidP="00203798">
      <w:pPr>
        <w:rPr>
          <w:rFonts w:ascii="Verdana" w:hAnsi="Verdana"/>
        </w:rPr>
      </w:pPr>
    </w:p>
    <w:p w14:paraId="0083C991" w14:textId="5C765C2F" w:rsidR="5D8505AD" w:rsidRPr="00DF7E02" w:rsidRDefault="5D8505AD" w:rsidP="00203798">
      <w:pPr>
        <w:rPr>
          <w:rFonts w:ascii="Verdana" w:hAnsi="Verdana"/>
        </w:rPr>
      </w:pPr>
    </w:p>
    <w:sectPr w:rsidR="5D8505AD" w:rsidRPr="00DF7E02" w:rsidSect="00E45F4B">
      <w:headerReference w:type="default" r:id="rId33"/>
      <w:footerReference w:type="default" r:id="rId34"/>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AF045" w14:textId="77777777" w:rsidR="00936EC6" w:rsidRDefault="00936EC6" w:rsidP="00B30448">
      <w:pPr>
        <w:spacing w:after="0" w:line="240" w:lineRule="auto"/>
      </w:pPr>
      <w:r>
        <w:separator/>
      </w:r>
    </w:p>
  </w:endnote>
  <w:endnote w:type="continuationSeparator" w:id="0">
    <w:p w14:paraId="4BF820E4" w14:textId="77777777" w:rsidR="00936EC6" w:rsidRDefault="00936EC6" w:rsidP="00B30448">
      <w:pPr>
        <w:spacing w:after="0" w:line="240" w:lineRule="auto"/>
      </w:pPr>
      <w:r>
        <w:continuationSeparator/>
      </w:r>
    </w:p>
  </w:endnote>
  <w:endnote w:type="continuationNotice" w:id="1">
    <w:p w14:paraId="29445CD1" w14:textId="77777777" w:rsidR="00936EC6" w:rsidRDefault="00936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21271" w14:textId="77777777" w:rsidR="00936EC6" w:rsidRDefault="00936EC6" w:rsidP="00B30448">
      <w:pPr>
        <w:spacing w:after="0" w:line="240" w:lineRule="auto"/>
      </w:pPr>
      <w:r>
        <w:separator/>
      </w:r>
    </w:p>
  </w:footnote>
  <w:footnote w:type="continuationSeparator" w:id="0">
    <w:p w14:paraId="530BAEB4" w14:textId="77777777" w:rsidR="00936EC6" w:rsidRDefault="00936EC6" w:rsidP="00B30448">
      <w:pPr>
        <w:spacing w:after="0" w:line="240" w:lineRule="auto"/>
      </w:pPr>
      <w:r>
        <w:continuationSeparator/>
      </w:r>
    </w:p>
  </w:footnote>
  <w:footnote w:type="continuationNotice" w:id="1">
    <w:p w14:paraId="08CE5F1B" w14:textId="77777777" w:rsidR="00936EC6" w:rsidRDefault="00936EC6">
      <w:pPr>
        <w:spacing w:after="0" w:line="240" w:lineRule="auto"/>
      </w:pPr>
    </w:p>
  </w:footnote>
  <w:footnote w:id="2">
    <w:p w14:paraId="356BA6E4" w14:textId="77777777" w:rsidR="00707C1F" w:rsidRPr="009D6B9A" w:rsidRDefault="00707C1F" w:rsidP="00707C1F">
      <w:pPr>
        <w:pStyle w:val="footnotedescription"/>
        <w:spacing w:line="243" w:lineRule="auto"/>
        <w:ind w:right="77"/>
        <w:jc w:val="both"/>
        <w:rPr>
          <w:sz w:val="14"/>
          <w:szCs w:val="14"/>
        </w:rPr>
      </w:pPr>
      <w:r w:rsidRPr="009D6B9A">
        <w:rPr>
          <w:rStyle w:val="footnotemark"/>
          <w:sz w:val="14"/>
          <w:szCs w:val="14"/>
        </w:rPr>
        <w:footnoteRef/>
      </w:r>
      <w:r w:rsidRPr="009D6B9A">
        <w:rPr>
          <w:sz w:val="14"/>
          <w:szCs w:val="14"/>
        </w:rPr>
        <w:t xml:space="preserve"> Decreto</w:t>
      </w:r>
      <w:r w:rsidRPr="009D6B9A">
        <w:rPr>
          <w:sz w:val="14"/>
          <w:szCs w:val="14"/>
          <w:vertAlign w:val="superscript"/>
        </w:rPr>
        <w:t xml:space="preserve"> </w:t>
      </w:r>
      <w:r w:rsidRPr="009D6B9A">
        <w:rPr>
          <w:sz w:val="14"/>
          <w:szCs w:val="14"/>
        </w:rPr>
        <w:t xml:space="preserve"> Ley 2663 del 5 de agosto de 1950, Código Sustantivo del Trabajo:  “ Son representantes del {empleador} y como tales lo obligan frente a sus trabajadores además de quienes tienen ese carácter según la ley, la convención o el reglamento de trabajo, las siguientes personas:</w:t>
      </w:r>
    </w:p>
    <w:p w14:paraId="7DEE53A3" w14:textId="77777777" w:rsidR="00707C1F" w:rsidRDefault="00707C1F" w:rsidP="00707C1F">
      <w:pPr>
        <w:pStyle w:val="footnotedescription"/>
        <w:spacing w:line="259" w:lineRule="auto"/>
        <w:ind w:left="709" w:right="77" w:firstLine="0"/>
        <w:jc w:val="both"/>
        <w:rPr>
          <w:sz w:val="14"/>
          <w:szCs w:val="14"/>
        </w:rPr>
      </w:pPr>
      <w:r w:rsidRPr="009D6B9A">
        <w:rPr>
          <w:sz w:val="14"/>
          <w:szCs w:val="14"/>
        </w:rPr>
        <w:t>“ a) Las que ejerzan funciones de dirección o administración, tales como directores, gerentes, administradores, síndicos o liquidadores, mayordomos y capitanes de barco, y quienes ejercitan actos de representación con la aquiescencia expresa o tácita del {empleador}; “b) Los intermediarios”.</w:t>
      </w:r>
    </w:p>
    <w:p w14:paraId="3B0B9A1D" w14:textId="77777777" w:rsidR="00707C1F" w:rsidRPr="00776E47" w:rsidRDefault="00707C1F" w:rsidP="00707C1F"/>
  </w:footnote>
  <w:footnote w:id="3">
    <w:p w14:paraId="472414CA" w14:textId="77777777" w:rsidR="00707C1F" w:rsidRPr="009D6B9A" w:rsidRDefault="00707C1F" w:rsidP="00707C1F">
      <w:pPr>
        <w:pStyle w:val="footnotedescription"/>
        <w:spacing w:line="281" w:lineRule="auto"/>
        <w:rPr>
          <w:sz w:val="14"/>
          <w:szCs w:val="14"/>
        </w:rPr>
      </w:pPr>
      <w:r w:rsidRPr="009D6B9A">
        <w:rPr>
          <w:rStyle w:val="footnotemark"/>
          <w:sz w:val="14"/>
          <w:szCs w:val="14"/>
        </w:rPr>
        <w:footnoteRef/>
      </w:r>
      <w:r w:rsidRPr="009D6B9A">
        <w:rPr>
          <w:sz w:val="14"/>
          <w:szCs w:val="14"/>
        </w:rPr>
        <w:t xml:space="preserve"> Código País. Código de mejores prácticas corporativas.  ANDI, Asobancaria, </w:t>
      </w:r>
      <w:proofErr w:type="spellStart"/>
      <w:r w:rsidRPr="009D6B9A">
        <w:rPr>
          <w:sz w:val="14"/>
          <w:szCs w:val="14"/>
        </w:rPr>
        <w:t>Asofiduciarias</w:t>
      </w:r>
      <w:proofErr w:type="spellEnd"/>
      <w:r w:rsidRPr="009D6B9A">
        <w:rPr>
          <w:sz w:val="14"/>
          <w:szCs w:val="14"/>
        </w:rPr>
        <w:t xml:space="preserve">, Asofondos, Bolsa de Valores de Colombia, Confecámaras, </w:t>
      </w:r>
      <w:proofErr w:type="spellStart"/>
      <w:r w:rsidRPr="009D6B9A">
        <w:rPr>
          <w:sz w:val="14"/>
          <w:szCs w:val="14"/>
        </w:rPr>
        <w:t>Fasecolda</w:t>
      </w:r>
      <w:proofErr w:type="spellEnd"/>
      <w:r w:rsidRPr="009D6B9A">
        <w:rPr>
          <w:sz w:val="14"/>
          <w:szCs w:val="14"/>
        </w:rPr>
        <w:t xml:space="preserve">, Comité de </w:t>
      </w:r>
    </w:p>
    <w:p w14:paraId="4E3E6372" w14:textId="77777777" w:rsidR="00707C1F" w:rsidRPr="009D6B9A" w:rsidRDefault="00707C1F" w:rsidP="00707C1F">
      <w:pPr>
        <w:pStyle w:val="footnotedescription"/>
        <w:spacing w:after="213" w:line="240" w:lineRule="auto"/>
        <w:ind w:firstLine="0"/>
        <w:rPr>
          <w:sz w:val="14"/>
          <w:szCs w:val="14"/>
        </w:rPr>
      </w:pPr>
      <w:r w:rsidRPr="009D6B9A">
        <w:rPr>
          <w:sz w:val="14"/>
          <w:szCs w:val="14"/>
        </w:rPr>
        <w:t xml:space="preserve">Emisores de la Bolsa de Valores de Colombia, CAF y Superintendencia Financiera de Colombia. 2014. (En línea). Disponible en: </w:t>
      </w:r>
      <w:hyperlink r:id="rId1">
        <w:r w:rsidRPr="009D6B9A">
          <w:rPr>
            <w:color w:val="0000FF"/>
            <w:sz w:val="14"/>
            <w:szCs w:val="14"/>
            <w:u w:val="single" w:color="0000FF"/>
          </w:rPr>
          <w:t>https://www.superfinanciera.gov.co/inicio/industrias</w:t>
        </w:r>
      </w:hyperlink>
      <w:hyperlink r:id="rId2">
        <w:r w:rsidRPr="009D6B9A">
          <w:rPr>
            <w:color w:val="0000FF"/>
            <w:sz w:val="14"/>
            <w:szCs w:val="14"/>
            <w:u w:val="single" w:color="0000FF"/>
          </w:rPr>
          <w:t>supervisadas/gobierno-corporativo/codigo-pais-61162</w:t>
        </w:r>
      </w:hyperlink>
    </w:p>
  </w:footnote>
  <w:footnote w:id="4">
    <w:p w14:paraId="4A79F2FE" w14:textId="77777777" w:rsidR="00707C1F" w:rsidRPr="009D6B9A" w:rsidRDefault="00707C1F" w:rsidP="00707C1F">
      <w:pPr>
        <w:pStyle w:val="footnotedescription"/>
        <w:rPr>
          <w:sz w:val="14"/>
          <w:szCs w:val="14"/>
        </w:rPr>
      </w:pPr>
      <w:r w:rsidRPr="009D6B9A">
        <w:rPr>
          <w:rStyle w:val="footnotemark"/>
          <w:sz w:val="14"/>
          <w:szCs w:val="14"/>
        </w:rPr>
        <w:footnoteRef/>
      </w:r>
      <w:r w:rsidRPr="009D6B9A">
        <w:rPr>
          <w:sz w:val="14"/>
          <w:szCs w:val="14"/>
        </w:rPr>
        <w:t xml:space="preserve"> Guía de Buenas Prácticas de Gobierno Corporativo para Empresas Competitivas, Productivas y Perdurables. Cámara de Comercio de Bogotá, Confederación Colombiana de Cámaras de Comercio y Superintendencia de Sociedades. 2020. (En línea). Disponible en: </w:t>
      </w:r>
      <w:hyperlink r:id="rId3">
        <w:r w:rsidRPr="009D6B9A">
          <w:rPr>
            <w:color w:val="0000FF"/>
            <w:sz w:val="14"/>
            <w:szCs w:val="14"/>
            <w:u w:val="single" w:color="0000FF"/>
          </w:rPr>
          <w:t>https://www.supersociedades.gov.co/Noticias/Publicaciones/Revistas/2020/GUIA-GOBIERNO</w:t>
        </w:r>
      </w:hyperlink>
      <w:hyperlink r:id="rId4">
        <w:r w:rsidRPr="009D6B9A">
          <w:rPr>
            <w:color w:val="0000FF"/>
            <w:sz w:val="14"/>
            <w:szCs w:val="14"/>
            <w:u w:val="single" w:color="0000FF"/>
          </w:rPr>
          <w:t>CORPORATIVO-2020.pdf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7844CD"/>
    <w:multiLevelType w:val="hybridMultilevel"/>
    <w:tmpl w:val="85E672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9F77871"/>
    <w:multiLevelType w:val="hybridMultilevel"/>
    <w:tmpl w:val="9FD059D6"/>
    <w:lvl w:ilvl="0" w:tplc="E5A8E89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0" w15:restartNumberingAfterBreak="0">
    <w:nsid w:val="6AC42B45"/>
    <w:multiLevelType w:val="hybridMultilevel"/>
    <w:tmpl w:val="7760FC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9"/>
  </w:num>
  <w:num w:numId="6" w16cid:durableId="1082990391">
    <w:abstractNumId w:val="1"/>
  </w:num>
  <w:num w:numId="7" w16cid:durableId="1492209491">
    <w:abstractNumId w:val="5"/>
  </w:num>
  <w:num w:numId="8" w16cid:durableId="679089576">
    <w:abstractNumId w:val="7"/>
  </w:num>
  <w:num w:numId="9" w16cid:durableId="1348676311">
    <w:abstractNumId w:val="10"/>
  </w:num>
  <w:num w:numId="10" w16cid:durableId="1419987049">
    <w:abstractNumId w:val="4"/>
  </w:num>
  <w:num w:numId="11" w16cid:durableId="2147161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0633"/>
    <w:rsid w:val="000016F3"/>
    <w:rsid w:val="000037AE"/>
    <w:rsid w:val="00005BB0"/>
    <w:rsid w:val="0001025F"/>
    <w:rsid w:val="0001222D"/>
    <w:rsid w:val="000135EB"/>
    <w:rsid w:val="00015D2B"/>
    <w:rsid w:val="00031584"/>
    <w:rsid w:val="00032A0E"/>
    <w:rsid w:val="00037347"/>
    <w:rsid w:val="000404EA"/>
    <w:rsid w:val="000442CC"/>
    <w:rsid w:val="000556D4"/>
    <w:rsid w:val="00055C08"/>
    <w:rsid w:val="00061566"/>
    <w:rsid w:val="000716AB"/>
    <w:rsid w:val="00076E81"/>
    <w:rsid w:val="00082E4C"/>
    <w:rsid w:val="000849D5"/>
    <w:rsid w:val="0008528F"/>
    <w:rsid w:val="000A6E0C"/>
    <w:rsid w:val="000A7A56"/>
    <w:rsid w:val="000B14BD"/>
    <w:rsid w:val="000B1FF7"/>
    <w:rsid w:val="000B2513"/>
    <w:rsid w:val="000B4024"/>
    <w:rsid w:val="000C3A94"/>
    <w:rsid w:val="000C3C51"/>
    <w:rsid w:val="000C7262"/>
    <w:rsid w:val="000D2A7F"/>
    <w:rsid w:val="000D4FCE"/>
    <w:rsid w:val="000D5489"/>
    <w:rsid w:val="0011037E"/>
    <w:rsid w:val="00114EB3"/>
    <w:rsid w:val="00132E8E"/>
    <w:rsid w:val="001363C7"/>
    <w:rsid w:val="00141AC5"/>
    <w:rsid w:val="00146B11"/>
    <w:rsid w:val="00147A04"/>
    <w:rsid w:val="001526E8"/>
    <w:rsid w:val="0015476D"/>
    <w:rsid w:val="00161E13"/>
    <w:rsid w:val="00164AE0"/>
    <w:rsid w:val="00165E83"/>
    <w:rsid w:val="00166093"/>
    <w:rsid w:val="00166CD7"/>
    <w:rsid w:val="0017120C"/>
    <w:rsid w:val="00172F3A"/>
    <w:rsid w:val="00194597"/>
    <w:rsid w:val="0019532A"/>
    <w:rsid w:val="0019670E"/>
    <w:rsid w:val="00197205"/>
    <w:rsid w:val="001A5BFD"/>
    <w:rsid w:val="001A5DD4"/>
    <w:rsid w:val="001A67E9"/>
    <w:rsid w:val="001B143B"/>
    <w:rsid w:val="001B21CA"/>
    <w:rsid w:val="001C04FC"/>
    <w:rsid w:val="001C2278"/>
    <w:rsid w:val="001C25A3"/>
    <w:rsid w:val="001C5D03"/>
    <w:rsid w:val="001C7771"/>
    <w:rsid w:val="001D62FF"/>
    <w:rsid w:val="001F3F48"/>
    <w:rsid w:val="002000AA"/>
    <w:rsid w:val="00203798"/>
    <w:rsid w:val="00204109"/>
    <w:rsid w:val="00211E6E"/>
    <w:rsid w:val="00212A46"/>
    <w:rsid w:val="0021401D"/>
    <w:rsid w:val="002146B8"/>
    <w:rsid w:val="00215516"/>
    <w:rsid w:val="002527C2"/>
    <w:rsid w:val="00261BB6"/>
    <w:rsid w:val="00270443"/>
    <w:rsid w:val="00270EE2"/>
    <w:rsid w:val="00272972"/>
    <w:rsid w:val="00286491"/>
    <w:rsid w:val="002A0F8D"/>
    <w:rsid w:val="002B3A74"/>
    <w:rsid w:val="002B6E44"/>
    <w:rsid w:val="002D264D"/>
    <w:rsid w:val="002E1DB5"/>
    <w:rsid w:val="002F6CCB"/>
    <w:rsid w:val="0030461E"/>
    <w:rsid w:val="003242A9"/>
    <w:rsid w:val="0032756A"/>
    <w:rsid w:val="0033073A"/>
    <w:rsid w:val="00334EF8"/>
    <w:rsid w:val="00336408"/>
    <w:rsid w:val="00340DFB"/>
    <w:rsid w:val="0034167F"/>
    <w:rsid w:val="0034404F"/>
    <w:rsid w:val="00356980"/>
    <w:rsid w:val="00364CF9"/>
    <w:rsid w:val="00367462"/>
    <w:rsid w:val="00371ECA"/>
    <w:rsid w:val="00372748"/>
    <w:rsid w:val="0037332A"/>
    <w:rsid w:val="0038102E"/>
    <w:rsid w:val="0038151A"/>
    <w:rsid w:val="00387831"/>
    <w:rsid w:val="0039082A"/>
    <w:rsid w:val="00390C21"/>
    <w:rsid w:val="003A0817"/>
    <w:rsid w:val="003A37BD"/>
    <w:rsid w:val="003B6D94"/>
    <w:rsid w:val="003C4C96"/>
    <w:rsid w:val="003C55E0"/>
    <w:rsid w:val="003C6889"/>
    <w:rsid w:val="003F24E4"/>
    <w:rsid w:val="003F519B"/>
    <w:rsid w:val="0040544F"/>
    <w:rsid w:val="00406A19"/>
    <w:rsid w:val="0041222D"/>
    <w:rsid w:val="0041483E"/>
    <w:rsid w:val="00415369"/>
    <w:rsid w:val="00423C5A"/>
    <w:rsid w:val="00425B47"/>
    <w:rsid w:val="00426BBC"/>
    <w:rsid w:val="00430492"/>
    <w:rsid w:val="00450526"/>
    <w:rsid w:val="00450BE7"/>
    <w:rsid w:val="00455AE9"/>
    <w:rsid w:val="00456A52"/>
    <w:rsid w:val="0046741E"/>
    <w:rsid w:val="00472CC6"/>
    <w:rsid w:val="0048026E"/>
    <w:rsid w:val="004807A9"/>
    <w:rsid w:val="004813EE"/>
    <w:rsid w:val="004833F9"/>
    <w:rsid w:val="00493278"/>
    <w:rsid w:val="004943D9"/>
    <w:rsid w:val="004A0E7B"/>
    <w:rsid w:val="004A3498"/>
    <w:rsid w:val="004B0C45"/>
    <w:rsid w:val="004B796A"/>
    <w:rsid w:val="004C0AB2"/>
    <w:rsid w:val="004C1619"/>
    <w:rsid w:val="004C1A26"/>
    <w:rsid w:val="004C1CC9"/>
    <w:rsid w:val="004C3755"/>
    <w:rsid w:val="004C4485"/>
    <w:rsid w:val="004D11AF"/>
    <w:rsid w:val="00500DFA"/>
    <w:rsid w:val="005019AA"/>
    <w:rsid w:val="005021BB"/>
    <w:rsid w:val="0050633F"/>
    <w:rsid w:val="005139E7"/>
    <w:rsid w:val="005147DA"/>
    <w:rsid w:val="00515FB5"/>
    <w:rsid w:val="00520DE2"/>
    <w:rsid w:val="0052365C"/>
    <w:rsid w:val="005271EB"/>
    <w:rsid w:val="00530050"/>
    <w:rsid w:val="005426DB"/>
    <w:rsid w:val="0055082B"/>
    <w:rsid w:val="00552503"/>
    <w:rsid w:val="00552B57"/>
    <w:rsid w:val="00557DA1"/>
    <w:rsid w:val="0056322C"/>
    <w:rsid w:val="0058743A"/>
    <w:rsid w:val="005A4DB0"/>
    <w:rsid w:val="005A7B8E"/>
    <w:rsid w:val="005B012B"/>
    <w:rsid w:val="005B0C87"/>
    <w:rsid w:val="005B4B16"/>
    <w:rsid w:val="005D1F60"/>
    <w:rsid w:val="005D23F6"/>
    <w:rsid w:val="005D2FA8"/>
    <w:rsid w:val="005E2281"/>
    <w:rsid w:val="005E667C"/>
    <w:rsid w:val="005F077C"/>
    <w:rsid w:val="005F4AD8"/>
    <w:rsid w:val="005F63D0"/>
    <w:rsid w:val="005F7973"/>
    <w:rsid w:val="006111C8"/>
    <w:rsid w:val="0061690E"/>
    <w:rsid w:val="00627361"/>
    <w:rsid w:val="0063017E"/>
    <w:rsid w:val="00631B28"/>
    <w:rsid w:val="00631CD4"/>
    <w:rsid w:val="006430BD"/>
    <w:rsid w:val="00645B90"/>
    <w:rsid w:val="00650991"/>
    <w:rsid w:val="006511D7"/>
    <w:rsid w:val="00663D75"/>
    <w:rsid w:val="00670AEF"/>
    <w:rsid w:val="00675678"/>
    <w:rsid w:val="00677012"/>
    <w:rsid w:val="006773A7"/>
    <w:rsid w:val="006825B4"/>
    <w:rsid w:val="00682AF2"/>
    <w:rsid w:val="006835CD"/>
    <w:rsid w:val="006864DF"/>
    <w:rsid w:val="006A3C8A"/>
    <w:rsid w:val="006A7552"/>
    <w:rsid w:val="006B5953"/>
    <w:rsid w:val="006B7A81"/>
    <w:rsid w:val="006C4BAC"/>
    <w:rsid w:val="006C52F3"/>
    <w:rsid w:val="006E42B0"/>
    <w:rsid w:val="006E7F37"/>
    <w:rsid w:val="006F1351"/>
    <w:rsid w:val="006F3B81"/>
    <w:rsid w:val="006F4F79"/>
    <w:rsid w:val="0070116B"/>
    <w:rsid w:val="00705B37"/>
    <w:rsid w:val="00707C1F"/>
    <w:rsid w:val="00711FD9"/>
    <w:rsid w:val="00735062"/>
    <w:rsid w:val="00742944"/>
    <w:rsid w:val="00746BA5"/>
    <w:rsid w:val="007471E6"/>
    <w:rsid w:val="00751D23"/>
    <w:rsid w:val="007544D0"/>
    <w:rsid w:val="007603CD"/>
    <w:rsid w:val="00761CD5"/>
    <w:rsid w:val="00770577"/>
    <w:rsid w:val="00777666"/>
    <w:rsid w:val="0078159B"/>
    <w:rsid w:val="00782E10"/>
    <w:rsid w:val="0078328E"/>
    <w:rsid w:val="0078706B"/>
    <w:rsid w:val="00790836"/>
    <w:rsid w:val="00797131"/>
    <w:rsid w:val="007A3612"/>
    <w:rsid w:val="007A3C1D"/>
    <w:rsid w:val="007B285D"/>
    <w:rsid w:val="007C6BC6"/>
    <w:rsid w:val="007E5CC8"/>
    <w:rsid w:val="007F24D4"/>
    <w:rsid w:val="00801DCC"/>
    <w:rsid w:val="00807D79"/>
    <w:rsid w:val="00813634"/>
    <w:rsid w:val="00815F22"/>
    <w:rsid w:val="00822821"/>
    <w:rsid w:val="00822DB0"/>
    <w:rsid w:val="00824D32"/>
    <w:rsid w:val="00831C29"/>
    <w:rsid w:val="008431EF"/>
    <w:rsid w:val="008468E0"/>
    <w:rsid w:val="008565D7"/>
    <w:rsid w:val="00871B59"/>
    <w:rsid w:val="00877D03"/>
    <w:rsid w:val="00877E96"/>
    <w:rsid w:val="008806CA"/>
    <w:rsid w:val="008815E5"/>
    <w:rsid w:val="00883211"/>
    <w:rsid w:val="00887B37"/>
    <w:rsid w:val="008909B9"/>
    <w:rsid w:val="00891DFC"/>
    <w:rsid w:val="008A1382"/>
    <w:rsid w:val="008B12B4"/>
    <w:rsid w:val="008B7914"/>
    <w:rsid w:val="008C5D2A"/>
    <w:rsid w:val="008C7AF4"/>
    <w:rsid w:val="008D36B7"/>
    <w:rsid w:val="008D4C93"/>
    <w:rsid w:val="008D529F"/>
    <w:rsid w:val="008E07EB"/>
    <w:rsid w:val="008E0F82"/>
    <w:rsid w:val="008F5CC8"/>
    <w:rsid w:val="009061B8"/>
    <w:rsid w:val="0091008B"/>
    <w:rsid w:val="00911EA2"/>
    <w:rsid w:val="00916C7D"/>
    <w:rsid w:val="0092575D"/>
    <w:rsid w:val="009341DA"/>
    <w:rsid w:val="00936EC6"/>
    <w:rsid w:val="009430F9"/>
    <w:rsid w:val="00943E02"/>
    <w:rsid w:val="009442E8"/>
    <w:rsid w:val="00946BD0"/>
    <w:rsid w:val="0095426C"/>
    <w:rsid w:val="00970087"/>
    <w:rsid w:val="00971074"/>
    <w:rsid w:val="00995D86"/>
    <w:rsid w:val="009A5453"/>
    <w:rsid w:val="009B4D94"/>
    <w:rsid w:val="009C2871"/>
    <w:rsid w:val="009D3C33"/>
    <w:rsid w:val="009D7F3A"/>
    <w:rsid w:val="009E069E"/>
    <w:rsid w:val="009E4885"/>
    <w:rsid w:val="00A07DB6"/>
    <w:rsid w:val="00A10A73"/>
    <w:rsid w:val="00A170B3"/>
    <w:rsid w:val="00A223D5"/>
    <w:rsid w:val="00A30D12"/>
    <w:rsid w:val="00A337FC"/>
    <w:rsid w:val="00A37D1C"/>
    <w:rsid w:val="00A5453E"/>
    <w:rsid w:val="00A56F6C"/>
    <w:rsid w:val="00A6013D"/>
    <w:rsid w:val="00A76C8C"/>
    <w:rsid w:val="00A85F30"/>
    <w:rsid w:val="00A9099E"/>
    <w:rsid w:val="00A91FB7"/>
    <w:rsid w:val="00A9298F"/>
    <w:rsid w:val="00AA0351"/>
    <w:rsid w:val="00AA5F4A"/>
    <w:rsid w:val="00AA7EDE"/>
    <w:rsid w:val="00AB1984"/>
    <w:rsid w:val="00AB52B1"/>
    <w:rsid w:val="00AC4CB3"/>
    <w:rsid w:val="00AC55F0"/>
    <w:rsid w:val="00AC780D"/>
    <w:rsid w:val="00AD036B"/>
    <w:rsid w:val="00AD0D49"/>
    <w:rsid w:val="00AD1996"/>
    <w:rsid w:val="00AD4099"/>
    <w:rsid w:val="00AD4901"/>
    <w:rsid w:val="00AD65D6"/>
    <w:rsid w:val="00B02FE0"/>
    <w:rsid w:val="00B057B6"/>
    <w:rsid w:val="00B16A78"/>
    <w:rsid w:val="00B30448"/>
    <w:rsid w:val="00B34786"/>
    <w:rsid w:val="00B34BA4"/>
    <w:rsid w:val="00B400EC"/>
    <w:rsid w:val="00B40162"/>
    <w:rsid w:val="00B41ACE"/>
    <w:rsid w:val="00B50156"/>
    <w:rsid w:val="00B518AD"/>
    <w:rsid w:val="00B53A72"/>
    <w:rsid w:val="00B60A96"/>
    <w:rsid w:val="00B678EC"/>
    <w:rsid w:val="00B76C94"/>
    <w:rsid w:val="00B772D0"/>
    <w:rsid w:val="00B836EA"/>
    <w:rsid w:val="00B84C05"/>
    <w:rsid w:val="00B91B81"/>
    <w:rsid w:val="00B97135"/>
    <w:rsid w:val="00BB2E33"/>
    <w:rsid w:val="00BB3072"/>
    <w:rsid w:val="00BB7089"/>
    <w:rsid w:val="00BC4F89"/>
    <w:rsid w:val="00BC7632"/>
    <w:rsid w:val="00BD48A9"/>
    <w:rsid w:val="00BD630F"/>
    <w:rsid w:val="00BD7EC6"/>
    <w:rsid w:val="00BE3BF9"/>
    <w:rsid w:val="00BE73FA"/>
    <w:rsid w:val="00BF6B4B"/>
    <w:rsid w:val="00C0305E"/>
    <w:rsid w:val="00C0511C"/>
    <w:rsid w:val="00C17C0E"/>
    <w:rsid w:val="00C20ACF"/>
    <w:rsid w:val="00C22307"/>
    <w:rsid w:val="00C22628"/>
    <w:rsid w:val="00C23469"/>
    <w:rsid w:val="00C24878"/>
    <w:rsid w:val="00C30C62"/>
    <w:rsid w:val="00C371DF"/>
    <w:rsid w:val="00C42055"/>
    <w:rsid w:val="00C44B4C"/>
    <w:rsid w:val="00C46734"/>
    <w:rsid w:val="00C4713B"/>
    <w:rsid w:val="00C47A86"/>
    <w:rsid w:val="00C53220"/>
    <w:rsid w:val="00C65C88"/>
    <w:rsid w:val="00C70108"/>
    <w:rsid w:val="00C72084"/>
    <w:rsid w:val="00C72DDF"/>
    <w:rsid w:val="00C835AB"/>
    <w:rsid w:val="00CA3347"/>
    <w:rsid w:val="00CC299A"/>
    <w:rsid w:val="00CD03E3"/>
    <w:rsid w:val="00CE1CE8"/>
    <w:rsid w:val="00CE6BDA"/>
    <w:rsid w:val="00CF4566"/>
    <w:rsid w:val="00D03DBE"/>
    <w:rsid w:val="00D072C0"/>
    <w:rsid w:val="00D179A8"/>
    <w:rsid w:val="00D23E53"/>
    <w:rsid w:val="00D34C82"/>
    <w:rsid w:val="00D3757A"/>
    <w:rsid w:val="00D504A9"/>
    <w:rsid w:val="00D5206D"/>
    <w:rsid w:val="00D613CD"/>
    <w:rsid w:val="00D67299"/>
    <w:rsid w:val="00D7177D"/>
    <w:rsid w:val="00D765AF"/>
    <w:rsid w:val="00D81311"/>
    <w:rsid w:val="00DB201E"/>
    <w:rsid w:val="00DC0E68"/>
    <w:rsid w:val="00DC3126"/>
    <w:rsid w:val="00DC4821"/>
    <w:rsid w:val="00DC70CF"/>
    <w:rsid w:val="00DD25ED"/>
    <w:rsid w:val="00DE0D6E"/>
    <w:rsid w:val="00DF7E02"/>
    <w:rsid w:val="00E1168C"/>
    <w:rsid w:val="00E12773"/>
    <w:rsid w:val="00E1610C"/>
    <w:rsid w:val="00E16D73"/>
    <w:rsid w:val="00E23415"/>
    <w:rsid w:val="00E23E9E"/>
    <w:rsid w:val="00E25722"/>
    <w:rsid w:val="00E26C15"/>
    <w:rsid w:val="00E27F0A"/>
    <w:rsid w:val="00E4231E"/>
    <w:rsid w:val="00E4302C"/>
    <w:rsid w:val="00E4467D"/>
    <w:rsid w:val="00E44AC7"/>
    <w:rsid w:val="00E45F4B"/>
    <w:rsid w:val="00E60A16"/>
    <w:rsid w:val="00E82B6E"/>
    <w:rsid w:val="00E94258"/>
    <w:rsid w:val="00E96C18"/>
    <w:rsid w:val="00EA2E61"/>
    <w:rsid w:val="00EA4E95"/>
    <w:rsid w:val="00EA7D7F"/>
    <w:rsid w:val="00EB02F4"/>
    <w:rsid w:val="00EB2FA2"/>
    <w:rsid w:val="00EB769A"/>
    <w:rsid w:val="00EC3A35"/>
    <w:rsid w:val="00ED20D7"/>
    <w:rsid w:val="00EE17F2"/>
    <w:rsid w:val="00EE3138"/>
    <w:rsid w:val="00EF2AC7"/>
    <w:rsid w:val="00EF400A"/>
    <w:rsid w:val="00EF6BE4"/>
    <w:rsid w:val="00EF6E5D"/>
    <w:rsid w:val="00F047B7"/>
    <w:rsid w:val="00F07764"/>
    <w:rsid w:val="00F12517"/>
    <w:rsid w:val="00F131DD"/>
    <w:rsid w:val="00F16BA1"/>
    <w:rsid w:val="00F24435"/>
    <w:rsid w:val="00F30C0F"/>
    <w:rsid w:val="00F314E8"/>
    <w:rsid w:val="00F323A2"/>
    <w:rsid w:val="00F33B57"/>
    <w:rsid w:val="00F33D5C"/>
    <w:rsid w:val="00F34E90"/>
    <w:rsid w:val="00F356D6"/>
    <w:rsid w:val="00F40284"/>
    <w:rsid w:val="00F53BE2"/>
    <w:rsid w:val="00F53D95"/>
    <w:rsid w:val="00F55684"/>
    <w:rsid w:val="00F61F8C"/>
    <w:rsid w:val="00F64D5A"/>
    <w:rsid w:val="00F709CD"/>
    <w:rsid w:val="00F906F4"/>
    <w:rsid w:val="00F96ED6"/>
    <w:rsid w:val="00FA0716"/>
    <w:rsid w:val="00FB0E40"/>
    <w:rsid w:val="00FB4629"/>
    <w:rsid w:val="00FB6DB2"/>
    <w:rsid w:val="00FB6FB1"/>
    <w:rsid w:val="00FB7063"/>
    <w:rsid w:val="00FC43BA"/>
    <w:rsid w:val="00FC5D25"/>
    <w:rsid w:val="00FC7056"/>
    <w:rsid w:val="00FD087F"/>
    <w:rsid w:val="00FE1A00"/>
    <w:rsid w:val="00FE2412"/>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paragraph" w:customStyle="1" w:styleId="footnotedescription">
    <w:name w:val="footnote description"/>
    <w:next w:val="Normal"/>
    <w:link w:val="footnotedescriptionChar"/>
    <w:hidden/>
    <w:rsid w:val="00DF7E02"/>
    <w:pPr>
      <w:spacing w:after="0" w:line="250" w:lineRule="auto"/>
      <w:ind w:firstLine="708"/>
    </w:pPr>
    <w:rPr>
      <w:rFonts w:ascii="Verdana" w:eastAsia="Verdana" w:hAnsi="Verdana" w:cs="Verdana"/>
      <w:color w:val="000000"/>
      <w:kern w:val="2"/>
      <w:sz w:val="18"/>
      <w:szCs w:val="24"/>
      <w:lang w:eastAsia="es-CO"/>
      <w14:ligatures w14:val="standardContextual"/>
    </w:rPr>
  </w:style>
  <w:style w:type="character" w:customStyle="1" w:styleId="footnotedescriptionChar">
    <w:name w:val="footnote description Char"/>
    <w:link w:val="footnotedescription"/>
    <w:rsid w:val="00DF7E02"/>
    <w:rPr>
      <w:rFonts w:ascii="Verdana" w:eastAsia="Verdana" w:hAnsi="Verdana" w:cs="Verdana"/>
      <w:color w:val="000000"/>
      <w:kern w:val="2"/>
      <w:sz w:val="18"/>
      <w:szCs w:val="24"/>
      <w:lang w:eastAsia="es-CO"/>
      <w14:ligatures w14:val="standardContextual"/>
    </w:rPr>
  </w:style>
  <w:style w:type="character" w:customStyle="1" w:styleId="footnotemark">
    <w:name w:val="footnote mark"/>
    <w:hidden/>
    <w:rsid w:val="00DF7E02"/>
    <w:rPr>
      <w:rFonts w:ascii="Verdana" w:eastAsia="Verdana" w:hAnsi="Verdana" w:cs="Verdana"/>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latoria.colombiacompra.gov.co/normativa/decreto-1082-de-2015/" TargetMode="External"/><Relationship Id="rId18" Type="http://schemas.openxmlformats.org/officeDocument/2006/relationships/hyperlink" Target="https://relatoria.colombiacompra.gov.co/normativa/ley-2069-de-2020/" TargetMode="External"/><Relationship Id="rId26" Type="http://schemas.openxmlformats.org/officeDocument/2006/relationships/hyperlink" Target="https://relatoria.colombiacompra.gov.co/normativa/ley-80-de-1993/" TargetMode="External"/><Relationship Id="rId3" Type="http://schemas.openxmlformats.org/officeDocument/2006/relationships/customXml" Target="../customXml/item3.xml"/><Relationship Id="rId21" Type="http://schemas.openxmlformats.org/officeDocument/2006/relationships/hyperlink" Target="https://relatoria.colombiacompra.gov.co/normativa/decreto-1860-de-202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elatoria.colombiacompra.gov.co/normativa/ley-2069-de-2020/" TargetMode="External"/><Relationship Id="rId25" Type="http://schemas.openxmlformats.org/officeDocument/2006/relationships/hyperlink" Target="https://relatoria.colombiacompra.gov.co/normativa/constitucion-politica-de-colombia/"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latoria.colombiacompra.gov.co/normativa/ley-2069-de-2020/" TargetMode="External"/><Relationship Id="rId20" Type="http://schemas.openxmlformats.org/officeDocument/2006/relationships/hyperlink" Target="https://relatoria.colombiacompra.gov.co/normativa/decreto-1860-de-2021/" TargetMode="External"/><Relationship Id="rId29" Type="http://schemas.openxmlformats.org/officeDocument/2006/relationships/hyperlink" Target="https://relatoria.colombiacompra.gov.co/normativa/codi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cabulaj@gmail.com" TargetMode="External"/><Relationship Id="rId24" Type="http://schemas.openxmlformats.org/officeDocument/2006/relationships/hyperlink" Target="https://relatoria.colombiacompra.gov.co/normativa/constitucion" TargetMode="External"/><Relationship Id="rId32"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hyperlink" Target="https://relatoria.colombiacompra.gov.co/normativa/ley-222-de-1995/" TargetMode="External"/><Relationship Id="rId28" Type="http://schemas.openxmlformats.org/officeDocument/2006/relationships/hyperlink" Target="https://relatoria.colombiacompra.gov.co/normativa/codigo-de-comercio-decreto-410-de-197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latoria.colombiacompra.gov.co/normativa/decreto-1860-de-2021/" TargetMode="External"/><Relationship Id="rId31" Type="http://schemas.openxmlformats.org/officeDocument/2006/relationships/hyperlink" Target="https://nam02.safelinks.protection.outlook.com/?url=https%3A%2F%2Fwww.colombiacompra.gov.co%2Fsala-de-prensa%2Fboletin-digital%2Fboletin-de-relatoria-2024-vi-modalidad-de-seleccion-de-seleccion-de&amp;data=05%7C02%7Cgloria.moreno%40colombiacompra.gov.co%7Cbfe984f445ba489d3fc108dcf2b8281e%7C7b09041e245149d08cb179d5e3d8c1be%7C0%7C0%7C638652119980065032%7CUnknown%7CTWFpbGZsb3d8eyJWIjoiMC4wLjAwMDAiLCJQIjoiV2luMzIiLCJBTiI6Ik1haWwiLCJXVCI6Mn0%3D%7C0%7C%7C%7C&amp;sdata=eLnltF5PVRl322Oc7%2BmdnvwSt%2Ff71seQ8gEbGGEAKM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decreto-1082-de-2015/" TargetMode="External"/><Relationship Id="rId22" Type="http://schemas.openxmlformats.org/officeDocument/2006/relationships/hyperlink" Target="https://relatoria.colombiacompra.gov.co/normativa/ley-222-de-1995/" TargetMode="External"/><Relationship Id="rId27" Type="http://schemas.openxmlformats.org/officeDocument/2006/relationships/hyperlink" Target="https://relatoria.colombiacompra.gov.co/normativa/codigo-de" TargetMode="External"/><Relationship Id="rId30" Type="http://schemas.openxmlformats.org/officeDocument/2006/relationships/hyperlink" Target="https://relatoria.colombiacompra.gov.co/normativa/codigo-sustantivo-del-trabajo/"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supersociedades.gov.co/Noticias/Publicaciones/Revistas/2020/GUIA-GOBIERNO-CORPORATIVO-2020.pdf" TargetMode="External"/><Relationship Id="rId2" Type="http://schemas.openxmlformats.org/officeDocument/2006/relationships/hyperlink" Target="https://www.superfinanciera.gov.co/inicio/industrias-supervisadas/gobierno-corporativo/codigo-pais-61162" TargetMode="External"/><Relationship Id="rId1" Type="http://schemas.openxmlformats.org/officeDocument/2006/relationships/hyperlink" Target="https://www.superfinanciera.gov.co/inicio/industrias-supervisadas/gobierno-corporativo/codigo-pais-61162" TargetMode="External"/><Relationship Id="rId4" Type="http://schemas.openxmlformats.org/officeDocument/2006/relationships/hyperlink" Target="https://www.supersociedades.gov.co/Noticias/Publicaciones/Revistas/2020/GUIA-GOBIERNO-CORPORATIVO-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3599</Words>
  <Characters>19798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Santiago Alberto Herrera Morillo</cp:lastModifiedBy>
  <cp:revision>12</cp:revision>
  <dcterms:created xsi:type="dcterms:W3CDTF">2024-10-29T21:40:00Z</dcterms:created>
  <dcterms:modified xsi:type="dcterms:W3CDTF">2024-11-19T20:41:00Z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