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650DC" w14:textId="77777777" w:rsidR="002D17CA" w:rsidRDefault="002D17CA" w:rsidP="00E245AB">
      <w:pPr>
        <w:spacing w:after="0"/>
        <w:rPr>
          <w:rFonts w:ascii="Verdana" w:hAnsi="Verdana"/>
        </w:rPr>
      </w:pPr>
      <w:bookmarkStart w:id="0" w:name="_Hlk143780582"/>
    </w:p>
    <w:p w14:paraId="4EB48C9E" w14:textId="77777777" w:rsidR="002D17CA" w:rsidRDefault="002D17CA" w:rsidP="002D17CA">
      <w:pPr>
        <w:rPr>
          <w:rFonts w:ascii="Verdana" w:hAnsi="Verdana"/>
        </w:rPr>
      </w:pPr>
    </w:p>
    <w:p w14:paraId="08BE329C" w14:textId="0CCF38BC" w:rsidR="002D17CA" w:rsidRPr="00F737A7" w:rsidRDefault="002D17CA" w:rsidP="002D17CA">
      <w:pPr>
        <w:tabs>
          <w:tab w:val="left" w:pos="3374"/>
        </w:tabs>
        <w:spacing w:after="0" w:line="240" w:lineRule="auto"/>
        <w:jc w:val="both"/>
        <w:rPr>
          <w:rFonts w:ascii="Arial" w:eastAsia="Arial" w:hAnsi="Arial" w:cs="Arial"/>
          <w:b/>
          <w:bCs/>
          <w:lang w:val="es-ES"/>
        </w:rPr>
      </w:pPr>
      <w:r w:rsidRPr="00F737A7">
        <w:rPr>
          <w:rFonts w:ascii="Arial" w:eastAsia="Arial" w:hAnsi="Arial" w:cs="Arial"/>
          <w:b/>
          <w:bCs/>
          <w:lang w:val="es-ES"/>
        </w:rPr>
        <w:t>BIENES O SERVICIOS DE CARACTERÍSTICAS TÉCNICAS UNIFORMES Y DE COMÚN UTILIZACIÓN – Noción – Fundamentos jurídicos – Elementos</w:t>
      </w:r>
    </w:p>
    <w:p w14:paraId="03A841F9" w14:textId="77777777" w:rsidR="002D17CA" w:rsidRPr="005C5E92" w:rsidRDefault="002D17CA" w:rsidP="002D17CA">
      <w:pPr>
        <w:tabs>
          <w:tab w:val="left" w:pos="3374"/>
        </w:tabs>
        <w:spacing w:after="0" w:line="240" w:lineRule="auto"/>
        <w:jc w:val="both"/>
        <w:rPr>
          <w:rFonts w:ascii="Arial" w:eastAsia="Arial" w:hAnsi="Arial" w:cs="Arial"/>
          <w:b/>
          <w:bCs/>
          <w:sz w:val="20"/>
          <w:szCs w:val="20"/>
          <w:lang w:val="es-ES"/>
        </w:rPr>
      </w:pPr>
    </w:p>
    <w:p w14:paraId="68F7A2E1" w14:textId="77777777" w:rsidR="002D17CA" w:rsidRPr="005C5E92" w:rsidRDefault="002D17CA" w:rsidP="002D17CA">
      <w:pPr>
        <w:tabs>
          <w:tab w:val="left" w:pos="3374"/>
        </w:tabs>
        <w:spacing w:after="0" w:line="240" w:lineRule="auto"/>
        <w:jc w:val="both"/>
        <w:rPr>
          <w:rFonts w:ascii="Arial" w:eastAsia="Arial" w:hAnsi="Arial" w:cs="Arial"/>
          <w:sz w:val="20"/>
          <w:szCs w:val="20"/>
          <w:lang w:val="es-ES"/>
        </w:rPr>
      </w:pPr>
      <w:r w:rsidRPr="005C5E92">
        <w:rPr>
          <w:rFonts w:ascii="Arial" w:eastAsia="Arial" w:hAnsi="Arial" w:cs="Arial"/>
          <w:sz w:val="20"/>
          <w:szCs w:val="20"/>
          <w:lang w:val="es-ES"/>
        </w:rPr>
        <w:t>[…] la Ley 1150 de 2007 –artículo 2, numeral 2, literal a)– estableció que los bienes y servicios de características técnicas uniformes son aquellos que poseen las mismas especificaciones técnicas y comparten patrones de desempeño y calidad objetivamente definidas, con independencia de su diseño o de sus características descriptivas.</w:t>
      </w:r>
    </w:p>
    <w:p w14:paraId="7F307F21" w14:textId="77777777" w:rsidR="002D17CA" w:rsidRPr="005C5E92" w:rsidRDefault="002D17CA" w:rsidP="002D17CA">
      <w:pPr>
        <w:tabs>
          <w:tab w:val="left" w:pos="3374"/>
        </w:tabs>
        <w:spacing w:after="0" w:line="240" w:lineRule="auto"/>
        <w:jc w:val="both"/>
        <w:rPr>
          <w:rFonts w:ascii="Arial" w:eastAsia="Arial" w:hAnsi="Arial" w:cs="Arial"/>
          <w:sz w:val="20"/>
          <w:szCs w:val="20"/>
          <w:lang w:val="es-ES"/>
        </w:rPr>
      </w:pPr>
    </w:p>
    <w:p w14:paraId="028A1CB0" w14:textId="77777777" w:rsidR="002D17CA" w:rsidRPr="005C5E92" w:rsidRDefault="002D17CA" w:rsidP="002D17CA">
      <w:pPr>
        <w:tabs>
          <w:tab w:val="left" w:pos="3374"/>
        </w:tabs>
        <w:spacing w:after="0" w:line="240" w:lineRule="auto"/>
        <w:jc w:val="both"/>
        <w:rPr>
          <w:rFonts w:ascii="Arial" w:eastAsia="Arial" w:hAnsi="Arial" w:cs="Arial"/>
          <w:sz w:val="20"/>
          <w:szCs w:val="20"/>
          <w:lang w:val="es-ES"/>
        </w:rPr>
      </w:pPr>
      <w:r w:rsidRPr="005C5E92">
        <w:rPr>
          <w:rFonts w:ascii="Arial" w:eastAsia="Arial" w:hAnsi="Arial" w:cs="Arial"/>
          <w:sz w:val="20"/>
          <w:szCs w:val="20"/>
          <w:lang w:val="es-ES"/>
        </w:rPr>
        <w:t xml:space="preserve">En armonía con la disposición anterior, el artículo 2.2.1.1.1.3.1 del Decreto 1082 de 2015 desarrolló el concepto de «bienes y servicios de características técnicas uniformes» en los siguientes términos: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  </w:t>
      </w:r>
    </w:p>
    <w:p w14:paraId="077B3D9E" w14:textId="77777777" w:rsidR="002D17CA" w:rsidRPr="005C5E92" w:rsidRDefault="002D17CA" w:rsidP="002D17CA">
      <w:pPr>
        <w:tabs>
          <w:tab w:val="left" w:pos="3374"/>
        </w:tabs>
        <w:spacing w:after="0" w:line="240" w:lineRule="auto"/>
        <w:jc w:val="both"/>
        <w:rPr>
          <w:rFonts w:ascii="Arial" w:eastAsia="Arial" w:hAnsi="Arial" w:cs="Arial"/>
          <w:sz w:val="20"/>
          <w:szCs w:val="20"/>
          <w:lang w:val="es-ES"/>
        </w:rPr>
      </w:pPr>
    </w:p>
    <w:p w14:paraId="1DF79A4A" w14:textId="77777777" w:rsidR="002D17CA" w:rsidRPr="005C5E92" w:rsidRDefault="002D17CA" w:rsidP="002D17CA">
      <w:pPr>
        <w:tabs>
          <w:tab w:val="left" w:pos="3374"/>
        </w:tabs>
        <w:spacing w:after="0" w:line="240" w:lineRule="auto"/>
        <w:jc w:val="both"/>
        <w:rPr>
          <w:rFonts w:ascii="Arial" w:eastAsia="Arial" w:hAnsi="Arial" w:cs="Arial"/>
          <w:sz w:val="20"/>
          <w:szCs w:val="20"/>
          <w:lang w:val="es-ES"/>
        </w:rPr>
      </w:pPr>
      <w:r w:rsidRPr="005C5E92">
        <w:rPr>
          <w:rFonts w:ascii="Arial" w:eastAsia="Arial" w:hAnsi="Arial" w:cs="Arial"/>
          <w:sz w:val="20"/>
          <w:szCs w:val="20"/>
          <w:lang w:val="es-ES"/>
        </w:rPr>
        <w:t>[…] los elementos centrales para definir si un bien o servicio se considera de características técnicas uniformes consiste en que posea las mismas especificaciones técnicas y compartan patrones de desempeño y calidad objetivamente definidos, de manera que es posible adquirirlos en el mercado en condiciones estandarizadas u homogéneas, con independencia de su diseño o de sus características descriptivas, que no afectan su funcionalidad. En este sentido, la forma como se adquieren en el mercado incide en la determinación si un bien o servicio encaja en esta categoría, de ahí que el Decreto 1082 de 2015 señale que «pueden ser agrupados como bienes y servicios homogéneos para su adquisición», dado que son bienes y servicio con especificaciones técnicas y patrones de desempeño y calidad iguales o similares.</w:t>
      </w:r>
    </w:p>
    <w:p w14:paraId="704078C9" w14:textId="3EE6C2B8" w:rsidR="002D17CA" w:rsidRPr="002D17CA" w:rsidRDefault="002D17CA">
      <w:pPr>
        <w:rPr>
          <w:rFonts w:ascii="Verdana" w:hAnsi="Verdana"/>
          <w:lang w:val="es-ES"/>
        </w:rPr>
      </w:pPr>
    </w:p>
    <w:p w14:paraId="1FC4432B" w14:textId="77777777" w:rsidR="002D17CA" w:rsidRDefault="002D17CA" w:rsidP="002D17CA">
      <w:pPr>
        <w:rPr>
          <w:rFonts w:ascii="Verdana" w:hAnsi="Verdana"/>
        </w:rPr>
      </w:pPr>
    </w:p>
    <w:p w14:paraId="1ED5BCF1" w14:textId="77777777" w:rsidR="002D17CA" w:rsidRDefault="002D17CA">
      <w:pPr>
        <w:rPr>
          <w:rFonts w:ascii="Verdana" w:hAnsi="Verdana"/>
        </w:rPr>
      </w:pPr>
      <w:r>
        <w:rPr>
          <w:rFonts w:ascii="Verdana" w:hAnsi="Verdana"/>
        </w:rPr>
        <w:br w:type="page"/>
      </w:r>
    </w:p>
    <w:p w14:paraId="3FE2184B" w14:textId="14BE6C18" w:rsidR="00E245AB" w:rsidRPr="0044528D" w:rsidRDefault="00E245AB" w:rsidP="002D17CA">
      <w:pPr>
        <w:rPr>
          <w:rFonts w:ascii="Verdana" w:hAnsi="Verdana"/>
        </w:rPr>
      </w:pPr>
      <w:r w:rsidRPr="0044528D">
        <w:rPr>
          <w:rFonts w:ascii="Verdana" w:hAnsi="Verdana"/>
        </w:rPr>
        <w:lastRenderedPageBreak/>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r w:rsidR="00891928" w:rsidRPr="0044528D">
        <w:rPr>
          <w:rFonts w:ascii="Verdana" w:hAnsi="Verdana"/>
        </w:rPr>
        <w:tab/>
      </w:r>
    </w:p>
    <w:bookmarkEnd w:id="0"/>
    <w:p w14:paraId="47E41C09" w14:textId="50C98C9C" w:rsidR="001C4F6B" w:rsidRDefault="00391120" w:rsidP="00322A85">
      <w:pPr>
        <w:spacing w:after="0" w:line="240" w:lineRule="auto"/>
        <w:textAlignment w:val="baseline"/>
        <w:rPr>
          <w:rFonts w:ascii="Verdana" w:hAnsi="Verdana"/>
        </w:rPr>
      </w:pPr>
      <w:r>
        <w:rPr>
          <w:rFonts w:ascii="Verdana" w:hAnsi="Verdana"/>
        </w:rPr>
        <w:t xml:space="preserve">                                                                             </w:t>
      </w:r>
    </w:p>
    <w:p w14:paraId="72016492" w14:textId="5F240DD1" w:rsidR="002818CB" w:rsidRDefault="00391120" w:rsidP="00322A85">
      <w:pPr>
        <w:spacing w:after="0" w:line="240" w:lineRule="auto"/>
        <w:textAlignment w:val="baseline"/>
        <w:rPr>
          <w:rFonts w:ascii="Verdana" w:hAnsi="Verdana"/>
        </w:rPr>
      </w:pPr>
      <w:r w:rsidRPr="00391120">
        <w:rPr>
          <w:rFonts w:ascii="Verdana" w:hAnsi="Verdana"/>
          <w:noProof/>
        </w:rPr>
        <w:drawing>
          <wp:anchor distT="0" distB="0" distL="114300" distR="114300" simplePos="0" relativeHeight="251658240" behindDoc="1" locked="0" layoutInCell="1" allowOverlap="1" wp14:anchorId="6996FFDF" wp14:editId="7320BF38">
            <wp:simplePos x="0" y="0"/>
            <wp:positionH relativeFrom="margin">
              <wp:align>right</wp:align>
            </wp:positionH>
            <wp:positionV relativeFrom="paragraph">
              <wp:posOffset>5715</wp:posOffset>
            </wp:positionV>
            <wp:extent cx="2744470" cy="869950"/>
            <wp:effectExtent l="0" t="0" r="0" b="6350"/>
            <wp:wrapTight wrapText="bothSides">
              <wp:wrapPolygon edited="0">
                <wp:start x="0" y="0"/>
                <wp:lineTo x="0" y="21285"/>
                <wp:lineTo x="21440" y="21285"/>
                <wp:lineTo x="21440" y="0"/>
                <wp:lineTo x="0" y="0"/>
              </wp:wrapPolygon>
            </wp:wrapTight>
            <wp:docPr id="35731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6171" cy="87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8CB">
        <w:rPr>
          <w:rFonts w:ascii="Verdana" w:hAnsi="Verdana"/>
        </w:rPr>
        <w:t xml:space="preserve">Señor </w:t>
      </w:r>
    </w:p>
    <w:p w14:paraId="2B70E62A" w14:textId="77777777" w:rsidR="002818CB" w:rsidRDefault="002818CB" w:rsidP="00322A85">
      <w:pPr>
        <w:spacing w:after="0" w:line="240" w:lineRule="auto"/>
        <w:textAlignment w:val="baseline"/>
        <w:rPr>
          <w:rFonts w:ascii="Verdana" w:hAnsi="Verdana"/>
          <w:b/>
          <w:bCs/>
        </w:rPr>
      </w:pPr>
      <w:r>
        <w:rPr>
          <w:rFonts w:ascii="Verdana" w:hAnsi="Verdana"/>
          <w:b/>
          <w:bCs/>
        </w:rPr>
        <w:t>Nelson Ferney Romero Segura</w:t>
      </w:r>
    </w:p>
    <w:p w14:paraId="108C34C7" w14:textId="77777777" w:rsidR="00BA696F" w:rsidRDefault="00BA696F" w:rsidP="00322A85">
      <w:pPr>
        <w:spacing w:after="0" w:line="240" w:lineRule="auto"/>
        <w:textAlignment w:val="baseline"/>
        <w:rPr>
          <w:rFonts w:ascii="Verdana" w:hAnsi="Verdana"/>
        </w:rPr>
      </w:pPr>
      <w:hyperlink r:id="rId12" w:history="1">
        <w:r w:rsidRPr="00924098">
          <w:rPr>
            <w:rStyle w:val="Hipervnculo"/>
            <w:rFonts w:ascii="Verdana" w:hAnsi="Verdana"/>
          </w:rPr>
          <w:t>Soujiro25ls@me.com</w:t>
        </w:r>
      </w:hyperlink>
      <w:r>
        <w:rPr>
          <w:rFonts w:ascii="Verdana" w:hAnsi="Verdana"/>
        </w:rPr>
        <w:t xml:space="preserve"> </w:t>
      </w:r>
    </w:p>
    <w:p w14:paraId="580861F0" w14:textId="77777777" w:rsidR="00BA696F" w:rsidRDefault="00BA696F" w:rsidP="00322A85">
      <w:pPr>
        <w:spacing w:after="0" w:line="240" w:lineRule="auto"/>
        <w:textAlignment w:val="baseline"/>
        <w:rPr>
          <w:rFonts w:ascii="Verdana" w:hAnsi="Verdana"/>
        </w:rPr>
      </w:pPr>
      <w:r>
        <w:rPr>
          <w:rFonts w:ascii="Verdana" w:hAnsi="Verdana"/>
        </w:rPr>
        <w:t xml:space="preserve">Villavicencio, Meta </w:t>
      </w:r>
    </w:p>
    <w:p w14:paraId="6B1490C7" w14:textId="77777777" w:rsidR="00BA696F" w:rsidRDefault="00BA696F" w:rsidP="00322A85">
      <w:pPr>
        <w:spacing w:after="0" w:line="240" w:lineRule="auto"/>
        <w:textAlignment w:val="baseline"/>
        <w:rPr>
          <w:rFonts w:ascii="Verdana" w:hAnsi="Verdana"/>
        </w:rPr>
      </w:pPr>
    </w:p>
    <w:tbl>
      <w:tblPr>
        <w:tblStyle w:val="Tablaconcuadrcula"/>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gridCol w:w="388"/>
      </w:tblGrid>
      <w:tr w:rsidR="00A468DE" w:rsidRPr="00413568" w14:paraId="04F35C7B" w14:textId="77777777" w:rsidTr="00501F1E">
        <w:trPr>
          <w:trHeight w:val="902"/>
        </w:trPr>
        <w:tc>
          <w:tcPr>
            <w:tcW w:w="8931" w:type="dxa"/>
          </w:tcPr>
          <w:p w14:paraId="40A718E6" w14:textId="77777777" w:rsidR="00A468DE" w:rsidRPr="00413568" w:rsidRDefault="00A468DE" w:rsidP="008D09E6">
            <w:pPr>
              <w:jc w:val="both"/>
              <w:rPr>
                <w:rFonts w:ascii="Verdana" w:eastAsia="Calibri" w:hAnsi="Verdana" w:cs="Arial"/>
                <w:lang w:val="es-ES_tradnl" w:eastAsia="es-ES_tradnl"/>
              </w:rPr>
            </w:pPr>
            <w:r w:rsidRPr="00413568">
              <w:rPr>
                <w:rFonts w:ascii="Verdana" w:eastAsia="Calibri" w:hAnsi="Verdana" w:cs="Arial"/>
                <w:b/>
                <w:lang w:val="es-ES_tradnl" w:eastAsia="es-ES_tradnl"/>
              </w:rPr>
              <w:t xml:space="preserve">                         </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468DE" w:rsidRPr="00413568" w14:paraId="05D8A80E" w14:textId="77777777" w:rsidTr="008D09E6">
              <w:trPr>
                <w:trHeight w:val="458"/>
              </w:trPr>
              <w:tc>
                <w:tcPr>
                  <w:tcW w:w="2689" w:type="dxa"/>
                </w:tcPr>
                <w:p w14:paraId="65730D96" w14:textId="77777777" w:rsidR="00A468DE" w:rsidRPr="00413568" w:rsidRDefault="00A468DE" w:rsidP="008D09E6">
                  <w:pPr>
                    <w:jc w:val="both"/>
                    <w:rPr>
                      <w:rFonts w:ascii="Verdana" w:eastAsia="Calibri" w:hAnsi="Verdana" w:cs="Arial"/>
                      <w:b/>
                      <w:bCs/>
                      <w:lang w:val="es-ES_tradnl" w:eastAsia="es-ES_tradnl"/>
                    </w:rPr>
                  </w:pPr>
                </w:p>
              </w:tc>
              <w:tc>
                <w:tcPr>
                  <w:tcW w:w="6100" w:type="dxa"/>
                </w:tcPr>
                <w:p w14:paraId="09DD3220" w14:textId="457A70D2" w:rsidR="00A468DE" w:rsidRPr="00413568" w:rsidRDefault="00A468DE" w:rsidP="008D09E6">
                  <w:pPr>
                    <w:jc w:val="both"/>
                    <w:rPr>
                      <w:rFonts w:ascii="Verdana" w:eastAsia="Calibri" w:hAnsi="Verdana" w:cs="Arial"/>
                      <w:b/>
                      <w:bCs/>
                      <w:lang w:val="es-ES" w:eastAsia="es-ES"/>
                    </w:rPr>
                  </w:pPr>
                  <w:r w:rsidRPr="00413568">
                    <w:rPr>
                      <w:rFonts w:ascii="Verdana" w:eastAsia="Calibri" w:hAnsi="Verdana" w:cs="Arial"/>
                      <w:b/>
                      <w:bCs/>
                      <w:lang w:val="es-ES" w:eastAsia="es-ES"/>
                    </w:rPr>
                    <w:t xml:space="preserve">Concepto C- </w:t>
                  </w:r>
                  <w:r w:rsidR="00DF3B71">
                    <w:rPr>
                      <w:rFonts w:ascii="Verdana" w:eastAsia="Calibri" w:hAnsi="Verdana" w:cs="Arial"/>
                      <w:b/>
                      <w:bCs/>
                      <w:lang w:val="es-ES" w:eastAsia="es-ES"/>
                    </w:rPr>
                    <w:t>628</w:t>
                  </w:r>
                  <w:r>
                    <w:rPr>
                      <w:rFonts w:ascii="Verdana" w:eastAsia="Calibri" w:hAnsi="Verdana" w:cs="Arial"/>
                      <w:b/>
                      <w:bCs/>
                      <w:lang w:val="es-ES" w:eastAsia="es-ES"/>
                    </w:rPr>
                    <w:t xml:space="preserve"> de 2024</w:t>
                  </w:r>
                </w:p>
              </w:tc>
            </w:tr>
            <w:tr w:rsidR="00A468DE" w:rsidRPr="00413568" w14:paraId="21C67645" w14:textId="77777777" w:rsidTr="008D09E6">
              <w:trPr>
                <w:trHeight w:val="884"/>
              </w:trPr>
              <w:tc>
                <w:tcPr>
                  <w:tcW w:w="2689" w:type="dxa"/>
                </w:tcPr>
                <w:p w14:paraId="63B3DDED" w14:textId="77777777" w:rsidR="00A468DE" w:rsidRPr="00413568" w:rsidRDefault="00A468DE" w:rsidP="008D09E6">
                  <w:pPr>
                    <w:jc w:val="both"/>
                    <w:rPr>
                      <w:rFonts w:ascii="Verdana" w:eastAsia="Calibri" w:hAnsi="Verdana" w:cs="Arial"/>
                      <w:lang w:val="es-ES_tradnl" w:eastAsia="es-ES_tradnl"/>
                    </w:rPr>
                  </w:pPr>
                  <w:r w:rsidRPr="00413568">
                    <w:rPr>
                      <w:rFonts w:ascii="Verdana" w:eastAsia="Calibri" w:hAnsi="Verdana" w:cs="Arial"/>
                      <w:b/>
                      <w:lang w:val="es-ES_tradnl" w:eastAsia="es-ES_tradnl"/>
                    </w:rPr>
                    <w:t>Temas:</w:t>
                  </w:r>
                  <w:r w:rsidRPr="00413568">
                    <w:rPr>
                      <w:rFonts w:ascii="Verdana" w:eastAsia="Calibri" w:hAnsi="Verdana" w:cs="Arial"/>
                      <w:lang w:val="es-ES_tradnl" w:eastAsia="es-ES_tradnl"/>
                    </w:rPr>
                    <w:t xml:space="preserve">                   </w:t>
                  </w:r>
                </w:p>
              </w:tc>
              <w:tc>
                <w:tcPr>
                  <w:tcW w:w="6100" w:type="dxa"/>
                </w:tcPr>
                <w:p w14:paraId="0655B9D3" w14:textId="78664B80" w:rsidR="00A468DE" w:rsidRPr="00413568" w:rsidRDefault="00B22869" w:rsidP="008D09E6">
                  <w:pPr>
                    <w:spacing w:line="276" w:lineRule="auto"/>
                    <w:jc w:val="both"/>
                    <w:rPr>
                      <w:rFonts w:ascii="Verdana" w:hAnsi="Verdana" w:cs="Arial"/>
                      <w:bCs/>
                    </w:rPr>
                  </w:pPr>
                  <w:r>
                    <w:rPr>
                      <w:rFonts w:ascii="Verdana" w:hAnsi="Verdana" w:cs="Arial"/>
                      <w:bCs/>
                    </w:rPr>
                    <w:t>SELECCIÓN ABREVIADA</w:t>
                  </w:r>
                  <w:r w:rsidR="00A468DE" w:rsidRPr="00413568">
                    <w:rPr>
                      <w:rFonts w:ascii="Verdana" w:hAnsi="Verdana" w:cs="Arial"/>
                      <w:bCs/>
                    </w:rPr>
                    <w:t xml:space="preserve"> </w:t>
                  </w:r>
                  <w:r w:rsidR="00D214BB" w:rsidRPr="00413568">
                    <w:rPr>
                      <w:rFonts w:ascii="Verdana" w:hAnsi="Verdana" w:cs="Arial"/>
                      <w:bCs/>
                    </w:rPr>
                    <w:t xml:space="preserve">– </w:t>
                  </w:r>
                  <w:r w:rsidR="00D214BB">
                    <w:rPr>
                      <w:rFonts w:ascii="Verdana" w:hAnsi="Verdana" w:cs="Arial"/>
                      <w:bCs/>
                    </w:rPr>
                    <w:t>Modalidad</w:t>
                  </w:r>
                  <w:r w:rsidR="006771D1">
                    <w:rPr>
                      <w:rFonts w:ascii="Verdana" w:hAnsi="Verdana" w:cs="Arial"/>
                      <w:bCs/>
                    </w:rPr>
                    <w:t xml:space="preserve"> de selección – Naturaleza </w:t>
                  </w:r>
                  <w:r w:rsidR="00A468DE" w:rsidRPr="00413568">
                    <w:rPr>
                      <w:rFonts w:ascii="Verdana" w:hAnsi="Verdana" w:cs="Arial"/>
                      <w:bCs/>
                    </w:rPr>
                    <w:t xml:space="preserve">/ </w:t>
                  </w:r>
                  <w:r w:rsidR="006771D1">
                    <w:rPr>
                      <w:rFonts w:ascii="Verdana" w:hAnsi="Verdana" w:cs="Arial"/>
                      <w:bCs/>
                    </w:rPr>
                    <w:t>SELECCIÓN ABRAVIADA SUBASTA INVERSA</w:t>
                  </w:r>
                  <w:r w:rsidR="00A468DE" w:rsidRPr="00413568">
                    <w:rPr>
                      <w:rFonts w:ascii="Verdana" w:hAnsi="Verdana" w:cs="Arial"/>
                      <w:bCs/>
                    </w:rPr>
                    <w:t xml:space="preserve"> –</w:t>
                  </w:r>
                  <w:r w:rsidR="00A468DE">
                    <w:rPr>
                      <w:rFonts w:ascii="Verdana" w:hAnsi="Verdana" w:cs="Arial"/>
                      <w:bCs/>
                    </w:rPr>
                    <w:t xml:space="preserve"> </w:t>
                  </w:r>
                  <w:r w:rsidR="009C0F83">
                    <w:rPr>
                      <w:rFonts w:ascii="Verdana" w:hAnsi="Verdana" w:cs="Arial"/>
                      <w:bCs/>
                    </w:rPr>
                    <w:t>Modalidad de selección – Finalidad / SUBASTA INV</w:t>
                  </w:r>
                  <w:r w:rsidR="00513BFC">
                    <w:rPr>
                      <w:rFonts w:ascii="Verdana" w:hAnsi="Verdana" w:cs="Arial"/>
                      <w:bCs/>
                    </w:rPr>
                    <w:t xml:space="preserve">ERSA </w:t>
                  </w:r>
                  <w:r w:rsidR="006906BD">
                    <w:rPr>
                      <w:rFonts w:ascii="Verdana" w:hAnsi="Verdana" w:cs="Arial"/>
                      <w:bCs/>
                    </w:rPr>
                    <w:t>–</w:t>
                  </w:r>
                  <w:r w:rsidR="00513BFC">
                    <w:rPr>
                      <w:rFonts w:ascii="Verdana" w:hAnsi="Verdana" w:cs="Arial"/>
                      <w:bCs/>
                    </w:rPr>
                    <w:t xml:space="preserve"> </w:t>
                  </w:r>
                  <w:r w:rsidR="00683625">
                    <w:rPr>
                      <w:rFonts w:ascii="Verdana" w:hAnsi="Verdana" w:cs="Arial"/>
                      <w:bCs/>
                    </w:rPr>
                    <w:t>Artículo 2 de la Ley 1150 de 2007 – Decreto 1082 de 2015</w:t>
                  </w:r>
                </w:p>
              </w:tc>
            </w:tr>
          </w:tbl>
          <w:p w14:paraId="55B40BC2" w14:textId="77777777" w:rsidR="00A468DE" w:rsidRPr="00413568" w:rsidRDefault="00A468DE" w:rsidP="008D09E6">
            <w:pPr>
              <w:tabs>
                <w:tab w:val="left" w:pos="3768"/>
              </w:tabs>
              <w:spacing w:line="276" w:lineRule="auto"/>
              <w:jc w:val="both"/>
              <w:rPr>
                <w:rFonts w:ascii="Verdana" w:eastAsia="Calibri" w:hAnsi="Verdana" w:cs="Arial"/>
                <w:lang w:val="es-ES" w:eastAsia="es-ES"/>
              </w:rPr>
            </w:pPr>
            <w:r w:rsidRPr="00413568">
              <w:rPr>
                <w:rFonts w:ascii="Verdana" w:eastAsia="Calibri" w:hAnsi="Verdana" w:cs="Arial"/>
                <w:lang w:val="es-ES" w:eastAsia="es-ES"/>
              </w:rPr>
              <w:tab/>
            </w:r>
          </w:p>
          <w:p w14:paraId="7733F162" w14:textId="77777777" w:rsidR="00A468DE" w:rsidRPr="00413568" w:rsidRDefault="00A468DE" w:rsidP="008D09E6">
            <w:pPr>
              <w:jc w:val="both"/>
              <w:rPr>
                <w:rFonts w:ascii="Verdana" w:eastAsia="Calibri" w:hAnsi="Verdana" w:cs="Arial"/>
                <w:lang w:val="es-ES_tradnl" w:eastAsia="es-ES_tradnl"/>
              </w:rPr>
            </w:pPr>
            <w:r w:rsidRPr="00413568">
              <w:rPr>
                <w:rFonts w:ascii="Verdana" w:eastAsia="Calibri" w:hAnsi="Verdana" w:cs="Arial"/>
                <w:lang w:val="es-ES_tradnl" w:eastAsia="es-ES_tradnl"/>
              </w:rPr>
              <w:t xml:space="preserve">                                             </w:t>
            </w:r>
          </w:p>
        </w:tc>
        <w:tc>
          <w:tcPr>
            <w:tcW w:w="388" w:type="dxa"/>
          </w:tcPr>
          <w:p w14:paraId="1EC029A0" w14:textId="77777777" w:rsidR="00A468DE" w:rsidRPr="00413568" w:rsidRDefault="00A468DE" w:rsidP="008D09E6">
            <w:pPr>
              <w:spacing w:line="276" w:lineRule="auto"/>
              <w:jc w:val="both"/>
              <w:rPr>
                <w:rFonts w:ascii="Verdana" w:eastAsia="Calibri" w:hAnsi="Verdana" w:cs="Arial"/>
                <w:lang w:eastAsia="es-ES"/>
              </w:rPr>
            </w:pPr>
            <w:r w:rsidRPr="00413568">
              <w:rPr>
                <w:rFonts w:ascii="Verdana" w:eastAsia="Calibri" w:hAnsi="Verdana" w:cs="Arial"/>
                <w:lang w:eastAsia="es-ES"/>
              </w:rPr>
              <w:t xml:space="preserve">  </w:t>
            </w:r>
          </w:p>
          <w:p w14:paraId="4D099DB1" w14:textId="77777777" w:rsidR="00A468DE" w:rsidRPr="00413568" w:rsidRDefault="00A468DE" w:rsidP="008D09E6">
            <w:pPr>
              <w:spacing w:line="276" w:lineRule="auto"/>
              <w:jc w:val="both"/>
              <w:rPr>
                <w:rFonts w:ascii="Verdana" w:eastAsia="Calibri" w:hAnsi="Verdana" w:cs="Arial"/>
                <w:highlight w:val="cyan"/>
                <w:lang w:eastAsia="es-ES"/>
              </w:rPr>
            </w:pPr>
          </w:p>
        </w:tc>
      </w:tr>
      <w:tr w:rsidR="00A468DE" w:rsidRPr="00413568" w14:paraId="445D7709" w14:textId="77777777" w:rsidTr="00501F1E">
        <w:trPr>
          <w:trHeight w:val="260"/>
        </w:trPr>
        <w:tc>
          <w:tcPr>
            <w:tcW w:w="8931" w:type="dxa"/>
          </w:tcPr>
          <w:p w14:paraId="072F919C" w14:textId="0B207466" w:rsidR="00A468DE" w:rsidRPr="00413568" w:rsidRDefault="00A468DE" w:rsidP="008D09E6">
            <w:pPr>
              <w:jc w:val="both"/>
              <w:rPr>
                <w:rFonts w:ascii="Verdana" w:eastAsia="Calibri" w:hAnsi="Verdana" w:cs="Arial"/>
                <w:b/>
                <w:lang w:val="es-ES_tradnl" w:eastAsia="es-ES_tradnl"/>
              </w:rPr>
            </w:pPr>
            <w:r w:rsidRPr="00413568">
              <w:rPr>
                <w:rFonts w:ascii="Verdana" w:eastAsia="Calibri" w:hAnsi="Verdana" w:cs="Arial"/>
                <w:b/>
                <w:lang w:val="es-ES_tradnl" w:eastAsia="es-ES_tradnl"/>
              </w:rPr>
              <w:t>Radicación:</w:t>
            </w:r>
            <w:r w:rsidRPr="00413568">
              <w:rPr>
                <w:rFonts w:ascii="Verdana" w:eastAsia="Calibri" w:hAnsi="Verdana" w:cs="Arial"/>
                <w:lang w:val="es-ES_tradnl" w:eastAsia="es-ES_tradnl"/>
              </w:rPr>
              <w:t xml:space="preserve">               Respuesta a consulta con radicado No. P2</w:t>
            </w:r>
            <w:r>
              <w:rPr>
                <w:rFonts w:ascii="Verdana" w:eastAsia="Calibri" w:hAnsi="Verdana" w:cs="Arial"/>
                <w:lang w:val="es-ES_tradnl" w:eastAsia="es-ES_tradnl"/>
              </w:rPr>
              <w:t>024</w:t>
            </w:r>
            <w:r w:rsidR="00300C4E">
              <w:rPr>
                <w:rFonts w:ascii="Verdana" w:eastAsia="Calibri" w:hAnsi="Verdana" w:cs="Arial"/>
                <w:lang w:val="es-ES_tradnl" w:eastAsia="es-ES_tradnl"/>
              </w:rPr>
              <w:t>091</w:t>
            </w:r>
            <w:r w:rsidR="00AF5DA6">
              <w:rPr>
                <w:rFonts w:ascii="Verdana" w:eastAsia="Calibri" w:hAnsi="Verdana" w:cs="Arial"/>
                <w:lang w:val="es-ES_tradnl" w:eastAsia="es-ES_tradnl"/>
              </w:rPr>
              <w:t>700</w:t>
            </w:r>
            <w:r w:rsidR="00E8628A">
              <w:rPr>
                <w:rFonts w:ascii="Verdana" w:eastAsia="Calibri" w:hAnsi="Verdana" w:cs="Arial"/>
                <w:lang w:val="es-ES_tradnl" w:eastAsia="es-ES_tradnl"/>
              </w:rPr>
              <w:t>9484</w:t>
            </w:r>
          </w:p>
        </w:tc>
        <w:tc>
          <w:tcPr>
            <w:tcW w:w="388" w:type="dxa"/>
          </w:tcPr>
          <w:p w14:paraId="46F1C69E" w14:textId="77777777" w:rsidR="00A468DE" w:rsidRPr="00413568" w:rsidRDefault="00A468DE" w:rsidP="008D09E6">
            <w:pPr>
              <w:jc w:val="both"/>
              <w:rPr>
                <w:rFonts w:ascii="Verdana" w:eastAsia="Calibri" w:hAnsi="Verdana" w:cs="Arial"/>
                <w:lang w:val="es-ES_tradnl" w:eastAsia="es-ES_tradnl"/>
              </w:rPr>
            </w:pPr>
          </w:p>
        </w:tc>
      </w:tr>
    </w:tbl>
    <w:p w14:paraId="50AC73BA" w14:textId="77777777" w:rsidR="00A468DE" w:rsidRPr="00413568" w:rsidRDefault="00A468DE" w:rsidP="00A468DE">
      <w:pPr>
        <w:spacing w:after="0" w:line="240" w:lineRule="auto"/>
        <w:jc w:val="both"/>
        <w:rPr>
          <w:rFonts w:ascii="Verdana" w:eastAsia="Calibri" w:hAnsi="Verdana" w:cs="Arial"/>
          <w:highlight w:val="cyan"/>
          <w:lang w:val="es-ES_tradnl" w:eastAsia="es-ES_tradnl"/>
        </w:rPr>
      </w:pPr>
    </w:p>
    <w:p w14:paraId="02E09026" w14:textId="77777777" w:rsidR="00A468DE" w:rsidRPr="00413568" w:rsidRDefault="00A468DE" w:rsidP="00A468DE">
      <w:pPr>
        <w:spacing w:after="0" w:line="240" w:lineRule="auto"/>
        <w:jc w:val="both"/>
        <w:rPr>
          <w:rFonts w:ascii="Verdana" w:eastAsia="Calibri" w:hAnsi="Verdana" w:cs="Arial"/>
          <w:highlight w:val="cyan"/>
          <w:lang w:val="es-ES_tradnl" w:eastAsia="es-ES_tradnl"/>
        </w:rPr>
      </w:pPr>
    </w:p>
    <w:p w14:paraId="7C06B2A8" w14:textId="59428EF7" w:rsidR="00A468DE" w:rsidRPr="00413568" w:rsidRDefault="00A468DE" w:rsidP="00A468DE">
      <w:pPr>
        <w:spacing w:after="0" w:line="276" w:lineRule="auto"/>
        <w:jc w:val="both"/>
        <w:rPr>
          <w:rFonts w:ascii="Verdana" w:eastAsia="Calibri" w:hAnsi="Verdana" w:cs="Arial"/>
          <w:lang w:val="es-ES" w:eastAsia="es-ES"/>
        </w:rPr>
      </w:pPr>
      <w:r w:rsidRPr="00413568">
        <w:rPr>
          <w:rFonts w:ascii="Verdana" w:eastAsia="Calibri" w:hAnsi="Verdana" w:cs="Arial"/>
          <w:lang w:val="es-ES" w:eastAsia="es-ES"/>
        </w:rPr>
        <w:t xml:space="preserve">Estimado señor </w:t>
      </w:r>
      <w:r w:rsidR="00E8628A">
        <w:rPr>
          <w:rFonts w:ascii="Verdana" w:eastAsia="Calibri" w:hAnsi="Verdana" w:cs="Arial"/>
          <w:lang w:val="es-ES" w:eastAsia="es-ES"/>
        </w:rPr>
        <w:t>Romero;</w:t>
      </w:r>
    </w:p>
    <w:p w14:paraId="2800C15C" w14:textId="77777777" w:rsidR="00A468DE" w:rsidRPr="00413568" w:rsidRDefault="00A468DE" w:rsidP="00A468DE">
      <w:pPr>
        <w:tabs>
          <w:tab w:val="left" w:pos="3768"/>
        </w:tabs>
        <w:spacing w:after="0" w:line="276" w:lineRule="auto"/>
        <w:jc w:val="both"/>
        <w:rPr>
          <w:rFonts w:ascii="Verdana" w:eastAsia="Calibri" w:hAnsi="Verdana" w:cs="Arial"/>
          <w:lang w:val="es-ES" w:eastAsia="es-ES"/>
        </w:rPr>
      </w:pPr>
      <w:r w:rsidRPr="00413568">
        <w:rPr>
          <w:rFonts w:ascii="Verdana" w:eastAsia="Calibri" w:hAnsi="Verdana" w:cs="Arial"/>
          <w:lang w:val="es-ES" w:eastAsia="es-ES"/>
        </w:rPr>
        <w:tab/>
      </w:r>
    </w:p>
    <w:p w14:paraId="4006A73C" w14:textId="5EE80C30" w:rsidR="00A468DE" w:rsidRDefault="00A468DE" w:rsidP="00A468DE">
      <w:pPr>
        <w:spacing w:after="0" w:line="276" w:lineRule="auto"/>
        <w:jc w:val="both"/>
        <w:rPr>
          <w:rFonts w:ascii="Verdana" w:eastAsia="Calibri" w:hAnsi="Verdana" w:cs="Arial"/>
          <w:lang w:val="es-ES" w:eastAsia="es-ES"/>
        </w:rPr>
      </w:pPr>
      <w:r w:rsidRPr="00413568">
        <w:rPr>
          <w:rFonts w:ascii="Verdana" w:eastAsia="Calibri" w:hAnsi="Verdana" w:cs="Arial"/>
          <w:lang w:val="es-ES" w:eastAsia="es-ES"/>
        </w:rPr>
        <w:t>En ejercicio de la competencia otorgada por los artículos 3, numeral 5º, y 11, numeral 8º, del Decreto Ley 4170 de 2011,</w:t>
      </w:r>
      <w:r w:rsidRPr="00413568">
        <w:rPr>
          <w:rFonts w:ascii="Verdana" w:eastAsia="Arial MT" w:hAnsi="Verdana" w:cs="Arial MT"/>
          <w:lang w:val="es-ES" w:eastAsia="es-ES"/>
        </w:rPr>
        <w:t xml:space="preserve"> </w:t>
      </w:r>
      <w:r w:rsidRPr="00413568">
        <w:rPr>
          <w:rFonts w:ascii="Verdana" w:hAnsi="Verdana" w:cs="Arial"/>
        </w:rPr>
        <w:t xml:space="preserve">así como lo establecido en el artículo 4 de la Resolución 1707 de 2018 expedida por esta Entidad, </w:t>
      </w:r>
      <w:r w:rsidRPr="00413568">
        <w:rPr>
          <w:rFonts w:ascii="Verdana" w:eastAsia="Calibri" w:hAnsi="Verdana" w:cs="Arial"/>
          <w:lang w:val="es-ES" w:eastAsia="es-ES"/>
        </w:rPr>
        <w:t xml:space="preserve">la Agencia Nacional de Contratación Pública – Colombia Compra Eficiente– responde su solicitud de consulta de fecha </w:t>
      </w:r>
      <w:r w:rsidR="00E30532">
        <w:rPr>
          <w:rFonts w:ascii="Verdana" w:eastAsia="Calibri" w:hAnsi="Verdana" w:cs="Arial"/>
          <w:lang w:val="es-ES" w:eastAsia="es-ES"/>
        </w:rPr>
        <w:t>17 de septiembre</w:t>
      </w:r>
      <w:r w:rsidRPr="00413568">
        <w:rPr>
          <w:rFonts w:ascii="Verdana" w:eastAsia="Calibri" w:hAnsi="Verdana" w:cs="Arial"/>
          <w:lang w:val="es-ES" w:eastAsia="es-ES"/>
        </w:rPr>
        <w:t xml:space="preserve"> de 2024</w:t>
      </w:r>
      <w:r w:rsidR="00C575EB">
        <w:rPr>
          <w:rFonts w:ascii="Verdana" w:eastAsia="Calibri" w:hAnsi="Verdana" w:cs="Arial"/>
          <w:lang w:val="es-ES" w:eastAsia="es-ES"/>
        </w:rPr>
        <w:t>, en la cual usted manifiesta lo siguiente:</w:t>
      </w:r>
    </w:p>
    <w:p w14:paraId="368FE3A0" w14:textId="77777777" w:rsidR="00C575EB" w:rsidRDefault="00C575EB" w:rsidP="00A468DE">
      <w:pPr>
        <w:spacing w:after="0" w:line="276" w:lineRule="auto"/>
        <w:jc w:val="both"/>
        <w:rPr>
          <w:rFonts w:ascii="Verdana" w:eastAsia="Calibri" w:hAnsi="Verdana" w:cs="Arial"/>
          <w:lang w:val="es-ES" w:eastAsia="es-ES"/>
        </w:rPr>
      </w:pPr>
    </w:p>
    <w:p w14:paraId="5DA59534" w14:textId="2FDF180A" w:rsidR="00C575EB" w:rsidRDefault="002156D9" w:rsidP="00C575EB">
      <w:pPr>
        <w:spacing w:after="0" w:line="276" w:lineRule="auto"/>
        <w:ind w:left="709" w:right="709"/>
        <w:jc w:val="both"/>
        <w:rPr>
          <w:rFonts w:ascii="Verdana" w:eastAsia="Calibri" w:hAnsi="Verdana" w:cs="Arial"/>
          <w:i/>
          <w:iCs/>
          <w:sz w:val="21"/>
          <w:szCs w:val="21"/>
          <w:lang w:val="es-ES" w:eastAsia="es-ES"/>
        </w:rPr>
      </w:pPr>
      <w:r>
        <w:rPr>
          <w:rFonts w:ascii="Verdana" w:eastAsia="Calibri" w:hAnsi="Verdana" w:cs="Arial"/>
          <w:i/>
          <w:iCs/>
          <w:sz w:val="21"/>
          <w:szCs w:val="21"/>
          <w:lang w:val="es-ES" w:eastAsia="es-ES"/>
        </w:rPr>
        <w:t>“</w:t>
      </w:r>
      <w:r w:rsidR="00C55A42">
        <w:rPr>
          <w:rFonts w:ascii="Verdana" w:eastAsia="Calibri" w:hAnsi="Verdana" w:cs="Arial"/>
          <w:i/>
          <w:iCs/>
          <w:sz w:val="21"/>
          <w:szCs w:val="21"/>
          <w:lang w:val="es-ES" w:eastAsia="es-ES"/>
        </w:rPr>
        <w:t xml:space="preserve">[…] </w:t>
      </w:r>
      <w:r w:rsidR="0021728A">
        <w:rPr>
          <w:rFonts w:ascii="Verdana" w:eastAsia="Calibri" w:hAnsi="Verdana" w:cs="Arial"/>
          <w:i/>
          <w:iCs/>
          <w:sz w:val="21"/>
          <w:szCs w:val="21"/>
          <w:lang w:val="es-ES" w:eastAsia="es-ES"/>
        </w:rPr>
        <w:t xml:space="preserve">[L]os bienes y servicios aunque pueden ser de características uniformes por cumplir patrones de desempeño y destinados a los mismo no son de común utilización por parte de las entidades ALCALDIAS O GOBERNACIONES por tal motivo no sería la modalidad de </w:t>
      </w:r>
      <w:r w:rsidR="00957FC1">
        <w:rPr>
          <w:rFonts w:ascii="Verdana" w:eastAsia="Calibri" w:hAnsi="Verdana" w:cs="Arial"/>
          <w:i/>
          <w:iCs/>
          <w:sz w:val="21"/>
          <w:szCs w:val="21"/>
          <w:lang w:val="es-ES" w:eastAsia="es-ES"/>
        </w:rPr>
        <w:t>adecuada.</w:t>
      </w:r>
    </w:p>
    <w:p w14:paraId="40BB3FAB" w14:textId="418B431A" w:rsidR="00957FC1" w:rsidRDefault="00957FC1" w:rsidP="00C575EB">
      <w:pPr>
        <w:spacing w:after="0" w:line="276" w:lineRule="auto"/>
        <w:ind w:left="709" w:right="709"/>
        <w:jc w:val="both"/>
        <w:rPr>
          <w:rFonts w:ascii="Verdana" w:eastAsia="Calibri" w:hAnsi="Verdana" w:cs="Arial"/>
          <w:i/>
          <w:iCs/>
          <w:sz w:val="21"/>
          <w:szCs w:val="21"/>
          <w:lang w:val="es-ES" w:eastAsia="es-ES"/>
        </w:rPr>
      </w:pPr>
      <w:r>
        <w:rPr>
          <w:rFonts w:ascii="Verdana" w:eastAsia="Calibri" w:hAnsi="Verdana" w:cs="Arial"/>
          <w:i/>
          <w:iCs/>
          <w:sz w:val="21"/>
          <w:szCs w:val="21"/>
          <w:lang w:val="es-ES" w:eastAsia="es-ES"/>
        </w:rPr>
        <w:t>Clara diferencia sería la entidad siendo un instituto como el ICA</w:t>
      </w:r>
      <w:r w:rsidR="008E08DA">
        <w:rPr>
          <w:rFonts w:ascii="Verdana" w:eastAsia="Calibri" w:hAnsi="Verdana" w:cs="Arial"/>
          <w:i/>
          <w:iCs/>
          <w:sz w:val="21"/>
          <w:szCs w:val="21"/>
          <w:lang w:val="es-ES" w:eastAsia="es-ES"/>
        </w:rPr>
        <w:t xml:space="preserve"> comprar insumos agrícolas ya que este utiliza bienes de este tipo para su funcio</w:t>
      </w:r>
      <w:r w:rsidR="007F2046">
        <w:rPr>
          <w:rFonts w:ascii="Verdana" w:eastAsia="Calibri" w:hAnsi="Verdana" w:cs="Arial"/>
          <w:i/>
          <w:iCs/>
          <w:sz w:val="21"/>
          <w:szCs w:val="21"/>
          <w:lang w:val="es-ES" w:eastAsia="es-ES"/>
        </w:rPr>
        <w:t>namiento técnico</w:t>
      </w:r>
      <w:r w:rsidR="00203BC9">
        <w:rPr>
          <w:rFonts w:ascii="Verdana" w:eastAsia="Calibri" w:hAnsi="Verdana" w:cs="Arial"/>
          <w:i/>
          <w:iCs/>
          <w:sz w:val="21"/>
          <w:szCs w:val="21"/>
          <w:lang w:val="es-ES" w:eastAsia="es-ES"/>
        </w:rPr>
        <w:t>.</w:t>
      </w:r>
    </w:p>
    <w:p w14:paraId="2EE8B09E" w14:textId="25FB292C" w:rsidR="00203BC9" w:rsidRDefault="00203BC9" w:rsidP="00C575EB">
      <w:pPr>
        <w:spacing w:after="0" w:line="276" w:lineRule="auto"/>
        <w:ind w:left="709" w:right="709"/>
        <w:jc w:val="both"/>
        <w:rPr>
          <w:rFonts w:ascii="Verdana" w:eastAsia="Calibri" w:hAnsi="Verdana" w:cs="Arial"/>
          <w:i/>
          <w:iCs/>
          <w:sz w:val="21"/>
          <w:szCs w:val="21"/>
          <w:lang w:val="es-ES" w:eastAsia="es-ES"/>
        </w:rPr>
      </w:pPr>
      <w:r>
        <w:rPr>
          <w:rFonts w:ascii="Verdana" w:eastAsia="Calibri" w:hAnsi="Verdana" w:cs="Arial"/>
          <w:i/>
          <w:iCs/>
          <w:sz w:val="21"/>
          <w:szCs w:val="21"/>
          <w:lang w:val="es-ES" w:eastAsia="es-ES"/>
        </w:rPr>
        <w:t>O un colegio comprara los pupitres ya que son bienes para su uso frecuente.</w:t>
      </w:r>
    </w:p>
    <w:p w14:paraId="29BA16FE" w14:textId="7088870D" w:rsidR="00203BC9" w:rsidRDefault="00665455" w:rsidP="00C575EB">
      <w:pPr>
        <w:spacing w:after="0" w:line="276" w:lineRule="auto"/>
        <w:ind w:left="709" w:right="709"/>
        <w:jc w:val="both"/>
        <w:rPr>
          <w:rFonts w:ascii="Verdana" w:eastAsia="Calibri" w:hAnsi="Verdana" w:cs="Arial"/>
          <w:i/>
          <w:iCs/>
          <w:sz w:val="21"/>
          <w:szCs w:val="21"/>
          <w:lang w:val="es-ES" w:eastAsia="es-ES"/>
        </w:rPr>
      </w:pPr>
      <w:r>
        <w:rPr>
          <w:rFonts w:ascii="Verdana" w:eastAsia="Calibri" w:hAnsi="Verdana" w:cs="Arial"/>
          <w:i/>
          <w:iCs/>
          <w:sz w:val="21"/>
          <w:szCs w:val="21"/>
          <w:lang w:val="es-ES" w:eastAsia="es-ES"/>
        </w:rPr>
        <w:t>¿</w:t>
      </w:r>
      <w:r w:rsidR="00203BC9">
        <w:rPr>
          <w:rFonts w:ascii="Verdana" w:eastAsia="Calibri" w:hAnsi="Verdana" w:cs="Arial"/>
          <w:i/>
          <w:iCs/>
          <w:sz w:val="21"/>
          <w:szCs w:val="21"/>
          <w:lang w:val="es-ES" w:eastAsia="es-ES"/>
        </w:rPr>
        <w:t xml:space="preserve">La pregunta busca aclarar si es correcto </w:t>
      </w:r>
      <w:r w:rsidR="000F214D">
        <w:rPr>
          <w:rFonts w:ascii="Verdana" w:eastAsia="Calibri" w:hAnsi="Verdana" w:cs="Arial"/>
          <w:i/>
          <w:iCs/>
          <w:sz w:val="21"/>
          <w:szCs w:val="21"/>
          <w:lang w:val="es-ES" w:eastAsia="es-ES"/>
        </w:rPr>
        <w:t xml:space="preserve">el análisis presentado anteriormente o si existe alguna otra excepción normativa que </w:t>
      </w:r>
      <w:r>
        <w:rPr>
          <w:rFonts w:ascii="Verdana" w:eastAsia="Calibri" w:hAnsi="Verdana" w:cs="Arial"/>
          <w:i/>
          <w:iCs/>
          <w:sz w:val="21"/>
          <w:szCs w:val="21"/>
          <w:lang w:val="es-ES" w:eastAsia="es-ES"/>
        </w:rPr>
        <w:t>amplie el uso de dicha modalidad?</w:t>
      </w:r>
    </w:p>
    <w:p w14:paraId="0398CA9D" w14:textId="65C4C02C" w:rsidR="00526B7F" w:rsidRDefault="00526B7F" w:rsidP="00C575EB">
      <w:pPr>
        <w:spacing w:after="0" w:line="276" w:lineRule="auto"/>
        <w:ind w:left="709" w:right="709"/>
        <w:jc w:val="both"/>
        <w:rPr>
          <w:rFonts w:ascii="Verdana" w:eastAsia="Calibri" w:hAnsi="Verdana" w:cs="Arial"/>
          <w:i/>
          <w:iCs/>
          <w:sz w:val="21"/>
          <w:szCs w:val="21"/>
          <w:lang w:val="es-ES" w:eastAsia="es-ES"/>
        </w:rPr>
      </w:pPr>
      <w:r>
        <w:rPr>
          <w:rFonts w:ascii="Verdana" w:eastAsia="Calibri" w:hAnsi="Verdana" w:cs="Arial"/>
          <w:i/>
          <w:iCs/>
          <w:sz w:val="21"/>
          <w:szCs w:val="21"/>
          <w:lang w:val="es-ES" w:eastAsia="es-ES"/>
        </w:rPr>
        <w:t>Esto en busca de tener un concepto unificado en pro de que las entidades no cometan posibles errores en la selección de la modalidad ya que como quedó anotado el Decreto 1082 de 2015 omitió un aparte esencial que está en la Ley 1150 de 20</w:t>
      </w:r>
      <w:r w:rsidR="00C42DDD">
        <w:rPr>
          <w:rFonts w:ascii="Verdana" w:eastAsia="Calibri" w:hAnsi="Verdana" w:cs="Arial"/>
          <w:i/>
          <w:iCs/>
          <w:sz w:val="21"/>
          <w:szCs w:val="21"/>
          <w:lang w:val="es-ES" w:eastAsia="es-ES"/>
        </w:rPr>
        <w:t>07</w:t>
      </w:r>
      <w:r w:rsidR="00B17E59">
        <w:rPr>
          <w:rFonts w:ascii="Verdana" w:eastAsia="Calibri" w:hAnsi="Verdana" w:cs="Arial"/>
          <w:i/>
          <w:iCs/>
          <w:sz w:val="21"/>
          <w:szCs w:val="21"/>
          <w:lang w:val="es-ES" w:eastAsia="es-ES"/>
        </w:rPr>
        <w:t>” (SIC).</w:t>
      </w:r>
    </w:p>
    <w:p w14:paraId="5FF96B31" w14:textId="77777777" w:rsidR="000E3868" w:rsidRDefault="000E3868" w:rsidP="00C575EB">
      <w:pPr>
        <w:spacing w:after="0" w:line="276" w:lineRule="auto"/>
        <w:ind w:left="709" w:right="709"/>
        <w:jc w:val="both"/>
        <w:rPr>
          <w:rFonts w:ascii="Verdana" w:eastAsia="Calibri" w:hAnsi="Verdana" w:cs="Arial"/>
          <w:i/>
          <w:iCs/>
          <w:sz w:val="21"/>
          <w:szCs w:val="21"/>
          <w:lang w:val="es-ES" w:eastAsia="es-ES"/>
        </w:rPr>
      </w:pPr>
    </w:p>
    <w:p w14:paraId="492440BE" w14:textId="0BE9AFB3" w:rsidR="000E3868" w:rsidRDefault="000E3868" w:rsidP="002F662B">
      <w:pPr>
        <w:spacing w:after="0" w:line="276" w:lineRule="auto"/>
        <w:ind w:firstLine="708"/>
        <w:jc w:val="both"/>
        <w:rPr>
          <w:rFonts w:ascii="Verdana" w:eastAsia="Calibri" w:hAnsi="Verdana" w:cs="Arial"/>
          <w:lang w:val="es-ES" w:eastAsia="es-ES"/>
        </w:rPr>
      </w:pPr>
      <w:r>
        <w:rPr>
          <w:rFonts w:ascii="Verdana" w:eastAsia="Calibri" w:hAnsi="Verdana" w:cs="Arial"/>
          <w:lang w:val="es-ES" w:eastAsia="es-ES"/>
        </w:rPr>
        <w:t xml:space="preserve">De manera </w:t>
      </w:r>
      <w:r w:rsidR="00F47336">
        <w:rPr>
          <w:rFonts w:ascii="Verdana" w:eastAsia="Calibri" w:hAnsi="Verdana" w:cs="Arial"/>
          <w:lang w:val="es-ES" w:eastAsia="es-ES"/>
        </w:rPr>
        <w:t>preliminar, resulta necesario acotar que esta entidad solo tiene competencia para responder consultas sobre la aplicación de normas de carácter general en materia de compras y contratación pública</w:t>
      </w:r>
      <w:r w:rsidR="008D2659">
        <w:rPr>
          <w:rFonts w:ascii="Verdana" w:eastAsia="Calibri" w:hAnsi="Verdana" w:cs="Arial"/>
          <w:lang w:val="es-ES" w:eastAsia="es-ES"/>
        </w:rPr>
        <w:t xml:space="preserve">. En ese sentido, resolver casos particulares desborda las atribuciones asignadas por el legislador extraordinario, que no concibió a Colombia Compra Eficiente como una autoridad para solucionar problemas jurídicos particulares de todos los </w:t>
      </w:r>
      <w:r w:rsidR="00DE71B6">
        <w:rPr>
          <w:rFonts w:ascii="Verdana" w:eastAsia="Calibri" w:hAnsi="Verdana" w:cs="Arial"/>
          <w:lang w:val="es-ES" w:eastAsia="es-ES"/>
        </w:rPr>
        <w:t>partícipes</w:t>
      </w:r>
      <w:r w:rsidR="008D2659">
        <w:rPr>
          <w:rFonts w:ascii="Verdana" w:eastAsia="Calibri" w:hAnsi="Verdana" w:cs="Arial"/>
          <w:lang w:val="es-ES" w:eastAsia="es-ES"/>
        </w:rPr>
        <w:t xml:space="preserve"> del sistema de compra pública</w:t>
      </w:r>
      <w:r w:rsidR="00863BBD">
        <w:rPr>
          <w:rFonts w:ascii="Verdana" w:eastAsia="Calibri" w:hAnsi="Verdana" w:cs="Arial"/>
          <w:lang w:val="es-ES" w:eastAsia="es-ES"/>
        </w:rPr>
        <w:t xml:space="preserve">. </w:t>
      </w:r>
      <w:r w:rsidR="002F662B">
        <w:rPr>
          <w:rFonts w:ascii="Verdana" w:eastAsia="Calibri" w:hAnsi="Verdana" w:cs="Arial"/>
          <w:lang w:val="es-ES" w:eastAsia="es-ES"/>
        </w:rPr>
        <w:t xml:space="preserve">La competencia de esta entidad se fija </w:t>
      </w:r>
      <w:r w:rsidR="00D466CD">
        <w:rPr>
          <w:rFonts w:ascii="Verdana" w:eastAsia="Calibri" w:hAnsi="Verdana" w:cs="Arial"/>
          <w:lang w:val="es-ES" w:eastAsia="es-ES"/>
        </w:rPr>
        <w:t xml:space="preserve">con </w:t>
      </w:r>
      <w:r w:rsidR="00DE71B6">
        <w:rPr>
          <w:rFonts w:ascii="Verdana" w:eastAsia="Calibri" w:hAnsi="Verdana" w:cs="Arial"/>
          <w:lang w:val="es-ES" w:eastAsia="es-ES"/>
        </w:rPr>
        <w:t>límites</w:t>
      </w:r>
      <w:r w:rsidR="00D466CD">
        <w:rPr>
          <w:rFonts w:ascii="Verdana" w:eastAsia="Calibri" w:hAnsi="Verdana" w:cs="Arial"/>
          <w:lang w:val="es-ES" w:eastAsia="es-ES"/>
        </w:rPr>
        <w:t xml:space="preserve"> claros, con el objeto de evitar que la Agencia actúe como una instancia</w:t>
      </w:r>
      <w:r w:rsidR="00E2792A">
        <w:rPr>
          <w:rFonts w:ascii="Verdana" w:eastAsia="Calibri" w:hAnsi="Verdana" w:cs="Arial"/>
          <w:lang w:val="es-ES" w:eastAsia="es-ES"/>
        </w:rPr>
        <w:t xml:space="preserve"> de validación de las actuaciones de las entidades sujetas a la Ley 80 de 1993 o de los demás </w:t>
      </w:r>
      <w:r w:rsidR="00571AD6">
        <w:rPr>
          <w:rFonts w:ascii="Verdana" w:eastAsia="Calibri" w:hAnsi="Verdana" w:cs="Arial"/>
          <w:lang w:val="es-ES" w:eastAsia="es-ES"/>
        </w:rPr>
        <w:t>participantes de la contratación pública. Esta competencia de interpretación de normas generales, por definición, no puede extenderse a la resolución de controversias, ni a brindar asesorías sobre casos puntuales.</w:t>
      </w:r>
    </w:p>
    <w:p w14:paraId="219A2AA6" w14:textId="77777777" w:rsidR="00571AD6" w:rsidRDefault="00571AD6" w:rsidP="002F662B">
      <w:pPr>
        <w:spacing w:after="0" w:line="276" w:lineRule="auto"/>
        <w:ind w:firstLine="708"/>
        <w:jc w:val="both"/>
        <w:rPr>
          <w:rFonts w:ascii="Verdana" w:eastAsia="Calibri" w:hAnsi="Verdana" w:cs="Arial"/>
          <w:lang w:val="es-ES" w:eastAsia="es-ES"/>
        </w:rPr>
      </w:pPr>
    </w:p>
    <w:p w14:paraId="18A9BD8D" w14:textId="7121033C" w:rsidR="00571AD6" w:rsidRDefault="00571AD6" w:rsidP="002F662B">
      <w:pPr>
        <w:spacing w:after="0" w:line="276" w:lineRule="auto"/>
        <w:ind w:firstLine="708"/>
        <w:jc w:val="both"/>
        <w:rPr>
          <w:rFonts w:ascii="Verdana" w:eastAsia="Calibri" w:hAnsi="Verdana" w:cs="Arial"/>
          <w:lang w:val="es-ES" w:eastAsia="es-ES"/>
        </w:rPr>
      </w:pPr>
      <w:r>
        <w:rPr>
          <w:rFonts w:ascii="Verdana" w:eastAsia="Calibri" w:hAnsi="Verdana" w:cs="Arial"/>
          <w:lang w:val="es-ES" w:eastAsia="es-ES"/>
        </w:rPr>
        <w:t>Conforme a lo expuesto, en aras de satisfacer</w:t>
      </w:r>
      <w:r w:rsidR="00792F23">
        <w:rPr>
          <w:rFonts w:ascii="Verdana" w:eastAsia="Calibri" w:hAnsi="Verdana" w:cs="Arial"/>
          <w:lang w:val="es-ES" w:eastAsia="es-ES"/>
        </w:rPr>
        <w:t xml:space="preserve"> el derecho fundamental de petición se resolverá su consulta dentro de los </w:t>
      </w:r>
      <w:r w:rsidR="00D522DD">
        <w:rPr>
          <w:rFonts w:ascii="Verdana" w:eastAsia="Calibri" w:hAnsi="Verdana" w:cs="Arial"/>
          <w:lang w:val="es-ES" w:eastAsia="es-ES"/>
        </w:rPr>
        <w:t>límites</w:t>
      </w:r>
      <w:r w:rsidR="00792F23">
        <w:rPr>
          <w:rFonts w:ascii="Verdana" w:eastAsia="Calibri" w:hAnsi="Verdana" w:cs="Arial"/>
          <w:lang w:val="es-ES" w:eastAsia="es-ES"/>
        </w:rPr>
        <w:t xml:space="preserve"> de la referida competencia consultiva</w:t>
      </w:r>
      <w:r w:rsidR="009E2688">
        <w:rPr>
          <w:rFonts w:ascii="Verdana" w:eastAsia="Calibri" w:hAnsi="Verdana" w:cs="Arial"/>
          <w:lang w:val="es-ES" w:eastAsia="es-ES"/>
        </w:rPr>
        <w:t>, esto es haciendo abstracción de las circunstancias particulares y concretas mencionadas en su petición, pero haciendo unas consideraciones sobre las normas generales relacionadas con el problema jurídico de su consulta.</w:t>
      </w:r>
    </w:p>
    <w:p w14:paraId="5724FDE6" w14:textId="77777777" w:rsidR="009E2688" w:rsidRDefault="009E2688" w:rsidP="002F662B">
      <w:pPr>
        <w:spacing w:after="0" w:line="276" w:lineRule="auto"/>
        <w:ind w:firstLine="708"/>
        <w:jc w:val="both"/>
        <w:rPr>
          <w:rFonts w:ascii="Verdana" w:eastAsia="Calibri" w:hAnsi="Verdana" w:cs="Arial"/>
          <w:lang w:val="es-ES" w:eastAsia="es-ES"/>
        </w:rPr>
      </w:pPr>
    </w:p>
    <w:p w14:paraId="6884589F" w14:textId="3EC29D74" w:rsidR="009E2688" w:rsidRDefault="00C14A6C" w:rsidP="009E2688">
      <w:pPr>
        <w:pStyle w:val="Prrafodelista"/>
        <w:numPr>
          <w:ilvl w:val="0"/>
          <w:numId w:val="16"/>
        </w:numPr>
        <w:spacing w:after="0" w:line="276" w:lineRule="auto"/>
        <w:jc w:val="both"/>
        <w:rPr>
          <w:rFonts w:ascii="Verdana" w:eastAsia="Calibri" w:hAnsi="Verdana" w:cs="Arial"/>
          <w:b/>
          <w:bCs/>
          <w:lang w:eastAsia="es-ES"/>
        </w:rPr>
      </w:pPr>
      <w:r w:rsidRPr="00C14A6C">
        <w:rPr>
          <w:rFonts w:ascii="Verdana" w:eastAsia="Calibri" w:hAnsi="Verdana" w:cs="Arial"/>
          <w:b/>
          <w:bCs/>
          <w:lang w:eastAsia="es-ES"/>
        </w:rPr>
        <w:t>Problema planteado:</w:t>
      </w:r>
    </w:p>
    <w:p w14:paraId="2662AF91" w14:textId="77777777" w:rsidR="00C14A6C" w:rsidRDefault="00C14A6C" w:rsidP="00C14A6C">
      <w:pPr>
        <w:pStyle w:val="Prrafodelista"/>
        <w:spacing w:after="0" w:line="276" w:lineRule="auto"/>
        <w:ind w:left="1068"/>
        <w:jc w:val="both"/>
        <w:rPr>
          <w:rFonts w:ascii="Verdana" w:eastAsia="Calibri" w:hAnsi="Verdana" w:cs="Arial"/>
          <w:b/>
          <w:bCs/>
          <w:lang w:eastAsia="es-ES"/>
        </w:rPr>
      </w:pPr>
    </w:p>
    <w:p w14:paraId="611F2A9B" w14:textId="608673F1" w:rsidR="00C14A6C" w:rsidRDefault="00BF727E" w:rsidP="00C14A6C">
      <w:pPr>
        <w:pStyle w:val="Prrafodelista"/>
        <w:spacing w:after="0" w:line="276" w:lineRule="auto"/>
        <w:ind w:left="1068"/>
        <w:jc w:val="both"/>
        <w:rPr>
          <w:rFonts w:ascii="Verdana" w:eastAsia="Calibri" w:hAnsi="Verdana" w:cs="Arial"/>
          <w:lang w:eastAsia="es-ES"/>
        </w:rPr>
      </w:pPr>
      <w:r>
        <w:rPr>
          <w:rFonts w:ascii="Verdana" w:eastAsia="Calibri" w:hAnsi="Verdana" w:cs="Arial"/>
          <w:lang w:eastAsia="es-ES"/>
        </w:rPr>
        <w:t>De acuerdo con el contenido de su solicitud, esta Agencia resolverá el siguiente problema jurídico</w:t>
      </w:r>
      <w:r w:rsidR="00347801">
        <w:rPr>
          <w:rFonts w:ascii="Verdana" w:eastAsia="Calibri" w:hAnsi="Verdana" w:cs="Arial"/>
          <w:lang w:eastAsia="es-ES"/>
        </w:rPr>
        <w:t xml:space="preserve">: </w:t>
      </w:r>
      <w:r w:rsidR="008D70FD">
        <w:rPr>
          <w:rFonts w:ascii="Verdana" w:eastAsia="Calibri" w:hAnsi="Verdana" w:cs="Arial"/>
          <w:lang w:eastAsia="es-ES"/>
        </w:rPr>
        <w:t>¿</w:t>
      </w:r>
      <w:r w:rsidR="00293C29">
        <w:rPr>
          <w:rFonts w:ascii="Verdana" w:eastAsia="Calibri" w:hAnsi="Verdana" w:cs="Arial"/>
          <w:lang w:eastAsia="es-ES"/>
        </w:rPr>
        <w:t>en</w:t>
      </w:r>
      <w:r w:rsidR="003B79F7">
        <w:rPr>
          <w:rFonts w:ascii="Verdana" w:eastAsia="Calibri" w:hAnsi="Verdana" w:cs="Arial"/>
          <w:lang w:eastAsia="es-ES"/>
        </w:rPr>
        <w:t xml:space="preserve"> </w:t>
      </w:r>
      <w:r w:rsidR="00E172A1">
        <w:rPr>
          <w:rFonts w:ascii="Verdana" w:eastAsia="Calibri" w:hAnsi="Verdana" w:cs="Arial"/>
          <w:lang w:eastAsia="es-ES"/>
        </w:rPr>
        <w:t>qué</w:t>
      </w:r>
      <w:r w:rsidR="003B79F7">
        <w:rPr>
          <w:rFonts w:ascii="Verdana" w:eastAsia="Calibri" w:hAnsi="Verdana" w:cs="Arial"/>
          <w:lang w:eastAsia="es-ES"/>
        </w:rPr>
        <w:t xml:space="preserve"> circunstancia </w:t>
      </w:r>
      <w:r w:rsidR="00E172A1">
        <w:rPr>
          <w:rFonts w:ascii="Verdana" w:eastAsia="Calibri" w:hAnsi="Verdana" w:cs="Arial"/>
          <w:lang w:eastAsia="es-ES"/>
        </w:rPr>
        <w:t xml:space="preserve">una entidad estatal </w:t>
      </w:r>
      <w:r w:rsidR="003B79F7">
        <w:rPr>
          <w:rFonts w:ascii="Verdana" w:eastAsia="Calibri" w:hAnsi="Verdana" w:cs="Arial"/>
          <w:lang w:eastAsia="es-ES"/>
        </w:rPr>
        <w:t xml:space="preserve">debe realizar un proceso </w:t>
      </w:r>
      <w:r w:rsidR="00646D7E">
        <w:rPr>
          <w:rFonts w:ascii="Verdana" w:eastAsia="Calibri" w:hAnsi="Verdana" w:cs="Arial"/>
          <w:lang w:eastAsia="es-ES"/>
        </w:rPr>
        <w:t>contratación</w:t>
      </w:r>
      <w:r w:rsidR="00AA05BD">
        <w:rPr>
          <w:rFonts w:ascii="Verdana" w:eastAsia="Calibri" w:hAnsi="Verdana" w:cs="Arial"/>
          <w:lang w:eastAsia="es-ES"/>
        </w:rPr>
        <w:t xml:space="preserve"> bajo la modalidad</w:t>
      </w:r>
      <w:r w:rsidR="003B79F7">
        <w:rPr>
          <w:rFonts w:ascii="Verdana" w:eastAsia="Calibri" w:hAnsi="Verdana" w:cs="Arial"/>
          <w:lang w:eastAsia="es-ES"/>
        </w:rPr>
        <w:t xml:space="preserve"> </w:t>
      </w:r>
      <w:r w:rsidR="00293C29">
        <w:rPr>
          <w:rFonts w:ascii="Verdana" w:eastAsia="Calibri" w:hAnsi="Verdana" w:cs="Arial"/>
          <w:lang w:eastAsia="es-ES"/>
        </w:rPr>
        <w:t xml:space="preserve">de selección abreviada </w:t>
      </w:r>
      <w:r w:rsidR="00AA05BD">
        <w:rPr>
          <w:rFonts w:ascii="Verdana" w:eastAsia="Calibri" w:hAnsi="Verdana" w:cs="Arial"/>
          <w:lang w:eastAsia="es-ES"/>
        </w:rPr>
        <w:t xml:space="preserve">por </w:t>
      </w:r>
      <w:r w:rsidR="00293C29">
        <w:rPr>
          <w:rFonts w:ascii="Verdana" w:eastAsia="Calibri" w:hAnsi="Verdana" w:cs="Arial"/>
          <w:lang w:eastAsia="es-ES"/>
        </w:rPr>
        <w:t>subasta inversa</w:t>
      </w:r>
      <w:r w:rsidR="0066675C">
        <w:rPr>
          <w:rFonts w:ascii="Verdana" w:eastAsia="Calibri" w:hAnsi="Verdana" w:cs="Arial"/>
          <w:lang w:eastAsia="es-ES"/>
        </w:rPr>
        <w:t xml:space="preserve"> para la adquisició</w:t>
      </w:r>
      <w:r w:rsidR="008A0CF0">
        <w:rPr>
          <w:rFonts w:ascii="Verdana" w:eastAsia="Calibri" w:hAnsi="Verdana" w:cs="Arial"/>
          <w:lang w:eastAsia="es-ES"/>
        </w:rPr>
        <w:t xml:space="preserve">n de suministros de bienes y servicios de características técnicas </w:t>
      </w:r>
      <w:r w:rsidR="00504617">
        <w:rPr>
          <w:rFonts w:ascii="Verdana" w:eastAsia="Calibri" w:hAnsi="Verdana" w:cs="Arial"/>
          <w:lang w:eastAsia="es-ES"/>
        </w:rPr>
        <w:t>uniformes de común utilización?</w:t>
      </w:r>
    </w:p>
    <w:p w14:paraId="293173AE" w14:textId="77777777" w:rsidR="00AA05BD" w:rsidRPr="00BF727E" w:rsidRDefault="00AA05BD" w:rsidP="00C14A6C">
      <w:pPr>
        <w:pStyle w:val="Prrafodelista"/>
        <w:spacing w:after="0" w:line="276" w:lineRule="auto"/>
        <w:ind w:left="1068"/>
        <w:jc w:val="both"/>
        <w:rPr>
          <w:rFonts w:ascii="Verdana" w:eastAsia="Calibri" w:hAnsi="Verdana" w:cs="Arial"/>
          <w:lang w:eastAsia="es-ES"/>
        </w:rPr>
      </w:pPr>
    </w:p>
    <w:p w14:paraId="3CC3A656" w14:textId="0E6F4D51" w:rsidR="000E3868" w:rsidRDefault="00AA05BD" w:rsidP="00AA05BD">
      <w:pPr>
        <w:pStyle w:val="Prrafodelista"/>
        <w:numPr>
          <w:ilvl w:val="0"/>
          <w:numId w:val="16"/>
        </w:numPr>
        <w:spacing w:after="0" w:line="276" w:lineRule="auto"/>
        <w:ind w:right="709"/>
        <w:jc w:val="both"/>
        <w:rPr>
          <w:rFonts w:ascii="Verdana" w:eastAsia="Calibri" w:hAnsi="Verdana" w:cs="Arial"/>
          <w:b/>
          <w:bCs/>
          <w:lang w:eastAsia="es-ES"/>
        </w:rPr>
      </w:pPr>
      <w:r w:rsidRPr="00AA05BD">
        <w:rPr>
          <w:rFonts w:ascii="Verdana" w:eastAsia="Calibri" w:hAnsi="Verdana" w:cs="Arial"/>
          <w:b/>
          <w:bCs/>
          <w:lang w:eastAsia="es-ES"/>
        </w:rPr>
        <w:t>Respuesta</w:t>
      </w:r>
      <w:r>
        <w:rPr>
          <w:rFonts w:ascii="Verdana" w:eastAsia="Calibri" w:hAnsi="Verdana" w:cs="Arial"/>
          <w:b/>
          <w:bCs/>
          <w:lang w:eastAsia="es-ES"/>
        </w:rPr>
        <w:t>:</w:t>
      </w:r>
    </w:p>
    <w:p w14:paraId="45C2C063" w14:textId="77777777" w:rsidR="000E3868" w:rsidRDefault="000E3868" w:rsidP="00C575EB">
      <w:pPr>
        <w:spacing w:after="0" w:line="276" w:lineRule="auto"/>
        <w:ind w:left="709" w:right="709"/>
        <w:jc w:val="both"/>
        <w:rPr>
          <w:rFonts w:ascii="Verdana" w:eastAsia="Calibri" w:hAnsi="Verdana" w:cs="Arial"/>
          <w:sz w:val="21"/>
          <w:szCs w:val="21"/>
          <w:lang w:eastAsia="es-ES"/>
        </w:rPr>
      </w:pPr>
    </w:p>
    <w:p w14:paraId="3D12492E" w14:textId="6503D853" w:rsidR="006E60A2" w:rsidRDefault="001C48C0" w:rsidP="00402ED9">
      <w:pPr>
        <w:pBdr>
          <w:top w:val="single" w:sz="4" w:space="1" w:color="auto"/>
          <w:left w:val="single" w:sz="4" w:space="4" w:color="auto"/>
          <w:bottom w:val="single" w:sz="4" w:space="1" w:color="auto"/>
          <w:right w:val="single" w:sz="4" w:space="4" w:color="auto"/>
        </w:pBdr>
        <w:spacing w:after="0" w:line="276" w:lineRule="auto"/>
        <w:ind w:left="709" w:right="709"/>
        <w:jc w:val="both"/>
        <w:rPr>
          <w:rFonts w:ascii="Verdana" w:eastAsia="Calibri" w:hAnsi="Verdana" w:cs="Arial"/>
          <w:lang w:eastAsia="es-ES"/>
        </w:rPr>
      </w:pPr>
      <w:r>
        <w:rPr>
          <w:rFonts w:ascii="Verdana" w:eastAsia="Calibri" w:hAnsi="Verdana" w:cs="Arial"/>
          <w:lang w:eastAsia="es-ES"/>
        </w:rPr>
        <w:t>El artículo 2.2.1.1.1.</w:t>
      </w:r>
      <w:r w:rsidR="00E8636A">
        <w:rPr>
          <w:rFonts w:ascii="Verdana" w:eastAsia="Calibri" w:hAnsi="Verdana" w:cs="Arial"/>
          <w:lang w:eastAsia="es-ES"/>
        </w:rPr>
        <w:t>3.1. del Decreto 1082 de 2015, define los Bienes y Servicios de Características Técnicas Uniformes y de Com</w:t>
      </w:r>
      <w:r w:rsidR="003A5066">
        <w:rPr>
          <w:rFonts w:ascii="Verdana" w:eastAsia="Calibri" w:hAnsi="Verdana" w:cs="Arial"/>
          <w:lang w:eastAsia="es-ES"/>
        </w:rPr>
        <w:t>ún Utilización como aquellos bienes con características técnicas y patrones de desempeño</w:t>
      </w:r>
      <w:r w:rsidR="00D66687">
        <w:rPr>
          <w:rFonts w:ascii="Verdana" w:eastAsia="Calibri" w:hAnsi="Verdana" w:cs="Arial"/>
          <w:lang w:eastAsia="es-ES"/>
        </w:rPr>
        <w:t xml:space="preserve"> y calidad similares</w:t>
      </w:r>
      <w:r w:rsidR="008F096D">
        <w:rPr>
          <w:rFonts w:ascii="Verdana" w:eastAsia="Calibri" w:hAnsi="Verdana" w:cs="Arial"/>
          <w:lang w:eastAsia="es-ES"/>
        </w:rPr>
        <w:t xml:space="preserve">, que en consecuencia </w:t>
      </w:r>
      <w:r w:rsidR="005F1B78">
        <w:rPr>
          <w:rFonts w:ascii="Verdana" w:eastAsia="Calibri" w:hAnsi="Verdana" w:cs="Arial"/>
          <w:lang w:eastAsia="es-ES"/>
        </w:rPr>
        <w:t>pueden ser agrupados como bienes y servicios homogéneos para su adquisición y a los que se refiere el litera</w:t>
      </w:r>
      <w:r w:rsidR="00E2684D">
        <w:rPr>
          <w:rFonts w:ascii="Verdana" w:eastAsia="Calibri" w:hAnsi="Verdana" w:cs="Arial"/>
          <w:lang w:eastAsia="es-ES"/>
        </w:rPr>
        <w:t>l (a) del numeral 2 del artículo 2 de la Ley 1150 de 2007.</w:t>
      </w:r>
    </w:p>
    <w:p w14:paraId="58517F51" w14:textId="77777777" w:rsidR="00116802" w:rsidRDefault="00116802" w:rsidP="00402ED9">
      <w:pPr>
        <w:pBdr>
          <w:top w:val="single" w:sz="4" w:space="1" w:color="auto"/>
          <w:left w:val="single" w:sz="4" w:space="4" w:color="auto"/>
          <w:bottom w:val="single" w:sz="4" w:space="1" w:color="auto"/>
          <w:right w:val="single" w:sz="4" w:space="4" w:color="auto"/>
        </w:pBdr>
        <w:spacing w:after="0" w:line="276" w:lineRule="auto"/>
        <w:ind w:left="709" w:right="709"/>
        <w:jc w:val="both"/>
        <w:rPr>
          <w:rFonts w:ascii="Verdana" w:eastAsia="Calibri" w:hAnsi="Verdana" w:cs="Arial"/>
          <w:lang w:eastAsia="es-ES"/>
        </w:rPr>
      </w:pPr>
    </w:p>
    <w:p w14:paraId="234315D9" w14:textId="21803F73" w:rsidR="00116802" w:rsidRPr="00103DC2" w:rsidRDefault="00116802" w:rsidP="00402ED9">
      <w:pPr>
        <w:pBdr>
          <w:top w:val="single" w:sz="4" w:space="1" w:color="auto"/>
          <w:left w:val="single" w:sz="4" w:space="4" w:color="auto"/>
          <w:bottom w:val="single" w:sz="4" w:space="1" w:color="auto"/>
          <w:right w:val="single" w:sz="4" w:space="4" w:color="auto"/>
        </w:pBdr>
        <w:spacing w:after="0" w:line="276" w:lineRule="auto"/>
        <w:ind w:left="709" w:right="709"/>
        <w:jc w:val="both"/>
        <w:rPr>
          <w:rFonts w:ascii="Verdana" w:eastAsia="Calibri" w:hAnsi="Verdana" w:cs="Arial"/>
          <w:lang w:val="es-MX" w:eastAsia="es-ES"/>
        </w:rPr>
      </w:pPr>
      <w:r w:rsidRPr="00116802">
        <w:rPr>
          <w:rFonts w:ascii="Verdana" w:eastAsia="Calibri" w:hAnsi="Verdana" w:cs="Arial"/>
          <w:lang w:val="es-MX" w:eastAsia="es-ES"/>
        </w:rPr>
        <w:t xml:space="preserve">La subasta inversa es un mecanismo que se concibió con la finalidad de introducir una metodología alternativa para el proceso de negociación y perfeccionamiento del contrato estatal. Su regulación se encuentra en el artículo 2 de la Ley 1150 de 2007, en donde se indica que la figura tiene como finalidad confrontar, de manera dinámica, las distintas ofertas que pueden presentarse para los procesos de licitación pública, para los procesos de selección abreviada que tienen por finalidad la adquisición de bienes y servicios de características técnicas uniformes y de común utilización, y en los procesos de enajenación de bienes del </w:t>
      </w:r>
      <w:proofErr w:type="gramStart"/>
      <w:r w:rsidRPr="00116802">
        <w:rPr>
          <w:rFonts w:ascii="Verdana" w:eastAsia="Calibri" w:hAnsi="Verdana" w:cs="Arial"/>
          <w:lang w:val="es-MX" w:eastAsia="es-ES"/>
        </w:rPr>
        <w:t>Estado .</w:t>
      </w:r>
      <w:proofErr w:type="gramEnd"/>
      <w:r w:rsidRPr="00116802">
        <w:rPr>
          <w:rFonts w:ascii="Verdana" w:eastAsia="Calibri" w:hAnsi="Verdana" w:cs="Arial"/>
          <w:lang w:val="es-MX" w:eastAsia="es-ES"/>
        </w:rPr>
        <w:t xml:space="preserve">  </w:t>
      </w:r>
    </w:p>
    <w:p w14:paraId="38972023" w14:textId="77777777" w:rsidR="00560607" w:rsidRDefault="00560607" w:rsidP="00402ED9">
      <w:pPr>
        <w:pBdr>
          <w:top w:val="single" w:sz="4" w:space="1" w:color="auto"/>
          <w:left w:val="single" w:sz="4" w:space="4" w:color="auto"/>
          <w:bottom w:val="single" w:sz="4" w:space="1" w:color="auto"/>
          <w:right w:val="single" w:sz="4" w:space="4" w:color="auto"/>
        </w:pBdr>
        <w:spacing w:after="0" w:line="276" w:lineRule="auto"/>
        <w:ind w:left="709" w:right="709"/>
        <w:jc w:val="both"/>
        <w:rPr>
          <w:rFonts w:ascii="Verdana" w:eastAsia="Calibri" w:hAnsi="Verdana" w:cs="Arial"/>
          <w:lang w:eastAsia="es-ES"/>
        </w:rPr>
      </w:pPr>
    </w:p>
    <w:p w14:paraId="20F85DD7" w14:textId="558751A6" w:rsidR="00B949E0" w:rsidRDefault="00055FE9" w:rsidP="00402ED9">
      <w:pPr>
        <w:pBdr>
          <w:top w:val="single" w:sz="4" w:space="1" w:color="auto"/>
          <w:left w:val="single" w:sz="4" w:space="4" w:color="auto"/>
          <w:bottom w:val="single" w:sz="4" w:space="1" w:color="auto"/>
          <w:right w:val="single" w:sz="4" w:space="4" w:color="auto"/>
        </w:pBdr>
        <w:spacing w:after="0" w:line="276" w:lineRule="auto"/>
        <w:ind w:left="709" w:right="709"/>
        <w:jc w:val="both"/>
        <w:rPr>
          <w:rFonts w:ascii="Verdana" w:eastAsia="Calibri" w:hAnsi="Verdana" w:cs="Arial"/>
          <w:lang w:eastAsia="es-ES"/>
        </w:rPr>
      </w:pPr>
      <w:r w:rsidRPr="00055FE9">
        <w:rPr>
          <w:rFonts w:ascii="Verdana" w:eastAsia="Calibri" w:hAnsi="Verdana" w:cs="Arial"/>
          <w:lang w:eastAsia="es-ES"/>
        </w:rPr>
        <w:t>En este contexto, la doctrina ha señalado que “se entiende por subasta inversa para la presentación de la oferta, la puja dinámica, mediante la cual los oferentes, durante un tiempo determinado, ajustan su oferta respecto de aquellas variables susceptibles de ser mejoradas, con el fin de lograr el ofrecimiento que representa la mejor relación costo-beneficio para la entidad, de acuerdo con lo señalado en el pliego de condiciones</w:t>
      </w:r>
      <w:proofErr w:type="gramStart"/>
      <w:r w:rsidRPr="00055FE9">
        <w:rPr>
          <w:rFonts w:ascii="Verdana" w:eastAsia="Calibri" w:hAnsi="Verdana" w:cs="Arial"/>
          <w:lang w:eastAsia="es-ES"/>
        </w:rPr>
        <w:t>” .</w:t>
      </w:r>
      <w:proofErr w:type="gramEnd"/>
      <w:r w:rsidRPr="00055FE9">
        <w:rPr>
          <w:rFonts w:ascii="Verdana" w:eastAsia="Calibri" w:hAnsi="Verdana" w:cs="Arial"/>
          <w:lang w:eastAsia="es-ES"/>
        </w:rPr>
        <w:t xml:space="preserve"> En igual sentido, la doctrina especializada destaca de este mecanismo que “al encontrarse definidas las características del bien, lo que se va a evaluar únicamente es el precio, porque se entiende que todos los bienes que se propongan tienen idéntica característica técnica al tratarse de bienes comunes, de ahí la falencia de la modalidad de subasta inversa que se tiene en Colombia, en tanto está limitada a la puja con base al precio</w:t>
      </w:r>
      <w:proofErr w:type="gramStart"/>
      <w:r w:rsidRPr="00055FE9">
        <w:rPr>
          <w:rFonts w:ascii="Verdana" w:eastAsia="Calibri" w:hAnsi="Verdana" w:cs="Arial"/>
          <w:lang w:eastAsia="es-ES"/>
        </w:rPr>
        <w:t>” .</w:t>
      </w:r>
      <w:proofErr w:type="gramEnd"/>
      <w:r w:rsidRPr="00055FE9">
        <w:rPr>
          <w:rFonts w:ascii="Verdana" w:eastAsia="Calibri" w:hAnsi="Verdana" w:cs="Arial"/>
          <w:lang w:eastAsia="es-ES"/>
        </w:rPr>
        <w:t xml:space="preserve">  </w:t>
      </w:r>
    </w:p>
    <w:p w14:paraId="4B7BA1B6" w14:textId="2DCD9C4F" w:rsidR="00B949E0" w:rsidRPr="001C48C0" w:rsidRDefault="00B949E0" w:rsidP="00402ED9">
      <w:pPr>
        <w:pBdr>
          <w:top w:val="single" w:sz="4" w:space="1" w:color="auto"/>
          <w:left w:val="single" w:sz="4" w:space="4" w:color="auto"/>
          <w:bottom w:val="single" w:sz="4" w:space="1" w:color="auto"/>
          <w:right w:val="single" w:sz="4" w:space="4" w:color="auto"/>
        </w:pBdr>
        <w:spacing w:after="0" w:line="276" w:lineRule="auto"/>
        <w:ind w:left="709" w:right="709"/>
        <w:jc w:val="both"/>
        <w:rPr>
          <w:rFonts w:ascii="Verdana" w:eastAsia="Calibri" w:hAnsi="Verdana" w:cs="Arial"/>
          <w:lang w:eastAsia="es-ES"/>
        </w:rPr>
      </w:pPr>
      <w:r>
        <w:rPr>
          <w:rFonts w:ascii="Verdana" w:eastAsia="Calibri" w:hAnsi="Verdana" w:cs="Arial"/>
          <w:lang w:eastAsia="es-ES"/>
        </w:rPr>
        <w:t>En ese orden de ideas, la Entidad Estatal para definir cual de las causales contenidas establecidas en el numeral 2 del artículo 2 de la Ley 1150 de 2007</w:t>
      </w:r>
      <w:r w:rsidR="00C03EC4">
        <w:rPr>
          <w:rFonts w:ascii="Verdana" w:eastAsia="Calibri" w:hAnsi="Verdana" w:cs="Arial"/>
          <w:lang w:eastAsia="es-ES"/>
        </w:rPr>
        <w:t xml:space="preserve"> se va a aplicar en el procedimiento de selección abreviada, la entidad deberá </w:t>
      </w:r>
      <w:r w:rsidR="009F2F7A">
        <w:rPr>
          <w:rFonts w:ascii="Verdana" w:eastAsia="Calibri" w:hAnsi="Verdana" w:cs="Arial"/>
          <w:lang w:eastAsia="es-ES"/>
        </w:rPr>
        <w:t>verificar si el bien o servicio a contratar se subsume dentro</w:t>
      </w:r>
      <w:r w:rsidR="00E049FA">
        <w:rPr>
          <w:rFonts w:ascii="Verdana" w:eastAsia="Calibri" w:hAnsi="Verdana" w:cs="Arial"/>
          <w:lang w:eastAsia="es-ES"/>
        </w:rPr>
        <w:t xml:space="preserve"> de los supuesto bajo los cuales se configura la eventual utilización</w:t>
      </w:r>
      <w:r w:rsidR="00A2452B">
        <w:rPr>
          <w:rFonts w:ascii="Verdana" w:eastAsia="Calibri" w:hAnsi="Verdana" w:cs="Arial"/>
          <w:lang w:eastAsia="es-ES"/>
        </w:rPr>
        <w:t xml:space="preserve"> de esta modalidad de selección, bien sea por las </w:t>
      </w:r>
      <w:r w:rsidR="000160A3">
        <w:rPr>
          <w:rFonts w:ascii="Verdana" w:eastAsia="Calibri" w:hAnsi="Verdana" w:cs="Arial"/>
          <w:lang w:eastAsia="es-ES"/>
        </w:rPr>
        <w:t>características del objeto a contratar</w:t>
      </w:r>
      <w:r w:rsidR="00BA6972">
        <w:rPr>
          <w:rFonts w:ascii="Verdana" w:eastAsia="Calibri" w:hAnsi="Verdana" w:cs="Arial"/>
          <w:lang w:eastAsia="es-ES"/>
        </w:rPr>
        <w:t>, las circunstancias de la contratación o la cuantía o destinación del bien, obra o servicio.</w:t>
      </w:r>
    </w:p>
    <w:p w14:paraId="68245562" w14:textId="1A30824F" w:rsidR="007159BF" w:rsidRDefault="007159BF" w:rsidP="00606C50">
      <w:pPr>
        <w:spacing w:after="0" w:line="276" w:lineRule="auto"/>
        <w:jc w:val="both"/>
        <w:rPr>
          <w:rFonts w:ascii="Verdana" w:eastAsia="Calibri" w:hAnsi="Verdana" w:cs="Arial"/>
          <w:lang w:eastAsia="es-ES"/>
        </w:rPr>
      </w:pPr>
    </w:p>
    <w:p w14:paraId="1D8D6B68" w14:textId="77777777" w:rsidR="00606C50" w:rsidRDefault="00606C50" w:rsidP="00606C50">
      <w:pPr>
        <w:spacing w:after="0" w:line="276" w:lineRule="auto"/>
        <w:jc w:val="both"/>
        <w:rPr>
          <w:rFonts w:ascii="Verdana" w:eastAsia="Calibri" w:hAnsi="Verdana" w:cs="Arial"/>
          <w:lang w:eastAsia="es-ES"/>
        </w:rPr>
      </w:pPr>
    </w:p>
    <w:p w14:paraId="1A5D6514" w14:textId="6FD642D9" w:rsidR="00606C50" w:rsidRDefault="00606C50" w:rsidP="00606C50">
      <w:pPr>
        <w:pStyle w:val="Prrafodelista"/>
        <w:numPr>
          <w:ilvl w:val="0"/>
          <w:numId w:val="16"/>
        </w:numPr>
        <w:spacing w:after="0" w:line="276" w:lineRule="auto"/>
        <w:jc w:val="both"/>
        <w:rPr>
          <w:rFonts w:ascii="Verdana" w:eastAsia="Calibri" w:hAnsi="Verdana" w:cs="Arial"/>
          <w:b/>
          <w:bCs/>
          <w:lang w:eastAsia="es-ES"/>
        </w:rPr>
      </w:pPr>
      <w:r w:rsidRPr="00606C50">
        <w:rPr>
          <w:rFonts w:ascii="Verdana" w:eastAsia="Calibri" w:hAnsi="Verdana" w:cs="Arial"/>
          <w:b/>
          <w:bCs/>
          <w:lang w:eastAsia="es-ES"/>
        </w:rPr>
        <w:t>Razones de la respuesta:</w:t>
      </w:r>
    </w:p>
    <w:p w14:paraId="60244134" w14:textId="77777777" w:rsidR="004E0CCA" w:rsidRDefault="004E0CCA" w:rsidP="004E0CCA">
      <w:pPr>
        <w:spacing w:after="0" w:line="276" w:lineRule="auto"/>
        <w:jc w:val="both"/>
        <w:rPr>
          <w:rFonts w:ascii="Verdana" w:eastAsia="Calibri" w:hAnsi="Verdana" w:cs="Arial"/>
          <w:b/>
          <w:bCs/>
          <w:lang w:eastAsia="es-ES"/>
        </w:rPr>
      </w:pPr>
    </w:p>
    <w:p w14:paraId="205E423D" w14:textId="77777777" w:rsidR="004E0CCA" w:rsidRDefault="004E0CCA" w:rsidP="004E0CCA">
      <w:pPr>
        <w:spacing w:after="0" w:line="276" w:lineRule="auto"/>
        <w:ind w:firstLine="708"/>
        <w:jc w:val="both"/>
        <w:rPr>
          <w:rFonts w:ascii="Verdana" w:eastAsia="Calibri" w:hAnsi="Verdana" w:cs="Arial"/>
          <w:lang w:eastAsia="es-ES"/>
        </w:rPr>
      </w:pPr>
      <w:r w:rsidRPr="008341D3">
        <w:rPr>
          <w:rFonts w:ascii="Verdana" w:eastAsia="Calibri" w:hAnsi="Verdana" w:cs="Arial"/>
          <w:lang w:eastAsia="es-ES"/>
        </w:rPr>
        <w:t xml:space="preserve">Lo anterior se sustenta en las siguientes consideraciones: </w:t>
      </w:r>
    </w:p>
    <w:p w14:paraId="45C136C0" w14:textId="77777777" w:rsidR="004E0CCA" w:rsidRPr="004E0CCA" w:rsidRDefault="004E0CCA" w:rsidP="004E0CCA">
      <w:pPr>
        <w:spacing w:after="0" w:line="276" w:lineRule="auto"/>
        <w:jc w:val="both"/>
        <w:rPr>
          <w:rFonts w:ascii="Verdana" w:eastAsia="Calibri" w:hAnsi="Verdana" w:cs="Arial"/>
          <w:b/>
          <w:bCs/>
          <w:lang w:eastAsia="es-ES"/>
        </w:rPr>
      </w:pPr>
    </w:p>
    <w:p w14:paraId="5BE924EA" w14:textId="243277E5" w:rsidR="00E050CB" w:rsidRDefault="00E050CB" w:rsidP="004E0CCA">
      <w:pPr>
        <w:spacing w:after="0" w:line="276" w:lineRule="auto"/>
        <w:ind w:left="708"/>
        <w:jc w:val="both"/>
        <w:rPr>
          <w:rFonts w:ascii="Verdana" w:eastAsia="Calibri" w:hAnsi="Verdana" w:cs="Arial"/>
          <w:lang w:eastAsia="es-ES"/>
        </w:rPr>
      </w:pPr>
      <w:r>
        <w:rPr>
          <w:rFonts w:ascii="Verdana" w:eastAsia="Calibri" w:hAnsi="Verdana" w:cs="Arial"/>
          <w:lang w:eastAsia="es-ES"/>
        </w:rPr>
        <w:t>En relación con el problema plantead</w:t>
      </w:r>
      <w:r w:rsidR="00BF22D4">
        <w:rPr>
          <w:rFonts w:ascii="Verdana" w:eastAsia="Calibri" w:hAnsi="Verdana" w:cs="Arial"/>
          <w:lang w:eastAsia="es-ES"/>
        </w:rPr>
        <w:t xml:space="preserve">o, el numeral 2° del artículo 2 de la Ley 1150 de 2007 la define en los siguientes términos: </w:t>
      </w:r>
    </w:p>
    <w:p w14:paraId="6EB4791D" w14:textId="77777777" w:rsidR="00BF22D4" w:rsidRPr="002D17CA" w:rsidRDefault="00BF22D4" w:rsidP="002D17CA">
      <w:pPr>
        <w:spacing w:after="0" w:line="276" w:lineRule="auto"/>
        <w:ind w:left="709" w:right="709"/>
        <w:jc w:val="both"/>
        <w:rPr>
          <w:rFonts w:ascii="Verdana" w:eastAsia="Calibri" w:hAnsi="Verdana" w:cs="Arial"/>
          <w:i/>
          <w:iCs/>
          <w:sz w:val="21"/>
          <w:szCs w:val="21"/>
          <w:lang w:eastAsia="es-ES"/>
        </w:rPr>
      </w:pPr>
    </w:p>
    <w:p w14:paraId="738E1D67" w14:textId="7F0E9FDB" w:rsidR="00BF22D4" w:rsidRPr="002D17CA" w:rsidRDefault="006E1AFA" w:rsidP="002D17CA">
      <w:pPr>
        <w:spacing w:after="0" w:line="276" w:lineRule="auto"/>
        <w:ind w:left="709" w:right="709"/>
        <w:jc w:val="both"/>
        <w:rPr>
          <w:rFonts w:ascii="Verdana" w:eastAsia="Calibri" w:hAnsi="Verdana" w:cs="Arial"/>
          <w:i/>
          <w:iCs/>
          <w:sz w:val="21"/>
          <w:szCs w:val="21"/>
          <w:lang w:eastAsia="es-ES"/>
        </w:rPr>
      </w:pPr>
      <w:r w:rsidRPr="002D17CA">
        <w:rPr>
          <w:rFonts w:ascii="Verdana" w:eastAsia="Calibri" w:hAnsi="Verdana" w:cs="Arial"/>
          <w:i/>
          <w:iCs/>
          <w:sz w:val="21"/>
          <w:szCs w:val="21"/>
          <w:lang w:eastAsia="es-ES"/>
        </w:rPr>
        <w:t xml:space="preserve">“2. Selección abreviada. La selección abreviada corresponde a la modalidad de selección </w:t>
      </w:r>
      <w:r w:rsidR="005E53A9" w:rsidRPr="002D17CA">
        <w:rPr>
          <w:rFonts w:ascii="Verdana" w:eastAsia="Calibri" w:hAnsi="Verdana" w:cs="Arial"/>
          <w:i/>
          <w:iCs/>
          <w:sz w:val="21"/>
          <w:szCs w:val="21"/>
          <w:lang w:eastAsia="es-ES"/>
        </w:rPr>
        <w:t>objetiva prevista para aquellos casos en que, por las características del objeto a contratar, las circunstancias de la contratación o la cuantía o destinación del bien, obra o servicio puedan adelantarse procesos simplificados para garantizar la eficiencia</w:t>
      </w:r>
      <w:r w:rsidR="007B0B89" w:rsidRPr="002D17CA">
        <w:rPr>
          <w:rFonts w:ascii="Verdana" w:eastAsia="Calibri" w:hAnsi="Verdana" w:cs="Arial"/>
          <w:i/>
          <w:iCs/>
          <w:sz w:val="21"/>
          <w:szCs w:val="21"/>
          <w:lang w:eastAsia="es-ES"/>
        </w:rPr>
        <w:t xml:space="preserve"> de la gestión contractual.</w:t>
      </w:r>
    </w:p>
    <w:p w14:paraId="758D9BC6" w14:textId="1DF265A4" w:rsidR="007B0B89" w:rsidRPr="002D17CA" w:rsidRDefault="007B0B89" w:rsidP="002D17CA">
      <w:pPr>
        <w:spacing w:after="0" w:line="276" w:lineRule="auto"/>
        <w:ind w:left="709" w:right="709"/>
        <w:jc w:val="both"/>
        <w:rPr>
          <w:rFonts w:ascii="Verdana" w:eastAsia="Calibri" w:hAnsi="Verdana" w:cs="Arial"/>
          <w:i/>
          <w:iCs/>
          <w:sz w:val="21"/>
          <w:szCs w:val="21"/>
          <w:lang w:eastAsia="es-ES"/>
        </w:rPr>
      </w:pPr>
      <w:r w:rsidRPr="002D17CA">
        <w:rPr>
          <w:rFonts w:ascii="Verdana" w:eastAsia="Calibri" w:hAnsi="Verdana" w:cs="Arial"/>
          <w:i/>
          <w:iCs/>
          <w:sz w:val="21"/>
          <w:szCs w:val="21"/>
          <w:lang w:eastAsia="es-ES"/>
        </w:rPr>
        <w:t>El Gobierno Nacional reglamentará la materia.</w:t>
      </w:r>
    </w:p>
    <w:p w14:paraId="55FA00BE" w14:textId="77777777" w:rsidR="007B0B89" w:rsidRPr="002D17CA" w:rsidRDefault="007B0B89" w:rsidP="002D17CA">
      <w:pPr>
        <w:spacing w:after="0" w:line="276" w:lineRule="auto"/>
        <w:ind w:left="709" w:right="709"/>
        <w:jc w:val="both"/>
        <w:rPr>
          <w:rFonts w:ascii="Verdana" w:eastAsia="Calibri" w:hAnsi="Verdana" w:cs="Arial"/>
          <w:i/>
          <w:iCs/>
          <w:sz w:val="21"/>
          <w:szCs w:val="21"/>
          <w:lang w:eastAsia="es-ES"/>
        </w:rPr>
      </w:pPr>
    </w:p>
    <w:p w14:paraId="20A5C7D4" w14:textId="2D55826A" w:rsidR="005E555A" w:rsidRPr="002D17CA" w:rsidRDefault="005E555A" w:rsidP="002D17CA">
      <w:pPr>
        <w:spacing w:after="0" w:line="276" w:lineRule="auto"/>
        <w:ind w:left="709" w:right="709"/>
        <w:jc w:val="both"/>
        <w:rPr>
          <w:rFonts w:ascii="Verdana" w:eastAsia="Calibri" w:hAnsi="Verdana" w:cs="Arial"/>
          <w:i/>
          <w:iCs/>
          <w:sz w:val="21"/>
          <w:szCs w:val="21"/>
          <w:lang w:eastAsia="es-ES"/>
        </w:rPr>
      </w:pPr>
      <w:r w:rsidRPr="002D17CA">
        <w:rPr>
          <w:rFonts w:ascii="Verdana" w:eastAsia="Calibri" w:hAnsi="Verdana" w:cs="Arial"/>
          <w:i/>
          <w:iCs/>
          <w:sz w:val="21"/>
          <w:szCs w:val="21"/>
          <w:lang w:eastAsia="es-ES"/>
        </w:rPr>
        <w:t>[…]”.</w:t>
      </w:r>
    </w:p>
    <w:p w14:paraId="6F72C74B" w14:textId="77777777" w:rsidR="00B110DF" w:rsidRDefault="00B110DF" w:rsidP="00BA6972">
      <w:pPr>
        <w:spacing w:after="0" w:line="276" w:lineRule="auto"/>
        <w:ind w:left="708"/>
        <w:jc w:val="both"/>
        <w:rPr>
          <w:rFonts w:ascii="Verdana" w:eastAsia="Calibri" w:hAnsi="Verdana" w:cs="Arial"/>
          <w:lang w:eastAsia="es-ES"/>
        </w:rPr>
      </w:pPr>
    </w:p>
    <w:p w14:paraId="435F7163" w14:textId="45C7970E" w:rsidR="005E555A" w:rsidRPr="00B110DF" w:rsidRDefault="00B110DF" w:rsidP="00B110DF">
      <w:pPr>
        <w:pStyle w:val="Prrafodelista"/>
        <w:numPr>
          <w:ilvl w:val="0"/>
          <w:numId w:val="20"/>
        </w:numPr>
        <w:spacing w:after="0" w:line="276" w:lineRule="auto"/>
        <w:jc w:val="both"/>
        <w:rPr>
          <w:rFonts w:ascii="Verdana" w:eastAsia="Calibri" w:hAnsi="Verdana" w:cs="Arial"/>
          <w:lang w:eastAsia="es-ES"/>
        </w:rPr>
      </w:pPr>
      <w:r w:rsidRPr="00B110DF">
        <w:rPr>
          <w:rFonts w:ascii="Verdana" w:eastAsia="Calibri" w:hAnsi="Verdana" w:cs="Arial"/>
          <w:lang w:eastAsia="es-ES"/>
        </w:rPr>
        <w:t>N</w:t>
      </w:r>
      <w:r w:rsidR="005E555A" w:rsidRPr="00B110DF">
        <w:rPr>
          <w:rFonts w:ascii="Verdana" w:eastAsia="Calibri" w:hAnsi="Verdana" w:cs="Arial"/>
          <w:lang w:eastAsia="es-ES"/>
        </w:rPr>
        <w:t xml:space="preserve">ótese que, de las transcripciones literal de la norma, el legislador divide de forma disyuntiva los supuestos bajo los cuales se configura la eventual utilización </w:t>
      </w:r>
      <w:r w:rsidR="001C389C" w:rsidRPr="00B110DF">
        <w:rPr>
          <w:rFonts w:ascii="Verdana" w:eastAsia="Calibri" w:hAnsi="Verdana" w:cs="Arial"/>
          <w:lang w:eastAsia="es-ES"/>
        </w:rPr>
        <w:t>de esta modalidad de selección, bien sea por las características del objeto a contratar, las circunstancias de la contratación o la cuantía o destinación del bien, obra o servicio.</w:t>
      </w:r>
    </w:p>
    <w:p w14:paraId="667F2FB9" w14:textId="253712C4" w:rsidR="001C389C" w:rsidRDefault="001C389C" w:rsidP="00094FCA">
      <w:pPr>
        <w:spacing w:after="0" w:line="276" w:lineRule="auto"/>
        <w:ind w:left="1068"/>
        <w:jc w:val="both"/>
        <w:rPr>
          <w:rFonts w:ascii="Verdana" w:eastAsia="Calibri" w:hAnsi="Verdana" w:cs="Arial"/>
          <w:lang w:eastAsia="es-ES"/>
        </w:rPr>
      </w:pPr>
    </w:p>
    <w:p w14:paraId="70EA8AEA" w14:textId="794751FD" w:rsidR="00094FCA" w:rsidRPr="00B110DF" w:rsidRDefault="00094FCA" w:rsidP="00B110DF">
      <w:pPr>
        <w:pStyle w:val="Prrafodelista"/>
        <w:numPr>
          <w:ilvl w:val="0"/>
          <w:numId w:val="20"/>
        </w:numPr>
        <w:spacing w:after="0" w:line="276" w:lineRule="auto"/>
        <w:jc w:val="both"/>
        <w:rPr>
          <w:rFonts w:ascii="Verdana" w:eastAsia="Calibri" w:hAnsi="Verdana" w:cs="Arial"/>
          <w:lang w:eastAsia="es-ES"/>
        </w:rPr>
      </w:pPr>
      <w:r w:rsidRPr="00B110DF">
        <w:rPr>
          <w:rFonts w:ascii="Verdana" w:eastAsia="Calibri" w:hAnsi="Verdana" w:cs="Arial"/>
          <w:lang w:eastAsia="es-ES"/>
        </w:rPr>
        <w:t>En ese orden de ideas, esta modalidad de selección procede por las causales previstas en la ley</w:t>
      </w:r>
      <w:r>
        <w:rPr>
          <w:rStyle w:val="Refdenotaalpie"/>
          <w:rFonts w:ascii="Verdana" w:eastAsia="Calibri" w:hAnsi="Verdana" w:cs="Arial"/>
          <w:lang w:eastAsia="es-ES"/>
        </w:rPr>
        <w:footnoteReference w:id="2"/>
      </w:r>
      <w:r w:rsidR="00F40CB6" w:rsidRPr="00B110DF">
        <w:rPr>
          <w:rFonts w:ascii="Verdana" w:eastAsia="Calibri" w:hAnsi="Verdana" w:cs="Arial"/>
          <w:lang w:eastAsia="es-ES"/>
        </w:rPr>
        <w:t xml:space="preserve">, las cuales determinan, entre otras cosas, los criterios a tener en cuenta para la escogencia del contratista que proveerá el bien o servicio, además </w:t>
      </w:r>
      <w:r w:rsidR="00BD09C1" w:rsidRPr="00B110DF">
        <w:rPr>
          <w:rFonts w:ascii="Verdana" w:eastAsia="Calibri" w:hAnsi="Verdana" w:cs="Arial"/>
          <w:lang w:eastAsia="es-ES"/>
        </w:rPr>
        <w:t>de sus respectivas reglas para llevar a cabo el proceso de selección</w:t>
      </w:r>
      <w:r w:rsidR="009A3623" w:rsidRPr="00B110DF">
        <w:rPr>
          <w:rFonts w:ascii="Verdana" w:eastAsia="Calibri" w:hAnsi="Verdana" w:cs="Arial"/>
          <w:lang w:eastAsia="es-ES"/>
        </w:rPr>
        <w:t xml:space="preserve"> bajo la modalidad estudiada, siendo una de ellas, pero no la única, el valor presupuestado como precio del contrato.</w:t>
      </w:r>
    </w:p>
    <w:p w14:paraId="35790CF4" w14:textId="77777777" w:rsidR="009A3623" w:rsidRPr="009A3623" w:rsidRDefault="009A3623" w:rsidP="009A3623">
      <w:pPr>
        <w:pStyle w:val="Prrafodelista"/>
        <w:rPr>
          <w:rFonts w:ascii="Verdana" w:eastAsia="Calibri" w:hAnsi="Verdana" w:cs="Arial"/>
          <w:lang w:eastAsia="es-ES"/>
        </w:rPr>
      </w:pPr>
    </w:p>
    <w:p w14:paraId="5AC43D85" w14:textId="1E14A4EB" w:rsidR="009A3623" w:rsidRPr="00B110DF" w:rsidRDefault="009A3623" w:rsidP="00B110DF">
      <w:pPr>
        <w:pStyle w:val="Prrafodelista"/>
        <w:numPr>
          <w:ilvl w:val="0"/>
          <w:numId w:val="20"/>
        </w:numPr>
        <w:spacing w:after="0" w:line="276" w:lineRule="auto"/>
        <w:jc w:val="both"/>
        <w:rPr>
          <w:rFonts w:ascii="Verdana" w:eastAsia="Calibri" w:hAnsi="Verdana" w:cs="Arial"/>
          <w:lang w:eastAsia="es-ES"/>
        </w:rPr>
      </w:pPr>
      <w:r w:rsidRPr="00B110DF">
        <w:rPr>
          <w:rFonts w:ascii="Verdana" w:eastAsia="Calibri" w:hAnsi="Verdana" w:cs="Arial"/>
          <w:lang w:eastAsia="es-ES"/>
        </w:rPr>
        <w:t>A su turno, el Decreto 1082 de 2015, reglamenta las causales para acudir al procedimiento de selección abreviada establecidas en el numeral 2</w:t>
      </w:r>
      <w:r w:rsidR="00AA54E4" w:rsidRPr="00B110DF">
        <w:rPr>
          <w:rFonts w:ascii="Verdana" w:eastAsia="Calibri" w:hAnsi="Verdana" w:cs="Arial"/>
          <w:lang w:eastAsia="es-ES"/>
        </w:rPr>
        <w:t xml:space="preserve"> del a</w:t>
      </w:r>
      <w:r w:rsidR="000A1525" w:rsidRPr="00B110DF">
        <w:rPr>
          <w:rFonts w:ascii="Verdana" w:eastAsia="Calibri" w:hAnsi="Verdana" w:cs="Arial"/>
          <w:lang w:eastAsia="es-ES"/>
        </w:rPr>
        <w:t xml:space="preserve">rtículo </w:t>
      </w:r>
      <w:r w:rsidR="009419F2" w:rsidRPr="00B110DF">
        <w:rPr>
          <w:rFonts w:ascii="Verdana" w:eastAsia="Calibri" w:hAnsi="Verdana" w:cs="Arial"/>
          <w:lang w:eastAsia="es-ES"/>
        </w:rPr>
        <w:t>2 de la Ley 1150 de 2007, y regula el procedimiento, detallando</w:t>
      </w:r>
      <w:r w:rsidR="00D979F7" w:rsidRPr="00B110DF">
        <w:rPr>
          <w:rFonts w:ascii="Verdana" w:eastAsia="Calibri" w:hAnsi="Verdana" w:cs="Arial"/>
          <w:lang w:eastAsia="es-ES"/>
        </w:rPr>
        <w:t xml:space="preserve"> el contenido</w:t>
      </w:r>
      <w:r w:rsidR="0051204B" w:rsidRPr="00B110DF">
        <w:rPr>
          <w:rFonts w:ascii="Verdana" w:eastAsia="Calibri" w:hAnsi="Verdana" w:cs="Arial"/>
          <w:lang w:eastAsia="es-ES"/>
        </w:rPr>
        <w:t xml:space="preserve"> del pliego de condiciones, las etapas, entre otros</w:t>
      </w:r>
      <w:r w:rsidR="00B26187" w:rsidRPr="00B110DF">
        <w:rPr>
          <w:rFonts w:ascii="Verdana" w:eastAsia="Calibri" w:hAnsi="Verdana" w:cs="Arial"/>
          <w:lang w:eastAsia="es-ES"/>
        </w:rPr>
        <w:t>. Dentro de dichas causales se destaca la contratación de menor cuantía y la subasta inversa</w:t>
      </w:r>
      <w:r w:rsidR="00BE1B11" w:rsidRPr="00B110DF">
        <w:rPr>
          <w:rFonts w:ascii="Verdana" w:eastAsia="Calibri" w:hAnsi="Verdana" w:cs="Arial"/>
          <w:lang w:eastAsia="es-ES"/>
        </w:rPr>
        <w:t>.</w:t>
      </w:r>
    </w:p>
    <w:p w14:paraId="2B05946A" w14:textId="77777777" w:rsidR="00BE1B11" w:rsidRPr="00BE1B11" w:rsidRDefault="00BE1B11" w:rsidP="00BE1B11">
      <w:pPr>
        <w:pStyle w:val="Prrafodelista"/>
        <w:rPr>
          <w:rFonts w:ascii="Verdana" w:eastAsia="Calibri" w:hAnsi="Verdana" w:cs="Arial"/>
          <w:lang w:eastAsia="es-ES"/>
        </w:rPr>
      </w:pPr>
    </w:p>
    <w:p w14:paraId="509CD0DD" w14:textId="79F60657" w:rsidR="00BE1B11" w:rsidRPr="00B110DF" w:rsidRDefault="00BE1B11" w:rsidP="00B110DF">
      <w:pPr>
        <w:pStyle w:val="Prrafodelista"/>
        <w:numPr>
          <w:ilvl w:val="0"/>
          <w:numId w:val="20"/>
        </w:numPr>
        <w:spacing w:after="0" w:line="276" w:lineRule="auto"/>
        <w:jc w:val="both"/>
        <w:rPr>
          <w:rFonts w:ascii="Verdana" w:eastAsia="Calibri" w:hAnsi="Verdana" w:cs="Arial"/>
          <w:lang w:eastAsia="es-ES"/>
        </w:rPr>
      </w:pPr>
      <w:r w:rsidRPr="00B110DF">
        <w:rPr>
          <w:rFonts w:ascii="Verdana" w:eastAsia="Calibri" w:hAnsi="Verdana" w:cs="Arial"/>
          <w:lang w:eastAsia="es-ES"/>
        </w:rPr>
        <w:t>Frente a la procedencia de la modalidad de selección</w:t>
      </w:r>
      <w:r w:rsidR="00D07DD9" w:rsidRPr="00B110DF">
        <w:rPr>
          <w:rFonts w:ascii="Verdana" w:eastAsia="Calibri" w:hAnsi="Verdana" w:cs="Arial"/>
          <w:lang w:eastAsia="es-ES"/>
        </w:rPr>
        <w:t xml:space="preserve"> abreviada por la causal de menor </w:t>
      </w:r>
      <w:r w:rsidR="0066010F" w:rsidRPr="00B110DF">
        <w:rPr>
          <w:rFonts w:ascii="Verdana" w:eastAsia="Calibri" w:hAnsi="Verdana" w:cs="Arial"/>
          <w:lang w:eastAsia="es-ES"/>
        </w:rPr>
        <w:t>cuantía, los objetos</w:t>
      </w:r>
      <w:r w:rsidR="007F0FB9" w:rsidRPr="00B110DF">
        <w:rPr>
          <w:rFonts w:ascii="Verdana" w:eastAsia="Calibri" w:hAnsi="Verdana" w:cs="Arial"/>
          <w:lang w:eastAsia="es-ES"/>
        </w:rPr>
        <w:t xml:space="preserve"> respecto de los cuales procede el adelantamiento de procesos de selección abreviada están asociados a unas circunstancias diversas y concretas, delimitadas por unas causales expresamente consagradas en el numeral 2 del artículo 2 de la Ley 1150 de 2007</w:t>
      </w:r>
      <w:r w:rsidR="002F77B0" w:rsidRPr="00B110DF">
        <w:rPr>
          <w:rFonts w:ascii="Verdana" w:eastAsia="Calibri" w:hAnsi="Verdana" w:cs="Arial"/>
          <w:lang w:eastAsia="es-ES"/>
        </w:rPr>
        <w:t xml:space="preserve">. Una de las de mayor relevancia es la referida a los negocios que no superan la menor cuantía de la entidad, la cual aplica en función de </w:t>
      </w:r>
      <w:r w:rsidR="008C5B78" w:rsidRPr="00B110DF">
        <w:rPr>
          <w:rFonts w:ascii="Verdana" w:eastAsia="Calibri" w:hAnsi="Verdana" w:cs="Arial"/>
          <w:lang w:eastAsia="es-ES"/>
        </w:rPr>
        <w:t>unos rangos</w:t>
      </w:r>
      <w:r w:rsidR="00522785" w:rsidRPr="00B110DF">
        <w:rPr>
          <w:rFonts w:ascii="Verdana" w:eastAsia="Calibri" w:hAnsi="Verdana" w:cs="Arial"/>
          <w:lang w:eastAsia="es-ES"/>
        </w:rPr>
        <w:t xml:space="preserve"> y topes señalados por la propia norma. Y medibles respecto del presupuesto anual de la entidad.</w:t>
      </w:r>
    </w:p>
    <w:p w14:paraId="5B7BACA1" w14:textId="77777777" w:rsidR="00522785" w:rsidRPr="00522785" w:rsidRDefault="00522785" w:rsidP="00522785">
      <w:pPr>
        <w:pStyle w:val="Prrafodelista"/>
        <w:rPr>
          <w:rFonts w:ascii="Verdana" w:eastAsia="Calibri" w:hAnsi="Verdana" w:cs="Arial"/>
          <w:lang w:eastAsia="es-ES"/>
        </w:rPr>
      </w:pPr>
    </w:p>
    <w:p w14:paraId="5C31BB12" w14:textId="74177617" w:rsidR="00985F4B" w:rsidRPr="00B110DF" w:rsidRDefault="00522785" w:rsidP="00B110DF">
      <w:pPr>
        <w:pStyle w:val="Prrafodelista"/>
        <w:numPr>
          <w:ilvl w:val="0"/>
          <w:numId w:val="20"/>
        </w:numPr>
        <w:spacing w:after="0" w:line="276" w:lineRule="auto"/>
        <w:jc w:val="both"/>
        <w:rPr>
          <w:rFonts w:ascii="Verdana" w:eastAsia="Calibri" w:hAnsi="Verdana" w:cs="Arial"/>
          <w:lang w:eastAsia="es-ES"/>
        </w:rPr>
      </w:pPr>
      <w:r w:rsidRPr="00B110DF">
        <w:rPr>
          <w:rFonts w:ascii="Verdana" w:eastAsia="Calibri" w:hAnsi="Verdana" w:cs="Arial"/>
          <w:lang w:eastAsia="es-ES"/>
        </w:rPr>
        <w:t xml:space="preserve">De este modo, se evidencia que la procedencia de la causal de selección abreviada de menor cuantía se encuentra </w:t>
      </w:r>
      <w:r w:rsidR="00EB51BE" w:rsidRPr="00B110DF">
        <w:rPr>
          <w:rFonts w:ascii="Verdana" w:eastAsia="Calibri" w:hAnsi="Verdana" w:cs="Arial"/>
          <w:lang w:eastAsia="es-ES"/>
        </w:rPr>
        <w:t xml:space="preserve">directamente </w:t>
      </w:r>
      <w:r w:rsidR="005C020A" w:rsidRPr="00B110DF">
        <w:rPr>
          <w:rFonts w:ascii="Verdana" w:eastAsia="Calibri" w:hAnsi="Verdana" w:cs="Arial"/>
          <w:lang w:eastAsia="es-ES"/>
        </w:rPr>
        <w:t xml:space="preserve">vinculada con el presupuesto anual de cada </w:t>
      </w:r>
      <w:r w:rsidR="000A2FE5" w:rsidRPr="00B110DF">
        <w:rPr>
          <w:rFonts w:ascii="Verdana" w:eastAsia="Calibri" w:hAnsi="Verdana" w:cs="Arial"/>
          <w:lang w:eastAsia="es-ES"/>
        </w:rPr>
        <w:t>Entidad Estatal, de esta manera, que los procedimientos de selección</w:t>
      </w:r>
      <w:r w:rsidR="00985F4B" w:rsidRPr="00B110DF">
        <w:rPr>
          <w:rFonts w:ascii="Verdana" w:eastAsia="Calibri" w:hAnsi="Verdana" w:cs="Arial"/>
          <w:lang w:eastAsia="es-ES"/>
        </w:rPr>
        <w:t xml:space="preserve"> cuyo presupuesto oficial no superen el tope de la menor cuantía, se adelantaran bajo la modalidad de selección abreviada.</w:t>
      </w:r>
    </w:p>
    <w:p w14:paraId="0A4A91BE" w14:textId="77777777" w:rsidR="0062680F" w:rsidRPr="0062680F" w:rsidRDefault="0062680F" w:rsidP="0062680F">
      <w:pPr>
        <w:pStyle w:val="Prrafodelista"/>
        <w:rPr>
          <w:rFonts w:ascii="Verdana" w:eastAsia="Calibri" w:hAnsi="Verdana" w:cs="Arial"/>
          <w:lang w:eastAsia="es-ES"/>
        </w:rPr>
      </w:pPr>
    </w:p>
    <w:p w14:paraId="73ACAEB8" w14:textId="0B20DE2E" w:rsidR="0062680F" w:rsidRPr="00B110DF" w:rsidRDefault="0062680F" w:rsidP="00B110DF">
      <w:pPr>
        <w:pStyle w:val="Prrafodelista"/>
        <w:numPr>
          <w:ilvl w:val="0"/>
          <w:numId w:val="20"/>
        </w:numPr>
        <w:spacing w:after="0" w:line="276" w:lineRule="auto"/>
        <w:jc w:val="both"/>
        <w:rPr>
          <w:rFonts w:ascii="Verdana" w:eastAsia="Calibri" w:hAnsi="Verdana" w:cs="Arial"/>
          <w:lang w:eastAsia="es-ES"/>
        </w:rPr>
      </w:pPr>
      <w:r w:rsidRPr="00B110DF">
        <w:rPr>
          <w:rFonts w:ascii="Verdana" w:eastAsia="Calibri" w:hAnsi="Verdana" w:cs="Arial"/>
          <w:lang w:eastAsia="es-ES"/>
        </w:rPr>
        <w:t xml:space="preserve">Por otro lado, la subasta inversa es un mecanismo que se concibió con la finalidad de introducir una metodología alternativa para el proceso </w:t>
      </w:r>
      <w:r w:rsidR="00E0041A" w:rsidRPr="00B110DF">
        <w:rPr>
          <w:rFonts w:ascii="Verdana" w:eastAsia="Calibri" w:hAnsi="Verdana" w:cs="Arial"/>
          <w:lang w:eastAsia="es-ES"/>
        </w:rPr>
        <w:t xml:space="preserve">de negociación </w:t>
      </w:r>
      <w:r w:rsidR="00C10C27" w:rsidRPr="00B110DF">
        <w:rPr>
          <w:rFonts w:ascii="Verdana" w:eastAsia="Calibri" w:hAnsi="Verdana" w:cs="Arial"/>
          <w:lang w:eastAsia="es-ES"/>
        </w:rPr>
        <w:t>y perfeccionamiento del contrato estatal</w:t>
      </w:r>
      <w:r w:rsidR="004A28BD" w:rsidRPr="00B110DF">
        <w:rPr>
          <w:rFonts w:ascii="Verdana" w:eastAsia="Calibri" w:hAnsi="Verdana" w:cs="Arial"/>
          <w:lang w:eastAsia="es-ES"/>
        </w:rPr>
        <w:t>. Su regulación se encuentra en el artículo 2 de la Ley 1150 de 2007, disposición en la cual se señala que procede para los procesos de selección y servicios de características técnicas uniformes y de común utilización y en los procesos de enajenación de bienes del Estado</w:t>
      </w:r>
      <w:r w:rsidR="004A28BD">
        <w:rPr>
          <w:rStyle w:val="Refdenotaalpie"/>
          <w:rFonts w:ascii="Verdana" w:eastAsia="Calibri" w:hAnsi="Verdana" w:cs="Arial"/>
          <w:lang w:eastAsia="es-ES"/>
        </w:rPr>
        <w:footnoteReference w:id="3"/>
      </w:r>
      <w:r w:rsidR="00F31969" w:rsidRPr="00B110DF">
        <w:rPr>
          <w:rFonts w:ascii="Verdana" w:eastAsia="Calibri" w:hAnsi="Verdana" w:cs="Arial"/>
          <w:lang w:eastAsia="es-ES"/>
        </w:rPr>
        <w:t>.</w:t>
      </w:r>
    </w:p>
    <w:p w14:paraId="552DAC89" w14:textId="77777777" w:rsidR="00F31969" w:rsidRPr="00F31969" w:rsidRDefault="00F31969" w:rsidP="00F31969">
      <w:pPr>
        <w:pStyle w:val="Prrafodelista"/>
        <w:rPr>
          <w:rFonts w:ascii="Verdana" w:eastAsia="Calibri" w:hAnsi="Verdana" w:cs="Arial"/>
          <w:lang w:eastAsia="es-ES"/>
        </w:rPr>
      </w:pPr>
    </w:p>
    <w:p w14:paraId="7A34C31A" w14:textId="161C3A19" w:rsidR="00F31969" w:rsidRPr="00B110DF" w:rsidRDefault="00F31969" w:rsidP="00B110DF">
      <w:pPr>
        <w:pStyle w:val="Prrafodelista"/>
        <w:numPr>
          <w:ilvl w:val="0"/>
          <w:numId w:val="20"/>
        </w:numPr>
        <w:spacing w:after="0" w:line="276" w:lineRule="auto"/>
        <w:jc w:val="both"/>
        <w:rPr>
          <w:rFonts w:ascii="Verdana" w:eastAsia="Calibri" w:hAnsi="Verdana" w:cs="Arial"/>
          <w:lang w:eastAsia="es-ES"/>
        </w:rPr>
      </w:pPr>
      <w:r w:rsidRPr="00B110DF">
        <w:rPr>
          <w:rFonts w:ascii="Verdana" w:eastAsia="Calibri" w:hAnsi="Verdana" w:cs="Arial"/>
          <w:lang w:eastAsia="es-ES"/>
        </w:rPr>
        <w:t xml:space="preserve">En este contexto, la doctrina ha señalado que “se entiende por subasta inversa para la presentación de la oferta, la puja </w:t>
      </w:r>
      <w:r w:rsidR="00A909D3" w:rsidRPr="00B110DF">
        <w:rPr>
          <w:rFonts w:ascii="Verdana" w:eastAsia="Calibri" w:hAnsi="Verdana" w:cs="Arial"/>
          <w:lang w:eastAsia="es-ES"/>
        </w:rPr>
        <w:t>dinámica, mediante la cual los oferentes, durante un tiempo determinado, ajustan su oferta respecto de aquellas variables susceptibles de ser m</w:t>
      </w:r>
      <w:r w:rsidR="00482D4E" w:rsidRPr="00B110DF">
        <w:rPr>
          <w:rFonts w:ascii="Verdana" w:eastAsia="Calibri" w:hAnsi="Verdana" w:cs="Arial"/>
          <w:lang w:eastAsia="es-ES"/>
        </w:rPr>
        <w:t>ejoradas, con el fin de lograr el ofrecimiento que representa la mejor relación costo-beneficio para la entidad, de acuerdo con lo señalad</w:t>
      </w:r>
      <w:r w:rsidR="005D02C9" w:rsidRPr="00B110DF">
        <w:rPr>
          <w:rFonts w:ascii="Verdana" w:eastAsia="Calibri" w:hAnsi="Verdana" w:cs="Arial"/>
          <w:lang w:eastAsia="es-ES"/>
        </w:rPr>
        <w:t>o en el pliego de condiciones”</w:t>
      </w:r>
      <w:r w:rsidR="005D02C9">
        <w:rPr>
          <w:rStyle w:val="Refdenotaalpie"/>
          <w:rFonts w:ascii="Verdana" w:eastAsia="Calibri" w:hAnsi="Verdana" w:cs="Arial"/>
          <w:lang w:eastAsia="es-ES"/>
        </w:rPr>
        <w:footnoteReference w:id="4"/>
      </w:r>
      <w:r w:rsidR="004701BE" w:rsidRPr="00B110DF">
        <w:rPr>
          <w:rFonts w:ascii="Verdana" w:eastAsia="Calibri" w:hAnsi="Verdana" w:cs="Arial"/>
          <w:lang w:eastAsia="es-ES"/>
        </w:rPr>
        <w:t>.</w:t>
      </w:r>
    </w:p>
    <w:p w14:paraId="480E1744" w14:textId="77777777" w:rsidR="008963F4" w:rsidRPr="008963F4" w:rsidRDefault="008963F4" w:rsidP="008963F4">
      <w:pPr>
        <w:pStyle w:val="Prrafodelista"/>
        <w:rPr>
          <w:rFonts w:ascii="Verdana" w:eastAsia="Calibri" w:hAnsi="Verdana" w:cs="Arial"/>
          <w:lang w:eastAsia="es-ES"/>
        </w:rPr>
      </w:pPr>
    </w:p>
    <w:p w14:paraId="24F0E1AB" w14:textId="0DE3A651" w:rsidR="008963F4" w:rsidRPr="00B110DF" w:rsidRDefault="002C3B3C" w:rsidP="00B110DF">
      <w:pPr>
        <w:pStyle w:val="Prrafodelista"/>
        <w:numPr>
          <w:ilvl w:val="0"/>
          <w:numId w:val="20"/>
        </w:numPr>
        <w:spacing w:after="0" w:line="276" w:lineRule="auto"/>
        <w:jc w:val="both"/>
        <w:rPr>
          <w:rFonts w:ascii="Verdana" w:eastAsia="Calibri" w:hAnsi="Verdana" w:cs="Arial"/>
          <w:lang w:eastAsia="es-ES"/>
        </w:rPr>
      </w:pPr>
      <w:r w:rsidRPr="00B110DF">
        <w:rPr>
          <w:rFonts w:ascii="Verdana" w:eastAsia="Calibri" w:hAnsi="Verdana" w:cs="Arial"/>
          <w:lang w:eastAsia="es-ES"/>
        </w:rPr>
        <w:t xml:space="preserve">en igual sentido, la doctrina especializada destaca de este mecanismo que “al encontrarse definidas las características del bien, lo que se va a evaluar únicamente es le precio, porque se entiende que </w:t>
      </w:r>
      <w:r w:rsidR="0059119A" w:rsidRPr="00B110DF">
        <w:rPr>
          <w:rFonts w:ascii="Verdana" w:eastAsia="Calibri" w:hAnsi="Verdana" w:cs="Arial"/>
          <w:lang w:eastAsia="es-ES"/>
        </w:rPr>
        <w:t>todos los bienes</w:t>
      </w:r>
      <w:r w:rsidRPr="00B110DF">
        <w:rPr>
          <w:rFonts w:ascii="Verdana" w:eastAsia="Calibri" w:hAnsi="Verdana" w:cs="Arial"/>
          <w:lang w:eastAsia="es-ES"/>
        </w:rPr>
        <w:t xml:space="preserve"> que se propongan </w:t>
      </w:r>
      <w:r w:rsidR="002572F6" w:rsidRPr="00B110DF">
        <w:rPr>
          <w:rFonts w:ascii="Verdana" w:eastAsia="Calibri" w:hAnsi="Verdana" w:cs="Arial"/>
          <w:lang w:eastAsia="es-ES"/>
        </w:rPr>
        <w:t>tienen</w:t>
      </w:r>
      <w:r w:rsidRPr="00B110DF">
        <w:rPr>
          <w:rFonts w:ascii="Verdana" w:eastAsia="Calibri" w:hAnsi="Verdana" w:cs="Arial"/>
          <w:lang w:eastAsia="es-ES"/>
        </w:rPr>
        <w:t xml:space="preserve"> idéntica característica técnica al tratarse de bienes comunes, de ahí la falencia</w:t>
      </w:r>
      <w:r w:rsidR="00420A93" w:rsidRPr="00B110DF">
        <w:rPr>
          <w:rFonts w:ascii="Verdana" w:eastAsia="Calibri" w:hAnsi="Verdana" w:cs="Arial"/>
          <w:lang w:eastAsia="es-ES"/>
        </w:rPr>
        <w:t xml:space="preserve"> de la modalidad de s</w:t>
      </w:r>
      <w:r w:rsidR="009D25FC" w:rsidRPr="00B110DF">
        <w:rPr>
          <w:rFonts w:ascii="Verdana" w:eastAsia="Calibri" w:hAnsi="Verdana" w:cs="Arial"/>
          <w:lang w:eastAsia="es-ES"/>
        </w:rPr>
        <w:t>ubasta</w:t>
      </w:r>
      <w:r w:rsidR="0040175A" w:rsidRPr="00B110DF">
        <w:rPr>
          <w:rFonts w:ascii="Verdana" w:eastAsia="Calibri" w:hAnsi="Verdana" w:cs="Arial"/>
          <w:lang w:eastAsia="es-ES"/>
        </w:rPr>
        <w:t xml:space="preserve"> inversa que se tiene en </w:t>
      </w:r>
      <w:r w:rsidR="00F209F4" w:rsidRPr="00B110DF">
        <w:rPr>
          <w:rFonts w:ascii="Verdana" w:eastAsia="Calibri" w:hAnsi="Verdana" w:cs="Arial"/>
          <w:lang w:eastAsia="es-ES"/>
        </w:rPr>
        <w:t>Colombia, en tanto esta limitada a la puja con base en el precio”</w:t>
      </w:r>
      <w:r w:rsidR="00F209F4">
        <w:rPr>
          <w:rStyle w:val="Refdenotaalpie"/>
          <w:rFonts w:ascii="Verdana" w:eastAsia="Calibri" w:hAnsi="Verdana" w:cs="Arial"/>
          <w:lang w:eastAsia="es-ES"/>
        </w:rPr>
        <w:footnoteReference w:id="5"/>
      </w:r>
      <w:r w:rsidR="0059119A" w:rsidRPr="00B110DF">
        <w:rPr>
          <w:rFonts w:ascii="Verdana" w:eastAsia="Calibri" w:hAnsi="Verdana" w:cs="Arial"/>
          <w:lang w:eastAsia="es-ES"/>
        </w:rPr>
        <w:t>.</w:t>
      </w:r>
    </w:p>
    <w:p w14:paraId="0A5392F5" w14:textId="77777777" w:rsidR="0059119A" w:rsidRPr="0059119A" w:rsidRDefault="0059119A" w:rsidP="0059119A">
      <w:pPr>
        <w:pStyle w:val="Prrafodelista"/>
        <w:rPr>
          <w:rFonts w:ascii="Verdana" w:eastAsia="Calibri" w:hAnsi="Verdana" w:cs="Arial"/>
          <w:lang w:eastAsia="es-ES"/>
        </w:rPr>
      </w:pPr>
    </w:p>
    <w:p w14:paraId="63E604D0" w14:textId="4032122B" w:rsidR="0059119A" w:rsidRPr="00B110DF" w:rsidRDefault="0059119A" w:rsidP="00B110DF">
      <w:pPr>
        <w:pStyle w:val="Prrafodelista"/>
        <w:numPr>
          <w:ilvl w:val="0"/>
          <w:numId w:val="20"/>
        </w:numPr>
        <w:spacing w:after="0" w:line="276" w:lineRule="auto"/>
        <w:jc w:val="both"/>
        <w:rPr>
          <w:rFonts w:ascii="Verdana" w:eastAsia="Calibri" w:hAnsi="Verdana" w:cs="Arial"/>
          <w:lang w:eastAsia="es-ES"/>
        </w:rPr>
      </w:pPr>
      <w:r w:rsidRPr="00B110DF">
        <w:rPr>
          <w:rFonts w:ascii="Verdana" w:eastAsia="Calibri" w:hAnsi="Verdana" w:cs="Arial"/>
          <w:lang w:eastAsia="es-ES"/>
        </w:rPr>
        <w:t>El literal a) del numeral 2 del artículo 2 de la Ley 11</w:t>
      </w:r>
      <w:r w:rsidR="00AC74F9" w:rsidRPr="00B110DF">
        <w:rPr>
          <w:rFonts w:ascii="Verdana" w:eastAsia="Calibri" w:hAnsi="Verdana" w:cs="Arial"/>
          <w:lang w:eastAsia="es-ES"/>
        </w:rPr>
        <w:t>50 de 2007, en relación con la adquisición de bienes y servicios de características técnicas un</w:t>
      </w:r>
      <w:r w:rsidR="00D85E27" w:rsidRPr="00B110DF">
        <w:rPr>
          <w:rFonts w:ascii="Verdana" w:eastAsia="Calibri" w:hAnsi="Verdana" w:cs="Arial"/>
          <w:lang w:eastAsia="es-ES"/>
        </w:rPr>
        <w:t xml:space="preserve">iformes y de común utilización, establece que “para la adquisición de estos bienes y servicios las entidades </w:t>
      </w:r>
      <w:r w:rsidR="00C40458" w:rsidRPr="00B110DF">
        <w:rPr>
          <w:rFonts w:ascii="Verdana" w:eastAsia="Calibri" w:hAnsi="Verdana" w:cs="Arial"/>
          <w:lang w:eastAsia="es-ES"/>
        </w:rPr>
        <w:t xml:space="preserve">deberán, siempre que el reglamento así lo señale, hacer uso de procedimientos de subasta inversa o de </w:t>
      </w:r>
      <w:r w:rsidR="00092CE1" w:rsidRPr="00B110DF">
        <w:rPr>
          <w:rFonts w:ascii="Verdana" w:eastAsia="Calibri" w:hAnsi="Verdana" w:cs="Arial"/>
          <w:lang w:eastAsia="es-ES"/>
        </w:rPr>
        <w:t>instrumentos de compra por catalogo derivados de la c</w:t>
      </w:r>
      <w:r w:rsidR="00CC4242" w:rsidRPr="00B110DF">
        <w:rPr>
          <w:rFonts w:ascii="Verdana" w:eastAsia="Calibri" w:hAnsi="Verdana" w:cs="Arial"/>
          <w:lang w:eastAsia="es-ES"/>
        </w:rPr>
        <w:t>elebración de acuerdos marco de precios o de procedimientos de adquisición de b</w:t>
      </w:r>
      <w:r w:rsidR="00B1343E" w:rsidRPr="00B110DF">
        <w:rPr>
          <w:rFonts w:ascii="Verdana" w:eastAsia="Calibri" w:hAnsi="Verdana" w:cs="Arial"/>
          <w:lang w:eastAsia="es-ES"/>
        </w:rPr>
        <w:t xml:space="preserve">olsa de productos”. En este evento, contrario </w:t>
      </w:r>
      <w:r w:rsidR="00E2285F" w:rsidRPr="00B110DF">
        <w:rPr>
          <w:rFonts w:ascii="Verdana" w:eastAsia="Calibri" w:hAnsi="Verdana" w:cs="Arial"/>
          <w:lang w:eastAsia="es-ES"/>
        </w:rPr>
        <w:t>a lo que ocurre en la licitación pública, el ordenamiento jurídico prescribe la utilización de la subasta inversa en los procedimientos de selección abreviada cuando se pretendan adquirir bienes y servicios de características técnicas uniformes y de común utilización.</w:t>
      </w:r>
    </w:p>
    <w:p w14:paraId="4B6FFEC6" w14:textId="77777777" w:rsidR="00152E90" w:rsidRPr="00152E90" w:rsidRDefault="00152E90" w:rsidP="00152E90">
      <w:pPr>
        <w:pStyle w:val="Prrafodelista"/>
        <w:rPr>
          <w:rFonts w:ascii="Verdana" w:eastAsia="Calibri" w:hAnsi="Verdana" w:cs="Arial"/>
          <w:lang w:eastAsia="es-ES"/>
        </w:rPr>
      </w:pPr>
    </w:p>
    <w:p w14:paraId="5E85BB51" w14:textId="77777777" w:rsidR="00152E90" w:rsidRDefault="00152E90" w:rsidP="00152E90">
      <w:pPr>
        <w:pStyle w:val="Prrafodelista"/>
        <w:spacing w:after="0" w:line="276" w:lineRule="auto"/>
        <w:ind w:left="1428"/>
        <w:jc w:val="both"/>
        <w:rPr>
          <w:rFonts w:ascii="Verdana" w:eastAsia="Calibri" w:hAnsi="Verdana" w:cs="Arial"/>
          <w:lang w:eastAsia="es-ES"/>
        </w:rPr>
      </w:pPr>
    </w:p>
    <w:p w14:paraId="45A14DC9" w14:textId="77777777" w:rsidR="002E56D2" w:rsidRPr="002E56D2" w:rsidRDefault="002E56D2" w:rsidP="002E56D2">
      <w:pPr>
        <w:pStyle w:val="Prrafodelista"/>
        <w:rPr>
          <w:rFonts w:ascii="Verdana" w:eastAsia="Calibri" w:hAnsi="Verdana" w:cs="Arial"/>
          <w:lang w:eastAsia="es-ES"/>
        </w:rPr>
      </w:pPr>
    </w:p>
    <w:p w14:paraId="212939F6" w14:textId="1E39D756" w:rsidR="002E56D2" w:rsidRPr="00B110DF" w:rsidRDefault="00152E90" w:rsidP="00B110DF">
      <w:pPr>
        <w:pStyle w:val="Prrafodelista"/>
        <w:numPr>
          <w:ilvl w:val="0"/>
          <w:numId w:val="16"/>
        </w:numPr>
        <w:spacing w:after="0" w:line="276" w:lineRule="auto"/>
        <w:jc w:val="both"/>
        <w:rPr>
          <w:rFonts w:ascii="Verdana" w:eastAsia="Calibri" w:hAnsi="Verdana" w:cs="Arial"/>
          <w:b/>
          <w:bCs/>
          <w:lang w:eastAsia="es-ES"/>
        </w:rPr>
      </w:pPr>
      <w:r w:rsidRPr="00B110DF">
        <w:rPr>
          <w:rFonts w:ascii="Verdana" w:eastAsia="Calibri" w:hAnsi="Verdana" w:cs="Arial"/>
          <w:b/>
          <w:bCs/>
          <w:lang w:eastAsia="es-ES"/>
        </w:rPr>
        <w:t>Referencias normativas, jurisprudenciales y otras fuentes:</w:t>
      </w:r>
    </w:p>
    <w:p w14:paraId="1CD6183A" w14:textId="77777777" w:rsidR="00152E90" w:rsidRDefault="00152E90" w:rsidP="00152E90">
      <w:pPr>
        <w:spacing w:after="0" w:line="276" w:lineRule="auto"/>
        <w:jc w:val="both"/>
        <w:rPr>
          <w:rFonts w:ascii="Verdana" w:eastAsia="Calibri" w:hAnsi="Verdana" w:cs="Arial"/>
          <w:lang w:eastAsia="es-ES"/>
        </w:rPr>
      </w:pPr>
    </w:p>
    <w:p w14:paraId="192B3221" w14:textId="7A713C73" w:rsidR="00152E90" w:rsidRDefault="00152E90" w:rsidP="00152E90">
      <w:pPr>
        <w:pStyle w:val="Prrafodelista"/>
        <w:numPr>
          <w:ilvl w:val="0"/>
          <w:numId w:val="18"/>
        </w:numPr>
        <w:pBdr>
          <w:top w:val="single" w:sz="4" w:space="1" w:color="auto"/>
          <w:left w:val="single" w:sz="4" w:space="4" w:color="auto"/>
          <w:bottom w:val="single" w:sz="4" w:space="1" w:color="auto"/>
          <w:right w:val="single" w:sz="4" w:space="4" w:color="auto"/>
        </w:pBdr>
        <w:spacing w:after="0" w:line="276" w:lineRule="auto"/>
        <w:jc w:val="both"/>
        <w:rPr>
          <w:rFonts w:ascii="Verdana" w:eastAsia="Calibri" w:hAnsi="Verdana" w:cs="Arial"/>
          <w:lang w:eastAsia="es-ES"/>
        </w:rPr>
      </w:pPr>
      <w:r>
        <w:rPr>
          <w:rFonts w:ascii="Verdana" w:eastAsia="Calibri" w:hAnsi="Verdana" w:cs="Arial"/>
          <w:lang w:eastAsia="es-ES"/>
        </w:rPr>
        <w:t>Ley 1150 de 2007</w:t>
      </w:r>
      <w:r w:rsidR="000275A1">
        <w:rPr>
          <w:rFonts w:ascii="Verdana" w:eastAsia="Calibri" w:hAnsi="Verdana" w:cs="Arial"/>
          <w:lang w:eastAsia="es-ES"/>
        </w:rPr>
        <w:t>, artículo 2 numeral 2.</w:t>
      </w:r>
    </w:p>
    <w:p w14:paraId="70A88B00" w14:textId="4DC40F99" w:rsidR="000275A1" w:rsidRDefault="000275A1" w:rsidP="00152E90">
      <w:pPr>
        <w:pStyle w:val="Prrafodelista"/>
        <w:numPr>
          <w:ilvl w:val="0"/>
          <w:numId w:val="18"/>
        </w:numPr>
        <w:pBdr>
          <w:top w:val="single" w:sz="4" w:space="1" w:color="auto"/>
          <w:left w:val="single" w:sz="4" w:space="4" w:color="auto"/>
          <w:bottom w:val="single" w:sz="4" w:space="1" w:color="auto"/>
          <w:right w:val="single" w:sz="4" w:space="4" w:color="auto"/>
        </w:pBdr>
        <w:spacing w:after="0" w:line="276" w:lineRule="auto"/>
        <w:jc w:val="both"/>
        <w:rPr>
          <w:rFonts w:ascii="Verdana" w:eastAsia="Calibri" w:hAnsi="Verdana" w:cs="Arial"/>
          <w:lang w:eastAsia="es-ES"/>
        </w:rPr>
      </w:pPr>
      <w:r>
        <w:rPr>
          <w:rFonts w:ascii="Verdana" w:eastAsia="Calibri" w:hAnsi="Verdana" w:cs="Arial"/>
          <w:lang w:eastAsia="es-ES"/>
        </w:rPr>
        <w:t>Decreto 1082 de 2015</w:t>
      </w:r>
      <w:r w:rsidR="00F80ED2">
        <w:rPr>
          <w:rFonts w:ascii="Verdana" w:eastAsia="Calibri" w:hAnsi="Verdana" w:cs="Arial"/>
          <w:lang w:eastAsia="es-ES"/>
        </w:rPr>
        <w:t>.</w:t>
      </w:r>
    </w:p>
    <w:p w14:paraId="54EAA9D9" w14:textId="77777777" w:rsidR="005A35BB" w:rsidRPr="00975CDB" w:rsidRDefault="005A35BB" w:rsidP="00975CDB">
      <w:pPr>
        <w:pBdr>
          <w:top w:val="single" w:sz="4" w:space="1" w:color="auto"/>
          <w:left w:val="single" w:sz="4" w:space="4" w:color="auto"/>
          <w:bottom w:val="single" w:sz="4" w:space="1" w:color="auto"/>
          <w:right w:val="single" w:sz="4" w:space="4" w:color="auto"/>
        </w:pBdr>
        <w:spacing w:after="0" w:line="276" w:lineRule="auto"/>
        <w:ind w:left="360"/>
        <w:jc w:val="both"/>
        <w:rPr>
          <w:rFonts w:ascii="Verdana" w:eastAsia="Calibri" w:hAnsi="Verdana" w:cs="Arial"/>
          <w:lang w:eastAsia="es-ES"/>
        </w:rPr>
      </w:pPr>
    </w:p>
    <w:p w14:paraId="67B0C4FA" w14:textId="77777777" w:rsidR="00615374" w:rsidRDefault="00615374" w:rsidP="00615374">
      <w:pPr>
        <w:pStyle w:val="Prrafodelista"/>
        <w:rPr>
          <w:rFonts w:ascii="Verdana" w:eastAsia="Calibri" w:hAnsi="Verdana" w:cs="Arial"/>
          <w:lang w:eastAsia="es-ES"/>
        </w:rPr>
      </w:pPr>
    </w:p>
    <w:p w14:paraId="2FA0059A" w14:textId="77777777" w:rsidR="00B110DF" w:rsidRPr="00615374" w:rsidRDefault="00B110DF" w:rsidP="00615374">
      <w:pPr>
        <w:pStyle w:val="Prrafodelista"/>
        <w:rPr>
          <w:rFonts w:ascii="Verdana" w:eastAsia="Calibri" w:hAnsi="Verdana" w:cs="Arial"/>
          <w:lang w:eastAsia="es-ES"/>
        </w:rPr>
      </w:pPr>
    </w:p>
    <w:p w14:paraId="18EC5472" w14:textId="7314B529" w:rsidR="00907388" w:rsidRDefault="00975CDB" w:rsidP="00975CDB">
      <w:pPr>
        <w:pStyle w:val="Prrafodelista"/>
        <w:numPr>
          <w:ilvl w:val="0"/>
          <w:numId w:val="16"/>
        </w:numPr>
        <w:spacing w:after="0" w:line="276" w:lineRule="auto"/>
        <w:jc w:val="both"/>
        <w:rPr>
          <w:rFonts w:ascii="Verdana" w:eastAsia="Calibri" w:hAnsi="Verdana" w:cs="Arial"/>
          <w:b/>
          <w:bCs/>
          <w:lang w:eastAsia="es-ES"/>
        </w:rPr>
      </w:pPr>
      <w:r w:rsidRPr="00975CDB">
        <w:rPr>
          <w:rFonts w:ascii="Verdana" w:eastAsia="Calibri" w:hAnsi="Verdana" w:cs="Arial"/>
          <w:b/>
          <w:bCs/>
          <w:lang w:eastAsia="es-ES"/>
        </w:rPr>
        <w:t>Doctrina de la Agencia Nacional de Contratación Pública:</w:t>
      </w:r>
    </w:p>
    <w:p w14:paraId="74BCAB06" w14:textId="77777777" w:rsidR="00B110DF" w:rsidRPr="00B110DF" w:rsidRDefault="00B110DF" w:rsidP="00B110DF">
      <w:pPr>
        <w:spacing w:after="0" w:line="276" w:lineRule="auto"/>
        <w:jc w:val="both"/>
        <w:rPr>
          <w:rFonts w:ascii="Verdana" w:eastAsia="Calibri" w:hAnsi="Verdana" w:cs="Arial"/>
          <w:b/>
          <w:bCs/>
          <w:lang w:eastAsia="es-ES"/>
        </w:rPr>
      </w:pPr>
    </w:p>
    <w:p w14:paraId="29E60EF1" w14:textId="1A0F0329" w:rsidR="001A3B2B" w:rsidRPr="00A001A5" w:rsidRDefault="00B3006C" w:rsidP="001A3B2B">
      <w:pPr>
        <w:widowControl w:val="0"/>
        <w:autoSpaceDE w:val="0"/>
        <w:autoSpaceDN w:val="0"/>
        <w:spacing w:after="0" w:line="276" w:lineRule="auto"/>
        <w:jc w:val="both"/>
        <w:rPr>
          <w:rStyle w:val="normaltextrun"/>
          <w:rFonts w:ascii="Verdana" w:hAnsi="Verdana" w:cs="Arial"/>
          <w:color w:val="FF0000"/>
          <w:shd w:val="clear" w:color="auto" w:fill="FFFFFF"/>
          <w:lang w:val="es-ES"/>
        </w:rPr>
      </w:pPr>
      <w:bookmarkStart w:id="1" w:name="_Hlk38448224"/>
      <w:r w:rsidRPr="00A001A5">
        <w:rPr>
          <w:rFonts w:ascii="Verdana" w:hAnsi="Verdana" w:cs="Arial"/>
          <w:lang w:val="es-ES_tradnl"/>
        </w:rPr>
        <w:t>La Agencia Nacional de Contratación Pública – Colombia Compra Eficiente</w:t>
      </w:r>
      <w:bookmarkEnd w:id="1"/>
      <w:r w:rsidRPr="00A001A5">
        <w:rPr>
          <w:rFonts w:ascii="Verdana" w:eastAsia="Calibri" w:hAnsi="Verdana" w:cs="Arial"/>
          <w:lang w:val="es-MX"/>
        </w:rPr>
        <w:t>, en los conceptos con radicado 2201913000008812 del 28 de noviembre de 2019 y 2201913000009600 del 24 de diciembre de 2019 se pronunció respecto a los bienes y servicios de características técnicas uniformes</w:t>
      </w:r>
      <w:r w:rsidR="001A3B2B" w:rsidRPr="00A001A5">
        <w:rPr>
          <w:rFonts w:ascii="Verdana" w:eastAsia="Calibri" w:hAnsi="Verdana" w:cs="Arial"/>
          <w:lang w:val="es-MX"/>
        </w:rPr>
        <w:t xml:space="preserve">, asimismo, </w:t>
      </w:r>
      <w:r w:rsidR="001A3B2B" w:rsidRPr="00A001A5">
        <w:rPr>
          <w:rStyle w:val="normaltextrun"/>
          <w:rFonts w:ascii="Verdana" w:hAnsi="Verdana" w:cs="Arial"/>
          <w:shd w:val="clear" w:color="auto" w:fill="FFFFFF"/>
          <w:lang w:val="es-MX"/>
        </w:rPr>
        <w:t>la</w:t>
      </w:r>
      <w:r w:rsidR="001A3B2B" w:rsidRPr="00A001A5">
        <w:rPr>
          <w:rStyle w:val="normaltextrun"/>
          <w:rFonts w:ascii="Verdana" w:hAnsi="Verdana" w:cs="Arial"/>
          <w:shd w:val="clear" w:color="auto" w:fill="FFFFFF"/>
          <w:lang w:val="es-ES"/>
        </w:rPr>
        <w:t xml:space="preserve"> Subdirección de Gestión Contractual</w:t>
      </w:r>
      <w:r w:rsidR="003C6583" w:rsidRPr="00A001A5">
        <w:rPr>
          <w:rStyle w:val="normaltextrun"/>
          <w:rFonts w:ascii="Verdana" w:hAnsi="Verdana" w:cs="Arial"/>
          <w:shd w:val="clear" w:color="auto" w:fill="FFFFFF"/>
          <w:lang w:val="es-ES"/>
        </w:rPr>
        <w:t>,</w:t>
      </w:r>
      <w:r w:rsidR="001A3B2B" w:rsidRPr="00A001A5">
        <w:rPr>
          <w:rStyle w:val="normaltextrun"/>
          <w:rFonts w:ascii="Verdana" w:hAnsi="Verdana" w:cs="Arial"/>
          <w:shd w:val="clear" w:color="auto" w:fill="FFFFFF"/>
          <w:lang w:val="es-ES"/>
        </w:rPr>
        <w:t> se ha pronunciado sobre varios de los temas objeto de la solicitud. Es</w:t>
      </w:r>
      <w:r w:rsidR="001A3B2B" w:rsidRPr="00A001A5">
        <w:rPr>
          <w:rFonts w:ascii="Verdana" w:hAnsi="Verdana"/>
        </w:rPr>
        <w:t>tos conceptos se encuentran disponibles para consulta en el Sistema de relatoría de la Agencia, al cual puede accederse a través del siguiente enlace:</w:t>
      </w:r>
      <w:r w:rsidR="001A3B2B" w:rsidRPr="00A001A5">
        <w:rPr>
          <w:rStyle w:val="normaltextrun"/>
          <w:rFonts w:ascii="Verdana" w:hAnsi="Verdana" w:cs="Arial"/>
          <w:shd w:val="clear" w:color="auto" w:fill="FFFFFF"/>
          <w:lang w:val="es-ES"/>
        </w:rPr>
        <w:t xml:space="preserve"> </w:t>
      </w:r>
      <w:hyperlink r:id="rId13" w:history="1">
        <w:r w:rsidR="001A3B2B" w:rsidRPr="00A001A5">
          <w:rPr>
            <w:rStyle w:val="Hipervnculo"/>
            <w:rFonts w:ascii="Verdana" w:hAnsi="Verdana" w:cs="Arial"/>
            <w:shd w:val="clear" w:color="auto" w:fill="FFFFFF"/>
            <w:lang w:val="es-ES"/>
          </w:rPr>
          <w:t>https://relatoria.colombiacompra.gov.co/busqueda/conceptos</w:t>
        </w:r>
      </w:hyperlink>
      <w:r w:rsidR="001A3B2B" w:rsidRPr="00A001A5">
        <w:rPr>
          <w:rStyle w:val="normaltextrun"/>
          <w:rFonts w:ascii="Verdana" w:hAnsi="Verdana" w:cs="Arial"/>
          <w:shd w:val="clear" w:color="auto" w:fill="FFFFFF"/>
          <w:lang w:val="es-ES"/>
        </w:rPr>
        <w:t>.</w:t>
      </w:r>
      <w:r w:rsidR="001A3B2B" w:rsidRPr="00A001A5">
        <w:rPr>
          <w:rStyle w:val="normaltextrun"/>
          <w:rFonts w:ascii="Verdana" w:hAnsi="Verdana" w:cs="Arial"/>
          <w:color w:val="FF0000"/>
          <w:shd w:val="clear" w:color="auto" w:fill="FFFFFF"/>
          <w:lang w:val="es-ES"/>
        </w:rPr>
        <w:t xml:space="preserve"> </w:t>
      </w:r>
    </w:p>
    <w:p w14:paraId="78053B45" w14:textId="79D7EBF8" w:rsidR="00322A85" w:rsidRPr="00A001A5" w:rsidRDefault="00322A85" w:rsidP="001A3B2B">
      <w:pPr>
        <w:spacing w:after="0" w:line="276" w:lineRule="auto"/>
        <w:jc w:val="both"/>
        <w:rPr>
          <w:rFonts w:ascii="Verdana" w:eastAsia="Times New Roman" w:hAnsi="Verdana" w:cs="Segoe UI"/>
          <w:sz w:val="18"/>
          <w:szCs w:val="18"/>
          <w:lang w:val="es-ES" w:eastAsia="es-CO"/>
        </w:rPr>
      </w:pPr>
    </w:p>
    <w:p w14:paraId="1301F71E" w14:textId="77777777" w:rsidR="00A001A5" w:rsidRPr="00A001A5" w:rsidRDefault="00A001A5" w:rsidP="001A3B2B">
      <w:pPr>
        <w:spacing w:after="0" w:line="276" w:lineRule="auto"/>
        <w:jc w:val="both"/>
        <w:rPr>
          <w:rFonts w:ascii="Verdana" w:eastAsia="Times New Roman" w:hAnsi="Verdana" w:cs="Segoe UI"/>
          <w:sz w:val="18"/>
          <w:szCs w:val="18"/>
          <w:lang w:val="es-ES" w:eastAsia="es-CO"/>
        </w:rPr>
      </w:pPr>
    </w:p>
    <w:p w14:paraId="5869D8D9" w14:textId="77777777" w:rsidR="00A001A5" w:rsidRPr="00A001A5" w:rsidRDefault="00A001A5" w:rsidP="00A001A5">
      <w:pPr>
        <w:widowControl w:val="0"/>
        <w:autoSpaceDE w:val="0"/>
        <w:autoSpaceDN w:val="0"/>
        <w:spacing w:after="0" w:line="276" w:lineRule="auto"/>
        <w:jc w:val="both"/>
        <w:rPr>
          <w:rFonts w:ascii="Verdana" w:hAnsi="Verdana" w:cs="Arial"/>
          <w:color w:val="FF0000"/>
          <w:shd w:val="clear" w:color="auto" w:fill="FFFFFF"/>
          <w:lang w:val="es-ES"/>
        </w:rPr>
      </w:pPr>
      <w:r w:rsidRPr="00A001A5">
        <w:rPr>
          <w:rFonts w:ascii="Verdana" w:hAnsi="Verdana" w:cs="Arial"/>
          <w:shd w:val="clear" w:color="auto" w:fill="FFFFFF"/>
          <w:lang w:val="es-ES"/>
        </w:rPr>
        <w:t xml:space="preserve">También le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r w:rsidRPr="00A001A5">
        <w:rPr>
          <w:rFonts w:ascii="Verdana" w:hAnsi="Verdana" w:cs="Arial"/>
          <w:shd w:val="clear" w:color="auto" w:fill="FFFFFF"/>
        </w:rPr>
        <w:t> </w:t>
      </w:r>
      <w:hyperlink r:id="rId14" w:tgtFrame="_blank" w:tooltip="Dirección URL original: https://www.colombiacompra.gov.co/sala-de-prensa/boletin-digital/boletin-de-relatoria-2024-iv. Haga clic o pulse si confía en este vínculo." w:history="1">
        <w:r w:rsidRPr="00A001A5">
          <w:rPr>
            <w:rStyle w:val="Hipervnculo"/>
            <w:rFonts w:ascii="Verdana" w:hAnsi="Verdana" w:cs="Arial"/>
            <w:shd w:val="clear" w:color="auto" w:fill="FFFFFF"/>
          </w:rPr>
          <w:t>BOLETÍN DE RELATORÍA 2024 – IV | Colombia Compra Eficiente | Agencia Nacional de Contratación Pública</w:t>
        </w:r>
      </w:hyperlink>
    </w:p>
    <w:p w14:paraId="6FB0DCE3" w14:textId="77777777" w:rsidR="00A001A5" w:rsidRPr="00A001A5" w:rsidRDefault="00A001A5" w:rsidP="00A001A5">
      <w:pPr>
        <w:spacing w:after="0" w:line="276" w:lineRule="auto"/>
        <w:jc w:val="both"/>
        <w:rPr>
          <w:rFonts w:ascii="Verdana" w:hAnsi="Verdana"/>
        </w:rPr>
      </w:pPr>
    </w:p>
    <w:p w14:paraId="6F16EB6B" w14:textId="77777777" w:rsidR="00A001A5" w:rsidRPr="00A001A5" w:rsidRDefault="00A001A5" w:rsidP="00A001A5">
      <w:pPr>
        <w:spacing w:after="0" w:line="276" w:lineRule="auto"/>
        <w:jc w:val="both"/>
        <w:rPr>
          <w:rFonts w:ascii="Verdana" w:hAnsi="Verdana"/>
        </w:rPr>
      </w:pPr>
      <w:r w:rsidRPr="00A001A5">
        <w:rPr>
          <w:rFonts w:ascii="Verdana" w:hAnsi="Verdana"/>
        </w:rPr>
        <w:t xml:space="preserve">Por último, lo invitamos a seguirnos en las redes sociales en las cuales se difunde información institucional: </w:t>
      </w:r>
    </w:p>
    <w:p w14:paraId="5D526AEB" w14:textId="77777777" w:rsidR="00A001A5" w:rsidRPr="00A001A5" w:rsidRDefault="00A001A5" w:rsidP="00A001A5">
      <w:pPr>
        <w:spacing w:after="0" w:line="276" w:lineRule="auto"/>
        <w:jc w:val="both"/>
        <w:rPr>
          <w:rFonts w:ascii="Verdana" w:hAnsi="Verdana"/>
        </w:rPr>
      </w:pPr>
    </w:p>
    <w:p w14:paraId="3DDCADBC" w14:textId="77777777" w:rsidR="00A001A5" w:rsidRPr="00A001A5" w:rsidRDefault="00A001A5" w:rsidP="00A001A5">
      <w:pPr>
        <w:spacing w:after="0" w:line="276" w:lineRule="auto"/>
        <w:jc w:val="both"/>
        <w:rPr>
          <w:rFonts w:ascii="Verdana" w:hAnsi="Verdana"/>
        </w:rPr>
      </w:pPr>
      <w:r w:rsidRPr="00A001A5">
        <w:rPr>
          <w:rFonts w:ascii="Verdana" w:hAnsi="Verdana"/>
        </w:rPr>
        <w:t xml:space="preserve">Twitter: </w:t>
      </w:r>
      <w:r w:rsidRPr="00A001A5">
        <w:rPr>
          <w:rFonts w:ascii="Verdana" w:hAnsi="Verdana"/>
          <w:color w:val="4472C4" w:themeColor="accent1"/>
          <w:u w:val="single"/>
        </w:rPr>
        <w:t>@colombiacompra</w:t>
      </w:r>
      <w:r w:rsidRPr="00A001A5">
        <w:rPr>
          <w:rFonts w:ascii="Verdana" w:hAnsi="Verdana"/>
          <w:color w:val="4472C4" w:themeColor="accent1"/>
        </w:rPr>
        <w:t xml:space="preserve"> </w:t>
      </w:r>
    </w:p>
    <w:p w14:paraId="5601E282" w14:textId="77777777" w:rsidR="00A001A5" w:rsidRPr="00A001A5" w:rsidRDefault="00A001A5" w:rsidP="00A001A5">
      <w:pPr>
        <w:spacing w:after="0" w:line="276" w:lineRule="auto"/>
        <w:jc w:val="both"/>
        <w:rPr>
          <w:rFonts w:ascii="Verdana" w:hAnsi="Verdana"/>
        </w:rPr>
      </w:pPr>
      <w:r w:rsidRPr="00A001A5">
        <w:rPr>
          <w:rFonts w:ascii="Verdana" w:hAnsi="Verdana"/>
        </w:rPr>
        <w:t xml:space="preserve">Facebook: </w:t>
      </w:r>
      <w:r w:rsidRPr="00A001A5">
        <w:rPr>
          <w:rFonts w:ascii="Verdana" w:hAnsi="Verdana"/>
          <w:color w:val="4472C4" w:themeColor="accent1"/>
          <w:u w:val="single"/>
        </w:rPr>
        <w:t>ColombiaCompraEficiente</w:t>
      </w:r>
    </w:p>
    <w:p w14:paraId="215B6D92" w14:textId="77777777" w:rsidR="00A001A5" w:rsidRPr="00A001A5" w:rsidRDefault="00A001A5" w:rsidP="00A001A5">
      <w:pPr>
        <w:spacing w:after="0" w:line="276" w:lineRule="auto"/>
        <w:jc w:val="both"/>
        <w:rPr>
          <w:rFonts w:ascii="Verdana" w:hAnsi="Verdana"/>
        </w:rPr>
      </w:pPr>
      <w:r w:rsidRPr="00A001A5">
        <w:rPr>
          <w:rFonts w:ascii="Verdana" w:hAnsi="Verdana"/>
        </w:rPr>
        <w:t xml:space="preserve">LinkedIn: </w:t>
      </w:r>
      <w:r w:rsidRPr="00A001A5">
        <w:rPr>
          <w:rFonts w:ascii="Verdana" w:hAnsi="Verdana"/>
          <w:color w:val="4472C4" w:themeColor="accent1"/>
          <w:u w:val="single"/>
        </w:rPr>
        <w:t>Agencia Nacional de Contratación Pública - Colombia Compra Eficiente</w:t>
      </w:r>
      <w:r w:rsidRPr="00A001A5">
        <w:rPr>
          <w:rFonts w:ascii="Verdana" w:hAnsi="Verdana"/>
          <w:color w:val="4472C4" w:themeColor="accent1"/>
        </w:rPr>
        <w:t xml:space="preserve"> </w:t>
      </w:r>
      <w:r w:rsidRPr="00A001A5">
        <w:rPr>
          <w:rFonts w:ascii="Verdana" w:hAnsi="Verdana"/>
        </w:rPr>
        <w:t xml:space="preserve">Instagram: </w:t>
      </w:r>
      <w:r w:rsidRPr="00A001A5">
        <w:rPr>
          <w:rFonts w:ascii="Verdana" w:hAnsi="Verdana"/>
          <w:color w:val="4472C4" w:themeColor="accent1"/>
          <w:u w:val="single"/>
        </w:rPr>
        <w:t>@colombiacompraeficiente_cce</w:t>
      </w:r>
    </w:p>
    <w:p w14:paraId="4B87336F" w14:textId="77777777" w:rsidR="00A001A5" w:rsidRPr="00A001A5" w:rsidRDefault="00A001A5" w:rsidP="00A001A5">
      <w:pPr>
        <w:widowControl w:val="0"/>
        <w:autoSpaceDE w:val="0"/>
        <w:autoSpaceDN w:val="0"/>
        <w:spacing w:after="0" w:line="276" w:lineRule="auto"/>
        <w:jc w:val="both"/>
        <w:rPr>
          <w:rFonts w:ascii="Verdana" w:hAnsi="Verdana" w:cs="Arial"/>
        </w:rPr>
      </w:pPr>
    </w:p>
    <w:p w14:paraId="1CCD0869" w14:textId="77777777" w:rsidR="00A001A5" w:rsidRPr="00A001A5" w:rsidRDefault="00A001A5" w:rsidP="00A001A5">
      <w:pPr>
        <w:widowControl w:val="0"/>
        <w:autoSpaceDE w:val="0"/>
        <w:autoSpaceDN w:val="0"/>
        <w:spacing w:after="0" w:line="276" w:lineRule="auto"/>
        <w:jc w:val="both"/>
        <w:rPr>
          <w:rFonts w:ascii="Verdana" w:hAnsi="Verdana" w:cs="Arial"/>
          <w:lang w:val="es-ES_tradnl"/>
        </w:rPr>
      </w:pPr>
      <w:r w:rsidRPr="00A001A5">
        <w:rPr>
          <w:rFonts w:ascii="Verdana" w:hAnsi="Verdana" w:cs="Arial"/>
        </w:rPr>
        <w:t>Este concepto tiene el alcance previsto en el artículo 28 del Código de Procedimiento Administrativo y de lo Contencioso Administrativo,</w:t>
      </w:r>
    </w:p>
    <w:p w14:paraId="00C86AE2" w14:textId="77777777" w:rsidR="00A001A5" w:rsidRPr="00A001A5" w:rsidRDefault="00A001A5" w:rsidP="00A001A5">
      <w:pPr>
        <w:spacing w:after="0" w:line="240" w:lineRule="auto"/>
        <w:rPr>
          <w:rFonts w:ascii="Verdana" w:eastAsia="Times New Roman" w:hAnsi="Verdana" w:cs="Arial"/>
          <w:lang w:eastAsia="es-CO"/>
        </w:rPr>
      </w:pPr>
    </w:p>
    <w:p w14:paraId="23B8FF33" w14:textId="77777777" w:rsidR="00A001A5" w:rsidRPr="00A001A5" w:rsidRDefault="00A001A5" w:rsidP="00A001A5">
      <w:pPr>
        <w:spacing w:after="0" w:line="240" w:lineRule="auto"/>
        <w:rPr>
          <w:rFonts w:ascii="Verdana" w:hAnsi="Verdana" w:cs="Arial"/>
          <w:lang w:eastAsia="es-CO"/>
        </w:rPr>
      </w:pPr>
      <w:r w:rsidRPr="00A001A5">
        <w:rPr>
          <w:rFonts w:ascii="Verdana" w:eastAsia="Times New Roman" w:hAnsi="Verdana" w:cs="Arial"/>
          <w:lang w:eastAsia="es-CO"/>
        </w:rPr>
        <w:t>Atentamente,</w:t>
      </w:r>
      <w:r w:rsidRPr="00A001A5">
        <w:rPr>
          <w:rFonts w:ascii="Verdana" w:hAnsi="Verdana" w:cs="Arial"/>
          <w:lang w:eastAsia="es-CO"/>
        </w:rPr>
        <w:t xml:space="preserve"> </w:t>
      </w:r>
    </w:p>
    <w:p w14:paraId="285B7A26" w14:textId="77777777" w:rsidR="00A001A5" w:rsidRPr="001A3B2B" w:rsidRDefault="00A001A5" w:rsidP="001A3B2B">
      <w:pPr>
        <w:spacing w:after="0" w:line="276" w:lineRule="auto"/>
        <w:jc w:val="both"/>
        <w:rPr>
          <w:rFonts w:ascii="Verdana" w:eastAsia="Times New Roman" w:hAnsi="Verdana" w:cs="Segoe UI"/>
          <w:sz w:val="18"/>
          <w:szCs w:val="18"/>
          <w:lang w:val="es-ES" w:eastAsia="es-CO"/>
        </w:rPr>
      </w:pPr>
    </w:p>
    <w:p w14:paraId="7CC14AC3" w14:textId="77777777" w:rsidR="00C41CB9" w:rsidRPr="00D844DE" w:rsidRDefault="00C41CB9" w:rsidP="00C41CB9">
      <w:pPr>
        <w:autoSpaceDE w:val="0"/>
        <w:autoSpaceDN w:val="0"/>
        <w:adjustRightInd w:val="0"/>
        <w:spacing w:after="0" w:line="276" w:lineRule="auto"/>
        <w:jc w:val="both"/>
        <w:rPr>
          <w:rFonts w:ascii="Arial" w:eastAsia="Times New Roman" w:hAnsi="Arial" w:cs="Arial"/>
          <w:noProof/>
          <w:lang w:eastAsia="es-MX"/>
        </w:rPr>
      </w:pPr>
    </w:p>
    <w:p w14:paraId="1E5E1DF7" w14:textId="52F84E37" w:rsidR="00C41CB9" w:rsidRPr="00D844DE" w:rsidRDefault="00391120" w:rsidP="00C41CB9">
      <w:pPr>
        <w:autoSpaceDE w:val="0"/>
        <w:autoSpaceDN w:val="0"/>
        <w:adjustRightInd w:val="0"/>
        <w:spacing w:after="0" w:line="276" w:lineRule="auto"/>
        <w:jc w:val="center"/>
        <w:rPr>
          <w:rFonts w:ascii="Arial" w:eastAsia="Times New Roman" w:hAnsi="Arial" w:cs="Arial"/>
          <w:noProof/>
          <w:lang w:eastAsia="es-MX"/>
        </w:rPr>
      </w:pPr>
      <w:r w:rsidRPr="002C3AD6">
        <w:rPr>
          <w:rFonts w:ascii="Century Gothic" w:hAnsi="Century Gothic"/>
          <w:noProof/>
        </w:rPr>
        <w:drawing>
          <wp:inline distT="0" distB="0" distL="0" distR="0" wp14:anchorId="1ADD8068" wp14:editId="3E93C2E3">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p w14:paraId="1BB061C7" w14:textId="347F3D25" w:rsidR="00C41CB9" w:rsidRPr="00D844DE" w:rsidRDefault="00C41CB9" w:rsidP="002D17CA">
      <w:pPr>
        <w:autoSpaceDE w:val="0"/>
        <w:autoSpaceDN w:val="0"/>
        <w:adjustRightInd w:val="0"/>
        <w:spacing w:after="0" w:line="276" w:lineRule="auto"/>
        <w:rPr>
          <w:rFonts w:ascii="Arial" w:eastAsia="Times New Roman" w:hAnsi="Arial" w:cs="Arial"/>
          <w:noProof/>
          <w:lang w:eastAsia="es-MX"/>
        </w:rPr>
      </w:pPr>
    </w:p>
    <w:p w14:paraId="58A3C8FD" w14:textId="77777777" w:rsidR="00C41CB9" w:rsidRPr="00D844DE" w:rsidRDefault="00C41CB9" w:rsidP="00C41CB9">
      <w:pPr>
        <w:autoSpaceDE w:val="0"/>
        <w:autoSpaceDN w:val="0"/>
        <w:adjustRightInd w:val="0"/>
        <w:spacing w:after="0" w:line="276" w:lineRule="auto"/>
        <w:jc w:val="center"/>
        <w:rPr>
          <w:rFonts w:ascii="Arial" w:eastAsia="Calibri" w:hAnsi="Arial" w:cs="Arial"/>
          <w:sz w:val="16"/>
          <w:szCs w:val="16"/>
        </w:rPr>
      </w:pPr>
    </w:p>
    <w:tbl>
      <w:tblPr>
        <w:tblW w:w="5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
        <w:gridCol w:w="4363"/>
      </w:tblGrid>
      <w:tr w:rsidR="00C41CB9" w:rsidRPr="00D844DE" w14:paraId="3AA96828" w14:textId="77777777" w:rsidTr="00041A67">
        <w:trPr>
          <w:trHeight w:val="315"/>
        </w:trPr>
        <w:tc>
          <w:tcPr>
            <w:tcW w:w="857" w:type="dxa"/>
            <w:tcBorders>
              <w:top w:val="nil"/>
              <w:left w:val="nil"/>
              <w:bottom w:val="nil"/>
              <w:right w:val="nil"/>
            </w:tcBorders>
            <w:shd w:val="clear" w:color="auto" w:fill="auto"/>
            <w:vAlign w:val="center"/>
            <w:hideMark/>
          </w:tcPr>
          <w:p w14:paraId="1E626682" w14:textId="77777777" w:rsidR="00C41CB9" w:rsidRPr="00D844DE" w:rsidRDefault="00C41CB9" w:rsidP="00041A67">
            <w:pPr>
              <w:autoSpaceDE w:val="0"/>
              <w:autoSpaceDN w:val="0"/>
              <w:adjustRightInd w:val="0"/>
              <w:spacing w:after="0" w:line="240" w:lineRule="auto"/>
              <w:jc w:val="both"/>
              <w:rPr>
                <w:rFonts w:ascii="Arial" w:eastAsia="Calibri" w:hAnsi="Arial" w:cs="Arial"/>
                <w:sz w:val="16"/>
                <w:szCs w:val="16"/>
              </w:rPr>
            </w:pPr>
            <w:r w:rsidRPr="00D844DE">
              <w:rPr>
                <w:rFonts w:ascii="Arial" w:eastAsia="Calibri" w:hAnsi="Arial" w:cs="Arial"/>
                <w:sz w:val="16"/>
                <w:szCs w:val="16"/>
              </w:rPr>
              <w:t>Elaboró: </w:t>
            </w:r>
          </w:p>
        </w:tc>
        <w:tc>
          <w:tcPr>
            <w:tcW w:w="4363" w:type="dxa"/>
            <w:tcBorders>
              <w:top w:val="nil"/>
              <w:left w:val="nil"/>
              <w:bottom w:val="dotted" w:sz="6" w:space="0" w:color="7F7F7F" w:themeColor="text1" w:themeTint="80"/>
              <w:right w:val="nil"/>
            </w:tcBorders>
            <w:shd w:val="clear" w:color="auto" w:fill="auto"/>
            <w:vAlign w:val="center"/>
            <w:hideMark/>
          </w:tcPr>
          <w:p w14:paraId="40033F7A" w14:textId="77777777" w:rsidR="00C41CB9" w:rsidRPr="00D844DE" w:rsidRDefault="00C41CB9" w:rsidP="00041A67">
            <w:pPr>
              <w:spacing w:after="0" w:line="240" w:lineRule="auto"/>
              <w:jc w:val="both"/>
              <w:rPr>
                <w:rFonts w:ascii="Arial" w:hAnsi="Arial" w:cs="Arial"/>
                <w:sz w:val="16"/>
                <w:szCs w:val="16"/>
              </w:rPr>
            </w:pPr>
            <w:r w:rsidRPr="00D844DE">
              <w:rPr>
                <w:rFonts w:ascii="Arial" w:hAnsi="Arial" w:cs="Arial"/>
                <w:sz w:val="16"/>
                <w:szCs w:val="16"/>
              </w:rPr>
              <w:t xml:space="preserve">Kelmis Yirama Brugés Alvarado </w:t>
            </w:r>
          </w:p>
          <w:p w14:paraId="57A6F247" w14:textId="77777777" w:rsidR="00C41CB9" w:rsidRPr="00D844DE" w:rsidRDefault="00C41CB9" w:rsidP="00041A67">
            <w:pPr>
              <w:autoSpaceDE w:val="0"/>
              <w:autoSpaceDN w:val="0"/>
              <w:adjustRightInd w:val="0"/>
              <w:spacing w:after="0" w:line="240" w:lineRule="auto"/>
              <w:jc w:val="both"/>
              <w:rPr>
                <w:rFonts w:ascii="Arial" w:eastAsia="Calibri" w:hAnsi="Arial" w:cs="Arial"/>
                <w:sz w:val="16"/>
                <w:szCs w:val="16"/>
              </w:rPr>
            </w:pPr>
            <w:r w:rsidRPr="00D844DE">
              <w:rPr>
                <w:rFonts w:ascii="Arial" w:eastAsia="Calibri" w:hAnsi="Arial" w:cs="Arial"/>
                <w:sz w:val="16"/>
                <w:szCs w:val="16"/>
              </w:rPr>
              <w:t>Analista T2-04 de la Subdirección de Gestión Contractual</w:t>
            </w:r>
          </w:p>
        </w:tc>
      </w:tr>
      <w:tr w:rsidR="00C41CB9" w:rsidRPr="00D844DE" w14:paraId="50F9FB9D" w14:textId="77777777" w:rsidTr="00041A67">
        <w:trPr>
          <w:trHeight w:val="315"/>
        </w:trPr>
        <w:tc>
          <w:tcPr>
            <w:tcW w:w="857" w:type="dxa"/>
            <w:tcBorders>
              <w:top w:val="nil"/>
              <w:left w:val="nil"/>
              <w:bottom w:val="nil"/>
              <w:right w:val="nil"/>
            </w:tcBorders>
            <w:shd w:val="clear" w:color="auto" w:fill="auto"/>
            <w:vAlign w:val="center"/>
            <w:hideMark/>
          </w:tcPr>
          <w:p w14:paraId="100DA29F" w14:textId="77777777" w:rsidR="00C41CB9" w:rsidRPr="00D844DE" w:rsidRDefault="00C41CB9" w:rsidP="00041A67">
            <w:pPr>
              <w:autoSpaceDE w:val="0"/>
              <w:autoSpaceDN w:val="0"/>
              <w:adjustRightInd w:val="0"/>
              <w:spacing w:after="0" w:line="240" w:lineRule="auto"/>
              <w:jc w:val="both"/>
              <w:rPr>
                <w:rFonts w:ascii="Arial" w:eastAsia="Calibri" w:hAnsi="Arial" w:cs="Arial"/>
                <w:sz w:val="16"/>
                <w:szCs w:val="16"/>
              </w:rPr>
            </w:pPr>
            <w:r w:rsidRPr="00D844DE">
              <w:rPr>
                <w:rFonts w:ascii="Arial" w:eastAsia="Calibri" w:hAnsi="Arial" w:cs="Arial"/>
                <w:sz w:val="16"/>
                <w:szCs w:val="16"/>
              </w:rPr>
              <w:t>Revisó: </w:t>
            </w:r>
          </w:p>
        </w:tc>
        <w:tc>
          <w:tcPr>
            <w:tcW w:w="4363"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76246A4D" w14:textId="4D6F0424" w:rsidR="00C41CB9" w:rsidRPr="00D844DE" w:rsidRDefault="00C41CB9" w:rsidP="00041A67">
            <w:pPr>
              <w:spacing w:after="0" w:line="240" w:lineRule="auto"/>
              <w:jc w:val="both"/>
              <w:rPr>
                <w:rFonts w:ascii="Arial" w:hAnsi="Arial" w:cs="Arial"/>
                <w:sz w:val="16"/>
                <w:szCs w:val="16"/>
              </w:rPr>
            </w:pPr>
            <w:r>
              <w:rPr>
                <w:rFonts w:ascii="Arial" w:hAnsi="Arial" w:cs="Arial"/>
                <w:sz w:val="16"/>
                <w:szCs w:val="16"/>
              </w:rPr>
              <w:t xml:space="preserve">Adriana </w:t>
            </w:r>
            <w:r w:rsidR="00B110DF">
              <w:rPr>
                <w:rFonts w:ascii="Arial" w:hAnsi="Arial" w:cs="Arial"/>
                <w:sz w:val="16"/>
                <w:szCs w:val="16"/>
              </w:rPr>
              <w:t>López Rodríguez</w:t>
            </w:r>
          </w:p>
          <w:p w14:paraId="6E0F032E" w14:textId="46EB3C33" w:rsidR="00C41CB9" w:rsidRPr="00D844DE" w:rsidRDefault="00DE71B6" w:rsidP="00041A67">
            <w:pPr>
              <w:spacing w:after="0" w:line="240" w:lineRule="auto"/>
              <w:jc w:val="both"/>
              <w:rPr>
                <w:rFonts w:ascii="Arial" w:hAnsi="Arial" w:cs="Arial"/>
                <w:sz w:val="16"/>
                <w:szCs w:val="16"/>
              </w:rPr>
            </w:pPr>
            <w:r>
              <w:rPr>
                <w:rFonts w:ascii="Arial" w:eastAsia="Calibri" w:hAnsi="Arial" w:cs="Arial"/>
                <w:sz w:val="16"/>
                <w:szCs w:val="16"/>
              </w:rPr>
              <w:t xml:space="preserve">Contratista </w:t>
            </w:r>
            <w:r w:rsidRPr="00D844DE">
              <w:rPr>
                <w:rFonts w:ascii="Arial" w:eastAsia="Calibri" w:hAnsi="Arial" w:cs="Arial"/>
                <w:sz w:val="16"/>
                <w:szCs w:val="16"/>
              </w:rPr>
              <w:t>de</w:t>
            </w:r>
            <w:r w:rsidR="00C41CB9" w:rsidRPr="00D844DE">
              <w:rPr>
                <w:rFonts w:ascii="Arial" w:eastAsia="Calibri" w:hAnsi="Arial" w:cs="Arial"/>
                <w:sz w:val="16"/>
                <w:szCs w:val="16"/>
              </w:rPr>
              <w:t xml:space="preserve"> la Subdirección de Gestión Contractual</w:t>
            </w:r>
          </w:p>
        </w:tc>
      </w:tr>
      <w:tr w:rsidR="00C41CB9" w:rsidRPr="00D844DE" w14:paraId="1BCF1177" w14:textId="77777777" w:rsidTr="00041A67">
        <w:trPr>
          <w:trHeight w:val="300"/>
        </w:trPr>
        <w:tc>
          <w:tcPr>
            <w:tcW w:w="857" w:type="dxa"/>
            <w:tcBorders>
              <w:top w:val="nil"/>
              <w:left w:val="nil"/>
              <w:bottom w:val="nil"/>
              <w:right w:val="nil"/>
            </w:tcBorders>
            <w:shd w:val="clear" w:color="auto" w:fill="auto"/>
            <w:vAlign w:val="center"/>
            <w:hideMark/>
          </w:tcPr>
          <w:p w14:paraId="21369246" w14:textId="77777777" w:rsidR="00C41CB9" w:rsidRPr="00D844DE" w:rsidRDefault="00C41CB9" w:rsidP="00041A67">
            <w:pPr>
              <w:autoSpaceDE w:val="0"/>
              <w:autoSpaceDN w:val="0"/>
              <w:adjustRightInd w:val="0"/>
              <w:spacing w:after="0" w:line="240" w:lineRule="auto"/>
              <w:jc w:val="both"/>
              <w:rPr>
                <w:rFonts w:ascii="Arial" w:eastAsia="Calibri" w:hAnsi="Arial" w:cs="Arial"/>
                <w:sz w:val="16"/>
                <w:szCs w:val="16"/>
              </w:rPr>
            </w:pPr>
            <w:r w:rsidRPr="00D844DE">
              <w:rPr>
                <w:rFonts w:ascii="Arial" w:eastAsia="Calibri" w:hAnsi="Arial" w:cs="Arial"/>
                <w:sz w:val="16"/>
                <w:szCs w:val="16"/>
              </w:rPr>
              <w:t>Aprobó: </w:t>
            </w:r>
          </w:p>
        </w:tc>
        <w:tc>
          <w:tcPr>
            <w:tcW w:w="4363"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459651E9" w14:textId="77777777" w:rsidR="00C41CB9" w:rsidRPr="00D844DE" w:rsidRDefault="00C41CB9" w:rsidP="00041A67">
            <w:pPr>
              <w:autoSpaceDE w:val="0"/>
              <w:autoSpaceDN w:val="0"/>
              <w:adjustRightInd w:val="0"/>
              <w:spacing w:after="0" w:line="240" w:lineRule="auto"/>
              <w:jc w:val="both"/>
              <w:rPr>
                <w:rFonts w:ascii="Arial" w:eastAsia="Calibri" w:hAnsi="Arial" w:cs="Arial"/>
                <w:sz w:val="16"/>
                <w:szCs w:val="16"/>
              </w:rPr>
            </w:pPr>
            <w:r w:rsidRPr="00D844DE">
              <w:rPr>
                <w:rFonts w:ascii="Arial" w:eastAsia="Calibri" w:hAnsi="Arial" w:cs="Arial"/>
                <w:sz w:val="16"/>
                <w:szCs w:val="16"/>
              </w:rPr>
              <w:t>Carolina Quintero Gacharná</w:t>
            </w:r>
          </w:p>
          <w:p w14:paraId="32D12040" w14:textId="77777777" w:rsidR="00C41CB9" w:rsidRPr="00D844DE" w:rsidRDefault="00C41CB9" w:rsidP="00041A67">
            <w:pPr>
              <w:autoSpaceDE w:val="0"/>
              <w:autoSpaceDN w:val="0"/>
              <w:adjustRightInd w:val="0"/>
              <w:spacing w:after="0" w:line="240" w:lineRule="auto"/>
              <w:jc w:val="both"/>
              <w:rPr>
                <w:rFonts w:ascii="Arial" w:eastAsia="Calibri" w:hAnsi="Arial" w:cs="Arial"/>
                <w:sz w:val="16"/>
                <w:szCs w:val="16"/>
              </w:rPr>
            </w:pPr>
            <w:r w:rsidRPr="00D844DE">
              <w:rPr>
                <w:rFonts w:ascii="Arial" w:eastAsia="Calibri" w:hAnsi="Arial" w:cs="Arial"/>
                <w:sz w:val="16"/>
                <w:szCs w:val="16"/>
              </w:rPr>
              <w:t xml:space="preserve">Subdirectora de Gestión Contractual </w:t>
            </w:r>
          </w:p>
        </w:tc>
      </w:tr>
    </w:tbl>
    <w:p w14:paraId="71DDD061" w14:textId="77777777" w:rsidR="00C41CB9" w:rsidRPr="008D2C10" w:rsidRDefault="00C41CB9" w:rsidP="00C41CB9">
      <w:pPr>
        <w:spacing w:after="0"/>
        <w:rPr>
          <w:rFonts w:ascii="Arial" w:hAnsi="Arial" w:cs="Arial"/>
          <w:b/>
          <w:bCs/>
        </w:rPr>
      </w:pPr>
    </w:p>
    <w:p w14:paraId="0F293BF4" w14:textId="7BBFAB11" w:rsidR="00127233" w:rsidRPr="0044528D" w:rsidRDefault="00127233" w:rsidP="00665D70">
      <w:pPr>
        <w:spacing w:after="0"/>
        <w:jc w:val="both"/>
        <w:rPr>
          <w:rFonts w:ascii="Verdana" w:hAnsi="Verdana"/>
        </w:rPr>
      </w:pPr>
    </w:p>
    <w:sectPr w:rsidR="00127233" w:rsidRPr="0044528D"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FD3A6" w14:textId="77777777" w:rsidR="00C75D5A" w:rsidRDefault="00C75D5A" w:rsidP="004A1847">
      <w:pPr>
        <w:spacing w:after="0" w:line="240" w:lineRule="auto"/>
      </w:pPr>
      <w:r>
        <w:separator/>
      </w:r>
    </w:p>
  </w:endnote>
  <w:endnote w:type="continuationSeparator" w:id="0">
    <w:p w14:paraId="29A9AFE6" w14:textId="77777777" w:rsidR="00C75D5A" w:rsidRDefault="00C75D5A" w:rsidP="004A1847">
      <w:pPr>
        <w:spacing w:after="0" w:line="240" w:lineRule="auto"/>
      </w:pPr>
      <w:r>
        <w:continuationSeparator/>
      </w:r>
    </w:p>
  </w:endnote>
  <w:endnote w:type="continuationNotice" w:id="1">
    <w:p w14:paraId="0BE2C958" w14:textId="77777777" w:rsidR="00C75D5A" w:rsidRDefault="00C75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75C8F" w14:textId="77777777" w:rsidR="00C75D5A" w:rsidRDefault="00C75D5A" w:rsidP="004A1847">
      <w:pPr>
        <w:spacing w:after="0" w:line="240" w:lineRule="auto"/>
      </w:pPr>
      <w:r>
        <w:separator/>
      </w:r>
    </w:p>
  </w:footnote>
  <w:footnote w:type="continuationSeparator" w:id="0">
    <w:p w14:paraId="1D040B61" w14:textId="77777777" w:rsidR="00C75D5A" w:rsidRDefault="00C75D5A" w:rsidP="004A1847">
      <w:pPr>
        <w:spacing w:after="0" w:line="240" w:lineRule="auto"/>
      </w:pPr>
      <w:r>
        <w:continuationSeparator/>
      </w:r>
    </w:p>
  </w:footnote>
  <w:footnote w:type="continuationNotice" w:id="1">
    <w:p w14:paraId="788E49A8" w14:textId="77777777" w:rsidR="00C75D5A" w:rsidRDefault="00C75D5A">
      <w:pPr>
        <w:spacing w:after="0" w:line="240" w:lineRule="auto"/>
      </w:pPr>
    </w:p>
  </w:footnote>
  <w:footnote w:id="2">
    <w:p w14:paraId="520DAA5E" w14:textId="77777777" w:rsidR="006B6A21" w:rsidRPr="003D0549" w:rsidRDefault="00094FCA" w:rsidP="006B6A2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Refdenotaalpie"/>
          <w:rFonts w:ascii="Verdana" w:hAnsi="Verdana"/>
          <w:sz w:val="12"/>
          <w:szCs w:val="12"/>
        </w:rPr>
        <w:footnoteRef/>
      </w:r>
      <w:r w:rsidRPr="003D0549">
        <w:rPr>
          <w:rFonts w:ascii="Verdana" w:hAnsi="Verdana"/>
          <w:sz w:val="12"/>
          <w:szCs w:val="12"/>
        </w:rPr>
        <w:t xml:space="preserve"> </w:t>
      </w:r>
      <w:r w:rsidR="006B6A21" w:rsidRPr="003D0549">
        <w:rPr>
          <w:rStyle w:val="normaltextrun"/>
          <w:rFonts w:ascii="Verdana" w:hAnsi="Verdana" w:cs="Arial"/>
          <w:color w:val="000000"/>
          <w:sz w:val="12"/>
          <w:szCs w:val="12"/>
        </w:rPr>
        <w:t>El numeral 2 del artículo 2 de la Ley 1150 de 2007 prescribe: “[…] Serán causales de selección abreviada las siguientes:</w:t>
      </w:r>
      <w:r w:rsidR="006B6A21" w:rsidRPr="003D0549">
        <w:rPr>
          <w:rStyle w:val="eop"/>
          <w:rFonts w:ascii="Verdana" w:hAnsi="Verdana" w:cs="Arial"/>
          <w:color w:val="000000"/>
          <w:sz w:val="12"/>
          <w:szCs w:val="12"/>
        </w:rPr>
        <w:t> </w:t>
      </w:r>
    </w:p>
    <w:p w14:paraId="714DC3BE" w14:textId="77777777" w:rsidR="006B6A21" w:rsidRPr="003D0549" w:rsidRDefault="006B6A21" w:rsidP="006B6A2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normaltextrun"/>
          <w:rFonts w:ascii="Verdana" w:hAnsi="Verdana" w:cs="Arial"/>
          <w:color w:val="000000"/>
          <w:sz w:val="12"/>
          <w:szCs w:val="12"/>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Pr="003D0549">
        <w:rPr>
          <w:rStyle w:val="eop"/>
          <w:rFonts w:ascii="Verdana" w:hAnsi="Verdana" w:cs="Arial"/>
          <w:color w:val="000000"/>
          <w:sz w:val="12"/>
          <w:szCs w:val="12"/>
        </w:rPr>
        <w:t> </w:t>
      </w:r>
    </w:p>
    <w:p w14:paraId="4F5B49EE" w14:textId="77777777" w:rsidR="006B6A21" w:rsidRPr="003D0549" w:rsidRDefault="006B6A21" w:rsidP="006B6A2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normaltextrun"/>
          <w:rFonts w:ascii="Verdana" w:hAnsi="Verdana" w:cs="Arial"/>
          <w:color w:val="000000"/>
          <w:sz w:val="12"/>
          <w:szCs w:val="12"/>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r w:rsidRPr="003D0549">
        <w:rPr>
          <w:rStyle w:val="eop"/>
          <w:rFonts w:ascii="Verdana" w:hAnsi="Verdana" w:cs="Arial"/>
          <w:color w:val="000000"/>
          <w:sz w:val="12"/>
          <w:szCs w:val="12"/>
        </w:rPr>
        <w:t> </w:t>
      </w:r>
    </w:p>
    <w:p w14:paraId="7C301DAD" w14:textId="77777777" w:rsidR="006B6A21" w:rsidRPr="003D0549" w:rsidRDefault="006B6A21" w:rsidP="006B6A2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normaltextrun"/>
          <w:rFonts w:ascii="Verdana" w:hAnsi="Verdana" w:cs="Arial"/>
          <w:color w:val="000000"/>
          <w:sz w:val="12"/>
          <w:szCs w:val="12"/>
        </w:rPr>
        <w:t>b) La contratación de menor cuantía. Se entenderá por menor cuantía los valores que a continuación se relacionan, determinados en función de los presupuestos anuales de las entidades públicas expresados en salarios mínimos legales mensuales.</w:t>
      </w:r>
      <w:r w:rsidRPr="003D0549">
        <w:rPr>
          <w:rStyle w:val="eop"/>
          <w:rFonts w:ascii="Verdana" w:hAnsi="Verdana" w:cs="Arial"/>
          <w:color w:val="000000"/>
          <w:sz w:val="12"/>
          <w:szCs w:val="12"/>
        </w:rPr>
        <w:t> </w:t>
      </w:r>
    </w:p>
    <w:p w14:paraId="5CEF7D77" w14:textId="77777777" w:rsidR="006B6A21" w:rsidRPr="003D0549" w:rsidRDefault="006B6A21" w:rsidP="006B6A21">
      <w:pPr>
        <w:pStyle w:val="paragraph"/>
        <w:spacing w:before="0" w:beforeAutospacing="0" w:after="0" w:afterAutospacing="0"/>
        <w:ind w:firstLine="705"/>
        <w:contextualSpacing/>
        <w:jc w:val="both"/>
        <w:textAlignment w:val="baseline"/>
        <w:rPr>
          <w:rStyle w:val="eop"/>
          <w:rFonts w:ascii="Verdana" w:hAnsi="Verdana" w:cs="Arial"/>
          <w:color w:val="000000"/>
          <w:sz w:val="12"/>
          <w:szCs w:val="12"/>
        </w:rPr>
      </w:pPr>
      <w:r w:rsidRPr="003D0549">
        <w:rPr>
          <w:rStyle w:val="normaltextrun"/>
          <w:rFonts w:ascii="Verdana" w:hAnsi="Verdana" w:cs="Arial"/>
          <w:color w:val="000000"/>
          <w:sz w:val="12"/>
          <w:szCs w:val="12"/>
        </w:rPr>
        <w:t>[…];</w:t>
      </w:r>
      <w:r w:rsidRPr="003D0549">
        <w:rPr>
          <w:rStyle w:val="eop"/>
          <w:rFonts w:ascii="Verdana" w:hAnsi="Verdana" w:cs="Arial"/>
          <w:color w:val="000000"/>
          <w:sz w:val="12"/>
          <w:szCs w:val="12"/>
        </w:rPr>
        <w:t> </w:t>
      </w:r>
    </w:p>
    <w:p w14:paraId="1EC5EEA8" w14:textId="77777777" w:rsidR="002F03E1" w:rsidRPr="003D0549" w:rsidRDefault="002F03E1" w:rsidP="002F03E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normaltextrun"/>
          <w:rFonts w:ascii="Verdana" w:hAnsi="Verdana" w:cs="Arial"/>
          <w:color w:val="000000"/>
          <w:sz w:val="12"/>
          <w:szCs w:val="12"/>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r w:rsidRPr="003D0549">
        <w:rPr>
          <w:rStyle w:val="eop"/>
          <w:rFonts w:ascii="Verdana" w:hAnsi="Verdana" w:cs="Arial"/>
          <w:color w:val="000000"/>
          <w:sz w:val="12"/>
          <w:szCs w:val="12"/>
        </w:rPr>
        <w:t> </w:t>
      </w:r>
    </w:p>
    <w:p w14:paraId="2A616EC9" w14:textId="77777777" w:rsidR="002F03E1" w:rsidRPr="003D0549" w:rsidRDefault="002F03E1" w:rsidP="002F03E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normaltextrun"/>
          <w:rFonts w:ascii="Verdana" w:hAnsi="Verdana" w:cs="Arial"/>
          <w:color w:val="000000"/>
          <w:sz w:val="12"/>
          <w:szCs w:val="12"/>
        </w:rPr>
        <w:t>d) La contratación cuyo proceso de licitación pública haya sido declarado desierto; en cuyo caso la entidad deberá iniciar la selección abreviada dentro de los cuatro meses siguientes a la declaración de desierta del proceso inicial;</w:t>
      </w:r>
      <w:r w:rsidRPr="003D0549">
        <w:rPr>
          <w:rStyle w:val="eop"/>
          <w:rFonts w:ascii="Verdana" w:hAnsi="Verdana" w:cs="Arial"/>
          <w:color w:val="000000"/>
          <w:sz w:val="12"/>
          <w:szCs w:val="12"/>
        </w:rPr>
        <w:t> </w:t>
      </w:r>
    </w:p>
    <w:p w14:paraId="76E3E0FE" w14:textId="77777777" w:rsidR="002F03E1" w:rsidRPr="003D0549" w:rsidRDefault="002F03E1" w:rsidP="002F03E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normaltextrun"/>
          <w:rFonts w:ascii="Verdana" w:hAnsi="Verdana" w:cs="Arial"/>
          <w:color w:val="000000"/>
          <w:sz w:val="12"/>
          <w:szCs w:val="12"/>
        </w:rPr>
        <w:t>e) La enajenación de bienes del Estado, con excepción de aquellos a que se refiere la Ley 226 de 1995.</w:t>
      </w:r>
      <w:r w:rsidRPr="003D0549">
        <w:rPr>
          <w:rStyle w:val="eop"/>
          <w:rFonts w:ascii="Verdana" w:hAnsi="Verdana" w:cs="Arial"/>
          <w:color w:val="000000"/>
          <w:sz w:val="12"/>
          <w:szCs w:val="12"/>
        </w:rPr>
        <w:t> </w:t>
      </w:r>
    </w:p>
    <w:p w14:paraId="1F3B7785" w14:textId="77777777" w:rsidR="002F03E1" w:rsidRPr="003D0549" w:rsidRDefault="002F03E1" w:rsidP="002F03E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normaltextrun"/>
          <w:rFonts w:ascii="Verdana" w:hAnsi="Verdana" w:cs="Arial"/>
          <w:color w:val="000000"/>
          <w:sz w:val="12"/>
          <w:szCs w:val="12"/>
        </w:rPr>
        <w:t>[…]; </w:t>
      </w:r>
      <w:r w:rsidRPr="003D0549">
        <w:rPr>
          <w:rStyle w:val="eop"/>
          <w:rFonts w:ascii="Verdana" w:hAnsi="Verdana" w:cs="Arial"/>
          <w:color w:val="000000"/>
          <w:sz w:val="12"/>
          <w:szCs w:val="12"/>
        </w:rPr>
        <w:t> </w:t>
      </w:r>
    </w:p>
    <w:p w14:paraId="4764FDE9" w14:textId="77777777" w:rsidR="002F03E1" w:rsidRPr="003D0549" w:rsidRDefault="002F03E1" w:rsidP="002F03E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normaltextrun"/>
          <w:rFonts w:ascii="Verdana" w:hAnsi="Verdana" w:cs="Arial"/>
          <w:color w:val="000000"/>
          <w:sz w:val="12"/>
          <w:szCs w:val="12"/>
        </w:rPr>
        <w:t>f) Productos de origen o destinación agropecuarios que se ofrezcan en las bolsas de productos legalmente constituidas; </w:t>
      </w:r>
      <w:r w:rsidRPr="003D0549">
        <w:rPr>
          <w:rStyle w:val="eop"/>
          <w:rFonts w:ascii="Verdana" w:hAnsi="Verdana" w:cs="Arial"/>
          <w:color w:val="000000"/>
          <w:sz w:val="12"/>
          <w:szCs w:val="12"/>
        </w:rPr>
        <w:t> </w:t>
      </w:r>
    </w:p>
    <w:p w14:paraId="086DB042" w14:textId="77777777" w:rsidR="002F03E1" w:rsidRPr="003D0549" w:rsidRDefault="002F03E1" w:rsidP="002F03E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normaltextrun"/>
          <w:rFonts w:ascii="Verdana" w:hAnsi="Verdana" w:cs="Arial"/>
          <w:color w:val="000000"/>
          <w:sz w:val="12"/>
          <w:szCs w:val="12"/>
        </w:rPr>
        <w:t>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r w:rsidRPr="003D0549">
        <w:rPr>
          <w:rStyle w:val="eop"/>
          <w:rFonts w:ascii="Verdana" w:hAnsi="Verdana" w:cs="Arial"/>
          <w:color w:val="000000"/>
          <w:sz w:val="12"/>
          <w:szCs w:val="12"/>
        </w:rPr>
        <w:t> </w:t>
      </w:r>
    </w:p>
    <w:p w14:paraId="730F9AEE" w14:textId="77777777" w:rsidR="002F03E1" w:rsidRPr="003D0549" w:rsidRDefault="002F03E1" w:rsidP="002F03E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normaltextrun"/>
          <w:rFonts w:ascii="Verdana" w:hAnsi="Verdana" w:cs="Arial"/>
          <w:color w:val="000000"/>
          <w:sz w:val="12"/>
          <w:szCs w:val="12"/>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r w:rsidRPr="003D0549">
        <w:rPr>
          <w:rStyle w:val="eop"/>
          <w:rFonts w:ascii="Verdana" w:hAnsi="Verdana" w:cs="Arial"/>
          <w:color w:val="000000"/>
          <w:sz w:val="12"/>
          <w:szCs w:val="12"/>
        </w:rPr>
        <w:t> </w:t>
      </w:r>
    </w:p>
    <w:p w14:paraId="38B79D30" w14:textId="77777777" w:rsidR="002F03E1" w:rsidRPr="003D0549" w:rsidRDefault="002F03E1" w:rsidP="002F03E1">
      <w:pPr>
        <w:pStyle w:val="paragraph"/>
        <w:spacing w:before="0" w:beforeAutospacing="0" w:after="0" w:afterAutospacing="0"/>
        <w:ind w:firstLine="705"/>
        <w:contextualSpacing/>
        <w:jc w:val="both"/>
        <w:textAlignment w:val="baseline"/>
        <w:rPr>
          <w:rFonts w:ascii="Verdana" w:hAnsi="Verdana" w:cs="Arial"/>
          <w:sz w:val="12"/>
          <w:szCs w:val="12"/>
        </w:rPr>
      </w:pPr>
      <w:r w:rsidRPr="003D0549">
        <w:rPr>
          <w:rStyle w:val="normaltextrun"/>
          <w:rFonts w:ascii="Verdana" w:hAnsi="Verdana" w:cs="Arial"/>
          <w:color w:val="000000"/>
          <w:sz w:val="12"/>
          <w:szCs w:val="12"/>
        </w:rPr>
        <w:t>i) La contratación de bienes y servicios que se requieran para la defensa y seguridad nacional.</w:t>
      </w:r>
      <w:r w:rsidRPr="003D0549">
        <w:rPr>
          <w:rStyle w:val="eop"/>
          <w:rFonts w:ascii="Verdana" w:hAnsi="Verdana" w:cs="Arial"/>
          <w:color w:val="000000"/>
          <w:sz w:val="12"/>
          <w:szCs w:val="12"/>
        </w:rPr>
        <w:t> </w:t>
      </w:r>
    </w:p>
    <w:p w14:paraId="771616AC" w14:textId="77777777" w:rsidR="002F03E1" w:rsidRPr="00774370" w:rsidRDefault="002F03E1" w:rsidP="002F03E1">
      <w:pPr>
        <w:pStyle w:val="paragraph"/>
        <w:spacing w:before="0" w:beforeAutospacing="0" w:after="0" w:afterAutospacing="0"/>
        <w:ind w:firstLine="705"/>
        <w:contextualSpacing/>
        <w:jc w:val="both"/>
        <w:textAlignment w:val="baseline"/>
        <w:rPr>
          <w:rFonts w:ascii="Verdana" w:hAnsi="Verdana" w:cs="Arial"/>
          <w:sz w:val="16"/>
          <w:szCs w:val="16"/>
        </w:rPr>
      </w:pPr>
      <w:r w:rsidRPr="00774370">
        <w:rPr>
          <w:rStyle w:val="eop"/>
          <w:rFonts w:ascii="Verdana" w:hAnsi="Verdana" w:cs="Arial"/>
          <w:color w:val="000000"/>
          <w:sz w:val="16"/>
          <w:szCs w:val="16"/>
        </w:rPr>
        <w:t> </w:t>
      </w:r>
    </w:p>
    <w:p w14:paraId="608D10AF" w14:textId="77777777" w:rsidR="002F03E1" w:rsidRPr="006B6A21" w:rsidRDefault="002F03E1" w:rsidP="006B6A21">
      <w:pPr>
        <w:pStyle w:val="paragraph"/>
        <w:spacing w:before="0" w:beforeAutospacing="0" w:after="0" w:afterAutospacing="0"/>
        <w:ind w:firstLine="705"/>
        <w:contextualSpacing/>
        <w:jc w:val="both"/>
        <w:textAlignment w:val="baseline"/>
        <w:rPr>
          <w:rFonts w:ascii="Verdana" w:hAnsi="Verdana" w:cs="Arial"/>
          <w:sz w:val="16"/>
          <w:szCs w:val="16"/>
        </w:rPr>
      </w:pPr>
    </w:p>
    <w:p w14:paraId="5888FD8E" w14:textId="6AAD35BD" w:rsidR="00094FCA" w:rsidRDefault="00094FCA">
      <w:pPr>
        <w:pStyle w:val="Textonotapie"/>
      </w:pPr>
    </w:p>
  </w:footnote>
  <w:footnote w:id="3">
    <w:p w14:paraId="11460B28" w14:textId="77777777" w:rsidR="006F5C61" w:rsidRPr="003D0549" w:rsidRDefault="004A28BD" w:rsidP="006F5C61">
      <w:pPr>
        <w:spacing w:after="0"/>
        <w:ind w:firstLine="705"/>
        <w:contextualSpacing/>
        <w:jc w:val="both"/>
        <w:textAlignment w:val="baseline"/>
        <w:rPr>
          <w:rFonts w:ascii="Verdana" w:hAnsi="Verdana" w:cs="Arial"/>
          <w:sz w:val="12"/>
          <w:szCs w:val="12"/>
        </w:rPr>
      </w:pPr>
      <w:r w:rsidRPr="003D0549">
        <w:rPr>
          <w:rStyle w:val="Refdenotaalpie"/>
          <w:rFonts w:ascii="Verdana" w:hAnsi="Verdana"/>
          <w:sz w:val="12"/>
          <w:szCs w:val="12"/>
        </w:rPr>
        <w:footnoteRef/>
      </w:r>
      <w:r w:rsidRPr="003D0549">
        <w:rPr>
          <w:rFonts w:ascii="Verdana" w:hAnsi="Verdana"/>
          <w:sz w:val="12"/>
          <w:szCs w:val="12"/>
        </w:rPr>
        <w:t xml:space="preserve"> </w:t>
      </w:r>
      <w:r w:rsidR="006F5C61" w:rsidRPr="003D0549">
        <w:rPr>
          <w:rStyle w:val="EncabezadoCar"/>
          <w:rFonts w:ascii="Verdana" w:hAnsi="Verdana" w:cs="Arial"/>
          <w:color w:val="000000"/>
          <w:sz w:val="12"/>
          <w:szCs w:val="12"/>
        </w:rPr>
        <w:t>Ley 1150 de 2007 “Artículo 2o. De las modalidades de selección. La escogencia del contratista se efectuará con arreglo a las modalidades de selección de licitación pública, selección abreviada, concurso de méritos y contratación directa, con base en las siguientes reglas:</w:t>
      </w:r>
      <w:r w:rsidR="006F5C61" w:rsidRPr="003D0549">
        <w:rPr>
          <w:rFonts w:ascii="Verdana" w:hAnsi="Verdana" w:cs="Arial"/>
          <w:color w:val="000000"/>
          <w:sz w:val="12"/>
          <w:szCs w:val="12"/>
        </w:rPr>
        <w:t> </w:t>
      </w:r>
    </w:p>
    <w:p w14:paraId="4726CB15"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color w:val="000000"/>
          <w:sz w:val="12"/>
          <w:szCs w:val="12"/>
        </w:rPr>
        <w:t>1. Licitación pública. La escogencia del contratista se efectuará por regla general a través de licitación pública, con las excepciones que se señalan en los numerales 2, 3 y 4 del presente artículo.</w:t>
      </w:r>
      <w:r w:rsidRPr="003D0549">
        <w:rPr>
          <w:rFonts w:ascii="Verdana" w:hAnsi="Verdana" w:cs="Arial"/>
          <w:color w:val="000000"/>
          <w:sz w:val="12"/>
          <w:szCs w:val="12"/>
        </w:rPr>
        <w:t> </w:t>
      </w:r>
    </w:p>
    <w:p w14:paraId="3649BE65"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i/>
          <w:iCs/>
          <w:color w:val="000000"/>
          <w:sz w:val="12"/>
          <w:szCs w:val="12"/>
        </w:rPr>
        <w:t>Cuando la entidad estatal así lo determine, la oferta en un proceso de la licitación pública podrá ser presentada total o parcialmente de manera dinámica mediante subasta inversa, en las condiciones que fije el reglamento</w:t>
      </w:r>
      <w:r w:rsidRPr="003D0549">
        <w:rPr>
          <w:rStyle w:val="EncabezadoCar"/>
          <w:rFonts w:ascii="Verdana" w:hAnsi="Verdana" w:cs="Arial"/>
          <w:color w:val="000000"/>
          <w:sz w:val="12"/>
          <w:szCs w:val="12"/>
        </w:rPr>
        <w:t>.</w:t>
      </w:r>
      <w:r w:rsidRPr="003D0549">
        <w:rPr>
          <w:rFonts w:ascii="Verdana" w:hAnsi="Verdana" w:cs="Arial"/>
          <w:color w:val="000000"/>
          <w:sz w:val="12"/>
          <w:szCs w:val="12"/>
        </w:rPr>
        <w:t> </w:t>
      </w:r>
    </w:p>
    <w:p w14:paraId="4619F365"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color w:val="000000"/>
          <w:sz w:val="12"/>
          <w:szCs w:val="12"/>
        </w:rPr>
        <w:t>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r w:rsidRPr="003D0549">
        <w:rPr>
          <w:rFonts w:ascii="Verdana" w:hAnsi="Verdana" w:cs="Arial"/>
          <w:color w:val="000000"/>
          <w:sz w:val="12"/>
          <w:szCs w:val="12"/>
        </w:rPr>
        <w:t> </w:t>
      </w:r>
    </w:p>
    <w:p w14:paraId="6C9B4733"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color w:val="000000"/>
          <w:sz w:val="12"/>
          <w:szCs w:val="12"/>
        </w:rPr>
        <w:t>El Gobierno Nacional reglamentará la materia.</w:t>
      </w:r>
      <w:r w:rsidRPr="003D0549">
        <w:rPr>
          <w:rFonts w:ascii="Verdana" w:hAnsi="Verdana" w:cs="Arial"/>
          <w:color w:val="000000"/>
          <w:sz w:val="12"/>
          <w:szCs w:val="12"/>
        </w:rPr>
        <w:t> </w:t>
      </w:r>
    </w:p>
    <w:p w14:paraId="1C0763BE"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color w:val="000000"/>
          <w:sz w:val="12"/>
          <w:szCs w:val="12"/>
        </w:rPr>
        <w:t>Serán causales de selección abreviada las siguientes:</w:t>
      </w:r>
      <w:r w:rsidRPr="003D0549">
        <w:rPr>
          <w:rFonts w:ascii="Verdana" w:hAnsi="Verdana" w:cs="Arial"/>
          <w:color w:val="000000"/>
          <w:sz w:val="12"/>
          <w:szCs w:val="12"/>
        </w:rPr>
        <w:t> </w:t>
      </w:r>
    </w:p>
    <w:p w14:paraId="628A3F5F"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color w:val="000000"/>
          <w:sz w:val="12"/>
          <w:szCs w:val="12"/>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Pr="003D0549">
        <w:rPr>
          <w:rFonts w:ascii="Verdana" w:hAnsi="Verdana" w:cs="Arial"/>
          <w:color w:val="000000"/>
          <w:sz w:val="12"/>
          <w:szCs w:val="12"/>
        </w:rPr>
        <w:t> </w:t>
      </w:r>
    </w:p>
    <w:p w14:paraId="6CAE070F"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i/>
          <w:iCs/>
          <w:color w:val="000000"/>
          <w:sz w:val="12"/>
          <w:szCs w:val="12"/>
        </w:rPr>
        <w:t>Para la adquisición de estos bienes y servicios las entidades deberán, siempre que el reglamento así lo señale, hacer uso de procedimientos de subasta inversa</w:t>
      </w:r>
      <w:r w:rsidRPr="003D0549">
        <w:rPr>
          <w:rStyle w:val="EncabezadoCar"/>
          <w:rFonts w:ascii="Verdana" w:hAnsi="Verdana" w:cs="Arial"/>
          <w:color w:val="000000"/>
          <w:sz w:val="12"/>
          <w:szCs w:val="12"/>
        </w:rPr>
        <w:t> o de instrumentos de compra por catálogo derivados de la celebración de acuerdos marco de precios o de procedimientos de adquisición en bolsas de productos; </w:t>
      </w:r>
      <w:r w:rsidRPr="003D0549">
        <w:rPr>
          <w:rFonts w:ascii="Verdana" w:hAnsi="Verdana" w:cs="Arial"/>
          <w:color w:val="000000"/>
          <w:sz w:val="12"/>
          <w:szCs w:val="12"/>
        </w:rPr>
        <w:t> </w:t>
      </w:r>
    </w:p>
    <w:p w14:paraId="6B51CBB3" w14:textId="77777777" w:rsidR="006F5C61" w:rsidRPr="003D0549" w:rsidRDefault="006F5C61" w:rsidP="006F5C61">
      <w:pPr>
        <w:spacing w:after="0"/>
        <w:ind w:left="705"/>
        <w:contextualSpacing/>
        <w:jc w:val="both"/>
        <w:textAlignment w:val="baseline"/>
        <w:rPr>
          <w:rFonts w:ascii="Verdana" w:hAnsi="Verdana" w:cs="Arial"/>
          <w:sz w:val="12"/>
          <w:szCs w:val="12"/>
        </w:rPr>
      </w:pPr>
      <w:r w:rsidRPr="003D0549">
        <w:rPr>
          <w:rStyle w:val="EncabezadoCar"/>
          <w:rFonts w:ascii="Verdana" w:hAnsi="Verdana" w:cs="Arial"/>
          <w:color w:val="000000"/>
          <w:sz w:val="12"/>
          <w:szCs w:val="12"/>
        </w:rPr>
        <w:t>[…]</w:t>
      </w:r>
      <w:r w:rsidRPr="003D0549">
        <w:rPr>
          <w:rFonts w:ascii="Verdana" w:hAnsi="Verdana" w:cs="Arial"/>
          <w:color w:val="000000"/>
          <w:sz w:val="12"/>
          <w:szCs w:val="12"/>
        </w:rPr>
        <w:t> </w:t>
      </w:r>
    </w:p>
    <w:p w14:paraId="3C00789B"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color w:val="000000"/>
          <w:sz w:val="12"/>
          <w:szCs w:val="12"/>
        </w:rPr>
        <w:t>e) La enajenación de bienes del Estado, con excepción de aquellos a que se refiere la Ley 226 de 1995.</w:t>
      </w:r>
      <w:r w:rsidRPr="003D0549">
        <w:rPr>
          <w:rFonts w:ascii="Verdana" w:hAnsi="Verdana" w:cs="Arial"/>
          <w:color w:val="000000"/>
          <w:sz w:val="12"/>
          <w:szCs w:val="12"/>
        </w:rPr>
        <w:t> </w:t>
      </w:r>
    </w:p>
    <w:p w14:paraId="791F9F68"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i/>
          <w:iCs/>
          <w:color w:val="000000"/>
          <w:sz w:val="12"/>
          <w:szCs w:val="12"/>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r w:rsidRPr="003D0549">
        <w:rPr>
          <w:rStyle w:val="EncabezadoCar"/>
          <w:rFonts w:ascii="Verdana" w:hAnsi="Verdana" w:cs="Arial"/>
          <w:color w:val="000000"/>
          <w:sz w:val="12"/>
          <w:szCs w:val="12"/>
        </w:rPr>
        <w:t>.</w:t>
      </w:r>
      <w:r w:rsidRPr="003D0549">
        <w:rPr>
          <w:rFonts w:ascii="Verdana" w:hAnsi="Verdana" w:cs="Arial"/>
          <w:color w:val="000000"/>
          <w:sz w:val="12"/>
          <w:szCs w:val="12"/>
        </w:rPr>
        <w:t> </w:t>
      </w:r>
    </w:p>
    <w:p w14:paraId="4D335576"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color w:val="000000"/>
          <w:sz w:val="12"/>
          <w:szCs w:val="12"/>
        </w:rPr>
        <w:t>[…]</w:t>
      </w:r>
      <w:r w:rsidRPr="003D0549">
        <w:rPr>
          <w:rFonts w:ascii="Verdana" w:hAnsi="Verdana" w:cs="Arial"/>
          <w:color w:val="000000"/>
          <w:sz w:val="12"/>
          <w:szCs w:val="12"/>
        </w:rPr>
        <w:t> </w:t>
      </w:r>
    </w:p>
    <w:p w14:paraId="4562734C"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color w:val="000000"/>
          <w:sz w:val="12"/>
          <w:szCs w:val="12"/>
        </w:rPr>
        <w:t>Las reglas y procedimientos que deberán atender la administración y los promotores y la publicidad del proceso deberán garantizar la libre concurrencia y oportunidad de quienes participen en el mismo.</w:t>
      </w:r>
      <w:r w:rsidRPr="003D0549">
        <w:rPr>
          <w:rFonts w:ascii="Verdana" w:hAnsi="Verdana" w:cs="Arial"/>
          <w:color w:val="000000"/>
          <w:sz w:val="12"/>
          <w:szCs w:val="12"/>
        </w:rPr>
        <w:t> </w:t>
      </w:r>
    </w:p>
    <w:p w14:paraId="6CEE05DF" w14:textId="77777777" w:rsidR="006F5C61" w:rsidRPr="003D0549" w:rsidRDefault="006F5C61" w:rsidP="006F5C61">
      <w:pPr>
        <w:spacing w:after="0"/>
        <w:ind w:firstLine="705"/>
        <w:contextualSpacing/>
        <w:jc w:val="both"/>
        <w:textAlignment w:val="baseline"/>
        <w:rPr>
          <w:rFonts w:ascii="Verdana" w:hAnsi="Verdana" w:cs="Arial"/>
          <w:sz w:val="12"/>
          <w:szCs w:val="12"/>
        </w:rPr>
      </w:pPr>
      <w:r w:rsidRPr="003D0549">
        <w:rPr>
          <w:rStyle w:val="EncabezadoCar"/>
          <w:rFonts w:ascii="Verdana" w:hAnsi="Verdana" w:cs="Arial"/>
          <w:i/>
          <w:iCs/>
          <w:color w:val="000000"/>
          <w:sz w:val="12"/>
          <w:szCs w:val="12"/>
        </w:rPr>
        <w:t>Los bienes serán enajenados a través de venta directa en sobre cerrado o en pública subasta</w:t>
      </w:r>
      <w:r w:rsidRPr="003D0549">
        <w:rPr>
          <w:rStyle w:val="EncabezadoCar"/>
          <w:rFonts w:ascii="Verdana" w:hAnsi="Verdana" w:cs="Arial"/>
          <w:color w:val="000000"/>
          <w:sz w:val="12"/>
          <w:szCs w:val="12"/>
        </w:rPr>
        <w:t>. La adjudicación para la venta directa deberá hacerse en audiencia pública, en donde se conozcan las ofertas iniciales y se efectúe un segundo ofrecimiento, frente al cual se adjudicará el bien a quien oferte el mejor precio. </w:t>
      </w:r>
      <w:r w:rsidRPr="003D0549">
        <w:rPr>
          <w:rStyle w:val="EncabezadoCar"/>
          <w:rFonts w:ascii="Verdana" w:hAnsi="Verdana" w:cs="Arial"/>
          <w:i/>
          <w:iCs/>
          <w:color w:val="000000"/>
          <w:sz w:val="12"/>
          <w:szCs w:val="12"/>
        </w:rPr>
        <w:t>En la subasta pública, de acuerdo con el reglamento definido para su realización, el bien será adjudicado al mejor postor</w:t>
      </w:r>
      <w:r w:rsidRPr="003D0549">
        <w:rPr>
          <w:rStyle w:val="EncabezadoCar"/>
          <w:rFonts w:ascii="Verdana" w:hAnsi="Verdana" w:cs="Arial"/>
          <w:color w:val="000000"/>
          <w:sz w:val="12"/>
          <w:szCs w:val="12"/>
        </w:rPr>
        <w:t>.</w:t>
      </w:r>
      <w:r w:rsidRPr="003D0549">
        <w:rPr>
          <w:rFonts w:ascii="Verdana" w:hAnsi="Verdana" w:cs="Arial"/>
          <w:color w:val="000000"/>
          <w:sz w:val="12"/>
          <w:szCs w:val="12"/>
        </w:rPr>
        <w:t> </w:t>
      </w:r>
    </w:p>
    <w:p w14:paraId="02641EFF" w14:textId="77777777" w:rsidR="006F5C61" w:rsidRPr="003D0549" w:rsidRDefault="006F5C61" w:rsidP="006F5C61">
      <w:pPr>
        <w:spacing w:after="0"/>
        <w:ind w:firstLine="705"/>
        <w:contextualSpacing/>
        <w:jc w:val="both"/>
        <w:textAlignment w:val="baseline"/>
        <w:rPr>
          <w:rStyle w:val="EncabezadoCar"/>
          <w:rFonts w:ascii="Verdana" w:hAnsi="Verdana" w:cs="Arial"/>
          <w:color w:val="000000"/>
          <w:sz w:val="12"/>
          <w:szCs w:val="12"/>
        </w:rPr>
      </w:pPr>
      <w:r w:rsidRPr="003D0549">
        <w:rPr>
          <w:rStyle w:val="EncabezadoCar"/>
          <w:rFonts w:ascii="Verdana" w:hAnsi="Verdana" w:cs="Arial"/>
          <w:color w:val="000000"/>
          <w:sz w:val="12"/>
          <w:szCs w:val="12"/>
        </w:rPr>
        <w:t>La venta implica la publicación previa de los bienes en un diario de amplia circulación nacional, con la determinación del precio base. El interesado en adquirir bienes deberá consignar al menos el 20% del valor base de venta para participar en la oferta […]”. (Cursivas fuera del original).</w:t>
      </w:r>
    </w:p>
    <w:p w14:paraId="5605CE2A" w14:textId="77777777" w:rsidR="006F5C61" w:rsidRPr="003D0549" w:rsidRDefault="006F5C61" w:rsidP="006F5C61">
      <w:pPr>
        <w:spacing w:after="0"/>
        <w:ind w:firstLine="705"/>
        <w:contextualSpacing/>
        <w:jc w:val="both"/>
        <w:textAlignment w:val="baseline"/>
        <w:rPr>
          <w:rFonts w:ascii="Verdana" w:hAnsi="Verdana" w:cs="Arial"/>
          <w:sz w:val="12"/>
          <w:szCs w:val="12"/>
        </w:rPr>
      </w:pPr>
    </w:p>
    <w:p w14:paraId="7B635B22" w14:textId="37C2FD93" w:rsidR="004A28BD" w:rsidRPr="003D0549" w:rsidRDefault="004A28BD">
      <w:pPr>
        <w:pStyle w:val="Textonotapie"/>
        <w:rPr>
          <w:sz w:val="12"/>
          <w:szCs w:val="12"/>
        </w:rPr>
      </w:pPr>
    </w:p>
  </w:footnote>
  <w:footnote w:id="4">
    <w:p w14:paraId="6335B8BD" w14:textId="01F86C97" w:rsidR="005D02C9" w:rsidRPr="003D0549" w:rsidRDefault="005D02C9">
      <w:pPr>
        <w:pStyle w:val="Textonotapie"/>
        <w:rPr>
          <w:rStyle w:val="eop"/>
          <w:rFonts w:ascii="Verdana" w:hAnsi="Verdana" w:cs="Arial"/>
          <w:color w:val="000000"/>
          <w:sz w:val="12"/>
          <w:szCs w:val="12"/>
          <w:shd w:val="clear" w:color="auto" w:fill="FFFFFF"/>
        </w:rPr>
      </w:pPr>
      <w:r w:rsidRPr="003D0549">
        <w:rPr>
          <w:rStyle w:val="Refdenotaalpie"/>
          <w:rFonts w:ascii="Verdana" w:hAnsi="Verdana"/>
          <w:sz w:val="12"/>
          <w:szCs w:val="12"/>
        </w:rPr>
        <w:footnoteRef/>
      </w:r>
      <w:r w:rsidRPr="003D0549">
        <w:rPr>
          <w:rFonts w:ascii="Verdana" w:hAnsi="Verdana"/>
          <w:sz w:val="12"/>
          <w:szCs w:val="12"/>
        </w:rPr>
        <w:t xml:space="preserve"> </w:t>
      </w:r>
      <w:r w:rsidR="004701BE" w:rsidRPr="003D0549">
        <w:rPr>
          <w:rStyle w:val="normaltextrun"/>
          <w:rFonts w:ascii="Verdana" w:hAnsi="Verdana" w:cs="Arial"/>
          <w:color w:val="000000"/>
          <w:sz w:val="12"/>
          <w:szCs w:val="12"/>
          <w:shd w:val="clear" w:color="auto" w:fill="FFFFFF"/>
        </w:rPr>
        <w:t>MATALLANA CAMACHO, Ernesto. Manual de Contratación de la Administración Pública. 3a ed. Bogotá D. C. Editorial Universidad externado de Colombia, 2013. p. 579.</w:t>
      </w:r>
      <w:r w:rsidR="004701BE" w:rsidRPr="003D0549">
        <w:rPr>
          <w:rStyle w:val="eop"/>
          <w:rFonts w:ascii="Verdana" w:hAnsi="Verdana" w:cs="Arial"/>
          <w:color w:val="000000"/>
          <w:sz w:val="12"/>
          <w:szCs w:val="12"/>
          <w:shd w:val="clear" w:color="auto" w:fill="FFFFFF"/>
        </w:rPr>
        <w:t> </w:t>
      </w:r>
    </w:p>
    <w:p w14:paraId="70A1BAC8" w14:textId="77777777" w:rsidR="00F209F4" w:rsidRPr="003D0549" w:rsidRDefault="00F209F4">
      <w:pPr>
        <w:pStyle w:val="Textonotapie"/>
        <w:rPr>
          <w:rFonts w:ascii="Verdana" w:hAnsi="Verdana"/>
          <w:sz w:val="12"/>
          <w:szCs w:val="12"/>
        </w:rPr>
      </w:pPr>
    </w:p>
  </w:footnote>
  <w:footnote w:id="5">
    <w:p w14:paraId="3B4EE45E" w14:textId="7AC92BAA" w:rsidR="00F209F4" w:rsidRPr="0059119A" w:rsidRDefault="00F209F4">
      <w:pPr>
        <w:pStyle w:val="Textonotapie"/>
        <w:rPr>
          <w:rFonts w:ascii="Verdana" w:hAnsi="Verdana"/>
          <w:sz w:val="16"/>
          <w:szCs w:val="16"/>
        </w:rPr>
      </w:pPr>
      <w:r w:rsidRPr="003D0549">
        <w:rPr>
          <w:rStyle w:val="Refdenotaalpie"/>
          <w:rFonts w:ascii="Verdana" w:hAnsi="Verdana"/>
          <w:sz w:val="12"/>
          <w:szCs w:val="12"/>
        </w:rPr>
        <w:footnoteRef/>
      </w:r>
      <w:r w:rsidRPr="003D0549">
        <w:rPr>
          <w:rFonts w:ascii="Verdana" w:hAnsi="Verdana"/>
          <w:sz w:val="12"/>
          <w:szCs w:val="12"/>
        </w:rPr>
        <w:t xml:space="preserve"> </w:t>
      </w:r>
      <w:r w:rsidR="0059119A" w:rsidRPr="003D0549">
        <w:rPr>
          <w:rStyle w:val="normaltextrun"/>
          <w:rFonts w:ascii="Verdana" w:hAnsi="Verdana" w:cs="Arial"/>
          <w:color w:val="000000"/>
          <w:sz w:val="12"/>
          <w:szCs w:val="12"/>
          <w:bdr w:val="none" w:sz="0" w:space="0" w:color="auto" w:frame="1"/>
        </w:rPr>
        <w:t>SOLANO SIERRA, Jairo E. Contratación Administrativa, Modalidades de selección del Contratista. 4a. ed. Bogotá D.C.: Editorial Doctrina y Ley Ltda., 2010. p. 283.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7" type="#_x0000_t75" style="width:11.25pt;height:11.2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C8218FF"/>
    <w:multiLevelType w:val="hybridMultilevel"/>
    <w:tmpl w:val="A8CE913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24476DDE"/>
    <w:multiLevelType w:val="hybridMultilevel"/>
    <w:tmpl w:val="7722CF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B00B5"/>
    <w:multiLevelType w:val="hybridMultilevel"/>
    <w:tmpl w:val="1E7A9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956126"/>
    <w:multiLevelType w:val="hybridMultilevel"/>
    <w:tmpl w:val="5D7CB97A"/>
    <w:lvl w:ilvl="0" w:tplc="FDF40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548839B3"/>
    <w:multiLevelType w:val="hybridMultilevel"/>
    <w:tmpl w:val="7DAA790A"/>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1"/>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6"/>
  </w:num>
  <w:num w:numId="7" w16cid:durableId="1946422806">
    <w:abstractNumId w:val="7"/>
  </w:num>
  <w:num w:numId="8" w16cid:durableId="152644682">
    <w:abstractNumId w:val="15"/>
  </w:num>
  <w:num w:numId="9" w16cid:durableId="1317221377">
    <w:abstractNumId w:val="9"/>
  </w:num>
  <w:num w:numId="10" w16cid:durableId="1471245386">
    <w:abstractNumId w:val="14"/>
  </w:num>
  <w:num w:numId="11" w16cid:durableId="289172385">
    <w:abstractNumId w:val="10"/>
  </w:num>
  <w:num w:numId="12" w16cid:durableId="1470781324">
    <w:abstractNumId w:val="0"/>
  </w:num>
  <w:num w:numId="13" w16cid:durableId="1512908409">
    <w:abstractNumId w:val="4"/>
  </w:num>
  <w:num w:numId="14" w16cid:durableId="895897244">
    <w:abstractNumId w:val="17"/>
  </w:num>
  <w:num w:numId="15" w16cid:durableId="390349800">
    <w:abstractNumId w:val="13"/>
  </w:num>
  <w:num w:numId="16" w16cid:durableId="485359972">
    <w:abstractNumId w:val="11"/>
  </w:num>
  <w:num w:numId="17" w16cid:durableId="1944847893">
    <w:abstractNumId w:val="2"/>
  </w:num>
  <w:num w:numId="18" w16cid:durableId="223688908">
    <w:abstractNumId w:val="3"/>
  </w:num>
  <w:num w:numId="19" w16cid:durableId="2080324206">
    <w:abstractNumId w:val="12"/>
  </w:num>
  <w:num w:numId="20" w16cid:durableId="915866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0A3"/>
    <w:rsid w:val="000275A1"/>
    <w:rsid w:val="00055FE9"/>
    <w:rsid w:val="00061B2A"/>
    <w:rsid w:val="00066207"/>
    <w:rsid w:val="00070D63"/>
    <w:rsid w:val="00071C23"/>
    <w:rsid w:val="00073808"/>
    <w:rsid w:val="00082362"/>
    <w:rsid w:val="00092CE1"/>
    <w:rsid w:val="00094469"/>
    <w:rsid w:val="00094FCA"/>
    <w:rsid w:val="000A1525"/>
    <w:rsid w:val="000A1AAB"/>
    <w:rsid w:val="000A2FE5"/>
    <w:rsid w:val="000A683E"/>
    <w:rsid w:val="000B19B9"/>
    <w:rsid w:val="000D0334"/>
    <w:rsid w:val="000D0F9D"/>
    <w:rsid w:val="000D1646"/>
    <w:rsid w:val="000E3868"/>
    <w:rsid w:val="000F214D"/>
    <w:rsid w:val="000F6486"/>
    <w:rsid w:val="000F79B7"/>
    <w:rsid w:val="00103DC2"/>
    <w:rsid w:val="00115161"/>
    <w:rsid w:val="00116802"/>
    <w:rsid w:val="00125105"/>
    <w:rsid w:val="00127233"/>
    <w:rsid w:val="00143BF2"/>
    <w:rsid w:val="00152E90"/>
    <w:rsid w:val="00181014"/>
    <w:rsid w:val="001A3B2B"/>
    <w:rsid w:val="001C389C"/>
    <w:rsid w:val="001C48C0"/>
    <w:rsid w:val="001C4F6B"/>
    <w:rsid w:val="001D19F2"/>
    <w:rsid w:val="001E4177"/>
    <w:rsid w:val="001F7DC6"/>
    <w:rsid w:val="00203BC9"/>
    <w:rsid w:val="00204C64"/>
    <w:rsid w:val="002156D9"/>
    <w:rsid w:val="00215C13"/>
    <w:rsid w:val="0021728A"/>
    <w:rsid w:val="00232175"/>
    <w:rsid w:val="002421BB"/>
    <w:rsid w:val="0025713F"/>
    <w:rsid w:val="002572F6"/>
    <w:rsid w:val="0025796E"/>
    <w:rsid w:val="002707A2"/>
    <w:rsid w:val="00276145"/>
    <w:rsid w:val="002818CB"/>
    <w:rsid w:val="00293C29"/>
    <w:rsid w:val="002951A0"/>
    <w:rsid w:val="002962BC"/>
    <w:rsid w:val="002A093D"/>
    <w:rsid w:val="002A0DD0"/>
    <w:rsid w:val="002A49AC"/>
    <w:rsid w:val="002A64FD"/>
    <w:rsid w:val="002B3B4E"/>
    <w:rsid w:val="002C3B3C"/>
    <w:rsid w:val="002C7A84"/>
    <w:rsid w:val="002D17CA"/>
    <w:rsid w:val="002D7732"/>
    <w:rsid w:val="002D79B4"/>
    <w:rsid w:val="002E4FD9"/>
    <w:rsid w:val="002E56D2"/>
    <w:rsid w:val="002F03E1"/>
    <w:rsid w:val="002F34E0"/>
    <w:rsid w:val="002F662B"/>
    <w:rsid w:val="002F77B0"/>
    <w:rsid w:val="00300C4E"/>
    <w:rsid w:val="00322A85"/>
    <w:rsid w:val="00324168"/>
    <w:rsid w:val="0032454F"/>
    <w:rsid w:val="00335F1D"/>
    <w:rsid w:val="003448F4"/>
    <w:rsid w:val="00347801"/>
    <w:rsid w:val="00374F5E"/>
    <w:rsid w:val="00377E3E"/>
    <w:rsid w:val="00391120"/>
    <w:rsid w:val="003978DA"/>
    <w:rsid w:val="003A06E6"/>
    <w:rsid w:val="003A26D1"/>
    <w:rsid w:val="003A5066"/>
    <w:rsid w:val="003A779E"/>
    <w:rsid w:val="003B79F7"/>
    <w:rsid w:val="003C52B8"/>
    <w:rsid w:val="003C6583"/>
    <w:rsid w:val="003D0549"/>
    <w:rsid w:val="003D0F4D"/>
    <w:rsid w:val="003D5B0D"/>
    <w:rsid w:val="003E0499"/>
    <w:rsid w:val="003F3941"/>
    <w:rsid w:val="0040175A"/>
    <w:rsid w:val="00402ED9"/>
    <w:rsid w:val="00406575"/>
    <w:rsid w:val="004123E7"/>
    <w:rsid w:val="00420A93"/>
    <w:rsid w:val="0042722E"/>
    <w:rsid w:val="0044528D"/>
    <w:rsid w:val="00451932"/>
    <w:rsid w:val="004560BC"/>
    <w:rsid w:val="00463FD3"/>
    <w:rsid w:val="004701BE"/>
    <w:rsid w:val="00474603"/>
    <w:rsid w:val="00480B0C"/>
    <w:rsid w:val="00482D4E"/>
    <w:rsid w:val="00493DA5"/>
    <w:rsid w:val="004A1847"/>
    <w:rsid w:val="004A28BD"/>
    <w:rsid w:val="004A305D"/>
    <w:rsid w:val="004A5049"/>
    <w:rsid w:val="004D27B6"/>
    <w:rsid w:val="004E0CCA"/>
    <w:rsid w:val="004F21C4"/>
    <w:rsid w:val="004F685F"/>
    <w:rsid w:val="00501F1E"/>
    <w:rsid w:val="00504617"/>
    <w:rsid w:val="0051204B"/>
    <w:rsid w:val="00513BFC"/>
    <w:rsid w:val="00521BB2"/>
    <w:rsid w:val="00522785"/>
    <w:rsid w:val="00526B7F"/>
    <w:rsid w:val="00536196"/>
    <w:rsid w:val="00555727"/>
    <w:rsid w:val="005566E8"/>
    <w:rsid w:val="00560607"/>
    <w:rsid w:val="00571AD6"/>
    <w:rsid w:val="00574867"/>
    <w:rsid w:val="0059119A"/>
    <w:rsid w:val="00591460"/>
    <w:rsid w:val="00592628"/>
    <w:rsid w:val="005A35BB"/>
    <w:rsid w:val="005B2247"/>
    <w:rsid w:val="005B376B"/>
    <w:rsid w:val="005C020A"/>
    <w:rsid w:val="005C3777"/>
    <w:rsid w:val="005C5CDC"/>
    <w:rsid w:val="005D02C9"/>
    <w:rsid w:val="005D476C"/>
    <w:rsid w:val="005E53A9"/>
    <w:rsid w:val="005E555A"/>
    <w:rsid w:val="005F1B78"/>
    <w:rsid w:val="00606C50"/>
    <w:rsid w:val="00610812"/>
    <w:rsid w:val="00615374"/>
    <w:rsid w:val="006219F8"/>
    <w:rsid w:val="00625D31"/>
    <w:rsid w:val="0062680F"/>
    <w:rsid w:val="00646D7E"/>
    <w:rsid w:val="00650DA3"/>
    <w:rsid w:val="00650FF7"/>
    <w:rsid w:val="0066010F"/>
    <w:rsid w:val="006637ED"/>
    <w:rsid w:val="00665455"/>
    <w:rsid w:val="00665D70"/>
    <w:rsid w:val="0066675C"/>
    <w:rsid w:val="00671DAC"/>
    <w:rsid w:val="006771D1"/>
    <w:rsid w:val="00683625"/>
    <w:rsid w:val="006900D9"/>
    <w:rsid w:val="006906BD"/>
    <w:rsid w:val="006B6A21"/>
    <w:rsid w:val="006C084C"/>
    <w:rsid w:val="006D12F8"/>
    <w:rsid w:val="006D3F8B"/>
    <w:rsid w:val="006E1AFA"/>
    <w:rsid w:val="006E27FF"/>
    <w:rsid w:val="006E60A2"/>
    <w:rsid w:val="006E65F7"/>
    <w:rsid w:val="006F4EFD"/>
    <w:rsid w:val="006F5C61"/>
    <w:rsid w:val="00706C16"/>
    <w:rsid w:val="007159BF"/>
    <w:rsid w:val="00731AE7"/>
    <w:rsid w:val="00756841"/>
    <w:rsid w:val="007649AB"/>
    <w:rsid w:val="00771D0C"/>
    <w:rsid w:val="007833AC"/>
    <w:rsid w:val="00791F3B"/>
    <w:rsid w:val="00792F23"/>
    <w:rsid w:val="007B0B89"/>
    <w:rsid w:val="007B268C"/>
    <w:rsid w:val="007B7171"/>
    <w:rsid w:val="007C0C0F"/>
    <w:rsid w:val="007C3DC2"/>
    <w:rsid w:val="007E5497"/>
    <w:rsid w:val="007F0B9B"/>
    <w:rsid w:val="007F0FB9"/>
    <w:rsid w:val="007F2046"/>
    <w:rsid w:val="00806F5F"/>
    <w:rsid w:val="008071F4"/>
    <w:rsid w:val="00820278"/>
    <w:rsid w:val="008341D3"/>
    <w:rsid w:val="0083480F"/>
    <w:rsid w:val="00843E1E"/>
    <w:rsid w:val="00863BBD"/>
    <w:rsid w:val="008843B6"/>
    <w:rsid w:val="00891928"/>
    <w:rsid w:val="008963F4"/>
    <w:rsid w:val="008A0CF0"/>
    <w:rsid w:val="008A446D"/>
    <w:rsid w:val="008B0304"/>
    <w:rsid w:val="008C2C82"/>
    <w:rsid w:val="008C5B78"/>
    <w:rsid w:val="008D180B"/>
    <w:rsid w:val="008D2659"/>
    <w:rsid w:val="008D70FD"/>
    <w:rsid w:val="008E08DA"/>
    <w:rsid w:val="008F096D"/>
    <w:rsid w:val="008F0EA7"/>
    <w:rsid w:val="008F17B2"/>
    <w:rsid w:val="00907388"/>
    <w:rsid w:val="00913459"/>
    <w:rsid w:val="00923EEF"/>
    <w:rsid w:val="009419F2"/>
    <w:rsid w:val="009419F9"/>
    <w:rsid w:val="009465AE"/>
    <w:rsid w:val="0095685E"/>
    <w:rsid w:val="00957FC1"/>
    <w:rsid w:val="00961B09"/>
    <w:rsid w:val="00962CEA"/>
    <w:rsid w:val="00965334"/>
    <w:rsid w:val="0097093E"/>
    <w:rsid w:val="00974D9E"/>
    <w:rsid w:val="00975CDB"/>
    <w:rsid w:val="00985F4B"/>
    <w:rsid w:val="009A0DFA"/>
    <w:rsid w:val="009A3623"/>
    <w:rsid w:val="009B2D26"/>
    <w:rsid w:val="009C0F83"/>
    <w:rsid w:val="009C71FA"/>
    <w:rsid w:val="009C72E7"/>
    <w:rsid w:val="009D25FC"/>
    <w:rsid w:val="009D3058"/>
    <w:rsid w:val="009E2688"/>
    <w:rsid w:val="009F2F7A"/>
    <w:rsid w:val="009F3A13"/>
    <w:rsid w:val="009F756C"/>
    <w:rsid w:val="00A001A5"/>
    <w:rsid w:val="00A122D3"/>
    <w:rsid w:val="00A17F13"/>
    <w:rsid w:val="00A20739"/>
    <w:rsid w:val="00A2248B"/>
    <w:rsid w:val="00A2452B"/>
    <w:rsid w:val="00A33C78"/>
    <w:rsid w:val="00A468DE"/>
    <w:rsid w:val="00A6214D"/>
    <w:rsid w:val="00A817F1"/>
    <w:rsid w:val="00A909D3"/>
    <w:rsid w:val="00AA05BD"/>
    <w:rsid w:val="00AA54E4"/>
    <w:rsid w:val="00AA6046"/>
    <w:rsid w:val="00AB0ADB"/>
    <w:rsid w:val="00AC74F9"/>
    <w:rsid w:val="00AF5DA6"/>
    <w:rsid w:val="00B01B1A"/>
    <w:rsid w:val="00B051AD"/>
    <w:rsid w:val="00B110DF"/>
    <w:rsid w:val="00B1343E"/>
    <w:rsid w:val="00B16696"/>
    <w:rsid w:val="00B17E59"/>
    <w:rsid w:val="00B22869"/>
    <w:rsid w:val="00B26187"/>
    <w:rsid w:val="00B3006C"/>
    <w:rsid w:val="00B344BD"/>
    <w:rsid w:val="00B55CDE"/>
    <w:rsid w:val="00B6572E"/>
    <w:rsid w:val="00B72CD3"/>
    <w:rsid w:val="00B72FFF"/>
    <w:rsid w:val="00B949E0"/>
    <w:rsid w:val="00BA1138"/>
    <w:rsid w:val="00BA696F"/>
    <w:rsid w:val="00BA6972"/>
    <w:rsid w:val="00BC0112"/>
    <w:rsid w:val="00BC3D36"/>
    <w:rsid w:val="00BC6EA2"/>
    <w:rsid w:val="00BD09C1"/>
    <w:rsid w:val="00BD7F72"/>
    <w:rsid w:val="00BE1B11"/>
    <w:rsid w:val="00BF22D4"/>
    <w:rsid w:val="00BF33C8"/>
    <w:rsid w:val="00BF727E"/>
    <w:rsid w:val="00C03EC4"/>
    <w:rsid w:val="00C04FB3"/>
    <w:rsid w:val="00C10C27"/>
    <w:rsid w:val="00C14A6C"/>
    <w:rsid w:val="00C276AC"/>
    <w:rsid w:val="00C330EB"/>
    <w:rsid w:val="00C40458"/>
    <w:rsid w:val="00C41CB9"/>
    <w:rsid w:val="00C42DDD"/>
    <w:rsid w:val="00C43907"/>
    <w:rsid w:val="00C55A42"/>
    <w:rsid w:val="00C575EB"/>
    <w:rsid w:val="00C754BE"/>
    <w:rsid w:val="00C75D5A"/>
    <w:rsid w:val="00C76B1C"/>
    <w:rsid w:val="00C87F37"/>
    <w:rsid w:val="00CA58CB"/>
    <w:rsid w:val="00CB6357"/>
    <w:rsid w:val="00CC1B26"/>
    <w:rsid w:val="00CC4113"/>
    <w:rsid w:val="00CC4242"/>
    <w:rsid w:val="00CF2B8E"/>
    <w:rsid w:val="00D07DD9"/>
    <w:rsid w:val="00D214BB"/>
    <w:rsid w:val="00D423A2"/>
    <w:rsid w:val="00D466CD"/>
    <w:rsid w:val="00D520D8"/>
    <w:rsid w:val="00D522DD"/>
    <w:rsid w:val="00D63AC2"/>
    <w:rsid w:val="00D66687"/>
    <w:rsid w:val="00D7383B"/>
    <w:rsid w:val="00D832C5"/>
    <w:rsid w:val="00D85E27"/>
    <w:rsid w:val="00D92DDF"/>
    <w:rsid w:val="00D979F7"/>
    <w:rsid w:val="00DA231B"/>
    <w:rsid w:val="00DA23A0"/>
    <w:rsid w:val="00DA4D78"/>
    <w:rsid w:val="00DC39FC"/>
    <w:rsid w:val="00DC7142"/>
    <w:rsid w:val="00DE71B6"/>
    <w:rsid w:val="00DF3B71"/>
    <w:rsid w:val="00DF5254"/>
    <w:rsid w:val="00E0041A"/>
    <w:rsid w:val="00E04194"/>
    <w:rsid w:val="00E049FA"/>
    <w:rsid w:val="00E050CB"/>
    <w:rsid w:val="00E16408"/>
    <w:rsid w:val="00E172A1"/>
    <w:rsid w:val="00E20894"/>
    <w:rsid w:val="00E2285F"/>
    <w:rsid w:val="00E245AB"/>
    <w:rsid w:val="00E2684D"/>
    <w:rsid w:val="00E2764C"/>
    <w:rsid w:val="00E2792A"/>
    <w:rsid w:val="00E27F2E"/>
    <w:rsid w:val="00E30532"/>
    <w:rsid w:val="00E40813"/>
    <w:rsid w:val="00E413EA"/>
    <w:rsid w:val="00E50AFE"/>
    <w:rsid w:val="00E56AFD"/>
    <w:rsid w:val="00E75C92"/>
    <w:rsid w:val="00E771DC"/>
    <w:rsid w:val="00E8628A"/>
    <w:rsid w:val="00E8636A"/>
    <w:rsid w:val="00E8772A"/>
    <w:rsid w:val="00E90F6B"/>
    <w:rsid w:val="00E92C27"/>
    <w:rsid w:val="00EA0E3D"/>
    <w:rsid w:val="00EA2D6A"/>
    <w:rsid w:val="00EB51BE"/>
    <w:rsid w:val="00EB7AEE"/>
    <w:rsid w:val="00EC38A7"/>
    <w:rsid w:val="00ED5B70"/>
    <w:rsid w:val="00ED6DB2"/>
    <w:rsid w:val="00EE1AA8"/>
    <w:rsid w:val="00EF0B2E"/>
    <w:rsid w:val="00EF24B0"/>
    <w:rsid w:val="00EF69AC"/>
    <w:rsid w:val="00F15E56"/>
    <w:rsid w:val="00F209F4"/>
    <w:rsid w:val="00F31969"/>
    <w:rsid w:val="00F31EDC"/>
    <w:rsid w:val="00F40CB6"/>
    <w:rsid w:val="00F462B3"/>
    <w:rsid w:val="00F466C0"/>
    <w:rsid w:val="00F47336"/>
    <w:rsid w:val="00F5664F"/>
    <w:rsid w:val="00F64ED7"/>
    <w:rsid w:val="00F666C4"/>
    <w:rsid w:val="00F74903"/>
    <w:rsid w:val="00F76AFC"/>
    <w:rsid w:val="00F80ED2"/>
    <w:rsid w:val="00F8694A"/>
    <w:rsid w:val="00FA47C0"/>
    <w:rsid w:val="00FB5DD1"/>
    <w:rsid w:val="00FC2B5D"/>
    <w:rsid w:val="00FD04F0"/>
    <w:rsid w:val="00FF1449"/>
    <w:rsid w:val="00FF22F6"/>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ujiro25ls@m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www.colombiacompra.gov.co%2Fsala-de-prensa%2Fboletin-digital%2Fboletin-de-relatoria-2024-iv&amp;data=05%7C02%7Ckelmis.bruges%40colombiacompra.gov.co%7C616b83c3423e4d31151908dce489c00d%7C7b09041e245149d08cb179d5e3d8c1be%7C0%7C0%7C638636527542573168%7CUnknown%7CTWFpbGZsb3d8eyJWIjoiMC4wLjAwMDAiLCJQIjoiV2luMzIiLCJBTiI6Ik1haWwiLCJXVCI6Mn0%3D%7C0%7C%7C%7C&amp;sdata=oDWqaoqDpATZ5qZ9tEnUq0MTS1hcPxX67G1Ina%2FYTm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A52716A0-CEA5-424A-A018-4B7F31EFF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89C60-4E9F-4987-9424-A6CB3D5938DD}">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2462</Words>
  <Characters>13250</Characters>
  <Application>Microsoft Office Word</Application>
  <DocSecurity>0</DocSecurity>
  <Lines>883</Lines>
  <Paragraphs>462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15250</CharactersWithSpaces>
  <SharedDoc>false</SharedDoc>
  <HLinks>
    <vt:vector size="18" baseType="variant">
      <vt:variant>
        <vt:i4>6946935</vt:i4>
      </vt:variant>
      <vt:variant>
        <vt:i4>6</vt:i4>
      </vt:variant>
      <vt:variant>
        <vt:i4>0</vt:i4>
      </vt:variant>
      <vt:variant>
        <vt:i4>5</vt:i4>
      </vt:variant>
      <vt:variant>
        <vt:lpwstr>https://nam02.safelinks.protection.outlook.com/?url=https%3A%2F%2Fwww.colombiacompra.gov.co%2Fsala-de-prensa%2Fboletin-digital%2Fboletin-de-relatoria-2024-iv&amp;data=05%7C02%7Ckelmis.bruges%40colombiacompra.gov.co%7C616b83c3423e4d31151908dce489c00d%7C7b09041e245149d08cb179d5e3d8c1be%7C0%7C0%7C638636527542573168%7CUnknown%7CTWFpbGZsb3d8eyJWIjoiMC4wLjAwMDAiLCJQIjoiV2luMzIiLCJBTiI6Ik1haWwiLCJXVCI6Mn0%3D%7C0%7C%7C%7C&amp;sdata=oDWqaoqDpATZ5qZ9tEnUq0MTS1hcPxX67G1Ina%2FYTmU%3D&amp;reserved=0</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524325</vt:i4>
      </vt:variant>
      <vt:variant>
        <vt:i4>0</vt:i4>
      </vt:variant>
      <vt:variant>
        <vt:i4>0</vt:i4>
      </vt:variant>
      <vt:variant>
        <vt:i4>5</vt:i4>
      </vt:variant>
      <vt:variant>
        <vt:lpwstr>mailto:Soujiro25ls@me.com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2024-11-05T14:48:00Z</dcterms:created>
  <dcterms:modified xsi:type="dcterms:W3CDTF">2024-11-05T14:48:00Z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