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5E923" w14:textId="5DEF6444" w:rsidR="00823549" w:rsidRPr="00823549" w:rsidRDefault="00823549" w:rsidP="00823549">
      <w:pPr>
        <w:spacing w:after="0"/>
        <w:jc w:val="both"/>
        <w:rPr>
          <w:rFonts w:ascii="Verdana" w:hAnsi="Verdana"/>
        </w:rPr>
      </w:pPr>
      <w:bookmarkStart w:id="0" w:name="_Hlk143780582"/>
      <w:r w:rsidRPr="00823549">
        <w:rPr>
          <w:rFonts w:ascii="Verdana" w:eastAsia="Calibri" w:hAnsi="Verdana" w:cs="Arial"/>
          <w:b/>
          <w:bCs/>
          <w:lang w:val="es-ES_tradnl" w:eastAsia="es-ES"/>
        </w:rPr>
        <w:t xml:space="preserve">DOCUMENTOS TIPO – Generalidades – </w:t>
      </w:r>
      <w:r w:rsidRPr="00823549">
        <w:rPr>
          <w:rFonts w:ascii="Verdana" w:eastAsia="Aptos" w:hAnsi="Verdana" w:cs="Times New Roman"/>
          <w:b/>
          <w:bCs/>
          <w:kern w:val="2"/>
          <w:lang w:val="es-ES_tradnl" w:eastAsia="es-ES"/>
          <w14:ligatures w14:val="standardContextual"/>
        </w:rPr>
        <w:t xml:space="preserve">Obligatoriedad </w:t>
      </w:r>
    </w:p>
    <w:p w14:paraId="097DAD13" w14:textId="77777777" w:rsidR="00823549" w:rsidRPr="00823549" w:rsidRDefault="00823549" w:rsidP="00823549">
      <w:pPr>
        <w:spacing w:after="0" w:line="276" w:lineRule="auto"/>
        <w:jc w:val="both"/>
        <w:rPr>
          <w:rFonts w:ascii="Verdana" w:eastAsia="Calibri" w:hAnsi="Verdana" w:cs="Arial"/>
          <w:b/>
          <w:bCs/>
          <w:lang w:val="es-ES_tradnl" w:eastAsia="es-ES"/>
        </w:rPr>
      </w:pPr>
    </w:p>
    <w:p w14:paraId="35655EB6" w14:textId="7131B157" w:rsidR="00823549" w:rsidRPr="00823549" w:rsidRDefault="006E4AAD" w:rsidP="00823549">
      <w:pPr>
        <w:spacing w:after="0" w:line="240" w:lineRule="auto"/>
        <w:jc w:val="both"/>
        <w:rPr>
          <w:rFonts w:ascii="Verdana" w:eastAsia="Calibri" w:hAnsi="Verdana" w:cs="Arial"/>
          <w:sz w:val="20"/>
          <w:szCs w:val="20"/>
          <w:lang w:val="es-ES_tradnl"/>
        </w:rPr>
      </w:pPr>
      <w:r w:rsidRPr="006E4AAD">
        <w:rPr>
          <w:rFonts w:ascii="Verdana" w:eastAsia="Calibri" w:hAnsi="Verdana" w:cs="Arial"/>
          <w:sz w:val="20"/>
          <w:szCs w:val="20"/>
          <w:lang w:val="es-ES_tradnl"/>
        </w:rPr>
        <w:t>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w:t>
      </w:r>
    </w:p>
    <w:p w14:paraId="0CEF376C" w14:textId="77777777" w:rsidR="00823549" w:rsidRPr="00823549" w:rsidRDefault="00823549" w:rsidP="00823549">
      <w:pPr>
        <w:spacing w:after="0" w:line="240" w:lineRule="auto"/>
        <w:rPr>
          <w:rFonts w:ascii="Verdana" w:eastAsia="Geomanist Light" w:hAnsi="Verdana" w:cs="Arial"/>
          <w:lang w:val="es-ES_tradnl"/>
        </w:rPr>
      </w:pPr>
    </w:p>
    <w:p w14:paraId="502DF2C4" w14:textId="77777777" w:rsidR="00823549" w:rsidRPr="00823549" w:rsidRDefault="00823549" w:rsidP="00823549">
      <w:pPr>
        <w:spacing w:after="0" w:line="276" w:lineRule="auto"/>
        <w:jc w:val="both"/>
        <w:rPr>
          <w:rFonts w:ascii="Verdana" w:eastAsia="Geomanist Light" w:hAnsi="Verdana" w:cs="Arial"/>
          <w:b/>
          <w:bCs/>
          <w:lang w:val="es-ES_tradnl"/>
        </w:rPr>
      </w:pPr>
      <w:r w:rsidRPr="00823549">
        <w:rPr>
          <w:rFonts w:ascii="Verdana" w:eastAsia="Geomanist Light" w:hAnsi="Verdana" w:cs="Arial"/>
          <w:b/>
          <w:bCs/>
          <w:lang w:val="es-ES_tradnl"/>
        </w:rPr>
        <w:t>DOCUMENTOS TIPO – Infraestructura de transporte – Versión 4 – Oferta económica – Formulario 1 – Formulario de Presupuesto Oficial – SECOP II</w:t>
      </w:r>
    </w:p>
    <w:p w14:paraId="0DC71C74" w14:textId="77777777" w:rsidR="00823549" w:rsidRPr="00823549" w:rsidRDefault="00823549" w:rsidP="00823549">
      <w:pPr>
        <w:spacing w:after="0" w:line="240" w:lineRule="auto"/>
        <w:jc w:val="both"/>
        <w:rPr>
          <w:rFonts w:ascii="Verdana" w:eastAsia="Geomanist Light" w:hAnsi="Verdana" w:cs="Arial"/>
          <w:lang w:val="es-ES_tradnl"/>
        </w:rPr>
      </w:pPr>
    </w:p>
    <w:p w14:paraId="2A9B3A0D" w14:textId="3CE7EF72" w:rsidR="00823549" w:rsidRPr="00823549" w:rsidRDefault="006E4AAD" w:rsidP="0169AFC0">
      <w:pPr>
        <w:spacing w:after="0" w:line="240" w:lineRule="auto"/>
        <w:jc w:val="both"/>
        <w:rPr>
          <w:rFonts w:ascii="Verdana" w:eastAsia="Geomanist Light" w:hAnsi="Verdana" w:cs="Arial"/>
          <w:sz w:val="20"/>
          <w:szCs w:val="20"/>
          <w:lang w:val="es-ES"/>
        </w:rPr>
      </w:pPr>
      <w:r w:rsidRPr="006E4AAD">
        <w:rPr>
          <w:rFonts w:ascii="Verdana" w:eastAsia="Geomanist Light" w:hAnsi="Verdana" w:cs="Arial"/>
          <w:sz w:val="20"/>
          <w:szCs w:val="20"/>
          <w:lang w:val="es-ES"/>
        </w:rPr>
        <w:t>En los documentos tipo de obra de infraestructura de transporte, el “Formulario 1 – Formulario de Presupuesto Oficial” tiene dos connotaciones: i) por un lado, es el formulario sobre el cual la entidad estructura y presenta el presupuesto oficial del procedimiento de contratación; y ii) por el otro, es el formulario sobre el cual los proponentes elaboran y presentan su oferta económica. Específicamente, frente a la propuesta económica, el documento base señala que la misma se debe elaborar a partir del “Formulario 1– Formulario de Presupuesto Oficial” y la presentación debe hacerse con sujeción a lo dispuesto en los numerales “2.3. ELABORACIÓN Y PRESENTACIÓN DE LA OFERTA” y “4.1. OFERTA ECONÓMICA” del referido documento base. El propósito de esto es evitar la duplicidad de información y permitir que las propuestas económicas sean evaluadas con las variables, cantidades, unidades de medida y reglas consideradas por la entidad al estructurar su presupuesto oficial.</w:t>
      </w:r>
    </w:p>
    <w:p w14:paraId="200EC922" w14:textId="77777777" w:rsidR="00823549" w:rsidRPr="00823549" w:rsidRDefault="00823549" w:rsidP="00823549">
      <w:pPr>
        <w:spacing w:after="0" w:line="240" w:lineRule="auto"/>
        <w:rPr>
          <w:rFonts w:ascii="Verdana" w:eastAsia="Geomanist Light" w:hAnsi="Verdana" w:cs="Arial"/>
          <w:lang w:val="es-ES_tradnl"/>
        </w:rPr>
      </w:pPr>
    </w:p>
    <w:p w14:paraId="7246F0F8" w14:textId="77777777" w:rsidR="00823549" w:rsidRPr="00823549" w:rsidRDefault="00823549" w:rsidP="00823549">
      <w:pPr>
        <w:spacing w:after="0" w:line="240" w:lineRule="auto"/>
        <w:rPr>
          <w:rFonts w:ascii="Verdana" w:eastAsia="Geomanist Light" w:hAnsi="Verdana" w:cs="Arial"/>
          <w:lang w:val="es-ES_tradnl"/>
        </w:rPr>
      </w:pPr>
    </w:p>
    <w:p w14:paraId="26974F35" w14:textId="77777777" w:rsidR="00823549" w:rsidRPr="00823549" w:rsidRDefault="00823549" w:rsidP="00823549">
      <w:pPr>
        <w:spacing w:after="0" w:line="240" w:lineRule="auto"/>
        <w:rPr>
          <w:rFonts w:ascii="Verdana" w:eastAsia="Geomanist Light" w:hAnsi="Verdana" w:cs="Arial"/>
          <w:lang w:val="es-ES_tradnl"/>
        </w:rPr>
      </w:pPr>
    </w:p>
    <w:p w14:paraId="15C67A80" w14:textId="77777777" w:rsidR="00823549" w:rsidRPr="00823549" w:rsidRDefault="00823549" w:rsidP="00823549">
      <w:pPr>
        <w:spacing w:after="0" w:line="240" w:lineRule="auto"/>
        <w:rPr>
          <w:rFonts w:ascii="Verdana" w:eastAsia="Calibri" w:hAnsi="Verdana" w:cs="Times New Roman"/>
          <w:lang w:val="es-ES_tradnl"/>
        </w:rPr>
      </w:pPr>
    </w:p>
    <w:p w14:paraId="7A563698" w14:textId="77777777" w:rsidR="00823549" w:rsidRPr="00823549" w:rsidRDefault="00823549" w:rsidP="00823549">
      <w:pPr>
        <w:spacing w:after="0" w:line="240" w:lineRule="auto"/>
        <w:rPr>
          <w:rFonts w:ascii="Verdana" w:eastAsia="Calibri" w:hAnsi="Verdana" w:cs="Times New Roman"/>
          <w:lang w:val="es-ES_tradnl"/>
        </w:rPr>
      </w:pPr>
    </w:p>
    <w:p w14:paraId="58796AF7" w14:textId="77777777" w:rsidR="00823549" w:rsidRPr="00823549" w:rsidRDefault="00823549" w:rsidP="00823549">
      <w:pPr>
        <w:spacing w:after="0" w:line="240" w:lineRule="auto"/>
        <w:rPr>
          <w:rFonts w:ascii="Verdana" w:eastAsia="Calibri" w:hAnsi="Verdana" w:cs="Times New Roman"/>
          <w:lang w:val="es-ES_tradnl"/>
        </w:rPr>
      </w:pPr>
    </w:p>
    <w:p w14:paraId="45096869" w14:textId="77777777" w:rsidR="00823549" w:rsidRPr="00823549" w:rsidRDefault="00823549" w:rsidP="00823549">
      <w:pPr>
        <w:spacing w:after="0" w:line="240" w:lineRule="auto"/>
        <w:rPr>
          <w:rFonts w:ascii="Verdana" w:eastAsia="Calibri" w:hAnsi="Verdana" w:cs="Times New Roman"/>
          <w:lang w:val="es-ES_tradnl"/>
        </w:rPr>
      </w:pPr>
    </w:p>
    <w:p w14:paraId="14F76674" w14:textId="77777777" w:rsidR="00823549" w:rsidRPr="00823549" w:rsidRDefault="00823549" w:rsidP="00823549">
      <w:pPr>
        <w:spacing w:after="0" w:line="240" w:lineRule="auto"/>
        <w:rPr>
          <w:rFonts w:ascii="Verdana" w:eastAsia="Calibri" w:hAnsi="Verdana" w:cs="Times New Roman"/>
          <w:lang w:val="es-ES_tradnl"/>
        </w:rPr>
      </w:pPr>
    </w:p>
    <w:p w14:paraId="72222F9A" w14:textId="77777777" w:rsidR="00823549" w:rsidRPr="00823549" w:rsidRDefault="00823549" w:rsidP="00823549">
      <w:pPr>
        <w:spacing w:after="0" w:line="240" w:lineRule="auto"/>
        <w:rPr>
          <w:rFonts w:ascii="Verdana" w:eastAsia="Calibri" w:hAnsi="Verdana" w:cs="Times New Roman"/>
          <w:lang w:val="es-ES_tradnl"/>
        </w:rPr>
      </w:pPr>
    </w:p>
    <w:p w14:paraId="24892161" w14:textId="77777777" w:rsidR="00823549" w:rsidRPr="00823549" w:rsidRDefault="00823549" w:rsidP="00823549">
      <w:pPr>
        <w:spacing w:after="0" w:line="240" w:lineRule="auto"/>
        <w:rPr>
          <w:rFonts w:ascii="Verdana" w:eastAsia="Calibri" w:hAnsi="Verdana" w:cs="Times New Roman"/>
          <w:lang w:val="es-ES_tradnl"/>
        </w:rPr>
      </w:pPr>
    </w:p>
    <w:p w14:paraId="3BD25896" w14:textId="77777777" w:rsidR="00823549" w:rsidRPr="00823549" w:rsidRDefault="00823549" w:rsidP="00823549">
      <w:pPr>
        <w:spacing w:after="0" w:line="240" w:lineRule="auto"/>
        <w:rPr>
          <w:rFonts w:ascii="Verdana" w:eastAsia="Calibri" w:hAnsi="Verdana" w:cs="Times New Roman"/>
          <w:lang w:val="es-ES_tradnl"/>
        </w:rPr>
      </w:pPr>
    </w:p>
    <w:p w14:paraId="0F9D3DE0" w14:textId="77777777" w:rsidR="00823549" w:rsidRPr="00823549" w:rsidRDefault="00823549" w:rsidP="00823549">
      <w:pPr>
        <w:spacing w:after="0" w:line="240" w:lineRule="auto"/>
        <w:rPr>
          <w:rFonts w:ascii="Verdana" w:eastAsia="Calibri" w:hAnsi="Verdana" w:cs="Times New Roman"/>
          <w:lang w:val="es-ES_tradnl"/>
        </w:rPr>
      </w:pPr>
    </w:p>
    <w:p w14:paraId="1E5B6383" w14:textId="77777777" w:rsidR="00823549" w:rsidRPr="00823549" w:rsidRDefault="00823549" w:rsidP="00823549">
      <w:pPr>
        <w:spacing w:after="0" w:line="240" w:lineRule="auto"/>
        <w:rPr>
          <w:rFonts w:ascii="Verdana" w:eastAsia="Calibri" w:hAnsi="Verdana" w:cs="Times New Roman"/>
          <w:lang w:val="es-ES_tradnl"/>
        </w:rPr>
      </w:pPr>
    </w:p>
    <w:p w14:paraId="330567B7" w14:textId="77777777" w:rsidR="00823549" w:rsidRPr="00823549" w:rsidRDefault="00823549" w:rsidP="00823549">
      <w:pPr>
        <w:spacing w:after="0" w:line="240" w:lineRule="auto"/>
        <w:rPr>
          <w:rFonts w:ascii="Verdana" w:eastAsia="Calibri" w:hAnsi="Verdana" w:cs="Times New Roman"/>
          <w:lang w:val="es-ES_tradnl"/>
        </w:rPr>
      </w:pPr>
    </w:p>
    <w:p w14:paraId="7168AA20" w14:textId="77777777" w:rsidR="00823549" w:rsidRPr="00823549" w:rsidRDefault="00823549" w:rsidP="00823549">
      <w:pPr>
        <w:spacing w:after="0" w:line="240" w:lineRule="auto"/>
        <w:rPr>
          <w:rFonts w:ascii="Verdana" w:eastAsia="Calibri" w:hAnsi="Verdana" w:cs="Times New Roman"/>
          <w:lang w:val="es-ES_tradnl"/>
        </w:rPr>
      </w:pPr>
    </w:p>
    <w:p w14:paraId="575374E0" w14:textId="77777777" w:rsidR="00823549" w:rsidRPr="00823549" w:rsidRDefault="00823549" w:rsidP="00823549">
      <w:pPr>
        <w:spacing w:after="0" w:line="240" w:lineRule="auto"/>
        <w:rPr>
          <w:rFonts w:ascii="Verdana" w:eastAsia="Calibri" w:hAnsi="Verdana" w:cs="Times New Roman"/>
          <w:lang w:val="es-ES_tradnl"/>
        </w:rPr>
      </w:pPr>
    </w:p>
    <w:p w14:paraId="37B79AE7" w14:textId="77777777" w:rsidR="00823549" w:rsidRPr="00823549" w:rsidRDefault="00823549" w:rsidP="00823549">
      <w:pPr>
        <w:spacing w:after="0" w:line="240" w:lineRule="auto"/>
        <w:rPr>
          <w:rFonts w:ascii="Verdana" w:eastAsia="Calibri" w:hAnsi="Verdana" w:cs="Times New Roman"/>
          <w:lang w:val="es-ES_tradnl"/>
        </w:rPr>
      </w:pPr>
    </w:p>
    <w:p w14:paraId="19BE6E7B" w14:textId="77777777" w:rsidR="00823549" w:rsidRPr="00823549" w:rsidRDefault="00823549" w:rsidP="00823549">
      <w:pPr>
        <w:spacing w:after="0" w:line="240" w:lineRule="auto"/>
        <w:rPr>
          <w:rFonts w:ascii="Verdana" w:eastAsia="Calibri" w:hAnsi="Verdana" w:cs="Times New Roman"/>
          <w:lang w:val="es-ES_tradnl"/>
        </w:rPr>
      </w:pPr>
    </w:p>
    <w:p w14:paraId="39A12100" w14:textId="77777777" w:rsidR="00823549" w:rsidRPr="00823549" w:rsidRDefault="00823549" w:rsidP="00823549">
      <w:pPr>
        <w:spacing w:after="0" w:line="240" w:lineRule="auto"/>
        <w:rPr>
          <w:rFonts w:ascii="Verdana" w:eastAsia="Calibri" w:hAnsi="Verdana" w:cs="Times New Roman"/>
          <w:lang w:val="es-ES_tradnl"/>
        </w:rPr>
      </w:pPr>
    </w:p>
    <w:p w14:paraId="757BDF4E" w14:textId="77777777" w:rsidR="00823549" w:rsidRPr="00823549" w:rsidRDefault="00823549" w:rsidP="00823549">
      <w:pPr>
        <w:spacing w:after="0" w:line="240" w:lineRule="auto"/>
        <w:jc w:val="both"/>
        <w:rPr>
          <w:rFonts w:ascii="Verdana" w:eastAsia="Calibri" w:hAnsi="Verdana" w:cs="Times New Roman"/>
          <w:lang w:val="es-ES_tradnl"/>
        </w:rPr>
      </w:pPr>
    </w:p>
    <w:p w14:paraId="2C32992A" w14:textId="5F1EACF3" w:rsidR="00823549" w:rsidRPr="00823549" w:rsidRDefault="00823549" w:rsidP="00823549">
      <w:pPr>
        <w:spacing w:after="0" w:line="240" w:lineRule="auto"/>
        <w:jc w:val="both"/>
        <w:rPr>
          <w:rFonts w:ascii="Verdana" w:eastAsia="Calibri" w:hAnsi="Verdana" w:cs="Arial"/>
          <w:lang w:val="es-ES_tradnl"/>
        </w:rPr>
      </w:pPr>
      <w:r w:rsidRPr="0044528D">
        <w:rPr>
          <w:rFonts w:ascii="Verdana" w:hAnsi="Verdana"/>
        </w:rPr>
        <w:lastRenderedPageBreak/>
        <w:t>Bogotá D.C.</w:t>
      </w:r>
    </w:p>
    <w:p w14:paraId="2C2AB467" w14:textId="77777777" w:rsidR="00823549" w:rsidRPr="00823549" w:rsidRDefault="00823549" w:rsidP="00823549">
      <w:pPr>
        <w:spacing w:after="0" w:line="240" w:lineRule="auto"/>
        <w:jc w:val="both"/>
        <w:rPr>
          <w:rFonts w:ascii="Verdana" w:eastAsia="Calibri" w:hAnsi="Verdana" w:cs="Arial"/>
          <w:lang w:val="es-ES_tradnl" w:eastAsia="es-ES"/>
        </w:rPr>
      </w:pPr>
    </w:p>
    <w:p w14:paraId="7D57AC94" w14:textId="30F2A597" w:rsidR="00823549" w:rsidRPr="00823549" w:rsidRDefault="0044550A" w:rsidP="0044550A">
      <w:pPr>
        <w:spacing w:after="0" w:line="240" w:lineRule="auto"/>
        <w:jc w:val="right"/>
        <w:rPr>
          <w:rFonts w:ascii="Verdana" w:eastAsia="Calibri" w:hAnsi="Verdana" w:cs="Arial"/>
          <w:lang w:val="es-ES_tradnl" w:eastAsia="es-ES"/>
        </w:rPr>
      </w:pPr>
      <w:r>
        <w:rPr>
          <w:rFonts w:ascii="Verdana" w:eastAsia="Calibri" w:hAnsi="Verdana" w:cs="Arial"/>
          <w:noProof/>
          <w:lang w:val="es-ES_tradnl" w:eastAsia="es-ES"/>
        </w:rPr>
        <w:drawing>
          <wp:inline distT="0" distB="0" distL="0" distR="0" wp14:anchorId="67C750F1" wp14:editId="6DC32158">
            <wp:extent cx="4012538" cy="1197917"/>
            <wp:effectExtent l="0" t="0" r="1270" b="0"/>
            <wp:docPr id="9336070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07036" name="Imagen 933607036"/>
                    <pic:cNvPicPr/>
                  </pic:nvPicPr>
                  <pic:blipFill>
                    <a:blip r:embed="rId10">
                      <a:extLst>
                        <a:ext uri="{28A0092B-C50C-407E-A947-70E740481C1C}">
                          <a14:useLocalDpi xmlns:a14="http://schemas.microsoft.com/office/drawing/2010/main" val="0"/>
                        </a:ext>
                      </a:extLst>
                    </a:blip>
                    <a:stretch>
                      <a:fillRect/>
                    </a:stretch>
                  </pic:blipFill>
                  <pic:spPr>
                    <a:xfrm>
                      <a:off x="0" y="0"/>
                      <a:ext cx="4043861" cy="1207268"/>
                    </a:xfrm>
                    <a:prstGeom prst="rect">
                      <a:avLst/>
                    </a:prstGeom>
                  </pic:spPr>
                </pic:pic>
              </a:graphicData>
            </a:graphic>
          </wp:inline>
        </w:drawing>
      </w:r>
    </w:p>
    <w:p w14:paraId="2784AFD0" w14:textId="77777777" w:rsidR="00823549" w:rsidRPr="00823549" w:rsidRDefault="00823549" w:rsidP="00823549">
      <w:pPr>
        <w:spacing w:after="0" w:line="240" w:lineRule="auto"/>
        <w:jc w:val="both"/>
        <w:rPr>
          <w:rFonts w:ascii="Verdana" w:eastAsia="Calibri" w:hAnsi="Verdana" w:cs="Arial"/>
          <w:lang w:val="es-ES_tradnl" w:eastAsia="es-ES"/>
        </w:rPr>
      </w:pPr>
      <w:r w:rsidRPr="00823549">
        <w:rPr>
          <w:rFonts w:ascii="Verdana" w:eastAsia="Calibri" w:hAnsi="Verdana" w:cs="Arial"/>
          <w:lang w:val="es-ES_tradnl" w:eastAsia="es-ES"/>
        </w:rPr>
        <w:t>Señora</w:t>
      </w:r>
    </w:p>
    <w:p w14:paraId="285996C1" w14:textId="77777777" w:rsidR="00823549" w:rsidRPr="00823549" w:rsidRDefault="00823549" w:rsidP="00823549">
      <w:pPr>
        <w:spacing w:after="0" w:line="240" w:lineRule="auto"/>
        <w:rPr>
          <w:rFonts w:ascii="Verdana" w:eastAsia="Calibri" w:hAnsi="Verdana" w:cs="Arial"/>
          <w:b/>
          <w:lang w:val="es-ES_tradnl" w:eastAsia="es-ES_tradnl"/>
        </w:rPr>
      </w:pPr>
      <w:r w:rsidRPr="00823549">
        <w:rPr>
          <w:rFonts w:ascii="Verdana" w:eastAsia="Calibri" w:hAnsi="Verdana" w:cs="Arial"/>
          <w:b/>
          <w:lang w:val="es-ES_tradnl" w:eastAsia="es-ES_tradnl"/>
        </w:rPr>
        <w:t>Edith Lorena Henao Duque</w:t>
      </w:r>
    </w:p>
    <w:p w14:paraId="0FF93BF0" w14:textId="77777777" w:rsidR="00823549" w:rsidRPr="00823549" w:rsidRDefault="00823549" w:rsidP="00823549">
      <w:pPr>
        <w:spacing w:after="0" w:line="240" w:lineRule="auto"/>
        <w:rPr>
          <w:rFonts w:ascii="Verdana" w:eastAsia="Calibri" w:hAnsi="Verdana" w:cs="Arial"/>
          <w:lang w:val="es-ES_tradnl" w:eastAsia="es-ES"/>
        </w:rPr>
      </w:pPr>
      <w:r w:rsidRPr="00823549">
        <w:rPr>
          <w:rFonts w:ascii="Verdana" w:eastAsia="Calibri" w:hAnsi="Verdana" w:cs="Arial"/>
          <w:lang w:val="es-ES_tradnl" w:eastAsia="es-ES"/>
        </w:rPr>
        <w:t>Cali, Valle del Cauca</w:t>
      </w:r>
    </w:p>
    <w:p w14:paraId="677D2726" w14:textId="77777777" w:rsidR="00823549" w:rsidRPr="00823549" w:rsidRDefault="00823549" w:rsidP="00823549">
      <w:pPr>
        <w:spacing w:after="0" w:line="240" w:lineRule="auto"/>
        <w:rPr>
          <w:rFonts w:ascii="Verdana" w:eastAsia="Calibri" w:hAnsi="Verdana" w:cs="Arial"/>
          <w:b/>
          <w:bCs/>
          <w:lang w:val="es-ES_tradnl" w:eastAsia="es-ES_tradnl"/>
        </w:rPr>
      </w:pPr>
    </w:p>
    <w:p w14:paraId="4753C927" w14:textId="77777777" w:rsidR="00823549" w:rsidRPr="00823549" w:rsidRDefault="00823549" w:rsidP="00823549">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823549" w:rsidRPr="00823549" w14:paraId="162116E9" w14:textId="77777777" w:rsidTr="00A91C10">
        <w:trPr>
          <w:trHeight w:val="884"/>
        </w:trPr>
        <w:tc>
          <w:tcPr>
            <w:tcW w:w="2689" w:type="dxa"/>
          </w:tcPr>
          <w:p w14:paraId="7458A9AB" w14:textId="77777777" w:rsidR="00823549" w:rsidRPr="00823549" w:rsidRDefault="00823549" w:rsidP="00823549">
            <w:pPr>
              <w:jc w:val="both"/>
              <w:rPr>
                <w:rFonts w:ascii="Verdana" w:eastAsia="Calibri" w:hAnsi="Verdana" w:cs="Arial"/>
                <w:b/>
                <w:bCs/>
                <w:lang w:val="es-ES_tradnl" w:eastAsia="es-ES_tradnl"/>
              </w:rPr>
            </w:pPr>
          </w:p>
        </w:tc>
        <w:tc>
          <w:tcPr>
            <w:tcW w:w="6100" w:type="dxa"/>
          </w:tcPr>
          <w:p w14:paraId="0871F06C" w14:textId="77777777" w:rsidR="00823549" w:rsidRPr="00823549" w:rsidRDefault="00823549" w:rsidP="00823549">
            <w:pPr>
              <w:jc w:val="both"/>
              <w:rPr>
                <w:rFonts w:ascii="Verdana" w:eastAsia="Calibri" w:hAnsi="Verdana" w:cs="Arial"/>
                <w:b/>
                <w:bCs/>
                <w:lang w:val="es-ES_tradnl" w:eastAsia="es-ES"/>
              </w:rPr>
            </w:pPr>
            <w:r w:rsidRPr="00823549">
              <w:rPr>
                <w:rFonts w:ascii="Verdana" w:eastAsia="Calibri" w:hAnsi="Verdana" w:cs="Arial"/>
                <w:b/>
                <w:bCs/>
                <w:lang w:val="es-ES_tradnl" w:eastAsia="es-ES"/>
              </w:rPr>
              <w:t>Concepto C – 640 de 2024</w:t>
            </w:r>
          </w:p>
        </w:tc>
      </w:tr>
      <w:tr w:rsidR="00823549" w:rsidRPr="00823549" w14:paraId="34CAEBF3" w14:textId="77777777" w:rsidTr="00A91C10">
        <w:trPr>
          <w:trHeight w:val="884"/>
        </w:trPr>
        <w:tc>
          <w:tcPr>
            <w:tcW w:w="2689" w:type="dxa"/>
          </w:tcPr>
          <w:p w14:paraId="0E789A8D" w14:textId="77777777" w:rsidR="00823549" w:rsidRPr="00823549" w:rsidRDefault="00823549" w:rsidP="00823549">
            <w:pPr>
              <w:jc w:val="both"/>
              <w:rPr>
                <w:rFonts w:ascii="Verdana" w:eastAsia="Calibri" w:hAnsi="Verdana" w:cs="Arial"/>
                <w:lang w:val="es-ES_tradnl" w:eastAsia="es-ES_tradnl"/>
              </w:rPr>
            </w:pPr>
            <w:r w:rsidRPr="00823549">
              <w:rPr>
                <w:rFonts w:ascii="Verdana" w:eastAsia="Calibri" w:hAnsi="Verdana" w:cs="Arial"/>
                <w:b/>
                <w:lang w:val="es-ES_tradnl" w:eastAsia="es-ES_tradnl"/>
              </w:rPr>
              <w:t>Temas:</w:t>
            </w:r>
            <w:r w:rsidRPr="00823549">
              <w:rPr>
                <w:rFonts w:ascii="Verdana" w:eastAsia="Calibri" w:hAnsi="Verdana" w:cs="Arial"/>
                <w:lang w:val="es-ES_tradnl" w:eastAsia="es-ES_tradnl"/>
              </w:rPr>
              <w:t xml:space="preserve">                   </w:t>
            </w:r>
          </w:p>
        </w:tc>
        <w:tc>
          <w:tcPr>
            <w:tcW w:w="6100" w:type="dxa"/>
          </w:tcPr>
          <w:p w14:paraId="43CDC5A6" w14:textId="77777777" w:rsidR="00823549" w:rsidRPr="00823549" w:rsidRDefault="00823549" w:rsidP="00823549">
            <w:pPr>
              <w:spacing w:line="276" w:lineRule="auto"/>
              <w:jc w:val="both"/>
              <w:rPr>
                <w:rFonts w:ascii="Verdana" w:eastAsia="Geomanist Light" w:hAnsi="Verdana" w:cs="Arial"/>
                <w:lang w:val="es-ES_tradnl"/>
              </w:rPr>
            </w:pPr>
            <w:r w:rsidRPr="00823549">
              <w:rPr>
                <w:rFonts w:ascii="Verdana" w:eastAsia="Calibri" w:hAnsi="Verdana" w:cs="Arial"/>
                <w:lang w:val="es-ES_tradnl" w:eastAsia="es-ES"/>
              </w:rPr>
              <w:t xml:space="preserve">DOCUMENTOS TIPO – Generalidades – </w:t>
            </w:r>
            <w:r w:rsidRPr="00823549">
              <w:rPr>
                <w:rFonts w:ascii="Verdana" w:eastAsia="Aptos" w:hAnsi="Verdana" w:cs="Times New Roman"/>
                <w:lang w:val="es-ES_tradnl" w:eastAsia="es-ES"/>
              </w:rPr>
              <w:t xml:space="preserve">Obligatoriedad / </w:t>
            </w:r>
            <w:r w:rsidRPr="00823549">
              <w:rPr>
                <w:rFonts w:ascii="Verdana" w:eastAsia="Geomanist Light" w:hAnsi="Verdana" w:cs="Arial"/>
                <w:lang w:val="es-ES_tradnl"/>
              </w:rPr>
              <w:t>DOCUMENTOS TIPO – Infraestructura de transporte – Versión 4 – Oferta económica – Formulario 1 – Formulario de Presupuesto Oficial – SECOP II</w:t>
            </w:r>
          </w:p>
          <w:p w14:paraId="48245482" w14:textId="77777777" w:rsidR="00823549" w:rsidRPr="00823549" w:rsidRDefault="00823549" w:rsidP="00823549">
            <w:pPr>
              <w:spacing w:line="276" w:lineRule="auto"/>
              <w:jc w:val="both"/>
              <w:rPr>
                <w:rFonts w:ascii="Verdana" w:eastAsia="Calibri" w:hAnsi="Verdana" w:cs="Arial"/>
                <w:highlight w:val="yellow"/>
                <w:lang w:val="es-ES_tradnl" w:eastAsia="es-ES"/>
              </w:rPr>
            </w:pPr>
          </w:p>
        </w:tc>
      </w:tr>
      <w:tr w:rsidR="00823549" w:rsidRPr="00823549" w14:paraId="4BDAB407" w14:textId="77777777" w:rsidTr="00A91C10">
        <w:tc>
          <w:tcPr>
            <w:tcW w:w="2689" w:type="dxa"/>
          </w:tcPr>
          <w:p w14:paraId="67CA9241" w14:textId="77777777" w:rsidR="00823549" w:rsidRPr="00823549" w:rsidRDefault="00823549" w:rsidP="00823549">
            <w:pPr>
              <w:jc w:val="both"/>
              <w:rPr>
                <w:rFonts w:ascii="Verdana" w:eastAsia="Calibri" w:hAnsi="Verdana" w:cs="Arial"/>
                <w:b/>
                <w:lang w:val="es-ES_tradnl" w:eastAsia="es-ES_tradnl"/>
              </w:rPr>
            </w:pPr>
            <w:r w:rsidRPr="00823549">
              <w:rPr>
                <w:rFonts w:ascii="Verdana" w:eastAsia="Calibri" w:hAnsi="Verdana" w:cs="Arial"/>
                <w:b/>
                <w:lang w:val="es-ES_tradnl" w:eastAsia="es-ES_tradnl"/>
              </w:rPr>
              <w:t>Radicación:</w:t>
            </w:r>
            <w:r w:rsidRPr="00823549">
              <w:rPr>
                <w:rFonts w:ascii="Verdana" w:eastAsia="Calibri" w:hAnsi="Verdana" w:cs="Arial"/>
                <w:lang w:val="es-ES_tradnl" w:eastAsia="es-ES_tradnl"/>
              </w:rPr>
              <w:t xml:space="preserve">               </w:t>
            </w:r>
          </w:p>
        </w:tc>
        <w:tc>
          <w:tcPr>
            <w:tcW w:w="6100" w:type="dxa"/>
          </w:tcPr>
          <w:p w14:paraId="6159C4AB" w14:textId="77777777" w:rsidR="00823549" w:rsidRPr="00823549" w:rsidRDefault="00823549" w:rsidP="00823549">
            <w:pPr>
              <w:jc w:val="both"/>
              <w:rPr>
                <w:rFonts w:ascii="Verdana" w:eastAsia="Calibri" w:hAnsi="Verdana" w:cs="Arial"/>
                <w:lang w:val="es-ES_tradnl" w:eastAsia="es-ES_tradnl"/>
              </w:rPr>
            </w:pPr>
            <w:r w:rsidRPr="00823549">
              <w:rPr>
                <w:rFonts w:ascii="Verdana" w:eastAsia="Calibri" w:hAnsi="Verdana" w:cs="Arial"/>
                <w:lang w:val="es-ES_tradnl" w:eastAsia="es-ES_tradnl"/>
              </w:rPr>
              <w:t xml:space="preserve">Respuesta a consulta con radicado No. 20240920009616 </w:t>
            </w:r>
          </w:p>
        </w:tc>
      </w:tr>
    </w:tbl>
    <w:p w14:paraId="20395D91" w14:textId="77777777" w:rsidR="00823549" w:rsidRPr="00823549" w:rsidRDefault="00823549" w:rsidP="00823549">
      <w:pPr>
        <w:spacing w:after="0" w:line="240" w:lineRule="auto"/>
        <w:jc w:val="both"/>
        <w:rPr>
          <w:rFonts w:ascii="Verdana" w:eastAsia="Calibri" w:hAnsi="Verdana" w:cs="Arial"/>
          <w:lang w:val="es-ES_tradnl" w:eastAsia="es-ES_tradnl"/>
        </w:rPr>
      </w:pPr>
    </w:p>
    <w:p w14:paraId="53C7422A" w14:textId="77777777" w:rsidR="00823549" w:rsidRPr="00823549" w:rsidRDefault="00823549" w:rsidP="00823549">
      <w:pPr>
        <w:spacing w:after="0" w:line="240" w:lineRule="auto"/>
        <w:jc w:val="both"/>
        <w:rPr>
          <w:rFonts w:ascii="Verdana" w:eastAsia="Calibri" w:hAnsi="Verdana" w:cs="Arial"/>
          <w:lang w:val="es-ES_tradnl" w:eastAsia="es-ES_tradnl"/>
        </w:rPr>
      </w:pPr>
    </w:p>
    <w:p w14:paraId="1E4231D5" w14:textId="77777777" w:rsidR="00823549" w:rsidRPr="00823549" w:rsidRDefault="00823549" w:rsidP="00823549">
      <w:pPr>
        <w:spacing w:after="0" w:line="276" w:lineRule="auto"/>
        <w:jc w:val="both"/>
        <w:rPr>
          <w:rFonts w:ascii="Verdana" w:eastAsia="Calibri" w:hAnsi="Verdana" w:cs="Arial"/>
          <w:lang w:val="es-ES_tradnl" w:eastAsia="es-ES"/>
        </w:rPr>
      </w:pPr>
      <w:r w:rsidRPr="00823549">
        <w:rPr>
          <w:rFonts w:ascii="Verdana" w:eastAsia="Calibri" w:hAnsi="Verdana" w:cs="Arial"/>
          <w:lang w:val="es-ES_tradnl" w:eastAsia="es-ES"/>
        </w:rPr>
        <w:t xml:space="preserve">Estimada señora Henao Duque: </w:t>
      </w:r>
    </w:p>
    <w:p w14:paraId="6C7E736C" w14:textId="77777777" w:rsidR="00823549" w:rsidRPr="00823549" w:rsidRDefault="00823549" w:rsidP="00823549">
      <w:pPr>
        <w:tabs>
          <w:tab w:val="left" w:pos="3768"/>
        </w:tabs>
        <w:spacing w:after="0" w:line="276" w:lineRule="auto"/>
        <w:jc w:val="both"/>
        <w:rPr>
          <w:rFonts w:ascii="Verdana" w:eastAsia="Calibri" w:hAnsi="Verdana" w:cs="Arial"/>
          <w:lang w:val="es-ES_tradnl" w:eastAsia="es-ES"/>
        </w:rPr>
      </w:pPr>
      <w:r w:rsidRPr="00823549">
        <w:rPr>
          <w:rFonts w:ascii="Verdana" w:eastAsia="Calibri" w:hAnsi="Verdana" w:cs="Arial"/>
          <w:lang w:val="es-ES_tradnl" w:eastAsia="es-ES"/>
        </w:rPr>
        <w:tab/>
      </w:r>
    </w:p>
    <w:p w14:paraId="4A1ED52B" w14:textId="77777777" w:rsidR="00823549" w:rsidRPr="00823549" w:rsidRDefault="00823549" w:rsidP="00823549">
      <w:pPr>
        <w:snapToGrid w:val="0"/>
        <w:spacing w:after="0" w:line="276" w:lineRule="auto"/>
        <w:jc w:val="both"/>
        <w:rPr>
          <w:rFonts w:ascii="Verdana" w:eastAsia="Calibri" w:hAnsi="Verdana" w:cs="Arial"/>
          <w:lang w:val="es-ES_tradnl" w:eastAsia="es-ES"/>
        </w:rPr>
      </w:pPr>
      <w:r w:rsidRPr="00823549">
        <w:rPr>
          <w:rFonts w:ascii="Verdana" w:eastAsia="Calibri" w:hAnsi="Verdana" w:cs="Arial"/>
          <w:lang w:val="es-ES_tradnl" w:eastAsia="es-ES"/>
        </w:rPr>
        <w:t>En ejercicio de la competencia otorgada por los artículos 3, numeral 5º, y 11, numeral 8º, del Decreto Ley 4170 de 2011,</w:t>
      </w:r>
      <w:r w:rsidRPr="00823549">
        <w:rPr>
          <w:rFonts w:ascii="Verdana" w:eastAsia="Arial MT" w:hAnsi="Verdana" w:cs="Arial MT"/>
          <w:lang w:val="es-ES_tradnl" w:eastAsia="es-ES"/>
        </w:rPr>
        <w:t xml:space="preserve"> </w:t>
      </w:r>
      <w:r w:rsidRPr="00823549">
        <w:rPr>
          <w:rFonts w:ascii="Verdana" w:eastAsia="Calibri" w:hAnsi="Verdana" w:cs="Arial"/>
          <w:lang w:val="es-ES_tradnl"/>
        </w:rPr>
        <w:t xml:space="preserve">así como lo establecido en el artículo 4 de la Resolución 1707 de 2018 expedida por esta Entidad, </w:t>
      </w:r>
      <w:r w:rsidRPr="00823549">
        <w:rPr>
          <w:rFonts w:ascii="Verdana" w:eastAsia="Calibri" w:hAnsi="Verdana" w:cs="Arial"/>
          <w:lang w:val="es-ES_tradnl" w:eastAsia="es-ES"/>
        </w:rPr>
        <w:t>la Agencia Nacional de Contratación Pública – Colombia Compra Eficiente– responde su solicitud de consulta de fecha 20 de septiembre de 2024, en la cual manifiesta lo siguiente:</w:t>
      </w:r>
    </w:p>
    <w:p w14:paraId="1BE4B1DC" w14:textId="77777777" w:rsidR="00823549" w:rsidRPr="00823549" w:rsidRDefault="00823549" w:rsidP="00823549">
      <w:pPr>
        <w:tabs>
          <w:tab w:val="left" w:pos="142"/>
          <w:tab w:val="left" w:pos="284"/>
        </w:tabs>
        <w:snapToGrid w:val="0"/>
        <w:spacing w:after="0" w:line="240" w:lineRule="auto"/>
        <w:jc w:val="both"/>
        <w:rPr>
          <w:rFonts w:ascii="Verdana" w:eastAsia="Century Gothic" w:hAnsi="Verdana" w:cs="Century Gothic"/>
          <w:b/>
          <w:bCs/>
          <w:sz w:val="21"/>
          <w:szCs w:val="21"/>
          <w:lang w:val="es-ES_tradnl"/>
        </w:rPr>
      </w:pPr>
    </w:p>
    <w:p w14:paraId="2F87F33B" w14:textId="77777777" w:rsidR="00823549" w:rsidRPr="00823549" w:rsidRDefault="00823549" w:rsidP="00823549">
      <w:pPr>
        <w:snapToGrid w:val="0"/>
        <w:spacing w:after="0" w:line="240" w:lineRule="auto"/>
        <w:ind w:left="720" w:right="709"/>
        <w:jc w:val="both"/>
        <w:rPr>
          <w:rFonts w:ascii="Verdana" w:eastAsia="Century Gothic" w:hAnsi="Verdana" w:cs="Century Gothic"/>
          <w:sz w:val="21"/>
          <w:szCs w:val="21"/>
          <w:lang w:val="es-ES_tradnl"/>
        </w:rPr>
      </w:pPr>
      <w:r w:rsidRPr="00823549">
        <w:rPr>
          <w:rFonts w:ascii="Verdana" w:eastAsia="Century Gothic" w:hAnsi="Verdana" w:cs="Century Gothic"/>
          <w:sz w:val="21"/>
          <w:szCs w:val="21"/>
          <w:lang w:val="es-ES_tradnl"/>
        </w:rPr>
        <w:t>“Revisado el documento base- pliego tipo en su versión No. 4, el mismo establece la siguiente nota, referente a la oferta económica:</w:t>
      </w:r>
    </w:p>
    <w:p w14:paraId="0D8ADBA7" w14:textId="77777777" w:rsidR="00823549" w:rsidRPr="00823549" w:rsidRDefault="00823549" w:rsidP="00823549">
      <w:pPr>
        <w:snapToGrid w:val="0"/>
        <w:spacing w:after="0" w:line="240" w:lineRule="auto"/>
        <w:ind w:left="720" w:right="709"/>
        <w:jc w:val="both"/>
        <w:rPr>
          <w:rFonts w:ascii="Verdana" w:eastAsia="Century Gothic" w:hAnsi="Verdana" w:cs="Century Gothic"/>
          <w:sz w:val="21"/>
          <w:szCs w:val="21"/>
          <w:lang w:val="es-ES_tradnl"/>
        </w:rPr>
      </w:pPr>
    </w:p>
    <w:p w14:paraId="23195882" w14:textId="77777777" w:rsidR="00823549" w:rsidRPr="00823549" w:rsidRDefault="00823549" w:rsidP="00823549">
      <w:pPr>
        <w:snapToGrid w:val="0"/>
        <w:spacing w:after="0" w:line="240" w:lineRule="auto"/>
        <w:ind w:left="720" w:right="709"/>
        <w:jc w:val="both"/>
        <w:rPr>
          <w:rFonts w:ascii="Verdana" w:eastAsia="Century Gothic" w:hAnsi="Verdana" w:cs="Century Gothic"/>
          <w:sz w:val="21"/>
          <w:szCs w:val="21"/>
          <w:lang w:val="es-ES_tradnl"/>
        </w:rPr>
      </w:pPr>
      <w:r w:rsidRPr="00823549">
        <w:rPr>
          <w:rFonts w:ascii="Verdana" w:eastAsia="Century Gothic" w:hAnsi="Verdana" w:cs="Century Gothic"/>
          <w:sz w:val="21"/>
          <w:szCs w:val="21"/>
          <w:lang w:val="es-ES_tradnl"/>
        </w:rPr>
        <w:t>Nota: En caso de discrepancias entre los valores señalados en el Formulario 1 – Formulario de Presupuesto Oficial y el valor presentado en el SECOP II, prevalecerá el valor presentado en el SECOP II.</w:t>
      </w:r>
    </w:p>
    <w:p w14:paraId="1E65279B" w14:textId="77777777" w:rsidR="00823549" w:rsidRPr="00823549" w:rsidRDefault="00823549" w:rsidP="00823549">
      <w:pPr>
        <w:snapToGrid w:val="0"/>
        <w:spacing w:after="0" w:line="240" w:lineRule="auto"/>
        <w:ind w:left="720" w:right="709"/>
        <w:jc w:val="both"/>
        <w:rPr>
          <w:rFonts w:ascii="Verdana" w:eastAsia="Century Gothic" w:hAnsi="Verdana" w:cs="Century Gothic"/>
          <w:sz w:val="21"/>
          <w:szCs w:val="21"/>
          <w:lang w:val="es-ES_tradnl"/>
        </w:rPr>
      </w:pPr>
    </w:p>
    <w:p w14:paraId="29AD1783" w14:textId="77777777" w:rsidR="00823549" w:rsidRPr="00823549" w:rsidRDefault="00823549" w:rsidP="0169AFC0">
      <w:pPr>
        <w:snapToGrid w:val="0"/>
        <w:spacing w:after="0" w:line="240" w:lineRule="auto"/>
        <w:ind w:left="720" w:right="709"/>
        <w:jc w:val="both"/>
        <w:rPr>
          <w:rFonts w:ascii="Verdana" w:eastAsia="Century Gothic" w:hAnsi="Verdana" w:cs="Century Gothic"/>
          <w:sz w:val="21"/>
          <w:szCs w:val="21"/>
          <w:lang w:val="es-ES"/>
        </w:rPr>
      </w:pPr>
      <w:r w:rsidRPr="0169AFC0">
        <w:rPr>
          <w:rFonts w:ascii="Verdana" w:eastAsia="Century Gothic" w:hAnsi="Verdana" w:cs="Century Gothic"/>
          <w:sz w:val="21"/>
          <w:szCs w:val="21"/>
          <w:lang w:val="es-ES"/>
        </w:rPr>
        <w:lastRenderedPageBreak/>
        <w:t xml:space="preserve">En procesos grandes, donde se contemplan muchos </w:t>
      </w:r>
      <w:proofErr w:type="spellStart"/>
      <w:r w:rsidRPr="0169AFC0">
        <w:rPr>
          <w:rFonts w:ascii="Verdana" w:eastAsia="Century Gothic" w:hAnsi="Verdana" w:cs="Century Gothic"/>
          <w:sz w:val="21"/>
          <w:szCs w:val="21"/>
          <w:lang w:val="es-ES"/>
        </w:rPr>
        <w:t>items</w:t>
      </w:r>
      <w:proofErr w:type="spellEnd"/>
      <w:r w:rsidRPr="0169AFC0">
        <w:rPr>
          <w:rFonts w:ascii="Verdana" w:eastAsia="Century Gothic" w:hAnsi="Verdana" w:cs="Century Gothic"/>
          <w:sz w:val="21"/>
          <w:szCs w:val="21"/>
          <w:lang w:val="es-ES"/>
        </w:rPr>
        <w:t xml:space="preserve">, por ejemplo proyectos de obra que pueden superar 1000 </w:t>
      </w:r>
      <w:proofErr w:type="spellStart"/>
      <w:r w:rsidRPr="0169AFC0">
        <w:rPr>
          <w:rFonts w:ascii="Verdana" w:eastAsia="Century Gothic" w:hAnsi="Verdana" w:cs="Century Gothic"/>
          <w:sz w:val="21"/>
          <w:szCs w:val="21"/>
          <w:lang w:val="es-ES"/>
        </w:rPr>
        <w:t>items</w:t>
      </w:r>
      <w:proofErr w:type="spellEnd"/>
      <w:r w:rsidRPr="0169AFC0">
        <w:rPr>
          <w:rFonts w:ascii="Verdana" w:eastAsia="Century Gothic" w:hAnsi="Verdana" w:cs="Century Gothic"/>
          <w:sz w:val="21"/>
          <w:szCs w:val="21"/>
          <w:lang w:val="es-ES"/>
        </w:rPr>
        <w:t xml:space="preserve">, de presentarse discrepancias en el formulario 1 y lo indicado en la plataforma del </w:t>
      </w:r>
      <w:proofErr w:type="spellStart"/>
      <w:r w:rsidRPr="0169AFC0">
        <w:rPr>
          <w:rFonts w:ascii="Verdana" w:eastAsia="Century Gothic" w:hAnsi="Verdana" w:cs="Century Gothic"/>
          <w:sz w:val="21"/>
          <w:szCs w:val="21"/>
          <w:lang w:val="es-ES"/>
        </w:rPr>
        <w:t>secop</w:t>
      </w:r>
      <w:proofErr w:type="spellEnd"/>
      <w:r w:rsidRPr="0169AFC0">
        <w:rPr>
          <w:rFonts w:ascii="Verdana" w:eastAsia="Century Gothic" w:hAnsi="Verdana" w:cs="Century Gothic"/>
          <w:sz w:val="21"/>
          <w:szCs w:val="21"/>
          <w:lang w:val="es-ES"/>
        </w:rPr>
        <w:t xml:space="preserve"> II, a manera de ejemplo el valor registrado en la plataforma es de 143.000.000.000 y en el formulario es de 143.850.000.000, lo que indica una </w:t>
      </w:r>
      <w:proofErr w:type="spellStart"/>
      <w:r w:rsidRPr="0169AFC0">
        <w:rPr>
          <w:rFonts w:ascii="Verdana" w:eastAsia="Century Gothic" w:hAnsi="Verdana" w:cs="Century Gothic"/>
          <w:sz w:val="21"/>
          <w:szCs w:val="21"/>
          <w:lang w:val="es-ES"/>
        </w:rPr>
        <w:t>diiferencia</w:t>
      </w:r>
      <w:proofErr w:type="spellEnd"/>
      <w:r w:rsidRPr="0169AFC0">
        <w:rPr>
          <w:rFonts w:ascii="Verdana" w:eastAsia="Century Gothic" w:hAnsi="Verdana" w:cs="Century Gothic"/>
          <w:sz w:val="21"/>
          <w:szCs w:val="21"/>
          <w:lang w:val="es-ES"/>
        </w:rPr>
        <w:t xml:space="preserve"> de 850.000.000, para efectos prácticos, como descuento esa diferencia del formulario. Con que potestad en caso de que ese sea el oferente ganador que </w:t>
      </w:r>
      <w:proofErr w:type="spellStart"/>
      <w:r w:rsidRPr="0169AFC0">
        <w:rPr>
          <w:rFonts w:ascii="Verdana" w:eastAsia="Century Gothic" w:hAnsi="Verdana" w:cs="Century Gothic"/>
          <w:sz w:val="21"/>
          <w:szCs w:val="21"/>
          <w:lang w:val="es-ES"/>
        </w:rPr>
        <w:t>items</w:t>
      </w:r>
      <w:proofErr w:type="spellEnd"/>
      <w:r w:rsidRPr="0169AFC0">
        <w:rPr>
          <w:rFonts w:ascii="Verdana" w:eastAsia="Century Gothic" w:hAnsi="Verdana" w:cs="Century Gothic"/>
          <w:sz w:val="21"/>
          <w:szCs w:val="21"/>
          <w:lang w:val="es-ES"/>
        </w:rPr>
        <w:t xml:space="preserve"> le afecto. El documento no da una directriz.</w:t>
      </w:r>
    </w:p>
    <w:p w14:paraId="706BCAE3" w14:textId="77777777" w:rsidR="00823549" w:rsidRPr="00823549" w:rsidRDefault="00823549" w:rsidP="0169AFC0">
      <w:pPr>
        <w:snapToGrid w:val="0"/>
        <w:spacing w:after="0" w:line="240" w:lineRule="auto"/>
        <w:ind w:left="720" w:right="709"/>
        <w:jc w:val="both"/>
        <w:rPr>
          <w:rFonts w:ascii="Verdana" w:eastAsia="Century Gothic" w:hAnsi="Verdana" w:cs="Century Gothic"/>
          <w:sz w:val="21"/>
          <w:szCs w:val="21"/>
          <w:lang w:val="es-ES"/>
        </w:rPr>
      </w:pPr>
      <w:r w:rsidRPr="0169AFC0">
        <w:rPr>
          <w:rFonts w:ascii="Verdana" w:eastAsia="Century Gothic" w:hAnsi="Verdana" w:cs="Century Gothic"/>
          <w:sz w:val="21"/>
          <w:szCs w:val="21"/>
          <w:lang w:val="es-ES"/>
        </w:rPr>
        <w:t xml:space="preserve">Que se </w:t>
      </w:r>
      <w:proofErr w:type="spellStart"/>
      <w:r w:rsidRPr="0169AFC0">
        <w:rPr>
          <w:rFonts w:ascii="Verdana" w:eastAsia="Century Gothic" w:hAnsi="Verdana" w:cs="Century Gothic"/>
          <w:sz w:val="21"/>
          <w:szCs w:val="21"/>
          <w:lang w:val="es-ES"/>
        </w:rPr>
        <w:t>deberia</w:t>
      </w:r>
      <w:proofErr w:type="spellEnd"/>
      <w:r w:rsidRPr="0169AFC0">
        <w:rPr>
          <w:rFonts w:ascii="Verdana" w:eastAsia="Century Gothic" w:hAnsi="Verdana" w:cs="Century Gothic"/>
          <w:sz w:val="21"/>
          <w:szCs w:val="21"/>
          <w:lang w:val="es-ES"/>
        </w:rPr>
        <w:t xml:space="preserve"> hacer, de darse el caso.” [SIC]</w:t>
      </w:r>
    </w:p>
    <w:p w14:paraId="72535F8C" w14:textId="77777777" w:rsidR="00823549" w:rsidRPr="00823549" w:rsidRDefault="00823549" w:rsidP="00823549">
      <w:pPr>
        <w:tabs>
          <w:tab w:val="left" w:pos="142"/>
          <w:tab w:val="left" w:pos="284"/>
        </w:tabs>
        <w:spacing w:line="276" w:lineRule="auto"/>
        <w:contextualSpacing/>
        <w:jc w:val="both"/>
        <w:rPr>
          <w:rFonts w:ascii="Verdana" w:eastAsia="Century Gothic" w:hAnsi="Verdana" w:cs="Century Gothic"/>
          <w:b/>
          <w:bCs/>
          <w:lang w:val="es-ES_tradnl"/>
        </w:rPr>
      </w:pPr>
    </w:p>
    <w:p w14:paraId="03856C15" w14:textId="77777777" w:rsidR="00823549" w:rsidRPr="00823549" w:rsidRDefault="00823549" w:rsidP="0169AFC0">
      <w:pPr>
        <w:spacing w:after="120" w:line="276" w:lineRule="auto"/>
        <w:ind w:firstLine="709"/>
        <w:jc w:val="both"/>
        <w:rPr>
          <w:rFonts w:ascii="Verdana" w:eastAsia="Calibri" w:hAnsi="Verdana" w:cs="Arial"/>
          <w:lang w:val="es-ES" w:eastAsia="es-ES"/>
        </w:rPr>
      </w:pPr>
      <w:r w:rsidRPr="0169AFC0">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tab/>
      </w:r>
    </w:p>
    <w:p w14:paraId="30901C99" w14:textId="77777777" w:rsidR="00823549" w:rsidRPr="00823549" w:rsidRDefault="00823549" w:rsidP="00823549">
      <w:pPr>
        <w:snapToGrid w:val="0"/>
        <w:spacing w:after="0" w:line="276" w:lineRule="auto"/>
        <w:ind w:firstLine="709"/>
        <w:jc w:val="both"/>
        <w:rPr>
          <w:rFonts w:ascii="Verdana" w:eastAsia="Calibri" w:hAnsi="Verdana" w:cs="Arial"/>
          <w:lang w:val="es-ES_tradnl" w:eastAsia="es-ES"/>
        </w:rPr>
      </w:pPr>
      <w:r w:rsidRPr="00823549">
        <w:rPr>
          <w:rFonts w:ascii="Verdana" w:eastAsia="Calibri" w:hAnsi="Verdana" w:cs="Arial"/>
          <w:lang w:val="es-ES_tradnl"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23A5F18D" w14:textId="77777777" w:rsidR="00823549" w:rsidRPr="00823549" w:rsidRDefault="00823549" w:rsidP="00823549">
      <w:pPr>
        <w:snapToGrid w:val="0"/>
        <w:spacing w:after="0" w:line="276" w:lineRule="auto"/>
        <w:ind w:firstLine="709"/>
        <w:jc w:val="both"/>
        <w:rPr>
          <w:rFonts w:ascii="Verdana" w:eastAsia="Calibri" w:hAnsi="Verdana" w:cs="Arial"/>
          <w:lang w:val="es-ES_tradnl" w:eastAsia="es-ES"/>
        </w:rPr>
      </w:pPr>
    </w:p>
    <w:p w14:paraId="30306B24" w14:textId="77777777" w:rsidR="00823549" w:rsidRPr="00823549" w:rsidRDefault="00823549" w:rsidP="00823549">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823549">
        <w:rPr>
          <w:rFonts w:ascii="Verdana" w:eastAsia="Century Gothic" w:hAnsi="Verdana" w:cs="Century Gothic"/>
          <w:b/>
          <w:bCs/>
          <w:lang w:val="es-ES_tradnl"/>
        </w:rPr>
        <w:t>Problema planteado:</w:t>
      </w:r>
    </w:p>
    <w:p w14:paraId="4C8B1167" w14:textId="77777777" w:rsidR="00823549" w:rsidRPr="00823549" w:rsidRDefault="00823549" w:rsidP="00823549">
      <w:pPr>
        <w:tabs>
          <w:tab w:val="left" w:pos="426"/>
        </w:tabs>
        <w:snapToGrid w:val="0"/>
        <w:spacing w:after="0" w:line="276" w:lineRule="auto"/>
        <w:jc w:val="both"/>
        <w:rPr>
          <w:rFonts w:ascii="Verdana" w:eastAsia="Century Gothic" w:hAnsi="Verdana" w:cs="Century Gothic"/>
          <w:lang w:val="es-ES_tradnl"/>
        </w:rPr>
      </w:pPr>
    </w:p>
    <w:p w14:paraId="0E2787A5" w14:textId="77777777" w:rsidR="00823549" w:rsidRPr="00823549" w:rsidRDefault="00823549" w:rsidP="0169AFC0">
      <w:pPr>
        <w:snapToGrid w:val="0"/>
        <w:spacing w:after="0" w:line="276" w:lineRule="auto"/>
        <w:jc w:val="both"/>
        <w:rPr>
          <w:rFonts w:ascii="Verdana" w:eastAsia="Century Gothic" w:hAnsi="Verdana" w:cs="Century Gothic"/>
          <w:lang w:val="es-ES"/>
        </w:rPr>
      </w:pPr>
      <w:r w:rsidRPr="0169AFC0">
        <w:rPr>
          <w:rFonts w:ascii="Verdana" w:eastAsia="Century Gothic" w:hAnsi="Verdana" w:cs="Century Gothic"/>
          <w:lang w:val="es-ES"/>
        </w:rPr>
        <w:t>De acuerdo con el contenido de su solicitud, esta Agencia resolverá el siguiente problema jurídico: teniendo en cuenta los aspectos relacionados con la oferta en los documentos tipo de licitación de obra pública de infraestructura de transporte –Versión 4–,</w:t>
      </w:r>
      <w:r w:rsidRPr="0169AFC0">
        <w:rPr>
          <w:rFonts w:ascii="Verdana" w:eastAsia="Aptos" w:hAnsi="Verdana" w:cs="Times New Roman"/>
          <w:kern w:val="2"/>
          <w:lang w:val="es-ES"/>
          <w14:ligatures w14:val="standardContextual"/>
        </w:rPr>
        <w:t xml:space="preserve"> ¿cómo debe procederse frente a las discrepancias entre el valor del </w:t>
      </w:r>
      <w:r w:rsidRPr="0169AFC0">
        <w:rPr>
          <w:rFonts w:ascii="Verdana" w:eastAsia="Century Gothic" w:hAnsi="Verdana" w:cs="Century Gothic"/>
          <w:sz w:val="21"/>
          <w:szCs w:val="21"/>
          <w:lang w:val="es-ES"/>
        </w:rPr>
        <w:t>Formulario 1 – Formulario de Presupuesto Oficial y el valor presentado en el SECOP II?</w:t>
      </w:r>
    </w:p>
    <w:p w14:paraId="1D8B75A6" w14:textId="77777777" w:rsidR="00823549" w:rsidRPr="00823549" w:rsidRDefault="00823549" w:rsidP="00823549">
      <w:pPr>
        <w:snapToGrid w:val="0"/>
        <w:spacing w:after="0" w:line="276" w:lineRule="auto"/>
        <w:jc w:val="both"/>
        <w:rPr>
          <w:rFonts w:ascii="Verdana" w:eastAsia="Calibri" w:hAnsi="Verdana" w:cs="Arial"/>
          <w:lang w:val="es-ES_tradnl"/>
        </w:rPr>
      </w:pPr>
    </w:p>
    <w:p w14:paraId="0A2D1755" w14:textId="77777777" w:rsidR="00823549" w:rsidRPr="00823549" w:rsidRDefault="00823549" w:rsidP="00823549">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823549">
        <w:rPr>
          <w:rFonts w:ascii="Verdana" w:eastAsia="Century Gothic" w:hAnsi="Verdana" w:cs="Century Gothic"/>
          <w:b/>
          <w:bCs/>
          <w:lang w:val="es-ES_tradnl"/>
        </w:rPr>
        <w:t>Respuesta:</w:t>
      </w:r>
    </w:p>
    <w:p w14:paraId="7EE4C9ED" w14:textId="77777777" w:rsidR="00823549" w:rsidRPr="00823549" w:rsidRDefault="00823549" w:rsidP="00823549">
      <w:pPr>
        <w:tabs>
          <w:tab w:val="left" w:pos="142"/>
          <w:tab w:val="left" w:pos="284"/>
        </w:tabs>
        <w:snapToGrid w:val="0"/>
        <w:spacing w:after="0" w:line="276" w:lineRule="auto"/>
        <w:jc w:val="both"/>
        <w:rPr>
          <w:rFonts w:ascii="Verdana" w:eastAsia="Century Gothic" w:hAnsi="Verdana" w:cs="Century Gothic"/>
          <w:b/>
          <w:bCs/>
          <w:lang w:val="es-ES_tradnl"/>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23549" w:rsidRPr="00823549" w14:paraId="2B5622A7" w14:textId="77777777" w:rsidTr="0169AFC0">
        <w:tc>
          <w:tcPr>
            <w:tcW w:w="8828" w:type="dxa"/>
            <w:shd w:val="clear" w:color="auto" w:fill="auto"/>
          </w:tcPr>
          <w:p w14:paraId="2A239630" w14:textId="77777777" w:rsidR="00823549" w:rsidRPr="00823549" w:rsidRDefault="00823549" w:rsidP="00823549">
            <w:pPr>
              <w:snapToGrid w:val="0"/>
              <w:spacing w:line="276" w:lineRule="auto"/>
              <w:jc w:val="both"/>
              <w:rPr>
                <w:rFonts w:ascii="Verdana" w:eastAsia="Calibri" w:hAnsi="Verdana" w:cs="Arial"/>
                <w:lang w:val="es-ES_tradnl"/>
              </w:rPr>
            </w:pPr>
            <w:r w:rsidRPr="00823549">
              <w:rPr>
                <w:rFonts w:ascii="Verdana" w:eastAsia="Calibri" w:hAnsi="Verdana" w:cs="Arial"/>
                <w:lang w:val="es-ES_tradnl"/>
              </w:rPr>
              <w:lastRenderedPageBreak/>
              <w:t>Recientemente, esta Agencia expidió la Resolución No. 465 de 2024 “Por la cual se adopta la versión -4- de los Documentos Tipo para los procesos de selección de licitación de obra pública del sector de infraestructura de transporte y se deroga la Resolución 240 de 2020”. Estos documentos aplican a los procesos de selección de licitación de obra pública de infraestructura de transporte, cuyo aviso de convocatoria de publique a partir del 3 de febrero de 2025.</w:t>
            </w:r>
          </w:p>
          <w:p w14:paraId="32458A7A" w14:textId="77777777" w:rsidR="00823549" w:rsidRPr="00823549" w:rsidRDefault="00823549" w:rsidP="00823549">
            <w:pPr>
              <w:snapToGrid w:val="0"/>
              <w:spacing w:line="276" w:lineRule="auto"/>
              <w:jc w:val="both"/>
              <w:rPr>
                <w:rFonts w:ascii="Verdana" w:eastAsia="Calibri" w:hAnsi="Verdana" w:cs="Arial"/>
                <w:lang w:val="es-ES_tradnl"/>
              </w:rPr>
            </w:pPr>
          </w:p>
          <w:p w14:paraId="30DE3866" w14:textId="77777777" w:rsidR="00823549" w:rsidRPr="00823549" w:rsidRDefault="00823549" w:rsidP="00823549">
            <w:pPr>
              <w:widowControl w:val="0"/>
              <w:autoSpaceDE w:val="0"/>
              <w:autoSpaceDN w:val="0"/>
              <w:snapToGrid w:val="0"/>
              <w:spacing w:line="276" w:lineRule="auto"/>
              <w:jc w:val="both"/>
              <w:rPr>
                <w:rFonts w:ascii="Verdana" w:eastAsia="Arial" w:hAnsi="Verdana" w:cs="Arial"/>
                <w:iCs/>
                <w:lang w:val="es-ES_tradnl" w:eastAsia="es-ES" w:bidi="es-ES"/>
              </w:rPr>
            </w:pPr>
            <w:r w:rsidRPr="00823549">
              <w:rPr>
                <w:rFonts w:ascii="Verdana" w:eastAsia="Calibri" w:hAnsi="Verdana" w:cs="Arial"/>
                <w:lang w:val="es-ES_tradnl" w:eastAsia="es-MX"/>
              </w:rPr>
              <w:t xml:space="preserve">Es importante señalar que, el numeral “2.3. ELABORACIÓN Y PRESENTACIÓN DE LA OFERTA” del documento base de los documentos tipo en comento, contiene una </w:t>
            </w:r>
            <w:r w:rsidRPr="00823549">
              <w:rPr>
                <w:rFonts w:ascii="Verdana" w:eastAsia="Calibri" w:hAnsi="Verdana" w:cs="Arial"/>
                <w:i/>
                <w:iCs/>
                <w:lang w:val="es-ES_tradnl" w:eastAsia="es-MX"/>
              </w:rPr>
              <w:t>Nota,</w:t>
            </w:r>
            <w:r w:rsidRPr="00823549">
              <w:rPr>
                <w:rFonts w:ascii="Verdana" w:eastAsia="Calibri" w:hAnsi="Verdana" w:cs="Arial"/>
                <w:lang w:val="es-ES_tradnl" w:eastAsia="es-MX"/>
              </w:rPr>
              <w:t xml:space="preserve"> que establece que, </w:t>
            </w:r>
            <w:r w:rsidRPr="00823549">
              <w:rPr>
                <w:rFonts w:ascii="Verdana" w:eastAsia="Calibri" w:hAnsi="Verdana" w:cs="Arial"/>
                <w:i/>
                <w:iCs/>
                <w:lang w:val="es-ES_tradnl" w:eastAsia="es-MX"/>
              </w:rPr>
              <w:t>“[e]n caso de discrepancias entre los valores señalados en el Formulario 1 – Formulario de Presupuesto Oficial y el valor presentado en el SECOP II, prevalecerá el valor presentado en el SECOP II.”</w:t>
            </w:r>
          </w:p>
          <w:p w14:paraId="58265EDF" w14:textId="77777777" w:rsidR="00823549" w:rsidRPr="00823549" w:rsidRDefault="00823549" w:rsidP="00823549">
            <w:pPr>
              <w:widowControl w:val="0"/>
              <w:autoSpaceDE w:val="0"/>
              <w:autoSpaceDN w:val="0"/>
              <w:snapToGrid w:val="0"/>
              <w:spacing w:line="276" w:lineRule="auto"/>
              <w:jc w:val="both"/>
              <w:rPr>
                <w:rFonts w:ascii="Verdana" w:eastAsia="Arial" w:hAnsi="Verdana" w:cs="Arial"/>
                <w:iCs/>
                <w:lang w:val="es-ES_tradnl" w:eastAsia="es-ES" w:bidi="es-ES"/>
              </w:rPr>
            </w:pPr>
          </w:p>
          <w:p w14:paraId="5312653B" w14:textId="77777777" w:rsidR="00823549" w:rsidRPr="00823549" w:rsidRDefault="00823549" w:rsidP="00823549">
            <w:pPr>
              <w:snapToGrid w:val="0"/>
              <w:spacing w:line="276" w:lineRule="auto"/>
              <w:jc w:val="both"/>
              <w:rPr>
                <w:rFonts w:ascii="Verdana" w:eastAsia="Calibri" w:hAnsi="Verdana" w:cs="Arial"/>
                <w:lang w:val="es-ES_tradnl"/>
              </w:rPr>
            </w:pPr>
            <w:r w:rsidRPr="00823549">
              <w:rPr>
                <w:rFonts w:ascii="Verdana" w:eastAsia="Calibri" w:hAnsi="Verdana" w:cs="Arial"/>
                <w:lang w:val="es-ES_tradnl"/>
              </w:rPr>
              <w:t>Al respecto, debe advertirse que, indistintamente de los valores que figuren en el Formulario 1 y el SECOP II, prevalecerán los consignados en el SECOP II.</w:t>
            </w:r>
          </w:p>
          <w:p w14:paraId="03C26892" w14:textId="77777777" w:rsidR="00823549" w:rsidRPr="00823549" w:rsidRDefault="00823549" w:rsidP="00823549">
            <w:pPr>
              <w:ind w:left="720"/>
              <w:contextualSpacing/>
              <w:rPr>
                <w:rFonts w:ascii="Verdana" w:eastAsia="Calibri" w:hAnsi="Verdana" w:cs="Arial"/>
                <w:lang w:val="es-ES_tradnl"/>
              </w:rPr>
            </w:pPr>
          </w:p>
          <w:p w14:paraId="54325E3D" w14:textId="61172D5F" w:rsidR="00823549" w:rsidRPr="00823549" w:rsidRDefault="00823549" w:rsidP="0169AFC0">
            <w:pPr>
              <w:snapToGrid w:val="0"/>
              <w:spacing w:line="276" w:lineRule="auto"/>
              <w:jc w:val="both"/>
              <w:rPr>
                <w:rFonts w:ascii="Verdana" w:eastAsia="Calibri" w:hAnsi="Verdana" w:cs="Arial"/>
                <w:lang w:val="es-ES"/>
              </w:rPr>
            </w:pPr>
            <w:r w:rsidRPr="0169AFC0">
              <w:rPr>
                <w:rFonts w:ascii="Verdana" w:eastAsia="Calibri" w:hAnsi="Verdana" w:cs="Arial"/>
                <w:lang w:val="es-ES"/>
              </w:rPr>
              <w:t>Por lo tanto, cuando este tipo de situaciones se presenten en desarrollo de procesos de contratación, corresponderá a las entidades estatales, en el marco de su autonomía, adelantar las acciones procedentes y necesarias, con el fin hacer prevalecer los valores de la oferta contemplados en el SECOP II y continuar con el desarrollo del proceso, conforme al régimen jurídico aplicable.</w:t>
            </w:r>
          </w:p>
        </w:tc>
      </w:tr>
    </w:tbl>
    <w:p w14:paraId="227C2800" w14:textId="77777777" w:rsidR="00823549" w:rsidRPr="00823549" w:rsidRDefault="00823549" w:rsidP="00823549">
      <w:pPr>
        <w:tabs>
          <w:tab w:val="left" w:pos="142"/>
          <w:tab w:val="left" w:pos="284"/>
        </w:tabs>
        <w:snapToGrid w:val="0"/>
        <w:spacing w:after="0" w:line="276" w:lineRule="auto"/>
        <w:jc w:val="both"/>
        <w:rPr>
          <w:rFonts w:ascii="Verdana" w:eastAsia="Century Gothic" w:hAnsi="Verdana" w:cs="Century Gothic"/>
          <w:b/>
          <w:bCs/>
          <w:lang w:val="es-ES_tradnl"/>
        </w:rPr>
      </w:pPr>
    </w:p>
    <w:p w14:paraId="10175ED8" w14:textId="77777777" w:rsidR="00823549" w:rsidRPr="00823549" w:rsidRDefault="00823549" w:rsidP="00823549">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823549">
        <w:rPr>
          <w:rFonts w:ascii="Verdana" w:eastAsia="Century Gothic" w:hAnsi="Verdana" w:cs="Century Gothic"/>
          <w:b/>
          <w:bCs/>
          <w:lang w:val="es-ES_tradnl"/>
        </w:rPr>
        <w:t>Razones de la respuesta:</w:t>
      </w:r>
    </w:p>
    <w:p w14:paraId="6B9E4BF3" w14:textId="77777777" w:rsidR="00823549" w:rsidRPr="00823549" w:rsidRDefault="00823549" w:rsidP="00823549">
      <w:pPr>
        <w:snapToGrid w:val="0"/>
        <w:spacing w:after="0" w:line="276" w:lineRule="auto"/>
        <w:jc w:val="both"/>
        <w:rPr>
          <w:rFonts w:ascii="Verdana" w:eastAsia="Calibri" w:hAnsi="Verdana" w:cs="Arial"/>
          <w:lang w:val="es-ES_tradnl"/>
        </w:rPr>
      </w:pPr>
    </w:p>
    <w:p w14:paraId="32D48E0F" w14:textId="77777777" w:rsidR="00823549" w:rsidRPr="00823549" w:rsidRDefault="00823549" w:rsidP="00823549">
      <w:pPr>
        <w:snapToGrid w:val="0"/>
        <w:spacing w:after="0" w:line="276" w:lineRule="auto"/>
        <w:jc w:val="both"/>
        <w:rPr>
          <w:rFonts w:ascii="Verdana" w:eastAsia="Calibri" w:hAnsi="Verdana" w:cs="Arial"/>
          <w:lang w:val="es-ES_tradnl"/>
        </w:rPr>
      </w:pPr>
      <w:r w:rsidRPr="00823549">
        <w:rPr>
          <w:rFonts w:ascii="Verdana" w:eastAsia="Calibri" w:hAnsi="Verdana" w:cs="Arial"/>
          <w:lang w:val="es-ES_tradnl"/>
        </w:rPr>
        <w:t xml:space="preserve">Lo anterior se sustenta en las siguientes consideraciones: </w:t>
      </w:r>
    </w:p>
    <w:p w14:paraId="1F5A94C4" w14:textId="77777777" w:rsidR="00823549" w:rsidRPr="00823549" w:rsidRDefault="00823549" w:rsidP="00823549">
      <w:pPr>
        <w:snapToGrid w:val="0"/>
        <w:spacing w:after="0" w:line="276" w:lineRule="auto"/>
        <w:jc w:val="both"/>
        <w:rPr>
          <w:rFonts w:ascii="Verdana" w:eastAsia="Calibri" w:hAnsi="Verdana" w:cs="Arial"/>
          <w:lang w:val="es-ES_tradnl"/>
        </w:rPr>
      </w:pPr>
    </w:p>
    <w:p w14:paraId="7109E955" w14:textId="77777777" w:rsidR="00823549" w:rsidRPr="00823549" w:rsidRDefault="00823549" w:rsidP="00823549">
      <w:pPr>
        <w:numPr>
          <w:ilvl w:val="0"/>
          <w:numId w:val="17"/>
        </w:numPr>
        <w:snapToGrid w:val="0"/>
        <w:spacing w:after="0" w:line="276" w:lineRule="auto"/>
        <w:jc w:val="both"/>
        <w:rPr>
          <w:rFonts w:ascii="Verdana" w:eastAsia="Calibri" w:hAnsi="Verdana" w:cs="Arial"/>
          <w:lang w:val="es-ES_tradnl"/>
        </w:rPr>
      </w:pPr>
      <w:r w:rsidRPr="00823549">
        <w:rPr>
          <w:rFonts w:ascii="Verdana" w:eastAsia="Calibri" w:hAnsi="Verdana" w:cs="Arial"/>
          <w:lang w:val="es-ES_tradnl"/>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244962AF" w14:textId="77777777" w:rsidR="00823549" w:rsidRPr="00823549" w:rsidRDefault="00823549" w:rsidP="00823549">
      <w:pPr>
        <w:snapToGrid w:val="0"/>
        <w:spacing w:after="0" w:line="276" w:lineRule="auto"/>
        <w:ind w:left="720"/>
        <w:jc w:val="both"/>
        <w:rPr>
          <w:rFonts w:ascii="Verdana" w:eastAsia="Calibri" w:hAnsi="Verdana" w:cs="Arial"/>
          <w:lang w:val="es-ES_tradnl"/>
        </w:rPr>
      </w:pPr>
    </w:p>
    <w:p w14:paraId="2E5B9058" w14:textId="77777777" w:rsidR="00823549" w:rsidRPr="00823549" w:rsidRDefault="00823549" w:rsidP="0169AFC0">
      <w:pPr>
        <w:numPr>
          <w:ilvl w:val="0"/>
          <w:numId w:val="17"/>
        </w:numPr>
        <w:snapToGrid w:val="0"/>
        <w:spacing w:after="0" w:line="276" w:lineRule="auto"/>
        <w:jc w:val="both"/>
        <w:rPr>
          <w:rFonts w:ascii="Verdana" w:eastAsia="Calibri" w:hAnsi="Verdana" w:cs="Arial"/>
          <w:lang w:val="es-ES"/>
        </w:rPr>
      </w:pPr>
      <w:r w:rsidRPr="0169AFC0">
        <w:rPr>
          <w:rFonts w:ascii="Verdana" w:eastAsia="Calibri" w:hAnsi="Verdana" w:cs="Arial"/>
          <w:lang w:val="es-ES"/>
        </w:rPr>
        <w:lastRenderedPageBreak/>
        <w:t>Para establecer si determinado objeto contractual se encuentra cobijado o no por los Documentos Tipo, es necesario establecer si el mismo se enmarca en los tipos de infraestructura, modalidades de selección y tipos de obra estandarizadas en las respectivas matrices de experiencia. De esta manera, solo resulta obligatoria la aplicación de un documento tipo en particular cuando se ha establecido que el objeto contractual y la modalidad en la que debe contratarse están dentro del ámbito de aplicación de las resoluciones expedidas para los sectores de infraestructura de transporte, agua potable-saneamiento básico y social.</w:t>
      </w:r>
    </w:p>
    <w:p w14:paraId="09BD3F5D" w14:textId="77777777" w:rsidR="00823549" w:rsidRPr="00823549" w:rsidRDefault="00823549" w:rsidP="00823549">
      <w:pPr>
        <w:snapToGrid w:val="0"/>
        <w:spacing w:after="0" w:line="276" w:lineRule="auto"/>
        <w:ind w:left="720"/>
        <w:rPr>
          <w:rFonts w:ascii="Verdana" w:eastAsia="Calibri" w:hAnsi="Verdana" w:cs="Times New Roman"/>
          <w:lang w:val="es-ES_tradnl"/>
        </w:rPr>
      </w:pPr>
    </w:p>
    <w:p w14:paraId="3C347986" w14:textId="77777777" w:rsidR="00823549" w:rsidRPr="00823549" w:rsidRDefault="00823549" w:rsidP="00823549">
      <w:pPr>
        <w:numPr>
          <w:ilvl w:val="0"/>
          <w:numId w:val="17"/>
        </w:numPr>
        <w:snapToGrid w:val="0"/>
        <w:spacing w:after="0" w:line="276" w:lineRule="auto"/>
        <w:jc w:val="both"/>
        <w:rPr>
          <w:rFonts w:ascii="Verdana" w:eastAsia="Calibri" w:hAnsi="Verdana" w:cs="Arial"/>
          <w:lang w:val="es-ES_tradnl"/>
        </w:rPr>
      </w:pPr>
      <w:r w:rsidRPr="00823549">
        <w:rPr>
          <w:rFonts w:ascii="Verdana" w:eastAsia="Calibri" w:hAnsi="Verdana" w:cs="Times New Roman"/>
          <w:lang w:val="es-ES_tradnl"/>
        </w:rPr>
        <w:t>Para el sector de infraestructura de transporte, la Agencia Nacional de Contratación Pública – Colombia Compra Eficiente ha expedido Documentos Tipo</w:t>
      </w:r>
      <w:r w:rsidRPr="00823549">
        <w:rPr>
          <w:rFonts w:ascii="Verdana" w:eastAsia="Calibri" w:hAnsi="Verdana" w:cs="Times New Roman"/>
          <w:vertAlign w:val="superscript"/>
          <w:lang w:val="es-ES_tradnl"/>
        </w:rPr>
        <w:footnoteReference w:id="2"/>
      </w:r>
      <w:r w:rsidRPr="00823549">
        <w:rPr>
          <w:rFonts w:ascii="Verdana" w:eastAsia="Calibri" w:hAnsi="Verdana" w:cs="Times New Roman"/>
          <w:lang w:val="es-ES_tradnl"/>
        </w:rPr>
        <w:t xml:space="preserve"> para contratar obras públicas de infraestructura de transporte bajo las modalidades de selección de licitación pública, selección abreviada de menor cuantía y mínima cuantía. Así mismo, esta Agencia ha expedido documentos tipo de concurso de méritos para contratar la interventoría y la consultoría de estudios de ingeniería de infraestructura de transporte. </w:t>
      </w:r>
    </w:p>
    <w:p w14:paraId="4426DFFF" w14:textId="77777777" w:rsidR="00823549" w:rsidRPr="00823549" w:rsidRDefault="00823549" w:rsidP="00823549">
      <w:pPr>
        <w:snapToGrid w:val="0"/>
        <w:spacing w:after="0" w:line="276" w:lineRule="auto"/>
        <w:ind w:left="720"/>
        <w:rPr>
          <w:rFonts w:ascii="Verdana" w:eastAsia="Calibri" w:hAnsi="Verdana" w:cs="Arial"/>
          <w:lang w:val="es-ES_tradnl"/>
        </w:rPr>
      </w:pPr>
    </w:p>
    <w:p w14:paraId="226C1D12" w14:textId="77777777" w:rsidR="00823549" w:rsidRPr="00823549" w:rsidRDefault="00823549" w:rsidP="00823549">
      <w:pPr>
        <w:numPr>
          <w:ilvl w:val="0"/>
          <w:numId w:val="17"/>
        </w:numPr>
        <w:snapToGrid w:val="0"/>
        <w:spacing w:after="0" w:line="276" w:lineRule="auto"/>
        <w:jc w:val="both"/>
        <w:rPr>
          <w:rFonts w:ascii="Verdana" w:eastAsia="Calibri" w:hAnsi="Verdana" w:cs="Arial"/>
          <w:lang w:val="es-ES_tradnl"/>
        </w:rPr>
      </w:pPr>
      <w:r w:rsidRPr="00823549">
        <w:rPr>
          <w:rFonts w:ascii="Verdana" w:eastAsia="Calibri" w:hAnsi="Verdana" w:cs="Arial"/>
          <w:lang w:val="es-ES_tradnl"/>
        </w:rPr>
        <w:t>Recientemente, esta Agencia expidió la Resolución No. 465 de 2024 “Por la cual se adopta la versión -4- de los Documentos Tipo para los procesos de selección de licitación de obra pública del sector de infraestructura de transporte y se deroga la Resolución 240 de 2020”. Estos documentos aplican a los procesos de selección de licitación de obra pública de infraestructura de transporte, cuyo aviso de convocatoria de publique a partir del 3 de febrero de 2025.</w:t>
      </w:r>
    </w:p>
    <w:p w14:paraId="28A3F071" w14:textId="77777777" w:rsidR="00823549" w:rsidRPr="00823549" w:rsidRDefault="00823549" w:rsidP="00823549">
      <w:pPr>
        <w:snapToGrid w:val="0"/>
        <w:spacing w:after="0" w:line="276" w:lineRule="auto"/>
        <w:ind w:left="720"/>
        <w:rPr>
          <w:rFonts w:ascii="Verdana" w:eastAsia="Calibri" w:hAnsi="Verdana" w:cs="Arial"/>
          <w:lang w:val="es-ES_tradnl"/>
        </w:rPr>
      </w:pPr>
    </w:p>
    <w:p w14:paraId="344BDBAB" w14:textId="77777777" w:rsidR="00823549" w:rsidRPr="00823549" w:rsidRDefault="00823549" w:rsidP="00823549">
      <w:pPr>
        <w:numPr>
          <w:ilvl w:val="0"/>
          <w:numId w:val="17"/>
        </w:numPr>
        <w:snapToGrid w:val="0"/>
        <w:spacing w:after="0" w:line="276" w:lineRule="auto"/>
        <w:jc w:val="both"/>
        <w:rPr>
          <w:rFonts w:ascii="Verdana" w:eastAsia="Calibri" w:hAnsi="Verdana" w:cs="Arial"/>
          <w:kern w:val="2"/>
          <w:lang w:val="es-ES_tradnl" w:eastAsia="es-ES"/>
          <w14:ligatures w14:val="standardContextual"/>
        </w:rPr>
      </w:pPr>
      <w:r w:rsidRPr="00823549">
        <w:rPr>
          <w:rFonts w:ascii="Verdana" w:eastAsia="Calibri" w:hAnsi="Verdana" w:cs="Arial"/>
          <w:kern w:val="2"/>
          <w:lang w:val="es-ES_tradnl" w:eastAsia="es-MX"/>
          <w14:ligatures w14:val="standardContextual"/>
        </w:rPr>
        <w:t xml:space="preserve">Ahora bien, los documentos tipo de infraestructura de transporte, contemplan el “Formulario 1 – Formulario de Presupuesto Oficial”, empleado por la entidad para elaborar y presentar el presupuesto oficial, y mediante el cual el proponente estructura la oferta económica. </w:t>
      </w:r>
    </w:p>
    <w:p w14:paraId="5D3706F0" w14:textId="77777777" w:rsidR="00823549" w:rsidRPr="00823549" w:rsidRDefault="00823549" w:rsidP="00823549">
      <w:pPr>
        <w:snapToGrid w:val="0"/>
        <w:spacing w:after="0" w:line="276" w:lineRule="auto"/>
        <w:jc w:val="both"/>
        <w:rPr>
          <w:rFonts w:ascii="Verdana" w:eastAsia="Calibri" w:hAnsi="Verdana" w:cs="Arial"/>
          <w:kern w:val="2"/>
          <w:lang w:val="es-ES_tradnl" w:eastAsia="es-ES"/>
          <w14:ligatures w14:val="standardContextual"/>
        </w:rPr>
      </w:pPr>
    </w:p>
    <w:p w14:paraId="2311FA88" w14:textId="77777777" w:rsidR="00823549" w:rsidRPr="00823549" w:rsidRDefault="00823549" w:rsidP="00823549">
      <w:pPr>
        <w:numPr>
          <w:ilvl w:val="0"/>
          <w:numId w:val="17"/>
        </w:numPr>
        <w:snapToGrid w:val="0"/>
        <w:spacing w:after="0" w:line="276" w:lineRule="auto"/>
        <w:jc w:val="both"/>
        <w:rPr>
          <w:rFonts w:ascii="Verdana" w:eastAsia="Calibri" w:hAnsi="Verdana" w:cs="Arial"/>
          <w:kern w:val="2"/>
          <w:lang w:val="es-ES_tradnl" w:eastAsia="es-ES"/>
          <w14:ligatures w14:val="standardContextual"/>
        </w:rPr>
      </w:pPr>
      <w:r w:rsidRPr="00823549">
        <w:rPr>
          <w:rFonts w:ascii="Verdana" w:eastAsia="Calibri" w:hAnsi="Verdana" w:cs="Arial"/>
          <w:kern w:val="2"/>
          <w:lang w:val="es-ES_tradnl" w:eastAsia="es-MX"/>
          <w14:ligatures w14:val="standardContextual"/>
        </w:rPr>
        <w:t xml:space="preserve">Este formulario lo prepara la entidad en la etapa de planeación y le permite definir el valor oficial estimado del proceso de contratación. Por tanto, las entidades estatales para su elaboración deben tener en cuenta </w:t>
      </w:r>
      <w:r w:rsidRPr="00823549">
        <w:rPr>
          <w:rFonts w:ascii="Verdana" w:eastAsia="Calibri" w:hAnsi="Verdana" w:cs="Arial"/>
          <w:kern w:val="2"/>
          <w:lang w:val="es-ES_tradnl" w:eastAsia="es-MX"/>
          <w14:ligatures w14:val="standardContextual"/>
        </w:rPr>
        <w:lastRenderedPageBreak/>
        <w:t>diferentes variables</w:t>
      </w:r>
      <w:r w:rsidRPr="00823549">
        <w:rPr>
          <w:rFonts w:ascii="Verdana" w:eastAsia="Aptos" w:hAnsi="Verdana" w:cs="Times New Roman"/>
          <w:kern w:val="2"/>
          <w:vertAlign w:val="superscript"/>
          <w:lang w:val="es-ES_tradnl" w:eastAsia="es-MX"/>
          <w14:ligatures w14:val="standardContextual"/>
        </w:rPr>
        <w:footnoteReference w:id="3"/>
      </w:r>
      <w:r w:rsidRPr="00823549">
        <w:rPr>
          <w:rFonts w:ascii="Verdana" w:eastAsia="Calibri" w:hAnsi="Verdana" w:cs="Arial"/>
          <w:kern w:val="2"/>
          <w:lang w:val="es-ES_tradnl" w:eastAsia="es-MX"/>
          <w14:ligatures w14:val="standardContextual"/>
        </w:rPr>
        <w:t>, como el objeto, alcance, obras a ejecutar, actividades, cantidades, particularidades de la zona de ejecución del proyecto, disponibilidad y distancia de fuentes de materiales, entre otros.</w:t>
      </w:r>
    </w:p>
    <w:p w14:paraId="03C508FA" w14:textId="77777777" w:rsidR="00823549" w:rsidRPr="00823549" w:rsidRDefault="00823549" w:rsidP="00823549">
      <w:pPr>
        <w:snapToGrid w:val="0"/>
        <w:spacing w:after="0" w:line="276" w:lineRule="auto"/>
        <w:jc w:val="both"/>
        <w:rPr>
          <w:rFonts w:ascii="Verdana" w:eastAsia="Calibri" w:hAnsi="Verdana" w:cs="Arial"/>
          <w:kern w:val="2"/>
          <w:lang w:val="es-ES_tradnl" w:eastAsia="es-ES"/>
          <w14:ligatures w14:val="standardContextual"/>
        </w:rPr>
      </w:pPr>
    </w:p>
    <w:p w14:paraId="38F622EE" w14:textId="77777777" w:rsidR="00823549" w:rsidRPr="00823549" w:rsidRDefault="00823549" w:rsidP="0169AFC0">
      <w:pPr>
        <w:widowControl w:val="0"/>
        <w:numPr>
          <w:ilvl w:val="0"/>
          <w:numId w:val="17"/>
        </w:numPr>
        <w:autoSpaceDE w:val="0"/>
        <w:autoSpaceDN w:val="0"/>
        <w:snapToGrid w:val="0"/>
        <w:spacing w:after="0" w:line="276" w:lineRule="auto"/>
        <w:jc w:val="both"/>
        <w:rPr>
          <w:rFonts w:ascii="Verdana" w:eastAsia="Calibri" w:hAnsi="Verdana" w:cs="Arial"/>
          <w:kern w:val="2"/>
          <w:lang w:val="es-ES" w:eastAsia="es-MX"/>
          <w14:ligatures w14:val="standardContextual"/>
        </w:rPr>
      </w:pPr>
      <w:r w:rsidRPr="0169AFC0">
        <w:rPr>
          <w:rFonts w:ascii="Verdana" w:eastAsia="Calibri" w:hAnsi="Verdana" w:cs="Arial"/>
          <w:kern w:val="2"/>
          <w:lang w:val="es-ES" w:eastAsia="es-MX"/>
          <w14:ligatures w14:val="standardContextual"/>
        </w:rPr>
        <w:t>En los documentos tipo de obra de infraestructura de transporte, el “Formulario 1 – Formulario de Presupuesto Oficial” tiene dos connotaciones: i) por un lado, es el formulario sobre el cual la entidad estructura y presenta el presupuesto oficial del procedimiento de contratación; y ii) por el otro, es el formulario sobre el cual los proponentes elaboran y presentan su oferta económica. Específicamente, frente a la propuesta económica, el documento base señala que la misma se debe elaborar a partir del “Formulario 1– Formulario de Presupuesto Oficial” y la presentación debe hacerse con sujeción a lo dispuesto en los numerales “2.3. ELABORACIÓN Y PRESENTACIÓN DE LA OFERTA” y “4.1. OFERTA ECONÓMICA” del referido documento base. El propósito de esto es evitar la duplicidad de información y permitir que las propuestas económicas sean evaluadas con las variables, cantidades, unidades de medida y reglas consideradas por la entidad al estructurar su presupuesto oficial.</w:t>
      </w:r>
    </w:p>
    <w:p w14:paraId="55A6E292" w14:textId="77777777" w:rsidR="00823549" w:rsidRPr="00823549" w:rsidRDefault="00823549" w:rsidP="00823549">
      <w:pPr>
        <w:snapToGrid w:val="0"/>
        <w:spacing w:after="0" w:line="276" w:lineRule="auto"/>
        <w:ind w:left="720"/>
        <w:rPr>
          <w:rFonts w:ascii="Verdana" w:eastAsia="Calibri" w:hAnsi="Verdana" w:cs="Arial"/>
          <w:kern w:val="2"/>
          <w:lang w:val="es-ES_tradnl" w:eastAsia="es-MX"/>
          <w14:ligatures w14:val="standardContextual"/>
        </w:rPr>
      </w:pPr>
    </w:p>
    <w:p w14:paraId="7E4EDA45" w14:textId="77777777" w:rsidR="00823549" w:rsidRPr="00823549" w:rsidRDefault="00823549" w:rsidP="0169AFC0">
      <w:pPr>
        <w:widowControl w:val="0"/>
        <w:numPr>
          <w:ilvl w:val="0"/>
          <w:numId w:val="17"/>
        </w:numPr>
        <w:autoSpaceDE w:val="0"/>
        <w:autoSpaceDN w:val="0"/>
        <w:snapToGrid w:val="0"/>
        <w:spacing w:after="0" w:line="276" w:lineRule="auto"/>
        <w:jc w:val="both"/>
        <w:rPr>
          <w:rFonts w:ascii="Verdana" w:eastAsia="Arial" w:hAnsi="Verdana" w:cs="Arial"/>
          <w:kern w:val="2"/>
          <w:lang w:val="es-ES" w:eastAsia="es-ES" w:bidi="es-ES"/>
          <w14:ligatures w14:val="standardContextual"/>
        </w:rPr>
      </w:pPr>
      <w:r w:rsidRPr="0169AFC0">
        <w:rPr>
          <w:rFonts w:ascii="Verdana" w:eastAsia="Arial" w:hAnsi="Verdana" w:cs="Arial"/>
          <w:kern w:val="2"/>
          <w:lang w:val="es-ES" w:eastAsia="es-ES" w:bidi="es-ES"/>
          <w14:ligatures w14:val="standardContextual"/>
        </w:rPr>
        <w:t xml:space="preserve">En ese contexto, se tiene que, en la primera hoja del Formulario 1, que corresponde al presupuesto oficial, la entidad debe enlistar los </w:t>
      </w:r>
      <w:r w:rsidRPr="0169AFC0">
        <w:rPr>
          <w:rFonts w:ascii="Verdana" w:eastAsia="Arial" w:hAnsi="Verdana" w:cs="Arial"/>
          <w:i/>
          <w:iCs/>
          <w:kern w:val="2"/>
          <w:lang w:val="es-ES" w:eastAsia="es-ES" w:bidi="es-ES"/>
          <w14:ligatures w14:val="standardContextual"/>
        </w:rPr>
        <w:t xml:space="preserve">ítems de pago </w:t>
      </w:r>
      <w:r w:rsidRPr="0169AFC0">
        <w:rPr>
          <w:rFonts w:ascii="Verdana" w:eastAsia="Arial" w:hAnsi="Verdana" w:cs="Arial"/>
          <w:kern w:val="2"/>
          <w:lang w:val="es-ES" w:eastAsia="es-ES" w:bidi="es-ES"/>
          <w14:ligatures w14:val="standardContextual"/>
        </w:rPr>
        <w:t xml:space="preserve">de los bienes, obras o servicios que se requieren para la ejecución de la obra pública de infraestructura de transporte. Además, es posible establecer: i) sus especificaciones generales y particulares, ii) la descripción, iii) la unidad de medida, </w:t>
      </w:r>
      <w:proofErr w:type="spellStart"/>
      <w:r w:rsidRPr="0169AFC0">
        <w:rPr>
          <w:rFonts w:ascii="Verdana" w:eastAsia="Arial" w:hAnsi="Verdana" w:cs="Arial"/>
          <w:kern w:val="2"/>
          <w:lang w:val="es-ES" w:eastAsia="es-ES" w:bidi="es-ES"/>
          <w14:ligatures w14:val="standardContextual"/>
        </w:rPr>
        <w:t>iv</w:t>
      </w:r>
      <w:proofErr w:type="spellEnd"/>
      <w:r w:rsidRPr="0169AFC0">
        <w:rPr>
          <w:rFonts w:ascii="Verdana" w:eastAsia="Arial" w:hAnsi="Verdana" w:cs="Arial"/>
          <w:kern w:val="2"/>
          <w:lang w:val="es-ES" w:eastAsia="es-ES" w:bidi="es-ES"/>
          <w14:ligatures w14:val="standardContextual"/>
        </w:rPr>
        <w:t xml:space="preserve">) la cantidad, v) el valor unitario y vi) el valor total de los </w:t>
      </w:r>
      <w:r w:rsidRPr="0169AFC0">
        <w:rPr>
          <w:rFonts w:ascii="Verdana" w:eastAsia="Arial" w:hAnsi="Verdana" w:cs="Arial"/>
          <w:i/>
          <w:iCs/>
          <w:kern w:val="2"/>
          <w:lang w:val="es-ES" w:eastAsia="es-ES" w:bidi="es-ES"/>
          <w14:ligatures w14:val="standardContextual"/>
        </w:rPr>
        <w:t>ítems.</w:t>
      </w:r>
    </w:p>
    <w:p w14:paraId="3218841A" w14:textId="77777777" w:rsidR="00823549" w:rsidRPr="00823549" w:rsidRDefault="00823549" w:rsidP="00823549">
      <w:pPr>
        <w:spacing w:after="0" w:line="240" w:lineRule="auto"/>
        <w:ind w:left="720"/>
        <w:contextualSpacing/>
        <w:rPr>
          <w:rFonts w:ascii="Verdana" w:eastAsia="Calibri" w:hAnsi="Verdana" w:cs="Arial"/>
          <w:kern w:val="2"/>
          <w:lang w:val="es-ES_tradnl" w:eastAsia="es-MX"/>
          <w14:ligatures w14:val="standardContextual"/>
        </w:rPr>
      </w:pPr>
    </w:p>
    <w:p w14:paraId="719096CF" w14:textId="77777777" w:rsidR="00823549" w:rsidRPr="00823549" w:rsidRDefault="00823549" w:rsidP="00823549">
      <w:pPr>
        <w:widowControl w:val="0"/>
        <w:numPr>
          <w:ilvl w:val="0"/>
          <w:numId w:val="17"/>
        </w:numPr>
        <w:autoSpaceDE w:val="0"/>
        <w:autoSpaceDN w:val="0"/>
        <w:snapToGrid w:val="0"/>
        <w:spacing w:after="0" w:line="276" w:lineRule="auto"/>
        <w:jc w:val="both"/>
        <w:rPr>
          <w:rFonts w:ascii="Verdana" w:eastAsia="Arial" w:hAnsi="Verdana" w:cs="Arial"/>
          <w:iCs/>
          <w:kern w:val="2"/>
          <w:lang w:val="es-ES_tradnl" w:eastAsia="es-ES" w:bidi="es-ES"/>
          <w14:ligatures w14:val="standardContextual"/>
        </w:rPr>
      </w:pPr>
      <w:r w:rsidRPr="00823549">
        <w:rPr>
          <w:rFonts w:ascii="Verdana" w:eastAsia="Calibri" w:hAnsi="Verdana" w:cs="Arial"/>
          <w:kern w:val="2"/>
          <w:lang w:val="es-ES_tradnl" w:eastAsia="es-MX"/>
          <w14:ligatures w14:val="standardContextual"/>
        </w:rPr>
        <w:t xml:space="preserve">Teniendo en cuenta el objeto de su consulta, es importante señalar que, el numeral “2.3. ELABORACIÓN Y PRESENTACIÓN DE LA OFERTA” del documento base de los documentos tipo en comento, contiene una </w:t>
      </w:r>
      <w:r w:rsidRPr="00823549">
        <w:rPr>
          <w:rFonts w:ascii="Verdana" w:eastAsia="Calibri" w:hAnsi="Verdana" w:cs="Arial"/>
          <w:i/>
          <w:iCs/>
          <w:kern w:val="2"/>
          <w:lang w:val="es-ES_tradnl" w:eastAsia="es-MX"/>
          <w14:ligatures w14:val="standardContextual"/>
        </w:rPr>
        <w:t>Nota,</w:t>
      </w:r>
      <w:r w:rsidRPr="00823549">
        <w:rPr>
          <w:rFonts w:ascii="Verdana" w:eastAsia="Calibri" w:hAnsi="Verdana" w:cs="Arial"/>
          <w:kern w:val="2"/>
          <w:lang w:val="es-ES_tradnl" w:eastAsia="es-MX"/>
          <w14:ligatures w14:val="standardContextual"/>
        </w:rPr>
        <w:t xml:space="preserve"> que establece que, </w:t>
      </w:r>
      <w:r w:rsidRPr="00823549">
        <w:rPr>
          <w:rFonts w:ascii="Verdana" w:eastAsia="Calibri" w:hAnsi="Verdana" w:cs="Arial"/>
          <w:i/>
          <w:iCs/>
          <w:kern w:val="2"/>
          <w:lang w:val="es-ES_tradnl" w:eastAsia="es-MX"/>
          <w14:ligatures w14:val="standardContextual"/>
        </w:rPr>
        <w:t>“[e]n caso de discrepancias entre los valores señalados en el Formulario 1 – Formulario de Presupuesto Oficial y el valor presentado en el SECOP II, prevalecerá el valor presentado en el SECOP II.”</w:t>
      </w:r>
    </w:p>
    <w:p w14:paraId="52F67A56" w14:textId="77777777" w:rsidR="00823549" w:rsidRPr="00823549" w:rsidRDefault="00823549" w:rsidP="00823549">
      <w:pPr>
        <w:widowControl w:val="0"/>
        <w:autoSpaceDE w:val="0"/>
        <w:autoSpaceDN w:val="0"/>
        <w:snapToGrid w:val="0"/>
        <w:spacing w:after="0" w:line="276" w:lineRule="auto"/>
        <w:jc w:val="both"/>
        <w:rPr>
          <w:rFonts w:ascii="Verdana" w:eastAsia="Arial" w:hAnsi="Verdana" w:cs="Arial"/>
          <w:iCs/>
          <w:kern w:val="2"/>
          <w:lang w:val="es-ES_tradnl" w:eastAsia="es-ES" w:bidi="es-ES"/>
          <w14:ligatures w14:val="standardContextual"/>
        </w:rPr>
      </w:pPr>
    </w:p>
    <w:p w14:paraId="54C007E3" w14:textId="77777777" w:rsidR="00823549" w:rsidRPr="00823549" w:rsidRDefault="00823549" w:rsidP="00823549">
      <w:pPr>
        <w:numPr>
          <w:ilvl w:val="0"/>
          <w:numId w:val="17"/>
        </w:numPr>
        <w:snapToGrid w:val="0"/>
        <w:spacing w:after="0" w:line="276" w:lineRule="auto"/>
        <w:jc w:val="both"/>
        <w:rPr>
          <w:rFonts w:ascii="Verdana" w:eastAsia="Calibri" w:hAnsi="Verdana" w:cs="Arial"/>
          <w:lang w:val="es-ES_tradnl"/>
        </w:rPr>
      </w:pPr>
      <w:r w:rsidRPr="00823549">
        <w:rPr>
          <w:rFonts w:ascii="Verdana" w:eastAsia="Calibri" w:hAnsi="Verdana" w:cs="Arial"/>
          <w:lang w:val="es-ES_tradnl"/>
        </w:rPr>
        <w:lastRenderedPageBreak/>
        <w:t>Al respecto, debe advertirse que, indistintamente de los valores que figuren en el Formulario 1 y el SECOP II, prevalecerán los consignados en el SECOP II.</w:t>
      </w:r>
    </w:p>
    <w:p w14:paraId="65FB76B7" w14:textId="77777777" w:rsidR="00823549" w:rsidRPr="00823549" w:rsidRDefault="00823549" w:rsidP="00823549">
      <w:pPr>
        <w:spacing w:after="0" w:line="240" w:lineRule="auto"/>
        <w:ind w:left="720"/>
        <w:contextualSpacing/>
        <w:rPr>
          <w:rFonts w:ascii="Verdana" w:eastAsia="Calibri" w:hAnsi="Verdana" w:cs="Arial"/>
          <w:lang w:val="es-ES_tradnl"/>
        </w:rPr>
      </w:pPr>
    </w:p>
    <w:p w14:paraId="7B062FDB" w14:textId="77777777" w:rsidR="00823549" w:rsidRDefault="00823549" w:rsidP="00386A52">
      <w:pPr>
        <w:numPr>
          <w:ilvl w:val="0"/>
          <w:numId w:val="17"/>
        </w:numPr>
        <w:snapToGrid w:val="0"/>
        <w:spacing w:after="0" w:line="276" w:lineRule="auto"/>
        <w:jc w:val="both"/>
        <w:rPr>
          <w:rFonts w:ascii="Verdana" w:eastAsia="Calibri" w:hAnsi="Verdana" w:cs="Arial"/>
          <w:lang w:val="es-ES"/>
        </w:rPr>
      </w:pPr>
      <w:r w:rsidRPr="0169AFC0">
        <w:rPr>
          <w:rFonts w:ascii="Verdana" w:eastAsia="Calibri" w:hAnsi="Verdana" w:cs="Arial"/>
          <w:lang w:val="es-ES"/>
        </w:rPr>
        <w:t xml:space="preserve">Por lo tanto, cuando este tipo de situaciones se presenten en desarrollo de procesos de contratación, corresponderá a las entidades estatales, en el marco de su autonomía, adelantar las acciones procedentes y necesarias, con el fin hacer prevalecer los valores de la oferta contemplados en el SECOP II y continuar con el desarrollo del proceso, conforme al régimen jurídico aplicable. </w:t>
      </w:r>
    </w:p>
    <w:p w14:paraId="6FBB5D7C" w14:textId="77777777" w:rsidR="00C96042" w:rsidRPr="00E007C9" w:rsidRDefault="00C96042" w:rsidP="00386A52">
      <w:pPr>
        <w:snapToGrid w:val="0"/>
        <w:spacing w:after="0" w:line="276" w:lineRule="auto"/>
        <w:jc w:val="both"/>
        <w:rPr>
          <w:rFonts w:ascii="Verdana" w:eastAsia="Calibri" w:hAnsi="Verdana" w:cs="Arial"/>
          <w:lang w:val="es-ES_tradnl"/>
        </w:rPr>
      </w:pPr>
    </w:p>
    <w:p w14:paraId="00014E6C" w14:textId="77777777" w:rsidR="00823549" w:rsidRPr="00823549" w:rsidRDefault="00823549" w:rsidP="00823549">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823549">
        <w:rPr>
          <w:rFonts w:ascii="Verdana" w:eastAsia="Century Gothic" w:hAnsi="Verdana" w:cs="Century Gothic"/>
          <w:b/>
          <w:bCs/>
          <w:lang w:val="es-ES_tradnl"/>
        </w:rPr>
        <w:t>Referencias normativas, jurisprudenciales y otras fuentes:</w:t>
      </w:r>
    </w:p>
    <w:p w14:paraId="4D2A406D" w14:textId="77777777" w:rsidR="00823549" w:rsidRPr="00823549" w:rsidRDefault="00823549" w:rsidP="00823549">
      <w:pPr>
        <w:widowControl w:val="0"/>
        <w:autoSpaceDE w:val="0"/>
        <w:autoSpaceDN w:val="0"/>
        <w:snapToGrid w:val="0"/>
        <w:spacing w:after="0" w:line="276" w:lineRule="auto"/>
        <w:jc w:val="both"/>
        <w:rPr>
          <w:rFonts w:ascii="Verdana" w:eastAsia="Calibri" w:hAnsi="Verdana" w:cs="Arial"/>
          <w:lang w:val="es-ES_tradn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823549" w:rsidRPr="00823549" w14:paraId="7018941D" w14:textId="77777777" w:rsidTr="00A91C10">
        <w:trPr>
          <w:trHeight w:val="870"/>
        </w:trPr>
        <w:tc>
          <w:tcPr>
            <w:tcW w:w="8647" w:type="dxa"/>
          </w:tcPr>
          <w:p w14:paraId="68F68278" w14:textId="77777777" w:rsidR="00823549" w:rsidRPr="00823549" w:rsidRDefault="00823549" w:rsidP="00823549">
            <w:pPr>
              <w:widowControl w:val="0"/>
              <w:numPr>
                <w:ilvl w:val="0"/>
                <w:numId w:val="18"/>
              </w:numPr>
              <w:autoSpaceDE w:val="0"/>
              <w:autoSpaceDN w:val="0"/>
              <w:snapToGrid w:val="0"/>
              <w:spacing w:line="276" w:lineRule="auto"/>
              <w:ind w:left="714" w:hanging="357"/>
              <w:jc w:val="both"/>
              <w:rPr>
                <w:rFonts w:ascii="Verdana" w:eastAsia="Calibri" w:hAnsi="Verdana" w:cs="Arial"/>
                <w:lang w:val="es-ES_tradnl"/>
              </w:rPr>
            </w:pPr>
            <w:r w:rsidRPr="00823549">
              <w:rPr>
                <w:rFonts w:ascii="Verdana" w:eastAsia="Calibri" w:hAnsi="Verdana" w:cs="Arial"/>
                <w:lang w:val="es-ES_tradnl"/>
              </w:rPr>
              <w:t xml:space="preserve">Ley 2022 de 2020, artículo 1. </w:t>
            </w:r>
          </w:p>
          <w:p w14:paraId="53F81A5F" w14:textId="77777777" w:rsidR="00823549" w:rsidRPr="00823549" w:rsidRDefault="00823549" w:rsidP="00823549">
            <w:pPr>
              <w:widowControl w:val="0"/>
              <w:numPr>
                <w:ilvl w:val="0"/>
                <w:numId w:val="18"/>
              </w:numPr>
              <w:autoSpaceDE w:val="0"/>
              <w:autoSpaceDN w:val="0"/>
              <w:snapToGrid w:val="0"/>
              <w:spacing w:line="276" w:lineRule="auto"/>
              <w:ind w:left="714" w:hanging="357"/>
              <w:jc w:val="both"/>
              <w:rPr>
                <w:rFonts w:ascii="Verdana" w:eastAsia="Calibri" w:hAnsi="Verdana" w:cs="Arial"/>
                <w:lang w:val="es-ES_tradnl"/>
              </w:rPr>
            </w:pPr>
            <w:r w:rsidRPr="00823549">
              <w:rPr>
                <w:rFonts w:ascii="Verdana" w:eastAsia="Calibri" w:hAnsi="Verdana" w:cs="Arial"/>
                <w:lang w:val="es-ES_tradnl"/>
              </w:rPr>
              <w:t xml:space="preserve">Documentos Tipo de licitación de obra pública de infraestructura de transporte –versión 4–. Disponibles en: </w:t>
            </w:r>
            <w:hyperlink r:id="rId11" w:history="1">
              <w:r w:rsidRPr="00823549">
                <w:rPr>
                  <w:rFonts w:ascii="Verdana" w:eastAsia="Calibri" w:hAnsi="Verdana" w:cs="Arial"/>
                  <w:color w:val="0000FF"/>
                  <w:u w:val="single"/>
                  <w:lang w:val="es-ES_tradnl"/>
                </w:rPr>
                <w:t>https://www.colombiacompra.gov.co/content/documentos-tipo-para-licitacion-de-obra-publica-de-infraestructura-de-transporte-version-04</w:t>
              </w:r>
            </w:hyperlink>
            <w:r w:rsidRPr="00823549">
              <w:rPr>
                <w:rFonts w:ascii="Verdana" w:eastAsia="Calibri" w:hAnsi="Verdana" w:cs="Arial"/>
                <w:lang w:val="es-ES_tradnl"/>
              </w:rPr>
              <w:t xml:space="preserve">. </w:t>
            </w:r>
          </w:p>
        </w:tc>
      </w:tr>
    </w:tbl>
    <w:p w14:paraId="79F7020F" w14:textId="77777777" w:rsidR="00823549" w:rsidRPr="00823549" w:rsidRDefault="00823549" w:rsidP="00823549">
      <w:pPr>
        <w:widowControl w:val="0"/>
        <w:autoSpaceDE w:val="0"/>
        <w:autoSpaceDN w:val="0"/>
        <w:snapToGrid w:val="0"/>
        <w:spacing w:after="0" w:line="276" w:lineRule="auto"/>
        <w:jc w:val="both"/>
        <w:rPr>
          <w:rFonts w:ascii="Verdana" w:eastAsia="Calibri" w:hAnsi="Verdana" w:cs="Arial"/>
          <w:lang w:val="es-ES_tradnl"/>
        </w:rPr>
      </w:pPr>
    </w:p>
    <w:p w14:paraId="1416FE73" w14:textId="77777777" w:rsidR="00823549" w:rsidRPr="00823549" w:rsidRDefault="00823549" w:rsidP="00823549">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823549">
        <w:rPr>
          <w:rFonts w:ascii="Verdana" w:eastAsia="Century Gothic" w:hAnsi="Verdana" w:cs="Century Gothic"/>
          <w:b/>
          <w:bCs/>
          <w:lang w:val="es-ES_tradnl"/>
        </w:rPr>
        <w:t>Doctrina de la Agencia Nacional de Contratación Pública:</w:t>
      </w:r>
    </w:p>
    <w:p w14:paraId="512C4523" w14:textId="77777777" w:rsidR="00823549" w:rsidRPr="00823549" w:rsidRDefault="00823549" w:rsidP="00823549">
      <w:pPr>
        <w:widowControl w:val="0"/>
        <w:autoSpaceDE w:val="0"/>
        <w:autoSpaceDN w:val="0"/>
        <w:snapToGrid w:val="0"/>
        <w:spacing w:after="0" w:line="276" w:lineRule="auto"/>
        <w:jc w:val="both"/>
        <w:rPr>
          <w:rFonts w:ascii="Verdana" w:eastAsia="Calibri" w:hAnsi="Verdana" w:cs="Arial"/>
          <w:lang w:val="es-ES_tradnl"/>
        </w:rPr>
      </w:pPr>
    </w:p>
    <w:p w14:paraId="2A6534DF" w14:textId="77777777" w:rsidR="00823549" w:rsidRPr="00823549" w:rsidRDefault="00823549" w:rsidP="0169AFC0">
      <w:pPr>
        <w:widowControl w:val="0"/>
        <w:autoSpaceDE w:val="0"/>
        <w:autoSpaceDN w:val="0"/>
        <w:snapToGrid w:val="0"/>
        <w:spacing w:after="0" w:line="276" w:lineRule="auto"/>
        <w:jc w:val="both"/>
        <w:rPr>
          <w:rFonts w:ascii="Verdana" w:eastAsia="Calibri" w:hAnsi="Verdana" w:cs="Arial"/>
          <w:kern w:val="2"/>
          <w:shd w:val="clear" w:color="auto" w:fill="FFFFFF"/>
          <w:lang w:val="es-ES"/>
          <w14:ligatures w14:val="standardContextual"/>
        </w:rPr>
      </w:pPr>
      <w:r w:rsidRPr="0169AFC0">
        <w:rPr>
          <w:rFonts w:ascii="Verdana" w:eastAsia="Calibri" w:hAnsi="Verdana" w:cs="Arial"/>
          <w:kern w:val="2"/>
          <w:shd w:val="clear" w:color="auto" w:fill="FFFFFF"/>
          <w:lang w:val="es-ES"/>
          <w14:ligatures w14:val="standardContextual"/>
        </w:rPr>
        <w:t xml:space="preserve">La Agencia Nacional de Contratación Pública − Colombia Compra Eficiente se pronunció acerca del Formulario 1 – Formulario de Presupuesto Oficial de los Documentos Tipo, en los conceptos con radicado No. 4201912000004987 del 14 de agosto de 2019, 4201913000005675 del 25 de septiembre de 2019, 4201912000005852 del 25 de septiembre de 2019, 4201912000006447 del 10 de octubre de 2019, 4201912000006498 del 7 de octubre de 2019, 4201912000007471 del 13 de noviembre de 2019, C – 016 de 2020 del 21 de abril de 2020, C – 037 de 2020 del 28 de enero de 2020, C – 038 de 2020 del 28 de enero de 2020, C – 093 de 2020 del 28 de febrero de 2020, C – 133 del 30 de marzo de 2020, C – 153 del 1 de abril de 2020, C – 704 del 11 de diciembre del 2020, C – 070 del 16 de marzo de 2021, C – 204 del 6 de mayo de 2021, C – 435 de 1 de septiembre de 2021, C – 640 del 12 de noviembre de 2021, C – 121 del 13 de junio de 2024 y C-131 del 30 de julio de 2024. Estos y otros conceptos se encuentran disponibles para consulta en el Sistema de Relatoría de la Agencia, en el cual también podrá encontrar jurisprudencia del Consejo de Estado, laudos arbitrales y la normativa de la contratación concordada con la </w:t>
      </w:r>
      <w:r w:rsidRPr="0169AFC0">
        <w:rPr>
          <w:rFonts w:ascii="Verdana" w:eastAsia="Calibri" w:hAnsi="Verdana" w:cs="Arial"/>
          <w:kern w:val="2"/>
          <w:shd w:val="clear" w:color="auto" w:fill="FFFFFF"/>
          <w:lang w:val="es-ES"/>
          <w14:ligatures w14:val="standardContextual"/>
        </w:rPr>
        <w:lastRenderedPageBreak/>
        <w:t xml:space="preserve">doctrina de la Subdirección de Gestión Contractual.  </w:t>
      </w:r>
    </w:p>
    <w:p w14:paraId="07AA0ABC" w14:textId="77777777" w:rsidR="00823549" w:rsidRPr="00823549" w:rsidRDefault="00823549" w:rsidP="00823549">
      <w:pPr>
        <w:widowControl w:val="0"/>
        <w:autoSpaceDE w:val="0"/>
        <w:autoSpaceDN w:val="0"/>
        <w:spacing w:after="0" w:line="276" w:lineRule="auto"/>
        <w:jc w:val="both"/>
        <w:rPr>
          <w:rFonts w:ascii="Verdana" w:eastAsia="Calibri" w:hAnsi="Verdana" w:cs="Arial"/>
          <w:kern w:val="2"/>
          <w:shd w:val="clear" w:color="auto" w:fill="FFFFFF"/>
          <w:lang w:val="es-ES_tradnl"/>
          <w14:ligatures w14:val="standardContextual"/>
        </w:rPr>
      </w:pPr>
    </w:p>
    <w:p w14:paraId="216A78DC" w14:textId="681F7994" w:rsidR="00823549" w:rsidRPr="00823549" w:rsidRDefault="00823549" w:rsidP="00823549">
      <w:pPr>
        <w:widowControl w:val="0"/>
        <w:autoSpaceDE w:val="0"/>
        <w:autoSpaceDN w:val="0"/>
        <w:spacing w:after="0" w:line="276" w:lineRule="auto"/>
        <w:jc w:val="both"/>
        <w:rPr>
          <w:rFonts w:ascii="Verdana" w:eastAsia="Calibri" w:hAnsi="Verdana" w:cs="Arial"/>
          <w:shd w:val="clear" w:color="auto" w:fill="FFFFFF"/>
          <w:lang w:val="es-ES_tradnl"/>
        </w:rPr>
      </w:pPr>
      <w:r w:rsidRPr="00823549">
        <w:rPr>
          <w:rFonts w:ascii="Verdana" w:eastAsia="Calibri" w:hAnsi="Verdana" w:cs="Arial"/>
          <w:shd w:val="clear" w:color="auto" w:fill="FFFFFF"/>
          <w:lang w:val="es-ES_tradnl"/>
        </w:rPr>
        <w:t>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hyperlink r:id="rId12" w:tooltip="Original URL:&#10;https://www.colombiacompra.gov.co/content/borrador-de-documentos-tipo-de-consultoria-de-obra-publica-de-infraestructura-de-transporte&#10;&#10;Click to follow link." w:history="1">
        <w:r w:rsidRPr="00823549">
          <w:rPr>
            <w:rFonts w:ascii="Verdana" w:eastAsia="Calibri" w:hAnsi="Verdana" w:cs="Arial"/>
            <w:color w:val="0000FF"/>
            <w:u w:val="single"/>
            <w:shd w:val="clear" w:color="auto" w:fill="FFFFFF"/>
            <w:lang w:val="es-ES_tradnl"/>
          </w:rPr>
          <w:t>https://www.colombiacompra.gov.co/content/borrador-de-documentos-tipo-de-consultoria-de-obra-publica-de-infraestructura-de-transporte</w:t>
        </w:r>
      </w:hyperlink>
      <w:r w:rsidRPr="00823549">
        <w:rPr>
          <w:rFonts w:ascii="Verdana" w:eastAsia="Calibri" w:hAnsi="Verdana" w:cs="Arial"/>
          <w:shd w:val="clear" w:color="auto" w:fill="FFFFFF"/>
          <w:lang w:val="es-ES_tradnl"/>
        </w:rPr>
        <w:t> y </w:t>
      </w:r>
      <w:hyperlink r:id="rId13" w:tooltip="Original URL:&#10;https://www.colombiacompra.gov.co/content/borrador-de-documentos-tipo-de-interventoria-de-obra-publica-de-infraestructura-de&#10;&#10;Click to follow link." w:history="1">
        <w:r w:rsidRPr="00823549">
          <w:rPr>
            <w:rFonts w:ascii="Verdana" w:eastAsia="Calibri" w:hAnsi="Verdana" w:cs="Arial"/>
            <w:color w:val="0000FF"/>
            <w:u w:val="single"/>
            <w:shd w:val="clear" w:color="auto" w:fill="FFFFFF"/>
            <w:lang w:val="es-ES_tradnl"/>
          </w:rPr>
          <w:t>https://www.colombiacompra.gov.co/content/borrador-de-documentos-tipo-de-interventoria-de-obra-publica-de-infraestructura-de</w:t>
        </w:r>
      </w:hyperlink>
      <w:r w:rsidRPr="00823549">
        <w:rPr>
          <w:rFonts w:ascii="Verdana" w:eastAsia="Calibri" w:hAnsi="Verdana" w:cs="Arial"/>
          <w:shd w:val="clear" w:color="auto" w:fill="FFFFFF"/>
          <w:lang w:val="es-ES_tradnl"/>
        </w:rPr>
        <w:t>.</w:t>
      </w:r>
    </w:p>
    <w:p w14:paraId="0CAB49FF" w14:textId="77777777" w:rsidR="00823549" w:rsidRPr="00823549" w:rsidRDefault="00823549" w:rsidP="00823549">
      <w:pPr>
        <w:widowControl w:val="0"/>
        <w:autoSpaceDE w:val="0"/>
        <w:autoSpaceDN w:val="0"/>
        <w:spacing w:after="0" w:line="276" w:lineRule="auto"/>
        <w:jc w:val="both"/>
        <w:rPr>
          <w:rFonts w:ascii="Verdana" w:eastAsia="Calibri" w:hAnsi="Verdana" w:cs="Arial"/>
          <w:shd w:val="clear" w:color="auto" w:fill="FFFFFF"/>
          <w:lang w:val="es-ES_tradnl"/>
        </w:rPr>
      </w:pPr>
    </w:p>
    <w:p w14:paraId="22426659" w14:textId="7B9FA415" w:rsidR="00823549" w:rsidRPr="00823549" w:rsidRDefault="00823549" w:rsidP="00823549">
      <w:pPr>
        <w:widowControl w:val="0"/>
        <w:autoSpaceDE w:val="0"/>
        <w:autoSpaceDN w:val="0"/>
        <w:spacing w:after="0" w:line="276" w:lineRule="auto"/>
        <w:jc w:val="both"/>
        <w:rPr>
          <w:rFonts w:ascii="Verdana" w:eastAsia="Calibri" w:hAnsi="Verdana" w:cs="Arial"/>
          <w:shd w:val="clear" w:color="auto" w:fill="FFFFFF"/>
          <w:lang w:val="es-ES_tradnl"/>
        </w:rPr>
      </w:pPr>
      <w:r w:rsidRPr="00823549">
        <w:rPr>
          <w:rFonts w:ascii="Verdana" w:eastAsia="Calibri" w:hAnsi="Verdana" w:cs="Arial"/>
          <w:shd w:val="clear" w:color="auto" w:fill="FFFFFF"/>
          <w:lang w:val="es-ES_tradnl"/>
        </w:rPr>
        <w:t>De otra parte, te contamos que ya publicamos el borrador de la nueva Guía de Contratación Pública Sostenible y Socialmente Responsable. Conoce el documento y realiza tus comentarios hasta el 14 de noviembre de 2024 a través del siguiente enlace: </w:t>
      </w:r>
      <w:hyperlink r:id="rId14" w:tooltip="Original URL:&#10;https://www.sucop.gov.co/entidades/colombiacompra/Normativa?IDNorma=18320&#10;&#10;Click to follow link." w:history="1">
        <w:r w:rsidRPr="00823549">
          <w:rPr>
            <w:rFonts w:ascii="Verdana" w:eastAsia="Calibri" w:hAnsi="Verdana" w:cs="Arial"/>
            <w:color w:val="0000FF"/>
            <w:u w:val="single"/>
            <w:shd w:val="clear" w:color="auto" w:fill="FFFFFF"/>
            <w:lang w:val="es-ES_tradnl"/>
          </w:rPr>
          <w:t>https://www.sucop.gov.co/entidades/colombiacompra/Normativa?IDNorma=18320</w:t>
        </w:r>
      </w:hyperlink>
      <w:r>
        <w:rPr>
          <w:rFonts w:ascii="Verdana" w:eastAsia="Calibri" w:hAnsi="Verdana" w:cs="Arial"/>
          <w:shd w:val="clear" w:color="auto" w:fill="FFFFFF"/>
          <w:lang w:val="es-ES_tradnl"/>
        </w:rPr>
        <w:t>.</w:t>
      </w:r>
    </w:p>
    <w:p w14:paraId="685D2C56" w14:textId="77777777" w:rsidR="00823549" w:rsidRPr="00823549" w:rsidRDefault="00823549" w:rsidP="00823549">
      <w:pPr>
        <w:widowControl w:val="0"/>
        <w:autoSpaceDE w:val="0"/>
        <w:autoSpaceDN w:val="0"/>
        <w:spacing w:after="0" w:line="276" w:lineRule="auto"/>
        <w:jc w:val="both"/>
        <w:rPr>
          <w:rFonts w:ascii="Verdana" w:eastAsia="Calibri" w:hAnsi="Verdana" w:cs="Arial"/>
          <w:shd w:val="clear" w:color="auto" w:fill="FFFFFF"/>
          <w:lang w:val="es-ES_tradnl"/>
        </w:rPr>
      </w:pPr>
    </w:p>
    <w:p w14:paraId="597ACE6F" w14:textId="1B89A260" w:rsidR="00823549" w:rsidRPr="00823549" w:rsidRDefault="00823549" w:rsidP="0169AFC0">
      <w:pPr>
        <w:widowControl w:val="0"/>
        <w:autoSpaceDE w:val="0"/>
        <w:autoSpaceDN w:val="0"/>
        <w:spacing w:after="0" w:line="276" w:lineRule="auto"/>
        <w:jc w:val="both"/>
        <w:rPr>
          <w:rFonts w:ascii="Verdana" w:eastAsia="Calibri" w:hAnsi="Verdana" w:cs="Arial"/>
          <w:shd w:val="clear" w:color="auto" w:fill="FFFFFF"/>
          <w:lang w:val="es-ES"/>
        </w:rPr>
      </w:pPr>
      <w:r w:rsidRPr="0169AFC0">
        <w:rPr>
          <w:rFonts w:ascii="Verdana" w:eastAsia="Calibri" w:hAnsi="Verdana" w:cs="Arial"/>
          <w:shd w:val="clear" w:color="auto" w:fill="FFFFFF"/>
          <w:lang w:val="es-ES"/>
        </w:rPr>
        <w:t>También le invitamos a consultar las versiones V y VI de 2024 del Boletín de Relatoría de la Subdirección de Gestión Contractual relacionados con las guías de Plan Anual de Adquisiciones y la modalidad de selección de mínima cuantía , los cuales se pueden descargar en la página web de la Agencia: </w:t>
      </w:r>
      <w:hyperlink r:id="rId15" w:tgtFrame="_blank" w:tooltip="Original URL:&#10;https://www.colombiacompra.gov.co/sala-de-prensa/boletin-digital&#10;&#10;Click to follow link." w:history="1">
        <w:r w:rsidRPr="0169AFC0">
          <w:rPr>
            <w:rFonts w:ascii="Verdana" w:eastAsia="Calibri" w:hAnsi="Verdana" w:cs="Arial"/>
            <w:color w:val="0000FF"/>
            <w:u w:val="single"/>
            <w:shd w:val="clear" w:color="auto" w:fill="FFFFFF"/>
            <w:lang w:val="es-ES"/>
          </w:rPr>
          <w:t>https://www.colombiacompra.gov.co/sala-de-prensa/boletin-digital</w:t>
        </w:r>
      </w:hyperlink>
      <w:r w:rsidRPr="0169AFC0">
        <w:rPr>
          <w:rFonts w:ascii="Verdana" w:eastAsia="Calibri" w:hAnsi="Verdana" w:cs="Arial"/>
          <w:shd w:val="clear" w:color="auto" w:fill="FFFFFF"/>
          <w:lang w:val="es-ES"/>
        </w:rPr>
        <w:t>.   </w:t>
      </w:r>
    </w:p>
    <w:p w14:paraId="574E6771" w14:textId="77777777" w:rsidR="00823549" w:rsidRPr="00823549" w:rsidRDefault="00823549" w:rsidP="00823549">
      <w:pPr>
        <w:widowControl w:val="0"/>
        <w:autoSpaceDE w:val="0"/>
        <w:autoSpaceDN w:val="0"/>
        <w:spacing w:after="0" w:line="276" w:lineRule="auto"/>
        <w:jc w:val="both"/>
        <w:rPr>
          <w:rFonts w:ascii="Verdana" w:eastAsia="Calibri" w:hAnsi="Verdana" w:cs="Arial"/>
          <w:shd w:val="clear" w:color="auto" w:fill="FFFFFF"/>
          <w:lang w:val="es-ES_tradnl"/>
        </w:rPr>
      </w:pPr>
    </w:p>
    <w:p w14:paraId="75E34233" w14:textId="77777777" w:rsidR="00823549" w:rsidRPr="00823549" w:rsidRDefault="00823549" w:rsidP="00823549">
      <w:pPr>
        <w:spacing w:after="0" w:line="276" w:lineRule="auto"/>
        <w:jc w:val="both"/>
        <w:rPr>
          <w:rFonts w:ascii="Verdana" w:eastAsia="Calibri" w:hAnsi="Verdana" w:cs="Times New Roman"/>
          <w:lang w:val="es-ES_tradnl"/>
        </w:rPr>
      </w:pPr>
      <w:r w:rsidRPr="00823549">
        <w:rPr>
          <w:rFonts w:ascii="Verdana" w:eastAsia="Calibri" w:hAnsi="Verdana" w:cs="Times New Roman"/>
          <w:lang w:val="es-ES_tradnl"/>
        </w:rPr>
        <w:t xml:space="preserve">Por último, los invitamos a seguirnos en las redes sociales, en las cuales se difunde información institucional: </w:t>
      </w:r>
    </w:p>
    <w:p w14:paraId="2A6F8ACD" w14:textId="77777777" w:rsidR="00823549" w:rsidRPr="00823549" w:rsidRDefault="00823549" w:rsidP="00823549">
      <w:pPr>
        <w:spacing w:after="0" w:line="240" w:lineRule="auto"/>
        <w:jc w:val="both"/>
        <w:rPr>
          <w:rFonts w:ascii="Verdana" w:eastAsia="Calibri" w:hAnsi="Verdana" w:cs="Times New Roman"/>
          <w:lang w:val="es-ES_tradnl"/>
        </w:rPr>
      </w:pPr>
    </w:p>
    <w:p w14:paraId="142CA016" w14:textId="77777777" w:rsidR="00823549" w:rsidRPr="00823549" w:rsidRDefault="00823549" w:rsidP="00823549">
      <w:pPr>
        <w:spacing w:after="0" w:line="240" w:lineRule="auto"/>
        <w:jc w:val="both"/>
        <w:rPr>
          <w:rFonts w:ascii="Verdana" w:eastAsia="Calibri" w:hAnsi="Verdana" w:cs="Times New Roman"/>
          <w:lang w:val="es-ES_tradnl"/>
        </w:rPr>
      </w:pPr>
      <w:r w:rsidRPr="00823549">
        <w:rPr>
          <w:rFonts w:ascii="Verdana" w:eastAsia="Calibri" w:hAnsi="Verdana" w:cs="Times New Roman"/>
          <w:lang w:val="es-ES_tradnl"/>
        </w:rPr>
        <w:t xml:space="preserve">Twitter: </w:t>
      </w:r>
      <w:r w:rsidRPr="00823549">
        <w:rPr>
          <w:rFonts w:ascii="Verdana" w:eastAsia="Calibri" w:hAnsi="Verdana" w:cs="Times New Roman"/>
          <w:u w:val="single"/>
          <w:lang w:val="es-ES_tradnl"/>
        </w:rPr>
        <w:t>@colombiacompra</w:t>
      </w:r>
      <w:r w:rsidRPr="00823549">
        <w:rPr>
          <w:rFonts w:ascii="Verdana" w:eastAsia="Calibri" w:hAnsi="Verdana" w:cs="Times New Roman"/>
          <w:lang w:val="es-ES_tradnl"/>
        </w:rPr>
        <w:t xml:space="preserve"> </w:t>
      </w:r>
    </w:p>
    <w:p w14:paraId="0F0615A8" w14:textId="77777777" w:rsidR="00823549" w:rsidRPr="00823549" w:rsidRDefault="00823549" w:rsidP="0169AFC0">
      <w:pPr>
        <w:spacing w:after="0" w:line="240" w:lineRule="auto"/>
        <w:jc w:val="both"/>
        <w:rPr>
          <w:rFonts w:ascii="Verdana" w:eastAsia="Calibri" w:hAnsi="Verdana" w:cs="Times New Roman"/>
          <w:lang w:val="es-ES"/>
        </w:rPr>
      </w:pPr>
      <w:r w:rsidRPr="0169AFC0">
        <w:rPr>
          <w:rFonts w:ascii="Verdana" w:eastAsia="Calibri" w:hAnsi="Verdana" w:cs="Times New Roman"/>
          <w:lang w:val="es-ES"/>
        </w:rPr>
        <w:t xml:space="preserve">Facebook: </w:t>
      </w:r>
      <w:r w:rsidRPr="0169AFC0">
        <w:rPr>
          <w:rFonts w:ascii="Verdana" w:eastAsia="Calibri" w:hAnsi="Verdana" w:cs="Times New Roman"/>
          <w:u w:val="single"/>
          <w:lang w:val="es-ES"/>
        </w:rPr>
        <w:t>ColombiaCompraEficiente</w:t>
      </w:r>
    </w:p>
    <w:p w14:paraId="77798134" w14:textId="77777777" w:rsidR="00823549" w:rsidRPr="00823549" w:rsidRDefault="00823549" w:rsidP="00823549">
      <w:pPr>
        <w:spacing w:after="0" w:line="240" w:lineRule="auto"/>
        <w:jc w:val="both"/>
        <w:rPr>
          <w:rFonts w:ascii="Verdana" w:eastAsia="Calibri" w:hAnsi="Verdana" w:cs="Times New Roman"/>
          <w:lang w:val="es-ES_tradnl"/>
        </w:rPr>
      </w:pPr>
      <w:r w:rsidRPr="00823549">
        <w:rPr>
          <w:rFonts w:ascii="Verdana" w:eastAsia="Calibri" w:hAnsi="Verdana" w:cs="Times New Roman"/>
          <w:lang w:val="es-ES_tradnl"/>
        </w:rPr>
        <w:t xml:space="preserve">LinkedIn: </w:t>
      </w:r>
      <w:r w:rsidRPr="00823549">
        <w:rPr>
          <w:rFonts w:ascii="Verdana" w:eastAsia="Calibri" w:hAnsi="Verdana" w:cs="Times New Roman"/>
          <w:u w:val="single"/>
          <w:lang w:val="es-ES_tradnl"/>
        </w:rPr>
        <w:t>Agencia Nacional de Contratación Pública - Colombia Compra Eficiente</w:t>
      </w:r>
      <w:r w:rsidRPr="00823549">
        <w:rPr>
          <w:rFonts w:ascii="Verdana" w:eastAsia="Calibri" w:hAnsi="Verdana" w:cs="Times New Roman"/>
          <w:lang w:val="es-ES_tradnl"/>
        </w:rPr>
        <w:t xml:space="preserve"> Instagram: </w:t>
      </w:r>
      <w:r w:rsidRPr="00823549">
        <w:rPr>
          <w:rFonts w:ascii="Verdana" w:eastAsia="Calibri" w:hAnsi="Verdana" w:cs="Times New Roman"/>
          <w:u w:val="single"/>
          <w:lang w:val="es-ES_tradnl"/>
        </w:rPr>
        <w:t>@colombiacompraeficiente_cce</w:t>
      </w:r>
    </w:p>
    <w:p w14:paraId="0B5EAA6B" w14:textId="77777777" w:rsidR="00823549" w:rsidRPr="00823549" w:rsidRDefault="00823549" w:rsidP="00823549">
      <w:pPr>
        <w:widowControl w:val="0"/>
        <w:autoSpaceDE w:val="0"/>
        <w:autoSpaceDN w:val="0"/>
        <w:spacing w:after="0" w:line="276" w:lineRule="auto"/>
        <w:jc w:val="both"/>
        <w:rPr>
          <w:rFonts w:ascii="Verdana" w:eastAsia="Calibri" w:hAnsi="Verdana" w:cs="Arial"/>
          <w:lang w:val="es-ES_tradnl"/>
        </w:rPr>
      </w:pPr>
    </w:p>
    <w:p w14:paraId="49BC8E88" w14:textId="77777777" w:rsidR="00823549" w:rsidRPr="00823549" w:rsidRDefault="00823549" w:rsidP="00823549">
      <w:pPr>
        <w:widowControl w:val="0"/>
        <w:autoSpaceDE w:val="0"/>
        <w:autoSpaceDN w:val="0"/>
        <w:spacing w:after="0" w:line="276" w:lineRule="auto"/>
        <w:jc w:val="both"/>
        <w:rPr>
          <w:rFonts w:ascii="Verdana" w:eastAsia="Calibri" w:hAnsi="Verdana" w:cs="Arial"/>
          <w:lang w:val="es-ES_tradnl"/>
        </w:rPr>
      </w:pPr>
      <w:r w:rsidRPr="00823549">
        <w:rPr>
          <w:rFonts w:ascii="Verdana" w:eastAsia="Calibri" w:hAnsi="Verdana"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61B4D211" w14:textId="77777777" w:rsidR="00823549" w:rsidRPr="00823549" w:rsidRDefault="00823549" w:rsidP="00823549">
      <w:pPr>
        <w:widowControl w:val="0"/>
        <w:autoSpaceDE w:val="0"/>
        <w:autoSpaceDN w:val="0"/>
        <w:spacing w:after="0" w:line="276" w:lineRule="auto"/>
        <w:jc w:val="both"/>
        <w:rPr>
          <w:rFonts w:ascii="Verdana" w:eastAsia="Calibri" w:hAnsi="Verdana" w:cs="Arial"/>
          <w:lang w:val="es-ES_tradnl"/>
        </w:rPr>
      </w:pPr>
    </w:p>
    <w:p w14:paraId="70EBCE22" w14:textId="77777777" w:rsidR="00823549" w:rsidRPr="00823549" w:rsidRDefault="00823549" w:rsidP="00823549">
      <w:pPr>
        <w:spacing w:after="0" w:line="240" w:lineRule="auto"/>
        <w:rPr>
          <w:rFonts w:ascii="Verdana" w:eastAsia="Calibri" w:hAnsi="Verdana" w:cs="Arial"/>
          <w:lang w:val="es-ES_tradnl" w:eastAsia="es-CO"/>
        </w:rPr>
      </w:pPr>
      <w:r w:rsidRPr="00823549">
        <w:rPr>
          <w:rFonts w:ascii="Verdana" w:eastAsia="Times New Roman" w:hAnsi="Verdana" w:cs="Arial"/>
          <w:lang w:val="es-ES_tradnl" w:eastAsia="es-CO"/>
        </w:rPr>
        <w:t>Atentamente,</w:t>
      </w:r>
      <w:r w:rsidRPr="00823549">
        <w:rPr>
          <w:rFonts w:ascii="Verdana" w:eastAsia="Calibri" w:hAnsi="Verdana" w:cs="Arial"/>
          <w:lang w:val="es-ES_tradnl" w:eastAsia="es-CO"/>
        </w:rPr>
        <w:t xml:space="preserve"> </w:t>
      </w:r>
    </w:p>
    <w:p w14:paraId="214FE723" w14:textId="3580038D" w:rsidR="00823549" w:rsidRPr="00823549" w:rsidRDefault="00FE04B0" w:rsidP="00823549">
      <w:pPr>
        <w:spacing w:line="276" w:lineRule="auto"/>
        <w:jc w:val="center"/>
        <w:rPr>
          <w:rFonts w:ascii="Verdana" w:eastAsia="Calibri" w:hAnsi="Verdana" w:cs="Arial"/>
          <w:lang w:val="es-ES_tradnl" w:eastAsia="es-CO"/>
        </w:rPr>
      </w:pPr>
      <w:r w:rsidRPr="002C3AD6">
        <w:rPr>
          <w:rFonts w:ascii="Century Gothic" w:hAnsi="Century Gothic"/>
          <w:noProof/>
        </w:rPr>
        <w:lastRenderedPageBreak/>
        <w:drawing>
          <wp:inline distT="0" distB="0" distL="0" distR="0" wp14:anchorId="0B150840" wp14:editId="40EA326D">
            <wp:extent cx="3486150" cy="1294101"/>
            <wp:effectExtent l="0" t="0" r="0" b="190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496489" cy="1297939"/>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23549" w:rsidRPr="00823549" w14:paraId="541DE919" w14:textId="77777777" w:rsidTr="0169AFC0">
        <w:trPr>
          <w:trHeight w:val="315"/>
        </w:trPr>
        <w:tc>
          <w:tcPr>
            <w:tcW w:w="893" w:type="dxa"/>
            <w:vAlign w:val="center"/>
            <w:hideMark/>
          </w:tcPr>
          <w:p w14:paraId="1162FC10" w14:textId="77777777" w:rsidR="00823549" w:rsidRPr="00823549" w:rsidRDefault="00823549" w:rsidP="00823549">
            <w:pPr>
              <w:rPr>
                <w:rFonts w:ascii="Verdana" w:eastAsia="Calibri" w:hAnsi="Verdana" w:cs="Arial"/>
                <w:sz w:val="16"/>
                <w:szCs w:val="16"/>
                <w:lang w:val="es-ES_tradnl" w:eastAsia="es-ES"/>
              </w:rPr>
            </w:pPr>
            <w:r w:rsidRPr="00823549">
              <w:rPr>
                <w:rFonts w:ascii="Verdana" w:eastAsia="Calibri" w:hAnsi="Verdana" w:cs="Arial"/>
                <w:sz w:val="16"/>
                <w:szCs w:val="16"/>
                <w:lang w:val="es-ES_tradnl" w:eastAsia="es-ES"/>
              </w:rPr>
              <w:t>Elaboró:</w:t>
            </w:r>
          </w:p>
        </w:tc>
        <w:tc>
          <w:tcPr>
            <w:tcW w:w="5628" w:type="dxa"/>
            <w:tcBorders>
              <w:top w:val="nil"/>
              <w:left w:val="nil"/>
              <w:bottom w:val="dotted" w:sz="4" w:space="0" w:color="7F7F7F" w:themeColor="text1" w:themeTint="80"/>
              <w:right w:val="nil"/>
            </w:tcBorders>
            <w:vAlign w:val="center"/>
            <w:hideMark/>
          </w:tcPr>
          <w:p w14:paraId="1D6CBD31" w14:textId="77777777" w:rsidR="00823549" w:rsidRPr="00823549" w:rsidRDefault="00823549" w:rsidP="00823549">
            <w:pPr>
              <w:rPr>
                <w:rFonts w:ascii="Verdana" w:eastAsia="Arial" w:hAnsi="Verdana" w:cs="Arial"/>
                <w:sz w:val="16"/>
                <w:szCs w:val="16"/>
                <w:lang w:val="es-ES_tradnl"/>
              </w:rPr>
            </w:pPr>
            <w:r w:rsidRPr="00823549">
              <w:rPr>
                <w:rFonts w:ascii="Verdana" w:eastAsia="Arial" w:hAnsi="Verdana" w:cs="Arial"/>
                <w:sz w:val="16"/>
                <w:szCs w:val="16"/>
                <w:lang w:val="es-ES_tradnl"/>
              </w:rPr>
              <w:t>Kevin Arlid Herrera Santa</w:t>
            </w:r>
          </w:p>
          <w:p w14:paraId="6FA2D04C" w14:textId="77777777" w:rsidR="00823549" w:rsidRPr="00823549" w:rsidRDefault="00823549" w:rsidP="00823549">
            <w:pPr>
              <w:rPr>
                <w:rFonts w:ascii="Verdana" w:eastAsia="Arial" w:hAnsi="Verdana" w:cs="Arial"/>
                <w:sz w:val="16"/>
                <w:szCs w:val="16"/>
                <w:lang w:val="es-ES_tradnl"/>
              </w:rPr>
            </w:pPr>
            <w:r w:rsidRPr="00823549">
              <w:rPr>
                <w:rFonts w:ascii="Verdana" w:eastAsia="Arial" w:hAnsi="Verdana" w:cs="Arial"/>
                <w:sz w:val="16"/>
                <w:szCs w:val="16"/>
                <w:lang w:val="es-ES_tradnl"/>
              </w:rPr>
              <w:t xml:space="preserve">Contratista de la Subdirección de Gestión Contractual </w:t>
            </w:r>
          </w:p>
        </w:tc>
      </w:tr>
      <w:tr w:rsidR="00823549" w:rsidRPr="00823549" w14:paraId="0808BDBF" w14:textId="77777777" w:rsidTr="0169AFC0">
        <w:trPr>
          <w:trHeight w:val="330"/>
        </w:trPr>
        <w:tc>
          <w:tcPr>
            <w:tcW w:w="893" w:type="dxa"/>
            <w:vAlign w:val="center"/>
            <w:hideMark/>
          </w:tcPr>
          <w:p w14:paraId="1A8436BB" w14:textId="77777777" w:rsidR="00823549" w:rsidRPr="00823549" w:rsidRDefault="00823549" w:rsidP="00823549">
            <w:pPr>
              <w:rPr>
                <w:rFonts w:ascii="Verdana" w:eastAsia="Calibri" w:hAnsi="Verdana" w:cs="Arial"/>
                <w:sz w:val="16"/>
                <w:szCs w:val="16"/>
                <w:lang w:val="es-ES_tradnl" w:eastAsia="es-ES"/>
              </w:rPr>
            </w:pPr>
            <w:r w:rsidRPr="00823549">
              <w:rPr>
                <w:rFonts w:ascii="Verdana" w:eastAsia="Calibri" w:hAnsi="Verdana" w:cs="Arial"/>
                <w:sz w:val="16"/>
                <w:szCs w:val="16"/>
                <w:lang w:val="es-ES_tradnl"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D3464D2" w14:textId="77777777" w:rsidR="00823549" w:rsidRPr="00823549" w:rsidRDefault="00823549" w:rsidP="00823549">
            <w:pPr>
              <w:textAlignment w:val="baseline"/>
              <w:rPr>
                <w:rFonts w:ascii="Verdana" w:eastAsia="Times New Roman" w:hAnsi="Verdana" w:cs="Segoe UI"/>
                <w:sz w:val="16"/>
                <w:szCs w:val="16"/>
                <w:lang w:val="es-ES_tradnl" w:eastAsia="es-ES_tradnl"/>
              </w:rPr>
            </w:pPr>
            <w:r w:rsidRPr="00823549">
              <w:rPr>
                <w:rFonts w:ascii="Verdana" w:eastAsia="Times New Roman" w:hAnsi="Verdana" w:cs="Segoe UI"/>
                <w:sz w:val="16"/>
                <w:szCs w:val="16"/>
                <w:lang w:val="es-ES_tradnl" w:eastAsia="es-ES_tradnl"/>
              </w:rPr>
              <w:t>Martha Alicia Romero Vargas</w:t>
            </w:r>
          </w:p>
          <w:p w14:paraId="3E0CB1AB" w14:textId="77777777" w:rsidR="00823549" w:rsidRPr="00823549" w:rsidRDefault="00823549" w:rsidP="00823549">
            <w:pPr>
              <w:textAlignment w:val="baseline"/>
              <w:rPr>
                <w:rFonts w:ascii="Verdana" w:eastAsia="Times New Roman" w:hAnsi="Verdana" w:cs="Segoe UI"/>
                <w:sz w:val="16"/>
                <w:szCs w:val="16"/>
                <w:lang w:val="es-ES_tradnl" w:eastAsia="es-ES_tradnl"/>
              </w:rPr>
            </w:pPr>
            <w:r w:rsidRPr="00823549">
              <w:rPr>
                <w:rFonts w:ascii="Verdana" w:eastAsia="Times New Roman" w:hAnsi="Verdana" w:cs="Arial"/>
                <w:sz w:val="16"/>
                <w:szCs w:val="16"/>
                <w:lang w:val="es-ES_tradnl" w:eastAsia="es-ES_tradnl"/>
              </w:rPr>
              <w:t>Gestor T1-15 de la Subdirección de Gestión Contractual </w:t>
            </w:r>
          </w:p>
        </w:tc>
      </w:tr>
      <w:tr w:rsidR="00823549" w:rsidRPr="00823549" w14:paraId="72043D25" w14:textId="77777777" w:rsidTr="0169AFC0">
        <w:trPr>
          <w:trHeight w:val="300"/>
        </w:trPr>
        <w:tc>
          <w:tcPr>
            <w:tcW w:w="893" w:type="dxa"/>
            <w:vAlign w:val="center"/>
          </w:tcPr>
          <w:p w14:paraId="52640CF2" w14:textId="77777777" w:rsidR="00823549" w:rsidRPr="00823549" w:rsidRDefault="00823549" w:rsidP="00823549">
            <w:pPr>
              <w:rPr>
                <w:rFonts w:ascii="Verdana" w:eastAsia="Calibri" w:hAnsi="Verdana" w:cs="Arial"/>
                <w:sz w:val="16"/>
                <w:szCs w:val="16"/>
                <w:lang w:val="es-ES_tradnl" w:eastAsia="es-ES"/>
              </w:rPr>
            </w:pPr>
            <w:r w:rsidRPr="00823549">
              <w:rPr>
                <w:rFonts w:ascii="Verdana" w:eastAsia="Calibri" w:hAnsi="Verdana" w:cs="Arial"/>
                <w:sz w:val="16"/>
                <w:szCs w:val="16"/>
                <w:lang w:val="es-ES_tradnl"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3518178" w14:textId="77777777" w:rsidR="00823549" w:rsidRPr="00823549" w:rsidRDefault="00823549" w:rsidP="0169AFC0">
            <w:pPr>
              <w:rPr>
                <w:rFonts w:ascii="Verdana" w:eastAsia="Calibri" w:hAnsi="Verdana" w:cs="Arial"/>
                <w:sz w:val="16"/>
                <w:szCs w:val="16"/>
                <w:lang w:val="es-ES" w:eastAsia="es-ES"/>
              </w:rPr>
            </w:pPr>
            <w:r w:rsidRPr="0169AFC0">
              <w:rPr>
                <w:rFonts w:ascii="Verdana" w:eastAsia="Calibri" w:hAnsi="Verdana" w:cs="Arial"/>
                <w:sz w:val="16"/>
                <w:szCs w:val="16"/>
                <w:lang w:val="es-ES" w:eastAsia="es-ES"/>
              </w:rPr>
              <w:t>Carolina Quintero Gacharná</w:t>
            </w:r>
          </w:p>
          <w:p w14:paraId="48E0C577" w14:textId="77777777" w:rsidR="00823549" w:rsidRPr="00823549" w:rsidRDefault="00823549" w:rsidP="00823549">
            <w:pPr>
              <w:rPr>
                <w:rFonts w:ascii="Verdana" w:eastAsia="Calibri" w:hAnsi="Verdana" w:cs="Arial"/>
                <w:sz w:val="16"/>
                <w:szCs w:val="16"/>
                <w:lang w:val="es-ES_tradnl" w:eastAsia="es-ES"/>
              </w:rPr>
            </w:pPr>
            <w:r w:rsidRPr="00823549">
              <w:rPr>
                <w:rFonts w:ascii="Verdana" w:eastAsia="Calibri" w:hAnsi="Verdana" w:cs="Arial"/>
                <w:sz w:val="16"/>
                <w:szCs w:val="16"/>
                <w:lang w:val="es-ES_tradnl" w:eastAsia="es-ES"/>
              </w:rPr>
              <w:t>Subdirectora de Gestión Contractual ANCP – CCE</w:t>
            </w:r>
          </w:p>
        </w:tc>
      </w:tr>
      <w:bookmarkEnd w:id="0"/>
    </w:tbl>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65F12" w14:textId="77777777" w:rsidR="00D94597" w:rsidRDefault="00D94597" w:rsidP="004A1847">
      <w:pPr>
        <w:spacing w:after="0" w:line="240" w:lineRule="auto"/>
      </w:pPr>
      <w:r>
        <w:separator/>
      </w:r>
    </w:p>
  </w:endnote>
  <w:endnote w:type="continuationSeparator" w:id="0">
    <w:p w14:paraId="128EDA63" w14:textId="77777777" w:rsidR="00D94597" w:rsidRDefault="00D94597" w:rsidP="004A1847">
      <w:pPr>
        <w:spacing w:after="0" w:line="240" w:lineRule="auto"/>
      </w:pPr>
      <w:r>
        <w:continuationSeparator/>
      </w:r>
    </w:p>
  </w:endnote>
  <w:endnote w:type="continuationNotice" w:id="1">
    <w:p w14:paraId="38399F1D" w14:textId="77777777" w:rsidR="00D94597" w:rsidRDefault="00D945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DD395" w14:textId="77777777" w:rsidR="00D94597" w:rsidRDefault="00D94597" w:rsidP="004A1847">
      <w:pPr>
        <w:spacing w:after="0" w:line="240" w:lineRule="auto"/>
      </w:pPr>
      <w:r>
        <w:separator/>
      </w:r>
    </w:p>
  </w:footnote>
  <w:footnote w:type="continuationSeparator" w:id="0">
    <w:p w14:paraId="01090C13" w14:textId="77777777" w:rsidR="00D94597" w:rsidRDefault="00D94597" w:rsidP="004A1847">
      <w:pPr>
        <w:spacing w:after="0" w:line="240" w:lineRule="auto"/>
      </w:pPr>
      <w:r>
        <w:continuationSeparator/>
      </w:r>
    </w:p>
  </w:footnote>
  <w:footnote w:type="continuationNotice" w:id="1">
    <w:p w14:paraId="2E9588F6" w14:textId="77777777" w:rsidR="00D94597" w:rsidRDefault="00D94597">
      <w:pPr>
        <w:spacing w:after="0" w:line="240" w:lineRule="auto"/>
      </w:pPr>
    </w:p>
  </w:footnote>
  <w:footnote w:id="2">
    <w:p w14:paraId="129975E5" w14:textId="77777777" w:rsidR="00823549" w:rsidRPr="00590BB7" w:rsidRDefault="00823549" w:rsidP="00823549">
      <w:pPr>
        <w:pStyle w:val="Textonotapie"/>
        <w:ind w:firstLine="709"/>
        <w:jc w:val="both"/>
        <w:rPr>
          <w:rFonts w:ascii="Verdana" w:hAnsi="Verdana"/>
          <w:sz w:val="18"/>
          <w:szCs w:val="18"/>
        </w:rPr>
      </w:pPr>
      <w:r w:rsidRPr="00590BB7">
        <w:rPr>
          <w:rStyle w:val="Refdenotaalpie"/>
          <w:rFonts w:ascii="Verdana" w:hAnsi="Verdana"/>
          <w:sz w:val="18"/>
          <w:szCs w:val="18"/>
        </w:rPr>
        <w:footnoteRef/>
      </w:r>
      <w:r w:rsidRPr="00590BB7">
        <w:rPr>
          <w:rFonts w:ascii="Verdana" w:hAnsi="Verdana"/>
          <w:sz w:val="18"/>
          <w:szCs w:val="18"/>
        </w:rPr>
        <w:t xml:space="preserve"> Estos Documentos Tipo pueden ser consultados en la página web de Colombia Compra Eficiente, a través del siguiente enlace: </w:t>
      </w:r>
      <w:hyperlink r:id="rId1" w:history="1">
        <w:r w:rsidRPr="00590BB7">
          <w:rPr>
            <w:rStyle w:val="Hipervnculo"/>
            <w:rFonts w:ascii="Verdana" w:hAnsi="Verdana"/>
            <w:sz w:val="18"/>
            <w:szCs w:val="18"/>
          </w:rPr>
          <w:t>https://www.colombiacompra.gov.co/documentos-tipo/documentos-tipo</w:t>
        </w:r>
      </w:hyperlink>
      <w:r w:rsidRPr="00590BB7">
        <w:rPr>
          <w:rFonts w:ascii="Verdana" w:hAnsi="Verdana"/>
          <w:sz w:val="18"/>
          <w:szCs w:val="18"/>
        </w:rPr>
        <w:t xml:space="preserve"> </w:t>
      </w:r>
    </w:p>
  </w:footnote>
  <w:footnote w:id="3">
    <w:p w14:paraId="244C9C86" w14:textId="77777777" w:rsidR="00823549" w:rsidRPr="006556CC" w:rsidRDefault="00823549" w:rsidP="00823549">
      <w:pPr>
        <w:pStyle w:val="Textonotapie"/>
        <w:ind w:firstLine="708"/>
        <w:jc w:val="both"/>
        <w:rPr>
          <w:rFonts w:ascii="Verdana" w:hAnsi="Verdana" w:cs="Arial"/>
          <w:color w:val="000000"/>
          <w:sz w:val="18"/>
          <w:szCs w:val="18"/>
        </w:rPr>
      </w:pPr>
      <w:r w:rsidRPr="006556CC">
        <w:rPr>
          <w:rStyle w:val="Refdenotaalpie"/>
          <w:rFonts w:ascii="Verdana" w:hAnsi="Verdana" w:cs="Arial"/>
          <w:color w:val="000000"/>
          <w:sz w:val="18"/>
          <w:szCs w:val="18"/>
        </w:rPr>
        <w:footnoteRef/>
      </w:r>
      <w:r w:rsidRPr="006556CC">
        <w:rPr>
          <w:rFonts w:ascii="Verdana" w:hAnsi="Verdana" w:cs="Arial"/>
          <w:color w:val="000000"/>
          <w:sz w:val="18"/>
          <w:szCs w:val="18"/>
        </w:rPr>
        <w:t xml:space="preserve"> Artículo 2.2.1.1.2.1.1. del Decreto 1082 de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1492209491">
    <w:abstractNumId w:val="5"/>
  </w:num>
  <w:num w:numId="18" w16cid:durableId="679089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158F"/>
    <w:rsid w:val="00061B2A"/>
    <w:rsid w:val="00082362"/>
    <w:rsid w:val="00093F11"/>
    <w:rsid w:val="000A683E"/>
    <w:rsid w:val="000B19B9"/>
    <w:rsid w:val="000D0334"/>
    <w:rsid w:val="000D160C"/>
    <w:rsid w:val="000F6486"/>
    <w:rsid w:val="0011619B"/>
    <w:rsid w:val="0012190D"/>
    <w:rsid w:val="001234BC"/>
    <w:rsid w:val="00125105"/>
    <w:rsid w:val="00127233"/>
    <w:rsid w:val="0016375B"/>
    <w:rsid w:val="001A3081"/>
    <w:rsid w:val="001B5FB8"/>
    <w:rsid w:val="001E4177"/>
    <w:rsid w:val="001F7DC6"/>
    <w:rsid w:val="002421BB"/>
    <w:rsid w:val="002469C5"/>
    <w:rsid w:val="00250531"/>
    <w:rsid w:val="0025796E"/>
    <w:rsid w:val="002707A2"/>
    <w:rsid w:val="002951A0"/>
    <w:rsid w:val="00295B6D"/>
    <w:rsid w:val="002962BC"/>
    <w:rsid w:val="002A093D"/>
    <w:rsid w:val="002A0DD0"/>
    <w:rsid w:val="002A49AC"/>
    <w:rsid w:val="002A64FD"/>
    <w:rsid w:val="002C7A84"/>
    <w:rsid w:val="002E4FD9"/>
    <w:rsid w:val="00322A85"/>
    <w:rsid w:val="00324168"/>
    <w:rsid w:val="003448F4"/>
    <w:rsid w:val="0035033B"/>
    <w:rsid w:val="00357338"/>
    <w:rsid w:val="00374F5E"/>
    <w:rsid w:val="00377E3E"/>
    <w:rsid w:val="00386A52"/>
    <w:rsid w:val="003A26D1"/>
    <w:rsid w:val="003A779E"/>
    <w:rsid w:val="003B659D"/>
    <w:rsid w:val="003D0F4D"/>
    <w:rsid w:val="003D5B0D"/>
    <w:rsid w:val="003E0499"/>
    <w:rsid w:val="003F3941"/>
    <w:rsid w:val="00406575"/>
    <w:rsid w:val="0042722E"/>
    <w:rsid w:val="00430A98"/>
    <w:rsid w:val="0044528D"/>
    <w:rsid w:val="0044550A"/>
    <w:rsid w:val="004A1847"/>
    <w:rsid w:val="004A305D"/>
    <w:rsid w:val="004A4067"/>
    <w:rsid w:val="004F21C4"/>
    <w:rsid w:val="004F685F"/>
    <w:rsid w:val="00546814"/>
    <w:rsid w:val="005566E8"/>
    <w:rsid w:val="00574867"/>
    <w:rsid w:val="00591460"/>
    <w:rsid w:val="00592628"/>
    <w:rsid w:val="00595A11"/>
    <w:rsid w:val="005962BE"/>
    <w:rsid w:val="005C3777"/>
    <w:rsid w:val="005C5CDC"/>
    <w:rsid w:val="005D476C"/>
    <w:rsid w:val="00610812"/>
    <w:rsid w:val="006219F8"/>
    <w:rsid w:val="00650FF7"/>
    <w:rsid w:val="00660A37"/>
    <w:rsid w:val="00665D70"/>
    <w:rsid w:val="00667AC8"/>
    <w:rsid w:val="00671DAC"/>
    <w:rsid w:val="0068361A"/>
    <w:rsid w:val="006900D9"/>
    <w:rsid w:val="006D12F8"/>
    <w:rsid w:val="006E4AAD"/>
    <w:rsid w:val="006E61E9"/>
    <w:rsid w:val="00706C16"/>
    <w:rsid w:val="00716418"/>
    <w:rsid w:val="00756841"/>
    <w:rsid w:val="007649AB"/>
    <w:rsid w:val="00771D0C"/>
    <w:rsid w:val="007833AC"/>
    <w:rsid w:val="00785CC1"/>
    <w:rsid w:val="007A7559"/>
    <w:rsid w:val="007B268C"/>
    <w:rsid w:val="007B7171"/>
    <w:rsid w:val="007C0C0F"/>
    <w:rsid w:val="007C3DC2"/>
    <w:rsid w:val="007C79F2"/>
    <w:rsid w:val="007E5497"/>
    <w:rsid w:val="00806F5F"/>
    <w:rsid w:val="00816F17"/>
    <w:rsid w:val="00820278"/>
    <w:rsid w:val="008223FD"/>
    <w:rsid w:val="00823549"/>
    <w:rsid w:val="0085081A"/>
    <w:rsid w:val="008843B6"/>
    <w:rsid w:val="00891928"/>
    <w:rsid w:val="008A446D"/>
    <w:rsid w:val="008D180B"/>
    <w:rsid w:val="008F0EA7"/>
    <w:rsid w:val="009148C3"/>
    <w:rsid w:val="00923EEF"/>
    <w:rsid w:val="009419F9"/>
    <w:rsid w:val="0095685E"/>
    <w:rsid w:val="00961B09"/>
    <w:rsid w:val="00965334"/>
    <w:rsid w:val="00966E22"/>
    <w:rsid w:val="0097093E"/>
    <w:rsid w:val="009A0DFA"/>
    <w:rsid w:val="009A2704"/>
    <w:rsid w:val="009B1245"/>
    <w:rsid w:val="009B2D26"/>
    <w:rsid w:val="009C71FA"/>
    <w:rsid w:val="009C72E7"/>
    <w:rsid w:val="009D1A0C"/>
    <w:rsid w:val="009D3058"/>
    <w:rsid w:val="009E5BC1"/>
    <w:rsid w:val="009F3A13"/>
    <w:rsid w:val="00A122D3"/>
    <w:rsid w:val="00A17F13"/>
    <w:rsid w:val="00A20739"/>
    <w:rsid w:val="00A33C78"/>
    <w:rsid w:val="00A87F19"/>
    <w:rsid w:val="00AB0ADB"/>
    <w:rsid w:val="00AF1DEB"/>
    <w:rsid w:val="00B01B1A"/>
    <w:rsid w:val="00B17592"/>
    <w:rsid w:val="00B62842"/>
    <w:rsid w:val="00B72CD3"/>
    <w:rsid w:val="00B72FFF"/>
    <w:rsid w:val="00BA00D5"/>
    <w:rsid w:val="00BB3B0B"/>
    <w:rsid w:val="00BC3D36"/>
    <w:rsid w:val="00BD7F72"/>
    <w:rsid w:val="00C04032"/>
    <w:rsid w:val="00C04FB3"/>
    <w:rsid w:val="00C330EB"/>
    <w:rsid w:val="00C604ED"/>
    <w:rsid w:val="00C754BE"/>
    <w:rsid w:val="00C76B1C"/>
    <w:rsid w:val="00C81FD3"/>
    <w:rsid w:val="00C8461C"/>
    <w:rsid w:val="00C96042"/>
    <w:rsid w:val="00CB6357"/>
    <w:rsid w:val="00CC1B26"/>
    <w:rsid w:val="00D02A1A"/>
    <w:rsid w:val="00D16469"/>
    <w:rsid w:val="00D423A2"/>
    <w:rsid w:val="00D520D8"/>
    <w:rsid w:val="00D63AC2"/>
    <w:rsid w:val="00D7383B"/>
    <w:rsid w:val="00D94597"/>
    <w:rsid w:val="00DA231B"/>
    <w:rsid w:val="00DA23A0"/>
    <w:rsid w:val="00DC39FC"/>
    <w:rsid w:val="00DF5254"/>
    <w:rsid w:val="00E007C9"/>
    <w:rsid w:val="00E16408"/>
    <w:rsid w:val="00E20894"/>
    <w:rsid w:val="00E245AB"/>
    <w:rsid w:val="00E2735D"/>
    <w:rsid w:val="00E2764C"/>
    <w:rsid w:val="00E27F2E"/>
    <w:rsid w:val="00E413EA"/>
    <w:rsid w:val="00E50AFE"/>
    <w:rsid w:val="00E61983"/>
    <w:rsid w:val="00E657A5"/>
    <w:rsid w:val="00E75C92"/>
    <w:rsid w:val="00E771DC"/>
    <w:rsid w:val="00E8772A"/>
    <w:rsid w:val="00E90F6B"/>
    <w:rsid w:val="00E92C27"/>
    <w:rsid w:val="00EA0E3D"/>
    <w:rsid w:val="00EC38A7"/>
    <w:rsid w:val="00EC5D4A"/>
    <w:rsid w:val="00ED12B3"/>
    <w:rsid w:val="00EE1AA8"/>
    <w:rsid w:val="00F31EDC"/>
    <w:rsid w:val="00F462B3"/>
    <w:rsid w:val="00F5664F"/>
    <w:rsid w:val="00F61AF5"/>
    <w:rsid w:val="00F666C4"/>
    <w:rsid w:val="00F76AFC"/>
    <w:rsid w:val="00FA47C0"/>
    <w:rsid w:val="00FB5DD1"/>
    <w:rsid w:val="00FC2B5D"/>
    <w:rsid w:val="00FE04B0"/>
    <w:rsid w:val="00FE2D25"/>
    <w:rsid w:val="00FF1449"/>
    <w:rsid w:val="0169AFC0"/>
    <w:rsid w:val="0AC32F6E"/>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823549"/>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content%2Fborrador-de-documentos-tipo-de-interventoria-de-obra-publica-de-infraestructura-de&amp;data=05%7C02%7Ckevin.herrera%40colombiacompra.gov.co%7C096eca3fdcca424ff1c708dcf932f947%7C7b09041e245149d08cb179d5e3d8c1be%7C0%7C0%7C638659244551600404%7CUnknown%7CTWFpbGZsb3d8eyJWIjoiMC4wLjAwMDAiLCJQIjoiV2luMzIiLCJBTiI6Ik1haWwiLCJXVCI6Mn0%3D%7C0%7C%7C%7C&amp;sdata=bo7Xu1wMKpB5be6C9FxxwEmojS7L0PlxvfdV25sn3RQ%3D&amp;reserved=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www.colombiacompra.gov.co%2Fcontent%2Fborrador-de-documentos-tipo-de-consultoria-de-obra-publica-de-infraestructura-de-transporte&amp;data=05%7C02%7Ckevin.herrera%40colombiacompra.gov.co%7C096eca3fdcca424ff1c708dcf932f947%7C7b09041e245149d08cb179d5e3d8c1be%7C0%7C0%7C638659244551577035%7CUnknown%7CTWFpbGZsb3d8eyJWIjoiMC4wLjAwMDAiLCJQIjoiV2luMzIiLCJBTiI6Ik1haWwiLCJXVCI6Mn0%3D%7C0%7C%7C%7C&amp;sdata=f2ZVsSCKE9SC3BL6gJc1Cb6EeYVm2PKHBsSxa531DQE%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content/documentos-tipo-para-licitacion-de-obra-publica-de-infraestructura-de-transporte-version-04"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ala-de-prensa%2Fboletin-digital&amp;data=05%7C02%7Ckevin.herrera%40colombiacompra.gov.co%7C096eca3fdcca424ff1c708dcf932f947%7C7b09041e245149d08cb179d5e3d8c1be%7C0%7C0%7C638659244551636688%7CUnknown%7CTWFpbGZsb3d8eyJWIjoiMC4wLjAwMDAiLCJQIjoiV2luMzIiLCJBTiI6Ik1haWwiLCJXVCI6Mn0%3D%7C0%7C%7C%7C&amp;sdata=LaZ7bwO%2Ff2Yqrf%2BPk6mWxRZIUvBgGLgkBu6Y4JUnOLs%3D&amp;reserved=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sucop.gov.co%2Fentidades%2Fcolombiacompra%2FNormativa%3FIDNorma%3D18320&amp;data=05%7C02%7Ckevin.herrera%40colombiacompra.gov.co%7C096eca3fdcca424ff1c708dcf932f947%7C7b09041e245149d08cb179d5e3d8c1be%7C0%7C0%7C638659244551618609%7CUnknown%7CTWFpbGZsb3d8eyJWIjoiMC4wLjAwMDAiLCJQIjoiV2luMzIiLCJBTiI6Ik1haWwiLCJXVCI6Mn0%3D%7C0%7C%7C%7C&amp;sdata=0LtE4nWA%2FtymYwuE9u52bCCXGl6jM%2FU4dy5rldSEpHs%3D&amp;reserved=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documentos-tipo/documentos-tip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purl.org/dc/dcmitype/"/>
    <ds:schemaRef ds:uri="http://schemas.openxmlformats.org/package/2006/metadata/core-properties"/>
    <ds:schemaRef ds:uri="http://schemas.microsoft.com/office/2006/metadata/properties"/>
    <ds:schemaRef ds:uri="http://purl.org/dc/terms/"/>
    <ds:schemaRef ds:uri="http://schemas.microsoft.com/office/2006/documentManagement/types"/>
    <ds:schemaRef ds:uri="9d85dbaf-23eb-4e57-a637-93dcacc8b1a1"/>
    <ds:schemaRef ds:uri="http://schemas.microsoft.com/office/infopath/2007/PartnerControls"/>
    <ds:schemaRef ds:uri="http://purl.org/dc/elements/1.1/"/>
    <ds:schemaRef ds:uri="a6cb9e4b-f1d1-4245-83ec-6cad768d538a"/>
    <ds:schemaRef ds:uri="http://www.w3.org/XML/1998/namespace"/>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8AA76A41-B2BA-47E4-8134-757F71B2A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2818</Words>
  <Characters>15500</Characters>
  <Application>Microsoft Office Word</Application>
  <DocSecurity>0</DocSecurity>
  <Lines>129</Lines>
  <Paragraphs>36</Paragraphs>
  <ScaleCrop>false</ScaleCrop>
  <Company/>
  <LinksUpToDate>false</LinksUpToDate>
  <CharactersWithSpaces>18282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2024-11-26T15:45:00Z</dcterms:created>
  <dcterms:modified xsi:type="dcterms:W3CDTF">2024-11-26T15:45:00Z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