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3FFB" w14:textId="127E4A9B" w:rsidR="00006E99" w:rsidRPr="00006E99" w:rsidRDefault="00006E99" w:rsidP="00006E99">
      <w:pPr>
        <w:spacing w:after="0"/>
        <w:jc w:val="both"/>
        <w:rPr>
          <w:rFonts w:ascii="Verdana" w:hAnsi="Verdana"/>
        </w:rPr>
      </w:pPr>
      <w:bookmarkStart w:id="0" w:name="_Hlk143780582"/>
      <w:r w:rsidRPr="00006E99">
        <w:rPr>
          <w:rFonts w:ascii="Verdana" w:eastAsia="Calibri" w:hAnsi="Verdana" w:cs="Arial"/>
          <w:b/>
          <w:bCs/>
          <w:lang w:val="es-ES_tradnl" w:eastAsia="es-ES"/>
        </w:rPr>
        <w:t xml:space="preserve">DOCUMENTOS TIPO – Generalidades – </w:t>
      </w:r>
      <w:r w:rsidRPr="00006E99">
        <w:rPr>
          <w:rFonts w:ascii="Verdana" w:eastAsia="Aptos" w:hAnsi="Verdana" w:cs="Times New Roman"/>
          <w:b/>
          <w:bCs/>
          <w:kern w:val="2"/>
          <w:lang w:val="es-ES_tradnl" w:eastAsia="es-ES"/>
          <w14:ligatures w14:val="standardContextual"/>
        </w:rPr>
        <w:t xml:space="preserve">Obligatoriedad </w:t>
      </w:r>
    </w:p>
    <w:p w14:paraId="4D0D4A4A" w14:textId="77777777" w:rsidR="00006E99" w:rsidRPr="00006E99" w:rsidRDefault="00006E99" w:rsidP="00006E99">
      <w:pPr>
        <w:spacing w:after="0" w:line="276" w:lineRule="auto"/>
        <w:jc w:val="both"/>
        <w:rPr>
          <w:rFonts w:ascii="Verdana" w:eastAsia="Calibri" w:hAnsi="Verdana" w:cs="Arial"/>
          <w:b/>
          <w:bCs/>
          <w:lang w:val="es-ES_tradnl" w:eastAsia="es-ES"/>
        </w:rPr>
      </w:pPr>
    </w:p>
    <w:p w14:paraId="11E7C503" w14:textId="64E3AD44" w:rsidR="00006E99" w:rsidRPr="00006E99" w:rsidRDefault="00BF6650" w:rsidP="00006E99">
      <w:pPr>
        <w:spacing w:after="0" w:line="240" w:lineRule="auto"/>
        <w:jc w:val="both"/>
        <w:rPr>
          <w:rFonts w:ascii="Verdana" w:eastAsia="Calibri" w:hAnsi="Verdana" w:cs="Arial"/>
          <w:sz w:val="20"/>
          <w:szCs w:val="20"/>
          <w:lang w:val="es-ES_tradnl"/>
        </w:rPr>
      </w:pPr>
      <w:r w:rsidRPr="00BF6650">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037DCC8D" w14:textId="77777777" w:rsidR="00006E99" w:rsidRPr="00006E99" w:rsidRDefault="00006E99" w:rsidP="00006E99">
      <w:pPr>
        <w:spacing w:after="0" w:line="240" w:lineRule="auto"/>
        <w:jc w:val="both"/>
        <w:rPr>
          <w:rFonts w:ascii="Verdana" w:eastAsia="Geomanist Light" w:hAnsi="Verdana" w:cs="Arial"/>
          <w:b/>
          <w:bCs/>
          <w:lang w:val="es-ES_tradnl"/>
        </w:rPr>
      </w:pPr>
    </w:p>
    <w:p w14:paraId="0C1CE324" w14:textId="77777777" w:rsidR="00006E99" w:rsidRPr="00006E99" w:rsidRDefault="00006E99" w:rsidP="00006E99">
      <w:pPr>
        <w:spacing w:after="0" w:line="276" w:lineRule="auto"/>
        <w:jc w:val="both"/>
        <w:rPr>
          <w:rFonts w:ascii="Verdana" w:eastAsia="Geomanist Light" w:hAnsi="Verdana" w:cs="Arial"/>
          <w:b/>
          <w:bCs/>
          <w:lang w:val="es-ES_tradnl"/>
        </w:rPr>
      </w:pPr>
      <w:r w:rsidRPr="00006E99">
        <w:rPr>
          <w:rFonts w:ascii="Verdana" w:eastAsia="Geomanist Light" w:hAnsi="Verdana" w:cs="Arial"/>
          <w:b/>
          <w:bCs/>
          <w:lang w:val="es-ES_tradnl"/>
        </w:rPr>
        <w:t>PROCESOS ESTRUCTURADOS POR LOTES O GRUPOS – Documentos Tipo – Ofertas en varios lotes – Posibilidad – Restricciones</w:t>
      </w:r>
    </w:p>
    <w:p w14:paraId="4B428C1B" w14:textId="77777777" w:rsidR="00006E99" w:rsidRPr="00006E99" w:rsidRDefault="00006E99" w:rsidP="00006E99">
      <w:pPr>
        <w:spacing w:after="0" w:line="240" w:lineRule="auto"/>
        <w:jc w:val="both"/>
        <w:rPr>
          <w:rFonts w:ascii="Verdana" w:eastAsia="Geomanist Light" w:hAnsi="Verdana" w:cs="Arial"/>
          <w:lang w:val="es-ES_tradnl"/>
        </w:rPr>
      </w:pPr>
    </w:p>
    <w:p w14:paraId="54FDC4DE" w14:textId="7B6DDC30" w:rsidR="00BF6650" w:rsidRPr="00BF6650" w:rsidRDefault="00BF6650" w:rsidP="00BF6650">
      <w:pPr>
        <w:spacing w:after="0" w:line="240" w:lineRule="auto"/>
        <w:jc w:val="both"/>
        <w:rPr>
          <w:rFonts w:ascii="Verdana" w:eastAsia="Geomanist Light" w:hAnsi="Verdana" w:cs="Arial"/>
          <w:sz w:val="20"/>
          <w:szCs w:val="20"/>
          <w:lang w:val="es-ES"/>
        </w:rPr>
      </w:pPr>
      <w:r w:rsidRPr="00BF6650">
        <w:rPr>
          <w:rFonts w:ascii="Verdana" w:eastAsia="Geomanist Light" w:hAnsi="Verdana" w:cs="Arial"/>
          <w:sz w:val="20"/>
          <w:szCs w:val="20"/>
          <w:lang w:val="es-ES"/>
        </w:rPr>
        <w:t xml:space="preserve">De lo dicho pueden extraerse varias conclusiones. En primer lugar, de conformidad con los “Documentos Tipo – Versión 3” para licitación de obra pública de infraestructura de transporte,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sí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w:t>
      </w:r>
    </w:p>
    <w:p w14:paraId="68420D1C" w14:textId="77777777" w:rsidR="00BF6650" w:rsidRDefault="00BF6650" w:rsidP="00BF6650">
      <w:pPr>
        <w:spacing w:after="0" w:line="240" w:lineRule="auto"/>
        <w:jc w:val="both"/>
        <w:rPr>
          <w:rFonts w:ascii="Verdana" w:eastAsia="Geomanist Light" w:hAnsi="Verdana" w:cs="Arial"/>
          <w:sz w:val="20"/>
          <w:szCs w:val="20"/>
          <w:lang w:val="es-ES"/>
        </w:rPr>
      </w:pPr>
    </w:p>
    <w:p w14:paraId="30F4900C" w14:textId="28ABF77C" w:rsidR="00006E99" w:rsidRPr="00006E99" w:rsidRDefault="00BF6650" w:rsidP="00BF6650">
      <w:pPr>
        <w:spacing w:after="0" w:line="240" w:lineRule="auto"/>
        <w:jc w:val="both"/>
        <w:rPr>
          <w:rFonts w:ascii="Verdana" w:eastAsia="Geomanist Light" w:hAnsi="Verdana" w:cs="Arial"/>
          <w:sz w:val="20"/>
          <w:szCs w:val="20"/>
          <w:lang w:val="es-ES"/>
        </w:rPr>
      </w:pPr>
      <w:r w:rsidRPr="00BF6650">
        <w:rPr>
          <w:rFonts w:ascii="Verdana" w:eastAsia="Geomanist Light" w:hAnsi="Verdana" w:cs="Arial"/>
          <w:sz w:val="20"/>
          <w:szCs w:val="20"/>
          <w:lang w:val="es-ES"/>
        </w:rPr>
        <w:t>Así las cosas, es claro que en los procesos regidos por los documentos tipo de licitación para obra pública de infraestructura de transporte, los proponentes podrán presentar propuesta a dos o más lotes o grupos distintos, ya sea que se presente como proponente singular o integrante de un proponente plural, siempre que la entidad haya establecido esta posibilidad en los términos señalados en el numeral 2.10 del pliego de condiciones. Por consiguiente, no es posible rechazar a un proponente que se presente a dos o más lotes diferentes en el evento en que la entidad haya permitido esta posibilidad, máxime que no se consagra una causal de rechazo que contemple esta circunstancia.</w:t>
      </w:r>
    </w:p>
    <w:p w14:paraId="3146F0A8" w14:textId="77777777" w:rsidR="00006E99" w:rsidRPr="00006E99" w:rsidRDefault="00006E99" w:rsidP="00006E99">
      <w:pPr>
        <w:spacing w:after="0" w:line="240" w:lineRule="auto"/>
        <w:rPr>
          <w:rFonts w:ascii="Verdana" w:eastAsia="Geomanist Light" w:hAnsi="Verdana" w:cs="Arial"/>
          <w:lang w:val="es-ES_tradnl"/>
        </w:rPr>
      </w:pPr>
    </w:p>
    <w:p w14:paraId="098B1DC6" w14:textId="77777777" w:rsidR="00006E99" w:rsidRPr="00006E99" w:rsidRDefault="00006E99" w:rsidP="00006E99">
      <w:pPr>
        <w:spacing w:after="0" w:line="240" w:lineRule="auto"/>
        <w:rPr>
          <w:rFonts w:ascii="Verdana" w:eastAsia="Geomanist Light" w:hAnsi="Verdana" w:cs="Arial"/>
          <w:lang w:val="es-ES_tradnl"/>
        </w:rPr>
      </w:pPr>
    </w:p>
    <w:p w14:paraId="3901E602" w14:textId="77777777" w:rsidR="00006E99" w:rsidRPr="00006E99" w:rsidRDefault="00006E99" w:rsidP="00006E99">
      <w:pPr>
        <w:spacing w:after="0" w:line="240" w:lineRule="auto"/>
        <w:rPr>
          <w:rFonts w:ascii="Verdana" w:eastAsia="Geomanist Light" w:hAnsi="Verdana" w:cs="Arial"/>
          <w:lang w:val="es-ES_tradnl"/>
        </w:rPr>
      </w:pPr>
    </w:p>
    <w:p w14:paraId="18E1B398" w14:textId="77777777" w:rsidR="00006E99" w:rsidRPr="00006E99" w:rsidRDefault="00006E99" w:rsidP="00006E99">
      <w:pPr>
        <w:spacing w:after="0" w:line="240" w:lineRule="auto"/>
        <w:rPr>
          <w:rFonts w:ascii="Verdana" w:eastAsia="Calibri" w:hAnsi="Verdana" w:cs="Times New Roman"/>
          <w:lang w:val="es-ES_tradnl"/>
        </w:rPr>
      </w:pPr>
    </w:p>
    <w:p w14:paraId="25B39208" w14:textId="77777777" w:rsidR="00006E99" w:rsidRPr="00006E99" w:rsidRDefault="00006E99" w:rsidP="00006E99">
      <w:pPr>
        <w:spacing w:after="0" w:line="240" w:lineRule="auto"/>
        <w:rPr>
          <w:rFonts w:ascii="Verdana" w:eastAsia="Calibri" w:hAnsi="Verdana" w:cs="Times New Roman"/>
          <w:lang w:val="es-ES_tradnl"/>
        </w:rPr>
      </w:pPr>
    </w:p>
    <w:p w14:paraId="74F5FF24" w14:textId="77777777" w:rsidR="00006E99" w:rsidRPr="00006E99" w:rsidRDefault="00006E99" w:rsidP="00006E99">
      <w:pPr>
        <w:spacing w:after="0" w:line="240" w:lineRule="auto"/>
        <w:rPr>
          <w:rFonts w:ascii="Verdana" w:eastAsia="Calibri" w:hAnsi="Verdana" w:cs="Times New Roman"/>
          <w:lang w:val="es-ES_tradnl"/>
        </w:rPr>
      </w:pPr>
    </w:p>
    <w:p w14:paraId="1C49F7CC" w14:textId="77777777" w:rsidR="00006E99" w:rsidRPr="00006E99" w:rsidRDefault="00006E99" w:rsidP="00006E99">
      <w:pPr>
        <w:spacing w:after="0" w:line="240" w:lineRule="auto"/>
        <w:rPr>
          <w:rFonts w:ascii="Verdana" w:eastAsia="Calibri" w:hAnsi="Verdana" w:cs="Times New Roman"/>
          <w:lang w:val="es-ES_tradnl"/>
        </w:rPr>
      </w:pPr>
    </w:p>
    <w:p w14:paraId="5CB4205A" w14:textId="77777777" w:rsidR="00006E99" w:rsidRPr="00006E99" w:rsidRDefault="00006E99" w:rsidP="00006E99">
      <w:pPr>
        <w:spacing w:after="0" w:line="240" w:lineRule="auto"/>
        <w:rPr>
          <w:rFonts w:ascii="Verdana" w:eastAsia="Calibri" w:hAnsi="Verdana" w:cs="Times New Roman"/>
          <w:lang w:val="es-ES_tradnl"/>
        </w:rPr>
      </w:pPr>
    </w:p>
    <w:p w14:paraId="054A1555" w14:textId="77777777" w:rsidR="00006E99" w:rsidRPr="00006E99" w:rsidRDefault="00006E99" w:rsidP="00006E99">
      <w:pPr>
        <w:spacing w:after="0" w:line="240" w:lineRule="auto"/>
        <w:jc w:val="both"/>
        <w:rPr>
          <w:rFonts w:ascii="Verdana" w:eastAsia="Calibri" w:hAnsi="Verdana" w:cs="Times New Roman"/>
          <w:lang w:val="es-ES_tradnl"/>
        </w:rPr>
      </w:pPr>
    </w:p>
    <w:p w14:paraId="0621224B" w14:textId="1200C4A0" w:rsidR="00006E99" w:rsidRDefault="00006E99" w:rsidP="00006E99">
      <w:pPr>
        <w:spacing w:after="0" w:line="240" w:lineRule="auto"/>
        <w:jc w:val="both"/>
        <w:rPr>
          <w:rFonts w:ascii="Verdana" w:eastAsia="Calibri" w:hAnsi="Verdana" w:cs="Times New Roman"/>
          <w:lang w:val="es-ES_tradnl"/>
        </w:rPr>
      </w:pPr>
    </w:p>
    <w:p w14:paraId="56DA74FB" w14:textId="77777777" w:rsidR="00006E99" w:rsidRDefault="00006E99" w:rsidP="00006E99">
      <w:pPr>
        <w:spacing w:after="0" w:line="240" w:lineRule="auto"/>
        <w:jc w:val="both"/>
        <w:rPr>
          <w:rFonts w:ascii="Verdana" w:eastAsia="Calibri" w:hAnsi="Verdana" w:cs="Times New Roman"/>
          <w:lang w:val="es-ES_tradnl"/>
        </w:rPr>
      </w:pPr>
    </w:p>
    <w:p w14:paraId="009A76D2" w14:textId="77777777" w:rsidR="00006E99" w:rsidRDefault="00006E99" w:rsidP="00006E99">
      <w:pPr>
        <w:spacing w:after="0" w:line="240" w:lineRule="auto"/>
        <w:jc w:val="both"/>
        <w:rPr>
          <w:rFonts w:ascii="Verdana" w:eastAsia="Calibri" w:hAnsi="Verdana" w:cs="Times New Roman"/>
          <w:lang w:val="es-ES_tradnl"/>
        </w:rPr>
      </w:pPr>
    </w:p>
    <w:p w14:paraId="1313CBDD" w14:textId="77777777" w:rsidR="00006E99" w:rsidRDefault="00006E99" w:rsidP="00006E99">
      <w:pPr>
        <w:spacing w:after="0" w:line="240" w:lineRule="auto"/>
        <w:jc w:val="both"/>
        <w:rPr>
          <w:rFonts w:ascii="Verdana" w:eastAsia="Calibri" w:hAnsi="Verdana" w:cs="Times New Roman"/>
          <w:lang w:val="es-ES_tradnl"/>
        </w:rPr>
      </w:pPr>
    </w:p>
    <w:p w14:paraId="5766162C" w14:textId="77777777" w:rsidR="00006E99" w:rsidRDefault="00006E99" w:rsidP="00006E99">
      <w:pPr>
        <w:spacing w:after="0" w:line="240" w:lineRule="auto"/>
        <w:jc w:val="both"/>
        <w:rPr>
          <w:rFonts w:ascii="Verdana" w:eastAsia="Calibri" w:hAnsi="Verdana" w:cs="Times New Roman"/>
          <w:lang w:val="es-ES_tradnl"/>
        </w:rPr>
      </w:pPr>
    </w:p>
    <w:p w14:paraId="3A485042" w14:textId="2F2F570C" w:rsidR="00006E99" w:rsidRPr="00006E99" w:rsidRDefault="00006E99" w:rsidP="00006E99">
      <w:pPr>
        <w:spacing w:after="0" w:line="240" w:lineRule="auto"/>
        <w:jc w:val="both"/>
        <w:rPr>
          <w:rFonts w:ascii="Verdana" w:eastAsia="Calibri" w:hAnsi="Verdana" w:cs="Arial"/>
          <w:lang w:val="es-ES_tradnl"/>
        </w:rPr>
      </w:pPr>
      <w:r w:rsidRPr="0044528D">
        <w:rPr>
          <w:rFonts w:ascii="Verdana" w:hAnsi="Verdana"/>
        </w:rPr>
        <w:lastRenderedPageBreak/>
        <w:t>Bogotá D.C.</w:t>
      </w:r>
    </w:p>
    <w:p w14:paraId="402D4481" w14:textId="77777777" w:rsidR="00006E99" w:rsidRPr="00006E99" w:rsidRDefault="00006E99" w:rsidP="00006E99">
      <w:pPr>
        <w:spacing w:after="0" w:line="240" w:lineRule="auto"/>
        <w:jc w:val="both"/>
        <w:rPr>
          <w:rFonts w:ascii="Verdana" w:eastAsia="Calibri" w:hAnsi="Verdana" w:cs="Arial"/>
          <w:lang w:val="es-ES_tradnl" w:eastAsia="es-ES"/>
        </w:rPr>
      </w:pPr>
    </w:p>
    <w:p w14:paraId="23A9D79D" w14:textId="098609BC" w:rsidR="00006E99" w:rsidRPr="00006E99" w:rsidRDefault="00313921" w:rsidP="00313921">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763036C1" wp14:editId="7B553492">
            <wp:extent cx="3764176" cy="1091066"/>
            <wp:effectExtent l="0" t="0" r="0" b="1270"/>
            <wp:docPr id="1444943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43757" name="Imagen 1444943757"/>
                    <pic:cNvPicPr/>
                  </pic:nvPicPr>
                  <pic:blipFill>
                    <a:blip r:embed="rId10">
                      <a:extLst>
                        <a:ext uri="{28A0092B-C50C-407E-A947-70E740481C1C}">
                          <a14:useLocalDpi xmlns:a14="http://schemas.microsoft.com/office/drawing/2010/main" val="0"/>
                        </a:ext>
                      </a:extLst>
                    </a:blip>
                    <a:stretch>
                      <a:fillRect/>
                    </a:stretch>
                  </pic:blipFill>
                  <pic:spPr>
                    <a:xfrm>
                      <a:off x="0" y="0"/>
                      <a:ext cx="3784629" cy="1096994"/>
                    </a:xfrm>
                    <a:prstGeom prst="rect">
                      <a:avLst/>
                    </a:prstGeom>
                  </pic:spPr>
                </pic:pic>
              </a:graphicData>
            </a:graphic>
          </wp:inline>
        </w:drawing>
      </w:r>
    </w:p>
    <w:p w14:paraId="45C17834" w14:textId="77777777" w:rsidR="00006E99" w:rsidRPr="00006E99" w:rsidRDefault="00006E99" w:rsidP="00006E99">
      <w:pPr>
        <w:spacing w:after="0" w:line="240" w:lineRule="auto"/>
        <w:jc w:val="both"/>
        <w:rPr>
          <w:rFonts w:ascii="Verdana" w:eastAsia="Calibri" w:hAnsi="Verdana" w:cs="Arial"/>
          <w:lang w:val="es-ES_tradnl" w:eastAsia="es-ES"/>
        </w:rPr>
      </w:pPr>
      <w:r w:rsidRPr="00006E99">
        <w:rPr>
          <w:rFonts w:ascii="Verdana" w:eastAsia="Calibri" w:hAnsi="Verdana" w:cs="Arial"/>
          <w:lang w:val="es-ES_tradnl" w:eastAsia="es-ES"/>
        </w:rPr>
        <w:t>Señor</w:t>
      </w:r>
    </w:p>
    <w:p w14:paraId="2A2D3863" w14:textId="77777777" w:rsidR="00006E99" w:rsidRPr="00006E99" w:rsidRDefault="00006E99" w:rsidP="00006E99">
      <w:pPr>
        <w:spacing w:after="0" w:line="240" w:lineRule="auto"/>
        <w:rPr>
          <w:rFonts w:ascii="Verdana" w:eastAsia="Calibri" w:hAnsi="Verdana" w:cs="Arial"/>
          <w:b/>
          <w:lang w:val="es-ES" w:eastAsia="es-ES"/>
        </w:rPr>
      </w:pPr>
      <w:r w:rsidRPr="02616942">
        <w:rPr>
          <w:rFonts w:ascii="Verdana" w:eastAsia="Calibri" w:hAnsi="Verdana" w:cs="Arial"/>
          <w:b/>
          <w:lang w:val="es-ES" w:eastAsia="es-ES"/>
        </w:rPr>
        <w:t xml:space="preserve">José </w:t>
      </w:r>
      <w:proofErr w:type="spellStart"/>
      <w:r w:rsidRPr="02616942">
        <w:rPr>
          <w:rFonts w:ascii="Verdana" w:eastAsia="Calibri" w:hAnsi="Verdana" w:cs="Arial"/>
          <w:b/>
          <w:lang w:val="es-ES" w:eastAsia="es-ES"/>
        </w:rPr>
        <w:t>Arvey</w:t>
      </w:r>
      <w:proofErr w:type="spellEnd"/>
      <w:r w:rsidRPr="02616942">
        <w:rPr>
          <w:rFonts w:ascii="Verdana" w:eastAsia="Calibri" w:hAnsi="Verdana" w:cs="Arial"/>
          <w:b/>
          <w:lang w:val="es-ES" w:eastAsia="es-ES"/>
        </w:rPr>
        <w:t xml:space="preserve"> Forero Soto</w:t>
      </w:r>
    </w:p>
    <w:p w14:paraId="23D8EB1C" w14:textId="77777777" w:rsidR="00006E99" w:rsidRPr="00006E99" w:rsidRDefault="00006E99" w:rsidP="00006E99">
      <w:pPr>
        <w:spacing w:after="0" w:line="240" w:lineRule="auto"/>
        <w:rPr>
          <w:rFonts w:ascii="Verdana" w:eastAsia="Calibri" w:hAnsi="Verdana" w:cs="Arial"/>
          <w:lang w:val="es-ES_tradnl" w:eastAsia="es-ES"/>
        </w:rPr>
      </w:pPr>
      <w:r w:rsidRPr="00006E99">
        <w:rPr>
          <w:rFonts w:ascii="Verdana" w:eastAsia="Calibri" w:hAnsi="Verdana" w:cs="Arial"/>
          <w:lang w:val="es-ES_tradnl" w:eastAsia="es-ES"/>
        </w:rPr>
        <w:t>Bogotá, D.C.</w:t>
      </w:r>
    </w:p>
    <w:p w14:paraId="53C04D0A" w14:textId="77777777" w:rsidR="00006E99" w:rsidRPr="00006E99" w:rsidRDefault="00006E99" w:rsidP="00006E99">
      <w:pPr>
        <w:spacing w:after="0" w:line="240" w:lineRule="auto"/>
        <w:rPr>
          <w:rFonts w:ascii="Verdana" w:eastAsia="Calibri" w:hAnsi="Verdana" w:cs="Arial"/>
          <w:b/>
          <w:bCs/>
          <w:lang w:val="es-ES_tradnl" w:eastAsia="es-ES_tradnl"/>
        </w:rPr>
      </w:pPr>
    </w:p>
    <w:p w14:paraId="1358577F" w14:textId="77777777" w:rsidR="00006E99" w:rsidRPr="00006E99" w:rsidRDefault="00006E99" w:rsidP="00006E9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06E99" w:rsidRPr="00006E99" w14:paraId="3A095D8D" w14:textId="77777777" w:rsidTr="00E25CC3">
        <w:trPr>
          <w:trHeight w:val="884"/>
        </w:trPr>
        <w:tc>
          <w:tcPr>
            <w:tcW w:w="2689" w:type="dxa"/>
          </w:tcPr>
          <w:p w14:paraId="3F2154F7" w14:textId="77777777" w:rsidR="00006E99" w:rsidRPr="00006E99" w:rsidRDefault="00006E99" w:rsidP="00006E99">
            <w:pPr>
              <w:jc w:val="both"/>
              <w:rPr>
                <w:rFonts w:ascii="Verdana" w:eastAsia="Calibri" w:hAnsi="Verdana" w:cs="Arial"/>
                <w:b/>
                <w:bCs/>
                <w:lang w:val="es-ES_tradnl" w:eastAsia="es-ES_tradnl"/>
              </w:rPr>
            </w:pPr>
          </w:p>
        </w:tc>
        <w:tc>
          <w:tcPr>
            <w:tcW w:w="6100" w:type="dxa"/>
          </w:tcPr>
          <w:p w14:paraId="7CC5598C" w14:textId="77777777" w:rsidR="00006E99" w:rsidRPr="00006E99" w:rsidRDefault="00006E99" w:rsidP="00006E99">
            <w:pPr>
              <w:jc w:val="both"/>
              <w:rPr>
                <w:rFonts w:ascii="Verdana" w:eastAsia="Calibri" w:hAnsi="Verdana" w:cs="Arial"/>
                <w:b/>
                <w:bCs/>
                <w:lang w:val="es-ES_tradnl" w:eastAsia="es-ES"/>
              </w:rPr>
            </w:pPr>
            <w:r w:rsidRPr="00006E99">
              <w:rPr>
                <w:rFonts w:ascii="Verdana" w:eastAsia="Calibri" w:hAnsi="Verdana" w:cs="Arial"/>
                <w:b/>
                <w:bCs/>
                <w:lang w:val="es-ES_tradnl" w:eastAsia="es-ES"/>
              </w:rPr>
              <w:t>Concepto C – 644 de 2024</w:t>
            </w:r>
          </w:p>
        </w:tc>
      </w:tr>
      <w:tr w:rsidR="00006E99" w:rsidRPr="00006E99" w14:paraId="7788DA61" w14:textId="77777777" w:rsidTr="00E25CC3">
        <w:trPr>
          <w:trHeight w:val="884"/>
        </w:trPr>
        <w:tc>
          <w:tcPr>
            <w:tcW w:w="2689" w:type="dxa"/>
          </w:tcPr>
          <w:p w14:paraId="1456B049" w14:textId="77777777" w:rsidR="00006E99" w:rsidRPr="00006E99" w:rsidRDefault="00006E99" w:rsidP="00006E99">
            <w:pPr>
              <w:spacing w:line="276" w:lineRule="auto"/>
              <w:jc w:val="both"/>
              <w:rPr>
                <w:rFonts w:ascii="Verdana" w:eastAsia="Calibri" w:hAnsi="Verdana" w:cs="Arial"/>
                <w:lang w:val="es-ES_tradnl" w:eastAsia="es-ES_tradnl"/>
              </w:rPr>
            </w:pPr>
            <w:r w:rsidRPr="00006E99">
              <w:rPr>
                <w:rFonts w:ascii="Verdana" w:eastAsia="Calibri" w:hAnsi="Verdana" w:cs="Arial"/>
                <w:b/>
                <w:lang w:val="es-ES_tradnl" w:eastAsia="es-ES_tradnl"/>
              </w:rPr>
              <w:t>Temas:</w:t>
            </w:r>
            <w:r w:rsidRPr="00006E99">
              <w:rPr>
                <w:rFonts w:ascii="Verdana" w:eastAsia="Calibri" w:hAnsi="Verdana" w:cs="Arial"/>
                <w:lang w:val="es-ES_tradnl" w:eastAsia="es-ES_tradnl"/>
              </w:rPr>
              <w:t xml:space="preserve">                   </w:t>
            </w:r>
          </w:p>
        </w:tc>
        <w:tc>
          <w:tcPr>
            <w:tcW w:w="6100" w:type="dxa"/>
          </w:tcPr>
          <w:p w14:paraId="5CB58DA0" w14:textId="77777777" w:rsidR="00006E99" w:rsidRPr="00006E99" w:rsidRDefault="00006E99" w:rsidP="00006E99">
            <w:pPr>
              <w:spacing w:line="276" w:lineRule="auto"/>
              <w:jc w:val="both"/>
              <w:rPr>
                <w:rFonts w:ascii="Verdana" w:eastAsia="Geomanist Light" w:hAnsi="Verdana" w:cs="Arial"/>
                <w:lang w:val="es-ES_tradnl"/>
              </w:rPr>
            </w:pPr>
            <w:r w:rsidRPr="00006E99">
              <w:rPr>
                <w:rFonts w:ascii="Verdana" w:eastAsia="Calibri" w:hAnsi="Verdana" w:cs="Arial"/>
                <w:lang w:val="es-ES_tradnl" w:eastAsia="es-ES"/>
              </w:rPr>
              <w:t xml:space="preserve">DOCUMENTOS TIPO – Generalidades – </w:t>
            </w:r>
            <w:r w:rsidRPr="00006E99">
              <w:rPr>
                <w:rFonts w:ascii="Verdana" w:eastAsia="Aptos" w:hAnsi="Verdana" w:cs="Times New Roman"/>
                <w:lang w:val="es-ES_tradnl" w:eastAsia="es-ES"/>
              </w:rPr>
              <w:t xml:space="preserve">Obligatoriedad / </w:t>
            </w:r>
            <w:r w:rsidRPr="00006E99">
              <w:rPr>
                <w:rFonts w:ascii="Verdana" w:eastAsia="Geomanist Light" w:hAnsi="Verdana" w:cs="Arial"/>
                <w:lang w:val="es-ES_tradnl"/>
              </w:rPr>
              <w:t>PROCESOS ESTRUCTURADOS POR LOTES O GRUPOS – Documentos Tipo – Ofertas en varios lotes – Posibilidad – Restricciones</w:t>
            </w:r>
          </w:p>
          <w:p w14:paraId="3C071A4D" w14:textId="77777777" w:rsidR="00006E99" w:rsidRPr="00006E99" w:rsidRDefault="00006E99" w:rsidP="00006E99">
            <w:pPr>
              <w:spacing w:line="276" w:lineRule="auto"/>
              <w:jc w:val="both"/>
              <w:rPr>
                <w:rFonts w:ascii="Verdana" w:eastAsia="Calibri" w:hAnsi="Verdana" w:cs="Arial"/>
                <w:highlight w:val="yellow"/>
                <w:lang w:val="es-ES_tradnl" w:eastAsia="es-ES"/>
              </w:rPr>
            </w:pPr>
          </w:p>
        </w:tc>
      </w:tr>
      <w:tr w:rsidR="00006E99" w:rsidRPr="00006E99" w14:paraId="5685E4E7" w14:textId="77777777" w:rsidTr="00E25CC3">
        <w:tc>
          <w:tcPr>
            <w:tcW w:w="2689" w:type="dxa"/>
          </w:tcPr>
          <w:p w14:paraId="582EB658" w14:textId="77777777" w:rsidR="00006E99" w:rsidRPr="00006E99" w:rsidRDefault="00006E99" w:rsidP="00006E99">
            <w:pPr>
              <w:jc w:val="both"/>
              <w:rPr>
                <w:rFonts w:ascii="Verdana" w:eastAsia="Calibri" w:hAnsi="Verdana" w:cs="Arial"/>
                <w:b/>
                <w:lang w:val="es-ES_tradnl" w:eastAsia="es-ES_tradnl"/>
              </w:rPr>
            </w:pPr>
            <w:r w:rsidRPr="00006E99">
              <w:rPr>
                <w:rFonts w:ascii="Verdana" w:eastAsia="Calibri" w:hAnsi="Verdana" w:cs="Arial"/>
                <w:b/>
                <w:lang w:val="es-ES_tradnl" w:eastAsia="es-ES_tradnl"/>
              </w:rPr>
              <w:t>Radicación:</w:t>
            </w:r>
            <w:r w:rsidRPr="00006E99">
              <w:rPr>
                <w:rFonts w:ascii="Verdana" w:eastAsia="Calibri" w:hAnsi="Verdana" w:cs="Arial"/>
                <w:lang w:val="es-ES_tradnl" w:eastAsia="es-ES_tradnl"/>
              </w:rPr>
              <w:t xml:space="preserve">               </w:t>
            </w:r>
          </w:p>
        </w:tc>
        <w:tc>
          <w:tcPr>
            <w:tcW w:w="6100" w:type="dxa"/>
          </w:tcPr>
          <w:p w14:paraId="13163898" w14:textId="73021410" w:rsidR="00006E99" w:rsidRPr="00006E99" w:rsidRDefault="00006E99" w:rsidP="00006E99">
            <w:pPr>
              <w:jc w:val="both"/>
              <w:rPr>
                <w:rFonts w:ascii="Verdana" w:eastAsia="Calibri" w:hAnsi="Verdana" w:cs="Arial"/>
                <w:lang w:val="es-ES_tradnl" w:eastAsia="es-ES_tradnl"/>
              </w:rPr>
            </w:pPr>
            <w:r w:rsidRPr="00006E99">
              <w:rPr>
                <w:rFonts w:ascii="Verdana" w:eastAsia="Calibri" w:hAnsi="Verdana" w:cs="Arial"/>
                <w:lang w:val="es-ES_tradnl" w:eastAsia="es-ES_tradnl"/>
              </w:rPr>
              <w:t xml:space="preserve">Respuesta a consulta con radicado No. </w:t>
            </w:r>
            <w:r w:rsidR="00040A94">
              <w:rPr>
                <w:rFonts w:ascii="Verdana" w:eastAsia="Calibri" w:hAnsi="Verdana" w:cs="Arial"/>
                <w:lang w:val="es-ES_tradnl" w:eastAsia="es-ES_tradnl"/>
              </w:rPr>
              <w:t>P</w:t>
            </w:r>
            <w:r w:rsidRPr="00006E99">
              <w:rPr>
                <w:rFonts w:ascii="Verdana" w:eastAsia="Calibri" w:hAnsi="Verdana" w:cs="Arial"/>
                <w:lang w:val="es-ES_tradnl" w:eastAsia="es-ES_tradnl"/>
              </w:rPr>
              <w:t>20240923009667</w:t>
            </w:r>
          </w:p>
        </w:tc>
      </w:tr>
    </w:tbl>
    <w:p w14:paraId="69AB48E8" w14:textId="77777777" w:rsidR="00006E99" w:rsidRPr="00006E99" w:rsidRDefault="00006E99" w:rsidP="00006E99">
      <w:pPr>
        <w:spacing w:after="0" w:line="240" w:lineRule="auto"/>
        <w:jc w:val="both"/>
        <w:rPr>
          <w:rFonts w:ascii="Verdana" w:eastAsia="Calibri" w:hAnsi="Verdana" w:cs="Arial"/>
          <w:lang w:val="es-ES_tradnl" w:eastAsia="es-ES_tradnl"/>
        </w:rPr>
      </w:pPr>
    </w:p>
    <w:p w14:paraId="6B18E80F" w14:textId="77777777" w:rsidR="00006E99" w:rsidRPr="00006E99" w:rsidRDefault="00006E99" w:rsidP="00006E99">
      <w:pPr>
        <w:spacing w:after="0" w:line="240" w:lineRule="auto"/>
        <w:jc w:val="both"/>
        <w:rPr>
          <w:rFonts w:ascii="Verdana" w:eastAsia="Calibri" w:hAnsi="Verdana" w:cs="Arial"/>
          <w:lang w:val="es-ES_tradnl" w:eastAsia="es-ES_tradnl"/>
        </w:rPr>
      </w:pPr>
    </w:p>
    <w:p w14:paraId="358B8A5A" w14:textId="77777777" w:rsidR="00006E99" w:rsidRPr="00006E99" w:rsidRDefault="00006E99" w:rsidP="00006E99">
      <w:pPr>
        <w:spacing w:after="0" w:line="276" w:lineRule="auto"/>
        <w:jc w:val="both"/>
        <w:rPr>
          <w:rFonts w:ascii="Verdana" w:eastAsia="Calibri" w:hAnsi="Verdana" w:cs="Arial"/>
          <w:lang w:val="es-ES_tradnl" w:eastAsia="es-ES"/>
        </w:rPr>
      </w:pPr>
      <w:r w:rsidRPr="00006E99">
        <w:rPr>
          <w:rFonts w:ascii="Verdana" w:eastAsia="Calibri" w:hAnsi="Verdana" w:cs="Arial"/>
          <w:lang w:val="es-ES_tradnl" w:eastAsia="es-ES"/>
        </w:rPr>
        <w:t xml:space="preserve">Estimado señor Forero Soto: </w:t>
      </w:r>
    </w:p>
    <w:p w14:paraId="45475EC2" w14:textId="77777777" w:rsidR="00006E99" w:rsidRPr="00006E99" w:rsidRDefault="00006E99" w:rsidP="00006E99">
      <w:pPr>
        <w:tabs>
          <w:tab w:val="left" w:pos="3768"/>
        </w:tabs>
        <w:spacing w:after="0" w:line="276" w:lineRule="auto"/>
        <w:jc w:val="both"/>
        <w:rPr>
          <w:rFonts w:ascii="Verdana" w:eastAsia="Calibri" w:hAnsi="Verdana" w:cs="Arial"/>
          <w:lang w:val="es-ES_tradnl" w:eastAsia="es-ES"/>
        </w:rPr>
      </w:pPr>
      <w:r w:rsidRPr="00006E99">
        <w:rPr>
          <w:rFonts w:ascii="Verdana" w:eastAsia="Calibri" w:hAnsi="Verdana" w:cs="Arial"/>
          <w:lang w:val="es-ES_tradnl" w:eastAsia="es-ES"/>
        </w:rPr>
        <w:tab/>
      </w:r>
    </w:p>
    <w:p w14:paraId="5E0B1DEE" w14:textId="77777777" w:rsidR="00006E99" w:rsidRPr="00006E99" w:rsidRDefault="00006E99" w:rsidP="00006E99">
      <w:pPr>
        <w:snapToGrid w:val="0"/>
        <w:spacing w:after="0" w:line="276" w:lineRule="auto"/>
        <w:jc w:val="both"/>
        <w:rPr>
          <w:rFonts w:ascii="Verdana" w:eastAsia="Calibri" w:hAnsi="Verdana" w:cs="Arial"/>
          <w:lang w:val="es-ES_tradnl" w:eastAsia="es-ES"/>
        </w:rPr>
      </w:pPr>
      <w:r w:rsidRPr="00006E99">
        <w:rPr>
          <w:rFonts w:ascii="Verdana" w:eastAsia="Calibri" w:hAnsi="Verdana" w:cs="Arial"/>
          <w:lang w:val="es-ES_tradnl" w:eastAsia="es-ES"/>
        </w:rPr>
        <w:t>En ejercicio de la competencia otorgada por los artículos 3, numeral 5º, y 11, numeral 8º, del Decreto Ley 4170 de 2011,</w:t>
      </w:r>
      <w:r w:rsidRPr="00006E99">
        <w:rPr>
          <w:rFonts w:ascii="Verdana" w:eastAsia="Arial MT" w:hAnsi="Verdana" w:cs="Arial MT"/>
          <w:lang w:val="es-ES_tradnl" w:eastAsia="es-ES"/>
        </w:rPr>
        <w:t xml:space="preserve"> </w:t>
      </w:r>
      <w:r w:rsidRPr="00006E99">
        <w:rPr>
          <w:rFonts w:ascii="Verdana" w:eastAsia="Calibri" w:hAnsi="Verdana" w:cs="Arial"/>
          <w:lang w:val="es-ES_tradnl"/>
        </w:rPr>
        <w:t xml:space="preserve">así como lo establecido en el artículo 4 de la Resolución 1707 de 2018 expedida por esta Entidad, </w:t>
      </w:r>
      <w:r w:rsidRPr="00006E99">
        <w:rPr>
          <w:rFonts w:ascii="Verdana" w:eastAsia="Calibri" w:hAnsi="Verdana" w:cs="Arial"/>
          <w:lang w:val="es-ES_tradnl" w:eastAsia="es-ES"/>
        </w:rPr>
        <w:t>la Agencia Nacional de Contratación Pública – Colombia Compra Eficiente– responde su solicitud de consulta de fecha 23 de septiembre de 2024, en la cual manifiesta lo siguiente:</w:t>
      </w:r>
    </w:p>
    <w:p w14:paraId="6B880B0D" w14:textId="77777777" w:rsidR="00006E99" w:rsidRPr="00006E99" w:rsidRDefault="00006E99" w:rsidP="00006E99">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5D1CD886" w14:textId="77777777" w:rsidR="00006E99" w:rsidRPr="00006E99" w:rsidRDefault="00006E99" w:rsidP="00006E99">
      <w:pPr>
        <w:snapToGrid w:val="0"/>
        <w:spacing w:after="0" w:line="240" w:lineRule="auto"/>
        <w:ind w:left="720" w:right="709"/>
        <w:jc w:val="both"/>
        <w:rPr>
          <w:rFonts w:ascii="Verdana" w:eastAsia="Century Gothic" w:hAnsi="Verdana" w:cs="Century Gothic"/>
          <w:sz w:val="21"/>
          <w:szCs w:val="21"/>
          <w:lang w:val="es-ES"/>
        </w:rPr>
      </w:pPr>
      <w:r w:rsidRPr="02616942">
        <w:rPr>
          <w:rFonts w:ascii="Verdana" w:eastAsia="Century Gothic" w:hAnsi="Verdana" w:cs="Century Gothic"/>
          <w:sz w:val="21"/>
          <w:szCs w:val="21"/>
          <w:lang w:val="es-ES"/>
        </w:rPr>
        <w:t>“Un proceso licitación púbica Secop ii estructurado por dos lotes 1 y 2, se puede restringir por la entidad estatal presentar oferta a un solo lote de los dos posibles.</w:t>
      </w:r>
    </w:p>
    <w:p w14:paraId="36AB6E9D" w14:textId="77777777" w:rsidR="00006E99" w:rsidRPr="00006E99" w:rsidRDefault="00006E99" w:rsidP="00006E99">
      <w:pPr>
        <w:snapToGrid w:val="0"/>
        <w:spacing w:after="0" w:line="240" w:lineRule="auto"/>
        <w:ind w:left="720" w:right="709"/>
        <w:jc w:val="both"/>
        <w:rPr>
          <w:rFonts w:ascii="Verdana" w:eastAsia="Century Gothic" w:hAnsi="Verdana" w:cs="Century Gothic"/>
          <w:sz w:val="21"/>
          <w:szCs w:val="21"/>
          <w:lang w:val="es-ES_tradnl"/>
        </w:rPr>
      </w:pPr>
    </w:p>
    <w:p w14:paraId="69BF4005" w14:textId="77777777" w:rsidR="00006E99" w:rsidRPr="00006E99" w:rsidRDefault="00006E99" w:rsidP="00006E99">
      <w:pPr>
        <w:snapToGrid w:val="0"/>
        <w:spacing w:after="0" w:line="240" w:lineRule="auto"/>
        <w:ind w:left="720" w:right="709"/>
        <w:jc w:val="both"/>
        <w:rPr>
          <w:rFonts w:ascii="Verdana" w:eastAsia="Century Gothic" w:hAnsi="Verdana" w:cs="Century Gothic"/>
          <w:sz w:val="21"/>
          <w:szCs w:val="21"/>
          <w:lang w:val="es-ES_tradnl"/>
        </w:rPr>
      </w:pPr>
      <w:r w:rsidRPr="00006E99">
        <w:rPr>
          <w:rFonts w:ascii="Verdana" w:eastAsia="Century Gothic" w:hAnsi="Verdana" w:cs="Century Gothic"/>
          <w:sz w:val="21"/>
          <w:szCs w:val="21"/>
          <w:lang w:val="es-ES_tradnl"/>
        </w:rPr>
        <w:t>o según el pliego tipo se podría presentar oferta a los dos lotes 1 y 2 así lo decide el proponente ver nota A. Los interesados en el presente proceso solo podrán presentar ofertas a un solo lote o grupo según numeral 2.10 archivo adjunto”.</w:t>
      </w:r>
    </w:p>
    <w:p w14:paraId="6907E87D" w14:textId="77777777" w:rsidR="00006E99" w:rsidRPr="00006E99" w:rsidRDefault="00006E99" w:rsidP="00006E99">
      <w:pPr>
        <w:tabs>
          <w:tab w:val="left" w:pos="142"/>
          <w:tab w:val="left" w:pos="284"/>
        </w:tabs>
        <w:spacing w:line="276" w:lineRule="auto"/>
        <w:contextualSpacing/>
        <w:jc w:val="both"/>
        <w:rPr>
          <w:rFonts w:ascii="Verdana" w:eastAsia="Century Gothic" w:hAnsi="Verdana" w:cs="Century Gothic"/>
          <w:b/>
          <w:bCs/>
          <w:lang w:val="es-ES_tradnl"/>
        </w:rPr>
      </w:pPr>
    </w:p>
    <w:p w14:paraId="6F6EFA18" w14:textId="77777777" w:rsidR="00006E99" w:rsidRPr="00006E99" w:rsidRDefault="00006E99" w:rsidP="00006E99">
      <w:pPr>
        <w:spacing w:after="120" w:line="276" w:lineRule="auto"/>
        <w:ind w:firstLine="709"/>
        <w:jc w:val="both"/>
        <w:rPr>
          <w:rFonts w:ascii="Verdana" w:eastAsia="Calibri" w:hAnsi="Verdana" w:cs="Arial"/>
          <w:lang w:val="es-ES" w:eastAsia="es-ES"/>
        </w:rPr>
      </w:pPr>
      <w:r w:rsidRPr="02616942">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0F7D6022" w14:textId="77777777" w:rsidR="00006E99" w:rsidRPr="00006E99" w:rsidRDefault="00006E99" w:rsidP="00006E99">
      <w:pPr>
        <w:snapToGrid w:val="0"/>
        <w:spacing w:after="0" w:line="276" w:lineRule="auto"/>
        <w:ind w:firstLine="709"/>
        <w:jc w:val="both"/>
        <w:rPr>
          <w:rFonts w:ascii="Verdana" w:eastAsia="Calibri" w:hAnsi="Verdana" w:cs="Arial"/>
          <w:lang w:val="es-ES_tradnl" w:eastAsia="es-ES"/>
        </w:rPr>
      </w:pPr>
      <w:r w:rsidRPr="00006E99">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7DDC41A" w14:textId="77777777" w:rsidR="00006E99" w:rsidRPr="00006E99" w:rsidRDefault="00006E99" w:rsidP="00006E99">
      <w:pPr>
        <w:snapToGrid w:val="0"/>
        <w:spacing w:after="0" w:line="276" w:lineRule="auto"/>
        <w:ind w:firstLine="709"/>
        <w:jc w:val="both"/>
        <w:rPr>
          <w:rFonts w:ascii="Verdana" w:eastAsia="Calibri" w:hAnsi="Verdana" w:cs="Arial"/>
          <w:lang w:val="es-ES_tradnl" w:eastAsia="es-ES"/>
        </w:rPr>
      </w:pPr>
    </w:p>
    <w:p w14:paraId="71B90BC8" w14:textId="77777777" w:rsidR="00006E99" w:rsidRPr="00006E99" w:rsidRDefault="00006E99" w:rsidP="00006E9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006E99">
        <w:rPr>
          <w:rFonts w:ascii="Verdana" w:eastAsia="Century Gothic" w:hAnsi="Verdana" w:cs="Century Gothic"/>
          <w:b/>
          <w:bCs/>
          <w:lang w:val="es-ES_tradnl"/>
        </w:rPr>
        <w:t>Problema planteado:</w:t>
      </w:r>
    </w:p>
    <w:p w14:paraId="6305FEE6" w14:textId="77777777" w:rsidR="00006E99" w:rsidRPr="00006E99" w:rsidRDefault="00006E99" w:rsidP="00006E99">
      <w:pPr>
        <w:tabs>
          <w:tab w:val="left" w:pos="426"/>
        </w:tabs>
        <w:snapToGrid w:val="0"/>
        <w:spacing w:after="0" w:line="276" w:lineRule="auto"/>
        <w:jc w:val="both"/>
        <w:rPr>
          <w:rFonts w:ascii="Verdana" w:eastAsia="Century Gothic" w:hAnsi="Verdana" w:cs="Century Gothic"/>
          <w:lang w:val="es-ES_tradnl"/>
        </w:rPr>
      </w:pPr>
    </w:p>
    <w:p w14:paraId="7810B882" w14:textId="77777777" w:rsidR="00006E99" w:rsidRPr="00006E99" w:rsidRDefault="00006E99" w:rsidP="00006E99">
      <w:pPr>
        <w:snapToGrid w:val="0"/>
        <w:spacing w:after="0" w:line="276" w:lineRule="auto"/>
        <w:jc w:val="both"/>
        <w:rPr>
          <w:rFonts w:ascii="Verdana" w:eastAsia="Century Gothic" w:hAnsi="Verdana" w:cs="Century Gothic"/>
          <w:lang w:val="es-ES_tradnl"/>
        </w:rPr>
      </w:pPr>
      <w:r w:rsidRPr="00006E99">
        <w:rPr>
          <w:rFonts w:ascii="Verdana" w:eastAsia="Century Gothic" w:hAnsi="Verdana" w:cs="Century Gothic"/>
          <w:lang w:val="es-ES_tradnl"/>
        </w:rPr>
        <w:t>De acuerdo con el contenido de su solicitud, esta Agencia resolverá el siguiente problema jurídico: tratándose de procesos de contratación estructurados por lotes o grupos en los documentos tipo, ¿es posible limitar la presentación de las ofertas a un solo lote o grupo?</w:t>
      </w:r>
    </w:p>
    <w:p w14:paraId="34835634" w14:textId="77777777" w:rsidR="00006E99" w:rsidRPr="00006E99" w:rsidRDefault="00006E99" w:rsidP="00006E99">
      <w:pPr>
        <w:snapToGrid w:val="0"/>
        <w:spacing w:after="0" w:line="276" w:lineRule="auto"/>
        <w:jc w:val="both"/>
        <w:rPr>
          <w:rFonts w:ascii="Verdana" w:eastAsia="Calibri" w:hAnsi="Verdana" w:cs="Arial"/>
          <w:lang w:val="es-ES_tradnl"/>
        </w:rPr>
      </w:pPr>
    </w:p>
    <w:p w14:paraId="2D8ECFD9" w14:textId="77777777" w:rsidR="00006E99" w:rsidRPr="00006E99" w:rsidRDefault="00006E99" w:rsidP="00006E9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006E99">
        <w:rPr>
          <w:rFonts w:ascii="Verdana" w:eastAsia="Century Gothic" w:hAnsi="Verdana" w:cs="Century Gothic"/>
          <w:b/>
          <w:bCs/>
          <w:lang w:val="es-ES_tradnl"/>
        </w:rPr>
        <w:t>Respuesta:</w:t>
      </w:r>
    </w:p>
    <w:p w14:paraId="5AC89232" w14:textId="77777777" w:rsidR="00006E99" w:rsidRPr="00006E99" w:rsidRDefault="00006E99" w:rsidP="00006E99">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06E99" w:rsidRPr="00006E99" w14:paraId="4A9553B4" w14:textId="77777777" w:rsidTr="00E25CC3">
        <w:tc>
          <w:tcPr>
            <w:tcW w:w="8828" w:type="dxa"/>
            <w:shd w:val="clear" w:color="auto" w:fill="auto"/>
          </w:tcPr>
          <w:p w14:paraId="5B9D6440" w14:textId="77777777" w:rsidR="00006E99" w:rsidRPr="00006E99" w:rsidRDefault="00006E99" w:rsidP="00006E99">
            <w:pPr>
              <w:spacing w:line="276" w:lineRule="auto"/>
              <w:jc w:val="both"/>
              <w:rPr>
                <w:rFonts w:ascii="Verdana" w:eastAsia="Aptos" w:hAnsi="Verdana" w:cs="Arial"/>
                <w:shd w:val="clear" w:color="auto" w:fill="FFFFFF"/>
                <w:lang w:val="es-ES"/>
              </w:rPr>
            </w:pPr>
            <w:r w:rsidRPr="02616942">
              <w:rPr>
                <w:rFonts w:ascii="Verdana" w:eastAsia="Aptos" w:hAnsi="Verdana" w:cs="Arial"/>
                <w:shd w:val="clear" w:color="auto" w:fill="FFFFFF"/>
                <w:lang w:val="es-ES"/>
              </w:rPr>
              <w:t xml:space="preserve">De conformidad con los “Documentos Tipo – Versión 3” para licitación de obra pública de infraestructura de transporte, en primer lugar,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sí es posible lo anterior, las entidades estatales deben indicar si es viable que un oferente sea adjudicatario de más de un lote o grupo. En cuarto lugar, los proponentes deberán acreditar las condiciones habilitantes requeridas para cada uno de los lotes a los que se </w:t>
            </w:r>
            <w:r w:rsidRPr="02616942">
              <w:rPr>
                <w:rFonts w:ascii="Verdana" w:eastAsia="Aptos" w:hAnsi="Verdana" w:cs="Arial"/>
                <w:shd w:val="clear" w:color="auto" w:fill="FFFFFF"/>
                <w:lang w:val="es-ES"/>
              </w:rPr>
              <w:lastRenderedPageBreak/>
              <w:t xml:space="preserve">presente, teniendo en cuenta los requisitos establecidos por la entidad en el pliego de condiciones. </w:t>
            </w:r>
          </w:p>
          <w:p w14:paraId="401BCE28" w14:textId="77777777" w:rsidR="00006E99" w:rsidRPr="00006E99" w:rsidRDefault="00006E99" w:rsidP="00006E99">
            <w:pPr>
              <w:spacing w:line="276" w:lineRule="auto"/>
              <w:ind w:left="720"/>
              <w:jc w:val="both"/>
              <w:rPr>
                <w:rFonts w:ascii="Verdana" w:eastAsia="Aptos" w:hAnsi="Verdana" w:cs="Arial"/>
                <w:shd w:val="clear" w:color="auto" w:fill="FFFFFF"/>
                <w:lang w:val="es-ES_tradnl"/>
              </w:rPr>
            </w:pPr>
          </w:p>
          <w:p w14:paraId="05C0A562" w14:textId="77777777" w:rsidR="00006E99" w:rsidRPr="00006E99" w:rsidRDefault="00006E99" w:rsidP="00006E99">
            <w:pPr>
              <w:spacing w:line="276" w:lineRule="auto"/>
              <w:jc w:val="both"/>
              <w:rPr>
                <w:rFonts w:ascii="Verdana" w:eastAsia="Aptos" w:hAnsi="Verdana" w:cs="Arial"/>
                <w:shd w:val="clear" w:color="auto" w:fill="FFFFFF"/>
                <w:lang w:val="es-ES_tradnl"/>
              </w:rPr>
            </w:pPr>
            <w:r w:rsidRPr="00006E99">
              <w:rPr>
                <w:rFonts w:ascii="Verdana" w:eastAsia="Aptos" w:hAnsi="Verdana" w:cs="Arial"/>
                <w:shd w:val="clear" w:color="auto" w:fill="FFFFFF"/>
                <w:lang w:val="es-ES_tradnl"/>
              </w:rPr>
              <w:t xml:space="preserve">Así las cosas, es claro que en los procesos regidos por los documentos tipo de licitación para obra pública de infraestructura de transporte, los proponentes podrán presentar propuesta a dos o más lotes o grupos distintos, ya sea que se presente como proponente singular o integrante de un proponente plural, siempre que la entidad haya establecido esta posibilidad en los términos señalados en el numeral 2.10 del pliego de condiciones. </w:t>
            </w:r>
          </w:p>
        </w:tc>
      </w:tr>
    </w:tbl>
    <w:p w14:paraId="5DB8F595" w14:textId="77777777" w:rsidR="00006E99" w:rsidRPr="00006E99" w:rsidRDefault="00006E99" w:rsidP="00006E99">
      <w:pPr>
        <w:tabs>
          <w:tab w:val="left" w:pos="142"/>
          <w:tab w:val="left" w:pos="284"/>
        </w:tabs>
        <w:snapToGrid w:val="0"/>
        <w:spacing w:after="0" w:line="276" w:lineRule="auto"/>
        <w:jc w:val="both"/>
        <w:rPr>
          <w:rFonts w:ascii="Verdana" w:eastAsia="Century Gothic" w:hAnsi="Verdana" w:cs="Century Gothic"/>
          <w:b/>
          <w:bCs/>
          <w:lang w:val="es-ES_tradnl"/>
        </w:rPr>
      </w:pPr>
    </w:p>
    <w:p w14:paraId="1BB24320" w14:textId="77777777" w:rsidR="00006E99" w:rsidRPr="00006E99" w:rsidRDefault="00006E99" w:rsidP="00006E9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006E99">
        <w:rPr>
          <w:rFonts w:ascii="Verdana" w:eastAsia="Century Gothic" w:hAnsi="Verdana" w:cs="Century Gothic"/>
          <w:b/>
          <w:bCs/>
          <w:lang w:val="es-ES_tradnl"/>
        </w:rPr>
        <w:t>Razones de la respuesta:</w:t>
      </w:r>
    </w:p>
    <w:p w14:paraId="20C5EEFB" w14:textId="77777777" w:rsidR="00006E99" w:rsidRPr="00006E99" w:rsidRDefault="00006E99" w:rsidP="00006E99">
      <w:pPr>
        <w:snapToGrid w:val="0"/>
        <w:spacing w:after="0" w:line="276" w:lineRule="auto"/>
        <w:jc w:val="both"/>
        <w:rPr>
          <w:rFonts w:ascii="Verdana" w:eastAsia="Calibri" w:hAnsi="Verdana" w:cs="Arial"/>
          <w:lang w:val="es-ES_tradnl"/>
        </w:rPr>
      </w:pPr>
    </w:p>
    <w:p w14:paraId="646DCA2E" w14:textId="77777777" w:rsidR="00006E99" w:rsidRPr="00006E99" w:rsidRDefault="00006E99" w:rsidP="00006E99">
      <w:pPr>
        <w:snapToGrid w:val="0"/>
        <w:spacing w:after="0" w:line="276" w:lineRule="auto"/>
        <w:jc w:val="both"/>
        <w:rPr>
          <w:rFonts w:ascii="Verdana" w:eastAsia="Calibri" w:hAnsi="Verdana" w:cs="Arial"/>
          <w:lang w:val="es-ES_tradnl"/>
        </w:rPr>
      </w:pPr>
      <w:r w:rsidRPr="00006E99">
        <w:rPr>
          <w:rFonts w:ascii="Verdana" w:eastAsia="Calibri" w:hAnsi="Verdana" w:cs="Arial"/>
          <w:lang w:val="es-ES_tradnl"/>
        </w:rPr>
        <w:t xml:space="preserve">Lo anterior se sustenta en las siguientes consideraciones: </w:t>
      </w:r>
    </w:p>
    <w:p w14:paraId="62F22CFC" w14:textId="77777777" w:rsidR="00006E99" w:rsidRPr="00006E99" w:rsidRDefault="00006E99" w:rsidP="00006E99">
      <w:pPr>
        <w:snapToGrid w:val="0"/>
        <w:spacing w:after="0" w:line="276" w:lineRule="auto"/>
        <w:jc w:val="both"/>
        <w:rPr>
          <w:rFonts w:ascii="Verdana" w:eastAsia="Calibri" w:hAnsi="Verdana" w:cs="Arial"/>
          <w:lang w:val="es-ES_tradnl"/>
        </w:rPr>
      </w:pPr>
    </w:p>
    <w:p w14:paraId="7FB4BD6C" w14:textId="77777777" w:rsidR="00006E99" w:rsidRPr="00006E99" w:rsidRDefault="00006E99" w:rsidP="00006E99">
      <w:pPr>
        <w:numPr>
          <w:ilvl w:val="0"/>
          <w:numId w:val="17"/>
        </w:numPr>
        <w:snapToGrid w:val="0"/>
        <w:spacing w:after="0" w:line="276" w:lineRule="auto"/>
        <w:jc w:val="both"/>
        <w:rPr>
          <w:rFonts w:ascii="Verdana" w:eastAsia="Calibri" w:hAnsi="Verdana" w:cs="Arial"/>
          <w:lang w:val="es-ES_tradnl"/>
        </w:rPr>
      </w:pPr>
      <w:r w:rsidRPr="00006E99">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3D3DE6E" w14:textId="77777777" w:rsidR="00006E99" w:rsidRPr="00006E99" w:rsidRDefault="00006E99" w:rsidP="00006E99">
      <w:pPr>
        <w:snapToGrid w:val="0"/>
        <w:spacing w:after="0" w:line="276" w:lineRule="auto"/>
        <w:rPr>
          <w:rFonts w:ascii="Verdana" w:eastAsia="Calibri" w:hAnsi="Verdana" w:cs="Times New Roman"/>
          <w:lang w:val="es-ES_tradnl"/>
        </w:rPr>
      </w:pPr>
    </w:p>
    <w:p w14:paraId="02090818" w14:textId="77777777" w:rsidR="00006E99" w:rsidRPr="00006E99" w:rsidRDefault="00006E99" w:rsidP="00006E99">
      <w:pPr>
        <w:numPr>
          <w:ilvl w:val="0"/>
          <w:numId w:val="17"/>
        </w:numPr>
        <w:snapToGrid w:val="0"/>
        <w:spacing w:after="0" w:line="276" w:lineRule="auto"/>
        <w:jc w:val="both"/>
        <w:rPr>
          <w:rFonts w:ascii="Verdana" w:eastAsia="Calibri" w:hAnsi="Verdana" w:cs="Arial"/>
          <w:lang w:val="es-ES_tradnl"/>
        </w:rPr>
      </w:pPr>
      <w:r w:rsidRPr="00006E99">
        <w:rPr>
          <w:rFonts w:ascii="Verdana" w:eastAsia="Calibri" w:hAnsi="Verdana" w:cs="Times New Roman"/>
          <w:lang w:val="es-ES_tradnl"/>
        </w:rPr>
        <w:t>Para el sector de infraestructura de transporte, la Agencia Nacional de Contratación Pública – Colombia Compra Eficiente ha expedido Documentos Tipo</w:t>
      </w:r>
      <w:r w:rsidRPr="00006E99">
        <w:rPr>
          <w:rFonts w:ascii="Verdana" w:eastAsia="Calibri" w:hAnsi="Verdana" w:cs="Times New Roman"/>
          <w:vertAlign w:val="superscript"/>
          <w:lang w:val="es-ES_tradnl"/>
        </w:rPr>
        <w:footnoteReference w:id="2"/>
      </w:r>
      <w:r w:rsidRPr="00006E99">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2F8823F0" w14:textId="77777777" w:rsidR="00006E99" w:rsidRPr="00006E99" w:rsidRDefault="00006E99" w:rsidP="00006E99">
      <w:pPr>
        <w:spacing w:after="0" w:line="278" w:lineRule="auto"/>
        <w:ind w:left="720"/>
        <w:rPr>
          <w:rFonts w:ascii="Verdana" w:eastAsia="Calibri" w:hAnsi="Verdana" w:cs="Arial"/>
          <w:lang w:val="es-ES_tradnl"/>
        </w:rPr>
      </w:pPr>
    </w:p>
    <w:p w14:paraId="14D76FE8" w14:textId="77777777" w:rsidR="00006E99" w:rsidRPr="00006E99" w:rsidRDefault="00006E99" w:rsidP="00006E99">
      <w:pPr>
        <w:numPr>
          <w:ilvl w:val="0"/>
          <w:numId w:val="17"/>
        </w:numPr>
        <w:snapToGrid w:val="0"/>
        <w:spacing w:after="0" w:line="276" w:lineRule="auto"/>
        <w:jc w:val="both"/>
        <w:rPr>
          <w:rFonts w:ascii="Verdana" w:eastAsia="Calibri" w:hAnsi="Verdana" w:cs="Arial"/>
          <w:lang w:val="es-ES_tradnl"/>
        </w:rPr>
      </w:pPr>
      <w:r w:rsidRPr="00006E99">
        <w:rPr>
          <w:rFonts w:ascii="Verdana" w:eastAsia="Calibri" w:hAnsi="Verdana" w:cs="Arial"/>
          <w:lang w:val="es-ES_tradnl"/>
        </w:rPr>
        <w:lastRenderedPageBreak/>
        <w:t>El numeral 2.10 del documento base de los documentos tipo de licitación de obra pública de infraestructura de transporte – Versión 3</w:t>
      </w:r>
      <w:r w:rsidRPr="00006E99">
        <w:rPr>
          <w:rFonts w:ascii="Verdana" w:eastAsia="Calibri" w:hAnsi="Verdana" w:cs="Arial"/>
          <w:vertAlign w:val="superscript"/>
          <w:lang w:val="es-ES_tradnl"/>
        </w:rPr>
        <w:footnoteReference w:id="3"/>
      </w:r>
      <w:r w:rsidRPr="00006E99">
        <w:rPr>
          <w:rFonts w:ascii="Verdana" w:eastAsia="Calibri" w:hAnsi="Verdana" w:cs="Arial"/>
          <w:lang w:val="es-ES_tradnl"/>
        </w:rPr>
        <w:t>, establece lo siguiente:</w:t>
      </w:r>
    </w:p>
    <w:p w14:paraId="27ECC6DD" w14:textId="77777777" w:rsidR="00006E99" w:rsidRPr="00006E99" w:rsidRDefault="00006E99" w:rsidP="00006E99">
      <w:pPr>
        <w:snapToGrid w:val="0"/>
        <w:spacing w:after="0" w:line="276" w:lineRule="auto"/>
        <w:jc w:val="both"/>
        <w:rPr>
          <w:rFonts w:ascii="Verdana" w:eastAsia="Calibri" w:hAnsi="Verdana" w:cs="Arial"/>
          <w:lang w:val="es-ES_tradnl"/>
        </w:rPr>
      </w:pPr>
    </w:p>
    <w:p w14:paraId="4195CCE0" w14:textId="77777777" w:rsidR="00006E99" w:rsidRPr="00006E99" w:rsidRDefault="00006E99" w:rsidP="00006E99">
      <w:pPr>
        <w:spacing w:after="0" w:line="240" w:lineRule="auto"/>
        <w:ind w:left="709" w:right="709"/>
        <w:rPr>
          <w:rFonts w:ascii="Verdana" w:eastAsia="Calibri" w:hAnsi="Verdana" w:cs="Arial"/>
          <w:sz w:val="21"/>
          <w:szCs w:val="21"/>
          <w:lang w:val="es-ES_tradnl"/>
        </w:rPr>
      </w:pPr>
      <w:r w:rsidRPr="00006E99">
        <w:rPr>
          <w:rFonts w:ascii="Verdana" w:eastAsia="Calibri" w:hAnsi="Verdana" w:cs="Arial"/>
          <w:sz w:val="21"/>
          <w:szCs w:val="21"/>
          <w:lang w:val="es-ES_tradnl"/>
        </w:rPr>
        <w:t>“2.10. REGLAS PARA LOS PROCESOS ESTRUCTURADOS POR LOTES O GRUPOS</w:t>
      </w:r>
    </w:p>
    <w:p w14:paraId="2AE176E2" w14:textId="77777777" w:rsidR="00006E99" w:rsidRPr="00006E99" w:rsidRDefault="00006E99" w:rsidP="00006E99">
      <w:pPr>
        <w:spacing w:after="0" w:line="240" w:lineRule="auto"/>
        <w:ind w:left="709" w:right="709"/>
        <w:rPr>
          <w:rFonts w:ascii="Verdana" w:eastAsia="Calibri" w:hAnsi="Verdana" w:cs="Arial"/>
          <w:sz w:val="21"/>
          <w:szCs w:val="21"/>
          <w:lang w:val="es-ES_tradnl"/>
        </w:rPr>
      </w:pPr>
    </w:p>
    <w:p w14:paraId="269A76D9"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r w:rsidRPr="00006E99">
        <w:rPr>
          <w:rFonts w:ascii="Verdana" w:eastAsia="Calibri" w:hAnsi="Verdana" w:cs="Arial"/>
          <w:color w:val="000000"/>
          <w:sz w:val="21"/>
          <w:szCs w:val="21"/>
          <w:highlight w:val="lightGray"/>
          <w:lang w:val="es-MX"/>
        </w:rPr>
        <w:t>[La entidad debe incluir esta sección y aplicar las reglas aquí señaladas cuando estructure el proceso de contratación por lotes o grupos]</w:t>
      </w:r>
    </w:p>
    <w:p w14:paraId="0ECE25E5"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p>
    <w:p w14:paraId="15908B79"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r w:rsidRPr="00006E99">
        <w:rPr>
          <w:rFonts w:ascii="Verdana" w:eastAsia="Calibri" w:hAnsi="Verdana" w:cs="Arial"/>
          <w:color w:val="000000"/>
          <w:sz w:val="21"/>
          <w:szCs w:val="21"/>
          <w:lang w:val="es-MX"/>
        </w:rPr>
        <w:t xml:space="preserve">Cuando el proceso de contratación se estructure por lotes o grupos aplican las siguientes reglas, además de las previstas en otros numerales del presente documento: </w:t>
      </w:r>
    </w:p>
    <w:p w14:paraId="65436D28"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p>
    <w:p w14:paraId="66BF8D51" w14:textId="77777777" w:rsidR="00006E99" w:rsidRPr="00006E99" w:rsidRDefault="00006E99" w:rsidP="00006E99">
      <w:pPr>
        <w:numPr>
          <w:ilvl w:val="0"/>
          <w:numId w:val="20"/>
        </w:numPr>
        <w:spacing w:after="0" w:line="240" w:lineRule="auto"/>
        <w:ind w:left="709" w:right="709" w:firstLine="0"/>
        <w:jc w:val="both"/>
        <w:rPr>
          <w:rFonts w:ascii="Verdana" w:eastAsia="Calibri" w:hAnsi="Verdana" w:cs="Arial"/>
          <w:color w:val="000000"/>
          <w:sz w:val="21"/>
          <w:szCs w:val="21"/>
          <w:lang w:val="es-MX"/>
        </w:rPr>
      </w:pPr>
      <w:r w:rsidRPr="00006E99">
        <w:rPr>
          <w:rFonts w:ascii="Verdana" w:eastAsia="Calibri" w:hAnsi="Verdana" w:cs="Arial"/>
          <w:color w:val="000000"/>
          <w:sz w:val="21"/>
          <w:szCs w:val="21"/>
          <w:highlight w:val="lightGray"/>
          <w:lang w:val="es-MX"/>
        </w:rPr>
        <w:t>[En este literal la entidad debe señalar si es posible presentar oferta a más de un lote o grupo. Cuando lo establezca, debe indicar si es posible resultar adjudicatario de más de uno]</w:t>
      </w:r>
      <w:r w:rsidRPr="00006E99">
        <w:rPr>
          <w:rFonts w:ascii="Verdana" w:eastAsia="Calibri" w:hAnsi="Verdana" w:cs="Arial"/>
          <w:color w:val="000000"/>
          <w:sz w:val="21"/>
          <w:szCs w:val="21"/>
          <w:lang w:val="es-MX"/>
        </w:rPr>
        <w:t xml:space="preserve">. </w:t>
      </w:r>
    </w:p>
    <w:p w14:paraId="5D9D4AF2"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r w:rsidRPr="00006E99">
        <w:rPr>
          <w:rFonts w:ascii="Verdana" w:eastAsia="Calibri" w:hAnsi="Verdana" w:cs="Arial"/>
          <w:color w:val="000000"/>
          <w:sz w:val="21"/>
          <w:szCs w:val="21"/>
          <w:lang w:val="es-MX"/>
        </w:rPr>
        <w:t>[…]</w:t>
      </w:r>
    </w:p>
    <w:p w14:paraId="7650FCAE"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p>
    <w:p w14:paraId="1BFA8617" w14:textId="77777777" w:rsidR="00006E99" w:rsidRPr="00006E99" w:rsidRDefault="00006E99" w:rsidP="00006E99">
      <w:pPr>
        <w:numPr>
          <w:ilvl w:val="0"/>
          <w:numId w:val="19"/>
        </w:numPr>
        <w:spacing w:after="0" w:line="240" w:lineRule="auto"/>
        <w:ind w:left="709" w:right="709" w:firstLine="0"/>
        <w:jc w:val="both"/>
        <w:rPr>
          <w:rFonts w:ascii="Verdana" w:eastAsia="Calibri" w:hAnsi="Verdana" w:cs="Arial"/>
          <w:color w:val="000000"/>
          <w:sz w:val="21"/>
          <w:szCs w:val="21"/>
          <w:lang w:val="es-MX"/>
        </w:rPr>
      </w:pPr>
      <w:r w:rsidRPr="00006E99">
        <w:rPr>
          <w:rFonts w:ascii="Verdana" w:eastAsia="Calibri" w:hAnsi="Verdana" w:cs="Arial"/>
          <w:color w:val="000000"/>
          <w:sz w:val="21"/>
          <w:szCs w:val="21"/>
          <w:highlight w:val="lightGray"/>
          <w:lang w:val="es-MX"/>
        </w:rPr>
        <w:t>[Incluir cuando la entidad no establezca la posibilidad de resultar adjudicatario de más de un lote o grupo]</w:t>
      </w:r>
      <w:r w:rsidRPr="00006E99">
        <w:rPr>
          <w:rFonts w:ascii="Verdana" w:eastAsia="Calibri" w:hAnsi="Verdana" w:cs="Arial"/>
          <w:color w:val="000000"/>
          <w:sz w:val="21"/>
          <w:szCs w:val="21"/>
          <w:lang w:val="es-MX"/>
        </w:rPr>
        <w:t xml:space="preserve"> El proponente seleccionado debe incluirse en los demás ordenes de elegibilidad en los cuales se encuentre habilitado y de resultar ubicado en el primer orden de elegibilidad de estos lotes se adjudicará al proponente ubicado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establecidos en el pliego de condiciones. </w:t>
      </w:r>
    </w:p>
    <w:p w14:paraId="74F6E2F7"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p>
    <w:p w14:paraId="3E6E09ED" w14:textId="77777777" w:rsidR="00006E99" w:rsidRPr="00006E99" w:rsidRDefault="00006E99" w:rsidP="00006E99">
      <w:pPr>
        <w:numPr>
          <w:ilvl w:val="0"/>
          <w:numId w:val="19"/>
        </w:numPr>
        <w:spacing w:after="0" w:line="240" w:lineRule="auto"/>
        <w:ind w:left="709" w:right="709" w:firstLine="0"/>
        <w:jc w:val="both"/>
        <w:rPr>
          <w:rFonts w:ascii="Verdana" w:eastAsia="Calibri" w:hAnsi="Verdana" w:cs="Arial"/>
          <w:color w:val="000000"/>
          <w:sz w:val="21"/>
          <w:szCs w:val="21"/>
          <w:lang w:val="es-MX"/>
        </w:rPr>
      </w:pPr>
      <w:r w:rsidRPr="00006E99">
        <w:rPr>
          <w:rFonts w:ascii="Verdana" w:eastAsia="Calibri" w:hAnsi="Verdana" w:cs="Arial"/>
          <w:color w:val="000000"/>
          <w:sz w:val="21"/>
          <w:szCs w:val="21"/>
          <w:highlight w:val="lightGray"/>
          <w:lang w:val="es-MX"/>
        </w:rPr>
        <w:t>[Incluir cuando la entidad establezca la posibilidad de resultar adjudicatario de más de un lote o grupo]</w:t>
      </w:r>
      <w:r w:rsidRPr="00006E99">
        <w:rPr>
          <w:rFonts w:ascii="Verdana" w:eastAsia="Calibri" w:hAnsi="Verdana" w:cs="Arial"/>
          <w:color w:val="000000"/>
          <w:sz w:val="21"/>
          <w:szCs w:val="21"/>
          <w:lang w:val="es-MX"/>
        </w:rPr>
        <w:t xml:space="preserve"> La entidad verifica en la audiencia efectiva de adjudicación que el proponente cumple con el capital de trabajo para resultar adjudicatario de un lote o grupo adicional. </w:t>
      </w:r>
    </w:p>
    <w:p w14:paraId="1E7FAE07" w14:textId="77777777" w:rsidR="00006E99" w:rsidRPr="00006E99" w:rsidRDefault="00006E99" w:rsidP="00006E99">
      <w:pPr>
        <w:spacing w:after="0" w:line="240" w:lineRule="auto"/>
        <w:ind w:left="709" w:right="709"/>
        <w:jc w:val="both"/>
        <w:rPr>
          <w:rFonts w:ascii="Verdana" w:eastAsia="Calibri" w:hAnsi="Verdana" w:cs="Arial"/>
          <w:color w:val="000000"/>
          <w:sz w:val="21"/>
          <w:szCs w:val="21"/>
          <w:lang w:val="es-MX"/>
        </w:rPr>
      </w:pPr>
    </w:p>
    <w:p w14:paraId="23440FB9" w14:textId="77777777" w:rsidR="00006E99" w:rsidRPr="00006E99" w:rsidRDefault="00006E99" w:rsidP="00006E99">
      <w:pPr>
        <w:numPr>
          <w:ilvl w:val="0"/>
          <w:numId w:val="19"/>
        </w:numPr>
        <w:spacing w:after="0" w:line="240" w:lineRule="auto"/>
        <w:ind w:left="709" w:right="709" w:firstLine="0"/>
        <w:jc w:val="both"/>
        <w:rPr>
          <w:rFonts w:ascii="Verdana" w:eastAsia="Calibri" w:hAnsi="Verdana" w:cs="Arial"/>
          <w:color w:val="000000"/>
          <w:sz w:val="21"/>
          <w:szCs w:val="21"/>
          <w:lang w:val="es-MX"/>
        </w:rPr>
      </w:pPr>
      <w:r w:rsidRPr="00006E99">
        <w:rPr>
          <w:rFonts w:ascii="Verdana" w:eastAsia="Calibri" w:hAnsi="Verdana" w:cs="Arial"/>
          <w:color w:val="000000"/>
          <w:sz w:val="21"/>
          <w:szCs w:val="21"/>
          <w:highlight w:val="lightGray"/>
          <w:lang w:val="es-MX"/>
        </w:rPr>
        <w:t>[Incluir cuando la entidad establezca la posibilidad de resultar adjudicatario de más de un lote o grupo]</w:t>
      </w:r>
      <w:r w:rsidRPr="00006E99">
        <w:rPr>
          <w:rFonts w:ascii="Verdana" w:eastAsia="Calibri" w:hAnsi="Verdana" w:cs="Arial"/>
          <w:color w:val="000000"/>
          <w:sz w:val="21"/>
          <w:szCs w:val="21"/>
          <w:lang w:val="es-MX"/>
        </w:rPr>
        <w:t xml:space="preserve"> El proponente deberá acreditar una capacidad residual mayor o igual a la capacidad residual del lote al cual presentó oferta o de la sumatoria de los lotes a los cuales presentó oferta. Si la capacidad residual del proponente no es </w:t>
      </w:r>
      <w:r w:rsidRPr="00006E99">
        <w:rPr>
          <w:rFonts w:ascii="Verdana" w:eastAsia="Calibri" w:hAnsi="Verdana" w:cs="Arial"/>
          <w:color w:val="000000"/>
          <w:sz w:val="21"/>
          <w:szCs w:val="21"/>
          <w:lang w:val="es-MX"/>
        </w:rPr>
        <w:lastRenderedPageBreak/>
        <w:t>suficiente para la totalidad de los lotes a los cuales presentó oferta, la entidad lo habilitará únicamente en los que cumpla con la capacidad residual requerida, empezando con el lote de mayor valor al cual presentó oferta, y así en forma descendente.</w:t>
      </w:r>
    </w:p>
    <w:p w14:paraId="051BE322" w14:textId="77777777" w:rsidR="00006E99" w:rsidRPr="00006E99" w:rsidRDefault="00006E99" w:rsidP="00006E99">
      <w:pPr>
        <w:snapToGrid w:val="0"/>
        <w:spacing w:after="0" w:line="240" w:lineRule="auto"/>
        <w:ind w:left="709" w:right="709"/>
        <w:jc w:val="both"/>
        <w:rPr>
          <w:rFonts w:ascii="Verdana" w:eastAsia="Calibri" w:hAnsi="Verdana" w:cs="Arial"/>
          <w:sz w:val="21"/>
          <w:szCs w:val="21"/>
          <w:lang w:val="es-ES_tradnl"/>
        </w:rPr>
      </w:pPr>
      <w:r w:rsidRPr="00006E99">
        <w:rPr>
          <w:rFonts w:ascii="Verdana" w:eastAsia="Calibri" w:hAnsi="Verdana" w:cs="Arial"/>
          <w:sz w:val="21"/>
          <w:szCs w:val="21"/>
          <w:lang w:val="es-ES_tradnl"/>
        </w:rPr>
        <w:t>[…]”.</w:t>
      </w:r>
    </w:p>
    <w:p w14:paraId="19E5484D" w14:textId="77777777" w:rsidR="00006E99" w:rsidRPr="00006E99" w:rsidRDefault="00006E99" w:rsidP="00006E99">
      <w:pPr>
        <w:snapToGrid w:val="0"/>
        <w:spacing w:after="0" w:line="276" w:lineRule="auto"/>
        <w:ind w:left="720"/>
        <w:rPr>
          <w:rFonts w:ascii="Verdana" w:eastAsia="Calibri" w:hAnsi="Verdana" w:cs="Arial"/>
          <w:lang w:val="es-ES_tradnl"/>
        </w:rPr>
      </w:pPr>
    </w:p>
    <w:p w14:paraId="0C136740" w14:textId="77777777" w:rsidR="00006E99" w:rsidRPr="00006E99" w:rsidRDefault="00006E99" w:rsidP="00006E99">
      <w:pPr>
        <w:numPr>
          <w:ilvl w:val="0"/>
          <w:numId w:val="21"/>
        </w:numPr>
        <w:spacing w:after="0" w:line="276" w:lineRule="auto"/>
        <w:jc w:val="both"/>
        <w:rPr>
          <w:rFonts w:ascii="Verdana" w:eastAsia="Aptos" w:hAnsi="Verdana" w:cs="Arial"/>
          <w:kern w:val="2"/>
          <w:shd w:val="clear" w:color="auto" w:fill="FFFFFF"/>
          <w:lang w:val="es-ES"/>
          <w14:ligatures w14:val="standardContextual"/>
        </w:rPr>
      </w:pPr>
      <w:r w:rsidRPr="02616942">
        <w:rPr>
          <w:rFonts w:ascii="Verdana" w:eastAsia="Aptos" w:hAnsi="Verdana" w:cs="Arial"/>
          <w:kern w:val="2"/>
          <w:shd w:val="clear" w:color="auto" w:fill="FFFFFF"/>
          <w:lang w:val="es-ES"/>
          <w14:ligatures w14:val="standardContextual"/>
        </w:rPr>
        <w:t xml:space="preserve">Del contenido del citado numeral, concretamente, de lo que indica el literal A, es posible deducir la idea de que la entidad estatal contratante tiene la potestad discrecional de “[…] </w:t>
      </w:r>
      <w:r w:rsidRPr="02616942">
        <w:rPr>
          <w:rFonts w:ascii="Verdana" w:eastAsia="Calibri" w:hAnsi="Verdana" w:cs="Arial"/>
          <w:color w:val="000000"/>
          <w:kern w:val="2"/>
          <w:lang w:val="es-ES"/>
          <w14:ligatures w14:val="standardContextual"/>
        </w:rPr>
        <w:t>señalar si es posible presentar oferta a más de un lote o grupo”. Además, “Cuando lo establezca, debe indicar si es posible resultar adjudicatario de más de uno”. En este sentido, la entidad puede definir si es o no posible resultar adjudicatario de más de un lote y una vez la entidad ha determinado que se podrá ser adjudicatario de más de un lote, los oferentes podrán presentar ofertas por los lotes que quieran –2, 3, 4, 5, etc.–, estando condicionados únicamente por el cumplimiento de los requisitos habilitantes. Además, de ser el caso, podrán ser adjudicatarios si se encuentran en el primer orden de elegibilidad frente a dos o más lotes.</w:t>
      </w:r>
    </w:p>
    <w:p w14:paraId="5F6CBB58" w14:textId="77777777" w:rsidR="00006E99" w:rsidRPr="00006E99" w:rsidRDefault="00006E99" w:rsidP="00006E99">
      <w:pPr>
        <w:spacing w:after="0" w:line="276" w:lineRule="auto"/>
        <w:ind w:left="720"/>
        <w:jc w:val="both"/>
        <w:rPr>
          <w:rFonts w:ascii="Verdana" w:eastAsia="Aptos" w:hAnsi="Verdana" w:cs="Arial"/>
          <w:kern w:val="2"/>
          <w:shd w:val="clear" w:color="auto" w:fill="FFFFFF"/>
          <w:lang w:val="es-ES_tradnl"/>
          <w14:ligatures w14:val="standardContextual"/>
        </w:rPr>
      </w:pPr>
    </w:p>
    <w:p w14:paraId="695C088A" w14:textId="77777777" w:rsidR="00006E99" w:rsidRPr="00006E99" w:rsidRDefault="00006E99" w:rsidP="00006E99">
      <w:pPr>
        <w:numPr>
          <w:ilvl w:val="0"/>
          <w:numId w:val="21"/>
        </w:numPr>
        <w:spacing w:after="0" w:line="276" w:lineRule="auto"/>
        <w:jc w:val="both"/>
        <w:rPr>
          <w:rFonts w:ascii="Verdana" w:eastAsia="Calibri" w:hAnsi="Verdana" w:cs="Arial"/>
          <w:color w:val="000000"/>
          <w:kern w:val="2"/>
          <w:lang w:val="es-ES"/>
          <w14:ligatures w14:val="standardContextual"/>
        </w:rPr>
      </w:pPr>
      <w:r w:rsidRPr="02616942">
        <w:rPr>
          <w:rFonts w:ascii="Verdana" w:eastAsia="Aptos" w:hAnsi="Verdana" w:cs="Arial"/>
          <w:kern w:val="2"/>
          <w:shd w:val="clear" w:color="auto" w:fill="FFFFFF"/>
          <w:lang w:val="es-ES"/>
          <w14:ligatures w14:val="standardContextual"/>
        </w:rPr>
        <w:t>En concordancia con lo anterior, el literal G del numeral 3.3.3. del documento base establece que si el proceso de licitación pública se estructura por lotes o grupos, el documento de constitución del proponente plural debe “</w:t>
      </w:r>
      <w:r w:rsidRPr="02616942">
        <w:rPr>
          <w:rFonts w:ascii="Verdana" w:eastAsia="Calibri" w:hAnsi="Verdana" w:cs="Arial"/>
          <w:color w:val="000000"/>
          <w:kern w:val="2"/>
          <w:lang w:val="es-ES"/>
          <w14:ligatures w14:val="standardContextual"/>
        </w:rPr>
        <w:t>Indicar el lote o lotes a los cuales presenta oferta”. Es decir, se deja a discreción del oferente indicar los lotes a los cuales presenta la oferta. Esto significa que tiene el derecho de presentarse en todos los lotes que considere conveniente, siempre que la entidad haya determinado la posibilidad de presentar oferta a más de un lote o grupo conforme al literal A del numeral 2.10.</w:t>
      </w:r>
    </w:p>
    <w:p w14:paraId="0AC093B7" w14:textId="77777777" w:rsidR="00006E99" w:rsidRPr="00006E99" w:rsidRDefault="00006E99" w:rsidP="00006E99">
      <w:pPr>
        <w:spacing w:after="0" w:line="278" w:lineRule="auto"/>
        <w:ind w:left="720"/>
        <w:contextualSpacing/>
        <w:rPr>
          <w:rFonts w:ascii="Verdana" w:eastAsia="Calibri" w:hAnsi="Verdana" w:cs="Arial"/>
          <w:color w:val="000000"/>
          <w:kern w:val="2"/>
          <w:lang w:val="es-ES_tradnl"/>
          <w14:ligatures w14:val="standardContextual"/>
        </w:rPr>
      </w:pPr>
    </w:p>
    <w:p w14:paraId="18EF9771" w14:textId="77777777" w:rsidR="00006E99" w:rsidRPr="00006E99" w:rsidRDefault="00006E99" w:rsidP="00006E99">
      <w:pPr>
        <w:numPr>
          <w:ilvl w:val="0"/>
          <w:numId w:val="21"/>
        </w:numPr>
        <w:spacing w:after="0" w:line="276" w:lineRule="auto"/>
        <w:contextualSpacing/>
        <w:jc w:val="both"/>
        <w:rPr>
          <w:rFonts w:ascii="Verdana" w:eastAsia="Calibri" w:hAnsi="Verdana" w:cs="Arial"/>
          <w:sz w:val="21"/>
          <w:szCs w:val="21"/>
          <w:lang w:val="es-ES_tradnl"/>
        </w:rPr>
      </w:pPr>
      <w:r w:rsidRPr="00006E99">
        <w:rPr>
          <w:rFonts w:ascii="Verdana" w:eastAsia="Calibri" w:hAnsi="Verdana" w:cs="Arial"/>
          <w:color w:val="000000"/>
          <w:lang w:val="es-ES_tradnl"/>
        </w:rPr>
        <w:t>En cuanto a la acreditación de la experiencia, el literal vi) del numeral 3.5.2 del documento base establece en el literal A que “En los Procesos de Contratación estructurados por lotes o por grupos, la Entidad establecerá la experiencia de cada uno de ellos, de acuerdo con las actividades definidas en la matriz de experiencia aplicable”. Asimismo, indica que “</w:t>
      </w:r>
      <w:r w:rsidRPr="00006E99">
        <w:rPr>
          <w:rFonts w:ascii="Verdana" w:eastAsia="Calibri" w:hAnsi="Verdana" w:cs="Arial"/>
          <w:color w:val="000000"/>
          <w:lang w:val="es-MX"/>
        </w:rPr>
        <w:t xml:space="preserve">La experiencia que deberá acreditar el Proponente será la establecida por la Entidad de forma independiente para cada uno de los lotes o grupos de acuerdo con las actividades definidas en la matriz de experiencia aplicable en el respectivo proyecto de infraestructura de </w:t>
      </w:r>
      <w:r w:rsidRPr="00006E99">
        <w:rPr>
          <w:rFonts w:ascii="Verdana" w:eastAsia="Calibri" w:hAnsi="Verdana" w:cs="Arial"/>
          <w:color w:val="000000"/>
          <w:lang w:val="es-MX"/>
        </w:rPr>
        <w:lastRenderedPageBreak/>
        <w:t>transporte, en el literal A de esta sección</w:t>
      </w:r>
      <w:r w:rsidRPr="00006E99">
        <w:rPr>
          <w:rFonts w:ascii="Verdana" w:eastAsia="Calibri" w:hAnsi="Verdana" w:cs="Arial"/>
          <w:color w:val="000000"/>
          <w:lang w:val="es-ES_tradnl"/>
        </w:rPr>
        <w:t xml:space="preserve">”. </w:t>
      </w:r>
      <w:r w:rsidRPr="00006E99">
        <w:rPr>
          <w:rFonts w:ascii="Verdana" w:eastAsia="Calibri" w:hAnsi="Verdana" w:cs="Arial"/>
          <w:shd w:val="clear" w:color="auto" w:fill="FFFFFF"/>
          <w:lang w:val="es-ES_tradnl"/>
        </w:rPr>
        <w:t xml:space="preserve">En lo que </w:t>
      </w:r>
      <w:r w:rsidRPr="00006E99">
        <w:rPr>
          <w:rFonts w:ascii="Verdana" w:eastAsia="Calibri" w:hAnsi="Verdana" w:cs="Arial"/>
          <w:color w:val="000000"/>
          <w:lang w:val="es-ES_tradnl"/>
        </w:rPr>
        <w:t>respecta</w:t>
      </w:r>
      <w:r w:rsidRPr="00006E99">
        <w:rPr>
          <w:rFonts w:ascii="Verdana" w:eastAsia="Calibri" w:hAnsi="Verdana" w:cs="Arial"/>
          <w:shd w:val="clear" w:color="auto" w:fill="FFFFFF"/>
          <w:lang w:val="es-ES_tradnl"/>
        </w:rPr>
        <w:t xml:space="preserve"> al capital de trabajo, el numeral 3.7 del documento base dispone que:</w:t>
      </w:r>
    </w:p>
    <w:p w14:paraId="3A919A3A" w14:textId="77777777" w:rsidR="00006E99" w:rsidRPr="00006E99" w:rsidRDefault="00006E99" w:rsidP="00006E99">
      <w:pPr>
        <w:spacing w:after="0"/>
        <w:ind w:left="709" w:right="709"/>
        <w:contextualSpacing/>
        <w:jc w:val="both"/>
        <w:rPr>
          <w:rFonts w:ascii="Verdana" w:eastAsia="Calibri" w:hAnsi="Verdana" w:cs="Arial"/>
          <w:sz w:val="21"/>
          <w:szCs w:val="21"/>
          <w:lang w:val="es-ES_tradnl"/>
        </w:rPr>
      </w:pPr>
    </w:p>
    <w:p w14:paraId="7ED6642E" w14:textId="77777777" w:rsidR="00006E99" w:rsidRPr="00006E99" w:rsidRDefault="00006E99" w:rsidP="00006E99">
      <w:pPr>
        <w:spacing w:after="0" w:line="240" w:lineRule="auto"/>
        <w:ind w:left="709" w:right="709"/>
        <w:contextualSpacing/>
        <w:jc w:val="both"/>
        <w:rPr>
          <w:rFonts w:ascii="Verdana" w:eastAsia="Calibri" w:hAnsi="Verdana" w:cs="Arial"/>
          <w:sz w:val="21"/>
          <w:szCs w:val="21"/>
          <w:lang w:val="es-ES"/>
        </w:rPr>
      </w:pPr>
      <w:r w:rsidRPr="00006E99">
        <w:rPr>
          <w:rFonts w:ascii="Verdana" w:eastAsia="Calibri" w:hAnsi="Verdana" w:cs="Arial"/>
          <w:sz w:val="21"/>
          <w:szCs w:val="21"/>
          <w:lang w:val="es-ES"/>
        </w:rPr>
        <w:t>“[…]</w:t>
      </w:r>
    </w:p>
    <w:p w14:paraId="01CE32FF" w14:textId="77777777" w:rsidR="00006E99" w:rsidRPr="00006E99" w:rsidRDefault="00006E99" w:rsidP="00006E99">
      <w:pPr>
        <w:spacing w:after="0" w:line="240" w:lineRule="auto"/>
        <w:ind w:left="709" w:right="709"/>
        <w:contextualSpacing/>
        <w:jc w:val="both"/>
        <w:rPr>
          <w:rFonts w:ascii="Verdana" w:eastAsia="Calibri" w:hAnsi="Verdana" w:cs="Arial"/>
          <w:sz w:val="21"/>
          <w:szCs w:val="21"/>
          <w:highlight w:val="lightGray"/>
          <w:lang w:val="es-ES"/>
        </w:rPr>
      </w:pPr>
      <w:r w:rsidRPr="02616942">
        <w:rPr>
          <w:rFonts w:ascii="Verdana" w:eastAsia="Calibri" w:hAnsi="Verdana" w:cs="Arial"/>
          <w:sz w:val="21"/>
          <w:szCs w:val="21"/>
          <w:highlight w:val="lightGray"/>
          <w:lang w:val="es-ES"/>
        </w:rPr>
        <w:t xml:space="preserve">[En los procesos estructurados por lotes o grupos, el capital de trabajo demandado se establecerá con base en el Presupuesto Oficial del lote al cual se presenta la oferta. En consecuencia, </w:t>
      </w:r>
      <w:r w:rsidRPr="02616942">
        <w:rPr>
          <w:rFonts w:ascii="Verdana" w:eastAsia="Calibri" w:hAnsi="Verdana" w:cs="Arial"/>
          <w:i/>
          <w:sz w:val="21"/>
          <w:szCs w:val="21"/>
          <w:highlight w:val="lightGray"/>
          <w:lang w:val="es-ES"/>
        </w:rPr>
        <w:t>si el Proponente allega ofertas a varios lotes</w:t>
      </w:r>
      <w:r w:rsidRPr="02616942">
        <w:rPr>
          <w:rFonts w:ascii="Verdana" w:eastAsia="Calibri" w:hAnsi="Verdana" w:cs="Arial"/>
          <w:b/>
          <w:sz w:val="21"/>
          <w:szCs w:val="21"/>
          <w:highlight w:val="lightGray"/>
          <w:lang w:val="es-ES"/>
        </w:rPr>
        <w:t>,</w:t>
      </w:r>
      <w:r w:rsidRPr="02616942">
        <w:rPr>
          <w:rFonts w:ascii="Verdana" w:eastAsia="Calibri" w:hAnsi="Verdana" w:cs="Arial"/>
          <w:sz w:val="21"/>
          <w:szCs w:val="21"/>
          <w:highlight w:val="lightGray"/>
          <w:lang w:val="es-ES"/>
        </w:rPr>
        <w:t xml:space="preserve"> el capital de trabajo demandado se evaluará de manera independiente para cada uno de ellos.</w:t>
      </w:r>
    </w:p>
    <w:p w14:paraId="5E8724E5" w14:textId="77777777" w:rsidR="00006E99" w:rsidRPr="00006E99" w:rsidRDefault="00006E99" w:rsidP="00006E99">
      <w:pPr>
        <w:spacing w:after="0" w:line="240" w:lineRule="auto"/>
        <w:ind w:left="709" w:right="709"/>
        <w:contextualSpacing/>
        <w:jc w:val="both"/>
        <w:rPr>
          <w:rFonts w:ascii="Verdana" w:eastAsia="Calibri" w:hAnsi="Verdana" w:cs="Arial"/>
          <w:sz w:val="12"/>
          <w:szCs w:val="12"/>
          <w:highlight w:val="lightGray"/>
          <w:lang w:val="es-ES_tradnl"/>
        </w:rPr>
      </w:pPr>
    </w:p>
    <w:p w14:paraId="019F513F" w14:textId="77777777" w:rsidR="00006E99" w:rsidRPr="00006E99" w:rsidRDefault="00006E99" w:rsidP="00006E99">
      <w:pPr>
        <w:spacing w:after="0" w:line="240" w:lineRule="auto"/>
        <w:ind w:left="709" w:right="709"/>
        <w:contextualSpacing/>
        <w:jc w:val="both"/>
        <w:rPr>
          <w:rFonts w:ascii="Verdana" w:eastAsia="Calibri" w:hAnsi="Verdana" w:cs="Arial"/>
          <w:sz w:val="21"/>
          <w:szCs w:val="21"/>
          <w:lang w:val="es-ES_tradnl"/>
        </w:rPr>
      </w:pPr>
      <w:r w:rsidRPr="00006E99">
        <w:rPr>
          <w:rFonts w:ascii="Verdana" w:eastAsia="Calibri" w:hAnsi="Verdana" w:cs="Arial"/>
          <w:sz w:val="21"/>
          <w:szCs w:val="21"/>
          <w:highlight w:val="lightGray"/>
          <w:lang w:val="es-ES_tradnl"/>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r w:rsidRPr="00006E99">
        <w:rPr>
          <w:rFonts w:ascii="Verdana" w:eastAsia="Calibri" w:hAnsi="Verdana" w:cs="Arial"/>
          <w:sz w:val="21"/>
          <w:szCs w:val="21"/>
          <w:lang w:val="es-ES_tradnl"/>
        </w:rPr>
        <w:t>.” (Énfasis fuera de texto).</w:t>
      </w:r>
    </w:p>
    <w:p w14:paraId="57FC7F27" w14:textId="77777777" w:rsidR="00006E99" w:rsidRPr="00006E99" w:rsidRDefault="00006E99" w:rsidP="00006E99">
      <w:pPr>
        <w:tabs>
          <w:tab w:val="left" w:pos="0"/>
        </w:tabs>
        <w:spacing w:after="0" w:line="276" w:lineRule="auto"/>
        <w:jc w:val="both"/>
        <w:rPr>
          <w:rFonts w:ascii="Verdana" w:eastAsia="Calibri" w:hAnsi="Verdana" w:cs="Arial"/>
          <w:b/>
          <w:color w:val="000000"/>
          <w:lang w:val="es-ES_tradnl"/>
        </w:rPr>
      </w:pPr>
    </w:p>
    <w:p w14:paraId="0CA6EDE3" w14:textId="77777777" w:rsidR="00006E99" w:rsidRPr="00006E99" w:rsidRDefault="00006E99" w:rsidP="00006E99">
      <w:pPr>
        <w:numPr>
          <w:ilvl w:val="0"/>
          <w:numId w:val="22"/>
        </w:numPr>
        <w:spacing w:after="0" w:line="276" w:lineRule="auto"/>
        <w:contextualSpacing/>
        <w:jc w:val="both"/>
        <w:rPr>
          <w:rFonts w:ascii="Verdana" w:eastAsia="Calibri" w:hAnsi="Verdana" w:cs="Arial"/>
          <w:shd w:val="clear" w:color="auto" w:fill="FFFFFF"/>
          <w:lang w:val="es-ES_tradnl"/>
        </w:rPr>
      </w:pPr>
      <w:r w:rsidRPr="00006E99">
        <w:rPr>
          <w:rFonts w:ascii="Verdana" w:eastAsia="Calibri" w:hAnsi="Verdana" w:cs="Arial"/>
          <w:shd w:val="clear" w:color="auto" w:fill="FFFFFF"/>
          <w:lang w:val="es-ES_tradnl"/>
        </w:rPr>
        <w:t>A su vez, frente a la capacidad residual, el numeral 3.10 del Documento Base dispone:</w:t>
      </w:r>
    </w:p>
    <w:p w14:paraId="7B00DFEC" w14:textId="77777777" w:rsidR="00006E99" w:rsidRPr="00006E99" w:rsidRDefault="00006E99" w:rsidP="00006E99">
      <w:pPr>
        <w:tabs>
          <w:tab w:val="left" w:pos="0"/>
        </w:tabs>
        <w:spacing w:after="0"/>
        <w:jc w:val="both"/>
        <w:rPr>
          <w:rFonts w:ascii="Verdana" w:eastAsia="Calibri" w:hAnsi="Verdana" w:cs="Arial"/>
          <w:b/>
          <w:color w:val="000000"/>
          <w:lang w:val="es-ES_tradnl"/>
        </w:rPr>
      </w:pPr>
    </w:p>
    <w:p w14:paraId="6B9B655B" w14:textId="77777777" w:rsidR="00006E99" w:rsidRPr="00006E99" w:rsidRDefault="00006E99" w:rsidP="00006E99">
      <w:pPr>
        <w:spacing w:after="0" w:line="240" w:lineRule="auto"/>
        <w:ind w:left="709" w:right="709"/>
        <w:contextualSpacing/>
        <w:jc w:val="both"/>
        <w:rPr>
          <w:rFonts w:ascii="Verdana" w:eastAsia="Calibri" w:hAnsi="Verdana" w:cs="Arial"/>
          <w:sz w:val="21"/>
          <w:szCs w:val="21"/>
          <w:lang w:val="es-ES_tradnl"/>
        </w:rPr>
      </w:pPr>
      <w:r w:rsidRPr="00006E99">
        <w:rPr>
          <w:rFonts w:ascii="Verdana" w:eastAsia="Calibri" w:hAnsi="Verdana" w:cs="Arial"/>
          <w:sz w:val="21"/>
          <w:szCs w:val="21"/>
          <w:lang w:val="es-ES_tradnl"/>
        </w:rPr>
        <w:t>“[…]</w:t>
      </w:r>
    </w:p>
    <w:p w14:paraId="438C4161" w14:textId="77777777" w:rsidR="00006E99" w:rsidRPr="00006E99" w:rsidRDefault="00006E99" w:rsidP="00006E99">
      <w:pPr>
        <w:spacing w:after="0" w:line="240" w:lineRule="auto"/>
        <w:ind w:left="709" w:right="709"/>
        <w:contextualSpacing/>
        <w:jc w:val="both"/>
        <w:rPr>
          <w:rFonts w:ascii="Verdana" w:eastAsia="Calibri" w:hAnsi="Verdana" w:cs="Arial"/>
          <w:sz w:val="21"/>
          <w:szCs w:val="21"/>
          <w:lang w:val="es-ES"/>
        </w:rPr>
      </w:pPr>
      <w:r w:rsidRPr="00006E99">
        <w:rPr>
          <w:rFonts w:ascii="Verdana" w:eastAsia="Calibri" w:hAnsi="Verdana" w:cs="Arial"/>
          <w:sz w:val="21"/>
          <w:szCs w:val="21"/>
          <w:highlight w:val="lightGray"/>
          <w:lang w:val="es-MX"/>
        </w:rPr>
        <w:t xml:space="preserve">[En los procesos de contratación estructurados por lotes o grupos, el proponente debe acreditar una capacidad residual mayor o igual a la capacidad residual del lote al cual presentó oferta o </w:t>
      </w:r>
      <w:r w:rsidRPr="00006E99">
        <w:rPr>
          <w:rFonts w:ascii="Verdana" w:eastAsia="Calibri" w:hAnsi="Verdana" w:cs="Arial"/>
          <w:i/>
          <w:iCs/>
          <w:sz w:val="21"/>
          <w:szCs w:val="21"/>
          <w:highlight w:val="lightGray"/>
          <w:lang w:val="es-MX"/>
        </w:rPr>
        <w:t>de la sumatoria de los lotes a los cuales presentó oferta</w:t>
      </w:r>
      <w:r w:rsidRPr="00006E99">
        <w:rPr>
          <w:rFonts w:ascii="Verdana" w:eastAsia="Calibri" w:hAnsi="Verdana" w:cs="Arial"/>
          <w:sz w:val="21"/>
          <w:szCs w:val="21"/>
          <w:highlight w:val="lightGray"/>
          <w:lang w:val="es-MX"/>
        </w:rPr>
        <w:t>. Si la capacidad residual del proponente no es suficiente para la totalidad de lotes a los cuales presentó oferta, la entidad lo habilitará únicamente en aquellos de mayor valor en los que cumpla con la capacidad residual requerida]</w:t>
      </w:r>
      <w:r w:rsidRPr="00006E99">
        <w:rPr>
          <w:rFonts w:ascii="Verdana" w:eastAsia="Calibri" w:hAnsi="Verdana" w:cs="Arial"/>
          <w:sz w:val="21"/>
          <w:szCs w:val="21"/>
          <w:lang w:val="es-MX"/>
        </w:rPr>
        <w:t>”.</w:t>
      </w:r>
      <w:r w:rsidRPr="00006E99">
        <w:rPr>
          <w:rFonts w:ascii="Verdana" w:eastAsia="Calibri" w:hAnsi="Verdana" w:cs="Arial"/>
          <w:sz w:val="21"/>
          <w:szCs w:val="21"/>
          <w:lang w:val="es-ES"/>
        </w:rPr>
        <w:t xml:space="preserve"> (Énfasis fuera de texto).</w:t>
      </w:r>
    </w:p>
    <w:p w14:paraId="76B500AC" w14:textId="77777777" w:rsidR="00006E99" w:rsidRPr="00006E99" w:rsidRDefault="00006E99" w:rsidP="00006E99">
      <w:pPr>
        <w:spacing w:after="0" w:line="276" w:lineRule="auto"/>
        <w:jc w:val="both"/>
        <w:rPr>
          <w:rFonts w:ascii="Verdana" w:eastAsia="Calibri" w:hAnsi="Verdana" w:cs="Arial"/>
          <w:color w:val="000000"/>
          <w:kern w:val="2"/>
          <w:lang w:val="es-ES_tradnl"/>
          <w14:ligatures w14:val="standardContextual"/>
        </w:rPr>
      </w:pPr>
    </w:p>
    <w:p w14:paraId="18E7CFE8" w14:textId="77777777" w:rsidR="00006E99" w:rsidRPr="00006E99" w:rsidRDefault="00006E99" w:rsidP="00006E99">
      <w:pPr>
        <w:numPr>
          <w:ilvl w:val="0"/>
          <w:numId w:val="21"/>
        </w:numPr>
        <w:spacing w:after="0" w:line="276" w:lineRule="auto"/>
        <w:jc w:val="both"/>
        <w:rPr>
          <w:rFonts w:ascii="Verdana" w:eastAsia="Aptos" w:hAnsi="Verdana" w:cs="Arial"/>
          <w:kern w:val="2"/>
          <w:shd w:val="clear" w:color="auto" w:fill="FFFFFF"/>
          <w:lang w:val="es-ES"/>
          <w14:ligatures w14:val="standardContextual"/>
        </w:rPr>
      </w:pPr>
      <w:r w:rsidRPr="02616942">
        <w:rPr>
          <w:rFonts w:ascii="Verdana" w:eastAsia="Aptos" w:hAnsi="Verdana" w:cs="Arial"/>
          <w:kern w:val="2"/>
          <w:shd w:val="clear" w:color="auto" w:fill="FFFFFF"/>
          <w:lang w:val="es-ES"/>
          <w14:ligatures w14:val="standardContextual"/>
        </w:rPr>
        <w:t xml:space="preserve">De lo dicho pueden extraerse varias conclusiones. En primer lugar, de conformidad con los “Documentos Tipo – Versión 3” para licitación de obra pública de infraestructura de transporte, las entidades estatales cuentan con discrecionalidad para estructurar sus procesos por lotes o grupos. En segundo lugar, habiendo optado por configurar así el procedimiento de selección, las entidades estatales igualmente tienen libertad para indicar si los proponentes pueden presentar oferta para más de un lote o grupo. En tercer lugar, una vez definido que sí es posible lo anterior, las entidades estatales deben indicar si es viable que un oferente sea adjudicatario de más de un lote o grupo. En cuarto lugar, los proponentes deberán acreditar las condiciones habilitantes requeridas para cada uno de los lotes a los que se presente, teniendo en cuenta los requisitos establecidos por la entidad en el pliego de condiciones. </w:t>
      </w:r>
    </w:p>
    <w:p w14:paraId="101FAFDB" w14:textId="77777777" w:rsidR="00006E99" w:rsidRPr="00006E99" w:rsidRDefault="00006E99" w:rsidP="00006E99">
      <w:pPr>
        <w:spacing w:after="0" w:line="276" w:lineRule="auto"/>
        <w:ind w:left="720"/>
        <w:jc w:val="both"/>
        <w:rPr>
          <w:rFonts w:ascii="Verdana" w:eastAsia="Aptos" w:hAnsi="Verdana" w:cs="Arial"/>
          <w:kern w:val="2"/>
          <w:shd w:val="clear" w:color="auto" w:fill="FFFFFF"/>
          <w:lang w:val="es-ES_tradnl"/>
          <w14:ligatures w14:val="standardContextual"/>
        </w:rPr>
      </w:pPr>
    </w:p>
    <w:p w14:paraId="2AAA1D5B" w14:textId="77777777" w:rsidR="00006E99" w:rsidRPr="00006E99" w:rsidRDefault="00006E99" w:rsidP="00006E99">
      <w:pPr>
        <w:numPr>
          <w:ilvl w:val="0"/>
          <w:numId w:val="21"/>
        </w:numPr>
        <w:spacing w:after="0" w:line="276" w:lineRule="auto"/>
        <w:jc w:val="both"/>
        <w:rPr>
          <w:rFonts w:ascii="Verdana" w:eastAsia="Aptos" w:hAnsi="Verdana" w:cs="Arial"/>
          <w:kern w:val="2"/>
          <w:shd w:val="clear" w:color="auto" w:fill="FFFFFF"/>
          <w:lang w:val="es-ES"/>
          <w14:ligatures w14:val="standardContextual"/>
        </w:rPr>
      </w:pPr>
      <w:r w:rsidRPr="02616942">
        <w:rPr>
          <w:rFonts w:ascii="Verdana" w:eastAsia="Aptos" w:hAnsi="Verdana" w:cs="Arial"/>
          <w:kern w:val="2"/>
          <w:shd w:val="clear" w:color="auto" w:fill="FFFFFF"/>
          <w:lang w:val="es-ES"/>
          <w14:ligatures w14:val="standardContextual"/>
        </w:rPr>
        <w:t xml:space="preserve">Así las cosas, es claro que en los procesos regidos por los documentos tipo de licitación para obra pública de infraestructura de transporte, los proponentes podrán presentar propuesta a dos o más lotes o grupos distintos, ya sea que se presente como proponente singular o integrante de un proponente plural, siempre que la entidad haya establecido esta posibilidad en los términos señalados en el numeral 2.10 del pliego de condiciones. Por consiguiente, no es posible rechazar a un proponente que se presente a dos o más lotes diferentes en el evento en que la entidad haya permitido esta posibilidad, máxime que no se consagra una causal de rechazo que contemple esta circunstancia. </w:t>
      </w:r>
    </w:p>
    <w:p w14:paraId="5B34F9C2" w14:textId="77777777" w:rsidR="00006E99" w:rsidRPr="00006E99" w:rsidRDefault="00006E99" w:rsidP="00006E99">
      <w:pPr>
        <w:spacing w:after="0" w:line="276" w:lineRule="auto"/>
        <w:ind w:left="720"/>
        <w:jc w:val="both"/>
        <w:rPr>
          <w:rFonts w:ascii="Verdana" w:eastAsia="Aptos" w:hAnsi="Verdana" w:cs="Arial"/>
          <w:kern w:val="2"/>
          <w:shd w:val="clear" w:color="auto" w:fill="FFFFFF"/>
          <w:lang w:val="es-ES_tradnl"/>
          <w14:ligatures w14:val="standardContextual"/>
        </w:rPr>
      </w:pPr>
    </w:p>
    <w:p w14:paraId="1A5E6F2E" w14:textId="77777777" w:rsidR="00006E99" w:rsidRPr="00006E99" w:rsidRDefault="00006E99" w:rsidP="00006E9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006E99">
        <w:rPr>
          <w:rFonts w:ascii="Verdana" w:eastAsia="Century Gothic" w:hAnsi="Verdana" w:cs="Century Gothic"/>
          <w:b/>
          <w:bCs/>
          <w:lang w:val="es-ES_tradnl"/>
        </w:rPr>
        <w:t>Referencias normativas, jurisprudenciales y otras fuentes:</w:t>
      </w:r>
    </w:p>
    <w:p w14:paraId="33DBFA2C" w14:textId="77777777" w:rsidR="00006E99" w:rsidRPr="00006E99" w:rsidRDefault="00006E99" w:rsidP="00006E99">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006E99" w:rsidRPr="00006E99" w14:paraId="5564FC17" w14:textId="77777777" w:rsidTr="00E25CC3">
        <w:trPr>
          <w:trHeight w:val="870"/>
        </w:trPr>
        <w:tc>
          <w:tcPr>
            <w:tcW w:w="8647" w:type="dxa"/>
          </w:tcPr>
          <w:p w14:paraId="1919483F" w14:textId="77777777" w:rsidR="00006E99" w:rsidRPr="00006E99" w:rsidRDefault="00006E99" w:rsidP="00006E99">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006E99">
              <w:rPr>
                <w:rFonts w:ascii="Verdana" w:eastAsia="Calibri" w:hAnsi="Verdana" w:cs="Arial"/>
                <w:lang w:val="es-ES_tradnl"/>
              </w:rPr>
              <w:t xml:space="preserve">Ley 2022 de 2020, artículo 1. </w:t>
            </w:r>
          </w:p>
          <w:p w14:paraId="79F55FB1" w14:textId="77777777" w:rsidR="00006E99" w:rsidRPr="00006E99" w:rsidRDefault="00006E99" w:rsidP="00006E99">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006E99">
              <w:rPr>
                <w:rFonts w:ascii="Verdana" w:eastAsia="Calibri" w:hAnsi="Verdana" w:cs="Arial"/>
                <w:lang w:val="es-ES_tradnl"/>
              </w:rPr>
              <w:t xml:space="preserve">Documentos Tipo de licitación de obra pública de infraestructura de transporte –versión 3–. Disponibles en: </w:t>
            </w:r>
            <w:hyperlink r:id="rId11" w:history="1">
              <w:r w:rsidRPr="00006E99">
                <w:rPr>
                  <w:rFonts w:ascii="Verdana" w:eastAsia="Calibri" w:hAnsi="Verdana" w:cs="Arial"/>
                  <w:color w:val="0000FF"/>
                  <w:u w:val="single"/>
                  <w:lang w:val="es-ES_tradnl"/>
                </w:rPr>
                <w:t>https://www.colombiacompra.gov.co/content/documentos-tipo-para-licitacion-de-obra-publica-de-infraestructura-de-transporte-version-04</w:t>
              </w:r>
            </w:hyperlink>
            <w:r w:rsidRPr="00006E99">
              <w:rPr>
                <w:rFonts w:ascii="Verdana" w:eastAsia="Calibri" w:hAnsi="Verdana" w:cs="Arial"/>
                <w:lang w:val="es-ES_tradnl"/>
              </w:rPr>
              <w:t xml:space="preserve">. </w:t>
            </w:r>
          </w:p>
        </w:tc>
      </w:tr>
    </w:tbl>
    <w:p w14:paraId="1E27E2B0" w14:textId="77777777" w:rsidR="00006E99" w:rsidRPr="00006E99" w:rsidRDefault="00006E99" w:rsidP="00006E99">
      <w:pPr>
        <w:widowControl w:val="0"/>
        <w:autoSpaceDE w:val="0"/>
        <w:autoSpaceDN w:val="0"/>
        <w:snapToGrid w:val="0"/>
        <w:spacing w:after="0" w:line="276" w:lineRule="auto"/>
        <w:jc w:val="both"/>
        <w:rPr>
          <w:rFonts w:ascii="Verdana" w:eastAsia="Calibri" w:hAnsi="Verdana" w:cs="Arial"/>
          <w:lang w:val="es-ES_tradnl"/>
        </w:rPr>
      </w:pPr>
    </w:p>
    <w:p w14:paraId="7B3035BA" w14:textId="77777777" w:rsidR="00006E99" w:rsidRPr="00006E99" w:rsidRDefault="00006E99" w:rsidP="00006E9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006E99">
        <w:rPr>
          <w:rFonts w:ascii="Verdana" w:eastAsia="Century Gothic" w:hAnsi="Verdana" w:cs="Century Gothic"/>
          <w:b/>
          <w:bCs/>
          <w:lang w:val="es-ES_tradnl"/>
        </w:rPr>
        <w:t>Doctrina de la Agencia Nacional de Contratación Pública:</w:t>
      </w:r>
    </w:p>
    <w:p w14:paraId="038A1ED4" w14:textId="77777777" w:rsidR="00006E99" w:rsidRPr="00006E99" w:rsidRDefault="00006E99" w:rsidP="00006E99">
      <w:pPr>
        <w:widowControl w:val="0"/>
        <w:autoSpaceDE w:val="0"/>
        <w:autoSpaceDN w:val="0"/>
        <w:snapToGrid w:val="0"/>
        <w:spacing w:after="0" w:line="276" w:lineRule="auto"/>
        <w:jc w:val="both"/>
        <w:rPr>
          <w:rFonts w:ascii="Verdana" w:eastAsia="Calibri" w:hAnsi="Verdana" w:cs="Arial"/>
          <w:lang w:val="es-ES_tradnl"/>
        </w:rPr>
      </w:pPr>
    </w:p>
    <w:p w14:paraId="64CD6109" w14:textId="77777777" w:rsidR="00006E99" w:rsidRPr="00006E99" w:rsidRDefault="00006E99" w:rsidP="00006E99">
      <w:pPr>
        <w:widowControl w:val="0"/>
        <w:autoSpaceDE w:val="0"/>
        <w:autoSpaceDN w:val="0"/>
        <w:snapToGrid w:val="0"/>
        <w:spacing w:after="0" w:line="276" w:lineRule="auto"/>
        <w:jc w:val="both"/>
        <w:rPr>
          <w:rFonts w:ascii="Verdana" w:eastAsia="Calibri" w:hAnsi="Verdana" w:cs="Arial"/>
          <w:kern w:val="2"/>
          <w:shd w:val="clear" w:color="auto" w:fill="FFFFFF"/>
          <w:lang w:val="es-ES_tradnl"/>
          <w14:ligatures w14:val="standardContextual"/>
        </w:rPr>
      </w:pPr>
      <w:r w:rsidRPr="00006E99">
        <w:rPr>
          <w:rFonts w:ascii="Verdana" w:eastAsia="Calibri" w:hAnsi="Verdana" w:cs="Arial"/>
          <w:kern w:val="2"/>
          <w:shd w:val="clear" w:color="auto" w:fill="FFFFFF"/>
          <w:lang w:val="es-ES_tradnl"/>
          <w14:ligatures w14:val="standardContextual"/>
        </w:rPr>
        <w:t xml:space="preserve">La Agencia Nacional de Contratación Pública − Colombia Compra Eficiente se pronunció sobre la estructuración de procesos de contratación por lotes o grupos en los documentos tipo, en los conceptos C-193 del 6 de abril de 2020, C-789 del 19 de enero de 2021, C-031 del 1° de febrero de 2021, C-179 del 28 de abril de 2021, C-691 del 28 de diciembre de 2021, C-261 del 20 de mayo de 2022, C-287 del 17 de mayo de 2022, C-591 del 22 de septiembre de 2022, C-598 del 21 de septiembre de 2022, C-611 del 26 de septiembre de 2022 y C-194 del 18 de mayo de 2023.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610950D" w14:textId="77777777" w:rsidR="00006E99" w:rsidRPr="00006E99" w:rsidRDefault="00006E99" w:rsidP="00006E99">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3532D416"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r w:rsidRPr="00006E99">
        <w:rPr>
          <w:rFonts w:ascii="Verdana" w:eastAsia="Calibri" w:hAnsi="Verdana" w:cs="Arial"/>
          <w:shd w:val="clear" w:color="auto" w:fill="FFFFFF"/>
          <w:lang w:val="es-ES_tradnl"/>
        </w:rPr>
        <w:t xml:space="preserve">Le informamos que ya se encuentran publicados los borradores de las nuevas </w:t>
      </w:r>
      <w:r w:rsidRPr="00006E99">
        <w:rPr>
          <w:rFonts w:ascii="Verdana" w:eastAsia="Calibri" w:hAnsi="Verdana" w:cs="Arial"/>
          <w:shd w:val="clear" w:color="auto" w:fill="FFFFFF"/>
          <w:lang w:val="es-ES_tradnl"/>
        </w:rPr>
        <w:lastRenderedPageBreak/>
        <w:t>versiones de los Documentos Tipo de Interventoría y Consultoría de Infraestructura de Transporte. Conoce todos los detalles y realiza tus comentarios hasta el 10 de noviembre de 2024 en los siguientes enlaces: </w:t>
      </w:r>
      <w:hyperlink r:id="rId12" w:tooltip="Original URL:&#10;https://www.colombiacompra.gov.co/content/borrador-de-documentos-tipo-de-consultoria-de-obra-publica-de-infraestructura-de-transporte&#10;&#10;Click to follow link." w:history="1">
        <w:r w:rsidRPr="00006E99">
          <w:rPr>
            <w:rFonts w:ascii="Verdana" w:eastAsia="Calibri" w:hAnsi="Verdana" w:cs="Arial"/>
            <w:color w:val="0000FF"/>
            <w:u w:val="single"/>
            <w:shd w:val="clear" w:color="auto" w:fill="FFFFFF"/>
            <w:lang w:val="es-ES_tradnl"/>
          </w:rPr>
          <w:t>https://www.colombiacompra.gov.co/content/borrador-de-documentos-tipo-de-consultoria-de-obra-publica-de-infraestructura-de-transporte</w:t>
        </w:r>
      </w:hyperlink>
      <w:r w:rsidRPr="00006E99">
        <w:rPr>
          <w:rFonts w:ascii="Verdana" w:eastAsia="Calibri" w:hAnsi="Verdana" w:cs="Arial"/>
          <w:shd w:val="clear" w:color="auto" w:fill="FFFFFF"/>
          <w:lang w:val="es-ES_tradnl"/>
        </w:rPr>
        <w:t> y </w:t>
      </w:r>
      <w:hyperlink r:id="rId13" w:tooltip="Original URL:&#10;https://www.colombiacompra.gov.co/content/borrador-de-documentos-tipo-de-interventoria-de-obra-publica-de-infraestructura-de&#10;&#10;Click to follow link." w:history="1">
        <w:r w:rsidRPr="00006E99">
          <w:rPr>
            <w:rFonts w:ascii="Verdana" w:eastAsia="Calibri" w:hAnsi="Verdana" w:cs="Arial"/>
            <w:color w:val="0000FF"/>
            <w:u w:val="single"/>
            <w:shd w:val="clear" w:color="auto" w:fill="FFFFFF"/>
            <w:lang w:val="es-ES_tradnl"/>
          </w:rPr>
          <w:t>https://www.colombiacompra.gov.co/content/borrador-de-documentos-tipo-de-interventoria-de-obra-publica-de-infraestructura-de</w:t>
        </w:r>
      </w:hyperlink>
      <w:r w:rsidRPr="00006E99">
        <w:rPr>
          <w:rFonts w:ascii="Verdana" w:eastAsia="Calibri" w:hAnsi="Verdana" w:cs="Arial"/>
          <w:shd w:val="clear" w:color="auto" w:fill="FFFFFF"/>
          <w:lang w:val="es-ES_tradnl"/>
        </w:rPr>
        <w:t>.</w:t>
      </w:r>
    </w:p>
    <w:p w14:paraId="79FF2AF4"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p>
    <w:p w14:paraId="4D1FC01C"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r w:rsidRPr="00006E99">
        <w:rPr>
          <w:rFonts w:ascii="Verdana" w:eastAsia="Calibri" w:hAnsi="Verdana" w:cs="Arial"/>
          <w:shd w:val="clear" w:color="auto" w:fill="FFFFFF"/>
          <w:lang w:val="es-ES_tradnl"/>
        </w:rPr>
        <w:t>De otra parte, te contamos que ya publicamos el borrador de la nueva Guía de Contratación Pública Sostenible y Socialmente Responsable. Conoce el documento y realiza tus comentarios hasta el 14 de noviembre de 2024 a través del siguiente enlace: </w:t>
      </w:r>
      <w:hyperlink r:id="rId14" w:tooltip="Original URL:&#10;https://www.sucop.gov.co/entidades/colombiacompra/Normativa?IDNorma=18320&#10;&#10;Click to follow link." w:history="1">
        <w:r w:rsidRPr="00006E99">
          <w:rPr>
            <w:rFonts w:ascii="Verdana" w:eastAsia="Calibri" w:hAnsi="Verdana" w:cs="Arial"/>
            <w:color w:val="0000FF"/>
            <w:u w:val="single"/>
            <w:shd w:val="clear" w:color="auto" w:fill="FFFFFF"/>
            <w:lang w:val="es-ES_tradnl"/>
          </w:rPr>
          <w:t>https://www.sucop.gov.co/entidades/colombiacompra/Normativa?IDNorma=18320</w:t>
        </w:r>
      </w:hyperlink>
      <w:r w:rsidRPr="00006E99">
        <w:rPr>
          <w:rFonts w:ascii="Verdana" w:eastAsia="Calibri" w:hAnsi="Verdana" w:cs="Arial"/>
          <w:shd w:val="clear" w:color="auto" w:fill="FFFFFF"/>
          <w:lang w:val="es-ES_tradnl"/>
        </w:rPr>
        <w:t>.</w:t>
      </w:r>
    </w:p>
    <w:p w14:paraId="5619DA8C"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p>
    <w:p w14:paraId="38E207AC"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r w:rsidRPr="00006E99">
        <w:rPr>
          <w:rFonts w:ascii="Verdana" w:eastAsia="Calibri" w:hAnsi="Verdana" w:cs="Arial"/>
          <w:shd w:val="clear" w:color="auto" w:fill="FFFFFF"/>
          <w:lang w:val="es-ES_tradnl"/>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Original URL:&#10;https://www.colombiacompra.gov.co/sala-de-prensa/boletin-digital&#10;&#10;Click to follow link." w:history="1">
        <w:r w:rsidRPr="00006E99">
          <w:rPr>
            <w:rFonts w:ascii="Verdana" w:eastAsia="Calibri" w:hAnsi="Verdana" w:cs="Arial"/>
            <w:color w:val="0000FF"/>
            <w:u w:val="single"/>
            <w:shd w:val="clear" w:color="auto" w:fill="FFFFFF"/>
            <w:lang w:val="es-ES_tradnl"/>
          </w:rPr>
          <w:t>https://www.colombiacompra.gov.co/sala-de-prensa/boletin-digital</w:t>
        </w:r>
      </w:hyperlink>
      <w:r w:rsidRPr="00006E99">
        <w:rPr>
          <w:rFonts w:ascii="Verdana" w:eastAsia="Calibri" w:hAnsi="Verdana" w:cs="Arial"/>
          <w:shd w:val="clear" w:color="auto" w:fill="FFFFFF"/>
          <w:lang w:val="es-ES_tradnl"/>
        </w:rPr>
        <w:t>.  </w:t>
      </w:r>
    </w:p>
    <w:p w14:paraId="524D3104" w14:textId="77777777" w:rsidR="00006E99" w:rsidRPr="00006E99" w:rsidRDefault="00006E99" w:rsidP="00006E99">
      <w:pPr>
        <w:widowControl w:val="0"/>
        <w:autoSpaceDE w:val="0"/>
        <w:autoSpaceDN w:val="0"/>
        <w:spacing w:after="0" w:line="276" w:lineRule="auto"/>
        <w:jc w:val="both"/>
        <w:rPr>
          <w:rFonts w:ascii="Verdana" w:eastAsia="Calibri" w:hAnsi="Verdana" w:cs="Arial"/>
          <w:shd w:val="clear" w:color="auto" w:fill="FFFFFF"/>
          <w:lang w:val="es-ES_tradnl"/>
        </w:rPr>
      </w:pPr>
    </w:p>
    <w:p w14:paraId="765E56FE" w14:textId="77777777" w:rsidR="00006E99" w:rsidRPr="00006E99" w:rsidRDefault="00006E99" w:rsidP="00006E99">
      <w:pPr>
        <w:spacing w:after="0" w:line="276" w:lineRule="auto"/>
        <w:jc w:val="both"/>
        <w:rPr>
          <w:rFonts w:ascii="Verdana" w:eastAsia="Calibri" w:hAnsi="Verdana" w:cs="Times New Roman"/>
          <w:lang w:val="es-ES_tradnl"/>
        </w:rPr>
      </w:pPr>
      <w:r w:rsidRPr="00006E99">
        <w:rPr>
          <w:rFonts w:ascii="Verdana" w:eastAsia="Calibri" w:hAnsi="Verdana" w:cs="Times New Roman"/>
          <w:lang w:val="es-ES_tradnl"/>
        </w:rPr>
        <w:t xml:space="preserve">Por último, los invitamos a seguirnos en las redes sociales, en las cuales se difunde información institucional: </w:t>
      </w:r>
    </w:p>
    <w:p w14:paraId="1C3C47BC" w14:textId="77777777" w:rsidR="00006E99" w:rsidRPr="00006E99" w:rsidRDefault="00006E99" w:rsidP="00006E99">
      <w:pPr>
        <w:spacing w:after="0" w:line="240" w:lineRule="auto"/>
        <w:jc w:val="both"/>
        <w:rPr>
          <w:rFonts w:ascii="Verdana" w:eastAsia="Calibri" w:hAnsi="Verdana" w:cs="Times New Roman"/>
          <w:lang w:val="es-ES_tradnl"/>
        </w:rPr>
      </w:pPr>
    </w:p>
    <w:p w14:paraId="4F98BBB5" w14:textId="77777777" w:rsidR="00006E99" w:rsidRPr="00006E99" w:rsidRDefault="00006E99" w:rsidP="00006E99">
      <w:pPr>
        <w:spacing w:after="0" w:line="240" w:lineRule="auto"/>
        <w:jc w:val="both"/>
        <w:rPr>
          <w:rFonts w:ascii="Verdana" w:eastAsia="Calibri" w:hAnsi="Verdana" w:cs="Times New Roman"/>
          <w:lang w:val="es-ES_tradnl"/>
        </w:rPr>
      </w:pPr>
      <w:r w:rsidRPr="00006E99">
        <w:rPr>
          <w:rFonts w:ascii="Verdana" w:eastAsia="Calibri" w:hAnsi="Verdana" w:cs="Times New Roman"/>
          <w:lang w:val="es-ES_tradnl"/>
        </w:rPr>
        <w:t xml:space="preserve">Twitter: </w:t>
      </w:r>
      <w:r w:rsidRPr="00006E99">
        <w:rPr>
          <w:rFonts w:ascii="Verdana" w:eastAsia="Calibri" w:hAnsi="Verdana" w:cs="Times New Roman"/>
          <w:u w:val="single"/>
          <w:lang w:val="es-ES_tradnl"/>
        </w:rPr>
        <w:t>@colombiacompra</w:t>
      </w:r>
      <w:r w:rsidRPr="00006E99">
        <w:rPr>
          <w:rFonts w:ascii="Verdana" w:eastAsia="Calibri" w:hAnsi="Verdana" w:cs="Times New Roman"/>
          <w:lang w:val="es-ES_tradnl"/>
        </w:rPr>
        <w:t xml:space="preserve"> </w:t>
      </w:r>
    </w:p>
    <w:p w14:paraId="3165E260" w14:textId="77777777" w:rsidR="00006E99" w:rsidRPr="00006E99" w:rsidRDefault="00006E99" w:rsidP="00006E99">
      <w:pPr>
        <w:spacing w:after="0" w:line="240" w:lineRule="auto"/>
        <w:jc w:val="both"/>
        <w:rPr>
          <w:rFonts w:ascii="Verdana" w:eastAsia="Calibri" w:hAnsi="Verdana" w:cs="Times New Roman"/>
          <w:lang w:val="es-ES_tradnl"/>
        </w:rPr>
      </w:pPr>
      <w:r w:rsidRPr="00006E99">
        <w:rPr>
          <w:rFonts w:ascii="Verdana" w:eastAsia="Calibri" w:hAnsi="Verdana" w:cs="Times New Roman"/>
          <w:lang w:val="es-ES_tradnl"/>
        </w:rPr>
        <w:t xml:space="preserve">Facebook: </w:t>
      </w:r>
      <w:r w:rsidRPr="00006E99">
        <w:rPr>
          <w:rFonts w:ascii="Verdana" w:eastAsia="Calibri" w:hAnsi="Verdana" w:cs="Times New Roman"/>
          <w:u w:val="single"/>
          <w:lang w:val="es-ES_tradnl"/>
        </w:rPr>
        <w:t>ColombiaCompraEficiente</w:t>
      </w:r>
    </w:p>
    <w:p w14:paraId="2CAA4BA0" w14:textId="77777777" w:rsidR="00006E99" w:rsidRPr="00006E99" w:rsidRDefault="00006E99" w:rsidP="00006E99">
      <w:pPr>
        <w:spacing w:after="0" w:line="240" w:lineRule="auto"/>
        <w:jc w:val="both"/>
        <w:rPr>
          <w:rFonts w:ascii="Verdana" w:eastAsia="Calibri" w:hAnsi="Verdana" w:cs="Times New Roman"/>
          <w:lang w:val="es-ES_tradnl"/>
        </w:rPr>
      </w:pPr>
      <w:r w:rsidRPr="00006E99">
        <w:rPr>
          <w:rFonts w:ascii="Verdana" w:eastAsia="Calibri" w:hAnsi="Verdana" w:cs="Times New Roman"/>
          <w:lang w:val="es-ES_tradnl"/>
        </w:rPr>
        <w:t xml:space="preserve">LinkedIn: </w:t>
      </w:r>
      <w:r w:rsidRPr="00006E99">
        <w:rPr>
          <w:rFonts w:ascii="Verdana" w:eastAsia="Calibri" w:hAnsi="Verdana" w:cs="Times New Roman"/>
          <w:u w:val="single"/>
          <w:lang w:val="es-ES_tradnl"/>
        </w:rPr>
        <w:t>Agencia Nacional de Contratación Pública - Colombia Compra Eficiente</w:t>
      </w:r>
      <w:r w:rsidRPr="00006E99">
        <w:rPr>
          <w:rFonts w:ascii="Verdana" w:eastAsia="Calibri" w:hAnsi="Verdana" w:cs="Times New Roman"/>
          <w:lang w:val="es-ES_tradnl"/>
        </w:rPr>
        <w:t xml:space="preserve"> Instagram: </w:t>
      </w:r>
      <w:r w:rsidRPr="00006E99">
        <w:rPr>
          <w:rFonts w:ascii="Verdana" w:eastAsia="Calibri" w:hAnsi="Verdana" w:cs="Times New Roman"/>
          <w:u w:val="single"/>
          <w:lang w:val="es-ES_tradnl"/>
        </w:rPr>
        <w:t>@colombiacompraeficiente_cce</w:t>
      </w:r>
    </w:p>
    <w:p w14:paraId="1C240F4C" w14:textId="77777777" w:rsidR="00006E99" w:rsidRPr="00006E99" w:rsidRDefault="00006E99" w:rsidP="00006E99">
      <w:pPr>
        <w:widowControl w:val="0"/>
        <w:autoSpaceDE w:val="0"/>
        <w:autoSpaceDN w:val="0"/>
        <w:spacing w:after="0" w:line="276" w:lineRule="auto"/>
        <w:jc w:val="both"/>
        <w:rPr>
          <w:rFonts w:ascii="Verdana" w:eastAsia="Calibri" w:hAnsi="Verdana" w:cs="Arial"/>
          <w:lang w:val="es-ES_tradnl"/>
        </w:rPr>
      </w:pPr>
    </w:p>
    <w:p w14:paraId="2E6B85BE" w14:textId="77777777" w:rsidR="00006E99" w:rsidRPr="00006E99" w:rsidRDefault="00006E99" w:rsidP="00006E99">
      <w:pPr>
        <w:widowControl w:val="0"/>
        <w:autoSpaceDE w:val="0"/>
        <w:autoSpaceDN w:val="0"/>
        <w:spacing w:after="0" w:line="276" w:lineRule="auto"/>
        <w:jc w:val="both"/>
        <w:rPr>
          <w:rFonts w:ascii="Verdana" w:eastAsia="Calibri" w:hAnsi="Verdana" w:cs="Arial"/>
          <w:lang w:val="es-ES_tradnl"/>
        </w:rPr>
      </w:pPr>
      <w:r w:rsidRPr="00006E99">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DF6872A" w14:textId="77777777" w:rsidR="00006E99" w:rsidRPr="00006E99" w:rsidRDefault="00006E99" w:rsidP="00006E99">
      <w:pPr>
        <w:widowControl w:val="0"/>
        <w:autoSpaceDE w:val="0"/>
        <w:autoSpaceDN w:val="0"/>
        <w:spacing w:after="0" w:line="276" w:lineRule="auto"/>
        <w:jc w:val="both"/>
        <w:rPr>
          <w:rFonts w:ascii="Verdana" w:eastAsia="Calibri" w:hAnsi="Verdana" w:cs="Arial"/>
          <w:lang w:val="es-ES_tradnl"/>
        </w:rPr>
      </w:pPr>
    </w:p>
    <w:p w14:paraId="25AC387E" w14:textId="77777777" w:rsidR="00006E99" w:rsidRPr="00006E99" w:rsidRDefault="00006E99" w:rsidP="00006E99">
      <w:pPr>
        <w:spacing w:after="0" w:line="240" w:lineRule="auto"/>
        <w:rPr>
          <w:rFonts w:ascii="Verdana" w:eastAsia="Calibri" w:hAnsi="Verdana" w:cs="Arial"/>
          <w:lang w:val="es-ES_tradnl" w:eastAsia="es-CO"/>
        </w:rPr>
      </w:pPr>
      <w:r w:rsidRPr="00006E99">
        <w:rPr>
          <w:rFonts w:ascii="Verdana" w:eastAsia="Times New Roman" w:hAnsi="Verdana" w:cs="Arial"/>
          <w:lang w:val="es-ES_tradnl" w:eastAsia="es-CO"/>
        </w:rPr>
        <w:t>Atentamente,</w:t>
      </w:r>
      <w:r w:rsidRPr="00006E99">
        <w:rPr>
          <w:rFonts w:ascii="Verdana" w:eastAsia="Calibri" w:hAnsi="Verdana" w:cs="Arial"/>
          <w:lang w:val="es-ES_tradnl" w:eastAsia="es-CO"/>
        </w:rPr>
        <w:t xml:space="preserve"> </w:t>
      </w:r>
    </w:p>
    <w:p w14:paraId="5AFFF258" w14:textId="25F4EBD2" w:rsidR="00006E99" w:rsidRPr="00006E99" w:rsidRDefault="00DC1C81" w:rsidP="00006E99">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400794A8" wp14:editId="7DDEC1CD">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06E99" w:rsidRPr="00006E99" w14:paraId="6E72F509" w14:textId="77777777" w:rsidTr="00E25CC3">
        <w:trPr>
          <w:trHeight w:val="315"/>
        </w:trPr>
        <w:tc>
          <w:tcPr>
            <w:tcW w:w="893" w:type="dxa"/>
            <w:vAlign w:val="center"/>
            <w:hideMark/>
          </w:tcPr>
          <w:p w14:paraId="2800F921" w14:textId="77777777" w:rsidR="00006E99" w:rsidRPr="00006E99" w:rsidRDefault="00006E99" w:rsidP="00006E99">
            <w:pPr>
              <w:rPr>
                <w:rFonts w:ascii="Verdana" w:eastAsia="Calibri" w:hAnsi="Verdana" w:cs="Arial"/>
                <w:sz w:val="16"/>
                <w:szCs w:val="16"/>
                <w:lang w:val="es-ES_tradnl" w:eastAsia="es-ES"/>
              </w:rPr>
            </w:pPr>
            <w:r w:rsidRPr="00006E99">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486234B0" w14:textId="77777777" w:rsidR="00006E99" w:rsidRPr="00006E99" w:rsidRDefault="00006E99" w:rsidP="00006E99">
            <w:pPr>
              <w:rPr>
                <w:rFonts w:ascii="Verdana" w:eastAsia="Arial" w:hAnsi="Verdana" w:cs="Arial"/>
                <w:sz w:val="16"/>
                <w:szCs w:val="16"/>
                <w:lang w:val="es-ES_tradnl"/>
              </w:rPr>
            </w:pPr>
            <w:r w:rsidRPr="00006E99">
              <w:rPr>
                <w:rFonts w:ascii="Verdana" w:eastAsia="Arial" w:hAnsi="Verdana" w:cs="Arial"/>
                <w:sz w:val="16"/>
                <w:szCs w:val="16"/>
                <w:lang w:val="es-ES_tradnl"/>
              </w:rPr>
              <w:t>Kevin Arlid Herrera Santa</w:t>
            </w:r>
          </w:p>
          <w:p w14:paraId="7A8C2BA3" w14:textId="77777777" w:rsidR="00006E99" w:rsidRPr="00006E99" w:rsidRDefault="00006E99" w:rsidP="00006E99">
            <w:pPr>
              <w:rPr>
                <w:rFonts w:ascii="Verdana" w:eastAsia="Arial" w:hAnsi="Verdana" w:cs="Arial"/>
                <w:sz w:val="16"/>
                <w:szCs w:val="16"/>
                <w:lang w:val="es-ES_tradnl"/>
              </w:rPr>
            </w:pPr>
            <w:r w:rsidRPr="00006E99">
              <w:rPr>
                <w:rFonts w:ascii="Verdana" w:eastAsia="Arial" w:hAnsi="Verdana" w:cs="Arial"/>
                <w:sz w:val="16"/>
                <w:szCs w:val="16"/>
                <w:lang w:val="es-ES_tradnl"/>
              </w:rPr>
              <w:t xml:space="preserve">Contratista de la Subdirección de Gestión Contractual </w:t>
            </w:r>
          </w:p>
        </w:tc>
      </w:tr>
      <w:tr w:rsidR="00006E99" w:rsidRPr="00006E99" w14:paraId="3EACBE2C" w14:textId="77777777" w:rsidTr="00E25CC3">
        <w:trPr>
          <w:trHeight w:val="330"/>
        </w:trPr>
        <w:tc>
          <w:tcPr>
            <w:tcW w:w="893" w:type="dxa"/>
            <w:vAlign w:val="center"/>
            <w:hideMark/>
          </w:tcPr>
          <w:p w14:paraId="4B2F5EF8" w14:textId="77777777" w:rsidR="00006E99" w:rsidRPr="00006E99" w:rsidRDefault="00006E99" w:rsidP="00006E99">
            <w:pPr>
              <w:rPr>
                <w:rFonts w:ascii="Verdana" w:eastAsia="Calibri" w:hAnsi="Verdana" w:cs="Arial"/>
                <w:sz w:val="16"/>
                <w:szCs w:val="16"/>
                <w:lang w:val="es-ES_tradnl" w:eastAsia="es-ES"/>
              </w:rPr>
            </w:pPr>
            <w:r w:rsidRPr="00006E99">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735B1DF1" w14:textId="77777777" w:rsidR="00006E99" w:rsidRPr="00006E99" w:rsidRDefault="00006E99" w:rsidP="00006E99">
            <w:pPr>
              <w:textAlignment w:val="baseline"/>
              <w:rPr>
                <w:rFonts w:ascii="Verdana" w:eastAsia="Times New Roman" w:hAnsi="Verdana" w:cs="Segoe UI"/>
                <w:sz w:val="16"/>
                <w:szCs w:val="16"/>
                <w:lang w:val="es-ES_tradnl" w:eastAsia="es-ES_tradnl"/>
              </w:rPr>
            </w:pPr>
            <w:r w:rsidRPr="00006E99">
              <w:rPr>
                <w:rFonts w:ascii="Verdana" w:eastAsia="Times New Roman" w:hAnsi="Verdana" w:cs="Segoe UI"/>
                <w:sz w:val="16"/>
                <w:szCs w:val="16"/>
                <w:lang w:val="es-ES_tradnl" w:eastAsia="es-ES_tradnl"/>
              </w:rPr>
              <w:t>Juan David Cárdenas Cabeza</w:t>
            </w:r>
          </w:p>
          <w:p w14:paraId="09989C31" w14:textId="77777777" w:rsidR="00006E99" w:rsidRPr="00006E99" w:rsidRDefault="00006E99" w:rsidP="00006E99">
            <w:pPr>
              <w:textAlignment w:val="baseline"/>
              <w:rPr>
                <w:rFonts w:ascii="Verdana" w:eastAsia="Times New Roman" w:hAnsi="Verdana" w:cs="Segoe UI"/>
                <w:sz w:val="16"/>
                <w:szCs w:val="16"/>
                <w:lang w:val="es-ES_tradnl" w:eastAsia="es-ES_tradnl"/>
              </w:rPr>
            </w:pPr>
            <w:r w:rsidRPr="00006E99">
              <w:rPr>
                <w:rFonts w:ascii="Verdana" w:eastAsia="Times New Roman" w:hAnsi="Verdana" w:cs="Arial"/>
                <w:sz w:val="16"/>
                <w:szCs w:val="16"/>
                <w:lang w:val="es-ES_tradnl" w:eastAsia="es-ES_tradnl"/>
              </w:rPr>
              <w:t>Contratista de la Subdirección de Gestión Contractual </w:t>
            </w:r>
          </w:p>
        </w:tc>
      </w:tr>
      <w:tr w:rsidR="00006E99" w:rsidRPr="00006E99" w14:paraId="5F40E69C" w14:textId="77777777" w:rsidTr="00E25CC3">
        <w:trPr>
          <w:trHeight w:val="300"/>
        </w:trPr>
        <w:tc>
          <w:tcPr>
            <w:tcW w:w="893" w:type="dxa"/>
            <w:vAlign w:val="center"/>
          </w:tcPr>
          <w:p w14:paraId="04086492" w14:textId="77777777" w:rsidR="00006E99" w:rsidRPr="00006E99" w:rsidRDefault="00006E99" w:rsidP="00006E99">
            <w:pPr>
              <w:rPr>
                <w:rFonts w:ascii="Verdana" w:eastAsia="Calibri" w:hAnsi="Verdana" w:cs="Arial"/>
                <w:sz w:val="16"/>
                <w:szCs w:val="16"/>
                <w:lang w:val="es-ES_tradnl" w:eastAsia="es-ES"/>
              </w:rPr>
            </w:pPr>
            <w:r w:rsidRPr="00006E99">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5106EC8F" w14:textId="77777777" w:rsidR="00006E99" w:rsidRPr="00006E99" w:rsidRDefault="00006E99" w:rsidP="00006E99">
            <w:pPr>
              <w:rPr>
                <w:rFonts w:ascii="Verdana" w:eastAsia="Calibri" w:hAnsi="Verdana" w:cs="Arial"/>
                <w:sz w:val="16"/>
                <w:szCs w:val="16"/>
                <w:lang w:val="es-ES_tradnl" w:eastAsia="es-ES"/>
              </w:rPr>
            </w:pPr>
            <w:r w:rsidRPr="00006E99">
              <w:rPr>
                <w:rFonts w:ascii="Verdana" w:eastAsia="Calibri" w:hAnsi="Verdana" w:cs="Arial"/>
                <w:sz w:val="16"/>
                <w:szCs w:val="16"/>
                <w:lang w:val="es-ES_tradnl" w:eastAsia="es-ES"/>
              </w:rPr>
              <w:t>Carolina Quintero Gacharná</w:t>
            </w:r>
          </w:p>
          <w:p w14:paraId="11AE1AA5" w14:textId="77777777" w:rsidR="00006E99" w:rsidRPr="00006E99" w:rsidRDefault="00006E99" w:rsidP="00006E99">
            <w:pPr>
              <w:rPr>
                <w:rFonts w:ascii="Verdana" w:eastAsia="Calibri" w:hAnsi="Verdana" w:cs="Arial"/>
                <w:sz w:val="16"/>
                <w:szCs w:val="16"/>
                <w:lang w:val="es-ES_tradnl" w:eastAsia="es-ES"/>
              </w:rPr>
            </w:pPr>
            <w:r w:rsidRPr="00006E99">
              <w:rPr>
                <w:rFonts w:ascii="Verdana" w:eastAsia="Calibri" w:hAnsi="Verdana" w:cs="Arial"/>
                <w:sz w:val="16"/>
                <w:szCs w:val="16"/>
                <w:lang w:val="es-ES_tradnl" w:eastAsia="es-ES"/>
              </w:rPr>
              <w:t>Subdirectora de Gestión Contractual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7090" w14:textId="77777777" w:rsidR="003B5566" w:rsidRDefault="003B5566" w:rsidP="004A1847">
      <w:pPr>
        <w:spacing w:after="0" w:line="240" w:lineRule="auto"/>
      </w:pPr>
      <w:r>
        <w:separator/>
      </w:r>
    </w:p>
  </w:endnote>
  <w:endnote w:type="continuationSeparator" w:id="0">
    <w:p w14:paraId="361852A1" w14:textId="77777777" w:rsidR="003B5566" w:rsidRDefault="003B5566" w:rsidP="004A1847">
      <w:pPr>
        <w:spacing w:after="0" w:line="240" w:lineRule="auto"/>
      </w:pPr>
      <w:r>
        <w:continuationSeparator/>
      </w:r>
    </w:p>
  </w:endnote>
  <w:endnote w:type="continuationNotice" w:id="1">
    <w:p w14:paraId="0F9D03D2" w14:textId="77777777" w:rsidR="003B5566" w:rsidRDefault="003B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2DD5" w14:textId="77777777" w:rsidR="003B5566" w:rsidRDefault="003B5566" w:rsidP="004A1847">
      <w:pPr>
        <w:spacing w:after="0" w:line="240" w:lineRule="auto"/>
      </w:pPr>
      <w:r>
        <w:separator/>
      </w:r>
    </w:p>
  </w:footnote>
  <w:footnote w:type="continuationSeparator" w:id="0">
    <w:p w14:paraId="4D4ADCFB" w14:textId="77777777" w:rsidR="003B5566" w:rsidRDefault="003B5566" w:rsidP="004A1847">
      <w:pPr>
        <w:spacing w:after="0" w:line="240" w:lineRule="auto"/>
      </w:pPr>
      <w:r>
        <w:continuationSeparator/>
      </w:r>
    </w:p>
  </w:footnote>
  <w:footnote w:type="continuationNotice" w:id="1">
    <w:p w14:paraId="10CCDF8A" w14:textId="77777777" w:rsidR="003B5566" w:rsidRDefault="003B5566">
      <w:pPr>
        <w:spacing w:after="0" w:line="240" w:lineRule="auto"/>
      </w:pPr>
    </w:p>
  </w:footnote>
  <w:footnote w:id="2">
    <w:p w14:paraId="5C907615" w14:textId="77777777" w:rsidR="00006E99" w:rsidRPr="00F4440D" w:rsidRDefault="00006E99" w:rsidP="00006E99">
      <w:pPr>
        <w:pStyle w:val="Textonotapie"/>
        <w:ind w:firstLine="709"/>
        <w:jc w:val="both"/>
        <w:rPr>
          <w:rFonts w:ascii="Verdana" w:hAnsi="Verdana"/>
          <w:sz w:val="18"/>
          <w:szCs w:val="18"/>
        </w:rPr>
      </w:pPr>
      <w:r w:rsidRPr="00F4440D">
        <w:rPr>
          <w:rStyle w:val="Refdenotaalpie"/>
          <w:rFonts w:ascii="Verdana" w:hAnsi="Verdana"/>
          <w:sz w:val="18"/>
          <w:szCs w:val="18"/>
        </w:rPr>
        <w:footnoteRef/>
      </w:r>
      <w:r w:rsidRPr="00F4440D">
        <w:rPr>
          <w:rFonts w:ascii="Verdana" w:hAnsi="Verdana"/>
          <w:sz w:val="18"/>
          <w:szCs w:val="18"/>
        </w:rPr>
        <w:t xml:space="preserve"> Estos Documentos Tipo pueden ser consultados en la página web de Colombia Compra Eficiente, a través del siguiente enlace: </w:t>
      </w:r>
      <w:hyperlink r:id="rId1" w:history="1">
        <w:r w:rsidRPr="00F4440D">
          <w:rPr>
            <w:rStyle w:val="Hipervnculo"/>
            <w:rFonts w:ascii="Verdana" w:hAnsi="Verdana"/>
            <w:sz w:val="18"/>
            <w:szCs w:val="18"/>
          </w:rPr>
          <w:t>https://www.colombiacompra.gov.co/documentos-tipo/documentos-tipo</w:t>
        </w:r>
      </w:hyperlink>
      <w:r w:rsidRPr="00F4440D">
        <w:rPr>
          <w:rFonts w:ascii="Verdana" w:hAnsi="Verdana"/>
          <w:sz w:val="18"/>
          <w:szCs w:val="18"/>
        </w:rPr>
        <w:t xml:space="preserve"> </w:t>
      </w:r>
    </w:p>
  </w:footnote>
  <w:footnote w:id="3">
    <w:p w14:paraId="2D0ED886" w14:textId="77777777" w:rsidR="00006E99" w:rsidRDefault="00006E99" w:rsidP="00006E99">
      <w:pPr>
        <w:pStyle w:val="Textonotapie"/>
        <w:ind w:firstLine="709"/>
        <w:jc w:val="both"/>
      </w:pPr>
      <w:r w:rsidRPr="00F4440D">
        <w:rPr>
          <w:rStyle w:val="Refdenotaalpie"/>
          <w:rFonts w:ascii="Verdana" w:hAnsi="Verdana"/>
          <w:sz w:val="18"/>
          <w:szCs w:val="18"/>
        </w:rPr>
        <w:footnoteRef/>
      </w:r>
      <w:r w:rsidRPr="00F4440D">
        <w:rPr>
          <w:rFonts w:ascii="Verdana" w:hAnsi="Verdana"/>
          <w:sz w:val="18"/>
          <w:szCs w:val="18"/>
        </w:rPr>
        <w:t xml:space="preserve"> Estos documentos tipo fueron adoptados mediante la Resolución 240 de 2020</w:t>
      </w:r>
      <w:r>
        <w:rPr>
          <w:rFonts w:ascii="Verdana" w:hAnsi="Verdana"/>
          <w:sz w:val="18"/>
          <w:szCs w:val="18"/>
        </w:rPr>
        <w:t xml:space="preserve"> </w:t>
      </w:r>
      <w:r w:rsidRPr="00F4440D">
        <w:rPr>
          <w:rFonts w:ascii="Verdana" w:hAnsi="Verdana"/>
          <w:sz w:val="18"/>
          <w:szCs w:val="18"/>
        </w:rPr>
        <w:t>y será</w:t>
      </w:r>
      <w:r>
        <w:rPr>
          <w:rFonts w:ascii="Verdana" w:hAnsi="Verdana"/>
          <w:sz w:val="18"/>
          <w:szCs w:val="18"/>
        </w:rPr>
        <w:t>n</w:t>
      </w:r>
      <w:r w:rsidRPr="00F4440D">
        <w:rPr>
          <w:rFonts w:ascii="Verdana" w:hAnsi="Verdana"/>
          <w:sz w:val="18"/>
          <w:szCs w:val="18"/>
        </w:rPr>
        <w:t xml:space="preserve"> tomados como referencia para el desarrollo de este concepto.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F64484"/>
    <w:multiLevelType w:val="hybridMultilevel"/>
    <w:tmpl w:val="0EC4FA8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EF5181"/>
    <w:multiLevelType w:val="hybridMultilevel"/>
    <w:tmpl w:val="2B5A8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DF2A6E"/>
    <w:multiLevelType w:val="hybridMultilevel"/>
    <w:tmpl w:val="47D40F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C4003"/>
    <w:multiLevelType w:val="hybridMultilevel"/>
    <w:tmpl w:val="CC94DA1C"/>
    <w:lvl w:ilvl="0" w:tplc="21F89DE4">
      <w:start w:val="6"/>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8"/>
  </w:num>
  <w:num w:numId="8" w16cid:durableId="152644682">
    <w:abstractNumId w:val="16"/>
  </w:num>
  <w:num w:numId="9" w16cid:durableId="1317221377">
    <w:abstractNumId w:val="11"/>
  </w:num>
  <w:num w:numId="10" w16cid:durableId="1471245386">
    <w:abstractNumId w:val="15"/>
  </w:num>
  <w:num w:numId="11" w16cid:durableId="289172385">
    <w:abstractNumId w:val="12"/>
  </w:num>
  <w:num w:numId="12" w16cid:durableId="1470781324">
    <w:abstractNumId w:val="1"/>
  </w:num>
  <w:num w:numId="13" w16cid:durableId="1512908409">
    <w:abstractNumId w:val="5"/>
  </w:num>
  <w:num w:numId="14" w16cid:durableId="895897244">
    <w:abstractNumId w:val="18"/>
  </w:num>
  <w:num w:numId="15" w16cid:durableId="390349800">
    <w:abstractNumId w:val="14"/>
  </w:num>
  <w:num w:numId="16" w16cid:durableId="341274352">
    <w:abstractNumId w:val="0"/>
  </w:num>
  <w:num w:numId="17" w16cid:durableId="1492209491">
    <w:abstractNumId w:val="7"/>
  </w:num>
  <w:num w:numId="18" w16cid:durableId="679089576">
    <w:abstractNumId w:val="13"/>
  </w:num>
  <w:num w:numId="19" w16cid:durableId="1223523296">
    <w:abstractNumId w:val="19"/>
  </w:num>
  <w:num w:numId="20" w16cid:durableId="273483776">
    <w:abstractNumId w:val="3"/>
  </w:num>
  <w:num w:numId="21" w16cid:durableId="1135829599">
    <w:abstractNumId w:val="10"/>
  </w:num>
  <w:num w:numId="22" w16cid:durableId="552237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E99"/>
    <w:rsid w:val="00006FBD"/>
    <w:rsid w:val="00040A94"/>
    <w:rsid w:val="00061B2A"/>
    <w:rsid w:val="00082362"/>
    <w:rsid w:val="000A683E"/>
    <w:rsid w:val="000B19B9"/>
    <w:rsid w:val="000B7729"/>
    <w:rsid w:val="000D0334"/>
    <w:rsid w:val="000F6486"/>
    <w:rsid w:val="00125105"/>
    <w:rsid w:val="00127233"/>
    <w:rsid w:val="001E4177"/>
    <w:rsid w:val="001F7DC6"/>
    <w:rsid w:val="002421BB"/>
    <w:rsid w:val="00250531"/>
    <w:rsid w:val="0025796E"/>
    <w:rsid w:val="002707A2"/>
    <w:rsid w:val="002951A0"/>
    <w:rsid w:val="002962BC"/>
    <w:rsid w:val="002A093D"/>
    <w:rsid w:val="002A0DD0"/>
    <w:rsid w:val="002A49AC"/>
    <w:rsid w:val="002A64FD"/>
    <w:rsid w:val="002B33F3"/>
    <w:rsid w:val="002C7A84"/>
    <w:rsid w:val="002E3DB1"/>
    <w:rsid w:val="002E4FD9"/>
    <w:rsid w:val="00313921"/>
    <w:rsid w:val="00322A85"/>
    <w:rsid w:val="00324168"/>
    <w:rsid w:val="003448F4"/>
    <w:rsid w:val="00374F5E"/>
    <w:rsid w:val="00377E3E"/>
    <w:rsid w:val="003A26D1"/>
    <w:rsid w:val="003A779E"/>
    <w:rsid w:val="003B5566"/>
    <w:rsid w:val="003D0F4D"/>
    <w:rsid w:val="003D5B0D"/>
    <w:rsid w:val="003D7B36"/>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02447"/>
    <w:rsid w:val="00610812"/>
    <w:rsid w:val="006219F8"/>
    <w:rsid w:val="00650FF7"/>
    <w:rsid w:val="00660A37"/>
    <w:rsid w:val="00665D70"/>
    <w:rsid w:val="00671DAC"/>
    <w:rsid w:val="006900D9"/>
    <w:rsid w:val="006D12F8"/>
    <w:rsid w:val="006D516F"/>
    <w:rsid w:val="006F1733"/>
    <w:rsid w:val="00706C16"/>
    <w:rsid w:val="00756841"/>
    <w:rsid w:val="007649AB"/>
    <w:rsid w:val="00771D0C"/>
    <w:rsid w:val="007833AC"/>
    <w:rsid w:val="007B268C"/>
    <w:rsid w:val="007B7171"/>
    <w:rsid w:val="007B797B"/>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3CC4"/>
    <w:rsid w:val="009C71FA"/>
    <w:rsid w:val="009C72E7"/>
    <w:rsid w:val="009D3058"/>
    <w:rsid w:val="009F3A13"/>
    <w:rsid w:val="00A122D3"/>
    <w:rsid w:val="00A17F13"/>
    <w:rsid w:val="00A20739"/>
    <w:rsid w:val="00A33C78"/>
    <w:rsid w:val="00AB0ADB"/>
    <w:rsid w:val="00B01B1A"/>
    <w:rsid w:val="00B72CD3"/>
    <w:rsid w:val="00B72FFF"/>
    <w:rsid w:val="00BC3D36"/>
    <w:rsid w:val="00BD7F72"/>
    <w:rsid w:val="00BF6650"/>
    <w:rsid w:val="00C04FB3"/>
    <w:rsid w:val="00C330EB"/>
    <w:rsid w:val="00C754BE"/>
    <w:rsid w:val="00C76B1C"/>
    <w:rsid w:val="00CB6357"/>
    <w:rsid w:val="00CC1B26"/>
    <w:rsid w:val="00D423A2"/>
    <w:rsid w:val="00D520D8"/>
    <w:rsid w:val="00D63AC2"/>
    <w:rsid w:val="00D7383B"/>
    <w:rsid w:val="00DA231B"/>
    <w:rsid w:val="00DA23A0"/>
    <w:rsid w:val="00DC1C81"/>
    <w:rsid w:val="00DC39FC"/>
    <w:rsid w:val="00DF5254"/>
    <w:rsid w:val="00E16408"/>
    <w:rsid w:val="00E20894"/>
    <w:rsid w:val="00E245AB"/>
    <w:rsid w:val="00E2764C"/>
    <w:rsid w:val="00E27F2E"/>
    <w:rsid w:val="00E413EA"/>
    <w:rsid w:val="00E50AFE"/>
    <w:rsid w:val="00E67A99"/>
    <w:rsid w:val="00E75C92"/>
    <w:rsid w:val="00E771DC"/>
    <w:rsid w:val="00E80CE8"/>
    <w:rsid w:val="00E8772A"/>
    <w:rsid w:val="00E90F6B"/>
    <w:rsid w:val="00E92C27"/>
    <w:rsid w:val="00EA0E3D"/>
    <w:rsid w:val="00EC38A7"/>
    <w:rsid w:val="00EE1AA8"/>
    <w:rsid w:val="00EF7824"/>
    <w:rsid w:val="00F31EDC"/>
    <w:rsid w:val="00F462B3"/>
    <w:rsid w:val="00F5664F"/>
    <w:rsid w:val="00F666C4"/>
    <w:rsid w:val="00F76AFC"/>
    <w:rsid w:val="00FA47C0"/>
    <w:rsid w:val="00FB5DD1"/>
    <w:rsid w:val="00FC2B5D"/>
    <w:rsid w:val="00FF1449"/>
    <w:rsid w:val="0261694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06E9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interventoria-de-obra-publica-de-infraestructura-de&amp;data=05%7C02%7Ckevin.herrera%40colombiacompra.gov.co%7C096eca3fdcca424ff1c708dcf932f947%7C7b09041e245149d08cb179d5e3d8c1be%7C0%7C0%7C638659244551600404%7CUnknown%7CTWFpbGZsb3d8eyJWIjoiMC4wLjAwMDAiLCJQIjoiV2luMzIiLCJBTiI6Ik1haWwiLCJXVCI6Mn0%3D%7C0%7C%7C%7C&amp;sdata=bo7Xu1wMKpB5be6C9FxxwEmojS7L0PlxvfdV25sn3RQ%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content%2Fborrador-de-documentos-tipo-de-consultoria-de-obra-publica-de-infraestructura-de-transporte&amp;data=05%7C02%7Ckevin.herrera%40colombiacompra.gov.co%7C096eca3fdcca424ff1c708dcf932f947%7C7b09041e245149d08cb179d5e3d8c1be%7C0%7C0%7C638659244551577035%7CUnknown%7CTWFpbGZsb3d8eyJWIjoiMC4wLjAwMDAiLCJQIjoiV2luMzIiLCJBTiI6Ik1haWwiLCJXVCI6Mn0%3D%7C0%7C%7C%7C&amp;sdata=f2ZVsSCKE9SC3BL6gJc1Cb6EeYVm2PKHBsSxa531DQE%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para-licitacion-de-obra-publica-de-infraestructura-de-transporte-version-04"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kevin.herrera%40colombiacompra.gov.co%7C096eca3fdcca424ff1c708dcf932f947%7C7b09041e245149d08cb179d5e3d8c1be%7C0%7C0%7C638659244551636688%7CUnknown%7CTWFpbGZsb3d8eyJWIjoiMC4wLjAwMDAiLCJQIjoiV2luMzIiLCJBTiI6Ik1haWwiLCJXVCI6Mn0%3D%7C0%7C%7C%7C&amp;sdata=LaZ7bwO%2Ff2Yqrf%2BPk6mWxRZIUvBgGLgkBu6Y4JUnOLs%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8320&amp;data=05%7C02%7Ckevin.herrera%40colombiacompra.gov.co%7C096eca3fdcca424ff1c708dcf932f947%7C7b09041e245149d08cb179d5e3d8c1be%7C0%7C0%7C638659244551618609%7CUnknown%7CTWFpbGZsb3d8eyJWIjoiMC4wLjAwMDAiLCJQIjoiV2luMzIiLCJBTiI6Ik1haWwiLCJXVCI6Mn0%3D%7C0%7C%7C%7C&amp;sdata=0LtE4nWA%2FtymYwuE9u52bCCXGl6jM%2FU4dy5rldSEpHs%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a6cb9e4b-f1d1-4245-83ec-6cad768d538a"/>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9d85dbaf-23eb-4e57-a637-93dcacc8b1a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A743AB-79E3-476B-9B85-844FFC40D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17686</Characters>
  <Application>Microsoft Office Word</Application>
  <DocSecurity>0</DocSecurity>
  <Lines>147</Lines>
  <Paragraphs>41</Paragraphs>
  <ScaleCrop>false</ScaleCrop>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2024-11-26T15:48:00Z</dcterms:created>
  <dcterms:modified xsi:type="dcterms:W3CDTF">2024-11-26T15:48:00Z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