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44D74" w14:textId="77777777" w:rsidR="00046B72" w:rsidRPr="00494EF4" w:rsidRDefault="00046B72" w:rsidP="00046B72">
      <w:pPr>
        <w:spacing w:after="0"/>
        <w:jc w:val="both"/>
        <w:rPr>
          <w:rFonts w:ascii="Verdana" w:eastAsia="Times New Roman" w:hAnsi="Verdana" w:cs="Arial"/>
          <w:sz w:val="20"/>
          <w:szCs w:val="20"/>
        </w:rPr>
      </w:pPr>
      <w:r w:rsidRPr="00494EF4">
        <w:rPr>
          <w:rFonts w:ascii="Verdana" w:eastAsia="Times New Roman" w:hAnsi="Verdana" w:cs="Arial"/>
          <w:b/>
          <w:bCs/>
          <w:sz w:val="20"/>
          <w:szCs w:val="20"/>
          <w:lang w:val="es-ES" w:eastAsia="es-ES"/>
        </w:rPr>
        <w:t xml:space="preserve">DOCUMENTOS TIPO – </w:t>
      </w:r>
      <w:r w:rsidRPr="00494EF4">
        <w:rPr>
          <w:rFonts w:ascii="Verdana" w:eastAsia="Times New Roman" w:hAnsi="Verdana" w:cs="Times New Roman"/>
          <w:b/>
          <w:bCs/>
          <w:kern w:val="2"/>
          <w:sz w:val="20"/>
          <w:szCs w:val="20"/>
          <w:lang w:eastAsia="es-ES"/>
        </w:rPr>
        <w:t>Obligatoriedad –Licitación pública – Licitación Infraestructura de APSB</w:t>
      </w:r>
    </w:p>
    <w:p w14:paraId="1D7C3A74" w14:textId="77777777" w:rsidR="00046B72" w:rsidRPr="00494EF4" w:rsidRDefault="00046B72" w:rsidP="00046B72">
      <w:pPr>
        <w:spacing w:after="0" w:line="240" w:lineRule="auto"/>
        <w:contextualSpacing/>
        <w:jc w:val="both"/>
        <w:rPr>
          <w:rFonts w:ascii="Verdana" w:eastAsia="Times New Roman" w:hAnsi="Verdana" w:cs="Arial"/>
          <w:iCs/>
          <w:sz w:val="20"/>
          <w:szCs w:val="20"/>
          <w:lang w:val="es-ES_tradnl"/>
        </w:rPr>
      </w:pPr>
    </w:p>
    <w:p w14:paraId="41DB296A" w14:textId="77777777" w:rsidR="00046B72" w:rsidRPr="00494EF4" w:rsidRDefault="00046B72" w:rsidP="00046B72">
      <w:pPr>
        <w:spacing w:after="0" w:line="240" w:lineRule="auto"/>
        <w:jc w:val="both"/>
        <w:rPr>
          <w:rFonts w:ascii="Verdana" w:eastAsia="Times New Roman" w:hAnsi="Verdana" w:cs="Arial"/>
          <w:sz w:val="20"/>
          <w:szCs w:val="20"/>
          <w:lang w:val="es-ES"/>
        </w:rPr>
      </w:pPr>
      <w:r w:rsidRPr="00494EF4">
        <w:rPr>
          <w:rFonts w:ascii="Verdana" w:eastAsia="Times New Roman" w:hAnsi="Verdana" w:cs="Arial"/>
          <w:sz w:val="20"/>
          <w:szCs w:val="20"/>
          <w:lang w:val="es-ES"/>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0FD0A6F8" w14:textId="77777777" w:rsidR="00046B72" w:rsidRPr="00494EF4" w:rsidRDefault="00046B72" w:rsidP="00046B72">
      <w:pPr>
        <w:spacing w:after="0" w:line="240" w:lineRule="auto"/>
        <w:jc w:val="both"/>
        <w:rPr>
          <w:rFonts w:ascii="Verdana" w:eastAsia="Times New Roman" w:hAnsi="Verdana" w:cs="Arial"/>
          <w:sz w:val="20"/>
          <w:szCs w:val="20"/>
          <w:lang w:val="es-ES"/>
        </w:rPr>
      </w:pPr>
    </w:p>
    <w:p w14:paraId="52A23B4E" w14:textId="77777777" w:rsidR="00046B72" w:rsidRPr="00494EF4" w:rsidRDefault="00046B72" w:rsidP="00046B72">
      <w:pPr>
        <w:spacing w:after="0" w:line="240" w:lineRule="auto"/>
        <w:jc w:val="both"/>
        <w:rPr>
          <w:rFonts w:ascii="Verdana" w:eastAsia="Times New Roman" w:hAnsi="Verdana" w:cs="Arial"/>
          <w:sz w:val="20"/>
          <w:szCs w:val="20"/>
          <w:lang w:val="es-ES"/>
        </w:rPr>
      </w:pPr>
      <w:r w:rsidRPr="00494EF4">
        <w:rPr>
          <w:rFonts w:ascii="Verdana" w:eastAsia="Times New Roman" w:hAnsi="Verdana" w:cs="Arial"/>
          <w:sz w:val="20"/>
          <w:szCs w:val="20"/>
          <w:lang w:val="es-ES"/>
        </w:rPr>
        <w:t>[…]</w:t>
      </w:r>
    </w:p>
    <w:p w14:paraId="34C9F68E" w14:textId="77777777" w:rsidR="00046B72" w:rsidRPr="00494EF4" w:rsidRDefault="00046B72" w:rsidP="00046B72">
      <w:pPr>
        <w:spacing w:after="0" w:line="240" w:lineRule="auto"/>
        <w:jc w:val="both"/>
        <w:rPr>
          <w:rFonts w:ascii="Verdana" w:eastAsia="Times New Roman" w:hAnsi="Verdana" w:cs="Arial"/>
          <w:sz w:val="20"/>
          <w:szCs w:val="20"/>
          <w:lang w:val="es-ES"/>
        </w:rPr>
      </w:pPr>
    </w:p>
    <w:p w14:paraId="4304698C" w14:textId="77777777" w:rsidR="00046B72" w:rsidRPr="00494EF4" w:rsidRDefault="00046B72" w:rsidP="00046B72">
      <w:pPr>
        <w:spacing w:after="0" w:line="240" w:lineRule="auto"/>
        <w:jc w:val="both"/>
        <w:rPr>
          <w:rFonts w:ascii="Verdana" w:eastAsia="Times New Roman" w:hAnsi="Verdana" w:cs="Arial"/>
          <w:sz w:val="20"/>
          <w:szCs w:val="20"/>
        </w:rPr>
      </w:pPr>
      <w:r w:rsidRPr="00494EF4">
        <w:rPr>
          <w:rFonts w:ascii="Verdana" w:eastAsia="Times New Roman" w:hAnsi="Verdana" w:cs="Arial"/>
          <w:sz w:val="20"/>
          <w:szCs w:val="20"/>
        </w:rPr>
        <w:t xml:space="preserve">Para el sector de infraestructura de agua potable y saneamiento básico, en desarrollo del artículo 1 de la Ley 2022 de 2020, esta Agencia expidió </w:t>
      </w:r>
      <w:r w:rsidRPr="00494EF4">
        <w:rPr>
          <w:rFonts w:ascii="Verdana" w:eastAsia="Times New Roman" w:hAnsi="Verdana" w:cs="Arial"/>
          <w:sz w:val="20"/>
          <w:szCs w:val="20"/>
          <w:lang w:val="es-MX"/>
        </w:rPr>
        <w:t>las Resoluciones 248 y 249 del 1 de diciembre de 2020, modificadas por las</w:t>
      </w:r>
      <w:r w:rsidRPr="00494EF4">
        <w:rPr>
          <w:rFonts w:ascii="Verdana" w:eastAsia="Times New Roman" w:hAnsi="Verdana" w:cs="Arial"/>
          <w:sz w:val="20"/>
          <w:szCs w:val="20"/>
        </w:rPr>
        <w:t xml:space="preserve"> Resoluciones 161 del 17 de junio de 2021, 173 del 30 de junio de 2021, 304 del 13 de octubre de 2021</w:t>
      </w:r>
      <w:r w:rsidRPr="00494EF4">
        <w:rPr>
          <w:rFonts w:ascii="Verdana" w:eastAsia="Times New Roman" w:hAnsi="Verdana" w:cs="Arial"/>
          <w:sz w:val="20"/>
          <w:szCs w:val="20"/>
          <w:lang w:val="es-MX"/>
        </w:rPr>
        <w:t>.</w:t>
      </w:r>
      <w:r w:rsidRPr="00494EF4">
        <w:rPr>
          <w:rFonts w:ascii="Verdana" w:eastAsia="Times New Roman" w:hAnsi="Verdana" w:cs="Arial"/>
          <w:sz w:val="20"/>
          <w:szCs w:val="20"/>
        </w:rPr>
        <w:t xml:space="preserve"> Mediante estos actos administrativos se adoptaron los documentos tipo para licitación de obras públicas y los documentos tipo para licitación de obras públicas, en modalidad llave en mano. Posteriormente se expide la Resolución 333 del 27 de julio de 2022 por medio de la cual se adoptaron los documentos tipo para los procesos de selección de concurso de méritos para contratar la interventoría de obras públicas también en infraestructura de agua potable y saneamiento básico.</w:t>
      </w:r>
    </w:p>
    <w:p w14:paraId="1B51F009" w14:textId="77777777" w:rsidR="00046B72" w:rsidRPr="00494EF4" w:rsidRDefault="00046B72" w:rsidP="00046B72">
      <w:pPr>
        <w:spacing w:after="0" w:line="240" w:lineRule="auto"/>
        <w:jc w:val="both"/>
        <w:rPr>
          <w:rFonts w:ascii="Verdana" w:eastAsia="Times New Roman" w:hAnsi="Verdana" w:cs="Arial"/>
          <w:sz w:val="20"/>
          <w:szCs w:val="20"/>
          <w:lang w:val="es-ES"/>
        </w:rPr>
      </w:pPr>
    </w:p>
    <w:p w14:paraId="31724A62" w14:textId="77777777" w:rsidR="00046B72" w:rsidRPr="00494EF4" w:rsidRDefault="00046B72" w:rsidP="00046B72">
      <w:pPr>
        <w:spacing w:after="0" w:line="240" w:lineRule="auto"/>
        <w:contextualSpacing/>
        <w:jc w:val="both"/>
        <w:rPr>
          <w:rFonts w:ascii="Verdana" w:eastAsia="Times New Roman" w:hAnsi="Verdana" w:cs="Arial"/>
          <w:b/>
          <w:bCs/>
          <w:sz w:val="20"/>
          <w:szCs w:val="20"/>
        </w:rPr>
      </w:pPr>
      <w:r w:rsidRPr="00494EF4">
        <w:rPr>
          <w:rFonts w:ascii="Verdana" w:eastAsia="Times New Roman" w:hAnsi="Verdana" w:cs="Arial"/>
          <w:b/>
          <w:bCs/>
          <w:sz w:val="20"/>
          <w:szCs w:val="20"/>
        </w:rPr>
        <w:t>DOCUMENTOS TIPO – Objeto contractual –</w:t>
      </w:r>
      <w:r w:rsidRPr="00494EF4">
        <w:rPr>
          <w:rFonts w:ascii="Verdana" w:eastAsia="Times New Roman" w:hAnsi="Verdana" w:cs="Arial"/>
          <w:b/>
          <w:bCs/>
          <w:sz w:val="20"/>
          <w:szCs w:val="20"/>
          <w:lang w:val="es-ES"/>
        </w:rPr>
        <w:t xml:space="preserve">Modalidades de selección </w:t>
      </w:r>
      <w:r w:rsidRPr="00494EF4">
        <w:rPr>
          <w:rFonts w:ascii="Verdana" w:eastAsia="Times New Roman" w:hAnsi="Verdana" w:cs="Arial"/>
          <w:b/>
          <w:bCs/>
          <w:sz w:val="20"/>
          <w:szCs w:val="20"/>
        </w:rPr>
        <w:t>– T</w:t>
      </w:r>
      <w:proofErr w:type="spellStart"/>
      <w:r w:rsidRPr="00494EF4">
        <w:rPr>
          <w:rFonts w:ascii="Verdana" w:eastAsia="Times New Roman" w:hAnsi="Verdana" w:cs="Arial"/>
          <w:b/>
          <w:bCs/>
          <w:sz w:val="20"/>
          <w:szCs w:val="20"/>
          <w:lang w:val="es-ES"/>
        </w:rPr>
        <w:t>ipos</w:t>
      </w:r>
      <w:proofErr w:type="spellEnd"/>
      <w:r w:rsidRPr="00494EF4">
        <w:rPr>
          <w:rFonts w:ascii="Verdana" w:eastAsia="Times New Roman" w:hAnsi="Verdana" w:cs="Arial"/>
          <w:b/>
          <w:bCs/>
          <w:sz w:val="20"/>
          <w:szCs w:val="20"/>
          <w:lang w:val="es-ES"/>
        </w:rPr>
        <w:t xml:space="preserve"> de obra </w:t>
      </w:r>
    </w:p>
    <w:p w14:paraId="089C6586" w14:textId="77777777" w:rsidR="00046B72" w:rsidRPr="00494EF4" w:rsidRDefault="00046B72" w:rsidP="00046B72">
      <w:pPr>
        <w:spacing w:after="0" w:line="240" w:lineRule="auto"/>
        <w:contextualSpacing/>
        <w:jc w:val="both"/>
        <w:rPr>
          <w:rFonts w:ascii="Verdana" w:eastAsia="Times New Roman" w:hAnsi="Verdana" w:cs="Arial"/>
          <w:sz w:val="20"/>
          <w:szCs w:val="20"/>
        </w:rPr>
      </w:pPr>
    </w:p>
    <w:p w14:paraId="72EF89F0" w14:textId="77777777" w:rsidR="00046B72" w:rsidRPr="00494EF4" w:rsidRDefault="00046B72" w:rsidP="00046B72">
      <w:pPr>
        <w:spacing w:after="0" w:line="240" w:lineRule="auto"/>
        <w:contextualSpacing/>
        <w:jc w:val="both"/>
        <w:rPr>
          <w:rFonts w:ascii="Verdana" w:eastAsia="Times New Roman" w:hAnsi="Verdana" w:cs="Arial"/>
          <w:iCs/>
          <w:sz w:val="20"/>
          <w:szCs w:val="20"/>
          <w:lang w:val="es-ES"/>
        </w:rPr>
      </w:pPr>
      <w:r w:rsidRPr="00494EF4">
        <w:rPr>
          <w:rFonts w:ascii="Verdana" w:eastAsia="Times New Roman" w:hAnsi="Verdana" w:cs="Arial"/>
          <w:iCs/>
          <w:sz w:val="20"/>
          <w:szCs w:val="20"/>
          <w:lang w:val="es-ES_tradnl"/>
        </w:rPr>
        <w:t xml:space="preserve">[…] </w:t>
      </w:r>
      <w:r w:rsidRPr="00494EF4">
        <w:rPr>
          <w:rFonts w:ascii="Verdana" w:eastAsia="Times New Roman" w:hAnsi="Verdana" w:cs="Arial"/>
          <w:iCs/>
          <w:sz w:val="20"/>
          <w:szCs w:val="20"/>
          <w:lang w:val="es-ES"/>
        </w:rPr>
        <w:t xml:space="preserve">para que una Entidad Estatal o una entidad exceptuada, un patrimonio autónomo o una persona natural o jurídica de derecho privado, definan si es su deber aplicar un documento tipo respectivo en el marco de un proceso de selección de contratistas, necesariamente tendrá que analizar, en cada caso concreto, si se cumplen los siguientes supuestos: i) que la Entidad Estatal contratante se halle sometida al Estatuto General de Contratación de la Administración (Ley 80 de 1993, normas que la adicionan y la complementan) o, en el evento en que sea una entidad exceptuada, un patrimonio autónomo o una persona natural o jurídica de derecho privado, requiera contratar una obra en cumplimiento de un contrato o convenio interadministrativo suscrito con una Entidad Estatal sometida al Estatuto General; </w:t>
      </w:r>
      <w:proofErr w:type="spellStart"/>
      <w:r w:rsidRPr="00494EF4">
        <w:rPr>
          <w:rFonts w:ascii="Verdana" w:eastAsia="Times New Roman" w:hAnsi="Verdana" w:cs="Arial"/>
          <w:iCs/>
          <w:sz w:val="20"/>
          <w:szCs w:val="20"/>
          <w:lang w:val="es-ES"/>
        </w:rPr>
        <w:t>ii</w:t>
      </w:r>
      <w:proofErr w:type="spellEnd"/>
      <w:r w:rsidRPr="00494EF4">
        <w:rPr>
          <w:rFonts w:ascii="Verdana" w:eastAsia="Times New Roman" w:hAnsi="Verdana" w:cs="Arial"/>
          <w:iCs/>
          <w:sz w:val="20"/>
          <w:szCs w:val="20"/>
          <w:lang w:val="es-ES"/>
        </w:rPr>
        <w:t xml:space="preserve">) que el proyecto de obra a contratar tenga por objeto el desarrollo de los tipos de obras contemplados en la “Matriz de Experiencia” y las actividades se subsuman en alguna o algunas de las contenidas en cada uno de los tipos de obras y </w:t>
      </w:r>
      <w:proofErr w:type="spellStart"/>
      <w:r w:rsidRPr="00494EF4">
        <w:rPr>
          <w:rFonts w:ascii="Verdana" w:eastAsia="Times New Roman" w:hAnsi="Verdana" w:cs="Arial"/>
          <w:iCs/>
          <w:sz w:val="20"/>
          <w:szCs w:val="20"/>
          <w:lang w:val="es-ES"/>
        </w:rPr>
        <w:t>iii</w:t>
      </w:r>
      <w:proofErr w:type="spellEnd"/>
      <w:r w:rsidRPr="00494EF4">
        <w:rPr>
          <w:rFonts w:ascii="Verdana" w:eastAsia="Times New Roman" w:hAnsi="Verdana" w:cs="Arial"/>
          <w:iCs/>
          <w:sz w:val="20"/>
          <w:szCs w:val="20"/>
          <w:lang w:val="es-ES"/>
        </w:rPr>
        <w:t>) que la modalidad de selección por la que opta la Entidad Estatal sea una en la que esta Agencia hubiese adoptado un documento tipo.</w:t>
      </w:r>
    </w:p>
    <w:p w14:paraId="6A8BA83B" w14:textId="77777777" w:rsidR="00046B72" w:rsidRDefault="00046B72" w:rsidP="00046B72">
      <w:pPr>
        <w:spacing w:after="0" w:line="240" w:lineRule="auto"/>
        <w:rPr>
          <w:rFonts w:ascii="Verdana" w:eastAsia="Geomanist Light" w:hAnsi="Verdana" w:cs="Arial"/>
          <w:lang w:val="es-ES"/>
        </w:rPr>
      </w:pPr>
    </w:p>
    <w:p w14:paraId="0AC1DCF1" w14:textId="77777777" w:rsidR="00046B72" w:rsidRDefault="00046B72" w:rsidP="00046B72">
      <w:pPr>
        <w:spacing w:after="0" w:line="240" w:lineRule="auto"/>
        <w:rPr>
          <w:rFonts w:ascii="Verdana" w:eastAsia="Geomanist Light" w:hAnsi="Verdana" w:cs="Arial"/>
          <w:lang w:val="es-ES"/>
        </w:rPr>
      </w:pPr>
    </w:p>
    <w:p w14:paraId="4A45C68B" w14:textId="77777777" w:rsidR="00046B72" w:rsidRDefault="00046B72" w:rsidP="00046B72">
      <w:pPr>
        <w:spacing w:after="0" w:line="240" w:lineRule="auto"/>
        <w:rPr>
          <w:rFonts w:ascii="Verdana" w:eastAsia="Geomanist Light" w:hAnsi="Verdana" w:cs="Arial"/>
          <w:lang w:val="es-ES"/>
        </w:rPr>
      </w:pPr>
    </w:p>
    <w:p w14:paraId="54C16DC1" w14:textId="77777777" w:rsidR="00046B72" w:rsidRDefault="00046B72" w:rsidP="00046B72">
      <w:pPr>
        <w:spacing w:after="0" w:line="240" w:lineRule="auto"/>
        <w:rPr>
          <w:rFonts w:ascii="Verdana" w:eastAsia="Geomanist Light" w:hAnsi="Verdana" w:cs="Arial"/>
          <w:lang w:val="es-ES"/>
        </w:rPr>
      </w:pPr>
    </w:p>
    <w:p w14:paraId="5D32176D" w14:textId="77777777" w:rsidR="00046B72" w:rsidRDefault="00046B72" w:rsidP="00046B72">
      <w:pPr>
        <w:spacing w:after="0" w:line="240" w:lineRule="auto"/>
        <w:rPr>
          <w:rFonts w:ascii="Verdana" w:eastAsia="Geomanist Light" w:hAnsi="Verdana" w:cs="Arial"/>
          <w:lang w:val="es-ES"/>
        </w:rPr>
      </w:pPr>
    </w:p>
    <w:p w14:paraId="71DE96CA" w14:textId="77777777" w:rsidR="00046B72" w:rsidRPr="00494EF4" w:rsidRDefault="00046B72" w:rsidP="00046B72">
      <w:pPr>
        <w:spacing w:after="0" w:line="240" w:lineRule="auto"/>
        <w:rPr>
          <w:rFonts w:ascii="Verdana" w:eastAsia="Geomanist Light" w:hAnsi="Verdana" w:cs="Arial"/>
          <w:lang w:val="es-ES"/>
        </w:rPr>
      </w:pPr>
    </w:p>
    <w:p w14:paraId="034BAA7D" w14:textId="77777777" w:rsidR="00046B72" w:rsidRDefault="00046B72" w:rsidP="00046B72">
      <w:pPr>
        <w:spacing w:after="0" w:line="240" w:lineRule="auto"/>
        <w:rPr>
          <w:rFonts w:ascii="Verdana" w:eastAsia="Geomanist Light" w:hAnsi="Verdana" w:cs="Arial"/>
          <w:lang w:val="es-MX"/>
        </w:rPr>
      </w:pPr>
    </w:p>
    <w:p w14:paraId="08D82E7E" w14:textId="77777777" w:rsidR="00046B72" w:rsidRPr="00A22DA8" w:rsidRDefault="00046B72" w:rsidP="00046B72">
      <w:pPr>
        <w:tabs>
          <w:tab w:val="left" w:pos="3374"/>
        </w:tabs>
        <w:spacing w:after="0"/>
        <w:jc w:val="both"/>
        <w:rPr>
          <w:rFonts w:ascii="Verdana" w:eastAsia="Times New Roman" w:hAnsi="Verdana" w:cs="Arial"/>
          <w:b/>
          <w:bCs/>
          <w:sz w:val="20"/>
          <w:szCs w:val="20"/>
        </w:rPr>
      </w:pPr>
      <w:r w:rsidRPr="00A22DA8">
        <w:rPr>
          <w:rFonts w:ascii="Verdana" w:eastAsia="Times New Roman" w:hAnsi="Verdana" w:cs="Arial"/>
          <w:b/>
          <w:bCs/>
          <w:sz w:val="20"/>
          <w:szCs w:val="20"/>
        </w:rPr>
        <w:lastRenderedPageBreak/>
        <w:t>CONTRATO O CONVENIO INTERADMINISTRATIVO – Noción – Normativa – Criterio orgánico</w:t>
      </w:r>
    </w:p>
    <w:p w14:paraId="687C4A46" w14:textId="77777777" w:rsidR="00046B72" w:rsidRPr="00A22DA8" w:rsidRDefault="00046B72" w:rsidP="00046B72">
      <w:pPr>
        <w:tabs>
          <w:tab w:val="left" w:pos="3374"/>
        </w:tabs>
        <w:spacing w:after="0"/>
        <w:jc w:val="both"/>
        <w:rPr>
          <w:rFonts w:ascii="Verdana" w:eastAsia="Times New Roman" w:hAnsi="Verdana" w:cs="Arial"/>
          <w:b/>
          <w:bCs/>
          <w:sz w:val="20"/>
          <w:szCs w:val="20"/>
        </w:rPr>
      </w:pPr>
    </w:p>
    <w:p w14:paraId="033A609A" w14:textId="77777777" w:rsidR="00046B72" w:rsidRPr="00A22DA8" w:rsidRDefault="00046B72" w:rsidP="00046B72">
      <w:pPr>
        <w:tabs>
          <w:tab w:val="left" w:pos="3374"/>
        </w:tabs>
        <w:spacing w:after="0" w:line="240" w:lineRule="auto"/>
        <w:jc w:val="both"/>
        <w:rPr>
          <w:rFonts w:ascii="Verdana" w:eastAsia="Times New Roman" w:hAnsi="Verdana" w:cs="Arial"/>
          <w:sz w:val="20"/>
          <w:szCs w:val="20"/>
        </w:rPr>
      </w:pPr>
      <w:r w:rsidRPr="00A22DA8">
        <w:rPr>
          <w:rFonts w:ascii="Verdana" w:eastAsia="Times New Roman" w:hAnsi="Verdana" w:cs="Arial"/>
          <w:sz w:val="20"/>
          <w:szCs w:val="20"/>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1989DD4" w14:textId="77777777" w:rsidR="00046B72" w:rsidRPr="00A22DA8" w:rsidRDefault="00046B72" w:rsidP="00046B72">
      <w:pPr>
        <w:tabs>
          <w:tab w:val="left" w:pos="426"/>
        </w:tabs>
        <w:spacing w:after="0" w:line="240" w:lineRule="auto"/>
        <w:jc w:val="both"/>
        <w:rPr>
          <w:rFonts w:ascii="Verdana" w:eastAsia="Times New Roman" w:hAnsi="Verdana" w:cs="Arial"/>
          <w:sz w:val="20"/>
          <w:szCs w:val="20"/>
        </w:rPr>
      </w:pPr>
    </w:p>
    <w:p w14:paraId="06EBBC77" w14:textId="77777777" w:rsidR="00046B72" w:rsidRPr="00A22DA8" w:rsidRDefault="00046B72" w:rsidP="00046B72">
      <w:pPr>
        <w:spacing w:after="0"/>
        <w:rPr>
          <w:rFonts w:ascii="Verdana" w:eastAsia="Times New Roman" w:hAnsi="Verdana" w:cs="Arial"/>
          <w:b/>
          <w:color w:val="000000" w:themeColor="text1"/>
          <w:sz w:val="20"/>
          <w:szCs w:val="20"/>
        </w:rPr>
      </w:pPr>
      <w:r w:rsidRPr="00A22DA8">
        <w:rPr>
          <w:rFonts w:ascii="Verdana" w:eastAsia="Times New Roman" w:hAnsi="Verdana" w:cs="Arial"/>
          <w:b/>
          <w:color w:val="000000" w:themeColor="text1"/>
          <w:sz w:val="20"/>
          <w:szCs w:val="20"/>
        </w:rPr>
        <w:t>CONTRATOS Y CONVENIOS INTERADMINISTRATIVOS – Modalidad de selección</w:t>
      </w:r>
    </w:p>
    <w:p w14:paraId="1CA9E1BF" w14:textId="77777777" w:rsidR="00046B72" w:rsidRPr="00A22DA8" w:rsidRDefault="00046B72" w:rsidP="00046B72">
      <w:pPr>
        <w:spacing w:after="0"/>
        <w:rPr>
          <w:rFonts w:ascii="Verdana" w:eastAsia="Times New Roman" w:hAnsi="Verdana" w:cs="Arial"/>
          <w:b/>
          <w:color w:val="000000" w:themeColor="text1"/>
          <w:sz w:val="20"/>
          <w:szCs w:val="20"/>
        </w:rPr>
      </w:pPr>
    </w:p>
    <w:p w14:paraId="3C461EEC" w14:textId="77777777" w:rsidR="00046B72" w:rsidRPr="00A22DA8" w:rsidRDefault="00046B72" w:rsidP="00046B72">
      <w:pPr>
        <w:spacing w:after="0" w:line="240" w:lineRule="auto"/>
        <w:jc w:val="both"/>
        <w:rPr>
          <w:rFonts w:ascii="Verdana" w:eastAsia="Times New Roman" w:hAnsi="Verdana" w:cs="Arial"/>
          <w:bCs/>
          <w:color w:val="000000" w:themeColor="text1"/>
          <w:sz w:val="20"/>
          <w:szCs w:val="20"/>
        </w:rPr>
      </w:pPr>
      <w:r w:rsidRPr="00A22DA8">
        <w:rPr>
          <w:rFonts w:ascii="Verdana" w:eastAsia="Times New Roman" w:hAnsi="Verdana" w:cs="Arial"/>
          <w:noProof/>
          <w:color w:val="1A1A1A" w:themeColor="background1" w:themeShade="1A"/>
          <w:sz w:val="20"/>
          <w:szCs w:val="20"/>
          <w:lang w:val="es-ES_tradnl"/>
        </w:rPr>
        <w:t xml:space="preserve">[…] </w:t>
      </w:r>
      <w:r w:rsidRPr="00A22DA8">
        <w:rPr>
          <w:rFonts w:ascii="Verdana" w:eastAsia="Times New Roman" w:hAnsi="Verdana" w:cs="Arial"/>
          <w:bCs/>
          <w:color w:val="000000" w:themeColor="text1"/>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691D28F6" w14:textId="77777777" w:rsidR="00046B72" w:rsidRPr="00A22DA8" w:rsidRDefault="00046B72" w:rsidP="00046B72">
      <w:pPr>
        <w:spacing w:after="0" w:line="240" w:lineRule="auto"/>
        <w:jc w:val="both"/>
        <w:rPr>
          <w:rFonts w:ascii="Verdana" w:eastAsia="Times New Roman" w:hAnsi="Verdana" w:cs="Arial"/>
          <w:bCs/>
          <w:color w:val="000000" w:themeColor="text1"/>
          <w:sz w:val="20"/>
          <w:szCs w:val="20"/>
        </w:rPr>
      </w:pPr>
    </w:p>
    <w:p w14:paraId="1EB94E6B" w14:textId="77777777" w:rsidR="00046B72" w:rsidRPr="00A22DA8" w:rsidRDefault="00046B72" w:rsidP="00046B72">
      <w:pPr>
        <w:spacing w:after="0" w:line="240" w:lineRule="auto"/>
        <w:jc w:val="both"/>
        <w:rPr>
          <w:rFonts w:ascii="Verdana" w:eastAsia="Times New Roman" w:hAnsi="Verdana" w:cs="Arial"/>
          <w:bCs/>
          <w:color w:val="000000" w:themeColor="text1"/>
          <w:sz w:val="20"/>
          <w:szCs w:val="20"/>
        </w:rPr>
      </w:pPr>
      <w:r w:rsidRPr="00A22DA8">
        <w:rPr>
          <w:rFonts w:ascii="Verdana" w:eastAsia="Times New Roman" w:hAnsi="Verdana"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46022BAC" w14:textId="77777777" w:rsidR="00046B72" w:rsidRPr="00A22DA8" w:rsidRDefault="00046B72" w:rsidP="00046B72">
      <w:pPr>
        <w:spacing w:after="0" w:line="240" w:lineRule="auto"/>
        <w:jc w:val="both"/>
        <w:rPr>
          <w:rFonts w:ascii="Verdana" w:eastAsia="Times New Roman" w:hAnsi="Verdana" w:cs="Arial"/>
          <w:bCs/>
          <w:color w:val="000000" w:themeColor="text1"/>
          <w:sz w:val="20"/>
          <w:szCs w:val="20"/>
        </w:rPr>
      </w:pPr>
    </w:p>
    <w:p w14:paraId="5C52464A" w14:textId="77777777" w:rsidR="00046B72" w:rsidRPr="00A22DA8" w:rsidRDefault="00046B72" w:rsidP="00046B72">
      <w:pPr>
        <w:spacing w:after="0" w:line="240" w:lineRule="auto"/>
        <w:rPr>
          <w:rFonts w:ascii="Verdana" w:eastAsia="Geomanist Light" w:hAnsi="Verdana" w:cs="Arial"/>
        </w:rPr>
      </w:pPr>
    </w:p>
    <w:p w14:paraId="5B5F78CC" w14:textId="77777777" w:rsidR="00046B72" w:rsidRDefault="00046B72" w:rsidP="00046B72">
      <w:pPr>
        <w:spacing w:after="0" w:line="240" w:lineRule="auto"/>
        <w:rPr>
          <w:rFonts w:ascii="Verdana" w:eastAsia="Geomanist Light" w:hAnsi="Verdana" w:cs="Arial"/>
          <w:lang w:val="es-MX"/>
        </w:rPr>
      </w:pPr>
    </w:p>
    <w:p w14:paraId="78AA03DF" w14:textId="77777777" w:rsidR="00046B72" w:rsidRDefault="00046B72" w:rsidP="00046B72">
      <w:pPr>
        <w:spacing w:after="0" w:line="240" w:lineRule="auto"/>
        <w:rPr>
          <w:rFonts w:ascii="Verdana" w:eastAsia="Geomanist Light" w:hAnsi="Verdana" w:cs="Arial"/>
          <w:lang w:val="es-MX"/>
        </w:rPr>
      </w:pPr>
    </w:p>
    <w:p w14:paraId="2D637314" w14:textId="77777777" w:rsidR="00046B72" w:rsidRDefault="00046B72" w:rsidP="00046B72">
      <w:pPr>
        <w:spacing w:after="0" w:line="240" w:lineRule="auto"/>
        <w:rPr>
          <w:rFonts w:ascii="Verdana" w:eastAsia="Geomanist Light" w:hAnsi="Verdana" w:cs="Arial"/>
          <w:lang w:val="es-MX"/>
        </w:rPr>
      </w:pPr>
    </w:p>
    <w:p w14:paraId="5B42A3DA" w14:textId="77777777" w:rsidR="00046B72" w:rsidRDefault="00046B72" w:rsidP="00046B72">
      <w:pPr>
        <w:spacing w:after="0" w:line="240" w:lineRule="auto"/>
        <w:rPr>
          <w:rFonts w:ascii="Verdana" w:eastAsia="Geomanist Light" w:hAnsi="Verdana" w:cs="Arial"/>
          <w:lang w:val="es-MX"/>
        </w:rPr>
      </w:pPr>
    </w:p>
    <w:p w14:paraId="2694B704" w14:textId="77777777" w:rsidR="00046B72" w:rsidRDefault="00046B72" w:rsidP="00046B72">
      <w:pPr>
        <w:spacing w:after="0" w:line="240" w:lineRule="auto"/>
        <w:rPr>
          <w:rFonts w:ascii="Verdana" w:eastAsia="Geomanist Light" w:hAnsi="Verdana" w:cs="Arial"/>
          <w:lang w:val="es-MX"/>
        </w:rPr>
      </w:pPr>
    </w:p>
    <w:p w14:paraId="323DDF9B" w14:textId="77777777" w:rsidR="00046B72" w:rsidRDefault="00046B72" w:rsidP="00046B72">
      <w:pPr>
        <w:spacing w:after="0" w:line="240" w:lineRule="auto"/>
        <w:rPr>
          <w:rFonts w:ascii="Verdana" w:eastAsia="Geomanist Light" w:hAnsi="Verdana" w:cs="Arial"/>
          <w:lang w:val="es-MX"/>
        </w:rPr>
      </w:pPr>
    </w:p>
    <w:p w14:paraId="0AB81E45" w14:textId="77777777" w:rsidR="00046B72" w:rsidRDefault="00046B72" w:rsidP="00046B72">
      <w:pPr>
        <w:spacing w:after="0" w:line="240" w:lineRule="auto"/>
        <w:rPr>
          <w:rFonts w:ascii="Verdana" w:eastAsia="Geomanist Light" w:hAnsi="Verdana" w:cs="Arial"/>
          <w:lang w:val="es-MX"/>
        </w:rPr>
      </w:pPr>
    </w:p>
    <w:p w14:paraId="546DF231" w14:textId="77777777" w:rsidR="00046B72" w:rsidRDefault="00046B72" w:rsidP="00046B72">
      <w:pPr>
        <w:spacing w:after="0" w:line="240" w:lineRule="auto"/>
        <w:rPr>
          <w:rFonts w:ascii="Verdana" w:eastAsia="Geomanist Light" w:hAnsi="Verdana" w:cs="Arial"/>
          <w:lang w:val="es-MX"/>
        </w:rPr>
      </w:pPr>
    </w:p>
    <w:p w14:paraId="18F11353" w14:textId="77777777" w:rsidR="00046B72" w:rsidRDefault="00046B72" w:rsidP="00046B72">
      <w:pPr>
        <w:spacing w:after="0" w:line="240" w:lineRule="auto"/>
        <w:rPr>
          <w:rFonts w:ascii="Verdana" w:eastAsia="Geomanist Light" w:hAnsi="Verdana" w:cs="Arial"/>
          <w:lang w:val="es-MX"/>
        </w:rPr>
      </w:pPr>
    </w:p>
    <w:p w14:paraId="737F229A" w14:textId="77777777" w:rsidR="00046B72" w:rsidRDefault="00046B72" w:rsidP="00046B72">
      <w:pPr>
        <w:spacing w:after="0" w:line="240" w:lineRule="auto"/>
        <w:rPr>
          <w:rFonts w:ascii="Verdana" w:eastAsia="Geomanist Light" w:hAnsi="Verdana" w:cs="Arial"/>
          <w:lang w:val="es-MX"/>
        </w:rPr>
      </w:pPr>
    </w:p>
    <w:p w14:paraId="6F5F6AC6" w14:textId="77777777" w:rsidR="00046B72" w:rsidRDefault="00046B72" w:rsidP="00046B72">
      <w:pPr>
        <w:spacing w:after="0" w:line="240" w:lineRule="auto"/>
        <w:rPr>
          <w:rFonts w:ascii="Verdana" w:eastAsia="Geomanist Light" w:hAnsi="Verdana" w:cs="Arial"/>
          <w:lang w:val="es-MX"/>
        </w:rPr>
      </w:pPr>
    </w:p>
    <w:p w14:paraId="3A901F72" w14:textId="77777777" w:rsidR="00046B72" w:rsidRDefault="00046B72" w:rsidP="00046B72">
      <w:pPr>
        <w:spacing w:after="0" w:line="240" w:lineRule="auto"/>
        <w:rPr>
          <w:rFonts w:ascii="Verdana" w:eastAsia="Geomanist Light" w:hAnsi="Verdana" w:cs="Arial"/>
          <w:lang w:val="es-MX"/>
        </w:rPr>
      </w:pPr>
    </w:p>
    <w:p w14:paraId="46133972" w14:textId="77777777" w:rsidR="00046B72" w:rsidRDefault="00046B72" w:rsidP="00046B72">
      <w:pPr>
        <w:spacing w:after="0" w:line="240" w:lineRule="auto"/>
        <w:rPr>
          <w:rFonts w:ascii="Verdana" w:eastAsia="Geomanist Light" w:hAnsi="Verdana" w:cs="Arial"/>
          <w:lang w:val="es-MX"/>
        </w:rPr>
      </w:pPr>
    </w:p>
    <w:p w14:paraId="6A8FACDE" w14:textId="77777777" w:rsidR="00046B72" w:rsidRDefault="00046B72" w:rsidP="00046B72">
      <w:pPr>
        <w:spacing w:after="0" w:line="240" w:lineRule="auto"/>
        <w:rPr>
          <w:rFonts w:ascii="Verdana" w:eastAsia="Geomanist Light" w:hAnsi="Verdana" w:cs="Arial"/>
          <w:lang w:val="es-MX"/>
        </w:rPr>
      </w:pPr>
    </w:p>
    <w:p w14:paraId="24E7B46A" w14:textId="77777777" w:rsidR="00046B72" w:rsidRDefault="00046B72" w:rsidP="00046B72">
      <w:pPr>
        <w:spacing w:after="0" w:line="240" w:lineRule="auto"/>
        <w:rPr>
          <w:rFonts w:ascii="Verdana" w:eastAsia="Geomanist Light" w:hAnsi="Verdana" w:cs="Arial"/>
          <w:lang w:val="es-MX"/>
        </w:rPr>
      </w:pPr>
    </w:p>
    <w:p w14:paraId="68011255" w14:textId="77777777" w:rsidR="00046B72" w:rsidRDefault="00046B72" w:rsidP="00046B72">
      <w:pPr>
        <w:spacing w:after="0" w:line="240" w:lineRule="auto"/>
        <w:rPr>
          <w:rFonts w:ascii="Verdana" w:eastAsia="Geomanist Light" w:hAnsi="Verdana" w:cs="Arial"/>
          <w:lang w:val="es-MX"/>
        </w:rPr>
      </w:pPr>
    </w:p>
    <w:p w14:paraId="0C294031" w14:textId="77777777" w:rsidR="00046B72" w:rsidRPr="009322DA" w:rsidRDefault="00046B72" w:rsidP="00046B72">
      <w:pPr>
        <w:spacing w:after="0" w:line="240" w:lineRule="auto"/>
        <w:rPr>
          <w:rFonts w:ascii="Verdana" w:eastAsia="Geomanist Light" w:hAnsi="Verdana" w:cs="Arial"/>
          <w:lang w:val="es-MX"/>
        </w:rPr>
      </w:pPr>
      <w:r w:rsidRPr="009322DA">
        <w:rPr>
          <w:rFonts w:ascii="Verdana" w:eastAsia="Geomanist Light" w:hAnsi="Verdana" w:cs="Arial"/>
          <w:lang w:val="es-MX"/>
        </w:rPr>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25904E33" w14:textId="77777777" w:rsidR="00046B72" w:rsidRPr="009322DA" w:rsidRDefault="00046B72" w:rsidP="00046B72">
      <w:pPr>
        <w:spacing w:after="0" w:line="240" w:lineRule="auto"/>
        <w:jc w:val="both"/>
        <w:rPr>
          <w:rFonts w:ascii="Verdana" w:eastAsia="Calibri" w:hAnsi="Verdana" w:cs="Arial"/>
          <w:lang w:val="es-ES"/>
        </w:rPr>
      </w:pPr>
    </w:p>
    <w:p w14:paraId="2C14CF6C" w14:textId="77777777" w:rsidR="00046B72" w:rsidRDefault="00046B72" w:rsidP="00046B72">
      <w:pPr>
        <w:spacing w:after="0" w:line="240" w:lineRule="auto"/>
        <w:rPr>
          <w:rFonts w:ascii="Verdana" w:eastAsia="Calibri" w:hAnsi="Verdana" w:cs="Arial"/>
          <w:lang w:val="es-MX" w:eastAsia="es-ES"/>
        </w:rPr>
      </w:pPr>
    </w:p>
    <w:p w14:paraId="3566345B" w14:textId="77777777" w:rsidR="00046B72" w:rsidRDefault="00046B72" w:rsidP="00046B72">
      <w:pPr>
        <w:spacing w:after="0" w:line="240" w:lineRule="auto"/>
        <w:rPr>
          <w:rFonts w:ascii="Verdana" w:eastAsia="Calibri" w:hAnsi="Verdana" w:cs="Arial"/>
          <w:lang w:val="es-MX" w:eastAsia="es-ES"/>
        </w:rPr>
      </w:pPr>
    </w:p>
    <w:p w14:paraId="76308A49" w14:textId="32F890AC" w:rsidR="007C1CA1" w:rsidRDefault="007C1CA1" w:rsidP="007C1CA1">
      <w:pPr>
        <w:spacing w:after="0" w:line="240" w:lineRule="auto"/>
        <w:jc w:val="right"/>
        <w:rPr>
          <w:rFonts w:ascii="Verdana" w:eastAsia="Calibri" w:hAnsi="Verdana" w:cs="Arial"/>
          <w:lang w:val="es-MX" w:eastAsia="es-ES"/>
        </w:rPr>
      </w:pPr>
      <w:r w:rsidRPr="007C1CA1">
        <w:rPr>
          <w:rFonts w:ascii="Verdana" w:eastAsia="Calibri" w:hAnsi="Verdana" w:cs="Arial"/>
          <w:lang w:val="es-MX" w:eastAsia="es-ES"/>
        </w:rPr>
        <w:drawing>
          <wp:inline distT="0" distB="0" distL="0" distR="0" wp14:anchorId="04D2EAEF" wp14:editId="0DDF54E5">
            <wp:extent cx="3267075" cy="962025"/>
            <wp:effectExtent l="0" t="0" r="9525" b="9525"/>
            <wp:docPr id="56829086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90863" name="Imagen 1" descr="Texto&#10;&#10;Descripción generada automáticamente"/>
                    <pic:cNvPicPr/>
                  </pic:nvPicPr>
                  <pic:blipFill>
                    <a:blip r:embed="rId11"/>
                    <a:stretch>
                      <a:fillRect/>
                    </a:stretch>
                  </pic:blipFill>
                  <pic:spPr>
                    <a:xfrm>
                      <a:off x="0" y="0"/>
                      <a:ext cx="3267075" cy="962025"/>
                    </a:xfrm>
                    <a:prstGeom prst="rect">
                      <a:avLst/>
                    </a:prstGeom>
                  </pic:spPr>
                </pic:pic>
              </a:graphicData>
            </a:graphic>
          </wp:inline>
        </w:drawing>
      </w:r>
    </w:p>
    <w:p w14:paraId="1725E438" w14:textId="77777777" w:rsidR="007C1CA1" w:rsidRDefault="007C1CA1" w:rsidP="00046B72">
      <w:pPr>
        <w:spacing w:after="0" w:line="240" w:lineRule="auto"/>
        <w:rPr>
          <w:rFonts w:ascii="Verdana" w:eastAsia="Calibri" w:hAnsi="Verdana" w:cs="Arial"/>
          <w:lang w:val="es-MX" w:eastAsia="es-ES"/>
        </w:rPr>
      </w:pPr>
    </w:p>
    <w:p w14:paraId="2CF363E5" w14:textId="77777777" w:rsidR="00046B72" w:rsidRDefault="00046B72" w:rsidP="00046B72">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p>
    <w:p w14:paraId="104C240F" w14:textId="77777777" w:rsidR="00046B72" w:rsidRPr="00794B29" w:rsidRDefault="00046B72" w:rsidP="00046B72">
      <w:pPr>
        <w:spacing w:after="0" w:line="240" w:lineRule="auto"/>
        <w:rPr>
          <w:rFonts w:ascii="Verdana" w:eastAsia="Calibri" w:hAnsi="Verdana" w:cs="Arial"/>
          <w:b/>
          <w:bCs/>
          <w:lang w:val="es-MX" w:eastAsia="es-ES"/>
        </w:rPr>
      </w:pPr>
      <w:r w:rsidRPr="00794B29">
        <w:rPr>
          <w:rFonts w:ascii="Verdana" w:eastAsia="Calibri" w:hAnsi="Verdana" w:cs="Arial"/>
          <w:b/>
          <w:bCs/>
          <w:lang w:val="es-MX" w:eastAsia="es-ES"/>
        </w:rPr>
        <w:t>José Fernando Mesa Rodríguez</w:t>
      </w:r>
    </w:p>
    <w:p w14:paraId="540FFB16" w14:textId="77777777" w:rsidR="00046B72" w:rsidRDefault="00046B72" w:rsidP="00046B72">
      <w:pPr>
        <w:spacing w:after="0" w:line="240" w:lineRule="auto"/>
        <w:rPr>
          <w:rFonts w:ascii="Verdana" w:eastAsia="Calibri" w:hAnsi="Verdana" w:cs="Arial"/>
          <w:lang w:val="es-MX" w:eastAsia="es-ES"/>
        </w:rPr>
      </w:pPr>
      <w:hyperlink r:id="rId12" w:history="1">
        <w:r w:rsidRPr="00F00F06">
          <w:rPr>
            <w:rStyle w:val="Hipervnculo"/>
            <w:rFonts w:ascii="Verdana" w:eastAsia="Calibri" w:hAnsi="Verdana" w:cs="Arial"/>
            <w:lang w:val="es-MX" w:eastAsia="es-ES"/>
          </w:rPr>
          <w:t>Josefdo86@hotmail.com</w:t>
        </w:r>
      </w:hyperlink>
      <w:r>
        <w:rPr>
          <w:rFonts w:ascii="Verdana" w:eastAsia="Calibri" w:hAnsi="Verdana" w:cs="Arial"/>
          <w:lang w:val="es-MX" w:eastAsia="es-ES"/>
        </w:rPr>
        <w:t xml:space="preserve"> </w:t>
      </w:r>
    </w:p>
    <w:p w14:paraId="04205835" w14:textId="77777777" w:rsidR="00046B72" w:rsidRDefault="00046B72" w:rsidP="00046B72">
      <w:pPr>
        <w:spacing w:after="0" w:line="240" w:lineRule="auto"/>
        <w:rPr>
          <w:rFonts w:ascii="Verdana" w:eastAsia="Calibri" w:hAnsi="Verdana" w:cs="Arial"/>
          <w:lang w:val="es-MX" w:eastAsia="es-ES"/>
        </w:rPr>
      </w:pPr>
      <w:r>
        <w:rPr>
          <w:rFonts w:ascii="Verdana" w:eastAsia="Calibri" w:hAnsi="Verdana" w:cs="Arial"/>
          <w:lang w:val="es-MX" w:eastAsia="es-ES"/>
        </w:rPr>
        <w:t>Gómez Plata, Antioquia</w:t>
      </w:r>
    </w:p>
    <w:p w14:paraId="67E49B3B" w14:textId="77777777" w:rsidR="00046B72" w:rsidRDefault="00046B72" w:rsidP="00046B72">
      <w:pPr>
        <w:spacing w:after="0" w:line="240" w:lineRule="auto"/>
        <w:rPr>
          <w:rFonts w:ascii="Verdana" w:eastAsia="Calibri" w:hAnsi="Verdana" w:cs="Arial"/>
          <w:lang w:val="es-MX" w:eastAsia="es-ES"/>
        </w:rPr>
      </w:pPr>
    </w:p>
    <w:p w14:paraId="48240631" w14:textId="77777777" w:rsidR="00046B72" w:rsidRDefault="00046B72" w:rsidP="00046B72">
      <w:pPr>
        <w:spacing w:after="0" w:line="240" w:lineRule="auto"/>
        <w:rPr>
          <w:rFonts w:ascii="Verdana" w:eastAsia="Calibri" w:hAnsi="Verdana" w:cs="Arial"/>
          <w:lang w:val="es-MX" w:eastAsia="es-ES"/>
        </w:rPr>
      </w:pPr>
    </w:p>
    <w:p w14:paraId="290E64E3" w14:textId="77777777" w:rsidR="00046B72" w:rsidRPr="009322DA" w:rsidRDefault="00046B72" w:rsidP="00046B72">
      <w:pPr>
        <w:spacing w:after="0" w:line="240" w:lineRule="auto"/>
        <w:rPr>
          <w:rFonts w:ascii="Verdana" w:eastAsia="Calibri" w:hAnsi="Verdana" w:cs="Arial"/>
          <w:b/>
          <w:bCs/>
          <w:lang w:val="es-ES_tradnl" w:eastAsia="es-ES_tradnl"/>
        </w:rPr>
      </w:pPr>
    </w:p>
    <w:tbl>
      <w:tblPr>
        <w:tblStyle w:val="Tablaconcuadrcula1"/>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25"/>
        <w:gridCol w:w="6408"/>
      </w:tblGrid>
      <w:tr w:rsidR="00046B72" w:rsidRPr="009322DA" w14:paraId="493727FF" w14:textId="77777777" w:rsidTr="001C6D04">
        <w:trPr>
          <w:trHeight w:val="999"/>
        </w:trPr>
        <w:tc>
          <w:tcPr>
            <w:tcW w:w="2825" w:type="dxa"/>
          </w:tcPr>
          <w:p w14:paraId="28411F33" w14:textId="77777777" w:rsidR="00046B72" w:rsidRPr="009322DA" w:rsidRDefault="00046B72" w:rsidP="001C6D04">
            <w:pPr>
              <w:jc w:val="both"/>
              <w:rPr>
                <w:rFonts w:ascii="Verdana" w:hAnsi="Verdana" w:cs="Arial"/>
                <w:b/>
                <w:bCs/>
                <w:lang w:val="es-ES_tradnl" w:eastAsia="es-ES_tradnl"/>
              </w:rPr>
            </w:pPr>
          </w:p>
        </w:tc>
        <w:tc>
          <w:tcPr>
            <w:tcW w:w="6408" w:type="dxa"/>
            <w:hideMark/>
          </w:tcPr>
          <w:p w14:paraId="6556ACFC" w14:textId="77777777" w:rsidR="00046B72" w:rsidRPr="009322DA" w:rsidRDefault="00046B72" w:rsidP="001C6D04">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 xml:space="preserve">645 </w:t>
            </w:r>
            <w:r w:rsidRPr="009322DA">
              <w:rPr>
                <w:rFonts w:ascii="Verdana" w:hAnsi="Verdana" w:cs="Arial"/>
                <w:b/>
                <w:bCs/>
                <w:lang w:val="es-ES" w:eastAsia="es-ES"/>
              </w:rPr>
              <w:t>de 2024</w:t>
            </w:r>
          </w:p>
        </w:tc>
      </w:tr>
      <w:tr w:rsidR="00046B72" w:rsidRPr="009322DA" w14:paraId="43EAEA7A" w14:textId="77777777" w:rsidTr="001C6D04">
        <w:trPr>
          <w:trHeight w:val="999"/>
        </w:trPr>
        <w:tc>
          <w:tcPr>
            <w:tcW w:w="2825" w:type="dxa"/>
            <w:hideMark/>
          </w:tcPr>
          <w:p w14:paraId="6406436B" w14:textId="77777777" w:rsidR="00046B72" w:rsidRPr="009322DA" w:rsidRDefault="00046B72" w:rsidP="001C6D04">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408" w:type="dxa"/>
          </w:tcPr>
          <w:p w14:paraId="5F553B48" w14:textId="77777777" w:rsidR="00046B72" w:rsidRDefault="00046B72" w:rsidP="001C6D04">
            <w:pPr>
              <w:jc w:val="both"/>
              <w:rPr>
                <w:rFonts w:ascii="Verdana" w:hAnsi="Verdana" w:cs="Arial"/>
                <w:lang w:val="es-ES_tradnl" w:eastAsia="es-ES"/>
              </w:rPr>
            </w:pPr>
            <w:r>
              <w:rPr>
                <w:rFonts w:ascii="Verdana" w:hAnsi="Verdana" w:cs="Arial"/>
                <w:lang w:val="es-ES_tradnl" w:eastAsia="es-ES"/>
              </w:rPr>
              <w:t>DOCUMENTOS TIPO – Obligatoriedad – Infraestructura de APSB / Ley 2195 de 2022 articulo 56- Ley 2022 de 2020- CONTRATO O CONVENIO INTERADMINISTRATIVO – Noción Normativa – Criterio Orgánico / CONTRATOS Y CONVENIOS INTERADMINISTRATIVOS – Modalidad de selección</w:t>
            </w:r>
          </w:p>
          <w:p w14:paraId="63D02A12" w14:textId="77777777" w:rsidR="00046B72" w:rsidRPr="00EB3000" w:rsidRDefault="00046B72" w:rsidP="001C6D04">
            <w:pPr>
              <w:jc w:val="both"/>
              <w:rPr>
                <w:rFonts w:ascii="Verdana" w:hAnsi="Verdana" w:cs="Arial"/>
                <w:lang w:val="es-ES_tradnl" w:eastAsia="es-ES"/>
              </w:rPr>
            </w:pPr>
          </w:p>
        </w:tc>
      </w:tr>
      <w:tr w:rsidR="00046B72" w:rsidRPr="009322DA" w14:paraId="15BB8789" w14:textId="77777777" w:rsidTr="001C6D04">
        <w:trPr>
          <w:trHeight w:val="597"/>
        </w:trPr>
        <w:tc>
          <w:tcPr>
            <w:tcW w:w="2825" w:type="dxa"/>
            <w:hideMark/>
          </w:tcPr>
          <w:p w14:paraId="2632206A" w14:textId="77777777" w:rsidR="00046B72" w:rsidRPr="009322DA" w:rsidRDefault="00046B72" w:rsidP="001C6D04">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408" w:type="dxa"/>
          </w:tcPr>
          <w:p w14:paraId="6C125108" w14:textId="77777777" w:rsidR="00046B72" w:rsidRPr="009322DA" w:rsidRDefault="00046B72" w:rsidP="001C6D04">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w:t>
            </w:r>
            <w:r>
              <w:rPr>
                <w:rFonts w:ascii="Verdana" w:hAnsi="Verdana"/>
                <w:lang w:eastAsia="es-ES_tradnl"/>
              </w:rPr>
              <w:t>0923009669</w:t>
            </w:r>
          </w:p>
        </w:tc>
      </w:tr>
    </w:tbl>
    <w:p w14:paraId="564B4E56" w14:textId="77777777" w:rsidR="00046B72" w:rsidRPr="009322DA" w:rsidRDefault="00046B72" w:rsidP="00046B72">
      <w:pPr>
        <w:spacing w:after="0" w:line="240" w:lineRule="auto"/>
        <w:jc w:val="both"/>
        <w:rPr>
          <w:rFonts w:ascii="Verdana" w:eastAsia="Calibri" w:hAnsi="Verdana" w:cs="Arial"/>
          <w:lang w:val="es-ES_tradnl" w:eastAsia="es-ES_tradnl"/>
        </w:rPr>
      </w:pPr>
    </w:p>
    <w:p w14:paraId="22092298" w14:textId="77777777" w:rsidR="00046B72" w:rsidRPr="009322DA" w:rsidRDefault="00046B72" w:rsidP="00046B72">
      <w:pPr>
        <w:spacing w:after="0" w:line="240" w:lineRule="auto"/>
        <w:jc w:val="both"/>
        <w:rPr>
          <w:rFonts w:ascii="Verdana" w:eastAsia="Calibri" w:hAnsi="Verdana" w:cs="Arial"/>
          <w:lang w:val="es-ES_tradnl" w:eastAsia="es-ES_tradnl"/>
        </w:rPr>
      </w:pPr>
    </w:p>
    <w:p w14:paraId="5380E388" w14:textId="77777777" w:rsidR="00046B72" w:rsidRPr="009322DA" w:rsidRDefault="00046B72" w:rsidP="00046B72">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 xml:space="preserve">o señor Mesa: </w:t>
      </w:r>
      <w:r w:rsidRPr="009322DA">
        <w:rPr>
          <w:rFonts w:ascii="Verdana" w:eastAsia="Calibri" w:hAnsi="Verdana" w:cs="Arial"/>
          <w:lang w:val="es-ES" w:eastAsia="es-ES"/>
        </w:rPr>
        <w:t xml:space="preserve"> </w:t>
      </w:r>
    </w:p>
    <w:p w14:paraId="12A5A8BC" w14:textId="77777777" w:rsidR="00046B72" w:rsidRPr="009322DA" w:rsidRDefault="00046B72" w:rsidP="00046B72">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7846DCFB" w14:textId="77777777" w:rsidR="00046B72" w:rsidRPr="009322DA" w:rsidRDefault="00046B72" w:rsidP="00046B72">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23</w:t>
      </w:r>
      <w:r w:rsidRPr="009322DA">
        <w:rPr>
          <w:rFonts w:ascii="Verdana" w:eastAsia="Calibri" w:hAnsi="Verdana" w:cs="Arial"/>
          <w:lang w:val="es-ES" w:eastAsia="es-ES"/>
        </w:rPr>
        <w:t xml:space="preserve"> de </w:t>
      </w:r>
      <w:r>
        <w:rPr>
          <w:rFonts w:ascii="Verdana" w:eastAsia="Calibri" w:hAnsi="Verdana" w:cs="Arial"/>
          <w:lang w:val="es-ES" w:eastAsia="es-ES"/>
        </w:rPr>
        <w:t xml:space="preserve">septiembre </w:t>
      </w:r>
      <w:r w:rsidRPr="009322DA">
        <w:rPr>
          <w:rFonts w:ascii="Verdana" w:eastAsia="Calibri" w:hAnsi="Verdana" w:cs="Arial"/>
          <w:lang w:val="es-ES" w:eastAsia="es-ES"/>
        </w:rPr>
        <w:t>de 2024,</w:t>
      </w:r>
      <w:r>
        <w:rPr>
          <w:rFonts w:ascii="Verdana" w:eastAsia="Calibri" w:hAnsi="Verdana" w:cs="Arial"/>
          <w:lang w:val="es-ES" w:eastAsia="es-ES"/>
        </w:rPr>
        <w:t xml:space="preserve"> remitida por la Función Pública bajo radicado20242040582581,</w:t>
      </w:r>
      <w:r w:rsidRPr="009322DA">
        <w:rPr>
          <w:rFonts w:ascii="Verdana" w:eastAsia="Calibri" w:hAnsi="Verdana" w:cs="Arial"/>
          <w:lang w:val="es-ES" w:eastAsia="es-ES"/>
        </w:rPr>
        <w:t xml:space="preserve"> en la cual</w:t>
      </w:r>
      <w:r>
        <w:rPr>
          <w:rFonts w:ascii="Verdana" w:eastAsia="Calibri" w:hAnsi="Verdana" w:cs="Arial"/>
          <w:lang w:val="es-ES" w:eastAsia="es-ES"/>
        </w:rPr>
        <w:t xml:space="preserve"> usted</w:t>
      </w:r>
      <w:r w:rsidRPr="009322DA">
        <w:rPr>
          <w:rFonts w:ascii="Verdana" w:eastAsia="Calibri" w:hAnsi="Verdana" w:cs="Arial"/>
          <w:lang w:val="es-ES" w:eastAsia="es-ES"/>
        </w:rPr>
        <w:t xml:space="preserve"> manifiesta lo siguiente: </w:t>
      </w:r>
    </w:p>
    <w:p w14:paraId="51987B39" w14:textId="77777777" w:rsidR="00046B72" w:rsidRPr="009322DA" w:rsidRDefault="00046B72" w:rsidP="00046B72">
      <w:pPr>
        <w:spacing w:after="0" w:line="240" w:lineRule="auto"/>
        <w:ind w:left="709" w:right="709"/>
        <w:jc w:val="both"/>
        <w:rPr>
          <w:rFonts w:ascii="Verdana" w:eastAsia="Century Gothic" w:hAnsi="Verdana" w:cs="Century Gothic"/>
          <w:sz w:val="20"/>
          <w:szCs w:val="20"/>
          <w:lang w:val="es-ES"/>
        </w:rPr>
      </w:pPr>
      <w:bookmarkStart w:id="0" w:name="_Hlk95313578"/>
    </w:p>
    <w:p w14:paraId="61BC253A" w14:textId="77777777" w:rsidR="00046B72" w:rsidRPr="00C16C4B" w:rsidRDefault="00046B72" w:rsidP="00046B72">
      <w:pPr>
        <w:spacing w:line="240" w:lineRule="auto"/>
        <w:ind w:left="709" w:right="680"/>
        <w:jc w:val="both"/>
        <w:rPr>
          <w:rFonts w:ascii="Verdana" w:eastAsia="Century Gothic" w:hAnsi="Verdana" w:cs="Century Gothic"/>
          <w:sz w:val="20"/>
          <w:szCs w:val="20"/>
          <w:lang w:val="es-ES"/>
        </w:rPr>
      </w:pPr>
      <w:r w:rsidRPr="004D70FC">
        <w:rPr>
          <w:rFonts w:ascii="Verdana" w:eastAsia="Century Gothic" w:hAnsi="Verdana" w:cs="Century Gothic"/>
          <w:sz w:val="20"/>
          <w:szCs w:val="20"/>
          <w:lang w:val="es-ES"/>
        </w:rPr>
        <w:lastRenderedPageBreak/>
        <w:t>“</w:t>
      </w:r>
      <w:r>
        <w:rPr>
          <w:rFonts w:ascii="Verdana" w:eastAsia="Century Gothic" w:hAnsi="Verdana" w:cs="Century Gothic"/>
          <w:sz w:val="20"/>
          <w:szCs w:val="20"/>
          <w:lang w:val="es-ES"/>
        </w:rPr>
        <w:t>Puede un municipio contratar con una provincia a través de un contrato interadministrativo para ejecutar una obra de alcantarillado con recursos de agua potable y saneamiento básico, omitiendo los documentos tipo de infraestructura de APSB?</w:t>
      </w:r>
      <w:r w:rsidRPr="004D70FC">
        <w:rPr>
          <w:rFonts w:ascii="Verdana" w:eastAsia="Century Gothic" w:hAnsi="Verdana" w:cs="Century Gothic"/>
          <w:sz w:val="20"/>
          <w:szCs w:val="20"/>
          <w:lang w:val="es-ES"/>
        </w:rPr>
        <w:t>”</w:t>
      </w:r>
      <w:bookmarkEnd w:id="0"/>
      <w:r w:rsidRPr="004D70FC">
        <w:rPr>
          <w:rFonts w:ascii="Verdana" w:eastAsia="Century Gothic" w:hAnsi="Verdana" w:cs="Century Gothic"/>
          <w:sz w:val="20"/>
          <w:szCs w:val="20"/>
          <w:lang w:val="es-ES"/>
        </w:rPr>
        <w:t>.</w:t>
      </w:r>
    </w:p>
    <w:p w14:paraId="09ED1504" w14:textId="77777777" w:rsidR="00046B72" w:rsidRPr="004D70FC" w:rsidRDefault="00046B72" w:rsidP="00046B72">
      <w:pPr>
        <w:tabs>
          <w:tab w:val="left" w:pos="142"/>
          <w:tab w:val="left" w:pos="284"/>
        </w:tabs>
        <w:spacing w:line="276" w:lineRule="auto"/>
        <w:ind w:left="709" w:right="680"/>
        <w:contextualSpacing/>
        <w:jc w:val="both"/>
        <w:rPr>
          <w:rFonts w:ascii="Verdana" w:eastAsia="Century Gothic" w:hAnsi="Verdana" w:cs="Century Gothic"/>
          <w:b/>
          <w:bCs/>
          <w:sz w:val="20"/>
          <w:szCs w:val="20"/>
          <w:lang w:val="es-ES"/>
        </w:rPr>
      </w:pPr>
    </w:p>
    <w:p w14:paraId="674BDFFD" w14:textId="77777777" w:rsidR="00046B72" w:rsidRPr="009322DA" w:rsidRDefault="00046B72" w:rsidP="00046B72">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64DCED2F" w14:textId="77777777" w:rsidR="00046B72" w:rsidRPr="009322DA" w:rsidRDefault="00046B72" w:rsidP="00046B72">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A842315" w14:textId="77777777" w:rsidR="00046B72" w:rsidRPr="009322DA" w:rsidRDefault="00046B72" w:rsidP="00046B72">
      <w:pPr>
        <w:spacing w:after="0" w:line="276" w:lineRule="auto"/>
        <w:ind w:firstLine="709"/>
        <w:jc w:val="both"/>
        <w:rPr>
          <w:rFonts w:ascii="Verdana" w:eastAsia="Calibri" w:hAnsi="Verdana" w:cs="Arial"/>
          <w:lang w:val="es-ES" w:eastAsia="es-ES"/>
        </w:rPr>
      </w:pPr>
    </w:p>
    <w:p w14:paraId="0A428B8A" w14:textId="77777777" w:rsidR="00046B72" w:rsidRPr="009322DA" w:rsidRDefault="00046B72" w:rsidP="00046B72">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35EFD55F" w14:textId="77777777" w:rsidR="00046B72" w:rsidRPr="009322DA" w:rsidRDefault="00046B72" w:rsidP="00046B72">
      <w:pPr>
        <w:tabs>
          <w:tab w:val="left" w:pos="426"/>
        </w:tabs>
        <w:spacing w:after="0" w:line="276" w:lineRule="auto"/>
        <w:jc w:val="both"/>
        <w:rPr>
          <w:rFonts w:ascii="Verdana" w:eastAsia="Century Gothic" w:hAnsi="Verdana" w:cs="Century Gothic"/>
          <w:lang w:val="es-ES"/>
        </w:rPr>
      </w:pPr>
    </w:p>
    <w:p w14:paraId="4CD965BE" w14:textId="2C513A0F" w:rsidR="00046B72" w:rsidRPr="009322DA" w:rsidRDefault="00046B72" w:rsidP="00046B72">
      <w:pPr>
        <w:spacing w:after="0" w:line="276" w:lineRule="auto"/>
        <w:jc w:val="both"/>
        <w:rPr>
          <w:rFonts w:ascii="Verdana" w:eastAsia="Century Gothic" w:hAnsi="Verdana" w:cs="Century Gothic"/>
        </w:rPr>
      </w:pPr>
      <w:r w:rsidRPr="009322DA">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el </w:t>
      </w:r>
      <w:r w:rsidRPr="009322DA">
        <w:rPr>
          <w:rFonts w:ascii="Verdana" w:eastAsia="Century Gothic" w:hAnsi="Verdana" w:cs="Century Gothic"/>
        </w:rPr>
        <w:t>siguiente problema jurídico:</w:t>
      </w:r>
      <w:r>
        <w:rPr>
          <w:rFonts w:ascii="Verdana" w:eastAsia="Century Gothic" w:hAnsi="Verdana" w:cs="Century Gothic"/>
        </w:rPr>
        <w:t xml:space="preserve"> ¿Se puede firmar y ejecutar un convenio interadministrativo  </w:t>
      </w:r>
      <w:r w:rsidR="00500935">
        <w:rPr>
          <w:rFonts w:ascii="Verdana" w:eastAsia="Century Gothic" w:hAnsi="Verdana" w:cs="Century Gothic"/>
        </w:rPr>
        <w:t xml:space="preserve">cuyo </w:t>
      </w:r>
      <w:r>
        <w:rPr>
          <w:rFonts w:ascii="Verdana" w:eastAsia="Century Gothic" w:hAnsi="Verdana" w:cs="Century Gothic"/>
        </w:rPr>
        <w:t>objeto sea la construcción de una obra de alcantarillado, sin utilizar los documentos tipo expedidos por la ANCP-CCE?</w:t>
      </w:r>
    </w:p>
    <w:p w14:paraId="4B2107C2" w14:textId="77777777" w:rsidR="00046B72" w:rsidRPr="009322DA" w:rsidRDefault="00046B72" w:rsidP="00046B72">
      <w:pPr>
        <w:spacing w:after="0" w:line="276" w:lineRule="auto"/>
        <w:jc w:val="both"/>
        <w:rPr>
          <w:rFonts w:ascii="Verdana" w:eastAsia="Calibri" w:hAnsi="Verdana" w:cs="Arial"/>
          <w:lang w:val="es-ES"/>
        </w:rPr>
      </w:pPr>
    </w:p>
    <w:p w14:paraId="4D33803B" w14:textId="77777777" w:rsidR="00046B72" w:rsidRPr="009322DA" w:rsidRDefault="00046B72" w:rsidP="00046B72">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46B72" w:rsidRPr="009322DA" w14:paraId="16C457E7" w14:textId="77777777" w:rsidTr="001C6D04">
        <w:tc>
          <w:tcPr>
            <w:tcW w:w="8828" w:type="dxa"/>
            <w:tcBorders>
              <w:top w:val="dotted" w:sz="4" w:space="0" w:color="auto"/>
              <w:left w:val="dotted" w:sz="4" w:space="0" w:color="auto"/>
              <w:bottom w:val="dotted" w:sz="4" w:space="0" w:color="auto"/>
              <w:right w:val="dotted" w:sz="4" w:space="0" w:color="auto"/>
            </w:tcBorders>
          </w:tcPr>
          <w:p w14:paraId="4BCB40B5" w14:textId="77777777" w:rsidR="00046B72" w:rsidRDefault="00046B72" w:rsidP="001C6D04">
            <w:pPr>
              <w:spacing w:line="276" w:lineRule="auto"/>
              <w:jc w:val="both"/>
              <w:rPr>
                <w:rFonts w:ascii="Verdana" w:eastAsia="Calibri" w:hAnsi="Verdana" w:cs="Arial"/>
                <w:lang w:val="es-ES"/>
              </w:rPr>
            </w:pPr>
            <w:r>
              <w:rPr>
                <w:rFonts w:ascii="Verdana" w:eastAsia="Calibri" w:hAnsi="Verdana" w:cs="Arial"/>
                <w:lang w:val="es-ES"/>
              </w:rPr>
              <w:t xml:space="preserve">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w:t>
            </w:r>
            <w:r>
              <w:rPr>
                <w:rFonts w:ascii="Verdana" w:eastAsia="Calibri" w:hAnsi="Verdana" w:cs="Arial"/>
                <w:lang w:val="es-ES"/>
              </w:rPr>
              <w:lastRenderedPageBreak/>
              <w:t>por la Agencia Nacional de Contratación Pública – Colombia Compra Eficiente o quien haga sus veces</w:t>
            </w:r>
            <w:r>
              <w:rPr>
                <w:rStyle w:val="Refdenotaalpie"/>
                <w:rFonts w:ascii="Verdana" w:eastAsia="Calibri" w:hAnsi="Verdana" w:cs="Arial"/>
                <w:lang w:val="es-ES"/>
              </w:rPr>
              <w:footnoteReference w:id="2"/>
            </w:r>
            <w:r>
              <w:rPr>
                <w:rFonts w:ascii="Verdana" w:eastAsia="Calibri" w:hAnsi="Verdana" w:cs="Arial"/>
                <w:lang w:val="es-ES"/>
              </w:rPr>
              <w:t xml:space="preserve">(…) </w:t>
            </w:r>
          </w:p>
          <w:p w14:paraId="4F7E4176" w14:textId="77777777" w:rsidR="00046B72" w:rsidRDefault="00046B72" w:rsidP="001C6D04">
            <w:pPr>
              <w:spacing w:line="276" w:lineRule="auto"/>
              <w:jc w:val="both"/>
              <w:rPr>
                <w:rFonts w:ascii="Verdana" w:eastAsia="Calibri" w:hAnsi="Verdana" w:cs="Arial"/>
                <w:lang w:val="es-ES"/>
              </w:rPr>
            </w:pPr>
          </w:p>
          <w:p w14:paraId="39A22050" w14:textId="77777777" w:rsidR="00046B72" w:rsidRDefault="00046B72" w:rsidP="001C6D04">
            <w:pPr>
              <w:spacing w:line="276" w:lineRule="auto"/>
              <w:jc w:val="both"/>
              <w:rPr>
                <w:rFonts w:ascii="Verdana" w:eastAsia="Calibri" w:hAnsi="Verdana" w:cs="Arial"/>
                <w:lang w:val="es-ES"/>
              </w:rPr>
            </w:pPr>
            <w:r>
              <w:rPr>
                <w:rFonts w:ascii="Verdana" w:eastAsia="Calibri" w:hAnsi="Verdana" w:cs="Arial"/>
                <w:lang w:val="es-ES"/>
              </w:rPr>
              <w:t>En ejercicio de la potestad otorgada por la Ley 2022 de 2020 son de obligatoria observancia por parte de las Entidades Estatales sometidas al Estatuto General de Contratación de la Administración Pública – EGCAP, debido a esto, tales entidades deben aplicar de manera forzosa los Documentos tipo para desarrollar los procesos de Contratación en los objetos y modalidades cobijadas por estos.</w:t>
            </w:r>
          </w:p>
          <w:p w14:paraId="4A3EAB85" w14:textId="77777777" w:rsidR="005D350B" w:rsidRDefault="005D350B" w:rsidP="001C6D04">
            <w:pPr>
              <w:spacing w:line="276" w:lineRule="auto"/>
              <w:jc w:val="both"/>
              <w:rPr>
                <w:rFonts w:ascii="Verdana" w:eastAsia="Calibri" w:hAnsi="Verdana" w:cs="Arial"/>
                <w:lang w:val="es-ES"/>
              </w:rPr>
            </w:pPr>
          </w:p>
          <w:p w14:paraId="1BBE6BBD" w14:textId="77777777" w:rsidR="00046B72" w:rsidRDefault="00046B72" w:rsidP="001C6D04">
            <w:pPr>
              <w:spacing w:line="276" w:lineRule="auto"/>
              <w:jc w:val="both"/>
              <w:rPr>
                <w:rFonts w:ascii="Verdana" w:eastAsia="Calibri" w:hAnsi="Verdana" w:cs="Arial"/>
                <w:lang w:val="es-ES"/>
              </w:rPr>
            </w:pPr>
            <w:r>
              <w:rPr>
                <w:rFonts w:ascii="Verdana" w:eastAsia="Calibri" w:hAnsi="Verdana" w:cs="Arial"/>
                <w:lang w:val="es-ES"/>
              </w:rPr>
              <w:t xml:space="preserve">Finalmente es importante resaltar que, esta agencia en el marco de sus facultades otorgadas por la Ley 2022 de 2020 y el Decreto 4170 de 2011, expidió la resolución 248 de 2020, modificada por la resolución 275 de 2022 “Por la cual se adoptan los documentos tipo para los procesos de licitación pública para obras de infraestructura de agua potable y saneamiento básico”. Todas las obras de infraestructura de agua potable y saneamiento básico que las Entidades Estatales sometidas al Estatuto General de Contratación de la Administración Pública – EGCAP pretendan realizar con recursos públicos, deben observar obligatoriamente los documentos tipo. </w:t>
            </w:r>
          </w:p>
          <w:p w14:paraId="733800DB" w14:textId="77777777" w:rsidR="00046B72" w:rsidRDefault="00046B72" w:rsidP="001C6D04">
            <w:pPr>
              <w:spacing w:line="276" w:lineRule="auto"/>
              <w:jc w:val="both"/>
              <w:rPr>
                <w:rFonts w:ascii="Verdana" w:eastAsia="Calibri" w:hAnsi="Verdana" w:cs="Arial"/>
                <w:lang w:val="es-ES"/>
              </w:rPr>
            </w:pPr>
          </w:p>
          <w:p w14:paraId="4685D189" w14:textId="77777777" w:rsidR="00046B72" w:rsidRPr="009322DA" w:rsidRDefault="00046B72" w:rsidP="001C6D04">
            <w:pPr>
              <w:spacing w:line="276" w:lineRule="auto"/>
              <w:jc w:val="both"/>
              <w:rPr>
                <w:rFonts w:ascii="Verdana" w:eastAsia="Calibri" w:hAnsi="Verdana" w:cs="Arial"/>
                <w:lang w:val="es-ES"/>
              </w:rPr>
            </w:pPr>
            <w:r>
              <w:rPr>
                <w:rFonts w:ascii="Verdana" w:eastAsia="Calibri" w:hAnsi="Verdana" w:cs="Arial"/>
                <w:lang w:val="es-ES"/>
              </w:rPr>
              <w:t xml:space="preserve"> </w:t>
            </w:r>
          </w:p>
        </w:tc>
      </w:tr>
    </w:tbl>
    <w:p w14:paraId="056CF850" w14:textId="77777777" w:rsidR="00046B72" w:rsidRPr="009322DA" w:rsidRDefault="00046B72" w:rsidP="00046B72">
      <w:pPr>
        <w:tabs>
          <w:tab w:val="left" w:pos="142"/>
          <w:tab w:val="left" w:pos="284"/>
        </w:tabs>
        <w:spacing w:after="0" w:line="276" w:lineRule="auto"/>
        <w:jc w:val="both"/>
        <w:rPr>
          <w:rFonts w:ascii="Verdana" w:eastAsia="Century Gothic" w:hAnsi="Verdana" w:cs="Century Gothic"/>
          <w:b/>
          <w:bCs/>
          <w:lang w:val="es-ES"/>
        </w:rPr>
      </w:pPr>
    </w:p>
    <w:p w14:paraId="407EBBCD" w14:textId="77777777" w:rsidR="00046B72" w:rsidRPr="009322DA" w:rsidRDefault="00046B72" w:rsidP="00046B72">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58F77DCA" w14:textId="77777777" w:rsidR="00046B72" w:rsidRPr="009322DA" w:rsidRDefault="00046B72" w:rsidP="00046B72">
      <w:pPr>
        <w:spacing w:after="0" w:line="276" w:lineRule="auto"/>
        <w:jc w:val="both"/>
        <w:rPr>
          <w:rFonts w:ascii="Verdana" w:eastAsia="Calibri" w:hAnsi="Verdana" w:cs="Arial"/>
          <w:lang w:val="es-ES"/>
        </w:rPr>
      </w:pPr>
    </w:p>
    <w:p w14:paraId="29A191D0" w14:textId="77777777" w:rsidR="00046B72" w:rsidRDefault="00046B72" w:rsidP="00046B72">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3663B3D3" w14:textId="77777777" w:rsidR="00046B72" w:rsidRDefault="00046B72" w:rsidP="00046B72">
      <w:pPr>
        <w:spacing w:after="0" w:line="276" w:lineRule="auto"/>
        <w:jc w:val="both"/>
        <w:rPr>
          <w:rFonts w:ascii="Verdana" w:eastAsia="Calibri" w:hAnsi="Verdana" w:cs="Arial"/>
          <w:lang w:val="es-ES"/>
        </w:rPr>
      </w:pPr>
    </w:p>
    <w:p w14:paraId="29F688A2" w14:textId="0EB7C0AC" w:rsidR="00046B72" w:rsidRPr="00CE2739" w:rsidRDefault="00046B72" w:rsidP="00046B72">
      <w:pPr>
        <w:pStyle w:val="Prrafodelista"/>
        <w:numPr>
          <w:ilvl w:val="0"/>
          <w:numId w:val="19"/>
        </w:numPr>
        <w:spacing w:after="0" w:line="276" w:lineRule="auto"/>
        <w:jc w:val="both"/>
        <w:rPr>
          <w:rFonts w:ascii="Verdana" w:eastAsia="Calibri" w:hAnsi="Verdana" w:cs="Arial"/>
        </w:rPr>
      </w:pPr>
      <w:r>
        <w:rPr>
          <w:rFonts w:ascii="Verdana" w:eastAsia="Calibri" w:hAnsi="Verdana" w:cs="Arial"/>
        </w:rPr>
        <w:t xml:space="preserve">El artículo 56 de la Ley 2195 de 2022 hizo extensiva la utilización de los documentos tipo a las entidades de régimen especial, de tal manera que para la adquisición de bienes, obras o servicios las entidades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de Pública  - Colombia Compra Eficiente o quien haga sus veces. </w:t>
      </w:r>
    </w:p>
    <w:p w14:paraId="71E486AA" w14:textId="77777777" w:rsidR="00046B72" w:rsidRDefault="00046B72" w:rsidP="00046B72">
      <w:pPr>
        <w:spacing w:after="0" w:line="276" w:lineRule="auto"/>
        <w:jc w:val="both"/>
        <w:rPr>
          <w:rFonts w:ascii="Verdana" w:eastAsia="Calibri" w:hAnsi="Verdana" w:cs="Arial"/>
          <w:lang w:val="es-ES"/>
        </w:rPr>
      </w:pPr>
    </w:p>
    <w:p w14:paraId="670F2376" w14:textId="77777777" w:rsidR="00046B72" w:rsidRDefault="00046B72" w:rsidP="00046B72">
      <w:pPr>
        <w:pStyle w:val="Prrafodelista"/>
        <w:numPr>
          <w:ilvl w:val="0"/>
          <w:numId w:val="18"/>
        </w:numPr>
        <w:spacing w:after="0" w:line="276" w:lineRule="auto"/>
        <w:jc w:val="both"/>
        <w:rPr>
          <w:rFonts w:ascii="Verdana" w:eastAsia="Calibri" w:hAnsi="Verdana" w:cs="Arial"/>
        </w:rPr>
      </w:pPr>
      <w:r w:rsidRPr="00ED7B71">
        <w:rPr>
          <w:rFonts w:ascii="Verdana" w:eastAsia="Calibri" w:hAnsi="Verdana" w:cs="Arial"/>
        </w:rPr>
        <w:t>El artículo 1 Ley 2022 de 2020 otorgó a la Agencia Nacional de Contratación Pública – Colombia Compra Eficiente la competencia para adoptar los documentos tipo</w:t>
      </w:r>
      <w:r>
        <w:rPr>
          <w:rStyle w:val="Refdenotaalpie"/>
          <w:rFonts w:ascii="Verdana" w:eastAsia="Calibri" w:hAnsi="Verdana" w:cs="Arial"/>
        </w:rPr>
        <w:footnoteReference w:id="3"/>
      </w:r>
      <w:r>
        <w:rPr>
          <w:rFonts w:ascii="Verdana" w:eastAsia="Calibri" w:hAnsi="Verdana" w:cs="Arial"/>
        </w:rPr>
        <w:t xml:space="preserve">. </w:t>
      </w:r>
      <w:r w:rsidRPr="009975B8">
        <w:rPr>
          <w:rFonts w:ascii="Verdana" w:eastAsia="Calibri" w:hAnsi="Verdana" w:cs="Arial"/>
        </w:rPr>
        <w:t>Así mismo, reiteró la obligatoriedad del uso de los documentos tipo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modificarlos, con excepción de aquellos aspectos que pueden diligenciar, es decir, las descripciones que están incluidas entre corchetes y resaltadas en gris o cuya modificación sea permitida por los mismos documentos tipo.</w:t>
      </w:r>
    </w:p>
    <w:p w14:paraId="4AD061E0" w14:textId="77777777" w:rsidR="00046B72" w:rsidRPr="009975B8" w:rsidRDefault="00046B72" w:rsidP="00046B72">
      <w:pPr>
        <w:pStyle w:val="Prrafodelista"/>
        <w:spacing w:after="0" w:line="276" w:lineRule="auto"/>
        <w:jc w:val="both"/>
        <w:rPr>
          <w:rFonts w:ascii="Verdana" w:eastAsia="Calibri" w:hAnsi="Verdana" w:cs="Arial"/>
        </w:rPr>
      </w:pPr>
    </w:p>
    <w:p w14:paraId="37479974" w14:textId="77777777" w:rsidR="00046B72" w:rsidRPr="001F4786" w:rsidRDefault="00046B72" w:rsidP="00046B72">
      <w:pPr>
        <w:pStyle w:val="Prrafodelista"/>
        <w:numPr>
          <w:ilvl w:val="0"/>
          <w:numId w:val="18"/>
        </w:numPr>
        <w:spacing w:after="0" w:line="276" w:lineRule="auto"/>
        <w:jc w:val="both"/>
        <w:rPr>
          <w:rFonts w:ascii="Verdana" w:eastAsia="Calibri" w:hAnsi="Verdana" w:cs="Arial"/>
        </w:rPr>
      </w:pPr>
      <w:r w:rsidRPr="00B92138">
        <w:rPr>
          <w:rFonts w:ascii="Verdana" w:eastAsia="Calibri" w:hAnsi="Verdana" w:cs="Arial"/>
          <w:lang w:val="es-CO"/>
        </w:rPr>
        <w:t xml:space="preserve">Para el sector de infraestructura de agua potable y saneamiento básico, en desarrollo del artículo 1 de la Ley 2022 de 2020, esta Agencia expidió </w:t>
      </w:r>
      <w:r w:rsidRPr="00B92138">
        <w:rPr>
          <w:rFonts w:ascii="Verdana" w:eastAsia="Calibri" w:hAnsi="Verdana" w:cs="Arial"/>
          <w:lang w:val="es-MX"/>
        </w:rPr>
        <w:t>las Resoluciones 248 y 249 del 1 de diciembre de 2020, modificadas por las</w:t>
      </w:r>
      <w:r w:rsidRPr="00B92138">
        <w:rPr>
          <w:rFonts w:ascii="Verdana" w:eastAsia="Calibri" w:hAnsi="Verdana" w:cs="Arial"/>
          <w:lang w:val="es-CO"/>
        </w:rPr>
        <w:t xml:space="preserve"> Resoluciones 161 del 17 de junio de 2021, 173 del 30 de junio de 2021, 304 del 13 de octubre de 2021</w:t>
      </w:r>
      <w:r>
        <w:rPr>
          <w:rStyle w:val="Refdenotaalpie"/>
          <w:rFonts w:ascii="Verdana" w:eastAsia="Calibri" w:hAnsi="Verdana" w:cs="Arial"/>
          <w:lang w:val="es-CO"/>
        </w:rPr>
        <w:footnoteReference w:id="4"/>
      </w:r>
      <w:r>
        <w:rPr>
          <w:rFonts w:ascii="Verdana" w:eastAsia="Calibri" w:hAnsi="Verdana" w:cs="Arial"/>
          <w:lang w:val="es-CO"/>
        </w:rPr>
        <w:t xml:space="preserve">. </w:t>
      </w:r>
      <w:r w:rsidRPr="00973537">
        <w:rPr>
          <w:rFonts w:ascii="Verdana" w:eastAsia="Calibri" w:hAnsi="Verdana" w:cs="Arial"/>
          <w:lang w:val="es-CO"/>
        </w:rPr>
        <w:t>Mediante estos actos administrativos se adoptaron los documentos tipo para licitación de obras públicas y los documentos tipo para licitación de obras públicas, en modalidad llave en mano. Posteriormente se expide la Resolución 333 del 27 de julio de 2022 por medio de la cual se adoptaron los documentos tipo para los procesos de selección de concurso de méritos para contratar la interventoría de obras públicas también en infraestructura de agua potable y saneamiento básico</w:t>
      </w:r>
    </w:p>
    <w:p w14:paraId="50D6D121" w14:textId="77777777" w:rsidR="00046B72" w:rsidRPr="00973537" w:rsidRDefault="00046B72" w:rsidP="00046B72">
      <w:pPr>
        <w:pStyle w:val="Prrafodelista"/>
        <w:spacing w:after="0" w:line="276" w:lineRule="auto"/>
        <w:jc w:val="both"/>
        <w:rPr>
          <w:rFonts w:ascii="Verdana" w:eastAsia="Calibri" w:hAnsi="Verdana" w:cs="Arial"/>
        </w:rPr>
      </w:pPr>
    </w:p>
    <w:p w14:paraId="5C21BE98" w14:textId="77777777" w:rsidR="00046B72" w:rsidRDefault="00046B72" w:rsidP="00046B72">
      <w:pPr>
        <w:pStyle w:val="Prrafodelista"/>
        <w:numPr>
          <w:ilvl w:val="0"/>
          <w:numId w:val="18"/>
        </w:numPr>
        <w:spacing w:before="120" w:line="276" w:lineRule="auto"/>
        <w:jc w:val="both"/>
        <w:rPr>
          <w:rFonts w:ascii="Verdana" w:eastAsia="Times New Roman" w:hAnsi="Verdana" w:cs="Arial"/>
          <w:lang w:eastAsia="es-MX"/>
        </w:rPr>
      </w:pPr>
      <w:r w:rsidRPr="00270EB6">
        <w:rPr>
          <w:rFonts w:ascii="Verdana" w:eastAsia="Times New Roman" w:hAnsi="Verdana" w:cs="Arial"/>
        </w:rPr>
        <w:lastRenderedPageBreak/>
        <w:t xml:space="preserve">Al respecto, es pertinente mencionar que, </w:t>
      </w:r>
      <w:r w:rsidRPr="00270EB6">
        <w:rPr>
          <w:rFonts w:ascii="Verdana" w:eastAsia="Times New Roman" w:hAnsi="Verdana" w:cs="Arial"/>
          <w:lang w:eastAsia="es-MX"/>
        </w:rPr>
        <w:t xml:space="preserve">con ocasión a la expedición del Decreto 1860 del 24 de diciembre de 2021, que modificó el Decreto 1082 de 2015 y reglamentó los artículos 30, 31, 32, 34 y 35 de la Ley 2069 de 2020, la Agencia ajustó los diferentes documentos tipo que había expedido hasta ese momento, con la finalidad de hacerlos compatibles con la nueva regulación. De esta manera, se expidió la Resolución 275 del 24 de junio de 2022, “Por la cual se modifican los documentos tipo adoptados por la Agencia Nacional de Contratación Pública – Colombia Compra Eficiente” que se aplicará a los procesos de contratación cuyo aviso de convocatoria se publique a partir del 29 de agosto de 2022. Esta resolución reguló los criterios diferenciales habilitantes y puntajes adicionales para MiPymes y empresas y emprendimientos de mujeres, así como el fomento a la ejecución de contratos estatales por parte de población en pobreza extrema, desplazados por la violencia, personas en proceso de reintegración o reincorporación y sujetos de especial protección constitucional, los factores de desempate y la limitación de la convocatoria a MiPymes. </w:t>
      </w:r>
    </w:p>
    <w:p w14:paraId="1599C4BB" w14:textId="77777777" w:rsidR="00046B72" w:rsidRPr="00270EB6" w:rsidRDefault="00046B72" w:rsidP="00046B72">
      <w:pPr>
        <w:pStyle w:val="Prrafodelista"/>
        <w:spacing w:before="120" w:line="276" w:lineRule="auto"/>
        <w:jc w:val="both"/>
        <w:rPr>
          <w:rFonts w:ascii="Verdana" w:eastAsia="Times New Roman" w:hAnsi="Verdana" w:cs="Arial"/>
          <w:lang w:eastAsia="es-MX"/>
        </w:rPr>
      </w:pPr>
    </w:p>
    <w:p w14:paraId="471D08E8" w14:textId="77777777" w:rsidR="00046B72" w:rsidRPr="00C00ADD" w:rsidRDefault="00046B72" w:rsidP="00046B72">
      <w:pPr>
        <w:pStyle w:val="Prrafodelista"/>
        <w:numPr>
          <w:ilvl w:val="0"/>
          <w:numId w:val="18"/>
        </w:numPr>
        <w:spacing w:after="120" w:line="276" w:lineRule="auto"/>
        <w:jc w:val="both"/>
        <w:rPr>
          <w:rFonts w:ascii="Verdana" w:eastAsia="Times New Roman" w:hAnsi="Verdana" w:cs="Arial"/>
          <w:color w:val="000000" w:themeColor="text1"/>
          <w:lang w:eastAsia="es-CO"/>
        </w:rPr>
      </w:pPr>
      <w:r w:rsidRPr="00C00ADD">
        <w:rPr>
          <w:rFonts w:ascii="Verdana" w:eastAsia="Times New Roman" w:hAnsi="Verdana" w:cs="Arial"/>
          <w:color w:val="000000" w:themeColor="text1"/>
          <w:lang w:eastAsia="es-CO"/>
        </w:rPr>
        <w:t xml:space="preserve">Dicho esto, respondiendo a su pregunta, </w:t>
      </w:r>
      <w:bookmarkStart w:id="1" w:name="_Hlk176132898"/>
      <w:r w:rsidRPr="00C00ADD">
        <w:rPr>
          <w:rFonts w:ascii="Verdana" w:eastAsia="Times New Roman" w:hAnsi="Verdana" w:cs="Arial"/>
          <w:color w:val="000000" w:themeColor="text1"/>
          <w:lang w:eastAsia="es-CO"/>
        </w:rPr>
        <w:t xml:space="preserve">para que una Entidad Estatal o una entidad exceptuada, un patrimonio autónomo o una persona natural o jurídica de derecho privado, definan si es su deber aplicar un documento tipo respectivo en el marco de un proceso de selección de contratistas, necesariamente tendrá que analizar, en cada caso concreto, si se cumplen los siguientes supuestos: i) que la Entidad Estatal contratante se halle sometida al Estatuto General de Contratación de la Administración (Ley 80 de 1993, normas que la adicionan y la complementan) o, en el evento en que sea una entidad exceptuada, un patrimonio autónomo o una persona natural o jurídica de derecho privado, requiera contratar una obra en cumplimiento de un contrato o convenio interadministrativo suscrito con una Entidad Estatal sometida al Estatuto General; </w:t>
      </w:r>
      <w:proofErr w:type="spellStart"/>
      <w:r w:rsidRPr="00C00ADD">
        <w:rPr>
          <w:rFonts w:ascii="Verdana" w:eastAsia="Times New Roman" w:hAnsi="Verdana" w:cs="Arial"/>
          <w:color w:val="000000" w:themeColor="text1"/>
          <w:lang w:eastAsia="es-CO"/>
        </w:rPr>
        <w:t>ii</w:t>
      </w:r>
      <w:proofErr w:type="spellEnd"/>
      <w:r w:rsidRPr="00C00ADD">
        <w:rPr>
          <w:rFonts w:ascii="Verdana" w:eastAsia="Times New Roman" w:hAnsi="Verdana" w:cs="Arial"/>
          <w:color w:val="000000" w:themeColor="text1"/>
          <w:lang w:eastAsia="es-CO"/>
        </w:rPr>
        <w:t xml:space="preserve">) que el proyecto de obra a contratar tenga por objeto el desarrollo de los tipos de obras contemplados en la “Matriz de Experiencia” y las actividades se subsuman en alguna o algunas de las contenidas en cada uno de los tipos de obras y </w:t>
      </w:r>
      <w:proofErr w:type="spellStart"/>
      <w:r w:rsidRPr="00C00ADD">
        <w:rPr>
          <w:rFonts w:ascii="Verdana" w:eastAsia="Times New Roman" w:hAnsi="Verdana" w:cs="Arial"/>
          <w:color w:val="000000" w:themeColor="text1"/>
          <w:lang w:eastAsia="es-CO"/>
        </w:rPr>
        <w:t>iii</w:t>
      </w:r>
      <w:proofErr w:type="spellEnd"/>
      <w:r w:rsidRPr="00C00ADD">
        <w:rPr>
          <w:rFonts w:ascii="Verdana" w:eastAsia="Times New Roman" w:hAnsi="Verdana" w:cs="Arial"/>
          <w:color w:val="000000" w:themeColor="text1"/>
          <w:lang w:eastAsia="es-CO"/>
        </w:rPr>
        <w:t>) que la modalidad de selección por la que opta la Entidad Estatal sea una en la que esta Agencia hubiese adoptado un documento tipo.</w:t>
      </w:r>
      <w:bookmarkEnd w:id="1"/>
    </w:p>
    <w:p w14:paraId="3FEB975B" w14:textId="77777777" w:rsidR="00046B72" w:rsidRPr="009322DA" w:rsidRDefault="00046B72" w:rsidP="00046B72">
      <w:pPr>
        <w:spacing w:after="0" w:line="276" w:lineRule="auto"/>
        <w:jc w:val="both"/>
        <w:rPr>
          <w:rFonts w:ascii="Verdana" w:eastAsia="Calibri" w:hAnsi="Verdana" w:cs="Arial"/>
          <w:lang w:val="es-ES"/>
        </w:rPr>
      </w:pPr>
    </w:p>
    <w:p w14:paraId="4C1A4730" w14:textId="77777777" w:rsidR="00046B72" w:rsidRDefault="00046B72" w:rsidP="00046B72">
      <w:pPr>
        <w:pStyle w:val="Prrafodelista"/>
        <w:numPr>
          <w:ilvl w:val="0"/>
          <w:numId w:val="18"/>
        </w:numPr>
        <w:jc w:val="both"/>
        <w:rPr>
          <w:rFonts w:ascii="Verdana" w:eastAsia="Calibri" w:hAnsi="Verdana" w:cs="Arial"/>
        </w:rPr>
      </w:pPr>
      <w:r w:rsidRPr="00CA1FEA">
        <w:rPr>
          <w:rFonts w:ascii="Verdana" w:eastAsia="Calibri" w:hAnsi="Verdana" w:cs="Arial"/>
        </w:rPr>
        <w:t xml:space="preserve">La tipología del contrato o convenio interadministrativo fue creada en la Ley 80 de 1993, y el Decreto 1082 de 2015 la califica como aquella </w:t>
      </w:r>
      <w:r w:rsidRPr="00CA1FEA">
        <w:rPr>
          <w:rFonts w:ascii="Verdana" w:eastAsia="Calibri" w:hAnsi="Verdana" w:cs="Arial"/>
        </w:rPr>
        <w:lastRenderedPageBreak/>
        <w:t>contratación entre entidades estatales</w:t>
      </w:r>
      <w:r>
        <w:rPr>
          <w:rStyle w:val="Refdenotaalpie"/>
          <w:rFonts w:ascii="Verdana" w:eastAsia="Calibri" w:hAnsi="Verdana" w:cs="Arial"/>
        </w:rPr>
        <w:footnoteReference w:id="5"/>
      </w:r>
      <w:r w:rsidRPr="00CA1FEA">
        <w:rPr>
          <w:rFonts w:ascii="Verdana" w:eastAsia="Calibri" w:hAnsi="Verdana" w:cs="Arial"/>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729E111" w14:textId="77777777" w:rsidR="00046B72" w:rsidRDefault="00046B72" w:rsidP="00046B72">
      <w:pPr>
        <w:pStyle w:val="Prrafodelista"/>
        <w:jc w:val="both"/>
        <w:rPr>
          <w:rFonts w:ascii="Verdana" w:eastAsia="Calibri" w:hAnsi="Verdana" w:cs="Arial"/>
        </w:rPr>
      </w:pPr>
    </w:p>
    <w:p w14:paraId="4274C5E0" w14:textId="04C1D7C5" w:rsidR="00046B72" w:rsidRPr="000B717A" w:rsidRDefault="00046B72" w:rsidP="00046B72">
      <w:pPr>
        <w:pStyle w:val="Prrafodelista"/>
        <w:numPr>
          <w:ilvl w:val="0"/>
          <w:numId w:val="18"/>
        </w:numPr>
        <w:jc w:val="both"/>
        <w:rPr>
          <w:rFonts w:ascii="Verdana" w:eastAsia="Calibri" w:hAnsi="Verdana" w:cs="Arial"/>
        </w:rPr>
      </w:pPr>
      <w:r w:rsidRPr="00CA1FEA">
        <w:rPr>
          <w:rFonts w:ascii="Verdana" w:eastAsia="Calibri" w:hAnsi="Verdana" w:cs="Arial"/>
          <w:lang w:val="es-CO"/>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08296754" w14:textId="77777777" w:rsidR="000B717A" w:rsidRPr="000B717A" w:rsidRDefault="000B717A" w:rsidP="000B717A">
      <w:pPr>
        <w:pStyle w:val="Prrafodelista"/>
        <w:rPr>
          <w:rFonts w:ascii="Verdana" w:eastAsia="Calibri" w:hAnsi="Verdana" w:cs="Arial"/>
        </w:rPr>
      </w:pPr>
    </w:p>
    <w:p w14:paraId="7FB970CD" w14:textId="77777777" w:rsidR="000B717A" w:rsidRPr="000B717A" w:rsidRDefault="000B717A" w:rsidP="000B717A">
      <w:pPr>
        <w:pStyle w:val="Prrafodelista"/>
        <w:jc w:val="both"/>
        <w:rPr>
          <w:rFonts w:ascii="Verdana" w:eastAsia="Calibri" w:hAnsi="Verdana" w:cs="Arial"/>
        </w:rPr>
      </w:pPr>
    </w:p>
    <w:p w14:paraId="14D80030" w14:textId="77777777" w:rsidR="00046B72" w:rsidRPr="00D35FF4" w:rsidRDefault="00046B72" w:rsidP="00046B72">
      <w:pPr>
        <w:pStyle w:val="Prrafodelista"/>
        <w:numPr>
          <w:ilvl w:val="0"/>
          <w:numId w:val="18"/>
        </w:numPr>
        <w:jc w:val="both"/>
        <w:rPr>
          <w:rFonts w:ascii="Verdana" w:eastAsia="Calibri" w:hAnsi="Verdana" w:cs="Arial"/>
        </w:rPr>
      </w:pPr>
      <w:r w:rsidRPr="00332B89">
        <w:rPr>
          <w:rFonts w:ascii="Verdana" w:eastAsia="Calibri" w:hAnsi="Verdana" w:cs="Arial"/>
          <w:lang w:val="es-CO"/>
        </w:rPr>
        <w:t>Un contrato o convenio interadministrativo no está determinado por la modalidad de selección utilizada para celebrarlo. La Ley 1150 de 2007 dispone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Pr>
          <w:rStyle w:val="Refdenotaalpie"/>
          <w:rFonts w:ascii="Verdana" w:eastAsia="Calibri" w:hAnsi="Verdana" w:cs="Arial"/>
          <w:lang w:val="es-CO"/>
        </w:rPr>
        <w:footnoteReference w:id="6"/>
      </w:r>
      <w:r>
        <w:rPr>
          <w:rFonts w:ascii="Verdana" w:eastAsia="Calibri" w:hAnsi="Verdana" w:cs="Arial"/>
          <w:lang w:val="es-CO"/>
        </w:rPr>
        <w:t xml:space="preserve">. </w:t>
      </w:r>
      <w:r w:rsidRPr="00D35FF4">
        <w:rPr>
          <w:rFonts w:ascii="Verdana" w:eastAsia="Calibri" w:hAnsi="Verdana" w:cs="Arial"/>
        </w:rPr>
        <w:t>Nótese que, en este caso, lo que cambia es la modalidad de selección y no la naturaleza de contrato interadministrativo.</w:t>
      </w:r>
    </w:p>
    <w:p w14:paraId="3D8BF4CC" w14:textId="77777777" w:rsidR="00046B72" w:rsidRPr="00D639C9" w:rsidRDefault="00046B72" w:rsidP="00046B72">
      <w:pPr>
        <w:pStyle w:val="Textoindependiente"/>
        <w:numPr>
          <w:ilvl w:val="0"/>
          <w:numId w:val="18"/>
        </w:numPr>
        <w:spacing w:before="114" w:line="276" w:lineRule="auto"/>
        <w:jc w:val="both"/>
        <w:rPr>
          <w:rFonts w:ascii="Verdana" w:eastAsia="Calibri" w:hAnsi="Verdana" w:cs="Arial"/>
        </w:rPr>
      </w:pPr>
      <w:r w:rsidRPr="00D639C9">
        <w:rPr>
          <w:rFonts w:ascii="Verdana" w:eastAsia="Calibri" w:hAnsi="Verdana" w:cs="Arial"/>
        </w:rPr>
        <w:t xml:space="preserve">La Corte Constitucional, en Sentencia C–671 de 2015 expresó que </w:t>
      </w:r>
      <w:r>
        <w:rPr>
          <w:rFonts w:ascii="Verdana" w:eastAsia="Calibri" w:hAnsi="Verdana" w:cs="Arial"/>
        </w:rPr>
        <w:t>“</w:t>
      </w:r>
      <w:r w:rsidRPr="00D639C9">
        <w:rPr>
          <w:rFonts w:ascii="Verdana" w:eastAsia="Calibri" w:hAnsi="Verdana" w:cs="Arial"/>
        </w:rPr>
        <w:t xml:space="preserve">Lo que hace interadministrativo a un contrato o convenio no es el procedimiento </w:t>
      </w:r>
      <w:r w:rsidRPr="00D639C9">
        <w:rPr>
          <w:rFonts w:ascii="Verdana" w:eastAsia="Calibri" w:hAnsi="Verdana" w:cs="Arial"/>
        </w:rPr>
        <w:lastRenderedPageBreak/>
        <w:t>de selección aplicable, sino la calidad de los sujetos contratantes, esto es que las dos partes de la relación jurídica contractual formen parte de la administración pública</w:t>
      </w:r>
      <w:r>
        <w:rPr>
          <w:rFonts w:ascii="Verdana" w:eastAsia="Calibri" w:hAnsi="Verdana" w:cs="Arial"/>
        </w:rPr>
        <w:t>”</w:t>
      </w:r>
      <w:r w:rsidRPr="00D639C9">
        <w:rPr>
          <w:rFonts w:ascii="Verdana" w:eastAsia="Calibri" w:hAnsi="Verdana" w:cs="Arial"/>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3D3B1B43" w14:textId="77777777" w:rsidR="00046B72" w:rsidRDefault="00046B72" w:rsidP="00046B72">
      <w:pPr>
        <w:pStyle w:val="Prrafodelista"/>
        <w:jc w:val="both"/>
        <w:rPr>
          <w:rFonts w:ascii="Verdana" w:eastAsia="Calibri" w:hAnsi="Verdana" w:cs="Arial"/>
        </w:rPr>
      </w:pPr>
    </w:p>
    <w:p w14:paraId="1F91BB6C" w14:textId="77777777" w:rsidR="00046B72" w:rsidRPr="00D33084" w:rsidRDefault="00046B72" w:rsidP="00046B72">
      <w:pPr>
        <w:pStyle w:val="Prrafodelista"/>
        <w:spacing w:after="120"/>
        <w:ind w:left="709" w:right="709"/>
        <w:jc w:val="both"/>
        <w:rPr>
          <w:rFonts w:ascii="Verdana" w:eastAsia="Calibri" w:hAnsi="Verdana" w:cs="Arial"/>
          <w:sz w:val="20"/>
          <w:szCs w:val="20"/>
        </w:rPr>
      </w:pPr>
      <w:r w:rsidRPr="00D33084">
        <w:rPr>
          <w:rFonts w:ascii="Verdana" w:eastAsia="Calibri" w:hAnsi="Verdana" w:cs="Arial"/>
          <w:sz w:val="20"/>
          <w:szCs w:val="20"/>
          <w:lang w:val="es-CO"/>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D33084">
        <w:rPr>
          <w:rFonts w:ascii="Verdana" w:eastAsia="Calibri" w:hAnsi="Verdana" w:cs="Arial"/>
          <w:sz w:val="20"/>
          <w:szCs w:val="20"/>
          <w:lang w:val="es-CO"/>
        </w:rPr>
        <w:t>ii</w:t>
      </w:r>
      <w:proofErr w:type="spellEnd"/>
      <w:r w:rsidRPr="00D33084">
        <w:rPr>
          <w:rFonts w:ascii="Verdana" w:eastAsia="Calibri" w:hAnsi="Verdana" w:cs="Arial"/>
          <w:sz w:val="20"/>
          <w:szCs w:val="20"/>
          <w:lang w:val="es-CO"/>
        </w:rPr>
        <w:t>) tienen como fuente la autonomía contractual; (</w:t>
      </w:r>
      <w:proofErr w:type="spellStart"/>
      <w:r w:rsidRPr="00D33084">
        <w:rPr>
          <w:rFonts w:ascii="Verdana" w:eastAsia="Calibri" w:hAnsi="Verdana" w:cs="Arial"/>
          <w:sz w:val="20"/>
          <w:szCs w:val="20"/>
          <w:lang w:val="es-CO"/>
        </w:rPr>
        <w:t>iii</w:t>
      </w:r>
      <w:proofErr w:type="spellEnd"/>
      <w:r w:rsidRPr="00D33084">
        <w:rPr>
          <w:rFonts w:ascii="Verdana" w:eastAsia="Calibri" w:hAnsi="Verdana" w:cs="Arial"/>
          <w:sz w:val="20"/>
          <w:szCs w:val="20"/>
          <w:lang w:val="es-CO"/>
        </w:rPr>
        <w:t>) son contratos nominados puesto que están mencionados en la ley; (</w:t>
      </w:r>
      <w:proofErr w:type="spellStart"/>
      <w:r w:rsidRPr="00D33084">
        <w:rPr>
          <w:rFonts w:ascii="Verdana" w:eastAsia="Calibri" w:hAnsi="Verdana" w:cs="Arial"/>
          <w:sz w:val="20"/>
          <w:szCs w:val="20"/>
          <w:lang w:val="es-CO"/>
        </w:rPr>
        <w:t>iv</w:t>
      </w:r>
      <w:proofErr w:type="spellEnd"/>
      <w:r w:rsidRPr="00D33084">
        <w:rPr>
          <w:rFonts w:ascii="Verdana" w:eastAsia="Calibri" w:hAnsi="Verdana" w:cs="Arial"/>
          <w:sz w:val="20"/>
          <w:szCs w:val="20"/>
          <w:lang w:val="es-CO"/>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D33084">
        <w:rPr>
          <w:rFonts w:ascii="Verdana" w:eastAsia="Calibri" w:hAnsi="Verdana" w:cs="Arial"/>
          <w:sz w:val="20"/>
          <w:szCs w:val="20"/>
          <w:lang w:val="es-CO"/>
        </w:rPr>
        <w:t>vii</w:t>
      </w:r>
      <w:proofErr w:type="spellEnd"/>
      <w:r w:rsidRPr="00D33084">
        <w:rPr>
          <w:rFonts w:ascii="Verdana" w:eastAsia="Calibri" w:hAnsi="Verdana" w:cs="Arial"/>
          <w:sz w:val="20"/>
          <w:szCs w:val="20"/>
          <w:lang w:val="es-CO"/>
        </w:rPr>
        <w:t>) persiguen  una finalidad común a través de la realización de intereses compartidos entre las entidades vinculadas; (</w:t>
      </w:r>
      <w:proofErr w:type="spellStart"/>
      <w:r w:rsidRPr="00D33084">
        <w:rPr>
          <w:rFonts w:ascii="Verdana" w:eastAsia="Calibri" w:hAnsi="Verdana" w:cs="Arial"/>
          <w:sz w:val="20"/>
          <w:szCs w:val="20"/>
          <w:lang w:val="es-CO"/>
        </w:rPr>
        <w:t>viii</w:t>
      </w:r>
      <w:proofErr w:type="spellEnd"/>
      <w:r w:rsidRPr="00D33084">
        <w:rPr>
          <w:rFonts w:ascii="Verdana" w:eastAsia="Calibri" w:hAnsi="Verdana" w:cs="Arial"/>
          <w:sz w:val="20"/>
          <w:szCs w:val="20"/>
          <w:lang w:val="es-CO"/>
        </w:rPr>
        <w:t>) la acción mediante la cual se deben ventilar las diferencias que sobre el particular surjan es la de controversias contractuales</w:t>
      </w:r>
      <w:r w:rsidRPr="00D33084">
        <w:rPr>
          <w:rStyle w:val="Refdenotaalpie"/>
          <w:rFonts w:ascii="Verdana" w:eastAsia="Calibri" w:hAnsi="Verdana" w:cs="Arial"/>
          <w:sz w:val="20"/>
          <w:szCs w:val="20"/>
          <w:lang w:val="es-CO"/>
        </w:rPr>
        <w:footnoteReference w:id="7"/>
      </w:r>
      <w:r>
        <w:rPr>
          <w:rFonts w:ascii="Verdana" w:eastAsia="Calibri" w:hAnsi="Verdana" w:cs="Arial"/>
          <w:sz w:val="20"/>
          <w:szCs w:val="20"/>
          <w:lang w:val="es-CO"/>
        </w:rPr>
        <w:t>.</w:t>
      </w:r>
    </w:p>
    <w:p w14:paraId="34CFEF28" w14:textId="77777777" w:rsidR="00046B72" w:rsidRPr="00D33084" w:rsidRDefault="00046B72" w:rsidP="00046B72">
      <w:pPr>
        <w:pStyle w:val="Prrafodelista"/>
        <w:spacing w:after="120"/>
        <w:ind w:left="709" w:right="709"/>
        <w:rPr>
          <w:rFonts w:ascii="Verdana" w:eastAsia="Calibri" w:hAnsi="Verdana" w:cs="Arial"/>
          <w:sz w:val="20"/>
          <w:szCs w:val="20"/>
        </w:rPr>
      </w:pPr>
    </w:p>
    <w:p w14:paraId="2816B1F7" w14:textId="77777777" w:rsidR="00046B72" w:rsidRDefault="00046B72" w:rsidP="00046B72">
      <w:pPr>
        <w:pStyle w:val="Prrafodelista"/>
        <w:rPr>
          <w:rFonts w:ascii="Verdana" w:eastAsia="Calibri" w:hAnsi="Verdana" w:cs="Arial"/>
        </w:rPr>
      </w:pPr>
    </w:p>
    <w:p w14:paraId="09B621CE" w14:textId="77777777" w:rsidR="00046B72" w:rsidRDefault="00046B72" w:rsidP="00046B72">
      <w:pPr>
        <w:pStyle w:val="Prrafodelista"/>
        <w:numPr>
          <w:ilvl w:val="0"/>
          <w:numId w:val="18"/>
        </w:numPr>
        <w:spacing w:after="120"/>
        <w:ind w:left="360"/>
        <w:jc w:val="both"/>
        <w:rPr>
          <w:rFonts w:ascii="Verdana" w:eastAsia="Calibri" w:hAnsi="Verdana" w:cs="Arial"/>
        </w:rPr>
      </w:pPr>
      <w:r w:rsidRPr="008D4E59">
        <w:rPr>
          <w:rFonts w:ascii="Verdana" w:eastAsia="Calibri" w:hAnsi="Verdana" w:cs="Arial"/>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B3BA3D8" w14:textId="77777777" w:rsidR="00046B72" w:rsidRDefault="00046B72" w:rsidP="00046B72">
      <w:pPr>
        <w:pStyle w:val="Prrafodelista"/>
        <w:spacing w:after="120"/>
        <w:ind w:left="360"/>
        <w:jc w:val="both"/>
        <w:rPr>
          <w:rFonts w:ascii="Verdana" w:eastAsia="Calibri" w:hAnsi="Verdana" w:cs="Arial"/>
        </w:rPr>
      </w:pPr>
    </w:p>
    <w:p w14:paraId="2A095E4D" w14:textId="77777777" w:rsidR="00046B72" w:rsidRPr="00D0324A" w:rsidRDefault="00046B72" w:rsidP="00046B72">
      <w:pPr>
        <w:pStyle w:val="Prrafodelista"/>
        <w:numPr>
          <w:ilvl w:val="0"/>
          <w:numId w:val="18"/>
        </w:numPr>
        <w:spacing w:after="120"/>
        <w:ind w:left="360"/>
        <w:jc w:val="both"/>
        <w:rPr>
          <w:rFonts w:ascii="Verdana" w:eastAsia="Calibri" w:hAnsi="Verdana" w:cs="Arial"/>
        </w:rPr>
      </w:pPr>
      <w:r w:rsidRPr="00D0324A">
        <w:rPr>
          <w:rFonts w:ascii="Verdana" w:eastAsia="Calibri" w:hAnsi="Verdana" w:cs="Arial"/>
          <w:lang w:val="es-CO"/>
        </w:rPr>
        <w:lastRenderedPageBreak/>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Como se indicó, la existencia de un contrato interadministrativo no está determinada por la modalidad de selección sino, entre otras cosas, de la calidad de las partes que lo suscriben, es decir, debe tratarse de entidades estatales.</w:t>
      </w:r>
    </w:p>
    <w:p w14:paraId="447378BA" w14:textId="77777777" w:rsidR="00046B72" w:rsidRPr="00D0324A" w:rsidRDefault="00046B72" w:rsidP="00046B72">
      <w:pPr>
        <w:pStyle w:val="Prrafodelista"/>
        <w:rPr>
          <w:rFonts w:ascii="Verdana" w:eastAsia="Calibri" w:hAnsi="Verdana" w:cs="Arial"/>
        </w:rPr>
      </w:pPr>
    </w:p>
    <w:p w14:paraId="1CEB5FB9" w14:textId="77777777" w:rsidR="00046B72" w:rsidRPr="00D0324A" w:rsidRDefault="00046B72" w:rsidP="00046B72">
      <w:pPr>
        <w:pStyle w:val="Textoindependiente"/>
        <w:numPr>
          <w:ilvl w:val="0"/>
          <w:numId w:val="18"/>
        </w:numPr>
        <w:spacing w:before="120" w:line="276" w:lineRule="auto"/>
        <w:ind w:left="360"/>
        <w:jc w:val="both"/>
        <w:rPr>
          <w:rFonts w:ascii="Verdana" w:eastAsia="Calibri" w:hAnsi="Verdana" w:cs="Arial"/>
        </w:rPr>
      </w:pPr>
      <w:r w:rsidRPr="00D0324A">
        <w:rPr>
          <w:rFonts w:ascii="Verdana" w:eastAsia="Calibri" w:hAnsi="Verdana" w:cs="Arial"/>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 los contratos interadministrativos y no a los convenios,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0CC4021E" w14:textId="77777777" w:rsidR="00046B72" w:rsidRPr="00D0117C" w:rsidRDefault="00046B72" w:rsidP="00046B72">
      <w:pPr>
        <w:pStyle w:val="Textoindependiente"/>
        <w:numPr>
          <w:ilvl w:val="0"/>
          <w:numId w:val="18"/>
        </w:numPr>
        <w:spacing w:before="122" w:line="276" w:lineRule="auto"/>
        <w:ind w:left="360"/>
        <w:jc w:val="both"/>
        <w:rPr>
          <w:rFonts w:ascii="Verdana" w:eastAsia="Calibri" w:hAnsi="Verdana" w:cs="Arial"/>
        </w:rPr>
      </w:pPr>
      <w:r w:rsidRPr="00D0117C">
        <w:rPr>
          <w:rFonts w:ascii="Verdana" w:eastAsia="Calibri" w:hAnsi="Verdana" w:cs="Arial"/>
        </w:rPr>
        <w:t>Es conveniente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5691FE6E" w14:textId="77777777" w:rsidR="00046B72" w:rsidRDefault="00046B72" w:rsidP="132BC112">
      <w:pPr>
        <w:pStyle w:val="Prrafodelista"/>
        <w:numPr>
          <w:ilvl w:val="0"/>
          <w:numId w:val="18"/>
        </w:numPr>
        <w:spacing w:after="120"/>
        <w:ind w:left="360"/>
        <w:jc w:val="both"/>
        <w:rPr>
          <w:rFonts w:ascii="Verdana" w:eastAsia="Calibri" w:hAnsi="Verdana" w:cs="Arial"/>
        </w:rPr>
      </w:pPr>
      <w:r w:rsidRPr="132BC112">
        <w:rPr>
          <w:rFonts w:ascii="Verdana" w:eastAsia="Calibri" w:hAnsi="Verdana" w:cs="Arial"/>
        </w:rPr>
        <w:t xml:space="preserve">Por tanto, aunque el artículo 95 de la Ley 489 de 1998 dispone que “Las entidades públicas podrán asociarse con el fin de cooperar en el cumplimiento de funciones administrativas o de prestar conjuntamente servicios que se </w:t>
      </w:r>
      <w:r w:rsidRPr="132BC112">
        <w:rPr>
          <w:rFonts w:ascii="Verdana" w:eastAsia="Calibri" w:hAnsi="Verdana" w:cs="Arial"/>
        </w:rPr>
        <w:lastRenderedPageBreak/>
        <w:t>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132BC112">
        <w:rPr>
          <w:rStyle w:val="Refdenotaalpie"/>
          <w:rFonts w:ascii="Verdana" w:eastAsia="Calibri" w:hAnsi="Verdana" w:cs="Arial"/>
        </w:rPr>
        <w:footnoteReference w:id="8"/>
      </w:r>
      <w:r w:rsidRPr="132BC112">
        <w:rPr>
          <w:rFonts w:ascii="Verdana" w:eastAsia="Calibri" w:hAnsi="Verdana" w:cs="Arial"/>
        </w:rPr>
        <w:t>.</w:t>
      </w:r>
    </w:p>
    <w:p w14:paraId="39DAB161" w14:textId="77777777" w:rsidR="00046B72" w:rsidRDefault="00046B72" w:rsidP="00046B72">
      <w:pPr>
        <w:pStyle w:val="Prrafodelista"/>
        <w:spacing w:after="120"/>
        <w:ind w:left="360"/>
        <w:jc w:val="both"/>
        <w:rPr>
          <w:rFonts w:ascii="Verdana" w:eastAsia="Calibri" w:hAnsi="Verdana" w:cs="Arial"/>
          <w:lang w:val="es-CO"/>
        </w:rPr>
      </w:pPr>
    </w:p>
    <w:p w14:paraId="15D3B3E7" w14:textId="77777777" w:rsidR="00046B72" w:rsidRPr="001600F8" w:rsidRDefault="00046B72" w:rsidP="00046B72">
      <w:pPr>
        <w:pStyle w:val="Prrafodelista"/>
        <w:numPr>
          <w:ilvl w:val="0"/>
          <w:numId w:val="18"/>
        </w:numPr>
        <w:ind w:left="360"/>
        <w:jc w:val="both"/>
        <w:rPr>
          <w:rFonts w:ascii="Verdana" w:eastAsia="Calibri" w:hAnsi="Verdana" w:cs="Arial"/>
          <w:lang w:val="es-ES_tradnl"/>
        </w:rPr>
      </w:pPr>
      <w:r w:rsidRPr="00D76686">
        <w:rPr>
          <w:rFonts w:ascii="Verdana" w:eastAsia="Calibri" w:hAnsi="Verdana" w:cs="Arial"/>
          <w:lang w:val="es-CO"/>
        </w:rPr>
        <w:t>El legislador y el ordenamiento jurídico, en general, en distintas ocasiones utiliza de forma indistinta los conceptos de contrato o convenio para referirse a la misma institución jurídica</w:t>
      </w:r>
      <w:r>
        <w:rPr>
          <w:rStyle w:val="Refdenotaalpie"/>
          <w:rFonts w:ascii="Verdana" w:eastAsia="Calibri" w:hAnsi="Verdana" w:cs="Arial"/>
          <w:lang w:val="es-CO"/>
        </w:rPr>
        <w:footnoteReference w:id="9"/>
      </w:r>
      <w:r>
        <w:rPr>
          <w:rFonts w:ascii="Verdana" w:eastAsia="Calibri" w:hAnsi="Verdana" w:cs="Arial"/>
          <w:lang w:val="es-CO"/>
        </w:rPr>
        <w:t xml:space="preserve">. </w:t>
      </w:r>
      <w:r w:rsidRPr="00816FDE">
        <w:rPr>
          <w:rFonts w:ascii="Verdana" w:eastAsia="Calibri" w:hAnsi="Verdana" w:cs="Arial"/>
          <w:lang w:val="es-CO"/>
        </w:rPr>
        <w:t>Incluso vale la pena tener en cuenta como la Corte Constitucional fundamenta la posibilidad de celebrar convenios interadministrativos de forma directa, con fundamento en la causal establecida en la Ley 1150 de 2007 respecto a los contratos interadministrativos</w:t>
      </w:r>
      <w:r>
        <w:rPr>
          <w:rStyle w:val="Refdenotaalpie"/>
          <w:rFonts w:ascii="Verdana" w:eastAsia="Calibri" w:hAnsi="Verdana" w:cs="Arial"/>
          <w:lang w:val="es-CO"/>
        </w:rPr>
        <w:footnoteReference w:id="10"/>
      </w:r>
      <w:r>
        <w:rPr>
          <w:rFonts w:ascii="Verdana" w:eastAsia="Calibri" w:hAnsi="Verdana" w:cs="Arial"/>
          <w:lang w:val="es-CO"/>
        </w:rPr>
        <w:t xml:space="preserve">. </w:t>
      </w:r>
      <w:r w:rsidRPr="00882F5F">
        <w:rPr>
          <w:rFonts w:ascii="Verdana" w:eastAsia="Calibri" w:hAnsi="Verdana" w:cs="Arial"/>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w:t>
      </w:r>
    </w:p>
    <w:p w14:paraId="75A95A57" w14:textId="77777777" w:rsidR="00046B72" w:rsidRPr="001600F8" w:rsidRDefault="00046B72" w:rsidP="00046B72">
      <w:pPr>
        <w:pStyle w:val="Prrafodelista"/>
        <w:rPr>
          <w:rFonts w:ascii="Verdana" w:eastAsia="Calibri" w:hAnsi="Verdana" w:cs="Arial"/>
          <w:lang w:val="es-ES_tradnl"/>
        </w:rPr>
      </w:pPr>
    </w:p>
    <w:p w14:paraId="7CFBA8FF" w14:textId="77777777" w:rsidR="00046B72" w:rsidRPr="00C9524F" w:rsidRDefault="00046B72" w:rsidP="00046B72">
      <w:pPr>
        <w:rPr>
          <w:rFonts w:ascii="Verdana" w:eastAsia="Calibri" w:hAnsi="Verdana" w:cs="Arial"/>
        </w:rPr>
      </w:pPr>
    </w:p>
    <w:p w14:paraId="5D8F4655" w14:textId="77777777" w:rsidR="00046B72" w:rsidRPr="009322DA" w:rsidRDefault="00046B72" w:rsidP="00046B72">
      <w:pPr>
        <w:jc w:val="both"/>
        <w:rPr>
          <w:rFonts w:ascii="Verdana" w:eastAsia="Calibri" w:hAnsi="Verdana" w:cs="Arial"/>
          <w:b/>
          <w:bCs/>
        </w:rPr>
      </w:pPr>
      <w:r w:rsidRPr="009322DA">
        <w:rPr>
          <w:rFonts w:ascii="Verdana" w:eastAsia="Calibri" w:hAnsi="Verdana" w:cs="Arial"/>
          <w:b/>
          <w:bCs/>
        </w:rPr>
        <w:t>4. Referencias 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046B72" w:rsidRPr="009322DA" w14:paraId="48D4000F" w14:textId="77777777" w:rsidTr="001C6D04">
        <w:trPr>
          <w:trHeight w:val="870"/>
        </w:trPr>
        <w:tc>
          <w:tcPr>
            <w:tcW w:w="8647" w:type="dxa"/>
            <w:tcBorders>
              <w:top w:val="dotted" w:sz="4" w:space="0" w:color="auto"/>
              <w:left w:val="dotted" w:sz="4" w:space="0" w:color="auto"/>
              <w:bottom w:val="dotted" w:sz="4" w:space="0" w:color="auto"/>
              <w:right w:val="dotted" w:sz="4" w:space="0" w:color="auto"/>
            </w:tcBorders>
          </w:tcPr>
          <w:p w14:paraId="127DABFA" w14:textId="77777777" w:rsidR="00D905B7" w:rsidRDefault="00D905B7" w:rsidP="00D905B7">
            <w:pPr>
              <w:widowControl w:val="0"/>
              <w:numPr>
                <w:ilvl w:val="0"/>
                <w:numId w:val="17"/>
              </w:numPr>
              <w:autoSpaceDE w:val="0"/>
              <w:autoSpaceDN w:val="0"/>
              <w:spacing w:line="276" w:lineRule="auto"/>
              <w:contextualSpacing/>
              <w:jc w:val="both"/>
              <w:rPr>
                <w:rFonts w:ascii="Verdana" w:hAnsi="Verdana" w:cs="Arial"/>
              </w:rPr>
            </w:pPr>
            <w:r>
              <w:rPr>
                <w:rFonts w:ascii="Verdana" w:hAnsi="Verdana" w:cs="Arial"/>
              </w:rPr>
              <w:t>Ley 2022 de 2020, articulo 1</w:t>
            </w:r>
          </w:p>
          <w:p w14:paraId="7A3B4326" w14:textId="77777777" w:rsidR="00D905B7" w:rsidRDefault="00D905B7" w:rsidP="00D905B7">
            <w:pPr>
              <w:widowControl w:val="0"/>
              <w:autoSpaceDE w:val="0"/>
              <w:autoSpaceDN w:val="0"/>
              <w:spacing w:line="276" w:lineRule="auto"/>
              <w:ind w:left="720"/>
              <w:contextualSpacing/>
              <w:jc w:val="both"/>
              <w:rPr>
                <w:rFonts w:ascii="Verdana" w:hAnsi="Verdana" w:cs="Arial"/>
              </w:rPr>
            </w:pPr>
          </w:p>
          <w:p w14:paraId="4E8C04E3" w14:textId="77777777" w:rsidR="00D905B7" w:rsidRDefault="00D905B7" w:rsidP="00D905B7">
            <w:pPr>
              <w:widowControl w:val="0"/>
              <w:numPr>
                <w:ilvl w:val="0"/>
                <w:numId w:val="17"/>
              </w:numPr>
              <w:autoSpaceDE w:val="0"/>
              <w:autoSpaceDN w:val="0"/>
              <w:spacing w:line="276" w:lineRule="auto"/>
              <w:contextualSpacing/>
              <w:jc w:val="both"/>
              <w:rPr>
                <w:rFonts w:ascii="Verdana" w:hAnsi="Verdana" w:cs="Arial"/>
              </w:rPr>
            </w:pPr>
            <w:r>
              <w:rPr>
                <w:rFonts w:ascii="Verdana" w:hAnsi="Verdana" w:cs="Arial"/>
              </w:rPr>
              <w:t>Decreto 1082 de 2015, articulo 2.2.1.2.1.4.4</w:t>
            </w:r>
          </w:p>
          <w:p w14:paraId="6CA44A82" w14:textId="77777777" w:rsidR="00D905B7" w:rsidRDefault="00D905B7" w:rsidP="00D905B7">
            <w:pPr>
              <w:widowControl w:val="0"/>
              <w:autoSpaceDE w:val="0"/>
              <w:autoSpaceDN w:val="0"/>
              <w:spacing w:line="276" w:lineRule="auto"/>
              <w:contextualSpacing/>
              <w:jc w:val="both"/>
              <w:rPr>
                <w:rFonts w:ascii="Verdana" w:hAnsi="Verdana" w:cs="Arial"/>
              </w:rPr>
            </w:pPr>
          </w:p>
          <w:p w14:paraId="75CB5974" w14:textId="77777777" w:rsidR="00D905B7" w:rsidRDefault="00D905B7" w:rsidP="00D905B7">
            <w:pPr>
              <w:widowControl w:val="0"/>
              <w:numPr>
                <w:ilvl w:val="0"/>
                <w:numId w:val="17"/>
              </w:numPr>
              <w:autoSpaceDE w:val="0"/>
              <w:autoSpaceDN w:val="0"/>
              <w:spacing w:line="276" w:lineRule="auto"/>
              <w:contextualSpacing/>
              <w:jc w:val="both"/>
              <w:rPr>
                <w:rFonts w:ascii="Verdana" w:hAnsi="Verdana" w:cs="Arial"/>
              </w:rPr>
            </w:pPr>
            <w:r>
              <w:rPr>
                <w:rFonts w:ascii="Verdana" w:hAnsi="Verdana" w:cs="Arial"/>
              </w:rPr>
              <w:t>Ley 1150 de 2007</w:t>
            </w:r>
          </w:p>
          <w:p w14:paraId="1533BDA4" w14:textId="77777777" w:rsidR="00D905B7" w:rsidRDefault="00D905B7" w:rsidP="00D905B7">
            <w:pPr>
              <w:widowControl w:val="0"/>
              <w:autoSpaceDE w:val="0"/>
              <w:autoSpaceDN w:val="0"/>
              <w:spacing w:line="276" w:lineRule="auto"/>
              <w:contextualSpacing/>
              <w:jc w:val="both"/>
              <w:rPr>
                <w:rFonts w:ascii="Verdana" w:hAnsi="Verdana" w:cs="Arial"/>
              </w:rPr>
            </w:pPr>
          </w:p>
          <w:p w14:paraId="7CFEF1D9" w14:textId="77777777" w:rsidR="00D905B7" w:rsidRDefault="00D905B7" w:rsidP="00D905B7">
            <w:pPr>
              <w:widowControl w:val="0"/>
              <w:numPr>
                <w:ilvl w:val="0"/>
                <w:numId w:val="17"/>
              </w:numPr>
              <w:autoSpaceDE w:val="0"/>
              <w:autoSpaceDN w:val="0"/>
              <w:spacing w:line="276" w:lineRule="auto"/>
              <w:contextualSpacing/>
              <w:jc w:val="both"/>
              <w:rPr>
                <w:rFonts w:ascii="Verdana" w:hAnsi="Verdana" w:cs="Arial"/>
              </w:rPr>
            </w:pPr>
            <w:r>
              <w:rPr>
                <w:rFonts w:ascii="Verdana" w:hAnsi="Verdana" w:cs="Arial"/>
              </w:rPr>
              <w:lastRenderedPageBreak/>
              <w:t>Ley 2195 de 2022, articulo 56</w:t>
            </w:r>
          </w:p>
          <w:p w14:paraId="5B9117A7" w14:textId="77777777" w:rsidR="00D905B7" w:rsidRDefault="00D905B7" w:rsidP="00D905B7">
            <w:pPr>
              <w:widowControl w:val="0"/>
              <w:autoSpaceDE w:val="0"/>
              <w:autoSpaceDN w:val="0"/>
              <w:spacing w:line="276" w:lineRule="auto"/>
              <w:contextualSpacing/>
              <w:jc w:val="both"/>
              <w:rPr>
                <w:rFonts w:ascii="Verdana" w:hAnsi="Verdana" w:cs="Arial"/>
              </w:rPr>
            </w:pPr>
          </w:p>
          <w:p w14:paraId="68454B64" w14:textId="77777777" w:rsidR="00D905B7" w:rsidRDefault="00D905B7" w:rsidP="00D905B7">
            <w:pPr>
              <w:widowControl w:val="0"/>
              <w:numPr>
                <w:ilvl w:val="0"/>
                <w:numId w:val="17"/>
              </w:numPr>
              <w:autoSpaceDE w:val="0"/>
              <w:autoSpaceDN w:val="0"/>
              <w:spacing w:line="276" w:lineRule="auto"/>
              <w:contextualSpacing/>
              <w:jc w:val="both"/>
              <w:rPr>
                <w:rFonts w:ascii="Verdana" w:hAnsi="Verdana" w:cs="Arial"/>
              </w:rPr>
            </w:pPr>
            <w:r>
              <w:rPr>
                <w:rFonts w:ascii="Verdana" w:hAnsi="Verdana" w:cs="Arial"/>
              </w:rPr>
              <w:t xml:space="preserve">Ley 489 de 1998, articulo 95 </w:t>
            </w:r>
          </w:p>
          <w:p w14:paraId="456A207B" w14:textId="77777777" w:rsidR="00D905B7" w:rsidRDefault="00D905B7" w:rsidP="00D905B7">
            <w:pPr>
              <w:widowControl w:val="0"/>
              <w:autoSpaceDE w:val="0"/>
              <w:autoSpaceDN w:val="0"/>
              <w:spacing w:line="276" w:lineRule="auto"/>
              <w:contextualSpacing/>
              <w:jc w:val="both"/>
              <w:rPr>
                <w:rFonts w:ascii="Verdana" w:hAnsi="Verdana" w:cs="Arial"/>
              </w:rPr>
            </w:pPr>
          </w:p>
          <w:p w14:paraId="2D0F8E54" w14:textId="136CF0C5" w:rsidR="00046B72" w:rsidRPr="00775458" w:rsidRDefault="00D905B7" w:rsidP="00D905B7">
            <w:pPr>
              <w:widowControl w:val="0"/>
              <w:numPr>
                <w:ilvl w:val="0"/>
                <w:numId w:val="17"/>
              </w:numPr>
              <w:autoSpaceDE w:val="0"/>
              <w:autoSpaceDN w:val="0"/>
              <w:spacing w:line="276" w:lineRule="auto"/>
              <w:contextualSpacing/>
              <w:jc w:val="both"/>
              <w:rPr>
                <w:rFonts w:ascii="Verdana" w:hAnsi="Verdana" w:cs="Arial"/>
              </w:rPr>
            </w:pPr>
            <w:r w:rsidRPr="00775458">
              <w:rPr>
                <w:rFonts w:ascii="Verdana" w:hAnsi="Verdana" w:cs="Arial"/>
              </w:rPr>
              <w:t>Jurisprudencia del Consejo de Estado. Disponible en: https://relatoria.colombiacompra.gov.co/providencias-consejo-de-estado/</w:t>
            </w:r>
          </w:p>
        </w:tc>
      </w:tr>
    </w:tbl>
    <w:p w14:paraId="08132D99" w14:textId="77777777" w:rsidR="00046B72" w:rsidRPr="009322DA" w:rsidRDefault="00046B72" w:rsidP="00046B72">
      <w:pPr>
        <w:tabs>
          <w:tab w:val="left" w:pos="142"/>
          <w:tab w:val="left" w:pos="284"/>
        </w:tabs>
        <w:spacing w:after="0" w:line="276" w:lineRule="auto"/>
        <w:jc w:val="both"/>
        <w:rPr>
          <w:rFonts w:ascii="Verdana" w:eastAsia="Calibri" w:hAnsi="Verdana" w:cs="Arial"/>
        </w:rPr>
      </w:pPr>
    </w:p>
    <w:p w14:paraId="62C8FA81" w14:textId="77777777" w:rsidR="00046B72" w:rsidRPr="009322DA" w:rsidRDefault="00046B72" w:rsidP="00046B72">
      <w:pPr>
        <w:tabs>
          <w:tab w:val="left" w:pos="142"/>
          <w:tab w:val="left" w:pos="284"/>
        </w:tabs>
        <w:spacing w:after="0" w:line="276" w:lineRule="auto"/>
        <w:jc w:val="both"/>
        <w:rPr>
          <w:rFonts w:ascii="Verdana" w:eastAsia="Century Gothic" w:hAnsi="Verdana" w:cs="Century Gothic"/>
          <w:b/>
          <w:bCs/>
          <w:lang w:val="es-ES"/>
        </w:rPr>
      </w:pPr>
      <w:r w:rsidRPr="009322DA">
        <w:rPr>
          <w:rFonts w:ascii="Verdana" w:eastAsia="Calibri" w:hAnsi="Verdana" w:cs="Arial"/>
        </w:rPr>
        <w:t>5.</w:t>
      </w:r>
      <w:r w:rsidRPr="009322DA">
        <w:rPr>
          <w:rFonts w:ascii="Verdana" w:eastAsia="Century Gothic" w:hAnsi="Verdana" w:cs="Century Gothic"/>
          <w:b/>
          <w:bCs/>
          <w:lang w:val="es-ES"/>
        </w:rPr>
        <w:t>Doctrina de la Agencia Nacional de Contratación Pública:</w:t>
      </w:r>
    </w:p>
    <w:p w14:paraId="533F2258" w14:textId="77777777" w:rsidR="00046B72" w:rsidRPr="009322DA" w:rsidRDefault="00046B72" w:rsidP="00046B72">
      <w:pPr>
        <w:widowControl w:val="0"/>
        <w:autoSpaceDE w:val="0"/>
        <w:autoSpaceDN w:val="0"/>
        <w:spacing w:after="0" w:line="276" w:lineRule="auto"/>
        <w:jc w:val="both"/>
        <w:rPr>
          <w:rFonts w:ascii="Verdana" w:eastAsia="Calibri" w:hAnsi="Verdana" w:cs="Arial"/>
        </w:rPr>
      </w:pPr>
    </w:p>
    <w:p w14:paraId="381570FF" w14:textId="4DBF43A2" w:rsidR="00046B72" w:rsidRPr="00922E08" w:rsidRDefault="00046B72" w:rsidP="00046B72">
      <w:pPr>
        <w:widowControl w:val="0"/>
        <w:autoSpaceDE w:val="0"/>
        <w:autoSpaceDN w:val="0"/>
        <w:spacing w:after="0" w:line="276" w:lineRule="auto"/>
        <w:jc w:val="both"/>
        <w:rPr>
          <w:rFonts w:ascii="Verdana" w:eastAsia="Calibri" w:hAnsi="Verdana" w:cs="Arial"/>
          <w:shd w:val="clear" w:color="auto" w:fill="FFFFFF"/>
          <w:lang w:val="es-ES"/>
        </w:rPr>
      </w:pPr>
      <w:r w:rsidRPr="00F5199A">
        <w:rPr>
          <w:rFonts w:ascii="Verdana" w:eastAsia="Calibri" w:hAnsi="Verdana" w:cs="Arial"/>
          <w:shd w:val="clear" w:color="auto" w:fill="FFFFFF"/>
          <w:lang w:val="es-ES"/>
        </w:rPr>
        <w:t xml:space="preserve">La Agencia Nacional de Contratación Pública – Colombia Compra Eficiente analizó el fundamento normativo de los documentos tipo en la contratación estatal, entre otros, en los siguientes conceptos: </w:t>
      </w:r>
      <w:r w:rsidRPr="00BC592A">
        <w:rPr>
          <w:rFonts w:ascii="Verdana" w:eastAsia="Calibri" w:hAnsi="Verdana" w:cs="Arial"/>
          <w:shd w:val="clear" w:color="auto" w:fill="FFFFFF"/>
          <w:lang w:val="es-ES"/>
        </w:rPr>
        <w:t>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w:t>
      </w:r>
      <w:r>
        <w:rPr>
          <w:rFonts w:ascii="Verdana" w:eastAsia="Calibri" w:hAnsi="Verdana" w:cs="Arial"/>
          <w:shd w:val="clear" w:color="auto" w:fill="FFFFFF"/>
          <w:lang w:val="es-ES"/>
        </w:rPr>
        <w:t xml:space="preserve">, por otra parte se refirió a los contratos o convenios administrativos en los conceptos: </w:t>
      </w:r>
      <w:r w:rsidRPr="00B1490A">
        <w:rPr>
          <w:rFonts w:ascii="Verdana" w:eastAsia="Calibri" w:hAnsi="Verdana" w:cs="Arial"/>
          <w:shd w:val="clear" w:color="auto" w:fill="FFFFFF"/>
        </w:rPr>
        <w:t xml:space="preserve">C−023 del 3 de febrero de 2020, C−702 del 11 de diciembre de 2020, C-097 de 23 de marzo de 2021, C-350 del 16 de julio de 2021, C-355 del 27 de julio de 2021, C-012 del 18 de febrero de 2022, </w:t>
      </w:r>
      <w:r w:rsidRPr="00B1490A">
        <w:rPr>
          <w:rFonts w:ascii="Verdana" w:eastAsia="Calibri" w:hAnsi="Verdana" w:cs="Arial"/>
          <w:shd w:val="clear" w:color="auto" w:fill="FFFFFF"/>
          <w:lang w:val="pt-BR"/>
        </w:rPr>
        <w:t>C</w:t>
      </w:r>
      <w:r w:rsidRPr="00B1490A">
        <w:rPr>
          <w:rFonts w:ascii="Verdana" w:eastAsia="Calibri" w:hAnsi="Verdana" w:cs="Arial"/>
          <w:shd w:val="clear" w:color="auto" w:fill="FFFFFF"/>
          <w:lang w:val="es-ES_tradnl"/>
        </w:rPr>
        <w:t xml:space="preserve"> – </w:t>
      </w:r>
      <w:r w:rsidRPr="00B1490A">
        <w:rPr>
          <w:rFonts w:ascii="Verdana" w:eastAsia="Calibri" w:hAnsi="Verdana" w:cs="Arial"/>
          <w:shd w:val="clear" w:color="auto" w:fill="FFFFFF"/>
          <w:lang w:val="pt-BR"/>
        </w:rPr>
        <w:t xml:space="preserve">107 del 18 de </w:t>
      </w:r>
      <w:proofErr w:type="spellStart"/>
      <w:r w:rsidRPr="00B1490A">
        <w:rPr>
          <w:rFonts w:ascii="Verdana" w:eastAsia="Calibri" w:hAnsi="Verdana" w:cs="Arial"/>
          <w:shd w:val="clear" w:color="auto" w:fill="FFFFFF"/>
          <w:lang w:val="pt-BR"/>
        </w:rPr>
        <w:t>marzo</w:t>
      </w:r>
      <w:proofErr w:type="spellEnd"/>
      <w:r w:rsidRPr="00B1490A">
        <w:rPr>
          <w:rFonts w:ascii="Verdana" w:eastAsia="Calibri" w:hAnsi="Verdana" w:cs="Arial"/>
          <w:shd w:val="clear" w:color="auto" w:fill="FFFFFF"/>
          <w:lang w:val="pt-BR"/>
        </w:rPr>
        <w:t xml:space="preserve"> de 2022</w:t>
      </w:r>
      <w:r>
        <w:rPr>
          <w:rFonts w:ascii="Verdana" w:eastAsia="Calibri" w:hAnsi="Verdana" w:cs="Arial"/>
          <w:shd w:val="clear" w:color="auto" w:fill="FFFFFF"/>
          <w:lang w:val="pt-BR"/>
        </w:rPr>
        <w:t xml:space="preserve">, </w:t>
      </w:r>
      <w:r w:rsidRPr="00B1490A">
        <w:rPr>
          <w:rFonts w:ascii="Verdana" w:eastAsia="Calibri" w:hAnsi="Verdana" w:cs="Arial"/>
          <w:shd w:val="clear" w:color="auto" w:fill="FFFFFF"/>
          <w:lang w:val="pt-BR"/>
        </w:rPr>
        <w:t>C</w:t>
      </w:r>
      <w:r w:rsidRPr="00B1490A">
        <w:rPr>
          <w:rFonts w:ascii="Verdana" w:eastAsia="Calibri" w:hAnsi="Verdana" w:cs="Arial"/>
          <w:shd w:val="clear" w:color="auto" w:fill="FFFFFF"/>
          <w:lang w:val="es-ES_tradnl"/>
        </w:rPr>
        <w:t xml:space="preserve"> – </w:t>
      </w:r>
      <w:r w:rsidRPr="00B1490A">
        <w:rPr>
          <w:rFonts w:ascii="Verdana" w:eastAsia="Calibri" w:hAnsi="Verdana" w:cs="Arial"/>
          <w:shd w:val="clear" w:color="auto" w:fill="FFFFFF"/>
          <w:lang w:val="pt-BR"/>
        </w:rPr>
        <w:t xml:space="preserve">264 del 12 de </w:t>
      </w:r>
      <w:proofErr w:type="spellStart"/>
      <w:r w:rsidRPr="00B1490A">
        <w:rPr>
          <w:rFonts w:ascii="Verdana" w:eastAsia="Calibri" w:hAnsi="Verdana" w:cs="Arial"/>
          <w:shd w:val="clear" w:color="auto" w:fill="FFFFFF"/>
          <w:lang w:val="pt-BR"/>
        </w:rPr>
        <w:t>mayo</w:t>
      </w:r>
      <w:proofErr w:type="spellEnd"/>
      <w:r w:rsidRPr="00B1490A">
        <w:rPr>
          <w:rFonts w:ascii="Verdana" w:eastAsia="Calibri" w:hAnsi="Verdana" w:cs="Arial"/>
          <w:shd w:val="clear" w:color="auto" w:fill="FFFFFF"/>
          <w:lang w:val="pt-BR"/>
        </w:rPr>
        <w:t xml:space="preserve"> de 2022</w:t>
      </w:r>
      <w:r>
        <w:rPr>
          <w:rFonts w:ascii="Verdana" w:eastAsia="Calibri" w:hAnsi="Verdana" w:cs="Arial"/>
          <w:shd w:val="clear" w:color="auto" w:fill="FFFFFF"/>
          <w:lang w:val="pt-BR"/>
        </w:rPr>
        <w:t xml:space="preserve">, C- 233 del 25 de </w:t>
      </w:r>
      <w:proofErr w:type="spellStart"/>
      <w:r>
        <w:rPr>
          <w:rFonts w:ascii="Verdana" w:eastAsia="Calibri" w:hAnsi="Verdana" w:cs="Arial"/>
          <w:shd w:val="clear" w:color="auto" w:fill="FFFFFF"/>
          <w:lang w:val="pt-BR"/>
        </w:rPr>
        <w:t>julio</w:t>
      </w:r>
      <w:proofErr w:type="spellEnd"/>
      <w:r>
        <w:rPr>
          <w:rFonts w:ascii="Verdana" w:eastAsia="Calibri" w:hAnsi="Verdana" w:cs="Arial"/>
          <w:shd w:val="clear" w:color="auto" w:fill="FFFFFF"/>
          <w:lang w:val="pt-BR"/>
        </w:rPr>
        <w:t xml:space="preserve"> de 2023, C- 228 del 21 de </w:t>
      </w:r>
      <w:proofErr w:type="spellStart"/>
      <w:r>
        <w:rPr>
          <w:rFonts w:ascii="Verdana" w:eastAsia="Calibri" w:hAnsi="Verdana" w:cs="Arial"/>
          <w:shd w:val="clear" w:color="auto" w:fill="FFFFFF"/>
          <w:lang w:val="pt-BR"/>
        </w:rPr>
        <w:t>septiembre</w:t>
      </w:r>
      <w:proofErr w:type="spellEnd"/>
      <w:r>
        <w:rPr>
          <w:rFonts w:ascii="Verdana" w:eastAsia="Calibri" w:hAnsi="Verdana" w:cs="Arial"/>
          <w:shd w:val="clear" w:color="auto" w:fill="FFFFFF"/>
          <w:lang w:val="pt-BR"/>
        </w:rPr>
        <w:t xml:space="preserve"> de 2023,  C- 427 del 27 de </w:t>
      </w:r>
      <w:proofErr w:type="spellStart"/>
      <w:r>
        <w:rPr>
          <w:rFonts w:ascii="Verdana" w:eastAsia="Calibri" w:hAnsi="Verdana" w:cs="Arial"/>
          <w:shd w:val="clear" w:color="auto" w:fill="FFFFFF"/>
          <w:lang w:val="pt-BR"/>
        </w:rPr>
        <w:t>noviembre</w:t>
      </w:r>
      <w:proofErr w:type="spellEnd"/>
      <w:r>
        <w:rPr>
          <w:rFonts w:ascii="Verdana" w:eastAsia="Calibri" w:hAnsi="Verdana" w:cs="Arial"/>
          <w:shd w:val="clear" w:color="auto" w:fill="FFFFFF"/>
          <w:lang w:val="pt-BR"/>
        </w:rPr>
        <w:t xml:space="preserve"> de 2023,  C- 097 del 28 de </w:t>
      </w:r>
      <w:proofErr w:type="spellStart"/>
      <w:r>
        <w:rPr>
          <w:rFonts w:ascii="Verdana" w:eastAsia="Calibri" w:hAnsi="Verdana" w:cs="Arial"/>
          <w:shd w:val="clear" w:color="auto" w:fill="FFFFFF"/>
          <w:lang w:val="pt-BR"/>
        </w:rPr>
        <w:t>junio</w:t>
      </w:r>
      <w:proofErr w:type="spellEnd"/>
      <w:r>
        <w:rPr>
          <w:rFonts w:ascii="Verdana" w:eastAsia="Calibri" w:hAnsi="Verdana" w:cs="Arial"/>
          <w:shd w:val="clear" w:color="auto" w:fill="FFFFFF"/>
          <w:lang w:val="pt-BR"/>
        </w:rPr>
        <w:t xml:space="preserve"> de 2024, C- 183 del 29 de </w:t>
      </w:r>
      <w:proofErr w:type="spellStart"/>
      <w:r>
        <w:rPr>
          <w:rFonts w:ascii="Verdana" w:eastAsia="Calibri" w:hAnsi="Verdana" w:cs="Arial"/>
          <w:shd w:val="clear" w:color="auto" w:fill="FFFFFF"/>
          <w:lang w:val="pt-BR"/>
        </w:rPr>
        <w:t>julio</w:t>
      </w:r>
      <w:proofErr w:type="spellEnd"/>
      <w:r>
        <w:rPr>
          <w:rFonts w:ascii="Verdana" w:eastAsia="Calibri" w:hAnsi="Verdana" w:cs="Arial"/>
          <w:shd w:val="clear" w:color="auto" w:fill="FFFFFF"/>
          <w:lang w:val="pt-BR"/>
        </w:rPr>
        <w:t xml:space="preserve"> de 2024, C- 350 del 29 de agosto de 2024, C- 384 del 06 de </w:t>
      </w:r>
      <w:proofErr w:type="spellStart"/>
      <w:r>
        <w:rPr>
          <w:rFonts w:ascii="Verdana" w:eastAsia="Calibri" w:hAnsi="Verdana" w:cs="Arial"/>
          <w:shd w:val="clear" w:color="auto" w:fill="FFFFFF"/>
          <w:lang w:val="pt-BR"/>
        </w:rPr>
        <w:t>septiembre</w:t>
      </w:r>
      <w:proofErr w:type="spellEnd"/>
      <w:r>
        <w:rPr>
          <w:rFonts w:ascii="Verdana" w:eastAsia="Calibri" w:hAnsi="Verdana" w:cs="Arial"/>
          <w:shd w:val="clear" w:color="auto" w:fill="FFFFFF"/>
          <w:lang w:val="pt-BR"/>
        </w:rPr>
        <w:t xml:space="preserve"> de 2024, C- 444 del 18 de </w:t>
      </w:r>
      <w:proofErr w:type="spellStart"/>
      <w:r>
        <w:rPr>
          <w:rFonts w:ascii="Verdana" w:eastAsia="Calibri" w:hAnsi="Verdana" w:cs="Arial"/>
          <w:shd w:val="clear" w:color="auto" w:fill="FFFFFF"/>
          <w:lang w:val="pt-BR"/>
        </w:rPr>
        <w:t>septiembre</w:t>
      </w:r>
      <w:proofErr w:type="spellEnd"/>
      <w:r>
        <w:rPr>
          <w:rFonts w:ascii="Verdana" w:eastAsia="Calibri" w:hAnsi="Verdana" w:cs="Arial"/>
          <w:shd w:val="clear" w:color="auto" w:fill="FFFFFF"/>
          <w:lang w:val="pt-BR"/>
        </w:rPr>
        <w:t xml:space="preserve"> de 2024 y  C- 538 del 09 de </w:t>
      </w:r>
      <w:proofErr w:type="spellStart"/>
      <w:r>
        <w:rPr>
          <w:rFonts w:ascii="Verdana" w:eastAsia="Calibri" w:hAnsi="Verdana" w:cs="Arial"/>
          <w:shd w:val="clear" w:color="auto" w:fill="FFFFFF"/>
          <w:lang w:val="pt-BR"/>
        </w:rPr>
        <w:t>octubre</w:t>
      </w:r>
      <w:proofErr w:type="spellEnd"/>
      <w:r>
        <w:rPr>
          <w:rFonts w:ascii="Verdana" w:eastAsia="Calibri" w:hAnsi="Verdana" w:cs="Arial"/>
          <w:shd w:val="clear" w:color="auto" w:fill="FFFFFF"/>
          <w:lang w:val="pt-BR"/>
        </w:rPr>
        <w:t xml:space="preserve"> de 2024</w:t>
      </w:r>
      <w:r w:rsidR="00AC5226">
        <w:rPr>
          <w:rFonts w:ascii="Verdana" w:eastAsia="Calibri" w:hAnsi="Verdana" w:cs="Arial"/>
          <w:shd w:val="clear" w:color="auto" w:fill="FFFFFF"/>
          <w:lang w:val="pt-BR"/>
        </w:rPr>
        <w:t>.</w:t>
      </w:r>
    </w:p>
    <w:p w14:paraId="299CB71D" w14:textId="77777777" w:rsidR="00046B72" w:rsidRDefault="00046B72" w:rsidP="00046B72">
      <w:pPr>
        <w:spacing w:after="0" w:line="240" w:lineRule="auto"/>
        <w:jc w:val="both"/>
        <w:rPr>
          <w:rFonts w:ascii="Verdana" w:eastAsia="Calibri" w:hAnsi="Verdana" w:cs="Arial"/>
          <w:color w:val="000000" w:themeColor="text1"/>
          <w:shd w:val="clear" w:color="auto" w:fill="FFFFFF"/>
        </w:rPr>
      </w:pPr>
      <w:r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Pr>
          <w:rFonts w:ascii="Verdana" w:eastAsia="Calibri" w:hAnsi="Verdana" w:cs="Arial"/>
          <w:color w:val="000000" w:themeColor="text1"/>
          <w:shd w:val="clear" w:color="auto" w:fill="FFFFFF"/>
        </w:rPr>
        <w:t xml:space="preserve"> </w:t>
      </w:r>
    </w:p>
    <w:p w14:paraId="7C298A28" w14:textId="77777777" w:rsidR="00046B72" w:rsidRDefault="00046B72" w:rsidP="00046B72">
      <w:pPr>
        <w:spacing w:after="0" w:line="240" w:lineRule="auto"/>
        <w:jc w:val="both"/>
        <w:rPr>
          <w:rFonts w:ascii="Verdana" w:eastAsia="Calibri" w:hAnsi="Verdana" w:cs="Arial"/>
          <w:color w:val="000000" w:themeColor="text1"/>
          <w:shd w:val="clear" w:color="auto" w:fill="FFFFFF"/>
        </w:rPr>
      </w:pPr>
    </w:p>
    <w:p w14:paraId="60A60A54" w14:textId="77777777" w:rsidR="00046B72" w:rsidRPr="0055530F" w:rsidRDefault="00046B72" w:rsidP="00046B72">
      <w:pPr>
        <w:spacing w:after="0" w:line="240" w:lineRule="auto"/>
        <w:jc w:val="both"/>
        <w:rPr>
          <w:rFonts w:ascii="Verdana" w:hAnsi="Verdana" w:cs="Arial"/>
          <w:color w:val="000000" w:themeColor="text1"/>
          <w:shd w:val="clear" w:color="auto" w:fill="FFFFFF"/>
        </w:rPr>
      </w:pPr>
      <w:r w:rsidRPr="0055530F">
        <w:rPr>
          <w:rFonts w:ascii="Verdana" w:hAnsi="Verdana" w:cs="Arial"/>
          <w:color w:val="000000" w:themeColor="text1"/>
          <w:shd w:val="clear" w:color="auto" w:fill="FFFFFF"/>
        </w:rPr>
        <w:lastRenderedPageBreak/>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4" w:tgtFrame="_blank" w:tooltip="Dirección URL original: https://www.colombiacompra.gov.co/sala-de-prensa/boletin-digital/boletin-de-relatoria-2024-iv. Haga clic o pulse si confía en este vínculo." w:history="1">
        <w:r w:rsidRPr="0055530F">
          <w:rPr>
            <w:rStyle w:val="Hipervnculo"/>
            <w:rFonts w:ascii="Verdana" w:hAnsi="Verdana" w:cs="Arial"/>
            <w:shd w:val="clear" w:color="auto" w:fill="FFFFFF"/>
          </w:rPr>
          <w:t>BOLETÍN DE RELATORÍA 2024 – IV | Colombia Compra Eficiente | Agencia Nacional de Contratación Pública</w:t>
        </w:r>
      </w:hyperlink>
    </w:p>
    <w:p w14:paraId="5CE724A3" w14:textId="77777777" w:rsidR="00046B72" w:rsidRPr="008328CE" w:rsidRDefault="00046B72" w:rsidP="00046B72">
      <w:pPr>
        <w:spacing w:after="0" w:line="240" w:lineRule="auto"/>
        <w:jc w:val="both"/>
        <w:rPr>
          <w:rFonts w:ascii="Verdana" w:eastAsia="Calibri" w:hAnsi="Verdana" w:cs="Arial"/>
          <w:color w:val="000000" w:themeColor="text1"/>
          <w:shd w:val="clear" w:color="auto" w:fill="FFFFFF"/>
        </w:rPr>
      </w:pPr>
    </w:p>
    <w:p w14:paraId="2A755F2D" w14:textId="77777777" w:rsidR="00046B72" w:rsidRPr="009322DA" w:rsidRDefault="00046B72" w:rsidP="00046B72">
      <w:pPr>
        <w:spacing w:after="0" w:line="240" w:lineRule="auto"/>
        <w:jc w:val="both"/>
        <w:rPr>
          <w:rFonts w:ascii="Verdana" w:eastAsia="Calibri" w:hAnsi="Verdana" w:cs="Arial"/>
          <w:color w:val="FF0000"/>
          <w:shd w:val="clear" w:color="auto" w:fill="FFFFFF"/>
        </w:rPr>
      </w:pPr>
    </w:p>
    <w:p w14:paraId="73D112A4" w14:textId="77777777" w:rsidR="00046B72" w:rsidRPr="009322DA" w:rsidRDefault="00046B72" w:rsidP="00046B72">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36C520DA" w14:textId="77777777" w:rsidR="00046B72" w:rsidRPr="0044528D" w:rsidRDefault="00046B72" w:rsidP="00046B72">
      <w:pPr>
        <w:spacing w:after="0" w:line="240" w:lineRule="auto"/>
        <w:jc w:val="both"/>
        <w:rPr>
          <w:rFonts w:ascii="Verdana" w:hAnsi="Verdana"/>
        </w:rPr>
      </w:pPr>
    </w:p>
    <w:p w14:paraId="438A2E07" w14:textId="77777777" w:rsidR="00046B72" w:rsidRPr="0044528D" w:rsidRDefault="00046B72" w:rsidP="00046B72">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27148C6D" w14:textId="77777777" w:rsidR="00046B72" w:rsidRPr="0044528D" w:rsidRDefault="00046B72" w:rsidP="00046B72">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5A5BE8D2" w14:textId="77777777" w:rsidR="00046B72" w:rsidRPr="0044528D" w:rsidRDefault="00046B72" w:rsidP="00046B72">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12FF951C" w14:textId="77777777" w:rsidR="00046B72" w:rsidRPr="0044528D" w:rsidRDefault="00046B72" w:rsidP="00046B72">
      <w:pPr>
        <w:widowControl w:val="0"/>
        <w:autoSpaceDE w:val="0"/>
        <w:autoSpaceDN w:val="0"/>
        <w:spacing w:after="0" w:line="276" w:lineRule="auto"/>
        <w:jc w:val="both"/>
        <w:rPr>
          <w:rFonts w:ascii="Verdana" w:hAnsi="Verdana"/>
        </w:rPr>
      </w:pPr>
    </w:p>
    <w:p w14:paraId="72081E52" w14:textId="77777777" w:rsidR="00046B72" w:rsidRPr="009322DA" w:rsidRDefault="00046B72" w:rsidP="00046B72">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3C80371C" w14:textId="77777777" w:rsidR="00046B72" w:rsidRPr="009322DA" w:rsidRDefault="00046B72" w:rsidP="00046B72">
      <w:pPr>
        <w:widowControl w:val="0"/>
        <w:autoSpaceDE w:val="0"/>
        <w:autoSpaceDN w:val="0"/>
        <w:spacing w:after="0" w:line="276" w:lineRule="auto"/>
        <w:jc w:val="both"/>
        <w:rPr>
          <w:rFonts w:ascii="Verdana" w:eastAsia="Calibri" w:hAnsi="Verdana" w:cs="Arial"/>
        </w:rPr>
      </w:pPr>
    </w:p>
    <w:p w14:paraId="1DCF08D0" w14:textId="77777777" w:rsidR="00046B72" w:rsidRPr="009322DA" w:rsidRDefault="00046B72" w:rsidP="00046B72">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2A91CCA9" w14:textId="77777777" w:rsidR="00046B72" w:rsidRDefault="00046B72" w:rsidP="00046B72">
      <w:pPr>
        <w:spacing w:line="276" w:lineRule="auto"/>
        <w:jc w:val="center"/>
        <w:rPr>
          <w:rFonts w:ascii="Century Gothic" w:hAnsi="Century Gothic"/>
          <w:noProof/>
        </w:rPr>
      </w:pPr>
    </w:p>
    <w:p w14:paraId="3665329B" w14:textId="77777777" w:rsidR="00046B72" w:rsidRDefault="00046B72" w:rsidP="00046B72">
      <w:pPr>
        <w:spacing w:line="276" w:lineRule="auto"/>
        <w:jc w:val="center"/>
        <w:rPr>
          <w:rFonts w:ascii="Century Gothic" w:hAnsi="Century Gothic"/>
          <w:noProof/>
          <w:color w:val="000000"/>
        </w:rPr>
      </w:pPr>
    </w:p>
    <w:p w14:paraId="63533B86" w14:textId="77777777" w:rsidR="00046B72" w:rsidRDefault="00046B72" w:rsidP="00046B72">
      <w:pPr>
        <w:spacing w:line="276" w:lineRule="auto"/>
        <w:jc w:val="center"/>
        <w:rPr>
          <w:rFonts w:ascii="Century Gothic" w:hAnsi="Century Gothic"/>
          <w:noProof/>
          <w:color w:val="000000"/>
        </w:rPr>
      </w:pPr>
    </w:p>
    <w:p w14:paraId="0B1F6E02" w14:textId="6150D327" w:rsidR="00046B72" w:rsidRPr="009322DA" w:rsidRDefault="006A4472" w:rsidP="00046B72">
      <w:pPr>
        <w:spacing w:line="276" w:lineRule="auto"/>
        <w:jc w:val="center"/>
        <w:rPr>
          <w:rFonts w:ascii="Verdana" w:eastAsia="Calibri" w:hAnsi="Verdana" w:cs="Arial"/>
          <w:color w:val="000000"/>
          <w:lang w:val="es-ES_tradnl" w:eastAsia="es-CO"/>
        </w:rPr>
      </w:pPr>
      <w:r w:rsidRPr="002C3AD6">
        <w:rPr>
          <w:rFonts w:ascii="Century Gothic" w:hAnsi="Century Gothic"/>
          <w:noProof/>
        </w:rPr>
        <w:drawing>
          <wp:inline distT="0" distB="0" distL="0" distR="0" wp14:anchorId="74C17ACC" wp14:editId="3D90D91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46B72" w:rsidRPr="009322DA" w14:paraId="70E94075" w14:textId="77777777" w:rsidTr="001C6D04">
        <w:trPr>
          <w:trHeight w:val="315"/>
        </w:trPr>
        <w:tc>
          <w:tcPr>
            <w:tcW w:w="893" w:type="dxa"/>
            <w:vAlign w:val="center"/>
            <w:hideMark/>
          </w:tcPr>
          <w:p w14:paraId="4FCBEC89" w14:textId="77777777" w:rsidR="00046B72" w:rsidRPr="009322DA" w:rsidRDefault="00046B72" w:rsidP="001C6D0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D3E2B3E" w14:textId="77777777" w:rsidR="00046B72" w:rsidRPr="009322DA" w:rsidRDefault="00046B72" w:rsidP="001C6D04">
            <w:pPr>
              <w:spacing w:after="255"/>
              <w:contextualSpacing/>
              <w:rPr>
                <w:rFonts w:ascii="Verdana" w:eastAsia="Arial" w:hAnsi="Verdana" w:cs="Arial"/>
                <w:sz w:val="16"/>
                <w:szCs w:val="16"/>
              </w:rPr>
            </w:pPr>
            <w:r>
              <w:rPr>
                <w:rFonts w:ascii="Verdana" w:eastAsia="Arial" w:hAnsi="Verdana" w:cs="Arial"/>
                <w:sz w:val="16"/>
                <w:szCs w:val="16"/>
              </w:rPr>
              <w:t xml:space="preserve">Héctor Luis Quiñones </w:t>
            </w:r>
            <w:proofErr w:type="spellStart"/>
            <w:r>
              <w:rPr>
                <w:rFonts w:ascii="Verdana" w:eastAsia="Arial" w:hAnsi="Verdana" w:cs="Arial"/>
                <w:sz w:val="16"/>
                <w:szCs w:val="16"/>
              </w:rPr>
              <w:t>Quiñones</w:t>
            </w:r>
            <w:proofErr w:type="spellEnd"/>
          </w:p>
          <w:p w14:paraId="350DE3CF" w14:textId="77777777" w:rsidR="00046B72" w:rsidRPr="009322DA" w:rsidRDefault="00046B72" w:rsidP="001C6D04">
            <w:pPr>
              <w:spacing w:after="255"/>
              <w:contextualSpacing/>
              <w:rPr>
                <w:rFonts w:ascii="Verdana" w:eastAsia="Arial" w:hAnsi="Verdana" w:cs="Arial"/>
                <w:sz w:val="16"/>
                <w:szCs w:val="16"/>
              </w:rPr>
            </w:pPr>
            <w:r>
              <w:rPr>
                <w:rFonts w:ascii="Verdana" w:eastAsia="Arial" w:hAnsi="Verdana" w:cs="Arial"/>
                <w:sz w:val="16"/>
                <w:szCs w:val="16"/>
              </w:rPr>
              <w:t>Analista T2 – 02</w:t>
            </w:r>
            <w:r w:rsidRPr="009322DA">
              <w:rPr>
                <w:rFonts w:ascii="Verdana" w:eastAsia="Arial" w:hAnsi="Verdana" w:cs="Arial"/>
                <w:sz w:val="16"/>
                <w:szCs w:val="16"/>
              </w:rPr>
              <w:t xml:space="preserve"> de la Subdirección de Gestión Contractual</w:t>
            </w:r>
          </w:p>
        </w:tc>
      </w:tr>
      <w:tr w:rsidR="00046B72" w:rsidRPr="009322DA" w14:paraId="4E4C1C5F" w14:textId="77777777" w:rsidTr="001C6D04">
        <w:trPr>
          <w:trHeight w:val="330"/>
        </w:trPr>
        <w:tc>
          <w:tcPr>
            <w:tcW w:w="893" w:type="dxa"/>
            <w:vAlign w:val="center"/>
            <w:hideMark/>
          </w:tcPr>
          <w:p w14:paraId="3F5AB48D" w14:textId="77777777" w:rsidR="00046B72" w:rsidRPr="009322DA" w:rsidRDefault="00046B72" w:rsidP="001C6D0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5CD5C5E" w14:textId="77777777" w:rsidR="00046B72" w:rsidRPr="009322DA" w:rsidRDefault="00046B72" w:rsidP="001C6D04">
            <w:pPr>
              <w:spacing w:after="255"/>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Adriana Katerine López Rodríguez</w:t>
            </w:r>
          </w:p>
          <w:p w14:paraId="025D3F25" w14:textId="77777777" w:rsidR="00046B72" w:rsidRPr="009322DA" w:rsidRDefault="00046B72" w:rsidP="001C6D04">
            <w:pPr>
              <w:contextualSpacing/>
              <w:textAlignment w:val="baseline"/>
              <w:rPr>
                <w:rFonts w:ascii="Verdana" w:eastAsia="Times New Roman" w:hAnsi="Verdana" w:cs="Segoe UI"/>
                <w:sz w:val="16"/>
                <w:szCs w:val="16"/>
                <w:lang w:eastAsia="es-ES_tradnl"/>
              </w:rPr>
            </w:pPr>
            <w:r w:rsidRPr="009322DA">
              <w:rPr>
                <w:rFonts w:ascii="Verdana" w:eastAsia="Times New Roman" w:hAnsi="Verdana" w:cs="Arial"/>
                <w:sz w:val="16"/>
                <w:szCs w:val="16"/>
                <w:lang w:eastAsia="es-ES_tradnl"/>
              </w:rPr>
              <w:t>Contratista de la Subdirección de Gestión Contractual</w:t>
            </w:r>
          </w:p>
        </w:tc>
      </w:tr>
      <w:tr w:rsidR="00046B72" w:rsidRPr="009322DA" w14:paraId="3CF447AF" w14:textId="77777777" w:rsidTr="001C6D04">
        <w:trPr>
          <w:trHeight w:val="300"/>
        </w:trPr>
        <w:tc>
          <w:tcPr>
            <w:tcW w:w="893" w:type="dxa"/>
            <w:vAlign w:val="center"/>
            <w:hideMark/>
          </w:tcPr>
          <w:p w14:paraId="58E94F9D" w14:textId="77777777" w:rsidR="00046B72" w:rsidRPr="009322DA" w:rsidRDefault="00046B72" w:rsidP="001C6D04">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9A0287C" w14:textId="77777777" w:rsidR="00046B72" w:rsidRPr="009322DA" w:rsidRDefault="00046B72" w:rsidP="001C6D04">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 xml:space="preserve">Carolina Quintero </w:t>
            </w:r>
            <w:proofErr w:type="spellStart"/>
            <w:r w:rsidRPr="009322DA">
              <w:rPr>
                <w:rFonts w:ascii="Verdana" w:hAnsi="Verdana" w:cs="Arial"/>
                <w:sz w:val="16"/>
                <w:szCs w:val="16"/>
                <w:lang w:val="pt-BR" w:eastAsia="es-ES"/>
              </w:rPr>
              <w:t>Gacharná</w:t>
            </w:r>
            <w:proofErr w:type="spellEnd"/>
          </w:p>
          <w:p w14:paraId="603DC67B" w14:textId="77777777" w:rsidR="00046B72" w:rsidRPr="009322DA" w:rsidRDefault="00046B72" w:rsidP="001C6D04">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w:t>
            </w:r>
            <w:proofErr w:type="spellStart"/>
            <w:r w:rsidRPr="009322DA">
              <w:rPr>
                <w:rFonts w:ascii="Verdana" w:hAnsi="Verdana" w:cs="Arial"/>
                <w:sz w:val="16"/>
                <w:szCs w:val="16"/>
                <w:lang w:val="pt-BR" w:eastAsia="es-ES"/>
              </w:rPr>
              <w:t>Contractual</w:t>
            </w:r>
            <w:proofErr w:type="spellEnd"/>
            <w:r w:rsidRPr="009322DA">
              <w:rPr>
                <w:rFonts w:ascii="Verdana" w:hAnsi="Verdana" w:cs="Arial"/>
                <w:sz w:val="16"/>
                <w:szCs w:val="16"/>
                <w:lang w:val="pt-BR" w:eastAsia="es-ES"/>
              </w:rPr>
              <w:t xml:space="preserve"> ANCP – CCE</w:t>
            </w:r>
          </w:p>
        </w:tc>
      </w:tr>
    </w:tbl>
    <w:p w14:paraId="026EC6BD" w14:textId="77777777" w:rsidR="00046B72" w:rsidRPr="009322DA" w:rsidRDefault="00046B72" w:rsidP="00046B72"/>
    <w:p w14:paraId="6ECB030B" w14:textId="77777777" w:rsidR="00046B72" w:rsidRPr="0044528D" w:rsidRDefault="00046B72" w:rsidP="00046B72">
      <w:pPr>
        <w:spacing w:after="0"/>
        <w:rPr>
          <w:rFonts w:ascii="Verdana" w:hAnsi="Verdana"/>
        </w:rPr>
      </w:pPr>
    </w:p>
    <w:p w14:paraId="0F293BF4" w14:textId="7BBFAB11" w:rsidR="00127233" w:rsidRPr="00D344F0" w:rsidRDefault="00127233" w:rsidP="00D344F0"/>
    <w:sectPr w:rsidR="00127233" w:rsidRPr="00D344F0"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BEA3C" w14:textId="77777777" w:rsidR="00D21C86" w:rsidRDefault="00D21C86" w:rsidP="004A1847">
      <w:pPr>
        <w:spacing w:after="0" w:line="240" w:lineRule="auto"/>
      </w:pPr>
      <w:r>
        <w:separator/>
      </w:r>
    </w:p>
  </w:endnote>
  <w:endnote w:type="continuationSeparator" w:id="0">
    <w:p w14:paraId="584AB6B7" w14:textId="77777777" w:rsidR="00D21C86" w:rsidRDefault="00D21C86" w:rsidP="004A1847">
      <w:pPr>
        <w:spacing w:after="0" w:line="240" w:lineRule="auto"/>
      </w:pPr>
      <w:r>
        <w:continuationSeparator/>
      </w:r>
    </w:p>
  </w:endnote>
  <w:endnote w:type="continuationNotice" w:id="1">
    <w:p w14:paraId="6C7D7329" w14:textId="77777777" w:rsidR="008402C9" w:rsidRDefault="00840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70A1" w14:textId="77777777" w:rsidR="00D21C86" w:rsidRDefault="00D21C86" w:rsidP="004A1847">
      <w:pPr>
        <w:spacing w:after="0" w:line="240" w:lineRule="auto"/>
      </w:pPr>
      <w:r>
        <w:separator/>
      </w:r>
    </w:p>
  </w:footnote>
  <w:footnote w:type="continuationSeparator" w:id="0">
    <w:p w14:paraId="63AAF688" w14:textId="77777777" w:rsidR="00D21C86" w:rsidRDefault="00D21C86" w:rsidP="004A1847">
      <w:pPr>
        <w:spacing w:after="0" w:line="240" w:lineRule="auto"/>
      </w:pPr>
      <w:r>
        <w:continuationSeparator/>
      </w:r>
    </w:p>
  </w:footnote>
  <w:footnote w:type="continuationNotice" w:id="1">
    <w:p w14:paraId="3B16E8D1" w14:textId="77777777" w:rsidR="008402C9" w:rsidRDefault="008402C9">
      <w:pPr>
        <w:spacing w:after="0" w:line="240" w:lineRule="auto"/>
      </w:pPr>
    </w:p>
  </w:footnote>
  <w:footnote w:id="2">
    <w:p w14:paraId="7F7D2901" w14:textId="17300162" w:rsidR="00046B72" w:rsidRPr="00611BB3" w:rsidRDefault="00046B72" w:rsidP="00046B72">
      <w:pPr>
        <w:pStyle w:val="Textonotapie"/>
        <w:rPr>
          <w:lang w:val="es-CO"/>
        </w:rPr>
      </w:pPr>
      <w:r>
        <w:rPr>
          <w:rStyle w:val="Refdenotaalpie"/>
        </w:rPr>
        <w:footnoteRef/>
      </w:r>
      <w:r>
        <w:t xml:space="preserve"> </w:t>
      </w:r>
      <w:r w:rsidRPr="00046B72">
        <w:rPr>
          <w:rFonts w:ascii="Verdana" w:hAnsi="Verdana"/>
          <w:sz w:val="16"/>
          <w:szCs w:val="16"/>
        </w:rPr>
        <w:t>Artículo 56, Ley 2195 de 2022</w:t>
      </w:r>
    </w:p>
  </w:footnote>
  <w:footnote w:id="3">
    <w:p w14:paraId="779C4813" w14:textId="77777777" w:rsidR="00046B72" w:rsidRPr="007E2E74" w:rsidRDefault="00046B72" w:rsidP="00046B72">
      <w:pPr>
        <w:pStyle w:val="Textonotapie"/>
        <w:jc w:val="both"/>
        <w:rPr>
          <w:rFonts w:ascii="Verdana" w:hAnsi="Verdana"/>
          <w:sz w:val="16"/>
          <w:szCs w:val="16"/>
          <w:lang w:val="es-CO"/>
        </w:rPr>
      </w:pPr>
      <w:r>
        <w:rPr>
          <w:rStyle w:val="Refdenotaalpie"/>
        </w:rPr>
        <w:footnoteRef/>
      </w:r>
      <w:r>
        <w:t xml:space="preserve"> </w:t>
      </w:r>
      <w:r w:rsidRPr="007E2E74">
        <w:rPr>
          <w:rFonts w:ascii="Verdana" w:hAnsi="Verdana"/>
          <w:sz w:val="16"/>
          <w:szCs w:val="16"/>
          <w:lang w:val="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footnote>
  <w:footnote w:id="4">
    <w:p w14:paraId="418604B4" w14:textId="74C127E4" w:rsidR="00046B72" w:rsidRPr="007E2E74" w:rsidRDefault="00046B72" w:rsidP="00046B72">
      <w:pPr>
        <w:pStyle w:val="Textonotapie"/>
        <w:jc w:val="both"/>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 xml:space="preserve">Mediante la </w:t>
      </w:r>
      <w:r w:rsidRPr="007E2E74">
        <w:rPr>
          <w:rFonts w:ascii="Verdana" w:hAnsi="Verdana"/>
          <w:sz w:val="16"/>
          <w:szCs w:val="16"/>
          <w:lang w:val="es-ES_tradnl"/>
        </w:rPr>
        <w:t xml:space="preserve">Resolución 161 del 17 de junio de 2021 </w:t>
      </w:r>
      <w:r w:rsidRPr="007E2E74">
        <w:rPr>
          <w:rFonts w:ascii="Verdana" w:hAnsi="Verdana"/>
          <w:bCs/>
          <w:sz w:val="16"/>
          <w:szCs w:val="16"/>
          <w:lang w:val="es-CO"/>
        </w:rPr>
        <w:t xml:space="preserve">se </w:t>
      </w:r>
      <w:r w:rsidRPr="007E2E74">
        <w:rPr>
          <w:rFonts w:ascii="Verdana" w:hAnsi="Verdana"/>
          <w:bCs/>
          <w:sz w:val="16"/>
          <w:szCs w:val="16"/>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sidRPr="007E2E74">
        <w:rPr>
          <w:rFonts w:ascii="Verdana" w:hAnsi="Verdana"/>
          <w:sz w:val="16"/>
          <w:szCs w:val="16"/>
          <w:lang w:val="es-ES_tradnl"/>
        </w:rPr>
        <w:t xml:space="preserve"> Igualmente, se expidió la Resolución 173 del 30 de junio de 2021 mediante la cual se modificaron las Matrices 1 – Experiencia de los documentos tipo del sector de agua potable y saneamiento básico y su implementación resulta obligatoria para los procesos de contratación cuyo aviso de convocatoria se publique a partir del 12 de julio de 2021. Además, </w:t>
      </w:r>
      <w:r w:rsidRPr="007E2E74">
        <w:rPr>
          <w:rFonts w:ascii="Verdana" w:hAnsi="Verdana"/>
          <w:bCs/>
          <w:sz w:val="16"/>
          <w:szCs w:val="16"/>
          <w:lang w:val="es-ES_tradnl"/>
        </w:rPr>
        <w:t>el 13 de octubre se expidió la Resolución 304 del 2021</w:t>
      </w:r>
      <w:r w:rsidRPr="007E2E74">
        <w:rPr>
          <w:rFonts w:ascii="Verdana" w:hAnsi="Verdana"/>
          <w:sz w:val="16"/>
          <w:szCs w:val="16"/>
          <w:lang w:val="es-CO"/>
        </w:rPr>
        <w:t xml:space="preserve"> </w:t>
      </w:r>
      <w:r w:rsidR="000B717A">
        <w:rPr>
          <w:rFonts w:ascii="Verdana" w:hAnsi="Verdana"/>
          <w:bCs/>
          <w:sz w:val="16"/>
          <w:szCs w:val="16"/>
          <w:lang w:val="es-ES_tradnl"/>
        </w:rPr>
        <w:t>“</w:t>
      </w:r>
      <w:r w:rsidRPr="007E2E74">
        <w:rPr>
          <w:rFonts w:ascii="Verdana" w:hAnsi="Verdana"/>
          <w:bCs/>
          <w:sz w:val="16"/>
          <w:szCs w:val="16"/>
          <w:lang w:val="es-CO"/>
        </w:rPr>
        <w:t>Por la cual se modifican los Documentos Tipo adoptados por la Agencia Nacional de Contratación Pública -Colombia Compra Eficiente</w:t>
      </w:r>
      <w:r w:rsidR="000B717A">
        <w:rPr>
          <w:rFonts w:ascii="Verdana" w:hAnsi="Verdana"/>
          <w:bCs/>
          <w:sz w:val="16"/>
          <w:szCs w:val="16"/>
          <w:lang w:val="es-ES_tradnl"/>
        </w:rPr>
        <w:t>”</w:t>
      </w:r>
      <w:r w:rsidRPr="007E2E74">
        <w:rPr>
          <w:rFonts w:ascii="Verdana" w:hAnsi="Verdana"/>
          <w:bCs/>
          <w:sz w:val="16"/>
          <w:szCs w:val="16"/>
          <w:lang w:val="es-ES_tradnl"/>
        </w:rPr>
        <w:t>, mediante la cual se ajustan los documentos tipo de acuerdo con el Decreto 680 de 2021 y se modifican otros aspectos de estos documentos.</w:t>
      </w:r>
    </w:p>
    <w:p w14:paraId="4D6F3459" w14:textId="77777777" w:rsidR="00046B72" w:rsidRPr="007E2E74" w:rsidRDefault="00046B72" w:rsidP="00046B72">
      <w:pPr>
        <w:pStyle w:val="Textonotapie"/>
        <w:rPr>
          <w:rFonts w:ascii="Verdana" w:hAnsi="Verdana"/>
          <w:sz w:val="16"/>
          <w:szCs w:val="16"/>
          <w:lang w:val="es-CO"/>
        </w:rPr>
      </w:pPr>
    </w:p>
  </w:footnote>
  <w:footnote w:id="5">
    <w:p w14:paraId="3E3814B2" w14:textId="77777777" w:rsidR="00046B72" w:rsidRPr="007E2E74" w:rsidRDefault="00046B72" w:rsidP="00046B72">
      <w:pPr>
        <w:pStyle w:val="Textonotapie"/>
        <w:jc w:val="both"/>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087ECCC1" w14:textId="77777777" w:rsidR="00046B72" w:rsidRPr="00B24305" w:rsidRDefault="00046B72" w:rsidP="00046B72">
      <w:pPr>
        <w:pStyle w:val="Textonotapie"/>
        <w:jc w:val="both"/>
        <w:rPr>
          <w:rFonts w:ascii="Verdana" w:hAnsi="Verdana"/>
          <w:sz w:val="16"/>
          <w:szCs w:val="16"/>
          <w:lang w:val="es-CO"/>
        </w:rPr>
      </w:pPr>
      <w:r w:rsidRPr="007E2E74">
        <w:rPr>
          <w:rFonts w:ascii="Verdana" w:hAnsi="Verdana"/>
          <w:sz w:val="16"/>
          <w:szCs w:val="16"/>
          <w:lang w:val="es-CO"/>
        </w:rPr>
        <w:t>Cuando</w:t>
      </w:r>
      <w:r w:rsidRPr="00B24305">
        <w:rPr>
          <w:rFonts w:ascii="Verdana" w:hAnsi="Verdana"/>
          <w:sz w:val="16"/>
          <w:szCs w:val="16"/>
          <w:lang w:val="es-CO"/>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381C4A9" w14:textId="77777777" w:rsidR="00046B72" w:rsidRPr="007E2E74" w:rsidRDefault="00046B72" w:rsidP="00046B72">
      <w:pPr>
        <w:pStyle w:val="Textonotapie"/>
        <w:rPr>
          <w:rFonts w:ascii="Verdana" w:hAnsi="Verdana"/>
          <w:sz w:val="16"/>
          <w:szCs w:val="16"/>
          <w:lang w:val="es-CO"/>
        </w:rPr>
      </w:pPr>
    </w:p>
  </w:footnote>
  <w:footnote w:id="6">
    <w:p w14:paraId="246231E2" w14:textId="1CB6CB18" w:rsidR="00046B72" w:rsidRPr="007E2E74" w:rsidRDefault="00046B72" w:rsidP="00046B72">
      <w:pPr>
        <w:pStyle w:val="Textonotapie"/>
        <w:jc w:val="both"/>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 xml:space="preserve">Ley 1150 de 2007: </w:t>
      </w:r>
      <w:r w:rsidR="000B717A">
        <w:rPr>
          <w:rFonts w:ascii="Verdana" w:hAnsi="Verdana"/>
          <w:sz w:val="16"/>
          <w:szCs w:val="16"/>
          <w:lang w:val="es-CO"/>
        </w:rPr>
        <w:t>“</w:t>
      </w:r>
      <w:r w:rsidRPr="007E2E74">
        <w:rPr>
          <w:rFonts w:ascii="Verdana" w:hAnsi="Verdana"/>
          <w:sz w:val="16"/>
          <w:szCs w:val="16"/>
          <w:lang w:val="es-CO"/>
        </w:rPr>
        <w:t>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r w:rsidR="000B717A">
        <w:rPr>
          <w:rFonts w:ascii="Verdana" w:hAnsi="Verdana"/>
          <w:sz w:val="16"/>
          <w:szCs w:val="16"/>
          <w:lang w:val="es-CO"/>
        </w:rPr>
        <w:t>”</w:t>
      </w:r>
      <w:r w:rsidRPr="007E2E74">
        <w:rPr>
          <w:rFonts w:ascii="Verdana" w:hAnsi="Verdana"/>
          <w:sz w:val="16"/>
          <w:szCs w:val="16"/>
          <w:lang w:val="es-CO"/>
        </w:rPr>
        <w:t>.</w:t>
      </w:r>
    </w:p>
  </w:footnote>
  <w:footnote w:id="7">
    <w:p w14:paraId="66205E33" w14:textId="77777777" w:rsidR="00046B72" w:rsidRPr="007E2E74" w:rsidRDefault="00046B72" w:rsidP="00046B72">
      <w:pPr>
        <w:pStyle w:val="Textonotapie"/>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Consejo de Estado. Sección Tercera. Sentencia del 23 de junio de 2010. Radicación No. 66001-23-31-000-1998-00261-01(17.860). Consejero Ponente: Mauricio Fajardo Gómez.</w:t>
      </w:r>
    </w:p>
    <w:p w14:paraId="02CAC617" w14:textId="77777777" w:rsidR="00046B72" w:rsidRPr="007E2E74" w:rsidRDefault="00046B72" w:rsidP="00046B72">
      <w:pPr>
        <w:pStyle w:val="Textonotapie"/>
        <w:rPr>
          <w:rFonts w:ascii="Verdana" w:hAnsi="Verdana"/>
          <w:sz w:val="16"/>
          <w:szCs w:val="16"/>
          <w:lang w:val="es-CO"/>
        </w:rPr>
      </w:pPr>
    </w:p>
  </w:footnote>
  <w:footnote w:id="8">
    <w:p w14:paraId="381E01A0" w14:textId="77777777" w:rsidR="00046B72" w:rsidRPr="007E2E74" w:rsidRDefault="00046B72" w:rsidP="00046B72">
      <w:pPr>
        <w:pStyle w:val="Textonotapie"/>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 xml:space="preserve">Consejo de Estado. Sección Tercera. Subsección C. Sentencia del 11 de diciembre de 2019. </w:t>
      </w:r>
      <w:proofErr w:type="spellStart"/>
      <w:r w:rsidRPr="007E2E74">
        <w:rPr>
          <w:rFonts w:ascii="Verdana" w:hAnsi="Verdana"/>
          <w:sz w:val="16"/>
          <w:szCs w:val="16"/>
          <w:lang w:val="es-CO"/>
        </w:rPr>
        <w:t>Exp</w:t>
      </w:r>
      <w:proofErr w:type="spellEnd"/>
      <w:r w:rsidRPr="007E2E74">
        <w:rPr>
          <w:rFonts w:ascii="Verdana" w:hAnsi="Verdana"/>
          <w:sz w:val="16"/>
          <w:szCs w:val="16"/>
          <w:lang w:val="es-CO"/>
        </w:rPr>
        <w:t>. 46.986. C.P. Jaime Enrique Rodríguez Navas.</w:t>
      </w:r>
    </w:p>
    <w:p w14:paraId="7231237A" w14:textId="77777777" w:rsidR="00046B72" w:rsidRPr="007E2E74" w:rsidRDefault="00046B72" w:rsidP="00046B72">
      <w:pPr>
        <w:pStyle w:val="Textonotapie"/>
        <w:rPr>
          <w:rFonts w:ascii="Verdana" w:hAnsi="Verdana"/>
          <w:sz w:val="16"/>
          <w:szCs w:val="16"/>
          <w:lang w:val="es-CO"/>
        </w:rPr>
      </w:pPr>
    </w:p>
  </w:footnote>
  <w:footnote w:id="9">
    <w:p w14:paraId="622AF3AF" w14:textId="5FB8A445" w:rsidR="00046B72" w:rsidRPr="007E2E74" w:rsidRDefault="00046B72" w:rsidP="00046B72">
      <w:pPr>
        <w:pStyle w:val="Textonotapie"/>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 xml:space="preserve">Es lo que sucede, por ejemplo, con el Decreto 092 de 2017, que en su desarrollo hace referencia tanto a los </w:t>
      </w:r>
      <w:r w:rsidR="00375BB5">
        <w:rPr>
          <w:rFonts w:ascii="Verdana" w:hAnsi="Verdana"/>
          <w:sz w:val="16"/>
          <w:szCs w:val="16"/>
          <w:lang w:val="es-CO"/>
        </w:rPr>
        <w:t>“</w:t>
      </w:r>
      <w:r w:rsidRPr="007E2E74">
        <w:rPr>
          <w:rFonts w:ascii="Verdana" w:hAnsi="Verdana"/>
          <w:sz w:val="16"/>
          <w:szCs w:val="16"/>
          <w:lang w:val="es-CO"/>
        </w:rPr>
        <w:t>contratos</w:t>
      </w:r>
      <w:r w:rsidR="00375BB5">
        <w:rPr>
          <w:rFonts w:ascii="Verdana" w:hAnsi="Verdana"/>
          <w:sz w:val="16"/>
          <w:szCs w:val="16"/>
          <w:lang w:val="es-CO"/>
        </w:rPr>
        <w:t>”</w:t>
      </w:r>
      <w:r w:rsidRPr="007E2E74">
        <w:rPr>
          <w:rFonts w:ascii="Verdana" w:hAnsi="Verdana"/>
          <w:sz w:val="16"/>
          <w:szCs w:val="16"/>
          <w:lang w:val="es-CO"/>
        </w:rPr>
        <w:t xml:space="preserve"> como a los </w:t>
      </w:r>
      <w:r w:rsidR="00375BB5">
        <w:rPr>
          <w:rFonts w:ascii="Verdana" w:hAnsi="Verdana"/>
          <w:sz w:val="16"/>
          <w:szCs w:val="16"/>
          <w:lang w:val="es-CO"/>
        </w:rPr>
        <w:t>“</w:t>
      </w:r>
      <w:r w:rsidRPr="007E2E74">
        <w:rPr>
          <w:rFonts w:ascii="Verdana" w:hAnsi="Verdana"/>
          <w:sz w:val="16"/>
          <w:szCs w:val="16"/>
          <w:lang w:val="es-CO"/>
        </w:rPr>
        <w:t>convenios</w:t>
      </w:r>
      <w:r w:rsidR="00375BB5">
        <w:rPr>
          <w:rFonts w:ascii="Verdana" w:hAnsi="Verdana"/>
          <w:sz w:val="16"/>
          <w:szCs w:val="16"/>
          <w:lang w:val="es-CO"/>
        </w:rPr>
        <w:t>”</w:t>
      </w:r>
      <w:r w:rsidRPr="007E2E74">
        <w:rPr>
          <w:rFonts w:ascii="Verdana" w:hAnsi="Verdana"/>
          <w:sz w:val="16"/>
          <w:szCs w:val="16"/>
          <w:lang w:val="es-CO"/>
        </w:rPr>
        <w:t xml:space="preserve">. </w:t>
      </w:r>
    </w:p>
    <w:p w14:paraId="24D35DDD" w14:textId="77777777" w:rsidR="00046B72" w:rsidRPr="007E2E74" w:rsidRDefault="00046B72" w:rsidP="00046B72">
      <w:pPr>
        <w:pStyle w:val="Textonotapie"/>
        <w:rPr>
          <w:rFonts w:ascii="Verdana" w:hAnsi="Verdana"/>
          <w:sz w:val="16"/>
          <w:szCs w:val="16"/>
        </w:rPr>
      </w:pPr>
    </w:p>
  </w:footnote>
  <w:footnote w:id="10">
    <w:p w14:paraId="5BC4A03B" w14:textId="77777777" w:rsidR="00046B72" w:rsidRPr="007E2E74" w:rsidRDefault="00046B72" w:rsidP="00046B72">
      <w:pPr>
        <w:pStyle w:val="Textonotapie"/>
        <w:jc w:val="both"/>
        <w:rPr>
          <w:rFonts w:ascii="Verdana" w:hAnsi="Verdana"/>
          <w:sz w:val="16"/>
          <w:szCs w:val="16"/>
          <w:lang w:val="es-CO"/>
        </w:rPr>
      </w:pPr>
      <w:r w:rsidRPr="007E2E74">
        <w:rPr>
          <w:rStyle w:val="Refdenotaalpie"/>
          <w:rFonts w:ascii="Verdana" w:hAnsi="Verdana"/>
          <w:sz w:val="16"/>
          <w:szCs w:val="16"/>
        </w:rPr>
        <w:footnoteRef/>
      </w:r>
      <w:r w:rsidRPr="007E2E74">
        <w:rPr>
          <w:rFonts w:ascii="Verdana" w:hAnsi="Verdana"/>
          <w:sz w:val="16"/>
          <w:szCs w:val="16"/>
        </w:rPr>
        <w:t xml:space="preserve"> </w:t>
      </w:r>
      <w:r w:rsidRPr="007E2E74">
        <w:rPr>
          <w:rFonts w:ascii="Verdana" w:hAnsi="Verdana"/>
          <w:sz w:val="16"/>
          <w:szCs w:val="16"/>
          <w:lang w:val="es-CO"/>
        </w:rPr>
        <w:t>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A5518"/>
    <w:multiLevelType w:val="hybridMultilevel"/>
    <w:tmpl w:val="90CC7284"/>
    <w:lvl w:ilvl="0" w:tplc="8EC0E7E2">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B875F2"/>
    <w:multiLevelType w:val="hybridMultilevel"/>
    <w:tmpl w:val="4C361A92"/>
    <w:lvl w:ilvl="0" w:tplc="177AE630">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471CDA"/>
    <w:multiLevelType w:val="hybridMultilevel"/>
    <w:tmpl w:val="643E2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1"/>
  </w:num>
  <w:num w:numId="16" w16cid:durableId="71709492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769001">
    <w:abstractNumId w:val="14"/>
  </w:num>
  <w:num w:numId="18" w16cid:durableId="1117916141">
    <w:abstractNumId w:val="4"/>
  </w:num>
  <w:num w:numId="19" w16cid:durableId="1081757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68D2"/>
    <w:rsid w:val="00046B72"/>
    <w:rsid w:val="00061B2A"/>
    <w:rsid w:val="00082362"/>
    <w:rsid w:val="000A683E"/>
    <w:rsid w:val="000B19B9"/>
    <w:rsid w:val="000B717A"/>
    <w:rsid w:val="000D0334"/>
    <w:rsid w:val="000F6486"/>
    <w:rsid w:val="00125105"/>
    <w:rsid w:val="00127233"/>
    <w:rsid w:val="001601AC"/>
    <w:rsid w:val="001653E0"/>
    <w:rsid w:val="00177E8E"/>
    <w:rsid w:val="001E4177"/>
    <w:rsid w:val="001F7DC6"/>
    <w:rsid w:val="00216258"/>
    <w:rsid w:val="002421BB"/>
    <w:rsid w:val="0025796E"/>
    <w:rsid w:val="002638C4"/>
    <w:rsid w:val="002707A2"/>
    <w:rsid w:val="002951A0"/>
    <w:rsid w:val="002962BC"/>
    <w:rsid w:val="002A093D"/>
    <w:rsid w:val="002A0DD0"/>
    <w:rsid w:val="002A49AC"/>
    <w:rsid w:val="002A64FD"/>
    <w:rsid w:val="002C7A84"/>
    <w:rsid w:val="002E4FD9"/>
    <w:rsid w:val="002F51DD"/>
    <w:rsid w:val="00322A85"/>
    <w:rsid w:val="00324168"/>
    <w:rsid w:val="003448F4"/>
    <w:rsid w:val="00374F5E"/>
    <w:rsid w:val="00375BB5"/>
    <w:rsid w:val="00377E3E"/>
    <w:rsid w:val="003A26D1"/>
    <w:rsid w:val="003A779E"/>
    <w:rsid w:val="003D0F4D"/>
    <w:rsid w:val="003D5B0D"/>
    <w:rsid w:val="003E0499"/>
    <w:rsid w:val="003F3941"/>
    <w:rsid w:val="00406575"/>
    <w:rsid w:val="00414FF7"/>
    <w:rsid w:val="0042722E"/>
    <w:rsid w:val="0044528D"/>
    <w:rsid w:val="004721EA"/>
    <w:rsid w:val="004A1847"/>
    <w:rsid w:val="004A305D"/>
    <w:rsid w:val="004F21C4"/>
    <w:rsid w:val="004F685F"/>
    <w:rsid w:val="00500935"/>
    <w:rsid w:val="005134FC"/>
    <w:rsid w:val="005566E8"/>
    <w:rsid w:val="00574867"/>
    <w:rsid w:val="00591460"/>
    <w:rsid w:val="00592628"/>
    <w:rsid w:val="0059280D"/>
    <w:rsid w:val="005C3777"/>
    <w:rsid w:val="005C5CDC"/>
    <w:rsid w:val="005D350B"/>
    <w:rsid w:val="005D476C"/>
    <w:rsid w:val="00610812"/>
    <w:rsid w:val="006219F8"/>
    <w:rsid w:val="0062405C"/>
    <w:rsid w:val="00650FF7"/>
    <w:rsid w:val="00665D70"/>
    <w:rsid w:val="00671DAC"/>
    <w:rsid w:val="006900D9"/>
    <w:rsid w:val="006A4472"/>
    <w:rsid w:val="006D12F8"/>
    <w:rsid w:val="00706C16"/>
    <w:rsid w:val="007154DD"/>
    <w:rsid w:val="00756841"/>
    <w:rsid w:val="007649AB"/>
    <w:rsid w:val="00771D0C"/>
    <w:rsid w:val="0077416C"/>
    <w:rsid w:val="007833AC"/>
    <w:rsid w:val="007A244E"/>
    <w:rsid w:val="007B268C"/>
    <w:rsid w:val="007B7171"/>
    <w:rsid w:val="007C0C0F"/>
    <w:rsid w:val="007C1CA1"/>
    <w:rsid w:val="007C3DC2"/>
    <w:rsid w:val="007E2E74"/>
    <w:rsid w:val="007E5497"/>
    <w:rsid w:val="00806F5F"/>
    <w:rsid w:val="00820278"/>
    <w:rsid w:val="00825584"/>
    <w:rsid w:val="008402C9"/>
    <w:rsid w:val="008843B6"/>
    <w:rsid w:val="00891928"/>
    <w:rsid w:val="008A446D"/>
    <w:rsid w:val="008D180B"/>
    <w:rsid w:val="008F0EA7"/>
    <w:rsid w:val="00923EEF"/>
    <w:rsid w:val="009419F9"/>
    <w:rsid w:val="0095685E"/>
    <w:rsid w:val="00961B09"/>
    <w:rsid w:val="00965334"/>
    <w:rsid w:val="0097093E"/>
    <w:rsid w:val="0097331F"/>
    <w:rsid w:val="009A0DFA"/>
    <w:rsid w:val="009B2D26"/>
    <w:rsid w:val="009C71FA"/>
    <w:rsid w:val="009C72E7"/>
    <w:rsid w:val="009D3058"/>
    <w:rsid w:val="009F3A13"/>
    <w:rsid w:val="00A122D3"/>
    <w:rsid w:val="00A17F13"/>
    <w:rsid w:val="00A20739"/>
    <w:rsid w:val="00A33C78"/>
    <w:rsid w:val="00AA62F9"/>
    <w:rsid w:val="00AB0ADB"/>
    <w:rsid w:val="00AC5226"/>
    <w:rsid w:val="00B01B1A"/>
    <w:rsid w:val="00B72CD3"/>
    <w:rsid w:val="00B72FFF"/>
    <w:rsid w:val="00BA0198"/>
    <w:rsid w:val="00BC3D36"/>
    <w:rsid w:val="00BD7F72"/>
    <w:rsid w:val="00C04FB3"/>
    <w:rsid w:val="00C330EB"/>
    <w:rsid w:val="00C754BE"/>
    <w:rsid w:val="00C76B1C"/>
    <w:rsid w:val="00CB6357"/>
    <w:rsid w:val="00CC1B26"/>
    <w:rsid w:val="00D10D92"/>
    <w:rsid w:val="00D21C86"/>
    <w:rsid w:val="00D344F0"/>
    <w:rsid w:val="00D423A2"/>
    <w:rsid w:val="00D520D8"/>
    <w:rsid w:val="00D63AC2"/>
    <w:rsid w:val="00D7383B"/>
    <w:rsid w:val="00D905B7"/>
    <w:rsid w:val="00DA231B"/>
    <w:rsid w:val="00DA23A0"/>
    <w:rsid w:val="00DC39FC"/>
    <w:rsid w:val="00DF5254"/>
    <w:rsid w:val="00E16408"/>
    <w:rsid w:val="00E20894"/>
    <w:rsid w:val="00E21EC1"/>
    <w:rsid w:val="00E245AB"/>
    <w:rsid w:val="00E2764C"/>
    <w:rsid w:val="00E27F2E"/>
    <w:rsid w:val="00E413EA"/>
    <w:rsid w:val="00E50AFE"/>
    <w:rsid w:val="00E644DE"/>
    <w:rsid w:val="00E75C92"/>
    <w:rsid w:val="00E771DC"/>
    <w:rsid w:val="00E8772A"/>
    <w:rsid w:val="00E90F6B"/>
    <w:rsid w:val="00E92C27"/>
    <w:rsid w:val="00EA0E3D"/>
    <w:rsid w:val="00EB406B"/>
    <w:rsid w:val="00EC38A7"/>
    <w:rsid w:val="00EE1AA8"/>
    <w:rsid w:val="00F14EA7"/>
    <w:rsid w:val="00F31EDC"/>
    <w:rsid w:val="00F462B3"/>
    <w:rsid w:val="00F5664F"/>
    <w:rsid w:val="00F57383"/>
    <w:rsid w:val="00F666C4"/>
    <w:rsid w:val="00F76AFC"/>
    <w:rsid w:val="00FA47C0"/>
    <w:rsid w:val="00FB5DD1"/>
    <w:rsid w:val="00FC2B5D"/>
    <w:rsid w:val="00FF1449"/>
    <w:rsid w:val="132BC11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46B72"/>
    <w:pPr>
      <w:spacing w:line="240" w:lineRule="exact"/>
    </w:pPr>
    <w:rPr>
      <w:vertAlign w:val="superscript"/>
    </w:rPr>
  </w:style>
  <w:style w:type="table" w:customStyle="1" w:styleId="Tablaconcuadrcula1">
    <w:name w:val="Tabla con cuadrícula1"/>
    <w:basedOn w:val="Tablanormal"/>
    <w:next w:val="Tablaconcuadrcula"/>
    <w:uiPriority w:val="39"/>
    <w:qFormat/>
    <w:rsid w:val="0004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046B72"/>
    <w:pPr>
      <w:spacing w:after="120"/>
    </w:pPr>
  </w:style>
  <w:style w:type="character" w:customStyle="1" w:styleId="TextoindependienteCar">
    <w:name w:val="Texto independiente Car"/>
    <w:basedOn w:val="Fuentedeprrafopredeter"/>
    <w:link w:val="Textoindependiente"/>
    <w:uiPriority w:val="99"/>
    <w:semiHidden/>
    <w:rsid w:val="0004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fdo86@hot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hector.quinones%40colombiacompra.gov.co%7C616b83c3423e4d31151908dce489c00d%7C7b09041e245149d08cb179d5e3d8c1be%7C0%7C0%7C638636527543180320%7CUnknown%7CTWFpbGZsb3d8eyJWIjoiMC4wLjAwMDAiLCJQIjoiV2luMzIiLCJBTiI6Ik1haWwiLCJXVCI6Mn0%3D%7C0%7C%7C%7C&amp;sdata=cjluQqFbINDr0SwlpwhVpYKvhIRB%2F%2BnD8mCLM2BjqPI%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6ADDD-1C5F-4383-97F7-BF4B2966D0B3}">
  <ds:schemaRefs>
    <ds:schemaRef ds:uri="http://schemas.openxmlformats.org/officeDocument/2006/bibliography"/>
  </ds:schemaRefs>
</ds:datastoreItem>
</file>

<file path=customXml/itemProps2.xml><?xml version="1.0" encoding="utf-8"?>
<ds:datastoreItem xmlns:ds="http://schemas.openxmlformats.org/officeDocument/2006/customXml" ds:itemID="{76AE4D61-D3C3-4D10-B391-02B3278CD04D}"/>
</file>

<file path=customXml/itemProps3.xml><?xml version="1.0" encoding="utf-8"?>
<ds:datastoreItem xmlns:ds="http://schemas.openxmlformats.org/officeDocument/2006/customXml" ds:itemID="{163618BE-28CB-4D69-955E-CDA788483BED}">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8ae15d26-076e-464e-81a7-6f76a0fb3917"/>
    <ds:schemaRef ds:uri="36c82cfe-0eda-494d-b392-a9281b89aaf0"/>
    <ds:schemaRef ds:uri="http://www.w3.org/XML/1998/namespace"/>
    <ds:schemaRef ds:uri="http://purl.org/dc/terms/"/>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4187</Words>
  <Characters>23034</Characters>
  <Application>Microsoft Office Word</Application>
  <DocSecurity>0</DocSecurity>
  <Lines>191</Lines>
  <Paragraphs>54</Paragraphs>
  <ScaleCrop>false</ScaleCrop>
  <Company/>
  <LinksUpToDate>false</LinksUpToDate>
  <CharactersWithSpaces>27167</CharactersWithSpaces>
  <SharedDoc>false</SharedDoc>
  <HLinks>
    <vt:vector size="18" baseType="variant">
      <vt:variant>
        <vt:i4>3407935</vt:i4>
      </vt:variant>
      <vt:variant>
        <vt:i4>6</vt:i4>
      </vt:variant>
      <vt:variant>
        <vt:i4>0</vt:i4>
      </vt:variant>
      <vt:variant>
        <vt:i4>5</vt:i4>
      </vt:variant>
      <vt:variant>
        <vt:lpwstr>https://nam02.safelinks.protection.outlook.com/?url=https%3A%2F%2Fwww.colombiacompra.gov.co%2Fsala-de-prensa%2Fboletin-digital%2Fboletin-de-relatoria-2024-iv&amp;data=05%7C02%7Chector.quinones%40colombiacompra.gov.co%7C616b83c3423e4d31151908dce489c00d%7C7b09041e245149d08cb179d5e3d8c1be%7C0%7C0%7C638636527543180320%7CUnknown%7CTWFpbGZsb3d8eyJWIjoiMC4wLjAwMDAiLCJQIjoiV2luMzIiLCJBTiI6Ik1haWwiLCJXVCI6Mn0%3D%7C0%7C%7C%7C&amp;sdata=cjluQqFbINDr0SwlpwhVpYKvhIRB%2F%2BnD8mCLM2BjqPI%3D&amp;reserved=0</vt:lpwstr>
      </vt:variant>
      <vt:variant>
        <vt:lpwstr/>
      </vt:variant>
      <vt:variant>
        <vt:i4>2162739</vt:i4>
      </vt:variant>
      <vt:variant>
        <vt:i4>3</vt:i4>
      </vt:variant>
      <vt:variant>
        <vt:i4>0</vt:i4>
      </vt:variant>
      <vt:variant>
        <vt:i4>5</vt:i4>
      </vt:variant>
      <vt:variant>
        <vt:lpwstr>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vt:lpwstr>
      </vt:variant>
      <vt:variant>
        <vt:lpwstr/>
      </vt:variant>
      <vt:variant>
        <vt:i4>5963894</vt:i4>
      </vt:variant>
      <vt:variant>
        <vt:i4>0</vt:i4>
      </vt:variant>
      <vt:variant>
        <vt:i4>0</vt:i4>
      </vt:variant>
      <vt:variant>
        <vt:i4>5</vt:i4>
      </vt:variant>
      <vt:variant>
        <vt:lpwstr>mailto:Josefdo86@hotmail.com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4</cp:revision>
  <cp:lastPrinted>2023-01-10T21:18:00Z</cp:lastPrinted>
  <dcterms:created xsi:type="dcterms:W3CDTF">2024-11-05T15:32:00Z</dcterms:created>
  <dcterms:modified xsi:type="dcterms:W3CDTF">2024-11-18T15:01:00Z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