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6B03" w14:textId="77777777" w:rsidR="002E52B1" w:rsidRPr="00104073" w:rsidRDefault="002E52B1" w:rsidP="002E52B1">
      <w:pPr>
        <w:spacing w:before="120" w:after="120" w:line="276" w:lineRule="auto"/>
        <w:jc w:val="both"/>
        <w:rPr>
          <w:rFonts w:ascii="Verdana" w:eastAsia="Calibri" w:hAnsi="Verdana" w:cs="Arial"/>
          <w:color w:val="000000"/>
        </w:rPr>
      </w:pPr>
      <w:r w:rsidRPr="00104073">
        <w:rPr>
          <w:rFonts w:ascii="Verdana" w:eastAsia="Calibri" w:hAnsi="Verdana" w:cs="Arial"/>
          <w:b/>
          <w:color w:val="000000"/>
        </w:rPr>
        <w:t>REQUISITOS HABILITANTES – Contenido</w:t>
      </w:r>
    </w:p>
    <w:p w14:paraId="299359C9" w14:textId="77777777" w:rsidR="002E52B1" w:rsidRPr="00104073" w:rsidRDefault="002E52B1" w:rsidP="002E52B1">
      <w:pPr>
        <w:spacing w:after="0" w:line="240" w:lineRule="auto"/>
        <w:jc w:val="both"/>
        <w:rPr>
          <w:rFonts w:ascii="Verdana" w:eastAsia="Calibri" w:hAnsi="Verdana" w:cs="Arial"/>
          <w:color w:val="000000"/>
        </w:rPr>
      </w:pPr>
    </w:p>
    <w:p w14:paraId="14E84C10"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t>[…]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que estos, no se refieren a la oferta misma sino a la idoneidad del oferente para asumir adecuadamente la ejecución del contrato.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habilitantes 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r w:rsidRPr="00104073">
        <w:rPr>
          <w:rFonts w:ascii="Verdana" w:eastAsia="Calibri" w:hAnsi="Verdana" w:cs="Arial"/>
          <w:color w:val="000000"/>
          <w:sz w:val="20"/>
          <w:szCs w:val="20"/>
        </w:rPr>
        <w:tab/>
      </w:r>
    </w:p>
    <w:p w14:paraId="2EBAC5B3" w14:textId="77777777" w:rsidR="002E52B1" w:rsidRPr="00104073" w:rsidRDefault="002E52B1" w:rsidP="002E52B1">
      <w:pPr>
        <w:spacing w:after="0" w:line="240" w:lineRule="auto"/>
        <w:jc w:val="both"/>
        <w:rPr>
          <w:rFonts w:ascii="Verdana" w:eastAsia="Calibri" w:hAnsi="Verdana" w:cs="Arial"/>
          <w:color w:val="000000"/>
        </w:rPr>
      </w:pPr>
    </w:p>
    <w:p w14:paraId="4E3F2D3B" w14:textId="77777777" w:rsidR="002E52B1" w:rsidRPr="00104073" w:rsidRDefault="002E52B1" w:rsidP="002E52B1">
      <w:pPr>
        <w:spacing w:after="0" w:line="240" w:lineRule="auto"/>
        <w:jc w:val="both"/>
        <w:rPr>
          <w:rFonts w:ascii="Verdana" w:eastAsia="Calibri" w:hAnsi="Verdana" w:cs="Arial"/>
          <w:sz w:val="20"/>
          <w:szCs w:val="20"/>
        </w:rPr>
      </w:pPr>
    </w:p>
    <w:p w14:paraId="68B71C07" w14:textId="77777777" w:rsidR="002E52B1" w:rsidRPr="00104073" w:rsidRDefault="002E52B1" w:rsidP="002E52B1">
      <w:pPr>
        <w:spacing w:before="120" w:after="120" w:line="276" w:lineRule="auto"/>
        <w:jc w:val="both"/>
        <w:rPr>
          <w:rFonts w:ascii="Verdana" w:eastAsia="Calibri" w:hAnsi="Verdana" w:cs="Arial"/>
          <w:b/>
          <w:color w:val="000000"/>
        </w:rPr>
      </w:pPr>
      <w:r w:rsidRPr="00104073">
        <w:rPr>
          <w:rFonts w:ascii="Verdana" w:eastAsia="Calibri" w:hAnsi="Verdana" w:cs="Arial"/>
          <w:b/>
          <w:color w:val="000000"/>
        </w:rPr>
        <w:t>REQUISITOS HABILITANTES – Ley 1150 DE 2007 – Carácter enunciativo</w:t>
      </w:r>
    </w:p>
    <w:p w14:paraId="53BB3273" w14:textId="77777777" w:rsidR="002E52B1" w:rsidRPr="00104073" w:rsidRDefault="002E52B1" w:rsidP="002E52B1">
      <w:pPr>
        <w:spacing w:after="0" w:line="240" w:lineRule="auto"/>
        <w:rPr>
          <w:rFonts w:ascii="Verdana" w:eastAsia="Calibri" w:hAnsi="Verdana" w:cs="Arial"/>
          <w:b/>
          <w:bCs/>
          <w:color w:val="000000" w:themeColor="text1"/>
          <w:sz w:val="20"/>
          <w:szCs w:val="20"/>
        </w:rPr>
      </w:pPr>
    </w:p>
    <w:p w14:paraId="4F8B53EC"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t>Ahora bien, en este punto vale la pena preguntarse si los cuatro requisitos habilitantes establecidos en el artículo 5, numeral 1, de la Ley 1150 de 2007, cuyo alcance fue explicado previamente, son taxativos, esto es, si son los únicos requisitos habilitantes que puede exigirles una entidad a los proponentes. Esta pregunta tiene, al menos, dos respuestas posibles. Por un lado, que sí lo son, ya que la norma no hace referencia a otros diferentes y, por el otro, que no lo son, pues esta no contiene una expresión como «únicamente» o «solo»,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Pública.</w:t>
      </w:r>
    </w:p>
    <w:p w14:paraId="2F1F5F06" w14:textId="77777777" w:rsidR="002E52B1" w:rsidRPr="00104073" w:rsidRDefault="002E52B1" w:rsidP="002E52B1">
      <w:pPr>
        <w:spacing w:after="0" w:line="240" w:lineRule="auto"/>
        <w:rPr>
          <w:rFonts w:ascii="Verdana" w:eastAsia="Geomanist Light" w:hAnsi="Verdana" w:cs="Arial"/>
          <w:color w:val="000000" w:themeColor="text1"/>
        </w:rPr>
      </w:pPr>
    </w:p>
    <w:p w14:paraId="618D3E4C" w14:textId="77777777" w:rsidR="002E52B1" w:rsidRPr="00104073" w:rsidRDefault="002E52B1" w:rsidP="002E52B1">
      <w:pPr>
        <w:spacing w:before="120" w:after="120" w:line="276" w:lineRule="auto"/>
        <w:jc w:val="both"/>
        <w:rPr>
          <w:rFonts w:ascii="Verdana" w:eastAsia="Calibri" w:hAnsi="Verdana" w:cs="Arial"/>
          <w:b/>
          <w:color w:val="000000"/>
        </w:rPr>
      </w:pPr>
      <w:r w:rsidRPr="00104073">
        <w:rPr>
          <w:rFonts w:ascii="Verdana" w:eastAsia="Calibri" w:hAnsi="Verdana" w:cs="Arial"/>
          <w:b/>
          <w:color w:val="000000"/>
        </w:rPr>
        <w:t>EXPERIENCIA – Características – Proponente plural</w:t>
      </w:r>
    </w:p>
    <w:p w14:paraId="029BD0A4" w14:textId="77777777" w:rsidR="002E52B1" w:rsidRPr="00104073" w:rsidRDefault="002E52B1" w:rsidP="002E52B1">
      <w:pPr>
        <w:spacing w:after="0" w:line="240" w:lineRule="auto"/>
        <w:jc w:val="both"/>
        <w:rPr>
          <w:rFonts w:ascii="Verdana" w:eastAsia="Arial" w:hAnsi="Verdana" w:cs="Arial"/>
          <w:color w:val="000000"/>
        </w:rPr>
      </w:pPr>
    </w:p>
    <w:p w14:paraId="2E9FCDB0"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lastRenderedPageBreak/>
        <w:t>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w:t>
      </w:r>
    </w:p>
    <w:p w14:paraId="43A2B5ED" w14:textId="77777777" w:rsidR="002E52B1" w:rsidRPr="00104073" w:rsidRDefault="002E52B1" w:rsidP="002E52B1">
      <w:pPr>
        <w:spacing w:after="0" w:line="240" w:lineRule="auto"/>
        <w:jc w:val="both"/>
        <w:rPr>
          <w:rFonts w:ascii="Verdana" w:eastAsia="Arial" w:hAnsi="Verdana" w:cs="Arial"/>
          <w:b/>
          <w:color w:val="000000"/>
          <w:sz w:val="20"/>
        </w:rPr>
      </w:pPr>
    </w:p>
    <w:p w14:paraId="542A1F89" w14:textId="77777777" w:rsidR="002E52B1" w:rsidRPr="00104073" w:rsidRDefault="002E52B1" w:rsidP="002E52B1">
      <w:pPr>
        <w:spacing w:before="120" w:after="120" w:line="276" w:lineRule="auto"/>
        <w:jc w:val="both"/>
        <w:rPr>
          <w:rFonts w:ascii="Verdana" w:eastAsia="Calibri" w:hAnsi="Verdana" w:cs="Arial"/>
          <w:b/>
          <w:color w:val="000000"/>
        </w:rPr>
      </w:pPr>
      <w:r w:rsidRPr="00104073">
        <w:rPr>
          <w:rFonts w:ascii="Verdana" w:eastAsia="Calibri" w:hAnsi="Verdana" w:cs="Arial"/>
          <w:b/>
          <w:color w:val="000000"/>
        </w:rPr>
        <w:t>PROPONENTE PLURAL – Requisitos habilitantes</w:t>
      </w:r>
    </w:p>
    <w:p w14:paraId="6F08ADD2" w14:textId="77777777" w:rsidR="002E52B1" w:rsidRPr="00104073" w:rsidRDefault="002E52B1" w:rsidP="002E52B1">
      <w:pPr>
        <w:spacing w:after="0" w:line="240" w:lineRule="auto"/>
        <w:jc w:val="both"/>
        <w:rPr>
          <w:rFonts w:ascii="Verdana" w:eastAsia="Arial" w:hAnsi="Verdana" w:cs="Arial"/>
          <w:color w:val="000000"/>
          <w:sz w:val="20"/>
        </w:rPr>
      </w:pPr>
    </w:p>
    <w:p w14:paraId="3B015670"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la experiencia debe ser evaluada para cada miembro del proponente plural y de acuerdo con lo registrado en su RUP, por lo que es necesario establecer la forma en la que las entidades computan este requisito, para así evaluarlo y verificar el cumplimiento del proponente plural, siempre y cuando sus integrantes cumplan con los requisitos habilitantes exigidos en el procedimiento.</w:t>
      </w:r>
    </w:p>
    <w:p w14:paraId="3D5DD7FC" w14:textId="77777777" w:rsidR="002E52B1" w:rsidRPr="00104073" w:rsidRDefault="002E52B1" w:rsidP="002E52B1">
      <w:pPr>
        <w:spacing w:after="0" w:line="240" w:lineRule="auto"/>
        <w:jc w:val="both"/>
        <w:rPr>
          <w:rFonts w:ascii="Verdana" w:eastAsia="Arial" w:hAnsi="Verdana" w:cs="Arial"/>
          <w:color w:val="000000"/>
          <w:sz w:val="20"/>
        </w:rPr>
      </w:pPr>
    </w:p>
    <w:p w14:paraId="5433BB75" w14:textId="77777777" w:rsidR="002E52B1" w:rsidRPr="00104073" w:rsidRDefault="002E52B1" w:rsidP="002E52B1">
      <w:pPr>
        <w:spacing w:before="120" w:after="120" w:line="276" w:lineRule="auto"/>
        <w:jc w:val="both"/>
        <w:rPr>
          <w:rFonts w:ascii="Verdana" w:eastAsia="Calibri" w:hAnsi="Verdana" w:cs="Arial"/>
          <w:b/>
          <w:color w:val="000000"/>
        </w:rPr>
      </w:pPr>
      <w:r w:rsidRPr="00104073">
        <w:rPr>
          <w:rFonts w:ascii="Verdana" w:eastAsia="Calibri" w:hAnsi="Verdana" w:cs="Arial"/>
          <w:b/>
          <w:color w:val="000000"/>
        </w:rPr>
        <w:t>PROPONENTE PLURAL – Experiencia – Pliego de condiciones – Conflicto</w:t>
      </w:r>
    </w:p>
    <w:p w14:paraId="5FAB5A55" w14:textId="77777777" w:rsidR="002E52B1" w:rsidRPr="00104073" w:rsidRDefault="002E52B1" w:rsidP="002E52B1">
      <w:pPr>
        <w:spacing w:after="0" w:line="240" w:lineRule="auto"/>
        <w:jc w:val="both"/>
        <w:rPr>
          <w:rFonts w:ascii="Verdana" w:eastAsia="Arial" w:hAnsi="Verdana" w:cs="Arial"/>
          <w:color w:val="000000"/>
          <w:sz w:val="20"/>
        </w:rPr>
      </w:pPr>
    </w:p>
    <w:p w14:paraId="4BB55F1F"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t>En consecuencia, la entidad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aplicables, y la facultad discrecional de la entidad para señalar las reglas de su procedimiento, que son ley para la entidad y para quienes se presenten, permite que esta decida la forma de acreditación de la experiencia por los proponentes plurales.</w:t>
      </w:r>
    </w:p>
    <w:p w14:paraId="080F05DA"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t>Es cierto que aquí se presenta una tensión entre la discrecionalidad de la entidad para exigir la experiencia y el derecho de los proponentes de decidir la forma de presentar oferta en un procedimiento de selección, sea individualmente o conformando un proponente plural, ya que, en principio, si deciden ser parte de un consorcio o unión temporal, pueden fijar las reglas de la figura en el documento privado de constitución, determinando los aportes de cada miembro y la forma en la que van a colaborarse mutuamente para participar y ejecutar el contrato.</w:t>
      </w:r>
    </w:p>
    <w:p w14:paraId="43602AA7" w14:textId="77777777" w:rsidR="002E52B1" w:rsidRPr="00104073" w:rsidRDefault="002E52B1" w:rsidP="002E52B1">
      <w:pPr>
        <w:spacing w:after="0" w:line="240" w:lineRule="auto"/>
        <w:jc w:val="both"/>
        <w:rPr>
          <w:rFonts w:ascii="Verdana" w:eastAsia="Arial" w:hAnsi="Verdana" w:cs="Arial"/>
          <w:color w:val="000000"/>
          <w:sz w:val="20"/>
        </w:rPr>
      </w:pPr>
    </w:p>
    <w:p w14:paraId="5B5113D2" w14:textId="77777777" w:rsidR="002E52B1" w:rsidRPr="00104073" w:rsidRDefault="002E52B1" w:rsidP="002E52B1">
      <w:pPr>
        <w:spacing w:before="120" w:after="120" w:line="276" w:lineRule="auto"/>
        <w:jc w:val="both"/>
        <w:rPr>
          <w:rFonts w:ascii="Verdana" w:eastAsia="Calibri" w:hAnsi="Verdana" w:cs="Arial"/>
          <w:b/>
          <w:color w:val="000000"/>
        </w:rPr>
      </w:pPr>
      <w:r w:rsidRPr="00104073">
        <w:rPr>
          <w:rFonts w:ascii="Verdana" w:eastAsia="Calibri" w:hAnsi="Verdana" w:cs="Arial"/>
          <w:b/>
          <w:color w:val="000000"/>
        </w:rPr>
        <w:t>PROPONENTE PLURAL – Experiencia – Pliego de condiciones – Ponderación</w:t>
      </w:r>
    </w:p>
    <w:p w14:paraId="5072403F" w14:textId="77777777" w:rsidR="002E52B1" w:rsidRPr="00104073" w:rsidRDefault="002E52B1" w:rsidP="002E52B1">
      <w:pPr>
        <w:spacing w:after="0" w:line="240" w:lineRule="auto"/>
        <w:jc w:val="both"/>
        <w:rPr>
          <w:rFonts w:ascii="Verdana" w:eastAsia="Arial" w:hAnsi="Verdana" w:cs="Arial"/>
          <w:color w:val="000000"/>
          <w:sz w:val="20"/>
        </w:rPr>
      </w:pPr>
    </w:p>
    <w:p w14:paraId="4A178C60" w14:textId="77777777" w:rsidR="002E52B1" w:rsidRPr="00104073" w:rsidRDefault="002E52B1" w:rsidP="002E52B1">
      <w:pPr>
        <w:spacing w:after="0" w:line="240" w:lineRule="auto"/>
        <w:jc w:val="both"/>
        <w:rPr>
          <w:rFonts w:ascii="Verdana" w:eastAsia="Calibri" w:hAnsi="Verdana" w:cs="Arial"/>
          <w:color w:val="000000"/>
          <w:sz w:val="20"/>
          <w:szCs w:val="20"/>
        </w:rPr>
      </w:pPr>
      <w:r w:rsidRPr="00104073">
        <w:rPr>
          <w:rFonts w:ascii="Verdana" w:eastAsia="Calibri" w:hAnsi="Verdana" w:cs="Arial"/>
          <w:color w:val="000000"/>
          <w:sz w:val="20"/>
          <w:szCs w:val="20"/>
        </w:rPr>
        <w:t>Lo anterior evidencia que, de acuerdo con las exigencias del test de ponderación, la entidad podría exigir que los miembros de un proponente plural aporten la experiencia y no solo uno, por considerar que esto beneficia la ejecución del contrato, lo cual es razonable si se recuerda la solidaridad que existe entre quienes conforman la figura asociativa, es decir, que a cada miembro se le puede exigir el cumplimiento total del contrato y debe estar en posición de responder por las obligaciones, sin depender de los otros. Por tanto, la entidad debe asegurar que la solidaridad se pueda materializar para garantizar los fines estatales, que son un interés superior frente al interés de los particulares de tener negocios con el Estado. El Consejo de Estado confirma las consideraciones de este concepto, señalando la necesidad de que la entidad busque el cumplimiento del contrato fijando los requisitos que sean necesarios para lograrlo.</w:t>
      </w:r>
    </w:p>
    <w:p w14:paraId="04711067" w14:textId="77777777" w:rsidR="002E52B1" w:rsidRPr="00104073" w:rsidRDefault="002E52B1" w:rsidP="002E52B1">
      <w:pPr>
        <w:spacing w:after="0" w:line="240" w:lineRule="auto"/>
        <w:jc w:val="both"/>
        <w:rPr>
          <w:rFonts w:ascii="Verdana" w:eastAsia="Geomanist Light" w:hAnsi="Verdana" w:cs="Arial"/>
          <w:color w:val="000000" w:themeColor="text1"/>
        </w:rPr>
      </w:pPr>
    </w:p>
    <w:p w14:paraId="008EE483" w14:textId="77777777" w:rsidR="002E52B1" w:rsidRPr="00104073" w:rsidRDefault="002E52B1" w:rsidP="002E52B1">
      <w:pPr>
        <w:spacing w:after="0" w:line="240" w:lineRule="auto"/>
        <w:jc w:val="both"/>
        <w:rPr>
          <w:rFonts w:ascii="Verdana" w:eastAsia="Calibri" w:hAnsi="Verdana" w:cs="Arial"/>
          <w:b/>
          <w:bCs/>
          <w:color w:val="7030A0"/>
          <w:lang w:eastAsia="es-ES"/>
        </w:rPr>
      </w:pPr>
    </w:p>
    <w:p w14:paraId="04E125B3" w14:textId="77777777" w:rsidR="002E52B1" w:rsidRPr="00104073" w:rsidRDefault="002E52B1" w:rsidP="002E52B1">
      <w:pPr>
        <w:spacing w:after="0" w:line="240" w:lineRule="auto"/>
        <w:jc w:val="both"/>
        <w:rPr>
          <w:rFonts w:ascii="Verdana" w:eastAsia="Calibri" w:hAnsi="Verdana" w:cs="Arial"/>
          <w:b/>
          <w:bCs/>
          <w:color w:val="7030A0"/>
          <w:lang w:eastAsia="es-ES"/>
        </w:rPr>
      </w:pPr>
    </w:p>
    <w:p w14:paraId="4C6FE8AB" w14:textId="77777777" w:rsidR="002E52B1" w:rsidRPr="00104073" w:rsidRDefault="002E52B1" w:rsidP="002E52B1">
      <w:pPr>
        <w:spacing w:after="0" w:line="240" w:lineRule="auto"/>
        <w:rPr>
          <w:rFonts w:ascii="Verdana" w:eastAsia="Calibri" w:hAnsi="Verdana" w:cs="Arial"/>
          <w:b/>
          <w:bCs/>
          <w:color w:val="7030A0"/>
          <w:lang w:eastAsia="es-ES"/>
        </w:rPr>
      </w:pPr>
    </w:p>
    <w:p w14:paraId="7C3DC6A3" w14:textId="77777777" w:rsidR="002E52B1" w:rsidRPr="00104073" w:rsidRDefault="002E52B1" w:rsidP="002E52B1">
      <w:pPr>
        <w:spacing w:after="0" w:line="240" w:lineRule="auto"/>
        <w:rPr>
          <w:rFonts w:ascii="Verdana" w:eastAsia="Calibri" w:hAnsi="Verdana" w:cs="Arial"/>
          <w:b/>
          <w:bCs/>
          <w:color w:val="7030A0"/>
          <w:lang w:eastAsia="es-ES"/>
        </w:rPr>
      </w:pPr>
    </w:p>
    <w:p w14:paraId="68FA45FC" w14:textId="77777777" w:rsidR="002E52B1" w:rsidRDefault="002E52B1" w:rsidP="002E52B1">
      <w:pPr>
        <w:spacing w:after="0" w:line="240" w:lineRule="auto"/>
        <w:rPr>
          <w:rFonts w:ascii="Verdana" w:eastAsia="Calibri" w:hAnsi="Verdana" w:cs="Arial"/>
          <w:b/>
          <w:bCs/>
          <w:color w:val="7030A0"/>
          <w:lang w:eastAsia="es-ES"/>
        </w:rPr>
      </w:pPr>
    </w:p>
    <w:p w14:paraId="75B2BDFE" w14:textId="77777777" w:rsidR="00D4383C" w:rsidRDefault="00D4383C" w:rsidP="002E52B1">
      <w:pPr>
        <w:spacing w:after="0" w:line="240" w:lineRule="auto"/>
        <w:rPr>
          <w:rFonts w:ascii="Verdana" w:eastAsia="Calibri" w:hAnsi="Verdana" w:cs="Arial"/>
          <w:b/>
          <w:bCs/>
          <w:color w:val="7030A0"/>
          <w:lang w:eastAsia="es-ES"/>
        </w:rPr>
      </w:pPr>
    </w:p>
    <w:p w14:paraId="723ED6D3" w14:textId="77777777" w:rsidR="00D4383C" w:rsidRDefault="00D4383C" w:rsidP="002E52B1">
      <w:pPr>
        <w:spacing w:after="0" w:line="240" w:lineRule="auto"/>
        <w:rPr>
          <w:rFonts w:ascii="Verdana" w:eastAsia="Calibri" w:hAnsi="Verdana" w:cs="Arial"/>
          <w:b/>
          <w:bCs/>
          <w:color w:val="7030A0"/>
          <w:lang w:eastAsia="es-ES"/>
        </w:rPr>
      </w:pPr>
    </w:p>
    <w:p w14:paraId="58F4C8DB" w14:textId="77777777" w:rsidR="00D4383C" w:rsidRDefault="00D4383C" w:rsidP="002E52B1">
      <w:pPr>
        <w:spacing w:after="0" w:line="240" w:lineRule="auto"/>
        <w:rPr>
          <w:rFonts w:ascii="Verdana" w:eastAsia="Calibri" w:hAnsi="Verdana" w:cs="Arial"/>
          <w:b/>
          <w:bCs/>
          <w:color w:val="7030A0"/>
          <w:lang w:eastAsia="es-ES"/>
        </w:rPr>
      </w:pPr>
    </w:p>
    <w:p w14:paraId="0CE51F97" w14:textId="77777777" w:rsidR="00D4383C" w:rsidRDefault="00D4383C" w:rsidP="002E52B1">
      <w:pPr>
        <w:spacing w:after="0" w:line="240" w:lineRule="auto"/>
        <w:rPr>
          <w:rFonts w:ascii="Verdana" w:eastAsia="Calibri" w:hAnsi="Verdana" w:cs="Arial"/>
          <w:b/>
          <w:bCs/>
          <w:color w:val="7030A0"/>
          <w:lang w:eastAsia="es-ES"/>
        </w:rPr>
      </w:pPr>
    </w:p>
    <w:p w14:paraId="1C0D4220" w14:textId="77777777" w:rsidR="00D4383C" w:rsidRDefault="00D4383C" w:rsidP="002E52B1">
      <w:pPr>
        <w:spacing w:after="0" w:line="240" w:lineRule="auto"/>
        <w:rPr>
          <w:rFonts w:ascii="Verdana" w:eastAsia="Calibri" w:hAnsi="Verdana" w:cs="Arial"/>
          <w:b/>
          <w:bCs/>
          <w:color w:val="7030A0"/>
          <w:lang w:eastAsia="es-ES"/>
        </w:rPr>
      </w:pPr>
    </w:p>
    <w:p w14:paraId="19B311BD" w14:textId="77777777" w:rsidR="00D4383C" w:rsidRDefault="00D4383C" w:rsidP="002E52B1">
      <w:pPr>
        <w:spacing w:after="0" w:line="240" w:lineRule="auto"/>
        <w:rPr>
          <w:rFonts w:ascii="Verdana" w:eastAsia="Calibri" w:hAnsi="Verdana" w:cs="Arial"/>
          <w:b/>
          <w:bCs/>
          <w:color w:val="7030A0"/>
          <w:lang w:eastAsia="es-ES"/>
        </w:rPr>
      </w:pPr>
    </w:p>
    <w:p w14:paraId="206FD279" w14:textId="77777777" w:rsidR="00D4383C" w:rsidRDefault="00D4383C" w:rsidP="002E52B1">
      <w:pPr>
        <w:spacing w:after="0" w:line="240" w:lineRule="auto"/>
        <w:rPr>
          <w:rFonts w:ascii="Verdana" w:eastAsia="Calibri" w:hAnsi="Verdana" w:cs="Arial"/>
          <w:b/>
          <w:bCs/>
          <w:color w:val="7030A0"/>
          <w:lang w:eastAsia="es-ES"/>
        </w:rPr>
      </w:pPr>
    </w:p>
    <w:p w14:paraId="41FA7AFD" w14:textId="77777777" w:rsidR="00D4383C" w:rsidRDefault="00D4383C" w:rsidP="002E52B1">
      <w:pPr>
        <w:spacing w:after="0" w:line="240" w:lineRule="auto"/>
        <w:rPr>
          <w:rFonts w:ascii="Verdana" w:eastAsia="Calibri" w:hAnsi="Verdana" w:cs="Arial"/>
          <w:b/>
          <w:bCs/>
          <w:color w:val="7030A0"/>
          <w:lang w:eastAsia="es-ES"/>
        </w:rPr>
      </w:pPr>
    </w:p>
    <w:p w14:paraId="4622AE98" w14:textId="77777777" w:rsidR="00D4383C" w:rsidRDefault="00D4383C" w:rsidP="002E52B1">
      <w:pPr>
        <w:spacing w:after="0" w:line="240" w:lineRule="auto"/>
        <w:rPr>
          <w:rFonts w:ascii="Verdana" w:eastAsia="Calibri" w:hAnsi="Verdana" w:cs="Arial"/>
          <w:b/>
          <w:bCs/>
          <w:color w:val="7030A0"/>
          <w:lang w:eastAsia="es-ES"/>
        </w:rPr>
      </w:pPr>
    </w:p>
    <w:p w14:paraId="3D9477C3" w14:textId="77777777" w:rsidR="00D4383C" w:rsidRDefault="00D4383C" w:rsidP="002E52B1">
      <w:pPr>
        <w:spacing w:after="0" w:line="240" w:lineRule="auto"/>
        <w:rPr>
          <w:rFonts w:ascii="Verdana" w:eastAsia="Calibri" w:hAnsi="Verdana" w:cs="Arial"/>
          <w:b/>
          <w:bCs/>
          <w:color w:val="7030A0"/>
          <w:lang w:eastAsia="es-ES"/>
        </w:rPr>
      </w:pPr>
    </w:p>
    <w:p w14:paraId="748DF4A4" w14:textId="77777777" w:rsidR="00D4383C" w:rsidRDefault="00D4383C" w:rsidP="002E52B1">
      <w:pPr>
        <w:spacing w:after="0" w:line="240" w:lineRule="auto"/>
        <w:rPr>
          <w:rFonts w:ascii="Verdana" w:eastAsia="Calibri" w:hAnsi="Verdana" w:cs="Arial"/>
          <w:b/>
          <w:bCs/>
          <w:color w:val="7030A0"/>
          <w:lang w:eastAsia="es-ES"/>
        </w:rPr>
      </w:pPr>
    </w:p>
    <w:p w14:paraId="67A08C62" w14:textId="77777777" w:rsidR="00D4383C" w:rsidRDefault="00D4383C" w:rsidP="002E52B1">
      <w:pPr>
        <w:spacing w:after="0" w:line="240" w:lineRule="auto"/>
        <w:rPr>
          <w:rFonts w:ascii="Verdana" w:eastAsia="Calibri" w:hAnsi="Verdana" w:cs="Arial"/>
          <w:b/>
          <w:bCs/>
          <w:color w:val="7030A0"/>
          <w:lang w:eastAsia="es-ES"/>
        </w:rPr>
      </w:pPr>
    </w:p>
    <w:p w14:paraId="68731172" w14:textId="77777777" w:rsidR="00D4383C" w:rsidRPr="00104073" w:rsidRDefault="00D4383C" w:rsidP="002E52B1">
      <w:pPr>
        <w:spacing w:after="0" w:line="240" w:lineRule="auto"/>
        <w:rPr>
          <w:rFonts w:ascii="Verdana" w:eastAsia="Calibri" w:hAnsi="Verdana" w:cs="Arial"/>
          <w:b/>
          <w:bCs/>
          <w:color w:val="7030A0"/>
          <w:lang w:eastAsia="es-ES"/>
        </w:rPr>
      </w:pPr>
    </w:p>
    <w:p w14:paraId="645BCE9A" w14:textId="77777777" w:rsidR="002E52B1" w:rsidRPr="00104073" w:rsidRDefault="002E52B1" w:rsidP="002E52B1">
      <w:pPr>
        <w:spacing w:after="0" w:line="240" w:lineRule="auto"/>
        <w:rPr>
          <w:rFonts w:ascii="Verdana" w:eastAsia="Calibri" w:hAnsi="Verdana" w:cs="Arial"/>
          <w:b/>
          <w:bCs/>
          <w:color w:val="7030A0"/>
          <w:lang w:eastAsia="es-ES"/>
        </w:rPr>
      </w:pPr>
    </w:p>
    <w:p w14:paraId="3111E607" w14:textId="77777777" w:rsidR="002E52B1" w:rsidRPr="00104073" w:rsidRDefault="002E52B1" w:rsidP="002E52B1">
      <w:pPr>
        <w:spacing w:after="0" w:line="240" w:lineRule="auto"/>
        <w:rPr>
          <w:rFonts w:ascii="Verdana" w:eastAsia="Calibri" w:hAnsi="Verdana" w:cs="Arial"/>
          <w:b/>
          <w:bCs/>
          <w:color w:val="7030A0"/>
          <w:lang w:eastAsia="es-ES"/>
        </w:rPr>
      </w:pPr>
    </w:p>
    <w:p w14:paraId="16B26C98" w14:textId="77777777" w:rsidR="002E52B1" w:rsidRPr="00104073" w:rsidRDefault="002E52B1" w:rsidP="002E52B1">
      <w:pPr>
        <w:spacing w:after="0" w:line="240" w:lineRule="auto"/>
        <w:rPr>
          <w:rFonts w:ascii="Verdana" w:eastAsia="Calibri" w:hAnsi="Verdana" w:cs="Arial"/>
          <w:b/>
          <w:bCs/>
          <w:color w:val="7030A0"/>
          <w:lang w:eastAsia="es-ES"/>
        </w:rPr>
      </w:pPr>
    </w:p>
    <w:p w14:paraId="10970780" w14:textId="77777777" w:rsidR="002E52B1" w:rsidRDefault="002E52B1" w:rsidP="00203798">
      <w:pPr>
        <w:spacing w:after="0" w:line="240" w:lineRule="auto"/>
        <w:rPr>
          <w:rFonts w:ascii="Verdana" w:eastAsia="Calibri" w:hAnsi="Verdana" w:cs="Arial"/>
          <w:b/>
          <w:bCs/>
          <w:color w:val="7030A0"/>
          <w:lang w:eastAsia="es-ES"/>
        </w:rPr>
      </w:pPr>
    </w:p>
    <w:p w14:paraId="5DB67836" w14:textId="77777777" w:rsidR="00D4383C" w:rsidRPr="00DF7E02" w:rsidRDefault="00D4383C" w:rsidP="00203798">
      <w:pPr>
        <w:spacing w:after="0" w:line="240" w:lineRule="auto"/>
        <w:rPr>
          <w:rFonts w:ascii="Verdana" w:eastAsia="Geomanist Light" w:hAnsi="Verdana" w:cs="Arial"/>
          <w:color w:val="000000" w:themeColor="text1"/>
          <w:lang w:val="es-MX"/>
        </w:rPr>
      </w:pPr>
    </w:p>
    <w:p w14:paraId="1248B96C" w14:textId="77777777" w:rsidR="00203798" w:rsidRPr="00DF7E02" w:rsidRDefault="00203798" w:rsidP="00203798">
      <w:pPr>
        <w:spacing w:after="0" w:line="240" w:lineRule="auto"/>
        <w:rPr>
          <w:rFonts w:ascii="Verdana" w:eastAsia="Geomanist Light" w:hAnsi="Verdana" w:cs="Arial"/>
          <w:color w:val="000000" w:themeColor="text1"/>
          <w:lang w:val="es-MX"/>
        </w:rPr>
      </w:pPr>
    </w:p>
    <w:p w14:paraId="4B75B1FC" w14:textId="77777777" w:rsidR="00D64A45" w:rsidRDefault="00D64A45" w:rsidP="00D41DE8">
      <w:pPr>
        <w:spacing w:after="0" w:line="240" w:lineRule="auto"/>
        <w:rPr>
          <w:rFonts w:ascii="Verdana" w:eastAsia="Geomanist Light" w:hAnsi="Verdana" w:cs="Arial"/>
          <w:color w:val="000000" w:themeColor="text1"/>
          <w:lang w:val="es-MX"/>
        </w:rPr>
      </w:pPr>
      <w:r>
        <w:rPr>
          <w:noProof/>
        </w:rPr>
        <w:lastRenderedPageBreak/>
        <w:drawing>
          <wp:anchor distT="0" distB="0" distL="0" distR="0" simplePos="0" relativeHeight="251659264" behindDoc="0" locked="0" layoutInCell="1" allowOverlap="1" wp14:anchorId="77198505" wp14:editId="6E2C7836">
            <wp:simplePos x="0" y="0"/>
            <wp:positionH relativeFrom="page">
              <wp:posOffset>3718560</wp:posOffset>
            </wp:positionH>
            <wp:positionV relativeFrom="paragraph">
              <wp:posOffset>25400</wp:posOffset>
            </wp:positionV>
            <wp:extent cx="3239999" cy="899999"/>
            <wp:effectExtent l="0" t="0" r="0" b="0"/>
            <wp:wrapNone/>
            <wp:docPr id="7" name="Image 7"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10;&#10;Descripción generada automáticamente"/>
                    <pic:cNvPicPr/>
                  </pic:nvPicPr>
                  <pic:blipFill>
                    <a:blip r:embed="rId11" cstate="print"/>
                    <a:stretch>
                      <a:fillRect/>
                    </a:stretch>
                  </pic:blipFill>
                  <pic:spPr>
                    <a:xfrm>
                      <a:off x="0" y="0"/>
                      <a:ext cx="3239999" cy="899999"/>
                    </a:xfrm>
                    <a:prstGeom prst="rect">
                      <a:avLst/>
                    </a:prstGeom>
                  </pic:spPr>
                </pic:pic>
              </a:graphicData>
            </a:graphic>
          </wp:anchor>
        </w:drawing>
      </w:r>
      <w:r w:rsidR="00D41DE8" w:rsidRPr="00D41DE8">
        <w:rPr>
          <w:rFonts w:ascii="Verdana" w:eastAsia="Geomanist Light" w:hAnsi="Verdana" w:cs="Arial"/>
          <w:color w:val="000000" w:themeColor="text1"/>
          <w:lang w:val="es-MX"/>
        </w:rPr>
        <w:t xml:space="preserve">Bogotá D.C., 06 de Noviembre de </w:t>
      </w:r>
    </w:p>
    <w:p w14:paraId="45C41CDC" w14:textId="6935AE89" w:rsidR="00D41DE8" w:rsidRPr="00D41DE8" w:rsidRDefault="00D41DE8" w:rsidP="00D41DE8">
      <w:pPr>
        <w:spacing w:after="0" w:line="240" w:lineRule="auto"/>
        <w:rPr>
          <w:rFonts w:ascii="Verdana" w:eastAsia="Geomanist Light" w:hAnsi="Verdana" w:cs="Arial"/>
          <w:color w:val="000000" w:themeColor="text1"/>
          <w:lang w:val="es-MX"/>
        </w:rPr>
      </w:pPr>
      <w:r w:rsidRPr="00D41DE8">
        <w:rPr>
          <w:rFonts w:ascii="Verdana" w:eastAsia="Geomanist Light" w:hAnsi="Verdana" w:cs="Arial"/>
          <w:color w:val="000000" w:themeColor="text1"/>
          <w:lang w:val="es-MX"/>
        </w:rPr>
        <w:t>2024</w:t>
      </w:r>
    </w:p>
    <w:p w14:paraId="0F93F61F" w14:textId="201E74D9" w:rsidR="00D41DE8" w:rsidRPr="00D41DE8" w:rsidRDefault="00D41DE8" w:rsidP="00D41DE8">
      <w:pPr>
        <w:spacing w:after="0" w:line="240" w:lineRule="auto"/>
        <w:rPr>
          <w:rFonts w:ascii="Verdana" w:eastAsia="Geomanist Light" w:hAnsi="Verdana" w:cs="Arial"/>
          <w:color w:val="000000" w:themeColor="text1"/>
          <w:lang w:val="es-MX"/>
        </w:rPr>
      </w:pPr>
    </w:p>
    <w:p w14:paraId="3A55C0B4" w14:textId="38F1047F" w:rsidR="00D41DE8" w:rsidRPr="00D41DE8" w:rsidRDefault="00D41DE8" w:rsidP="00D41DE8">
      <w:pPr>
        <w:spacing w:after="0" w:line="240" w:lineRule="auto"/>
        <w:rPr>
          <w:rFonts w:ascii="Verdana" w:eastAsia="Geomanist Light" w:hAnsi="Verdana" w:cs="Arial"/>
          <w:color w:val="000000" w:themeColor="text1"/>
          <w:lang w:val="es-MX"/>
        </w:rPr>
      </w:pPr>
    </w:p>
    <w:p w14:paraId="06CE9123" w14:textId="77777777" w:rsidR="00D41DE8" w:rsidRPr="00D41DE8" w:rsidRDefault="00D41DE8" w:rsidP="00D41DE8">
      <w:pPr>
        <w:spacing w:after="0" w:line="240" w:lineRule="auto"/>
        <w:rPr>
          <w:rFonts w:ascii="Verdana" w:eastAsia="Geomanist Light" w:hAnsi="Verdana" w:cs="Arial"/>
          <w:color w:val="000000" w:themeColor="text1"/>
          <w:lang w:val="es-MX"/>
        </w:rPr>
      </w:pPr>
      <w:r w:rsidRPr="00D41DE8">
        <w:rPr>
          <w:rFonts w:ascii="Verdana" w:eastAsia="Geomanist Light" w:hAnsi="Verdana" w:cs="Arial"/>
          <w:color w:val="000000" w:themeColor="text1"/>
          <w:lang w:val="es-MX"/>
        </w:rPr>
        <w:t>Señora</w:t>
      </w:r>
    </w:p>
    <w:p w14:paraId="3DA293BA" w14:textId="77777777" w:rsidR="00D41DE8" w:rsidRPr="00D64A45" w:rsidRDefault="00D41DE8" w:rsidP="00D41DE8">
      <w:pPr>
        <w:spacing w:after="0" w:line="240" w:lineRule="auto"/>
        <w:rPr>
          <w:rFonts w:ascii="Verdana" w:eastAsia="Geomanist Light" w:hAnsi="Verdana" w:cs="Arial"/>
          <w:b/>
          <w:bCs/>
          <w:color w:val="000000" w:themeColor="text1"/>
          <w:lang w:val="es-MX"/>
        </w:rPr>
      </w:pPr>
      <w:r w:rsidRPr="00D64A45">
        <w:rPr>
          <w:rFonts w:ascii="Verdana" w:eastAsia="Geomanist Light" w:hAnsi="Verdana" w:cs="Arial"/>
          <w:b/>
          <w:bCs/>
          <w:color w:val="000000" w:themeColor="text1"/>
          <w:lang w:val="es-MX"/>
        </w:rPr>
        <w:t>Marcela Pabón</w:t>
      </w:r>
    </w:p>
    <w:p w14:paraId="210A2043" w14:textId="06D943E3" w:rsidR="00D41DE8" w:rsidRPr="00D41DE8" w:rsidRDefault="00D64A45" w:rsidP="00D41DE8">
      <w:pPr>
        <w:spacing w:after="0" w:line="240" w:lineRule="auto"/>
        <w:rPr>
          <w:rFonts w:ascii="Verdana" w:eastAsia="Geomanist Light" w:hAnsi="Verdana" w:cs="Arial"/>
          <w:color w:val="000000" w:themeColor="text1"/>
          <w:lang w:val="es-MX"/>
        </w:rPr>
      </w:pPr>
      <w:hyperlink r:id="rId12" w:history="1">
        <w:r w:rsidRPr="00DB7EE4">
          <w:rPr>
            <w:rStyle w:val="Hipervnculo"/>
            <w:rFonts w:ascii="Verdana" w:eastAsia="Geomanist Light" w:hAnsi="Verdana" w:cs="Arial"/>
            <w:lang w:val="es-MX"/>
          </w:rPr>
          <w:t>marcela.pabon@camaradirecta.com</w:t>
        </w:r>
      </w:hyperlink>
      <w:r>
        <w:rPr>
          <w:rFonts w:ascii="Verdana" w:eastAsia="Geomanist Light" w:hAnsi="Verdana" w:cs="Arial"/>
          <w:color w:val="000000" w:themeColor="text1"/>
          <w:lang w:val="es-MX"/>
        </w:rPr>
        <w:t xml:space="preserve"> </w:t>
      </w:r>
    </w:p>
    <w:p w14:paraId="07819D52" w14:textId="1C846E14" w:rsidR="00203798" w:rsidRPr="00DF7E02" w:rsidRDefault="00D41DE8" w:rsidP="00D41DE8">
      <w:pPr>
        <w:spacing w:after="0" w:line="240" w:lineRule="auto"/>
        <w:rPr>
          <w:rFonts w:ascii="Verdana" w:eastAsia="Calibri" w:hAnsi="Verdana" w:cs="Arial"/>
          <w:b/>
          <w:bCs/>
          <w:lang w:val="es-ES_tradnl" w:eastAsia="es-ES_tradnl"/>
        </w:rPr>
      </w:pPr>
      <w:r w:rsidRPr="00D41DE8">
        <w:rPr>
          <w:rFonts w:ascii="Verdana" w:eastAsia="Geomanist Light" w:hAnsi="Verdana" w:cs="Arial"/>
          <w:color w:val="000000" w:themeColor="text1"/>
          <w:lang w:val="es-MX"/>
        </w:rPr>
        <w:t>Bogotá D.C.</w:t>
      </w:r>
    </w:p>
    <w:p w14:paraId="127D0645" w14:textId="77777777" w:rsidR="00203798" w:rsidRPr="00DF7E02" w:rsidRDefault="00203798" w:rsidP="0020379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03798" w:rsidRPr="00DF7E02" w14:paraId="398F7AEE" w14:textId="77777777" w:rsidTr="009C522F">
        <w:trPr>
          <w:trHeight w:val="884"/>
        </w:trPr>
        <w:tc>
          <w:tcPr>
            <w:tcW w:w="2689" w:type="dxa"/>
          </w:tcPr>
          <w:p w14:paraId="61663060" w14:textId="77777777" w:rsidR="00203798" w:rsidRPr="00DF7E02" w:rsidRDefault="00203798" w:rsidP="009C522F">
            <w:pPr>
              <w:jc w:val="both"/>
              <w:rPr>
                <w:rFonts w:ascii="Verdana" w:eastAsia="Calibri" w:hAnsi="Verdana" w:cs="Arial"/>
                <w:b/>
                <w:bCs/>
                <w:lang w:val="es-ES_tradnl" w:eastAsia="es-ES_tradnl"/>
              </w:rPr>
            </w:pPr>
          </w:p>
        </w:tc>
        <w:tc>
          <w:tcPr>
            <w:tcW w:w="6100" w:type="dxa"/>
          </w:tcPr>
          <w:p w14:paraId="285AAC44" w14:textId="4E8D17BF" w:rsidR="00203798" w:rsidRPr="00DF7E02" w:rsidRDefault="00203798" w:rsidP="009C522F">
            <w:pPr>
              <w:jc w:val="both"/>
              <w:rPr>
                <w:rFonts w:ascii="Verdana" w:eastAsia="Calibri" w:hAnsi="Verdana" w:cs="Arial"/>
                <w:b/>
                <w:bCs/>
                <w:lang w:val="es-ES" w:eastAsia="es-ES"/>
              </w:rPr>
            </w:pPr>
            <w:r w:rsidRPr="00DF7E02">
              <w:rPr>
                <w:rFonts w:ascii="Verdana" w:eastAsia="Calibri" w:hAnsi="Verdana" w:cs="Arial"/>
                <w:b/>
                <w:bCs/>
                <w:lang w:val="es-ES" w:eastAsia="es-ES"/>
              </w:rPr>
              <w:t>Concepto C-6</w:t>
            </w:r>
            <w:r w:rsidR="00157CCF">
              <w:rPr>
                <w:rFonts w:ascii="Verdana" w:eastAsia="Calibri" w:hAnsi="Verdana" w:cs="Arial"/>
                <w:b/>
                <w:bCs/>
                <w:lang w:val="es-ES" w:eastAsia="es-ES"/>
              </w:rPr>
              <w:t>48</w:t>
            </w:r>
            <w:r w:rsidRPr="00DF7E02">
              <w:rPr>
                <w:rFonts w:ascii="Verdana" w:eastAsia="Calibri" w:hAnsi="Verdana" w:cs="Arial"/>
                <w:b/>
                <w:bCs/>
                <w:lang w:val="es-ES" w:eastAsia="es-ES"/>
              </w:rPr>
              <w:t xml:space="preserve"> de 2024</w:t>
            </w:r>
          </w:p>
        </w:tc>
      </w:tr>
      <w:tr w:rsidR="00203798" w:rsidRPr="00DF7E02" w14:paraId="7920ACFB" w14:textId="77777777" w:rsidTr="009C522F">
        <w:trPr>
          <w:trHeight w:val="884"/>
        </w:trPr>
        <w:tc>
          <w:tcPr>
            <w:tcW w:w="2689" w:type="dxa"/>
          </w:tcPr>
          <w:p w14:paraId="506BC836" w14:textId="77777777" w:rsidR="00203798" w:rsidRPr="00DF7E02" w:rsidRDefault="00203798" w:rsidP="009C522F">
            <w:pPr>
              <w:jc w:val="both"/>
              <w:rPr>
                <w:rFonts w:ascii="Verdana" w:eastAsia="Calibri" w:hAnsi="Verdana" w:cs="Arial"/>
                <w:lang w:val="es-ES_tradnl" w:eastAsia="es-ES_tradnl"/>
              </w:rPr>
            </w:pPr>
            <w:r w:rsidRPr="00DF7E02">
              <w:rPr>
                <w:rFonts w:ascii="Verdana" w:eastAsia="Calibri" w:hAnsi="Verdana" w:cs="Arial"/>
                <w:b/>
                <w:lang w:val="es-ES_tradnl" w:eastAsia="es-ES_tradnl"/>
              </w:rPr>
              <w:t>Temas:</w:t>
            </w:r>
            <w:r w:rsidRPr="00DF7E02">
              <w:rPr>
                <w:rFonts w:ascii="Verdana" w:eastAsia="Calibri" w:hAnsi="Verdana" w:cs="Arial"/>
                <w:lang w:val="es-ES_tradnl" w:eastAsia="es-ES_tradnl"/>
              </w:rPr>
              <w:t xml:space="preserve">                   </w:t>
            </w:r>
          </w:p>
        </w:tc>
        <w:tc>
          <w:tcPr>
            <w:tcW w:w="6100" w:type="dxa"/>
          </w:tcPr>
          <w:p w14:paraId="59EAA3EA" w14:textId="77777777" w:rsidR="00EA2340" w:rsidRPr="00EA2340" w:rsidRDefault="00EA2340" w:rsidP="00EA2340">
            <w:pPr>
              <w:spacing w:after="18"/>
              <w:jc w:val="both"/>
              <w:rPr>
                <w:rFonts w:ascii="Verdana" w:hAnsi="Verdana"/>
              </w:rPr>
            </w:pPr>
            <w:r w:rsidRPr="00EA2340">
              <w:rPr>
                <w:rFonts w:ascii="Verdana" w:hAnsi="Verdana"/>
              </w:rPr>
              <w:t>REQUISITOS HABILITANTES – Contenido – Experiencia</w:t>
            </w:r>
          </w:p>
          <w:p w14:paraId="199F2CDD" w14:textId="77777777" w:rsidR="00EA2340" w:rsidRPr="00EA2340" w:rsidRDefault="00EA2340" w:rsidP="00EA2340">
            <w:pPr>
              <w:spacing w:after="18"/>
              <w:jc w:val="both"/>
              <w:rPr>
                <w:rFonts w:ascii="Verdana" w:hAnsi="Verdana"/>
              </w:rPr>
            </w:pPr>
            <w:r w:rsidRPr="00EA2340">
              <w:rPr>
                <w:rFonts w:ascii="Verdana" w:hAnsi="Verdana"/>
              </w:rPr>
              <w:t>/ REQUISITOS HABILITANTES – Ley 1150 DE 2007 –</w:t>
            </w:r>
          </w:p>
          <w:p w14:paraId="0073E4E4" w14:textId="0A88E07F" w:rsidR="00203798" w:rsidRPr="00DF7E02" w:rsidRDefault="00EA2340" w:rsidP="00EA2340">
            <w:pPr>
              <w:spacing w:line="276" w:lineRule="auto"/>
              <w:jc w:val="both"/>
              <w:rPr>
                <w:rFonts w:ascii="Verdana" w:eastAsia="Calibri" w:hAnsi="Verdana" w:cs="Arial"/>
                <w:lang w:val="es-ES" w:eastAsia="es-ES"/>
              </w:rPr>
            </w:pPr>
            <w:r w:rsidRPr="00EA2340">
              <w:rPr>
                <w:rFonts w:ascii="Verdana" w:hAnsi="Verdana"/>
              </w:rPr>
              <w:t>Carácter enunciativo / EXPERIENCIA – Características – Proponente plural / PROPONENTE PLURAL – Requisitos habilitantes – Experiencia – Pliego de condiciones – Conflicto – Ponderación / PLIEGO DE CONDICIONES – Contenido – Características</w:t>
            </w:r>
          </w:p>
        </w:tc>
      </w:tr>
      <w:tr w:rsidR="00203798" w:rsidRPr="00DF7E02" w14:paraId="74FAF4C1" w14:textId="77777777" w:rsidTr="008E07EB">
        <w:trPr>
          <w:trHeight w:val="339"/>
        </w:trPr>
        <w:tc>
          <w:tcPr>
            <w:tcW w:w="2689" w:type="dxa"/>
          </w:tcPr>
          <w:p w14:paraId="75991530" w14:textId="77777777" w:rsidR="00203798" w:rsidRPr="00DF7E02" w:rsidRDefault="00203798" w:rsidP="009C522F">
            <w:pPr>
              <w:jc w:val="both"/>
              <w:rPr>
                <w:rFonts w:ascii="Verdana" w:eastAsia="Calibri" w:hAnsi="Verdana" w:cs="Arial"/>
                <w:b/>
                <w:lang w:val="es-ES_tradnl" w:eastAsia="es-ES_tradnl"/>
              </w:rPr>
            </w:pPr>
            <w:r w:rsidRPr="00DF7E02">
              <w:rPr>
                <w:rFonts w:ascii="Verdana" w:eastAsia="Calibri" w:hAnsi="Verdana" w:cs="Arial"/>
                <w:b/>
                <w:lang w:val="es-ES_tradnl" w:eastAsia="es-ES_tradnl"/>
              </w:rPr>
              <w:t>Radicación:</w:t>
            </w:r>
            <w:r w:rsidRPr="00DF7E02">
              <w:rPr>
                <w:rFonts w:ascii="Verdana" w:eastAsia="Calibri" w:hAnsi="Verdana" w:cs="Arial"/>
                <w:lang w:val="es-ES_tradnl" w:eastAsia="es-ES_tradnl"/>
              </w:rPr>
              <w:t xml:space="preserve">               </w:t>
            </w:r>
          </w:p>
        </w:tc>
        <w:tc>
          <w:tcPr>
            <w:tcW w:w="6100" w:type="dxa"/>
          </w:tcPr>
          <w:p w14:paraId="0CCECF7F" w14:textId="557F78EA" w:rsidR="00203798" w:rsidRPr="00DF7E02" w:rsidRDefault="00203798" w:rsidP="009C522F">
            <w:pPr>
              <w:jc w:val="both"/>
              <w:rPr>
                <w:rFonts w:ascii="Verdana" w:eastAsia="Calibri" w:hAnsi="Verdana" w:cs="Arial"/>
                <w:lang w:val="es-ES_tradnl" w:eastAsia="es-ES_tradnl"/>
              </w:rPr>
            </w:pPr>
            <w:r w:rsidRPr="00DF7E02">
              <w:rPr>
                <w:rFonts w:ascii="Verdana" w:eastAsia="Calibri" w:hAnsi="Verdana" w:cs="Arial"/>
                <w:lang w:val="es-ES_tradnl" w:eastAsia="es-ES_tradnl"/>
              </w:rPr>
              <w:t xml:space="preserve">Respuesta a consulta con radicado No. </w:t>
            </w:r>
            <w:r w:rsidR="000F7F0A" w:rsidRPr="000F7F0A">
              <w:rPr>
                <w:rFonts w:ascii="Verdana" w:eastAsia="Calibri" w:hAnsi="Verdana" w:cs="Arial"/>
                <w:lang w:val="es-ES_tradnl" w:eastAsia="es-ES_tradnl"/>
              </w:rPr>
              <w:t>P20240923009698</w:t>
            </w:r>
          </w:p>
        </w:tc>
      </w:tr>
    </w:tbl>
    <w:p w14:paraId="5A8C841A" w14:textId="77777777" w:rsidR="00203798" w:rsidRPr="00DF7E02" w:rsidRDefault="00203798" w:rsidP="00203798">
      <w:pPr>
        <w:spacing w:after="0" w:line="240" w:lineRule="auto"/>
        <w:jc w:val="both"/>
        <w:rPr>
          <w:rFonts w:ascii="Verdana" w:eastAsia="Calibri" w:hAnsi="Verdana" w:cs="Arial"/>
          <w:lang w:val="es-ES_tradnl" w:eastAsia="es-ES_tradnl"/>
        </w:rPr>
      </w:pPr>
    </w:p>
    <w:p w14:paraId="6F3B65C9" w14:textId="77777777" w:rsidR="00781358" w:rsidRDefault="00781358" w:rsidP="00781358">
      <w:pPr>
        <w:pStyle w:val="Prrafodelista"/>
        <w:tabs>
          <w:tab w:val="left" w:pos="142"/>
          <w:tab w:val="left" w:pos="284"/>
        </w:tabs>
        <w:spacing w:line="276" w:lineRule="auto"/>
        <w:jc w:val="both"/>
        <w:rPr>
          <w:rFonts w:ascii="Verdana" w:eastAsia="Calibri" w:hAnsi="Verdana" w:cs="Arial"/>
          <w:lang w:val="es-ES" w:eastAsia="es-ES"/>
        </w:rPr>
      </w:pPr>
    </w:p>
    <w:p w14:paraId="29644458" w14:textId="0FCE0FA8" w:rsidR="00781358" w:rsidRDefault="00781358" w:rsidP="00781358">
      <w:pPr>
        <w:pStyle w:val="Prrafodelista"/>
        <w:tabs>
          <w:tab w:val="left" w:pos="142"/>
          <w:tab w:val="left" w:pos="284"/>
        </w:tabs>
        <w:spacing w:line="276" w:lineRule="auto"/>
        <w:ind w:left="0"/>
        <w:jc w:val="both"/>
        <w:rPr>
          <w:rFonts w:ascii="Verdana" w:eastAsia="Calibri" w:hAnsi="Verdana" w:cs="Arial"/>
          <w:lang w:val="es-ES" w:eastAsia="es-ES"/>
        </w:rPr>
      </w:pPr>
      <w:r w:rsidRPr="00781358">
        <w:rPr>
          <w:rFonts w:ascii="Verdana" w:eastAsia="Calibri" w:hAnsi="Verdana" w:cs="Arial"/>
          <w:lang w:val="es-ES" w:eastAsia="es-ES"/>
        </w:rPr>
        <w:t>Estimado señora Marcela:</w:t>
      </w:r>
    </w:p>
    <w:p w14:paraId="6B2B056A" w14:textId="77777777" w:rsidR="00781358" w:rsidRPr="00781358" w:rsidRDefault="00781358" w:rsidP="00781358">
      <w:pPr>
        <w:pStyle w:val="Prrafodelista"/>
        <w:tabs>
          <w:tab w:val="left" w:pos="142"/>
          <w:tab w:val="left" w:pos="284"/>
        </w:tabs>
        <w:spacing w:line="276" w:lineRule="auto"/>
        <w:ind w:left="0"/>
        <w:jc w:val="both"/>
        <w:rPr>
          <w:rFonts w:ascii="Verdana" w:eastAsia="Calibri" w:hAnsi="Verdana" w:cs="Arial"/>
          <w:lang w:val="es-ES" w:eastAsia="es-ES"/>
        </w:rPr>
      </w:pPr>
    </w:p>
    <w:p w14:paraId="7A6A723D" w14:textId="069EBC03" w:rsidR="00203798" w:rsidRDefault="00781358" w:rsidP="00781358">
      <w:pPr>
        <w:pStyle w:val="Prrafodelista"/>
        <w:tabs>
          <w:tab w:val="left" w:pos="142"/>
          <w:tab w:val="left" w:pos="284"/>
        </w:tabs>
        <w:spacing w:line="276" w:lineRule="auto"/>
        <w:ind w:left="0"/>
        <w:jc w:val="both"/>
        <w:rPr>
          <w:rFonts w:ascii="Verdana" w:eastAsia="Calibri" w:hAnsi="Verdana" w:cs="Arial"/>
          <w:lang w:val="es-ES" w:eastAsia="es-ES"/>
        </w:rPr>
      </w:pPr>
      <w:r w:rsidRPr="00781358">
        <w:rPr>
          <w:rFonts w:ascii="Verdana" w:eastAsia="Calibri" w:hAnsi="Verdana" w:cs="Arial"/>
          <w:lang w:val="es-ES" w:eastAsia="es-ES"/>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23 de septiembre de 2024, en la cual manifiesta lo siguiente:</w:t>
      </w:r>
    </w:p>
    <w:p w14:paraId="59D16BE3" w14:textId="77777777" w:rsidR="00781358" w:rsidRPr="00DF7E02" w:rsidRDefault="00781358" w:rsidP="00781358">
      <w:pPr>
        <w:pStyle w:val="Prrafodelista"/>
        <w:tabs>
          <w:tab w:val="left" w:pos="142"/>
          <w:tab w:val="left" w:pos="284"/>
        </w:tabs>
        <w:spacing w:line="276" w:lineRule="auto"/>
        <w:ind w:left="0"/>
        <w:jc w:val="both"/>
        <w:rPr>
          <w:rFonts w:ascii="Verdana" w:eastAsia="Century Gothic" w:hAnsi="Verdana" w:cs="Century Gothic"/>
          <w:b/>
          <w:bCs/>
          <w:lang w:val="es-ES"/>
        </w:rPr>
      </w:pPr>
    </w:p>
    <w:p w14:paraId="5E80A213" w14:textId="77777777" w:rsidR="00B1424A" w:rsidRPr="00B1424A" w:rsidRDefault="00B1424A" w:rsidP="00B1424A">
      <w:pPr>
        <w:pStyle w:val="Prrafodelista"/>
        <w:tabs>
          <w:tab w:val="left" w:pos="142"/>
          <w:tab w:val="left" w:pos="284"/>
        </w:tabs>
        <w:spacing w:line="240" w:lineRule="auto"/>
        <w:ind w:left="709" w:right="709"/>
        <w:jc w:val="both"/>
        <w:rPr>
          <w:rFonts w:ascii="Verdana" w:eastAsia="Century Gothic" w:hAnsi="Verdana" w:cs="Century Gothic"/>
          <w:sz w:val="20"/>
          <w:szCs w:val="20"/>
          <w:lang w:val="es-ES"/>
        </w:rPr>
      </w:pPr>
      <w:r w:rsidRPr="00B1424A">
        <w:rPr>
          <w:rFonts w:ascii="Verdana" w:eastAsia="Century Gothic" w:hAnsi="Verdana" w:cs="Century Gothic"/>
          <w:sz w:val="20"/>
          <w:szCs w:val="20"/>
          <w:lang w:val="es-ES"/>
        </w:rPr>
        <w:t>“[…]</w:t>
      </w:r>
    </w:p>
    <w:p w14:paraId="07D68E2B" w14:textId="77777777" w:rsidR="00B1424A" w:rsidRPr="00B1424A" w:rsidRDefault="00B1424A" w:rsidP="00B1424A">
      <w:pPr>
        <w:pStyle w:val="Prrafodelista"/>
        <w:tabs>
          <w:tab w:val="left" w:pos="142"/>
          <w:tab w:val="left" w:pos="284"/>
        </w:tabs>
        <w:spacing w:line="240" w:lineRule="auto"/>
        <w:ind w:left="709" w:right="709"/>
        <w:jc w:val="both"/>
        <w:rPr>
          <w:rFonts w:ascii="Verdana" w:eastAsia="Century Gothic" w:hAnsi="Verdana" w:cs="Century Gothic"/>
          <w:sz w:val="20"/>
          <w:szCs w:val="20"/>
          <w:lang w:val="es-ES"/>
        </w:rPr>
      </w:pPr>
      <w:r w:rsidRPr="00B1424A">
        <w:rPr>
          <w:rFonts w:ascii="Verdana" w:eastAsia="Century Gothic" w:hAnsi="Verdana" w:cs="Century Gothic"/>
          <w:sz w:val="20"/>
          <w:szCs w:val="20"/>
          <w:lang w:val="es-ES"/>
        </w:rPr>
        <w:t>1)</w:t>
      </w:r>
      <w:r w:rsidRPr="00B1424A">
        <w:rPr>
          <w:rFonts w:ascii="Verdana" w:eastAsia="Century Gothic" w:hAnsi="Verdana" w:cs="Century Gothic"/>
          <w:sz w:val="20"/>
          <w:szCs w:val="20"/>
          <w:lang w:val="es-ES"/>
        </w:rPr>
        <w:tab/>
        <w:t>En procesos de licitación pública y de selección abreviada de menor cuantía, (no concurso de méritos) ¿es posible calificar con puntaje la experiencia adicional a la requerida como requisito habilitante, es decir, es posible requerir contratos adicionales a la experiencia habilitante, a los cuales se les otorga puntaje?</w:t>
      </w:r>
    </w:p>
    <w:p w14:paraId="4D18C43D" w14:textId="77777777" w:rsidR="00B1424A" w:rsidRPr="00B1424A" w:rsidRDefault="00B1424A" w:rsidP="00B1424A">
      <w:pPr>
        <w:pStyle w:val="Prrafodelista"/>
        <w:tabs>
          <w:tab w:val="left" w:pos="142"/>
          <w:tab w:val="left" w:pos="284"/>
        </w:tabs>
        <w:spacing w:line="240" w:lineRule="auto"/>
        <w:ind w:left="709" w:right="709"/>
        <w:jc w:val="both"/>
        <w:rPr>
          <w:rFonts w:ascii="Verdana" w:eastAsia="Century Gothic" w:hAnsi="Verdana" w:cs="Century Gothic"/>
          <w:sz w:val="20"/>
          <w:szCs w:val="20"/>
          <w:lang w:val="es-ES"/>
        </w:rPr>
      </w:pPr>
      <w:r w:rsidRPr="00B1424A">
        <w:rPr>
          <w:rFonts w:ascii="Verdana" w:eastAsia="Century Gothic" w:hAnsi="Verdana" w:cs="Century Gothic"/>
          <w:sz w:val="20"/>
          <w:szCs w:val="20"/>
          <w:lang w:val="es-ES"/>
        </w:rPr>
        <w:t xml:space="preserve"> </w:t>
      </w:r>
    </w:p>
    <w:p w14:paraId="4A2D2FFA" w14:textId="258CBF1F" w:rsidR="00B1424A" w:rsidRPr="00B1424A" w:rsidRDefault="00B1424A" w:rsidP="00B1424A">
      <w:pPr>
        <w:pStyle w:val="Prrafodelista"/>
        <w:tabs>
          <w:tab w:val="left" w:pos="142"/>
          <w:tab w:val="left" w:pos="284"/>
        </w:tabs>
        <w:spacing w:line="240" w:lineRule="auto"/>
        <w:ind w:left="709" w:right="709"/>
        <w:jc w:val="both"/>
        <w:rPr>
          <w:rFonts w:ascii="Verdana" w:eastAsia="Century Gothic" w:hAnsi="Verdana" w:cs="Century Gothic"/>
          <w:sz w:val="20"/>
          <w:szCs w:val="20"/>
          <w:lang w:val="es-ES"/>
        </w:rPr>
      </w:pPr>
      <w:r w:rsidRPr="00B1424A">
        <w:rPr>
          <w:rFonts w:ascii="Verdana" w:eastAsia="Century Gothic" w:hAnsi="Verdana" w:cs="Century Gothic"/>
          <w:sz w:val="20"/>
          <w:szCs w:val="20"/>
          <w:lang w:val="es-ES"/>
        </w:rPr>
        <w:lastRenderedPageBreak/>
        <w:t>2)</w:t>
      </w:r>
      <w:r w:rsidRPr="00B1424A">
        <w:rPr>
          <w:rFonts w:ascii="Verdana" w:eastAsia="Century Gothic" w:hAnsi="Verdana" w:cs="Century Gothic"/>
          <w:sz w:val="20"/>
          <w:szCs w:val="20"/>
          <w:lang w:val="es-ES"/>
        </w:rPr>
        <w:tab/>
        <w:t xml:space="preserve">¿Es posible exigir en los pliegos de condiciones de una licitación pública, que la experiencia habilitante, en caso de proponentes plurales, sea acreditada con porcentajes específicos por cada uno de los integrantes del consorcio o unión temporal? Por ejemplo; “uno de los integrantes deberá aportar como mínimo el 50% de la experiencia solicitada, los demás integrantes deberán acreditar cada uno por lo menos el 10% de la </w:t>
      </w:r>
      <w:r w:rsidR="00D4383C" w:rsidRPr="00B1424A">
        <w:rPr>
          <w:rFonts w:ascii="Verdana" w:eastAsia="Century Gothic" w:hAnsi="Verdana" w:cs="Century Gothic"/>
          <w:sz w:val="20"/>
          <w:szCs w:val="20"/>
          <w:lang w:val="es-ES"/>
        </w:rPr>
        <w:t>experiencia”</w:t>
      </w:r>
    </w:p>
    <w:p w14:paraId="723E4E0F" w14:textId="42965F2A" w:rsidR="00203798" w:rsidRPr="00DF7E02" w:rsidRDefault="00B1424A" w:rsidP="00B1424A">
      <w:pPr>
        <w:pStyle w:val="Prrafodelista"/>
        <w:tabs>
          <w:tab w:val="left" w:pos="142"/>
          <w:tab w:val="left" w:pos="284"/>
        </w:tabs>
        <w:spacing w:line="240" w:lineRule="auto"/>
        <w:ind w:left="709" w:right="709"/>
        <w:jc w:val="both"/>
        <w:rPr>
          <w:rFonts w:ascii="Verdana" w:eastAsia="Century Gothic" w:hAnsi="Verdana" w:cs="Century Gothic"/>
          <w:b/>
          <w:bCs/>
          <w:lang w:val="es-ES"/>
        </w:rPr>
      </w:pPr>
      <w:r w:rsidRPr="00B1424A">
        <w:rPr>
          <w:rFonts w:ascii="Verdana" w:eastAsia="Century Gothic" w:hAnsi="Verdana" w:cs="Century Gothic"/>
          <w:sz w:val="20"/>
          <w:szCs w:val="20"/>
          <w:lang w:val="es-ES"/>
        </w:rPr>
        <w:t>[…]”.</w:t>
      </w:r>
    </w:p>
    <w:p w14:paraId="5B4586AA" w14:textId="77777777" w:rsidR="00203798" w:rsidRPr="00DF7E02" w:rsidRDefault="00203798" w:rsidP="00203798">
      <w:pPr>
        <w:spacing w:after="120" w:line="276" w:lineRule="auto"/>
        <w:ind w:firstLine="709"/>
        <w:jc w:val="both"/>
        <w:rPr>
          <w:rFonts w:ascii="Verdana" w:eastAsia="Calibri" w:hAnsi="Verdana" w:cs="Arial"/>
          <w:color w:val="000000"/>
          <w:szCs w:val="24"/>
          <w:lang w:val="es-ES_tradnl" w:eastAsia="es-ES_tradnl"/>
        </w:rPr>
      </w:pPr>
      <w:r w:rsidRPr="00DF7E02">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F7E02">
        <w:rPr>
          <w:rFonts w:ascii="Verdana" w:eastAsia="Calibri" w:hAnsi="Verdana" w:cs="Arial"/>
          <w:color w:val="000000"/>
          <w:szCs w:val="24"/>
          <w:lang w:val="es-ES_tradnl" w:eastAsia="es-ES_tradnl"/>
        </w:rPr>
        <w:tab/>
      </w:r>
    </w:p>
    <w:p w14:paraId="154C1348" w14:textId="77777777" w:rsidR="00203798" w:rsidRPr="00DF7E02" w:rsidRDefault="00203798" w:rsidP="00203798">
      <w:pPr>
        <w:spacing w:after="0" w:line="276" w:lineRule="auto"/>
        <w:ind w:firstLine="709"/>
        <w:jc w:val="both"/>
        <w:rPr>
          <w:rFonts w:ascii="Verdana" w:eastAsia="Calibri" w:hAnsi="Verdana" w:cs="Arial"/>
          <w:lang w:val="es-ES" w:eastAsia="es-ES"/>
        </w:rPr>
      </w:pPr>
      <w:r w:rsidRPr="00DF7E02">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w:t>
      </w:r>
      <w:r w:rsidRPr="00DF7E02">
        <w:rPr>
          <w:rFonts w:ascii="Verdana" w:eastAsia="Calibri" w:hAnsi="Verdana" w:cs="Arial"/>
          <w:lang w:val="es-ES" w:eastAsia="es-ES"/>
        </w:rPr>
        <w:t xml:space="preserve">abstracción de las circunstancias particulares y concretas mencionadas en su petición, pero haciendo unas consideraciones sobre las normas generales relacionadas con los problemas jurídicos de su consulta. </w:t>
      </w:r>
    </w:p>
    <w:p w14:paraId="228C7DBC" w14:textId="77777777" w:rsidR="00203798" w:rsidRPr="00DF7E02" w:rsidRDefault="00203798" w:rsidP="00203798">
      <w:pPr>
        <w:spacing w:after="0" w:line="276" w:lineRule="auto"/>
        <w:ind w:firstLine="709"/>
        <w:jc w:val="both"/>
        <w:rPr>
          <w:rFonts w:ascii="Verdana" w:eastAsia="Calibri" w:hAnsi="Verdana" w:cs="Arial"/>
          <w:lang w:val="es-ES" w:eastAsia="es-ES"/>
        </w:rPr>
      </w:pPr>
    </w:p>
    <w:p w14:paraId="02C06134" w14:textId="77777777" w:rsidR="00203798" w:rsidRPr="00DF7E02" w:rsidRDefault="00203798" w:rsidP="00203798">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DF7E02">
        <w:rPr>
          <w:rFonts w:ascii="Verdana" w:eastAsia="Century Gothic" w:hAnsi="Verdana" w:cs="Century Gothic"/>
          <w:b/>
          <w:bCs/>
          <w:lang w:val="es-ES"/>
        </w:rPr>
        <w:t>Problema planteado:</w:t>
      </w:r>
    </w:p>
    <w:p w14:paraId="295DBB71" w14:textId="77777777" w:rsidR="00203798" w:rsidRPr="00DF7E02" w:rsidRDefault="00203798" w:rsidP="00203798">
      <w:pPr>
        <w:tabs>
          <w:tab w:val="left" w:pos="426"/>
        </w:tabs>
        <w:spacing w:after="0" w:line="276" w:lineRule="auto"/>
        <w:jc w:val="both"/>
        <w:rPr>
          <w:rFonts w:ascii="Verdana" w:eastAsia="Century Gothic" w:hAnsi="Verdana" w:cs="Century Gothic"/>
          <w:lang w:val="es-ES"/>
        </w:rPr>
      </w:pPr>
    </w:p>
    <w:p w14:paraId="13299093" w14:textId="40F8F98F" w:rsidR="00203798" w:rsidRPr="00DF7E02" w:rsidRDefault="00390F67" w:rsidP="00203798">
      <w:pPr>
        <w:spacing w:after="0" w:line="276" w:lineRule="auto"/>
        <w:jc w:val="both"/>
        <w:rPr>
          <w:rFonts w:ascii="Verdana" w:eastAsia="Calibri" w:hAnsi="Verdana" w:cs="Arial"/>
          <w:color w:val="7030A0"/>
          <w:lang w:val="es-ES"/>
        </w:rPr>
      </w:pPr>
      <w:r w:rsidRPr="00390F67">
        <w:rPr>
          <w:rFonts w:ascii="Verdana" w:eastAsia="Century Gothic" w:hAnsi="Verdana" w:cs="Century Gothic"/>
        </w:rPr>
        <w:t xml:space="preserve">De acuerdo con el contenido de su solicitud, esta Agencia resolverá los siguientes problemas jurídicos: ¡) ¿Es posible otorgar puntaje a la experiencia adicional a la mínima requerida en un proceso de licitación pública y/o selección abreviada de menor cuantía?, ii) ¿Es posible que en los pliegos de condiciones las entidades estatales puedan exigir un porcentaje mínimo de participación para un consorcio </w:t>
      </w:r>
      <w:r w:rsidRPr="00390F67">
        <w:rPr>
          <w:rFonts w:ascii="Verdana" w:eastAsia="Century Gothic" w:hAnsi="Verdana" w:cs="Century Gothic"/>
        </w:rPr>
        <w:lastRenderedPageBreak/>
        <w:t>o unión temporal? iii) ¿Es posible que la experiencia sea aportada por cualquiera de las personas del proponente plural?</w:t>
      </w:r>
    </w:p>
    <w:p w14:paraId="3C9C1CF0" w14:textId="77777777" w:rsidR="00203798" w:rsidRPr="00DF7E02" w:rsidRDefault="00203798" w:rsidP="0020379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DF7E02">
        <w:rPr>
          <w:rFonts w:ascii="Verdana" w:eastAsia="Century Gothic" w:hAnsi="Verdana" w:cs="Century Gothic"/>
          <w:b/>
          <w:bCs/>
          <w:lang w:val="es-ES"/>
        </w:rPr>
        <w:t>Respuesta:</w:t>
      </w:r>
    </w:p>
    <w:p w14:paraId="4C0EEC3E" w14:textId="77777777" w:rsidR="00203798" w:rsidRPr="00DF7E02" w:rsidRDefault="00203798" w:rsidP="0020379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03798" w:rsidRPr="00DF7E02" w14:paraId="0C03BADD" w14:textId="77777777" w:rsidTr="009C522F">
        <w:tc>
          <w:tcPr>
            <w:tcW w:w="8828" w:type="dxa"/>
            <w:shd w:val="clear" w:color="auto" w:fill="auto"/>
          </w:tcPr>
          <w:p w14:paraId="1CC30B99" w14:textId="00AFAB02" w:rsidR="0056519F" w:rsidRPr="0056519F" w:rsidRDefault="0056519F" w:rsidP="0056519F">
            <w:pPr>
              <w:spacing w:after="120" w:line="276" w:lineRule="auto"/>
              <w:ind w:right="77"/>
              <w:jc w:val="both"/>
              <w:rPr>
                <w:rFonts w:ascii="Verdana" w:hAnsi="Verdana"/>
              </w:rPr>
            </w:pPr>
            <w:r w:rsidRPr="0056519F">
              <w:rPr>
                <w:rFonts w:ascii="Verdana" w:hAnsi="Verdana"/>
              </w:rPr>
              <w:t>i)</w:t>
            </w:r>
            <w:r w:rsidRPr="0056519F">
              <w:rPr>
                <w:rFonts w:ascii="Verdana" w:hAnsi="Verdana"/>
              </w:rPr>
              <w:tab/>
              <w:t>Frente al primer interrogante planteado relacionado con el puntaje a la experiencia adicional a la mínima exigida, es pertinente indicar que la experiencia es un requisito habilitante para continuar en el proceso de selección. En regla general, no es un factor de asignación de puntaje</w:t>
            </w:r>
            <w:r w:rsidR="002B58BB">
              <w:rPr>
                <w:rStyle w:val="Refdenotaalpie"/>
                <w:rFonts w:ascii="Verdana" w:hAnsi="Verdana"/>
              </w:rPr>
              <w:footnoteReference w:id="2"/>
            </w:r>
            <w:r w:rsidRPr="0056519F">
              <w:rPr>
                <w:rFonts w:ascii="Verdana" w:hAnsi="Verdana"/>
              </w:rPr>
              <w:t xml:space="preserve">, excepto en los concursos de méritos que la experiencia consiste en un factor de asignación de puntaje o de manera excepcional en los documentos tipos </w:t>
            </w:r>
            <w:r w:rsidRPr="00230B6D">
              <w:rPr>
                <w:rFonts w:ascii="Verdana" w:hAnsi="Verdana"/>
                <w:i/>
                <w:iCs/>
              </w:rPr>
              <w:t>para los procesos de licitación pública para obras de infraestructura de agua potable y saneamiento básico</w:t>
            </w:r>
            <w:r w:rsidR="00230B6D">
              <w:rPr>
                <w:rStyle w:val="Refdenotaalpie"/>
                <w:rFonts w:ascii="Verdana" w:hAnsi="Verdana"/>
                <w:i/>
                <w:iCs/>
              </w:rPr>
              <w:footnoteReference w:id="3"/>
            </w:r>
            <w:r w:rsidRPr="0056519F">
              <w:rPr>
                <w:rFonts w:ascii="Verdana" w:hAnsi="Verdana"/>
              </w:rPr>
              <w:t xml:space="preserve"> que requiere incluir experiencia adicional para evaluar la idoneidad respecto de los bienes y servicios ajenos la obra pública, y deberá seguir los parámetros pertinentes. Lo anterior se encuentra fundamentado en la disposición normativa contenida en el numeral 1 del artículo 5 de la Ley 1150 de 2007</w:t>
            </w:r>
            <w:r w:rsidR="00752AF7">
              <w:rPr>
                <w:rStyle w:val="Refdenotaalpie"/>
                <w:rFonts w:ascii="Verdana" w:hAnsi="Verdana"/>
              </w:rPr>
              <w:footnoteReference w:id="4"/>
            </w:r>
            <w:r w:rsidRPr="0056519F">
              <w:rPr>
                <w:rFonts w:ascii="Verdana" w:hAnsi="Verdana"/>
              </w:rPr>
              <w:t>.</w:t>
            </w:r>
          </w:p>
          <w:p w14:paraId="01A0B3C5" w14:textId="77777777" w:rsidR="0056519F" w:rsidRPr="0056519F" w:rsidRDefault="0056519F" w:rsidP="0056519F">
            <w:pPr>
              <w:spacing w:after="120" w:line="276" w:lineRule="auto"/>
              <w:ind w:right="77"/>
              <w:jc w:val="both"/>
              <w:rPr>
                <w:rFonts w:ascii="Verdana" w:hAnsi="Verdana"/>
              </w:rPr>
            </w:pPr>
            <w:r w:rsidRPr="0056519F">
              <w:rPr>
                <w:rFonts w:ascii="Verdana" w:hAnsi="Verdana"/>
              </w:rPr>
              <w:t>ii)</w:t>
            </w:r>
            <w:r w:rsidRPr="0056519F">
              <w:rPr>
                <w:rFonts w:ascii="Verdana" w:hAnsi="Verdana"/>
              </w:rPr>
              <w:tab/>
              <w:t>Frente al segundo interrogante planteado relacionado con la exigencia de un porcentaje mínimo de participación para un proponente plural, se recuerda que las entidades estatales gozan de total autonomía para fijar las condiciones habilitantes, en especial el relacionado con la capacidad jurídica para contratar, cuidando en todo caso que no se limiten los principios de participación, libre competencia y de concurrencia.</w:t>
            </w:r>
          </w:p>
          <w:p w14:paraId="0D1D2F1D" w14:textId="77777777" w:rsidR="0056519F" w:rsidRPr="0056519F" w:rsidRDefault="0056519F" w:rsidP="0056519F">
            <w:pPr>
              <w:spacing w:after="120" w:line="276" w:lineRule="auto"/>
              <w:ind w:right="77"/>
              <w:jc w:val="both"/>
              <w:rPr>
                <w:rFonts w:ascii="Verdana" w:hAnsi="Verdana"/>
              </w:rPr>
            </w:pPr>
          </w:p>
          <w:p w14:paraId="33A514E6" w14:textId="77777777" w:rsidR="0056519F" w:rsidRPr="0056519F" w:rsidRDefault="0056519F" w:rsidP="0056519F">
            <w:pPr>
              <w:spacing w:after="120" w:line="276" w:lineRule="auto"/>
              <w:ind w:right="77"/>
              <w:jc w:val="both"/>
              <w:rPr>
                <w:rFonts w:ascii="Verdana" w:hAnsi="Verdana"/>
              </w:rPr>
            </w:pPr>
            <w:r w:rsidRPr="0056519F">
              <w:rPr>
                <w:rFonts w:ascii="Verdana" w:hAnsi="Verdana"/>
              </w:rPr>
              <w:t xml:space="preserve">Los proponentes plurales deberán aportar el acta de conformación consorcial o el acta de conformación de unión temporal indicando claramente la individualización de la persona natural o jurídica, el porcentaje de </w:t>
            </w:r>
            <w:r w:rsidRPr="0056519F">
              <w:rPr>
                <w:rFonts w:ascii="Verdana" w:hAnsi="Verdana"/>
              </w:rPr>
              <w:lastRenderedPageBreak/>
              <w:t>participación y demás compromisos entre las partes que se encuentren estipulados en los pliegos de condiciones y anexos del proceso contractual.</w:t>
            </w:r>
          </w:p>
          <w:p w14:paraId="5F1F84B8" w14:textId="77777777" w:rsidR="0056519F" w:rsidRPr="0056519F" w:rsidRDefault="0056519F" w:rsidP="0056519F">
            <w:pPr>
              <w:spacing w:after="120" w:line="276" w:lineRule="auto"/>
              <w:ind w:right="77"/>
              <w:jc w:val="both"/>
              <w:rPr>
                <w:rFonts w:ascii="Verdana" w:hAnsi="Verdana"/>
              </w:rPr>
            </w:pPr>
          </w:p>
          <w:p w14:paraId="6F5243CB" w14:textId="4703178C" w:rsidR="00D53601" w:rsidRPr="00D53601" w:rsidRDefault="0056519F" w:rsidP="00D53601">
            <w:pPr>
              <w:spacing w:line="276" w:lineRule="auto"/>
              <w:jc w:val="both"/>
              <w:rPr>
                <w:rFonts w:ascii="Verdana" w:hAnsi="Verdana"/>
              </w:rPr>
            </w:pPr>
            <w:r w:rsidRPr="0056519F">
              <w:rPr>
                <w:rFonts w:ascii="Verdana" w:hAnsi="Verdana"/>
              </w:rPr>
              <w:t>En todo caso, en los pliegos de condiciones deberán las Entidades Estatales manifestar con claridad la necesidad o exigencia del</w:t>
            </w:r>
            <w:r w:rsidR="00D53601">
              <w:t xml:space="preserve"> </w:t>
            </w:r>
            <w:r w:rsidR="00D53601" w:rsidRPr="00D53601">
              <w:rPr>
                <w:rFonts w:ascii="Verdana" w:hAnsi="Verdana"/>
              </w:rPr>
              <w:t>porcentaje mínimo de participación para un consorcio o unión temporal dentro de un proceso de contratación, si así lo ha considerado. Lo anterior, teniendo en cuenta la discrecionalidad que tiene la Entidad Contratante para fijar las reglas del procedimiento de selección en el pliego de condiciones.</w:t>
            </w:r>
          </w:p>
          <w:p w14:paraId="41FFACEB" w14:textId="77777777" w:rsidR="00D53601" w:rsidRPr="00D53601" w:rsidRDefault="00D53601" w:rsidP="00D53601">
            <w:pPr>
              <w:spacing w:line="276" w:lineRule="auto"/>
              <w:jc w:val="both"/>
              <w:rPr>
                <w:rFonts w:ascii="Verdana" w:hAnsi="Verdana"/>
              </w:rPr>
            </w:pPr>
          </w:p>
          <w:p w14:paraId="08999C0D" w14:textId="110FF026" w:rsidR="00D53601" w:rsidRPr="00D53601" w:rsidRDefault="00D53601" w:rsidP="00D53601">
            <w:pPr>
              <w:spacing w:line="276" w:lineRule="auto"/>
              <w:jc w:val="both"/>
              <w:rPr>
                <w:rFonts w:ascii="Verdana" w:hAnsi="Verdana"/>
              </w:rPr>
            </w:pPr>
            <w:r w:rsidRPr="00D53601">
              <w:rPr>
                <w:rFonts w:ascii="Verdana" w:hAnsi="Verdana"/>
              </w:rPr>
              <w:t>iii)</w:t>
            </w:r>
            <w:r w:rsidRPr="00D53601">
              <w:rPr>
                <w:rFonts w:ascii="Verdana" w:hAnsi="Verdana"/>
              </w:rPr>
              <w:tab/>
              <w:t xml:space="preserve">Frente al tercer interrogante planteado, la forma de acreditación de la experiencia para los integrantes del proponente plural como requisito habilitante es fijada por la entidad estatal en los estudios previos y pliegos de condiciones </w:t>
            </w:r>
            <w:r w:rsidR="00D4383C" w:rsidRPr="00D53601">
              <w:rPr>
                <w:rFonts w:ascii="Verdana" w:hAnsi="Verdana"/>
              </w:rPr>
              <w:t>de acuerdo con</w:t>
            </w:r>
            <w:r w:rsidRPr="00D53601">
              <w:rPr>
                <w:rFonts w:ascii="Verdana" w:hAnsi="Verdana"/>
              </w:rPr>
              <w:t xml:space="preserve"> la necesidad a contratar. El Decreto 1082 de 2015 en su artículo 2.2.1.1.1.6.1 señala el deber de las Entidades Estatales de realizar durante la etapa de planeación, el análisis necesario para conocer el sector relativo al objeto del Proceso de Contratación desde la perspectiva legal, comercial, financiera, organizacional, técnica, y de análisis de Riesgo, dejando constancia de este análisis en los Documentos del Proceso por lo cual la determinación y las condiciones exigida para acreditar y soportar la experiencia se encuentra a cargo de la entidad contratante.</w:t>
            </w:r>
          </w:p>
          <w:p w14:paraId="080448B0" w14:textId="77777777" w:rsidR="00D53601" w:rsidRPr="00D53601" w:rsidRDefault="00D53601" w:rsidP="00D53601">
            <w:pPr>
              <w:spacing w:line="276" w:lineRule="auto"/>
              <w:jc w:val="both"/>
              <w:rPr>
                <w:rFonts w:ascii="Verdana" w:hAnsi="Verdana"/>
              </w:rPr>
            </w:pPr>
          </w:p>
          <w:p w14:paraId="276530A0" w14:textId="77777777" w:rsidR="00D53601" w:rsidRPr="00D53601" w:rsidRDefault="00D53601" w:rsidP="00D53601">
            <w:pPr>
              <w:spacing w:line="276" w:lineRule="auto"/>
              <w:jc w:val="both"/>
              <w:rPr>
                <w:rFonts w:ascii="Verdana" w:hAnsi="Verdana"/>
              </w:rPr>
            </w:pPr>
            <w:r w:rsidRPr="00D53601">
              <w:rPr>
                <w:rFonts w:ascii="Verdana" w:hAnsi="Verdana"/>
              </w:rPr>
              <w:t>Finalmente, con el fin ilustrativo el “manual para determinar y verificar requisitos habilitantes en los procesos de contratación”, expedido por Colombia Compra Eficiente, en relación con la experiencia de los proponentes plurales, sugiere que se debe sumar lo acreditado por cada miembro del consorcio o de la unión temporal.</w:t>
            </w:r>
          </w:p>
          <w:p w14:paraId="700735CD" w14:textId="77777777" w:rsidR="00D53601" w:rsidRPr="00D53601" w:rsidRDefault="00D53601" w:rsidP="00D53601">
            <w:pPr>
              <w:spacing w:line="276" w:lineRule="auto"/>
              <w:jc w:val="both"/>
              <w:rPr>
                <w:rFonts w:ascii="Verdana" w:hAnsi="Verdana"/>
              </w:rPr>
            </w:pPr>
          </w:p>
          <w:p w14:paraId="7389E42E" w14:textId="5FA7E4D8" w:rsidR="00203798" w:rsidRPr="00DF7E02" w:rsidRDefault="00D53601" w:rsidP="00D53601">
            <w:pPr>
              <w:spacing w:line="276" w:lineRule="auto"/>
              <w:jc w:val="both"/>
              <w:rPr>
                <w:rFonts w:ascii="Verdana" w:eastAsia="Calibri" w:hAnsi="Verdana" w:cs="Arial"/>
                <w:color w:val="7030A0"/>
                <w:lang w:val="es-ES"/>
              </w:rPr>
            </w:pPr>
            <w:r w:rsidRPr="00D53601">
              <w:rPr>
                <w:rFonts w:ascii="Verdana" w:hAnsi="Verdana"/>
              </w:rPr>
              <w:t>No obstante, en virtud de la discrecionalidad de la entidad, esta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aplicables.</w:t>
            </w:r>
          </w:p>
        </w:tc>
      </w:tr>
    </w:tbl>
    <w:p w14:paraId="06247765" w14:textId="77777777" w:rsidR="00203798" w:rsidRPr="00DF7E02" w:rsidRDefault="00203798" w:rsidP="00203798">
      <w:pPr>
        <w:tabs>
          <w:tab w:val="left" w:pos="142"/>
          <w:tab w:val="left" w:pos="284"/>
        </w:tabs>
        <w:spacing w:after="0" w:line="276" w:lineRule="auto"/>
        <w:jc w:val="both"/>
        <w:rPr>
          <w:rFonts w:ascii="Verdana" w:eastAsia="Century Gothic" w:hAnsi="Verdana" w:cs="Century Gothic"/>
          <w:b/>
          <w:bCs/>
          <w:lang w:val="es-ES"/>
        </w:rPr>
      </w:pPr>
    </w:p>
    <w:p w14:paraId="40051FA1" w14:textId="77777777" w:rsidR="00203798" w:rsidRPr="00DF7E02" w:rsidRDefault="00203798" w:rsidP="0020379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DF7E02">
        <w:rPr>
          <w:rFonts w:ascii="Verdana" w:eastAsia="Century Gothic" w:hAnsi="Verdana" w:cs="Century Gothic"/>
          <w:b/>
          <w:bCs/>
          <w:lang w:val="es-ES"/>
        </w:rPr>
        <w:t>Razones de la respuesta:</w:t>
      </w:r>
    </w:p>
    <w:p w14:paraId="1F9B3756" w14:textId="77777777" w:rsidR="00203798" w:rsidRPr="00DF7E02" w:rsidRDefault="00203798" w:rsidP="00203798">
      <w:pPr>
        <w:spacing w:after="0" w:line="276" w:lineRule="auto"/>
        <w:jc w:val="both"/>
        <w:rPr>
          <w:rFonts w:ascii="Verdana" w:eastAsia="Calibri" w:hAnsi="Verdana" w:cs="Arial"/>
          <w:color w:val="7030A0"/>
          <w:lang w:val="es-ES"/>
        </w:rPr>
      </w:pPr>
    </w:p>
    <w:p w14:paraId="32A9A093" w14:textId="2F0CB44A" w:rsidR="00203798" w:rsidRDefault="00203798" w:rsidP="00203798">
      <w:pPr>
        <w:spacing w:after="0" w:line="276" w:lineRule="auto"/>
        <w:jc w:val="both"/>
        <w:rPr>
          <w:rFonts w:ascii="Verdana" w:eastAsia="Calibri" w:hAnsi="Verdana" w:cs="Arial"/>
          <w:lang w:val="es-ES"/>
        </w:rPr>
      </w:pPr>
      <w:r w:rsidRPr="00DF7E02">
        <w:rPr>
          <w:rFonts w:ascii="Verdana" w:eastAsia="Calibri" w:hAnsi="Verdana" w:cs="Arial"/>
          <w:lang w:val="es-ES"/>
        </w:rPr>
        <w:t xml:space="preserve">Lo anterior se sustenta en las siguientes consideraciones: </w:t>
      </w:r>
    </w:p>
    <w:p w14:paraId="70524D06" w14:textId="77777777" w:rsidR="00752AF7" w:rsidRDefault="00752AF7" w:rsidP="00203798">
      <w:pPr>
        <w:spacing w:after="0" w:line="276" w:lineRule="auto"/>
        <w:jc w:val="both"/>
        <w:rPr>
          <w:rFonts w:ascii="Verdana" w:eastAsia="Calibri" w:hAnsi="Verdana" w:cs="Arial"/>
          <w:lang w:val="es-ES"/>
        </w:rPr>
      </w:pPr>
    </w:p>
    <w:p w14:paraId="5CD4B12B" w14:textId="77777777" w:rsidR="00444BBE" w:rsidRPr="00444BBE" w:rsidRDefault="00444BBE" w:rsidP="00444BBE">
      <w:pPr>
        <w:spacing w:after="0" w:line="276" w:lineRule="auto"/>
        <w:jc w:val="both"/>
        <w:rPr>
          <w:rFonts w:ascii="Verdana" w:eastAsia="Calibri" w:hAnsi="Verdana" w:cs="Arial"/>
          <w:lang w:val="es-ES"/>
        </w:rPr>
      </w:pPr>
      <w:r w:rsidRPr="00444BBE">
        <w:rPr>
          <w:rFonts w:ascii="Verdana" w:eastAsia="Calibri" w:hAnsi="Verdana" w:cs="Arial"/>
          <w:lang w:val="es-ES"/>
        </w:rPr>
        <w:t>Frente al primer interrogante, es necesario tener claridad sobre los requisitos habilitantes y los requisitos de evaluación o calificación o ponderación.</w:t>
      </w:r>
    </w:p>
    <w:p w14:paraId="669DB528" w14:textId="77777777" w:rsidR="00444BBE" w:rsidRPr="00444BBE" w:rsidRDefault="00444BBE" w:rsidP="00444BBE">
      <w:pPr>
        <w:spacing w:after="0" w:line="276" w:lineRule="auto"/>
        <w:jc w:val="both"/>
        <w:rPr>
          <w:rFonts w:ascii="Verdana" w:eastAsia="Calibri" w:hAnsi="Verdana" w:cs="Arial"/>
          <w:lang w:val="es-ES"/>
        </w:rPr>
      </w:pPr>
      <w:r w:rsidRPr="00444BBE">
        <w:rPr>
          <w:rFonts w:ascii="Verdana" w:eastAsia="Calibri" w:hAnsi="Verdana" w:cs="Arial"/>
          <w:lang w:val="es-ES"/>
        </w:rPr>
        <w:t>Los primeros, se definen como las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w:t>
      </w:r>
    </w:p>
    <w:p w14:paraId="4B3BA702" w14:textId="37E8917C" w:rsidR="00444BBE" w:rsidRDefault="00444BBE" w:rsidP="00444BBE">
      <w:pPr>
        <w:spacing w:after="0" w:line="276" w:lineRule="auto"/>
        <w:jc w:val="both"/>
        <w:rPr>
          <w:rFonts w:ascii="Verdana" w:eastAsia="Calibri" w:hAnsi="Verdana" w:cs="Arial"/>
          <w:lang w:val="es-ES"/>
        </w:rPr>
      </w:pPr>
      <w:r w:rsidRPr="00444BBE">
        <w:rPr>
          <w:rFonts w:ascii="Verdana" w:eastAsia="Calibri" w:hAnsi="Verdana" w:cs="Arial"/>
          <w:lang w:val="es-ES"/>
        </w:rPr>
        <w:t>Ahora bien, es preciso indicar que el propósito o finalidad de los requisitos habilitantes, es verificar por parte de las entidades sometidas al Estatuto general de contratación de la administración pública -</w:t>
      </w:r>
      <w:r w:rsidR="00BD162A" w:rsidRPr="00444BBE">
        <w:rPr>
          <w:rFonts w:ascii="Verdana" w:eastAsia="Calibri" w:hAnsi="Verdana" w:cs="Arial"/>
          <w:lang w:val="es-ES"/>
        </w:rPr>
        <w:t>EGCAP,</w:t>
      </w:r>
      <w:r w:rsidRPr="00444BBE">
        <w:rPr>
          <w:rFonts w:ascii="Verdana" w:eastAsia="Calibri" w:hAnsi="Verdana" w:cs="Arial"/>
          <w:lang w:val="es-ES"/>
        </w:rPr>
        <w:t xml:space="preserve"> las condiciones de los proponentes, respecto a los requisitos jurídicos, financieros, experiencia, capacidad residual entre otros; los cuales, una vez verificados y aprobados, conducen a la habilitación y posterior aplicación de los requisitos evaluación.</w:t>
      </w:r>
    </w:p>
    <w:p w14:paraId="639B12EB" w14:textId="77777777" w:rsidR="00BD162A" w:rsidRPr="00444BBE" w:rsidRDefault="00BD162A" w:rsidP="00444BBE">
      <w:pPr>
        <w:spacing w:after="0" w:line="276" w:lineRule="auto"/>
        <w:jc w:val="both"/>
        <w:rPr>
          <w:rFonts w:ascii="Verdana" w:eastAsia="Calibri" w:hAnsi="Verdana" w:cs="Arial"/>
          <w:lang w:val="es-ES"/>
        </w:rPr>
      </w:pPr>
    </w:p>
    <w:p w14:paraId="4A82CBA5" w14:textId="6471F8D6" w:rsidR="00444BBE" w:rsidRDefault="00444BBE" w:rsidP="00444BBE">
      <w:pPr>
        <w:spacing w:after="0" w:line="276" w:lineRule="auto"/>
        <w:jc w:val="both"/>
        <w:rPr>
          <w:rFonts w:ascii="Verdana" w:eastAsia="Calibri" w:hAnsi="Verdana" w:cs="Arial"/>
          <w:lang w:val="es-ES"/>
        </w:rPr>
      </w:pPr>
      <w:r w:rsidRPr="00444BBE">
        <w:rPr>
          <w:rFonts w:ascii="Verdana" w:eastAsia="Calibri" w:hAnsi="Verdana" w:cs="Arial"/>
          <w:lang w:val="es-ES"/>
        </w:rPr>
        <w:t>En este sentido, los requisitos exigibles en los procesos de selección adelantados conforme al EGCAP, tales como la capacidad jurídica, las condiciones de experiencia, la capacidad financiera y de organización, denominados requisitos habilitantes, los cuales –por expresa disposición legal</w:t>
      </w:r>
      <w:r w:rsidR="00BD162A">
        <w:rPr>
          <w:rStyle w:val="Refdenotaalpie"/>
          <w:rFonts w:ascii="Verdana" w:eastAsia="Calibri" w:hAnsi="Verdana" w:cs="Arial"/>
          <w:lang w:val="es-ES"/>
        </w:rPr>
        <w:footnoteReference w:id="5"/>
      </w:r>
      <w:r w:rsidRPr="00444BBE">
        <w:rPr>
          <w:rFonts w:ascii="Verdana" w:eastAsia="Calibri" w:hAnsi="Verdana" w:cs="Arial"/>
          <w:lang w:val="es-ES"/>
        </w:rPr>
        <w:t>– no otorgan puntaje, salvo que, excepcionalmente, se permita lo contrario. Esto comoquiera que no se refieren a la oferta misma sino a la idoneidad del oferente para asumir adecuadamente la ejecución del contrato</w:t>
      </w:r>
      <w:r w:rsidR="00D03E9D">
        <w:rPr>
          <w:rStyle w:val="Refdenotaalpie"/>
          <w:rFonts w:ascii="Verdana" w:eastAsia="Calibri" w:hAnsi="Verdana" w:cs="Arial"/>
          <w:lang w:val="es-ES"/>
        </w:rPr>
        <w:footnoteReference w:id="6"/>
      </w:r>
      <w:r w:rsidRPr="00444BBE">
        <w:rPr>
          <w:rFonts w:ascii="Verdana" w:eastAsia="Calibri" w:hAnsi="Verdana" w:cs="Arial"/>
          <w:lang w:val="es-ES"/>
        </w:rPr>
        <w:t>.</w:t>
      </w:r>
    </w:p>
    <w:p w14:paraId="3D333741" w14:textId="77777777" w:rsidR="00BD162A" w:rsidRPr="00444BBE" w:rsidRDefault="00BD162A" w:rsidP="00444BBE">
      <w:pPr>
        <w:spacing w:after="0" w:line="276" w:lineRule="auto"/>
        <w:jc w:val="both"/>
        <w:rPr>
          <w:rFonts w:ascii="Verdana" w:eastAsia="Calibri" w:hAnsi="Verdana" w:cs="Arial"/>
          <w:lang w:val="es-ES"/>
        </w:rPr>
      </w:pPr>
    </w:p>
    <w:p w14:paraId="16CB6391" w14:textId="77777777" w:rsidR="00444BBE" w:rsidRPr="00444BBE" w:rsidRDefault="00444BBE" w:rsidP="00444BBE">
      <w:pPr>
        <w:spacing w:after="0" w:line="276" w:lineRule="auto"/>
        <w:jc w:val="both"/>
        <w:rPr>
          <w:rFonts w:ascii="Verdana" w:eastAsia="Calibri" w:hAnsi="Verdana" w:cs="Arial"/>
          <w:lang w:val="es-ES"/>
        </w:rPr>
      </w:pPr>
      <w:r w:rsidRPr="00444BBE">
        <w:rPr>
          <w:rFonts w:ascii="Verdana" w:eastAsia="Calibri" w:hAnsi="Verdana" w:cs="Arial"/>
          <w:lang w:val="es-ES"/>
        </w:rPr>
        <w:t>En consecuencia, los requisitos habilitantes 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14:paraId="13B7775D" w14:textId="77777777" w:rsidR="00444BBE" w:rsidRPr="00444BBE" w:rsidRDefault="00444BBE" w:rsidP="00444BBE">
      <w:pPr>
        <w:spacing w:after="0" w:line="276" w:lineRule="auto"/>
        <w:jc w:val="both"/>
        <w:rPr>
          <w:rFonts w:ascii="Verdana" w:eastAsia="Calibri" w:hAnsi="Verdana" w:cs="Arial"/>
          <w:lang w:val="es-ES"/>
        </w:rPr>
      </w:pPr>
    </w:p>
    <w:p w14:paraId="006ADB6B" w14:textId="545C0F97" w:rsidR="00444BBE" w:rsidRPr="00444BBE" w:rsidRDefault="00444BBE" w:rsidP="00444BBE">
      <w:pPr>
        <w:spacing w:after="0" w:line="276" w:lineRule="auto"/>
        <w:jc w:val="both"/>
        <w:rPr>
          <w:rFonts w:ascii="Verdana" w:eastAsia="Calibri" w:hAnsi="Verdana" w:cs="Arial"/>
          <w:lang w:val="es-ES"/>
        </w:rPr>
      </w:pPr>
      <w:r w:rsidRPr="00444BBE">
        <w:rPr>
          <w:rFonts w:ascii="Verdana" w:eastAsia="Calibri" w:hAnsi="Verdana" w:cs="Arial"/>
          <w:lang w:val="es-ES"/>
        </w:rPr>
        <w:t xml:space="preserve">Por su parte los segundos (criterios de </w:t>
      </w:r>
      <w:r w:rsidRPr="00444BBE">
        <w:rPr>
          <w:rFonts w:ascii="Verdana" w:eastAsia="Calibri" w:hAnsi="Verdana" w:cs="Arial"/>
          <w:lang w:val="es-ES"/>
        </w:rPr>
        <w:t>evaluación)</w:t>
      </w:r>
      <w:r w:rsidRPr="00444BBE">
        <w:rPr>
          <w:rFonts w:ascii="Verdana" w:eastAsia="Calibri" w:hAnsi="Verdana" w:cs="Arial"/>
          <w:lang w:val="es-ES"/>
        </w:rPr>
        <w:t>, son los factores definidos por la Entidad Estatal para la asignación de puntaje en el momento de la comparación de las ofertas, y que, a partir de su ponderación, permiten establecer el orden de elegibilidad y, por ende, la propuesta ganadora.</w:t>
      </w:r>
    </w:p>
    <w:p w14:paraId="1E7046EE" w14:textId="77777777" w:rsidR="00444BBE" w:rsidRPr="00444BBE" w:rsidRDefault="00444BBE" w:rsidP="00444BBE">
      <w:pPr>
        <w:spacing w:after="0" w:line="276" w:lineRule="auto"/>
        <w:jc w:val="both"/>
        <w:rPr>
          <w:rFonts w:ascii="Verdana" w:eastAsia="Calibri" w:hAnsi="Verdana" w:cs="Arial"/>
          <w:lang w:val="es-ES"/>
        </w:rPr>
      </w:pPr>
    </w:p>
    <w:p w14:paraId="2BB7CC65" w14:textId="77777777" w:rsidR="00E70DB5" w:rsidRPr="00E70DB5" w:rsidRDefault="00444BBE" w:rsidP="00E70DB5">
      <w:pPr>
        <w:spacing w:after="0" w:line="276" w:lineRule="auto"/>
        <w:jc w:val="both"/>
        <w:rPr>
          <w:rFonts w:ascii="Verdana" w:eastAsia="Calibri" w:hAnsi="Verdana" w:cs="Arial"/>
          <w:lang w:val="es-ES"/>
        </w:rPr>
      </w:pPr>
      <w:r w:rsidRPr="00444BBE">
        <w:rPr>
          <w:rFonts w:ascii="Verdana" w:eastAsia="Calibri" w:hAnsi="Verdana" w:cs="Arial"/>
          <w:lang w:val="es-ES"/>
        </w:rPr>
        <w:t>Al respecto el inciso primero del artículo 5 de la Ley 1150 de 2007 dispone los factores de escogencia y calificación que deben indicarse en los pliegos de</w:t>
      </w:r>
      <w:r w:rsidR="00E70DB5">
        <w:rPr>
          <w:rFonts w:ascii="Verdana" w:eastAsia="Calibri" w:hAnsi="Verdana" w:cs="Arial"/>
          <w:lang w:val="es-ES"/>
        </w:rPr>
        <w:t xml:space="preserve"> </w:t>
      </w:r>
      <w:r w:rsidR="00E70DB5" w:rsidRPr="00E70DB5">
        <w:rPr>
          <w:rFonts w:ascii="Verdana" w:eastAsia="Calibri" w:hAnsi="Verdana" w:cs="Arial"/>
          <w:lang w:val="es-ES"/>
        </w:rPr>
        <w:t>condiciones. Así las cosas,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w:t>
      </w:r>
    </w:p>
    <w:p w14:paraId="4528FB15" w14:textId="77777777" w:rsidR="00E70DB5" w:rsidRDefault="00E70DB5" w:rsidP="00E70DB5">
      <w:pPr>
        <w:spacing w:after="0" w:line="276" w:lineRule="auto"/>
        <w:jc w:val="both"/>
        <w:rPr>
          <w:rFonts w:ascii="Verdana" w:eastAsia="Calibri" w:hAnsi="Verdana" w:cs="Arial"/>
          <w:lang w:val="es-ES"/>
        </w:rPr>
      </w:pPr>
      <w:r w:rsidRPr="00E70DB5">
        <w:rPr>
          <w:rFonts w:ascii="Verdana" w:eastAsia="Calibri" w:hAnsi="Verdana" w:cs="Arial"/>
          <w:lang w:val="es-ES"/>
        </w:rPr>
        <w:t>La disposición normativa ibidem hace referencia a los mecanismos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w:t>
      </w:r>
    </w:p>
    <w:p w14:paraId="0CB2E9C2" w14:textId="77777777" w:rsidR="00E70DB5" w:rsidRPr="00E70DB5" w:rsidRDefault="00E70DB5" w:rsidP="00E70DB5">
      <w:pPr>
        <w:spacing w:after="0" w:line="276" w:lineRule="auto"/>
        <w:jc w:val="both"/>
        <w:rPr>
          <w:rFonts w:ascii="Verdana" w:eastAsia="Calibri" w:hAnsi="Verdana" w:cs="Arial"/>
          <w:lang w:val="es-ES"/>
        </w:rPr>
      </w:pPr>
    </w:p>
    <w:p w14:paraId="50353DE7" w14:textId="77777777" w:rsidR="00E70DB5" w:rsidRDefault="00E70DB5" w:rsidP="00E70DB5">
      <w:pPr>
        <w:spacing w:after="0" w:line="276" w:lineRule="auto"/>
        <w:jc w:val="both"/>
        <w:rPr>
          <w:rFonts w:ascii="Verdana" w:eastAsia="Calibri" w:hAnsi="Verdana" w:cs="Arial"/>
          <w:lang w:val="es-ES"/>
        </w:rPr>
      </w:pPr>
      <w:r w:rsidRPr="00E70DB5">
        <w:rPr>
          <w:rFonts w:ascii="Verdana" w:eastAsia="Calibri" w:hAnsi="Verdana" w:cs="Arial"/>
          <w:lang w:val="es-ES"/>
        </w:rPr>
        <w:t>Seguidamente el numeral 3 ibidem establece que en los procesos de selección de bienes y servicios de características técnicas uniformes y de común utilización el único factor de evaluación consiste en el menor precio. Por último, el numeral 4 ibidem, referente a procedimientos para selección de consultores, señala que debe hacerse uso de factores de calificación, para valorar los aspectos técnicos de la oferta, permitiendo que entre ellos se pondere la experiencia.</w:t>
      </w:r>
    </w:p>
    <w:p w14:paraId="110BB079" w14:textId="77777777" w:rsidR="00E70DB5" w:rsidRPr="00E70DB5" w:rsidRDefault="00E70DB5" w:rsidP="00E70DB5">
      <w:pPr>
        <w:spacing w:after="0" w:line="276" w:lineRule="auto"/>
        <w:jc w:val="both"/>
        <w:rPr>
          <w:rFonts w:ascii="Verdana" w:eastAsia="Calibri" w:hAnsi="Verdana" w:cs="Arial"/>
          <w:lang w:val="es-ES"/>
        </w:rPr>
      </w:pPr>
    </w:p>
    <w:p w14:paraId="61F23051" w14:textId="2594A8A0" w:rsidR="00752AF7" w:rsidRDefault="00E70DB5" w:rsidP="00E70DB5">
      <w:pPr>
        <w:spacing w:after="0" w:line="276" w:lineRule="auto"/>
        <w:jc w:val="both"/>
        <w:rPr>
          <w:rFonts w:ascii="Verdana" w:eastAsia="Calibri" w:hAnsi="Verdana" w:cs="Arial"/>
          <w:lang w:val="es-ES"/>
        </w:rPr>
      </w:pPr>
      <w:r w:rsidRPr="00E70DB5">
        <w:rPr>
          <w:rFonts w:ascii="Verdana" w:eastAsia="Calibri" w:hAnsi="Verdana" w:cs="Arial"/>
          <w:lang w:val="es-ES"/>
        </w:rPr>
        <w:t>De acuerdo con lo anterior, es posible asimilar las diferentes categorías a las que hace referencia el artículo 5 de la Ley 1150 de 2007 y el artículo 2.2.1.1.2.2.2 del Decreto 1082 de 2015, cuando alude a los factores que, a diferencia de los requisitos habilitantes, determinan la oferta más favorable para la entidad y que, por lo tanto, hacen que una oferta sea mejor que otra, pese a tener que cumplir todas ellas los requisitos habilitantes.</w:t>
      </w:r>
    </w:p>
    <w:p w14:paraId="26CA89EB" w14:textId="6F75759B" w:rsidR="00C83BCF" w:rsidRPr="00C83BCF" w:rsidRDefault="00C83BCF" w:rsidP="00C83BCF">
      <w:pPr>
        <w:spacing w:after="0" w:line="276" w:lineRule="auto"/>
        <w:jc w:val="both"/>
        <w:rPr>
          <w:rFonts w:ascii="Verdana" w:eastAsia="Calibri" w:hAnsi="Verdana" w:cs="Arial"/>
          <w:lang w:val="es-ES"/>
        </w:rPr>
      </w:pPr>
      <w:r w:rsidRPr="00C83BCF">
        <w:rPr>
          <w:rFonts w:ascii="Verdana" w:eastAsia="Calibri" w:hAnsi="Verdana" w:cs="Arial"/>
          <w:lang w:val="es-ES"/>
        </w:rPr>
        <w:lastRenderedPageBreak/>
        <w:t>En conclusión, al primer interrogante, la entidad contratante, es autónoma para requerir la experiencia</w:t>
      </w:r>
      <w:r w:rsidR="00696F5C">
        <w:rPr>
          <w:rStyle w:val="Refdenotaalpie"/>
          <w:rFonts w:ascii="Verdana" w:eastAsia="Calibri" w:hAnsi="Verdana" w:cs="Arial"/>
          <w:lang w:val="es-ES"/>
        </w:rPr>
        <w:footnoteReference w:id="7"/>
      </w:r>
      <w:r w:rsidRPr="00C83BCF">
        <w:rPr>
          <w:rFonts w:ascii="Verdana" w:eastAsia="Calibri" w:hAnsi="Verdana" w:cs="Arial"/>
          <w:lang w:val="es-ES"/>
        </w:rPr>
        <w:t xml:space="preserve"> necesaria de acuerdo con el objeto contractual que se pretende satisfacer, para lo cual la entidad, según el artículo 2.2.1.1.1.6.2. del Decreto 1082 de 2015, debe tener en cuenta el estudio del sector y sus componentes como la identificación de riesgos y el mercado y precio del bien, obra o servicio a contratar</w:t>
      </w:r>
      <w:r w:rsidR="001F5B34">
        <w:rPr>
          <w:rStyle w:val="Refdenotaalpie"/>
          <w:rFonts w:ascii="Verdana" w:eastAsia="Calibri" w:hAnsi="Verdana" w:cs="Arial"/>
          <w:lang w:val="es-ES"/>
        </w:rPr>
        <w:footnoteReference w:id="8"/>
      </w:r>
    </w:p>
    <w:p w14:paraId="4319CA4C" w14:textId="41EA8B4E" w:rsidR="00C83BCF" w:rsidRPr="00C83BCF" w:rsidRDefault="00C83BCF" w:rsidP="00C83BCF">
      <w:pPr>
        <w:spacing w:after="0" w:line="276" w:lineRule="auto"/>
        <w:jc w:val="both"/>
        <w:rPr>
          <w:rFonts w:ascii="Verdana" w:eastAsia="Calibri" w:hAnsi="Verdana" w:cs="Arial"/>
          <w:lang w:val="es-ES"/>
        </w:rPr>
      </w:pPr>
      <w:r w:rsidRPr="00C83BCF">
        <w:rPr>
          <w:rFonts w:ascii="Verdana" w:eastAsia="Calibri" w:hAnsi="Verdana" w:cs="Arial"/>
          <w:lang w:val="es-ES"/>
        </w:rPr>
        <w:t>Frente al segundo interrogante, sobre la posibilidad que en los pliegos de condiciones las Entidades Estatales exijan un porcentaje mínimo de participación para un proponente plural dentro de un proceso de contratación, se debe tener en cuenta que la norma</w:t>
      </w:r>
      <w:r w:rsidR="001F5B34">
        <w:rPr>
          <w:rStyle w:val="Refdenotaalpie"/>
          <w:rFonts w:ascii="Verdana" w:eastAsia="Calibri" w:hAnsi="Verdana" w:cs="Arial"/>
          <w:lang w:val="es-ES"/>
        </w:rPr>
        <w:footnoteReference w:id="9"/>
      </w:r>
      <w:r w:rsidRPr="00C83BCF">
        <w:rPr>
          <w:rFonts w:ascii="Verdana" w:eastAsia="Calibri" w:hAnsi="Verdana" w:cs="Arial"/>
          <w:lang w:val="es-ES"/>
        </w:rPr>
        <w:t xml:space="preserve"> permite su participación para la presentación de propuestas y la celebración del contrato público, conservando su individualidad jurídica, es decir que el proponente plural no es una persona jurídica sino una agrupación de personas. En efecto los requisitos habilitantes del proponente plural deben ser evaluados respecto de cada miembro, sin que ello desconozca la finalidad de esta figura, que es unir esfuerzos.</w:t>
      </w:r>
    </w:p>
    <w:p w14:paraId="63AA0CAB" w14:textId="77777777" w:rsidR="00E15BAA" w:rsidRPr="00E15BAA" w:rsidRDefault="00C83BCF" w:rsidP="00E15BAA">
      <w:pPr>
        <w:spacing w:after="0" w:line="276" w:lineRule="auto"/>
        <w:jc w:val="both"/>
        <w:rPr>
          <w:rFonts w:ascii="Verdana" w:eastAsia="Calibri" w:hAnsi="Verdana" w:cs="Arial"/>
          <w:lang w:val="es-ES"/>
        </w:rPr>
      </w:pPr>
      <w:r w:rsidRPr="00C83BCF">
        <w:rPr>
          <w:rFonts w:ascii="Verdana" w:eastAsia="Calibri" w:hAnsi="Verdana" w:cs="Arial"/>
          <w:lang w:val="es-ES"/>
        </w:rPr>
        <w:t>De igual forma se recuerda que las entidades estatales gozan de total autonomía para fijar las condiciones habilitantes y las reglas, en especial el relacionado con</w:t>
      </w:r>
      <w:r w:rsidR="00E15BAA">
        <w:rPr>
          <w:rFonts w:ascii="Verdana" w:eastAsia="Calibri" w:hAnsi="Verdana" w:cs="Arial"/>
          <w:lang w:val="es-ES"/>
        </w:rPr>
        <w:t xml:space="preserve"> </w:t>
      </w:r>
      <w:r w:rsidR="00E15BAA" w:rsidRPr="00E15BAA">
        <w:rPr>
          <w:rFonts w:ascii="Verdana" w:eastAsia="Calibri" w:hAnsi="Verdana" w:cs="Arial"/>
          <w:lang w:val="es-ES"/>
        </w:rPr>
        <w:t xml:space="preserve">la capacidad jurídica para contratar, cuidando en todo caso que no se limiten los principios de participación, libre competencia y de concurrencia. En los pliegos de condiciones deberán las Entidades Estatales manifestar con claridad la </w:t>
      </w:r>
      <w:r w:rsidR="00E15BAA" w:rsidRPr="00E15BAA">
        <w:rPr>
          <w:rFonts w:ascii="Verdana" w:eastAsia="Calibri" w:hAnsi="Verdana" w:cs="Arial"/>
          <w:lang w:val="es-ES"/>
        </w:rPr>
        <w:lastRenderedPageBreak/>
        <w:t>necesidad o exigencia del porcentaje mínimo de participación para proponente plural garantizando los principios de contratación.</w:t>
      </w:r>
    </w:p>
    <w:p w14:paraId="0DB4E327" w14:textId="77777777"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En conclusión, de este interrogante, los proponentes plurales deberán aportar el acta de conformación consorcial o el acta de conformación de unión temporal indicando claramente la individualización de la persona natural o jurídica, el porcentaje de participación y demás compromisos entre las partes que se encuentren estipulados en los pliegos de condiciones y anexos del proceso contractual.</w:t>
      </w:r>
    </w:p>
    <w:p w14:paraId="6F7AF946" w14:textId="7A1E02C6"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 xml:space="preserve">Respecto al último interrogante, la forma de acreditación de la experiencia para los integrantes del proponente plural como requisito habilitante es fijada por la entidad estatal en los estudios previos y pliegos de condiciones </w:t>
      </w:r>
      <w:r w:rsidR="00D4383C" w:rsidRPr="00E15BAA">
        <w:rPr>
          <w:rFonts w:ascii="Verdana" w:eastAsia="Calibri" w:hAnsi="Verdana" w:cs="Arial"/>
          <w:lang w:val="es-ES"/>
        </w:rPr>
        <w:t>de acuerdo con</w:t>
      </w:r>
      <w:r w:rsidRPr="00E15BAA">
        <w:rPr>
          <w:rFonts w:ascii="Verdana" w:eastAsia="Calibri" w:hAnsi="Verdana" w:cs="Arial"/>
          <w:lang w:val="es-ES"/>
        </w:rPr>
        <w:t xml:space="preserve"> la necesidad a contratar. El Decreto 1082 de 2015 en su </w:t>
      </w:r>
      <w:r w:rsidR="00D4383C" w:rsidRPr="00E15BAA">
        <w:rPr>
          <w:rFonts w:ascii="Verdana" w:eastAsia="Calibri" w:hAnsi="Verdana" w:cs="Arial"/>
          <w:lang w:val="es-ES"/>
        </w:rPr>
        <w:t>artículo</w:t>
      </w:r>
      <w:r w:rsidRPr="00E15BAA">
        <w:rPr>
          <w:rFonts w:ascii="Verdana" w:eastAsia="Calibri" w:hAnsi="Verdana" w:cs="Arial"/>
          <w:lang w:val="es-ES"/>
        </w:rPr>
        <w:t xml:space="preserve"> 2.2.1.1.1.6.1 señala el deber de las Entidades Estatales de realizar durante la etapa de planeación, el análisis necesario para conocer el sector relativo al objeto del Proceso de Contratación desde la perspectiva legal, comercial, financiera, organizacional, técnica, y de análisis de Riesgo, dejando constancia de este análisis en los Documentos del Proceso por lo cual la determinación y las condiciones exigida para acreditar y soportar la experiencia se encuentra a cargo de la entidad contratante.</w:t>
      </w:r>
    </w:p>
    <w:p w14:paraId="5BB9F5C7" w14:textId="77777777"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Finalmente, con el fin ilustrativo el “manual para determinar y verificar requisitos habilitantes en los procesos de contratación”, expedido por Colombia Compra Eficiente, en relación con la experiencia de los proponentes plurales, sugiere que se debe sumar lo acreditado por cada miembro del consorcio o de la unión temporal.</w:t>
      </w:r>
    </w:p>
    <w:p w14:paraId="0816BD2C" w14:textId="77777777"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No obstante, en virtud de la discrecionalidad de la entidad, esta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aplicables.</w:t>
      </w:r>
    </w:p>
    <w:p w14:paraId="6B63E758" w14:textId="77777777"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La facultad discrecional de la entidad para señalar las reglas de participación del proponente plural debe resolverse ponderando los derechos en cada caso,</w:t>
      </w:r>
    </w:p>
    <w:p w14:paraId="72AF1B2B" w14:textId="77777777"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 xml:space="preserve"> </w:t>
      </w:r>
    </w:p>
    <w:p w14:paraId="42B238BB" w14:textId="3D135EBB" w:rsidR="00E15BAA" w:rsidRPr="00E15BAA"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lastRenderedPageBreak/>
        <w:t>atendiendo al principio de proporcionalidad</w:t>
      </w:r>
      <w:r w:rsidR="006D2833">
        <w:rPr>
          <w:rStyle w:val="Refdenotaalpie"/>
          <w:rFonts w:ascii="Verdana" w:eastAsia="Calibri" w:hAnsi="Verdana" w:cs="Arial"/>
          <w:lang w:val="es-ES"/>
        </w:rPr>
        <w:footnoteReference w:id="10"/>
      </w:r>
      <w:r w:rsidRPr="00E15BAA">
        <w:rPr>
          <w:rFonts w:ascii="Verdana" w:eastAsia="Calibri" w:hAnsi="Verdana" w:cs="Arial"/>
          <w:lang w:val="es-ES"/>
        </w:rPr>
        <w:t>. De este modo, en ciertos casos se podría considerar proporcional que la entidad estatal exija el 100% de la experiencia a cada uno de los miembros del consorcio o de la unión temporal. Sin embargo, en otros casos podría ser una medida más proporcional que la entidad no exija el 100% de la experiencia a cada uno de los miembros de la forma asociativa, porque analizado este requisito en relación con el objeto, el alcance técnico y, en general los aspectos del contrato, no resulta necesario dicho requisito</w:t>
      </w:r>
      <w:r w:rsidR="002F0E19">
        <w:rPr>
          <w:rStyle w:val="Refdenotaalpie"/>
          <w:rFonts w:ascii="Verdana" w:eastAsia="Calibri" w:hAnsi="Verdana" w:cs="Arial"/>
          <w:lang w:val="es-ES"/>
        </w:rPr>
        <w:footnoteReference w:id="11"/>
      </w:r>
      <w:r w:rsidRPr="00E15BAA">
        <w:rPr>
          <w:rFonts w:ascii="Verdana" w:eastAsia="Calibri" w:hAnsi="Verdana" w:cs="Arial"/>
          <w:lang w:val="es-ES"/>
        </w:rPr>
        <w:t>.</w:t>
      </w:r>
    </w:p>
    <w:p w14:paraId="06666487" w14:textId="4F04F53C" w:rsidR="00C83BCF" w:rsidRDefault="00E15BAA" w:rsidP="00E15BAA">
      <w:pPr>
        <w:spacing w:after="0" w:line="276" w:lineRule="auto"/>
        <w:jc w:val="both"/>
        <w:rPr>
          <w:rFonts w:ascii="Verdana" w:eastAsia="Calibri" w:hAnsi="Verdana" w:cs="Arial"/>
          <w:lang w:val="es-ES"/>
        </w:rPr>
      </w:pPr>
      <w:r w:rsidRPr="00E15BAA">
        <w:rPr>
          <w:rFonts w:ascii="Verdana" w:eastAsia="Calibri" w:hAnsi="Verdana" w:cs="Arial"/>
          <w:lang w:val="es-ES"/>
        </w:rPr>
        <w:t xml:space="preserve">En </w:t>
      </w:r>
      <w:r w:rsidR="00D4383C" w:rsidRPr="00E15BAA">
        <w:rPr>
          <w:rFonts w:ascii="Verdana" w:eastAsia="Calibri" w:hAnsi="Verdana" w:cs="Arial"/>
          <w:lang w:val="es-ES"/>
        </w:rPr>
        <w:t>definitiva,</w:t>
      </w:r>
      <w:r w:rsidRPr="00E15BAA">
        <w:rPr>
          <w:rFonts w:ascii="Verdana" w:eastAsia="Calibri" w:hAnsi="Verdana" w:cs="Arial"/>
          <w:lang w:val="es-ES"/>
        </w:rPr>
        <w:t xml:space="preserve"> del último interrogante planteado, es preferible que todos los miembros de un proponente plural tengan experiencia a que uno la aporte, porque existe mayor garantía de un mejor cumplimiento, al incrementarse el conocimiento en la ejecución de las obligaciones, existiendo un menor riesgo de improvisación o sobrecostos por errores que se evitan con personas expertas en la materia. Lo anterior sirve de ejemplo para los negocios del Estado, que se pueden desarrollar en igualdad de condiciones con la empresa privada, teniendo en cuenta que esta busca la mayor calidad, lo cual también merece el sector público por tratarse de recursos de la ciudadanía.</w:t>
      </w:r>
    </w:p>
    <w:p w14:paraId="4681F53F" w14:textId="77777777" w:rsidR="00DF7E02" w:rsidRPr="00DF7E02" w:rsidRDefault="00DF7E02" w:rsidP="00203798">
      <w:pPr>
        <w:spacing w:after="0" w:line="276" w:lineRule="auto"/>
        <w:jc w:val="both"/>
        <w:rPr>
          <w:rFonts w:ascii="Verdana" w:eastAsia="Calibri" w:hAnsi="Verdana" w:cs="Arial"/>
          <w:lang w:val="es-ES"/>
        </w:rPr>
      </w:pPr>
    </w:p>
    <w:p w14:paraId="0563B2C3" w14:textId="77777777" w:rsidR="00203798" w:rsidRPr="00DF7E02" w:rsidRDefault="00203798" w:rsidP="0020379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DF7E02">
        <w:rPr>
          <w:rFonts w:ascii="Verdana" w:eastAsia="Century Gothic" w:hAnsi="Verdana" w:cs="Century Gothic"/>
          <w:b/>
          <w:bCs/>
          <w:lang w:val="es-ES"/>
        </w:rPr>
        <w:t>Referencias normativas, jurisprudenciales y otras fuentes:</w:t>
      </w:r>
    </w:p>
    <w:p w14:paraId="5CCD8634" w14:textId="77777777" w:rsidR="00203798" w:rsidRPr="00DF7E02" w:rsidRDefault="00203798" w:rsidP="0020379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03798" w:rsidRPr="00DF7E02" w14:paraId="5D4EA6D5" w14:textId="77777777" w:rsidTr="009C522F">
        <w:trPr>
          <w:trHeight w:val="870"/>
        </w:trPr>
        <w:tc>
          <w:tcPr>
            <w:tcW w:w="8647" w:type="dxa"/>
          </w:tcPr>
          <w:p w14:paraId="61F4F8E4" w14:textId="77777777" w:rsidR="00B34BA4" w:rsidRPr="004C045A" w:rsidRDefault="00B34BA4" w:rsidP="004C045A">
            <w:pPr>
              <w:rPr>
                <w:rFonts w:ascii="Verdana" w:hAnsi="Verdana"/>
                <w:color w:val="0070C0"/>
              </w:rPr>
            </w:pPr>
          </w:p>
          <w:p w14:paraId="29155BEA" w14:textId="77777777" w:rsidR="00D42192" w:rsidRPr="00D42192" w:rsidRDefault="00D42192" w:rsidP="00D42192">
            <w:pPr>
              <w:pStyle w:val="Prrafodelista"/>
              <w:numPr>
                <w:ilvl w:val="0"/>
                <w:numId w:val="11"/>
              </w:numPr>
              <w:jc w:val="both"/>
              <w:rPr>
                <w:rFonts w:ascii="Verdana" w:hAnsi="Verdana"/>
              </w:rPr>
            </w:pPr>
            <w:r w:rsidRPr="00D42192">
              <w:rPr>
                <w:rFonts w:ascii="Verdana" w:hAnsi="Verdana"/>
              </w:rPr>
              <w:t>Ley 80 de 1993: artículos 7, 24 y 30.</w:t>
            </w:r>
          </w:p>
          <w:p w14:paraId="3373EAF0" w14:textId="77777777" w:rsidR="00D42192" w:rsidRPr="00D42192" w:rsidRDefault="00D42192" w:rsidP="00D42192">
            <w:pPr>
              <w:pStyle w:val="Prrafodelista"/>
              <w:numPr>
                <w:ilvl w:val="0"/>
                <w:numId w:val="11"/>
              </w:numPr>
              <w:jc w:val="both"/>
              <w:rPr>
                <w:rFonts w:ascii="Verdana" w:hAnsi="Verdana"/>
              </w:rPr>
            </w:pPr>
            <w:r w:rsidRPr="00D42192">
              <w:rPr>
                <w:rFonts w:ascii="Verdana" w:hAnsi="Verdana"/>
              </w:rPr>
              <w:t>Ley 1150 de 2007: artículos 5 y 6.</w:t>
            </w:r>
          </w:p>
          <w:p w14:paraId="48839D03" w14:textId="284D7AC9" w:rsidR="00D42192" w:rsidRPr="000A5615" w:rsidRDefault="00D42192" w:rsidP="000A5615">
            <w:pPr>
              <w:pStyle w:val="Prrafodelista"/>
              <w:numPr>
                <w:ilvl w:val="0"/>
                <w:numId w:val="11"/>
              </w:numPr>
              <w:jc w:val="both"/>
              <w:rPr>
                <w:rFonts w:ascii="Verdana" w:hAnsi="Verdana"/>
              </w:rPr>
            </w:pPr>
            <w:r w:rsidRPr="00D42192">
              <w:rPr>
                <w:rFonts w:ascii="Verdana" w:hAnsi="Verdana"/>
              </w:rPr>
              <w:t>Decreto</w:t>
            </w:r>
            <w:r w:rsidRPr="00D42192">
              <w:rPr>
                <w:rFonts w:ascii="Verdana" w:hAnsi="Verdana"/>
              </w:rPr>
              <w:tab/>
              <w:t>1082 de 2015: artículos</w:t>
            </w:r>
            <w:r w:rsidRPr="00D42192">
              <w:rPr>
                <w:rFonts w:ascii="Verdana" w:hAnsi="Verdana"/>
              </w:rPr>
              <w:tab/>
              <w:t>2.2.1.1.1.3.1.,</w:t>
            </w:r>
            <w:r w:rsidR="004C045A">
              <w:rPr>
                <w:rFonts w:ascii="Verdana" w:hAnsi="Verdana"/>
              </w:rPr>
              <w:t xml:space="preserve"> </w:t>
            </w:r>
            <w:r w:rsidRPr="00D42192">
              <w:rPr>
                <w:rFonts w:ascii="Verdana" w:hAnsi="Verdana"/>
              </w:rPr>
              <w:t>2.2.1.1.1.5.3.,</w:t>
            </w:r>
            <w:r w:rsidR="000A5615">
              <w:rPr>
                <w:rFonts w:ascii="Verdana" w:hAnsi="Verdana"/>
              </w:rPr>
              <w:t xml:space="preserve"> </w:t>
            </w:r>
            <w:r w:rsidRPr="000A5615">
              <w:rPr>
                <w:rFonts w:ascii="Verdana" w:hAnsi="Verdana"/>
              </w:rPr>
              <w:t>2.2.1.1.1.6.2., 2.2.1.1.2.2.2, 2.2.1.1.2.2.4 y 2.2.1.2.1.3.12.</w:t>
            </w:r>
          </w:p>
          <w:p w14:paraId="7C2B4C7C" w14:textId="77777777" w:rsidR="00D42192" w:rsidRPr="00D42192" w:rsidRDefault="00D42192" w:rsidP="00D42192">
            <w:pPr>
              <w:pStyle w:val="Prrafodelista"/>
              <w:numPr>
                <w:ilvl w:val="0"/>
                <w:numId w:val="11"/>
              </w:numPr>
              <w:jc w:val="both"/>
              <w:rPr>
                <w:rFonts w:ascii="Verdana" w:hAnsi="Verdana"/>
              </w:rPr>
            </w:pPr>
            <w:r w:rsidRPr="00D42192">
              <w:rPr>
                <w:rFonts w:ascii="Verdana" w:hAnsi="Verdana"/>
              </w:rPr>
              <w:lastRenderedPageBreak/>
              <w:t>Corte Constitucional. Sentencia C-414 del 22 de septiembre de 1996.</w:t>
            </w:r>
          </w:p>
          <w:p w14:paraId="242238E5" w14:textId="77777777" w:rsidR="00D42192" w:rsidRPr="00D42192" w:rsidRDefault="00D42192" w:rsidP="00D42192">
            <w:pPr>
              <w:pStyle w:val="Prrafodelista"/>
              <w:numPr>
                <w:ilvl w:val="0"/>
                <w:numId w:val="11"/>
              </w:numPr>
              <w:jc w:val="both"/>
              <w:rPr>
                <w:rFonts w:ascii="Verdana" w:hAnsi="Verdana"/>
              </w:rPr>
            </w:pPr>
            <w:r w:rsidRPr="00D42192">
              <w:rPr>
                <w:rFonts w:ascii="Verdana" w:hAnsi="Verdana"/>
              </w:rPr>
              <w:t>M.P. Antonio Barrera Carbonell.</w:t>
            </w:r>
          </w:p>
          <w:p w14:paraId="4FED68CE" w14:textId="77777777" w:rsidR="00D42192" w:rsidRDefault="00D42192" w:rsidP="00D42192">
            <w:pPr>
              <w:pStyle w:val="Prrafodelista"/>
              <w:numPr>
                <w:ilvl w:val="0"/>
                <w:numId w:val="11"/>
              </w:numPr>
              <w:jc w:val="both"/>
              <w:rPr>
                <w:rFonts w:ascii="Verdana" w:hAnsi="Verdana"/>
              </w:rPr>
            </w:pPr>
            <w:r w:rsidRPr="00D42192">
              <w:rPr>
                <w:rFonts w:ascii="Verdana" w:hAnsi="Verdana"/>
              </w:rPr>
              <w:t>Corte Constitucional. Sentencia C-128 de 2003. M.P. Álvaro Tafur Galvis.</w:t>
            </w:r>
          </w:p>
          <w:p w14:paraId="1CC909F7" w14:textId="77777777" w:rsidR="008C4660" w:rsidRPr="008C4660" w:rsidRDefault="008C4660" w:rsidP="008C4660">
            <w:pPr>
              <w:pStyle w:val="Prrafodelista"/>
              <w:numPr>
                <w:ilvl w:val="0"/>
                <w:numId w:val="11"/>
              </w:numPr>
              <w:jc w:val="both"/>
              <w:rPr>
                <w:rFonts w:ascii="Verdana" w:hAnsi="Verdana"/>
              </w:rPr>
            </w:pPr>
            <w:r w:rsidRPr="008C4660">
              <w:rPr>
                <w:rFonts w:ascii="Verdana" w:hAnsi="Verdana"/>
              </w:rPr>
              <w:t>Consejo de Estado. Sección Tercera. Sentencia del 11 de noviembre de 2009. Exp. 17.366. C.P. Mauricio Fajardo Gómez.</w:t>
            </w:r>
          </w:p>
          <w:p w14:paraId="67900772" w14:textId="77777777" w:rsidR="008C4660" w:rsidRPr="008C4660" w:rsidRDefault="008C4660" w:rsidP="008C4660">
            <w:pPr>
              <w:pStyle w:val="Prrafodelista"/>
              <w:numPr>
                <w:ilvl w:val="0"/>
                <w:numId w:val="11"/>
              </w:numPr>
              <w:jc w:val="both"/>
              <w:rPr>
                <w:rFonts w:ascii="Verdana" w:hAnsi="Verdana"/>
              </w:rPr>
            </w:pPr>
            <w:r w:rsidRPr="008C4660">
              <w:rPr>
                <w:rFonts w:ascii="Verdana" w:hAnsi="Verdana"/>
              </w:rPr>
              <w:t>Consejo de Estado. Sección Tercera. Sentencia del 24 de julio de 2013. Exp. 25.642. C.P. Enrique Gil Botero.</w:t>
            </w:r>
          </w:p>
          <w:p w14:paraId="1B7A7B88" w14:textId="77777777" w:rsidR="008C4660" w:rsidRPr="008C4660" w:rsidRDefault="008C4660" w:rsidP="008C4660">
            <w:pPr>
              <w:pStyle w:val="Prrafodelista"/>
              <w:numPr>
                <w:ilvl w:val="0"/>
                <w:numId w:val="11"/>
              </w:numPr>
              <w:jc w:val="both"/>
              <w:rPr>
                <w:rFonts w:ascii="Verdana" w:hAnsi="Verdana"/>
              </w:rPr>
            </w:pPr>
            <w:r w:rsidRPr="008C4660">
              <w:rPr>
                <w:rFonts w:ascii="Verdana" w:hAnsi="Verdana"/>
              </w:rPr>
              <w:t>Consejo de Estado. Sección Tercera. Subsección A. Sentencia del 12 de febrero de 2014. Exp. 31.753. C.P. Mauricio Fajardo Gómez.</w:t>
            </w:r>
          </w:p>
          <w:p w14:paraId="44E1BF16" w14:textId="4BD69220" w:rsidR="008C4660" w:rsidRPr="008C4660" w:rsidRDefault="008C4660" w:rsidP="008C4660">
            <w:pPr>
              <w:pStyle w:val="Prrafodelista"/>
              <w:numPr>
                <w:ilvl w:val="0"/>
                <w:numId w:val="11"/>
              </w:numPr>
              <w:jc w:val="both"/>
              <w:rPr>
                <w:rFonts w:ascii="Verdana" w:hAnsi="Verdana"/>
              </w:rPr>
            </w:pPr>
            <w:r w:rsidRPr="008C4660">
              <w:rPr>
                <w:rFonts w:ascii="Verdana" w:hAnsi="Verdana"/>
              </w:rPr>
              <w:t xml:space="preserve">Colombia Compra Eficiente, Manual para determinar y verificar los requisitos habilitantes en los Procesos de Contratación. Disponible en: </w:t>
            </w:r>
            <w:hyperlink r:id="rId13" w:history="1">
              <w:r w:rsidRPr="00DB7EE4">
                <w:rPr>
                  <w:rStyle w:val="Hipervnculo"/>
                  <w:rFonts w:ascii="Verdana" w:hAnsi="Verdana"/>
                </w:rPr>
                <w:t>https://www.colombiacompra.gov.co/sites/cce_public/files/cce_docu ments/cce-eicp-ma-04._manual_requisitos_habilitantes_v3_29-09- 2023.pdf</w:t>
              </w:r>
            </w:hyperlink>
            <w:r>
              <w:rPr>
                <w:rFonts w:ascii="Verdana" w:hAnsi="Verdana"/>
              </w:rPr>
              <w:t xml:space="preserve"> </w:t>
            </w:r>
          </w:p>
          <w:p w14:paraId="236C8F0D" w14:textId="77777777" w:rsidR="008C4660" w:rsidRPr="008C4660" w:rsidRDefault="008C4660" w:rsidP="008C4660">
            <w:pPr>
              <w:pStyle w:val="Prrafodelista"/>
              <w:numPr>
                <w:ilvl w:val="0"/>
                <w:numId w:val="11"/>
              </w:numPr>
              <w:jc w:val="both"/>
              <w:rPr>
                <w:rFonts w:ascii="Verdana" w:hAnsi="Verdana"/>
              </w:rPr>
            </w:pPr>
            <w:r w:rsidRPr="008C4660">
              <w:rPr>
                <w:rFonts w:ascii="Verdana" w:hAnsi="Verdana"/>
              </w:rPr>
              <w:t>DÁVILA VINUEZA, Luis Guillermo. Régimen jurídico de la contratación estatal. Tercera edición, Bogotá: Legis, 2016. p. 355.</w:t>
            </w:r>
          </w:p>
          <w:p w14:paraId="7F864694" w14:textId="77777777" w:rsidR="00203798" w:rsidRPr="008C4660" w:rsidRDefault="00203798" w:rsidP="008C4660">
            <w:pPr>
              <w:jc w:val="both"/>
              <w:rPr>
                <w:rFonts w:ascii="Verdana" w:hAnsi="Verdana" w:cs="Arial"/>
              </w:rPr>
            </w:pPr>
          </w:p>
        </w:tc>
      </w:tr>
    </w:tbl>
    <w:p w14:paraId="2D631804" w14:textId="77777777" w:rsidR="00203798" w:rsidRPr="00DF7E02" w:rsidRDefault="00203798" w:rsidP="00203798">
      <w:pPr>
        <w:widowControl w:val="0"/>
        <w:autoSpaceDE w:val="0"/>
        <w:autoSpaceDN w:val="0"/>
        <w:spacing w:after="0" w:line="276" w:lineRule="auto"/>
        <w:jc w:val="both"/>
        <w:rPr>
          <w:rFonts w:ascii="Verdana" w:hAnsi="Verdana" w:cs="Arial"/>
        </w:rPr>
      </w:pPr>
    </w:p>
    <w:p w14:paraId="4D9D14BD" w14:textId="77777777" w:rsidR="00203798" w:rsidRPr="00DF7E02" w:rsidRDefault="00203798" w:rsidP="0020379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DF7E02">
        <w:rPr>
          <w:rFonts w:ascii="Verdana" w:eastAsia="Century Gothic" w:hAnsi="Verdana" w:cs="Century Gothic"/>
          <w:b/>
          <w:bCs/>
          <w:lang w:val="es-ES"/>
        </w:rPr>
        <w:t>Doctrina de la Agencia Nacional de Contratación Pública:</w:t>
      </w:r>
    </w:p>
    <w:p w14:paraId="1E3174D9" w14:textId="77777777" w:rsidR="00203798" w:rsidRPr="00DF7E02" w:rsidRDefault="00203798" w:rsidP="00203798">
      <w:pPr>
        <w:widowControl w:val="0"/>
        <w:autoSpaceDE w:val="0"/>
        <w:autoSpaceDN w:val="0"/>
        <w:spacing w:after="0" w:line="276" w:lineRule="auto"/>
        <w:jc w:val="both"/>
        <w:rPr>
          <w:rFonts w:ascii="Verdana" w:hAnsi="Verdana" w:cs="Arial"/>
        </w:rPr>
      </w:pPr>
    </w:p>
    <w:p w14:paraId="605FFEEE" w14:textId="3C271D01" w:rsidR="00EE2239" w:rsidRPr="00EE2239" w:rsidRDefault="00EE2239" w:rsidP="00EE2239">
      <w:pPr>
        <w:spacing w:after="632" w:line="240" w:lineRule="auto"/>
        <w:ind w:left="-5"/>
        <w:jc w:val="both"/>
        <w:rPr>
          <w:rFonts w:ascii="Verdana" w:hAnsi="Verdana"/>
        </w:rPr>
      </w:pPr>
      <w:r w:rsidRPr="00EE2239">
        <w:rPr>
          <w:rFonts w:ascii="Verdana" w:hAnsi="Verdana"/>
        </w:rPr>
        <w:t>Sobre los requisitos habilitantes y los requisitos ponderables, se pronunció esta Subdirección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C-396 de 16 de julio de 2020, C-387 de 3 de agosto de 2021, C-669 de 3 de diciembre de 2021, C-573 de 13 de septiembre de 2022, C- 831 de 28 de noviembre de 2022 y C-868 del 19 de diciembre de 2022, C-877 del 26 de diciembre de 2022, C-417 del 27 de septiembre de 2023 ,C-432 del 23 de octubre de 2023, C-174 del 23 de julio de 2024 y C-291 del 20 de agosto de 2024.</w:t>
      </w:r>
      <w:r>
        <w:rPr>
          <w:rFonts w:ascii="Verdana" w:hAnsi="Verdana"/>
        </w:rPr>
        <w:t xml:space="preserve"> </w:t>
      </w:r>
      <w:r w:rsidRPr="00EE2239">
        <w:rPr>
          <w:rFonts w:ascii="Verdana" w:hAnsi="Verdana"/>
        </w:rPr>
        <w:t>Así mismo, esta Subdirección se ha pronunciado sobre la naturaleza y las</w:t>
      </w:r>
      <w:r>
        <w:rPr>
          <w:rFonts w:ascii="Verdana" w:hAnsi="Verdana"/>
        </w:rPr>
        <w:t xml:space="preserve"> </w:t>
      </w:r>
      <w:r w:rsidRPr="00EE2239">
        <w:rPr>
          <w:rFonts w:ascii="Verdana" w:hAnsi="Verdana"/>
        </w:rPr>
        <w:t xml:space="preserve">obligaciones de los proponentes plurales, en los Conceptos 4201913000007643 del 26 de diciembre de 2019, C-343 del 17 de junio de 2020, C-099 del 6 de abril de 2020, C-518 del 9 de septiembre de 2020, C-701 del 7 de enero de 2022, C-614 del 5 de octubre de 2022, C-032 del 16 de abril de 2024 y C-100 del 12 de junio de 2024, C-238 del 09 de julio del 2024, C-050 del 18 de julio del 2024, C-157 del 23 de julio del 2024 y C-178 del 29 de julio del 2024, entre </w:t>
      </w:r>
      <w:r w:rsidRPr="00EE2239">
        <w:rPr>
          <w:rFonts w:ascii="Verdana" w:hAnsi="Verdana"/>
        </w:rPr>
        <w:lastRenderedPageBreak/>
        <w:t>otros. Es tos y otros conceptos se encuentran disponibles para consulta en el Sistema de relatoría de la Agencia, al cual se puede acceder a través del siguiente enlace: https://relatoria.colombiacompra.gov.co/busqueda/conceptos.</w:t>
      </w:r>
    </w:p>
    <w:p w14:paraId="05D299DD" w14:textId="5DA02F7D" w:rsidR="00203798" w:rsidRPr="00DC4821" w:rsidRDefault="00203798" w:rsidP="003242A9">
      <w:pPr>
        <w:spacing w:after="632" w:line="240" w:lineRule="auto"/>
        <w:ind w:left="-5"/>
        <w:jc w:val="both"/>
        <w:rPr>
          <w:rStyle w:val="normaltextrun"/>
          <w:rFonts w:ascii="Verdana" w:hAnsi="Verdana"/>
        </w:rPr>
      </w:pPr>
      <w:r w:rsidRPr="00DF7E02">
        <w:rPr>
          <w:rStyle w:val="normaltextrun"/>
          <w:rFonts w:ascii="Verdana" w:hAnsi="Verdana" w:cs="Arial"/>
          <w:color w:val="000000" w:themeColor="text1"/>
          <w:shd w:val="clear" w:color="auto" w:fill="FFFFFF"/>
          <w:lang w:val="es-ES"/>
        </w:rPr>
        <w:t xml:space="preserve">También </w:t>
      </w:r>
      <w:r w:rsidRPr="00DF7E02">
        <w:rPr>
          <w:rFonts w:ascii="Verdana" w:hAnsi="Verdana" w:cs="Arial"/>
          <w:color w:val="000000" w:themeColor="text1"/>
          <w:shd w:val="clear" w:color="auto" w:fill="FFFFFF"/>
        </w:rPr>
        <w:t>le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tgtFrame="_blank" w:tooltip="Dirección URL original: https://www.colombiacompra.gov.co/sala-de-prensa/boletin-digital/boletin-de-relatoria-2024-iv. Haga clic o pulse si confía en este vínculo." w:history="1">
        <w:r w:rsidRPr="00DF7E02">
          <w:rPr>
            <w:rStyle w:val="Hipervnculo"/>
            <w:rFonts w:ascii="Verdana" w:hAnsi="Verdana" w:cs="Arial"/>
            <w:shd w:val="clear" w:color="auto" w:fill="FFFFFF"/>
          </w:rPr>
          <w:t>BOLETÍN DE RELATORÍA 2024 – IV | Colombia Compra Eficiente | Agencia Nacional de Contratación Pública</w:t>
        </w:r>
      </w:hyperlink>
    </w:p>
    <w:p w14:paraId="7B6572BF" w14:textId="77777777" w:rsidR="00203798" w:rsidRPr="00DF7E02" w:rsidRDefault="00203798" w:rsidP="00203798">
      <w:pPr>
        <w:spacing w:after="0" w:line="240" w:lineRule="auto"/>
        <w:jc w:val="both"/>
        <w:rPr>
          <w:rFonts w:ascii="Verdana" w:hAnsi="Verdana"/>
        </w:rPr>
      </w:pPr>
      <w:r w:rsidRPr="00DF7E02">
        <w:rPr>
          <w:rFonts w:ascii="Verdana" w:hAnsi="Verdana"/>
        </w:rPr>
        <w:t xml:space="preserve">Por último, lo invitamos a seguirnos en las redes sociales en las cuales se difunde información institucional: </w:t>
      </w:r>
    </w:p>
    <w:p w14:paraId="7DF003D1" w14:textId="77777777" w:rsidR="00203798" w:rsidRPr="00DF7E02" w:rsidRDefault="00203798" w:rsidP="00203798">
      <w:pPr>
        <w:spacing w:after="0" w:line="240" w:lineRule="auto"/>
        <w:jc w:val="both"/>
        <w:rPr>
          <w:rFonts w:ascii="Verdana" w:hAnsi="Verdana"/>
        </w:rPr>
      </w:pPr>
    </w:p>
    <w:p w14:paraId="7BCF61A2" w14:textId="77777777" w:rsidR="00203798" w:rsidRPr="00DF7E02" w:rsidRDefault="00203798" w:rsidP="00203798">
      <w:pPr>
        <w:spacing w:after="0" w:line="240" w:lineRule="auto"/>
        <w:jc w:val="both"/>
        <w:rPr>
          <w:rFonts w:ascii="Verdana" w:hAnsi="Verdana"/>
        </w:rPr>
      </w:pPr>
      <w:r w:rsidRPr="00DF7E02">
        <w:rPr>
          <w:rFonts w:ascii="Verdana" w:hAnsi="Verdana"/>
        </w:rPr>
        <w:t xml:space="preserve">Twitter: </w:t>
      </w:r>
      <w:r w:rsidRPr="00DF7E02">
        <w:rPr>
          <w:rStyle w:val="Hipervnculo"/>
          <w:rFonts w:ascii="Verdana" w:hAnsi="Verdana"/>
          <w:color w:val="4472C4" w:themeColor="accent1"/>
        </w:rPr>
        <w:t>@colombiacompra</w:t>
      </w:r>
      <w:r w:rsidRPr="00DF7E02">
        <w:rPr>
          <w:rFonts w:ascii="Verdana" w:hAnsi="Verdana"/>
          <w:color w:val="4472C4" w:themeColor="accent1"/>
        </w:rPr>
        <w:t xml:space="preserve"> </w:t>
      </w:r>
    </w:p>
    <w:p w14:paraId="5DE175AB" w14:textId="77777777" w:rsidR="00203798" w:rsidRPr="00DF7E02" w:rsidRDefault="00203798" w:rsidP="00203798">
      <w:pPr>
        <w:spacing w:after="0" w:line="240" w:lineRule="auto"/>
        <w:jc w:val="both"/>
        <w:rPr>
          <w:rFonts w:ascii="Verdana" w:hAnsi="Verdana"/>
        </w:rPr>
      </w:pPr>
      <w:r w:rsidRPr="00DF7E02">
        <w:rPr>
          <w:rFonts w:ascii="Verdana" w:hAnsi="Verdana"/>
        </w:rPr>
        <w:t xml:space="preserve">Facebook: </w:t>
      </w:r>
      <w:r w:rsidRPr="00DF7E02">
        <w:rPr>
          <w:rStyle w:val="Hipervnculo"/>
          <w:rFonts w:ascii="Verdana" w:hAnsi="Verdana"/>
          <w:color w:val="4472C4" w:themeColor="accent1"/>
        </w:rPr>
        <w:t>ColombiaCompraEficiente</w:t>
      </w:r>
    </w:p>
    <w:p w14:paraId="2D6BF7AA" w14:textId="77777777" w:rsidR="00203798" w:rsidRPr="00DF7E02" w:rsidRDefault="00203798" w:rsidP="00203798">
      <w:pPr>
        <w:spacing w:after="0" w:line="240" w:lineRule="auto"/>
        <w:jc w:val="both"/>
        <w:rPr>
          <w:rFonts w:ascii="Verdana" w:hAnsi="Verdana"/>
        </w:rPr>
      </w:pPr>
      <w:r w:rsidRPr="00DF7E02">
        <w:rPr>
          <w:rFonts w:ascii="Verdana" w:hAnsi="Verdana"/>
        </w:rPr>
        <w:t xml:space="preserve">LinkedIn: </w:t>
      </w:r>
      <w:r w:rsidRPr="00DF7E02">
        <w:rPr>
          <w:rStyle w:val="Hipervnculo"/>
          <w:rFonts w:ascii="Verdana" w:hAnsi="Verdana"/>
          <w:color w:val="4472C4" w:themeColor="accent1"/>
        </w:rPr>
        <w:t>Agencia Nacional de Contratación Pública - Colombia Compra Eficiente</w:t>
      </w:r>
      <w:r w:rsidRPr="00DF7E02">
        <w:rPr>
          <w:rFonts w:ascii="Verdana" w:hAnsi="Verdana"/>
          <w:color w:val="4472C4" w:themeColor="accent1"/>
        </w:rPr>
        <w:t xml:space="preserve"> </w:t>
      </w:r>
      <w:r w:rsidRPr="00DF7E02">
        <w:rPr>
          <w:rFonts w:ascii="Verdana" w:hAnsi="Verdana"/>
        </w:rPr>
        <w:t xml:space="preserve">Instagram: </w:t>
      </w:r>
      <w:r w:rsidRPr="00DF7E02">
        <w:rPr>
          <w:rStyle w:val="Hipervnculo"/>
          <w:rFonts w:ascii="Verdana" w:hAnsi="Verdana"/>
          <w:color w:val="4472C4" w:themeColor="accent1"/>
        </w:rPr>
        <w:t>@colombiacompraeficiente_cce</w:t>
      </w:r>
    </w:p>
    <w:p w14:paraId="220906BB" w14:textId="77777777" w:rsidR="00203798" w:rsidRPr="00DF7E02" w:rsidRDefault="00203798" w:rsidP="00203798">
      <w:pPr>
        <w:widowControl w:val="0"/>
        <w:autoSpaceDE w:val="0"/>
        <w:autoSpaceDN w:val="0"/>
        <w:spacing w:after="0" w:line="276" w:lineRule="auto"/>
        <w:jc w:val="both"/>
        <w:rPr>
          <w:rFonts w:ascii="Verdana" w:hAnsi="Verdana" w:cs="Arial"/>
        </w:rPr>
      </w:pPr>
    </w:p>
    <w:p w14:paraId="4F5402D5" w14:textId="77777777" w:rsidR="00203798" w:rsidRPr="00DF7E02" w:rsidRDefault="00203798" w:rsidP="00203798">
      <w:pPr>
        <w:widowControl w:val="0"/>
        <w:autoSpaceDE w:val="0"/>
        <w:autoSpaceDN w:val="0"/>
        <w:spacing w:after="0" w:line="276" w:lineRule="auto"/>
        <w:jc w:val="both"/>
        <w:rPr>
          <w:rFonts w:ascii="Verdana" w:hAnsi="Verdana" w:cs="Arial"/>
          <w:lang w:val="es-ES_tradnl"/>
        </w:rPr>
      </w:pPr>
      <w:r w:rsidRPr="00DF7E02">
        <w:rPr>
          <w:rFonts w:ascii="Verdana" w:hAnsi="Verdana" w:cs="Arial"/>
        </w:rPr>
        <w:t xml:space="preserve">Este concepto tiene el alcance previsto en el artículo 28 del Código de Procedimiento Administrativo y de lo Contencioso Administrativo </w:t>
      </w:r>
      <w:r w:rsidRPr="00DF7E02">
        <w:rPr>
          <w:rFonts w:ascii="Verdana" w:hAnsi="Verdana" w:cs="Arial"/>
          <w:lang w:val="es-ES_tradnl"/>
        </w:rPr>
        <w:t>y las expresiones aquí utilizadas con mayúscula inicial deben ser entendidas con el significado que les otorga el artículo 2.2.1.1.1.3.1. del Decreto 1082 de 2015.</w:t>
      </w:r>
    </w:p>
    <w:p w14:paraId="64FD897B" w14:textId="77777777" w:rsidR="00203798" w:rsidRPr="00DF7E02" w:rsidRDefault="00203798" w:rsidP="00203798">
      <w:pPr>
        <w:widowControl w:val="0"/>
        <w:autoSpaceDE w:val="0"/>
        <w:autoSpaceDN w:val="0"/>
        <w:spacing w:after="0" w:line="276" w:lineRule="auto"/>
        <w:jc w:val="both"/>
        <w:rPr>
          <w:rFonts w:ascii="Verdana" w:hAnsi="Verdana" w:cs="Arial"/>
        </w:rPr>
      </w:pPr>
    </w:p>
    <w:p w14:paraId="6D90274C" w14:textId="77777777" w:rsidR="00203798" w:rsidRPr="00DF7E02" w:rsidRDefault="00203798" w:rsidP="00203798">
      <w:pPr>
        <w:spacing w:after="0" w:line="240" w:lineRule="auto"/>
        <w:rPr>
          <w:rFonts w:ascii="Verdana" w:hAnsi="Verdana" w:cs="Arial"/>
          <w:lang w:eastAsia="es-CO"/>
        </w:rPr>
      </w:pPr>
      <w:r w:rsidRPr="00DF7E02">
        <w:rPr>
          <w:rFonts w:ascii="Verdana" w:eastAsia="Times New Roman" w:hAnsi="Verdana" w:cs="Arial"/>
          <w:lang w:eastAsia="es-CO"/>
        </w:rPr>
        <w:t>Atentamente,</w:t>
      </w:r>
      <w:r w:rsidRPr="00DF7E02">
        <w:rPr>
          <w:rFonts w:ascii="Verdana" w:hAnsi="Verdana" w:cs="Arial"/>
          <w:lang w:eastAsia="es-CO"/>
        </w:rPr>
        <w:t xml:space="preserve"> </w:t>
      </w:r>
    </w:p>
    <w:p w14:paraId="4E4072DD" w14:textId="70D3F564" w:rsidR="00203798" w:rsidRPr="00DF7E02" w:rsidRDefault="00A56E08" w:rsidP="00203798">
      <w:pPr>
        <w:spacing w:line="276" w:lineRule="auto"/>
        <w:jc w:val="center"/>
        <w:rPr>
          <w:rFonts w:ascii="Verdana" w:hAnsi="Verdana" w:cs="Arial"/>
          <w:color w:val="000000"/>
          <w:lang w:val="es-ES_tradnl" w:eastAsia="es-CO"/>
        </w:rPr>
      </w:pPr>
      <w:r>
        <w:rPr>
          <w:noProof/>
        </w:rPr>
        <w:drawing>
          <wp:inline distT="0" distB="0" distL="0" distR="0" wp14:anchorId="69AC48F4" wp14:editId="139FCED0">
            <wp:extent cx="3771429" cy="1400000"/>
            <wp:effectExtent l="0" t="0" r="635" b="0"/>
            <wp:docPr id="163684945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49456"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03798" w:rsidRPr="00DF7E02" w14:paraId="1CBD6A48" w14:textId="77777777" w:rsidTr="009C522F">
        <w:trPr>
          <w:trHeight w:val="315"/>
        </w:trPr>
        <w:tc>
          <w:tcPr>
            <w:tcW w:w="893" w:type="dxa"/>
            <w:vAlign w:val="center"/>
            <w:hideMark/>
          </w:tcPr>
          <w:p w14:paraId="198363A0" w14:textId="77777777" w:rsidR="00203798" w:rsidRPr="00DF7E02" w:rsidRDefault="00203798" w:rsidP="009C522F">
            <w:pPr>
              <w:contextualSpacing/>
              <w:rPr>
                <w:rFonts w:ascii="Verdana" w:hAnsi="Verdana" w:cs="Arial"/>
                <w:sz w:val="16"/>
                <w:szCs w:val="16"/>
                <w:lang w:val="es-ES" w:eastAsia="es-ES"/>
              </w:rPr>
            </w:pPr>
            <w:r w:rsidRPr="00DF7E02">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6091B4B5" w14:textId="77777777" w:rsidR="00203798" w:rsidRPr="00DF7E02" w:rsidRDefault="00203798" w:rsidP="009C522F">
            <w:pPr>
              <w:contextualSpacing/>
              <w:rPr>
                <w:rStyle w:val="normaltextrun"/>
                <w:rFonts w:ascii="Verdana" w:hAnsi="Verdana"/>
                <w:sz w:val="16"/>
                <w:szCs w:val="16"/>
              </w:rPr>
            </w:pPr>
            <w:r w:rsidRPr="00DF7E02">
              <w:rPr>
                <w:rStyle w:val="normaltextrun"/>
                <w:rFonts w:ascii="Verdana" w:hAnsi="Verdana"/>
                <w:sz w:val="16"/>
                <w:szCs w:val="16"/>
              </w:rPr>
              <w:t>Gloria Ximena Moreno Guio</w:t>
            </w:r>
          </w:p>
          <w:p w14:paraId="50CE7DD0" w14:textId="77777777" w:rsidR="00203798" w:rsidRPr="00DF7E02" w:rsidRDefault="00203798" w:rsidP="009C522F">
            <w:pPr>
              <w:contextualSpacing/>
              <w:rPr>
                <w:rFonts w:ascii="Verdana" w:eastAsia="Arial" w:hAnsi="Verdana" w:cs="Arial"/>
                <w:sz w:val="16"/>
                <w:szCs w:val="16"/>
              </w:rPr>
            </w:pPr>
            <w:r w:rsidRPr="00DF7E02">
              <w:rPr>
                <w:rStyle w:val="normaltextrun"/>
                <w:rFonts w:ascii="Verdana" w:hAnsi="Verdana"/>
                <w:sz w:val="16"/>
                <w:szCs w:val="16"/>
              </w:rPr>
              <w:t xml:space="preserve">Contratista </w:t>
            </w:r>
            <w:r w:rsidRPr="00DF7E02">
              <w:rPr>
                <w:rStyle w:val="normaltextrun"/>
                <w:rFonts w:ascii="Verdana" w:eastAsia="Arial" w:hAnsi="Verdana" w:cs="Arial"/>
                <w:sz w:val="16"/>
                <w:szCs w:val="16"/>
              </w:rPr>
              <w:t>de la Subdirección de Gestión Contractual</w:t>
            </w:r>
          </w:p>
        </w:tc>
      </w:tr>
      <w:tr w:rsidR="00203798" w:rsidRPr="00DF7E02" w14:paraId="0A389C92" w14:textId="77777777" w:rsidTr="009C522F">
        <w:trPr>
          <w:trHeight w:val="330"/>
        </w:trPr>
        <w:tc>
          <w:tcPr>
            <w:tcW w:w="893" w:type="dxa"/>
            <w:vAlign w:val="center"/>
            <w:hideMark/>
          </w:tcPr>
          <w:p w14:paraId="29A31E34" w14:textId="77777777" w:rsidR="00203798" w:rsidRPr="00DF7E02" w:rsidRDefault="00203798" w:rsidP="009C522F">
            <w:pPr>
              <w:contextualSpacing/>
              <w:rPr>
                <w:rFonts w:ascii="Verdana" w:hAnsi="Verdana" w:cs="Arial"/>
                <w:sz w:val="16"/>
                <w:szCs w:val="16"/>
                <w:lang w:val="es-ES" w:eastAsia="es-ES"/>
              </w:rPr>
            </w:pPr>
            <w:r w:rsidRPr="00DF7E02">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CADEC6B" w14:textId="77777777" w:rsidR="009B20D7" w:rsidRPr="009B20D7" w:rsidRDefault="009B20D7" w:rsidP="009C522F">
            <w:pPr>
              <w:pStyle w:val="paragraph"/>
              <w:spacing w:before="0" w:beforeAutospacing="0" w:after="0" w:afterAutospacing="0"/>
              <w:contextualSpacing/>
              <w:textAlignment w:val="baseline"/>
              <w:rPr>
                <w:rStyle w:val="normaltextrun"/>
                <w:rFonts w:ascii="Verdana" w:hAnsi="Verdana" w:cs="Arial"/>
                <w:sz w:val="16"/>
                <w:szCs w:val="16"/>
                <w:lang w:val="es-ES"/>
              </w:rPr>
            </w:pPr>
            <w:r w:rsidRPr="009B20D7">
              <w:rPr>
                <w:rStyle w:val="normaltextrun"/>
                <w:rFonts w:ascii="Verdana" w:hAnsi="Verdana" w:cs="Arial"/>
                <w:sz w:val="16"/>
                <w:szCs w:val="16"/>
                <w:lang w:val="es-ES"/>
              </w:rPr>
              <w:t>Cielo Victoria González Meza</w:t>
            </w:r>
            <w:r w:rsidRPr="009B20D7">
              <w:rPr>
                <w:rStyle w:val="normaltextrun"/>
                <w:rFonts w:ascii="Verdana" w:hAnsi="Verdana" w:cs="Arial"/>
                <w:sz w:val="16"/>
                <w:szCs w:val="16"/>
                <w:lang w:val="es-ES"/>
              </w:rPr>
              <w:t xml:space="preserve"> </w:t>
            </w:r>
          </w:p>
          <w:p w14:paraId="01A0A077" w14:textId="144EF1C6" w:rsidR="00203798" w:rsidRPr="009B20D7" w:rsidRDefault="009B20D7" w:rsidP="009C522F">
            <w:pPr>
              <w:pStyle w:val="paragraph"/>
              <w:spacing w:before="0" w:beforeAutospacing="0" w:after="0" w:afterAutospacing="0"/>
              <w:contextualSpacing/>
              <w:textAlignment w:val="baseline"/>
              <w:rPr>
                <w:rFonts w:ascii="Verdana" w:hAnsi="Verdana" w:cs="Segoe UI"/>
                <w:sz w:val="16"/>
                <w:szCs w:val="16"/>
              </w:rPr>
            </w:pPr>
            <w:r w:rsidRPr="009B20D7">
              <w:rPr>
                <w:rStyle w:val="normaltextrun"/>
                <w:rFonts w:ascii="Verdana" w:hAnsi="Verdana" w:cs="Arial"/>
                <w:sz w:val="16"/>
                <w:szCs w:val="16"/>
                <w:lang w:val="es-ES"/>
              </w:rPr>
              <w:t xml:space="preserve">Contratista </w:t>
            </w:r>
            <w:r w:rsidR="00203798" w:rsidRPr="009B20D7">
              <w:rPr>
                <w:rStyle w:val="normaltextrun"/>
                <w:rFonts w:ascii="Verdana" w:hAnsi="Verdana" w:cs="Arial"/>
                <w:sz w:val="16"/>
                <w:szCs w:val="16"/>
                <w:lang w:val="es-ES"/>
              </w:rPr>
              <w:t>de la Subdirección de Gestión Contractual</w:t>
            </w:r>
          </w:p>
        </w:tc>
      </w:tr>
      <w:tr w:rsidR="00203798" w:rsidRPr="00DF7E02" w14:paraId="1B0881D8" w14:textId="77777777" w:rsidTr="009C522F">
        <w:trPr>
          <w:trHeight w:val="300"/>
        </w:trPr>
        <w:tc>
          <w:tcPr>
            <w:tcW w:w="893" w:type="dxa"/>
            <w:vAlign w:val="center"/>
          </w:tcPr>
          <w:p w14:paraId="38DB4E61" w14:textId="77777777" w:rsidR="00203798" w:rsidRPr="00DF7E02" w:rsidRDefault="00203798" w:rsidP="009C522F">
            <w:pPr>
              <w:contextualSpacing/>
              <w:rPr>
                <w:rFonts w:ascii="Verdana" w:hAnsi="Verdana" w:cs="Arial"/>
                <w:sz w:val="16"/>
                <w:szCs w:val="16"/>
                <w:lang w:val="es-ES" w:eastAsia="es-ES"/>
              </w:rPr>
            </w:pPr>
            <w:r w:rsidRPr="00DF7E02">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05AAD33" w14:textId="77777777" w:rsidR="00203798" w:rsidRPr="00DF7E02" w:rsidRDefault="00203798" w:rsidP="009C522F">
            <w:pPr>
              <w:contextualSpacing/>
              <w:rPr>
                <w:rFonts w:ascii="Verdana" w:eastAsia="Calibri" w:hAnsi="Verdana" w:cs="Arial"/>
                <w:sz w:val="16"/>
                <w:szCs w:val="16"/>
                <w:lang w:val="pt-BR" w:eastAsia="es-ES"/>
              </w:rPr>
            </w:pPr>
            <w:r w:rsidRPr="00DF7E02">
              <w:rPr>
                <w:rFonts w:ascii="Verdana" w:eastAsia="Calibri" w:hAnsi="Verdana" w:cs="Arial"/>
                <w:sz w:val="16"/>
                <w:szCs w:val="16"/>
                <w:lang w:val="pt-BR" w:eastAsia="es-ES"/>
              </w:rPr>
              <w:t>Carolina Quintero Gacharná</w:t>
            </w:r>
          </w:p>
          <w:p w14:paraId="41B36A79" w14:textId="77777777" w:rsidR="00203798" w:rsidRPr="00DF7E02" w:rsidRDefault="00203798" w:rsidP="009C522F">
            <w:pPr>
              <w:contextualSpacing/>
              <w:rPr>
                <w:rFonts w:ascii="Verdana" w:eastAsia="Calibri" w:hAnsi="Verdana" w:cs="Arial"/>
                <w:sz w:val="16"/>
                <w:szCs w:val="16"/>
                <w:lang w:val="pt-BR" w:eastAsia="es-ES"/>
              </w:rPr>
            </w:pPr>
            <w:r w:rsidRPr="00DF7E02">
              <w:rPr>
                <w:rFonts w:ascii="Verdana" w:eastAsia="Calibri" w:hAnsi="Verdana" w:cs="Arial"/>
                <w:sz w:val="16"/>
                <w:szCs w:val="16"/>
                <w:lang w:eastAsia="es-ES"/>
              </w:rPr>
              <w:t>Subdirectora</w:t>
            </w:r>
            <w:r w:rsidRPr="00DF7E02">
              <w:rPr>
                <w:rFonts w:ascii="Verdana" w:eastAsia="Calibri" w:hAnsi="Verdana" w:cs="Arial"/>
                <w:sz w:val="16"/>
                <w:szCs w:val="16"/>
                <w:lang w:val="pt-BR" w:eastAsia="es-ES"/>
              </w:rPr>
              <w:t xml:space="preserve"> de Gestión Contractual ANCP – CCE</w:t>
            </w:r>
          </w:p>
        </w:tc>
      </w:tr>
    </w:tbl>
    <w:p w14:paraId="306A05CD" w14:textId="77777777" w:rsidR="00203798" w:rsidRPr="00DF7E02" w:rsidRDefault="00203798" w:rsidP="00203798">
      <w:pPr>
        <w:spacing w:after="0" w:line="240" w:lineRule="auto"/>
        <w:rPr>
          <w:rFonts w:ascii="Verdana" w:eastAsia="Times New Roman" w:hAnsi="Verdana" w:cs="Arial"/>
          <w:sz w:val="24"/>
          <w:szCs w:val="24"/>
          <w:lang w:eastAsia="es-ES"/>
        </w:rPr>
      </w:pPr>
    </w:p>
    <w:p w14:paraId="6E6D4424" w14:textId="77777777" w:rsidR="00203798" w:rsidRPr="00DF7E02" w:rsidRDefault="00203798" w:rsidP="00203798">
      <w:pPr>
        <w:rPr>
          <w:rFonts w:ascii="Verdana" w:hAnsi="Verdana"/>
        </w:rPr>
      </w:pPr>
    </w:p>
    <w:p w14:paraId="0083C991" w14:textId="5C765C2F" w:rsidR="5D8505AD" w:rsidRPr="00DF7E02" w:rsidRDefault="5D8505AD" w:rsidP="00203798">
      <w:pPr>
        <w:rPr>
          <w:rFonts w:ascii="Verdana" w:hAnsi="Verdana"/>
        </w:rPr>
      </w:pPr>
    </w:p>
    <w:sectPr w:rsidR="5D8505AD" w:rsidRPr="00DF7E02"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1899" w14:textId="77777777" w:rsidR="000C6CCE" w:rsidRDefault="000C6CCE" w:rsidP="00B30448">
      <w:pPr>
        <w:spacing w:after="0" w:line="240" w:lineRule="auto"/>
      </w:pPr>
      <w:r>
        <w:separator/>
      </w:r>
    </w:p>
  </w:endnote>
  <w:endnote w:type="continuationSeparator" w:id="0">
    <w:p w14:paraId="313E4B69" w14:textId="77777777" w:rsidR="000C6CCE" w:rsidRDefault="000C6CCE" w:rsidP="00B30448">
      <w:pPr>
        <w:spacing w:after="0" w:line="240" w:lineRule="auto"/>
      </w:pPr>
      <w:r>
        <w:continuationSeparator/>
      </w:r>
    </w:p>
  </w:endnote>
  <w:endnote w:type="continuationNotice" w:id="1">
    <w:p w14:paraId="4D990920" w14:textId="77777777" w:rsidR="000C6CCE" w:rsidRDefault="000C6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p w14:paraId="4C33D89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22545" w14:textId="77777777" w:rsidR="000C6CCE" w:rsidRDefault="000C6CCE" w:rsidP="00B30448">
      <w:pPr>
        <w:spacing w:after="0" w:line="240" w:lineRule="auto"/>
      </w:pPr>
      <w:r>
        <w:separator/>
      </w:r>
    </w:p>
  </w:footnote>
  <w:footnote w:type="continuationSeparator" w:id="0">
    <w:p w14:paraId="03B2CB88" w14:textId="77777777" w:rsidR="000C6CCE" w:rsidRDefault="000C6CCE" w:rsidP="00B30448">
      <w:pPr>
        <w:spacing w:after="0" w:line="240" w:lineRule="auto"/>
      </w:pPr>
      <w:r>
        <w:continuationSeparator/>
      </w:r>
    </w:p>
  </w:footnote>
  <w:footnote w:type="continuationNotice" w:id="1">
    <w:p w14:paraId="3B123AC8" w14:textId="77777777" w:rsidR="000C6CCE" w:rsidRDefault="000C6CCE">
      <w:pPr>
        <w:spacing w:after="0" w:line="240" w:lineRule="auto"/>
      </w:pPr>
    </w:p>
  </w:footnote>
  <w:footnote w:id="2">
    <w:p w14:paraId="45432E6B" w14:textId="0EC83396" w:rsidR="002B58BB" w:rsidRPr="002F0E19" w:rsidRDefault="002B58BB" w:rsidP="002F0E19">
      <w:pPr>
        <w:pStyle w:val="Textonotapie"/>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 xml:space="preserve">Literal a) del numeral 2 del </w:t>
      </w:r>
      <w:r w:rsidR="00D4383C" w:rsidRPr="002F0E19">
        <w:rPr>
          <w:rFonts w:ascii="Verdana" w:hAnsi="Verdana"/>
          <w:sz w:val="16"/>
          <w:szCs w:val="16"/>
        </w:rPr>
        <w:t>artículo</w:t>
      </w:r>
      <w:r w:rsidRPr="002F0E19">
        <w:rPr>
          <w:rFonts w:ascii="Verdana" w:hAnsi="Verdana"/>
          <w:sz w:val="16"/>
          <w:szCs w:val="16"/>
        </w:rPr>
        <w:t xml:space="preserve"> 5 de la Ley 1150 de 2007, en el que, expresamente, se alude al puntaje.</w:t>
      </w:r>
    </w:p>
  </w:footnote>
  <w:footnote w:id="3">
    <w:p w14:paraId="5154DAFB" w14:textId="52201C96" w:rsidR="00230B6D" w:rsidRPr="002F0E19" w:rsidRDefault="00230B6D" w:rsidP="002F0E19">
      <w:pPr>
        <w:pStyle w:val="Textonotapie"/>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Resolución 248 del 2020 Agencia Nacional de Contratación Pública - Colombia Compra Eficiente</w:t>
      </w:r>
    </w:p>
  </w:footnote>
  <w:footnote w:id="4">
    <w:p w14:paraId="6E402B57" w14:textId="15C38EDE" w:rsidR="00752AF7" w:rsidRPr="002F0E19" w:rsidRDefault="00752AF7" w:rsidP="002F0E19">
      <w:pPr>
        <w:pStyle w:val="Textonotapie"/>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footnote>
  <w:footnote w:id="5">
    <w:p w14:paraId="040D7ABD" w14:textId="5E61CBEB" w:rsidR="00BD162A" w:rsidRPr="002F0E19" w:rsidRDefault="00BD162A" w:rsidP="002F0E19">
      <w:pPr>
        <w:pStyle w:val="Textonotapie"/>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009943AC" w:rsidRPr="002F0E19">
        <w:rPr>
          <w:rFonts w:ascii="Verdana" w:hAnsi="Verdana"/>
          <w:sz w:val="16"/>
          <w:szCs w:val="16"/>
        </w:rPr>
        <w:t>Numeral</w:t>
      </w:r>
      <w:r w:rsidR="009943AC" w:rsidRPr="002F0E19">
        <w:rPr>
          <w:rFonts w:ascii="Verdana" w:hAnsi="Verdana"/>
          <w:spacing w:val="-5"/>
          <w:sz w:val="16"/>
          <w:szCs w:val="16"/>
        </w:rPr>
        <w:t xml:space="preserve"> </w:t>
      </w:r>
      <w:r w:rsidR="009943AC" w:rsidRPr="002F0E19">
        <w:rPr>
          <w:rFonts w:ascii="Verdana" w:hAnsi="Verdana"/>
          <w:sz w:val="16"/>
          <w:szCs w:val="16"/>
        </w:rPr>
        <w:t>1</w:t>
      </w:r>
      <w:r w:rsidR="009943AC" w:rsidRPr="002F0E19">
        <w:rPr>
          <w:rFonts w:ascii="Verdana" w:hAnsi="Verdana"/>
          <w:spacing w:val="-5"/>
          <w:sz w:val="16"/>
          <w:szCs w:val="16"/>
        </w:rPr>
        <w:t xml:space="preserve"> </w:t>
      </w:r>
      <w:r w:rsidR="009943AC" w:rsidRPr="002F0E19">
        <w:rPr>
          <w:rFonts w:ascii="Verdana" w:hAnsi="Verdana"/>
          <w:sz w:val="16"/>
          <w:szCs w:val="16"/>
        </w:rPr>
        <w:t>del</w:t>
      </w:r>
      <w:r w:rsidR="009943AC" w:rsidRPr="002F0E19">
        <w:rPr>
          <w:rFonts w:ascii="Verdana" w:hAnsi="Verdana"/>
          <w:spacing w:val="-5"/>
          <w:sz w:val="16"/>
          <w:szCs w:val="16"/>
        </w:rPr>
        <w:t xml:space="preserve"> </w:t>
      </w:r>
      <w:r w:rsidR="009943AC" w:rsidRPr="002F0E19">
        <w:rPr>
          <w:rFonts w:ascii="Verdana" w:hAnsi="Verdana"/>
          <w:sz w:val="16"/>
          <w:szCs w:val="16"/>
        </w:rPr>
        <w:t>artículo</w:t>
      </w:r>
      <w:r w:rsidR="009943AC" w:rsidRPr="002F0E19">
        <w:rPr>
          <w:rFonts w:ascii="Verdana" w:hAnsi="Verdana"/>
          <w:spacing w:val="-5"/>
          <w:sz w:val="16"/>
          <w:szCs w:val="16"/>
        </w:rPr>
        <w:t xml:space="preserve"> </w:t>
      </w:r>
      <w:r w:rsidR="009943AC" w:rsidRPr="002F0E19">
        <w:rPr>
          <w:rFonts w:ascii="Verdana" w:hAnsi="Verdana"/>
          <w:sz w:val="16"/>
          <w:szCs w:val="16"/>
        </w:rPr>
        <w:t>5</w:t>
      </w:r>
      <w:r w:rsidR="009943AC" w:rsidRPr="002F0E19">
        <w:rPr>
          <w:rFonts w:ascii="Verdana" w:hAnsi="Verdana"/>
          <w:spacing w:val="-5"/>
          <w:sz w:val="16"/>
          <w:szCs w:val="16"/>
        </w:rPr>
        <w:t xml:space="preserve"> </w:t>
      </w:r>
      <w:r w:rsidR="009943AC" w:rsidRPr="002F0E19">
        <w:rPr>
          <w:rFonts w:ascii="Verdana" w:hAnsi="Verdana"/>
          <w:sz w:val="16"/>
          <w:szCs w:val="16"/>
        </w:rPr>
        <w:t>de</w:t>
      </w:r>
      <w:r w:rsidR="009943AC" w:rsidRPr="002F0E19">
        <w:rPr>
          <w:rFonts w:ascii="Verdana" w:hAnsi="Verdana"/>
          <w:spacing w:val="-5"/>
          <w:sz w:val="16"/>
          <w:szCs w:val="16"/>
        </w:rPr>
        <w:t xml:space="preserve"> </w:t>
      </w:r>
      <w:r w:rsidR="009943AC" w:rsidRPr="002F0E19">
        <w:rPr>
          <w:rFonts w:ascii="Verdana" w:hAnsi="Verdana"/>
          <w:sz w:val="16"/>
          <w:szCs w:val="16"/>
        </w:rPr>
        <w:t>la</w:t>
      </w:r>
      <w:r w:rsidR="009943AC" w:rsidRPr="002F0E19">
        <w:rPr>
          <w:rFonts w:ascii="Verdana" w:hAnsi="Verdana"/>
          <w:spacing w:val="-5"/>
          <w:sz w:val="16"/>
          <w:szCs w:val="16"/>
        </w:rPr>
        <w:t xml:space="preserve"> </w:t>
      </w:r>
      <w:r w:rsidR="009943AC" w:rsidRPr="002F0E19">
        <w:rPr>
          <w:rFonts w:ascii="Verdana" w:hAnsi="Verdana"/>
          <w:sz w:val="16"/>
          <w:szCs w:val="16"/>
        </w:rPr>
        <w:t>Ley</w:t>
      </w:r>
      <w:r w:rsidR="009943AC" w:rsidRPr="002F0E19">
        <w:rPr>
          <w:rFonts w:ascii="Verdana" w:hAnsi="Verdana"/>
          <w:spacing w:val="-5"/>
          <w:sz w:val="16"/>
          <w:szCs w:val="16"/>
        </w:rPr>
        <w:t xml:space="preserve"> </w:t>
      </w:r>
      <w:r w:rsidR="009943AC" w:rsidRPr="002F0E19">
        <w:rPr>
          <w:rFonts w:ascii="Verdana" w:hAnsi="Verdana"/>
          <w:sz w:val="16"/>
          <w:szCs w:val="16"/>
        </w:rPr>
        <w:t>1150</w:t>
      </w:r>
      <w:r w:rsidR="009943AC" w:rsidRPr="002F0E19">
        <w:rPr>
          <w:rFonts w:ascii="Verdana" w:hAnsi="Verdana"/>
          <w:spacing w:val="-5"/>
          <w:sz w:val="16"/>
          <w:szCs w:val="16"/>
        </w:rPr>
        <w:t xml:space="preserve"> </w:t>
      </w:r>
      <w:r w:rsidR="009943AC" w:rsidRPr="002F0E19">
        <w:rPr>
          <w:rFonts w:ascii="Verdana" w:hAnsi="Verdana"/>
          <w:sz w:val="16"/>
          <w:szCs w:val="16"/>
        </w:rPr>
        <w:t>de</w:t>
      </w:r>
      <w:r w:rsidR="009943AC" w:rsidRPr="002F0E19">
        <w:rPr>
          <w:rFonts w:ascii="Verdana" w:hAnsi="Verdana"/>
          <w:spacing w:val="-5"/>
          <w:sz w:val="16"/>
          <w:szCs w:val="16"/>
        </w:rPr>
        <w:t xml:space="preserve"> </w:t>
      </w:r>
      <w:r w:rsidR="009943AC" w:rsidRPr="002F0E19">
        <w:rPr>
          <w:rFonts w:ascii="Verdana" w:hAnsi="Verdana"/>
          <w:spacing w:val="-4"/>
          <w:sz w:val="16"/>
          <w:szCs w:val="16"/>
        </w:rPr>
        <w:t>2007</w:t>
      </w:r>
    </w:p>
  </w:footnote>
  <w:footnote w:id="6">
    <w:p w14:paraId="03641019" w14:textId="191DE2DF" w:rsidR="00D03E9D" w:rsidRPr="002F0E19" w:rsidRDefault="00D03E9D" w:rsidP="002F0E19">
      <w:pPr>
        <w:pStyle w:val="Textonotapie"/>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DÁVILA VINUEZA, Luis Guillermo. Régimen jurídico de la contratación estatal. Tercera edición, Bogotá: Legis, 2016. p. 355.</w:t>
      </w:r>
    </w:p>
  </w:footnote>
  <w:footnote w:id="7">
    <w:p w14:paraId="4695C77D" w14:textId="77777777" w:rsidR="00696F5C" w:rsidRPr="002F0E19" w:rsidRDefault="00696F5C" w:rsidP="002F0E19">
      <w:pPr>
        <w:pStyle w:val="Textonotapie"/>
        <w:ind w:firstLine="708"/>
        <w:jc w:val="both"/>
        <w:rPr>
          <w:rFonts w:ascii="Verdana" w:hAnsi="Verdana"/>
          <w:sz w:val="16"/>
          <w:szCs w:val="16"/>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B12EE7B" w14:textId="77777777" w:rsidR="00696F5C" w:rsidRPr="002F0E19" w:rsidRDefault="00696F5C" w:rsidP="002F0E19">
      <w:pPr>
        <w:pStyle w:val="Textonotapie"/>
        <w:jc w:val="both"/>
        <w:rPr>
          <w:rFonts w:ascii="Verdana" w:hAnsi="Verdana"/>
          <w:sz w:val="16"/>
          <w:szCs w:val="16"/>
        </w:rPr>
      </w:pPr>
      <w:r w:rsidRPr="002F0E19">
        <w:rPr>
          <w:rFonts w:ascii="Verdana" w:hAnsi="Verdana"/>
          <w:sz w:val="16"/>
          <w:szCs w:val="16"/>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053F05A" w14:textId="77777777" w:rsidR="00696F5C" w:rsidRPr="002F0E19" w:rsidRDefault="00696F5C" w:rsidP="002F0E19">
      <w:pPr>
        <w:pStyle w:val="Textonotapie"/>
        <w:jc w:val="both"/>
        <w:rPr>
          <w:rFonts w:ascii="Verdana" w:hAnsi="Verdana"/>
          <w:sz w:val="16"/>
          <w:szCs w:val="16"/>
        </w:rPr>
      </w:pPr>
      <w:r w:rsidRPr="002F0E19">
        <w:rPr>
          <w:rFonts w:ascii="Verdana" w:hAnsi="Verdana"/>
          <w:sz w:val="16"/>
          <w:szCs w:val="16"/>
        </w:rPr>
        <w:t>“[...]”.</w:t>
      </w:r>
    </w:p>
    <w:p w14:paraId="0AC73229" w14:textId="4F387659" w:rsidR="00696F5C" w:rsidRPr="002F0E19" w:rsidRDefault="00696F5C" w:rsidP="002F0E19">
      <w:pPr>
        <w:pStyle w:val="Textonotapie"/>
        <w:jc w:val="both"/>
        <w:rPr>
          <w:rFonts w:ascii="Verdana" w:hAnsi="Verdana"/>
          <w:sz w:val="16"/>
          <w:szCs w:val="16"/>
          <w:lang w:val="es-CO"/>
        </w:rPr>
      </w:pPr>
      <w:r w:rsidRPr="002F0E19">
        <w:rPr>
          <w:rFonts w:ascii="Verdana" w:hAnsi="Verdana"/>
          <w:sz w:val="16"/>
          <w:szCs w:val="16"/>
        </w:rPr>
        <w:t>La Entidad Estatal</w:t>
      </w:r>
    </w:p>
  </w:footnote>
  <w:footnote w:id="8">
    <w:p w14:paraId="082DA6E9" w14:textId="65DB21D9" w:rsidR="001F5B34" w:rsidRPr="002F0E19" w:rsidRDefault="001F5B34" w:rsidP="002F0E19">
      <w:pPr>
        <w:pStyle w:val="Textonotapie"/>
        <w:ind w:firstLine="708"/>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9">
    <w:p w14:paraId="5DEF1251" w14:textId="37B039A7" w:rsidR="001F5B34" w:rsidRPr="002F0E19" w:rsidRDefault="001F5B34" w:rsidP="002F0E19">
      <w:pPr>
        <w:pStyle w:val="Textonotapie"/>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001C382F" w:rsidRPr="002F0E19">
        <w:rPr>
          <w:rFonts w:ascii="Verdana" w:hAnsi="Verdana"/>
          <w:sz w:val="16"/>
          <w:szCs w:val="16"/>
        </w:rPr>
        <w:t>Artículo</w:t>
      </w:r>
      <w:r w:rsidR="001C382F" w:rsidRPr="002F0E19">
        <w:rPr>
          <w:rFonts w:ascii="Verdana" w:hAnsi="Verdana"/>
          <w:spacing w:val="-5"/>
          <w:sz w:val="16"/>
          <w:szCs w:val="16"/>
        </w:rPr>
        <w:t xml:space="preserve"> </w:t>
      </w:r>
      <w:r w:rsidR="001C382F" w:rsidRPr="002F0E19">
        <w:rPr>
          <w:rFonts w:ascii="Verdana" w:hAnsi="Verdana"/>
          <w:sz w:val="16"/>
          <w:szCs w:val="16"/>
        </w:rPr>
        <w:t>7</w:t>
      </w:r>
      <w:r w:rsidR="001C382F" w:rsidRPr="002F0E19">
        <w:rPr>
          <w:rFonts w:ascii="Verdana" w:hAnsi="Verdana"/>
          <w:spacing w:val="-6"/>
          <w:sz w:val="16"/>
          <w:szCs w:val="16"/>
        </w:rPr>
        <w:t xml:space="preserve"> </w:t>
      </w:r>
      <w:r w:rsidR="001C382F" w:rsidRPr="002F0E19">
        <w:rPr>
          <w:rFonts w:ascii="Verdana" w:hAnsi="Verdana"/>
          <w:sz w:val="16"/>
          <w:szCs w:val="16"/>
        </w:rPr>
        <w:t>de</w:t>
      </w:r>
      <w:r w:rsidR="001C382F" w:rsidRPr="002F0E19">
        <w:rPr>
          <w:rFonts w:ascii="Verdana" w:hAnsi="Verdana"/>
          <w:spacing w:val="-5"/>
          <w:sz w:val="16"/>
          <w:szCs w:val="16"/>
        </w:rPr>
        <w:t xml:space="preserve"> </w:t>
      </w:r>
      <w:r w:rsidR="001C382F" w:rsidRPr="002F0E19">
        <w:rPr>
          <w:rFonts w:ascii="Verdana" w:hAnsi="Verdana"/>
          <w:sz w:val="16"/>
          <w:szCs w:val="16"/>
        </w:rPr>
        <w:t>Ley</w:t>
      </w:r>
      <w:r w:rsidR="001C382F" w:rsidRPr="002F0E19">
        <w:rPr>
          <w:rFonts w:ascii="Verdana" w:hAnsi="Verdana"/>
          <w:spacing w:val="-5"/>
          <w:sz w:val="16"/>
          <w:szCs w:val="16"/>
        </w:rPr>
        <w:t xml:space="preserve"> </w:t>
      </w:r>
      <w:r w:rsidR="001C382F" w:rsidRPr="002F0E19">
        <w:rPr>
          <w:rFonts w:ascii="Verdana" w:hAnsi="Verdana"/>
          <w:sz w:val="16"/>
          <w:szCs w:val="16"/>
        </w:rPr>
        <w:t>80</w:t>
      </w:r>
      <w:r w:rsidR="001C382F" w:rsidRPr="002F0E19">
        <w:rPr>
          <w:rFonts w:ascii="Verdana" w:hAnsi="Verdana"/>
          <w:spacing w:val="-5"/>
          <w:sz w:val="16"/>
          <w:szCs w:val="16"/>
        </w:rPr>
        <w:t xml:space="preserve"> </w:t>
      </w:r>
      <w:r w:rsidR="001C382F" w:rsidRPr="002F0E19">
        <w:rPr>
          <w:rFonts w:ascii="Verdana" w:hAnsi="Verdana"/>
          <w:sz w:val="16"/>
          <w:szCs w:val="16"/>
        </w:rPr>
        <w:t>de</w:t>
      </w:r>
      <w:r w:rsidR="001C382F" w:rsidRPr="002F0E19">
        <w:rPr>
          <w:rFonts w:ascii="Verdana" w:hAnsi="Verdana"/>
          <w:spacing w:val="-6"/>
          <w:sz w:val="16"/>
          <w:szCs w:val="16"/>
        </w:rPr>
        <w:t xml:space="preserve"> </w:t>
      </w:r>
      <w:r w:rsidR="001C382F" w:rsidRPr="002F0E19">
        <w:rPr>
          <w:rFonts w:ascii="Verdana" w:hAnsi="Verdana"/>
          <w:spacing w:val="-4"/>
          <w:sz w:val="16"/>
          <w:szCs w:val="16"/>
        </w:rPr>
        <w:t>1993</w:t>
      </w:r>
    </w:p>
  </w:footnote>
  <w:footnote w:id="10">
    <w:p w14:paraId="1873D24C" w14:textId="76AB9C67" w:rsidR="006D2833" w:rsidRPr="002F0E19" w:rsidRDefault="006D2833" w:rsidP="002F0E19">
      <w:pPr>
        <w:pStyle w:val="Textonotapie"/>
        <w:ind w:firstLine="708"/>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Principio que se compone a su vez de «tres subprincipios, etapas o mandatos parciales: el subprincipio o mandato de adecuación, de idoneidad o de congruencia,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subprincipio o mandato de necesidad, intervención mínima o menor lesividad,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el subprincipio o mandato de proporcionalidad en sentido estricto,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 w:id="11">
    <w:p w14:paraId="2B25F60A" w14:textId="7E15202F" w:rsidR="002F0E19" w:rsidRPr="002F0E19" w:rsidRDefault="002F0E19" w:rsidP="002F0E19">
      <w:pPr>
        <w:pStyle w:val="Textonotapie"/>
        <w:ind w:firstLine="708"/>
        <w:jc w:val="both"/>
        <w:rPr>
          <w:rFonts w:ascii="Verdana" w:hAnsi="Verdana"/>
          <w:sz w:val="16"/>
          <w:szCs w:val="16"/>
          <w:lang w:val="es-CO"/>
        </w:rPr>
      </w:pPr>
      <w:r w:rsidRPr="002F0E19">
        <w:rPr>
          <w:rStyle w:val="Refdenotaalpie"/>
          <w:rFonts w:ascii="Verdana" w:hAnsi="Verdana"/>
          <w:sz w:val="16"/>
          <w:szCs w:val="16"/>
        </w:rPr>
        <w:footnoteRef/>
      </w:r>
      <w:r w:rsidRPr="002F0E19">
        <w:rPr>
          <w:rFonts w:ascii="Verdana" w:hAnsi="Verdana"/>
          <w:sz w:val="16"/>
          <w:szCs w:val="16"/>
        </w:rPr>
        <w:t xml:space="preserve"> </w:t>
      </w:r>
      <w:r w:rsidRPr="002F0E19">
        <w:rPr>
          <w:rFonts w:ascii="Verdana" w:hAnsi="Verdana"/>
          <w:sz w:val="16"/>
          <w:szCs w:val="16"/>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262DC28A"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844CD"/>
    <w:multiLevelType w:val="hybridMultilevel"/>
    <w:tmpl w:val="85E672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9F77871"/>
    <w:multiLevelType w:val="hybridMultilevel"/>
    <w:tmpl w:val="9FD059D6"/>
    <w:lvl w:ilvl="0" w:tplc="E5A8E89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6AC42B45"/>
    <w:multiLevelType w:val="hybridMultilevel"/>
    <w:tmpl w:val="7760FC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463236">
    <w:abstractNumId w:val="6"/>
  </w:num>
  <w:num w:numId="2" w16cid:durableId="398135749">
    <w:abstractNumId w:val="2"/>
  </w:num>
  <w:num w:numId="3" w16cid:durableId="633293195">
    <w:abstractNumId w:val="3"/>
  </w:num>
  <w:num w:numId="4" w16cid:durableId="652950952">
    <w:abstractNumId w:val="0"/>
  </w:num>
  <w:num w:numId="5" w16cid:durableId="1645504343">
    <w:abstractNumId w:val="9"/>
  </w:num>
  <w:num w:numId="6" w16cid:durableId="2056348272">
    <w:abstractNumId w:val="1"/>
  </w:num>
  <w:num w:numId="7" w16cid:durableId="1589118356">
    <w:abstractNumId w:val="5"/>
  </w:num>
  <w:num w:numId="8" w16cid:durableId="260997085">
    <w:abstractNumId w:val="7"/>
  </w:num>
  <w:num w:numId="9" w16cid:durableId="1948004408">
    <w:abstractNumId w:val="10"/>
  </w:num>
  <w:num w:numId="10" w16cid:durableId="746919135">
    <w:abstractNumId w:val="4"/>
  </w:num>
  <w:num w:numId="11" w16cid:durableId="1843158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0633"/>
    <w:rsid w:val="000016F3"/>
    <w:rsid w:val="000037AE"/>
    <w:rsid w:val="00005BB0"/>
    <w:rsid w:val="0001025F"/>
    <w:rsid w:val="0001222D"/>
    <w:rsid w:val="000135EB"/>
    <w:rsid w:val="00015D2B"/>
    <w:rsid w:val="00031584"/>
    <w:rsid w:val="00032A0E"/>
    <w:rsid w:val="00037347"/>
    <w:rsid w:val="000404EA"/>
    <w:rsid w:val="000442CC"/>
    <w:rsid w:val="000556D4"/>
    <w:rsid w:val="00055C08"/>
    <w:rsid w:val="00061566"/>
    <w:rsid w:val="000716AB"/>
    <w:rsid w:val="00076E81"/>
    <w:rsid w:val="00082E4C"/>
    <w:rsid w:val="000849D5"/>
    <w:rsid w:val="0008528F"/>
    <w:rsid w:val="000A5615"/>
    <w:rsid w:val="000A6E0C"/>
    <w:rsid w:val="000A7A56"/>
    <w:rsid w:val="000B14BD"/>
    <w:rsid w:val="000B1FF7"/>
    <w:rsid w:val="000B2513"/>
    <w:rsid w:val="000B4024"/>
    <w:rsid w:val="000C3A94"/>
    <w:rsid w:val="000C3C51"/>
    <w:rsid w:val="000C6CCE"/>
    <w:rsid w:val="000C7262"/>
    <w:rsid w:val="000D2A7F"/>
    <w:rsid w:val="000D4FCE"/>
    <w:rsid w:val="000D5489"/>
    <w:rsid w:val="000F7F0A"/>
    <w:rsid w:val="0011037E"/>
    <w:rsid w:val="00114EB3"/>
    <w:rsid w:val="00132E8E"/>
    <w:rsid w:val="001363C7"/>
    <w:rsid w:val="00141AC5"/>
    <w:rsid w:val="00146B11"/>
    <w:rsid w:val="00147A04"/>
    <w:rsid w:val="001526E8"/>
    <w:rsid w:val="0015476D"/>
    <w:rsid w:val="00157CCF"/>
    <w:rsid w:val="00161E13"/>
    <w:rsid w:val="00164AE0"/>
    <w:rsid w:val="00165E83"/>
    <w:rsid w:val="00166CD7"/>
    <w:rsid w:val="0017120C"/>
    <w:rsid w:val="00172F3A"/>
    <w:rsid w:val="00194597"/>
    <w:rsid w:val="0019532A"/>
    <w:rsid w:val="0019670E"/>
    <w:rsid w:val="00197205"/>
    <w:rsid w:val="001A5BFD"/>
    <w:rsid w:val="001A5DD4"/>
    <w:rsid w:val="001A67E9"/>
    <w:rsid w:val="001B143B"/>
    <w:rsid w:val="001B21CA"/>
    <w:rsid w:val="001C04FC"/>
    <w:rsid w:val="001C2278"/>
    <w:rsid w:val="001C25A3"/>
    <w:rsid w:val="001C382F"/>
    <w:rsid w:val="001C5D03"/>
    <w:rsid w:val="001C7771"/>
    <w:rsid w:val="001D62FF"/>
    <w:rsid w:val="001F3F48"/>
    <w:rsid w:val="001F5B34"/>
    <w:rsid w:val="002000AA"/>
    <w:rsid w:val="00203798"/>
    <w:rsid w:val="00204109"/>
    <w:rsid w:val="00211E6E"/>
    <w:rsid w:val="00212A46"/>
    <w:rsid w:val="0021401D"/>
    <w:rsid w:val="002146B8"/>
    <w:rsid w:val="00215516"/>
    <w:rsid w:val="00230B6D"/>
    <w:rsid w:val="002527C2"/>
    <w:rsid w:val="00261BB6"/>
    <w:rsid w:val="00270443"/>
    <w:rsid w:val="00270EE2"/>
    <w:rsid w:val="00272972"/>
    <w:rsid w:val="00286491"/>
    <w:rsid w:val="002A0F8D"/>
    <w:rsid w:val="002B3A74"/>
    <w:rsid w:val="002B58BB"/>
    <w:rsid w:val="002B6E44"/>
    <w:rsid w:val="002D264D"/>
    <w:rsid w:val="002E1DB5"/>
    <w:rsid w:val="002E52B1"/>
    <w:rsid w:val="002F0E19"/>
    <w:rsid w:val="002F6CCB"/>
    <w:rsid w:val="0030461E"/>
    <w:rsid w:val="003242A9"/>
    <w:rsid w:val="0032756A"/>
    <w:rsid w:val="0033073A"/>
    <w:rsid w:val="00334EF8"/>
    <w:rsid w:val="00336408"/>
    <w:rsid w:val="00340DFB"/>
    <w:rsid w:val="0034167F"/>
    <w:rsid w:val="0034404F"/>
    <w:rsid w:val="00356980"/>
    <w:rsid w:val="00364CF9"/>
    <w:rsid w:val="00367462"/>
    <w:rsid w:val="00371ECA"/>
    <w:rsid w:val="00372748"/>
    <w:rsid w:val="0037332A"/>
    <w:rsid w:val="0038102E"/>
    <w:rsid w:val="0038151A"/>
    <w:rsid w:val="00387831"/>
    <w:rsid w:val="0039082A"/>
    <w:rsid w:val="00390C21"/>
    <w:rsid w:val="00390F67"/>
    <w:rsid w:val="003A0817"/>
    <w:rsid w:val="003A37BD"/>
    <w:rsid w:val="003B6D94"/>
    <w:rsid w:val="003C4C96"/>
    <w:rsid w:val="003C55E0"/>
    <w:rsid w:val="003C6889"/>
    <w:rsid w:val="003F24E4"/>
    <w:rsid w:val="003F519B"/>
    <w:rsid w:val="0040544F"/>
    <w:rsid w:val="00406A19"/>
    <w:rsid w:val="0041222D"/>
    <w:rsid w:val="0041483E"/>
    <w:rsid w:val="00415369"/>
    <w:rsid w:val="00423C5A"/>
    <w:rsid w:val="00425B47"/>
    <w:rsid w:val="00426BBC"/>
    <w:rsid w:val="00430492"/>
    <w:rsid w:val="00444BBE"/>
    <w:rsid w:val="00450526"/>
    <w:rsid w:val="00450BE7"/>
    <w:rsid w:val="00455AE9"/>
    <w:rsid w:val="00456A52"/>
    <w:rsid w:val="0046741E"/>
    <w:rsid w:val="00472CC6"/>
    <w:rsid w:val="0048026E"/>
    <w:rsid w:val="004807A9"/>
    <w:rsid w:val="004813EE"/>
    <w:rsid w:val="004833F9"/>
    <w:rsid w:val="00493278"/>
    <w:rsid w:val="004943D9"/>
    <w:rsid w:val="004A0E7B"/>
    <w:rsid w:val="004A3498"/>
    <w:rsid w:val="004B0C45"/>
    <w:rsid w:val="004C045A"/>
    <w:rsid w:val="004C0AB2"/>
    <w:rsid w:val="004C1619"/>
    <w:rsid w:val="004C1A26"/>
    <w:rsid w:val="004C1CC9"/>
    <w:rsid w:val="004C3755"/>
    <w:rsid w:val="004C4485"/>
    <w:rsid w:val="004D11AF"/>
    <w:rsid w:val="00500DFA"/>
    <w:rsid w:val="005019AA"/>
    <w:rsid w:val="005021BB"/>
    <w:rsid w:val="005139E7"/>
    <w:rsid w:val="005147DA"/>
    <w:rsid w:val="00515FB5"/>
    <w:rsid w:val="00520DE2"/>
    <w:rsid w:val="0052365C"/>
    <w:rsid w:val="005271EB"/>
    <w:rsid w:val="00530050"/>
    <w:rsid w:val="005426DB"/>
    <w:rsid w:val="0055082B"/>
    <w:rsid w:val="00552503"/>
    <w:rsid w:val="00552B57"/>
    <w:rsid w:val="00557DA1"/>
    <w:rsid w:val="0056322C"/>
    <w:rsid w:val="0056519F"/>
    <w:rsid w:val="0058743A"/>
    <w:rsid w:val="005A4DB0"/>
    <w:rsid w:val="005A7B8E"/>
    <w:rsid w:val="005B012B"/>
    <w:rsid w:val="005B0C87"/>
    <w:rsid w:val="005B4B16"/>
    <w:rsid w:val="005D1F60"/>
    <w:rsid w:val="005D23F6"/>
    <w:rsid w:val="005D2FA8"/>
    <w:rsid w:val="005E2281"/>
    <w:rsid w:val="005E667C"/>
    <w:rsid w:val="005F077C"/>
    <w:rsid w:val="005F63D0"/>
    <w:rsid w:val="005F7973"/>
    <w:rsid w:val="006111C8"/>
    <w:rsid w:val="0061690E"/>
    <w:rsid w:val="00627361"/>
    <w:rsid w:val="0063017E"/>
    <w:rsid w:val="00631B28"/>
    <w:rsid w:val="00631CD4"/>
    <w:rsid w:val="006430BD"/>
    <w:rsid w:val="00645B90"/>
    <w:rsid w:val="00650991"/>
    <w:rsid w:val="006511D7"/>
    <w:rsid w:val="00663D75"/>
    <w:rsid w:val="00670AEF"/>
    <w:rsid w:val="00675678"/>
    <w:rsid w:val="00677012"/>
    <w:rsid w:val="006773A7"/>
    <w:rsid w:val="006825B4"/>
    <w:rsid w:val="00682AF2"/>
    <w:rsid w:val="006835CD"/>
    <w:rsid w:val="006864DF"/>
    <w:rsid w:val="00696F5C"/>
    <w:rsid w:val="006A3C8A"/>
    <w:rsid w:val="006A7552"/>
    <w:rsid w:val="006B5953"/>
    <w:rsid w:val="006B7A81"/>
    <w:rsid w:val="006C4BAC"/>
    <w:rsid w:val="006C52F3"/>
    <w:rsid w:val="006D2833"/>
    <w:rsid w:val="006E42B0"/>
    <w:rsid w:val="006E7F37"/>
    <w:rsid w:val="006F1351"/>
    <w:rsid w:val="006F3B81"/>
    <w:rsid w:val="006F4F79"/>
    <w:rsid w:val="0070116B"/>
    <w:rsid w:val="00705B37"/>
    <w:rsid w:val="00711FD9"/>
    <w:rsid w:val="00735062"/>
    <w:rsid w:val="00742944"/>
    <w:rsid w:val="00746BA5"/>
    <w:rsid w:val="007471E6"/>
    <w:rsid w:val="00751D23"/>
    <w:rsid w:val="00752AF7"/>
    <w:rsid w:val="007544D0"/>
    <w:rsid w:val="007603CD"/>
    <w:rsid w:val="00761CD5"/>
    <w:rsid w:val="00770577"/>
    <w:rsid w:val="00777666"/>
    <w:rsid w:val="00781358"/>
    <w:rsid w:val="0078159B"/>
    <w:rsid w:val="00782E10"/>
    <w:rsid w:val="0078706B"/>
    <w:rsid w:val="00790836"/>
    <w:rsid w:val="00797131"/>
    <w:rsid w:val="007A3612"/>
    <w:rsid w:val="007A3C1D"/>
    <w:rsid w:val="007B285D"/>
    <w:rsid w:val="007C6BC6"/>
    <w:rsid w:val="007E5CC8"/>
    <w:rsid w:val="007F24D4"/>
    <w:rsid w:val="00801DCC"/>
    <w:rsid w:val="00807D79"/>
    <w:rsid w:val="00813634"/>
    <w:rsid w:val="00815F22"/>
    <w:rsid w:val="00822821"/>
    <w:rsid w:val="00822DB0"/>
    <w:rsid w:val="00824D32"/>
    <w:rsid w:val="00831C29"/>
    <w:rsid w:val="008431EF"/>
    <w:rsid w:val="008468E0"/>
    <w:rsid w:val="008565D7"/>
    <w:rsid w:val="00871B59"/>
    <w:rsid w:val="00877D03"/>
    <w:rsid w:val="00877E96"/>
    <w:rsid w:val="008806CA"/>
    <w:rsid w:val="008815E5"/>
    <w:rsid w:val="00883211"/>
    <w:rsid w:val="00887B37"/>
    <w:rsid w:val="008909B9"/>
    <w:rsid w:val="00891DFC"/>
    <w:rsid w:val="008A1382"/>
    <w:rsid w:val="008B12B4"/>
    <w:rsid w:val="008B7914"/>
    <w:rsid w:val="008C4660"/>
    <w:rsid w:val="008C5D2A"/>
    <w:rsid w:val="008C7AF4"/>
    <w:rsid w:val="008D529F"/>
    <w:rsid w:val="008E07EB"/>
    <w:rsid w:val="008F5CC8"/>
    <w:rsid w:val="009061B8"/>
    <w:rsid w:val="0091008B"/>
    <w:rsid w:val="00911EA2"/>
    <w:rsid w:val="00916C7D"/>
    <w:rsid w:val="0092575D"/>
    <w:rsid w:val="009341DA"/>
    <w:rsid w:val="009430F9"/>
    <w:rsid w:val="009442E8"/>
    <w:rsid w:val="00946BD0"/>
    <w:rsid w:val="0095426C"/>
    <w:rsid w:val="00970087"/>
    <w:rsid w:val="00971074"/>
    <w:rsid w:val="00972001"/>
    <w:rsid w:val="009943AC"/>
    <w:rsid w:val="00995D86"/>
    <w:rsid w:val="009A5453"/>
    <w:rsid w:val="009B20D7"/>
    <w:rsid w:val="009B4D94"/>
    <w:rsid w:val="009C2871"/>
    <w:rsid w:val="009D3C33"/>
    <w:rsid w:val="009D7F3A"/>
    <w:rsid w:val="009E069E"/>
    <w:rsid w:val="009E4885"/>
    <w:rsid w:val="00A07DB6"/>
    <w:rsid w:val="00A10A73"/>
    <w:rsid w:val="00A170B3"/>
    <w:rsid w:val="00A223D5"/>
    <w:rsid w:val="00A30D12"/>
    <w:rsid w:val="00A337FC"/>
    <w:rsid w:val="00A37D1C"/>
    <w:rsid w:val="00A5453E"/>
    <w:rsid w:val="00A56E08"/>
    <w:rsid w:val="00A56F6C"/>
    <w:rsid w:val="00A6013D"/>
    <w:rsid w:val="00A76C8C"/>
    <w:rsid w:val="00A85F30"/>
    <w:rsid w:val="00A9099E"/>
    <w:rsid w:val="00A91FB7"/>
    <w:rsid w:val="00A9298F"/>
    <w:rsid w:val="00AA0351"/>
    <w:rsid w:val="00AA5F4A"/>
    <w:rsid w:val="00AA7EDE"/>
    <w:rsid w:val="00AB1984"/>
    <w:rsid w:val="00AB52B1"/>
    <w:rsid w:val="00AC4CB3"/>
    <w:rsid w:val="00AC55F0"/>
    <w:rsid w:val="00AC780D"/>
    <w:rsid w:val="00AD036B"/>
    <w:rsid w:val="00AD09BE"/>
    <w:rsid w:val="00AD0D49"/>
    <w:rsid w:val="00AD1996"/>
    <w:rsid w:val="00AD4099"/>
    <w:rsid w:val="00AD4901"/>
    <w:rsid w:val="00AD65D6"/>
    <w:rsid w:val="00B02FE0"/>
    <w:rsid w:val="00B057B6"/>
    <w:rsid w:val="00B1424A"/>
    <w:rsid w:val="00B16A78"/>
    <w:rsid w:val="00B30448"/>
    <w:rsid w:val="00B34786"/>
    <w:rsid w:val="00B34BA4"/>
    <w:rsid w:val="00B400EC"/>
    <w:rsid w:val="00B40162"/>
    <w:rsid w:val="00B41ACE"/>
    <w:rsid w:val="00B50156"/>
    <w:rsid w:val="00B518AD"/>
    <w:rsid w:val="00B53A72"/>
    <w:rsid w:val="00B60A96"/>
    <w:rsid w:val="00B678EC"/>
    <w:rsid w:val="00B76C94"/>
    <w:rsid w:val="00B772D0"/>
    <w:rsid w:val="00B836EA"/>
    <w:rsid w:val="00B84C05"/>
    <w:rsid w:val="00B91B81"/>
    <w:rsid w:val="00B97135"/>
    <w:rsid w:val="00BB2E33"/>
    <w:rsid w:val="00BB3072"/>
    <w:rsid w:val="00BC4F89"/>
    <w:rsid w:val="00BC7632"/>
    <w:rsid w:val="00BD162A"/>
    <w:rsid w:val="00BD48A9"/>
    <w:rsid w:val="00BD630F"/>
    <w:rsid w:val="00BD7EC6"/>
    <w:rsid w:val="00BE3BF9"/>
    <w:rsid w:val="00BE73FA"/>
    <w:rsid w:val="00BF6B4B"/>
    <w:rsid w:val="00C0305E"/>
    <w:rsid w:val="00C0511C"/>
    <w:rsid w:val="00C17C0E"/>
    <w:rsid w:val="00C20ACF"/>
    <w:rsid w:val="00C22307"/>
    <w:rsid w:val="00C22628"/>
    <w:rsid w:val="00C23469"/>
    <w:rsid w:val="00C24878"/>
    <w:rsid w:val="00C30C62"/>
    <w:rsid w:val="00C371DF"/>
    <w:rsid w:val="00C42055"/>
    <w:rsid w:val="00C44B4C"/>
    <w:rsid w:val="00C46734"/>
    <w:rsid w:val="00C4713B"/>
    <w:rsid w:val="00C47A86"/>
    <w:rsid w:val="00C53220"/>
    <w:rsid w:val="00C65C88"/>
    <w:rsid w:val="00C70108"/>
    <w:rsid w:val="00C72084"/>
    <w:rsid w:val="00C72DDF"/>
    <w:rsid w:val="00C835AB"/>
    <w:rsid w:val="00C83BCF"/>
    <w:rsid w:val="00CA3347"/>
    <w:rsid w:val="00CC299A"/>
    <w:rsid w:val="00CD03E3"/>
    <w:rsid w:val="00CD2780"/>
    <w:rsid w:val="00CE6BDA"/>
    <w:rsid w:val="00CF4566"/>
    <w:rsid w:val="00D03DBE"/>
    <w:rsid w:val="00D03E9D"/>
    <w:rsid w:val="00D072C0"/>
    <w:rsid w:val="00D179A8"/>
    <w:rsid w:val="00D23E53"/>
    <w:rsid w:val="00D34C82"/>
    <w:rsid w:val="00D3757A"/>
    <w:rsid w:val="00D41DE8"/>
    <w:rsid w:val="00D42192"/>
    <w:rsid w:val="00D4383C"/>
    <w:rsid w:val="00D504A9"/>
    <w:rsid w:val="00D5206D"/>
    <w:rsid w:val="00D53601"/>
    <w:rsid w:val="00D613CD"/>
    <w:rsid w:val="00D64A45"/>
    <w:rsid w:val="00D67299"/>
    <w:rsid w:val="00D7177D"/>
    <w:rsid w:val="00D765AF"/>
    <w:rsid w:val="00D81311"/>
    <w:rsid w:val="00DB201E"/>
    <w:rsid w:val="00DC0E68"/>
    <w:rsid w:val="00DC3126"/>
    <w:rsid w:val="00DC4821"/>
    <w:rsid w:val="00DD25ED"/>
    <w:rsid w:val="00DE0D6E"/>
    <w:rsid w:val="00DF7E02"/>
    <w:rsid w:val="00E1168C"/>
    <w:rsid w:val="00E15BAA"/>
    <w:rsid w:val="00E1610C"/>
    <w:rsid w:val="00E16D73"/>
    <w:rsid w:val="00E23415"/>
    <w:rsid w:val="00E23E9E"/>
    <w:rsid w:val="00E25722"/>
    <w:rsid w:val="00E26C15"/>
    <w:rsid w:val="00E27F0A"/>
    <w:rsid w:val="00E4231E"/>
    <w:rsid w:val="00E4302C"/>
    <w:rsid w:val="00E4467D"/>
    <w:rsid w:val="00E44AC7"/>
    <w:rsid w:val="00E45F4B"/>
    <w:rsid w:val="00E60A16"/>
    <w:rsid w:val="00E70DB5"/>
    <w:rsid w:val="00E82B6E"/>
    <w:rsid w:val="00E94258"/>
    <w:rsid w:val="00E96C18"/>
    <w:rsid w:val="00EA2340"/>
    <w:rsid w:val="00EA2E61"/>
    <w:rsid w:val="00EA4E95"/>
    <w:rsid w:val="00EA7D7F"/>
    <w:rsid w:val="00EB02F4"/>
    <w:rsid w:val="00EB2FA2"/>
    <w:rsid w:val="00EB769A"/>
    <w:rsid w:val="00EC21EA"/>
    <w:rsid w:val="00EC3A35"/>
    <w:rsid w:val="00ED20D7"/>
    <w:rsid w:val="00EE17F2"/>
    <w:rsid w:val="00EE2239"/>
    <w:rsid w:val="00EE3138"/>
    <w:rsid w:val="00EF2AC7"/>
    <w:rsid w:val="00EF400A"/>
    <w:rsid w:val="00EF6BE4"/>
    <w:rsid w:val="00EF6E5D"/>
    <w:rsid w:val="00F047B7"/>
    <w:rsid w:val="00F07764"/>
    <w:rsid w:val="00F12517"/>
    <w:rsid w:val="00F131DD"/>
    <w:rsid w:val="00F16BA1"/>
    <w:rsid w:val="00F24435"/>
    <w:rsid w:val="00F30C0F"/>
    <w:rsid w:val="00F314E8"/>
    <w:rsid w:val="00F323A2"/>
    <w:rsid w:val="00F33B57"/>
    <w:rsid w:val="00F33D5C"/>
    <w:rsid w:val="00F34E90"/>
    <w:rsid w:val="00F356D6"/>
    <w:rsid w:val="00F40284"/>
    <w:rsid w:val="00F431C7"/>
    <w:rsid w:val="00F53BE2"/>
    <w:rsid w:val="00F53D95"/>
    <w:rsid w:val="00F55684"/>
    <w:rsid w:val="00F61F8C"/>
    <w:rsid w:val="00F64D5A"/>
    <w:rsid w:val="00F709CD"/>
    <w:rsid w:val="00F906F4"/>
    <w:rsid w:val="00FA0716"/>
    <w:rsid w:val="00FB0E40"/>
    <w:rsid w:val="00FB4629"/>
    <w:rsid w:val="00FB6DB2"/>
    <w:rsid w:val="00FB6FB1"/>
    <w:rsid w:val="00FB7063"/>
    <w:rsid w:val="00FC43BA"/>
    <w:rsid w:val="00FC5D25"/>
    <w:rsid w:val="00FC7056"/>
    <w:rsid w:val="00FD087F"/>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D41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customStyle="1" w:styleId="footnotedescription">
    <w:name w:val="footnote description"/>
    <w:next w:val="Normal"/>
    <w:link w:val="footnotedescriptionChar"/>
    <w:hidden/>
    <w:rsid w:val="00DF7E02"/>
    <w:pPr>
      <w:spacing w:after="0" w:line="250" w:lineRule="auto"/>
      <w:ind w:firstLine="708"/>
    </w:pPr>
    <w:rPr>
      <w:rFonts w:ascii="Verdana" w:eastAsia="Verdana" w:hAnsi="Verdana" w:cs="Verdana"/>
      <w:color w:val="000000"/>
      <w:kern w:val="2"/>
      <w:sz w:val="18"/>
      <w:szCs w:val="24"/>
      <w:lang w:eastAsia="es-CO"/>
      <w14:ligatures w14:val="standardContextual"/>
    </w:rPr>
  </w:style>
  <w:style w:type="character" w:customStyle="1" w:styleId="footnotedescriptionChar">
    <w:name w:val="footnote description Char"/>
    <w:link w:val="footnotedescription"/>
    <w:rsid w:val="00DF7E02"/>
    <w:rPr>
      <w:rFonts w:ascii="Verdana" w:eastAsia="Verdana" w:hAnsi="Verdana" w:cs="Verdana"/>
      <w:color w:val="000000"/>
      <w:kern w:val="2"/>
      <w:sz w:val="18"/>
      <w:szCs w:val="24"/>
      <w:lang w:eastAsia="es-CO"/>
      <w14:ligatures w14:val="standardContextual"/>
    </w:rPr>
  </w:style>
  <w:style w:type="character" w:customStyle="1" w:styleId="footnotemark">
    <w:name w:val="footnote mark"/>
    <w:hidden/>
    <w:rsid w:val="00DF7E02"/>
    <w:rPr>
      <w:rFonts w:ascii="Verdana" w:eastAsia="Verdana" w:hAnsi="Verdana" w:cs="Verdana"/>
      <w:color w:val="000000"/>
      <w:sz w:val="18"/>
      <w:vertAlign w:val="superscript"/>
    </w:rPr>
  </w:style>
  <w:style w:type="character" w:customStyle="1" w:styleId="Ttulo2Car">
    <w:name w:val="Título 2 Car"/>
    <w:basedOn w:val="Fuentedeprrafopredeter"/>
    <w:link w:val="Ttulo2"/>
    <w:uiPriority w:val="9"/>
    <w:semiHidden/>
    <w:rsid w:val="00D41D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20ments/cce-eicp-ma-04._manual_requisitos_habilitantes_v3_29-09-%202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pabon@camaradirect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santiago.herrera%40colombiacompra.gov.co%7C616b83c3423e4d31151908dce489c00d%7C7b09041e245149d08cb179d5e3d8c1be%7C0%7C0%7C638636527542139879%7CUnknown%7CTWFpbGZsb3d8eyJWIjoiMC4wLjAwMDAiLCJQIjoiV2luMzIiLCJBTiI6Ik1haWwiLCJXVCI6Mn0%3D%7C0%7C%7C%7C&amp;sdata=cTSoqYrgsA%2B1ozYbYaBk7O2UAo9X4MVYRRCSbT9O8xc%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4312</Words>
  <Characters>23716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40</cp:revision>
  <dcterms:created xsi:type="dcterms:W3CDTF">2024-10-29T21:40:00Z</dcterms:created>
  <dcterms:modified xsi:type="dcterms:W3CDTF">2024-11-19T21:59:00Z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