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226F8" w14:textId="77777777" w:rsidR="00BE1FFD" w:rsidRPr="00764675" w:rsidRDefault="00BE1FFD" w:rsidP="00BE1FFD">
      <w:pPr>
        <w:tabs>
          <w:tab w:val="left" w:pos="709"/>
        </w:tabs>
        <w:spacing w:after="0" w:line="276" w:lineRule="auto"/>
        <w:jc w:val="both"/>
        <w:rPr>
          <w:rFonts w:ascii="Verdana" w:eastAsia="Calibri" w:hAnsi="Verdana" w:cs="Arial"/>
          <w:b/>
          <w:kern w:val="2"/>
          <w:lang w:val="es-MX"/>
          <w14:ligatures w14:val="standardContextual"/>
        </w:rPr>
      </w:pPr>
      <w:r w:rsidRPr="00764675">
        <w:rPr>
          <w:rFonts w:ascii="Verdana" w:eastAsia="Calibri" w:hAnsi="Verdana" w:cs="Arial"/>
          <w:b/>
          <w:kern w:val="2"/>
          <w:lang w:val="es-MX"/>
          <w14:ligatures w14:val="standardContextual"/>
        </w:rPr>
        <w:t xml:space="preserve">SISTEMA GENERAL DE REGALÍAS – Ley 2056 de 2020 – Régimen contractual – Entidades ejecutoras – Aplicación del Estatuto General de Contratación de la Administración Pública </w:t>
      </w:r>
    </w:p>
    <w:p w14:paraId="6CCDB48F" w14:textId="77777777" w:rsidR="00BE1FFD" w:rsidRPr="00764675" w:rsidRDefault="00BE1FFD" w:rsidP="00BE1FFD">
      <w:pPr>
        <w:spacing w:after="0" w:line="240" w:lineRule="auto"/>
        <w:jc w:val="both"/>
        <w:rPr>
          <w:rFonts w:ascii="Verdana" w:eastAsia="Aptos" w:hAnsi="Verdana" w:cs="Arial"/>
          <w:kern w:val="2"/>
          <w:lang w:val="es-ES_tradnl"/>
          <w14:ligatures w14:val="standardContextual"/>
        </w:rPr>
      </w:pPr>
    </w:p>
    <w:p w14:paraId="2A94C232" w14:textId="77777777" w:rsidR="00BE1FFD" w:rsidRPr="008A5AC0" w:rsidRDefault="00BE1FFD" w:rsidP="00BE1FFD">
      <w:pPr>
        <w:snapToGrid w:val="0"/>
        <w:spacing w:after="0" w:line="240" w:lineRule="auto"/>
        <w:jc w:val="both"/>
        <w:rPr>
          <w:rFonts w:ascii="Verdana" w:eastAsia="Aptos" w:hAnsi="Verdana" w:cs="Arial"/>
          <w:kern w:val="2"/>
          <w:sz w:val="20"/>
          <w:szCs w:val="20"/>
          <w:lang w:val="es-ES"/>
          <w14:ligatures w14:val="standardContextual"/>
        </w:rPr>
      </w:pPr>
      <w:r w:rsidRPr="65C877AB">
        <w:rPr>
          <w:rFonts w:ascii="Verdana" w:eastAsia="Aptos" w:hAnsi="Verdana" w:cs="Arial"/>
          <w:kern w:val="2"/>
          <w:sz w:val="20"/>
          <w:szCs w:val="20"/>
          <w:lang w:val="es-ES"/>
          <w14:ligatures w14:val="standardContextual"/>
        </w:rPr>
        <w:t xml:space="preserve">iv) El artículo 37 de la Ley 2056 de 2020 dispone que los proyectos de inversión que se financien con cargo al Sistema General de Regalías serán ejecutados por quien designe las entidades u órganos de que tratan los artículos 35 y 36 </w:t>
      </w:r>
      <w:r w:rsidRPr="65C877AB">
        <w:rPr>
          <w:rFonts w:ascii="Verdana" w:eastAsia="Aptos" w:hAnsi="Verdana" w:cs="Arial"/>
          <w:i/>
          <w:iCs/>
          <w:kern w:val="2"/>
          <w:sz w:val="20"/>
          <w:szCs w:val="20"/>
          <w:lang w:val="es-ES"/>
          <w14:ligatures w14:val="standardContextual"/>
        </w:rPr>
        <w:t>ibidem</w:t>
      </w:r>
      <w:r w:rsidRPr="65C877AB">
        <w:rPr>
          <w:rFonts w:ascii="Verdana" w:eastAsia="Aptos" w:hAnsi="Verdana" w:cs="Arial"/>
          <w:kern w:val="2"/>
          <w:sz w:val="20"/>
          <w:szCs w:val="20"/>
          <w:lang w:val="es-ES"/>
          <w14:ligatures w14:val="standardContextual"/>
        </w:rPr>
        <w:t xml:space="preserve">. También agrega que la entidad pública ejecutora tiene el deber de adelantar la contratación de la interventoría, de conformidad con lo previsto en la presente ley. Las entidades ejecutoras de recursos del Sistema son responsables de suministrar de forma veraz, oportuna e idónea, la información de la gestión de los proyectos que se requiera e implementar las actuaciones pertinentes para encauzar el desempeño de los proyectos de inversión y decidir, de manera motivada, sobre la continuidad de </w:t>
      </w:r>
      <w:proofErr w:type="gramStart"/>
      <w:r w:rsidRPr="65C877AB">
        <w:rPr>
          <w:rFonts w:ascii="Verdana" w:eastAsia="Aptos" w:hAnsi="Verdana" w:cs="Arial"/>
          <w:kern w:val="2"/>
          <w:sz w:val="20"/>
          <w:szCs w:val="20"/>
          <w:lang w:val="es-ES"/>
          <w14:ligatures w14:val="standardContextual"/>
        </w:rPr>
        <w:t>los mismos</w:t>
      </w:r>
      <w:proofErr w:type="gramEnd"/>
      <w:r w:rsidRPr="65C877AB">
        <w:rPr>
          <w:rFonts w:ascii="Verdana" w:eastAsia="Aptos" w:hAnsi="Verdana" w:cs="Arial"/>
          <w:kern w:val="2"/>
          <w:sz w:val="20"/>
          <w:szCs w:val="20"/>
          <w:lang w:val="es-ES"/>
          <w14:ligatures w14:val="standardContextual"/>
        </w:rPr>
        <w:t xml:space="preserve">, sin perjuicio de las acciones de control a las que haya lugar. </w:t>
      </w:r>
    </w:p>
    <w:p w14:paraId="27EAAF8A" w14:textId="77777777" w:rsidR="00BE1FFD" w:rsidRPr="008A5AC0" w:rsidRDefault="00BE1FFD" w:rsidP="00BE1FFD">
      <w:pPr>
        <w:snapToGrid w:val="0"/>
        <w:spacing w:after="0" w:line="240" w:lineRule="auto"/>
        <w:jc w:val="both"/>
        <w:rPr>
          <w:rFonts w:ascii="Verdana" w:eastAsia="Aptos" w:hAnsi="Verdana" w:cs="Arial"/>
          <w:kern w:val="2"/>
          <w:sz w:val="20"/>
          <w:szCs w:val="20"/>
          <w:lang w:val="es-ES_tradnl"/>
          <w14:ligatures w14:val="standardContextual"/>
        </w:rPr>
      </w:pPr>
    </w:p>
    <w:p w14:paraId="715CFD86" w14:textId="77777777" w:rsidR="00BE1FFD" w:rsidRPr="008A5AC0" w:rsidRDefault="00BE1FFD" w:rsidP="00BE1FFD">
      <w:pPr>
        <w:snapToGrid w:val="0"/>
        <w:spacing w:after="0" w:line="240" w:lineRule="auto"/>
        <w:jc w:val="both"/>
        <w:rPr>
          <w:rFonts w:ascii="Verdana" w:eastAsia="Aptos" w:hAnsi="Verdana" w:cs="Arial"/>
          <w:noProof/>
          <w:kern w:val="2"/>
          <w:sz w:val="20"/>
          <w:szCs w:val="20"/>
          <w:lang w:val="es-ES"/>
          <w14:ligatures w14:val="standardContextual"/>
        </w:rPr>
      </w:pPr>
      <w:r w:rsidRPr="65C877AB">
        <w:rPr>
          <w:rFonts w:ascii="Verdana" w:eastAsia="Aptos" w:hAnsi="Verdana" w:cs="Arial"/>
          <w:kern w:val="2"/>
          <w:sz w:val="20"/>
          <w:szCs w:val="20"/>
          <w:lang w:val="es-ES"/>
          <w14:ligatures w14:val="standardContextual"/>
        </w:rPr>
        <w:t>En esta línea, el parágrafo primero del artículo 37 dispone: “La ejecución de proyectos de que trata este artículo, se adelantará, con estricta sujeción al régimen presupuestal definido en esta ley, al de contratación pública y las demás normas legales vigentes. El ejecutor garantizará la correcta ejecución de los recursos asignados al proyecto de inversión, así como el suministro y registro de la información requerida por el sistema de seguimiento, evaluación y control”.</w:t>
      </w:r>
      <w:r w:rsidRPr="65C877AB">
        <w:rPr>
          <w:rFonts w:ascii="Verdana" w:eastAsia="Aptos" w:hAnsi="Verdana" w:cs="Arial"/>
          <w:noProof/>
          <w:kern w:val="2"/>
          <w:sz w:val="20"/>
          <w:szCs w:val="20"/>
          <w:lang w:val="es-ES"/>
          <w14:ligatures w14:val="standardContextual"/>
        </w:rPr>
        <w:t xml:space="preserve"> A partir de esta norma, el ejercutor de los proyectos de inversion en el SGR debe sujetarse a las reglas de contratación pública, es decir, a las prescripciones establecidas en el Estatuto General de Contratación Pública, así como las normas que lo modifiquen, sustituyan o reglamenten. En efecto, el ejecutor debe someterse a las reglas generales de la contratación pública cuando desarrolle proyectos en el marco del Sistema General de Regalías. </w:t>
      </w:r>
    </w:p>
    <w:p w14:paraId="1776E6F5" w14:textId="77777777" w:rsidR="00BE1FFD" w:rsidRPr="00764675" w:rsidRDefault="00BE1FFD" w:rsidP="00BE1FFD">
      <w:pPr>
        <w:spacing w:after="0" w:line="276" w:lineRule="auto"/>
        <w:jc w:val="both"/>
        <w:rPr>
          <w:rFonts w:ascii="Verdana" w:eastAsia="Geomanist Light" w:hAnsi="Verdana" w:cs="Arial"/>
          <w:lang w:val="es-MX"/>
        </w:rPr>
      </w:pPr>
    </w:p>
    <w:p w14:paraId="4787006C" w14:textId="77777777" w:rsidR="00BE1FFD" w:rsidRPr="00764675" w:rsidRDefault="00BE1FFD" w:rsidP="00BE1FFD">
      <w:pPr>
        <w:spacing w:after="0" w:line="240" w:lineRule="auto"/>
        <w:rPr>
          <w:rFonts w:ascii="Verdana" w:eastAsia="Geomanist Light" w:hAnsi="Verdana" w:cs="Arial"/>
          <w:lang w:val="es-MX"/>
        </w:rPr>
      </w:pPr>
    </w:p>
    <w:p w14:paraId="21280AA6" w14:textId="77777777" w:rsidR="00BE1FFD" w:rsidRPr="00764675" w:rsidRDefault="00BE1FFD" w:rsidP="00BE1FFD">
      <w:pPr>
        <w:spacing w:after="0" w:line="240" w:lineRule="auto"/>
        <w:jc w:val="both"/>
        <w:rPr>
          <w:rFonts w:ascii="Verdana" w:eastAsia="Geomanist Light" w:hAnsi="Verdana" w:cs="Arial"/>
          <w:lang w:val="es-MX"/>
        </w:rPr>
      </w:pPr>
    </w:p>
    <w:p w14:paraId="182D4CDC" w14:textId="77777777" w:rsidR="00BE1FFD" w:rsidRPr="00764675" w:rsidRDefault="00BE1FFD" w:rsidP="00BE1FFD">
      <w:pPr>
        <w:spacing w:after="0" w:line="240" w:lineRule="auto"/>
        <w:jc w:val="both"/>
        <w:rPr>
          <w:rFonts w:ascii="Verdana" w:eastAsia="Calibri" w:hAnsi="Verdana" w:cs="Times New Roman"/>
        </w:rPr>
      </w:pPr>
    </w:p>
    <w:p w14:paraId="1CEA6380" w14:textId="77777777" w:rsidR="00BE1FFD" w:rsidRPr="00764675" w:rsidRDefault="00BE1FFD" w:rsidP="00BE1FFD">
      <w:pPr>
        <w:spacing w:after="0" w:line="240" w:lineRule="auto"/>
        <w:jc w:val="both"/>
        <w:rPr>
          <w:rFonts w:ascii="Verdana" w:eastAsia="Calibri" w:hAnsi="Verdana" w:cs="Times New Roman"/>
        </w:rPr>
      </w:pPr>
    </w:p>
    <w:p w14:paraId="66F7D53A" w14:textId="77777777" w:rsidR="00BE1FFD" w:rsidRPr="00764675" w:rsidRDefault="00BE1FFD" w:rsidP="00BE1FFD">
      <w:pPr>
        <w:spacing w:after="0" w:line="240" w:lineRule="auto"/>
        <w:jc w:val="both"/>
        <w:rPr>
          <w:rFonts w:ascii="Verdana" w:eastAsia="Calibri" w:hAnsi="Verdana" w:cs="Times New Roman"/>
        </w:rPr>
      </w:pPr>
    </w:p>
    <w:p w14:paraId="4CBC06F5" w14:textId="77777777" w:rsidR="00BE1FFD" w:rsidRPr="00764675" w:rsidRDefault="00BE1FFD" w:rsidP="00BE1FFD">
      <w:pPr>
        <w:spacing w:after="0" w:line="240" w:lineRule="auto"/>
        <w:jc w:val="both"/>
        <w:rPr>
          <w:rFonts w:ascii="Verdana" w:eastAsia="Calibri" w:hAnsi="Verdana" w:cs="Times New Roman"/>
        </w:rPr>
      </w:pPr>
    </w:p>
    <w:p w14:paraId="6463CCA1" w14:textId="77777777" w:rsidR="00BE1FFD" w:rsidRPr="00764675" w:rsidRDefault="00BE1FFD" w:rsidP="00BE1FFD">
      <w:pPr>
        <w:spacing w:after="0" w:line="240" w:lineRule="auto"/>
        <w:jc w:val="both"/>
        <w:rPr>
          <w:rFonts w:ascii="Verdana" w:eastAsia="Calibri" w:hAnsi="Verdana" w:cs="Times New Roman"/>
        </w:rPr>
      </w:pPr>
    </w:p>
    <w:p w14:paraId="63AE1E58" w14:textId="77777777" w:rsidR="00BE1FFD" w:rsidRPr="00764675" w:rsidRDefault="00BE1FFD" w:rsidP="00BE1FFD">
      <w:pPr>
        <w:spacing w:after="0" w:line="240" w:lineRule="auto"/>
        <w:jc w:val="both"/>
        <w:rPr>
          <w:rFonts w:ascii="Verdana" w:eastAsia="Calibri" w:hAnsi="Verdana" w:cs="Times New Roman"/>
        </w:rPr>
      </w:pPr>
    </w:p>
    <w:p w14:paraId="29CEF85A" w14:textId="77777777" w:rsidR="00BE1FFD" w:rsidRPr="00764675" w:rsidRDefault="00BE1FFD" w:rsidP="00BE1FFD">
      <w:pPr>
        <w:spacing w:after="0" w:line="240" w:lineRule="auto"/>
        <w:jc w:val="both"/>
        <w:rPr>
          <w:rFonts w:ascii="Verdana" w:eastAsia="Calibri" w:hAnsi="Verdana" w:cs="Times New Roman"/>
        </w:rPr>
      </w:pPr>
    </w:p>
    <w:p w14:paraId="041A5B22" w14:textId="77777777" w:rsidR="00BE1FFD" w:rsidRPr="00764675" w:rsidRDefault="00BE1FFD" w:rsidP="00BE1FFD">
      <w:pPr>
        <w:spacing w:after="0" w:line="240" w:lineRule="auto"/>
        <w:jc w:val="both"/>
        <w:rPr>
          <w:rFonts w:ascii="Verdana" w:eastAsia="Calibri" w:hAnsi="Verdana" w:cs="Times New Roman"/>
        </w:rPr>
      </w:pPr>
    </w:p>
    <w:p w14:paraId="0226D0F1" w14:textId="77777777" w:rsidR="00BE1FFD" w:rsidRPr="00764675" w:rsidRDefault="00BE1FFD" w:rsidP="00BE1FFD">
      <w:pPr>
        <w:spacing w:after="0" w:line="240" w:lineRule="auto"/>
        <w:jc w:val="both"/>
        <w:rPr>
          <w:rFonts w:ascii="Verdana" w:eastAsia="Calibri" w:hAnsi="Verdana" w:cs="Times New Roman"/>
        </w:rPr>
      </w:pPr>
    </w:p>
    <w:p w14:paraId="262A59C3" w14:textId="77777777" w:rsidR="00BE1FFD" w:rsidRPr="00764675" w:rsidRDefault="00BE1FFD" w:rsidP="00BE1FFD">
      <w:pPr>
        <w:spacing w:after="0" w:line="240" w:lineRule="auto"/>
        <w:jc w:val="both"/>
        <w:rPr>
          <w:rFonts w:ascii="Verdana" w:eastAsia="Calibri" w:hAnsi="Verdana" w:cs="Times New Roman"/>
        </w:rPr>
      </w:pPr>
    </w:p>
    <w:p w14:paraId="41C247C3" w14:textId="77777777" w:rsidR="00BE1FFD" w:rsidRPr="00764675" w:rsidRDefault="00BE1FFD" w:rsidP="00BE1FFD">
      <w:pPr>
        <w:spacing w:after="0" w:line="240" w:lineRule="auto"/>
        <w:jc w:val="both"/>
        <w:rPr>
          <w:rFonts w:ascii="Verdana" w:eastAsia="Calibri" w:hAnsi="Verdana" w:cs="Times New Roman"/>
        </w:rPr>
      </w:pPr>
    </w:p>
    <w:p w14:paraId="5547DDFA" w14:textId="77777777" w:rsidR="00BE1FFD" w:rsidRPr="00764675" w:rsidRDefault="00BE1FFD" w:rsidP="00BE1FFD">
      <w:pPr>
        <w:spacing w:after="0" w:line="240" w:lineRule="auto"/>
        <w:jc w:val="both"/>
        <w:rPr>
          <w:rFonts w:ascii="Verdana" w:eastAsia="Calibri" w:hAnsi="Verdana" w:cs="Times New Roman"/>
        </w:rPr>
      </w:pPr>
    </w:p>
    <w:p w14:paraId="411BAD5E" w14:textId="77777777" w:rsidR="00BE1FFD" w:rsidRPr="00764675" w:rsidRDefault="00BE1FFD" w:rsidP="00BE1FFD">
      <w:pPr>
        <w:spacing w:after="0" w:line="240" w:lineRule="auto"/>
        <w:jc w:val="both"/>
        <w:rPr>
          <w:rFonts w:ascii="Verdana" w:eastAsia="Calibri" w:hAnsi="Verdana" w:cs="Times New Roman"/>
        </w:rPr>
      </w:pPr>
    </w:p>
    <w:p w14:paraId="5DD6B80D" w14:textId="77777777" w:rsidR="00BE1FFD" w:rsidRPr="00764675" w:rsidRDefault="00BE1FFD" w:rsidP="00BE1FFD">
      <w:pPr>
        <w:spacing w:after="0" w:line="240" w:lineRule="auto"/>
        <w:jc w:val="both"/>
        <w:rPr>
          <w:rFonts w:ascii="Verdana" w:eastAsia="Calibri" w:hAnsi="Verdana" w:cs="Times New Roman"/>
        </w:rPr>
      </w:pPr>
    </w:p>
    <w:p w14:paraId="115FC0D0" w14:textId="77777777" w:rsidR="00BE1FFD" w:rsidRPr="00764675" w:rsidRDefault="00BE1FFD" w:rsidP="00BE1FFD">
      <w:pPr>
        <w:spacing w:after="0" w:line="240" w:lineRule="auto"/>
        <w:jc w:val="both"/>
        <w:rPr>
          <w:rFonts w:ascii="Verdana" w:eastAsia="Calibri" w:hAnsi="Verdana" w:cs="Times New Roman"/>
        </w:rPr>
      </w:pPr>
    </w:p>
    <w:p w14:paraId="2174A93B" w14:textId="77777777" w:rsidR="00BE1FFD" w:rsidRPr="00764675" w:rsidRDefault="00BE1FFD" w:rsidP="00BE1FFD">
      <w:pPr>
        <w:spacing w:after="0" w:line="240" w:lineRule="auto"/>
        <w:jc w:val="both"/>
        <w:rPr>
          <w:rFonts w:ascii="Verdana" w:eastAsia="Calibri" w:hAnsi="Verdana" w:cs="Times New Roman"/>
        </w:rPr>
      </w:pPr>
    </w:p>
    <w:p w14:paraId="138D02B8" w14:textId="77777777" w:rsidR="00BE1FFD" w:rsidRDefault="00BE1FFD" w:rsidP="00BE1FFD">
      <w:pPr>
        <w:spacing w:after="0" w:line="240" w:lineRule="auto"/>
        <w:jc w:val="both"/>
        <w:rPr>
          <w:rFonts w:ascii="Verdana" w:hAnsi="Verdana"/>
        </w:rPr>
      </w:pPr>
      <w:r w:rsidRPr="0044528D">
        <w:rPr>
          <w:rFonts w:ascii="Verdana" w:hAnsi="Verdana"/>
        </w:rPr>
        <w:lastRenderedPageBreak/>
        <w:t>Bogotá D.C.</w:t>
      </w:r>
      <w:r w:rsidRPr="00B30510">
        <w:t xml:space="preserve"> </w:t>
      </w:r>
      <w:r w:rsidRPr="00B30510">
        <w:rPr>
          <w:rFonts w:ascii="Verdana" w:hAnsi="Verdana"/>
        </w:rPr>
        <w:t>[Día] de [Mes.NombreCapitalizado] de [Año]</w:t>
      </w:r>
    </w:p>
    <w:p w14:paraId="5D2BC75B" w14:textId="77777777" w:rsidR="009F789F" w:rsidRPr="00B30510" w:rsidRDefault="009F789F" w:rsidP="00BE1FFD">
      <w:pPr>
        <w:spacing w:after="0" w:line="240" w:lineRule="auto"/>
        <w:jc w:val="both"/>
        <w:rPr>
          <w:rFonts w:ascii="Verdana" w:eastAsia="Calibri" w:hAnsi="Verdana" w:cs="Arial"/>
          <w:lang w:val="es-MX"/>
        </w:rPr>
      </w:pPr>
    </w:p>
    <w:p w14:paraId="23AE0EDC" w14:textId="46773FDD" w:rsidR="00BE1FFD" w:rsidRPr="00764675" w:rsidRDefault="009F789F" w:rsidP="009F789F">
      <w:pPr>
        <w:spacing w:after="0" w:line="240" w:lineRule="auto"/>
        <w:jc w:val="right"/>
        <w:rPr>
          <w:rFonts w:ascii="Verdana" w:eastAsia="Calibri" w:hAnsi="Verdana" w:cs="Arial"/>
          <w:lang w:val="es-ES"/>
        </w:rPr>
      </w:pPr>
      <w:r>
        <w:rPr>
          <w:noProof/>
          <w14:ligatures w14:val="standardContextual"/>
        </w:rPr>
        <w:drawing>
          <wp:inline distT="0" distB="0" distL="0" distR="0" wp14:anchorId="67D9DE6B" wp14:editId="54DAB6D6">
            <wp:extent cx="3519955" cy="1003111"/>
            <wp:effectExtent l="0" t="0" r="4445" b="6985"/>
            <wp:docPr id="13847616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6162" name="Imagen 1" descr="Interfaz de usuario gráfica, Aplicación&#10;&#10;Descripción generada automáticamente"/>
                    <pic:cNvPicPr/>
                  </pic:nvPicPr>
                  <pic:blipFill rotWithShape="1">
                    <a:blip r:embed="rId10"/>
                    <a:srcRect l="9606" t="30422" r="54525" b="35031"/>
                    <a:stretch/>
                  </pic:blipFill>
                  <pic:spPr bwMode="auto">
                    <a:xfrm>
                      <a:off x="0" y="0"/>
                      <a:ext cx="3549735" cy="1011598"/>
                    </a:xfrm>
                    <a:prstGeom prst="rect">
                      <a:avLst/>
                    </a:prstGeom>
                    <a:ln>
                      <a:noFill/>
                    </a:ln>
                    <a:extLst>
                      <a:ext uri="{53640926-AAD7-44D8-BBD7-CCE9431645EC}">
                        <a14:shadowObscured xmlns:a14="http://schemas.microsoft.com/office/drawing/2010/main"/>
                      </a:ext>
                    </a:extLst>
                  </pic:spPr>
                </pic:pic>
              </a:graphicData>
            </a:graphic>
          </wp:inline>
        </w:drawing>
      </w:r>
    </w:p>
    <w:p w14:paraId="677CC25F" w14:textId="77777777" w:rsidR="00BE1FFD" w:rsidRPr="00764675" w:rsidRDefault="00BE1FFD" w:rsidP="00BE1FFD">
      <w:pPr>
        <w:spacing w:after="0" w:line="240" w:lineRule="auto"/>
        <w:jc w:val="right"/>
        <w:rPr>
          <w:rFonts w:ascii="Verdana" w:eastAsia="Calibri" w:hAnsi="Verdana" w:cs="Arial"/>
          <w:lang w:val="es-ES"/>
        </w:rPr>
      </w:pPr>
    </w:p>
    <w:p w14:paraId="3839960C" w14:textId="77777777" w:rsidR="00BE1FFD" w:rsidRPr="00764675" w:rsidRDefault="00BE1FFD" w:rsidP="00BE1FFD">
      <w:pPr>
        <w:spacing w:after="0" w:line="240" w:lineRule="auto"/>
        <w:jc w:val="both"/>
        <w:rPr>
          <w:rFonts w:ascii="Verdana" w:eastAsia="Calibri" w:hAnsi="Verdana" w:cs="Arial"/>
          <w:lang w:val="es-ES" w:eastAsia="es-ES"/>
        </w:rPr>
      </w:pPr>
      <w:r w:rsidRPr="00764675">
        <w:rPr>
          <w:rFonts w:ascii="Verdana" w:eastAsia="Calibri" w:hAnsi="Verdana" w:cs="Arial"/>
          <w:lang w:val="es-ES" w:eastAsia="es-ES"/>
        </w:rPr>
        <w:t>Señor</w:t>
      </w:r>
    </w:p>
    <w:p w14:paraId="143E148B" w14:textId="77777777" w:rsidR="00BE1FFD" w:rsidRDefault="00BE1FFD" w:rsidP="00BE1FFD">
      <w:pPr>
        <w:spacing w:after="0" w:line="240" w:lineRule="auto"/>
        <w:rPr>
          <w:rFonts w:ascii="Verdana" w:eastAsia="Calibri" w:hAnsi="Verdana" w:cs="Arial"/>
          <w:b/>
          <w:bCs/>
          <w:lang w:val="es-ES" w:eastAsia="es-ES"/>
        </w:rPr>
      </w:pPr>
      <w:r w:rsidRPr="007620F5">
        <w:rPr>
          <w:rFonts w:ascii="Verdana" w:eastAsia="Calibri" w:hAnsi="Verdana" w:cs="Arial"/>
          <w:b/>
          <w:bCs/>
          <w:lang w:val="es-ES" w:eastAsia="es-ES"/>
        </w:rPr>
        <w:t>Juan Jose</w:t>
      </w:r>
      <w:r>
        <w:rPr>
          <w:rFonts w:ascii="Verdana" w:eastAsia="Calibri" w:hAnsi="Verdana" w:cs="Arial"/>
          <w:b/>
          <w:bCs/>
          <w:lang w:val="es-ES" w:eastAsia="es-ES"/>
        </w:rPr>
        <w:t xml:space="preserve"> </w:t>
      </w:r>
      <w:r w:rsidRPr="007620F5">
        <w:rPr>
          <w:rFonts w:ascii="Verdana" w:eastAsia="Calibri" w:hAnsi="Verdana" w:cs="Arial"/>
          <w:b/>
          <w:bCs/>
          <w:lang w:val="es-ES" w:eastAsia="es-ES"/>
        </w:rPr>
        <w:t>Rodriguez Silva</w:t>
      </w:r>
    </w:p>
    <w:p w14:paraId="2CA6C53B" w14:textId="77777777" w:rsidR="00BE1FFD" w:rsidRPr="00764675" w:rsidRDefault="00BE1FFD" w:rsidP="00BE1FFD">
      <w:pPr>
        <w:spacing w:after="0" w:line="240" w:lineRule="auto"/>
        <w:rPr>
          <w:rFonts w:ascii="Verdana" w:eastAsia="Calibri" w:hAnsi="Verdana" w:cs="Arial"/>
          <w:bCs/>
          <w:lang w:val="es-ES_tradnl" w:eastAsia="es-ES_tradnl"/>
        </w:rPr>
      </w:pPr>
      <w:r>
        <w:rPr>
          <w:rFonts w:ascii="Verdana" w:eastAsia="Calibri" w:hAnsi="Verdana" w:cs="Arial"/>
          <w:bCs/>
          <w:lang w:val="es-ES_tradnl" w:eastAsia="es-ES_tradnl"/>
        </w:rPr>
        <w:t>Neiva, Huila</w:t>
      </w:r>
    </w:p>
    <w:p w14:paraId="14E92CC5" w14:textId="77777777" w:rsidR="00BE1FFD" w:rsidRPr="00764675" w:rsidRDefault="00BE1FFD" w:rsidP="00BE1FFD">
      <w:pPr>
        <w:spacing w:after="0" w:line="240" w:lineRule="auto"/>
        <w:rPr>
          <w:rFonts w:ascii="Verdana" w:eastAsia="Calibri" w:hAnsi="Verdana" w:cs="Arial"/>
          <w:b/>
          <w:bCs/>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100"/>
      </w:tblGrid>
      <w:tr w:rsidR="00BE1FFD" w:rsidRPr="00764675" w14:paraId="2FA64CC6" w14:textId="77777777" w:rsidTr="001A7231">
        <w:trPr>
          <w:trHeight w:val="324"/>
        </w:trPr>
        <w:tc>
          <w:tcPr>
            <w:tcW w:w="2689" w:type="dxa"/>
          </w:tcPr>
          <w:p w14:paraId="50674E38" w14:textId="77777777" w:rsidR="00BE1FFD" w:rsidRPr="00764675" w:rsidRDefault="00BE1FFD" w:rsidP="001A7231">
            <w:pPr>
              <w:jc w:val="both"/>
              <w:rPr>
                <w:rFonts w:ascii="Verdana" w:eastAsia="Calibri" w:hAnsi="Verdana" w:cs="Arial"/>
                <w:b/>
                <w:bCs/>
                <w:lang w:val="es-ES_tradnl" w:eastAsia="es-ES_tradnl"/>
              </w:rPr>
            </w:pPr>
          </w:p>
        </w:tc>
        <w:tc>
          <w:tcPr>
            <w:tcW w:w="6100" w:type="dxa"/>
          </w:tcPr>
          <w:p w14:paraId="26308D37" w14:textId="77777777" w:rsidR="00BE1FFD" w:rsidRPr="00764675" w:rsidRDefault="00BE1FFD" w:rsidP="001A7231">
            <w:pPr>
              <w:jc w:val="both"/>
              <w:rPr>
                <w:rFonts w:ascii="Verdana" w:eastAsia="Calibri" w:hAnsi="Verdana" w:cs="Arial"/>
                <w:b/>
                <w:bCs/>
                <w:lang w:val="es-ES" w:eastAsia="es-ES"/>
              </w:rPr>
            </w:pPr>
            <w:r w:rsidRPr="00764675">
              <w:rPr>
                <w:rFonts w:ascii="Verdana" w:eastAsia="Calibri" w:hAnsi="Verdana" w:cs="Arial"/>
                <w:b/>
                <w:bCs/>
                <w:lang w:val="es-ES" w:eastAsia="es-ES"/>
              </w:rPr>
              <w:t xml:space="preserve">Concepto C – </w:t>
            </w:r>
            <w:r>
              <w:rPr>
                <w:rFonts w:ascii="Verdana" w:eastAsia="Calibri" w:hAnsi="Verdana" w:cs="Arial"/>
                <w:b/>
                <w:bCs/>
                <w:lang w:val="es-ES" w:eastAsia="es-ES"/>
              </w:rPr>
              <w:t>655</w:t>
            </w:r>
            <w:r w:rsidRPr="00764675">
              <w:rPr>
                <w:rFonts w:ascii="Verdana" w:eastAsia="Calibri" w:hAnsi="Verdana" w:cs="Arial"/>
                <w:b/>
                <w:bCs/>
                <w:lang w:val="es-ES" w:eastAsia="es-ES"/>
              </w:rPr>
              <w:t xml:space="preserve"> de 2024</w:t>
            </w:r>
          </w:p>
        </w:tc>
      </w:tr>
      <w:tr w:rsidR="00BE1FFD" w:rsidRPr="00764675" w14:paraId="768DF4C0" w14:textId="77777777" w:rsidTr="001A7231">
        <w:trPr>
          <w:trHeight w:val="884"/>
        </w:trPr>
        <w:tc>
          <w:tcPr>
            <w:tcW w:w="2689" w:type="dxa"/>
          </w:tcPr>
          <w:p w14:paraId="19DC20F2" w14:textId="77777777" w:rsidR="00BE1FFD" w:rsidRPr="00764675" w:rsidRDefault="00BE1FFD" w:rsidP="001A7231">
            <w:pPr>
              <w:jc w:val="both"/>
              <w:rPr>
                <w:rFonts w:ascii="Verdana" w:eastAsia="Calibri" w:hAnsi="Verdana" w:cs="Arial"/>
                <w:lang w:val="es-ES_tradnl" w:eastAsia="es-ES_tradnl"/>
              </w:rPr>
            </w:pPr>
            <w:r w:rsidRPr="00764675">
              <w:rPr>
                <w:rFonts w:ascii="Verdana" w:eastAsia="Calibri" w:hAnsi="Verdana" w:cs="Arial"/>
                <w:b/>
                <w:lang w:val="es-ES_tradnl" w:eastAsia="es-ES_tradnl"/>
              </w:rPr>
              <w:t>Temas:</w:t>
            </w:r>
            <w:r w:rsidRPr="00764675">
              <w:rPr>
                <w:rFonts w:ascii="Verdana" w:eastAsia="Calibri" w:hAnsi="Verdana" w:cs="Arial"/>
                <w:lang w:val="es-ES_tradnl" w:eastAsia="es-ES_tradnl"/>
              </w:rPr>
              <w:t xml:space="preserve">                   </w:t>
            </w:r>
          </w:p>
        </w:tc>
        <w:tc>
          <w:tcPr>
            <w:tcW w:w="6100" w:type="dxa"/>
          </w:tcPr>
          <w:p w14:paraId="2CE8B5AA" w14:textId="77777777" w:rsidR="00BE1FFD" w:rsidRPr="00764675" w:rsidRDefault="00BE1FFD" w:rsidP="001A7231">
            <w:pPr>
              <w:tabs>
                <w:tab w:val="left" w:pos="709"/>
              </w:tabs>
              <w:spacing w:line="276" w:lineRule="auto"/>
              <w:jc w:val="both"/>
              <w:rPr>
                <w:rFonts w:ascii="Verdana" w:eastAsia="Calibri" w:hAnsi="Verdana" w:cs="Arial"/>
                <w:lang w:val="es-ES" w:eastAsia="es-ES"/>
              </w:rPr>
            </w:pPr>
            <w:r w:rsidRPr="00764675">
              <w:rPr>
                <w:rFonts w:ascii="Verdana" w:eastAsia="Calibri" w:hAnsi="Verdana" w:cs="Arial"/>
                <w:bCs/>
                <w:lang w:val="es-MX"/>
              </w:rPr>
              <w:t>SISTEMA GENERAL DE REGALÍAS – Ley 2056 de 2020 – Régimen contractual – Entidades ejecutoras – Aplicación del Estatuto General de Contratación de la Administración Pública</w:t>
            </w:r>
          </w:p>
        </w:tc>
      </w:tr>
      <w:tr w:rsidR="00BE1FFD" w:rsidRPr="00764675" w14:paraId="5377E448" w14:textId="77777777" w:rsidTr="001A7231">
        <w:tc>
          <w:tcPr>
            <w:tcW w:w="2689" w:type="dxa"/>
          </w:tcPr>
          <w:p w14:paraId="3EF35A38" w14:textId="77777777" w:rsidR="00BE1FFD" w:rsidRPr="00764675" w:rsidRDefault="00BE1FFD" w:rsidP="001A7231">
            <w:pPr>
              <w:jc w:val="both"/>
              <w:rPr>
                <w:rFonts w:ascii="Verdana" w:eastAsia="Calibri" w:hAnsi="Verdana" w:cs="Arial"/>
                <w:b/>
                <w:lang w:val="es-ES_tradnl" w:eastAsia="es-ES_tradnl"/>
              </w:rPr>
            </w:pPr>
            <w:r w:rsidRPr="00764675">
              <w:rPr>
                <w:rFonts w:ascii="Verdana" w:eastAsia="Calibri" w:hAnsi="Verdana" w:cs="Arial"/>
                <w:b/>
                <w:lang w:val="es-ES_tradnl" w:eastAsia="es-ES_tradnl"/>
              </w:rPr>
              <w:t>Radicación:</w:t>
            </w:r>
            <w:r w:rsidRPr="00764675">
              <w:rPr>
                <w:rFonts w:ascii="Verdana" w:eastAsia="Calibri" w:hAnsi="Verdana" w:cs="Arial"/>
                <w:lang w:val="es-ES_tradnl" w:eastAsia="es-ES_tradnl"/>
              </w:rPr>
              <w:t xml:space="preserve">               </w:t>
            </w:r>
          </w:p>
        </w:tc>
        <w:tc>
          <w:tcPr>
            <w:tcW w:w="6100" w:type="dxa"/>
          </w:tcPr>
          <w:p w14:paraId="18D8E28C" w14:textId="77777777" w:rsidR="00BE1FFD" w:rsidRPr="00764675" w:rsidRDefault="00BE1FFD" w:rsidP="001A7231">
            <w:pPr>
              <w:jc w:val="both"/>
              <w:rPr>
                <w:rFonts w:ascii="Verdana" w:eastAsia="Calibri" w:hAnsi="Verdana" w:cs="Arial"/>
                <w:lang w:val="es-ES_tradnl" w:eastAsia="es-ES_tradnl"/>
              </w:rPr>
            </w:pPr>
            <w:r w:rsidRPr="00764675">
              <w:rPr>
                <w:rFonts w:ascii="Verdana" w:eastAsia="Calibri" w:hAnsi="Verdana" w:cs="Arial"/>
                <w:lang w:val="es-ES_tradnl" w:eastAsia="es-ES_tradnl"/>
              </w:rPr>
              <w:t xml:space="preserve">Respuesta a consulta con radicado No. </w:t>
            </w:r>
            <w:r w:rsidRPr="007620F5">
              <w:rPr>
                <w:rFonts w:ascii="Verdana" w:eastAsia="Calibri" w:hAnsi="Verdana" w:cs="Arial"/>
                <w:lang w:eastAsia="es-ES_tradnl"/>
              </w:rPr>
              <w:t>P20240924009782</w:t>
            </w:r>
          </w:p>
        </w:tc>
      </w:tr>
    </w:tbl>
    <w:p w14:paraId="397D8CAD" w14:textId="77777777" w:rsidR="00BE1FFD" w:rsidRPr="00764675" w:rsidRDefault="00BE1FFD" w:rsidP="00BE1FFD">
      <w:pPr>
        <w:spacing w:after="0" w:line="240" w:lineRule="auto"/>
        <w:jc w:val="both"/>
        <w:rPr>
          <w:rFonts w:ascii="Verdana" w:eastAsia="Calibri" w:hAnsi="Verdana" w:cs="Arial"/>
          <w:lang w:val="es-ES_tradnl" w:eastAsia="es-ES_tradnl"/>
        </w:rPr>
      </w:pPr>
    </w:p>
    <w:p w14:paraId="208A9F9E" w14:textId="77777777" w:rsidR="00BE1FFD" w:rsidRPr="00764675" w:rsidRDefault="00BE1FFD" w:rsidP="00BE1FFD">
      <w:pPr>
        <w:spacing w:after="0" w:line="240" w:lineRule="auto"/>
        <w:jc w:val="both"/>
        <w:rPr>
          <w:rFonts w:ascii="Verdana" w:eastAsia="Calibri" w:hAnsi="Verdana" w:cs="Arial"/>
          <w:lang w:val="es-ES_tradnl" w:eastAsia="es-ES_tradnl"/>
        </w:rPr>
      </w:pPr>
    </w:p>
    <w:p w14:paraId="011A30EA" w14:textId="77777777" w:rsidR="00BE1FFD" w:rsidRPr="00764675" w:rsidRDefault="00BE1FFD" w:rsidP="00BE1FFD">
      <w:pPr>
        <w:spacing w:after="0" w:line="276" w:lineRule="auto"/>
        <w:jc w:val="both"/>
        <w:rPr>
          <w:rFonts w:ascii="Verdana" w:eastAsia="Calibri" w:hAnsi="Verdana" w:cs="Arial"/>
          <w:lang w:val="es-ES" w:eastAsia="es-ES"/>
        </w:rPr>
      </w:pPr>
      <w:r w:rsidRPr="00764675">
        <w:rPr>
          <w:rFonts w:ascii="Verdana" w:eastAsia="Calibri" w:hAnsi="Verdana" w:cs="Arial"/>
          <w:lang w:val="es-ES" w:eastAsia="es-ES"/>
        </w:rPr>
        <w:t xml:space="preserve">Estimado señor </w:t>
      </w:r>
      <w:r w:rsidRPr="00923450">
        <w:rPr>
          <w:rFonts w:ascii="Verdana" w:eastAsia="Calibri" w:hAnsi="Verdana" w:cs="Arial"/>
          <w:lang w:val="es-ES" w:eastAsia="es-ES"/>
        </w:rPr>
        <w:t>Rodriguez Silva</w:t>
      </w:r>
      <w:r w:rsidRPr="00764675">
        <w:rPr>
          <w:rFonts w:ascii="Verdana" w:eastAsia="Calibri" w:hAnsi="Verdana" w:cs="Arial"/>
          <w:lang w:val="es-ES" w:eastAsia="es-ES"/>
        </w:rPr>
        <w:t xml:space="preserve">: </w:t>
      </w:r>
    </w:p>
    <w:p w14:paraId="64D3438B" w14:textId="77777777" w:rsidR="00BE1FFD" w:rsidRPr="00764675" w:rsidRDefault="00BE1FFD" w:rsidP="00BE1FFD">
      <w:pPr>
        <w:tabs>
          <w:tab w:val="left" w:pos="3768"/>
        </w:tabs>
        <w:spacing w:after="0" w:line="276" w:lineRule="auto"/>
        <w:jc w:val="both"/>
        <w:rPr>
          <w:rFonts w:ascii="Verdana" w:eastAsia="Calibri" w:hAnsi="Verdana" w:cs="Arial"/>
          <w:lang w:val="es-ES" w:eastAsia="es-ES"/>
        </w:rPr>
      </w:pPr>
      <w:r w:rsidRPr="00764675">
        <w:rPr>
          <w:rFonts w:ascii="Verdana" w:eastAsia="Calibri" w:hAnsi="Verdana" w:cs="Arial"/>
          <w:lang w:val="es-ES" w:eastAsia="es-ES"/>
        </w:rPr>
        <w:tab/>
      </w:r>
    </w:p>
    <w:p w14:paraId="17D310BA" w14:textId="77777777" w:rsidR="00BE1FFD" w:rsidRPr="00764675" w:rsidRDefault="00BE1FFD" w:rsidP="00BE1FFD">
      <w:pPr>
        <w:spacing w:after="0" w:line="276" w:lineRule="auto"/>
        <w:jc w:val="both"/>
        <w:rPr>
          <w:rFonts w:ascii="Verdana" w:eastAsia="Calibri" w:hAnsi="Verdana" w:cs="Arial"/>
          <w:lang w:val="es-ES" w:eastAsia="es-ES"/>
        </w:rPr>
      </w:pPr>
      <w:r w:rsidRPr="00764675">
        <w:rPr>
          <w:rFonts w:ascii="Verdana" w:eastAsia="Calibri" w:hAnsi="Verdana" w:cs="Arial"/>
          <w:lang w:val="es-ES" w:eastAsia="es-ES"/>
        </w:rPr>
        <w:t>En ejercicio de la competencia otorgada por los artículos 3, numeral 5º, y 11, numeral 8º, del Decreto Ley 4170 de 2011,</w:t>
      </w:r>
      <w:r w:rsidRPr="00764675">
        <w:rPr>
          <w:rFonts w:ascii="Verdana" w:eastAsia="Arial MT" w:hAnsi="Verdana" w:cs="Arial MT"/>
          <w:lang w:val="es-ES" w:eastAsia="es-ES"/>
        </w:rPr>
        <w:t xml:space="preserve"> </w:t>
      </w:r>
      <w:r w:rsidRPr="00764675">
        <w:rPr>
          <w:rFonts w:ascii="Verdana" w:eastAsia="Calibri" w:hAnsi="Verdana" w:cs="Arial"/>
        </w:rPr>
        <w:t xml:space="preserve">así como lo establecido en el artículo 4 de la Resolución 1707 de 2018 expedida por esta Entidad, </w:t>
      </w:r>
      <w:r w:rsidRPr="00764675">
        <w:rPr>
          <w:rFonts w:ascii="Verdana" w:eastAsia="Calibri" w:hAnsi="Verdana" w:cs="Arial"/>
          <w:lang w:val="es-ES" w:eastAsia="es-ES"/>
        </w:rPr>
        <w:t>la Agencia Nacional de Contratación Pública – Colombia Compra Eficiente– responde su solicitud de consulta de fecha 2</w:t>
      </w:r>
      <w:r>
        <w:rPr>
          <w:rFonts w:ascii="Verdana" w:eastAsia="Calibri" w:hAnsi="Verdana" w:cs="Arial"/>
          <w:lang w:val="es-ES" w:eastAsia="es-ES"/>
        </w:rPr>
        <w:t>4</w:t>
      </w:r>
      <w:r w:rsidRPr="00764675">
        <w:rPr>
          <w:rFonts w:ascii="Verdana" w:eastAsia="Calibri" w:hAnsi="Verdana" w:cs="Arial"/>
          <w:lang w:val="es-ES" w:eastAsia="es-ES"/>
        </w:rPr>
        <w:t xml:space="preserve"> de </w:t>
      </w:r>
      <w:r>
        <w:rPr>
          <w:rFonts w:ascii="Verdana" w:eastAsia="Calibri" w:hAnsi="Verdana" w:cs="Arial"/>
          <w:lang w:val="es-ES" w:eastAsia="es-ES"/>
        </w:rPr>
        <w:t>septiembre</w:t>
      </w:r>
      <w:r w:rsidRPr="00764675">
        <w:rPr>
          <w:rFonts w:ascii="Verdana" w:eastAsia="Calibri" w:hAnsi="Verdana" w:cs="Arial"/>
          <w:lang w:val="es-ES" w:eastAsia="es-ES"/>
        </w:rPr>
        <w:t xml:space="preserve"> de 2024, en la que manifiesta lo siguiente:</w:t>
      </w:r>
    </w:p>
    <w:p w14:paraId="17357DB9" w14:textId="77777777" w:rsidR="00BE1FFD" w:rsidRPr="00764675" w:rsidRDefault="00BE1FFD" w:rsidP="00BE1FFD">
      <w:pPr>
        <w:tabs>
          <w:tab w:val="left" w:pos="142"/>
          <w:tab w:val="left" w:pos="284"/>
        </w:tabs>
        <w:spacing w:line="276" w:lineRule="auto"/>
        <w:contextualSpacing/>
        <w:jc w:val="both"/>
        <w:rPr>
          <w:rFonts w:ascii="Verdana" w:eastAsia="Century Gothic" w:hAnsi="Verdana" w:cs="Century Gothic"/>
          <w:b/>
          <w:bCs/>
          <w:lang w:val="es-ES"/>
        </w:rPr>
      </w:pPr>
    </w:p>
    <w:p w14:paraId="7A24E6FD" w14:textId="77777777" w:rsidR="00BE1FFD" w:rsidRPr="00764675" w:rsidRDefault="00BE1FFD" w:rsidP="00BE1FFD">
      <w:pPr>
        <w:autoSpaceDE w:val="0"/>
        <w:autoSpaceDN w:val="0"/>
        <w:adjustRightInd w:val="0"/>
        <w:snapToGrid w:val="0"/>
        <w:spacing w:after="0" w:line="240" w:lineRule="auto"/>
        <w:ind w:left="709" w:right="709"/>
        <w:jc w:val="both"/>
        <w:rPr>
          <w:rFonts w:ascii="Verdana" w:eastAsia="Aptos" w:hAnsi="Verdana" w:cs="p¿√_ò"/>
          <w:sz w:val="21"/>
          <w:szCs w:val="21"/>
          <w:lang w:val="es-MX"/>
          <w14:ligatures w14:val="standardContextual"/>
        </w:rPr>
      </w:pPr>
      <w:r w:rsidRPr="00764675">
        <w:rPr>
          <w:rFonts w:ascii="Verdana" w:eastAsia="Century Gothic" w:hAnsi="Verdana" w:cs="Century Gothic"/>
          <w:sz w:val="21"/>
          <w:szCs w:val="21"/>
          <w:lang w:val="es-ES"/>
        </w:rPr>
        <w:t>“</w:t>
      </w:r>
      <w:r w:rsidRPr="002E7C62">
        <w:rPr>
          <w:rFonts w:ascii="Verdana" w:eastAsia="Aptos" w:hAnsi="Verdana" w:cs="p¿√_ò"/>
          <w:sz w:val="21"/>
          <w:szCs w:val="21"/>
          <w14:ligatures w14:val="standardContextual"/>
        </w:rPr>
        <w:t>¿Una empresa industrial y comercial del estado, prestadora de servicios públicos domiciliarios cuyo régimen contractual es especial es decir se rige por las normas del derecho privado, que ha sido designada como entidad ejecutora de un proyecto cuya financiación es con recursos del sistema general de regalías, debe dar aplicación a la ley 80 de 1993 (Estatuto General de Contratación de la Administración Pública) para la ejecución del proyecto?</w:t>
      </w:r>
      <w:r w:rsidRPr="00764675">
        <w:rPr>
          <w:rFonts w:ascii="Verdana" w:eastAsia="Aptos" w:hAnsi="Verdana" w:cs="p¿√_ò"/>
          <w:sz w:val="21"/>
          <w:szCs w:val="21"/>
          <w:lang w:val="es-MX"/>
          <w14:ligatures w14:val="standardContextual"/>
        </w:rPr>
        <w:t>”</w:t>
      </w:r>
    </w:p>
    <w:p w14:paraId="74BE6E5E" w14:textId="77777777" w:rsidR="00BE1FFD" w:rsidRPr="00764675" w:rsidRDefault="00BE1FFD" w:rsidP="00BE1FFD">
      <w:pPr>
        <w:spacing w:after="0" w:line="240" w:lineRule="auto"/>
        <w:ind w:right="709"/>
        <w:jc w:val="both"/>
        <w:rPr>
          <w:rFonts w:ascii="Verdana" w:eastAsia="Century Gothic" w:hAnsi="Verdana" w:cs="Century Gothic"/>
          <w:lang w:val="es-ES"/>
        </w:rPr>
      </w:pPr>
    </w:p>
    <w:p w14:paraId="489D1318" w14:textId="77777777" w:rsidR="00BE1FFD" w:rsidRPr="00764675" w:rsidRDefault="00BE1FFD" w:rsidP="00BE1FFD">
      <w:pPr>
        <w:spacing w:after="120" w:line="276" w:lineRule="auto"/>
        <w:ind w:firstLine="709"/>
        <w:jc w:val="both"/>
        <w:rPr>
          <w:rFonts w:ascii="Verdana" w:eastAsia="Calibri" w:hAnsi="Verdana" w:cs="Arial"/>
          <w:szCs w:val="24"/>
          <w:lang w:val="es-ES_tradnl" w:eastAsia="es-ES_tradnl"/>
        </w:rPr>
      </w:pPr>
      <w:r w:rsidRPr="00764675">
        <w:rPr>
          <w:rFonts w:ascii="Verdana" w:eastAsia="Calibri" w:hAnsi="Verdana" w:cs="Arial"/>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w:t>
      </w:r>
      <w:r w:rsidRPr="00764675">
        <w:rPr>
          <w:rFonts w:ascii="Verdana" w:eastAsia="Calibri" w:hAnsi="Verdana" w:cs="Arial"/>
          <w:lang w:val="es-ES" w:eastAsia="es-ES"/>
        </w:rPr>
        <w:lastRenderedPageBreak/>
        <w:t xml:space="preserve">extraordinario, que no concibió a Colombia Compra Eficiente como una autoridad para solucionar problemas jurídicos particulares de todos los partícipes del sistema de compras públicas.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764675">
        <w:rPr>
          <w:rFonts w:ascii="Verdana" w:eastAsia="Calibri" w:hAnsi="Verdana" w:cs="Arial"/>
          <w:szCs w:val="24"/>
          <w:lang w:val="es-ES_tradnl" w:eastAsia="es-ES_tradnl"/>
        </w:rPr>
        <w:tab/>
      </w:r>
    </w:p>
    <w:p w14:paraId="4CF25ECD" w14:textId="77777777" w:rsidR="00BE1FFD" w:rsidRPr="00764675" w:rsidRDefault="00BE1FFD" w:rsidP="00BE1FFD">
      <w:pPr>
        <w:spacing w:after="0" w:line="276" w:lineRule="auto"/>
        <w:ind w:firstLine="709"/>
        <w:jc w:val="both"/>
        <w:rPr>
          <w:rFonts w:ascii="Verdana" w:eastAsia="Calibri" w:hAnsi="Verdana" w:cs="Arial"/>
          <w:lang w:val="es-ES" w:eastAsia="es-ES"/>
        </w:rPr>
      </w:pPr>
      <w:r w:rsidRPr="00764675">
        <w:rPr>
          <w:rFonts w:ascii="Verdana" w:eastAsia="Calibri" w:hAnsi="Verdana" w:cs="Arial"/>
          <w:lang w:val="es-ES" w:eastAsia="es-ES"/>
        </w:rPr>
        <w:t xml:space="preserve">Conforme a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el problema jurídico de su consulta. </w:t>
      </w:r>
    </w:p>
    <w:p w14:paraId="092BCB92" w14:textId="77777777" w:rsidR="00BE1FFD" w:rsidRPr="00764675" w:rsidRDefault="00BE1FFD" w:rsidP="00BE1FFD">
      <w:pPr>
        <w:spacing w:after="0" w:line="276" w:lineRule="auto"/>
        <w:ind w:firstLine="709"/>
        <w:jc w:val="both"/>
        <w:rPr>
          <w:rFonts w:ascii="Verdana" w:eastAsia="Calibri" w:hAnsi="Verdana" w:cs="Arial"/>
          <w:lang w:val="es-ES" w:eastAsia="es-ES"/>
        </w:rPr>
      </w:pPr>
    </w:p>
    <w:p w14:paraId="702D657F" w14:textId="77777777" w:rsidR="00BE1FFD" w:rsidRPr="00764675" w:rsidRDefault="00BE1FFD" w:rsidP="00BE1FFD">
      <w:pPr>
        <w:numPr>
          <w:ilvl w:val="0"/>
          <w:numId w:val="1"/>
        </w:numPr>
        <w:tabs>
          <w:tab w:val="left" w:pos="142"/>
          <w:tab w:val="left" w:pos="284"/>
        </w:tabs>
        <w:spacing w:after="0" w:line="276" w:lineRule="auto"/>
        <w:ind w:left="357" w:hanging="357"/>
        <w:contextualSpacing/>
        <w:jc w:val="both"/>
        <w:rPr>
          <w:rFonts w:ascii="Verdana" w:eastAsia="Century Gothic" w:hAnsi="Verdana" w:cs="Century Gothic"/>
          <w:b/>
          <w:bCs/>
          <w:lang w:val="es-ES"/>
        </w:rPr>
      </w:pPr>
      <w:r w:rsidRPr="00764675">
        <w:rPr>
          <w:rFonts w:ascii="Verdana" w:eastAsia="Century Gothic" w:hAnsi="Verdana" w:cs="Century Gothic"/>
          <w:b/>
          <w:bCs/>
          <w:lang w:val="es-ES"/>
        </w:rPr>
        <w:t>Problema planteado:</w:t>
      </w:r>
    </w:p>
    <w:p w14:paraId="189BA197" w14:textId="77777777" w:rsidR="00BE1FFD" w:rsidRPr="00764675" w:rsidRDefault="00BE1FFD" w:rsidP="00BE1FFD">
      <w:pPr>
        <w:tabs>
          <w:tab w:val="left" w:pos="426"/>
        </w:tabs>
        <w:spacing w:after="0" w:line="276" w:lineRule="auto"/>
        <w:jc w:val="both"/>
        <w:rPr>
          <w:rFonts w:ascii="Verdana" w:eastAsia="Century Gothic" w:hAnsi="Verdana" w:cs="Century Gothic"/>
          <w:lang w:val="es-ES"/>
        </w:rPr>
      </w:pPr>
    </w:p>
    <w:p w14:paraId="2592D96D" w14:textId="77777777" w:rsidR="00BE1FFD" w:rsidRPr="00764675" w:rsidRDefault="00BE1FFD" w:rsidP="00BE1FFD">
      <w:pPr>
        <w:snapToGrid w:val="0"/>
        <w:spacing w:after="0" w:line="276" w:lineRule="auto"/>
        <w:jc w:val="both"/>
        <w:rPr>
          <w:rFonts w:ascii="Verdana" w:eastAsia="Century Gothic" w:hAnsi="Verdana" w:cs="Century Gothic"/>
        </w:rPr>
      </w:pPr>
      <w:r w:rsidRPr="00764675">
        <w:rPr>
          <w:rFonts w:ascii="Verdana" w:eastAsia="Century Gothic" w:hAnsi="Verdana" w:cs="Century Gothic"/>
        </w:rPr>
        <w:t>De acuerdo con el contenido de su solicitud, esta Agencia resolverá el siguiente problema jurídico: ¿</w:t>
      </w:r>
      <w:r>
        <w:rPr>
          <w:rFonts w:ascii="Verdana" w:eastAsia="Century Gothic" w:hAnsi="Verdana" w:cs="Century Gothic"/>
        </w:rPr>
        <w:t>C</w:t>
      </w:r>
      <w:r w:rsidRPr="00764675">
        <w:rPr>
          <w:rFonts w:ascii="Verdana" w:eastAsia="Century Gothic" w:hAnsi="Verdana" w:cs="Century Gothic"/>
        </w:rPr>
        <w:t xml:space="preserve">uál es régimen contractual aplicable </w:t>
      </w:r>
      <w:r>
        <w:rPr>
          <w:rFonts w:ascii="Verdana" w:eastAsia="Century Gothic" w:hAnsi="Verdana" w:cs="Century Gothic"/>
        </w:rPr>
        <w:t>en</w:t>
      </w:r>
      <w:r w:rsidRPr="00764675">
        <w:rPr>
          <w:rFonts w:ascii="Verdana" w:eastAsia="Century Gothic" w:hAnsi="Verdana" w:cs="Century Gothic"/>
        </w:rPr>
        <w:t xml:space="preserve"> la ejecución de proyectos cuya fuente de financiación es el Sistema General de Regalías</w:t>
      </w:r>
      <w:r>
        <w:rPr>
          <w:rFonts w:ascii="Verdana" w:eastAsia="Century Gothic" w:hAnsi="Verdana" w:cs="Century Gothic"/>
        </w:rPr>
        <w:t xml:space="preserve"> - SGR</w:t>
      </w:r>
      <w:r w:rsidRPr="00764675">
        <w:rPr>
          <w:rFonts w:ascii="Verdana" w:eastAsia="Century Gothic" w:hAnsi="Verdana" w:cs="Century Gothic"/>
        </w:rPr>
        <w:t>?</w:t>
      </w:r>
    </w:p>
    <w:p w14:paraId="0DABED96" w14:textId="77777777" w:rsidR="00BE1FFD" w:rsidRPr="00764675" w:rsidRDefault="00BE1FFD" w:rsidP="00BE1FFD">
      <w:pPr>
        <w:snapToGrid w:val="0"/>
        <w:spacing w:after="0" w:line="276" w:lineRule="auto"/>
        <w:jc w:val="both"/>
        <w:rPr>
          <w:rFonts w:ascii="Verdana" w:eastAsia="Calibri" w:hAnsi="Verdana" w:cs="Arial"/>
          <w:lang w:val="es-ES"/>
        </w:rPr>
      </w:pPr>
    </w:p>
    <w:p w14:paraId="17C655CE" w14:textId="77777777" w:rsidR="00BE1FFD" w:rsidRPr="00764675" w:rsidRDefault="00BE1FFD" w:rsidP="00BE1FFD">
      <w:pPr>
        <w:numPr>
          <w:ilvl w:val="0"/>
          <w:numId w:val="1"/>
        </w:numPr>
        <w:tabs>
          <w:tab w:val="left" w:pos="142"/>
          <w:tab w:val="left" w:pos="284"/>
        </w:tabs>
        <w:snapToGrid w:val="0"/>
        <w:spacing w:after="0" w:line="276" w:lineRule="auto"/>
        <w:ind w:left="357" w:hanging="357"/>
        <w:jc w:val="both"/>
        <w:rPr>
          <w:rFonts w:ascii="Verdana" w:eastAsia="Century Gothic" w:hAnsi="Verdana" w:cs="Century Gothic"/>
          <w:b/>
          <w:bCs/>
          <w:lang w:val="es-ES"/>
        </w:rPr>
      </w:pPr>
      <w:r w:rsidRPr="00764675">
        <w:rPr>
          <w:rFonts w:ascii="Verdana" w:eastAsia="Century Gothic" w:hAnsi="Verdana" w:cs="Century Gothic"/>
          <w:b/>
          <w:bCs/>
          <w:lang w:val="es-ES"/>
        </w:rPr>
        <w:t>Respuesta:</w:t>
      </w:r>
    </w:p>
    <w:p w14:paraId="2ED69029" w14:textId="77777777" w:rsidR="00BE1FFD" w:rsidRPr="00764675" w:rsidRDefault="00BE1FFD" w:rsidP="00BE1FFD">
      <w:pPr>
        <w:tabs>
          <w:tab w:val="left" w:pos="142"/>
          <w:tab w:val="left" w:pos="284"/>
        </w:tabs>
        <w:snapToGrid w:val="0"/>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BE1FFD" w:rsidRPr="00764675" w14:paraId="5FEC6697" w14:textId="77777777" w:rsidTr="001A7231">
        <w:tc>
          <w:tcPr>
            <w:tcW w:w="8828" w:type="dxa"/>
            <w:shd w:val="clear" w:color="auto" w:fill="auto"/>
          </w:tcPr>
          <w:p w14:paraId="786543F1" w14:textId="77777777" w:rsidR="00BE1FFD" w:rsidRPr="00764675" w:rsidRDefault="00BE1FFD" w:rsidP="001A7231">
            <w:pPr>
              <w:spacing w:line="276" w:lineRule="auto"/>
              <w:jc w:val="both"/>
              <w:rPr>
                <w:rFonts w:ascii="Verdana" w:eastAsia="Aptos" w:hAnsi="Verdana" w:cs="Arial"/>
                <w:b/>
                <w:bCs/>
                <w:kern w:val="2"/>
                <w:lang w:val="es-ES_tradnl"/>
                <w14:ligatures w14:val="standardContextual"/>
              </w:rPr>
            </w:pPr>
            <w:r w:rsidRPr="00764675">
              <w:rPr>
                <w:rFonts w:ascii="Verdana" w:eastAsia="Times New Roman" w:hAnsi="Verdana" w:cs="Arial"/>
                <w:kern w:val="2"/>
                <w:shd w:val="clear" w:color="auto" w:fill="FFFFFF"/>
                <w:lang w:val="es-ES_tradnl" w:eastAsia="es-ES_tradnl"/>
                <w14:ligatures w14:val="standardContextual"/>
              </w:rPr>
              <w:t xml:space="preserve">De conformidad con el artículo 37 de la Ley 2056 de 2020, el ejecutor de los proyectos de inversión </w:t>
            </w:r>
            <w:r>
              <w:rPr>
                <w:rFonts w:ascii="Verdana" w:eastAsia="Times New Roman" w:hAnsi="Verdana" w:cs="Arial"/>
                <w:kern w:val="2"/>
                <w:shd w:val="clear" w:color="auto" w:fill="FFFFFF"/>
                <w:lang w:val="es-ES_tradnl" w:eastAsia="es-ES_tradnl"/>
                <w14:ligatures w14:val="standardContextual"/>
              </w:rPr>
              <w:t>d</w:t>
            </w:r>
            <w:r w:rsidRPr="00764675">
              <w:rPr>
                <w:rFonts w:ascii="Verdana" w:eastAsia="Times New Roman" w:hAnsi="Verdana" w:cs="Arial"/>
                <w:kern w:val="2"/>
                <w:shd w:val="clear" w:color="auto" w:fill="FFFFFF"/>
                <w:lang w:val="es-ES_tradnl" w:eastAsia="es-ES_tradnl"/>
                <w14:ligatures w14:val="standardContextual"/>
              </w:rPr>
              <w:t>el Sistema General de Regalías debe sujetarse a las reglas de contratación pública, es decir, a las prescripciones establecidas en el Estatuto General de Contratación de la Administración Pública, así como las normas que lo modifiquen, sustituyan o reglamenten. En tal sentido, el ejecutor debe someterse a las reglas generales de la contratación pública cuando desarrolle proyectos en el marco del Sistema General de Regalías.</w:t>
            </w:r>
          </w:p>
        </w:tc>
      </w:tr>
    </w:tbl>
    <w:p w14:paraId="0B289A62" w14:textId="77777777" w:rsidR="00BE1FFD" w:rsidRPr="00764675" w:rsidRDefault="00BE1FFD" w:rsidP="00BE1FFD">
      <w:pPr>
        <w:tabs>
          <w:tab w:val="left" w:pos="142"/>
          <w:tab w:val="left" w:pos="284"/>
        </w:tabs>
        <w:snapToGrid w:val="0"/>
        <w:spacing w:after="0" w:line="276" w:lineRule="auto"/>
        <w:jc w:val="both"/>
        <w:rPr>
          <w:rFonts w:ascii="Verdana" w:eastAsia="Century Gothic" w:hAnsi="Verdana" w:cs="Century Gothic"/>
          <w:b/>
          <w:bCs/>
          <w:lang w:val="es-ES"/>
        </w:rPr>
      </w:pPr>
    </w:p>
    <w:p w14:paraId="2FB747D1" w14:textId="77777777" w:rsidR="00BE1FFD" w:rsidRPr="00764675" w:rsidRDefault="00BE1FFD" w:rsidP="00BE1FFD">
      <w:pPr>
        <w:numPr>
          <w:ilvl w:val="0"/>
          <w:numId w:val="1"/>
        </w:numPr>
        <w:tabs>
          <w:tab w:val="left" w:pos="142"/>
          <w:tab w:val="left" w:pos="284"/>
        </w:tabs>
        <w:snapToGrid w:val="0"/>
        <w:spacing w:after="0" w:line="276" w:lineRule="auto"/>
        <w:ind w:left="357" w:hanging="357"/>
        <w:jc w:val="both"/>
        <w:rPr>
          <w:rFonts w:ascii="Verdana" w:eastAsia="Century Gothic" w:hAnsi="Verdana" w:cs="Century Gothic"/>
          <w:b/>
          <w:bCs/>
          <w:lang w:val="es-ES"/>
        </w:rPr>
      </w:pPr>
      <w:r w:rsidRPr="00764675">
        <w:rPr>
          <w:rFonts w:ascii="Verdana" w:eastAsia="Century Gothic" w:hAnsi="Verdana" w:cs="Century Gothic"/>
          <w:b/>
          <w:bCs/>
          <w:lang w:val="es-ES"/>
        </w:rPr>
        <w:t>Razones de la respuesta:</w:t>
      </w:r>
    </w:p>
    <w:p w14:paraId="254AE8D5" w14:textId="77777777" w:rsidR="00BE1FFD" w:rsidRPr="00764675" w:rsidRDefault="00BE1FFD" w:rsidP="00BE1FFD">
      <w:pPr>
        <w:tabs>
          <w:tab w:val="left" w:pos="142"/>
          <w:tab w:val="left" w:pos="284"/>
        </w:tabs>
        <w:snapToGrid w:val="0"/>
        <w:spacing w:after="0" w:line="276" w:lineRule="auto"/>
        <w:ind w:left="357"/>
        <w:jc w:val="both"/>
        <w:rPr>
          <w:rFonts w:ascii="Verdana" w:eastAsia="Century Gothic" w:hAnsi="Verdana" w:cs="Century Gothic"/>
          <w:b/>
          <w:bCs/>
          <w:lang w:val="es-ES"/>
        </w:rPr>
      </w:pPr>
    </w:p>
    <w:p w14:paraId="45D2E6EE" w14:textId="77777777" w:rsidR="00BE1FFD" w:rsidRPr="00764675" w:rsidRDefault="00BE1FFD" w:rsidP="00BE1FFD">
      <w:pPr>
        <w:snapToGrid w:val="0"/>
        <w:spacing w:after="0" w:line="276" w:lineRule="auto"/>
        <w:jc w:val="both"/>
        <w:rPr>
          <w:rFonts w:ascii="Verdana" w:eastAsia="Calibri" w:hAnsi="Verdana" w:cs="Arial"/>
          <w:lang w:val="es-ES"/>
        </w:rPr>
      </w:pPr>
      <w:r w:rsidRPr="00764675">
        <w:rPr>
          <w:rFonts w:ascii="Verdana" w:eastAsia="Calibri" w:hAnsi="Verdana" w:cs="Arial"/>
          <w:lang w:val="es-ES"/>
        </w:rPr>
        <w:t>Lo anterior se sustenta en las siguientes consideraciones:</w:t>
      </w:r>
    </w:p>
    <w:p w14:paraId="46F2111A" w14:textId="77777777" w:rsidR="00BE1FFD" w:rsidRPr="00764675" w:rsidRDefault="00BE1FFD" w:rsidP="00BE1FFD">
      <w:pPr>
        <w:snapToGrid w:val="0"/>
        <w:spacing w:after="0" w:line="276" w:lineRule="auto"/>
        <w:jc w:val="both"/>
        <w:rPr>
          <w:rFonts w:ascii="Verdana" w:eastAsia="Calibri" w:hAnsi="Verdana" w:cs="Arial"/>
          <w:lang w:val="es-ES"/>
        </w:rPr>
      </w:pPr>
      <w:r w:rsidRPr="00764675">
        <w:rPr>
          <w:rFonts w:ascii="Verdana" w:eastAsia="Calibri" w:hAnsi="Verdana" w:cs="Arial"/>
          <w:lang w:val="es-ES"/>
        </w:rPr>
        <w:t xml:space="preserve"> </w:t>
      </w:r>
    </w:p>
    <w:p w14:paraId="4F86E7B7"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_tradnl"/>
          <w14:ligatures w14:val="standardContextual"/>
        </w:rPr>
      </w:pPr>
      <w:r w:rsidRPr="00764675">
        <w:rPr>
          <w:rFonts w:ascii="Verdana" w:eastAsia="Aptos" w:hAnsi="Verdana" w:cs="Arial"/>
          <w:noProof/>
          <w:kern w:val="2"/>
          <w:lang w:val="es-ES_tradnl"/>
          <w14:ligatures w14:val="standardContextual"/>
        </w:rPr>
        <w:t xml:space="preserve">En el Título IV, Capítulo I, la Ley 2056 de 2020 </w:t>
      </w:r>
      <w:r w:rsidRPr="00764675">
        <w:rPr>
          <w:rFonts w:ascii="Verdana" w:eastAsia="Aptos" w:hAnsi="Verdana" w:cs="Times New Roman"/>
          <w:kern w:val="2"/>
          <w:lang w:val="es-ES_tradnl"/>
          <w14:ligatures w14:val="standardContextual"/>
        </w:rPr>
        <w:t>“</w:t>
      </w:r>
      <w:r w:rsidRPr="00764675">
        <w:rPr>
          <w:rFonts w:ascii="Verdana" w:eastAsia="Aptos" w:hAnsi="Verdana" w:cs="Arial"/>
          <w:noProof/>
          <w:kern w:val="2"/>
          <w:lang w:val="es-ES_tradnl"/>
          <w14:ligatures w14:val="standardContextual"/>
        </w:rPr>
        <w:t xml:space="preserve">Por la cual se regula la organización y el funcionamiento del Sistema General de Regalías”, establece las reglas generales para los proyectos de inversión en el Sistema General de Regalías. En esta línea, regula la destinación de los </w:t>
      </w:r>
      <w:r w:rsidRPr="00764675">
        <w:rPr>
          <w:rFonts w:ascii="Verdana" w:eastAsia="Aptos" w:hAnsi="Verdana" w:cs="Arial"/>
          <w:noProof/>
          <w:kern w:val="2"/>
          <w:lang w:val="es-ES_tradnl"/>
          <w14:ligatures w14:val="standardContextual"/>
        </w:rPr>
        <w:lastRenderedPageBreak/>
        <w:t xml:space="preserve">proyectos del Sistema General de Regalías –artículo 28–, las características de los proyectos de inversión –artículo 29–, los ejercicios de planeación –artículo 30–, el ciclo de los proyectos de inversión –artículo 31–, el registro de proyectos –artículo 32–, formulación y presentación de los proyectos de inversión –artículo 33–, viabilidad de los proyectos de inversión –artículo 34–, priorización y aprobación de los proyectos de inversión de la asignación para la inversión regional –artículo 35–, priorización y aprobación de proyectos de inversión para las asignaciones directas y asignación para la inversión local –artículo 36–, así como la ejecución de proyectos de inversión –artículo 37–. De esta manera, se destacan algunos artículos que regulan aspectos importantes en la materia: </w:t>
      </w:r>
    </w:p>
    <w:p w14:paraId="05742616" w14:textId="77777777" w:rsidR="00BE1FFD" w:rsidRPr="00764675" w:rsidRDefault="00BE1FFD" w:rsidP="00BE1FFD">
      <w:pPr>
        <w:snapToGrid w:val="0"/>
        <w:spacing w:after="0" w:line="276" w:lineRule="auto"/>
        <w:ind w:left="720"/>
        <w:jc w:val="both"/>
        <w:rPr>
          <w:rFonts w:ascii="Verdana" w:eastAsia="Aptos" w:hAnsi="Verdana" w:cs="Arial"/>
          <w:noProof/>
          <w:kern w:val="2"/>
          <w:lang w:val="es-ES_tradnl"/>
          <w14:ligatures w14:val="standardContextual"/>
        </w:rPr>
      </w:pPr>
    </w:p>
    <w:p w14:paraId="53E5BBDC"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_tradnl"/>
          <w14:ligatures w14:val="standardContextual"/>
        </w:rPr>
      </w:pPr>
      <w:r>
        <w:rPr>
          <w:rFonts w:ascii="Verdana" w:eastAsia="Aptos" w:hAnsi="Verdana" w:cs="Arial"/>
          <w:noProof/>
          <w:kern w:val="2"/>
          <w:lang w:val="es-ES_tradnl"/>
          <w14:ligatures w14:val="standardContextual"/>
        </w:rPr>
        <w:t xml:space="preserve">i) </w:t>
      </w:r>
      <w:r w:rsidRPr="00764675">
        <w:rPr>
          <w:rFonts w:ascii="Verdana" w:eastAsia="Aptos" w:hAnsi="Verdana" w:cs="Arial"/>
          <w:noProof/>
          <w:kern w:val="2"/>
          <w:lang w:val="es-ES_tradnl"/>
          <w14:ligatures w14:val="standardContextual"/>
        </w:rPr>
        <w:t xml:space="preserve">El artículo 28 dispone que con este tipo de recursos se financian proyectos de inversión en sus diferentes etapas, con la condición </w:t>
      </w:r>
      <w:r>
        <w:rPr>
          <w:rFonts w:ascii="Verdana" w:eastAsia="Aptos" w:hAnsi="Verdana" w:cs="Arial"/>
          <w:noProof/>
          <w:kern w:val="2"/>
          <w:lang w:val="es-ES_tradnl"/>
          <w14:ligatures w14:val="standardContextual"/>
        </w:rPr>
        <w:t xml:space="preserve">de </w:t>
      </w:r>
      <w:r w:rsidRPr="00764675">
        <w:rPr>
          <w:rFonts w:ascii="Verdana" w:eastAsia="Aptos" w:hAnsi="Verdana" w:cs="Arial"/>
          <w:noProof/>
          <w:kern w:val="2"/>
          <w:lang w:val="es-ES_tradnl"/>
          <w14:ligatures w14:val="standardContextual"/>
        </w:rPr>
        <w:t>que estén en el horizonte de realización. As</w:t>
      </w:r>
      <w:r>
        <w:rPr>
          <w:rFonts w:ascii="Verdana" w:eastAsia="Aptos" w:hAnsi="Verdana" w:cs="Arial"/>
          <w:noProof/>
          <w:kern w:val="2"/>
          <w:lang w:val="es-ES_tradnl"/>
          <w14:ligatures w14:val="standardContextual"/>
        </w:rPr>
        <w:t xml:space="preserve">í </w:t>
      </w:r>
      <w:r w:rsidRPr="00764675">
        <w:rPr>
          <w:rFonts w:ascii="Verdana" w:eastAsia="Aptos" w:hAnsi="Verdana" w:cs="Arial"/>
          <w:noProof/>
          <w:kern w:val="2"/>
          <w:lang w:val="es-ES_tradnl"/>
          <w14:ligatures w14:val="standardContextual"/>
        </w:rPr>
        <w:t>mismo, pueden financiarse estudios y diseños como parte de los proyectos de inversión y sus obras complementarias. Estos proyectos deben basarse en la metodología dispuesta por el Departamento Nacional de Planeación y</w:t>
      </w:r>
      <w:r>
        <w:rPr>
          <w:rFonts w:ascii="Verdana" w:eastAsia="Aptos" w:hAnsi="Verdana" w:cs="Arial"/>
          <w:noProof/>
          <w:kern w:val="2"/>
          <w:lang w:val="es-ES_tradnl"/>
          <w14:ligatures w14:val="standardContextual"/>
        </w:rPr>
        <w:t>,</w:t>
      </w:r>
      <w:r w:rsidRPr="00764675">
        <w:rPr>
          <w:rFonts w:ascii="Verdana" w:eastAsia="Aptos" w:hAnsi="Verdana" w:cs="Arial"/>
          <w:noProof/>
          <w:kern w:val="2"/>
          <w:lang w:val="es-ES_tradnl"/>
          <w14:ligatures w14:val="standardContextual"/>
        </w:rPr>
        <w:t xml:space="preserve"> a su vez, se dispone que estos recursos no podrán financiar gastos permanentes: una vez finalizada la etapa de inversión, la prestación del servicio debe ser sostenible y financiada por recursos diferentes al Sistema General de Regalías</w:t>
      </w:r>
      <w:r w:rsidRPr="00764675">
        <w:rPr>
          <w:rFonts w:ascii="Verdana" w:eastAsia="Aptos" w:hAnsi="Verdana" w:cs="Arial"/>
          <w:noProof/>
          <w:kern w:val="2"/>
          <w:vertAlign w:val="superscript"/>
          <w:lang w:val="es-ES_tradnl"/>
          <w14:ligatures w14:val="standardContextual"/>
        </w:rPr>
        <w:footnoteReference w:id="1"/>
      </w:r>
      <w:r w:rsidRPr="00764675">
        <w:rPr>
          <w:rFonts w:ascii="Verdana" w:eastAsia="Aptos" w:hAnsi="Verdana" w:cs="Arial"/>
          <w:noProof/>
          <w:kern w:val="2"/>
          <w:lang w:val="es-ES_tradnl"/>
          <w14:ligatures w14:val="standardContextual"/>
        </w:rPr>
        <w:t xml:space="preserve">. </w:t>
      </w:r>
    </w:p>
    <w:p w14:paraId="2F64C4A9" w14:textId="77777777" w:rsidR="00BE1FFD" w:rsidRPr="00764675" w:rsidRDefault="00BE1FFD" w:rsidP="00BE1FFD">
      <w:pPr>
        <w:snapToGrid w:val="0"/>
        <w:spacing w:after="0" w:line="276" w:lineRule="auto"/>
        <w:jc w:val="both"/>
        <w:rPr>
          <w:rFonts w:ascii="Verdana" w:eastAsia="Aptos" w:hAnsi="Verdana" w:cs="Arial"/>
          <w:noProof/>
          <w:kern w:val="2"/>
          <w:lang w:val="es-ES_tradnl"/>
          <w14:ligatures w14:val="standardContextual"/>
        </w:rPr>
      </w:pPr>
    </w:p>
    <w:p w14:paraId="47D943C9"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_tradnl"/>
          <w14:ligatures w14:val="standardContextual"/>
        </w:rPr>
      </w:pPr>
      <w:r w:rsidRPr="00764675">
        <w:rPr>
          <w:rFonts w:ascii="Verdana" w:eastAsia="Aptos" w:hAnsi="Verdana" w:cs="Arial"/>
          <w:noProof/>
          <w:kern w:val="2"/>
          <w:lang w:val="es-ES_tradnl"/>
          <w14:ligatures w14:val="standardContextual"/>
        </w:rPr>
        <w:t>ii) El artículo 35, parágrafo 2, dispone que los Departamentos y Órganos Colegiados de Administración y Decisión Regionales de que trata el artículo citado, en el marco de sus competencias, deben designar una</w:t>
      </w:r>
      <w:r w:rsidRPr="00764675" w:rsidDel="003822CF">
        <w:rPr>
          <w:rFonts w:ascii="Verdana" w:eastAsia="Aptos" w:hAnsi="Verdana" w:cs="Arial"/>
          <w:noProof/>
          <w:kern w:val="2"/>
          <w:lang w:val="es-ES_tradnl"/>
          <w14:ligatures w14:val="standardContextual"/>
        </w:rPr>
        <w:t xml:space="preserve"> </w:t>
      </w:r>
      <w:r w:rsidRPr="00764675">
        <w:rPr>
          <w:rFonts w:ascii="Verdana" w:eastAsia="Aptos" w:hAnsi="Verdana" w:cs="Arial"/>
          <w:noProof/>
          <w:kern w:val="2"/>
          <w:lang w:val="es-ES_tradnl"/>
          <w14:ligatures w14:val="standardContextual"/>
        </w:rPr>
        <w:t>entidad ejecutora de naturaleza pública, que además debe estar a cargo de la contratación de la interventoría, de acuerdo a lo regulado en dicha ley</w:t>
      </w:r>
      <w:r w:rsidRPr="00764675">
        <w:rPr>
          <w:rFonts w:ascii="Verdana" w:eastAsia="Aptos" w:hAnsi="Verdana" w:cs="Arial"/>
          <w:noProof/>
          <w:kern w:val="2"/>
          <w:vertAlign w:val="superscript"/>
          <w:lang w:val="es-ES_tradnl"/>
          <w14:ligatures w14:val="standardContextual"/>
        </w:rPr>
        <w:footnoteReference w:id="2"/>
      </w:r>
      <w:r w:rsidRPr="00764675">
        <w:rPr>
          <w:rFonts w:ascii="Verdana" w:eastAsia="Aptos" w:hAnsi="Verdana" w:cs="Arial"/>
          <w:noProof/>
          <w:kern w:val="2"/>
          <w:lang w:val="es-ES_tradnl"/>
          <w14:ligatures w14:val="standardContextual"/>
        </w:rPr>
        <w:t xml:space="preserve">. </w:t>
      </w:r>
    </w:p>
    <w:p w14:paraId="750A5F4A" w14:textId="77777777" w:rsidR="00BE1FFD" w:rsidRPr="00764675" w:rsidRDefault="00BE1FFD" w:rsidP="00BE1FFD">
      <w:pPr>
        <w:snapToGrid w:val="0"/>
        <w:spacing w:after="0" w:line="276" w:lineRule="auto"/>
        <w:jc w:val="both"/>
        <w:rPr>
          <w:rFonts w:ascii="Verdana" w:eastAsia="Aptos" w:hAnsi="Verdana" w:cs="Arial"/>
          <w:noProof/>
          <w:kern w:val="2"/>
          <w:lang w:val="es-ES_tradnl"/>
          <w14:ligatures w14:val="standardContextual"/>
        </w:rPr>
      </w:pPr>
    </w:p>
    <w:p w14:paraId="29F6A1F4" w14:textId="77777777" w:rsidR="00BE1FFD" w:rsidRPr="00764675" w:rsidRDefault="00BE1FFD" w:rsidP="00BE1FFD">
      <w:pPr>
        <w:numPr>
          <w:ilvl w:val="0"/>
          <w:numId w:val="3"/>
        </w:numPr>
        <w:snapToGrid w:val="0"/>
        <w:spacing w:after="0" w:line="276" w:lineRule="auto"/>
        <w:jc w:val="both"/>
        <w:rPr>
          <w:rFonts w:ascii="Verdana" w:eastAsia="Aptos" w:hAnsi="Verdana" w:cs="Arial"/>
          <w:kern w:val="2"/>
          <w:lang w:val="es-ES_tradnl"/>
          <w14:ligatures w14:val="standardContextual"/>
        </w:rPr>
      </w:pPr>
      <w:r w:rsidRPr="00764675">
        <w:rPr>
          <w:rFonts w:ascii="Verdana" w:eastAsia="Aptos" w:hAnsi="Verdana" w:cs="Arial"/>
          <w:noProof/>
          <w:kern w:val="2"/>
          <w:lang w:val="es-ES_tradnl"/>
          <w14:ligatures w14:val="standardContextual"/>
        </w:rPr>
        <w:t xml:space="preserve">iii) El artículo 36 dispone, entre otras cosas, que las entidades territoriales receptoras de asignaciones directas y de la asignación para la inversión local, son las encargadas de priorizar y aprobar los proyectos de inversión que se financian con los recursos del Sistema General de Regalías, </w:t>
      </w:r>
      <w:r w:rsidRPr="00764675">
        <w:rPr>
          <w:rFonts w:ascii="Verdana" w:eastAsia="Aptos" w:hAnsi="Verdana" w:cs="Arial"/>
          <w:kern w:val="2"/>
          <w:lang w:val="es-ES_tradnl"/>
          <w14:ligatures w14:val="standardContextual"/>
        </w:rPr>
        <w:t>así como de verificar su disponibilidad, conforme con la metodología del Departamento Nacional de Planeación</w:t>
      </w:r>
      <w:r w:rsidRPr="00764675">
        <w:rPr>
          <w:rFonts w:ascii="Verdana" w:eastAsia="Aptos" w:hAnsi="Verdana" w:cs="Arial"/>
          <w:kern w:val="2"/>
          <w:vertAlign w:val="superscript"/>
          <w:lang w:val="es-ES_tradnl"/>
          <w14:ligatures w14:val="standardContextual"/>
        </w:rPr>
        <w:footnoteReference w:id="3"/>
      </w:r>
      <w:r w:rsidRPr="00764675">
        <w:rPr>
          <w:rFonts w:ascii="Verdana" w:eastAsia="Aptos" w:hAnsi="Verdana" w:cs="Arial"/>
          <w:kern w:val="2"/>
          <w:lang w:val="es-ES_tradnl"/>
          <w14:ligatures w14:val="standardContextual"/>
        </w:rPr>
        <w:t>.</w:t>
      </w:r>
    </w:p>
    <w:p w14:paraId="75AFE215" w14:textId="77777777" w:rsidR="00BE1FFD" w:rsidRPr="00764675" w:rsidRDefault="00BE1FFD" w:rsidP="00BE1FFD">
      <w:pPr>
        <w:snapToGrid w:val="0"/>
        <w:spacing w:after="0" w:line="276" w:lineRule="auto"/>
        <w:jc w:val="both"/>
        <w:rPr>
          <w:rFonts w:ascii="Verdana" w:eastAsia="Aptos" w:hAnsi="Verdana" w:cs="Arial"/>
          <w:kern w:val="2"/>
          <w:lang w:val="es-ES_tradnl"/>
          <w14:ligatures w14:val="standardContextual"/>
        </w:rPr>
      </w:pPr>
    </w:p>
    <w:p w14:paraId="778134AA" w14:textId="77777777" w:rsidR="00BE1FFD" w:rsidRPr="00764675" w:rsidRDefault="00BE1FFD" w:rsidP="00BE1FFD">
      <w:pPr>
        <w:numPr>
          <w:ilvl w:val="0"/>
          <w:numId w:val="3"/>
        </w:numPr>
        <w:snapToGrid w:val="0"/>
        <w:spacing w:after="0" w:line="276" w:lineRule="auto"/>
        <w:jc w:val="both"/>
        <w:rPr>
          <w:rFonts w:ascii="Verdana" w:eastAsia="Aptos" w:hAnsi="Verdana" w:cs="Arial"/>
          <w:kern w:val="2"/>
          <w:lang w:val="es-ES"/>
          <w14:ligatures w14:val="standardContextual"/>
        </w:rPr>
      </w:pPr>
      <w:r w:rsidRPr="65C877AB">
        <w:rPr>
          <w:rFonts w:ascii="Verdana" w:eastAsia="Aptos" w:hAnsi="Verdana" w:cs="Arial"/>
          <w:kern w:val="2"/>
          <w:lang w:val="es-ES"/>
          <w14:ligatures w14:val="standardContextual"/>
        </w:rPr>
        <w:t xml:space="preserve">iv) El artículo 37 de la Ley 2056 de 2020 dispone que los proyectos de inversión que se financien con cargo al Sistema General de Regalías serán ejecutados por quien designe las entidades u órganos de que tratan los artículos 35 y 36 </w:t>
      </w:r>
      <w:r w:rsidRPr="65C877AB">
        <w:rPr>
          <w:rFonts w:ascii="Verdana" w:eastAsia="Aptos" w:hAnsi="Verdana" w:cs="Arial"/>
          <w:i/>
          <w:iCs/>
          <w:kern w:val="2"/>
          <w:lang w:val="es-ES"/>
          <w14:ligatures w14:val="standardContextual"/>
        </w:rPr>
        <w:t>ibidem</w:t>
      </w:r>
      <w:r w:rsidRPr="65C877AB">
        <w:rPr>
          <w:rFonts w:ascii="Verdana" w:eastAsia="Aptos" w:hAnsi="Verdana" w:cs="Arial"/>
          <w:kern w:val="2"/>
          <w:lang w:val="es-ES"/>
          <w14:ligatures w14:val="standardContextual"/>
        </w:rPr>
        <w:t xml:space="preserve">. También agrega que la entidad pública ejecutora tiene el deber de adelantar la contratación de la interventoría, de conformidad con lo previsto en la presente ley. Las entidades ejecutoras de recursos del Sistema son responsables de suministrar de forma veraz, oportuna e idónea, la información de la gestión de los proyectos que se requiera e implementar las actuaciones pertinentes para encauzar el desempeño de los proyectos de inversión y decidir, de manera motivada, sobre la continuidad de </w:t>
      </w:r>
      <w:proofErr w:type="gramStart"/>
      <w:r w:rsidRPr="65C877AB">
        <w:rPr>
          <w:rFonts w:ascii="Verdana" w:eastAsia="Aptos" w:hAnsi="Verdana" w:cs="Arial"/>
          <w:kern w:val="2"/>
          <w:lang w:val="es-ES"/>
          <w14:ligatures w14:val="standardContextual"/>
        </w:rPr>
        <w:t>los mismos</w:t>
      </w:r>
      <w:proofErr w:type="gramEnd"/>
      <w:r w:rsidRPr="65C877AB">
        <w:rPr>
          <w:rFonts w:ascii="Verdana" w:eastAsia="Aptos" w:hAnsi="Verdana" w:cs="Arial"/>
          <w:kern w:val="2"/>
          <w:lang w:val="es-ES"/>
          <w14:ligatures w14:val="standardContextual"/>
        </w:rPr>
        <w:t xml:space="preserve">, sin perjuicio de las acciones de control a las que haya lugar. </w:t>
      </w:r>
    </w:p>
    <w:p w14:paraId="32CE5379" w14:textId="77777777" w:rsidR="00BE1FFD" w:rsidRPr="00764675" w:rsidRDefault="00BE1FFD" w:rsidP="00BE1FFD">
      <w:pPr>
        <w:snapToGrid w:val="0"/>
        <w:spacing w:after="0" w:line="276" w:lineRule="auto"/>
        <w:jc w:val="both"/>
        <w:rPr>
          <w:rFonts w:ascii="Verdana" w:eastAsia="Aptos" w:hAnsi="Verdana" w:cs="Arial"/>
          <w:kern w:val="2"/>
          <w:lang w:val="es-ES_tradnl"/>
          <w14:ligatures w14:val="standardContextual"/>
        </w:rPr>
      </w:pPr>
    </w:p>
    <w:p w14:paraId="30650A39"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
          <w14:ligatures w14:val="standardContextual"/>
        </w:rPr>
      </w:pPr>
      <w:r w:rsidRPr="65C877AB">
        <w:rPr>
          <w:rFonts w:ascii="Verdana" w:eastAsia="Aptos" w:hAnsi="Verdana" w:cs="Arial"/>
          <w:kern w:val="2"/>
          <w:lang w:val="es-ES"/>
          <w14:ligatures w14:val="standardContextual"/>
        </w:rPr>
        <w:t>En esta línea, el parágrafo primero del artículo 37 dispone: “La ejecución de proyectos de qu</w:t>
      </w:r>
      <w:r>
        <w:rPr>
          <w:rFonts w:ascii="Verdana" w:eastAsia="Aptos" w:hAnsi="Verdana" w:cs="Arial"/>
          <w:kern w:val="2"/>
          <w:lang w:val="es-ES"/>
          <w14:ligatures w14:val="standardContextual"/>
        </w:rPr>
        <w:t xml:space="preserve">e </w:t>
      </w:r>
      <w:r w:rsidRPr="65C877AB">
        <w:rPr>
          <w:rFonts w:ascii="Verdana" w:eastAsia="Aptos" w:hAnsi="Verdana" w:cs="Arial"/>
          <w:kern w:val="2"/>
          <w:lang w:val="es-ES"/>
          <w14:ligatures w14:val="standardContextual"/>
        </w:rPr>
        <w:t xml:space="preserve">trata este artículo, se adelantará, con estricta sujeción al régimen presupuestal definido en esta ley, al de contratación </w:t>
      </w:r>
      <w:r w:rsidRPr="65C877AB">
        <w:rPr>
          <w:rFonts w:ascii="Verdana" w:eastAsia="Aptos" w:hAnsi="Verdana" w:cs="Arial"/>
          <w:kern w:val="2"/>
          <w:lang w:val="es-ES"/>
          <w14:ligatures w14:val="standardContextual"/>
        </w:rPr>
        <w:lastRenderedPageBreak/>
        <w:t>pública y las demás normas legales vigentes. El ejecutor garantizará la correcta ejecución de los recursos asignados al proyecto de inversión, así como el suministro y registro de la información requerida por el sistema de seguimiento, evaluación y control”</w:t>
      </w:r>
      <w:r w:rsidRPr="65C877AB">
        <w:rPr>
          <w:rFonts w:ascii="Verdana" w:eastAsia="Aptos" w:hAnsi="Verdana" w:cs="Arial"/>
          <w:kern w:val="2"/>
          <w:vertAlign w:val="superscript"/>
          <w:lang w:val="es-ES"/>
          <w14:ligatures w14:val="standardContextual"/>
        </w:rPr>
        <w:footnoteReference w:id="4"/>
      </w:r>
      <w:r w:rsidRPr="65C877AB">
        <w:rPr>
          <w:rFonts w:ascii="Verdana" w:eastAsia="Aptos" w:hAnsi="Verdana" w:cs="Arial"/>
          <w:kern w:val="2"/>
          <w:lang w:val="es-ES"/>
          <w14:ligatures w14:val="standardContextual"/>
        </w:rPr>
        <w:t>.</w:t>
      </w:r>
      <w:r w:rsidRPr="65C877AB">
        <w:rPr>
          <w:rFonts w:ascii="Verdana" w:eastAsia="Aptos" w:hAnsi="Verdana" w:cs="Arial"/>
          <w:noProof/>
          <w:kern w:val="2"/>
          <w:lang w:val="es-ES"/>
          <w14:ligatures w14:val="standardContextual"/>
        </w:rPr>
        <w:t xml:space="preserve"> A partir de esta norma, el ejercutor de los proyectos de inversion en el SGR debe sujetarse a las reglas de contratación pública, es decir, a las prescripciones establecidas en el Estatuto General de Contratación Pública, así como las normas que lo modifiquen, sustituyan o reglamenten. En efecto, el ejecutor debe someterse a las reglas generales de la contratación pública cuando desarrolle proyectos en el marco del Sistema General de Regalías. </w:t>
      </w:r>
    </w:p>
    <w:p w14:paraId="2F45E834" w14:textId="77777777" w:rsidR="00BE1FFD" w:rsidRPr="00764675" w:rsidRDefault="00BE1FFD" w:rsidP="00BE1FFD">
      <w:pPr>
        <w:snapToGrid w:val="0"/>
        <w:spacing w:after="0" w:line="276" w:lineRule="auto"/>
        <w:jc w:val="both"/>
        <w:rPr>
          <w:rFonts w:ascii="Verdana" w:eastAsia="Aptos" w:hAnsi="Verdana" w:cs="Arial"/>
          <w:noProof/>
          <w:kern w:val="2"/>
          <w:lang w:val="es-ES_tradnl"/>
          <w14:ligatures w14:val="standardContextual"/>
        </w:rPr>
      </w:pPr>
    </w:p>
    <w:p w14:paraId="27E9CEE9"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_tradnl"/>
          <w14:ligatures w14:val="standardContextual"/>
        </w:rPr>
      </w:pPr>
      <w:r w:rsidRPr="00764675">
        <w:rPr>
          <w:rFonts w:ascii="Verdana" w:eastAsia="Aptos" w:hAnsi="Verdana" w:cs="Arial"/>
          <w:noProof/>
          <w:kern w:val="2"/>
          <w:lang w:val="es-ES_tradnl"/>
          <w14:ligatures w14:val="standardContextual"/>
        </w:rPr>
        <w:t>Adicio</w:t>
      </w:r>
      <w:r>
        <w:rPr>
          <w:rFonts w:ascii="Verdana" w:eastAsia="Aptos" w:hAnsi="Verdana" w:cs="Arial"/>
          <w:noProof/>
          <w:kern w:val="2"/>
          <w:lang w:val="es-ES_tradnl"/>
          <w14:ligatures w14:val="standardContextual"/>
        </w:rPr>
        <w:t>nalmente</w:t>
      </w:r>
      <w:r w:rsidRPr="00764675">
        <w:rPr>
          <w:rFonts w:ascii="Verdana" w:eastAsia="Aptos" w:hAnsi="Verdana" w:cs="Arial"/>
          <w:noProof/>
          <w:kern w:val="2"/>
          <w:lang w:val="es-ES_tradnl"/>
          <w14:ligatures w14:val="standardContextual"/>
        </w:rPr>
        <w:t>, el parágrafo segundo</w:t>
      </w:r>
      <w:r w:rsidRPr="00764675">
        <w:rPr>
          <w:rFonts w:ascii="Verdana" w:eastAsia="Aptos" w:hAnsi="Verdana" w:cs="Arial"/>
          <w:i/>
          <w:iCs/>
          <w:noProof/>
          <w:kern w:val="2"/>
          <w:lang w:val="es-ES_tradnl"/>
          <w14:ligatures w14:val="standardContextual"/>
        </w:rPr>
        <w:t xml:space="preserve"> ibidem</w:t>
      </w:r>
      <w:r w:rsidRPr="00764675">
        <w:rPr>
          <w:rFonts w:ascii="Verdana" w:eastAsia="Aptos" w:hAnsi="Verdana" w:cs="Arial"/>
          <w:noProof/>
          <w:kern w:val="2"/>
          <w:lang w:val="es-ES_tradnl"/>
          <w14:ligatures w14:val="standardContextual"/>
        </w:rPr>
        <w:t xml:space="preserve"> establece que las entidades territoriales beneficiarias de Asignaciones Directas, la Asignación para la Inversión Local y del 60% de la Asignación para la Inversión Regional en cabeza de los departamentos, podrán ejecutar directamente estos recursos o la entidad ejecutora que designe.</w:t>
      </w:r>
    </w:p>
    <w:p w14:paraId="4FB38714" w14:textId="77777777" w:rsidR="00BE1FFD" w:rsidRPr="00764675" w:rsidRDefault="00BE1FFD" w:rsidP="00BE1FFD">
      <w:pPr>
        <w:snapToGrid w:val="0"/>
        <w:spacing w:after="0" w:line="276" w:lineRule="auto"/>
        <w:jc w:val="both"/>
        <w:rPr>
          <w:rFonts w:ascii="Verdana" w:eastAsia="Aptos" w:hAnsi="Verdana" w:cs="Arial"/>
          <w:noProof/>
          <w:kern w:val="2"/>
          <w:lang w:val="es-ES_tradnl"/>
          <w14:ligatures w14:val="standardContextual"/>
        </w:rPr>
      </w:pPr>
    </w:p>
    <w:p w14:paraId="3551DA37" w14:textId="77777777" w:rsidR="00BE1FFD" w:rsidRPr="00764675" w:rsidRDefault="00BE1FFD" w:rsidP="00BE1FFD">
      <w:pPr>
        <w:numPr>
          <w:ilvl w:val="0"/>
          <w:numId w:val="3"/>
        </w:numPr>
        <w:snapToGrid w:val="0"/>
        <w:spacing w:after="0" w:line="276" w:lineRule="auto"/>
        <w:jc w:val="both"/>
        <w:rPr>
          <w:rFonts w:ascii="Verdana" w:eastAsia="Aptos" w:hAnsi="Verdana" w:cs="Arial"/>
          <w:noProof/>
          <w:kern w:val="2"/>
          <w:lang w:val="es-ES_tradnl"/>
          <w14:ligatures w14:val="standardContextual"/>
        </w:rPr>
      </w:pPr>
      <w:r w:rsidRPr="00764675">
        <w:rPr>
          <w:rFonts w:ascii="Verdana" w:eastAsia="Aptos" w:hAnsi="Verdana" w:cs="Arial"/>
          <w:noProof/>
          <w:kern w:val="2"/>
          <w:lang w:val="es-ES_tradnl"/>
          <w14:ligatures w14:val="standardContextual"/>
        </w:rPr>
        <w:t>En virtud de lo expuesto, puede concluirse que la ejecución de proyectos de inversión en el marco del Sistema General de Garantías de</w:t>
      </w:r>
      <w:r>
        <w:rPr>
          <w:rFonts w:ascii="Verdana" w:eastAsia="Aptos" w:hAnsi="Verdana" w:cs="Arial"/>
          <w:noProof/>
          <w:kern w:val="2"/>
          <w:lang w:val="es-ES_tradnl"/>
          <w14:ligatures w14:val="standardContextual"/>
        </w:rPr>
        <w:t>b</w:t>
      </w:r>
      <w:r w:rsidRPr="00764675">
        <w:rPr>
          <w:rFonts w:ascii="Verdana" w:eastAsia="Aptos" w:hAnsi="Verdana" w:cs="Arial"/>
          <w:noProof/>
          <w:kern w:val="2"/>
          <w:lang w:val="es-ES_tradnl"/>
          <w14:ligatures w14:val="standardContextual"/>
        </w:rPr>
        <w:t>e realizarse con sujeción al Estatuto General de Contratación de la Administración Pública</w:t>
      </w:r>
      <w:r>
        <w:rPr>
          <w:rFonts w:ascii="Verdana" w:eastAsia="Aptos" w:hAnsi="Verdana" w:cs="Arial"/>
          <w:noProof/>
          <w:kern w:val="2"/>
          <w:lang w:val="es-ES_tradnl"/>
          <w14:ligatures w14:val="standardContextual"/>
        </w:rPr>
        <w:t>, sin que sea relevante la naturaleza y régimen contractual aplicable de manera regular de las entidades ejecutoras, incluidas aquellas que apliquen un régimen especial como es el caso de las entidades industriales y comerciales del Estado, por virtud de lo contemplado en la Ley 2056 de 2020 en los artículos 28 al 37.</w:t>
      </w:r>
    </w:p>
    <w:p w14:paraId="202D428E" w14:textId="77777777" w:rsidR="00BE1FFD" w:rsidRPr="00764675" w:rsidRDefault="00BE1FFD" w:rsidP="00BE1FFD">
      <w:pPr>
        <w:spacing w:after="0" w:line="276" w:lineRule="auto"/>
        <w:ind w:left="720"/>
        <w:contextualSpacing/>
        <w:jc w:val="both"/>
        <w:rPr>
          <w:rFonts w:ascii="Verdana" w:eastAsia="Calibri" w:hAnsi="Verdana" w:cs="Arial"/>
          <w:b/>
          <w:kern w:val="2"/>
          <w:lang w:val="es-ES_tradnl" w:eastAsia="es-CO"/>
          <w14:ligatures w14:val="standardContextual"/>
        </w:rPr>
      </w:pPr>
    </w:p>
    <w:p w14:paraId="035EFB82" w14:textId="77777777" w:rsidR="00BE1FFD" w:rsidRPr="00764675" w:rsidRDefault="00BE1FFD" w:rsidP="00BE1FFD">
      <w:pPr>
        <w:numPr>
          <w:ilvl w:val="0"/>
          <w:numId w:val="1"/>
        </w:numPr>
        <w:tabs>
          <w:tab w:val="left" w:pos="142"/>
          <w:tab w:val="left" w:pos="284"/>
        </w:tabs>
        <w:spacing w:after="0" w:line="276" w:lineRule="auto"/>
        <w:ind w:left="357" w:hanging="357"/>
        <w:jc w:val="both"/>
        <w:rPr>
          <w:rFonts w:ascii="Verdana" w:eastAsia="Century Gothic" w:hAnsi="Verdana" w:cs="Century Gothic"/>
          <w:b/>
          <w:bCs/>
          <w:lang w:val="es-ES"/>
        </w:rPr>
      </w:pPr>
      <w:r w:rsidRPr="00764675">
        <w:rPr>
          <w:rFonts w:ascii="Verdana" w:eastAsia="Century Gothic" w:hAnsi="Verdana" w:cs="Century Gothic"/>
          <w:b/>
          <w:bCs/>
          <w:lang w:val="es-ES"/>
        </w:rPr>
        <w:lastRenderedPageBreak/>
        <w:t>Referencias normativas, jurisprudenciales y otras fuentes:</w:t>
      </w:r>
    </w:p>
    <w:p w14:paraId="6DE36D5C" w14:textId="77777777" w:rsidR="00BE1FFD" w:rsidRPr="00764675" w:rsidRDefault="00BE1FFD" w:rsidP="00BE1FFD">
      <w:pPr>
        <w:widowControl w:val="0"/>
        <w:autoSpaceDE w:val="0"/>
        <w:autoSpaceDN w:val="0"/>
        <w:spacing w:after="0" w:line="276" w:lineRule="auto"/>
        <w:jc w:val="both"/>
        <w:rPr>
          <w:rFonts w:ascii="Verdana" w:eastAsia="Calibri"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ayout w:type="fixed"/>
        <w:tblLook w:val="04A0" w:firstRow="1" w:lastRow="0" w:firstColumn="1" w:lastColumn="0" w:noHBand="0" w:noVBand="1"/>
      </w:tblPr>
      <w:tblGrid>
        <w:gridCol w:w="8647"/>
      </w:tblGrid>
      <w:tr w:rsidR="00BE1FFD" w:rsidRPr="00764675" w14:paraId="6E4F766C" w14:textId="77777777" w:rsidTr="009F789F">
        <w:trPr>
          <w:trHeight w:val="439"/>
        </w:trPr>
        <w:tc>
          <w:tcPr>
            <w:tcW w:w="8647" w:type="dxa"/>
          </w:tcPr>
          <w:p w14:paraId="48E75908" w14:textId="77777777" w:rsidR="00BE1FFD" w:rsidRPr="00764675" w:rsidRDefault="00BE1FFD" w:rsidP="00BE1FFD">
            <w:pPr>
              <w:widowControl w:val="0"/>
              <w:numPr>
                <w:ilvl w:val="0"/>
                <w:numId w:val="2"/>
              </w:numPr>
              <w:autoSpaceDE w:val="0"/>
              <w:autoSpaceDN w:val="0"/>
              <w:spacing w:after="120" w:line="276" w:lineRule="auto"/>
              <w:jc w:val="both"/>
              <w:rPr>
                <w:rFonts w:ascii="Verdana" w:eastAsia="Calibri" w:hAnsi="Verdana" w:cs="Arial"/>
              </w:rPr>
            </w:pPr>
            <w:r w:rsidRPr="00764675">
              <w:rPr>
                <w:rFonts w:ascii="Verdana" w:eastAsia="Calibri" w:hAnsi="Verdana" w:cs="Arial"/>
              </w:rPr>
              <w:t xml:space="preserve">Ley 2056 de 2020, </w:t>
            </w:r>
            <w:r w:rsidRPr="00764675">
              <w:rPr>
                <w:rFonts w:ascii="Verdana" w:eastAsia="Aptos" w:hAnsi="Verdana" w:cs="Arial"/>
                <w:noProof/>
                <w:lang w:val="es-ES_tradnl"/>
              </w:rPr>
              <w:t>artículos 28, 29, 30, 31, 32, 33, 34, 35, 36 y 37.</w:t>
            </w:r>
          </w:p>
        </w:tc>
      </w:tr>
    </w:tbl>
    <w:p w14:paraId="797F0A5D" w14:textId="77777777" w:rsidR="00BE1FFD" w:rsidRPr="00764675" w:rsidRDefault="00BE1FFD" w:rsidP="00BE1FFD">
      <w:pPr>
        <w:widowControl w:val="0"/>
        <w:autoSpaceDE w:val="0"/>
        <w:autoSpaceDN w:val="0"/>
        <w:spacing w:after="0" w:line="276" w:lineRule="auto"/>
        <w:jc w:val="both"/>
        <w:rPr>
          <w:rFonts w:ascii="Verdana" w:eastAsia="Calibri" w:hAnsi="Verdana" w:cs="Arial"/>
        </w:rPr>
      </w:pPr>
    </w:p>
    <w:p w14:paraId="19BD78D0" w14:textId="77777777" w:rsidR="00BE1FFD" w:rsidRPr="00764675" w:rsidRDefault="00BE1FFD" w:rsidP="00BE1FFD">
      <w:pPr>
        <w:numPr>
          <w:ilvl w:val="0"/>
          <w:numId w:val="1"/>
        </w:numPr>
        <w:tabs>
          <w:tab w:val="left" w:pos="142"/>
          <w:tab w:val="left" w:pos="284"/>
        </w:tabs>
        <w:spacing w:after="0" w:line="276" w:lineRule="auto"/>
        <w:ind w:left="357" w:hanging="357"/>
        <w:jc w:val="both"/>
        <w:rPr>
          <w:rFonts w:ascii="Verdana" w:eastAsia="Century Gothic" w:hAnsi="Verdana" w:cs="Century Gothic"/>
          <w:b/>
          <w:bCs/>
          <w:lang w:val="es-ES"/>
        </w:rPr>
      </w:pPr>
      <w:r w:rsidRPr="00764675">
        <w:rPr>
          <w:rFonts w:ascii="Verdana" w:eastAsia="Century Gothic" w:hAnsi="Verdana" w:cs="Century Gothic"/>
          <w:b/>
          <w:bCs/>
          <w:lang w:val="es-ES"/>
        </w:rPr>
        <w:t>Doctrina de la Agencia Nacional de Contratación Pública:</w:t>
      </w:r>
    </w:p>
    <w:p w14:paraId="14D0941D" w14:textId="77777777" w:rsidR="00BE1FFD" w:rsidRPr="00764675" w:rsidRDefault="00BE1FFD" w:rsidP="00BE1FFD">
      <w:pPr>
        <w:widowControl w:val="0"/>
        <w:autoSpaceDE w:val="0"/>
        <w:autoSpaceDN w:val="0"/>
        <w:spacing w:after="0" w:line="276" w:lineRule="auto"/>
        <w:jc w:val="both"/>
        <w:rPr>
          <w:rFonts w:ascii="Verdana" w:eastAsia="Calibri" w:hAnsi="Verdana" w:cs="Arial"/>
        </w:rPr>
      </w:pPr>
    </w:p>
    <w:p w14:paraId="20CEDA21" w14:textId="77777777" w:rsidR="00BE1FFD"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r w:rsidRPr="00764675">
        <w:rPr>
          <w:rFonts w:ascii="Verdana" w:eastAsia="Calibri" w:hAnsi="Verdana" w:cs="Arial"/>
          <w:shd w:val="clear" w:color="auto" w:fill="FFFFFF"/>
          <w:lang w:val="es-ES"/>
        </w:rPr>
        <w:t xml:space="preserve">La Agencia Nacional de Contratación Pública − Colombia Compra Eficiente se pronunció sobre el Sistema General de Regalías, su régimen de contratación y demás particularidades, en los conceptos C- 370 del 28 de julio de 2021, C-604 del 09 de septiembre de 2020, C-095 del 22 de marzo de 2022, C-353 del 02 de junio del 2022, C-489 del 01 de agosto del 2022. De otra parte, en los conceptos C-731 del 26 de enero de 2022, C-052 de 21 de abril de 2023, C-025 del 21 de febrero de 2024 y C-082 del 4 de junio de 2024. </w:t>
      </w:r>
    </w:p>
    <w:p w14:paraId="3A92E34E" w14:textId="77777777" w:rsidR="00BE1FFD"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p>
    <w:p w14:paraId="3026ED78" w14:textId="77777777" w:rsidR="00BE1FFD" w:rsidRDefault="00BE1FFD" w:rsidP="00BE1FFD">
      <w:pPr>
        <w:widowControl w:val="0"/>
        <w:autoSpaceDE w:val="0"/>
        <w:autoSpaceDN w:val="0"/>
        <w:spacing w:after="0" w:line="276" w:lineRule="auto"/>
        <w:jc w:val="both"/>
        <w:rPr>
          <w:rFonts w:ascii="Verdana" w:eastAsia="Calibri" w:hAnsi="Verdana" w:cs="Times New Roman"/>
        </w:rPr>
      </w:pPr>
      <w:r w:rsidRPr="00764675">
        <w:rPr>
          <w:rFonts w:ascii="Verdana" w:eastAsia="Calibri" w:hAnsi="Verdana" w:cs="Arial"/>
          <w:shd w:val="clear" w:color="auto" w:fill="FFFFFF"/>
          <w:lang w:val="es-ES"/>
        </w:rPr>
        <w:t>Es</w:t>
      </w:r>
      <w:r w:rsidRPr="00764675">
        <w:rPr>
          <w:rFonts w:ascii="Verdana" w:eastAsia="Calibri" w:hAnsi="Verdana" w:cs="Times New Roman"/>
        </w:rPr>
        <w:t>tos y otros conceptos se encuentran disponibles para consulta en el sistema de relatoría de la Agencia, al cual se puede acceder a través del siguiente enlace:</w:t>
      </w:r>
    </w:p>
    <w:p w14:paraId="6070EF08" w14:textId="77777777" w:rsidR="00BE1FFD" w:rsidRDefault="00BE1FFD" w:rsidP="00BE1FFD">
      <w:pPr>
        <w:widowControl w:val="0"/>
        <w:autoSpaceDE w:val="0"/>
        <w:autoSpaceDN w:val="0"/>
        <w:spacing w:after="0" w:line="276" w:lineRule="auto"/>
        <w:jc w:val="both"/>
        <w:rPr>
          <w:rFonts w:ascii="Verdana" w:eastAsia="Calibri" w:hAnsi="Verdana" w:cs="Times New Roman"/>
        </w:rPr>
      </w:pPr>
    </w:p>
    <w:p w14:paraId="678EE8F6" w14:textId="77777777" w:rsidR="00BE1FFD" w:rsidRPr="00764675"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hyperlink r:id="rId11" w:history="1">
        <w:r w:rsidRPr="005A0AC4">
          <w:rPr>
            <w:rStyle w:val="Hipervnculo"/>
            <w:rFonts w:ascii="Verdana" w:eastAsia="Calibri" w:hAnsi="Verdana" w:cs="Arial"/>
            <w:shd w:val="clear" w:color="auto" w:fill="FFFFFF"/>
            <w:lang w:val="es-ES"/>
          </w:rPr>
          <w:t>https://relatoria.colombiacompra.gov.co/busqueda/conceptos</w:t>
        </w:r>
      </w:hyperlink>
      <w:r>
        <w:rPr>
          <w:rFonts w:ascii="Verdana" w:eastAsia="Calibri" w:hAnsi="Verdana" w:cs="Arial"/>
          <w:u w:val="single"/>
          <w:shd w:val="clear" w:color="auto" w:fill="FFFFFF"/>
          <w:lang w:val="es-ES"/>
        </w:rPr>
        <w:t xml:space="preserve">  </w:t>
      </w:r>
      <w:r>
        <w:rPr>
          <w:rFonts w:ascii="Verdana" w:eastAsia="Calibri" w:hAnsi="Verdana" w:cs="Arial"/>
          <w:shd w:val="clear" w:color="auto" w:fill="FFFFFF"/>
          <w:lang w:val="es-ES"/>
        </w:rPr>
        <w:t xml:space="preserve"> </w:t>
      </w:r>
      <w:r w:rsidRPr="00764675">
        <w:rPr>
          <w:rFonts w:ascii="Verdana" w:eastAsia="Calibri" w:hAnsi="Verdana" w:cs="Arial"/>
          <w:shd w:val="clear" w:color="auto" w:fill="FFFFFF"/>
          <w:lang w:val="es-ES"/>
        </w:rPr>
        <w:t xml:space="preserve"> </w:t>
      </w:r>
    </w:p>
    <w:p w14:paraId="708C0426" w14:textId="77777777" w:rsidR="00BE1FFD" w:rsidRPr="00764675"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p>
    <w:p w14:paraId="46881D64" w14:textId="77777777" w:rsidR="00BE1FFD" w:rsidRPr="00764675"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r w:rsidRPr="00F27872">
        <w:rPr>
          <w:rFonts w:ascii="Verdana" w:eastAsia="Calibri" w:hAnsi="Verdana" w:cs="Arial"/>
          <w:shd w:val="clear" w:color="auto" w:fill="FFFFFF"/>
        </w:rPr>
        <w:t xml:space="preserve">Te invitamos a revisar la cuarta edición del Boletín de Relatoría de </w:t>
      </w:r>
      <w:proofErr w:type="gramStart"/>
      <w:r w:rsidRPr="00F27872">
        <w:rPr>
          <w:rFonts w:ascii="Verdana" w:eastAsia="Calibri" w:hAnsi="Verdana" w:cs="Arial"/>
          <w:shd w:val="clear" w:color="auto" w:fill="FFFFFF"/>
        </w:rPr>
        <w:t>2024,  en</w:t>
      </w:r>
      <w:proofErr w:type="gramEnd"/>
      <w:r w:rsidRPr="00F27872">
        <w:rPr>
          <w:rFonts w:ascii="Verdana" w:eastAsia="Calibri" w:hAnsi="Verdana" w:cs="Arial"/>
          <w:shd w:val="clear" w:color="auto" w:fill="FFFFFF"/>
        </w:rPr>
        <w:t xml:space="preserve"> el cual se explicaron los cambios más relevantes que fueron incorporados en los Documentos Tipo para el sector de Infraestructura de Transporte, en las modalidades de selección de Licitación de Obra Pública, Selección Abreviada de Menor Cuantía y Mínima Cuantía. Puede consultarlo en el siguiente enlace : </w:t>
      </w:r>
      <w:hyperlink r:id="rId12" w:tgtFrame="_blank" w:tooltip="Dirección URL original: https://www.colombiacompra.gov.co/sala-de-prensa/boletin-digital/boletin-de-relatoria-2024-iv. Haga clic o pulse si confía en este vínculo." w:history="1">
        <w:r w:rsidRPr="00F27872">
          <w:rPr>
            <w:rStyle w:val="Hipervnculo"/>
            <w:rFonts w:ascii="Verdana" w:eastAsia="Calibri" w:hAnsi="Verdana" w:cs="Arial"/>
            <w:shd w:val="clear" w:color="auto" w:fill="FFFFFF"/>
          </w:rPr>
          <w:t>BOLETÍN DE RELATORÍA 2024 – IV | Colombia Compra Eficiente | Agencia Nacional de Contratación Pública</w:t>
        </w:r>
      </w:hyperlink>
    </w:p>
    <w:p w14:paraId="6EDC5B45" w14:textId="77777777" w:rsidR="00BE1FFD" w:rsidRPr="00764675" w:rsidRDefault="00BE1FFD" w:rsidP="00BE1FFD">
      <w:pPr>
        <w:widowControl w:val="0"/>
        <w:autoSpaceDE w:val="0"/>
        <w:autoSpaceDN w:val="0"/>
        <w:spacing w:after="0" w:line="276" w:lineRule="auto"/>
        <w:jc w:val="both"/>
        <w:rPr>
          <w:rFonts w:ascii="Verdana" w:eastAsia="Calibri" w:hAnsi="Verdana" w:cs="Arial"/>
          <w:shd w:val="clear" w:color="auto" w:fill="FFFFFF"/>
          <w:lang w:val="es-ES"/>
        </w:rPr>
      </w:pPr>
    </w:p>
    <w:p w14:paraId="16A64D05" w14:textId="77777777" w:rsidR="00BE1FFD" w:rsidRPr="00764675" w:rsidRDefault="00BE1FFD" w:rsidP="00BE1FFD">
      <w:pPr>
        <w:spacing w:after="0" w:line="240" w:lineRule="auto"/>
        <w:jc w:val="both"/>
        <w:rPr>
          <w:rFonts w:ascii="Verdana" w:eastAsia="Calibri" w:hAnsi="Verdana" w:cs="Times New Roman"/>
        </w:rPr>
      </w:pPr>
      <w:r w:rsidRPr="00764675">
        <w:rPr>
          <w:rFonts w:ascii="Verdana" w:eastAsia="Calibri" w:hAnsi="Verdana" w:cs="Times New Roman"/>
        </w:rPr>
        <w:t xml:space="preserve">Por último, los invitamos a seguirnos en las redes sociales, en las cuales se difunde información institucional: </w:t>
      </w:r>
    </w:p>
    <w:p w14:paraId="04E5827A" w14:textId="77777777" w:rsidR="00BE1FFD" w:rsidRPr="00764675" w:rsidRDefault="00BE1FFD" w:rsidP="00BE1FFD">
      <w:pPr>
        <w:spacing w:after="0" w:line="240" w:lineRule="auto"/>
        <w:jc w:val="both"/>
        <w:rPr>
          <w:rFonts w:ascii="Verdana" w:eastAsia="Calibri" w:hAnsi="Verdana" w:cs="Times New Roman"/>
        </w:rPr>
      </w:pPr>
    </w:p>
    <w:p w14:paraId="73CB24A2" w14:textId="77777777" w:rsidR="00BE1FFD" w:rsidRPr="00764675" w:rsidRDefault="00BE1FFD" w:rsidP="00BE1FFD">
      <w:pPr>
        <w:spacing w:after="0" w:line="240" w:lineRule="auto"/>
        <w:jc w:val="both"/>
        <w:rPr>
          <w:rFonts w:ascii="Verdana" w:eastAsia="Calibri" w:hAnsi="Verdana" w:cs="Times New Roman"/>
        </w:rPr>
      </w:pPr>
      <w:r w:rsidRPr="00764675">
        <w:rPr>
          <w:rFonts w:ascii="Verdana" w:eastAsia="Calibri" w:hAnsi="Verdana" w:cs="Times New Roman"/>
        </w:rPr>
        <w:t xml:space="preserve">Twitter: </w:t>
      </w:r>
      <w:r w:rsidRPr="00764675">
        <w:rPr>
          <w:rFonts w:ascii="Verdana" w:eastAsia="Calibri" w:hAnsi="Verdana" w:cs="Times New Roman"/>
          <w:u w:val="single"/>
        </w:rPr>
        <w:t>@colombiacompra</w:t>
      </w:r>
      <w:r w:rsidRPr="00764675">
        <w:rPr>
          <w:rFonts w:ascii="Verdana" w:eastAsia="Calibri" w:hAnsi="Verdana" w:cs="Times New Roman"/>
        </w:rPr>
        <w:t xml:space="preserve"> </w:t>
      </w:r>
    </w:p>
    <w:p w14:paraId="53496265" w14:textId="77777777" w:rsidR="00BE1FFD" w:rsidRPr="00764675" w:rsidRDefault="00BE1FFD" w:rsidP="00BE1FFD">
      <w:pPr>
        <w:spacing w:after="0" w:line="240" w:lineRule="auto"/>
        <w:jc w:val="both"/>
        <w:rPr>
          <w:rFonts w:ascii="Verdana" w:eastAsia="Calibri" w:hAnsi="Verdana" w:cs="Times New Roman"/>
        </w:rPr>
      </w:pPr>
      <w:r w:rsidRPr="00764675">
        <w:rPr>
          <w:rFonts w:ascii="Verdana" w:eastAsia="Calibri" w:hAnsi="Verdana" w:cs="Times New Roman"/>
        </w:rPr>
        <w:t xml:space="preserve">Facebook: </w:t>
      </w:r>
      <w:r w:rsidRPr="00764675">
        <w:rPr>
          <w:rFonts w:ascii="Verdana" w:eastAsia="Calibri" w:hAnsi="Verdana" w:cs="Times New Roman"/>
          <w:u w:val="single"/>
        </w:rPr>
        <w:t>ColombiaCompraEficiente</w:t>
      </w:r>
    </w:p>
    <w:p w14:paraId="4150AD29" w14:textId="77777777" w:rsidR="00BE1FFD" w:rsidRPr="00764675" w:rsidRDefault="00BE1FFD" w:rsidP="00BE1FFD">
      <w:pPr>
        <w:spacing w:after="0" w:line="240" w:lineRule="auto"/>
        <w:jc w:val="both"/>
        <w:rPr>
          <w:rFonts w:ascii="Verdana" w:eastAsia="Calibri" w:hAnsi="Verdana" w:cs="Times New Roman"/>
        </w:rPr>
      </w:pPr>
      <w:r w:rsidRPr="00764675">
        <w:rPr>
          <w:rFonts w:ascii="Verdana" w:eastAsia="Calibri" w:hAnsi="Verdana" w:cs="Times New Roman"/>
        </w:rPr>
        <w:t xml:space="preserve">LinkedIn: </w:t>
      </w:r>
      <w:r w:rsidRPr="00764675">
        <w:rPr>
          <w:rFonts w:ascii="Verdana" w:eastAsia="Calibri" w:hAnsi="Verdana" w:cs="Times New Roman"/>
          <w:u w:val="single"/>
        </w:rPr>
        <w:t>Agencia Nacional de Contratación Pública - Colombia Compra Eficiente</w:t>
      </w:r>
      <w:r w:rsidRPr="00764675">
        <w:rPr>
          <w:rFonts w:ascii="Verdana" w:eastAsia="Calibri" w:hAnsi="Verdana" w:cs="Times New Roman"/>
        </w:rPr>
        <w:t xml:space="preserve"> Instagram: </w:t>
      </w:r>
      <w:r w:rsidRPr="00764675">
        <w:rPr>
          <w:rFonts w:ascii="Verdana" w:eastAsia="Calibri" w:hAnsi="Verdana" w:cs="Times New Roman"/>
          <w:u w:val="single"/>
        </w:rPr>
        <w:t>@colombiacompraeficiente_cce</w:t>
      </w:r>
    </w:p>
    <w:p w14:paraId="4F0FCA05" w14:textId="77777777" w:rsidR="00BE1FFD" w:rsidRPr="00764675" w:rsidRDefault="00BE1FFD" w:rsidP="00BE1FFD">
      <w:pPr>
        <w:widowControl w:val="0"/>
        <w:autoSpaceDE w:val="0"/>
        <w:autoSpaceDN w:val="0"/>
        <w:spacing w:after="0" w:line="276" w:lineRule="auto"/>
        <w:jc w:val="both"/>
        <w:rPr>
          <w:rFonts w:ascii="Verdana" w:eastAsia="Calibri" w:hAnsi="Verdana" w:cs="Arial"/>
        </w:rPr>
      </w:pPr>
    </w:p>
    <w:p w14:paraId="2BC610A3" w14:textId="77777777" w:rsidR="00BE1FFD" w:rsidRPr="00764675" w:rsidRDefault="00BE1FFD" w:rsidP="00BE1FFD">
      <w:pPr>
        <w:widowControl w:val="0"/>
        <w:autoSpaceDE w:val="0"/>
        <w:autoSpaceDN w:val="0"/>
        <w:spacing w:after="0" w:line="276" w:lineRule="auto"/>
        <w:jc w:val="both"/>
        <w:rPr>
          <w:rFonts w:ascii="Verdana" w:eastAsia="Calibri" w:hAnsi="Verdana" w:cs="Arial"/>
          <w:lang w:val="es-ES_tradnl"/>
        </w:rPr>
      </w:pPr>
      <w:r w:rsidRPr="00764675">
        <w:rPr>
          <w:rFonts w:ascii="Verdana" w:eastAsia="Calibri" w:hAnsi="Verdana" w:cs="Arial"/>
        </w:rPr>
        <w:t xml:space="preserve">Este concepto tiene el alcance previsto en el artículo 28 del Código de Procedimiento Administrativo y de lo Contencioso Administrativo </w:t>
      </w:r>
      <w:r w:rsidRPr="00764675">
        <w:rPr>
          <w:rFonts w:ascii="Verdana" w:eastAsia="Calibri" w:hAnsi="Verdana" w:cs="Arial"/>
          <w:lang w:val="es-ES_tradnl"/>
        </w:rPr>
        <w:t>y las expresiones aquí utilizadas con mayúscula inicial deben ser entendidas con el significado que les otorga el artículo 2.2.1.1.1.3.1. del Decreto 1082 de 2015.</w:t>
      </w:r>
    </w:p>
    <w:p w14:paraId="6879097D" w14:textId="77777777" w:rsidR="00BE1FFD" w:rsidRPr="00764675" w:rsidRDefault="00BE1FFD" w:rsidP="00BE1FFD">
      <w:pPr>
        <w:widowControl w:val="0"/>
        <w:autoSpaceDE w:val="0"/>
        <w:autoSpaceDN w:val="0"/>
        <w:spacing w:after="0" w:line="276" w:lineRule="auto"/>
        <w:jc w:val="both"/>
        <w:rPr>
          <w:rFonts w:ascii="Verdana" w:eastAsia="Calibri" w:hAnsi="Verdana" w:cs="Arial"/>
        </w:rPr>
      </w:pPr>
    </w:p>
    <w:p w14:paraId="066DFD2B" w14:textId="77777777" w:rsidR="00BE1FFD" w:rsidRPr="00764675" w:rsidRDefault="00BE1FFD" w:rsidP="00BE1FFD">
      <w:pPr>
        <w:spacing w:after="0" w:line="240" w:lineRule="auto"/>
        <w:rPr>
          <w:rFonts w:ascii="Verdana" w:eastAsia="Calibri" w:hAnsi="Verdana" w:cs="Arial"/>
          <w:lang w:eastAsia="es-CO"/>
        </w:rPr>
      </w:pPr>
      <w:r w:rsidRPr="00764675">
        <w:rPr>
          <w:rFonts w:ascii="Verdana" w:eastAsia="Times New Roman" w:hAnsi="Verdana" w:cs="Arial"/>
          <w:lang w:eastAsia="es-CO"/>
        </w:rPr>
        <w:t>Atentamente,</w:t>
      </w:r>
      <w:r w:rsidRPr="00764675">
        <w:rPr>
          <w:rFonts w:ascii="Verdana" w:eastAsia="Calibri" w:hAnsi="Verdana" w:cs="Arial"/>
          <w:lang w:eastAsia="es-CO"/>
        </w:rPr>
        <w:t xml:space="preserve"> </w:t>
      </w:r>
    </w:p>
    <w:p w14:paraId="44961EA8" w14:textId="08CEAEB1" w:rsidR="00BE1FFD" w:rsidRPr="00764675" w:rsidRDefault="009F789F" w:rsidP="00BE1FFD">
      <w:pPr>
        <w:spacing w:line="276" w:lineRule="auto"/>
        <w:jc w:val="center"/>
        <w:rPr>
          <w:rFonts w:ascii="Verdana" w:eastAsia="Calibri" w:hAnsi="Verdana" w:cs="Arial"/>
          <w:lang w:val="es-ES_tradnl" w:eastAsia="es-CO"/>
        </w:rPr>
      </w:pPr>
      <w:r w:rsidRPr="004D5C25">
        <w:rPr>
          <w:rFonts w:ascii="Century Gothic" w:hAnsi="Century Gothic"/>
          <w:noProof/>
        </w:rPr>
        <w:drawing>
          <wp:inline distT="0" distB="0" distL="0" distR="0" wp14:anchorId="7C106894" wp14:editId="1C890362">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5628"/>
      </w:tblGrid>
      <w:tr w:rsidR="00BE1FFD" w:rsidRPr="00764675" w14:paraId="7CE72078" w14:textId="77777777" w:rsidTr="001A7231">
        <w:trPr>
          <w:trHeight w:val="315"/>
        </w:trPr>
        <w:tc>
          <w:tcPr>
            <w:tcW w:w="893" w:type="dxa"/>
            <w:vAlign w:val="center"/>
            <w:hideMark/>
          </w:tcPr>
          <w:p w14:paraId="4E22EA2C" w14:textId="77777777" w:rsidR="00BE1FFD" w:rsidRPr="00764675" w:rsidRDefault="00BE1FFD" w:rsidP="001A7231">
            <w:pPr>
              <w:jc w:val="both"/>
              <w:rPr>
                <w:rFonts w:ascii="Verdana" w:eastAsia="Calibri" w:hAnsi="Verdana" w:cs="Arial"/>
                <w:sz w:val="16"/>
                <w:szCs w:val="16"/>
                <w:lang w:val="es-ES" w:eastAsia="es-ES"/>
              </w:rPr>
            </w:pPr>
            <w:r w:rsidRPr="00764675">
              <w:rPr>
                <w:rFonts w:ascii="Verdana" w:eastAsia="Calibri" w:hAnsi="Verdana" w:cs="Arial"/>
                <w:sz w:val="16"/>
                <w:szCs w:val="16"/>
                <w:lang w:val="es-ES" w:eastAsia="es-ES"/>
              </w:rPr>
              <w:t>Elaboró:</w:t>
            </w:r>
          </w:p>
        </w:tc>
        <w:tc>
          <w:tcPr>
            <w:tcW w:w="5628" w:type="dxa"/>
            <w:tcBorders>
              <w:top w:val="nil"/>
              <w:left w:val="nil"/>
              <w:bottom w:val="dotted" w:sz="4" w:space="0" w:color="7F7F7F"/>
              <w:right w:val="nil"/>
            </w:tcBorders>
            <w:vAlign w:val="center"/>
            <w:hideMark/>
          </w:tcPr>
          <w:p w14:paraId="2C7E7D57" w14:textId="77777777" w:rsidR="00BE1FFD" w:rsidRPr="00764675" w:rsidRDefault="00BE1FFD" w:rsidP="001A7231">
            <w:pPr>
              <w:jc w:val="both"/>
              <w:rPr>
                <w:rFonts w:ascii="Verdana" w:eastAsia="Arial" w:hAnsi="Verdana" w:cs="Arial"/>
                <w:sz w:val="16"/>
                <w:szCs w:val="16"/>
              </w:rPr>
            </w:pPr>
            <w:r>
              <w:rPr>
                <w:rFonts w:ascii="Verdana" w:eastAsia="Arial" w:hAnsi="Verdana" w:cs="Arial"/>
                <w:sz w:val="16"/>
                <w:szCs w:val="16"/>
              </w:rPr>
              <w:t>Sergio Enrique Caballero Lesmes</w:t>
            </w:r>
          </w:p>
          <w:p w14:paraId="0B9B46E7" w14:textId="77777777" w:rsidR="00BE1FFD" w:rsidRPr="00764675" w:rsidRDefault="00BE1FFD" w:rsidP="001A7231">
            <w:pPr>
              <w:jc w:val="both"/>
              <w:rPr>
                <w:rFonts w:ascii="Verdana" w:eastAsia="Arial" w:hAnsi="Verdana" w:cs="Arial"/>
                <w:sz w:val="16"/>
                <w:szCs w:val="16"/>
              </w:rPr>
            </w:pPr>
            <w:r>
              <w:rPr>
                <w:rFonts w:ascii="Verdana" w:eastAsia="Arial" w:hAnsi="Verdana" w:cs="Arial"/>
                <w:sz w:val="16"/>
                <w:szCs w:val="16"/>
              </w:rPr>
              <w:t>Analista T2-01</w:t>
            </w:r>
            <w:r w:rsidRPr="00764675">
              <w:rPr>
                <w:rFonts w:ascii="Verdana" w:eastAsia="Arial" w:hAnsi="Verdana" w:cs="Arial"/>
                <w:sz w:val="16"/>
                <w:szCs w:val="16"/>
              </w:rPr>
              <w:t xml:space="preserve"> de la Subdirección de Gestión Contractual</w:t>
            </w:r>
          </w:p>
          <w:p w14:paraId="5EFBCCA8" w14:textId="77777777" w:rsidR="00BE1FFD" w:rsidRPr="00764675" w:rsidRDefault="00BE1FFD" w:rsidP="001A7231">
            <w:pPr>
              <w:jc w:val="both"/>
              <w:rPr>
                <w:rFonts w:ascii="Verdana" w:eastAsia="Arial" w:hAnsi="Verdana" w:cs="Arial"/>
                <w:sz w:val="16"/>
                <w:szCs w:val="16"/>
              </w:rPr>
            </w:pPr>
          </w:p>
        </w:tc>
      </w:tr>
      <w:tr w:rsidR="00BE1FFD" w:rsidRPr="00764675" w14:paraId="53E167BB" w14:textId="77777777" w:rsidTr="001A7231">
        <w:trPr>
          <w:trHeight w:val="330"/>
        </w:trPr>
        <w:tc>
          <w:tcPr>
            <w:tcW w:w="893" w:type="dxa"/>
            <w:vAlign w:val="center"/>
            <w:hideMark/>
          </w:tcPr>
          <w:p w14:paraId="49D59AD2" w14:textId="77777777" w:rsidR="00BE1FFD" w:rsidRPr="00764675" w:rsidRDefault="00BE1FFD" w:rsidP="001A7231">
            <w:pPr>
              <w:jc w:val="both"/>
              <w:rPr>
                <w:rFonts w:ascii="Verdana" w:eastAsia="Calibri" w:hAnsi="Verdana" w:cs="Arial"/>
                <w:sz w:val="16"/>
                <w:szCs w:val="16"/>
                <w:lang w:val="es-ES" w:eastAsia="es-ES"/>
              </w:rPr>
            </w:pPr>
            <w:r w:rsidRPr="00764675">
              <w:rPr>
                <w:rFonts w:ascii="Verdana" w:eastAsia="Calibri" w:hAnsi="Verdana" w:cs="Arial"/>
                <w:sz w:val="16"/>
                <w:szCs w:val="16"/>
                <w:lang w:val="es-ES" w:eastAsia="es-ES"/>
              </w:rPr>
              <w:t>Revisó:</w:t>
            </w:r>
          </w:p>
        </w:tc>
        <w:tc>
          <w:tcPr>
            <w:tcW w:w="5628" w:type="dxa"/>
            <w:tcBorders>
              <w:top w:val="dotted" w:sz="4" w:space="0" w:color="7F7F7F"/>
              <w:left w:val="nil"/>
              <w:bottom w:val="dotted" w:sz="4" w:space="0" w:color="7F7F7F"/>
              <w:right w:val="nil"/>
            </w:tcBorders>
            <w:vAlign w:val="center"/>
            <w:hideMark/>
          </w:tcPr>
          <w:p w14:paraId="22A1549D" w14:textId="77777777" w:rsidR="00BE1FFD" w:rsidRPr="00764675" w:rsidRDefault="00BE1FFD" w:rsidP="001A7231">
            <w:pPr>
              <w:jc w:val="both"/>
              <w:textAlignment w:val="baseline"/>
              <w:rPr>
                <w:rFonts w:ascii="Verdana" w:eastAsia="Times New Roman" w:hAnsi="Verdana" w:cs="Segoe UI"/>
                <w:sz w:val="16"/>
                <w:szCs w:val="16"/>
                <w:lang w:eastAsia="es-ES_tradnl"/>
              </w:rPr>
            </w:pPr>
            <w:r>
              <w:rPr>
                <w:rFonts w:ascii="Verdana" w:eastAsia="Times New Roman" w:hAnsi="Verdana" w:cs="Segoe UI"/>
                <w:sz w:val="16"/>
                <w:szCs w:val="16"/>
                <w:lang w:eastAsia="es-ES_tradnl"/>
              </w:rPr>
              <w:t>Ximena Ríos López</w:t>
            </w:r>
          </w:p>
          <w:p w14:paraId="2237DB36" w14:textId="77777777" w:rsidR="00BE1FFD" w:rsidRPr="00764675" w:rsidRDefault="00BE1FFD" w:rsidP="001A7231">
            <w:pPr>
              <w:jc w:val="both"/>
              <w:textAlignment w:val="baseline"/>
              <w:rPr>
                <w:rFonts w:ascii="Verdana" w:eastAsia="Times New Roman" w:hAnsi="Verdana" w:cs="Segoe UI"/>
                <w:sz w:val="16"/>
                <w:szCs w:val="16"/>
                <w:lang w:eastAsia="es-ES_tradnl"/>
              </w:rPr>
            </w:pPr>
            <w:r>
              <w:rPr>
                <w:rFonts w:ascii="Verdana" w:eastAsia="Times New Roman" w:hAnsi="Verdana" w:cs="Arial"/>
                <w:sz w:val="16"/>
                <w:szCs w:val="16"/>
                <w:lang w:val="es-ES" w:eastAsia="es-ES_tradnl"/>
              </w:rPr>
              <w:t>Gestor T1-11</w:t>
            </w:r>
            <w:r w:rsidRPr="00764675">
              <w:rPr>
                <w:rFonts w:ascii="Verdana" w:eastAsia="Times New Roman" w:hAnsi="Verdana" w:cs="Arial"/>
                <w:sz w:val="16"/>
                <w:szCs w:val="16"/>
                <w:lang w:val="es-ES" w:eastAsia="es-ES_tradnl"/>
              </w:rPr>
              <w:t xml:space="preserve"> de la Subdirección de Gestión Contractual</w:t>
            </w:r>
            <w:r w:rsidRPr="00764675">
              <w:rPr>
                <w:rFonts w:ascii="Verdana" w:eastAsia="Times New Roman" w:hAnsi="Verdana" w:cs="Arial"/>
                <w:sz w:val="16"/>
                <w:szCs w:val="16"/>
                <w:lang w:eastAsia="es-ES_tradnl"/>
              </w:rPr>
              <w:t> </w:t>
            </w:r>
          </w:p>
        </w:tc>
      </w:tr>
      <w:tr w:rsidR="00BE1FFD" w:rsidRPr="00764675" w14:paraId="0BE7A174" w14:textId="77777777" w:rsidTr="001A7231">
        <w:trPr>
          <w:trHeight w:val="300"/>
        </w:trPr>
        <w:tc>
          <w:tcPr>
            <w:tcW w:w="893" w:type="dxa"/>
            <w:vAlign w:val="center"/>
          </w:tcPr>
          <w:p w14:paraId="095544DB" w14:textId="77777777" w:rsidR="00BE1FFD" w:rsidRPr="00764675" w:rsidRDefault="00BE1FFD" w:rsidP="001A7231">
            <w:pPr>
              <w:jc w:val="both"/>
              <w:rPr>
                <w:rFonts w:ascii="Verdana" w:eastAsia="Calibri" w:hAnsi="Verdana" w:cs="Arial"/>
                <w:sz w:val="16"/>
                <w:szCs w:val="16"/>
                <w:lang w:val="es-ES" w:eastAsia="es-ES"/>
              </w:rPr>
            </w:pPr>
            <w:r w:rsidRPr="00764675">
              <w:rPr>
                <w:rFonts w:ascii="Verdana" w:eastAsia="Calibri" w:hAnsi="Verdana" w:cs="Arial"/>
                <w:sz w:val="16"/>
                <w:szCs w:val="16"/>
                <w:lang w:val="es-ES" w:eastAsia="es-ES"/>
              </w:rPr>
              <w:t>Aprobó:</w:t>
            </w:r>
          </w:p>
        </w:tc>
        <w:tc>
          <w:tcPr>
            <w:tcW w:w="5628" w:type="dxa"/>
            <w:tcBorders>
              <w:top w:val="dotted" w:sz="4" w:space="0" w:color="7F7F7F"/>
              <w:left w:val="nil"/>
              <w:bottom w:val="dotted" w:sz="4" w:space="0" w:color="7F7F7F"/>
              <w:right w:val="nil"/>
            </w:tcBorders>
            <w:vAlign w:val="center"/>
          </w:tcPr>
          <w:p w14:paraId="273F49D2" w14:textId="77777777" w:rsidR="00BE1FFD" w:rsidRPr="00764675" w:rsidRDefault="00BE1FFD" w:rsidP="001A7231">
            <w:pPr>
              <w:jc w:val="both"/>
              <w:rPr>
                <w:rFonts w:ascii="Verdana" w:eastAsia="Calibri" w:hAnsi="Verdana" w:cs="Arial"/>
                <w:sz w:val="16"/>
                <w:szCs w:val="16"/>
                <w:lang w:val="pt-BR" w:eastAsia="es-ES"/>
              </w:rPr>
            </w:pPr>
            <w:r w:rsidRPr="00764675">
              <w:rPr>
                <w:rFonts w:ascii="Verdana" w:eastAsia="Calibri" w:hAnsi="Verdana" w:cs="Arial"/>
                <w:sz w:val="16"/>
                <w:szCs w:val="16"/>
                <w:lang w:val="pt-BR" w:eastAsia="es-ES"/>
              </w:rPr>
              <w:t>Carolina Quintero Gacharná</w:t>
            </w:r>
          </w:p>
          <w:p w14:paraId="41FFC2F9" w14:textId="77777777" w:rsidR="00BE1FFD" w:rsidRPr="00764675" w:rsidRDefault="00BE1FFD" w:rsidP="001A7231">
            <w:pPr>
              <w:jc w:val="both"/>
              <w:rPr>
                <w:rFonts w:ascii="Verdana" w:eastAsia="Calibri" w:hAnsi="Verdana" w:cs="Arial"/>
                <w:sz w:val="16"/>
                <w:szCs w:val="16"/>
                <w:lang w:val="pt-BR" w:eastAsia="es-ES"/>
              </w:rPr>
            </w:pPr>
            <w:r w:rsidRPr="00764675">
              <w:rPr>
                <w:rFonts w:ascii="Verdana" w:eastAsia="Calibri" w:hAnsi="Verdana" w:cs="Arial"/>
                <w:sz w:val="16"/>
                <w:szCs w:val="16"/>
                <w:lang w:eastAsia="es-ES"/>
              </w:rPr>
              <w:t>Subdirectora</w:t>
            </w:r>
            <w:r w:rsidRPr="00764675">
              <w:rPr>
                <w:rFonts w:ascii="Verdana" w:eastAsia="Calibri" w:hAnsi="Verdana" w:cs="Arial"/>
                <w:sz w:val="16"/>
                <w:szCs w:val="16"/>
                <w:lang w:val="pt-BR" w:eastAsia="es-ES"/>
              </w:rPr>
              <w:t xml:space="preserve"> de Gestión Contratual ANCP – CCE</w:t>
            </w:r>
          </w:p>
        </w:tc>
      </w:tr>
    </w:tbl>
    <w:p w14:paraId="50298E32" w14:textId="77777777" w:rsidR="00BE1FFD" w:rsidRPr="00764675" w:rsidRDefault="00BE1FFD" w:rsidP="00BE1FFD">
      <w:pPr>
        <w:spacing w:after="0" w:line="240" w:lineRule="auto"/>
        <w:jc w:val="both"/>
        <w:rPr>
          <w:rFonts w:ascii="Aptos" w:eastAsia="Aptos" w:hAnsi="Aptos" w:cs="Times New Roman"/>
          <w:kern w:val="2"/>
          <w:sz w:val="24"/>
          <w:szCs w:val="24"/>
          <w:lang w:val="es-ES_tradnl"/>
          <w14:ligatures w14:val="standardContextual"/>
        </w:rPr>
      </w:pPr>
    </w:p>
    <w:p w14:paraId="6540F0B3" w14:textId="77777777" w:rsidR="00BE1FFD" w:rsidRPr="0044528D" w:rsidRDefault="00BE1FFD" w:rsidP="00BE1FFD">
      <w:pPr>
        <w:spacing w:after="0" w:line="240" w:lineRule="auto"/>
        <w:jc w:val="both"/>
        <w:textAlignment w:val="baseline"/>
        <w:rPr>
          <w:rFonts w:ascii="Verdana" w:eastAsia="Times New Roman" w:hAnsi="Verdana" w:cs="Segoe UI"/>
          <w:sz w:val="18"/>
          <w:szCs w:val="18"/>
          <w:lang w:eastAsia="es-CO"/>
        </w:rPr>
      </w:pPr>
    </w:p>
    <w:p w14:paraId="075EE962" w14:textId="77777777" w:rsidR="00BE1FFD" w:rsidRPr="0044528D" w:rsidRDefault="00BE1FFD" w:rsidP="00BE1FFD">
      <w:pPr>
        <w:spacing w:after="0"/>
        <w:jc w:val="both"/>
        <w:rPr>
          <w:rFonts w:ascii="Verdana" w:hAnsi="Verdana"/>
        </w:rPr>
      </w:pPr>
    </w:p>
    <w:p w14:paraId="5F2C0CB9" w14:textId="77777777" w:rsidR="00BE1FFD" w:rsidRPr="009D17A4" w:rsidRDefault="00BE1FFD" w:rsidP="00BE1FFD"/>
    <w:p w14:paraId="60F004C8" w14:textId="77777777" w:rsidR="00C24FFE" w:rsidRDefault="00C24FFE"/>
    <w:sectPr w:rsidR="00C24FFE" w:rsidSect="00BE1FFD">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3E794" w14:textId="77777777" w:rsidR="00486CD8" w:rsidRDefault="00486CD8" w:rsidP="00BE1FFD">
      <w:pPr>
        <w:spacing w:after="0" w:line="240" w:lineRule="auto"/>
      </w:pPr>
      <w:r>
        <w:separator/>
      </w:r>
    </w:p>
  </w:endnote>
  <w:endnote w:type="continuationSeparator" w:id="0">
    <w:p w14:paraId="0C78691C" w14:textId="77777777" w:rsidR="00486CD8" w:rsidRDefault="00486CD8" w:rsidP="00BE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p¿√_ò">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3ADB9" w14:textId="77777777" w:rsidR="000956A4" w:rsidRDefault="000956A4">
    <w:pPr>
      <w:pStyle w:val="Piedepgina"/>
    </w:pPr>
  </w:p>
  <w:p w14:paraId="527C5737" w14:textId="77777777" w:rsidR="000956A4" w:rsidRPr="00174B77" w:rsidRDefault="00442CD9"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72ABDFD" w14:textId="77777777" w:rsidR="000956A4" w:rsidRDefault="00442CD9"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0DC740B2" w14:textId="77777777" w:rsidR="000956A4" w:rsidRPr="00E41027" w:rsidRDefault="00442CD9" w:rsidP="00D520D8">
    <w:pPr>
      <w:spacing w:after="0"/>
      <w:jc w:val="both"/>
      <w:rPr>
        <w:rFonts w:ascii="Verdana" w:hAnsi="Verdana"/>
        <w:sz w:val="18"/>
        <w:szCs w:val="18"/>
      </w:rPr>
    </w:pPr>
    <w:r w:rsidRPr="00E41027">
      <w:rPr>
        <w:rFonts w:ascii="Verdana" w:hAnsi="Verdana"/>
        <w:sz w:val="18"/>
        <w:szCs w:val="18"/>
      </w:rPr>
      <w:t xml:space="preserve">Mesa de servicio: (+57) </w:t>
    </w:r>
    <w:r w:rsidRPr="00E41027">
      <w:rPr>
        <w:rFonts w:ascii="Verdana" w:hAnsi="Verdana"/>
        <w:sz w:val="18"/>
        <w:szCs w:val="18"/>
      </w:rPr>
      <w:t>601 7456788</w:t>
    </w:r>
  </w:p>
  <w:p w14:paraId="30099F77" w14:textId="77777777" w:rsidR="000956A4" w:rsidRDefault="00442CD9"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1F57E" w14:textId="77777777" w:rsidR="00486CD8" w:rsidRDefault="00486CD8" w:rsidP="00BE1FFD">
      <w:pPr>
        <w:spacing w:after="0" w:line="240" w:lineRule="auto"/>
      </w:pPr>
      <w:r>
        <w:separator/>
      </w:r>
    </w:p>
  </w:footnote>
  <w:footnote w:type="continuationSeparator" w:id="0">
    <w:p w14:paraId="718F34EE" w14:textId="77777777" w:rsidR="00486CD8" w:rsidRDefault="00486CD8" w:rsidP="00BE1FFD">
      <w:pPr>
        <w:spacing w:after="0" w:line="240" w:lineRule="auto"/>
      </w:pPr>
      <w:r>
        <w:continuationSeparator/>
      </w:r>
    </w:p>
  </w:footnote>
  <w:footnote w:id="1">
    <w:p w14:paraId="7D50708F"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lang w:eastAsia="en-US"/>
        </w:rPr>
      </w:pPr>
      <w:r w:rsidRPr="00A45119">
        <w:rPr>
          <w:rStyle w:val="Refdenotaalpie"/>
          <w:rFonts w:ascii="Verdana" w:eastAsiaTheme="majorEastAsia" w:hAnsi="Verdana" w:cs="Arial"/>
          <w:sz w:val="12"/>
          <w:szCs w:val="12"/>
        </w:rPr>
        <w:footnoteRef/>
      </w:r>
      <w:r w:rsidRPr="00A45119">
        <w:rPr>
          <w:rFonts w:ascii="Verdana" w:hAnsi="Verdana" w:cs="Arial"/>
          <w:sz w:val="12"/>
          <w:szCs w:val="12"/>
        </w:rPr>
        <w:t xml:space="preserve"> </w:t>
      </w:r>
      <w:r w:rsidRPr="00A45119">
        <w:rPr>
          <w:rFonts w:ascii="Verdana" w:hAnsi="Verdana" w:cs="Arial"/>
          <w:color w:val="000000"/>
          <w:sz w:val="12"/>
          <w:szCs w:val="12"/>
          <w:lang w:val="es-ES_tradnl"/>
        </w:rPr>
        <w:t>“</w:t>
      </w:r>
      <w:r w:rsidRPr="00A45119">
        <w:rPr>
          <w:rFonts w:ascii="Verdana" w:hAnsi="Verdana" w:cs="Arial"/>
          <w:sz w:val="12"/>
          <w:szCs w:val="12"/>
        </w:rPr>
        <w:t>Artículo 28. Destinación. Con los recursos del Sistema General de Regalías se financiarán proyectos de inversión en sus diferentes etapas, siempre y cuando esté definido en los mismos el horizonte de realización.</w:t>
      </w:r>
    </w:p>
    <w:p w14:paraId="11FB1BE8"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Igualmente, se podrán financiar estudios y diseños como parte de los proyectos de inversión, que deberán contener la estimación de los costos del proyecto en cada una de sus fases subsiguientes, con el fin de que se pueda garantizar la financiación de estas. Así mismo, se podrán financiar las obras complementarias que permitan la puesta en marcha de un proyecto de inversión.</w:t>
      </w:r>
    </w:p>
    <w:p w14:paraId="696A53CB"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Lo anterior de conformidad con la metodología para la formulación de los proyectos de inversión establecida por el Departamento Nacional de Planeación.</w:t>
      </w:r>
    </w:p>
    <w:p w14:paraId="2F1D7BA6"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En todo caso, no podrán financiarse gastos permanentes y, una vez terminada la etapa de inversión, la prestación del servicio debe ser sostenible y financiada por recursos diferentes al Sistema General de Regalías.</w:t>
      </w:r>
    </w:p>
    <w:p w14:paraId="191D4E2C"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Style w:val="baj"/>
          <w:rFonts w:ascii="Verdana" w:hAnsi="Verdana" w:cs="Arial"/>
          <w:sz w:val="12"/>
          <w:szCs w:val="12"/>
        </w:rPr>
        <w:t>Parágrafo.</w:t>
      </w:r>
      <w:r w:rsidRPr="00A45119">
        <w:rPr>
          <w:rFonts w:ascii="Verdana" w:hAnsi="Verdana" w:cs="Arial"/>
          <w:sz w:val="12"/>
          <w:szCs w:val="12"/>
        </w:rPr>
        <w:t> Los recursos de que trata este artículo podrán ser usados para financiar parte del Programa de Alimentación Escolar (PAE) y del programa de transporte escolar</w:t>
      </w:r>
      <w:r w:rsidRPr="00A45119">
        <w:rPr>
          <w:rFonts w:ascii="Verdana" w:hAnsi="Verdana" w:cs="Arial"/>
          <w:color w:val="000000"/>
          <w:sz w:val="12"/>
          <w:szCs w:val="12"/>
          <w:lang w:val="es-ES_tradnl"/>
        </w:rPr>
        <w:t>”</w:t>
      </w:r>
      <w:r w:rsidRPr="00A45119">
        <w:rPr>
          <w:rFonts w:ascii="Verdana" w:hAnsi="Verdana" w:cs="Arial"/>
          <w:sz w:val="12"/>
          <w:szCs w:val="12"/>
        </w:rPr>
        <w:t>.</w:t>
      </w:r>
    </w:p>
    <w:p w14:paraId="144CB0AC" w14:textId="77777777" w:rsidR="00BE1FFD" w:rsidRPr="00A45119" w:rsidRDefault="00BE1FFD" w:rsidP="00BE1FFD">
      <w:pPr>
        <w:pStyle w:val="NormalWeb"/>
        <w:snapToGrid w:val="0"/>
        <w:spacing w:before="0" w:beforeAutospacing="0" w:after="0" w:afterAutospacing="0"/>
        <w:ind w:firstLine="708"/>
        <w:jc w:val="both"/>
        <w:rPr>
          <w:rFonts w:ascii="Verdana" w:hAnsi="Verdana"/>
          <w:sz w:val="12"/>
          <w:szCs w:val="12"/>
        </w:rPr>
      </w:pPr>
    </w:p>
  </w:footnote>
  <w:footnote w:id="2">
    <w:p w14:paraId="5D228349"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lang w:eastAsia="en-US"/>
        </w:rPr>
      </w:pPr>
      <w:r w:rsidRPr="00A45119">
        <w:rPr>
          <w:rStyle w:val="Refdenotaalpie"/>
          <w:rFonts w:ascii="Verdana" w:eastAsiaTheme="majorEastAsia" w:hAnsi="Verdana" w:cs="Arial"/>
          <w:sz w:val="12"/>
          <w:szCs w:val="12"/>
        </w:rPr>
        <w:footnoteRef/>
      </w:r>
      <w:r w:rsidRPr="00A45119">
        <w:rPr>
          <w:rFonts w:ascii="Verdana" w:hAnsi="Verdana" w:cs="Arial"/>
          <w:sz w:val="12"/>
          <w:szCs w:val="12"/>
        </w:rPr>
        <w:t xml:space="preserve"> </w:t>
      </w:r>
      <w:bookmarkStart w:id="0" w:name="35"/>
      <w:r w:rsidRPr="00A45119">
        <w:rPr>
          <w:rFonts w:ascii="Verdana" w:hAnsi="Verdana" w:cs="Arial"/>
          <w:sz w:val="12"/>
          <w:szCs w:val="12"/>
        </w:rPr>
        <w:t>“Artículo 35. Priorización y aprobación de los proyectos de inversión de la asignación para la inversión regional.</w:t>
      </w:r>
      <w:bookmarkEnd w:id="0"/>
      <w:r w:rsidRPr="00A45119">
        <w:rPr>
          <w:rFonts w:ascii="Verdana" w:hAnsi="Verdana" w:cs="Arial"/>
          <w:sz w:val="12"/>
          <w:szCs w:val="12"/>
        </w:rPr>
        <w:t> La priorización y aprobación de los proyectos de inversión de la Asignación para la Inversión Regional en cabeza de los departamentos estará a cargo de los respectivos departamentos.</w:t>
      </w:r>
    </w:p>
    <w:p w14:paraId="10136855"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La aprobación de los proyectos de inversión de la Asignación para la Inversión Regional en cabeza de las regiones se realizará por parte de los Órganos Colegiados de Administración y Decisión Regionales, previa priorización del proyecto, proceso que estará a cargo del Departamento Nacional de Planeación y un miembro de la entidad territorial designado por el OCAD, de conformidad con la reglamentación que se expida para el efecto.</w:t>
      </w:r>
    </w:p>
    <w:p w14:paraId="53962C11" w14:textId="77777777" w:rsidR="00BE1FFD" w:rsidRPr="00A45119" w:rsidRDefault="00BE1FFD" w:rsidP="00BE1FFD">
      <w:pPr>
        <w:pStyle w:val="NormalWeb"/>
        <w:snapToGrid w:val="0"/>
        <w:spacing w:before="0" w:beforeAutospacing="0" w:after="0" w:afterAutospacing="0"/>
        <w:ind w:firstLine="709"/>
        <w:jc w:val="both"/>
        <w:rPr>
          <w:rFonts w:ascii="Verdana" w:hAnsi="Verdana" w:cs="Arial"/>
          <w:sz w:val="12"/>
          <w:szCs w:val="12"/>
        </w:rPr>
      </w:pPr>
      <w:r w:rsidRPr="00A45119">
        <w:rPr>
          <w:rFonts w:ascii="Verdana" w:hAnsi="Verdana" w:cs="Arial"/>
          <w:sz w:val="12"/>
          <w:szCs w:val="12"/>
        </w:rPr>
        <w:t>[…]</w:t>
      </w:r>
    </w:p>
    <w:p w14:paraId="432561F1"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Style w:val="baj"/>
          <w:rFonts w:ascii="Verdana" w:hAnsi="Verdana" w:cs="Arial"/>
          <w:sz w:val="12"/>
          <w:szCs w:val="12"/>
        </w:rPr>
        <w:t>Parágrafo 1o.</w:t>
      </w:r>
      <w:r w:rsidRPr="00A45119">
        <w:rPr>
          <w:rFonts w:ascii="Verdana" w:hAnsi="Verdana" w:cs="Arial"/>
          <w:sz w:val="12"/>
          <w:szCs w:val="12"/>
        </w:rPr>
        <w:t> En las zonas no interconectadas del país, tendrán especial consideración los proyectos de energización, conectividad e infraestructura vial.</w:t>
      </w:r>
    </w:p>
    <w:p w14:paraId="0C2B2542"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Style w:val="baj"/>
          <w:rFonts w:ascii="Verdana" w:hAnsi="Verdana" w:cs="Arial"/>
          <w:sz w:val="12"/>
          <w:szCs w:val="12"/>
        </w:rPr>
        <w:t>Parágrafo 2o.</w:t>
      </w:r>
      <w:r w:rsidRPr="00A45119">
        <w:rPr>
          <w:rFonts w:ascii="Verdana" w:hAnsi="Verdana" w:cs="Arial"/>
          <w:sz w:val="12"/>
          <w:szCs w:val="12"/>
        </w:rPr>
        <w:t> Los Departamentos y Órganos Colegiados de Administración y Decisión Regionales de que trata el presente artículo, en el marco de sus competencias, designarán al ejecutor el cual deberá ser de naturaleza pública; quien además estará a cargo de la contratación de la interventoría, de conformidad con lo previsto en la presente ley</w:t>
      </w:r>
      <w:r w:rsidRPr="00A45119">
        <w:rPr>
          <w:rFonts w:ascii="Verdana" w:hAnsi="Verdana" w:cs="Arial"/>
          <w:sz w:val="12"/>
          <w:szCs w:val="12"/>
          <w:lang w:val="es-ES"/>
        </w:rPr>
        <w:t>.</w:t>
      </w:r>
      <w:r w:rsidRPr="00A45119">
        <w:rPr>
          <w:rFonts w:ascii="Verdana" w:hAnsi="Verdana" w:cs="Arial"/>
          <w:sz w:val="12"/>
          <w:szCs w:val="12"/>
        </w:rPr>
        <w:t xml:space="preserve"> </w:t>
      </w:r>
    </w:p>
    <w:p w14:paraId="6E410C1F"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w:t>
      </w:r>
    </w:p>
    <w:p w14:paraId="507AF57A"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p>
  </w:footnote>
  <w:footnote w:id="3">
    <w:p w14:paraId="182818AC"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lang w:eastAsia="en-US"/>
        </w:rPr>
      </w:pPr>
      <w:r w:rsidRPr="00A45119">
        <w:rPr>
          <w:rStyle w:val="Refdenotaalpie"/>
          <w:rFonts w:ascii="Verdana" w:eastAsiaTheme="majorEastAsia" w:hAnsi="Verdana" w:cs="Arial"/>
          <w:sz w:val="12"/>
          <w:szCs w:val="12"/>
        </w:rPr>
        <w:footnoteRef/>
      </w:r>
      <w:bookmarkStart w:id="1" w:name="36"/>
      <w:r w:rsidRPr="00A45119">
        <w:rPr>
          <w:rFonts w:ascii="Verdana" w:hAnsi="Verdana" w:cs="Arial"/>
          <w:sz w:val="12"/>
          <w:szCs w:val="12"/>
        </w:rPr>
        <w:t>“Artículo 36. Priorización y aprobación de proyectos de inversión para las asignaciones directas y asignación para la inversión local.</w:t>
      </w:r>
      <w:bookmarkEnd w:id="1"/>
      <w:r w:rsidRPr="00A45119">
        <w:rPr>
          <w:rFonts w:ascii="Verdana" w:hAnsi="Verdana" w:cs="Arial"/>
          <w:sz w:val="12"/>
          <w:szCs w:val="12"/>
        </w:rPr>
        <w:t xml:space="preserve"> Las entidades territoriales receptoras de Asignaciones Directas y de la Asignación para la Inversión Local, serán las encargadas de priorizar y aprobar los proyectos de inversión que se financiarán con cargo a los recursos que le sean asignados por el Sistema General de Regalías, así como de verificar su disponibilidad, conforme con la metodología del Departamento Nacional de Planeación.</w:t>
      </w:r>
    </w:p>
    <w:p w14:paraId="55473FAC"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Style w:val="baj"/>
          <w:rFonts w:ascii="Verdana" w:hAnsi="Verdana" w:cs="Arial"/>
          <w:sz w:val="12"/>
          <w:szCs w:val="12"/>
        </w:rPr>
        <w:t>Parágrafo.</w:t>
      </w:r>
      <w:r w:rsidRPr="00A45119">
        <w:rPr>
          <w:rFonts w:ascii="Verdana" w:hAnsi="Verdana" w:cs="Arial"/>
          <w:sz w:val="12"/>
          <w:szCs w:val="12"/>
        </w:rPr>
        <w:t xml:space="preserve"> Las entidades territoriales receptoras de la Asignación para la Inversión Local deberán priorizar la inversión de los recursos de esta asignación en sectores que contribuyan y produzcan mayores cambios positivos al cierre de brechas territoriales de desarrollo económico, social, ambiental, agropecuario y para la infraestructura vial.</w:t>
      </w:r>
    </w:p>
    <w:p w14:paraId="29628460"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Para tal efecto, el Departamento Nacional de Planeación establecerá la metodología para la priorización de sectores de inversión para el cierre de brechas de desarrollo económico, social, ambiental, agropecuario y para la infraestructura vial, entre otros, la cual podrá incluir una estrategia de implementación dirigida a las entidades territoriales.</w:t>
      </w:r>
    </w:p>
    <w:p w14:paraId="437D1704" w14:textId="77777777" w:rsidR="00BE1FFD" w:rsidRPr="00A45119" w:rsidRDefault="00BE1FFD" w:rsidP="00BE1FFD">
      <w:pPr>
        <w:pStyle w:val="NormalWeb"/>
        <w:snapToGrid w:val="0"/>
        <w:spacing w:before="0" w:beforeAutospacing="0" w:after="0" w:afterAutospacing="0"/>
        <w:ind w:firstLine="708"/>
        <w:jc w:val="both"/>
        <w:rPr>
          <w:rFonts w:ascii="Verdana" w:hAnsi="Verdana" w:cs="Arial"/>
          <w:sz w:val="12"/>
          <w:szCs w:val="12"/>
        </w:rPr>
      </w:pPr>
      <w:r w:rsidRPr="00A45119">
        <w:rPr>
          <w:rFonts w:ascii="Verdana" w:hAnsi="Verdana" w:cs="Arial"/>
          <w:sz w:val="12"/>
          <w:szCs w:val="12"/>
        </w:rPr>
        <w:t>Cuando las entidades territoriales hayan reducido las brechas de desarrollo económico, social, ambiental, agropecuario y para la infraestructura vial en el rango de porcentaje o nivel establecido por la metodología de la que trata el inciso anterior, podrán invertir los recursos en otros sectores.</w:t>
      </w:r>
    </w:p>
    <w:p w14:paraId="30E8BA83" w14:textId="77777777" w:rsidR="00BE1FFD" w:rsidRPr="00A45119" w:rsidRDefault="00BE1FFD" w:rsidP="00BE1FFD">
      <w:pPr>
        <w:pStyle w:val="Textonotapie"/>
        <w:snapToGrid w:val="0"/>
        <w:ind w:firstLine="708"/>
        <w:jc w:val="both"/>
        <w:rPr>
          <w:rFonts w:ascii="Verdana" w:hAnsi="Verdana" w:cs="Arial"/>
          <w:sz w:val="12"/>
          <w:szCs w:val="12"/>
        </w:rPr>
      </w:pPr>
      <w:r w:rsidRPr="00A45119">
        <w:rPr>
          <w:rStyle w:val="baj"/>
          <w:rFonts w:ascii="Verdana" w:hAnsi="Verdana" w:cs="Arial"/>
          <w:sz w:val="12"/>
          <w:szCs w:val="12"/>
        </w:rPr>
        <w:t>Parágrafo transitorio.</w:t>
      </w:r>
      <w:r w:rsidRPr="00A45119">
        <w:rPr>
          <w:rFonts w:ascii="Verdana" w:hAnsi="Verdana" w:cs="Arial"/>
          <w:sz w:val="12"/>
          <w:szCs w:val="12"/>
        </w:rPr>
        <w:t> Para el año 2021 no aplicará la metodología de cierre de brechas de que trata el parágrafo anterior dirigida a las entidades territoriales receptoras de la Asignación para la Inversión Local</w:t>
      </w:r>
      <w:r w:rsidRPr="00A45119">
        <w:rPr>
          <w:rFonts w:ascii="Verdana" w:hAnsi="Verdana" w:cs="Arial"/>
          <w:sz w:val="12"/>
          <w:szCs w:val="12"/>
          <w:lang w:val="es-ES"/>
        </w:rPr>
        <w:t>”</w:t>
      </w:r>
      <w:r w:rsidRPr="00A45119">
        <w:rPr>
          <w:rFonts w:ascii="Verdana" w:hAnsi="Verdana" w:cs="Arial"/>
          <w:sz w:val="12"/>
          <w:szCs w:val="12"/>
        </w:rPr>
        <w:t>.</w:t>
      </w:r>
    </w:p>
  </w:footnote>
  <w:footnote w:id="4">
    <w:p w14:paraId="6B48070F"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Style w:val="Refdenotaalpie"/>
          <w:rFonts w:ascii="Verdana" w:hAnsi="Verdana" w:cs="Arial"/>
          <w:sz w:val="12"/>
          <w:szCs w:val="12"/>
        </w:rPr>
        <w:footnoteRef/>
      </w:r>
      <w:bookmarkStart w:id="2" w:name="37"/>
      <w:r w:rsidRPr="00A45119">
        <w:rPr>
          <w:rFonts w:ascii="Verdana" w:hAnsi="Verdana" w:cs="Arial"/>
          <w:sz w:val="12"/>
          <w:szCs w:val="12"/>
        </w:rPr>
        <w:t>“Artículo 37. ejecución de proyectos de inversión.</w:t>
      </w:r>
      <w:bookmarkEnd w:id="2"/>
      <w:r w:rsidRPr="00A45119">
        <w:rPr>
          <w:rFonts w:ascii="Verdana" w:hAnsi="Verdana" w:cs="Arial"/>
          <w:sz w:val="12"/>
          <w:szCs w:val="12"/>
        </w:rPr>
        <w:t> los proyectos de inversión que se financien con cargo al sistema general de regalías serán ejecutados por quien designe las entidades u órganos de que tratan los artículos </w:t>
      </w:r>
      <w:hyperlink r:id="rId1" w:anchor="35" w:history="1">
        <w:r w:rsidRPr="00A45119">
          <w:rPr>
            <w:rFonts w:ascii="Verdana" w:hAnsi="Verdana" w:cs="Arial"/>
            <w:sz w:val="12"/>
            <w:szCs w:val="12"/>
          </w:rPr>
          <w:t>35</w:t>
        </w:r>
      </w:hyperlink>
      <w:r w:rsidRPr="00A45119">
        <w:rPr>
          <w:rFonts w:ascii="Verdana" w:hAnsi="Verdana" w:cs="Arial"/>
          <w:sz w:val="12"/>
          <w:szCs w:val="12"/>
        </w:rPr>
        <w:t> y </w:t>
      </w:r>
      <w:hyperlink r:id="rId2" w:anchor="36" w:history="1">
        <w:r w:rsidRPr="00A45119">
          <w:rPr>
            <w:rFonts w:ascii="Verdana" w:hAnsi="Verdana" w:cs="Arial"/>
            <w:sz w:val="12"/>
            <w:szCs w:val="12"/>
          </w:rPr>
          <w:t>36</w:t>
        </w:r>
      </w:hyperlink>
      <w:r w:rsidRPr="00A45119">
        <w:rPr>
          <w:rFonts w:ascii="Verdana" w:hAnsi="Verdana" w:cs="Arial"/>
          <w:sz w:val="12"/>
          <w:szCs w:val="12"/>
        </w:rPr>
        <w:t> de la presente ley. así mismo, la entidad ejecutora estará a cargo de la contratación de la interventoría, de conformidad con lo previsto en la presente ley.</w:t>
      </w:r>
    </w:p>
    <w:p w14:paraId="4543B1A0"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Fonts w:ascii="Verdana" w:hAnsi="Verdana" w:cs="Arial"/>
          <w:sz w:val="12"/>
          <w:szCs w:val="12"/>
        </w:rPr>
        <w:t>Las entidades ejecutoras de recursos del sistema son responsables de suministrar de forma veraz, oportuna e idónea, la información de la gestión de los proyectos que se requiera e implementar las acciones que sean pertinentes para encauzar el desempeño de los proyectos de inversión y decidir, de manera motivada, sobre la continuidad de los mismos, sin perjuicio de las acciones de control a las que haya lugar.</w:t>
      </w:r>
    </w:p>
    <w:p w14:paraId="5102259C"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Fonts w:ascii="Verdana" w:hAnsi="Verdana" w:cs="Arial"/>
          <w:sz w:val="12"/>
          <w:szCs w:val="12"/>
        </w:rPr>
        <w:t>Parágrafo 1o. La ejecución de proyectos de qué trata este artículo, se adelantará, con estricta sujeción al régimen presupuestal definido en esta ley, al de contratación pública y las demás normas legales vigentes. el ejecutor garantizará la correcta ejecución de los recursos asignados al proyecto de inversión, así como el suministro y registro de la información requerida por el sistema de seguimiento, evaluación y control.</w:t>
      </w:r>
    </w:p>
    <w:p w14:paraId="5A69AD62"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Fonts w:ascii="Verdana" w:hAnsi="Verdana" w:cs="Arial"/>
          <w:sz w:val="12"/>
          <w:szCs w:val="12"/>
        </w:rPr>
        <w:t>Parágrafo 2o. Las entidades territoriales beneficiarias de asignaciones directas, la asignación para la inversión local y del 60% de la asignación para la inversión regional en cabeza de los departamentos podrán ejecutar directamente estos recursos o la entidad ejecutora que designe.</w:t>
      </w:r>
    </w:p>
    <w:p w14:paraId="232D6F08"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Fonts w:ascii="Verdana" w:hAnsi="Verdana" w:cs="Arial"/>
          <w:sz w:val="12"/>
          <w:szCs w:val="12"/>
        </w:rPr>
        <w:t xml:space="preserve">Parágrafo 3o. La entidad designada ejecutora por las entidades u órganos de que tratan los artículos </w:t>
      </w:r>
      <w:hyperlink r:id="rId3" w:anchor="35" w:history="1">
        <w:r w:rsidRPr="00A45119">
          <w:rPr>
            <w:rFonts w:ascii="Verdana" w:hAnsi="Verdana" w:cs="Arial"/>
            <w:sz w:val="12"/>
            <w:szCs w:val="12"/>
          </w:rPr>
          <w:t>35</w:t>
        </w:r>
      </w:hyperlink>
      <w:r w:rsidRPr="00A45119">
        <w:rPr>
          <w:rFonts w:ascii="Verdana" w:hAnsi="Verdana" w:cs="Arial"/>
          <w:sz w:val="12"/>
          <w:szCs w:val="12"/>
        </w:rPr>
        <w:t xml:space="preserve"> y </w:t>
      </w:r>
      <w:hyperlink r:id="rId4" w:anchor="36" w:history="1">
        <w:r w:rsidRPr="00A45119">
          <w:rPr>
            <w:rFonts w:ascii="Verdana" w:hAnsi="Verdana" w:cs="Arial"/>
            <w:sz w:val="12"/>
            <w:szCs w:val="12"/>
          </w:rPr>
          <w:t>36</w:t>
        </w:r>
      </w:hyperlink>
      <w:r w:rsidRPr="00A45119">
        <w:rPr>
          <w:rFonts w:ascii="Verdana" w:hAnsi="Verdana" w:cs="Arial"/>
          <w:sz w:val="12"/>
          <w:szCs w:val="12"/>
        </w:rPr>
        <w:t>, deberá expedir el acto administrativo que ordena la apertura del proceso de selección o acto administrativo unilateral que decreta el gasto con cargo a los recursos asignados, a más tardar dentro de los seis (6) meses contados a partir de la publicación del acuerdo de aprobación del proyecto de inversión que emita la entidad o instancia, según corresponda, y será la responsable de verificar el cumplimiento de los requisitos legales para el inicio de la ejecución del proyecto de inversión.</w:t>
      </w:r>
    </w:p>
    <w:p w14:paraId="21094500" w14:textId="77777777" w:rsidR="00BE1FFD" w:rsidRPr="00A45119" w:rsidRDefault="00BE1FFD" w:rsidP="00BE1FFD">
      <w:pPr>
        <w:snapToGrid w:val="0"/>
        <w:spacing w:after="0" w:line="240" w:lineRule="auto"/>
        <w:ind w:firstLine="708"/>
        <w:jc w:val="both"/>
        <w:rPr>
          <w:rFonts w:ascii="Verdana" w:hAnsi="Verdana" w:cs="Arial"/>
          <w:sz w:val="12"/>
          <w:szCs w:val="12"/>
        </w:rPr>
      </w:pPr>
      <w:r w:rsidRPr="00A45119">
        <w:rPr>
          <w:rFonts w:ascii="Verdana" w:hAnsi="Verdana" w:cs="Arial"/>
          <w:sz w:val="12"/>
          <w:szCs w:val="12"/>
        </w:rPr>
        <w:t>En caso de no cumplirse lo anterior, las entidades u órganos liberarán automáticamente los recursos para la aprobación de nuevos proyectos de inversión y reportarán estos casos al sistema de seguimiento, evaluación y control para que se tengan en cuenta en la medición del desempeño en la gestión de los recursos del sistema general de regalías y a los órganos de control.</w:t>
      </w:r>
    </w:p>
    <w:p w14:paraId="7BA8C239" w14:textId="77777777" w:rsidR="00BE1FFD" w:rsidRPr="00A45119" w:rsidRDefault="00BE1FFD" w:rsidP="00BE1FFD">
      <w:pPr>
        <w:snapToGrid w:val="0"/>
        <w:spacing w:after="0" w:line="240" w:lineRule="auto"/>
        <w:ind w:firstLine="708"/>
        <w:jc w:val="both"/>
        <w:rPr>
          <w:rFonts w:ascii="Verdana" w:hAnsi="Verdana"/>
          <w:sz w:val="12"/>
          <w:szCs w:val="12"/>
        </w:rPr>
      </w:pPr>
      <w:r w:rsidRPr="00A45119">
        <w:rPr>
          <w:rFonts w:ascii="Verdana" w:hAnsi="Verdana" w:cs="Arial"/>
          <w:sz w:val="12"/>
          <w:szCs w:val="12"/>
        </w:rPr>
        <w:t>Se exceptúan los casos en los que por causas no atribuibles a la entidad designada como ejecutora no se logre expedir el acto administrativo que ordena la apertura del proceso de selección o acto administrativo unilateral que decreta el gasto con cargo a los recursos asignados en los seis (6) meses, caso en el cual las entidades u órganos podrán prorrogar hasta por doce (12) meses más lo estipulado en este parágrafo. la comisión rectora del sistema general de regalías reglamentará estos casos</w:t>
      </w:r>
      <w:r w:rsidRPr="00A45119">
        <w:rPr>
          <w:rFonts w:ascii="Verdana" w:hAnsi="Verdana" w:cs="Arial"/>
          <w:sz w:val="12"/>
          <w:szCs w:val="12"/>
          <w:lang w:val="es-ES"/>
        </w:rPr>
        <w:t>”</w:t>
      </w:r>
      <w:r w:rsidRPr="00A45119">
        <w:rPr>
          <w:rFonts w:ascii="Verdana" w:hAnsi="Verdana" w:cs="Arial"/>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011E0" w14:textId="77777777" w:rsidR="000956A4" w:rsidRDefault="00442CD9">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7700241F" wp14:editId="5B76AA7A">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7276F5D7" wp14:editId="58C22C0B">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132A79F2" w14:textId="77777777" w:rsidR="000956A4" w:rsidRDefault="000956A4">
    <w:pPr>
      <w:pStyle w:val="Encabezado"/>
    </w:pPr>
  </w:p>
  <w:p w14:paraId="5F94FBE6" w14:textId="77777777" w:rsidR="000956A4" w:rsidRDefault="000956A4" w:rsidP="004A305D">
    <w:pPr>
      <w:spacing w:after="0"/>
      <w:rPr>
        <w:rFonts w:ascii="Verdana" w:hAnsi="Verdana"/>
        <w:b/>
        <w:bCs/>
      </w:rPr>
    </w:pPr>
  </w:p>
  <w:p w14:paraId="71908F3A" w14:textId="77777777" w:rsidR="000956A4" w:rsidRPr="004A305D" w:rsidRDefault="000956A4" w:rsidP="00B01B1A">
    <w:pPr>
      <w:spacing w:after="0" w:line="120" w:lineRule="auto"/>
      <w:rPr>
        <w:rFonts w:ascii="Century Gothic" w:eastAsia="Geo" w:hAnsi="Century Gothic" w:cs="Geo"/>
        <w:sz w:val="16"/>
        <w:szCs w:val="16"/>
        <w:lang w:eastAsia="es-CO"/>
      </w:rPr>
    </w:pPr>
  </w:p>
  <w:p w14:paraId="51D39AC2" w14:textId="77777777" w:rsidR="000956A4" w:rsidRDefault="000956A4"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4176513"/>
    <w:multiLevelType w:val="hybridMultilevel"/>
    <w:tmpl w:val="ED044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41274352">
    <w:abstractNumId w:val="0"/>
  </w:num>
  <w:num w:numId="2" w16cid:durableId="679089576">
    <w:abstractNumId w:val="1"/>
  </w:num>
  <w:num w:numId="3" w16cid:durableId="180896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FD"/>
    <w:rsid w:val="000956A4"/>
    <w:rsid w:val="001F33D3"/>
    <w:rsid w:val="00442CD9"/>
    <w:rsid w:val="00474DF4"/>
    <w:rsid w:val="00486CD8"/>
    <w:rsid w:val="004F471F"/>
    <w:rsid w:val="009F789F"/>
    <w:rsid w:val="00BE1FFD"/>
    <w:rsid w:val="00C24FFE"/>
    <w:rsid w:val="00CB0EF3"/>
    <w:rsid w:val="00F911AB"/>
    <w:rsid w:val="00F949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7C2A"/>
  <w15:chartTrackingRefBased/>
  <w15:docId w15:val="{B21C0564-79AC-46BF-946E-20AEEF6D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FFD"/>
    <w:rPr>
      <w:kern w:val="0"/>
      <w14:ligatures w14:val="none"/>
    </w:rPr>
  </w:style>
  <w:style w:type="paragraph" w:styleId="Ttulo1">
    <w:name w:val="heading 1"/>
    <w:basedOn w:val="Normal"/>
    <w:next w:val="Normal"/>
    <w:link w:val="Ttulo1Car"/>
    <w:uiPriority w:val="9"/>
    <w:qFormat/>
    <w:rsid w:val="00BE1F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E1F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E1FF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E1FF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E1FF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E1F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1F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1F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1F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1FF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E1FF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E1FF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E1FF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E1FF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E1F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1F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1F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1FFD"/>
    <w:rPr>
      <w:rFonts w:eastAsiaTheme="majorEastAsia" w:cstheme="majorBidi"/>
      <w:color w:val="272727" w:themeColor="text1" w:themeTint="D8"/>
    </w:rPr>
  </w:style>
  <w:style w:type="paragraph" w:styleId="Ttulo">
    <w:name w:val="Title"/>
    <w:basedOn w:val="Normal"/>
    <w:next w:val="Normal"/>
    <w:link w:val="TtuloCar"/>
    <w:uiPriority w:val="10"/>
    <w:qFormat/>
    <w:rsid w:val="00BE1F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1F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1F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1F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1FFD"/>
    <w:pPr>
      <w:spacing w:before="160"/>
      <w:jc w:val="center"/>
    </w:pPr>
    <w:rPr>
      <w:i/>
      <w:iCs/>
      <w:color w:val="404040" w:themeColor="text1" w:themeTint="BF"/>
    </w:rPr>
  </w:style>
  <w:style w:type="character" w:customStyle="1" w:styleId="CitaCar">
    <w:name w:val="Cita Car"/>
    <w:basedOn w:val="Fuentedeprrafopredeter"/>
    <w:link w:val="Cita"/>
    <w:uiPriority w:val="29"/>
    <w:rsid w:val="00BE1FFD"/>
    <w:rPr>
      <w:i/>
      <w:iCs/>
      <w:color w:val="404040" w:themeColor="text1" w:themeTint="BF"/>
    </w:rPr>
  </w:style>
  <w:style w:type="paragraph" w:styleId="Prrafodelista">
    <w:name w:val="List Paragraph"/>
    <w:basedOn w:val="Normal"/>
    <w:uiPriority w:val="34"/>
    <w:qFormat/>
    <w:rsid w:val="00BE1FFD"/>
    <w:pPr>
      <w:ind w:left="720"/>
      <w:contextualSpacing/>
    </w:pPr>
  </w:style>
  <w:style w:type="character" w:styleId="nfasisintenso">
    <w:name w:val="Intense Emphasis"/>
    <w:basedOn w:val="Fuentedeprrafopredeter"/>
    <w:uiPriority w:val="21"/>
    <w:qFormat/>
    <w:rsid w:val="00BE1FFD"/>
    <w:rPr>
      <w:i/>
      <w:iCs/>
      <w:color w:val="2F5496" w:themeColor="accent1" w:themeShade="BF"/>
    </w:rPr>
  </w:style>
  <w:style w:type="paragraph" w:styleId="Citadestacada">
    <w:name w:val="Intense Quote"/>
    <w:basedOn w:val="Normal"/>
    <w:next w:val="Normal"/>
    <w:link w:val="CitadestacadaCar"/>
    <w:uiPriority w:val="30"/>
    <w:qFormat/>
    <w:rsid w:val="00BE1F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E1FFD"/>
    <w:rPr>
      <w:i/>
      <w:iCs/>
      <w:color w:val="2F5496" w:themeColor="accent1" w:themeShade="BF"/>
    </w:rPr>
  </w:style>
  <w:style w:type="character" w:styleId="Referenciaintensa">
    <w:name w:val="Intense Reference"/>
    <w:basedOn w:val="Fuentedeprrafopredeter"/>
    <w:uiPriority w:val="32"/>
    <w:qFormat/>
    <w:rsid w:val="00BE1FFD"/>
    <w:rPr>
      <w:b/>
      <w:bCs/>
      <w:smallCaps/>
      <w:color w:val="2F5496" w:themeColor="accent1" w:themeShade="BF"/>
      <w:spacing w:val="5"/>
    </w:rPr>
  </w:style>
  <w:style w:type="paragraph" w:styleId="Encabezado">
    <w:name w:val="header"/>
    <w:basedOn w:val="Normal"/>
    <w:link w:val="EncabezadoCar"/>
    <w:uiPriority w:val="99"/>
    <w:unhideWhenUsed/>
    <w:rsid w:val="00BE1F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FFD"/>
    <w:rPr>
      <w:kern w:val="0"/>
      <w14:ligatures w14:val="none"/>
    </w:rPr>
  </w:style>
  <w:style w:type="paragraph" w:styleId="Piedepgina">
    <w:name w:val="footer"/>
    <w:basedOn w:val="Normal"/>
    <w:link w:val="PiedepginaCar"/>
    <w:uiPriority w:val="99"/>
    <w:unhideWhenUsed/>
    <w:rsid w:val="00BE1F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FFD"/>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BE1FFD"/>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
    <w:basedOn w:val="Normal"/>
    <w:link w:val="TextonotapieCar"/>
    <w:uiPriority w:val="99"/>
    <w:unhideWhenUsed/>
    <w:qFormat/>
    <w:rsid w:val="00BE1FFD"/>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BE1FFD"/>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BE1FFD"/>
    <w:rPr>
      <w:vertAlign w:val="superscript"/>
    </w:rPr>
  </w:style>
  <w:style w:type="table" w:styleId="Tablaconcuadrcula">
    <w:name w:val="Table Grid"/>
    <w:basedOn w:val="Tablanormal"/>
    <w:uiPriority w:val="39"/>
    <w:qFormat/>
    <w:rsid w:val="00BE1F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1FFD"/>
    <w:rPr>
      <w:color w:val="0000FF"/>
      <w:u w:val="single"/>
    </w:rPr>
  </w:style>
  <w:style w:type="paragraph" w:styleId="NormalWeb">
    <w:name w:val="Normal (Web)"/>
    <w:basedOn w:val="Normal"/>
    <w:link w:val="NormalWebCar"/>
    <w:uiPriority w:val="99"/>
    <w:unhideWhenUsed/>
    <w:rsid w:val="00BE1FF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ppelnotedebasde">
    <w:name w:val="Appel note de bas de..."/>
    <w:basedOn w:val="Normal"/>
    <w:link w:val="Refdenotaalpie"/>
    <w:uiPriority w:val="99"/>
    <w:rsid w:val="00BE1FFD"/>
    <w:pPr>
      <w:spacing w:line="240" w:lineRule="exact"/>
    </w:pPr>
    <w:rPr>
      <w:kern w:val="2"/>
      <w:vertAlign w:val="superscript"/>
      <w14:ligatures w14:val="standardContextual"/>
    </w:rPr>
  </w:style>
  <w:style w:type="character" w:customStyle="1" w:styleId="NormalWebCar">
    <w:name w:val="Normal (Web) Car"/>
    <w:link w:val="NormalWeb"/>
    <w:uiPriority w:val="99"/>
    <w:rsid w:val="00BE1FFD"/>
    <w:rPr>
      <w:rFonts w:ascii="Times New Roman" w:eastAsia="Times New Roman" w:hAnsi="Times New Roman" w:cs="Times New Roman"/>
      <w:kern w:val="0"/>
      <w:sz w:val="24"/>
      <w:szCs w:val="24"/>
      <w:lang w:eastAsia="es-CO"/>
      <w14:ligatures w14:val="none"/>
    </w:rPr>
  </w:style>
  <w:style w:type="character" w:customStyle="1" w:styleId="baj">
    <w:name w:val="b_aj"/>
    <w:basedOn w:val="Fuentedeprrafopredeter"/>
    <w:rsid w:val="00BE1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www.colombiacompra.gov.co%2Fsala-de-prensa%2Fboletin-digital%2Fboletin-de-relatoria-2024-iv&amp;data=05%7C02%7Cximena.rios%40colombiacompra.gov.co%7C616b83c3423e4d31151908dce489c00d%7C7b09041e245149d08cb179d5e3d8c1be%7C0%7C0%7C638636527544980497%7CUnknown%7CTWFpbGZsb3d8eyJWIjoiMC4wLjAwMDAiLCJQIjoiV2luMzIiLCJBTiI6Ik1haWwiLCJXVCI6Mn0%3D%7C0%7C%7C%7C&amp;sdata=7zR5YeZ3R%2FVpWYpaQd%2B09SmnaxDdq%2Be35nTOkI4jjXg%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latoria.colombiacompra.gov.co/busqueda/concepto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secretariasenado.gov.co/senado/basedoc/ley_2056_2020.html" TargetMode="External"/><Relationship Id="rId2" Type="http://schemas.openxmlformats.org/officeDocument/2006/relationships/hyperlink" Target="http://www.secretariasenado.gov.co/senado/basedoc/ley_2056_2020.html" TargetMode="External"/><Relationship Id="rId1" Type="http://schemas.openxmlformats.org/officeDocument/2006/relationships/hyperlink" Target="http://www.secretariasenado.gov.co/senado/basedoc/ley_2056_2020.html" TargetMode="External"/><Relationship Id="rId4" Type="http://schemas.openxmlformats.org/officeDocument/2006/relationships/hyperlink" Target="http://www.secretariasenado.gov.co/senado/basedoc/ley_2056_2020.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BEEFE-DD87-46AF-A866-1020E344A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ACFACE-A550-473F-B126-FD626510E802}">
  <ds:schemaRefs>
    <ds:schemaRef ds:uri="http://www.w3.org/XML/1998/namespace"/>
    <ds:schemaRef ds:uri="http://purl.org/dc/elements/1.1/"/>
    <ds:schemaRef ds:uri="http://purl.org/dc/dcmitype/"/>
    <ds:schemaRef ds:uri="9d85dbaf-23eb-4e57-a637-93dcacc8b1a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a6cb9e4b-f1d1-4245-83ec-6cad768d538a"/>
    <ds:schemaRef ds:uri="http://schemas.microsoft.com/office/2006/metadata/properties"/>
  </ds:schemaRefs>
</ds:datastoreItem>
</file>

<file path=customXml/itemProps3.xml><?xml version="1.0" encoding="utf-8"?>
<ds:datastoreItem xmlns:ds="http://schemas.openxmlformats.org/officeDocument/2006/customXml" ds:itemID="{C0E4606B-3698-414A-8B72-B742C7C7B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2092</Words>
  <Characters>11508</Characters>
  <Application>Microsoft Office Word</Application>
  <DocSecurity>0</DocSecurity>
  <Lines>95</Lines>
  <Paragraphs>27</Paragraphs>
  <ScaleCrop>false</ScaleCrop>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2024-11-06T23:13:00Z</dcterms:created>
  <dcterms:modified xsi:type="dcterms:W3CDTF">2024-11-06T23:13:00Z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