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42227" w14:textId="77777777" w:rsidR="006C42E6" w:rsidRPr="0044528D" w:rsidRDefault="006C42E6" w:rsidP="006C42E6">
      <w:pPr>
        <w:spacing w:after="0"/>
        <w:rPr>
          <w:rFonts w:ascii="Verdana" w:hAnsi="Verdana"/>
        </w:rPr>
      </w:pPr>
    </w:p>
    <w:p w14:paraId="16CF021F" w14:textId="77777777" w:rsidR="006C42E6" w:rsidRPr="001168FA" w:rsidRDefault="006C42E6" w:rsidP="006C42E6">
      <w:pPr>
        <w:spacing w:after="0" w:line="240" w:lineRule="auto"/>
        <w:jc w:val="both"/>
        <w:rPr>
          <w:rFonts w:ascii="Verdana" w:eastAsia="Calibri" w:hAnsi="Verdana" w:cs="Arial"/>
          <w:b/>
          <w:lang w:val="es-ES" w:eastAsia="es-ES"/>
        </w:rPr>
      </w:pPr>
      <w:r w:rsidRPr="001168FA">
        <w:rPr>
          <w:rFonts w:ascii="Verdana" w:eastAsia="Calibri" w:hAnsi="Verdana" w:cs="Arial"/>
          <w:b/>
          <w:lang w:val="es-ES" w:eastAsia="es-ES"/>
        </w:rPr>
        <w:t xml:space="preserve">CONTRATACIÓN PÚBLICA – Principio de publicidad – Principio de transparencia – Uso del </w:t>
      </w:r>
      <w:r>
        <w:rPr>
          <w:rFonts w:ascii="Verdana" w:eastAsia="Calibri" w:hAnsi="Verdana" w:cs="Arial"/>
          <w:b/>
          <w:lang w:val="es-ES" w:eastAsia="es-ES"/>
        </w:rPr>
        <w:t>SECOP</w:t>
      </w:r>
      <w:r w:rsidRPr="001168FA">
        <w:rPr>
          <w:rFonts w:ascii="Verdana" w:eastAsia="Calibri" w:hAnsi="Verdana" w:cs="Arial"/>
          <w:b/>
          <w:lang w:val="es-ES" w:eastAsia="es-ES"/>
        </w:rPr>
        <w:t xml:space="preserve"> </w:t>
      </w:r>
    </w:p>
    <w:p w14:paraId="1E910B79" w14:textId="77777777" w:rsidR="006C42E6" w:rsidRPr="0047490F" w:rsidRDefault="006C42E6" w:rsidP="006C42E6">
      <w:pPr>
        <w:spacing w:after="0" w:line="240" w:lineRule="auto"/>
        <w:jc w:val="both"/>
        <w:rPr>
          <w:rFonts w:ascii="Verdana" w:eastAsia="Calibri" w:hAnsi="Verdana" w:cs="Arial"/>
          <w:b/>
          <w:bCs/>
          <w:sz w:val="20"/>
          <w:szCs w:val="20"/>
          <w:highlight w:val="yellow"/>
          <w:lang w:val="es-ES_tradnl" w:eastAsia="es-ES_tradnl"/>
        </w:rPr>
      </w:pPr>
    </w:p>
    <w:p w14:paraId="3D71DAE1" w14:textId="77777777" w:rsidR="006C42E6" w:rsidRPr="001404CC" w:rsidRDefault="006C42E6" w:rsidP="006C42E6">
      <w:pPr>
        <w:spacing w:after="0" w:line="240" w:lineRule="auto"/>
        <w:jc w:val="both"/>
        <w:rPr>
          <w:rFonts w:ascii="Verdana" w:eastAsia="Aptos" w:hAnsi="Verdana" w:cs="Times New Roman"/>
          <w:sz w:val="20"/>
          <w:szCs w:val="20"/>
        </w:rPr>
      </w:pPr>
      <w:r w:rsidRPr="001404CC">
        <w:rPr>
          <w:rFonts w:ascii="Verdana" w:eastAsia="Aptos" w:hAnsi="Verdana" w:cs="Times New Roman"/>
          <w:sz w:val="20"/>
          <w:szCs w:val="20"/>
        </w:rPr>
        <w:t>El principio de publicidad impone a las autoridades administrativas el deber de dar a conocer sus actos, contratos y decisiones para que se divulguen y eventualmente se controlen. Por ello, en la contratación estatal, el literal c) del artículo 3 de la Ley 1150 de 2007 establece el Sistema Electrónico para la Contratación Pública, en adelante SECOP, como un mecanismo que “contará con la información oficial de la contratación realizada con dineros públicos, para lo cual establecerá los patrones a que haya lugar y se encargará de su difusión a través de canales electrónicos”.</w:t>
      </w:r>
    </w:p>
    <w:p w14:paraId="53E6ACE0" w14:textId="77777777" w:rsidR="006C42E6" w:rsidRPr="001404CC" w:rsidRDefault="006C42E6" w:rsidP="006C42E6">
      <w:pPr>
        <w:spacing w:after="0" w:line="240" w:lineRule="auto"/>
        <w:jc w:val="both"/>
        <w:rPr>
          <w:rFonts w:ascii="Verdana" w:eastAsia="Aptos" w:hAnsi="Verdana" w:cs="Times New Roman"/>
          <w:sz w:val="20"/>
          <w:szCs w:val="20"/>
        </w:rPr>
      </w:pPr>
    </w:p>
    <w:p w14:paraId="5382DD9F" w14:textId="77777777" w:rsidR="006C42E6" w:rsidRDefault="006C42E6" w:rsidP="006C42E6">
      <w:pPr>
        <w:spacing w:after="0" w:line="240" w:lineRule="auto"/>
        <w:jc w:val="both"/>
        <w:rPr>
          <w:rFonts w:ascii="Verdana" w:eastAsia="Aptos" w:hAnsi="Verdana" w:cs="Times New Roman"/>
          <w:sz w:val="20"/>
          <w:szCs w:val="20"/>
        </w:rPr>
      </w:pPr>
      <w:r>
        <w:rPr>
          <w:rFonts w:ascii="Verdana" w:eastAsia="Aptos" w:hAnsi="Verdana" w:cs="Times New Roman"/>
          <w:sz w:val="20"/>
          <w:szCs w:val="20"/>
        </w:rPr>
        <w:t>[…]</w:t>
      </w:r>
      <w:r w:rsidRPr="001404CC">
        <w:rPr>
          <w:rFonts w:ascii="Verdana" w:eastAsia="Aptos" w:hAnsi="Verdana" w:cs="Times New Roman"/>
          <w:sz w:val="20"/>
          <w:szCs w:val="20"/>
        </w:rPr>
        <w:t xml:space="preserve"> la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 El principio de transparencia en la información alude al deber de los sujetos de proporcionar y facilitar el acceso a la misma en los términos más amplios posibles, y a través de los medios y procedimientos legales. La Ley estatutaria citada establece, en el literal e) del artículo 9, que los sujetos obligados, que son todas las entidades públicas, deben publicar la información relativa a su contratación. Esta obligación fue desarrollada por el Decreto Único Reglamentario 1082 de 2015, el cual dispuso que la publicación de la información contractual de los sujetos obligados, que contratan con cargo a recursos públicos, debe hacerse en el SECOP</w:t>
      </w:r>
      <w:r>
        <w:rPr>
          <w:rFonts w:ascii="Verdana" w:eastAsia="Aptos" w:hAnsi="Verdana" w:cs="Times New Roman"/>
          <w:sz w:val="20"/>
          <w:szCs w:val="20"/>
        </w:rPr>
        <w:t>.</w:t>
      </w:r>
    </w:p>
    <w:p w14:paraId="5E7D0B34" w14:textId="77777777" w:rsidR="006C42E6" w:rsidRPr="0047490F" w:rsidRDefault="006C42E6" w:rsidP="006C42E6">
      <w:pPr>
        <w:spacing w:after="0" w:line="240" w:lineRule="auto"/>
        <w:jc w:val="both"/>
        <w:rPr>
          <w:rFonts w:ascii="Verdana" w:eastAsia="Aptos" w:hAnsi="Verdana" w:cs="Times New Roman"/>
          <w:sz w:val="20"/>
          <w:szCs w:val="20"/>
          <w:highlight w:val="yellow"/>
        </w:rPr>
      </w:pPr>
    </w:p>
    <w:p w14:paraId="7E23C00D" w14:textId="77777777" w:rsidR="006C42E6" w:rsidRPr="00724F0F" w:rsidRDefault="006C42E6" w:rsidP="006C42E6">
      <w:pPr>
        <w:spacing w:after="0" w:line="240" w:lineRule="auto"/>
        <w:jc w:val="both"/>
        <w:rPr>
          <w:rFonts w:ascii="Verdana" w:eastAsia="Calibri" w:hAnsi="Verdana" w:cs="Arial"/>
          <w:b/>
          <w:bCs/>
          <w:lang w:val="es-ES" w:eastAsia="es-ES"/>
        </w:rPr>
      </w:pPr>
      <w:r w:rsidRPr="00724F0F">
        <w:rPr>
          <w:rFonts w:ascii="Verdana" w:eastAsia="Calibri" w:hAnsi="Verdana" w:cs="Arial"/>
          <w:b/>
          <w:bCs/>
          <w:lang w:val="es-ES" w:eastAsia="es-ES"/>
        </w:rPr>
        <w:t>ENTIDADES CON RÉGIMEN ESPECIAL DE CONTRATACIÓN – Publicación en SECOP – Actividad contractual – Término para publicar – Circular Externa No. 002 de 2024</w:t>
      </w:r>
    </w:p>
    <w:p w14:paraId="3C8B9DB9" w14:textId="77777777" w:rsidR="006C42E6" w:rsidRPr="0047490F" w:rsidRDefault="006C42E6" w:rsidP="006C42E6">
      <w:pPr>
        <w:spacing w:after="0" w:line="240" w:lineRule="auto"/>
        <w:jc w:val="both"/>
        <w:rPr>
          <w:rFonts w:ascii="Verdana" w:eastAsia="Calibri" w:hAnsi="Verdana" w:cs="Arial"/>
          <w:b/>
          <w:bCs/>
          <w:sz w:val="20"/>
          <w:szCs w:val="20"/>
          <w:highlight w:val="yellow"/>
          <w:lang w:val="es-ES_tradnl" w:eastAsia="es-ES_tradnl"/>
        </w:rPr>
      </w:pPr>
    </w:p>
    <w:p w14:paraId="532E845E" w14:textId="77777777" w:rsidR="006C42E6" w:rsidRPr="0047490F" w:rsidRDefault="006C42E6" w:rsidP="006C42E6">
      <w:pPr>
        <w:spacing w:after="0" w:line="240" w:lineRule="auto"/>
        <w:jc w:val="both"/>
        <w:rPr>
          <w:rFonts w:ascii="Verdana" w:eastAsia="Aptos" w:hAnsi="Verdana" w:cs="Times New Roman"/>
          <w:sz w:val="20"/>
          <w:szCs w:val="20"/>
        </w:rPr>
      </w:pPr>
      <w:r>
        <w:rPr>
          <w:rFonts w:ascii="Verdana" w:eastAsia="Aptos" w:hAnsi="Verdana" w:cs="Times New Roman"/>
          <w:sz w:val="20"/>
          <w:szCs w:val="20"/>
        </w:rPr>
        <w:t xml:space="preserve">[…] </w:t>
      </w:r>
      <w:r w:rsidRPr="00E65EEE">
        <w:rPr>
          <w:rFonts w:ascii="Verdana" w:eastAsia="Aptos" w:hAnsi="Verdana" w:cs="Times New Roman"/>
          <w:sz w:val="20"/>
          <w:szCs w:val="20"/>
        </w:rPr>
        <w:t xml:space="preserve">el artículo 53 de la Ley 2195 de 2022 establece el deber de publicar toda aquella información relacionada con el respectivo contrato, sin incluir ninguna excepción relacionada con la naturaleza u objeto contractual. Por lo tanto, para que las entidades exceptuadas cumplan con el deber de publicidad consagrado en el artículo 53 de la Ley 2195 de 2022, se requiere que publiquen en el SECOP II todo documento expedido durante las diferentes etapas del proceso contractual, abarcando desde la fase previa a su celebración, pasando por la ejecución y hasta la fase posterior a su ejecución. Adicionalmente se aclara, que el cumplimiento del deber de publicación de la documentación contractual debe armonizarse con las normas aplicables al tipo de información que estas contienen. Lo anterior significa que, respecto de datos sensibles, información sometida a reserva o de la cual proceda un tratamiento especial que impida </w:t>
      </w:r>
      <w:r w:rsidRPr="00E65EEE">
        <w:rPr>
          <w:rFonts w:ascii="Verdana" w:eastAsia="Aptos" w:hAnsi="Verdana" w:cs="Times New Roman"/>
          <w:sz w:val="20"/>
          <w:szCs w:val="20"/>
        </w:rPr>
        <w:lastRenderedPageBreak/>
        <w:t>su publicidad, las entidades deberán proceder de conformidad con el tratamiento que impongan tales normas.</w:t>
      </w:r>
    </w:p>
    <w:p w14:paraId="3A98F2E6" w14:textId="77777777" w:rsidR="006C42E6" w:rsidRDefault="006C42E6" w:rsidP="006C42E6">
      <w:pPr>
        <w:spacing w:after="0" w:line="240" w:lineRule="auto"/>
        <w:rPr>
          <w:rFonts w:ascii="Verdana" w:eastAsia="Aptos" w:hAnsi="Verdana" w:cs="Times New Roman"/>
          <w:sz w:val="20"/>
          <w:szCs w:val="20"/>
        </w:rPr>
      </w:pPr>
      <w:r>
        <w:rPr>
          <w:rFonts w:ascii="Verdana" w:eastAsia="Aptos" w:hAnsi="Verdana" w:cs="Times New Roman"/>
          <w:sz w:val="20"/>
          <w:szCs w:val="20"/>
        </w:rPr>
        <w:t>[…]</w:t>
      </w:r>
    </w:p>
    <w:p w14:paraId="18AB38D9" w14:textId="77777777" w:rsidR="006C42E6" w:rsidRPr="0047490F" w:rsidRDefault="006C42E6" w:rsidP="006C42E6">
      <w:pPr>
        <w:spacing w:after="0" w:line="240" w:lineRule="auto"/>
        <w:jc w:val="both"/>
        <w:rPr>
          <w:rFonts w:ascii="Verdana" w:eastAsia="Aptos" w:hAnsi="Verdana" w:cs="Times New Roman"/>
          <w:sz w:val="20"/>
          <w:szCs w:val="20"/>
        </w:rPr>
      </w:pPr>
      <w:r>
        <w:rPr>
          <w:rFonts w:ascii="Verdana" w:eastAsia="Aptos" w:hAnsi="Verdana" w:cs="Times New Roman"/>
          <w:sz w:val="20"/>
          <w:szCs w:val="20"/>
        </w:rPr>
        <w:t xml:space="preserve">[…] </w:t>
      </w:r>
      <w:r w:rsidRPr="00E65EEE">
        <w:rPr>
          <w:rFonts w:ascii="Verdana" w:eastAsia="Aptos" w:hAnsi="Verdana" w:cs="Times New Roman"/>
          <w:sz w:val="20"/>
          <w:szCs w:val="20"/>
        </w:rPr>
        <w:t>resulta importante aclarar que en la Circular Externa No. 002 del 23 de agosto de 2024, esta Agencia señala que “[…] el término que tienen las Entidades Estatales que por disposición legal cuenten con un régimen contractual excepcional al del Estatuto General de Contratación de la Administración Pública para publicar en el SECOP II es de tres (3) días posterior a su expedición”. Es decir que, a tales entidades, les es aplicable la regla de publicación de los tres (3) días siguientes a la expedición de acto administrativo o Documento del Proceso, dispuesta en el artículo 2.2.1.1.1.7.1 del Decreto 1082 de 2015 por remisión expresa del artículo 2.1.1.2.1.7 del Decreto 1081 de 2015.</w:t>
      </w:r>
    </w:p>
    <w:p w14:paraId="7BB0A7C2" w14:textId="77777777" w:rsidR="006C42E6" w:rsidRPr="0047490F" w:rsidRDefault="006C42E6" w:rsidP="006C42E6">
      <w:pPr>
        <w:spacing w:after="0" w:line="240" w:lineRule="auto"/>
        <w:rPr>
          <w:rFonts w:ascii="Verdana" w:eastAsia="Aptos" w:hAnsi="Verdana" w:cs="Times New Roman"/>
          <w:sz w:val="20"/>
          <w:szCs w:val="20"/>
        </w:rPr>
      </w:pPr>
    </w:p>
    <w:p w14:paraId="5F6D5DCF" w14:textId="77777777" w:rsidR="003A0817" w:rsidRDefault="003A0817" w:rsidP="00871B59">
      <w:pPr>
        <w:spacing w:after="0" w:line="240" w:lineRule="auto"/>
        <w:rPr>
          <w:rFonts w:ascii="Verdana" w:eastAsia="Geomanist Light" w:hAnsi="Verdana" w:cs="Arial"/>
          <w:color w:val="000000" w:themeColor="text1"/>
        </w:rPr>
      </w:pPr>
    </w:p>
    <w:p w14:paraId="564898EB" w14:textId="77777777" w:rsidR="006C42E6" w:rsidRDefault="006C42E6" w:rsidP="00871B59">
      <w:pPr>
        <w:spacing w:after="0" w:line="240" w:lineRule="auto"/>
        <w:rPr>
          <w:rFonts w:ascii="Verdana" w:eastAsia="Geomanist Light" w:hAnsi="Verdana" w:cs="Arial"/>
          <w:color w:val="000000" w:themeColor="text1"/>
        </w:rPr>
      </w:pPr>
    </w:p>
    <w:p w14:paraId="60FA23BD" w14:textId="77777777" w:rsidR="006C42E6" w:rsidRDefault="006C42E6" w:rsidP="00871B59">
      <w:pPr>
        <w:spacing w:after="0" w:line="240" w:lineRule="auto"/>
        <w:rPr>
          <w:rFonts w:ascii="Verdana" w:eastAsia="Geomanist Light" w:hAnsi="Verdana" w:cs="Arial"/>
          <w:color w:val="000000" w:themeColor="text1"/>
        </w:rPr>
      </w:pPr>
    </w:p>
    <w:p w14:paraId="0690EC5E" w14:textId="77777777" w:rsidR="006C42E6" w:rsidRDefault="006C42E6" w:rsidP="00871B59">
      <w:pPr>
        <w:spacing w:after="0" w:line="240" w:lineRule="auto"/>
        <w:rPr>
          <w:rFonts w:ascii="Verdana" w:eastAsia="Geomanist Light" w:hAnsi="Verdana" w:cs="Arial"/>
          <w:color w:val="000000" w:themeColor="text1"/>
        </w:rPr>
      </w:pPr>
    </w:p>
    <w:p w14:paraId="2A394017" w14:textId="77777777" w:rsidR="006C42E6" w:rsidRDefault="006C42E6" w:rsidP="00871B59">
      <w:pPr>
        <w:spacing w:after="0" w:line="240" w:lineRule="auto"/>
        <w:rPr>
          <w:rFonts w:ascii="Verdana" w:eastAsia="Geomanist Light" w:hAnsi="Verdana" w:cs="Arial"/>
          <w:color w:val="000000" w:themeColor="text1"/>
        </w:rPr>
      </w:pPr>
    </w:p>
    <w:p w14:paraId="018A703F" w14:textId="77777777" w:rsidR="006C42E6" w:rsidRDefault="006C42E6" w:rsidP="00871B59">
      <w:pPr>
        <w:spacing w:after="0" w:line="240" w:lineRule="auto"/>
        <w:rPr>
          <w:rFonts w:ascii="Verdana" w:eastAsia="Geomanist Light" w:hAnsi="Verdana" w:cs="Arial"/>
          <w:color w:val="000000" w:themeColor="text1"/>
        </w:rPr>
      </w:pPr>
    </w:p>
    <w:p w14:paraId="33C91D84" w14:textId="77777777" w:rsidR="006C42E6" w:rsidRDefault="006C42E6" w:rsidP="00871B59">
      <w:pPr>
        <w:spacing w:after="0" w:line="240" w:lineRule="auto"/>
        <w:rPr>
          <w:rFonts w:ascii="Verdana" w:eastAsia="Geomanist Light" w:hAnsi="Verdana" w:cs="Arial"/>
          <w:color w:val="000000" w:themeColor="text1"/>
        </w:rPr>
      </w:pPr>
    </w:p>
    <w:p w14:paraId="10068FEB" w14:textId="77777777" w:rsidR="006C42E6" w:rsidRDefault="006C42E6" w:rsidP="00871B59">
      <w:pPr>
        <w:spacing w:after="0" w:line="240" w:lineRule="auto"/>
        <w:rPr>
          <w:rFonts w:ascii="Verdana" w:eastAsia="Geomanist Light" w:hAnsi="Verdana" w:cs="Arial"/>
          <w:color w:val="000000" w:themeColor="text1"/>
        </w:rPr>
      </w:pPr>
    </w:p>
    <w:p w14:paraId="379A2D87" w14:textId="77777777" w:rsidR="006C42E6" w:rsidRDefault="006C42E6" w:rsidP="00871B59">
      <w:pPr>
        <w:spacing w:after="0" w:line="240" w:lineRule="auto"/>
        <w:rPr>
          <w:rFonts w:ascii="Verdana" w:eastAsia="Geomanist Light" w:hAnsi="Verdana" w:cs="Arial"/>
          <w:color w:val="000000" w:themeColor="text1"/>
        </w:rPr>
      </w:pPr>
    </w:p>
    <w:p w14:paraId="6DC4A505" w14:textId="77777777" w:rsidR="006C42E6" w:rsidRDefault="006C42E6" w:rsidP="00871B59">
      <w:pPr>
        <w:spacing w:after="0" w:line="240" w:lineRule="auto"/>
        <w:rPr>
          <w:rFonts w:ascii="Verdana" w:eastAsia="Geomanist Light" w:hAnsi="Verdana" w:cs="Arial"/>
          <w:color w:val="000000" w:themeColor="text1"/>
        </w:rPr>
      </w:pPr>
    </w:p>
    <w:p w14:paraId="7108070B" w14:textId="77777777" w:rsidR="006C42E6" w:rsidRDefault="006C42E6" w:rsidP="00871B59">
      <w:pPr>
        <w:spacing w:after="0" w:line="240" w:lineRule="auto"/>
        <w:rPr>
          <w:rFonts w:ascii="Verdana" w:eastAsia="Geomanist Light" w:hAnsi="Verdana" w:cs="Arial"/>
          <w:color w:val="000000" w:themeColor="text1"/>
        </w:rPr>
      </w:pPr>
    </w:p>
    <w:p w14:paraId="7DAF0F72" w14:textId="77777777" w:rsidR="006C42E6" w:rsidRDefault="006C42E6" w:rsidP="00871B59">
      <w:pPr>
        <w:spacing w:after="0" w:line="240" w:lineRule="auto"/>
        <w:rPr>
          <w:rFonts w:ascii="Verdana" w:eastAsia="Geomanist Light" w:hAnsi="Verdana" w:cs="Arial"/>
          <w:color w:val="000000" w:themeColor="text1"/>
        </w:rPr>
      </w:pPr>
    </w:p>
    <w:p w14:paraId="099C0863" w14:textId="77777777" w:rsidR="006C42E6" w:rsidRDefault="006C42E6" w:rsidP="00871B59">
      <w:pPr>
        <w:spacing w:after="0" w:line="240" w:lineRule="auto"/>
        <w:rPr>
          <w:rFonts w:ascii="Verdana" w:eastAsia="Geomanist Light" w:hAnsi="Verdana" w:cs="Arial"/>
          <w:color w:val="000000" w:themeColor="text1"/>
        </w:rPr>
      </w:pPr>
    </w:p>
    <w:p w14:paraId="41B358A5" w14:textId="77777777" w:rsidR="006C42E6" w:rsidRDefault="006C42E6" w:rsidP="00871B59">
      <w:pPr>
        <w:spacing w:after="0" w:line="240" w:lineRule="auto"/>
        <w:rPr>
          <w:rFonts w:ascii="Verdana" w:eastAsia="Geomanist Light" w:hAnsi="Verdana" w:cs="Arial"/>
          <w:color w:val="000000" w:themeColor="text1"/>
        </w:rPr>
      </w:pPr>
    </w:p>
    <w:p w14:paraId="2E6BCBDC" w14:textId="77777777" w:rsidR="006C42E6" w:rsidRDefault="006C42E6" w:rsidP="00871B59">
      <w:pPr>
        <w:spacing w:after="0" w:line="240" w:lineRule="auto"/>
        <w:rPr>
          <w:rFonts w:ascii="Verdana" w:eastAsia="Geomanist Light" w:hAnsi="Verdana" w:cs="Arial"/>
          <w:color w:val="000000" w:themeColor="text1"/>
        </w:rPr>
      </w:pPr>
    </w:p>
    <w:p w14:paraId="4270905E" w14:textId="77777777" w:rsidR="006C42E6" w:rsidRDefault="006C42E6" w:rsidP="00871B59">
      <w:pPr>
        <w:spacing w:after="0" w:line="240" w:lineRule="auto"/>
        <w:rPr>
          <w:rFonts w:ascii="Verdana" w:eastAsia="Geomanist Light" w:hAnsi="Verdana" w:cs="Arial"/>
          <w:color w:val="000000" w:themeColor="text1"/>
        </w:rPr>
      </w:pPr>
    </w:p>
    <w:p w14:paraId="28FB5503" w14:textId="77777777" w:rsidR="006C42E6" w:rsidRDefault="006C42E6" w:rsidP="00871B59">
      <w:pPr>
        <w:spacing w:after="0" w:line="240" w:lineRule="auto"/>
        <w:rPr>
          <w:rFonts w:ascii="Verdana" w:eastAsia="Geomanist Light" w:hAnsi="Verdana" w:cs="Arial"/>
          <w:color w:val="000000" w:themeColor="text1"/>
        </w:rPr>
      </w:pPr>
    </w:p>
    <w:p w14:paraId="0E9D528D" w14:textId="77777777" w:rsidR="006C42E6" w:rsidRDefault="006C42E6" w:rsidP="00871B59">
      <w:pPr>
        <w:spacing w:after="0" w:line="240" w:lineRule="auto"/>
        <w:rPr>
          <w:rFonts w:ascii="Verdana" w:eastAsia="Geomanist Light" w:hAnsi="Verdana" w:cs="Arial"/>
          <w:color w:val="000000" w:themeColor="text1"/>
        </w:rPr>
      </w:pPr>
    </w:p>
    <w:p w14:paraId="480D554E" w14:textId="77777777" w:rsidR="006C42E6" w:rsidRDefault="006C42E6" w:rsidP="00871B59">
      <w:pPr>
        <w:spacing w:after="0" w:line="240" w:lineRule="auto"/>
        <w:rPr>
          <w:rFonts w:ascii="Verdana" w:eastAsia="Geomanist Light" w:hAnsi="Verdana" w:cs="Arial"/>
          <w:color w:val="000000" w:themeColor="text1"/>
        </w:rPr>
      </w:pPr>
    </w:p>
    <w:p w14:paraId="6B877C78" w14:textId="77777777" w:rsidR="006C42E6" w:rsidRDefault="006C42E6" w:rsidP="00871B59">
      <w:pPr>
        <w:spacing w:after="0" w:line="240" w:lineRule="auto"/>
        <w:rPr>
          <w:rFonts w:ascii="Verdana" w:eastAsia="Geomanist Light" w:hAnsi="Verdana" w:cs="Arial"/>
          <w:color w:val="000000" w:themeColor="text1"/>
        </w:rPr>
      </w:pPr>
    </w:p>
    <w:p w14:paraId="01C6E678" w14:textId="77777777" w:rsidR="006C42E6" w:rsidRDefault="006C42E6" w:rsidP="00871B59">
      <w:pPr>
        <w:spacing w:after="0" w:line="240" w:lineRule="auto"/>
        <w:rPr>
          <w:rFonts w:ascii="Verdana" w:eastAsia="Geomanist Light" w:hAnsi="Verdana" w:cs="Arial"/>
          <w:color w:val="000000" w:themeColor="text1"/>
        </w:rPr>
      </w:pPr>
    </w:p>
    <w:p w14:paraId="5C3B7549" w14:textId="77777777" w:rsidR="006C42E6" w:rsidRDefault="006C42E6" w:rsidP="00871B59">
      <w:pPr>
        <w:spacing w:after="0" w:line="240" w:lineRule="auto"/>
        <w:rPr>
          <w:rFonts w:ascii="Verdana" w:eastAsia="Geomanist Light" w:hAnsi="Verdana" w:cs="Arial"/>
          <w:color w:val="000000" w:themeColor="text1"/>
        </w:rPr>
      </w:pPr>
    </w:p>
    <w:p w14:paraId="19E6EAC3" w14:textId="77777777" w:rsidR="006C42E6" w:rsidRDefault="006C42E6" w:rsidP="00871B59">
      <w:pPr>
        <w:spacing w:after="0" w:line="240" w:lineRule="auto"/>
        <w:rPr>
          <w:rFonts w:ascii="Verdana" w:eastAsia="Geomanist Light" w:hAnsi="Verdana" w:cs="Arial"/>
          <w:color w:val="000000" w:themeColor="text1"/>
        </w:rPr>
      </w:pPr>
    </w:p>
    <w:p w14:paraId="1D483E9D" w14:textId="77777777" w:rsidR="006C42E6" w:rsidRDefault="006C42E6" w:rsidP="00871B59">
      <w:pPr>
        <w:spacing w:after="0" w:line="240" w:lineRule="auto"/>
        <w:rPr>
          <w:rFonts w:ascii="Verdana" w:eastAsia="Geomanist Light" w:hAnsi="Verdana" w:cs="Arial"/>
          <w:color w:val="000000" w:themeColor="text1"/>
        </w:rPr>
      </w:pPr>
    </w:p>
    <w:p w14:paraId="6D97F0EE" w14:textId="77777777" w:rsidR="006C42E6" w:rsidRDefault="006C42E6" w:rsidP="00871B59">
      <w:pPr>
        <w:spacing w:after="0" w:line="240" w:lineRule="auto"/>
        <w:rPr>
          <w:rFonts w:ascii="Verdana" w:eastAsia="Geomanist Light" w:hAnsi="Verdana" w:cs="Arial"/>
          <w:color w:val="000000" w:themeColor="text1"/>
        </w:rPr>
      </w:pPr>
    </w:p>
    <w:p w14:paraId="7DDBF9E1" w14:textId="77777777" w:rsidR="006C42E6" w:rsidRPr="00104073" w:rsidRDefault="006C42E6" w:rsidP="00871B59">
      <w:pPr>
        <w:spacing w:after="0" w:line="240" w:lineRule="auto"/>
        <w:rPr>
          <w:rFonts w:ascii="Verdana" w:eastAsia="Geomanist Light" w:hAnsi="Verdana" w:cs="Arial"/>
          <w:color w:val="000000" w:themeColor="text1"/>
        </w:rPr>
      </w:pPr>
    </w:p>
    <w:p w14:paraId="4381D623" w14:textId="77777777" w:rsidR="00871B59" w:rsidRDefault="00871B59" w:rsidP="00871B59">
      <w:pPr>
        <w:spacing w:after="0" w:line="240" w:lineRule="auto"/>
        <w:rPr>
          <w:rFonts w:ascii="Verdana" w:eastAsia="Geomanist Light" w:hAnsi="Verdana" w:cs="Arial"/>
          <w:color w:val="000000" w:themeColor="text1"/>
        </w:rPr>
      </w:pPr>
    </w:p>
    <w:p w14:paraId="65F0A00E" w14:textId="77777777" w:rsidR="00FF5B9A" w:rsidRPr="00104073" w:rsidRDefault="00FF5B9A" w:rsidP="00FF5B9A">
      <w:pPr>
        <w:spacing w:after="0" w:line="240" w:lineRule="auto"/>
        <w:rPr>
          <w:rFonts w:ascii="Verdana" w:eastAsia="Geomanist Light" w:hAnsi="Verdana" w:cs="Arial"/>
          <w:color w:val="000000" w:themeColor="text1"/>
        </w:rPr>
      </w:pPr>
    </w:p>
    <w:p w14:paraId="5B3922CF" w14:textId="2021551F" w:rsidR="00FF5B9A" w:rsidRPr="00104073" w:rsidRDefault="00FF5B9A" w:rsidP="00FF5B9A">
      <w:pPr>
        <w:spacing w:after="0" w:line="240" w:lineRule="auto"/>
        <w:rPr>
          <w:rFonts w:ascii="Verdana" w:eastAsia="Geomanist Light" w:hAnsi="Verdana" w:cs="Arial"/>
          <w:color w:val="201F1E"/>
        </w:rPr>
      </w:pPr>
      <w:r w:rsidRPr="00104073">
        <w:rPr>
          <w:rFonts w:ascii="Verdana" w:eastAsia="Geomanist Light" w:hAnsi="Verdana" w:cs="Arial"/>
          <w:color w:val="000000" w:themeColor="text1"/>
        </w:rPr>
        <w:t>Bogotá D.C., </w:t>
      </w:r>
      <w:r w:rsidR="00500BEF">
        <w:rPr>
          <w:rFonts w:ascii="Verdana" w:eastAsia="Geomanist Light" w:hAnsi="Verdana" w:cs="Arial"/>
          <w:color w:val="201F1E"/>
        </w:rPr>
        <w:t>06 de noviembre de 2024</w:t>
      </w:r>
    </w:p>
    <w:p w14:paraId="39F9445A" w14:textId="7FD6C548" w:rsidR="00FF5B9A" w:rsidRPr="00104073" w:rsidRDefault="00C574DC" w:rsidP="00FF5B9A">
      <w:pPr>
        <w:spacing w:after="0" w:line="240" w:lineRule="auto"/>
        <w:jc w:val="both"/>
        <w:rPr>
          <w:rFonts w:ascii="Verdana" w:eastAsia="Calibri" w:hAnsi="Verdana" w:cs="Arial"/>
          <w:color w:val="000000"/>
        </w:rPr>
      </w:pPr>
      <w:r w:rsidRPr="00C574DC">
        <w:rPr>
          <w:rFonts w:ascii="Verdana" w:eastAsia="Calibri" w:hAnsi="Verdana" w:cs="Arial"/>
          <w:noProof/>
          <w:lang w:eastAsia="es-ES"/>
        </w:rPr>
        <w:drawing>
          <wp:anchor distT="0" distB="0" distL="114300" distR="114300" simplePos="0" relativeHeight="251658240" behindDoc="1" locked="0" layoutInCell="1" allowOverlap="1" wp14:anchorId="1EFB13FC" wp14:editId="7B91AE8A">
            <wp:simplePos x="0" y="0"/>
            <wp:positionH relativeFrom="column">
              <wp:posOffset>2688756</wp:posOffset>
            </wp:positionH>
            <wp:positionV relativeFrom="paragraph">
              <wp:posOffset>166756</wp:posOffset>
            </wp:positionV>
            <wp:extent cx="3190875" cy="8477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190875" cy="847725"/>
                    </a:xfrm>
                    <a:prstGeom prst="rect">
                      <a:avLst/>
                    </a:prstGeom>
                  </pic:spPr>
                </pic:pic>
              </a:graphicData>
            </a:graphic>
          </wp:anchor>
        </w:drawing>
      </w:r>
    </w:p>
    <w:p w14:paraId="2AC012C7" w14:textId="2902F926" w:rsidR="00FF5B9A" w:rsidRPr="00104073" w:rsidRDefault="00FF5B9A" w:rsidP="00FF5B9A">
      <w:pPr>
        <w:spacing w:after="0" w:line="240" w:lineRule="auto"/>
        <w:jc w:val="both"/>
        <w:rPr>
          <w:rFonts w:ascii="Verdana" w:eastAsia="Calibri" w:hAnsi="Verdana" w:cs="Arial"/>
          <w:lang w:eastAsia="es-ES"/>
        </w:rPr>
      </w:pPr>
      <w:r w:rsidRPr="00104073">
        <w:rPr>
          <w:rFonts w:ascii="Verdana" w:eastAsia="Calibri" w:hAnsi="Verdana" w:cs="Arial"/>
          <w:lang w:eastAsia="es-ES"/>
        </w:rPr>
        <w:t>Señora</w:t>
      </w:r>
    </w:p>
    <w:p w14:paraId="259D2D38" w14:textId="77777777" w:rsidR="00FF5B9A" w:rsidRDefault="00FF5B9A" w:rsidP="00FF5B9A">
      <w:pPr>
        <w:spacing w:after="0" w:line="240" w:lineRule="auto"/>
        <w:rPr>
          <w:rFonts w:ascii="Verdana" w:eastAsia="Calibri" w:hAnsi="Verdana" w:cs="Arial"/>
          <w:b/>
          <w:lang w:eastAsia="es-ES_tradnl"/>
        </w:rPr>
      </w:pPr>
      <w:r w:rsidRPr="00CC494F">
        <w:rPr>
          <w:rFonts w:ascii="Verdana" w:eastAsia="Calibri" w:hAnsi="Verdana" w:cs="Arial"/>
          <w:b/>
          <w:lang w:eastAsia="es-ES_tradnl"/>
        </w:rPr>
        <w:t>Lina Vanessa Ledesma Argel</w:t>
      </w:r>
    </w:p>
    <w:p w14:paraId="19DC776A" w14:textId="3C69B3C7" w:rsidR="00FF5B9A" w:rsidRDefault="00FF5B9A" w:rsidP="00FF5B9A">
      <w:pPr>
        <w:spacing w:after="0" w:line="240" w:lineRule="auto"/>
        <w:rPr>
          <w:rFonts w:ascii="Verdana" w:eastAsia="Calibri" w:hAnsi="Verdana" w:cs="Arial"/>
          <w:u w:val="single"/>
          <w:lang w:eastAsia="es-ES"/>
        </w:rPr>
      </w:pPr>
      <w:hyperlink r:id="rId12" w:history="1">
        <w:r w:rsidRPr="00C608AB">
          <w:rPr>
            <w:rStyle w:val="Hipervnculo"/>
            <w:rFonts w:ascii="Verdana" w:eastAsia="Calibri" w:hAnsi="Verdana" w:cs="Arial"/>
            <w:lang w:eastAsia="es-ES"/>
          </w:rPr>
          <w:t>livalear22@hotmail.com</w:t>
        </w:r>
      </w:hyperlink>
    </w:p>
    <w:p w14:paraId="39DDEE95" w14:textId="73D2FA3C" w:rsidR="00FF5B9A" w:rsidRPr="00104073" w:rsidRDefault="00FF5B9A" w:rsidP="00FF5B9A">
      <w:pPr>
        <w:spacing w:after="0" w:line="240" w:lineRule="auto"/>
        <w:rPr>
          <w:rFonts w:ascii="Verdana" w:eastAsia="Calibri" w:hAnsi="Verdana" w:cs="Arial"/>
          <w:b/>
          <w:bCs/>
          <w:lang w:eastAsia="es-ES"/>
        </w:rPr>
      </w:pPr>
      <w:r>
        <w:rPr>
          <w:rFonts w:ascii="Verdana" w:eastAsia="Calibri" w:hAnsi="Verdana" w:cs="Arial"/>
          <w:lang w:eastAsia="es-ES"/>
        </w:rPr>
        <w:t>Facatativá, Cundinamarca</w:t>
      </w:r>
      <w:r w:rsidR="00C574DC" w:rsidRPr="00C574DC">
        <w:rPr>
          <w:noProof/>
        </w:rPr>
        <w:t xml:space="preserve"> </w:t>
      </w:r>
    </w:p>
    <w:p w14:paraId="12169223" w14:textId="77777777" w:rsidR="00FF5B9A" w:rsidRPr="00104073" w:rsidRDefault="00FF5B9A" w:rsidP="00FF5B9A">
      <w:pPr>
        <w:spacing w:after="0" w:line="240" w:lineRule="auto"/>
        <w:jc w:val="both"/>
        <w:rPr>
          <w:rFonts w:ascii="Verdana" w:eastAsia="Calibri" w:hAnsi="Verdana" w:cs="Arial"/>
          <w:b/>
          <w:bCs/>
          <w:lang w:eastAsia="es-ES_tradnl"/>
        </w:rPr>
      </w:pPr>
    </w:p>
    <w:p w14:paraId="06F1118D" w14:textId="77777777" w:rsidR="00FF5B9A" w:rsidRPr="00104073" w:rsidRDefault="00FF5B9A" w:rsidP="00FF5B9A">
      <w:pPr>
        <w:spacing w:after="0" w:line="240" w:lineRule="auto"/>
        <w:jc w:val="both"/>
        <w:rPr>
          <w:rFonts w:ascii="Verdana" w:eastAsia="Calibri" w:hAnsi="Verdana" w:cs="Arial"/>
          <w:b/>
          <w:bCs/>
          <w:lang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FF5B9A" w:rsidRPr="00104073" w14:paraId="1240BA59" w14:textId="77777777" w:rsidTr="005F249F">
        <w:trPr>
          <w:trHeight w:val="884"/>
        </w:trPr>
        <w:tc>
          <w:tcPr>
            <w:tcW w:w="2689" w:type="dxa"/>
          </w:tcPr>
          <w:p w14:paraId="693AF09D" w14:textId="77777777" w:rsidR="00FF5B9A" w:rsidRPr="00104073" w:rsidRDefault="00FF5B9A" w:rsidP="005F249F">
            <w:pPr>
              <w:jc w:val="both"/>
              <w:rPr>
                <w:rFonts w:ascii="Verdana" w:eastAsia="Calibri" w:hAnsi="Verdana" w:cs="Arial"/>
                <w:b/>
                <w:bCs/>
                <w:lang w:eastAsia="es-ES_tradnl"/>
              </w:rPr>
            </w:pPr>
          </w:p>
        </w:tc>
        <w:tc>
          <w:tcPr>
            <w:tcW w:w="6100" w:type="dxa"/>
          </w:tcPr>
          <w:p w14:paraId="152D9F30" w14:textId="77777777" w:rsidR="00FF5B9A" w:rsidRPr="00104073" w:rsidRDefault="00FF5B9A" w:rsidP="005F249F">
            <w:pPr>
              <w:jc w:val="both"/>
              <w:rPr>
                <w:rFonts w:ascii="Verdana" w:eastAsia="Calibri" w:hAnsi="Verdana" w:cs="Arial"/>
                <w:b/>
                <w:bCs/>
                <w:lang w:eastAsia="es-ES"/>
              </w:rPr>
            </w:pPr>
            <w:r w:rsidRPr="00104073">
              <w:rPr>
                <w:rFonts w:ascii="Verdana" w:eastAsia="Calibri" w:hAnsi="Verdana" w:cs="Arial"/>
                <w:b/>
                <w:bCs/>
                <w:lang w:eastAsia="es-ES"/>
              </w:rPr>
              <w:t>Concepto C-6</w:t>
            </w:r>
            <w:r>
              <w:rPr>
                <w:rFonts w:ascii="Verdana" w:eastAsia="Calibri" w:hAnsi="Verdana" w:cs="Arial"/>
                <w:b/>
                <w:bCs/>
                <w:lang w:eastAsia="es-ES"/>
              </w:rPr>
              <w:t>57</w:t>
            </w:r>
            <w:r w:rsidRPr="00104073">
              <w:rPr>
                <w:rFonts w:ascii="Verdana" w:eastAsia="Calibri" w:hAnsi="Verdana" w:cs="Arial"/>
                <w:b/>
                <w:bCs/>
                <w:lang w:eastAsia="es-ES"/>
              </w:rPr>
              <w:t xml:space="preserve"> de 2024</w:t>
            </w:r>
          </w:p>
        </w:tc>
      </w:tr>
      <w:tr w:rsidR="00FF5B9A" w:rsidRPr="00104073" w14:paraId="4B7B7F82" w14:textId="77777777" w:rsidTr="005F249F">
        <w:trPr>
          <w:trHeight w:val="884"/>
        </w:trPr>
        <w:tc>
          <w:tcPr>
            <w:tcW w:w="2689" w:type="dxa"/>
          </w:tcPr>
          <w:p w14:paraId="5839ADDD" w14:textId="77777777" w:rsidR="00FF5B9A" w:rsidRPr="00104073" w:rsidRDefault="00FF5B9A" w:rsidP="005F249F">
            <w:pPr>
              <w:jc w:val="both"/>
              <w:rPr>
                <w:rFonts w:ascii="Verdana" w:eastAsia="Calibri" w:hAnsi="Verdana" w:cs="Arial"/>
                <w:lang w:eastAsia="es-ES_tradnl"/>
              </w:rPr>
            </w:pPr>
            <w:r w:rsidRPr="00104073">
              <w:rPr>
                <w:rFonts w:ascii="Verdana" w:eastAsia="Calibri" w:hAnsi="Verdana" w:cs="Arial"/>
                <w:b/>
                <w:lang w:eastAsia="es-ES_tradnl"/>
              </w:rPr>
              <w:t>Temas:</w:t>
            </w:r>
            <w:r w:rsidRPr="00104073">
              <w:rPr>
                <w:rFonts w:ascii="Verdana" w:eastAsia="Calibri" w:hAnsi="Verdana" w:cs="Arial"/>
                <w:lang w:eastAsia="es-ES_tradnl"/>
              </w:rPr>
              <w:t xml:space="preserve">                   </w:t>
            </w:r>
          </w:p>
        </w:tc>
        <w:tc>
          <w:tcPr>
            <w:tcW w:w="6100" w:type="dxa"/>
          </w:tcPr>
          <w:p w14:paraId="37CFE6B4" w14:textId="77777777" w:rsidR="00FF5B9A" w:rsidRPr="00EC0059" w:rsidRDefault="00FF5B9A" w:rsidP="005F249F">
            <w:pPr>
              <w:spacing w:line="276" w:lineRule="auto"/>
              <w:jc w:val="both"/>
              <w:rPr>
                <w:rFonts w:ascii="Verdana" w:hAnsi="Verdana" w:cs="Arial"/>
              </w:rPr>
            </w:pPr>
            <w:r w:rsidRPr="00EC0059">
              <w:rPr>
                <w:rFonts w:ascii="Verdana" w:hAnsi="Verdana" w:cs="Arial"/>
                <w:lang w:val="es-ES"/>
              </w:rPr>
              <w:t>CONTRATACIÓN PÚBLICA – Principio de publicidad – Principio de transparencia</w:t>
            </w:r>
            <w:r>
              <w:rPr>
                <w:rFonts w:ascii="Verdana" w:hAnsi="Verdana" w:cs="Arial"/>
                <w:lang w:val="es-ES"/>
              </w:rPr>
              <w:t>/</w:t>
            </w:r>
            <w:r w:rsidRPr="00EC0059">
              <w:rPr>
                <w:rFonts w:ascii="Verdana" w:hAnsi="Verdana" w:cs="Arial"/>
                <w:lang w:val="es-ES"/>
              </w:rPr>
              <w:t xml:space="preserve"> SECOP I</w:t>
            </w:r>
            <w:r>
              <w:rPr>
                <w:rFonts w:ascii="Verdana" w:hAnsi="Verdana" w:cs="Arial"/>
                <w:lang w:val="es-ES"/>
              </w:rPr>
              <w:t xml:space="preserve"> – Publicidad - Generalidades</w:t>
            </w:r>
            <w:r w:rsidRPr="00EC0059">
              <w:rPr>
                <w:rFonts w:ascii="Verdana" w:hAnsi="Verdana" w:cs="Arial"/>
                <w:lang w:val="es-ES"/>
              </w:rPr>
              <w:t xml:space="preserve"> </w:t>
            </w:r>
            <w:r>
              <w:rPr>
                <w:rFonts w:ascii="Verdana" w:hAnsi="Verdana" w:cs="Arial"/>
                <w:lang w:val="es-ES"/>
              </w:rPr>
              <w:t>/</w:t>
            </w:r>
            <w:r w:rsidRPr="00EC0059">
              <w:rPr>
                <w:rFonts w:ascii="Verdana" w:hAnsi="Verdana" w:cs="Arial"/>
                <w:lang w:val="es-ES"/>
              </w:rPr>
              <w:t xml:space="preserve"> SECOP II</w:t>
            </w:r>
            <w:r>
              <w:rPr>
                <w:rFonts w:ascii="Verdana" w:hAnsi="Verdana" w:cs="Arial"/>
                <w:lang w:val="es-ES"/>
              </w:rPr>
              <w:t xml:space="preserve"> – Plataforma Transaccional – Generalidades </w:t>
            </w:r>
          </w:p>
          <w:p w14:paraId="3DD2650D" w14:textId="77777777" w:rsidR="00FF5B9A" w:rsidRPr="00EC0059" w:rsidRDefault="00FF5B9A" w:rsidP="005F249F">
            <w:pPr>
              <w:spacing w:line="276" w:lineRule="auto"/>
              <w:jc w:val="both"/>
              <w:rPr>
                <w:rFonts w:ascii="Verdana" w:eastAsia="Calibri" w:hAnsi="Verdana" w:cs="Arial"/>
                <w:lang w:eastAsia="es-ES"/>
              </w:rPr>
            </w:pPr>
          </w:p>
        </w:tc>
      </w:tr>
      <w:tr w:rsidR="00FF5B9A" w:rsidRPr="00104073" w14:paraId="5D1F54AF" w14:textId="77777777" w:rsidTr="005F249F">
        <w:tc>
          <w:tcPr>
            <w:tcW w:w="2689" w:type="dxa"/>
          </w:tcPr>
          <w:p w14:paraId="5BD78B9F" w14:textId="77777777" w:rsidR="00FF5B9A" w:rsidRPr="00104073" w:rsidRDefault="00FF5B9A" w:rsidP="005F249F">
            <w:pPr>
              <w:jc w:val="both"/>
              <w:rPr>
                <w:rFonts w:ascii="Verdana" w:eastAsia="Calibri" w:hAnsi="Verdana" w:cs="Arial"/>
                <w:b/>
                <w:lang w:eastAsia="es-ES_tradnl"/>
              </w:rPr>
            </w:pPr>
            <w:r w:rsidRPr="00104073">
              <w:rPr>
                <w:rFonts w:ascii="Verdana" w:eastAsia="Calibri" w:hAnsi="Verdana" w:cs="Arial"/>
                <w:b/>
                <w:lang w:eastAsia="es-ES_tradnl"/>
              </w:rPr>
              <w:t>Radicación:</w:t>
            </w:r>
            <w:r w:rsidRPr="00104073">
              <w:rPr>
                <w:rFonts w:ascii="Verdana" w:eastAsia="Calibri" w:hAnsi="Verdana" w:cs="Arial"/>
                <w:lang w:eastAsia="es-ES_tradnl"/>
              </w:rPr>
              <w:t xml:space="preserve">               </w:t>
            </w:r>
          </w:p>
        </w:tc>
        <w:tc>
          <w:tcPr>
            <w:tcW w:w="6100" w:type="dxa"/>
          </w:tcPr>
          <w:p w14:paraId="77143417" w14:textId="77777777" w:rsidR="00FF5B9A" w:rsidRPr="00104073" w:rsidRDefault="00FF5B9A" w:rsidP="005F249F">
            <w:pPr>
              <w:jc w:val="both"/>
              <w:rPr>
                <w:rFonts w:ascii="Verdana" w:eastAsia="Calibri" w:hAnsi="Verdana" w:cs="Arial"/>
                <w:lang w:eastAsia="es-ES_tradnl"/>
              </w:rPr>
            </w:pPr>
            <w:r w:rsidRPr="00104073">
              <w:rPr>
                <w:rFonts w:ascii="Verdana" w:eastAsia="Calibri" w:hAnsi="Verdana" w:cs="Arial"/>
                <w:lang w:eastAsia="es-ES_tradnl"/>
              </w:rPr>
              <w:t xml:space="preserve">Respuesta a consulta con radicado No. </w:t>
            </w:r>
            <w:r w:rsidRPr="00034330">
              <w:rPr>
                <w:rFonts w:ascii="Verdana" w:eastAsia="Calibri" w:hAnsi="Verdana" w:cs="Arial"/>
                <w:lang w:eastAsia="es-ES_tradnl"/>
              </w:rPr>
              <w:t>P20240925009786</w:t>
            </w:r>
            <w:r>
              <w:rPr>
                <w:rFonts w:ascii="Verdana" w:eastAsia="Calibri" w:hAnsi="Verdana" w:cs="Arial"/>
                <w:lang w:eastAsia="es-ES_tradnl"/>
              </w:rPr>
              <w:t>.</w:t>
            </w:r>
          </w:p>
        </w:tc>
      </w:tr>
    </w:tbl>
    <w:p w14:paraId="1600A102" w14:textId="77777777" w:rsidR="00FF5B9A" w:rsidRPr="00104073" w:rsidRDefault="00FF5B9A" w:rsidP="00FF5B9A">
      <w:pPr>
        <w:spacing w:after="0" w:line="240" w:lineRule="auto"/>
        <w:jc w:val="both"/>
        <w:rPr>
          <w:rFonts w:ascii="Verdana" w:eastAsia="Calibri" w:hAnsi="Verdana" w:cs="Arial"/>
          <w:lang w:eastAsia="es-ES_tradnl"/>
        </w:rPr>
      </w:pPr>
    </w:p>
    <w:p w14:paraId="312D7EA1" w14:textId="77777777" w:rsidR="00FF5B9A" w:rsidRPr="00104073" w:rsidRDefault="00FF5B9A" w:rsidP="00FF5B9A">
      <w:pPr>
        <w:spacing w:after="0" w:line="240" w:lineRule="auto"/>
        <w:jc w:val="both"/>
        <w:rPr>
          <w:rFonts w:ascii="Verdana" w:eastAsia="Calibri" w:hAnsi="Verdana" w:cs="Arial"/>
          <w:lang w:eastAsia="es-ES_tradnl"/>
        </w:rPr>
      </w:pPr>
    </w:p>
    <w:p w14:paraId="395FA31B" w14:textId="77777777" w:rsidR="00FF5B9A" w:rsidRPr="00104073" w:rsidRDefault="00FF5B9A" w:rsidP="00FF5B9A">
      <w:pPr>
        <w:spacing w:after="0" w:line="276" w:lineRule="auto"/>
        <w:jc w:val="both"/>
        <w:rPr>
          <w:rFonts w:ascii="Verdana" w:eastAsia="Calibri" w:hAnsi="Verdana" w:cs="Arial"/>
          <w:lang w:eastAsia="es-ES"/>
        </w:rPr>
      </w:pPr>
      <w:r w:rsidRPr="00104073">
        <w:rPr>
          <w:rFonts w:ascii="Verdana" w:eastAsia="Calibri" w:hAnsi="Verdana" w:cs="Arial"/>
          <w:lang w:eastAsia="es-ES"/>
        </w:rPr>
        <w:t xml:space="preserve">Estimado señora </w:t>
      </w:r>
      <w:r>
        <w:rPr>
          <w:rFonts w:ascii="Verdana" w:eastAsia="Calibri" w:hAnsi="Verdana" w:cs="Arial"/>
          <w:lang w:eastAsia="es-ES"/>
        </w:rPr>
        <w:t>Lina</w:t>
      </w:r>
      <w:r w:rsidRPr="00104073">
        <w:rPr>
          <w:rFonts w:ascii="Verdana" w:eastAsia="Calibri" w:hAnsi="Verdana" w:cs="Arial"/>
          <w:lang w:eastAsia="es-ES"/>
        </w:rPr>
        <w:t xml:space="preserve">: </w:t>
      </w:r>
    </w:p>
    <w:p w14:paraId="25011AA0" w14:textId="77777777" w:rsidR="00FF5B9A" w:rsidRPr="00104073" w:rsidRDefault="00FF5B9A" w:rsidP="00FF5B9A">
      <w:pPr>
        <w:tabs>
          <w:tab w:val="left" w:pos="3768"/>
        </w:tabs>
        <w:spacing w:after="0" w:line="276" w:lineRule="auto"/>
        <w:jc w:val="both"/>
        <w:rPr>
          <w:rFonts w:ascii="Verdana" w:eastAsia="Calibri" w:hAnsi="Verdana" w:cs="Arial"/>
          <w:lang w:eastAsia="es-ES"/>
        </w:rPr>
      </w:pPr>
      <w:r w:rsidRPr="00104073">
        <w:rPr>
          <w:rFonts w:ascii="Verdana" w:eastAsia="Calibri" w:hAnsi="Verdana" w:cs="Arial"/>
          <w:lang w:eastAsia="es-ES"/>
        </w:rPr>
        <w:tab/>
      </w:r>
    </w:p>
    <w:p w14:paraId="36674178" w14:textId="77777777" w:rsidR="00FF5B9A" w:rsidRPr="007B453C" w:rsidRDefault="00FF5B9A" w:rsidP="00FF5B9A">
      <w:pPr>
        <w:spacing w:after="120" w:line="276" w:lineRule="auto"/>
        <w:jc w:val="both"/>
        <w:rPr>
          <w:rFonts w:ascii="Verdana" w:eastAsia="Century Gothic" w:hAnsi="Verdana" w:cs="Century Gothic"/>
          <w:i/>
          <w:sz w:val="20"/>
          <w:szCs w:val="20"/>
        </w:rPr>
      </w:pPr>
      <w:r w:rsidRPr="00104073">
        <w:rPr>
          <w:rFonts w:ascii="Verdana" w:eastAsia="Calibri" w:hAnsi="Verdana" w:cs="Arial"/>
          <w:lang w:eastAsia="es-ES"/>
        </w:rPr>
        <w:t>En ejercicio de la competencia otorgada por los artículos 3, numeral 5º, y 11, numeral 8º, del Decreto Ley 4170 de 2011,</w:t>
      </w:r>
      <w:r w:rsidRPr="00104073">
        <w:rPr>
          <w:rFonts w:ascii="Verdana" w:eastAsia="Arial MT" w:hAnsi="Verdana" w:cs="Arial MT"/>
          <w:lang w:eastAsia="es-ES"/>
        </w:rPr>
        <w:t xml:space="preserve"> </w:t>
      </w:r>
      <w:r w:rsidRPr="00104073">
        <w:rPr>
          <w:rFonts w:ascii="Verdana" w:hAnsi="Verdana" w:cs="Arial"/>
        </w:rPr>
        <w:t xml:space="preserve">así como lo establecido en el artículo 4 de la Resolución 1707 de 2018 expedida por esta Entidad, </w:t>
      </w:r>
      <w:r w:rsidRPr="00104073">
        <w:rPr>
          <w:rFonts w:ascii="Verdana" w:eastAsia="Calibri" w:hAnsi="Verdana" w:cs="Arial"/>
          <w:lang w:eastAsia="es-ES"/>
        </w:rPr>
        <w:t>la Agencia Nacional de Contratación Pública – Colombia Compra Eficiente– responde su solicitud de consulta de fecha 2</w:t>
      </w:r>
      <w:r>
        <w:rPr>
          <w:rFonts w:ascii="Verdana" w:eastAsia="Calibri" w:hAnsi="Verdana" w:cs="Arial"/>
          <w:lang w:eastAsia="es-ES"/>
        </w:rPr>
        <w:t>5</w:t>
      </w:r>
      <w:r w:rsidRPr="00104073">
        <w:rPr>
          <w:rFonts w:ascii="Verdana" w:eastAsia="Calibri" w:hAnsi="Verdana" w:cs="Arial"/>
          <w:lang w:eastAsia="es-ES"/>
        </w:rPr>
        <w:t xml:space="preserve"> de septiembre de 2024, en la cual manifiesta lo siguiente: </w:t>
      </w:r>
      <w:r>
        <w:rPr>
          <w:rFonts w:ascii="Verdana" w:eastAsia="Calibri" w:hAnsi="Verdana" w:cs="Arial"/>
          <w:lang w:eastAsia="es-ES"/>
        </w:rPr>
        <w:t xml:space="preserve"> </w:t>
      </w:r>
      <w:r w:rsidRPr="007B453C">
        <w:rPr>
          <w:rFonts w:ascii="Verdana" w:eastAsia="Century Gothic" w:hAnsi="Verdana" w:cs="Century Gothic"/>
          <w:i/>
          <w:iCs/>
          <w:sz w:val="20"/>
          <w:szCs w:val="20"/>
        </w:rPr>
        <w:t xml:space="preserve">“[…] </w:t>
      </w:r>
      <w:bookmarkStart w:id="0" w:name="_Hlk95313578"/>
      <w:r w:rsidRPr="007B453C">
        <w:rPr>
          <w:rFonts w:ascii="Verdana" w:hAnsi="Verdana" w:cs="Arial"/>
          <w:i/>
          <w:sz w:val="20"/>
          <w:szCs w:val="20"/>
          <w:shd w:val="clear" w:color="auto" w:fill="FFFFFF"/>
        </w:rPr>
        <w:t>¿Está obligada la entidad estatal regida por el derecho público, (exactamente una alcaldía), a estructurar y publicar en Secop II el convenio que se celebre con la universidad</w:t>
      </w:r>
      <w:r w:rsidRPr="007B453C">
        <w:rPr>
          <w:rFonts w:ascii="Verdana" w:hAnsi="Verdana" w:cs="Arial"/>
          <w:i/>
          <w:iCs/>
          <w:sz w:val="20"/>
          <w:szCs w:val="20"/>
          <w:shd w:val="clear" w:color="auto" w:fill="FFFFFF"/>
        </w:rPr>
        <w:t>?</w:t>
      </w:r>
      <w:r w:rsidRPr="007B453C">
        <w:rPr>
          <w:rStyle w:val="normaltextrun"/>
          <w:rFonts w:ascii="Verdana" w:hAnsi="Verdana" w:cs="Arial"/>
          <w:i/>
          <w:iCs/>
          <w:sz w:val="20"/>
          <w:szCs w:val="20"/>
          <w:shd w:val="clear" w:color="auto" w:fill="FFFFFF"/>
        </w:rPr>
        <w:t>[…]</w:t>
      </w:r>
      <w:r w:rsidRPr="007B453C">
        <w:rPr>
          <w:rFonts w:ascii="Verdana" w:eastAsia="Century Gothic" w:hAnsi="Verdana" w:cs="Century Gothic"/>
          <w:i/>
          <w:iCs/>
          <w:sz w:val="20"/>
          <w:szCs w:val="20"/>
        </w:rPr>
        <w:t>”.</w:t>
      </w:r>
      <w:bookmarkEnd w:id="0"/>
    </w:p>
    <w:p w14:paraId="32476E2A" w14:textId="77777777" w:rsidR="00FF5B9A" w:rsidRPr="00104073" w:rsidRDefault="00FF5B9A" w:rsidP="00FF5B9A">
      <w:pPr>
        <w:spacing w:after="120" w:line="276" w:lineRule="auto"/>
        <w:ind w:firstLine="709"/>
        <w:jc w:val="both"/>
        <w:rPr>
          <w:rFonts w:ascii="Verdana" w:eastAsia="Calibri" w:hAnsi="Verdana" w:cs="Arial"/>
          <w:szCs w:val="24"/>
          <w:lang w:eastAsia="es-ES_tradnl"/>
        </w:rPr>
      </w:pPr>
      <w:r w:rsidRPr="00104073">
        <w:rPr>
          <w:rFonts w:ascii="Verdana" w:eastAsia="Calibri" w:hAnsi="Verdana" w:cs="Arial"/>
          <w:lang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w:t>
      </w:r>
      <w:r w:rsidRPr="00104073">
        <w:rPr>
          <w:rFonts w:ascii="Verdana" w:eastAsia="Calibri" w:hAnsi="Verdana" w:cs="Arial"/>
          <w:lang w:eastAsia="es-ES"/>
        </w:rPr>
        <w:lastRenderedPageBreak/>
        <w:t xml:space="preserve">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104073">
        <w:rPr>
          <w:rFonts w:ascii="Verdana" w:eastAsia="Calibri" w:hAnsi="Verdana" w:cs="Arial"/>
          <w:szCs w:val="24"/>
          <w:lang w:eastAsia="es-ES_tradnl"/>
        </w:rPr>
        <w:tab/>
      </w:r>
    </w:p>
    <w:p w14:paraId="795A055D" w14:textId="77777777" w:rsidR="00FF5B9A" w:rsidRPr="00104073" w:rsidRDefault="00FF5B9A" w:rsidP="00FF5B9A">
      <w:pPr>
        <w:spacing w:after="0" w:line="276" w:lineRule="auto"/>
        <w:ind w:firstLine="709"/>
        <w:jc w:val="both"/>
        <w:rPr>
          <w:rFonts w:ascii="Verdana" w:eastAsia="Calibri" w:hAnsi="Verdana" w:cs="Arial"/>
          <w:lang w:eastAsia="es-ES"/>
        </w:rPr>
      </w:pPr>
      <w:r w:rsidRPr="00104073">
        <w:rPr>
          <w:rFonts w:ascii="Verdana" w:eastAsia="Calibri" w:hAnsi="Verdana" w:cs="Arial"/>
          <w:lang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0D8CC543" w14:textId="77777777" w:rsidR="00FF5B9A" w:rsidRPr="00104073" w:rsidRDefault="00FF5B9A" w:rsidP="00FF5B9A">
      <w:pPr>
        <w:spacing w:after="0" w:line="276" w:lineRule="auto"/>
        <w:ind w:firstLine="709"/>
        <w:jc w:val="both"/>
        <w:rPr>
          <w:rFonts w:ascii="Verdana" w:eastAsia="Calibri" w:hAnsi="Verdana" w:cs="Arial"/>
          <w:lang w:eastAsia="es-ES"/>
        </w:rPr>
      </w:pPr>
    </w:p>
    <w:p w14:paraId="6C785435" w14:textId="77777777" w:rsidR="00FF5B9A" w:rsidRPr="00104073" w:rsidRDefault="00FF5B9A" w:rsidP="00FF5B9A">
      <w:pPr>
        <w:pStyle w:val="Prrafodelista"/>
        <w:numPr>
          <w:ilvl w:val="0"/>
          <w:numId w:val="4"/>
        </w:numPr>
        <w:tabs>
          <w:tab w:val="left" w:pos="142"/>
          <w:tab w:val="left" w:pos="284"/>
        </w:tabs>
        <w:spacing w:after="0" w:line="276" w:lineRule="auto"/>
        <w:ind w:left="0" w:firstLine="0"/>
        <w:jc w:val="both"/>
        <w:rPr>
          <w:rFonts w:ascii="Verdana" w:eastAsia="Century Gothic" w:hAnsi="Verdana" w:cs="Century Gothic"/>
          <w:b/>
          <w:bCs/>
        </w:rPr>
      </w:pPr>
      <w:r w:rsidRPr="00104073">
        <w:rPr>
          <w:rFonts w:ascii="Verdana" w:eastAsia="Century Gothic" w:hAnsi="Verdana" w:cs="Century Gothic"/>
          <w:b/>
          <w:bCs/>
        </w:rPr>
        <w:t>Problema planteado:</w:t>
      </w:r>
    </w:p>
    <w:p w14:paraId="5F437049" w14:textId="77777777" w:rsidR="00FF5B9A" w:rsidRPr="00104073" w:rsidRDefault="00FF5B9A" w:rsidP="00FF5B9A">
      <w:pPr>
        <w:tabs>
          <w:tab w:val="left" w:pos="426"/>
        </w:tabs>
        <w:spacing w:after="0" w:line="276" w:lineRule="auto"/>
        <w:jc w:val="both"/>
        <w:rPr>
          <w:rFonts w:ascii="Verdana" w:eastAsia="Century Gothic" w:hAnsi="Verdana" w:cs="Century Gothic"/>
        </w:rPr>
      </w:pPr>
    </w:p>
    <w:p w14:paraId="39378440" w14:textId="77777777" w:rsidR="00FF5B9A" w:rsidRPr="00104073" w:rsidRDefault="00FF5B9A" w:rsidP="00FF5B9A">
      <w:pPr>
        <w:spacing w:after="0" w:line="276" w:lineRule="auto"/>
        <w:jc w:val="both"/>
        <w:rPr>
          <w:rFonts w:ascii="Verdana" w:eastAsia="Century Gothic" w:hAnsi="Verdana" w:cs="Century Gothic"/>
        </w:rPr>
      </w:pPr>
      <w:r w:rsidRPr="00104073">
        <w:rPr>
          <w:rFonts w:ascii="Verdana" w:eastAsia="Century Gothic" w:hAnsi="Verdana" w:cs="Century Gothic"/>
        </w:rPr>
        <w:t xml:space="preserve">De acuerdo con el contenido de su solicitud, esta Agencia resolverá </w:t>
      </w:r>
      <w:r>
        <w:rPr>
          <w:rFonts w:ascii="Verdana" w:eastAsia="Century Gothic" w:hAnsi="Verdana" w:cs="Century Gothic"/>
        </w:rPr>
        <w:t>el</w:t>
      </w:r>
      <w:r w:rsidRPr="00104073">
        <w:rPr>
          <w:rFonts w:ascii="Verdana" w:eastAsia="Century Gothic" w:hAnsi="Verdana" w:cs="Century Gothic"/>
        </w:rPr>
        <w:t xml:space="preserve"> siguiente problema jurídico: </w:t>
      </w:r>
      <w:r>
        <w:rPr>
          <w:rFonts w:ascii="Verdana" w:eastAsia="Century Gothic" w:hAnsi="Verdana" w:cs="Century Gothic"/>
        </w:rPr>
        <w:t>¿Las entidades estatales deben publicar en el SECOP los convenios que celebren con universidades públicas o privadas?</w:t>
      </w:r>
    </w:p>
    <w:p w14:paraId="21D95C06" w14:textId="77777777" w:rsidR="00FF5B9A" w:rsidRPr="00104073" w:rsidRDefault="00FF5B9A" w:rsidP="00FF5B9A">
      <w:pPr>
        <w:spacing w:after="0" w:line="276" w:lineRule="auto"/>
        <w:jc w:val="both"/>
        <w:rPr>
          <w:rFonts w:ascii="Verdana" w:eastAsia="Calibri" w:hAnsi="Verdana" w:cs="Arial"/>
        </w:rPr>
      </w:pPr>
    </w:p>
    <w:p w14:paraId="2AAC24AD" w14:textId="77777777" w:rsidR="00FF5B9A" w:rsidRPr="00104073" w:rsidRDefault="00FF5B9A" w:rsidP="00FF5B9A">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04073">
        <w:rPr>
          <w:rFonts w:ascii="Verdana" w:eastAsia="Century Gothic" w:hAnsi="Verdana" w:cs="Century Gothic"/>
          <w:b/>
          <w:bCs/>
        </w:rPr>
        <w:t>Respuesta:</w:t>
      </w:r>
    </w:p>
    <w:p w14:paraId="2907DA2A" w14:textId="77777777" w:rsidR="00FF5B9A" w:rsidRPr="00BE691A" w:rsidRDefault="00FF5B9A" w:rsidP="00FF5B9A">
      <w:pPr>
        <w:tabs>
          <w:tab w:val="left" w:pos="142"/>
          <w:tab w:val="left" w:pos="284"/>
        </w:tabs>
        <w:spacing w:after="0" w:line="276" w:lineRule="auto"/>
        <w:jc w:val="both"/>
        <w:rPr>
          <w:rFonts w:ascii="Verdana" w:eastAsia="Century Gothic" w:hAnsi="Verdana" w:cs="Century Gothic"/>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FF5B9A" w:rsidRPr="00BE691A" w14:paraId="2E27CF9F" w14:textId="77777777" w:rsidTr="005F249F">
        <w:tc>
          <w:tcPr>
            <w:tcW w:w="8828" w:type="dxa"/>
            <w:shd w:val="clear" w:color="auto" w:fill="auto"/>
          </w:tcPr>
          <w:p w14:paraId="2D494484" w14:textId="77777777" w:rsidR="00FF5B9A" w:rsidRPr="00576071" w:rsidRDefault="00FF5B9A" w:rsidP="005F249F">
            <w:pPr>
              <w:spacing w:after="160" w:line="278" w:lineRule="auto"/>
              <w:jc w:val="both"/>
              <w:rPr>
                <w:rFonts w:ascii="Verdana" w:hAnsi="Verdana"/>
              </w:rPr>
            </w:pPr>
            <w:r>
              <w:rPr>
                <w:rFonts w:ascii="Verdana" w:hAnsi="Verdana"/>
              </w:rPr>
              <w:t>L</w:t>
            </w:r>
            <w:r w:rsidRPr="00576071">
              <w:rPr>
                <w:rFonts w:ascii="Verdana" w:hAnsi="Verdana"/>
              </w:rPr>
              <w:t xml:space="preserve">as entidades del Estado </w:t>
            </w:r>
            <w:r w:rsidRPr="00BE691A">
              <w:rPr>
                <w:rFonts w:ascii="Verdana" w:hAnsi="Verdana"/>
              </w:rPr>
              <w:t>deben</w:t>
            </w:r>
            <w:r w:rsidRPr="00576071">
              <w:rPr>
                <w:rFonts w:ascii="Verdana" w:hAnsi="Verdana"/>
              </w:rPr>
              <w:t xml:space="preserve"> publicar en el SECOP todos los convenios y contratos que celebren, independientemente de quién sea el contratista. Esta obligación se extiende sin importar el régimen del contratista, ya sea régimen de derecho público, privado o especial, y se fundamenta en el principio de publicidad de la contratación pública, consagrado en la Ley 80 de 1993. </w:t>
            </w:r>
            <w:r w:rsidRPr="00BE691A">
              <w:rPr>
                <w:rFonts w:ascii="Verdana" w:hAnsi="Verdana"/>
              </w:rPr>
              <w:t>Es así como e</w:t>
            </w:r>
            <w:r w:rsidRPr="00576071">
              <w:rPr>
                <w:rFonts w:ascii="Verdana" w:hAnsi="Verdana"/>
              </w:rPr>
              <w:t>l principio de publicidad busca garantizar la transparencia y el acceso a la información sobre la gestión de los recursos públicos, permitiendo que la ciudadanía pueda conocer los actos administrativos de contratación y la ejecución de los mismos.</w:t>
            </w:r>
          </w:p>
          <w:p w14:paraId="6ED64BD3" w14:textId="77777777" w:rsidR="00FF5B9A" w:rsidRPr="00BE691A" w:rsidRDefault="00FF5B9A" w:rsidP="005F249F">
            <w:pPr>
              <w:spacing w:after="160" w:line="278" w:lineRule="auto"/>
              <w:jc w:val="both"/>
              <w:rPr>
                <w:rFonts w:ascii="Verdana" w:hAnsi="Verdana"/>
              </w:rPr>
            </w:pPr>
            <w:r>
              <w:rPr>
                <w:rFonts w:ascii="Verdana" w:hAnsi="Verdana"/>
              </w:rPr>
              <w:t>L</w:t>
            </w:r>
            <w:r w:rsidRPr="00BE691A">
              <w:rPr>
                <w:rFonts w:ascii="Verdana" w:hAnsi="Verdana"/>
              </w:rPr>
              <w:t>a</w:t>
            </w:r>
            <w:r w:rsidRPr="00576071">
              <w:rPr>
                <w:rFonts w:ascii="Verdana" w:hAnsi="Verdana"/>
              </w:rPr>
              <w:t xml:space="preserve"> publicidad de los </w:t>
            </w:r>
            <w:r>
              <w:rPr>
                <w:rFonts w:ascii="Verdana" w:hAnsi="Verdana"/>
              </w:rPr>
              <w:t>documentos</w:t>
            </w:r>
            <w:r w:rsidRPr="00576071">
              <w:rPr>
                <w:rFonts w:ascii="Verdana" w:hAnsi="Verdana"/>
              </w:rPr>
              <w:t xml:space="preserve"> contractuales es obligatoria </w:t>
            </w:r>
            <w:r>
              <w:rPr>
                <w:rFonts w:ascii="Verdana" w:hAnsi="Verdana"/>
              </w:rPr>
              <w:t>respecto de</w:t>
            </w:r>
            <w:r w:rsidRPr="00576071">
              <w:rPr>
                <w:rFonts w:ascii="Verdana" w:hAnsi="Verdana"/>
              </w:rPr>
              <w:t xml:space="preserve"> todos los procesos de contratación que impliquen el uso de </w:t>
            </w:r>
            <w:r>
              <w:rPr>
                <w:rFonts w:ascii="Verdana" w:hAnsi="Verdana"/>
              </w:rPr>
              <w:t>recursos</w:t>
            </w:r>
            <w:r w:rsidRPr="00576071">
              <w:rPr>
                <w:rFonts w:ascii="Verdana" w:hAnsi="Verdana"/>
              </w:rPr>
              <w:t xml:space="preserve"> públicos, </w:t>
            </w:r>
            <w:r>
              <w:rPr>
                <w:rFonts w:ascii="Verdana" w:hAnsi="Verdana"/>
              </w:rPr>
              <w:t>siendo</w:t>
            </w:r>
            <w:r w:rsidRPr="00576071">
              <w:rPr>
                <w:rFonts w:ascii="Verdana" w:hAnsi="Verdana"/>
              </w:rPr>
              <w:t xml:space="preserve"> </w:t>
            </w:r>
            <w:r w:rsidRPr="00576071">
              <w:rPr>
                <w:rFonts w:ascii="Verdana" w:hAnsi="Verdana"/>
              </w:rPr>
              <w:lastRenderedPageBreak/>
              <w:t>el SECOP II para la difusión de dicha información. Esto aplica igualmente para los convenios interadministrativos o convenios de asociación que las entidades estatales celebren, como es el caso de los convenios con universidades públicas o privadas. El SECOP II es la herramienta que garantiza la accesibilidad y trazabilidad de estos actos, promoviendo la transparencia y el control social.</w:t>
            </w:r>
          </w:p>
        </w:tc>
      </w:tr>
      <w:tr w:rsidR="00FF5B9A" w:rsidRPr="00104073" w14:paraId="7711B577" w14:textId="77777777" w:rsidTr="005F249F">
        <w:tc>
          <w:tcPr>
            <w:tcW w:w="8828" w:type="dxa"/>
            <w:shd w:val="clear" w:color="auto" w:fill="auto"/>
          </w:tcPr>
          <w:p w14:paraId="4854C4E1" w14:textId="77777777" w:rsidR="00FF5B9A" w:rsidRDefault="00FF5B9A" w:rsidP="005F249F">
            <w:pPr>
              <w:spacing w:line="276" w:lineRule="auto"/>
              <w:jc w:val="both"/>
              <w:rPr>
                <w:rFonts w:ascii="Verdana" w:eastAsia="Calibri" w:hAnsi="Verdana" w:cs="Arial"/>
              </w:rPr>
            </w:pPr>
          </w:p>
        </w:tc>
      </w:tr>
    </w:tbl>
    <w:p w14:paraId="7D6B8C3D" w14:textId="77777777" w:rsidR="00FF5B9A" w:rsidRPr="00104073" w:rsidRDefault="00FF5B9A" w:rsidP="00FF5B9A">
      <w:pPr>
        <w:tabs>
          <w:tab w:val="left" w:pos="142"/>
          <w:tab w:val="left" w:pos="284"/>
        </w:tabs>
        <w:spacing w:after="0" w:line="276" w:lineRule="auto"/>
        <w:jc w:val="both"/>
        <w:rPr>
          <w:rFonts w:ascii="Verdana" w:eastAsia="Century Gothic" w:hAnsi="Verdana" w:cs="Century Gothic"/>
          <w:b/>
          <w:bCs/>
        </w:rPr>
      </w:pPr>
    </w:p>
    <w:p w14:paraId="21F003A9" w14:textId="77777777" w:rsidR="00FF5B9A" w:rsidRPr="00104073" w:rsidRDefault="00FF5B9A" w:rsidP="00FF5B9A">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04073">
        <w:rPr>
          <w:rFonts w:ascii="Verdana" w:eastAsia="Century Gothic" w:hAnsi="Verdana" w:cs="Century Gothic"/>
          <w:b/>
          <w:bCs/>
        </w:rPr>
        <w:t>Razones de la respuesta:</w:t>
      </w:r>
    </w:p>
    <w:p w14:paraId="0FC93BD8" w14:textId="77777777" w:rsidR="00FF5B9A" w:rsidRPr="00104073" w:rsidRDefault="00FF5B9A" w:rsidP="00FF5B9A">
      <w:pPr>
        <w:spacing w:after="0" w:line="276" w:lineRule="auto"/>
        <w:jc w:val="both"/>
        <w:rPr>
          <w:rFonts w:ascii="Verdana" w:eastAsia="Calibri" w:hAnsi="Verdana" w:cs="Arial"/>
        </w:rPr>
      </w:pPr>
    </w:p>
    <w:p w14:paraId="360991F4" w14:textId="77777777" w:rsidR="00FF5B9A" w:rsidRDefault="00FF5B9A" w:rsidP="00FF5B9A">
      <w:pPr>
        <w:spacing w:after="0" w:line="276" w:lineRule="auto"/>
        <w:jc w:val="both"/>
        <w:rPr>
          <w:rFonts w:ascii="Verdana" w:eastAsia="Calibri" w:hAnsi="Verdana" w:cs="Arial"/>
        </w:rPr>
      </w:pPr>
      <w:r w:rsidRPr="00104073">
        <w:rPr>
          <w:rFonts w:ascii="Verdana" w:eastAsia="Calibri" w:hAnsi="Verdana" w:cs="Arial"/>
        </w:rPr>
        <w:t xml:space="preserve">Lo anterior se sustenta en las siguientes consideraciones: </w:t>
      </w:r>
    </w:p>
    <w:p w14:paraId="2831183B" w14:textId="77777777" w:rsidR="00FF5B9A" w:rsidRPr="0004326C" w:rsidRDefault="00FF5B9A" w:rsidP="00FF5B9A">
      <w:pPr>
        <w:spacing w:after="0" w:line="276" w:lineRule="auto"/>
        <w:jc w:val="both"/>
        <w:rPr>
          <w:rFonts w:ascii="Verdana" w:eastAsia="Calibri" w:hAnsi="Verdana" w:cs="Arial"/>
        </w:rPr>
      </w:pPr>
      <w:bookmarkStart w:id="1" w:name="_Hlk173311098"/>
    </w:p>
    <w:p w14:paraId="7E7B5A0F" w14:textId="77777777" w:rsidR="00FF5B9A" w:rsidRPr="00EF0BDA" w:rsidRDefault="00FF5B9A" w:rsidP="00FF5B9A">
      <w:pPr>
        <w:pStyle w:val="Prrafodelista"/>
        <w:numPr>
          <w:ilvl w:val="0"/>
          <w:numId w:val="15"/>
        </w:numPr>
        <w:spacing w:after="0" w:line="276" w:lineRule="auto"/>
        <w:jc w:val="both"/>
        <w:rPr>
          <w:rFonts w:ascii="Verdana" w:eastAsia="Calibri" w:hAnsi="Verdana" w:cs="Arial"/>
        </w:rPr>
      </w:pPr>
      <w:r w:rsidRPr="0047490F">
        <w:rPr>
          <w:rFonts w:ascii="Verdana" w:hAnsi="Verdana" w:cs="Arial"/>
          <w:shd w:val="clear" w:color="auto" w:fill="FFFFFF"/>
        </w:rPr>
        <w:t xml:space="preserve">El </w:t>
      </w:r>
      <w:r w:rsidRPr="00EF0BDA">
        <w:rPr>
          <w:rFonts w:ascii="Verdana" w:hAnsi="Verdana" w:cs="Arial"/>
          <w:shd w:val="clear" w:color="auto" w:fill="FFFFFF"/>
        </w:rPr>
        <w:t>principio de publicidad impone a las autoridades administrativas el deber de dar a conocer sus actos, contratos y decisiones para que se divulguen y eventualmente se controlen. Por ello, en la contratación estatal, el literal c) del artículo 3 de la Ley 1150 de 2007 establece el Sistema Electrónico para la Contratación Pública, en adelante SECOP, como un mecanismo que “contará con la información oficial de la contratación realizada con dineros públicos, para lo cual establecerá los patrones a que haya lugar y se encargará de su difusión a través de canales electrónicos</w:t>
      </w:r>
      <w:r w:rsidRPr="00EF0BDA">
        <w:rPr>
          <w:rStyle w:val="Refdenotaalpie"/>
          <w:rFonts w:ascii="Verdana" w:eastAsia="Calibri" w:hAnsi="Verdana" w:cs="Arial"/>
          <w:color w:val="000000" w:themeColor="text1"/>
          <w:lang w:val="es-ES_tradnl"/>
        </w:rPr>
        <w:footnoteReference w:id="2"/>
      </w:r>
      <w:r w:rsidRPr="00EF0BDA">
        <w:rPr>
          <w:rFonts w:ascii="Verdana" w:hAnsi="Verdana" w:cs="Arial"/>
          <w:shd w:val="clear" w:color="auto" w:fill="FFFFFF"/>
        </w:rPr>
        <w:t>”</w:t>
      </w:r>
      <w:r w:rsidRPr="00EF0BDA">
        <w:rPr>
          <w:rFonts w:ascii="Verdana" w:eastAsia="Calibri" w:hAnsi="Verdana" w:cs="Arial"/>
          <w:color w:val="000000" w:themeColor="text1"/>
          <w:lang w:val="es-ES_tradnl"/>
        </w:rPr>
        <w:t>.</w:t>
      </w:r>
    </w:p>
    <w:p w14:paraId="5D3AEE5A" w14:textId="77777777" w:rsidR="00FF5B9A" w:rsidRPr="00EF0BDA" w:rsidRDefault="00FF5B9A" w:rsidP="00FF5B9A">
      <w:pPr>
        <w:pStyle w:val="Prrafodelista"/>
        <w:spacing w:after="0" w:line="276" w:lineRule="auto"/>
        <w:jc w:val="both"/>
        <w:rPr>
          <w:rFonts w:ascii="Verdana" w:eastAsia="Calibri" w:hAnsi="Verdana" w:cs="Arial"/>
        </w:rPr>
      </w:pPr>
    </w:p>
    <w:p w14:paraId="38D6EB1B" w14:textId="77777777" w:rsidR="00FF5B9A" w:rsidRPr="00EB2B63" w:rsidRDefault="00FF5B9A" w:rsidP="00FF5B9A">
      <w:pPr>
        <w:pStyle w:val="Prrafodelista"/>
        <w:numPr>
          <w:ilvl w:val="0"/>
          <w:numId w:val="15"/>
        </w:numPr>
        <w:spacing w:before="120" w:line="276" w:lineRule="auto"/>
        <w:jc w:val="both"/>
        <w:rPr>
          <w:rFonts w:ascii="Verdana" w:eastAsia="Calibri" w:hAnsi="Verdana" w:cs="Arial"/>
          <w:color w:val="000000"/>
          <w:lang w:val="es-ES_tradnl"/>
        </w:rPr>
      </w:pPr>
      <w:r w:rsidRPr="00EF0BDA">
        <w:rPr>
          <w:rFonts w:ascii="Verdana" w:hAnsi="Verdana" w:cs="Arial"/>
          <w:shd w:val="clear" w:color="auto" w:fill="FFFFFF"/>
        </w:rPr>
        <w:lastRenderedPageBreak/>
        <w:t>De otra parte, la Ley 1712 de 2014 –ley estatutaria que regula la transparencia y el derecho de acceso a la información y a los documentos públicos–; identifica como principios que orientan el derecho de acceso a la información pública, el</w:t>
      </w:r>
      <w:r w:rsidRPr="00EF0BDA">
        <w:rPr>
          <w:rFonts w:ascii="Verdana" w:hAnsi="Verdana" w:cs="Arial"/>
          <w:color w:val="000000" w:themeColor="text1"/>
          <w:lang w:val="es-ES_tradnl"/>
        </w:rPr>
        <w:t xml:space="preserve">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EF0BDA">
        <w:rPr>
          <w:rStyle w:val="Refdenotaalpie"/>
          <w:rFonts w:ascii="Verdana" w:hAnsi="Verdana" w:cs="Arial"/>
          <w:color w:val="000000" w:themeColor="text1"/>
          <w:lang w:val="es-ES_tradnl"/>
        </w:rPr>
        <w:footnoteReference w:id="3"/>
      </w:r>
      <w:r w:rsidRPr="00EF0BDA">
        <w:rPr>
          <w:rFonts w:ascii="Verdana" w:hAnsi="Verdana" w:cs="Arial"/>
          <w:color w:val="000000" w:themeColor="text1"/>
          <w:lang w:val="es-ES_tradnl"/>
        </w:rPr>
        <w:t xml:space="preserve">. </w:t>
      </w:r>
    </w:p>
    <w:p w14:paraId="280640AE" w14:textId="77777777" w:rsidR="00FF5B9A" w:rsidRPr="00EB2B63" w:rsidRDefault="00FF5B9A" w:rsidP="00FF5B9A">
      <w:pPr>
        <w:pStyle w:val="Prrafodelista"/>
        <w:rPr>
          <w:rFonts w:ascii="Verdana" w:hAnsi="Verdana" w:cs="Arial"/>
          <w:color w:val="000000" w:themeColor="text1"/>
          <w:lang w:val="es-ES_tradnl"/>
        </w:rPr>
      </w:pPr>
    </w:p>
    <w:p w14:paraId="12EC0CD5" w14:textId="77777777" w:rsidR="00FF5B9A" w:rsidRPr="00EF0BDA" w:rsidRDefault="00FF5B9A" w:rsidP="00FF5B9A">
      <w:pPr>
        <w:pStyle w:val="Prrafodelista"/>
        <w:numPr>
          <w:ilvl w:val="0"/>
          <w:numId w:val="15"/>
        </w:numPr>
        <w:spacing w:before="120" w:line="276" w:lineRule="auto"/>
        <w:jc w:val="both"/>
        <w:rPr>
          <w:rFonts w:ascii="Verdana" w:eastAsia="Calibri" w:hAnsi="Verdana" w:cs="Arial"/>
          <w:color w:val="000000"/>
          <w:lang w:val="es-ES_tradnl"/>
        </w:rPr>
      </w:pPr>
      <w:r w:rsidRPr="00EF0BDA">
        <w:rPr>
          <w:rFonts w:ascii="Verdana" w:hAnsi="Verdana" w:cs="Arial"/>
          <w:color w:val="000000" w:themeColor="text1"/>
          <w:lang w:val="es-ES_tradnl"/>
        </w:rPr>
        <w:t>El principio de transparencia en la información alude al deber de los sujetos de proporcionar y facilitar el acceso a la misma en los términos más amplios posibles, y a través de los medios y procedimientos legales. La Ley estatutaria citada establece, en el literal e) del artículo 9, que los sujetos obligados, que son todas las entidades públicas</w:t>
      </w:r>
      <w:r w:rsidRPr="00EF0BDA">
        <w:rPr>
          <w:rStyle w:val="Refdenotaalpie"/>
          <w:rFonts w:ascii="Verdana" w:hAnsi="Verdana" w:cs="Arial"/>
          <w:color w:val="000000" w:themeColor="text1"/>
          <w:lang w:val="es-ES_tradnl"/>
        </w:rPr>
        <w:footnoteReference w:id="4"/>
      </w:r>
      <w:r w:rsidRPr="00EF0BDA">
        <w:rPr>
          <w:rFonts w:ascii="Verdana" w:hAnsi="Verdana" w:cs="Arial"/>
          <w:color w:val="000000" w:themeColor="text1"/>
          <w:lang w:val="es-ES_tradnl"/>
        </w:rPr>
        <w:t xml:space="preserve">, deben publicar la información relativa a su contratación. Esta obligación fue </w:t>
      </w:r>
      <w:r w:rsidRPr="00EF0BDA">
        <w:rPr>
          <w:rFonts w:ascii="Verdana" w:eastAsia="Calibri" w:hAnsi="Verdana" w:cs="Arial"/>
          <w:color w:val="000000"/>
          <w:lang w:val="es-ES_tradnl"/>
        </w:rPr>
        <w:t>desarrollada por el Decreto Único Reglamentario 1082 de 2015</w:t>
      </w:r>
      <w:r w:rsidRPr="00EF0BDA">
        <w:rPr>
          <w:rFonts w:ascii="Verdana" w:eastAsia="Calibri" w:hAnsi="Verdana"/>
          <w:color w:val="000000"/>
          <w:vertAlign w:val="superscript"/>
          <w:lang w:val="es-ES_tradnl"/>
        </w:rPr>
        <w:footnoteReference w:id="5"/>
      </w:r>
      <w:r w:rsidRPr="00EF0BDA">
        <w:rPr>
          <w:rFonts w:ascii="Verdana" w:eastAsia="Calibri" w:hAnsi="Verdana" w:cs="Arial"/>
          <w:color w:val="000000"/>
          <w:lang w:val="es-ES_tradnl"/>
        </w:rPr>
        <w:t>, el cual dispuso que la publicación de la información contractual de los sujetos obligados, que contratan con cargo a recursos públicos, debe hacerse en el SECOP.</w:t>
      </w:r>
    </w:p>
    <w:p w14:paraId="04B51502" w14:textId="77777777" w:rsidR="00FF5B9A" w:rsidRPr="00EF0BDA" w:rsidRDefault="00FF5B9A" w:rsidP="00FF5B9A">
      <w:pPr>
        <w:pStyle w:val="Prrafodelista"/>
        <w:spacing w:before="120" w:line="276" w:lineRule="auto"/>
        <w:jc w:val="both"/>
        <w:rPr>
          <w:rFonts w:ascii="Verdana" w:eastAsia="Calibri" w:hAnsi="Verdana" w:cs="Arial"/>
          <w:color w:val="000000"/>
          <w:lang w:val="es-ES_tradnl"/>
        </w:rPr>
      </w:pPr>
    </w:p>
    <w:p w14:paraId="31F3A819" w14:textId="77777777" w:rsidR="00FF5B9A" w:rsidRPr="00EF0BDA" w:rsidRDefault="00FF5B9A" w:rsidP="00FF5B9A">
      <w:pPr>
        <w:pStyle w:val="Prrafodelista"/>
        <w:numPr>
          <w:ilvl w:val="0"/>
          <w:numId w:val="15"/>
        </w:numPr>
        <w:spacing w:before="120" w:after="0" w:line="276" w:lineRule="auto"/>
        <w:jc w:val="both"/>
        <w:rPr>
          <w:rFonts w:ascii="Verdana" w:eastAsia="Times New Roman" w:hAnsi="Verdana" w:cs="Arial"/>
          <w:color w:val="000000"/>
          <w:szCs w:val="24"/>
          <w:lang w:val="es-ES_tradnl" w:eastAsia="es-ES_tradnl"/>
        </w:rPr>
      </w:pPr>
      <w:r w:rsidRPr="00EF0BDA">
        <w:rPr>
          <w:rFonts w:ascii="Verdana" w:eastAsia="Times New Roman" w:hAnsi="Verdana" w:cs="Arial"/>
          <w:color w:val="000000"/>
          <w:szCs w:val="24"/>
          <w:lang w:val="es-ES_tradnl" w:eastAsia="es-ES_tradnl"/>
        </w:rPr>
        <w:t xml:space="preserve">Asimismo, de acuerdo con el literal g) del artículo 11 de la misma ley, todos los destinatarios de la ley de transparencia deben garantizar la </w:t>
      </w:r>
      <w:r w:rsidRPr="00EF0BDA">
        <w:rPr>
          <w:rFonts w:ascii="Verdana" w:eastAsia="Times New Roman" w:hAnsi="Verdana" w:cs="Arial"/>
          <w:color w:val="000000"/>
          <w:szCs w:val="24"/>
          <w:lang w:val="es-ES_tradnl" w:eastAsia="es-ES_tradnl"/>
        </w:rPr>
        <w:lastRenderedPageBreak/>
        <w:t xml:space="preserve">publicidad de “sus procedimientos, lineamientos, políticas en materia de adquisiciones y compras, así como todos los datos de adjudicación y ejecución de contratos, incluidos concursos y licitaciones”, y esta información también debe estar en el SECOP. </w:t>
      </w:r>
      <w:r w:rsidRPr="00EF0BDA">
        <w:rPr>
          <w:rFonts w:ascii="Verdana" w:eastAsia="Calibri" w:hAnsi="Verdana" w:cs="Arial"/>
          <w:color w:val="000000"/>
          <w:szCs w:val="24"/>
          <w:lang w:val="es-ES_tradnl" w:eastAsia="es-ES_tradnl"/>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EF0BDA">
        <w:rPr>
          <w:rFonts w:ascii="Verdana" w:eastAsia="Calibri" w:hAnsi="Verdana"/>
          <w:vertAlign w:val="superscript"/>
          <w:lang w:val="es-ES_tradnl" w:eastAsia="es-ES_tradnl"/>
        </w:rPr>
        <w:footnoteReference w:id="6"/>
      </w:r>
      <w:r w:rsidRPr="00EF0BDA">
        <w:rPr>
          <w:rFonts w:ascii="Verdana" w:eastAsia="Calibri" w:hAnsi="Verdana" w:cs="Arial"/>
          <w:color w:val="000000"/>
          <w:szCs w:val="24"/>
          <w:lang w:val="es-ES_tradnl" w:eastAsia="es-ES_tradnl"/>
        </w:rPr>
        <w:t xml:space="preserve">. </w:t>
      </w:r>
      <w:r w:rsidRPr="00EF0BDA">
        <w:rPr>
          <w:rFonts w:ascii="Verdana" w:hAnsi="Verdana" w:cs="Arial"/>
          <w:shd w:val="clear" w:color="auto" w:fill="FFFFFF"/>
        </w:rPr>
        <w:t>En ese contexto, las Entidades Estatales, conforme al artículo 2.2.1.1.1.7.1 del Decreto 1082 de 2015, tienen la obligación de publicar en el SECOP “[…] los Documentos del Proceso y los actos administrativos del Proceso de Contratación, dentro de los tres (3) días siguientes a su expedición […]”.</w:t>
      </w:r>
    </w:p>
    <w:p w14:paraId="6B848DAA" w14:textId="77777777" w:rsidR="00FF5B9A" w:rsidRPr="00EF0BDA" w:rsidRDefault="00FF5B9A" w:rsidP="00FF5B9A">
      <w:pPr>
        <w:pStyle w:val="Prrafodelista"/>
        <w:spacing w:before="120" w:after="0" w:line="276" w:lineRule="auto"/>
        <w:jc w:val="both"/>
        <w:rPr>
          <w:rFonts w:ascii="Verdana" w:eastAsia="Times New Roman" w:hAnsi="Verdana" w:cs="Arial"/>
          <w:color w:val="000000"/>
          <w:szCs w:val="24"/>
          <w:lang w:val="es-ES_tradnl" w:eastAsia="es-ES_tradnl"/>
        </w:rPr>
      </w:pPr>
    </w:p>
    <w:p w14:paraId="573B90A4" w14:textId="77777777" w:rsidR="00FF5B9A" w:rsidRPr="00EF0BDA" w:rsidRDefault="00FF5B9A" w:rsidP="00FF5B9A">
      <w:pPr>
        <w:pStyle w:val="Prrafodelista"/>
        <w:numPr>
          <w:ilvl w:val="0"/>
          <w:numId w:val="15"/>
        </w:numPr>
        <w:tabs>
          <w:tab w:val="left" w:pos="709"/>
        </w:tabs>
        <w:spacing w:after="0" w:line="276" w:lineRule="auto"/>
        <w:jc w:val="both"/>
        <w:rPr>
          <w:rFonts w:ascii="Verdana" w:hAnsi="Verdana" w:cs="Arial"/>
          <w:shd w:val="clear" w:color="auto" w:fill="FFFFFF"/>
        </w:rPr>
      </w:pPr>
      <w:r w:rsidRPr="00EF0BDA">
        <w:rPr>
          <w:rFonts w:ascii="Verdana" w:hAnsi="Verdana" w:cs="Arial"/>
          <w:shd w:val="clear" w:color="auto" w:fill="FFFFFF"/>
        </w:rPr>
        <w:t xml:space="preserve">La expresión </w:t>
      </w:r>
      <w:r w:rsidRPr="00EF0BDA">
        <w:rPr>
          <w:rFonts w:ascii="Verdana" w:hAnsi="Verdana" w:cs="Arial"/>
          <w:i/>
          <w:iCs/>
          <w:shd w:val="clear" w:color="auto" w:fill="FFFFFF"/>
        </w:rPr>
        <w:t xml:space="preserve">Documentos del Proceso </w:t>
      </w:r>
      <w:r w:rsidRPr="00EF0BDA">
        <w:rPr>
          <w:rFonts w:ascii="Verdana" w:hAnsi="Verdana" w:cs="Arial"/>
          <w:shd w:val="clear" w:color="auto" w:fill="FFFFFF"/>
        </w:rPr>
        <w:t xml:space="preserve">está definida en el artículo 2.2.1.1.1.3.1. del Decreto 1082 de 2015, donde se establece que: “son: (a) los estudios y documentos previos; (b) el aviso de convocatoria; (c) los pliegos de condiciones o la invitación; (d) las adendas; (e) la oferta; (f) el informe de evaluación; (g) el contrato; </w:t>
      </w:r>
      <w:r w:rsidRPr="00EF0BDA">
        <w:rPr>
          <w:rFonts w:ascii="Verdana" w:hAnsi="Verdana" w:cs="Arial"/>
          <w:i/>
          <w:iCs/>
          <w:shd w:val="clear" w:color="auto" w:fill="FFFFFF"/>
        </w:rPr>
        <w:t>y cualquier otro documento expedido por la Entidad Estatal durante el Proceso de Contratación</w:t>
      </w:r>
      <w:r w:rsidRPr="00EF0BDA">
        <w:rPr>
          <w:rFonts w:ascii="Verdana" w:hAnsi="Verdana" w:cs="Arial"/>
          <w:shd w:val="clear" w:color="auto" w:fill="FFFFFF"/>
        </w:rPr>
        <w:t>”. [Énfasis fuera de texto]</w:t>
      </w:r>
    </w:p>
    <w:p w14:paraId="2328D459" w14:textId="77777777" w:rsidR="00FF5B9A" w:rsidRPr="00EF0BDA" w:rsidRDefault="00FF5B9A" w:rsidP="00FF5B9A">
      <w:pPr>
        <w:tabs>
          <w:tab w:val="left" w:pos="709"/>
        </w:tabs>
        <w:spacing w:after="0" w:line="276" w:lineRule="auto"/>
        <w:jc w:val="both"/>
        <w:rPr>
          <w:rFonts w:ascii="Verdana" w:hAnsi="Verdana" w:cs="Arial"/>
          <w:shd w:val="clear" w:color="auto" w:fill="FFFFFF"/>
        </w:rPr>
      </w:pPr>
      <w:r w:rsidRPr="00EF0BDA">
        <w:rPr>
          <w:rFonts w:ascii="Verdana" w:hAnsi="Verdana" w:cs="Arial"/>
          <w:shd w:val="clear" w:color="auto" w:fill="FFFFFF"/>
        </w:rPr>
        <w:tab/>
      </w:r>
    </w:p>
    <w:p w14:paraId="70671BF7" w14:textId="77777777" w:rsidR="00FF5B9A" w:rsidRPr="00EF0BDA" w:rsidRDefault="00FF5B9A" w:rsidP="00FF5B9A">
      <w:pPr>
        <w:pStyle w:val="Prrafodelista"/>
        <w:numPr>
          <w:ilvl w:val="0"/>
          <w:numId w:val="15"/>
        </w:numPr>
        <w:tabs>
          <w:tab w:val="left" w:pos="709"/>
        </w:tabs>
        <w:spacing w:after="0" w:line="276" w:lineRule="auto"/>
        <w:jc w:val="both"/>
        <w:rPr>
          <w:rFonts w:ascii="Verdana" w:hAnsi="Verdana" w:cs="Arial"/>
          <w:shd w:val="clear" w:color="auto" w:fill="FFFFFF"/>
        </w:rPr>
      </w:pPr>
      <w:r w:rsidRPr="00EF0BDA">
        <w:rPr>
          <w:rFonts w:ascii="Verdana" w:hAnsi="Verdana" w:cs="Arial"/>
          <w:shd w:val="clear" w:color="auto" w:fill="FFFFFF"/>
        </w:rPr>
        <w:t xml:space="preserve">Sin embargo, para identificar los documentos que deben publicarse, es necesario realizar una interpretación sistemática de las disposiciones del Decreto 1082 del 2015, comoquiera que el anterior no es un listado taxativo, sino enunciativo, porque además de los documentos enlistados, el artículo 2.2.1.1.1.3.1 </w:t>
      </w:r>
      <w:r w:rsidRPr="00EF0BDA">
        <w:rPr>
          <w:rFonts w:ascii="Verdana" w:hAnsi="Verdana" w:cs="Arial"/>
          <w:i/>
          <w:iCs/>
          <w:shd w:val="clear" w:color="auto" w:fill="FFFFFF"/>
        </w:rPr>
        <w:t>Ibidem</w:t>
      </w:r>
      <w:r w:rsidRPr="00EF0BDA">
        <w:rPr>
          <w:rFonts w:ascii="Verdana" w:hAnsi="Verdana" w:cs="Arial"/>
          <w:shd w:val="clear" w:color="auto" w:fill="FFFFFF"/>
        </w:rPr>
        <w:t xml:space="preserve"> recoge en la noción de Documentos del Proceso “cualquier otro documento expedido por la Entidad Estatal durante el Proceso de Contratación”. Este mismo artículo define la expresión Proceso de Contratación como el “Conjunto de actos y actividades, y su secuencia, adelantadas por la Entidad Estatal desde la planeación hasta el vencimiento de las garantías de calidad, estabilidad y mantenimiento, o las condiciones de disposición final o recuperación </w:t>
      </w:r>
      <w:r w:rsidRPr="00EF0BDA">
        <w:rPr>
          <w:rFonts w:ascii="Verdana" w:hAnsi="Verdana" w:cs="Arial"/>
          <w:shd w:val="clear" w:color="auto" w:fill="FFFFFF"/>
        </w:rPr>
        <w:lastRenderedPageBreak/>
        <w:t>ambiental de las obras o bienes o el vencimiento del plazo, lo que ocurra más tarde”. Nótese que la norma hace referencia a los documentos “expedidos por la entidad estatal” durante el proceso de contratación, excluyendo de la noción de Documentos del Proceso los expedidos por un sujeto distinto a la entidad, salvo la oferta, la cual se incluye expresamente en el referido artículo 2.2.1.1.1.3.1.</w:t>
      </w:r>
    </w:p>
    <w:p w14:paraId="3EA8D76E" w14:textId="77777777" w:rsidR="00FF5B9A" w:rsidRPr="00EF0BDA" w:rsidRDefault="00FF5B9A" w:rsidP="00FF5B9A">
      <w:pPr>
        <w:pStyle w:val="Prrafodelista"/>
        <w:tabs>
          <w:tab w:val="left" w:pos="709"/>
        </w:tabs>
        <w:spacing w:after="0" w:line="276" w:lineRule="auto"/>
        <w:jc w:val="both"/>
        <w:rPr>
          <w:rFonts w:ascii="Verdana" w:hAnsi="Verdana" w:cs="Arial"/>
          <w:shd w:val="clear" w:color="auto" w:fill="FFFFFF"/>
        </w:rPr>
      </w:pPr>
    </w:p>
    <w:p w14:paraId="6E5D64CF" w14:textId="77777777" w:rsidR="00FF5B9A" w:rsidRPr="00EF0BDA" w:rsidRDefault="00FF5B9A" w:rsidP="00FF5B9A">
      <w:pPr>
        <w:pStyle w:val="Prrafodelista"/>
        <w:numPr>
          <w:ilvl w:val="0"/>
          <w:numId w:val="15"/>
        </w:numPr>
        <w:tabs>
          <w:tab w:val="left" w:pos="709"/>
        </w:tabs>
        <w:spacing w:before="120" w:after="120" w:line="276" w:lineRule="auto"/>
        <w:jc w:val="both"/>
        <w:rPr>
          <w:rFonts w:ascii="Verdana" w:hAnsi="Verdana" w:cs="Arial"/>
          <w:shd w:val="clear" w:color="auto" w:fill="FFFFFF"/>
        </w:rPr>
      </w:pPr>
      <w:r w:rsidRPr="00EF0BDA">
        <w:rPr>
          <w:rFonts w:ascii="Verdana" w:hAnsi="Verdana" w:cs="Arial"/>
          <w:shd w:val="clear" w:color="auto" w:fill="FFFFFF"/>
        </w:rPr>
        <w:t>En ese sentido, la interpretación sistemática de los preceptos del Decreto 1082 de 2015, de acuerdo con el principio de publicidad, inicialmente, indica que las Entidades Estatales tienen la obligación de publicar todos los documentos que expidan con ocasión del Proceso de Contratación, es decir que todos los documentos expedidos por la entidad durante las etapas precontractual, de ejecución y postcontractual deberán ser publicados en SECOP dentro de los tres (3) días siguientes a su expedición, para cumplir el deber de publicidad regulado por el artículo 2.2.1.1.1.7.1. del Decreto 1082 de 2015.</w:t>
      </w:r>
    </w:p>
    <w:p w14:paraId="0FF14ED7" w14:textId="77777777" w:rsidR="00FF5B9A" w:rsidRPr="00EF0BDA" w:rsidRDefault="00FF5B9A" w:rsidP="00FF5B9A">
      <w:pPr>
        <w:tabs>
          <w:tab w:val="left" w:pos="709"/>
        </w:tabs>
        <w:spacing w:after="0" w:line="276" w:lineRule="auto"/>
        <w:jc w:val="both"/>
        <w:rPr>
          <w:rFonts w:ascii="Verdana" w:hAnsi="Verdana" w:cs="Arial"/>
          <w:shd w:val="clear" w:color="auto" w:fill="FFFFFF"/>
        </w:rPr>
      </w:pPr>
    </w:p>
    <w:p w14:paraId="376A487A" w14:textId="77777777" w:rsidR="00FF5B9A" w:rsidRPr="00EF0BDA" w:rsidRDefault="00FF5B9A" w:rsidP="00FF5B9A">
      <w:pPr>
        <w:pStyle w:val="Prrafodelista"/>
        <w:numPr>
          <w:ilvl w:val="0"/>
          <w:numId w:val="15"/>
        </w:numPr>
        <w:tabs>
          <w:tab w:val="left" w:pos="709"/>
        </w:tabs>
        <w:spacing w:after="0" w:line="276" w:lineRule="auto"/>
        <w:jc w:val="both"/>
        <w:rPr>
          <w:rFonts w:ascii="Verdana" w:hAnsi="Verdana" w:cs="Arial"/>
          <w:shd w:val="clear" w:color="auto" w:fill="FFFFFF"/>
        </w:rPr>
      </w:pPr>
      <w:r w:rsidRPr="00EF0BDA">
        <w:rPr>
          <w:rFonts w:ascii="Verdana" w:hAnsi="Verdana" w:cs="Arial"/>
          <w:shd w:val="clear" w:color="auto" w:fill="FFFFFF"/>
        </w:rPr>
        <w:t>Con el propósito de garantizar el cumplimiento del mencionado deber de publicidad, se le asignó a la Agencia Nacional de Contratación Pública - Colombia Compra Eficiente, la función de administrar el SECOP</w:t>
      </w:r>
      <w:r w:rsidRPr="00EF0BDA">
        <w:rPr>
          <w:rFonts w:ascii="Verdana" w:eastAsia="Calibri" w:hAnsi="Verdana"/>
          <w:vertAlign w:val="superscript"/>
        </w:rPr>
        <w:footnoteReference w:id="7"/>
      </w:r>
      <w:r w:rsidRPr="00EF0BDA">
        <w:rPr>
          <w:rFonts w:ascii="Verdana" w:eastAsia="Calibri" w:hAnsi="Verdana" w:cs="Arial"/>
        </w:rPr>
        <w:t xml:space="preserve">. Dicha plataforma ha tenido dos versiones, esto es, el SECOP I y el SECOP II. </w:t>
      </w:r>
      <w:r w:rsidRPr="00EF0BDA">
        <w:rPr>
          <w:rFonts w:ascii="Verdana" w:hAnsi="Verdana" w:cs="Arial"/>
          <w:shd w:val="clear" w:color="auto" w:fill="FFFFFF"/>
        </w:rPr>
        <w:t>La primera versión de la plataforma –SECOP I–, sólo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036B36E8" w14:textId="77777777" w:rsidR="00FF5B9A" w:rsidRPr="00EF0BDA" w:rsidRDefault="00FF5B9A" w:rsidP="00FF5B9A">
      <w:pPr>
        <w:pStyle w:val="Prrafodelista"/>
        <w:spacing w:line="276" w:lineRule="auto"/>
        <w:rPr>
          <w:rFonts w:ascii="Verdana" w:hAnsi="Verdana" w:cs="Arial"/>
          <w:shd w:val="clear" w:color="auto" w:fill="FFFFFF"/>
        </w:rPr>
      </w:pPr>
    </w:p>
    <w:p w14:paraId="432619CE" w14:textId="77777777" w:rsidR="00FF5B9A" w:rsidRPr="00EF0BDA" w:rsidRDefault="00FF5B9A" w:rsidP="00FF5B9A">
      <w:pPr>
        <w:pStyle w:val="Prrafodelista"/>
        <w:numPr>
          <w:ilvl w:val="0"/>
          <w:numId w:val="15"/>
        </w:numPr>
        <w:tabs>
          <w:tab w:val="left" w:pos="709"/>
        </w:tabs>
        <w:spacing w:before="120" w:after="120" w:line="276" w:lineRule="auto"/>
        <w:jc w:val="both"/>
        <w:rPr>
          <w:rFonts w:ascii="Verdana" w:hAnsi="Verdana" w:cs="Arial"/>
          <w:shd w:val="clear" w:color="auto" w:fill="FFFFFF"/>
        </w:rPr>
      </w:pPr>
      <w:r w:rsidRPr="00EF0BDA">
        <w:rPr>
          <w:rFonts w:ascii="Verdana" w:hAnsi="Verdana" w:cs="Arial"/>
          <w:shd w:val="clear" w:color="auto" w:fill="FFFFFF"/>
        </w:rPr>
        <w:lastRenderedPageBreak/>
        <w:t>En cambio, el SECOP II, es una plataforma transaccional que permite gestionar en línea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27B8BE2B" w14:textId="77777777" w:rsidR="00FF5B9A" w:rsidRPr="00EF0BDA" w:rsidRDefault="00FF5B9A" w:rsidP="00FF5B9A">
      <w:pPr>
        <w:pStyle w:val="Prrafodelista"/>
        <w:spacing w:line="276" w:lineRule="auto"/>
        <w:rPr>
          <w:rFonts w:ascii="Verdana" w:hAnsi="Verdana" w:cs="Arial"/>
          <w:shd w:val="clear" w:color="auto" w:fill="FFFFFF"/>
        </w:rPr>
      </w:pPr>
    </w:p>
    <w:p w14:paraId="75643249" w14:textId="77777777" w:rsidR="00FF5B9A" w:rsidRPr="00EF0BDA" w:rsidRDefault="00FF5B9A" w:rsidP="00FF5B9A">
      <w:pPr>
        <w:pStyle w:val="Prrafodelista"/>
        <w:numPr>
          <w:ilvl w:val="0"/>
          <w:numId w:val="15"/>
        </w:numPr>
        <w:tabs>
          <w:tab w:val="left" w:pos="709"/>
        </w:tabs>
        <w:spacing w:before="120" w:after="120" w:line="276" w:lineRule="auto"/>
        <w:jc w:val="both"/>
        <w:rPr>
          <w:rFonts w:ascii="Verdana" w:hAnsi="Verdana" w:cs="Arial"/>
          <w:shd w:val="clear" w:color="auto" w:fill="FFFFFF"/>
        </w:rPr>
      </w:pPr>
      <w:r w:rsidRPr="00EF0BDA">
        <w:rPr>
          <w:rFonts w:ascii="Verdana" w:hAnsi="Verdana" w:cs="Arial"/>
          <w:shd w:val="clear" w:color="auto" w:fill="FFFFFF"/>
        </w:rPr>
        <w:t xml:space="preserve">Sin embargo, pese a que los documentos que deben publicarse en el SECOP II corresponden a los mismos que deben publicarse en el SECOP I, esto es, todos los expedidos con ocasión el Proceso de Contratación con excepción de los expresamente excluidos, la naturaleza transaccional del SECOP II implica que los procesos contractuales no sólo deban ser publicados mediante esta plataforma, sino también gestionados a través de ella, al consistir la mayoría de los hitos contractuales en documentos y actuaciones electrónicas generadas en tiempo real, de tal manera que el proceso contractual avanza en la medida en la que se generen y aprueben estos documentos y actuaciones electrónicas en la plataforma. Esto a diferencia de los procesos publicados en el SECOP I, en los que primero se generan los documentos escritos y luego se publican en la plataforma dentro del plazo de tres (3) días previsto en el artículo 2.2.1.1.1.7.1 del Decreto 1082 de 2015. </w:t>
      </w:r>
    </w:p>
    <w:p w14:paraId="1FEA2357" w14:textId="77777777" w:rsidR="00FF5B9A" w:rsidRPr="00EF0BDA" w:rsidRDefault="00FF5B9A" w:rsidP="00FF5B9A">
      <w:pPr>
        <w:pStyle w:val="Prrafodelista"/>
        <w:spacing w:line="276" w:lineRule="auto"/>
        <w:rPr>
          <w:rFonts w:ascii="Verdana" w:hAnsi="Verdana" w:cs="Arial"/>
          <w:shd w:val="clear" w:color="auto" w:fill="FFFFFF"/>
        </w:rPr>
      </w:pPr>
    </w:p>
    <w:p w14:paraId="745A8E27" w14:textId="77777777" w:rsidR="00FF5B9A" w:rsidRPr="00EF0BDA" w:rsidRDefault="00FF5B9A" w:rsidP="00FF5B9A">
      <w:pPr>
        <w:pStyle w:val="Prrafodelista"/>
        <w:numPr>
          <w:ilvl w:val="0"/>
          <w:numId w:val="15"/>
        </w:numPr>
        <w:tabs>
          <w:tab w:val="left" w:pos="709"/>
        </w:tabs>
        <w:spacing w:before="120" w:after="120" w:line="276" w:lineRule="auto"/>
        <w:jc w:val="both"/>
        <w:rPr>
          <w:rFonts w:ascii="Verdana" w:hAnsi="Verdana" w:cs="Arial"/>
          <w:shd w:val="clear" w:color="auto" w:fill="FFFFFF"/>
        </w:rPr>
      </w:pPr>
      <w:r w:rsidRPr="00EF0BDA">
        <w:rPr>
          <w:rFonts w:ascii="Verdana" w:hAnsi="Verdana" w:cs="Arial"/>
          <w:shd w:val="clear" w:color="auto" w:fill="FFFFFF"/>
        </w:rPr>
        <w:t xml:space="preserve">Lo anterior significa que, el término de tres (3) días para publicar, en la práctica, no opera en las actuaciones generadas de manera electrónica dentro de los procedimientos gestionados a través de SECOP II, comoquiera que tales documentos son creados o expedidos mediante la propia plataforma, razón por la que una vez estos se aprueban quedan inmediatamente publicados, sin que transcurra el referido término. </w:t>
      </w:r>
    </w:p>
    <w:p w14:paraId="510C6E4B" w14:textId="77777777" w:rsidR="00FF5B9A" w:rsidRPr="00EF0BDA" w:rsidRDefault="00FF5B9A" w:rsidP="00FF5B9A">
      <w:pPr>
        <w:pStyle w:val="Prrafodelista"/>
        <w:spacing w:line="276" w:lineRule="auto"/>
        <w:rPr>
          <w:rFonts w:ascii="Verdana" w:hAnsi="Verdana" w:cs="Arial"/>
          <w:shd w:val="clear" w:color="auto" w:fill="FFFFFF"/>
        </w:rPr>
      </w:pPr>
    </w:p>
    <w:p w14:paraId="64F02476" w14:textId="77777777" w:rsidR="00FF5B9A" w:rsidRPr="00EF0BDA" w:rsidRDefault="00FF5B9A" w:rsidP="00FF5B9A">
      <w:pPr>
        <w:pStyle w:val="Prrafodelista"/>
        <w:numPr>
          <w:ilvl w:val="0"/>
          <w:numId w:val="15"/>
        </w:numPr>
        <w:tabs>
          <w:tab w:val="left" w:pos="709"/>
        </w:tabs>
        <w:spacing w:before="120" w:after="120" w:line="276" w:lineRule="auto"/>
        <w:jc w:val="both"/>
        <w:rPr>
          <w:rStyle w:val="eop"/>
          <w:rFonts w:ascii="Verdana" w:hAnsi="Verdana"/>
          <w:color w:val="000000"/>
          <w:shd w:val="clear" w:color="auto" w:fill="FFFFFF"/>
        </w:rPr>
      </w:pPr>
      <w:r w:rsidRPr="00EF0BDA">
        <w:rPr>
          <w:rStyle w:val="normaltextrun"/>
          <w:rFonts w:ascii="Verdana" w:hAnsi="Verdana" w:cs="Arial"/>
          <w:color w:val="000000"/>
          <w:shd w:val="clear" w:color="auto" w:fill="FFFFFF"/>
          <w:lang w:val="es-MX"/>
        </w:rPr>
        <w:t xml:space="preserve">En conclusión, el carácter transaccional de SECOP II, como herramienta que permite no sólo publicar sino también gestionar y crear Documentos </w:t>
      </w:r>
      <w:r w:rsidRPr="00EF0BDA">
        <w:rPr>
          <w:rStyle w:val="normaltextrun"/>
          <w:rFonts w:ascii="Verdana" w:hAnsi="Verdana" w:cs="Arial"/>
          <w:color w:val="000000"/>
          <w:shd w:val="clear" w:color="auto" w:fill="FFFFFF"/>
          <w:lang w:val="es-MX"/>
        </w:rPr>
        <w:lastRenderedPageBreak/>
        <w:t>del Proceso, de manera electrónica al interior de la plataforma, implica que el deber de publicidad respecto de estas actuaciones se cumpla de manera distinta a como sucede en SECOP I, donde los documentos contractuales se expiden primero en un medio físico que posteriormente es cargado en la plataforma.</w:t>
      </w:r>
      <w:r w:rsidRPr="00EF0BDA">
        <w:rPr>
          <w:rStyle w:val="eop"/>
          <w:rFonts w:ascii="Verdana" w:hAnsi="Verdana"/>
          <w:color w:val="000000"/>
          <w:shd w:val="clear" w:color="auto" w:fill="FFFFFF"/>
        </w:rPr>
        <w:t> </w:t>
      </w:r>
    </w:p>
    <w:p w14:paraId="6BB3AE50" w14:textId="77777777" w:rsidR="00FF5B9A" w:rsidRPr="00EF0BDA" w:rsidRDefault="00FF5B9A" w:rsidP="00FF5B9A">
      <w:pPr>
        <w:pStyle w:val="Prrafodelista"/>
        <w:spacing w:line="276" w:lineRule="auto"/>
        <w:rPr>
          <w:rStyle w:val="eop"/>
          <w:rFonts w:ascii="Verdana" w:hAnsi="Verdana"/>
          <w:color w:val="000000"/>
          <w:shd w:val="clear" w:color="auto" w:fill="FFFFFF"/>
        </w:rPr>
      </w:pPr>
    </w:p>
    <w:p w14:paraId="67331F08" w14:textId="77777777" w:rsidR="00FF5B9A" w:rsidRPr="00EF0BDA" w:rsidRDefault="00FF5B9A" w:rsidP="00FF5B9A">
      <w:pPr>
        <w:pStyle w:val="Prrafodelista"/>
        <w:numPr>
          <w:ilvl w:val="0"/>
          <w:numId w:val="15"/>
        </w:numPr>
        <w:tabs>
          <w:tab w:val="left" w:pos="709"/>
        </w:tabs>
        <w:spacing w:before="120" w:after="120" w:line="276" w:lineRule="auto"/>
        <w:jc w:val="both"/>
        <w:rPr>
          <w:rStyle w:val="eop"/>
          <w:rFonts w:ascii="Verdana" w:hAnsi="Verdana"/>
          <w:color w:val="000000"/>
          <w:shd w:val="clear" w:color="auto" w:fill="FFFFFF"/>
        </w:rPr>
      </w:pPr>
      <w:r w:rsidRPr="00EF0BDA">
        <w:rPr>
          <w:rStyle w:val="eop"/>
          <w:rFonts w:ascii="Verdana" w:hAnsi="Verdana"/>
          <w:color w:val="000000"/>
          <w:shd w:val="clear" w:color="auto" w:fill="FFFFFF"/>
        </w:rPr>
        <w:t xml:space="preserve">Por otra parte, y teniendo en cuenta lo consultado, debe destacarse que el artículo 53 de la Ley 2195 de 2022 estableció con mayor precisión la obligación de las Entidades Estatales exceptuadas del Estatuto General de Contratación de la Administración Pública de publicar en el SECOP II –es decir en la plataforma transaccional vigente– su actividad contractual. Así pues, respecto de los documentos que deben ser publicados en el SECOP II a efectos de dar cumplimiento al mandato consagrado en el artículo 53 de la Ley 2195 de 2022, es preciso advertir que la disposición hace referencia a los documentos relacionados con su actividad contractual, la cual define como “[…] los documentos, contratos, actos e información generada por oferentes, contratista, contratante, supervisor o interventor, tanto en la etapa precontractual, como en la contractual y la postcontractual”. </w:t>
      </w:r>
    </w:p>
    <w:p w14:paraId="2F3A6C5F" w14:textId="77777777" w:rsidR="00FF5B9A" w:rsidRPr="00EF0BDA" w:rsidRDefault="00FF5B9A" w:rsidP="00FF5B9A">
      <w:pPr>
        <w:pStyle w:val="Prrafodelista"/>
        <w:spacing w:line="276" w:lineRule="auto"/>
        <w:rPr>
          <w:rStyle w:val="eop"/>
          <w:rFonts w:ascii="Verdana" w:hAnsi="Verdana"/>
          <w:color w:val="000000"/>
          <w:shd w:val="clear" w:color="auto" w:fill="FFFFFF"/>
        </w:rPr>
      </w:pPr>
    </w:p>
    <w:p w14:paraId="6F5C32A7" w14:textId="77777777" w:rsidR="00FF5B9A" w:rsidRPr="00EF0BDA" w:rsidRDefault="00FF5B9A" w:rsidP="00FF5B9A">
      <w:pPr>
        <w:pStyle w:val="Prrafodelista"/>
        <w:numPr>
          <w:ilvl w:val="0"/>
          <w:numId w:val="15"/>
        </w:numPr>
        <w:tabs>
          <w:tab w:val="left" w:pos="709"/>
        </w:tabs>
        <w:spacing w:before="120" w:after="120" w:line="276" w:lineRule="auto"/>
        <w:jc w:val="both"/>
        <w:rPr>
          <w:rStyle w:val="eop"/>
          <w:rFonts w:ascii="Verdana" w:hAnsi="Verdana"/>
          <w:color w:val="000000"/>
          <w:shd w:val="clear" w:color="auto" w:fill="FFFFFF"/>
        </w:rPr>
      </w:pPr>
      <w:r w:rsidRPr="00EF0BDA">
        <w:rPr>
          <w:rStyle w:val="eop"/>
          <w:rFonts w:ascii="Verdana" w:hAnsi="Verdana"/>
          <w:color w:val="000000"/>
          <w:shd w:val="clear" w:color="auto" w:fill="FFFFFF"/>
        </w:rPr>
        <w:t xml:space="preserve">En ese sentido, el artículo 53 de la Ley 2195 de 2022 establece el deber de publicar toda aquella información relacionada con el respectivo contrato, sin incluir ninguna excepción relacionada con la naturaleza u objeto contractual. Por lo tanto, para que las entidades exceptuadas cumplan con el deber de publicidad consagrado en el artículo 53 de la Ley 2195 de 2022, se requiere que publiquen en el SECOP II todo documento expedido durante las diferentes etapas del proceso contractual, abarcando desde la fase previa a su celebración, pasando por la ejecución y hasta la fase posterior a su ejecución. Adicionalmente se aclara, que el cumplimiento del deber de publicación de la documentación contractual debe armonizarse con las normas aplicables al tipo de información que </w:t>
      </w:r>
      <w:r w:rsidRPr="00EF0BDA">
        <w:rPr>
          <w:rStyle w:val="eop"/>
          <w:rFonts w:ascii="Verdana" w:hAnsi="Verdana"/>
          <w:color w:val="000000"/>
          <w:shd w:val="clear" w:color="auto" w:fill="FFFFFF"/>
        </w:rPr>
        <w:lastRenderedPageBreak/>
        <w:t>estas contienen</w:t>
      </w:r>
      <w:r w:rsidRPr="00EF0BDA">
        <w:rPr>
          <w:rFonts w:ascii="Verdana" w:eastAsia="Calibri" w:hAnsi="Verdana" w:cs="Arial"/>
          <w:bCs/>
          <w:vertAlign w:val="superscript"/>
          <w:lang w:val="es-MX"/>
        </w:rPr>
        <w:footnoteReference w:id="8"/>
      </w:r>
      <w:r w:rsidRPr="00EF0BDA">
        <w:rPr>
          <w:rStyle w:val="eop"/>
          <w:rFonts w:ascii="Verdana" w:hAnsi="Verdana"/>
          <w:color w:val="000000"/>
          <w:shd w:val="clear" w:color="auto" w:fill="FFFFFF"/>
        </w:rPr>
        <w:t>. Lo anterior significa que, respecto de datos sensibles, información sometida a reserva o de la cual proceda un tratamiento especial que impida su publicidad, las entidades deberán proceder de conformidad con el tratamiento que impongan tales normas.</w:t>
      </w:r>
    </w:p>
    <w:p w14:paraId="3F102F13" w14:textId="77777777" w:rsidR="00FF5B9A" w:rsidRPr="00EF0BDA" w:rsidRDefault="00FF5B9A" w:rsidP="00FF5B9A">
      <w:pPr>
        <w:pStyle w:val="Prrafodelista"/>
        <w:spacing w:line="276" w:lineRule="auto"/>
        <w:rPr>
          <w:rStyle w:val="eop"/>
          <w:rFonts w:ascii="Verdana" w:hAnsi="Verdana"/>
          <w:color w:val="000000"/>
          <w:shd w:val="clear" w:color="auto" w:fill="FFFFFF"/>
        </w:rPr>
      </w:pPr>
    </w:p>
    <w:p w14:paraId="6AEAAFDC" w14:textId="77777777" w:rsidR="00FF5B9A" w:rsidRPr="00EF0BDA" w:rsidRDefault="00FF5B9A" w:rsidP="00FF5B9A">
      <w:pPr>
        <w:pStyle w:val="Prrafodelista"/>
        <w:numPr>
          <w:ilvl w:val="0"/>
          <w:numId w:val="15"/>
        </w:numPr>
        <w:spacing w:line="276" w:lineRule="auto"/>
        <w:jc w:val="both"/>
        <w:rPr>
          <w:rStyle w:val="eop"/>
          <w:rFonts w:ascii="Verdana" w:hAnsi="Verdana"/>
          <w:color w:val="000000"/>
          <w:shd w:val="clear" w:color="auto" w:fill="FFFFFF"/>
        </w:rPr>
      </w:pPr>
      <w:r w:rsidRPr="00EF0BDA">
        <w:rPr>
          <w:rStyle w:val="eop"/>
          <w:rFonts w:ascii="Verdana" w:hAnsi="Verdana"/>
          <w:color w:val="000000"/>
          <w:shd w:val="clear" w:color="auto" w:fill="FFFFFF"/>
        </w:rPr>
        <w:t>Teniendo en cuenta el marco normativo antes reseñado, la Circular Externa Única expedida por la Agencia Nacional de Contratación Pública - Colombia Compra Eficiente - estableció que todas las entidades del Estado tienen el deber de publicar oportunamente la información oficial de la contratación en el SECOP, sin distinción de su régimen jurídico, naturaleza jurídica o la pertenencia a una u otra rama del poder público</w:t>
      </w:r>
      <w:r w:rsidRPr="00EF0BDA">
        <w:rPr>
          <w:rFonts w:ascii="Verdana" w:eastAsia="Calibri" w:hAnsi="Verdana" w:cs="Arial"/>
          <w:bCs/>
          <w:vertAlign w:val="superscript"/>
          <w:lang w:val="es-MX"/>
        </w:rPr>
        <w:footnoteReference w:id="9"/>
      </w:r>
      <w:r w:rsidRPr="00EF0BDA">
        <w:rPr>
          <w:rStyle w:val="eop"/>
          <w:rFonts w:ascii="Verdana" w:hAnsi="Verdana"/>
          <w:color w:val="000000"/>
          <w:shd w:val="clear" w:color="auto" w:fill="FFFFFF"/>
        </w:rPr>
        <w:t xml:space="preserve">. De igual forma, en la Circular Externa No. 002 del 23 de agosto de 2024, estableció los lineamientos para la aplicación del artículo 53 de la Ley 2195 de 2022 </w:t>
      </w:r>
      <w:r w:rsidRPr="00EF0BDA">
        <w:rPr>
          <w:rStyle w:val="eop"/>
          <w:rFonts w:ascii="Verdana" w:hAnsi="Verdana"/>
          <w:color w:val="000000"/>
          <w:shd w:val="clear" w:color="auto" w:fill="FFFFFF"/>
        </w:rPr>
        <w:lastRenderedPageBreak/>
        <w:t>por parte de las Entidades Estales que por disposición legal cuentan con un régimen contractual excepcional al del Estatuto General de Contratación de la Administración Pública.</w:t>
      </w:r>
    </w:p>
    <w:p w14:paraId="48698175" w14:textId="77777777" w:rsidR="00FF5B9A" w:rsidRPr="00EF0BDA" w:rsidRDefault="00FF5B9A" w:rsidP="00FF5B9A">
      <w:pPr>
        <w:pStyle w:val="Prrafodelista"/>
        <w:spacing w:line="276" w:lineRule="auto"/>
        <w:rPr>
          <w:rStyle w:val="eop"/>
          <w:rFonts w:ascii="Verdana" w:hAnsi="Verdana"/>
          <w:color w:val="000000"/>
          <w:shd w:val="clear" w:color="auto" w:fill="FFFFFF"/>
        </w:rPr>
      </w:pPr>
    </w:p>
    <w:p w14:paraId="12984D22" w14:textId="77777777" w:rsidR="00FF5B9A" w:rsidRPr="00EF0BDA" w:rsidRDefault="00FF5B9A" w:rsidP="00FF5B9A">
      <w:pPr>
        <w:pStyle w:val="Prrafodelista"/>
        <w:numPr>
          <w:ilvl w:val="0"/>
          <w:numId w:val="15"/>
        </w:numPr>
        <w:spacing w:line="276" w:lineRule="auto"/>
        <w:jc w:val="both"/>
        <w:rPr>
          <w:rStyle w:val="eop"/>
          <w:rFonts w:ascii="Verdana" w:hAnsi="Verdana"/>
          <w:color w:val="000000"/>
          <w:shd w:val="clear" w:color="auto" w:fill="FFFFFF"/>
        </w:rPr>
      </w:pPr>
      <w:r w:rsidRPr="00EF0BDA">
        <w:rPr>
          <w:rStyle w:val="eop"/>
          <w:rFonts w:ascii="Verdana" w:hAnsi="Verdana"/>
          <w:color w:val="000000"/>
          <w:shd w:val="clear" w:color="auto" w:fill="FFFFFF"/>
        </w:rPr>
        <w:t>Ahora bien, resulta importante aclarar que en la Circular Externa No. 002 del 23 de agosto de 2024, esta Agencia señala que “[…] el término que tienen las Entidades Estatales que por disposición legal cuenten con un régimen contractual excepcional al del Estatuto General de Contratación de la Administración Pública para publicar en el SECOP II es de tres (3) días posterior a su expedición”. Es decir que, a tales entidades, les es aplicable la regla de publicación de los tres (3) días siguientes a la expedición de acto administrativo o Documento del Proceso, dispuesta en el artículo 2.2.1.1.1.7.1 del Decreto 1082 de 2015 por remisión expresa del artículo 2.1.1.2.1.7 del Decreto 1081 de 2015.</w:t>
      </w:r>
    </w:p>
    <w:p w14:paraId="77D3CCD7" w14:textId="77777777" w:rsidR="00FF5B9A" w:rsidRPr="00EF0BDA" w:rsidRDefault="00FF5B9A" w:rsidP="00FF5B9A">
      <w:pPr>
        <w:pStyle w:val="Prrafodelista"/>
        <w:spacing w:line="276" w:lineRule="auto"/>
        <w:rPr>
          <w:rStyle w:val="eop"/>
          <w:rFonts w:ascii="Verdana" w:hAnsi="Verdana"/>
          <w:color w:val="000000"/>
          <w:shd w:val="clear" w:color="auto" w:fill="FFFFFF"/>
        </w:rPr>
      </w:pPr>
    </w:p>
    <w:p w14:paraId="13665CDA" w14:textId="77777777" w:rsidR="00FF5B9A" w:rsidRPr="00EF0BDA" w:rsidRDefault="00FF5B9A" w:rsidP="00FF5B9A">
      <w:pPr>
        <w:pStyle w:val="Prrafodelista"/>
        <w:numPr>
          <w:ilvl w:val="0"/>
          <w:numId w:val="15"/>
        </w:numPr>
        <w:tabs>
          <w:tab w:val="left" w:pos="709"/>
        </w:tabs>
        <w:spacing w:before="120" w:after="120" w:line="276" w:lineRule="auto"/>
        <w:jc w:val="both"/>
        <w:rPr>
          <w:rFonts w:ascii="Verdana" w:hAnsi="Verdana" w:cs="Arial"/>
          <w:shd w:val="clear" w:color="auto" w:fill="FFFFFF"/>
        </w:rPr>
      </w:pPr>
      <w:r w:rsidRPr="00EF0BDA">
        <w:rPr>
          <w:rFonts w:ascii="Verdana" w:hAnsi="Verdana" w:cs="Arial"/>
          <w:shd w:val="clear" w:color="auto" w:fill="FFFFFF"/>
        </w:rPr>
        <w:t xml:space="preserve">Finalmente se precisa, que corresponderá a la Entidad Estatal, previo concepto de sus órganos asesores, dar cumplimiento a la publicación de los documentos que expiden dentro de un Proceso de Contratación en el SECOP, en cumplimiento de las disposiciones legales y reglamentarias. La responsabilidad de la información relacionada con los Procesos de Contratación contenidos en SECOP, es únicamente de la entidad contratante y sus funcionarios. </w:t>
      </w:r>
    </w:p>
    <w:bookmarkEnd w:id="1"/>
    <w:p w14:paraId="5904DDB4" w14:textId="77777777" w:rsidR="00FF5B9A" w:rsidRPr="00104073" w:rsidRDefault="00FF5B9A" w:rsidP="00FF5B9A">
      <w:pPr>
        <w:spacing w:after="0" w:line="276" w:lineRule="auto"/>
        <w:jc w:val="both"/>
        <w:rPr>
          <w:rFonts w:ascii="Verdana" w:eastAsia="Calibri" w:hAnsi="Verdana" w:cs="Arial"/>
        </w:rPr>
      </w:pPr>
    </w:p>
    <w:p w14:paraId="2ABA194F" w14:textId="77777777" w:rsidR="00FF5B9A" w:rsidRPr="00104073" w:rsidRDefault="00FF5B9A" w:rsidP="00FF5B9A">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04073">
        <w:rPr>
          <w:rFonts w:ascii="Verdana" w:eastAsia="Century Gothic" w:hAnsi="Verdana" w:cs="Century Gothic"/>
          <w:b/>
          <w:bCs/>
        </w:rPr>
        <w:t>Referencias normativas, jurisprudenciales y otras fuentes:</w:t>
      </w:r>
    </w:p>
    <w:p w14:paraId="4069BA26" w14:textId="77777777" w:rsidR="00FF5B9A" w:rsidRPr="00104073" w:rsidRDefault="00FF5B9A" w:rsidP="00FF5B9A">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FF5B9A" w:rsidRPr="00104073" w14:paraId="4867DDB8" w14:textId="77777777" w:rsidTr="005F249F">
        <w:trPr>
          <w:trHeight w:val="870"/>
        </w:trPr>
        <w:tc>
          <w:tcPr>
            <w:tcW w:w="8647" w:type="dxa"/>
          </w:tcPr>
          <w:p w14:paraId="33172477" w14:textId="77777777" w:rsidR="00FF5B9A" w:rsidRPr="0047490F" w:rsidRDefault="00FF5B9A" w:rsidP="00FF5B9A">
            <w:pPr>
              <w:widowControl w:val="0"/>
              <w:numPr>
                <w:ilvl w:val="0"/>
                <w:numId w:val="8"/>
              </w:numPr>
              <w:autoSpaceDE w:val="0"/>
              <w:autoSpaceDN w:val="0"/>
              <w:spacing w:after="120" w:line="276" w:lineRule="auto"/>
              <w:contextualSpacing/>
              <w:jc w:val="both"/>
              <w:rPr>
                <w:rFonts w:ascii="Verdana" w:eastAsia="Calibri" w:hAnsi="Verdana" w:cs="Arial"/>
                <w:lang w:val="es-ES"/>
              </w:rPr>
            </w:pPr>
            <w:r w:rsidRPr="0047490F">
              <w:rPr>
                <w:rFonts w:ascii="Verdana" w:eastAsia="Calibri" w:hAnsi="Verdana" w:cs="Arial"/>
                <w:lang w:val="es-ES"/>
              </w:rPr>
              <w:t>Constitución Política. Artículos 74 y 209</w:t>
            </w:r>
          </w:p>
          <w:p w14:paraId="19DEA8D9" w14:textId="77777777" w:rsidR="00FF5B9A" w:rsidRPr="0047490F" w:rsidRDefault="00FF5B9A" w:rsidP="00FF5B9A">
            <w:pPr>
              <w:widowControl w:val="0"/>
              <w:numPr>
                <w:ilvl w:val="0"/>
                <w:numId w:val="8"/>
              </w:numPr>
              <w:autoSpaceDE w:val="0"/>
              <w:autoSpaceDN w:val="0"/>
              <w:spacing w:after="120" w:line="276" w:lineRule="auto"/>
              <w:contextualSpacing/>
              <w:jc w:val="both"/>
              <w:rPr>
                <w:rFonts w:ascii="Verdana" w:eastAsia="Calibri" w:hAnsi="Verdana" w:cs="Arial"/>
                <w:lang w:val="es-ES"/>
              </w:rPr>
            </w:pPr>
            <w:r w:rsidRPr="0047490F">
              <w:rPr>
                <w:rFonts w:ascii="Verdana" w:eastAsia="Calibri" w:hAnsi="Verdana" w:cs="Arial"/>
                <w:lang w:val="es-ES"/>
              </w:rPr>
              <w:t>Ley 1150 de 2007. Literal c), artículo 3</w:t>
            </w:r>
          </w:p>
          <w:p w14:paraId="0E00487A" w14:textId="77777777" w:rsidR="00FF5B9A" w:rsidRPr="0047490F" w:rsidRDefault="00FF5B9A" w:rsidP="00FF5B9A">
            <w:pPr>
              <w:widowControl w:val="0"/>
              <w:numPr>
                <w:ilvl w:val="0"/>
                <w:numId w:val="8"/>
              </w:numPr>
              <w:autoSpaceDE w:val="0"/>
              <w:autoSpaceDN w:val="0"/>
              <w:spacing w:after="120" w:line="276" w:lineRule="auto"/>
              <w:contextualSpacing/>
              <w:jc w:val="both"/>
              <w:rPr>
                <w:rFonts w:ascii="Verdana" w:eastAsia="Calibri" w:hAnsi="Verdana" w:cs="Arial"/>
                <w:lang w:val="es-ES"/>
              </w:rPr>
            </w:pPr>
            <w:r w:rsidRPr="0047490F">
              <w:rPr>
                <w:rFonts w:ascii="Verdana" w:eastAsia="Calibri" w:hAnsi="Verdana" w:cs="Arial"/>
                <w:lang w:val="es-ES"/>
              </w:rPr>
              <w:t>Ley 1712 de 2014. Literal e), artículo 9</w:t>
            </w:r>
          </w:p>
          <w:p w14:paraId="3BE93A46" w14:textId="77777777" w:rsidR="00FF5B9A" w:rsidRPr="0047490F" w:rsidRDefault="00FF5B9A" w:rsidP="00FF5B9A">
            <w:pPr>
              <w:widowControl w:val="0"/>
              <w:numPr>
                <w:ilvl w:val="0"/>
                <w:numId w:val="8"/>
              </w:numPr>
              <w:autoSpaceDE w:val="0"/>
              <w:autoSpaceDN w:val="0"/>
              <w:spacing w:after="120" w:line="276" w:lineRule="auto"/>
              <w:contextualSpacing/>
              <w:jc w:val="both"/>
              <w:rPr>
                <w:rFonts w:ascii="Verdana" w:eastAsia="Calibri" w:hAnsi="Verdana" w:cs="Arial"/>
                <w:lang w:val="es-ES"/>
              </w:rPr>
            </w:pPr>
            <w:r w:rsidRPr="0047490F">
              <w:rPr>
                <w:rFonts w:ascii="Verdana" w:eastAsia="Calibri" w:hAnsi="Verdana" w:cs="Arial"/>
                <w:lang w:val="es-ES"/>
              </w:rPr>
              <w:t>Ley 1712 de 2014. Artículo 5</w:t>
            </w:r>
          </w:p>
          <w:p w14:paraId="7D6D73FB" w14:textId="77777777" w:rsidR="00FF5B9A" w:rsidRDefault="00FF5B9A" w:rsidP="00FF5B9A">
            <w:pPr>
              <w:widowControl w:val="0"/>
              <w:numPr>
                <w:ilvl w:val="0"/>
                <w:numId w:val="8"/>
              </w:numPr>
              <w:autoSpaceDE w:val="0"/>
              <w:autoSpaceDN w:val="0"/>
              <w:spacing w:after="120" w:line="276" w:lineRule="auto"/>
              <w:contextualSpacing/>
              <w:jc w:val="both"/>
              <w:rPr>
                <w:rFonts w:ascii="Verdana" w:eastAsia="Calibri" w:hAnsi="Verdana" w:cs="Arial"/>
                <w:lang w:val="es-ES"/>
              </w:rPr>
            </w:pPr>
            <w:r w:rsidRPr="0047490F">
              <w:rPr>
                <w:rFonts w:ascii="Verdana" w:eastAsia="Calibri" w:hAnsi="Verdana" w:cs="Arial"/>
                <w:lang w:val="es-ES"/>
              </w:rPr>
              <w:t>Ley 1712 de 2014. Literal g), artículo 11</w:t>
            </w:r>
          </w:p>
          <w:p w14:paraId="6B075B3E" w14:textId="77777777" w:rsidR="00FF5B9A" w:rsidRDefault="00FF5B9A" w:rsidP="00FF5B9A">
            <w:pPr>
              <w:widowControl w:val="0"/>
              <w:numPr>
                <w:ilvl w:val="0"/>
                <w:numId w:val="8"/>
              </w:numPr>
              <w:autoSpaceDE w:val="0"/>
              <w:autoSpaceDN w:val="0"/>
              <w:spacing w:after="120" w:line="276" w:lineRule="auto"/>
              <w:contextualSpacing/>
              <w:jc w:val="both"/>
              <w:rPr>
                <w:rFonts w:ascii="Verdana" w:eastAsia="Calibri" w:hAnsi="Verdana" w:cs="Arial"/>
                <w:lang w:val="es-ES"/>
              </w:rPr>
            </w:pPr>
            <w:r>
              <w:rPr>
                <w:rFonts w:ascii="Verdana" w:eastAsia="Calibri" w:hAnsi="Verdana" w:cs="Arial"/>
                <w:lang w:val="es-ES"/>
              </w:rPr>
              <w:t>Ley 2195 de 2022. Artículo 53</w:t>
            </w:r>
          </w:p>
          <w:p w14:paraId="14444B7E" w14:textId="77777777" w:rsidR="00FF5B9A" w:rsidRDefault="00FF5B9A" w:rsidP="00FF5B9A">
            <w:pPr>
              <w:widowControl w:val="0"/>
              <w:numPr>
                <w:ilvl w:val="0"/>
                <w:numId w:val="8"/>
              </w:numPr>
              <w:autoSpaceDE w:val="0"/>
              <w:autoSpaceDN w:val="0"/>
              <w:spacing w:after="120" w:line="276" w:lineRule="auto"/>
              <w:contextualSpacing/>
              <w:jc w:val="both"/>
              <w:rPr>
                <w:rFonts w:ascii="Verdana" w:eastAsia="Calibri" w:hAnsi="Verdana" w:cs="Arial"/>
                <w:lang w:val="es-ES"/>
              </w:rPr>
            </w:pPr>
            <w:r>
              <w:rPr>
                <w:rFonts w:ascii="Verdana" w:eastAsia="Calibri" w:hAnsi="Verdana" w:cs="Arial"/>
                <w:lang w:val="es-ES"/>
              </w:rPr>
              <w:t xml:space="preserve">Decreto 1081 de 2015. Artículo </w:t>
            </w:r>
            <w:r w:rsidRPr="00EF0BDA">
              <w:rPr>
                <w:rStyle w:val="eop"/>
                <w:rFonts w:ascii="Verdana" w:hAnsi="Verdana"/>
                <w:color w:val="000000"/>
                <w:shd w:val="clear" w:color="auto" w:fill="FFFFFF"/>
              </w:rPr>
              <w:t>2.1.1.2.1.7</w:t>
            </w:r>
          </w:p>
          <w:p w14:paraId="1B10DEE4" w14:textId="77777777" w:rsidR="00FF5B9A" w:rsidRPr="00015133" w:rsidRDefault="00FF5B9A" w:rsidP="00FF5B9A">
            <w:pPr>
              <w:widowControl w:val="0"/>
              <w:numPr>
                <w:ilvl w:val="0"/>
                <w:numId w:val="8"/>
              </w:numPr>
              <w:autoSpaceDE w:val="0"/>
              <w:autoSpaceDN w:val="0"/>
              <w:spacing w:after="120" w:line="276" w:lineRule="auto"/>
              <w:contextualSpacing/>
              <w:jc w:val="both"/>
              <w:rPr>
                <w:rFonts w:ascii="Verdana" w:eastAsia="Calibri" w:hAnsi="Verdana" w:cs="Arial"/>
                <w:lang w:val="es-ES"/>
              </w:rPr>
            </w:pPr>
            <w:r>
              <w:rPr>
                <w:rFonts w:ascii="Verdana" w:eastAsia="Calibri" w:hAnsi="Verdana" w:cs="Arial"/>
                <w:lang w:val="es-ES"/>
              </w:rPr>
              <w:t xml:space="preserve">Decreto 1082 de 2015. Artículo </w:t>
            </w:r>
            <w:r w:rsidRPr="00EF0BDA">
              <w:rPr>
                <w:rStyle w:val="eop"/>
                <w:rFonts w:ascii="Verdana" w:hAnsi="Verdana"/>
                <w:color w:val="000000"/>
                <w:shd w:val="clear" w:color="auto" w:fill="FFFFFF"/>
              </w:rPr>
              <w:t>2.2.1.1.1.7.1</w:t>
            </w:r>
          </w:p>
          <w:p w14:paraId="71439A8E" w14:textId="77777777" w:rsidR="00FF5B9A" w:rsidRPr="00F97DC2" w:rsidRDefault="00FF5B9A" w:rsidP="00FF5B9A">
            <w:pPr>
              <w:widowControl w:val="0"/>
              <w:numPr>
                <w:ilvl w:val="0"/>
                <w:numId w:val="8"/>
              </w:numPr>
              <w:autoSpaceDE w:val="0"/>
              <w:autoSpaceDN w:val="0"/>
              <w:spacing w:after="160" w:line="276" w:lineRule="auto"/>
              <w:contextualSpacing/>
              <w:jc w:val="both"/>
              <w:rPr>
                <w:rFonts w:ascii="Verdana" w:eastAsia="Aptos" w:hAnsi="Verdana" w:cs="Arial"/>
              </w:rPr>
            </w:pPr>
            <w:r>
              <w:rPr>
                <w:rFonts w:ascii="Verdana" w:eastAsia="Calibri" w:hAnsi="Verdana" w:cs="Arial"/>
                <w:lang w:val="es-ES"/>
              </w:rPr>
              <w:lastRenderedPageBreak/>
              <w:t xml:space="preserve">Circular Externa Única, disponible </w:t>
            </w:r>
            <w:hyperlink r:id="rId13" w:history="1">
              <w:r w:rsidRPr="00793D96">
                <w:rPr>
                  <w:rStyle w:val="Hipervnculo"/>
                  <w:rFonts w:ascii="Verdana" w:eastAsia="Calibri" w:hAnsi="Verdana" w:cs="Arial"/>
                  <w:lang w:val="es-ES"/>
                </w:rPr>
                <w:t>aquí</w:t>
              </w:r>
            </w:hyperlink>
          </w:p>
          <w:p w14:paraId="498D2F99" w14:textId="77777777" w:rsidR="00FF5B9A" w:rsidRPr="00502E88" w:rsidRDefault="00FF5B9A" w:rsidP="005F249F">
            <w:pPr>
              <w:widowControl w:val="0"/>
              <w:autoSpaceDE w:val="0"/>
              <w:autoSpaceDN w:val="0"/>
              <w:spacing w:after="120" w:line="276" w:lineRule="auto"/>
              <w:jc w:val="both"/>
              <w:rPr>
                <w:rFonts w:ascii="Verdana" w:hAnsi="Verdana" w:cs="Arial"/>
              </w:rPr>
            </w:pPr>
            <w:r>
              <w:rPr>
                <w:rFonts w:ascii="Verdana" w:eastAsia="Calibri" w:hAnsi="Verdana" w:cs="Arial"/>
                <w:lang w:val="es-ES"/>
              </w:rPr>
              <w:t xml:space="preserve">Circular Externa No. 002 del 23 de agosto de 2024, disponible </w:t>
            </w:r>
            <w:hyperlink r:id="rId14" w:history="1">
              <w:r w:rsidRPr="000A3117">
                <w:rPr>
                  <w:rStyle w:val="Hipervnculo"/>
                  <w:rFonts w:ascii="Verdana" w:eastAsia="Calibri" w:hAnsi="Verdana" w:cs="Arial"/>
                  <w:lang w:val="es-ES"/>
                </w:rPr>
                <w:t>aquí</w:t>
              </w:r>
            </w:hyperlink>
          </w:p>
        </w:tc>
      </w:tr>
    </w:tbl>
    <w:p w14:paraId="53B1AD37" w14:textId="77777777" w:rsidR="00FF5B9A" w:rsidRPr="00104073" w:rsidRDefault="00FF5B9A" w:rsidP="00FF5B9A">
      <w:pPr>
        <w:widowControl w:val="0"/>
        <w:autoSpaceDE w:val="0"/>
        <w:autoSpaceDN w:val="0"/>
        <w:spacing w:after="0" w:line="276" w:lineRule="auto"/>
        <w:jc w:val="both"/>
        <w:rPr>
          <w:rFonts w:ascii="Verdana" w:hAnsi="Verdana" w:cs="Arial"/>
        </w:rPr>
      </w:pPr>
    </w:p>
    <w:p w14:paraId="624EFADC" w14:textId="77777777" w:rsidR="00FF5B9A" w:rsidRPr="00104073" w:rsidRDefault="00FF5B9A" w:rsidP="00FF5B9A">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04073">
        <w:rPr>
          <w:rFonts w:ascii="Verdana" w:eastAsia="Century Gothic" w:hAnsi="Verdana" w:cs="Century Gothic"/>
          <w:b/>
          <w:bCs/>
        </w:rPr>
        <w:t>Doctrina de la Agencia Nacional de Contratación Pública:</w:t>
      </w:r>
    </w:p>
    <w:p w14:paraId="0AFAA8A3" w14:textId="77777777" w:rsidR="00FF5B9A" w:rsidRPr="00104073" w:rsidRDefault="00FF5B9A" w:rsidP="00FF5B9A">
      <w:pPr>
        <w:widowControl w:val="0"/>
        <w:autoSpaceDE w:val="0"/>
        <w:autoSpaceDN w:val="0"/>
        <w:spacing w:after="0" w:line="276" w:lineRule="auto"/>
        <w:jc w:val="both"/>
        <w:rPr>
          <w:rFonts w:ascii="Verdana" w:hAnsi="Verdana" w:cs="Arial"/>
        </w:rPr>
      </w:pPr>
    </w:p>
    <w:p w14:paraId="4D24191B" w14:textId="77777777" w:rsidR="00FF5B9A" w:rsidRPr="0047490F" w:rsidRDefault="00FF5B9A" w:rsidP="00FF5B9A">
      <w:pPr>
        <w:widowControl w:val="0"/>
        <w:autoSpaceDE w:val="0"/>
        <w:autoSpaceDN w:val="0"/>
        <w:spacing w:after="0" w:line="276" w:lineRule="auto"/>
        <w:jc w:val="both"/>
        <w:rPr>
          <w:rFonts w:ascii="Verdana" w:eastAsia="Aptos" w:hAnsi="Verdana" w:cs="Arial"/>
        </w:rPr>
      </w:pPr>
    </w:p>
    <w:p w14:paraId="7CE3FADE" w14:textId="77777777" w:rsidR="00FF5B9A" w:rsidRPr="003B5702" w:rsidRDefault="00FF5B9A" w:rsidP="00FF5B9A">
      <w:pPr>
        <w:widowControl w:val="0"/>
        <w:autoSpaceDE w:val="0"/>
        <w:autoSpaceDN w:val="0"/>
        <w:spacing w:after="0" w:line="276" w:lineRule="auto"/>
        <w:jc w:val="both"/>
        <w:rPr>
          <w:rStyle w:val="Hipervnculo"/>
        </w:rPr>
      </w:pPr>
      <w:r w:rsidRPr="0047490F">
        <w:rPr>
          <w:rFonts w:ascii="Verdana" w:eastAsia="Aptos" w:hAnsi="Verdana" w:cs="Arial"/>
          <w:shd w:val="clear" w:color="auto" w:fill="FFFFFF"/>
          <w:lang w:val="es-ES"/>
        </w:rPr>
        <w:t xml:space="preserve">Sobre el Sistema Electrónico para la Contratación Pública – SECOP, esta Subdirección se ha referido en los Conceptos </w:t>
      </w:r>
      <w:r w:rsidRPr="0047490F">
        <w:rPr>
          <w:rFonts w:ascii="Verdana" w:eastAsia="Calibri" w:hAnsi="Verdana" w:cs="Arial"/>
          <w:lang w:val="es-ES_tradnl" w:eastAsia="es-MX"/>
        </w:rPr>
        <w:t>CU-367 del 23 de julio de 2020, reiterado en los conceptos: 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 y C-472 del 6 de septiembre de 2021. De igual manera, recientemente, se pronunció sobre la interpretación del artículo 53 de la Ley 2195 de 2022, en los conceptos C-049 del 7 de marzo de 2022, C-120 del 22 de marzo de 2022, C-124 del 22 de marzo de 2022, C-132 del 28 de marzo de 2022, C-337 del 25 de mayo de 2022, C-348 del 13 de junio de 2022, C-480 del 18 de julio de 2022, C- 544 del 29 de agosto de 2022, C-555 del 6 de septiembre de 2022, C- 821 de 29 de noviembre de 2022 y C-071 del 28 de marzo de 2023</w:t>
      </w:r>
      <w:r w:rsidRPr="0047490F">
        <w:rPr>
          <w:rFonts w:ascii="Verdana" w:eastAsia="Aptos" w:hAnsi="Verdana" w:cs="Arial"/>
          <w:shd w:val="clear" w:color="auto" w:fill="FFFFFF"/>
          <w:lang w:val="es-ES"/>
        </w:rPr>
        <w:t xml:space="preserve">, </w:t>
      </w:r>
      <w:r>
        <w:rPr>
          <w:rFonts w:ascii="Verdana" w:eastAsia="Aptos" w:hAnsi="Verdana" w:cs="Arial"/>
          <w:shd w:val="clear" w:color="auto" w:fill="FFFFFF"/>
          <w:lang w:val="es-ES"/>
        </w:rPr>
        <w:t>entre otros.</w:t>
      </w:r>
      <w:r w:rsidRPr="00B47EE4">
        <w:rPr>
          <w:rStyle w:val="normaltextrun"/>
          <w:rFonts w:ascii="Verdana" w:hAnsi="Verdana" w:cs="Arial"/>
          <w:shd w:val="clear" w:color="auto" w:fill="FFFFFF"/>
        </w:rPr>
        <w:t xml:space="preserve"> Es</w:t>
      </w:r>
      <w:r w:rsidRPr="00B47EE4">
        <w:rPr>
          <w:rFonts w:ascii="Verdana" w:hAnsi="Verdana"/>
        </w:rPr>
        <w:t xml:space="preserve">tos y otros conceptos se encuentran disponibles para consulta en el Sistema de relatoría de la Agencia, al cual se puede acceder a través del siguiente </w:t>
      </w:r>
      <w:r w:rsidRPr="00104073">
        <w:rPr>
          <w:rFonts w:ascii="Verdana" w:hAnsi="Verdana"/>
        </w:rPr>
        <w:t>enlace:</w:t>
      </w:r>
      <w:r w:rsidRPr="00104073">
        <w:rPr>
          <w:rStyle w:val="normaltextrun"/>
          <w:rFonts w:ascii="Verdana" w:hAnsi="Verdana" w:cs="Arial"/>
          <w:shd w:val="clear" w:color="auto" w:fill="FFFFFF"/>
        </w:rPr>
        <w:t xml:space="preserve"> </w:t>
      </w:r>
      <w:hyperlink r:id="rId15" w:history="1">
        <w:r w:rsidRPr="003B5702">
          <w:rPr>
            <w:rStyle w:val="Hipervnculo"/>
            <w:rFonts w:ascii="Verdana" w:hAnsi="Verdana" w:cs="Arial"/>
            <w:shd w:val="clear" w:color="auto" w:fill="FFFFFF"/>
          </w:rPr>
          <w:t>https://relatoria.colombiacompra.gov.co/busqueda/conceptos</w:t>
        </w:r>
      </w:hyperlink>
      <w:r w:rsidRPr="003B5702">
        <w:rPr>
          <w:rStyle w:val="Hipervnculo"/>
        </w:rPr>
        <w:t xml:space="preserve">. </w:t>
      </w:r>
    </w:p>
    <w:p w14:paraId="511C2396" w14:textId="77777777" w:rsidR="00FF5B9A" w:rsidRPr="00104073" w:rsidRDefault="00FF5B9A" w:rsidP="00FF5B9A">
      <w:pPr>
        <w:widowControl w:val="0"/>
        <w:autoSpaceDE w:val="0"/>
        <w:autoSpaceDN w:val="0"/>
        <w:spacing w:after="0" w:line="276" w:lineRule="auto"/>
        <w:jc w:val="both"/>
        <w:rPr>
          <w:rStyle w:val="normaltextrun"/>
          <w:rFonts w:ascii="Verdana" w:hAnsi="Verdana" w:cs="Arial"/>
          <w:color w:val="FF0000"/>
          <w:shd w:val="clear" w:color="auto" w:fill="FFFFFF"/>
        </w:rPr>
      </w:pPr>
    </w:p>
    <w:p w14:paraId="3F8E24F5" w14:textId="77777777" w:rsidR="00FF5B9A" w:rsidRPr="003B5702" w:rsidRDefault="00FF5B9A" w:rsidP="00FF5B9A">
      <w:pPr>
        <w:spacing w:after="0" w:line="240" w:lineRule="auto"/>
        <w:jc w:val="both"/>
        <w:rPr>
          <w:rFonts w:ascii="Verdana" w:hAnsi="Verdana" w:cs="Arial"/>
          <w:color w:val="000000" w:themeColor="text1"/>
          <w:shd w:val="clear" w:color="auto" w:fill="FFFFFF"/>
        </w:rPr>
      </w:pPr>
      <w:r w:rsidRPr="00E332F6">
        <w:rPr>
          <w:rFonts w:ascii="Verdana" w:hAnsi="Verdana" w:cs="Arial"/>
          <w:color w:val="000000" w:themeColor="text1"/>
          <w:shd w:val="clear" w:color="auto" w:fill="FFFFFF"/>
        </w:rPr>
        <w:t>Le informamos que ya se encuentran publicados los borradores de las nuevas versiones de los Documentos Tipo de Interventoría y Consultoría de Infraestructura de Transporte. Conoce todos los detalles y realiza tus comentarios hasta el 10 de noviembre de 2024 en los siguientes enlaces: </w:t>
      </w:r>
      <w:hyperlink r:id="rId16" w:tgtFrame="_blank" w:tooltip="Dirección URL original: https://www.colombiacompra.gov.co/content/borrador-de-documentos-tipo-de-consultoria-de-obra-publica-de-infraestructura-de-transporte. Haga clic o pulse si confía en este vínculo." w:history="1">
        <w:r w:rsidRPr="003B5702">
          <w:rPr>
            <w:rStyle w:val="Hipervnculo"/>
            <w:rFonts w:ascii="Verdana" w:hAnsi="Verdana" w:cs="Arial"/>
            <w:shd w:val="clear" w:color="auto" w:fill="FFFFFF"/>
          </w:rPr>
          <w:t>https://www.colombiacompra.gov.co/content/borrador-de-documentos-tipo-de-consultoria-de-obra-publica-de-infraestructura-de-transporte</w:t>
        </w:r>
      </w:hyperlink>
      <w:r w:rsidRPr="003B5702">
        <w:rPr>
          <w:rStyle w:val="Hipervnculo"/>
        </w:rPr>
        <w:t> y </w:t>
      </w:r>
      <w:hyperlink r:id="rId17" w:tgtFrame="_blank" w:tooltip="Dirección URL original: https://www.colombiacompra.gov.co/content/borrador-de-documentos-tipo-de-interventoria-de-obra-publica-de-infraestructura-de. Haga clic o pulse si confía en este vínculo." w:history="1">
        <w:r w:rsidRPr="003B5702">
          <w:rPr>
            <w:rStyle w:val="Hipervnculo"/>
            <w:rFonts w:ascii="Verdana" w:hAnsi="Verdana" w:cs="Arial"/>
            <w:shd w:val="clear" w:color="auto" w:fill="FFFFFF"/>
          </w:rPr>
          <w:t>https://www.colombiacompra.gov.co/content/borrador-de-documentos-tipo-de-interventoria-de-obra-publica-de-infraestructura-de</w:t>
        </w:r>
      </w:hyperlink>
      <w:r w:rsidRPr="003B5702">
        <w:rPr>
          <w:rStyle w:val="Hipervnculo"/>
        </w:rPr>
        <w:t> .</w:t>
      </w:r>
    </w:p>
    <w:p w14:paraId="4B2CA152" w14:textId="77777777" w:rsidR="00FF5B9A" w:rsidRPr="003B5702" w:rsidRDefault="00FF5B9A" w:rsidP="00FF5B9A">
      <w:pPr>
        <w:spacing w:after="0" w:line="240" w:lineRule="auto"/>
        <w:jc w:val="both"/>
        <w:rPr>
          <w:rFonts w:ascii="Verdana" w:hAnsi="Verdana" w:cs="Arial"/>
          <w:color w:val="000000" w:themeColor="text1"/>
          <w:shd w:val="clear" w:color="auto" w:fill="FFFFFF"/>
        </w:rPr>
      </w:pPr>
    </w:p>
    <w:p w14:paraId="0A35AA39" w14:textId="77777777" w:rsidR="00FF5B9A" w:rsidRDefault="00FF5B9A" w:rsidP="00FF5B9A">
      <w:pPr>
        <w:spacing w:after="0" w:line="240" w:lineRule="auto"/>
        <w:jc w:val="both"/>
        <w:rPr>
          <w:rFonts w:ascii="Verdana" w:hAnsi="Verdana" w:cs="Arial"/>
          <w:color w:val="000000" w:themeColor="text1"/>
          <w:shd w:val="clear" w:color="auto" w:fill="FFFFFF"/>
        </w:rPr>
      </w:pPr>
      <w:r w:rsidRPr="00E332F6">
        <w:rPr>
          <w:rFonts w:ascii="Verdana" w:hAnsi="Verdana" w:cs="Arial"/>
          <w:color w:val="000000" w:themeColor="text1"/>
          <w:shd w:val="clear" w:color="auto" w:fill="FFFFFF"/>
        </w:rPr>
        <w:lastRenderedPageBreak/>
        <w:t>De otra parte, te contamos que ya publicamos el borrador de la nueva Guía de Contratación Pública Sostenible y Socialmente Responsable. Conoce el documento y realiza tus comentarios hasta el 14 de noviembre de 2024 a través del siguiente enlace: </w:t>
      </w:r>
    </w:p>
    <w:p w14:paraId="47D0019B" w14:textId="77777777" w:rsidR="00FF5B9A" w:rsidRDefault="00FF5B9A" w:rsidP="00FF5B9A">
      <w:pPr>
        <w:spacing w:after="0" w:line="240" w:lineRule="auto"/>
        <w:jc w:val="both"/>
        <w:rPr>
          <w:rFonts w:ascii="Verdana" w:hAnsi="Verdana" w:cs="Arial"/>
          <w:color w:val="000000" w:themeColor="text1"/>
          <w:shd w:val="clear" w:color="auto" w:fill="FFFFFF"/>
        </w:rPr>
      </w:pPr>
    </w:p>
    <w:p w14:paraId="11DA7A4B" w14:textId="77777777" w:rsidR="00FF5B9A" w:rsidRPr="00104073" w:rsidRDefault="00FF5B9A" w:rsidP="00FF5B9A">
      <w:pPr>
        <w:spacing w:after="0" w:line="240" w:lineRule="auto"/>
        <w:jc w:val="both"/>
        <w:rPr>
          <w:rFonts w:ascii="Verdana" w:hAnsi="Verdana" w:cs="Arial"/>
          <w:color w:val="000000" w:themeColor="text1"/>
          <w:shd w:val="clear" w:color="auto" w:fill="FFFFFF"/>
        </w:rPr>
      </w:pPr>
      <w:hyperlink r:id="rId18" w:tgtFrame="_blank" w:tooltip="Dirección URL original: https://www.sucop.gov.co/entidades/colombiacompra/Normativa?IDNorma=18320. Haga clic o pulse si confía en este vínculo." w:history="1">
        <w:r w:rsidRPr="00E332F6">
          <w:rPr>
            <w:rStyle w:val="Hipervnculo"/>
            <w:rFonts w:ascii="Verdana" w:hAnsi="Verdana" w:cs="Arial"/>
            <w:shd w:val="clear" w:color="auto" w:fill="FFFFFF"/>
          </w:rPr>
          <w:t>https://www.sucop.gov.co/entidades/colombiacompra/Normativa?IDNorma=18320</w:t>
        </w:r>
      </w:hyperlink>
      <w:r w:rsidRPr="00E332F6">
        <w:rPr>
          <w:rFonts w:ascii="Verdana" w:hAnsi="Verdana" w:cs="Arial"/>
          <w:color w:val="000000" w:themeColor="text1"/>
          <w:shd w:val="clear" w:color="auto" w:fill="FFFFFF"/>
        </w:rPr>
        <w:t>  </w:t>
      </w:r>
    </w:p>
    <w:p w14:paraId="059240B4" w14:textId="77777777" w:rsidR="00FF5B9A" w:rsidRPr="00E332F6" w:rsidRDefault="00FF5B9A" w:rsidP="00FF5B9A">
      <w:pPr>
        <w:spacing w:after="0" w:line="240" w:lineRule="auto"/>
        <w:jc w:val="both"/>
        <w:rPr>
          <w:rFonts w:ascii="Verdana" w:hAnsi="Verdana" w:cs="Arial"/>
          <w:color w:val="000000" w:themeColor="text1"/>
          <w:shd w:val="clear" w:color="auto" w:fill="FFFFFF"/>
        </w:rPr>
      </w:pPr>
    </w:p>
    <w:p w14:paraId="56C8E85F" w14:textId="77777777" w:rsidR="00FF5B9A" w:rsidRPr="00E332F6" w:rsidRDefault="00FF5B9A" w:rsidP="00FF5B9A">
      <w:pPr>
        <w:spacing w:after="0" w:line="240" w:lineRule="auto"/>
        <w:jc w:val="both"/>
        <w:rPr>
          <w:rFonts w:ascii="Verdana" w:hAnsi="Verdana" w:cs="Arial"/>
          <w:color w:val="000000" w:themeColor="text1"/>
          <w:shd w:val="clear" w:color="auto" w:fill="FFFFFF"/>
        </w:rPr>
      </w:pPr>
      <w:r w:rsidRPr="00E332F6">
        <w:rPr>
          <w:rFonts w:ascii="Verdana" w:hAnsi="Verdana" w:cs="Arial"/>
          <w:color w:val="000000" w:themeColor="text1"/>
          <w:shd w:val="clear" w:color="auto" w:fill="FFFFFF"/>
        </w:rPr>
        <w:t xml:space="preserve">También le invitamos a consultar las versiones V y VI de 2024 del Boletín de Relatoría de la Subdirección de Gestión Contractual relacionados con las guías de Plan Anual de Adquisiciones y la </w:t>
      </w:r>
      <w:r w:rsidRPr="00104073">
        <w:rPr>
          <w:rFonts w:ascii="Verdana" w:hAnsi="Verdana" w:cs="Arial"/>
          <w:color w:val="000000" w:themeColor="text1"/>
          <w:shd w:val="clear" w:color="auto" w:fill="FFFFFF"/>
        </w:rPr>
        <w:t>modalidad</w:t>
      </w:r>
      <w:r w:rsidRPr="00E332F6">
        <w:rPr>
          <w:rFonts w:ascii="Verdana" w:hAnsi="Verdana" w:cs="Arial"/>
          <w:color w:val="000000" w:themeColor="text1"/>
          <w:shd w:val="clear" w:color="auto" w:fill="FFFFFF"/>
        </w:rPr>
        <w:t xml:space="preserve"> de selección de mínima cuantía , los cuales se pueden descargar en la página web de la Agencia: </w:t>
      </w:r>
      <w:hyperlink r:id="rId19" w:tgtFrame="_blank" w:tooltip="Dirección URL original: https://www.colombiacompra.gov.co/sala-de-prensa/boletin-digital. Haga clic o pulse si confía en este vínculo." w:history="1">
        <w:r w:rsidRPr="00E332F6">
          <w:rPr>
            <w:rStyle w:val="Hipervnculo"/>
            <w:rFonts w:ascii="Verdana" w:hAnsi="Verdana" w:cs="Arial"/>
            <w:shd w:val="clear" w:color="auto" w:fill="FFFFFF"/>
          </w:rPr>
          <w:t>https://www.colombiacompra.gov.co/sala-de-prensa/boletin-digital</w:t>
        </w:r>
      </w:hyperlink>
    </w:p>
    <w:p w14:paraId="74875A14" w14:textId="77777777" w:rsidR="00FF5B9A" w:rsidRPr="00104073" w:rsidRDefault="00FF5B9A" w:rsidP="00FF5B9A">
      <w:pPr>
        <w:spacing w:after="0" w:line="240" w:lineRule="auto"/>
        <w:jc w:val="both"/>
        <w:rPr>
          <w:rFonts w:ascii="Verdana" w:hAnsi="Verdana"/>
        </w:rPr>
      </w:pPr>
    </w:p>
    <w:p w14:paraId="07979BBE" w14:textId="77777777" w:rsidR="00FF5B9A" w:rsidRPr="00104073" w:rsidRDefault="00FF5B9A" w:rsidP="00FF5B9A">
      <w:pPr>
        <w:spacing w:after="0" w:line="240" w:lineRule="auto"/>
        <w:jc w:val="both"/>
        <w:rPr>
          <w:rFonts w:ascii="Verdana" w:hAnsi="Verdana"/>
        </w:rPr>
      </w:pPr>
      <w:r w:rsidRPr="00104073">
        <w:rPr>
          <w:rFonts w:ascii="Verdana" w:hAnsi="Verdana"/>
        </w:rPr>
        <w:t xml:space="preserve">Por último, lo invitamos a seguirnos en las redes sociales en las cuales se difunde información institucional: </w:t>
      </w:r>
    </w:p>
    <w:p w14:paraId="5E3E7FD8" w14:textId="77777777" w:rsidR="00FF5B9A" w:rsidRPr="00104073" w:rsidRDefault="00FF5B9A" w:rsidP="00FF5B9A">
      <w:pPr>
        <w:spacing w:after="0" w:line="240" w:lineRule="auto"/>
        <w:jc w:val="both"/>
        <w:rPr>
          <w:rFonts w:ascii="Verdana" w:hAnsi="Verdana"/>
        </w:rPr>
      </w:pPr>
    </w:p>
    <w:p w14:paraId="1EBB67AC" w14:textId="77777777" w:rsidR="00FF5B9A" w:rsidRPr="00104073" w:rsidRDefault="00FF5B9A" w:rsidP="00FF5B9A">
      <w:pPr>
        <w:spacing w:after="0" w:line="240" w:lineRule="auto"/>
        <w:jc w:val="both"/>
        <w:rPr>
          <w:rFonts w:ascii="Verdana" w:hAnsi="Verdana"/>
        </w:rPr>
      </w:pPr>
      <w:r w:rsidRPr="00104073">
        <w:rPr>
          <w:rFonts w:ascii="Verdana" w:hAnsi="Verdana"/>
        </w:rPr>
        <w:t xml:space="preserve">Twitter: </w:t>
      </w:r>
      <w:r w:rsidRPr="00104073">
        <w:rPr>
          <w:rStyle w:val="Hipervnculo"/>
          <w:rFonts w:ascii="Verdana" w:hAnsi="Verdana"/>
          <w:color w:val="4472C4" w:themeColor="accent1"/>
        </w:rPr>
        <w:t>@colombiacompra</w:t>
      </w:r>
      <w:r w:rsidRPr="00104073">
        <w:rPr>
          <w:rFonts w:ascii="Verdana" w:hAnsi="Verdana"/>
          <w:color w:val="4472C4" w:themeColor="accent1"/>
        </w:rPr>
        <w:t xml:space="preserve"> </w:t>
      </w:r>
    </w:p>
    <w:p w14:paraId="16850209" w14:textId="77777777" w:rsidR="00FF5B9A" w:rsidRPr="00104073" w:rsidRDefault="00FF5B9A" w:rsidP="00FF5B9A">
      <w:pPr>
        <w:spacing w:after="0" w:line="240" w:lineRule="auto"/>
        <w:jc w:val="both"/>
        <w:rPr>
          <w:rFonts w:ascii="Verdana" w:hAnsi="Verdana"/>
        </w:rPr>
      </w:pPr>
      <w:r w:rsidRPr="00104073">
        <w:rPr>
          <w:rFonts w:ascii="Verdana" w:hAnsi="Verdana"/>
        </w:rPr>
        <w:t xml:space="preserve">Facebook: </w:t>
      </w:r>
      <w:r w:rsidRPr="00104073">
        <w:rPr>
          <w:rStyle w:val="Hipervnculo"/>
          <w:rFonts w:ascii="Verdana" w:hAnsi="Verdana"/>
          <w:color w:val="4472C4" w:themeColor="accent1"/>
        </w:rPr>
        <w:t>ColombiaCompraEficiente</w:t>
      </w:r>
    </w:p>
    <w:p w14:paraId="07ABD0DD" w14:textId="77777777" w:rsidR="00FF5B9A" w:rsidRPr="00104073" w:rsidRDefault="00FF5B9A" w:rsidP="00FF5B9A">
      <w:pPr>
        <w:spacing w:after="0" w:line="240" w:lineRule="auto"/>
        <w:jc w:val="both"/>
        <w:rPr>
          <w:rFonts w:ascii="Verdana" w:hAnsi="Verdana"/>
        </w:rPr>
      </w:pPr>
      <w:r w:rsidRPr="00104073">
        <w:rPr>
          <w:rFonts w:ascii="Verdana" w:hAnsi="Verdana"/>
        </w:rPr>
        <w:t xml:space="preserve">LinkedIn: </w:t>
      </w:r>
      <w:r w:rsidRPr="00104073">
        <w:rPr>
          <w:rStyle w:val="Hipervnculo"/>
          <w:rFonts w:ascii="Verdana" w:hAnsi="Verdana"/>
          <w:color w:val="4472C4" w:themeColor="accent1"/>
        </w:rPr>
        <w:t>Agencia Nacional de Contratación Pública - Colombia Compra Eficiente</w:t>
      </w:r>
      <w:r w:rsidRPr="00104073">
        <w:rPr>
          <w:rFonts w:ascii="Verdana" w:hAnsi="Verdana"/>
          <w:color w:val="4472C4" w:themeColor="accent1"/>
        </w:rPr>
        <w:t xml:space="preserve"> </w:t>
      </w:r>
      <w:r w:rsidRPr="00104073">
        <w:rPr>
          <w:rFonts w:ascii="Verdana" w:hAnsi="Verdana"/>
        </w:rPr>
        <w:t xml:space="preserve">Instagram: </w:t>
      </w:r>
      <w:r w:rsidRPr="00104073">
        <w:rPr>
          <w:rStyle w:val="Hipervnculo"/>
          <w:rFonts w:ascii="Verdana" w:hAnsi="Verdana"/>
          <w:color w:val="4472C4" w:themeColor="accent1"/>
        </w:rPr>
        <w:t>@colombiacompraeficiente_cce</w:t>
      </w:r>
    </w:p>
    <w:p w14:paraId="65786D99" w14:textId="77777777" w:rsidR="00FF5B9A" w:rsidRPr="00104073" w:rsidRDefault="00FF5B9A" w:rsidP="00FF5B9A">
      <w:pPr>
        <w:widowControl w:val="0"/>
        <w:autoSpaceDE w:val="0"/>
        <w:autoSpaceDN w:val="0"/>
        <w:spacing w:after="0" w:line="276" w:lineRule="auto"/>
        <w:jc w:val="both"/>
        <w:rPr>
          <w:rFonts w:ascii="Verdana" w:hAnsi="Verdana" w:cs="Arial"/>
        </w:rPr>
      </w:pPr>
    </w:p>
    <w:p w14:paraId="58117314" w14:textId="77777777" w:rsidR="00FF5B9A" w:rsidRPr="00104073" w:rsidRDefault="00FF5B9A" w:rsidP="00FF5B9A">
      <w:pPr>
        <w:widowControl w:val="0"/>
        <w:autoSpaceDE w:val="0"/>
        <w:autoSpaceDN w:val="0"/>
        <w:spacing w:after="0" w:line="276" w:lineRule="auto"/>
        <w:jc w:val="both"/>
        <w:rPr>
          <w:rFonts w:ascii="Verdana" w:hAnsi="Verdana" w:cs="Arial"/>
        </w:rPr>
      </w:pPr>
      <w:r w:rsidRPr="00104073">
        <w:rPr>
          <w:rFonts w:ascii="Verdana" w:hAnsi="Verdana" w:cs="Aria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3078A0B5" w14:textId="77777777" w:rsidR="00FF5B9A" w:rsidRPr="00104073" w:rsidRDefault="00FF5B9A" w:rsidP="00FF5B9A">
      <w:pPr>
        <w:widowControl w:val="0"/>
        <w:autoSpaceDE w:val="0"/>
        <w:autoSpaceDN w:val="0"/>
        <w:spacing w:after="0" w:line="276" w:lineRule="auto"/>
        <w:jc w:val="both"/>
        <w:rPr>
          <w:rFonts w:ascii="Verdana" w:hAnsi="Verdana" w:cs="Arial"/>
        </w:rPr>
      </w:pPr>
    </w:p>
    <w:p w14:paraId="1EB9FC73" w14:textId="77777777" w:rsidR="00FF5B9A" w:rsidRPr="00104073" w:rsidRDefault="00FF5B9A" w:rsidP="00FF5B9A">
      <w:pPr>
        <w:spacing w:after="0" w:line="240" w:lineRule="auto"/>
        <w:rPr>
          <w:rFonts w:ascii="Verdana" w:hAnsi="Verdana" w:cs="Arial"/>
          <w:lang w:eastAsia="es-CO"/>
        </w:rPr>
      </w:pPr>
      <w:r w:rsidRPr="00104073">
        <w:rPr>
          <w:rFonts w:ascii="Verdana" w:eastAsia="Times New Roman" w:hAnsi="Verdana" w:cs="Arial"/>
          <w:lang w:eastAsia="es-CO"/>
        </w:rPr>
        <w:t>Atentamente,</w:t>
      </w:r>
    </w:p>
    <w:p w14:paraId="60168032" w14:textId="722B406A" w:rsidR="00FF5B9A" w:rsidRPr="00104073" w:rsidRDefault="00020EA4" w:rsidP="00FF5B9A">
      <w:pPr>
        <w:spacing w:line="276" w:lineRule="auto"/>
        <w:jc w:val="center"/>
        <w:rPr>
          <w:rFonts w:ascii="Verdana" w:hAnsi="Verdana" w:cs="Arial"/>
          <w:color w:val="000000"/>
          <w:lang w:eastAsia="es-CO"/>
        </w:rPr>
      </w:pPr>
      <w:r w:rsidRPr="000E7121">
        <w:rPr>
          <w:rFonts w:ascii="Verdana" w:eastAsia="Aptos" w:hAnsi="Verdana" w:cs="Arial"/>
          <w:noProof/>
          <w:lang w:eastAsia="es-CO"/>
        </w:rPr>
        <w:drawing>
          <wp:inline distT="0" distB="0" distL="0" distR="0" wp14:anchorId="00531CB8" wp14:editId="0F817C37">
            <wp:extent cx="3399549" cy="1261954"/>
            <wp:effectExtent l="0" t="0" r="0" b="0"/>
            <wp:docPr id="159554257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o&#10;&#10;Descripción generada automá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03593" cy="1263455"/>
                    </a:xfrm>
                    <a:prstGeom prst="rect">
                      <a:avLst/>
                    </a:prstGeom>
                    <a:noFill/>
                    <a:ln>
                      <a:noFill/>
                    </a:ln>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FF5B9A" w:rsidRPr="00B47EE4" w14:paraId="745D9C1D" w14:textId="77777777" w:rsidTr="005F249F">
        <w:trPr>
          <w:trHeight w:val="315"/>
        </w:trPr>
        <w:tc>
          <w:tcPr>
            <w:tcW w:w="893" w:type="dxa"/>
            <w:vAlign w:val="center"/>
            <w:hideMark/>
          </w:tcPr>
          <w:p w14:paraId="5A40F5C0" w14:textId="77777777" w:rsidR="00FF5B9A" w:rsidRPr="00B47EE4" w:rsidRDefault="00FF5B9A" w:rsidP="005F249F">
            <w:pPr>
              <w:contextualSpacing/>
              <w:rPr>
                <w:rFonts w:ascii="Verdana" w:hAnsi="Verdana" w:cs="Arial"/>
                <w:sz w:val="16"/>
                <w:szCs w:val="16"/>
                <w:lang w:eastAsia="es-ES"/>
              </w:rPr>
            </w:pPr>
            <w:r w:rsidRPr="00B47EE4">
              <w:rPr>
                <w:rFonts w:ascii="Verdana" w:hAnsi="Verdana" w:cs="Arial"/>
                <w:sz w:val="16"/>
                <w:szCs w:val="16"/>
                <w:lang w:eastAsia="es-ES"/>
              </w:rPr>
              <w:t>Elaboró:</w:t>
            </w:r>
          </w:p>
        </w:tc>
        <w:tc>
          <w:tcPr>
            <w:tcW w:w="5628" w:type="dxa"/>
            <w:tcBorders>
              <w:top w:val="nil"/>
              <w:left w:val="nil"/>
              <w:bottom w:val="dotted" w:sz="4" w:space="0" w:color="7F7F7F" w:themeColor="text1" w:themeTint="80"/>
              <w:right w:val="nil"/>
            </w:tcBorders>
            <w:vAlign w:val="center"/>
            <w:hideMark/>
          </w:tcPr>
          <w:p w14:paraId="09209CB2" w14:textId="77777777" w:rsidR="00FF5B9A" w:rsidRPr="00B47EE4" w:rsidRDefault="00FF5B9A" w:rsidP="005F249F">
            <w:pPr>
              <w:contextualSpacing/>
              <w:rPr>
                <w:rStyle w:val="normaltextrun"/>
                <w:rFonts w:ascii="Verdana" w:hAnsi="Verdana"/>
                <w:sz w:val="16"/>
                <w:szCs w:val="16"/>
              </w:rPr>
            </w:pPr>
            <w:r w:rsidRPr="00B47EE4">
              <w:rPr>
                <w:rStyle w:val="normaltextrun"/>
                <w:rFonts w:ascii="Verdana" w:hAnsi="Verdana"/>
                <w:sz w:val="16"/>
                <w:szCs w:val="16"/>
              </w:rPr>
              <w:t>Gloria Ximena Moreno Guio</w:t>
            </w:r>
          </w:p>
          <w:p w14:paraId="43281941" w14:textId="77777777" w:rsidR="00FF5B9A" w:rsidRPr="00B47EE4" w:rsidRDefault="00FF5B9A" w:rsidP="005F249F">
            <w:pPr>
              <w:contextualSpacing/>
              <w:rPr>
                <w:rFonts w:ascii="Verdana" w:eastAsia="Arial" w:hAnsi="Verdana" w:cs="Arial"/>
                <w:sz w:val="16"/>
                <w:szCs w:val="16"/>
              </w:rPr>
            </w:pPr>
            <w:r w:rsidRPr="00B47EE4">
              <w:rPr>
                <w:rStyle w:val="normaltextrun"/>
                <w:rFonts w:ascii="Verdana" w:hAnsi="Verdana"/>
                <w:sz w:val="16"/>
                <w:szCs w:val="16"/>
              </w:rPr>
              <w:t xml:space="preserve">Contratista </w:t>
            </w:r>
            <w:r w:rsidRPr="00B47EE4">
              <w:rPr>
                <w:rStyle w:val="normaltextrun"/>
                <w:rFonts w:ascii="Verdana" w:eastAsia="Arial" w:hAnsi="Verdana" w:cs="Arial"/>
                <w:sz w:val="16"/>
                <w:szCs w:val="16"/>
              </w:rPr>
              <w:t>de la Subdirección de Gestión Contractual</w:t>
            </w:r>
          </w:p>
        </w:tc>
      </w:tr>
      <w:tr w:rsidR="00FF5B9A" w:rsidRPr="00B47EE4" w14:paraId="54B95EF5" w14:textId="77777777" w:rsidTr="005F249F">
        <w:trPr>
          <w:trHeight w:val="330"/>
        </w:trPr>
        <w:tc>
          <w:tcPr>
            <w:tcW w:w="893" w:type="dxa"/>
            <w:vAlign w:val="center"/>
            <w:hideMark/>
          </w:tcPr>
          <w:p w14:paraId="463B0C01" w14:textId="77777777" w:rsidR="00FF5B9A" w:rsidRPr="00B47EE4" w:rsidRDefault="00FF5B9A" w:rsidP="005F249F">
            <w:pPr>
              <w:contextualSpacing/>
              <w:rPr>
                <w:rFonts w:ascii="Verdana" w:hAnsi="Verdana" w:cs="Arial"/>
                <w:sz w:val="16"/>
                <w:szCs w:val="16"/>
                <w:lang w:eastAsia="es-ES"/>
              </w:rPr>
            </w:pPr>
            <w:r w:rsidRPr="00B47EE4">
              <w:rPr>
                <w:rFonts w:ascii="Verdana" w:hAnsi="Verdana" w:cs="Arial"/>
                <w:sz w:val="16"/>
                <w:szCs w:val="16"/>
                <w:lang w:eastAsia="es-ES"/>
              </w:rPr>
              <w:lastRenderedPageBreak/>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62486BC9" w14:textId="77777777" w:rsidR="00FF5B9A" w:rsidRPr="00902468" w:rsidRDefault="00FF5B9A" w:rsidP="005F249F">
            <w:pPr>
              <w:pStyle w:val="paragraph"/>
              <w:spacing w:before="0" w:beforeAutospacing="0" w:after="0" w:afterAutospacing="0"/>
              <w:contextualSpacing/>
              <w:textAlignment w:val="baseline"/>
              <w:rPr>
                <w:rFonts w:ascii="Verdana" w:hAnsi="Verdana" w:cs="Arial"/>
                <w:sz w:val="16"/>
                <w:szCs w:val="16"/>
                <w:lang w:val="es-MX"/>
              </w:rPr>
            </w:pPr>
            <w:r w:rsidRPr="00902468">
              <w:rPr>
                <w:rFonts w:ascii="Verdana" w:hAnsi="Verdana" w:cs="Arial"/>
                <w:sz w:val="16"/>
                <w:szCs w:val="16"/>
                <w:lang w:val="es-MX"/>
              </w:rPr>
              <w:t>Alejandro Sarmiento Cantillo</w:t>
            </w:r>
          </w:p>
          <w:p w14:paraId="0F5BEDAA" w14:textId="77777777" w:rsidR="00FF5B9A" w:rsidRPr="00902468" w:rsidRDefault="00FF5B9A" w:rsidP="005F249F">
            <w:pPr>
              <w:pStyle w:val="paragraph"/>
              <w:spacing w:before="0" w:beforeAutospacing="0" w:after="0" w:afterAutospacing="0"/>
              <w:contextualSpacing/>
              <w:textAlignment w:val="baseline"/>
              <w:rPr>
                <w:rFonts w:ascii="Verdana" w:hAnsi="Verdana" w:cs="Arial"/>
                <w:sz w:val="16"/>
                <w:szCs w:val="16"/>
                <w:lang w:val="es-MX"/>
              </w:rPr>
            </w:pPr>
            <w:r w:rsidRPr="00902468">
              <w:rPr>
                <w:rFonts w:ascii="Verdana" w:hAnsi="Verdana" w:cs="Arial"/>
                <w:sz w:val="16"/>
                <w:szCs w:val="16"/>
                <w:lang w:val="es-MX"/>
              </w:rPr>
              <w:t>Gestor T1-15 de la Subdirección de Gestión Contractual</w:t>
            </w:r>
          </w:p>
        </w:tc>
      </w:tr>
      <w:tr w:rsidR="00FF5B9A" w:rsidRPr="00B47EE4" w14:paraId="67AE6973" w14:textId="77777777" w:rsidTr="005F249F">
        <w:trPr>
          <w:trHeight w:val="300"/>
        </w:trPr>
        <w:tc>
          <w:tcPr>
            <w:tcW w:w="893" w:type="dxa"/>
            <w:vAlign w:val="center"/>
          </w:tcPr>
          <w:p w14:paraId="667CD2CA" w14:textId="77777777" w:rsidR="00FF5B9A" w:rsidRPr="00B47EE4" w:rsidRDefault="00FF5B9A" w:rsidP="005F249F">
            <w:pPr>
              <w:contextualSpacing/>
              <w:rPr>
                <w:rFonts w:ascii="Verdana" w:hAnsi="Verdana" w:cs="Arial"/>
                <w:sz w:val="16"/>
                <w:szCs w:val="16"/>
                <w:lang w:eastAsia="es-ES"/>
              </w:rPr>
            </w:pPr>
            <w:r w:rsidRPr="00B47EE4">
              <w:rPr>
                <w:rFonts w:ascii="Verdana" w:hAnsi="Verdana" w:cs="Arial"/>
                <w:sz w:val="16"/>
                <w:szCs w:val="16"/>
                <w:lang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5DAF7DE7" w14:textId="77777777" w:rsidR="00FF5B9A" w:rsidRPr="00B47EE4" w:rsidRDefault="00FF5B9A" w:rsidP="005F249F">
            <w:pPr>
              <w:contextualSpacing/>
              <w:rPr>
                <w:rFonts w:ascii="Verdana" w:eastAsia="Calibri" w:hAnsi="Verdana" w:cs="Arial"/>
                <w:sz w:val="16"/>
                <w:szCs w:val="16"/>
                <w:lang w:eastAsia="es-ES"/>
              </w:rPr>
            </w:pPr>
            <w:r w:rsidRPr="00B47EE4">
              <w:rPr>
                <w:rFonts w:ascii="Verdana" w:eastAsia="Calibri" w:hAnsi="Verdana" w:cs="Arial"/>
                <w:sz w:val="16"/>
                <w:szCs w:val="16"/>
                <w:lang w:eastAsia="es-ES"/>
              </w:rPr>
              <w:t>Carolina Quintero Gacharná</w:t>
            </w:r>
          </w:p>
          <w:p w14:paraId="307DDDB0" w14:textId="77777777" w:rsidR="00FF5B9A" w:rsidRPr="00B47EE4" w:rsidRDefault="00FF5B9A" w:rsidP="005F249F">
            <w:pPr>
              <w:contextualSpacing/>
              <w:rPr>
                <w:rFonts w:ascii="Verdana" w:eastAsia="Calibri" w:hAnsi="Verdana" w:cs="Arial"/>
                <w:sz w:val="16"/>
                <w:szCs w:val="16"/>
                <w:lang w:eastAsia="es-ES"/>
              </w:rPr>
            </w:pPr>
            <w:r w:rsidRPr="00B47EE4">
              <w:rPr>
                <w:rFonts w:ascii="Verdana" w:eastAsia="Calibri" w:hAnsi="Verdana" w:cs="Arial"/>
                <w:sz w:val="16"/>
                <w:szCs w:val="16"/>
                <w:lang w:eastAsia="es-ES"/>
              </w:rPr>
              <w:t>Subdirectora de Gestión Contractual ANCP – CCE</w:t>
            </w:r>
          </w:p>
        </w:tc>
      </w:tr>
    </w:tbl>
    <w:p w14:paraId="291049AE" w14:textId="77777777" w:rsidR="00FF5B9A" w:rsidRPr="00B47EE4" w:rsidRDefault="00FF5B9A" w:rsidP="00FF5B9A">
      <w:pPr>
        <w:spacing w:after="0" w:line="240" w:lineRule="auto"/>
        <w:rPr>
          <w:rFonts w:ascii="Verdana" w:eastAsia="Times New Roman" w:hAnsi="Verdana" w:cs="Arial"/>
          <w:sz w:val="24"/>
          <w:szCs w:val="24"/>
          <w:lang w:eastAsia="es-ES"/>
        </w:rPr>
      </w:pPr>
    </w:p>
    <w:p w14:paraId="70E75713" w14:textId="77777777" w:rsidR="00FF5B9A" w:rsidRPr="00104073" w:rsidRDefault="00FF5B9A" w:rsidP="00FF5B9A">
      <w:pPr>
        <w:rPr>
          <w:rFonts w:ascii="Verdana" w:hAnsi="Verdana"/>
        </w:rPr>
      </w:pPr>
    </w:p>
    <w:p w14:paraId="76045CF3" w14:textId="77777777" w:rsidR="00FF5B9A" w:rsidRPr="001C6D95" w:rsidRDefault="00FF5B9A" w:rsidP="00FF5B9A"/>
    <w:p w14:paraId="2DE7A2A4" w14:textId="77777777" w:rsidR="00FF5B9A" w:rsidRPr="00104073" w:rsidRDefault="00FF5B9A" w:rsidP="00871B59">
      <w:pPr>
        <w:spacing w:after="0" w:line="240" w:lineRule="auto"/>
        <w:rPr>
          <w:rFonts w:ascii="Verdana" w:eastAsia="Geomanist Light" w:hAnsi="Verdana" w:cs="Arial"/>
          <w:color w:val="000000" w:themeColor="text1"/>
        </w:rPr>
      </w:pPr>
    </w:p>
    <w:sectPr w:rsidR="00FF5B9A" w:rsidRPr="00104073" w:rsidSect="00E45F4B">
      <w:headerReference w:type="default" r:id="rId21"/>
      <w:footerReference w:type="default" r:id="rId22"/>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A3F5B" w14:textId="77777777" w:rsidR="00F817C4" w:rsidRDefault="00F817C4" w:rsidP="00B30448">
      <w:pPr>
        <w:spacing w:after="0" w:line="240" w:lineRule="auto"/>
      </w:pPr>
      <w:r>
        <w:separator/>
      </w:r>
    </w:p>
  </w:endnote>
  <w:endnote w:type="continuationSeparator" w:id="0">
    <w:p w14:paraId="5D656DF6" w14:textId="77777777" w:rsidR="00F817C4" w:rsidRDefault="00F817C4" w:rsidP="00B30448">
      <w:pPr>
        <w:spacing w:after="0" w:line="240" w:lineRule="auto"/>
      </w:pPr>
      <w:r>
        <w:continuationSeparator/>
      </w:r>
    </w:p>
  </w:endnote>
  <w:endnote w:type="continuationNotice" w:id="1">
    <w:p w14:paraId="6B4F1A8A" w14:textId="77777777" w:rsidR="00F817C4" w:rsidRDefault="00F817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ED6B4" w14:textId="77777777" w:rsidR="00F817C4" w:rsidRDefault="00F817C4" w:rsidP="00B30448">
      <w:pPr>
        <w:spacing w:after="0" w:line="240" w:lineRule="auto"/>
      </w:pPr>
      <w:r>
        <w:separator/>
      </w:r>
    </w:p>
  </w:footnote>
  <w:footnote w:type="continuationSeparator" w:id="0">
    <w:p w14:paraId="3DC3ED71" w14:textId="77777777" w:rsidR="00F817C4" w:rsidRDefault="00F817C4" w:rsidP="00B30448">
      <w:pPr>
        <w:spacing w:after="0" w:line="240" w:lineRule="auto"/>
      </w:pPr>
      <w:r>
        <w:continuationSeparator/>
      </w:r>
    </w:p>
  </w:footnote>
  <w:footnote w:type="continuationNotice" w:id="1">
    <w:p w14:paraId="574B2756" w14:textId="77777777" w:rsidR="00F817C4" w:rsidRDefault="00F817C4">
      <w:pPr>
        <w:spacing w:after="0" w:line="240" w:lineRule="auto"/>
      </w:pPr>
    </w:p>
  </w:footnote>
  <w:footnote w:id="2">
    <w:p w14:paraId="76AC7D1F" w14:textId="77777777" w:rsidR="00FF5B9A" w:rsidRPr="000A3117" w:rsidRDefault="00FF5B9A" w:rsidP="00FF5B9A">
      <w:pPr>
        <w:pStyle w:val="Textonotapie"/>
        <w:ind w:firstLine="709"/>
        <w:jc w:val="both"/>
        <w:rPr>
          <w:rFonts w:ascii="Verdana" w:hAnsi="Verdana" w:cs="Arial"/>
          <w:color w:val="000000" w:themeColor="text1"/>
          <w:sz w:val="16"/>
          <w:szCs w:val="16"/>
        </w:rPr>
      </w:pPr>
      <w:r w:rsidRPr="000A3117">
        <w:rPr>
          <w:rStyle w:val="Refdenotaalpie"/>
          <w:rFonts w:ascii="Verdana" w:hAnsi="Verdana" w:cs="Arial"/>
          <w:color w:val="000000" w:themeColor="text1"/>
          <w:sz w:val="16"/>
          <w:szCs w:val="16"/>
        </w:rPr>
        <w:footnoteRef/>
      </w:r>
      <w:r w:rsidRPr="000A3117">
        <w:rPr>
          <w:rFonts w:ascii="Verdana" w:hAnsi="Verdana" w:cs="Arial"/>
          <w:color w:val="000000" w:themeColor="text1"/>
          <w:sz w:val="16"/>
          <w:szCs w:val="16"/>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52490B04" w14:textId="77777777" w:rsidR="00FF5B9A" w:rsidRPr="000A3117" w:rsidRDefault="00FF5B9A" w:rsidP="00FF5B9A">
      <w:pPr>
        <w:pStyle w:val="Textonotapie"/>
        <w:ind w:firstLine="709"/>
        <w:jc w:val="both"/>
        <w:rPr>
          <w:rFonts w:ascii="Verdana" w:hAnsi="Verdana" w:cs="Arial"/>
          <w:color w:val="000000" w:themeColor="text1"/>
          <w:sz w:val="16"/>
          <w:szCs w:val="16"/>
        </w:rPr>
      </w:pPr>
      <w:r w:rsidRPr="000A3117">
        <w:rPr>
          <w:rFonts w:ascii="Verdana" w:hAnsi="Verdana" w:cs="Arial"/>
          <w:color w:val="000000" w:themeColor="text1"/>
          <w:sz w:val="16"/>
          <w:szCs w:val="16"/>
        </w:rPr>
        <w:t>Lo anterior, sin perjuicio de las publicaciones previstas en el numeral 3 del artículo 30 de la Ley 80 de 1993.</w:t>
      </w:r>
    </w:p>
    <w:p w14:paraId="573882ED" w14:textId="77777777" w:rsidR="00FF5B9A" w:rsidRPr="000A3117" w:rsidRDefault="00FF5B9A" w:rsidP="00FF5B9A">
      <w:pPr>
        <w:pStyle w:val="Textonotapie"/>
        <w:ind w:firstLine="709"/>
        <w:jc w:val="both"/>
        <w:rPr>
          <w:rFonts w:ascii="Verdana" w:hAnsi="Verdana" w:cs="Arial"/>
          <w:color w:val="000000" w:themeColor="text1"/>
          <w:sz w:val="16"/>
          <w:szCs w:val="16"/>
        </w:rPr>
      </w:pPr>
      <w:r w:rsidRPr="000A3117">
        <w:rPr>
          <w:rFonts w:ascii="Verdana" w:hAnsi="Verdana" w:cs="Arial"/>
          <w:color w:val="000000" w:themeColor="text1"/>
          <w:sz w:val="16"/>
          <w:szCs w:val="16"/>
        </w:rPr>
        <w:t xml:space="preserve">Con el fin de materializar los objetivos a que se refiere el inciso anterior, el Gobierno Nacional desarrollará el Sistema Electrónico para la Contratación Pública, Secop, el cual: </w:t>
      </w:r>
    </w:p>
    <w:p w14:paraId="2E039C36" w14:textId="77777777" w:rsidR="00FF5B9A" w:rsidRPr="000A3117" w:rsidRDefault="00FF5B9A" w:rsidP="00FF5B9A">
      <w:pPr>
        <w:pStyle w:val="Textonotapie"/>
        <w:ind w:firstLine="709"/>
        <w:jc w:val="both"/>
        <w:rPr>
          <w:rFonts w:ascii="Verdana" w:hAnsi="Verdana" w:cs="Arial"/>
          <w:color w:val="000000" w:themeColor="text1"/>
          <w:sz w:val="16"/>
          <w:szCs w:val="16"/>
        </w:rPr>
      </w:pPr>
      <w:r w:rsidRPr="000A3117">
        <w:rPr>
          <w:rFonts w:ascii="Verdana" w:hAnsi="Verdana" w:cs="Arial"/>
          <w:color w:val="000000" w:themeColor="text1"/>
          <w:sz w:val="16"/>
          <w:szCs w:val="16"/>
        </w:rPr>
        <w:t>[…]</w:t>
      </w:r>
    </w:p>
    <w:p w14:paraId="5B8C7C7D" w14:textId="77777777" w:rsidR="00FF5B9A" w:rsidRPr="000A3117" w:rsidRDefault="00FF5B9A" w:rsidP="00FF5B9A">
      <w:pPr>
        <w:pStyle w:val="Textonotapie"/>
        <w:ind w:firstLine="709"/>
        <w:jc w:val="both"/>
        <w:rPr>
          <w:rFonts w:ascii="Verdana" w:hAnsi="Verdana" w:cs="Arial"/>
          <w:color w:val="000000" w:themeColor="text1"/>
          <w:sz w:val="16"/>
          <w:szCs w:val="16"/>
        </w:rPr>
      </w:pPr>
      <w:r w:rsidRPr="000A3117">
        <w:rPr>
          <w:rFonts w:ascii="Verdana" w:hAnsi="Verdana" w:cs="Arial"/>
          <w:color w:val="000000" w:themeColor="text1"/>
          <w:sz w:val="16"/>
          <w:szCs w:val="16"/>
        </w:rPr>
        <w:t xml:space="preserve">c) Contará con la información oficial de la contratación realizada con dineros públicos, para lo cual establecerá los patrones a que haya lugar y se encargará de su difusión a través de canales electrónico”. </w:t>
      </w:r>
    </w:p>
    <w:p w14:paraId="37909C14" w14:textId="77777777" w:rsidR="00FF5B9A" w:rsidRPr="000A3117" w:rsidRDefault="00FF5B9A" w:rsidP="00FF5B9A">
      <w:pPr>
        <w:pStyle w:val="Textonotapie"/>
        <w:ind w:firstLine="709"/>
        <w:jc w:val="both"/>
        <w:rPr>
          <w:rFonts w:ascii="Verdana" w:hAnsi="Verdana" w:cs="Arial"/>
          <w:color w:val="000000" w:themeColor="text1"/>
          <w:sz w:val="16"/>
          <w:szCs w:val="16"/>
          <w:lang w:val="es-CO"/>
        </w:rPr>
      </w:pPr>
    </w:p>
  </w:footnote>
  <w:footnote w:id="3">
    <w:p w14:paraId="41C08ED8" w14:textId="77777777" w:rsidR="00FF5B9A" w:rsidRPr="000A3117" w:rsidRDefault="00FF5B9A" w:rsidP="00FF5B9A">
      <w:pPr>
        <w:pStyle w:val="Textonotapie"/>
        <w:ind w:firstLine="709"/>
        <w:jc w:val="both"/>
        <w:rPr>
          <w:rFonts w:ascii="Verdana" w:hAnsi="Verdana" w:cs="Arial"/>
          <w:color w:val="000000" w:themeColor="text1"/>
          <w:sz w:val="16"/>
          <w:szCs w:val="16"/>
        </w:rPr>
      </w:pPr>
      <w:r w:rsidRPr="000A3117">
        <w:rPr>
          <w:rStyle w:val="Refdenotaalpie"/>
          <w:rFonts w:ascii="Verdana" w:hAnsi="Verdana" w:cs="Arial"/>
          <w:color w:val="000000" w:themeColor="text1"/>
          <w:sz w:val="16"/>
          <w:szCs w:val="16"/>
        </w:rPr>
        <w:footnoteRef/>
      </w:r>
      <w:r w:rsidRPr="000A3117">
        <w:rPr>
          <w:rFonts w:ascii="Verdana" w:hAnsi="Verdana" w:cs="Arial"/>
          <w:color w:val="000000" w:themeColor="text1"/>
          <w:sz w:val="16"/>
          <w:szCs w:val="16"/>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1334DDAC" w14:textId="77777777" w:rsidR="00FF5B9A" w:rsidRPr="000A3117" w:rsidRDefault="00FF5B9A" w:rsidP="00FF5B9A">
      <w:pPr>
        <w:pStyle w:val="Textonotapie"/>
        <w:ind w:firstLine="709"/>
        <w:jc w:val="both"/>
        <w:rPr>
          <w:rFonts w:ascii="Verdana" w:hAnsi="Verdana" w:cs="Arial"/>
          <w:color w:val="000000" w:themeColor="text1"/>
          <w:sz w:val="16"/>
          <w:szCs w:val="16"/>
          <w:lang w:val="es-CO"/>
        </w:rPr>
      </w:pPr>
    </w:p>
  </w:footnote>
  <w:footnote w:id="4">
    <w:p w14:paraId="6E28C3DB" w14:textId="77777777" w:rsidR="00FF5B9A" w:rsidRPr="000A3117" w:rsidRDefault="00FF5B9A" w:rsidP="00FF5B9A">
      <w:pPr>
        <w:pStyle w:val="Textonotapie"/>
        <w:ind w:firstLine="709"/>
        <w:jc w:val="both"/>
        <w:rPr>
          <w:rFonts w:ascii="Verdana" w:hAnsi="Verdana" w:cs="Arial"/>
          <w:color w:val="000000" w:themeColor="text1"/>
          <w:sz w:val="16"/>
          <w:szCs w:val="16"/>
        </w:rPr>
      </w:pPr>
      <w:r w:rsidRPr="000A3117">
        <w:rPr>
          <w:rStyle w:val="Refdenotaalpie"/>
          <w:rFonts w:ascii="Verdana" w:hAnsi="Verdana" w:cs="Arial"/>
          <w:color w:val="000000" w:themeColor="text1"/>
          <w:sz w:val="16"/>
          <w:szCs w:val="16"/>
        </w:rPr>
        <w:footnoteRef/>
      </w:r>
      <w:r w:rsidRPr="000A3117">
        <w:rPr>
          <w:rFonts w:ascii="Verdana" w:hAnsi="Verdana" w:cs="Arial"/>
          <w:color w:val="000000" w:themeColor="text1"/>
          <w:sz w:val="16"/>
          <w:szCs w:val="16"/>
        </w:rPr>
        <w:t xml:space="preserve"> Ley 1712 de 2014: “Artículo 5. Ámbito de aplicación. Las disposiciones de esta ley serán aplicables a las siguientes personas en calidad de sujetos obligados: </w:t>
      </w:r>
    </w:p>
    <w:p w14:paraId="2CEEA77D" w14:textId="77777777" w:rsidR="00FF5B9A" w:rsidRPr="000A3117" w:rsidRDefault="00FF5B9A" w:rsidP="00FF5B9A">
      <w:pPr>
        <w:pStyle w:val="Textonotapie"/>
        <w:ind w:firstLine="709"/>
        <w:jc w:val="both"/>
        <w:rPr>
          <w:rFonts w:ascii="Verdana" w:hAnsi="Verdana" w:cs="Arial"/>
          <w:color w:val="000000" w:themeColor="text1"/>
          <w:sz w:val="16"/>
          <w:szCs w:val="16"/>
        </w:rPr>
      </w:pPr>
      <w:r w:rsidRPr="000A3117">
        <w:rPr>
          <w:rFonts w:ascii="Verdana" w:hAnsi="Verdana" w:cs="Arial"/>
          <w:color w:val="000000" w:themeColor="text1"/>
          <w:sz w:val="16"/>
          <w:szCs w:val="16"/>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5A9C34DC" w14:textId="77777777" w:rsidR="00FF5B9A" w:rsidRPr="000A3117" w:rsidRDefault="00FF5B9A" w:rsidP="00FF5B9A">
      <w:pPr>
        <w:pStyle w:val="Textonotapie"/>
        <w:ind w:firstLine="709"/>
        <w:jc w:val="both"/>
        <w:rPr>
          <w:rFonts w:ascii="Verdana" w:hAnsi="Verdana" w:cs="Arial"/>
          <w:color w:val="000000" w:themeColor="text1"/>
          <w:sz w:val="16"/>
          <w:szCs w:val="16"/>
          <w:lang w:val="es-CO"/>
        </w:rPr>
      </w:pPr>
    </w:p>
  </w:footnote>
  <w:footnote w:id="5">
    <w:p w14:paraId="35A4BC95" w14:textId="77777777" w:rsidR="00FF5B9A" w:rsidRPr="000A3117" w:rsidRDefault="00FF5B9A" w:rsidP="00FF5B9A">
      <w:pPr>
        <w:pStyle w:val="Textonotapie"/>
        <w:ind w:firstLine="709"/>
        <w:jc w:val="both"/>
        <w:rPr>
          <w:rFonts w:ascii="Verdana" w:hAnsi="Verdana" w:cs="Arial"/>
          <w:color w:val="000000"/>
          <w:sz w:val="16"/>
          <w:szCs w:val="16"/>
        </w:rPr>
      </w:pPr>
      <w:r w:rsidRPr="000A3117">
        <w:rPr>
          <w:rFonts w:ascii="Verdana" w:eastAsia="Times New Roman" w:hAnsi="Verdana" w:cs="Arial"/>
          <w:color w:val="000000"/>
          <w:sz w:val="16"/>
          <w:szCs w:val="16"/>
          <w:vertAlign w:val="superscript"/>
          <w:lang w:val="es-ES" w:eastAsia="es-ES"/>
        </w:rPr>
        <w:footnoteRef/>
      </w:r>
      <w:r w:rsidRPr="000A3117">
        <w:rPr>
          <w:rFonts w:ascii="Verdana" w:eastAsia="Times New Roman" w:hAnsi="Verdana" w:cs="Arial"/>
          <w:color w:val="000000"/>
          <w:sz w:val="16"/>
          <w:szCs w:val="16"/>
          <w:vertAlign w:val="superscript"/>
          <w:lang w:val="es-ES" w:eastAsia="es-ES"/>
        </w:rPr>
        <w:t xml:space="preserve"> </w:t>
      </w:r>
      <w:r w:rsidRPr="000A3117">
        <w:rPr>
          <w:rFonts w:ascii="Verdana" w:eastAsia="Times New Roman" w:hAnsi="Verdana" w:cs="Arial"/>
          <w:color w:val="000000"/>
          <w:sz w:val="16"/>
          <w:szCs w:val="16"/>
          <w:lang w:val="es-ES" w:eastAsia="es-ES"/>
        </w:rPr>
        <w:t>“</w:t>
      </w:r>
      <w:r w:rsidRPr="000A3117">
        <w:rPr>
          <w:rFonts w:ascii="Verdana" w:hAnsi="Verdana" w:cs="Arial"/>
          <w:color w:val="000000"/>
          <w:sz w:val="16"/>
          <w:szCs w:val="16"/>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0BE35FBF" w14:textId="77777777" w:rsidR="00FF5B9A" w:rsidRPr="000A3117" w:rsidRDefault="00FF5B9A" w:rsidP="00FF5B9A">
      <w:pPr>
        <w:pStyle w:val="Textonotapie"/>
        <w:ind w:firstLine="709"/>
        <w:jc w:val="both"/>
        <w:rPr>
          <w:rFonts w:ascii="Verdana" w:eastAsia="Times New Roman" w:hAnsi="Verdana" w:cs="Arial"/>
          <w:color w:val="000000"/>
          <w:sz w:val="16"/>
          <w:szCs w:val="16"/>
          <w:lang w:val="es-ES" w:eastAsia="es-ES"/>
        </w:rPr>
      </w:pPr>
      <w:r w:rsidRPr="000A3117">
        <w:rPr>
          <w:rFonts w:ascii="Verdana" w:hAnsi="Verdana" w:cs="Arial"/>
          <w:color w:val="000000"/>
          <w:sz w:val="16"/>
          <w:szCs w:val="16"/>
        </w:rPr>
        <w:t>[…].</w:t>
      </w:r>
    </w:p>
    <w:p w14:paraId="2CDCDE08" w14:textId="77777777" w:rsidR="00FF5B9A" w:rsidRPr="000A3117" w:rsidRDefault="00FF5B9A" w:rsidP="00FF5B9A">
      <w:pPr>
        <w:pStyle w:val="Textonotapie"/>
        <w:ind w:firstLine="709"/>
        <w:jc w:val="both"/>
        <w:rPr>
          <w:rFonts w:ascii="Verdana" w:eastAsia="Times New Roman" w:hAnsi="Verdana" w:cs="Arial"/>
          <w:color w:val="000000"/>
          <w:sz w:val="16"/>
          <w:szCs w:val="16"/>
          <w:lang w:val="es-ES" w:eastAsia="es-ES"/>
        </w:rPr>
      </w:pPr>
      <w:r w:rsidRPr="000A3117">
        <w:rPr>
          <w:rFonts w:ascii="Verdana" w:eastAsia="Times New Roman" w:hAnsi="Verdana" w:cs="Arial"/>
          <w:color w:val="000000"/>
          <w:sz w:val="16"/>
          <w:szCs w:val="16"/>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303EA2DD" w14:textId="77777777" w:rsidR="00FF5B9A" w:rsidRPr="000A3117" w:rsidRDefault="00FF5B9A" w:rsidP="00FF5B9A">
      <w:pPr>
        <w:pStyle w:val="Textonotapie"/>
        <w:ind w:firstLine="709"/>
        <w:jc w:val="both"/>
        <w:rPr>
          <w:rFonts w:ascii="Verdana" w:eastAsia="Times New Roman" w:hAnsi="Verdana" w:cs="Arial"/>
          <w:color w:val="000000"/>
          <w:sz w:val="16"/>
          <w:szCs w:val="16"/>
          <w:lang w:val="es-ES" w:eastAsia="es-ES"/>
        </w:rPr>
      </w:pPr>
    </w:p>
  </w:footnote>
  <w:footnote w:id="6">
    <w:p w14:paraId="6DFAB679" w14:textId="77777777" w:rsidR="00FF5B9A" w:rsidRPr="000A3117" w:rsidRDefault="00FF5B9A" w:rsidP="00FF5B9A">
      <w:pPr>
        <w:pStyle w:val="Textonotapie"/>
        <w:ind w:firstLine="709"/>
        <w:jc w:val="both"/>
        <w:rPr>
          <w:rFonts w:ascii="Verdana" w:hAnsi="Verdana" w:cs="Arial"/>
          <w:color w:val="000000"/>
          <w:sz w:val="16"/>
          <w:szCs w:val="16"/>
        </w:rPr>
      </w:pPr>
      <w:r w:rsidRPr="000A3117">
        <w:rPr>
          <w:rStyle w:val="Refdenotaalpie"/>
          <w:rFonts w:ascii="Verdana" w:hAnsi="Verdana" w:cs="Arial"/>
          <w:color w:val="000000"/>
          <w:sz w:val="16"/>
          <w:szCs w:val="16"/>
        </w:rPr>
        <w:footnoteRef/>
      </w:r>
      <w:r w:rsidRPr="000A3117">
        <w:rPr>
          <w:rFonts w:ascii="Verdana" w:hAnsi="Verdana" w:cs="Arial"/>
          <w:color w:val="000000"/>
          <w:sz w:val="16"/>
          <w:szCs w:val="16"/>
        </w:rPr>
        <w:t xml:space="preserve"> C</w:t>
      </w:r>
      <w:r w:rsidRPr="000A3117">
        <w:rPr>
          <w:rFonts w:ascii="Verdana" w:eastAsia="Times New Roman" w:hAnsi="Verdana" w:cs="Arial"/>
          <w:color w:val="000000"/>
          <w:sz w:val="16"/>
          <w:szCs w:val="16"/>
          <w:lang w:val="es-ES" w:eastAsia="es-ES"/>
        </w:rPr>
        <w:t>orte Constitucional. Sentencia C‒274 de 9 de mayo de 2013. M.P. Mar</w:t>
      </w:r>
      <w:r w:rsidRPr="000A3117">
        <w:rPr>
          <w:rFonts w:ascii="Verdana" w:eastAsia="Times New Roman" w:hAnsi="Verdana" w:cs="Century Gothic"/>
          <w:color w:val="000000"/>
          <w:sz w:val="16"/>
          <w:szCs w:val="16"/>
          <w:lang w:val="es-ES" w:eastAsia="es-ES"/>
        </w:rPr>
        <w:t>í</w:t>
      </w:r>
      <w:r w:rsidRPr="000A3117">
        <w:rPr>
          <w:rFonts w:ascii="Verdana" w:eastAsia="Times New Roman" w:hAnsi="Verdana" w:cs="Arial"/>
          <w:color w:val="000000"/>
          <w:sz w:val="16"/>
          <w:szCs w:val="16"/>
          <w:lang w:val="es-ES" w:eastAsia="es-ES"/>
        </w:rPr>
        <w:t xml:space="preserve">a Victoria Calle Correa. </w:t>
      </w:r>
    </w:p>
    <w:p w14:paraId="46373705" w14:textId="77777777" w:rsidR="00FF5B9A" w:rsidRPr="000A3117" w:rsidRDefault="00FF5B9A" w:rsidP="00FF5B9A">
      <w:pPr>
        <w:pStyle w:val="Textonotapie"/>
        <w:ind w:firstLine="709"/>
        <w:jc w:val="both"/>
        <w:rPr>
          <w:rFonts w:ascii="Verdana" w:hAnsi="Verdana" w:cs="Arial"/>
          <w:color w:val="000000"/>
          <w:sz w:val="16"/>
          <w:szCs w:val="16"/>
          <w:lang w:val="es-CO"/>
        </w:rPr>
      </w:pPr>
    </w:p>
  </w:footnote>
  <w:footnote w:id="7">
    <w:p w14:paraId="4F46866B" w14:textId="77777777" w:rsidR="00FF5B9A" w:rsidRPr="000A3117" w:rsidRDefault="00FF5B9A" w:rsidP="00FF5B9A">
      <w:pPr>
        <w:pStyle w:val="Textonotapie"/>
        <w:ind w:firstLine="708"/>
        <w:jc w:val="both"/>
        <w:rPr>
          <w:rFonts w:ascii="Verdana" w:hAnsi="Verdana" w:cs="Arial"/>
          <w:color w:val="000000"/>
          <w:sz w:val="16"/>
          <w:szCs w:val="16"/>
        </w:rPr>
      </w:pPr>
      <w:r w:rsidRPr="000A3117">
        <w:rPr>
          <w:rStyle w:val="Refdenotaalpie"/>
          <w:rFonts w:ascii="Verdana" w:hAnsi="Verdana" w:cs="Arial"/>
          <w:color w:val="000000"/>
          <w:sz w:val="16"/>
          <w:szCs w:val="16"/>
        </w:rPr>
        <w:footnoteRef/>
      </w:r>
      <w:r w:rsidRPr="000A3117">
        <w:rPr>
          <w:rFonts w:ascii="Verdana" w:hAnsi="Verdana" w:cs="Arial"/>
          <w:color w:val="000000"/>
          <w:sz w:val="16"/>
          <w:szCs w:val="16"/>
        </w:rPr>
        <w:t xml:space="preserve"> Decreto 4170 de 2011: “Artículo 3. Funciones: La Agencia Nacional de Contratación Pública –Colombia Compra Eficiente– ejercerá las siguientes funciones: [...]</w:t>
      </w:r>
    </w:p>
    <w:p w14:paraId="5F9F9B46" w14:textId="77777777" w:rsidR="00FF5B9A" w:rsidRPr="000A3117" w:rsidRDefault="00FF5B9A" w:rsidP="00FF5B9A">
      <w:pPr>
        <w:pStyle w:val="Textonotapie"/>
        <w:ind w:firstLine="708"/>
        <w:jc w:val="both"/>
        <w:rPr>
          <w:rFonts w:ascii="Verdana" w:hAnsi="Verdana" w:cs="Arial"/>
          <w:color w:val="000000"/>
          <w:sz w:val="16"/>
          <w:szCs w:val="16"/>
        </w:rPr>
      </w:pPr>
      <w:r w:rsidRPr="000A3117">
        <w:rPr>
          <w:rFonts w:ascii="Verdana" w:hAnsi="Verdana" w:cs="Arial"/>
          <w:color w:val="000000"/>
          <w:sz w:val="16"/>
          <w:szCs w:val="16"/>
        </w:rPr>
        <w:t>8. Desarrollar y administrar el Sistema Electrónico para la Contratación Pública (SECOP) o el que haga sus veces, y gestionar nuevos desarrollos tecnológicos en los asuntos de su competencia, teniendo en cuenta los parámetros fijados por el Consejo Directivo.[...]”.</w:t>
      </w:r>
    </w:p>
  </w:footnote>
  <w:footnote w:id="8">
    <w:p w14:paraId="0914B58F" w14:textId="77777777" w:rsidR="00FF5B9A" w:rsidRPr="000A3117" w:rsidRDefault="00FF5B9A" w:rsidP="00FF5B9A">
      <w:pPr>
        <w:pStyle w:val="Textonotapie"/>
        <w:ind w:firstLine="709"/>
        <w:contextualSpacing/>
        <w:jc w:val="both"/>
        <w:rPr>
          <w:rFonts w:ascii="Verdana" w:hAnsi="Verdana" w:cs="Arial"/>
          <w:sz w:val="16"/>
          <w:szCs w:val="16"/>
        </w:rPr>
      </w:pPr>
      <w:r w:rsidRPr="000A3117">
        <w:rPr>
          <w:rStyle w:val="Refdenotaalpie"/>
          <w:rFonts w:ascii="Verdana" w:hAnsi="Verdana" w:cs="Arial"/>
          <w:sz w:val="16"/>
          <w:szCs w:val="16"/>
        </w:rPr>
        <w:footnoteRef/>
      </w:r>
      <w:r w:rsidRPr="000A3117">
        <w:rPr>
          <w:rFonts w:ascii="Verdana" w:hAnsi="Verdana" w:cs="Arial"/>
          <w:sz w:val="16"/>
          <w:szCs w:val="16"/>
        </w:rPr>
        <w:t xml:space="preserve"> Ley 1437 de 2011: “Artículo 24. Informaciones y documentos reservados. Solo tendrán carácter reservado las informaciones y documentos expresamente sometidos a reserva por la Constitución Política o la ley, y en especial:  </w:t>
      </w:r>
    </w:p>
    <w:p w14:paraId="7A85DC5A" w14:textId="77777777" w:rsidR="00FF5B9A" w:rsidRPr="000A3117" w:rsidRDefault="00FF5B9A" w:rsidP="00FF5B9A">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1. Los relacionados con la defensa o seguridad nacionales.  </w:t>
      </w:r>
    </w:p>
    <w:p w14:paraId="7C636BBE" w14:textId="77777777" w:rsidR="00FF5B9A" w:rsidRPr="000A3117" w:rsidRDefault="00FF5B9A" w:rsidP="00FF5B9A">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2. Las instrucciones en materia diplomática o sobre negociaciones reservadas.  </w:t>
      </w:r>
    </w:p>
    <w:p w14:paraId="0D294C64" w14:textId="77777777" w:rsidR="00FF5B9A" w:rsidRPr="000A3117" w:rsidRDefault="00FF5B9A" w:rsidP="00FF5B9A">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04644F41" w14:textId="77777777" w:rsidR="00FF5B9A" w:rsidRPr="000A3117" w:rsidRDefault="00FF5B9A" w:rsidP="00FF5B9A">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17412990" w14:textId="77777777" w:rsidR="00FF5B9A" w:rsidRPr="000A3117" w:rsidRDefault="00FF5B9A" w:rsidP="00FF5B9A">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5. Los datos referentes a la información financiera y comercial, en los términos de la Ley Estatutaria 1266 de 2008.  </w:t>
      </w:r>
    </w:p>
    <w:p w14:paraId="39E42E96" w14:textId="77777777" w:rsidR="00FF5B9A" w:rsidRPr="000A3117" w:rsidRDefault="00FF5B9A" w:rsidP="00FF5B9A">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6. Los protegidos por el secreto comercial o industrial, así como los planes estratégicos de las empresas públicas de servicios públicos.  </w:t>
      </w:r>
    </w:p>
    <w:p w14:paraId="01DC0FF4" w14:textId="77777777" w:rsidR="00FF5B9A" w:rsidRPr="000A3117" w:rsidRDefault="00FF5B9A" w:rsidP="00FF5B9A">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7. Los amparados por el secreto profesional.  </w:t>
      </w:r>
    </w:p>
    <w:p w14:paraId="725CC6D9" w14:textId="77777777" w:rsidR="00FF5B9A" w:rsidRPr="000A3117" w:rsidRDefault="00FF5B9A" w:rsidP="00FF5B9A">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8. Los datos genéticos humanos.  </w:t>
      </w:r>
    </w:p>
    <w:p w14:paraId="6C457069" w14:textId="77777777" w:rsidR="00FF5B9A" w:rsidRPr="000A3117" w:rsidRDefault="00FF5B9A" w:rsidP="00FF5B9A">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footnote>
  <w:footnote w:id="9">
    <w:p w14:paraId="3EF66D8C" w14:textId="77777777" w:rsidR="00FF5B9A" w:rsidRPr="000A3117" w:rsidRDefault="00FF5B9A" w:rsidP="00FF5B9A">
      <w:pPr>
        <w:pStyle w:val="Textonotapie"/>
        <w:ind w:firstLine="709"/>
        <w:contextualSpacing/>
        <w:jc w:val="both"/>
        <w:rPr>
          <w:rFonts w:ascii="Verdana" w:hAnsi="Verdana" w:cs="Arial"/>
          <w:color w:val="000000"/>
          <w:sz w:val="16"/>
          <w:szCs w:val="16"/>
        </w:rPr>
      </w:pPr>
    </w:p>
    <w:p w14:paraId="0ED56203" w14:textId="77777777" w:rsidR="00FF5B9A" w:rsidRPr="000A3117" w:rsidRDefault="00FF5B9A" w:rsidP="00FF5B9A">
      <w:pPr>
        <w:pStyle w:val="Textonotapie"/>
        <w:ind w:firstLine="709"/>
        <w:contextualSpacing/>
        <w:jc w:val="both"/>
        <w:rPr>
          <w:rFonts w:ascii="Verdana" w:hAnsi="Verdana" w:cs="Arial"/>
          <w:color w:val="000000"/>
          <w:sz w:val="16"/>
          <w:szCs w:val="16"/>
        </w:rPr>
      </w:pPr>
      <w:r w:rsidRPr="000A3117">
        <w:rPr>
          <w:rStyle w:val="Refdenotaalpie"/>
          <w:rFonts w:ascii="Verdana" w:hAnsi="Verdana" w:cs="Arial"/>
          <w:color w:val="000000"/>
          <w:sz w:val="16"/>
          <w:szCs w:val="16"/>
        </w:rPr>
        <w:footnoteRef/>
      </w:r>
      <w:r w:rsidRPr="000A3117">
        <w:rPr>
          <w:rFonts w:ascii="Verdana" w:hAnsi="Verdana" w:cs="Arial"/>
          <w:color w:val="000000"/>
          <w:sz w:val="16"/>
          <w:szCs w:val="16"/>
        </w:rPr>
        <w:t xml:space="preserve"> “Numeral 1.1 Las Entidades Estatales de acuerdo con la definición del Decreto Reglamentario 1082 de 2015.  </w:t>
      </w:r>
    </w:p>
    <w:p w14:paraId="2B1DD1E0" w14:textId="77777777" w:rsidR="00FF5B9A" w:rsidRPr="000A3117" w:rsidRDefault="00FF5B9A" w:rsidP="00FF5B9A">
      <w:pPr>
        <w:pStyle w:val="Textonotapie"/>
        <w:ind w:firstLine="709"/>
        <w:contextualSpacing/>
        <w:jc w:val="both"/>
        <w:rPr>
          <w:rFonts w:ascii="Verdana" w:hAnsi="Verdana" w:cs="Arial"/>
          <w:color w:val="000000"/>
          <w:sz w:val="16"/>
          <w:szCs w:val="16"/>
        </w:rPr>
      </w:pPr>
      <w:r w:rsidRPr="000A3117">
        <w:rPr>
          <w:rFonts w:ascii="Verdana" w:hAnsi="Verdana" w:cs="Arial"/>
          <w:color w:val="000000"/>
          <w:sz w:val="16"/>
          <w:szCs w:val="16"/>
        </w:rPr>
        <w:t xml:space="preserve">A partir del 18 de julio de 2022, las Entidades Estatales que por disposición legal cuenten con un régimen contractual excepcional al del Estatuto General de Contratación de la Administración Pública, deberán publicar en el SECOP II, todos los documentos relacionados con su actividad contractual, de conformidad con lo señalado en el artículo 53 de la Ley 2195 de 2022. </w:t>
      </w:r>
    </w:p>
    <w:p w14:paraId="32094E79" w14:textId="77777777" w:rsidR="00FF5B9A" w:rsidRPr="000A3117" w:rsidRDefault="00FF5B9A" w:rsidP="00FF5B9A">
      <w:pPr>
        <w:pStyle w:val="Textonotapie"/>
        <w:ind w:firstLine="709"/>
        <w:contextualSpacing/>
        <w:jc w:val="both"/>
        <w:rPr>
          <w:rFonts w:ascii="Verdana" w:hAnsi="Verdana" w:cs="Arial"/>
          <w:color w:val="000000"/>
          <w:sz w:val="16"/>
          <w:szCs w:val="16"/>
        </w:rPr>
      </w:pPr>
      <w:r w:rsidRPr="000A3117">
        <w:rPr>
          <w:rFonts w:ascii="Verdana" w:hAnsi="Verdana" w:cs="Arial"/>
          <w:color w:val="000000"/>
          <w:sz w:val="16"/>
          <w:szCs w:val="16"/>
        </w:rPr>
        <w:t>Los particulares deberán publicar la información oficial de la contratación realizada con cargo a recursos públicos. Estos deberán realizar la publicación a través del módulo “Régimen Especial”.</w:t>
      </w:r>
    </w:p>
    <w:p w14:paraId="2A145877" w14:textId="77777777" w:rsidR="00FF5B9A" w:rsidRPr="000A3117" w:rsidRDefault="00FF5B9A" w:rsidP="00FF5B9A">
      <w:pPr>
        <w:pStyle w:val="Textonotapie"/>
        <w:ind w:firstLine="709"/>
        <w:contextualSpacing/>
        <w:jc w:val="both"/>
        <w:rPr>
          <w:rFonts w:ascii="Verdana" w:hAnsi="Verdana" w:cs="Arial"/>
          <w:color w:val="00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49537" w14:textId="77777777"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6432"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A9232ED"/>
    <w:multiLevelType w:val="hybridMultilevel"/>
    <w:tmpl w:val="F53222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7A4DBE"/>
    <w:multiLevelType w:val="hybridMultilevel"/>
    <w:tmpl w:val="6FA23126"/>
    <w:lvl w:ilvl="0" w:tplc="08E6B64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A74E3B"/>
    <w:multiLevelType w:val="hybridMultilevel"/>
    <w:tmpl w:val="925C75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0B27E0C"/>
    <w:multiLevelType w:val="hybridMultilevel"/>
    <w:tmpl w:val="EC46DE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0EC2D81"/>
    <w:multiLevelType w:val="hybridMultilevel"/>
    <w:tmpl w:val="477835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88E5AE1"/>
    <w:multiLevelType w:val="hybridMultilevel"/>
    <w:tmpl w:val="E5DA8E0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9D726F5"/>
    <w:multiLevelType w:val="hybridMultilevel"/>
    <w:tmpl w:val="63D0AE48"/>
    <w:lvl w:ilvl="0" w:tplc="6C5C8568">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1C03451"/>
    <w:multiLevelType w:val="hybridMultilevel"/>
    <w:tmpl w:val="8BF6CD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num w:numId="1" w16cid:durableId="413864817">
    <w:abstractNumId w:val="10"/>
  </w:num>
  <w:num w:numId="2" w16cid:durableId="1091196931">
    <w:abstractNumId w:val="2"/>
  </w:num>
  <w:num w:numId="3" w16cid:durableId="828399262">
    <w:abstractNumId w:val="4"/>
  </w:num>
  <w:num w:numId="4" w16cid:durableId="1709183530">
    <w:abstractNumId w:val="0"/>
  </w:num>
  <w:num w:numId="5" w16cid:durableId="477263750">
    <w:abstractNumId w:val="14"/>
  </w:num>
  <w:num w:numId="6" w16cid:durableId="1445883175">
    <w:abstractNumId w:val="1"/>
  </w:num>
  <w:num w:numId="7" w16cid:durableId="945422757">
    <w:abstractNumId w:val="9"/>
  </w:num>
  <w:num w:numId="8" w16cid:durableId="1493377776">
    <w:abstractNumId w:val="12"/>
  </w:num>
  <w:num w:numId="9" w16cid:durableId="2103455833">
    <w:abstractNumId w:val="6"/>
  </w:num>
  <w:num w:numId="10" w16cid:durableId="1971934253">
    <w:abstractNumId w:val="13"/>
  </w:num>
  <w:num w:numId="11" w16cid:durableId="1533417388">
    <w:abstractNumId w:val="7"/>
  </w:num>
  <w:num w:numId="12" w16cid:durableId="1294360125">
    <w:abstractNumId w:val="8"/>
  </w:num>
  <w:num w:numId="13" w16cid:durableId="1983584124">
    <w:abstractNumId w:val="3"/>
  </w:num>
  <w:num w:numId="14" w16cid:durableId="422070105">
    <w:abstractNumId w:val="5"/>
  </w:num>
  <w:num w:numId="15" w16cid:durableId="4991954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5BB0"/>
    <w:rsid w:val="0001025F"/>
    <w:rsid w:val="0001222D"/>
    <w:rsid w:val="000135EB"/>
    <w:rsid w:val="00015D2B"/>
    <w:rsid w:val="00020EA4"/>
    <w:rsid w:val="00031584"/>
    <w:rsid w:val="00032A0E"/>
    <w:rsid w:val="00034330"/>
    <w:rsid w:val="00037347"/>
    <w:rsid w:val="0004326C"/>
    <w:rsid w:val="000442CC"/>
    <w:rsid w:val="000556D4"/>
    <w:rsid w:val="000647ED"/>
    <w:rsid w:val="000716AB"/>
    <w:rsid w:val="00082E4C"/>
    <w:rsid w:val="000849D5"/>
    <w:rsid w:val="0008528F"/>
    <w:rsid w:val="000966E1"/>
    <w:rsid w:val="000971DB"/>
    <w:rsid w:val="000A41BE"/>
    <w:rsid w:val="000A6E0C"/>
    <w:rsid w:val="000A7A56"/>
    <w:rsid w:val="000B1FF7"/>
    <w:rsid w:val="000B2513"/>
    <w:rsid w:val="000B4024"/>
    <w:rsid w:val="000C3C51"/>
    <w:rsid w:val="000C7262"/>
    <w:rsid w:val="000D08D0"/>
    <w:rsid w:val="000D2A7F"/>
    <w:rsid w:val="000D4FCE"/>
    <w:rsid w:val="000D55D5"/>
    <w:rsid w:val="00104073"/>
    <w:rsid w:val="0011037E"/>
    <w:rsid w:val="0012032B"/>
    <w:rsid w:val="001363C7"/>
    <w:rsid w:val="00141AC5"/>
    <w:rsid w:val="00146B11"/>
    <w:rsid w:val="00147A04"/>
    <w:rsid w:val="0015476D"/>
    <w:rsid w:val="00161E13"/>
    <w:rsid w:val="00164AE0"/>
    <w:rsid w:val="00165E83"/>
    <w:rsid w:val="00166CD7"/>
    <w:rsid w:val="0017120C"/>
    <w:rsid w:val="00172F3A"/>
    <w:rsid w:val="00194830"/>
    <w:rsid w:val="0019532A"/>
    <w:rsid w:val="0019670E"/>
    <w:rsid w:val="00197205"/>
    <w:rsid w:val="001A5DD4"/>
    <w:rsid w:val="001A67E9"/>
    <w:rsid w:val="001B143B"/>
    <w:rsid w:val="001B21CA"/>
    <w:rsid w:val="001C04FC"/>
    <w:rsid w:val="001C0D41"/>
    <w:rsid w:val="001C25A3"/>
    <w:rsid w:val="001C3954"/>
    <w:rsid w:val="001C5D03"/>
    <w:rsid w:val="001C7771"/>
    <w:rsid w:val="001D6295"/>
    <w:rsid w:val="001D62FF"/>
    <w:rsid w:val="001E1968"/>
    <w:rsid w:val="001E57F7"/>
    <w:rsid w:val="001F3F48"/>
    <w:rsid w:val="002000AA"/>
    <w:rsid w:val="00204109"/>
    <w:rsid w:val="00211E6E"/>
    <w:rsid w:val="00212A46"/>
    <w:rsid w:val="0021401D"/>
    <w:rsid w:val="002146B8"/>
    <w:rsid w:val="00215516"/>
    <w:rsid w:val="002353C0"/>
    <w:rsid w:val="002527C2"/>
    <w:rsid w:val="00256DCE"/>
    <w:rsid w:val="00270443"/>
    <w:rsid w:val="00270EE2"/>
    <w:rsid w:val="00272972"/>
    <w:rsid w:val="00286491"/>
    <w:rsid w:val="002A0F8D"/>
    <w:rsid w:val="002B6E44"/>
    <w:rsid w:val="002E1DB5"/>
    <w:rsid w:val="002E7B5F"/>
    <w:rsid w:val="002F1BA8"/>
    <w:rsid w:val="002F3095"/>
    <w:rsid w:val="002F6CCB"/>
    <w:rsid w:val="0030461E"/>
    <w:rsid w:val="00305AF9"/>
    <w:rsid w:val="0032756A"/>
    <w:rsid w:val="003276E8"/>
    <w:rsid w:val="00334EF8"/>
    <w:rsid w:val="00336408"/>
    <w:rsid w:val="00337C26"/>
    <w:rsid w:val="00340DFB"/>
    <w:rsid w:val="0034404F"/>
    <w:rsid w:val="00350417"/>
    <w:rsid w:val="003515F8"/>
    <w:rsid w:val="00356980"/>
    <w:rsid w:val="00361828"/>
    <w:rsid w:val="00367462"/>
    <w:rsid w:val="003674F2"/>
    <w:rsid w:val="00371ECA"/>
    <w:rsid w:val="00372748"/>
    <w:rsid w:val="0037332A"/>
    <w:rsid w:val="0037737F"/>
    <w:rsid w:val="0038151A"/>
    <w:rsid w:val="00383F14"/>
    <w:rsid w:val="00387FB6"/>
    <w:rsid w:val="0039082A"/>
    <w:rsid w:val="00390C21"/>
    <w:rsid w:val="003915A4"/>
    <w:rsid w:val="00396C67"/>
    <w:rsid w:val="00396DE2"/>
    <w:rsid w:val="003A0817"/>
    <w:rsid w:val="003A37BD"/>
    <w:rsid w:val="003A4598"/>
    <w:rsid w:val="003B48EE"/>
    <w:rsid w:val="003B5362"/>
    <w:rsid w:val="003B5702"/>
    <w:rsid w:val="003B6D94"/>
    <w:rsid w:val="003C4C96"/>
    <w:rsid w:val="003C55E0"/>
    <w:rsid w:val="003D524F"/>
    <w:rsid w:val="003E2115"/>
    <w:rsid w:val="003F17C5"/>
    <w:rsid w:val="003F24E4"/>
    <w:rsid w:val="003F519B"/>
    <w:rsid w:val="0040544F"/>
    <w:rsid w:val="00405DE5"/>
    <w:rsid w:val="00406A19"/>
    <w:rsid w:val="0041222D"/>
    <w:rsid w:val="0041483E"/>
    <w:rsid w:val="00415369"/>
    <w:rsid w:val="00426931"/>
    <w:rsid w:val="00430492"/>
    <w:rsid w:val="0043579F"/>
    <w:rsid w:val="00441CCD"/>
    <w:rsid w:val="00450526"/>
    <w:rsid w:val="00450BE7"/>
    <w:rsid w:val="00455AE9"/>
    <w:rsid w:val="00456A52"/>
    <w:rsid w:val="0046741E"/>
    <w:rsid w:val="00472CC6"/>
    <w:rsid w:val="0048026E"/>
    <w:rsid w:val="004807A9"/>
    <w:rsid w:val="004813EE"/>
    <w:rsid w:val="0048776A"/>
    <w:rsid w:val="0049242F"/>
    <w:rsid w:val="00493278"/>
    <w:rsid w:val="004943D9"/>
    <w:rsid w:val="004A0E7B"/>
    <w:rsid w:val="004A3498"/>
    <w:rsid w:val="004B0C45"/>
    <w:rsid w:val="004C0AB2"/>
    <w:rsid w:val="004C1619"/>
    <w:rsid w:val="004C1A26"/>
    <w:rsid w:val="004C1CC9"/>
    <w:rsid w:val="004C3755"/>
    <w:rsid w:val="004C4485"/>
    <w:rsid w:val="004C77AD"/>
    <w:rsid w:val="004D11AF"/>
    <w:rsid w:val="004E4E59"/>
    <w:rsid w:val="004F3291"/>
    <w:rsid w:val="00500BEF"/>
    <w:rsid w:val="00500DFA"/>
    <w:rsid w:val="005019AA"/>
    <w:rsid w:val="005021BB"/>
    <w:rsid w:val="00502E88"/>
    <w:rsid w:val="005139E7"/>
    <w:rsid w:val="005147DA"/>
    <w:rsid w:val="00515FB5"/>
    <w:rsid w:val="0052365C"/>
    <w:rsid w:val="005236FE"/>
    <w:rsid w:val="00526676"/>
    <w:rsid w:val="005271EB"/>
    <w:rsid w:val="005426DB"/>
    <w:rsid w:val="0055082B"/>
    <w:rsid w:val="00552503"/>
    <w:rsid w:val="00552B57"/>
    <w:rsid w:val="00557DA1"/>
    <w:rsid w:val="0056322C"/>
    <w:rsid w:val="0058743A"/>
    <w:rsid w:val="0059065C"/>
    <w:rsid w:val="005A4DB0"/>
    <w:rsid w:val="005A7B8E"/>
    <w:rsid w:val="005B012B"/>
    <w:rsid w:val="005B0C87"/>
    <w:rsid w:val="005B6FAE"/>
    <w:rsid w:val="005C07DE"/>
    <w:rsid w:val="005C7D46"/>
    <w:rsid w:val="005C7EC9"/>
    <w:rsid w:val="005D23F6"/>
    <w:rsid w:val="005D2FA8"/>
    <w:rsid w:val="005E2281"/>
    <w:rsid w:val="005E3C1C"/>
    <w:rsid w:val="005E667C"/>
    <w:rsid w:val="005F077C"/>
    <w:rsid w:val="005F13D6"/>
    <w:rsid w:val="005F63D0"/>
    <w:rsid w:val="005F7973"/>
    <w:rsid w:val="0061690E"/>
    <w:rsid w:val="0061727B"/>
    <w:rsid w:val="006235FC"/>
    <w:rsid w:val="00627361"/>
    <w:rsid w:val="00627911"/>
    <w:rsid w:val="0063017E"/>
    <w:rsid w:val="00631B28"/>
    <w:rsid w:val="006328F6"/>
    <w:rsid w:val="00645B90"/>
    <w:rsid w:val="0064661F"/>
    <w:rsid w:val="0065051E"/>
    <w:rsid w:val="00650991"/>
    <w:rsid w:val="006511D7"/>
    <w:rsid w:val="00655880"/>
    <w:rsid w:val="00663D75"/>
    <w:rsid w:val="00664EE0"/>
    <w:rsid w:val="00670AEF"/>
    <w:rsid w:val="00673545"/>
    <w:rsid w:val="00675678"/>
    <w:rsid w:val="00677012"/>
    <w:rsid w:val="006825B4"/>
    <w:rsid w:val="00682AF2"/>
    <w:rsid w:val="006864DF"/>
    <w:rsid w:val="006A3C8A"/>
    <w:rsid w:val="006A7552"/>
    <w:rsid w:val="006B5953"/>
    <w:rsid w:val="006B7A81"/>
    <w:rsid w:val="006C42E6"/>
    <w:rsid w:val="006C4BAC"/>
    <w:rsid w:val="006C52F3"/>
    <w:rsid w:val="006E7F37"/>
    <w:rsid w:val="006F3B81"/>
    <w:rsid w:val="006F4F79"/>
    <w:rsid w:val="00705B37"/>
    <w:rsid w:val="00711FD9"/>
    <w:rsid w:val="007144EE"/>
    <w:rsid w:val="0072765F"/>
    <w:rsid w:val="00735062"/>
    <w:rsid w:val="00742944"/>
    <w:rsid w:val="00742C05"/>
    <w:rsid w:val="00746BA5"/>
    <w:rsid w:val="007471E6"/>
    <w:rsid w:val="00751D23"/>
    <w:rsid w:val="00752B07"/>
    <w:rsid w:val="007673DF"/>
    <w:rsid w:val="00770577"/>
    <w:rsid w:val="00777666"/>
    <w:rsid w:val="00780966"/>
    <w:rsid w:val="0078159B"/>
    <w:rsid w:val="00782E10"/>
    <w:rsid w:val="0078706B"/>
    <w:rsid w:val="00790836"/>
    <w:rsid w:val="00797131"/>
    <w:rsid w:val="007A0521"/>
    <w:rsid w:val="007A3C1D"/>
    <w:rsid w:val="007A3D3A"/>
    <w:rsid w:val="007A76F8"/>
    <w:rsid w:val="007B283A"/>
    <w:rsid w:val="007B285D"/>
    <w:rsid w:val="007B4D2C"/>
    <w:rsid w:val="007C287B"/>
    <w:rsid w:val="007C6BC6"/>
    <w:rsid w:val="007D16BA"/>
    <w:rsid w:val="007F34D9"/>
    <w:rsid w:val="00801BD3"/>
    <w:rsid w:val="00801DCC"/>
    <w:rsid w:val="00807D79"/>
    <w:rsid w:val="00812605"/>
    <w:rsid w:val="00813634"/>
    <w:rsid w:val="00821EFA"/>
    <w:rsid w:val="00822821"/>
    <w:rsid w:val="00831C29"/>
    <w:rsid w:val="00835DAE"/>
    <w:rsid w:val="008431EF"/>
    <w:rsid w:val="008468E0"/>
    <w:rsid w:val="00850DFC"/>
    <w:rsid w:val="00871B59"/>
    <w:rsid w:val="00877D03"/>
    <w:rsid w:val="00877E96"/>
    <w:rsid w:val="008806CA"/>
    <w:rsid w:val="008815E5"/>
    <w:rsid w:val="00887B37"/>
    <w:rsid w:val="008909B9"/>
    <w:rsid w:val="00891DFC"/>
    <w:rsid w:val="00895331"/>
    <w:rsid w:val="00897C1D"/>
    <w:rsid w:val="008A03F5"/>
    <w:rsid w:val="008A0F95"/>
    <w:rsid w:val="008A7333"/>
    <w:rsid w:val="008B12B4"/>
    <w:rsid w:val="008B701E"/>
    <w:rsid w:val="008B7914"/>
    <w:rsid w:val="008C5881"/>
    <w:rsid w:val="008C5D2A"/>
    <w:rsid w:val="008C7AF4"/>
    <w:rsid w:val="008D454A"/>
    <w:rsid w:val="008D529F"/>
    <w:rsid w:val="008E7157"/>
    <w:rsid w:val="008F5CC8"/>
    <w:rsid w:val="008F7FC5"/>
    <w:rsid w:val="00902468"/>
    <w:rsid w:val="009061B8"/>
    <w:rsid w:val="00906FD6"/>
    <w:rsid w:val="0091008B"/>
    <w:rsid w:val="00911EA2"/>
    <w:rsid w:val="00916C7D"/>
    <w:rsid w:val="0092575D"/>
    <w:rsid w:val="009341DA"/>
    <w:rsid w:val="009430F9"/>
    <w:rsid w:val="009442E8"/>
    <w:rsid w:val="00946BD0"/>
    <w:rsid w:val="00952613"/>
    <w:rsid w:val="0095426C"/>
    <w:rsid w:val="00954DC8"/>
    <w:rsid w:val="00955F9E"/>
    <w:rsid w:val="00965A06"/>
    <w:rsid w:val="00970087"/>
    <w:rsid w:val="00971074"/>
    <w:rsid w:val="00980729"/>
    <w:rsid w:val="00995D86"/>
    <w:rsid w:val="009A5453"/>
    <w:rsid w:val="009A6EE2"/>
    <w:rsid w:val="009B4D94"/>
    <w:rsid w:val="009C0FD0"/>
    <w:rsid w:val="009C2871"/>
    <w:rsid w:val="009D3C33"/>
    <w:rsid w:val="009D532A"/>
    <w:rsid w:val="009D7F3A"/>
    <w:rsid w:val="009E2F96"/>
    <w:rsid w:val="009E4885"/>
    <w:rsid w:val="00A03619"/>
    <w:rsid w:val="00A07DB6"/>
    <w:rsid w:val="00A10A73"/>
    <w:rsid w:val="00A16E24"/>
    <w:rsid w:val="00A170B3"/>
    <w:rsid w:val="00A173CD"/>
    <w:rsid w:val="00A223D5"/>
    <w:rsid w:val="00A37D1C"/>
    <w:rsid w:val="00A439A3"/>
    <w:rsid w:val="00A43B9A"/>
    <w:rsid w:val="00A5453E"/>
    <w:rsid w:val="00A56F6C"/>
    <w:rsid w:val="00A76C8C"/>
    <w:rsid w:val="00A85F30"/>
    <w:rsid w:val="00A876D2"/>
    <w:rsid w:val="00A9099E"/>
    <w:rsid w:val="00A91FB7"/>
    <w:rsid w:val="00A9298F"/>
    <w:rsid w:val="00AA0351"/>
    <w:rsid w:val="00AA0F10"/>
    <w:rsid w:val="00AA5F4A"/>
    <w:rsid w:val="00AB1984"/>
    <w:rsid w:val="00AB271C"/>
    <w:rsid w:val="00AB52B1"/>
    <w:rsid w:val="00AC4CB3"/>
    <w:rsid w:val="00AC5CEC"/>
    <w:rsid w:val="00AC780D"/>
    <w:rsid w:val="00AD036B"/>
    <w:rsid w:val="00AD1996"/>
    <w:rsid w:val="00AD4099"/>
    <w:rsid w:val="00AD4901"/>
    <w:rsid w:val="00AF33AC"/>
    <w:rsid w:val="00B00DC2"/>
    <w:rsid w:val="00B02FE0"/>
    <w:rsid w:val="00B057B6"/>
    <w:rsid w:val="00B30448"/>
    <w:rsid w:val="00B34786"/>
    <w:rsid w:val="00B400EC"/>
    <w:rsid w:val="00B40162"/>
    <w:rsid w:val="00B41ACE"/>
    <w:rsid w:val="00B47EE4"/>
    <w:rsid w:val="00B50156"/>
    <w:rsid w:val="00B518AD"/>
    <w:rsid w:val="00B60A96"/>
    <w:rsid w:val="00B63A6D"/>
    <w:rsid w:val="00B678EC"/>
    <w:rsid w:val="00B76C94"/>
    <w:rsid w:val="00B770FB"/>
    <w:rsid w:val="00B772D0"/>
    <w:rsid w:val="00B802D7"/>
    <w:rsid w:val="00B836EA"/>
    <w:rsid w:val="00B84C05"/>
    <w:rsid w:val="00B87DCD"/>
    <w:rsid w:val="00B91B81"/>
    <w:rsid w:val="00B97135"/>
    <w:rsid w:val="00BB3072"/>
    <w:rsid w:val="00BC4F89"/>
    <w:rsid w:val="00BC7632"/>
    <w:rsid w:val="00BD4278"/>
    <w:rsid w:val="00BD48A9"/>
    <w:rsid w:val="00BD630F"/>
    <w:rsid w:val="00BD7EC6"/>
    <w:rsid w:val="00BE3BF9"/>
    <w:rsid w:val="00BE3DC1"/>
    <w:rsid w:val="00BE691A"/>
    <w:rsid w:val="00BE70B2"/>
    <w:rsid w:val="00BE73FA"/>
    <w:rsid w:val="00BF6B4B"/>
    <w:rsid w:val="00BF7031"/>
    <w:rsid w:val="00C0511C"/>
    <w:rsid w:val="00C07DBD"/>
    <w:rsid w:val="00C20ACF"/>
    <w:rsid w:val="00C22307"/>
    <w:rsid w:val="00C23469"/>
    <w:rsid w:val="00C24878"/>
    <w:rsid w:val="00C30C62"/>
    <w:rsid w:val="00C30E1F"/>
    <w:rsid w:val="00C371DF"/>
    <w:rsid w:val="00C42055"/>
    <w:rsid w:val="00C44B4C"/>
    <w:rsid w:val="00C44ED0"/>
    <w:rsid w:val="00C46734"/>
    <w:rsid w:val="00C47A86"/>
    <w:rsid w:val="00C53220"/>
    <w:rsid w:val="00C574DC"/>
    <w:rsid w:val="00C65755"/>
    <w:rsid w:val="00CA3347"/>
    <w:rsid w:val="00CA6E7C"/>
    <w:rsid w:val="00CC299A"/>
    <w:rsid w:val="00CC332A"/>
    <w:rsid w:val="00CD03E3"/>
    <w:rsid w:val="00CE0DC1"/>
    <w:rsid w:val="00CE6BDA"/>
    <w:rsid w:val="00CF0233"/>
    <w:rsid w:val="00CF4635"/>
    <w:rsid w:val="00D01086"/>
    <w:rsid w:val="00D03DBE"/>
    <w:rsid w:val="00D04066"/>
    <w:rsid w:val="00D072C0"/>
    <w:rsid w:val="00D12FEF"/>
    <w:rsid w:val="00D214A7"/>
    <w:rsid w:val="00D34C82"/>
    <w:rsid w:val="00D36FE3"/>
    <w:rsid w:val="00D3757A"/>
    <w:rsid w:val="00D504A9"/>
    <w:rsid w:val="00D5206D"/>
    <w:rsid w:val="00D56CAB"/>
    <w:rsid w:val="00D67C5C"/>
    <w:rsid w:val="00D7177D"/>
    <w:rsid w:val="00D81311"/>
    <w:rsid w:val="00DB201E"/>
    <w:rsid w:val="00DB25D8"/>
    <w:rsid w:val="00DB29A7"/>
    <w:rsid w:val="00DB669E"/>
    <w:rsid w:val="00DC0E68"/>
    <w:rsid w:val="00DC0E76"/>
    <w:rsid w:val="00DD25ED"/>
    <w:rsid w:val="00DE0D6E"/>
    <w:rsid w:val="00DF080B"/>
    <w:rsid w:val="00DF1180"/>
    <w:rsid w:val="00E01A0A"/>
    <w:rsid w:val="00E12B64"/>
    <w:rsid w:val="00E13797"/>
    <w:rsid w:val="00E1610C"/>
    <w:rsid w:val="00E16D73"/>
    <w:rsid w:val="00E23E9E"/>
    <w:rsid w:val="00E25722"/>
    <w:rsid w:val="00E27F0A"/>
    <w:rsid w:val="00E332F6"/>
    <w:rsid w:val="00E4231E"/>
    <w:rsid w:val="00E4302C"/>
    <w:rsid w:val="00E44AC7"/>
    <w:rsid w:val="00E45F4B"/>
    <w:rsid w:val="00E55411"/>
    <w:rsid w:val="00E60A16"/>
    <w:rsid w:val="00E74998"/>
    <w:rsid w:val="00E8135D"/>
    <w:rsid w:val="00E82B6E"/>
    <w:rsid w:val="00E912AD"/>
    <w:rsid w:val="00E94258"/>
    <w:rsid w:val="00E94CE2"/>
    <w:rsid w:val="00E96C18"/>
    <w:rsid w:val="00E96E4A"/>
    <w:rsid w:val="00EA264A"/>
    <w:rsid w:val="00EA2E61"/>
    <w:rsid w:val="00EA4E95"/>
    <w:rsid w:val="00EA7D7F"/>
    <w:rsid w:val="00EB02F4"/>
    <w:rsid w:val="00EB27EF"/>
    <w:rsid w:val="00EB2FA2"/>
    <w:rsid w:val="00EB769A"/>
    <w:rsid w:val="00EC0059"/>
    <w:rsid w:val="00EC3A35"/>
    <w:rsid w:val="00EE17F2"/>
    <w:rsid w:val="00EE3138"/>
    <w:rsid w:val="00EF2AC7"/>
    <w:rsid w:val="00EF400A"/>
    <w:rsid w:val="00EF6BE4"/>
    <w:rsid w:val="00EF6E5D"/>
    <w:rsid w:val="00F007FF"/>
    <w:rsid w:val="00F03D8E"/>
    <w:rsid w:val="00F06AA0"/>
    <w:rsid w:val="00F07764"/>
    <w:rsid w:val="00F12517"/>
    <w:rsid w:val="00F131DD"/>
    <w:rsid w:val="00F16BA1"/>
    <w:rsid w:val="00F24435"/>
    <w:rsid w:val="00F30C0F"/>
    <w:rsid w:val="00F314E8"/>
    <w:rsid w:val="00F323A2"/>
    <w:rsid w:val="00F325DE"/>
    <w:rsid w:val="00F33B57"/>
    <w:rsid w:val="00F33D5C"/>
    <w:rsid w:val="00F34E90"/>
    <w:rsid w:val="00F356D6"/>
    <w:rsid w:val="00F53BE2"/>
    <w:rsid w:val="00F55684"/>
    <w:rsid w:val="00F64D5A"/>
    <w:rsid w:val="00F709CD"/>
    <w:rsid w:val="00F72DF0"/>
    <w:rsid w:val="00F817C4"/>
    <w:rsid w:val="00F8381A"/>
    <w:rsid w:val="00F906F4"/>
    <w:rsid w:val="00FA0716"/>
    <w:rsid w:val="00FA370A"/>
    <w:rsid w:val="00FA4400"/>
    <w:rsid w:val="00FA7BB1"/>
    <w:rsid w:val="00FB4629"/>
    <w:rsid w:val="00FB56DF"/>
    <w:rsid w:val="00FB6FB1"/>
    <w:rsid w:val="00FB7063"/>
    <w:rsid w:val="00FC7056"/>
    <w:rsid w:val="00FE1A00"/>
    <w:rsid w:val="00FF3CB5"/>
    <w:rsid w:val="00FF5B9A"/>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
    <w:name w:val="Table Normal"/>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207225216">
      <w:bodyDiv w:val="1"/>
      <w:marLeft w:val="0"/>
      <w:marRight w:val="0"/>
      <w:marTop w:val="0"/>
      <w:marBottom w:val="0"/>
      <w:divBdr>
        <w:top w:val="none" w:sz="0" w:space="0" w:color="auto"/>
        <w:left w:val="none" w:sz="0" w:space="0" w:color="auto"/>
        <w:bottom w:val="none" w:sz="0" w:space="0" w:color="auto"/>
        <w:right w:val="none" w:sz="0" w:space="0" w:color="auto"/>
      </w:divBdr>
      <w:divsChild>
        <w:div w:id="1532113732">
          <w:marLeft w:val="0"/>
          <w:marRight w:val="0"/>
          <w:marTop w:val="0"/>
          <w:marBottom w:val="160"/>
          <w:divBdr>
            <w:top w:val="none" w:sz="0" w:space="0" w:color="auto"/>
            <w:left w:val="none" w:sz="0" w:space="0" w:color="auto"/>
            <w:bottom w:val="none" w:sz="0" w:space="0" w:color="auto"/>
            <w:right w:val="none" w:sz="0" w:space="0" w:color="auto"/>
          </w:divBdr>
        </w:div>
        <w:div w:id="1571034333">
          <w:marLeft w:val="0"/>
          <w:marRight w:val="0"/>
          <w:marTop w:val="0"/>
          <w:marBottom w:val="160"/>
          <w:divBdr>
            <w:top w:val="none" w:sz="0" w:space="0" w:color="auto"/>
            <w:left w:val="none" w:sz="0" w:space="0" w:color="auto"/>
            <w:bottom w:val="none" w:sz="0" w:space="0" w:color="auto"/>
            <w:right w:val="none" w:sz="0" w:space="0" w:color="auto"/>
          </w:divBdr>
        </w:div>
        <w:div w:id="1908801650">
          <w:marLeft w:val="0"/>
          <w:marRight w:val="0"/>
          <w:marTop w:val="0"/>
          <w:marBottom w:val="160"/>
          <w:divBdr>
            <w:top w:val="none" w:sz="0" w:space="0" w:color="auto"/>
            <w:left w:val="none" w:sz="0" w:space="0" w:color="auto"/>
            <w:bottom w:val="none" w:sz="0" w:space="0" w:color="auto"/>
            <w:right w:val="none" w:sz="0" w:space="0" w:color="auto"/>
          </w:divBdr>
        </w:div>
      </w:divsChild>
    </w:div>
    <w:div w:id="542644855">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532257895">
      <w:bodyDiv w:val="1"/>
      <w:marLeft w:val="0"/>
      <w:marRight w:val="0"/>
      <w:marTop w:val="0"/>
      <w:marBottom w:val="0"/>
      <w:divBdr>
        <w:top w:val="none" w:sz="0" w:space="0" w:color="auto"/>
        <w:left w:val="none" w:sz="0" w:space="0" w:color="auto"/>
        <w:bottom w:val="none" w:sz="0" w:space="0" w:color="auto"/>
        <w:right w:val="none" w:sz="0" w:space="0" w:color="auto"/>
      </w:divBdr>
      <w:divsChild>
        <w:div w:id="1982806556">
          <w:marLeft w:val="0"/>
          <w:marRight w:val="0"/>
          <w:marTop w:val="0"/>
          <w:marBottom w:val="160"/>
          <w:divBdr>
            <w:top w:val="none" w:sz="0" w:space="0" w:color="auto"/>
            <w:left w:val="none" w:sz="0" w:space="0" w:color="auto"/>
            <w:bottom w:val="none" w:sz="0" w:space="0" w:color="auto"/>
            <w:right w:val="none" w:sz="0" w:space="0" w:color="auto"/>
          </w:divBdr>
        </w:div>
        <w:div w:id="1293633548">
          <w:marLeft w:val="0"/>
          <w:marRight w:val="0"/>
          <w:marTop w:val="0"/>
          <w:marBottom w:val="160"/>
          <w:divBdr>
            <w:top w:val="none" w:sz="0" w:space="0" w:color="auto"/>
            <w:left w:val="none" w:sz="0" w:space="0" w:color="auto"/>
            <w:bottom w:val="none" w:sz="0" w:space="0" w:color="auto"/>
            <w:right w:val="none" w:sz="0" w:space="0" w:color="auto"/>
          </w:divBdr>
        </w:div>
        <w:div w:id="239944841">
          <w:marLeft w:val="0"/>
          <w:marRight w:val="0"/>
          <w:marTop w:val="0"/>
          <w:marBottom w:val="160"/>
          <w:divBdr>
            <w:top w:val="none" w:sz="0" w:space="0" w:color="auto"/>
            <w:left w:val="none" w:sz="0" w:space="0" w:color="auto"/>
            <w:bottom w:val="none" w:sz="0" w:space="0" w:color="auto"/>
            <w:right w:val="none" w:sz="0" w:space="0" w:color="auto"/>
          </w:divBdr>
        </w:div>
      </w:divsChild>
    </w:div>
    <w:div w:id="1571844856">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1685859953">
      <w:bodyDiv w:val="1"/>
      <w:marLeft w:val="0"/>
      <w:marRight w:val="0"/>
      <w:marTop w:val="0"/>
      <w:marBottom w:val="0"/>
      <w:divBdr>
        <w:top w:val="none" w:sz="0" w:space="0" w:color="auto"/>
        <w:left w:val="none" w:sz="0" w:space="0" w:color="auto"/>
        <w:bottom w:val="none" w:sz="0" w:space="0" w:color="auto"/>
        <w:right w:val="none" w:sz="0" w:space="0" w:color="auto"/>
      </w:divBdr>
      <w:divsChild>
        <w:div w:id="890113336">
          <w:marLeft w:val="0"/>
          <w:marRight w:val="0"/>
          <w:marTop w:val="0"/>
          <w:marBottom w:val="160"/>
          <w:divBdr>
            <w:top w:val="none" w:sz="0" w:space="0" w:color="auto"/>
            <w:left w:val="none" w:sz="0" w:space="0" w:color="auto"/>
            <w:bottom w:val="none" w:sz="0" w:space="0" w:color="auto"/>
            <w:right w:val="none" w:sz="0" w:space="0" w:color="auto"/>
          </w:divBdr>
        </w:div>
        <w:div w:id="841628603">
          <w:marLeft w:val="0"/>
          <w:marRight w:val="0"/>
          <w:marTop w:val="0"/>
          <w:marBottom w:val="160"/>
          <w:divBdr>
            <w:top w:val="none" w:sz="0" w:space="0" w:color="auto"/>
            <w:left w:val="none" w:sz="0" w:space="0" w:color="auto"/>
            <w:bottom w:val="none" w:sz="0" w:space="0" w:color="auto"/>
            <w:right w:val="none" w:sz="0" w:space="0" w:color="auto"/>
          </w:divBdr>
        </w:div>
        <w:div w:id="426969468">
          <w:marLeft w:val="0"/>
          <w:marRight w:val="0"/>
          <w:marTop w:val="0"/>
          <w:marBottom w:val="160"/>
          <w:divBdr>
            <w:top w:val="none" w:sz="0" w:space="0" w:color="auto"/>
            <w:left w:val="none" w:sz="0" w:space="0" w:color="auto"/>
            <w:bottom w:val="none" w:sz="0" w:space="0" w:color="auto"/>
            <w:right w:val="none" w:sz="0" w:space="0" w:color="auto"/>
          </w:divBdr>
        </w:div>
      </w:divsChild>
    </w:div>
    <w:div w:id="1922835150">
      <w:bodyDiv w:val="1"/>
      <w:marLeft w:val="0"/>
      <w:marRight w:val="0"/>
      <w:marTop w:val="0"/>
      <w:marBottom w:val="0"/>
      <w:divBdr>
        <w:top w:val="none" w:sz="0" w:space="0" w:color="auto"/>
        <w:left w:val="none" w:sz="0" w:space="0" w:color="auto"/>
        <w:bottom w:val="none" w:sz="0" w:space="0" w:color="auto"/>
        <w:right w:val="none" w:sz="0" w:space="0" w:color="auto"/>
      </w:divBdr>
      <w:divsChild>
        <w:div w:id="621812422">
          <w:marLeft w:val="0"/>
          <w:marRight w:val="0"/>
          <w:marTop w:val="0"/>
          <w:marBottom w:val="160"/>
          <w:divBdr>
            <w:top w:val="none" w:sz="0" w:space="0" w:color="auto"/>
            <w:left w:val="none" w:sz="0" w:space="0" w:color="auto"/>
            <w:bottom w:val="none" w:sz="0" w:space="0" w:color="auto"/>
            <w:right w:val="none" w:sz="0" w:space="0" w:color="auto"/>
          </w:divBdr>
        </w:div>
        <w:div w:id="913587419">
          <w:marLeft w:val="0"/>
          <w:marRight w:val="0"/>
          <w:marTop w:val="0"/>
          <w:marBottom w:val="160"/>
          <w:divBdr>
            <w:top w:val="none" w:sz="0" w:space="0" w:color="auto"/>
            <w:left w:val="none" w:sz="0" w:space="0" w:color="auto"/>
            <w:bottom w:val="none" w:sz="0" w:space="0" w:color="auto"/>
            <w:right w:val="none" w:sz="0" w:space="0" w:color="auto"/>
          </w:divBdr>
        </w:div>
        <w:div w:id="912550038">
          <w:marLeft w:val="0"/>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hrome-extension://efaidnbmnnnibpcajpcglclefindmkaj/https:/www.colombiacompra.gov.co/sites/cce_public/files/cce_circulares/circular_externa_unica_version_3_vf49.pdf" TargetMode="External"/><Relationship Id="rId18" Type="http://schemas.openxmlformats.org/officeDocument/2006/relationships/hyperlink" Target="https://nam02.safelinks.protection.outlook.com/?url=https%3A%2F%2Fwww.sucop.gov.co%2Fentidades%2Fcolombiacompra%2FNormativa%3FIDNorma%3D18320&amp;data=05%7C02%7Csantiago.herrera%40colombiacompra.gov.co%7C096eca3fdcca424ff1c708dcf932f947%7C7b09041e245149d08cb179d5e3d8c1be%7C0%7C0%7C638659244557641986%7CUnknown%7CTWFpbGZsb3d8eyJWIjoiMC4wLjAwMDAiLCJQIjoiV2luMzIiLCJBTiI6Ik1haWwiLCJXVCI6Mn0%3D%7C0%7C%7C%7C&amp;sdata=cvryslPYIe2igvMyzzkZ32rgVDlisRO%2FS58lXNABT30%3D&amp;reserved=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livalear22@hotmail.com" TargetMode="External"/><Relationship Id="rId17" Type="http://schemas.openxmlformats.org/officeDocument/2006/relationships/hyperlink" Target="https://nam02.safelinks.protection.outlook.com/?url=https%3A%2F%2Fwww.colombiacompra.gov.co%2Fcontent%2Fborrador-de-documentos-tipo-de-interventoria-de-obra-publica-de-infraestructura-de&amp;data=05%7C02%7Csantiago.herrera%40colombiacompra.gov.co%7C096eca3fdcca424ff1c708dcf932f947%7C7b09041e245149d08cb179d5e3d8c1be%7C0%7C0%7C638659244557612538%7CUnknown%7CTWFpbGZsb3d8eyJWIjoiMC4wLjAwMDAiLCJQIjoiV2luMzIiLCJBTiI6Ik1haWwiLCJXVCI6Mn0%3D%7C0%7C%7C%7C&amp;sdata=PptTeXlOufRJzvNgcBCbY%2BgS5ZWUh4x8RLP7Pzjbdxg%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content%2Fborrador-de-documentos-tipo-de-consultoria-de-obra-publica-de-infraestructura-de-transporte&amp;data=05%7C02%7Csantiago.herrera%40colombiacompra.gov.co%7C096eca3fdcca424ff1c708dcf932f947%7C7b09041e245149d08cb179d5e3d8c1be%7C0%7C0%7C638659244557582587%7CUnknown%7CTWFpbGZsb3d8eyJWIjoiMC4wLjAwMDAiLCJQIjoiV2luMzIiLCJBTiI6Ik1haWwiLCJXVCI6Mn0%3D%7C0%7C%7C%7C&amp;sdata=%2BmcNdT%2F6zDp6FOpplPSqKUjqAVtsc6Po2k4tiKyyMGQ%3D&amp;reserved=0"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latoria.colombiacompra.gov.co/busqueda/concepto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am02.safelinks.protection.outlook.com/?url=https%3A%2F%2Fwww.colombiacompra.gov.co%2Fsala-de-prensa%2Fboletin-digital&amp;data=05%7C02%7Csantiago.herrera%40colombiacompra.gov.co%7C096eca3fdcca424ff1c708dcf932f947%7C7b09041e245149d08cb179d5e3d8c1be%7C0%7C0%7C638659244557683431%7CUnknown%7CTWFpbGZsb3d8eyJWIjoiMC4wLjAwMDAiLCJQIjoiV2luMzIiLCJBTiI6Ik1haWwiLCJXVCI6Mn0%3D%7C0%7C%7C%7C&amp;sdata=DDzxsWu35v74OjgoGc2uD6sPoWr4LvTHKYE1N30%2BqxA%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hrome-extension://efaidnbmnnnibpcajpcglclefindmkaj/https:/colombiacompra.gov.co/sites/cce_public/files/cce_circulares/doc-20240823-wa0021.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3.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4.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15</Pages>
  <Words>4107</Words>
  <Characters>22594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Andreina Cerpa Muñoz</cp:lastModifiedBy>
  <cp:revision>177</cp:revision>
  <dcterms:created xsi:type="dcterms:W3CDTF">2024-07-04T20:24:00Z</dcterms:created>
  <dcterms:modified xsi:type="dcterms:W3CDTF">2024-12-27T21:51:00Z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