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1CF9A" w14:textId="77777777" w:rsidR="00370D84" w:rsidRPr="00B771A8" w:rsidRDefault="00370D84" w:rsidP="00370D84">
      <w:pPr>
        <w:spacing w:after="0" w:line="240" w:lineRule="auto"/>
        <w:jc w:val="both"/>
        <w:rPr>
          <w:rFonts w:ascii="Verdana" w:eastAsia="Calibri" w:hAnsi="Verdana"/>
          <w:b/>
          <w:bCs/>
          <w:lang w:val="es-ES_tradnl" w:eastAsia="es-ES_tradnl"/>
        </w:rPr>
      </w:pPr>
      <w:bookmarkStart w:id="0" w:name="_Hlk143780582"/>
      <w:r w:rsidRPr="00B771A8">
        <w:rPr>
          <w:rFonts w:ascii="Verdana" w:eastAsia="Times New Roman" w:hAnsi="Verdana"/>
          <w:b/>
          <w:bCs/>
          <w:lang w:val="es-ES_tradnl" w:eastAsia="es-ES_tradnl"/>
        </w:rPr>
        <w:t xml:space="preserve">CONTRATOS CON ESAL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Artículo 355 </w:t>
      </w:r>
      <w:r w:rsidRPr="00B771A8">
        <w:rPr>
          <w:rFonts w:ascii="Verdana" w:eastAsia="Calibri" w:hAnsi="Verdana"/>
          <w:b/>
          <w:bCs/>
          <w:lang w:val="es-ES_tradnl" w:eastAsia="es-ES_tradnl"/>
        </w:rPr>
        <w:t>–</w:t>
      </w:r>
      <w:r w:rsidRPr="00B771A8">
        <w:rPr>
          <w:rFonts w:ascii="Verdana" w:eastAsia="Times New Roman" w:hAnsi="Verdana"/>
          <w:b/>
          <w:bCs/>
          <w:lang w:val="es-ES_tradnl" w:eastAsia="es-ES_tradnl"/>
        </w:rPr>
        <w:t xml:space="preserve"> Constitución </w:t>
      </w:r>
      <w:r w:rsidRPr="00B771A8">
        <w:rPr>
          <w:rFonts w:ascii="Verdana" w:eastAsia="Calibri" w:hAnsi="Verdana"/>
          <w:b/>
          <w:bCs/>
          <w:lang w:val="es-ES_tradnl" w:eastAsia="es-ES_tradnl"/>
        </w:rPr>
        <w:t xml:space="preserve">– Artículo 96 – Ley 489 – Fundamento </w:t>
      </w:r>
    </w:p>
    <w:p w14:paraId="55961CE3" w14:textId="77777777" w:rsidR="00370D84" w:rsidRDefault="00370D84" w:rsidP="00370D84">
      <w:pPr>
        <w:spacing w:after="0" w:line="240" w:lineRule="auto"/>
        <w:jc w:val="both"/>
        <w:rPr>
          <w:rFonts w:ascii="Verdana" w:eastAsia="Calibri" w:hAnsi="Verdana" w:cs="Arial"/>
          <w:color w:val="000000" w:themeColor="text1"/>
          <w:sz w:val="20"/>
          <w:szCs w:val="20"/>
        </w:rPr>
      </w:pPr>
    </w:p>
    <w:p w14:paraId="7ADF176A" w14:textId="77777777" w:rsidR="00370D84" w:rsidRPr="00B771A8" w:rsidRDefault="00370D84" w:rsidP="00370D84">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En concordancia, el artículo 96 de la Ley 489 de 1998 permite a las Entidades cualquiera que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5B922D60" w14:textId="77777777" w:rsidR="00370D84" w:rsidRPr="00B771A8" w:rsidRDefault="00370D84" w:rsidP="00370D84">
      <w:pPr>
        <w:spacing w:after="0" w:line="240" w:lineRule="auto"/>
        <w:jc w:val="both"/>
        <w:rPr>
          <w:rFonts w:ascii="Verdana" w:eastAsia="Calibri" w:hAnsi="Verdana"/>
          <w:sz w:val="20"/>
          <w:szCs w:val="20"/>
          <w:lang w:eastAsia="es-ES_tradnl"/>
        </w:rPr>
      </w:pPr>
    </w:p>
    <w:p w14:paraId="11E39D0F" w14:textId="77777777" w:rsidR="00370D84" w:rsidRPr="00B771A8" w:rsidRDefault="00370D84" w:rsidP="00370D84">
      <w:pPr>
        <w:spacing w:after="0" w:line="240" w:lineRule="auto"/>
        <w:jc w:val="both"/>
        <w:rPr>
          <w:rFonts w:ascii="Verdana" w:eastAsia="Calibri" w:hAnsi="Verdana" w:cs="Arial"/>
          <w:b/>
          <w:color w:val="000000"/>
          <w:lang w:val="es-MX"/>
        </w:rPr>
      </w:pPr>
      <w:r w:rsidRPr="00B771A8">
        <w:rPr>
          <w:rFonts w:ascii="Verdana" w:eastAsia="Calibri" w:hAnsi="Verdana" w:cs="Arial"/>
          <w:b/>
          <w:color w:val="000000"/>
          <w:lang w:val="es-MX"/>
        </w:rPr>
        <w:t xml:space="preserve">CONVENIOS DE ASOCIACIÓN – Objeto – Alcance – Aportes </w:t>
      </w:r>
    </w:p>
    <w:p w14:paraId="640D127A" w14:textId="77777777" w:rsidR="00370D84" w:rsidRDefault="00370D84" w:rsidP="00370D84">
      <w:pPr>
        <w:spacing w:after="0" w:line="240" w:lineRule="auto"/>
        <w:jc w:val="both"/>
        <w:rPr>
          <w:rFonts w:ascii="Verdana" w:eastAsia="Calibri" w:hAnsi="Verdana" w:cs="Arial"/>
          <w:color w:val="000000" w:themeColor="text1"/>
          <w:sz w:val="20"/>
          <w:szCs w:val="20"/>
        </w:rPr>
      </w:pPr>
    </w:p>
    <w:p w14:paraId="648ABDD7" w14:textId="77777777" w:rsidR="00370D84" w:rsidRPr="00B771A8" w:rsidRDefault="00370D84" w:rsidP="00370D84">
      <w:pPr>
        <w:spacing w:after="0" w:line="240" w:lineRule="auto"/>
        <w:jc w:val="both"/>
        <w:rPr>
          <w:rFonts w:ascii="Verdana" w:eastAsia="Calibri" w:hAnsi="Verdana" w:cs="Arial"/>
          <w:sz w:val="20"/>
          <w:szCs w:val="20"/>
        </w:rPr>
      </w:pPr>
      <w:r w:rsidRPr="00B771A8">
        <w:rPr>
          <w:rFonts w:ascii="Verdana" w:eastAsia="Calibri" w:hAnsi="Verdana" w:cs="Arial"/>
          <w:color w:val="000000" w:themeColor="text1"/>
          <w:sz w:val="20"/>
          <w:szCs w:val="20"/>
        </w:rPr>
        <w:t xml:space="preserve">De otro lado, los </w:t>
      </w:r>
      <w:r w:rsidRPr="00B771A8">
        <w:rPr>
          <w:rFonts w:ascii="Verdana" w:eastAsia="Calibri" w:hAnsi="Verdana" w:cs="Arial"/>
          <w:i/>
          <w:iCs/>
          <w:color w:val="000000" w:themeColor="text1"/>
          <w:sz w:val="20"/>
          <w:szCs w:val="20"/>
        </w:rPr>
        <w:t xml:space="preserve">convenios de asociación </w:t>
      </w:r>
      <w:r w:rsidRPr="00B771A8">
        <w:rPr>
          <w:rFonts w:ascii="Verdana" w:eastAsia="Calibri" w:hAnsi="Verdana" w:cs="Arial"/>
          <w:color w:val="000000" w:themeColor="text1"/>
          <w:sz w:val="20"/>
          <w:szCs w:val="20"/>
        </w:rPr>
        <w:t>– a los cuales hace referencia en su consulta – “[…] [t]</w:t>
      </w:r>
      <w:proofErr w:type="spellStart"/>
      <w:r w:rsidRPr="00B771A8">
        <w:rPr>
          <w:rFonts w:ascii="Verdana" w:eastAsia="Calibri" w:hAnsi="Verdana" w:cs="Arial"/>
          <w:color w:val="000000" w:themeColor="text1"/>
          <w:sz w:val="20"/>
          <w:szCs w:val="20"/>
        </w:rPr>
        <w:t>ienen</w:t>
      </w:r>
      <w:proofErr w:type="spellEnd"/>
      <w:r w:rsidRPr="00B771A8">
        <w:rPr>
          <w:rFonts w:ascii="Verdana" w:eastAsia="Calibri" w:hAnsi="Verdana"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39A1D40C" w14:textId="77777777" w:rsidR="00370D84" w:rsidRPr="00B771A8" w:rsidRDefault="00370D84" w:rsidP="00370D84">
      <w:pPr>
        <w:spacing w:after="0" w:line="240" w:lineRule="auto"/>
        <w:jc w:val="both"/>
        <w:rPr>
          <w:rFonts w:ascii="Verdana" w:eastAsia="Calibri" w:hAnsi="Verdana" w:cs="Arial"/>
          <w:bCs/>
          <w:color w:val="000000"/>
          <w:sz w:val="20"/>
          <w:szCs w:val="20"/>
        </w:rPr>
      </w:pPr>
    </w:p>
    <w:p w14:paraId="10509C44" w14:textId="77777777" w:rsidR="00370D84" w:rsidRPr="00B771A8" w:rsidRDefault="00370D84" w:rsidP="00370D84">
      <w:pPr>
        <w:spacing w:after="0" w:line="240" w:lineRule="auto"/>
        <w:jc w:val="both"/>
        <w:rPr>
          <w:rFonts w:ascii="Verdana" w:eastAsia="Calibri" w:hAnsi="Verdana"/>
          <w:b/>
          <w:bCs/>
          <w:lang w:val="es-ES_tradnl"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w:t>
      </w:r>
    </w:p>
    <w:p w14:paraId="7F879040" w14:textId="77777777" w:rsidR="00370D84" w:rsidRDefault="00370D84" w:rsidP="00370D84">
      <w:pPr>
        <w:spacing w:after="0" w:line="240" w:lineRule="auto"/>
        <w:jc w:val="both"/>
        <w:textAlignment w:val="baseline"/>
        <w:rPr>
          <w:rFonts w:ascii="Verdana" w:eastAsia="Calibri" w:hAnsi="Verdana"/>
          <w:sz w:val="20"/>
          <w:szCs w:val="20"/>
          <w:lang w:val="es-ES_tradnl" w:eastAsia="es-ES_tradnl"/>
        </w:rPr>
      </w:pPr>
    </w:p>
    <w:p w14:paraId="0EB5E642" w14:textId="77777777" w:rsidR="00370D84" w:rsidRPr="00B771A8" w:rsidRDefault="00370D84" w:rsidP="00370D84">
      <w:pPr>
        <w:spacing w:after="0" w:line="240" w:lineRule="auto"/>
        <w:jc w:val="both"/>
        <w:textAlignment w:val="baseline"/>
        <w:rPr>
          <w:rFonts w:ascii="Verdana" w:eastAsia="Calibri" w:hAnsi="Verdana" w:cs="Arial"/>
          <w:sz w:val="20"/>
          <w:szCs w:val="20"/>
          <w:lang w:val="es-ES_tradnl" w:eastAsia="es-ES_tradnl"/>
        </w:rPr>
      </w:pPr>
      <w:r w:rsidRPr="00B771A8">
        <w:rPr>
          <w:rFonts w:ascii="Verdana" w:eastAsia="Calibri" w:hAnsi="Verdana"/>
          <w:sz w:val="20"/>
          <w:szCs w:val="20"/>
          <w:lang w:val="es-ES_tradnl" w:eastAsia="es-ES_tradnl"/>
        </w:rPr>
        <w:t xml:space="preserve">[…] </w:t>
      </w:r>
      <w:r w:rsidRPr="00B771A8">
        <w:rPr>
          <w:rFonts w:ascii="Verdana" w:eastAsia="Calibri" w:hAnsi="Verdana" w:cs="Arial"/>
          <w:sz w:val="20"/>
          <w:szCs w:val="20"/>
          <w:lang w:val="es-ES_tradnl" w:eastAsia="es-ES_tradnl"/>
        </w:rPr>
        <w:t>el artículo 5 del Decreto 092 de 2017</w:t>
      </w:r>
      <w:r w:rsidRPr="00B771A8">
        <w:rPr>
          <w:sz w:val="20"/>
          <w:szCs w:val="20"/>
          <w:vertAlign w:val="superscript"/>
          <w:lang w:eastAsia="es-ES_tradnl"/>
        </w:rPr>
        <w:t xml:space="preserve"> </w:t>
      </w:r>
      <w:r w:rsidRPr="00B771A8">
        <w:rPr>
          <w:rFonts w:ascii="Verdana" w:eastAsia="Calibri" w:hAnsi="Verdana" w:cs="Arial"/>
          <w:sz w:val="20"/>
          <w:szCs w:val="20"/>
          <w:lang w:val="es-ES_tradnl" w:eastAsia="es-ES_tradnl"/>
        </w:rPr>
        <w:t xml:space="preserve">establece que, </w:t>
      </w:r>
      <w:r w:rsidRPr="00B771A8">
        <w:rPr>
          <w:rFonts w:ascii="Verdana" w:eastAsia="Calibri" w:hAnsi="Verdana" w:cs="Arial"/>
          <w:sz w:val="20"/>
          <w:szCs w:val="20"/>
          <w:lang w:eastAsia="es-ES_tradnl"/>
        </w:rPr>
        <w:t xml:space="preserve">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 pues en este evento también se tendría que realizar un proceso competitivo. </w:t>
      </w:r>
    </w:p>
    <w:p w14:paraId="734F20F4" w14:textId="77777777" w:rsidR="00370D84" w:rsidRPr="00B771A8" w:rsidRDefault="00370D84" w:rsidP="00370D84">
      <w:pPr>
        <w:spacing w:after="0" w:line="240" w:lineRule="auto"/>
        <w:jc w:val="both"/>
        <w:rPr>
          <w:rFonts w:ascii="Verdana" w:eastAsia="Calibri" w:hAnsi="Verdana"/>
          <w:sz w:val="20"/>
          <w:szCs w:val="20"/>
          <w:lang w:val="es-ES_tradnl" w:eastAsia="es-ES_tradnl"/>
        </w:rPr>
      </w:pPr>
    </w:p>
    <w:p w14:paraId="3DB02C93" w14:textId="77777777" w:rsidR="00370D84" w:rsidRPr="00B771A8" w:rsidRDefault="00370D84" w:rsidP="00370D84">
      <w:pPr>
        <w:spacing w:after="0" w:line="240" w:lineRule="auto"/>
        <w:jc w:val="both"/>
        <w:rPr>
          <w:rFonts w:ascii="Verdana" w:eastAsia="Calibri" w:hAnsi="Verdana"/>
          <w:b/>
          <w:bCs/>
          <w:lang w:eastAsia="es-ES_tradnl"/>
        </w:rPr>
      </w:pPr>
      <w:r w:rsidRPr="00B771A8">
        <w:rPr>
          <w:rFonts w:ascii="Verdana" w:eastAsia="Calibri" w:hAnsi="Verdana"/>
          <w:b/>
          <w:bCs/>
          <w:lang w:eastAsia="es-ES_tradnl"/>
        </w:rPr>
        <w:t xml:space="preserve">CONVENIOS DE ASOCIACIÓN – Aporte económico de la ESAL – </w:t>
      </w:r>
      <w:r w:rsidRPr="00B771A8">
        <w:rPr>
          <w:rFonts w:ascii="Verdana" w:eastAsia="Calibri" w:hAnsi="Verdana"/>
          <w:b/>
          <w:bCs/>
          <w:lang w:val="es-ES_tradnl" w:eastAsia="es-ES_tradnl"/>
        </w:rPr>
        <w:t xml:space="preserve">Treinta por ciento – Aportes en dinero – Aportes en especie </w:t>
      </w:r>
    </w:p>
    <w:p w14:paraId="2AAAC7AA" w14:textId="77777777" w:rsidR="00370D84" w:rsidRDefault="00370D84" w:rsidP="00370D84">
      <w:pPr>
        <w:spacing w:after="0" w:line="240" w:lineRule="auto"/>
        <w:jc w:val="both"/>
        <w:rPr>
          <w:rFonts w:ascii="Verdana" w:eastAsia="Calibri" w:hAnsi="Verdana" w:cs="Arial"/>
          <w:sz w:val="20"/>
          <w:szCs w:val="20"/>
        </w:rPr>
      </w:pPr>
    </w:p>
    <w:p w14:paraId="74BA8A70" w14:textId="77777777" w:rsidR="00370D84" w:rsidRDefault="00370D84" w:rsidP="00370D84">
      <w:pPr>
        <w:spacing w:after="0" w:line="240" w:lineRule="auto"/>
        <w:jc w:val="both"/>
        <w:rPr>
          <w:rFonts w:ascii="Verdana" w:eastAsia="Calibri" w:hAnsi="Verdana" w:cs="Arial"/>
          <w:i/>
          <w:iCs/>
          <w:sz w:val="20"/>
          <w:szCs w:val="20"/>
        </w:rPr>
      </w:pPr>
      <w:r w:rsidRPr="00B771A8">
        <w:rPr>
          <w:rFonts w:ascii="Verdana" w:eastAsia="Calibri" w:hAnsi="Verdana" w:cs="Arial"/>
          <w:sz w:val="20"/>
          <w:szCs w:val="20"/>
        </w:rPr>
        <w:t xml:space="preserve">En relación con los aportes que debe comprometer la ESAL para no someter a un proceso competitivo la selección de la ESAL ha surgido el interrogante si los aportes en especie se deben tener en cuenta para el cálculo del treinta por ciento (30%) del aporte. Sobre este segundo problema jurídico, la Agencia Nacional de Contratación Pública – Colombia Compra Eficiente ha considerado que, “el treinta por ciento (30%) señalado en el artículo 5 del Decreto 092 de 2017, que debe aportar la ESAL a efectos de poder celebrar el convenio sin acudir a un proceso competitivo, debe calcularse respecto del monto total de los recursos </w:t>
      </w:r>
      <w:r w:rsidRPr="00B771A8">
        <w:rPr>
          <w:rFonts w:ascii="Verdana" w:eastAsia="Calibri" w:hAnsi="Verdana" w:cs="Arial"/>
          <w:i/>
          <w:iCs/>
          <w:sz w:val="20"/>
          <w:szCs w:val="20"/>
        </w:rPr>
        <w:t xml:space="preserve">en dinero </w:t>
      </w:r>
      <w:r w:rsidRPr="00B771A8">
        <w:rPr>
          <w:rFonts w:ascii="Verdana" w:eastAsia="Calibri" w:hAnsi="Verdana" w:cs="Arial"/>
          <w:sz w:val="20"/>
          <w:szCs w:val="20"/>
        </w:rPr>
        <w:t xml:space="preserve">requeridos para la ejecución proyecto, el cual corresponderá al valor por el que se celebrará el </w:t>
      </w:r>
      <w:r w:rsidRPr="00B771A8">
        <w:rPr>
          <w:rFonts w:ascii="Verdana" w:eastAsia="Calibri" w:hAnsi="Verdana" w:cs="Arial"/>
          <w:i/>
          <w:iCs/>
          <w:sz w:val="20"/>
          <w:szCs w:val="20"/>
        </w:rPr>
        <w:t>convenio de asociación”.</w:t>
      </w:r>
    </w:p>
    <w:p w14:paraId="694FB197" w14:textId="77777777" w:rsidR="00AE103F" w:rsidRDefault="00AE103F" w:rsidP="004B56B7">
      <w:pPr>
        <w:spacing w:after="0" w:line="240" w:lineRule="auto"/>
        <w:jc w:val="both"/>
        <w:rPr>
          <w:rFonts w:ascii="Verdana" w:eastAsia="Calibri" w:hAnsi="Verdana" w:cs="Arial"/>
          <w:i/>
          <w:iCs/>
          <w:sz w:val="20"/>
          <w:szCs w:val="20"/>
        </w:rPr>
      </w:pPr>
    </w:p>
    <w:p w14:paraId="54A42CF1" w14:textId="395CEC92" w:rsidR="00AE103F" w:rsidRDefault="00AE103F" w:rsidP="004B56B7">
      <w:pPr>
        <w:spacing w:after="0" w:line="240" w:lineRule="auto"/>
        <w:jc w:val="both"/>
        <w:rPr>
          <w:rFonts w:ascii="Verdana" w:eastAsia="Calibri" w:hAnsi="Verdana"/>
          <w:b/>
          <w:bCs/>
          <w:lang w:eastAsia="es-ES_tradnl"/>
        </w:rPr>
      </w:pPr>
      <w:r w:rsidRPr="00AE103F">
        <w:rPr>
          <w:rFonts w:ascii="Verdana" w:eastAsia="Calibri" w:hAnsi="Verdana"/>
          <w:b/>
          <w:bCs/>
          <w:lang w:eastAsia="es-ES_tradnl"/>
        </w:rPr>
        <w:t>CONVENIOS DE ASOCIACIÓN – Contratación directa – Acto Administrativo</w:t>
      </w:r>
    </w:p>
    <w:p w14:paraId="504100E5" w14:textId="77777777" w:rsidR="00AE103F" w:rsidRDefault="00AE103F" w:rsidP="004B56B7">
      <w:pPr>
        <w:spacing w:after="0" w:line="240" w:lineRule="auto"/>
        <w:jc w:val="both"/>
        <w:rPr>
          <w:rFonts w:ascii="Verdana" w:eastAsia="Calibri" w:hAnsi="Verdana"/>
          <w:b/>
          <w:bCs/>
          <w:lang w:eastAsia="es-ES_tradnl"/>
        </w:rPr>
      </w:pPr>
    </w:p>
    <w:p w14:paraId="7B0BEA0B" w14:textId="3CEF83AA" w:rsidR="00AE103F" w:rsidRPr="00746393" w:rsidRDefault="00746393" w:rsidP="004B56B7">
      <w:pPr>
        <w:spacing w:after="0" w:line="240" w:lineRule="auto"/>
        <w:jc w:val="both"/>
        <w:rPr>
          <w:rFonts w:ascii="Verdana" w:eastAsia="Calibri" w:hAnsi="Verdana" w:cs="Arial"/>
          <w:b/>
          <w:bCs/>
          <w:i/>
          <w:iCs/>
          <w:sz w:val="20"/>
          <w:szCs w:val="20"/>
        </w:rPr>
      </w:pPr>
      <w:r w:rsidRPr="00746393">
        <w:rPr>
          <w:rFonts w:ascii="Verdana" w:hAnsi="Verdana" w:cs="Arial"/>
          <w:sz w:val="20"/>
          <w:szCs w:val="20"/>
        </w:rPr>
        <w:t xml:space="preserve">[…] </w:t>
      </w:r>
      <w:r w:rsidRPr="00746393">
        <w:rPr>
          <w:rFonts w:ascii="Verdana" w:hAnsi="Verdana" w:cs="Arial"/>
          <w:sz w:val="20"/>
          <w:szCs w:val="20"/>
        </w:rPr>
        <w:t xml:space="preserve">tratándose de la celebración de convenios de asociación celebrados sin proceso competitivo, en virtud del artículo 5 del Decreto 092 de 2017, se deben elaborar los documentos y estudios previos en los cuales se justifique la contratación directa. En estos se debe realizar la determinación de los indicadores y factores de ponderación a tener cuenta, con el cuidado de acreditar que ese contrato puede ser ejecutado por esa ESAL en particular, que aporta treinta por ciento (30%) del valor total del convenio y porque cuenta con la idoneidad para el efecto; solicitar la oferta a la ESAL idónea; verificar las condiciones de idoneidad, la seriedad del ofrecimiento del aporte y las otras calidades para certificarlas y celebrar el contrato de interés público y; finalmente, debe verificarse que </w:t>
      </w:r>
      <w:r w:rsidRPr="00746393">
        <w:rPr>
          <w:rFonts w:ascii="Verdana" w:eastAsia="Times New Roman" w:hAnsi="Verdana"/>
          <w:color w:val="000000"/>
          <w:sz w:val="20"/>
          <w:szCs w:val="20"/>
        </w:rPr>
        <w:t>no exista otra ESAL que ofrezca esos servicios o tenga la disponibilidad de más recursos, ya que de ser así debería adelantar un proceso competitivo</w:t>
      </w:r>
      <w:r>
        <w:rPr>
          <w:rFonts w:ascii="Verdana" w:eastAsia="Times New Roman" w:hAnsi="Verdana"/>
          <w:color w:val="000000"/>
          <w:sz w:val="20"/>
          <w:szCs w:val="20"/>
        </w:rPr>
        <w:t>.</w:t>
      </w:r>
    </w:p>
    <w:p w14:paraId="728E4DF6" w14:textId="77777777" w:rsidR="00370D84" w:rsidRDefault="00370D84" w:rsidP="004B56B7">
      <w:pPr>
        <w:spacing w:after="0" w:line="240" w:lineRule="auto"/>
        <w:rPr>
          <w:rFonts w:ascii="Verdana" w:hAnsi="Verdana"/>
        </w:rPr>
      </w:pPr>
      <w:r>
        <w:rPr>
          <w:rFonts w:ascii="Verdana" w:hAnsi="Verdana"/>
        </w:rPr>
        <w:br w:type="page"/>
      </w:r>
    </w:p>
    <w:p w14:paraId="48259F55" w14:textId="77777777" w:rsidR="00AE103F" w:rsidRDefault="00E245AB" w:rsidP="00E245AB">
      <w:pPr>
        <w:spacing w:after="0"/>
        <w:rPr>
          <w:rFonts w:ascii="Verdana" w:hAnsi="Verdana"/>
        </w:rPr>
      </w:pPr>
      <w:r w:rsidRPr="0044528D">
        <w:rPr>
          <w:rFonts w:ascii="Verdana" w:hAnsi="Verdana"/>
        </w:rPr>
        <w:t xml:space="preserve">Bogotá D.C., </w:t>
      </w:r>
      <w:r w:rsidR="00AE103F">
        <w:rPr>
          <w:rFonts w:ascii="Verdana" w:hAnsi="Verdana"/>
        </w:rPr>
        <w:t xml:space="preserve">7 de noviembre de 2024. </w:t>
      </w:r>
    </w:p>
    <w:p w14:paraId="3A754C9B" w14:textId="77777777" w:rsidR="0012521E" w:rsidRDefault="0012521E" w:rsidP="00E245AB">
      <w:pPr>
        <w:spacing w:after="0"/>
        <w:rPr>
          <w:rFonts w:ascii="Verdana" w:hAnsi="Verdana"/>
        </w:rPr>
      </w:pPr>
    </w:p>
    <w:p w14:paraId="4A7152DD" w14:textId="7B6077FE" w:rsidR="00AE103F" w:rsidRDefault="00644DA9" w:rsidP="00644DA9">
      <w:pPr>
        <w:spacing w:after="0"/>
        <w:jc w:val="right"/>
        <w:rPr>
          <w:rFonts w:ascii="Verdana" w:hAnsi="Verdana"/>
        </w:rPr>
      </w:pPr>
      <w:r w:rsidRPr="00644DA9">
        <w:rPr>
          <w:rFonts w:ascii="Verdana" w:hAnsi="Verdana"/>
        </w:rPr>
        <w:drawing>
          <wp:inline distT="0" distB="0" distL="0" distR="0" wp14:anchorId="3EE85465" wp14:editId="60E34BF7">
            <wp:extent cx="3349300" cy="977900"/>
            <wp:effectExtent l="0" t="0" r="3810" b="0"/>
            <wp:docPr id="11338729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72955" name="Imagen 1" descr="Texto&#10;&#10;Descripción generada automáticamente"/>
                    <pic:cNvPicPr/>
                  </pic:nvPicPr>
                  <pic:blipFill>
                    <a:blip r:embed="rId10"/>
                    <a:stretch>
                      <a:fillRect/>
                    </a:stretch>
                  </pic:blipFill>
                  <pic:spPr>
                    <a:xfrm>
                      <a:off x="0" y="0"/>
                      <a:ext cx="3393739" cy="990875"/>
                    </a:xfrm>
                    <a:prstGeom prst="rect">
                      <a:avLst/>
                    </a:prstGeom>
                  </pic:spPr>
                </pic:pic>
              </a:graphicData>
            </a:graphic>
          </wp:inline>
        </w:drawing>
      </w:r>
    </w:p>
    <w:p w14:paraId="3B452141" w14:textId="77777777" w:rsidR="0012521E" w:rsidRDefault="0012521E" w:rsidP="00644DA9">
      <w:pPr>
        <w:spacing w:after="0"/>
        <w:jc w:val="right"/>
        <w:rPr>
          <w:rFonts w:ascii="Verdana" w:hAnsi="Verdana"/>
        </w:rPr>
      </w:pPr>
    </w:p>
    <w:p w14:paraId="3FE2184B" w14:textId="6B677C69" w:rsidR="00E245AB" w:rsidRDefault="00891928" w:rsidP="0012521E">
      <w:pPr>
        <w:spacing w:after="0"/>
        <w:jc w:val="right"/>
        <w:rPr>
          <w:rFonts w:ascii="Verdana" w:hAnsi="Verdana"/>
        </w:rPr>
      </w:pPr>
      <w:r w:rsidRPr="0044528D">
        <w:rPr>
          <w:rFonts w:ascii="Verdana" w:hAnsi="Verdana"/>
        </w:rPr>
        <w:tab/>
      </w:r>
      <w:r w:rsidR="0012521E" w:rsidRPr="0012521E">
        <w:rPr>
          <w:rFonts w:ascii="Verdana" w:hAnsi="Verdana"/>
        </w:rPr>
        <w:drawing>
          <wp:inline distT="0" distB="0" distL="0" distR="0" wp14:anchorId="7C1CC5A5" wp14:editId="4AE845B7">
            <wp:extent cx="3373755" cy="961308"/>
            <wp:effectExtent l="0" t="0" r="0" b="0"/>
            <wp:docPr id="13230840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84069" name="Imagen 1" descr="Texto&#10;&#10;Descripción generada automáticamente"/>
                    <pic:cNvPicPr/>
                  </pic:nvPicPr>
                  <pic:blipFill>
                    <a:blip r:embed="rId11"/>
                    <a:stretch>
                      <a:fillRect/>
                    </a:stretch>
                  </pic:blipFill>
                  <pic:spPr>
                    <a:xfrm>
                      <a:off x="0" y="0"/>
                      <a:ext cx="3443130" cy="981075"/>
                    </a:xfrm>
                    <a:prstGeom prst="rect">
                      <a:avLst/>
                    </a:prstGeom>
                  </pic:spPr>
                </pic:pic>
              </a:graphicData>
            </a:graphic>
          </wp:inline>
        </w:drawing>
      </w:r>
    </w:p>
    <w:p w14:paraId="7AC36174" w14:textId="77777777" w:rsidR="0012521E" w:rsidRDefault="0012521E" w:rsidP="0012521E">
      <w:pPr>
        <w:spacing w:after="0"/>
        <w:jc w:val="right"/>
        <w:rPr>
          <w:rFonts w:ascii="Verdana" w:hAnsi="Verdana"/>
        </w:rPr>
      </w:pPr>
    </w:p>
    <w:p w14:paraId="7FCB8947" w14:textId="77777777" w:rsidR="00660A41" w:rsidRPr="00CF0DDE" w:rsidRDefault="00660A41" w:rsidP="00660A41">
      <w:pPr>
        <w:spacing w:after="0" w:line="240" w:lineRule="auto"/>
        <w:jc w:val="both"/>
        <w:rPr>
          <w:rFonts w:ascii="Verdana" w:eastAsia="Calibri" w:hAnsi="Verdana" w:cs="Arial"/>
          <w:lang w:val="es-ES" w:eastAsia="es-ES"/>
        </w:rPr>
      </w:pPr>
      <w:r w:rsidRPr="00CF0DDE">
        <w:rPr>
          <w:rFonts w:ascii="Verdana" w:eastAsia="Calibri" w:hAnsi="Verdana" w:cs="Arial"/>
          <w:lang w:val="es-ES" w:eastAsia="es-ES"/>
        </w:rPr>
        <w:t>Señora</w:t>
      </w:r>
    </w:p>
    <w:p w14:paraId="3E5E674F" w14:textId="77777777" w:rsidR="00660A41" w:rsidRPr="00CF0DDE" w:rsidRDefault="00660A41" w:rsidP="00660A41">
      <w:pPr>
        <w:spacing w:after="0" w:line="240" w:lineRule="auto"/>
        <w:rPr>
          <w:rFonts w:ascii="Verdana" w:eastAsia="Calibri" w:hAnsi="Verdana" w:cs="Arial"/>
          <w:b/>
          <w:lang w:val="es-ES_tradnl" w:eastAsia="es-ES_tradnl"/>
        </w:rPr>
      </w:pPr>
      <w:r w:rsidRPr="00CF0DDE">
        <w:rPr>
          <w:rFonts w:ascii="Verdana" w:eastAsia="Calibri" w:hAnsi="Verdana" w:cs="Arial"/>
          <w:b/>
          <w:lang w:val="es-ES_tradnl" w:eastAsia="es-ES_tradnl"/>
        </w:rPr>
        <w:t>Anónima</w:t>
      </w:r>
    </w:p>
    <w:p w14:paraId="46AE2355" w14:textId="77777777" w:rsidR="00660A41" w:rsidRPr="00CF0DDE" w:rsidRDefault="00660A41" w:rsidP="00660A41">
      <w:pPr>
        <w:spacing w:after="0" w:line="240" w:lineRule="auto"/>
        <w:rPr>
          <w:rFonts w:ascii="Verdana" w:eastAsia="Times New Roman" w:hAnsi="Verdana" w:cs="Calibri"/>
          <w:color w:val="000000"/>
          <w:lang w:eastAsia="es-CO"/>
        </w:rPr>
      </w:pPr>
      <w:hyperlink r:id="rId12" w:history="1">
        <w:r w:rsidRPr="006B2860">
          <w:rPr>
            <w:rStyle w:val="Hipervnculo"/>
            <w:rFonts w:ascii="Verdana" w:eastAsia="Times New Roman" w:hAnsi="Verdana" w:cs="Calibri"/>
            <w:lang w:eastAsia="es-CO"/>
          </w:rPr>
          <w:t>diana.carolina9229@gmail.com</w:t>
        </w:r>
      </w:hyperlink>
      <w:r w:rsidRPr="00CF0DDE">
        <w:rPr>
          <w:rFonts w:ascii="Verdana" w:eastAsia="Times New Roman" w:hAnsi="Verdana" w:cs="Calibri"/>
          <w:color w:val="000000"/>
          <w:lang w:eastAsia="es-CO"/>
        </w:rPr>
        <w:t xml:space="preserve"> </w:t>
      </w:r>
    </w:p>
    <w:p w14:paraId="218E415B" w14:textId="77777777" w:rsidR="00660A41" w:rsidRPr="00CF0DDE" w:rsidRDefault="00660A41" w:rsidP="00660A41">
      <w:pPr>
        <w:spacing w:after="0" w:line="240" w:lineRule="auto"/>
        <w:rPr>
          <w:rFonts w:ascii="Verdana" w:eastAsia="Calibri" w:hAnsi="Verdana" w:cs="Arial"/>
          <w:b/>
          <w:bCs/>
          <w:lang w:val="es-ES_tradnl" w:eastAsia="es-ES_tradnl"/>
        </w:rPr>
      </w:pPr>
      <w:r w:rsidRPr="00CF0DDE">
        <w:rPr>
          <w:rFonts w:ascii="Verdana" w:eastAsia="Calibri" w:hAnsi="Verdana" w:cs="Arial"/>
          <w:lang w:val="es-ES_tradnl" w:eastAsia="es-ES_tradnl"/>
        </w:rPr>
        <w:t>Ciudad</w:t>
      </w:r>
      <w:r w:rsidRPr="00CF0DDE">
        <w:rPr>
          <w:rFonts w:ascii="Verdana" w:eastAsia="Calibri" w:hAnsi="Verdana" w:cs="Arial"/>
          <w:b/>
          <w:bCs/>
          <w:lang w:val="es-ES_tradnl" w:eastAsia="es-ES_tradnl"/>
        </w:rPr>
        <w:t xml:space="preserve"> </w:t>
      </w:r>
    </w:p>
    <w:p w14:paraId="696E12DA" w14:textId="77777777" w:rsidR="00660A41" w:rsidRPr="00CF0DDE" w:rsidRDefault="00660A41" w:rsidP="00660A4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60A41" w:rsidRPr="00CF0DDE" w14:paraId="541BFA08" w14:textId="77777777" w:rsidTr="00954CA3">
        <w:trPr>
          <w:trHeight w:val="884"/>
        </w:trPr>
        <w:tc>
          <w:tcPr>
            <w:tcW w:w="2689" w:type="dxa"/>
          </w:tcPr>
          <w:p w14:paraId="3ED62A62" w14:textId="77777777" w:rsidR="00660A41" w:rsidRPr="00CF0DDE" w:rsidRDefault="00660A41" w:rsidP="00954CA3">
            <w:pPr>
              <w:jc w:val="both"/>
              <w:rPr>
                <w:rFonts w:ascii="Verdana" w:eastAsia="Calibri" w:hAnsi="Verdana" w:cs="Arial"/>
                <w:b/>
                <w:bCs/>
                <w:lang w:val="es-ES_tradnl" w:eastAsia="es-ES_tradnl"/>
              </w:rPr>
            </w:pPr>
          </w:p>
        </w:tc>
        <w:tc>
          <w:tcPr>
            <w:tcW w:w="6100" w:type="dxa"/>
          </w:tcPr>
          <w:p w14:paraId="3924CEBD" w14:textId="77777777" w:rsidR="00660A41" w:rsidRPr="00CF0DDE" w:rsidRDefault="00660A41" w:rsidP="00954CA3">
            <w:pPr>
              <w:jc w:val="both"/>
              <w:rPr>
                <w:rFonts w:ascii="Verdana" w:eastAsia="Calibri" w:hAnsi="Verdana" w:cs="Arial"/>
                <w:b/>
                <w:bCs/>
                <w:lang w:val="es-ES" w:eastAsia="es-ES"/>
              </w:rPr>
            </w:pPr>
            <w:r w:rsidRPr="00CF0DDE">
              <w:rPr>
                <w:rFonts w:ascii="Verdana" w:eastAsia="Calibri" w:hAnsi="Verdana" w:cs="Arial"/>
                <w:b/>
                <w:bCs/>
                <w:lang w:val="es-ES" w:eastAsia="es-ES"/>
              </w:rPr>
              <w:t>Concepto C-658 de 2024</w:t>
            </w:r>
          </w:p>
        </w:tc>
      </w:tr>
      <w:tr w:rsidR="00660A41" w:rsidRPr="00CF0DDE" w14:paraId="3334C881" w14:textId="77777777" w:rsidTr="00954CA3">
        <w:trPr>
          <w:trHeight w:val="884"/>
        </w:trPr>
        <w:tc>
          <w:tcPr>
            <w:tcW w:w="2689" w:type="dxa"/>
          </w:tcPr>
          <w:p w14:paraId="5053E8C9" w14:textId="77777777" w:rsidR="00660A41" w:rsidRPr="00CF0DDE" w:rsidRDefault="00660A41" w:rsidP="00954CA3">
            <w:pPr>
              <w:jc w:val="both"/>
              <w:rPr>
                <w:rFonts w:ascii="Verdana" w:eastAsia="Calibri" w:hAnsi="Verdana" w:cs="Arial"/>
                <w:lang w:val="es-ES_tradnl" w:eastAsia="es-ES_tradnl"/>
              </w:rPr>
            </w:pPr>
            <w:r w:rsidRPr="00CF0DDE">
              <w:rPr>
                <w:rFonts w:ascii="Verdana" w:eastAsia="Calibri" w:hAnsi="Verdana" w:cs="Arial"/>
                <w:b/>
                <w:lang w:val="es-ES_tradnl" w:eastAsia="es-ES_tradnl"/>
              </w:rPr>
              <w:t>Temas:</w:t>
            </w:r>
            <w:r w:rsidRPr="00CF0DDE">
              <w:rPr>
                <w:rFonts w:ascii="Verdana" w:eastAsia="Calibri" w:hAnsi="Verdana" w:cs="Arial"/>
                <w:lang w:val="es-ES_tradnl" w:eastAsia="es-ES_tradnl"/>
              </w:rPr>
              <w:t xml:space="preserve">                   </w:t>
            </w:r>
          </w:p>
        </w:tc>
        <w:tc>
          <w:tcPr>
            <w:tcW w:w="6100" w:type="dxa"/>
          </w:tcPr>
          <w:p w14:paraId="3E1645BB" w14:textId="77777777" w:rsidR="00660A41" w:rsidRPr="00CF0DDE" w:rsidRDefault="00660A41" w:rsidP="00954CA3">
            <w:pPr>
              <w:jc w:val="both"/>
              <w:rPr>
                <w:rFonts w:ascii="Verdana" w:eastAsia="Calibri" w:hAnsi="Verdana"/>
                <w:lang w:val="es-ES_tradnl" w:eastAsia="es-ES_tradnl"/>
              </w:rPr>
            </w:pPr>
            <w:r w:rsidRPr="00CF0DDE">
              <w:rPr>
                <w:rFonts w:ascii="Verdana" w:eastAsia="Times New Roman" w:hAnsi="Verdana"/>
                <w:lang w:val="es-ES_tradnl" w:eastAsia="es-ES_tradnl"/>
              </w:rPr>
              <w:t xml:space="preserve">CONTRATOS CON ESAL </w:t>
            </w:r>
            <w:r w:rsidRPr="00CF0DDE">
              <w:rPr>
                <w:rFonts w:ascii="Verdana" w:eastAsia="Calibri" w:hAnsi="Verdana"/>
                <w:lang w:val="es-ES_tradnl" w:eastAsia="es-ES_tradnl"/>
              </w:rPr>
              <w:t>–</w:t>
            </w:r>
            <w:r w:rsidRPr="00CF0DDE">
              <w:rPr>
                <w:rFonts w:ascii="Verdana" w:eastAsia="Times New Roman" w:hAnsi="Verdana"/>
                <w:lang w:val="es-ES_tradnl" w:eastAsia="es-ES_tradnl"/>
              </w:rPr>
              <w:t xml:space="preserve"> Artículo 355 </w:t>
            </w:r>
            <w:r w:rsidRPr="00CF0DDE">
              <w:rPr>
                <w:rFonts w:ascii="Verdana" w:eastAsia="Calibri" w:hAnsi="Verdana"/>
                <w:lang w:val="es-ES_tradnl" w:eastAsia="es-ES_tradnl"/>
              </w:rPr>
              <w:t>–</w:t>
            </w:r>
            <w:r w:rsidRPr="00CF0DDE">
              <w:rPr>
                <w:rFonts w:ascii="Verdana" w:eastAsia="Times New Roman" w:hAnsi="Verdana"/>
                <w:lang w:val="es-ES_tradnl" w:eastAsia="es-ES_tradnl"/>
              </w:rPr>
              <w:t xml:space="preserve"> Constitución </w:t>
            </w:r>
            <w:r w:rsidRPr="00CF0DDE">
              <w:rPr>
                <w:rFonts w:ascii="Verdana" w:eastAsia="Calibri" w:hAnsi="Verdana"/>
                <w:lang w:val="es-ES_tradnl" w:eastAsia="es-ES_tradnl"/>
              </w:rPr>
              <w:t xml:space="preserve">– Artículo 96 – Ley 489 – Fundamento / </w:t>
            </w:r>
            <w:r w:rsidRPr="00CF0DDE">
              <w:rPr>
                <w:rFonts w:ascii="Verdana" w:eastAsia="Calibri" w:hAnsi="Verdana" w:cs="Arial"/>
                <w:bCs/>
                <w:color w:val="000000"/>
                <w:lang w:val="es-MX"/>
              </w:rPr>
              <w:t xml:space="preserve">CONVENIOS DE ASOCIACIÓN – Objeto – Alcance – Aportes / </w:t>
            </w:r>
            <w:r w:rsidRPr="00CF0DDE">
              <w:rPr>
                <w:rFonts w:ascii="Verdana" w:eastAsia="Calibri" w:hAnsi="Verdana"/>
                <w:lang w:eastAsia="es-ES_tradnl"/>
              </w:rPr>
              <w:t xml:space="preserve">CONVENIOS DE ASOCIACIÓN – Aporte económico de la ESAL – </w:t>
            </w:r>
            <w:r w:rsidRPr="00CF0DDE">
              <w:rPr>
                <w:rFonts w:ascii="Verdana" w:eastAsia="Calibri" w:hAnsi="Verdana"/>
                <w:lang w:val="es-ES_tradnl" w:eastAsia="es-ES_tradnl"/>
              </w:rPr>
              <w:t xml:space="preserve">Treinta por ciento / </w:t>
            </w:r>
            <w:r w:rsidRPr="00CF0DDE">
              <w:rPr>
                <w:rFonts w:ascii="Verdana" w:eastAsia="Calibri" w:hAnsi="Verdana"/>
                <w:lang w:eastAsia="es-ES_tradnl"/>
              </w:rPr>
              <w:t xml:space="preserve">CONVENIOS DE ASOCIACIÓN – Aporte económico de la ESAL – </w:t>
            </w:r>
            <w:r w:rsidRPr="00CF0DDE">
              <w:rPr>
                <w:rFonts w:ascii="Verdana" w:eastAsia="Calibri" w:hAnsi="Verdana"/>
                <w:lang w:val="es-ES_tradnl" w:eastAsia="es-ES_tradnl"/>
              </w:rPr>
              <w:t xml:space="preserve">Treinta por ciento – Aportes en dinero – Aportes en especie </w:t>
            </w:r>
            <w:r w:rsidRPr="00CF0DDE">
              <w:rPr>
                <w:rFonts w:ascii="Verdana" w:eastAsia="Calibri" w:hAnsi="Verdana"/>
                <w:lang w:eastAsia="es-ES_tradnl"/>
              </w:rPr>
              <w:t xml:space="preserve">/ CONVENIOS DE ASOCIACIÓN – </w:t>
            </w:r>
            <w:r>
              <w:rPr>
                <w:rFonts w:ascii="Verdana" w:eastAsia="Calibri" w:hAnsi="Verdana"/>
                <w:lang w:eastAsia="es-ES_tradnl"/>
              </w:rPr>
              <w:t>Contratación directa – Acto Administrativo</w:t>
            </w:r>
            <w:r w:rsidRPr="00CF0DDE">
              <w:rPr>
                <w:rFonts w:ascii="Verdana" w:eastAsia="Calibri" w:hAnsi="Verdana"/>
                <w:lang w:eastAsia="es-ES_tradnl"/>
              </w:rPr>
              <w:t xml:space="preserve"> </w:t>
            </w:r>
          </w:p>
          <w:p w14:paraId="777DE12F" w14:textId="77777777" w:rsidR="00660A41" w:rsidRPr="00CF0DDE" w:rsidRDefault="00660A41" w:rsidP="00954CA3">
            <w:pPr>
              <w:jc w:val="both"/>
              <w:rPr>
                <w:rFonts w:ascii="Verdana" w:eastAsia="Calibri" w:hAnsi="Verdana" w:cs="Arial"/>
                <w:lang w:eastAsia="es-ES"/>
              </w:rPr>
            </w:pPr>
          </w:p>
        </w:tc>
      </w:tr>
      <w:tr w:rsidR="00660A41" w:rsidRPr="00CF0DDE" w14:paraId="5FA36160" w14:textId="77777777" w:rsidTr="00954CA3">
        <w:tc>
          <w:tcPr>
            <w:tcW w:w="2689" w:type="dxa"/>
          </w:tcPr>
          <w:p w14:paraId="0AFCBD3B" w14:textId="77777777" w:rsidR="00660A41" w:rsidRPr="00CF0DDE" w:rsidRDefault="00660A41" w:rsidP="00954CA3">
            <w:pPr>
              <w:jc w:val="both"/>
              <w:rPr>
                <w:rFonts w:ascii="Verdana" w:eastAsia="Calibri" w:hAnsi="Verdana" w:cs="Arial"/>
                <w:b/>
                <w:lang w:val="es-ES_tradnl" w:eastAsia="es-ES_tradnl"/>
              </w:rPr>
            </w:pPr>
            <w:r w:rsidRPr="00CF0DDE">
              <w:rPr>
                <w:rFonts w:ascii="Verdana" w:eastAsia="Calibri" w:hAnsi="Verdana" w:cs="Arial"/>
                <w:b/>
                <w:lang w:val="es-ES_tradnl" w:eastAsia="es-ES_tradnl"/>
              </w:rPr>
              <w:t>Radicación:</w:t>
            </w:r>
            <w:r w:rsidRPr="00CF0DDE">
              <w:rPr>
                <w:rFonts w:ascii="Verdana" w:eastAsia="Calibri" w:hAnsi="Verdana" w:cs="Arial"/>
                <w:lang w:val="es-ES_tradnl" w:eastAsia="es-ES_tradnl"/>
              </w:rPr>
              <w:t xml:space="preserve">               </w:t>
            </w:r>
          </w:p>
        </w:tc>
        <w:tc>
          <w:tcPr>
            <w:tcW w:w="6100" w:type="dxa"/>
          </w:tcPr>
          <w:p w14:paraId="1CF43509" w14:textId="77777777" w:rsidR="00660A41" w:rsidRPr="00CF0DDE" w:rsidRDefault="00660A41" w:rsidP="00954CA3">
            <w:pPr>
              <w:jc w:val="both"/>
              <w:rPr>
                <w:rFonts w:ascii="Verdana" w:hAnsi="Verdana" w:cs="Calibri"/>
                <w:color w:val="000000"/>
              </w:rPr>
            </w:pPr>
            <w:r w:rsidRPr="00CF0DDE">
              <w:rPr>
                <w:rFonts w:ascii="Verdana" w:eastAsia="Calibri" w:hAnsi="Verdana" w:cs="Arial"/>
                <w:lang w:val="es-ES_tradnl" w:eastAsia="es-ES_tradnl"/>
              </w:rPr>
              <w:t xml:space="preserve">Respuesta a consulta con radicado No. </w:t>
            </w:r>
            <w:r w:rsidRPr="00CF0DDE">
              <w:rPr>
                <w:rFonts w:ascii="Verdana" w:hAnsi="Verdana" w:cs="Calibri"/>
                <w:color w:val="000000"/>
              </w:rPr>
              <w:t>P20240925009789 – Acumulada P20240925009803</w:t>
            </w:r>
          </w:p>
        </w:tc>
      </w:tr>
    </w:tbl>
    <w:p w14:paraId="19DB882E" w14:textId="77777777" w:rsidR="00660A41" w:rsidRPr="00CF0DDE" w:rsidRDefault="00660A41" w:rsidP="00660A41">
      <w:pPr>
        <w:spacing w:after="0" w:line="240" w:lineRule="auto"/>
        <w:jc w:val="both"/>
        <w:rPr>
          <w:rFonts w:ascii="Verdana" w:eastAsia="Calibri" w:hAnsi="Verdana" w:cs="Arial"/>
          <w:lang w:val="es-ES_tradnl" w:eastAsia="es-ES_tradnl"/>
        </w:rPr>
      </w:pPr>
    </w:p>
    <w:p w14:paraId="1603FA32" w14:textId="77777777" w:rsidR="00660A41" w:rsidRPr="00CF0DDE" w:rsidRDefault="00660A41" w:rsidP="00660A41">
      <w:pPr>
        <w:spacing w:after="0" w:line="240" w:lineRule="auto"/>
        <w:jc w:val="both"/>
        <w:rPr>
          <w:rFonts w:ascii="Verdana" w:eastAsia="Calibri" w:hAnsi="Verdana" w:cs="Arial"/>
          <w:lang w:val="es-ES_tradnl" w:eastAsia="es-ES_tradnl"/>
        </w:rPr>
      </w:pPr>
    </w:p>
    <w:p w14:paraId="31A20D75" w14:textId="77777777" w:rsidR="00660A41" w:rsidRPr="00CF0DDE" w:rsidRDefault="00660A41" w:rsidP="00660A41">
      <w:pPr>
        <w:spacing w:after="0" w:line="276" w:lineRule="auto"/>
        <w:jc w:val="both"/>
        <w:rPr>
          <w:rFonts w:ascii="Verdana" w:eastAsia="Calibri" w:hAnsi="Verdana" w:cs="Arial"/>
          <w:lang w:val="es-ES" w:eastAsia="es-ES"/>
        </w:rPr>
      </w:pPr>
      <w:r w:rsidRPr="00CF0DDE">
        <w:rPr>
          <w:rFonts w:ascii="Verdana" w:eastAsia="Calibri" w:hAnsi="Verdana" w:cs="Arial"/>
          <w:lang w:val="es-ES" w:eastAsia="es-ES"/>
        </w:rPr>
        <w:t xml:space="preserve">Estimada ciudadana: </w:t>
      </w:r>
    </w:p>
    <w:p w14:paraId="30EB0B4F" w14:textId="77777777" w:rsidR="00660A41" w:rsidRPr="00CF0DDE" w:rsidRDefault="00660A41" w:rsidP="00660A41">
      <w:pPr>
        <w:tabs>
          <w:tab w:val="left" w:pos="3768"/>
        </w:tabs>
        <w:spacing w:after="0" w:line="276" w:lineRule="auto"/>
        <w:jc w:val="both"/>
        <w:rPr>
          <w:rFonts w:ascii="Verdana" w:eastAsia="Calibri" w:hAnsi="Verdana" w:cs="Arial"/>
          <w:lang w:val="es-ES" w:eastAsia="es-ES"/>
        </w:rPr>
      </w:pPr>
      <w:r w:rsidRPr="00CF0DDE">
        <w:rPr>
          <w:rFonts w:ascii="Verdana" w:eastAsia="Calibri" w:hAnsi="Verdana" w:cs="Arial"/>
          <w:lang w:val="es-ES" w:eastAsia="es-ES"/>
        </w:rPr>
        <w:tab/>
      </w:r>
    </w:p>
    <w:p w14:paraId="441DAC51" w14:textId="77777777" w:rsidR="00660A41" w:rsidRPr="00CF0DDE" w:rsidRDefault="00660A41" w:rsidP="00660A41">
      <w:pPr>
        <w:spacing w:after="0" w:line="276" w:lineRule="auto"/>
        <w:jc w:val="both"/>
        <w:rPr>
          <w:rFonts w:ascii="Verdana" w:eastAsia="Calibri" w:hAnsi="Verdana" w:cs="Arial"/>
          <w:lang w:val="es-ES" w:eastAsia="es-ES"/>
        </w:rPr>
      </w:pPr>
      <w:r w:rsidRPr="00CF0DDE">
        <w:rPr>
          <w:rFonts w:ascii="Verdana" w:eastAsia="Calibri" w:hAnsi="Verdana" w:cs="Arial"/>
          <w:lang w:val="es-ES" w:eastAsia="es-ES"/>
        </w:rPr>
        <w:t>En ejercicio de la competencia otorgada por los artículos 3, numeral 5º, y 11, numeral 8º, del Decreto Ley 4170 de 2011,</w:t>
      </w:r>
      <w:r w:rsidRPr="00CF0DDE">
        <w:rPr>
          <w:rFonts w:ascii="Verdana" w:eastAsia="Arial MT" w:hAnsi="Verdana" w:cs="Arial MT"/>
          <w:lang w:val="es-ES" w:eastAsia="es-ES"/>
        </w:rPr>
        <w:t xml:space="preserve"> </w:t>
      </w:r>
      <w:r w:rsidRPr="00CF0DDE">
        <w:rPr>
          <w:rFonts w:ascii="Verdana" w:hAnsi="Verdana" w:cs="Arial"/>
        </w:rPr>
        <w:t xml:space="preserve">así como lo establecido en el artículo 4 de la Resolución 1707 de 2018 expedida por esta Entidad, </w:t>
      </w:r>
      <w:r w:rsidRPr="00CF0DDE">
        <w:rPr>
          <w:rFonts w:ascii="Verdana" w:eastAsia="Calibri" w:hAnsi="Verdana" w:cs="Arial"/>
          <w:lang w:val="es-ES" w:eastAsia="es-ES"/>
        </w:rPr>
        <w:t xml:space="preserve">la Agencia Nacional de Contratación Pública –Colombia Compra Eficiente– responde su solicitud de consulta, remitida por la Procuraduría General de la Nación, el 24 de septiembre de 2024, en la cual manifiesta lo siguiente: </w:t>
      </w:r>
    </w:p>
    <w:p w14:paraId="4168785E" w14:textId="77777777" w:rsidR="00660A41" w:rsidRPr="00CF0DDE" w:rsidRDefault="00660A41" w:rsidP="00660A4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5FDE78ED" w14:textId="77777777" w:rsidR="00660A41" w:rsidRPr="00CF0DDE" w:rsidRDefault="00660A41" w:rsidP="00660A41">
      <w:pPr>
        <w:spacing w:after="0" w:line="240" w:lineRule="auto"/>
        <w:ind w:left="709" w:right="709"/>
        <w:jc w:val="both"/>
        <w:rPr>
          <w:rFonts w:ascii="Verdana" w:eastAsia="Century Gothic" w:hAnsi="Verdana" w:cs="Century Gothic"/>
          <w:sz w:val="20"/>
          <w:szCs w:val="20"/>
          <w:lang w:val="es-ES"/>
        </w:rPr>
      </w:pPr>
      <w:bookmarkStart w:id="1" w:name="_Hlk95313578"/>
      <w:r w:rsidRPr="00CF0DDE">
        <w:rPr>
          <w:rFonts w:ascii="Verdana" w:eastAsia="Century Gothic" w:hAnsi="Verdana" w:cs="Century Gothic"/>
          <w:sz w:val="20"/>
          <w:szCs w:val="20"/>
          <w:lang w:val="es-ES"/>
        </w:rPr>
        <w:t>“</w:t>
      </w:r>
      <w:r w:rsidRPr="00CF0DDE">
        <w:rPr>
          <w:rFonts w:ascii="Verdana" w:hAnsi="Verdana" w:cs="Arial"/>
          <w:sz w:val="20"/>
          <w:szCs w:val="20"/>
          <w:shd w:val="clear" w:color="auto" w:fill="FFFFFF"/>
        </w:rPr>
        <w:t xml:space="preserve">En el marco de las competencias de la Agencia, solicito claridad sobre: </w:t>
      </w:r>
      <w:proofErr w:type="gramStart"/>
      <w:r w:rsidRPr="00CF0DDE">
        <w:rPr>
          <w:rFonts w:ascii="Verdana" w:hAnsi="Verdana" w:cs="Arial"/>
          <w:sz w:val="20"/>
          <w:szCs w:val="20"/>
          <w:shd w:val="clear" w:color="auto" w:fill="FFFFFF"/>
        </w:rPr>
        <w:t xml:space="preserve">¿Es necesario elaborar acto administrativo de justificación de causal de contratación directa en los procesos que se deriven del </w:t>
      </w:r>
      <w:proofErr w:type="spellStart"/>
      <w:r w:rsidRPr="00CF0DDE">
        <w:rPr>
          <w:rFonts w:ascii="Verdana" w:hAnsi="Verdana" w:cs="Arial"/>
          <w:sz w:val="20"/>
          <w:szCs w:val="20"/>
          <w:shd w:val="clear" w:color="auto" w:fill="FFFFFF"/>
        </w:rPr>
        <w:t>Dec</w:t>
      </w:r>
      <w:proofErr w:type="spellEnd"/>
      <w:r w:rsidRPr="00CF0DDE">
        <w:rPr>
          <w:rFonts w:ascii="Verdana" w:hAnsi="Verdana" w:cs="Arial"/>
          <w:sz w:val="20"/>
          <w:szCs w:val="20"/>
          <w:shd w:val="clear" w:color="auto" w:fill="FFFFFF"/>
        </w:rPr>
        <w:t>.</w:t>
      </w:r>
      <w:proofErr w:type="gramEnd"/>
      <w:r w:rsidRPr="00CF0DDE">
        <w:rPr>
          <w:rFonts w:ascii="Verdana" w:hAnsi="Verdana" w:cs="Arial"/>
          <w:sz w:val="20"/>
          <w:szCs w:val="20"/>
          <w:shd w:val="clear" w:color="auto" w:fill="FFFFFF"/>
        </w:rPr>
        <w:t xml:space="preserve"> 092 de 2017, artículo 5, cuando no se adelanta proceso competitivo ya que la ESAL aporta el 30% o más de los recursos?</w:t>
      </w:r>
      <w:r w:rsidRPr="00CF0DDE">
        <w:rPr>
          <w:rFonts w:ascii="Verdana" w:eastAsia="Century Gothic" w:hAnsi="Verdana" w:cs="Century Gothic"/>
          <w:sz w:val="20"/>
          <w:szCs w:val="20"/>
          <w:lang w:val="es-ES"/>
        </w:rPr>
        <w:t>”</w:t>
      </w:r>
      <w:bookmarkEnd w:id="1"/>
      <w:r w:rsidRPr="00CF0DDE">
        <w:rPr>
          <w:rFonts w:ascii="Verdana" w:eastAsia="Century Gothic" w:hAnsi="Verdana" w:cs="Century Gothic"/>
          <w:sz w:val="20"/>
          <w:szCs w:val="20"/>
          <w:lang w:val="es-ES"/>
        </w:rPr>
        <w:t>.</w:t>
      </w:r>
    </w:p>
    <w:p w14:paraId="74D20093" w14:textId="77777777" w:rsidR="00660A41" w:rsidRPr="00CF0DDE" w:rsidRDefault="00660A41" w:rsidP="00660A41">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76CF77F" w14:textId="77777777" w:rsidR="00660A41" w:rsidRPr="00CF0DDE" w:rsidRDefault="00660A41" w:rsidP="00660A41">
      <w:pPr>
        <w:spacing w:after="120" w:line="276" w:lineRule="auto"/>
        <w:jc w:val="both"/>
        <w:rPr>
          <w:rFonts w:ascii="Verdana" w:eastAsia="Calibri" w:hAnsi="Verdana" w:cs="Arial"/>
          <w:lang w:val="es-ES_tradnl" w:eastAsia="es-ES_tradnl"/>
        </w:rPr>
      </w:pPr>
      <w:r w:rsidRPr="00CF0DDE">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CF0DDE">
        <w:rPr>
          <w:rFonts w:ascii="Verdana" w:eastAsia="Calibri" w:hAnsi="Verdana" w:cs="Arial"/>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F0DDE">
        <w:rPr>
          <w:rFonts w:ascii="Verdana" w:eastAsia="Calibri" w:hAnsi="Verdana" w:cs="Arial"/>
          <w:lang w:val="es-ES_tradnl" w:eastAsia="es-ES_tradnl"/>
        </w:rPr>
        <w:tab/>
      </w:r>
    </w:p>
    <w:p w14:paraId="6A5F92C9" w14:textId="77777777" w:rsidR="00660A41" w:rsidRPr="00CF0DDE" w:rsidRDefault="00660A41" w:rsidP="00660A41">
      <w:pPr>
        <w:spacing w:after="0" w:line="276" w:lineRule="auto"/>
        <w:ind w:firstLine="709"/>
        <w:jc w:val="both"/>
        <w:rPr>
          <w:rFonts w:ascii="Verdana" w:eastAsia="Calibri" w:hAnsi="Verdana" w:cs="Arial"/>
          <w:lang w:val="es-ES" w:eastAsia="es-ES"/>
        </w:rPr>
      </w:pPr>
      <w:r w:rsidRPr="00CF0DDE">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de su consulta. </w:t>
      </w:r>
    </w:p>
    <w:p w14:paraId="6F8F0614" w14:textId="77777777" w:rsidR="00660A41" w:rsidRPr="00CF0DDE" w:rsidRDefault="00660A41" w:rsidP="00660A41">
      <w:pPr>
        <w:spacing w:after="0" w:line="276" w:lineRule="auto"/>
        <w:ind w:firstLine="709"/>
        <w:jc w:val="both"/>
        <w:rPr>
          <w:rFonts w:ascii="Verdana" w:eastAsia="Calibri" w:hAnsi="Verdana" w:cs="Arial"/>
          <w:lang w:val="es-ES" w:eastAsia="es-ES"/>
        </w:rPr>
      </w:pPr>
    </w:p>
    <w:p w14:paraId="5CE91E08" w14:textId="77777777" w:rsidR="00660A41" w:rsidRPr="00CF0DDE" w:rsidRDefault="00660A41" w:rsidP="00660A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F0DDE">
        <w:rPr>
          <w:rFonts w:ascii="Verdana" w:eastAsia="Century Gothic" w:hAnsi="Verdana" w:cs="Century Gothic"/>
          <w:b/>
          <w:bCs/>
        </w:rPr>
        <w:t>Problema planteado:</w:t>
      </w:r>
    </w:p>
    <w:p w14:paraId="763200FB" w14:textId="77777777" w:rsidR="00660A41" w:rsidRPr="00CF0DDE" w:rsidRDefault="00660A41" w:rsidP="00660A41">
      <w:pPr>
        <w:tabs>
          <w:tab w:val="left" w:pos="426"/>
        </w:tabs>
        <w:spacing w:after="0" w:line="276" w:lineRule="auto"/>
        <w:jc w:val="both"/>
        <w:rPr>
          <w:rFonts w:ascii="Verdana" w:eastAsia="Century Gothic" w:hAnsi="Verdana" w:cs="Century Gothic"/>
          <w:lang w:val="es-ES"/>
        </w:rPr>
      </w:pPr>
    </w:p>
    <w:p w14:paraId="775C827C" w14:textId="13A67AA6" w:rsidR="00660A41" w:rsidRPr="00CF0DDE" w:rsidRDefault="00660A41" w:rsidP="00660A41">
      <w:pPr>
        <w:spacing w:after="0" w:line="276" w:lineRule="auto"/>
        <w:jc w:val="both"/>
        <w:rPr>
          <w:rFonts w:ascii="Verdana" w:eastAsia="Century Gothic" w:hAnsi="Verdana" w:cs="Century Gothic"/>
          <w:lang w:val="es-ES"/>
        </w:rPr>
      </w:pPr>
      <w:r w:rsidRPr="00CF0DDE">
        <w:rPr>
          <w:rFonts w:ascii="Verdana" w:eastAsia="Century Gothic" w:hAnsi="Verdana" w:cs="Century Gothic"/>
        </w:rPr>
        <w:t>De acuerdo con el contenido de su solicitud, esta Agencia resolverá el siguiente problema jurídico:</w:t>
      </w:r>
      <w:r w:rsidRPr="00CF0DDE">
        <w:rPr>
          <w:rFonts w:ascii="Verdana" w:hAnsi="Verdana" w:cs="Arial"/>
          <w:shd w:val="clear" w:color="auto" w:fill="FFFFFF"/>
        </w:rPr>
        <w:t xml:space="preserve"> ¿Es necesario elaborar el acto administrativo de justificación de</w:t>
      </w:r>
      <w:r w:rsidR="004770E3">
        <w:rPr>
          <w:rFonts w:ascii="Verdana" w:hAnsi="Verdana" w:cs="Arial"/>
          <w:shd w:val="clear" w:color="auto" w:fill="FFFFFF"/>
        </w:rPr>
        <w:t xml:space="preserve">l </w:t>
      </w:r>
      <w:r w:rsidRPr="00CF0DDE">
        <w:rPr>
          <w:rFonts w:ascii="Verdana" w:hAnsi="Verdana" w:cs="Arial"/>
          <w:shd w:val="clear" w:color="auto" w:fill="FFFFFF"/>
        </w:rPr>
        <w:t xml:space="preserve">convenio de asociación que se </w:t>
      </w:r>
      <w:proofErr w:type="spellStart"/>
      <w:proofErr w:type="gramStart"/>
      <w:r w:rsidRPr="00CF0DDE">
        <w:rPr>
          <w:rFonts w:ascii="Verdana" w:hAnsi="Verdana" w:cs="Arial"/>
          <w:shd w:val="clear" w:color="auto" w:fill="FFFFFF"/>
        </w:rPr>
        <w:t>celebr</w:t>
      </w:r>
      <w:r w:rsidR="00E834BE">
        <w:rPr>
          <w:rFonts w:ascii="Verdana" w:hAnsi="Verdana" w:cs="Arial"/>
          <w:shd w:val="clear" w:color="auto" w:fill="FFFFFF"/>
        </w:rPr>
        <w:t>,</w:t>
      </w:r>
      <w:r w:rsidRPr="00CF0DDE">
        <w:rPr>
          <w:rFonts w:ascii="Verdana" w:hAnsi="Verdana" w:cs="Arial"/>
          <w:shd w:val="clear" w:color="auto" w:fill="FFFFFF"/>
        </w:rPr>
        <w:t>e</w:t>
      </w:r>
      <w:proofErr w:type="spellEnd"/>
      <w:proofErr w:type="gramEnd"/>
      <w:r w:rsidRPr="00CF0DDE">
        <w:rPr>
          <w:rFonts w:ascii="Verdana" w:hAnsi="Verdana" w:cs="Arial"/>
          <w:shd w:val="clear" w:color="auto" w:fill="FFFFFF"/>
        </w:rPr>
        <w:t xml:space="preserve"> en virtud de lo dispuesto en el </w:t>
      </w:r>
      <w:r>
        <w:rPr>
          <w:rFonts w:ascii="Verdana" w:hAnsi="Verdana" w:cs="Arial"/>
          <w:shd w:val="clear" w:color="auto" w:fill="FFFFFF"/>
        </w:rPr>
        <w:t xml:space="preserve">artículo 5 del </w:t>
      </w:r>
      <w:r w:rsidRPr="00CF0DDE">
        <w:rPr>
          <w:rFonts w:ascii="Verdana" w:hAnsi="Verdana" w:cs="Arial"/>
          <w:shd w:val="clear" w:color="auto" w:fill="FFFFFF"/>
        </w:rPr>
        <w:t>Decreto 092 de 2017, cuando no se adelanta un proceso competitivo</w:t>
      </w:r>
      <w:r>
        <w:rPr>
          <w:rFonts w:ascii="Verdana" w:hAnsi="Verdana" w:cs="Arial"/>
          <w:shd w:val="clear" w:color="auto" w:fill="FFFFFF"/>
        </w:rPr>
        <w:t xml:space="preserve"> debido a que la Entidad sin Ánimo de Lucro – en adelante ESAL – aporta más de treinta por ciento (30%) del valor del convenio</w:t>
      </w:r>
      <w:r w:rsidRPr="00CF0DDE">
        <w:rPr>
          <w:rFonts w:ascii="Verdana" w:hAnsi="Verdana" w:cs="Arial"/>
          <w:shd w:val="clear" w:color="auto" w:fill="FFFFFF"/>
        </w:rPr>
        <w:t>?</w:t>
      </w:r>
    </w:p>
    <w:p w14:paraId="3306BF11" w14:textId="77777777" w:rsidR="00660A41" w:rsidRPr="00CF0DDE" w:rsidRDefault="00660A41" w:rsidP="00660A41">
      <w:pPr>
        <w:spacing w:after="0" w:line="276" w:lineRule="auto"/>
        <w:jc w:val="both"/>
        <w:rPr>
          <w:rFonts w:ascii="Verdana" w:eastAsia="Calibri" w:hAnsi="Verdana" w:cs="Arial"/>
          <w:lang w:val="es-ES"/>
        </w:rPr>
      </w:pPr>
    </w:p>
    <w:p w14:paraId="24DCB7EF" w14:textId="77777777" w:rsidR="00660A41" w:rsidRPr="00CF0DDE" w:rsidRDefault="00660A41" w:rsidP="00660A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F0DDE">
        <w:rPr>
          <w:rFonts w:ascii="Verdana" w:eastAsia="Century Gothic" w:hAnsi="Verdana" w:cs="Century Gothic"/>
          <w:b/>
          <w:bCs/>
        </w:rPr>
        <w:t>Respuesta:</w:t>
      </w:r>
    </w:p>
    <w:p w14:paraId="42890D9D" w14:textId="77777777" w:rsidR="00660A41" w:rsidRPr="00CF0DDE" w:rsidRDefault="00660A41" w:rsidP="00660A4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60A41" w:rsidRPr="004224A2" w14:paraId="2651969B" w14:textId="77777777" w:rsidTr="00954CA3">
        <w:tc>
          <w:tcPr>
            <w:tcW w:w="8828" w:type="dxa"/>
            <w:shd w:val="clear" w:color="auto" w:fill="auto"/>
          </w:tcPr>
          <w:p w14:paraId="1EDC05F2" w14:textId="585F6697" w:rsidR="00660A41" w:rsidRPr="004224A2" w:rsidRDefault="00660A41" w:rsidP="00954CA3">
            <w:pPr>
              <w:spacing w:line="276" w:lineRule="auto"/>
              <w:jc w:val="both"/>
              <w:rPr>
                <w:rFonts w:ascii="Verdana" w:eastAsia="Calibri" w:hAnsi="Verdana" w:cs="Arial"/>
                <w:color w:val="000000" w:themeColor="text1"/>
                <w:lang w:val="es-ES_tradnl"/>
              </w:rPr>
            </w:pPr>
            <w:r w:rsidRPr="004224A2">
              <w:rPr>
                <w:rFonts w:ascii="Verdana" w:eastAsia="Calibri" w:hAnsi="Verdana" w:cs="Arial"/>
                <w:lang w:val="es-ES_tradnl" w:eastAsia="es-ES_tradnl"/>
              </w:rPr>
              <w:t xml:space="preserve">Respecto al problema jurídico planteado debe señalarse que </w:t>
            </w:r>
            <w:r w:rsidRPr="004224A2">
              <w:rPr>
                <w:rFonts w:ascii="Verdana" w:hAnsi="Verdana" w:cs="Arial"/>
              </w:rPr>
              <w:t xml:space="preserve">el Decreto 092 de 2017 no fijó reglas para </w:t>
            </w:r>
            <w:r w:rsidR="006D1671" w:rsidRPr="00D85023">
              <w:rPr>
                <w:rFonts w:ascii="Verdana" w:hAnsi="Verdana" w:cs="Arial"/>
              </w:rPr>
              <w:t xml:space="preserve">la </w:t>
            </w:r>
            <w:r w:rsidR="00D85023" w:rsidRPr="00D85023">
              <w:rPr>
                <w:rFonts w:ascii="Verdana" w:hAnsi="Verdana" w:cs="Arial"/>
              </w:rPr>
              <w:t xml:space="preserve">elaboración de </w:t>
            </w:r>
            <w:r w:rsidR="006D1671" w:rsidRPr="00EE263B">
              <w:rPr>
                <w:rFonts w:ascii="Verdana" w:hAnsi="Verdana" w:cs="Arial"/>
              </w:rPr>
              <w:t>la justificación del acto administrativo</w:t>
            </w:r>
            <w:r w:rsidR="006D1671" w:rsidRPr="00D85023">
              <w:rPr>
                <w:rFonts w:ascii="Verdana" w:hAnsi="Verdana" w:cs="Arial"/>
              </w:rPr>
              <w:t xml:space="preserve">. </w:t>
            </w:r>
            <w:r w:rsidR="006D1671" w:rsidRPr="00EE263B">
              <w:rPr>
                <w:rFonts w:ascii="Verdana" w:hAnsi="Verdana" w:cs="Arial"/>
              </w:rPr>
              <w:t>Por lo anterior, es necesario proceder a la</w:t>
            </w:r>
            <w:r w:rsidRPr="004224A2">
              <w:rPr>
                <w:rFonts w:ascii="Verdana" w:hAnsi="Verdana" w:cs="Arial"/>
              </w:rPr>
              <w:t xml:space="preserve"> </w:t>
            </w:r>
            <w:r w:rsidR="00FF7CBA" w:rsidRPr="000F7A25">
              <w:rPr>
                <w:rFonts w:ascii="Verdana" w:eastAsia="Times New Roman" w:hAnsi="Verdana" w:cs="Arial"/>
                <w:bCs/>
                <w:i/>
                <w:iCs/>
                <w:color w:val="333333"/>
                <w:shd w:val="clear" w:color="auto" w:fill="FFFFFF"/>
                <w:lang w:eastAsia="es-ES_tradnl"/>
              </w:rPr>
              <w:t xml:space="preserve">aplicación de normas generales del sistema de contratación pública </w:t>
            </w:r>
            <w:r w:rsidR="00FF7CBA" w:rsidRPr="00EE263B">
              <w:rPr>
                <w:rFonts w:ascii="Verdana" w:hAnsi="Verdana" w:cs="Arial"/>
              </w:rPr>
              <w:t>dada la aplicación residual de tales normas</w:t>
            </w:r>
            <w:r w:rsidR="00E834BE">
              <w:rPr>
                <w:rFonts w:ascii="Verdana" w:hAnsi="Verdana" w:cs="Arial"/>
              </w:rPr>
              <w:t>,</w:t>
            </w:r>
            <w:r w:rsidR="00FF7CBA" w:rsidRPr="00EE263B">
              <w:rPr>
                <w:rFonts w:ascii="Verdana" w:hAnsi="Verdana" w:cs="Arial"/>
              </w:rPr>
              <w:t xml:space="preserve"> </w:t>
            </w:r>
            <w:r w:rsidRPr="004224A2">
              <w:rPr>
                <w:rFonts w:ascii="Verdana" w:hAnsi="Verdana" w:cs="Arial"/>
              </w:rPr>
              <w:t xml:space="preserve">conforme lo dispuesto en el artículo 8 </w:t>
            </w:r>
            <w:r w:rsidRPr="004224A2">
              <w:rPr>
                <w:rFonts w:ascii="Verdana" w:hAnsi="Verdana" w:cs="Arial"/>
                <w:i/>
                <w:iCs/>
              </w:rPr>
              <w:t>ibidem</w:t>
            </w:r>
            <w:r w:rsidRPr="004224A2">
              <w:rPr>
                <w:rFonts w:ascii="Verdana" w:hAnsi="Verdana" w:cs="Arial"/>
              </w:rPr>
              <w:t>, el cual señala que, l</w:t>
            </w:r>
            <w:r w:rsidRPr="004224A2">
              <w:rPr>
                <w:rFonts w:ascii="Verdana" w:eastAsia="Calibri" w:hAnsi="Verdana" w:cs="Arial"/>
                <w:color w:val="000000" w:themeColor="text1"/>
                <w:lang w:val="es-ES_tradnl"/>
              </w:rPr>
              <w:t xml:space="preserve">a contratación regulada en el citado Decreto está sujeta a las normas generales aplicables a la contratación pública excepto en lo reglamentado en el mismo. </w:t>
            </w:r>
          </w:p>
          <w:p w14:paraId="79DCDA72" w14:textId="77777777" w:rsidR="00660A41" w:rsidRPr="004224A2" w:rsidRDefault="00660A41" w:rsidP="00954CA3">
            <w:pPr>
              <w:spacing w:line="276" w:lineRule="auto"/>
              <w:jc w:val="both"/>
              <w:rPr>
                <w:rFonts w:ascii="Verdana" w:eastAsia="Calibri" w:hAnsi="Verdana" w:cs="Arial"/>
                <w:color w:val="000000" w:themeColor="text1"/>
                <w:lang w:val="es-ES_tradnl"/>
              </w:rPr>
            </w:pPr>
          </w:p>
          <w:p w14:paraId="28B536D6" w14:textId="77777777" w:rsidR="00660A41" w:rsidRPr="004224A2" w:rsidRDefault="00660A41" w:rsidP="00954CA3">
            <w:pPr>
              <w:spacing w:line="276" w:lineRule="auto"/>
              <w:jc w:val="both"/>
              <w:rPr>
                <w:rFonts w:ascii="Verdana" w:eastAsia="Calibri" w:hAnsi="Verdana" w:cs="Arial"/>
                <w:color w:val="000000" w:themeColor="text1"/>
                <w:lang w:val="es-ES_tradnl"/>
              </w:rPr>
            </w:pPr>
            <w:r w:rsidRPr="004224A2">
              <w:rPr>
                <w:rFonts w:ascii="Verdana" w:eastAsia="Calibri" w:hAnsi="Verdana" w:cs="Arial"/>
                <w:color w:val="000000" w:themeColor="text1"/>
                <w:lang w:val="es-ES_tradnl"/>
              </w:rPr>
              <w:t>Así las cosas, l</w:t>
            </w:r>
            <w:r w:rsidRPr="004224A2">
              <w:rPr>
                <w:rFonts w:ascii="Verdana" w:eastAsia="Calibri" w:hAnsi="Verdana" w:cs="Arial"/>
                <w:lang w:val="es-ES_tradnl" w:eastAsia="es-ES_tradnl"/>
              </w:rPr>
              <w:t xml:space="preserve">a norma citada integra las lagunas o vacíos normativos del reglamento autónomo, y se aplican a todo lo que no esté expresamente regulado en él. </w:t>
            </w:r>
            <w:r w:rsidRPr="004224A2">
              <w:rPr>
                <w:rFonts w:ascii="Verdana" w:eastAsia="Calibri" w:hAnsi="Verdana" w:cs="Arial"/>
                <w:color w:val="000000" w:themeColor="text1"/>
                <w:lang w:val="es-ES"/>
              </w:rPr>
              <w:t xml:space="preserve">En otras palabras, el Estatuto General de Contratación de la </w:t>
            </w:r>
            <w:r w:rsidRPr="004224A2">
              <w:rPr>
                <w:rFonts w:ascii="Verdana" w:eastAsia="Calibri" w:hAnsi="Verdana" w:cs="Arial"/>
                <w:color w:val="000000" w:themeColor="text1"/>
                <w:lang w:val="es-ES"/>
              </w:rPr>
              <w:lastRenderedPageBreak/>
              <w:t xml:space="preserve">Administración Pública – </w:t>
            </w:r>
            <w:r>
              <w:rPr>
                <w:rFonts w:ascii="Verdana" w:eastAsia="Calibri" w:hAnsi="Verdana" w:cs="Arial"/>
                <w:color w:val="000000" w:themeColor="text1"/>
                <w:lang w:val="es-ES"/>
              </w:rPr>
              <w:t xml:space="preserve">en adelante </w:t>
            </w:r>
            <w:r w:rsidRPr="004224A2">
              <w:rPr>
                <w:rFonts w:ascii="Verdana" w:eastAsia="Calibri" w:hAnsi="Verdana" w:cs="Arial"/>
                <w:color w:val="000000" w:themeColor="text1"/>
                <w:lang w:val="es-ES"/>
              </w:rPr>
              <w:t xml:space="preserve">EGCAP –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 </w:t>
            </w:r>
          </w:p>
          <w:p w14:paraId="4B05671D" w14:textId="77777777" w:rsidR="00660A41" w:rsidRPr="004224A2" w:rsidRDefault="00660A41" w:rsidP="00954CA3">
            <w:pPr>
              <w:pStyle w:val="Prrafodelista"/>
              <w:spacing w:line="276" w:lineRule="auto"/>
              <w:ind w:left="360"/>
              <w:contextualSpacing w:val="0"/>
              <w:jc w:val="both"/>
              <w:rPr>
                <w:rFonts w:ascii="Verdana" w:hAnsi="Verdana" w:cs="Arial"/>
              </w:rPr>
            </w:pPr>
          </w:p>
          <w:p w14:paraId="2951A64B" w14:textId="77777777" w:rsidR="00660A41" w:rsidRPr="004224A2" w:rsidRDefault="00660A41" w:rsidP="00954CA3">
            <w:pPr>
              <w:spacing w:line="276" w:lineRule="auto"/>
              <w:jc w:val="both"/>
              <w:rPr>
                <w:rFonts w:ascii="Verdana" w:hAnsi="Verdana" w:cs="Arial"/>
                <w:lang w:val="es-ES"/>
              </w:rPr>
            </w:pPr>
            <w:r w:rsidRPr="004224A2">
              <w:rPr>
                <w:rFonts w:ascii="Verdana" w:eastAsia="Calibri" w:hAnsi="Verdana" w:cs="Arial"/>
                <w:color w:val="000000" w:themeColor="text1"/>
                <w:lang w:val="es-ES"/>
              </w:rPr>
              <w:t xml:space="preserve">En tal sentido, frente al aspecto por el cual se formula la consulta habrá que remitirse a lo dispuesto en el </w:t>
            </w:r>
            <w:r w:rsidRPr="004224A2">
              <w:rPr>
                <w:rFonts w:ascii="Verdana" w:hAnsi="Verdana" w:cs="Arial"/>
              </w:rPr>
              <w:t xml:space="preserve">artículo 2.2.1.2.1.4.1 del Decreto 1082 de 2015. </w:t>
            </w:r>
            <w:r w:rsidRPr="004224A2">
              <w:rPr>
                <w:rFonts w:ascii="Verdana" w:hAnsi="Verdana" w:cs="Arial"/>
                <w:lang w:val="es-ES"/>
              </w:rPr>
              <w:t>De acuerdo con esta disposición</w:t>
            </w:r>
            <w:r w:rsidRPr="004224A2">
              <w:rPr>
                <w:rFonts w:ascii="Verdana" w:hAnsi="Verdana" w:cs="Arial"/>
              </w:rPr>
              <w:t xml:space="preserve">, tratándose de contratación directa, la Entidad Estatal debe señalar en un acto administrativo la justificación para contratar bajo esta modalidad. En este acto administrativo, además, se debe indicar la causal que se invoca para contratar directamente, el objeto del contrato, el presupuesto para la contratación y las condiciones que se exigirá al contratista. </w:t>
            </w:r>
          </w:p>
          <w:p w14:paraId="3C654E28" w14:textId="77777777" w:rsidR="00660A41" w:rsidRPr="004224A2" w:rsidRDefault="00660A41" w:rsidP="00954CA3">
            <w:pPr>
              <w:pStyle w:val="Prrafodelista"/>
              <w:spacing w:line="276" w:lineRule="auto"/>
              <w:ind w:left="360"/>
              <w:contextualSpacing w:val="0"/>
              <w:jc w:val="both"/>
              <w:rPr>
                <w:rFonts w:ascii="Verdana" w:hAnsi="Verdana" w:cs="Arial"/>
              </w:rPr>
            </w:pPr>
          </w:p>
          <w:p w14:paraId="1574363E" w14:textId="28D65DA4" w:rsidR="00660A41" w:rsidRPr="004224A2" w:rsidRDefault="00660A41" w:rsidP="00954CA3">
            <w:pPr>
              <w:spacing w:line="276" w:lineRule="auto"/>
              <w:jc w:val="both"/>
              <w:rPr>
                <w:rFonts w:ascii="Verdana" w:hAnsi="Verdana" w:cs="Arial"/>
              </w:rPr>
            </w:pPr>
            <w:r w:rsidRPr="004224A2">
              <w:rPr>
                <w:rFonts w:ascii="Verdana" w:hAnsi="Verdana" w:cs="Arial"/>
              </w:rPr>
              <w:t xml:space="preserve">Conforme lo anterior, tratándose de la celebración de convenios de asociación celebrados </w:t>
            </w:r>
            <w:r w:rsidR="001B2001">
              <w:rPr>
                <w:rFonts w:ascii="Verdana" w:hAnsi="Verdana" w:cs="Arial"/>
              </w:rPr>
              <w:t>sin un proceso competitivo</w:t>
            </w:r>
            <w:r w:rsidRPr="004224A2">
              <w:rPr>
                <w:rFonts w:ascii="Verdana" w:hAnsi="Verdana" w:cs="Arial"/>
              </w:rPr>
              <w:t xml:space="preserve">, en virtud del artículo 5 del Decreto 092 de 2017, se deben elaborar los documentos y estudios previos en los cuales se justifique la contratación directa. En estos se debe realizar la determinación de los indicadores y factores de ponderación a tener cuenta, con el cuidado de acreditar que ese contrato puede ser ejecutado por esa ESAL en particular, que aporta treinta por ciento (30%) del valor total del convenio y porque cuenta con la idoneidad para el efecto; solicitar la oferta a la ESAL idónea; verificar las condiciones de idoneidad, la seriedad del ofrecimiento del aporte y las otras calidades para certificarlas y celebrar el contrato de interés público y; finalmente, debe verificarse que </w:t>
            </w:r>
            <w:r w:rsidRPr="004224A2">
              <w:rPr>
                <w:rFonts w:ascii="Verdana" w:eastAsia="Times New Roman" w:hAnsi="Verdana"/>
                <w:color w:val="000000"/>
              </w:rPr>
              <w:t>no exista otra ESAL que ofrezca esos servicios o tenga la disponibilidad de más recursos, ya que de ser así debería adelantar un proceso competitivo.</w:t>
            </w:r>
          </w:p>
        </w:tc>
      </w:tr>
    </w:tbl>
    <w:p w14:paraId="230B86FC" w14:textId="77777777" w:rsidR="00660A41" w:rsidRPr="0084136F" w:rsidRDefault="00660A41" w:rsidP="00660A41">
      <w:pPr>
        <w:tabs>
          <w:tab w:val="left" w:pos="142"/>
          <w:tab w:val="left" w:pos="284"/>
        </w:tabs>
        <w:spacing w:after="0" w:line="276" w:lineRule="auto"/>
        <w:jc w:val="both"/>
        <w:rPr>
          <w:rFonts w:ascii="Verdana" w:eastAsia="Century Gothic" w:hAnsi="Verdana" w:cs="Century Gothic"/>
          <w:b/>
          <w:bCs/>
          <w:lang w:val="es-ES"/>
        </w:rPr>
      </w:pPr>
    </w:p>
    <w:p w14:paraId="0C4640C0" w14:textId="77777777" w:rsidR="00660A41" w:rsidRPr="0084136F" w:rsidRDefault="00660A41" w:rsidP="00660A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4136F">
        <w:rPr>
          <w:rFonts w:ascii="Verdana" w:eastAsia="Century Gothic" w:hAnsi="Verdana" w:cs="Century Gothic"/>
          <w:b/>
          <w:bCs/>
        </w:rPr>
        <w:t>Razones de la respuesta:</w:t>
      </w:r>
    </w:p>
    <w:p w14:paraId="7E2EB8FF" w14:textId="77777777" w:rsidR="00660A41" w:rsidRPr="0084136F" w:rsidRDefault="00660A41" w:rsidP="00660A41">
      <w:pPr>
        <w:spacing w:after="0" w:line="276" w:lineRule="auto"/>
        <w:jc w:val="both"/>
        <w:rPr>
          <w:rFonts w:ascii="Verdana" w:eastAsia="Calibri" w:hAnsi="Verdana" w:cs="Arial"/>
          <w:color w:val="7030A0"/>
          <w:lang w:val="es-ES"/>
        </w:rPr>
      </w:pPr>
    </w:p>
    <w:p w14:paraId="617C1821" w14:textId="77777777" w:rsidR="00660A41" w:rsidRPr="0084136F" w:rsidRDefault="00660A41" w:rsidP="00660A41">
      <w:pPr>
        <w:spacing w:after="0" w:line="276" w:lineRule="auto"/>
        <w:jc w:val="both"/>
        <w:rPr>
          <w:rFonts w:ascii="Verdana" w:eastAsia="Calibri" w:hAnsi="Verdana" w:cs="Arial"/>
          <w:lang w:val="es-ES"/>
        </w:rPr>
      </w:pPr>
      <w:r w:rsidRPr="0084136F">
        <w:rPr>
          <w:rFonts w:ascii="Verdana" w:eastAsia="Calibri" w:hAnsi="Verdana" w:cs="Arial"/>
          <w:lang w:val="es-ES"/>
        </w:rPr>
        <w:t xml:space="preserve">Lo anterior se sustenta en las siguientes consideraciones: </w:t>
      </w:r>
    </w:p>
    <w:p w14:paraId="70B68FD0" w14:textId="77777777" w:rsidR="00660A41" w:rsidRPr="0084136F" w:rsidRDefault="00660A41" w:rsidP="00660A41">
      <w:pPr>
        <w:spacing w:after="0" w:line="276" w:lineRule="auto"/>
        <w:jc w:val="both"/>
        <w:rPr>
          <w:rFonts w:ascii="Verdana" w:eastAsia="Calibri" w:hAnsi="Verdana" w:cs="Arial"/>
          <w:lang w:val="es-ES"/>
        </w:rPr>
      </w:pPr>
    </w:p>
    <w:p w14:paraId="26B818FF"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eastAsia="Calibri" w:hAnsi="Verdana" w:cs="Arial"/>
          <w:color w:val="000000" w:themeColor="text1"/>
        </w:rPr>
        <w:t xml:space="preserve">El </w:t>
      </w:r>
      <w:bookmarkStart w:id="2" w:name="_Hlk173063453"/>
      <w:r w:rsidRPr="0084136F">
        <w:rPr>
          <w:rFonts w:ascii="Verdana" w:eastAsia="Calibri" w:hAnsi="Verdana" w:cs="Arial"/>
          <w:color w:val="000000" w:themeColor="text1"/>
        </w:rPr>
        <w:t xml:space="preserve">artículo 355 de la Constitución Política </w:t>
      </w:r>
      <w:bookmarkEnd w:id="2"/>
      <w:r w:rsidRPr="0084136F">
        <w:rPr>
          <w:rFonts w:ascii="Verdana" w:eastAsia="Calibri" w:hAnsi="Verdana" w:cs="Arial"/>
          <w:color w:val="000000" w:themeColor="text1"/>
        </w:rPr>
        <w:t xml:space="preserve">prohíbe a las ramas y órganos del poder público decretar auxilios o donaciones en favor de personas naturales o jurídicas. Igualmente, establece que las entidades del orden nacional, departamental, distrital y municipal podrán, con sus propios recursos, </w:t>
      </w:r>
      <w:r w:rsidRPr="0084136F">
        <w:rPr>
          <w:rFonts w:ascii="Verdana" w:eastAsia="Calibri" w:hAnsi="Verdana" w:cs="Arial"/>
          <w:color w:val="000000" w:themeColor="text1"/>
        </w:rPr>
        <w:lastRenderedPageBreak/>
        <w:t>contratar con ESAL, con el fin de impulsar programas y actividades de interés público acordes con el plan nacional y los planes seccionales de desarrollo</w:t>
      </w:r>
      <w:r w:rsidRPr="0084136F">
        <w:rPr>
          <w:rFonts w:ascii="Verdana" w:hAnsi="Verdana"/>
          <w:vertAlign w:val="superscript"/>
        </w:rPr>
        <w:footnoteReference w:id="2"/>
      </w:r>
      <w:r w:rsidRPr="0084136F">
        <w:rPr>
          <w:rFonts w:ascii="Verdana" w:eastAsia="Calibri" w:hAnsi="Verdana" w:cs="Arial"/>
          <w:color w:val="000000" w:themeColor="text1"/>
        </w:rPr>
        <w:t xml:space="preserve">. </w:t>
      </w:r>
      <w:bookmarkStart w:id="3" w:name="_Hlk164688501"/>
      <w:r w:rsidRPr="0084136F">
        <w:rPr>
          <w:rFonts w:ascii="Verdana" w:eastAsia="Calibri" w:hAnsi="Verdana" w:cs="Arial"/>
          <w:color w:val="000000" w:themeColor="text1"/>
        </w:rPr>
        <w:t xml:space="preserve">Por otra parte, el </w:t>
      </w:r>
      <w:bookmarkStart w:id="4" w:name="_Hlk173063480"/>
      <w:r w:rsidRPr="0084136F">
        <w:rPr>
          <w:rFonts w:ascii="Verdana" w:eastAsia="Calibri" w:hAnsi="Verdana" w:cs="Arial"/>
          <w:color w:val="000000" w:themeColor="text1"/>
        </w:rPr>
        <w:t>artículo 96 de la Ley 489 de 1998</w:t>
      </w:r>
      <w:bookmarkEnd w:id="4"/>
      <w:r w:rsidRPr="0084136F">
        <w:rPr>
          <w:rFonts w:ascii="Verdana" w:hAnsi="Verdana"/>
          <w:vertAlign w:val="superscript"/>
        </w:rPr>
        <w:footnoteReference w:id="3"/>
      </w:r>
      <w:r w:rsidRPr="0084136F">
        <w:rPr>
          <w:rFonts w:ascii="Verdana" w:eastAsia="Calibri" w:hAnsi="Verdana" w:cs="Arial"/>
          <w:color w:val="000000" w:themeColor="text1"/>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3"/>
      <w:r w:rsidRPr="0084136F">
        <w:rPr>
          <w:rFonts w:ascii="Verdana" w:eastAsia="Calibri" w:hAnsi="Verdana" w:cs="Arial"/>
          <w:color w:val="000000" w:themeColor="text1"/>
        </w:rPr>
        <w:t>.</w:t>
      </w:r>
      <w:bookmarkStart w:id="6" w:name="_Hlk38819155"/>
    </w:p>
    <w:p w14:paraId="7FA3C0FB" w14:textId="77777777" w:rsidR="00660A41" w:rsidRPr="0084136F" w:rsidRDefault="00660A41" w:rsidP="00660A41">
      <w:pPr>
        <w:pStyle w:val="Prrafodelista"/>
        <w:spacing w:after="0" w:line="276" w:lineRule="auto"/>
        <w:ind w:left="360"/>
        <w:contextualSpacing w:val="0"/>
        <w:jc w:val="both"/>
        <w:rPr>
          <w:rFonts w:ascii="Verdana" w:eastAsia="Calibri" w:hAnsi="Verdana" w:cs="Arial"/>
        </w:rPr>
      </w:pPr>
    </w:p>
    <w:p w14:paraId="482F4EED"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hAnsi="Verdana" w:cs="Arial"/>
          <w:lang w:val="es-MX"/>
        </w:rPr>
        <w:t xml:space="preserve">El Gobierno Nacional, en desarrollo del artículo 355 de la Constitución Política, expidió el </w:t>
      </w:r>
      <w:bookmarkStart w:id="7" w:name="_Hlk173063499"/>
      <w:r w:rsidRPr="0084136F">
        <w:rPr>
          <w:rFonts w:ascii="Verdana" w:hAnsi="Verdana" w:cs="Arial"/>
          <w:lang w:val="es-MX"/>
        </w:rPr>
        <w:t>Decreto 092 de 2017</w:t>
      </w:r>
      <w:bookmarkEnd w:id="7"/>
      <w:r w:rsidRPr="0084136F">
        <w:rPr>
          <w:rFonts w:ascii="Verdana" w:hAnsi="Verdana" w:cs="Arial"/>
          <w:lang w:val="es-MX"/>
        </w:rPr>
        <w:t>, q</w:t>
      </w:r>
      <w:r w:rsidRPr="0084136F">
        <w:rPr>
          <w:rFonts w:ascii="Verdana" w:eastAsia="Calibri" w:hAnsi="Verdana" w:cs="Arial"/>
          <w:lang w:val="es-MX"/>
        </w:rPr>
        <w:t xml:space="preserve">ue dispone las reglas para las contrataciones que realicen las Entidades Estatales con las ESAL. </w:t>
      </w:r>
      <w:r w:rsidRPr="0084136F">
        <w:rPr>
          <w:rFonts w:ascii="Verdana" w:eastAsia="Calibri" w:hAnsi="Verdana" w:cs="Arial"/>
          <w:color w:val="000000" w:themeColor="text1"/>
        </w:rPr>
        <w:t xml:space="preserve">El Decreto regula dos (2) eventos: i) </w:t>
      </w:r>
      <w:r w:rsidRPr="0084136F">
        <w:rPr>
          <w:rFonts w:ascii="Verdana" w:eastAsia="Calibri" w:hAnsi="Verdana" w:cs="Arial"/>
          <w:lang w:eastAsia="es-ES_tradnl"/>
        </w:rPr>
        <w:t xml:space="preserve">los </w:t>
      </w:r>
      <w:r w:rsidRPr="0084136F">
        <w:rPr>
          <w:rFonts w:ascii="Verdana" w:eastAsia="Calibri" w:hAnsi="Verdana" w:cs="Arial"/>
          <w:i/>
          <w:iCs/>
          <w:lang w:eastAsia="es-ES_tradnl"/>
        </w:rPr>
        <w:t>contratos de colaboración</w:t>
      </w:r>
      <w:r w:rsidRPr="0084136F">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84136F">
        <w:rPr>
          <w:rFonts w:ascii="Verdana" w:eastAsia="Calibri" w:hAnsi="Verdana" w:cs="Arial"/>
          <w:color w:val="000000" w:themeColor="text1"/>
        </w:rPr>
        <w:t xml:space="preserve"> y; </w:t>
      </w:r>
      <w:proofErr w:type="spellStart"/>
      <w:r w:rsidRPr="0084136F">
        <w:rPr>
          <w:rFonts w:ascii="Verdana" w:eastAsia="Calibri" w:hAnsi="Verdana" w:cs="Arial"/>
          <w:color w:val="000000" w:themeColor="text1"/>
        </w:rPr>
        <w:t>ii</w:t>
      </w:r>
      <w:proofErr w:type="spellEnd"/>
      <w:r w:rsidRPr="0084136F">
        <w:rPr>
          <w:rFonts w:ascii="Verdana" w:eastAsia="Calibri" w:hAnsi="Verdana" w:cs="Arial"/>
          <w:color w:val="000000" w:themeColor="text1"/>
        </w:rPr>
        <w:t xml:space="preserve">) los </w:t>
      </w:r>
      <w:r w:rsidRPr="0084136F">
        <w:rPr>
          <w:rFonts w:ascii="Verdana" w:eastAsia="Calibri" w:hAnsi="Verdana" w:cs="Arial"/>
          <w:i/>
          <w:iCs/>
          <w:color w:val="000000" w:themeColor="text1"/>
        </w:rPr>
        <w:t>convenios de asociación</w:t>
      </w:r>
      <w:r w:rsidRPr="0084136F">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84136F">
        <w:rPr>
          <w:rFonts w:ascii="Verdana" w:eastAsia="Calibri" w:hAnsi="Verdana" w:cs="Arial"/>
          <w:color w:val="000000"/>
          <w:lang w:val="es-MX" w:eastAsia="es-ES_tradnl"/>
        </w:rPr>
        <w:t xml:space="preserve">Los primeros están regulados en el artículo 2 del Decreto 092 de 2017, mientras que los segundos en los artículos 5, 6, 7 y 8 </w:t>
      </w:r>
      <w:r w:rsidRPr="0084136F">
        <w:rPr>
          <w:rFonts w:ascii="Verdana" w:eastAsia="Calibri" w:hAnsi="Verdana" w:cs="Arial"/>
          <w:i/>
          <w:iCs/>
          <w:color w:val="000000"/>
          <w:lang w:val="es-MX" w:eastAsia="es-ES_tradnl"/>
        </w:rPr>
        <w:t>ibidem</w:t>
      </w:r>
      <w:r w:rsidRPr="0084136F">
        <w:rPr>
          <w:rFonts w:ascii="Verdana" w:eastAsia="Calibri" w:hAnsi="Verdana" w:cs="Arial"/>
          <w:color w:val="000000"/>
          <w:lang w:val="es-MX" w:eastAsia="es-ES_tradnl"/>
        </w:rPr>
        <w:t xml:space="preserve">. </w:t>
      </w:r>
    </w:p>
    <w:p w14:paraId="59F3A9BF" w14:textId="77777777" w:rsidR="00660A41" w:rsidRPr="0084136F" w:rsidRDefault="00660A41" w:rsidP="00660A41">
      <w:pPr>
        <w:pStyle w:val="Prrafodelista"/>
        <w:spacing w:after="0" w:line="276" w:lineRule="auto"/>
        <w:contextualSpacing w:val="0"/>
        <w:rPr>
          <w:rFonts w:ascii="Verdana" w:eastAsia="Calibri" w:hAnsi="Verdana" w:cs="Arial"/>
          <w:color w:val="000000"/>
          <w:lang w:eastAsia="es-ES_tradnl"/>
        </w:rPr>
      </w:pPr>
    </w:p>
    <w:p w14:paraId="73C3E172"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eastAsia="Calibri" w:hAnsi="Verdana" w:cs="Arial"/>
          <w:color w:val="000000"/>
          <w:lang w:eastAsia="es-ES_tradnl"/>
        </w:rPr>
        <w:t>Así las cosas, e</w:t>
      </w:r>
      <w:r w:rsidRPr="0084136F">
        <w:rPr>
          <w:rFonts w:ascii="Verdana" w:eastAsia="Calibri" w:hAnsi="Verdana" w:cs="Arial"/>
          <w:color w:val="000000"/>
          <w:lang w:val="es-MX" w:eastAsia="es-ES_tradnl"/>
        </w:rPr>
        <w:t xml:space="preserve">s posible diferenciar, los </w:t>
      </w:r>
      <w:r w:rsidRPr="0084136F">
        <w:rPr>
          <w:rFonts w:ascii="Verdana" w:eastAsia="Calibri" w:hAnsi="Verdana" w:cs="Arial"/>
          <w:i/>
          <w:iCs/>
          <w:color w:val="000000"/>
          <w:lang w:val="es-MX" w:eastAsia="es-ES_tradnl"/>
        </w:rPr>
        <w:t>contratos de colaboración</w:t>
      </w:r>
      <w:r w:rsidRPr="0084136F">
        <w:rPr>
          <w:rFonts w:ascii="Verdana" w:eastAsia="Calibri" w:hAnsi="Verdana" w:cs="Arial"/>
          <w:color w:val="000000"/>
          <w:lang w:val="es-MX" w:eastAsia="es-ES_tradnl"/>
        </w:rPr>
        <w:t>, establecidos en el artículo 2 del Decreto 092 de 2017</w:t>
      </w:r>
      <w:r w:rsidRPr="0084136F">
        <w:rPr>
          <w:rFonts w:ascii="Verdana" w:eastAsia="Calibri" w:hAnsi="Verdana" w:cs="Arial"/>
          <w:color w:val="000000"/>
          <w:lang w:eastAsia="es-ES_tradnl"/>
        </w:rPr>
        <w:t xml:space="preserve">, de los </w:t>
      </w:r>
      <w:r w:rsidRPr="0084136F">
        <w:rPr>
          <w:rFonts w:ascii="Verdana" w:eastAsia="Calibri" w:hAnsi="Verdana" w:cs="Arial"/>
          <w:i/>
          <w:iCs/>
          <w:color w:val="000000"/>
          <w:lang w:val="es-MX" w:eastAsia="es-ES_tradnl"/>
        </w:rPr>
        <w:t>convenios de asociación</w:t>
      </w:r>
      <w:r w:rsidRPr="0084136F">
        <w:rPr>
          <w:rFonts w:ascii="Verdana" w:eastAsia="Calibri" w:hAnsi="Verdana" w:cs="Arial"/>
          <w:color w:val="000000"/>
          <w:lang w:val="es-MX" w:eastAsia="es-ES_tradnl"/>
        </w:rPr>
        <w:t>, regulados en el artículo 5</w:t>
      </w:r>
      <w:r w:rsidRPr="0084136F">
        <w:rPr>
          <w:rFonts w:ascii="Verdana" w:eastAsia="Calibri" w:hAnsi="Verdana" w:cs="Arial"/>
          <w:color w:val="000000"/>
          <w:lang w:eastAsia="es-ES_tradnl"/>
        </w:rPr>
        <w:t xml:space="preserve"> </w:t>
      </w:r>
      <w:r w:rsidRPr="0084136F">
        <w:rPr>
          <w:rFonts w:ascii="Verdana" w:eastAsia="Calibri" w:hAnsi="Verdana" w:cs="Arial"/>
          <w:i/>
          <w:iCs/>
          <w:color w:val="000000"/>
          <w:lang w:eastAsia="es-ES_tradnl"/>
        </w:rPr>
        <w:t>ibidem</w:t>
      </w:r>
      <w:r w:rsidRPr="0084136F">
        <w:rPr>
          <w:rFonts w:ascii="Verdana" w:hAnsi="Verdana"/>
          <w:color w:val="000000"/>
          <w:vertAlign w:val="superscript"/>
          <w:lang w:eastAsia="es-ES_tradnl"/>
        </w:rPr>
        <w:footnoteReference w:id="4"/>
      </w:r>
      <w:r w:rsidRPr="0084136F">
        <w:rPr>
          <w:rFonts w:ascii="Verdana" w:eastAsia="Calibri" w:hAnsi="Verdana" w:cs="Arial"/>
          <w:color w:val="000000"/>
          <w:lang w:eastAsia="es-ES_tradnl"/>
        </w:rPr>
        <w:t>, conforme se procede a explicar</w:t>
      </w:r>
      <w:r w:rsidRPr="0084136F">
        <w:rPr>
          <w:rFonts w:ascii="Verdana" w:eastAsia="Calibri" w:hAnsi="Verdana" w:cs="Arial"/>
          <w:color w:val="000000"/>
          <w:lang w:val="es-MX" w:eastAsia="es-ES_tradnl"/>
        </w:rPr>
        <w:t xml:space="preserve">. </w:t>
      </w:r>
      <w:bookmarkEnd w:id="6"/>
    </w:p>
    <w:p w14:paraId="3CACC32F" w14:textId="77777777" w:rsidR="00660A41" w:rsidRPr="0084136F" w:rsidRDefault="00660A41" w:rsidP="00660A41">
      <w:pPr>
        <w:pStyle w:val="Prrafodelista"/>
        <w:spacing w:after="0" w:line="276" w:lineRule="auto"/>
        <w:contextualSpacing w:val="0"/>
        <w:rPr>
          <w:rFonts w:ascii="Verdana" w:eastAsia="Calibri" w:hAnsi="Verdana" w:cs="Arial"/>
          <w:color w:val="000000" w:themeColor="text1"/>
        </w:rPr>
      </w:pPr>
    </w:p>
    <w:p w14:paraId="4AC8A3C9"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eastAsia="Calibri" w:hAnsi="Verdana" w:cs="Arial"/>
          <w:color w:val="000000" w:themeColor="text1"/>
        </w:rPr>
        <w:lastRenderedPageBreak/>
        <w:t xml:space="preserve">De un lado, los </w:t>
      </w:r>
      <w:r w:rsidRPr="0084136F">
        <w:rPr>
          <w:rFonts w:ascii="Verdana" w:eastAsia="Calibri" w:hAnsi="Verdana" w:cs="Arial"/>
          <w:i/>
          <w:iCs/>
          <w:color w:val="000000" w:themeColor="text1"/>
        </w:rPr>
        <w:t>contratos del artículo 355 de la Constitución Política o contratos de colaboración</w:t>
      </w:r>
      <w:r w:rsidRPr="0084136F">
        <w:rPr>
          <w:rFonts w:ascii="Verdana" w:eastAsia="Calibri" w:hAnsi="Verdana" w:cs="Arial"/>
          <w:color w:val="000000" w:themeColor="text1"/>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0E403B53" w14:textId="77777777" w:rsidR="00660A41" w:rsidRPr="0084136F" w:rsidRDefault="00660A41" w:rsidP="00660A41">
      <w:pPr>
        <w:pStyle w:val="Prrafodelista"/>
        <w:spacing w:after="0" w:line="276" w:lineRule="auto"/>
        <w:contextualSpacing w:val="0"/>
        <w:rPr>
          <w:rFonts w:ascii="Verdana" w:eastAsia="Calibri" w:hAnsi="Verdana" w:cs="Arial"/>
          <w:color w:val="000000" w:themeColor="text1"/>
        </w:rPr>
      </w:pPr>
    </w:p>
    <w:p w14:paraId="5130A8CE"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eastAsia="Calibri" w:hAnsi="Verdana" w:cs="Arial"/>
          <w:color w:val="000000" w:themeColor="text1"/>
        </w:rPr>
        <w:t xml:space="preserve">De otro lado, los </w:t>
      </w:r>
      <w:r w:rsidRPr="0084136F">
        <w:rPr>
          <w:rFonts w:ascii="Verdana" w:eastAsia="Calibri" w:hAnsi="Verdana" w:cs="Arial"/>
          <w:i/>
          <w:iCs/>
          <w:color w:val="000000" w:themeColor="text1"/>
        </w:rPr>
        <w:t xml:space="preserve">convenios de asociación </w:t>
      </w:r>
      <w:r w:rsidRPr="0084136F">
        <w:rPr>
          <w:rFonts w:ascii="Verdana" w:eastAsia="Calibri" w:hAnsi="Verdana" w:cs="Arial"/>
          <w:color w:val="000000" w:themeColor="text1"/>
        </w:rPr>
        <w:t>– a los cuales hace referencia en su consulta – “[…] [t]</w:t>
      </w:r>
      <w:proofErr w:type="spellStart"/>
      <w:r w:rsidRPr="0084136F">
        <w:rPr>
          <w:rFonts w:ascii="Verdana" w:eastAsia="Calibri" w:hAnsi="Verdana" w:cs="Arial"/>
          <w:color w:val="000000" w:themeColor="text1"/>
        </w:rPr>
        <w:t>ienen</w:t>
      </w:r>
      <w:proofErr w:type="spellEnd"/>
      <w:r w:rsidRPr="0084136F">
        <w:rPr>
          <w:rFonts w:ascii="Verdana" w:eastAsia="Calibri" w:hAnsi="Verdana" w:cs="Arial"/>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4136F">
        <w:rPr>
          <w:rFonts w:ascii="Verdana" w:hAnsi="Verdana"/>
          <w:vertAlign w:val="superscript"/>
        </w:rPr>
        <w:footnoteReference w:id="5"/>
      </w:r>
      <w:r w:rsidRPr="0084136F">
        <w:rPr>
          <w:rFonts w:ascii="Verdana" w:eastAsia="Calibri" w:hAnsi="Verdana" w:cs="Arial"/>
          <w:color w:val="000000" w:themeColor="text1"/>
        </w:rPr>
        <w:t xml:space="preserve">. En estos convenios – al igual que en los contratos de colaboración antes explicados – no existe contraprestación o pago, sino aportes, los cuales están dirigidos, exclusivamente, a lograr la ejecución del convenio no a remunerar la actividad o actuaciones del asociado. </w:t>
      </w:r>
    </w:p>
    <w:p w14:paraId="52C8D5E1" w14:textId="77777777" w:rsidR="00660A41" w:rsidRPr="0084136F" w:rsidRDefault="00660A41" w:rsidP="00660A41">
      <w:pPr>
        <w:pStyle w:val="Prrafodelista"/>
        <w:spacing w:after="0" w:line="276" w:lineRule="auto"/>
        <w:contextualSpacing w:val="0"/>
        <w:rPr>
          <w:rFonts w:ascii="Verdana" w:eastAsia="Calibri" w:hAnsi="Verdana" w:cs="Arial"/>
          <w:color w:val="000000"/>
          <w:lang w:eastAsia="es-ES_tradnl"/>
        </w:rPr>
      </w:pPr>
    </w:p>
    <w:p w14:paraId="7DC1F9EB" w14:textId="77777777" w:rsidR="00660A41" w:rsidRPr="0084136F" w:rsidRDefault="00660A41" w:rsidP="00660A41">
      <w:pPr>
        <w:pStyle w:val="Prrafodelista"/>
        <w:numPr>
          <w:ilvl w:val="0"/>
          <w:numId w:val="17"/>
        </w:numPr>
        <w:spacing w:after="0" w:line="276" w:lineRule="auto"/>
        <w:contextualSpacing w:val="0"/>
        <w:jc w:val="both"/>
        <w:rPr>
          <w:rFonts w:ascii="Verdana" w:eastAsia="Calibri" w:hAnsi="Verdana" w:cs="Arial"/>
        </w:rPr>
      </w:pPr>
      <w:r w:rsidRPr="0084136F">
        <w:rPr>
          <w:rFonts w:ascii="Verdana" w:eastAsia="Calibri" w:hAnsi="Verdana" w:cs="Arial"/>
          <w:color w:val="000000"/>
          <w:lang w:val="es-MX" w:eastAsia="es-ES_tradnl"/>
        </w:rPr>
        <w:t xml:space="preserve">De conformidad con el inciso segundo del artículo 96 de la Ley 489 de 1998, en </w:t>
      </w:r>
      <w:r w:rsidRPr="0084136F">
        <w:rPr>
          <w:rFonts w:ascii="Verdana" w:eastAsia="Calibri" w:hAnsi="Verdana" w:cs="Arial"/>
          <w:color w:val="000000"/>
          <w:lang w:eastAsia="es-ES_tradnl"/>
        </w:rPr>
        <w:t>los</w:t>
      </w:r>
      <w:r w:rsidRPr="0084136F">
        <w:rPr>
          <w:rFonts w:ascii="Verdana" w:eastAsia="Calibri" w:hAnsi="Verdana" w:cs="Arial"/>
          <w:color w:val="000000"/>
          <w:lang w:val="es-MX" w:eastAsia="es-ES_tradnl"/>
        </w:rPr>
        <w:t xml:space="preserve"> convenios</w:t>
      </w:r>
      <w:r w:rsidRPr="0084136F">
        <w:rPr>
          <w:rFonts w:ascii="Verdana" w:eastAsia="Calibri" w:hAnsi="Verdana" w:cs="Arial"/>
          <w:color w:val="000000"/>
          <w:lang w:eastAsia="es-ES_tradnl"/>
        </w:rPr>
        <w:t xml:space="preserve"> de asociación</w:t>
      </w:r>
      <w:r w:rsidRPr="0084136F">
        <w:rPr>
          <w:rFonts w:ascii="Verdana" w:eastAsia="Calibri" w:hAnsi="Verdana" w:cs="Arial"/>
          <w:color w:val="000000"/>
          <w:lang w:val="es-MX" w:eastAsia="es-ES_tradnl"/>
        </w:rPr>
        <w:t xml:space="preserve">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w:t>
      </w:r>
      <w:r w:rsidRPr="0084136F">
        <w:rPr>
          <w:rFonts w:ascii="Verdana" w:eastAsia="Calibri" w:hAnsi="Verdana" w:cs="Arial"/>
          <w:color w:val="000000"/>
          <w:lang w:eastAsia="es-ES_tradnl"/>
        </w:rPr>
        <w:t xml:space="preserve"> del valor total</w:t>
      </w:r>
      <w:r w:rsidRPr="0084136F">
        <w:rPr>
          <w:rFonts w:ascii="Verdana" w:eastAsia="Calibri" w:hAnsi="Verdana" w:cs="Arial"/>
          <w:color w:val="000000"/>
          <w:lang w:val="es-MX" w:eastAsia="es-ES_tradnl"/>
        </w:rPr>
        <w:t xml:space="preserve">, o en especie, los cuales deben servir al desarrollo de los objetivos comunes de la asociación. </w:t>
      </w:r>
    </w:p>
    <w:p w14:paraId="159D9CC4" w14:textId="77777777" w:rsidR="00660A41" w:rsidRPr="0084136F" w:rsidRDefault="00660A41" w:rsidP="00660A41">
      <w:pPr>
        <w:spacing w:after="0" w:line="276" w:lineRule="auto"/>
        <w:rPr>
          <w:rFonts w:ascii="Verdana" w:eastAsia="Calibri" w:hAnsi="Verdana" w:cs="Arial"/>
          <w:color w:val="000000" w:themeColor="text1"/>
          <w:lang w:val="es-ES"/>
        </w:rPr>
      </w:pPr>
    </w:p>
    <w:p w14:paraId="5A93D05C" w14:textId="77777777" w:rsidR="00660A41" w:rsidRPr="0084136F" w:rsidRDefault="00660A41" w:rsidP="00660A41">
      <w:pPr>
        <w:pStyle w:val="Prrafodelista"/>
        <w:numPr>
          <w:ilvl w:val="0"/>
          <w:numId w:val="17"/>
        </w:numPr>
        <w:spacing w:after="0" w:line="276" w:lineRule="auto"/>
        <w:contextualSpacing w:val="0"/>
        <w:jc w:val="both"/>
        <w:textAlignment w:val="baseline"/>
        <w:rPr>
          <w:rFonts w:ascii="Verdana" w:eastAsia="Calibri" w:hAnsi="Verdana" w:cs="Arial"/>
          <w:lang w:val="es-ES_tradnl" w:eastAsia="es-ES_tradnl"/>
        </w:rPr>
      </w:pPr>
      <w:r w:rsidRPr="0084136F">
        <w:rPr>
          <w:rFonts w:ascii="Verdana" w:eastAsia="Calibri" w:hAnsi="Verdana" w:cs="Arial"/>
          <w:lang w:val="es-ES_tradnl" w:eastAsia="es-ES_tradnl"/>
        </w:rPr>
        <w:t xml:space="preserve">Respecto a la forma en la cual se debe seleccionar a la ESAL en los convenios de asociación, es menester indicar que, </w:t>
      </w:r>
      <w:bookmarkStart w:id="8" w:name="_Hlk173067283"/>
      <w:r w:rsidRPr="0084136F">
        <w:rPr>
          <w:rFonts w:ascii="Verdana" w:eastAsia="Calibri" w:hAnsi="Verdana" w:cs="Arial"/>
          <w:lang w:val="es-ES_tradnl" w:eastAsia="es-ES_tradnl"/>
        </w:rPr>
        <w:t xml:space="preserve">el </w:t>
      </w:r>
      <w:bookmarkStart w:id="9" w:name="_Hlk173065372"/>
      <w:r w:rsidRPr="0084136F">
        <w:rPr>
          <w:rFonts w:ascii="Verdana" w:eastAsia="Calibri" w:hAnsi="Verdana" w:cs="Arial"/>
          <w:lang w:val="es-ES_tradnl" w:eastAsia="es-ES_tradnl"/>
        </w:rPr>
        <w:t>artículo 5</w:t>
      </w:r>
      <w:bookmarkEnd w:id="9"/>
      <w:r w:rsidRPr="0084136F">
        <w:rPr>
          <w:rFonts w:ascii="Verdana" w:eastAsia="Calibri" w:hAnsi="Verdana" w:cs="Arial"/>
          <w:lang w:val="es-ES_tradnl" w:eastAsia="es-ES_tradnl"/>
        </w:rPr>
        <w:t xml:space="preserve"> del Decreto 092 de 2017</w:t>
      </w:r>
      <w:r w:rsidRPr="0084136F">
        <w:rPr>
          <w:rFonts w:ascii="Verdana" w:hAnsi="Verdana"/>
          <w:vertAlign w:val="superscript"/>
          <w:lang w:eastAsia="es-ES_tradnl"/>
        </w:rPr>
        <w:footnoteReference w:id="6"/>
      </w:r>
      <w:r w:rsidRPr="0084136F">
        <w:rPr>
          <w:rFonts w:ascii="Verdana" w:eastAsia="Calibri" w:hAnsi="Verdana" w:cs="Arial"/>
          <w:lang w:val="es-ES_tradnl" w:eastAsia="es-ES_tradnl"/>
        </w:rPr>
        <w:t xml:space="preserve"> </w:t>
      </w:r>
      <w:r w:rsidRPr="0084136F">
        <w:rPr>
          <w:rFonts w:ascii="Verdana" w:eastAsia="Calibri" w:hAnsi="Verdana" w:cs="Arial"/>
          <w:lang w:val="es-ES_tradnl" w:eastAsia="es-ES_tradnl"/>
        </w:rPr>
        <w:lastRenderedPageBreak/>
        <w:t xml:space="preserve">establece que, </w:t>
      </w:r>
      <w:bookmarkStart w:id="10" w:name="_Hlk77927493"/>
      <w:r w:rsidRPr="0084136F">
        <w:rPr>
          <w:rFonts w:ascii="Verdana" w:eastAsia="Calibri" w:hAnsi="Verdana" w:cs="Arial"/>
          <w:lang w:eastAsia="es-ES_tradnl"/>
        </w:rPr>
        <w:t>el proceso para la escogencia de la ESAL, por regla general, debe estar sujeto a competencia,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w:t>
      </w:r>
      <w:bookmarkEnd w:id="10"/>
      <w:r w:rsidRPr="0084136F">
        <w:rPr>
          <w:rFonts w:ascii="Verdana" w:eastAsia="Calibri" w:hAnsi="Verdana" w:cs="Arial"/>
          <w:lang w:eastAsia="es-ES_tradnl"/>
        </w:rPr>
        <w:t xml:space="preserve">, pues en este evento también se tendría que realizar un proceso competitivo. </w:t>
      </w:r>
    </w:p>
    <w:bookmarkEnd w:id="8"/>
    <w:p w14:paraId="73AD4C5C" w14:textId="77777777" w:rsidR="00660A41" w:rsidRPr="0084136F" w:rsidRDefault="00660A41" w:rsidP="00660A41">
      <w:pPr>
        <w:spacing w:after="0" w:line="276" w:lineRule="auto"/>
        <w:jc w:val="both"/>
        <w:textAlignment w:val="baseline"/>
        <w:rPr>
          <w:rFonts w:ascii="Verdana" w:eastAsia="Calibri" w:hAnsi="Verdana" w:cs="Arial"/>
          <w:lang w:val="es-ES_tradnl" w:eastAsia="es-ES_tradnl"/>
        </w:rPr>
      </w:pPr>
    </w:p>
    <w:p w14:paraId="5A5757B0" w14:textId="77777777" w:rsidR="00660A41" w:rsidRPr="0084136F" w:rsidRDefault="00660A41" w:rsidP="00660A41">
      <w:pPr>
        <w:pStyle w:val="Prrafodelista"/>
        <w:numPr>
          <w:ilvl w:val="0"/>
          <w:numId w:val="17"/>
        </w:numPr>
        <w:spacing w:after="0" w:line="276" w:lineRule="auto"/>
        <w:contextualSpacing w:val="0"/>
        <w:jc w:val="both"/>
        <w:textAlignment w:val="baseline"/>
        <w:rPr>
          <w:rFonts w:ascii="Verdana" w:eastAsia="Calibri" w:hAnsi="Verdana" w:cs="Arial"/>
          <w:lang w:val="es-ES_tradnl" w:eastAsia="es-ES_tradnl"/>
        </w:rPr>
      </w:pPr>
      <w:r w:rsidRPr="0084136F">
        <w:rPr>
          <w:rFonts w:ascii="Verdana" w:eastAsia="Calibri" w:hAnsi="Verdana" w:cs="Arial"/>
          <w:lang w:val="es-ES_tradnl" w:eastAsia="es-ES_tradnl"/>
        </w:rPr>
        <w:t>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w:t>
      </w:r>
    </w:p>
    <w:p w14:paraId="63CBD4ED" w14:textId="77777777" w:rsidR="00660A41" w:rsidRPr="0084136F" w:rsidRDefault="00660A41" w:rsidP="00660A41">
      <w:pPr>
        <w:pStyle w:val="Prrafodelista"/>
        <w:spacing w:after="0" w:line="276" w:lineRule="auto"/>
        <w:contextualSpacing w:val="0"/>
        <w:rPr>
          <w:rFonts w:ascii="Verdana" w:eastAsia="Calibri" w:hAnsi="Verdana" w:cs="Arial"/>
          <w:lang w:val="es-ES_tradnl" w:eastAsia="es-ES_tradnl"/>
        </w:rPr>
      </w:pPr>
    </w:p>
    <w:p w14:paraId="1DB467B5" w14:textId="77777777" w:rsidR="00660A41" w:rsidRPr="0084136F" w:rsidRDefault="00660A41" w:rsidP="00660A41">
      <w:pPr>
        <w:pStyle w:val="Prrafodelista"/>
        <w:numPr>
          <w:ilvl w:val="0"/>
          <w:numId w:val="17"/>
        </w:numPr>
        <w:spacing w:after="0" w:line="276" w:lineRule="auto"/>
        <w:contextualSpacing w:val="0"/>
        <w:jc w:val="both"/>
        <w:textAlignment w:val="baseline"/>
        <w:rPr>
          <w:rFonts w:ascii="Verdana" w:eastAsia="Calibri" w:hAnsi="Verdana" w:cs="Arial"/>
          <w:lang w:val="es-ES_tradnl" w:eastAsia="es-ES_tradnl"/>
        </w:rPr>
      </w:pPr>
      <w:r w:rsidRPr="0084136F">
        <w:rPr>
          <w:rFonts w:ascii="Verdana" w:eastAsia="Calibri" w:hAnsi="Verdana" w:cs="Arial"/>
          <w:lang w:val="es-ES_tradnl" w:eastAsia="es-ES_tradnl"/>
        </w:rPr>
        <w:t xml:space="preserve"> En similar sentido, Mauricio Rodríguez Tamayo manifiesta que:</w:t>
      </w:r>
    </w:p>
    <w:p w14:paraId="2CFB5BE7" w14:textId="77777777" w:rsidR="00660A41" w:rsidRPr="0084136F" w:rsidRDefault="00660A41" w:rsidP="00660A41">
      <w:pPr>
        <w:pStyle w:val="Prrafodelista"/>
        <w:spacing w:after="0" w:line="276" w:lineRule="auto"/>
        <w:ind w:left="360"/>
        <w:contextualSpacing w:val="0"/>
        <w:jc w:val="both"/>
        <w:textAlignment w:val="baseline"/>
        <w:rPr>
          <w:rFonts w:ascii="Verdana" w:eastAsia="Calibri" w:hAnsi="Verdana" w:cs="Arial"/>
          <w:lang w:val="es-ES_tradnl" w:eastAsia="es-ES_tradnl"/>
        </w:rPr>
      </w:pPr>
    </w:p>
    <w:p w14:paraId="42017BE5" w14:textId="77777777" w:rsidR="00660A41" w:rsidRPr="00CF0DDE" w:rsidRDefault="00660A41" w:rsidP="00660A41">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CF0DDE">
        <w:rPr>
          <w:rFonts w:ascii="Verdana" w:eastAsia="Times New Roman" w:hAnsi="Verdana" w:cs="Arial"/>
          <w:sz w:val="20"/>
          <w:szCs w:val="20"/>
          <w:lang w:val="es-ES_tradnl" w:eastAsia="es-ES_tradnl"/>
        </w:rPr>
        <w:t>“El Decreto 092 de 2017 permite la escogencia directa de una ESAL, para la suscripción de un convenio de asociación solo cuando el privado s</w:t>
      </w:r>
      <w:r w:rsidRPr="00CF0DDE">
        <w:rPr>
          <w:rFonts w:ascii="Verdana" w:eastAsia="Times New Roman" w:hAnsi="Verdana" w:cs="Arial"/>
          <w:sz w:val="20"/>
          <w:szCs w:val="20"/>
          <w:lang w:eastAsia="es-ES_tradnl"/>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4DFAC4E6" w14:textId="77777777" w:rsidR="00660A41" w:rsidRPr="00CF0DDE" w:rsidRDefault="00660A41" w:rsidP="00660A41">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p>
    <w:p w14:paraId="28609B0D" w14:textId="77777777" w:rsidR="00660A41" w:rsidRPr="00CF0DDE" w:rsidRDefault="00660A41" w:rsidP="00660A41">
      <w:pPr>
        <w:pStyle w:val="Prrafodelista"/>
        <w:autoSpaceDE w:val="0"/>
        <w:autoSpaceDN w:val="0"/>
        <w:adjustRightInd w:val="0"/>
        <w:spacing w:after="0" w:line="240" w:lineRule="auto"/>
        <w:ind w:left="709" w:right="709"/>
        <w:jc w:val="both"/>
        <w:rPr>
          <w:rFonts w:ascii="Verdana" w:eastAsia="Times New Roman" w:hAnsi="Verdana" w:cs="Arial"/>
          <w:sz w:val="20"/>
          <w:szCs w:val="20"/>
          <w:lang w:eastAsia="es-ES_tradnl"/>
        </w:rPr>
      </w:pPr>
      <w:r w:rsidRPr="00CF0DDE">
        <w:rPr>
          <w:rFonts w:ascii="Verdana" w:eastAsia="Times New Roman" w:hAnsi="Verdana" w:cs="Arial"/>
          <w:sz w:val="20"/>
          <w:szCs w:val="20"/>
          <w:lang w:eastAsia="es-ES_tradnl"/>
        </w:rPr>
        <w:t xml:space="preserve">Se podrá contratar directamente por esta causal siempre que esté acreditada cualquiera de las siguientes circunstancias: […] </w:t>
      </w:r>
      <w:proofErr w:type="spellStart"/>
      <w:r w:rsidRPr="00CF0DDE">
        <w:rPr>
          <w:rFonts w:ascii="Verdana" w:eastAsia="Times New Roman" w:hAnsi="Verdana" w:cs="Arial"/>
          <w:sz w:val="20"/>
          <w:szCs w:val="20"/>
          <w:lang w:eastAsia="es-ES_tradnl"/>
        </w:rPr>
        <w:t>ii</w:t>
      </w:r>
      <w:proofErr w:type="spellEnd"/>
      <w:r w:rsidRPr="00CF0DDE">
        <w:rPr>
          <w:rFonts w:ascii="Verdana" w:eastAsia="Times New Roman" w:hAnsi="Verdana" w:cs="Arial"/>
          <w:sz w:val="20"/>
          <w:szCs w:val="20"/>
          <w:lang w:eastAsia="es-ES_tradnl"/>
        </w:rPr>
        <w:t>) se celebran convenios de asociación a los que hace referencia el artículo 96 de la Ley 489 de 1998 y la ESAL compromete recursos en dinero en una proporción no inferior a 30% del valor total del convenio”</w:t>
      </w:r>
      <w:r w:rsidRPr="00CF0DDE">
        <w:rPr>
          <w:rFonts w:ascii="Verdana" w:hAnsi="Verdana"/>
          <w:sz w:val="20"/>
          <w:szCs w:val="20"/>
          <w:vertAlign w:val="superscript"/>
          <w:lang w:eastAsia="es-ES_tradnl"/>
        </w:rPr>
        <w:footnoteReference w:id="7"/>
      </w:r>
      <w:r w:rsidRPr="00CF0DDE">
        <w:rPr>
          <w:rFonts w:ascii="Verdana" w:eastAsia="Times New Roman" w:hAnsi="Verdana" w:cs="Arial"/>
          <w:sz w:val="20"/>
          <w:szCs w:val="20"/>
          <w:lang w:eastAsia="es-ES_tradnl"/>
        </w:rPr>
        <w:t>.</w:t>
      </w:r>
    </w:p>
    <w:p w14:paraId="1D28FFFE" w14:textId="77777777" w:rsidR="00660A41" w:rsidRPr="00CF0DDE" w:rsidRDefault="00660A41" w:rsidP="00660A41">
      <w:pPr>
        <w:pStyle w:val="Prrafodelista"/>
        <w:spacing w:after="0" w:line="276" w:lineRule="auto"/>
        <w:ind w:left="357"/>
        <w:contextualSpacing w:val="0"/>
        <w:jc w:val="both"/>
        <w:textAlignment w:val="baseline"/>
        <w:rPr>
          <w:rFonts w:ascii="Verdana" w:eastAsia="Calibri" w:hAnsi="Verdana" w:cs="Arial"/>
          <w:lang w:val="es-ES_tradnl" w:eastAsia="es-ES_tradnl"/>
        </w:rPr>
      </w:pPr>
    </w:p>
    <w:p w14:paraId="48F16493" w14:textId="77777777" w:rsidR="00660A41" w:rsidRPr="00CF0DDE" w:rsidRDefault="00660A41" w:rsidP="00660A41">
      <w:pPr>
        <w:pStyle w:val="Prrafodelista"/>
        <w:numPr>
          <w:ilvl w:val="0"/>
          <w:numId w:val="17"/>
        </w:numPr>
        <w:spacing w:after="0" w:line="276" w:lineRule="auto"/>
        <w:contextualSpacing w:val="0"/>
        <w:jc w:val="both"/>
        <w:textAlignment w:val="baseline"/>
        <w:rPr>
          <w:rFonts w:ascii="Verdana" w:eastAsia="Calibri" w:hAnsi="Verdana" w:cs="Arial"/>
          <w:lang w:val="es-ES_tradnl" w:eastAsia="es-ES_tradnl"/>
        </w:rPr>
      </w:pPr>
      <w:r w:rsidRPr="00CF0DDE">
        <w:rPr>
          <w:rFonts w:ascii="Verdana" w:eastAsia="Calibri" w:hAnsi="Verdana" w:cs="Arial"/>
          <w:lang w:val="es-ES_tradnl" w:eastAsia="es-ES_tradnl"/>
        </w:rPr>
        <w:t xml:space="preserve">Ahora bien, es importante resaltar que, </w:t>
      </w:r>
      <w:bookmarkStart w:id="11" w:name="_Hlk173070078"/>
      <w:r w:rsidRPr="00CF0DDE">
        <w:rPr>
          <w:rFonts w:ascii="Verdana" w:eastAsia="Calibri" w:hAnsi="Verdana" w:cs="Arial"/>
          <w:lang w:val="es-ES_tradnl" w:eastAsia="es-ES_tradnl"/>
        </w:rPr>
        <w:t xml:space="preserve">según el mismo artículo 5, </w:t>
      </w:r>
      <w:r w:rsidRPr="00CF0DDE">
        <w:rPr>
          <w:rFonts w:ascii="Verdana" w:eastAsia="Calibri" w:hAnsi="Verdana" w:cs="Arial"/>
          <w:i/>
          <w:iCs/>
          <w:lang w:val="es-ES_tradnl" w:eastAsia="es-ES_tradnl"/>
        </w:rPr>
        <w:t>si hay más de una ESAL</w:t>
      </w:r>
      <w:r w:rsidRPr="00CF0DDE">
        <w:rPr>
          <w:rFonts w:ascii="Verdana" w:eastAsia="Calibri" w:hAnsi="Verdana"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treinta por ciento (30%) del valor total del convenio, esta última debe </w:t>
      </w:r>
      <w:r w:rsidRPr="00CF0DDE">
        <w:rPr>
          <w:rFonts w:ascii="Verdana" w:eastAsia="Calibri" w:hAnsi="Verdana" w:cs="Arial"/>
          <w:lang w:val="es-ES_tradnl" w:eastAsia="es-ES_tradnl"/>
        </w:rPr>
        <w:lastRenderedPageBreak/>
        <w:t xml:space="preserve">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bookmarkEnd w:id="11"/>
    </w:p>
    <w:p w14:paraId="6FAC492B" w14:textId="77777777" w:rsidR="00660A41" w:rsidRPr="00CF0DDE" w:rsidRDefault="00660A41" w:rsidP="00660A41">
      <w:pPr>
        <w:spacing w:after="0" w:line="276" w:lineRule="auto"/>
        <w:rPr>
          <w:rFonts w:ascii="Verdana" w:eastAsia="Calibri" w:hAnsi="Verdana" w:cs="Arial"/>
          <w:color w:val="000000"/>
          <w:lang w:eastAsia="es-ES_tradnl"/>
        </w:rPr>
      </w:pPr>
    </w:p>
    <w:p w14:paraId="3F7FFACC"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Calibri" w:hAnsi="Verdana" w:cs="Arial"/>
          <w:color w:val="000000"/>
          <w:lang w:val="es-MX" w:eastAsia="es-ES_tradnl"/>
        </w:rPr>
        <w:t xml:space="preserve">La noción </w:t>
      </w:r>
      <w:r w:rsidRPr="00CF0DDE">
        <w:rPr>
          <w:rFonts w:ascii="Verdana" w:eastAsia="Calibri" w:hAnsi="Verdana" w:cs="Arial"/>
          <w:i/>
          <w:iCs/>
          <w:color w:val="000000"/>
          <w:lang w:val="es-MX" w:eastAsia="es-ES_tradnl"/>
        </w:rPr>
        <w:t>“seleccionar de forma objetiva”</w:t>
      </w:r>
      <w:r w:rsidRPr="00CF0DDE">
        <w:rPr>
          <w:rFonts w:ascii="Verdana" w:eastAsia="Calibri" w:hAnsi="Verdana" w:cs="Arial"/>
          <w:color w:val="000000"/>
          <w:lang w:val="es-MX" w:eastAsia="es-ES_tradnl"/>
        </w:rPr>
        <w:t xml:space="preserve">, contenida en la disposición </w:t>
      </w:r>
      <w:r w:rsidRPr="00CF0DDE">
        <w:rPr>
          <w:rFonts w:ascii="Verdana" w:eastAsia="Calibri" w:hAnsi="Verdana" w:cs="Arial"/>
          <w:i/>
          <w:iCs/>
          <w:color w:val="000000"/>
          <w:lang w:val="es-MX" w:eastAsia="es-ES_tradnl"/>
        </w:rPr>
        <w:t xml:space="preserve">sub examine </w:t>
      </w:r>
      <w:r w:rsidRPr="00CF0DDE">
        <w:rPr>
          <w:rFonts w:ascii="Verdana" w:eastAsia="Calibri" w:hAnsi="Verdana" w:cs="Arial"/>
          <w:color w:val="000000"/>
          <w:lang w:val="es-MX" w:eastAsia="es-ES_tradnl"/>
        </w:rPr>
        <w:t>no puede ser entendida como una remisión total a las Leyes 80 de 1993 y 1150 de 2007. A lo que se refiere la norma es a que</w:t>
      </w:r>
      <w:r>
        <w:rPr>
          <w:rFonts w:ascii="Verdana" w:eastAsia="Calibri" w:hAnsi="Verdana" w:cs="Arial"/>
          <w:color w:val="000000"/>
          <w:lang w:val="es-MX" w:eastAsia="es-ES_tradnl"/>
        </w:rPr>
        <w:t>,</w:t>
      </w:r>
      <w:r w:rsidRPr="00CF0DDE">
        <w:rPr>
          <w:rFonts w:ascii="Verdana" w:eastAsia="Calibri" w:hAnsi="Verdana" w:cs="Arial"/>
          <w:color w:val="000000"/>
          <w:lang w:val="es-MX" w:eastAsia="es-ES_tradnl"/>
        </w:rPr>
        <w:t xml:space="preserv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w:t>
      </w:r>
      <w:r>
        <w:rPr>
          <w:rFonts w:ascii="Verdana" w:eastAsia="Calibri" w:hAnsi="Verdana" w:cs="Arial"/>
          <w:color w:val="000000"/>
          <w:lang w:val="es-MX" w:eastAsia="es-ES_tradnl"/>
        </w:rPr>
        <w:t>EGCAP</w:t>
      </w:r>
      <w:r w:rsidRPr="00CF0DDE">
        <w:rPr>
          <w:rFonts w:ascii="Verdana" w:eastAsia="Calibri" w:hAnsi="Verdana" w:cs="Arial"/>
          <w:color w:val="000000"/>
          <w:lang w:val="es-MX" w:eastAsia="es-ES_tradnl"/>
        </w:rPr>
        <w:t xml:space="preserve"> o, incluso, al trámite que regula el inciso 2 del artículo 2 del Decreto 092 de 2017.</w:t>
      </w:r>
    </w:p>
    <w:p w14:paraId="2BC52779" w14:textId="77777777" w:rsidR="00660A41" w:rsidRPr="00CF0DDE" w:rsidRDefault="00660A41" w:rsidP="00660A41">
      <w:pPr>
        <w:pStyle w:val="Prrafodelista"/>
        <w:spacing w:after="0" w:line="276" w:lineRule="auto"/>
        <w:contextualSpacing w:val="0"/>
        <w:rPr>
          <w:rFonts w:ascii="Verdana" w:eastAsia="Arial" w:hAnsi="Verdana" w:cs="Arial"/>
          <w:color w:val="000000"/>
          <w:lang w:eastAsia="es-ES_tradnl"/>
        </w:rPr>
      </w:pPr>
    </w:p>
    <w:p w14:paraId="45880BBF"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Arial" w:hAnsi="Verdana" w:cs="Arial"/>
          <w:color w:val="000000"/>
          <w:lang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CF0DDE">
        <w:rPr>
          <w:rFonts w:ascii="Verdana" w:eastAsia="Calibri" w:hAnsi="Verdana" w:cs="Arial"/>
          <w:color w:val="000000"/>
          <w:lang w:val="es-MX" w:eastAsia="es-ES_tradnl"/>
        </w:rPr>
        <w:t>.</w:t>
      </w:r>
    </w:p>
    <w:p w14:paraId="0F378079" w14:textId="77777777" w:rsidR="00660A41" w:rsidRPr="00CF0DDE" w:rsidRDefault="00660A41" w:rsidP="00660A41">
      <w:pPr>
        <w:spacing w:after="0" w:line="276" w:lineRule="auto"/>
        <w:jc w:val="both"/>
        <w:rPr>
          <w:rFonts w:ascii="Verdana" w:eastAsia="Calibri" w:hAnsi="Verdana" w:cs="Arial"/>
          <w:lang w:val="es-ES"/>
        </w:rPr>
      </w:pPr>
    </w:p>
    <w:p w14:paraId="5F484C84"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bookmarkStart w:id="12" w:name="_Hlk173070229"/>
      <w:r w:rsidRPr="00CF0DDE">
        <w:rPr>
          <w:rFonts w:ascii="Verdana" w:eastAsia="Calibri" w:hAnsi="Verdana" w:cs="Arial"/>
          <w:color w:val="000000"/>
          <w:lang w:eastAsia="es-ES_tradnl"/>
        </w:rPr>
        <w:t>En este punto, es menester advertir que, el artículo 5 de del Decreto 092 de 2017 no prohíbe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p>
    <w:bookmarkEnd w:id="12"/>
    <w:p w14:paraId="73AC4462" w14:textId="77777777" w:rsidR="00660A41" w:rsidRPr="00CF0DDE" w:rsidRDefault="00660A41" w:rsidP="00660A41">
      <w:pPr>
        <w:spacing w:after="0" w:line="276" w:lineRule="auto"/>
        <w:jc w:val="both"/>
        <w:rPr>
          <w:rFonts w:ascii="Verdana" w:eastAsia="Calibri" w:hAnsi="Verdana" w:cs="Arial"/>
          <w:lang w:val="es-ES"/>
        </w:rPr>
      </w:pPr>
    </w:p>
    <w:p w14:paraId="32C85B0A"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Calibri" w:hAnsi="Verdana" w:cs="Arial"/>
        </w:rPr>
        <w:t>En relación con</w:t>
      </w:r>
      <w:r w:rsidRPr="00CF0DDE">
        <w:rPr>
          <w:rFonts w:ascii="Verdana" w:eastAsia="Calibri" w:hAnsi="Verdana" w:cs="Arial"/>
          <w:lang w:val="es-CO"/>
        </w:rPr>
        <w:t xml:space="preserve"> los aportes que debe comprometer la ESAL para no someter a un proceso competitivo la selección de la ESAL ha surgido el interrogante si los aportes en especie se deben tener en cuenta para el cálculo del treinta por ciento (30%) del aporte. </w:t>
      </w:r>
      <w:r w:rsidRPr="00CF0DDE">
        <w:rPr>
          <w:rFonts w:ascii="Verdana" w:eastAsia="Calibri" w:hAnsi="Verdana" w:cs="Arial"/>
        </w:rPr>
        <w:t xml:space="preserve">Sobre este punto, la Agencia Nacional de Contratación Pública – Colombia Compra Eficiente ha considerado que, el </w:t>
      </w:r>
      <w:r w:rsidRPr="00CF0DDE">
        <w:rPr>
          <w:rFonts w:ascii="Verdana" w:eastAsia="Calibri" w:hAnsi="Verdana" w:cs="Arial"/>
        </w:rPr>
        <w:lastRenderedPageBreak/>
        <w:t xml:space="preserve">treinta por ciento (30%) señalado en el artículo 5 del Decreto 092 de 2017, que debe aportar la ESAL a efectos de poder celebrar el convenio sin acudir a un proceso competitivo, debe calcularse respecto del monto total de los recursos </w:t>
      </w:r>
      <w:r w:rsidRPr="00CF0DDE">
        <w:rPr>
          <w:rFonts w:ascii="Verdana" w:eastAsia="Calibri" w:hAnsi="Verdana" w:cs="Arial"/>
          <w:i/>
          <w:iCs/>
        </w:rPr>
        <w:t xml:space="preserve">en dinero </w:t>
      </w:r>
      <w:r w:rsidRPr="00CF0DDE">
        <w:rPr>
          <w:rFonts w:ascii="Verdana" w:eastAsia="Calibri" w:hAnsi="Verdana" w:cs="Arial"/>
        </w:rPr>
        <w:t xml:space="preserve">requeridos para la ejecución proyecto, el cual corresponderá al valor por el que se celebrará el </w:t>
      </w:r>
      <w:r w:rsidRPr="00CF0DDE">
        <w:rPr>
          <w:rFonts w:ascii="Verdana" w:eastAsia="Calibri" w:hAnsi="Verdana" w:cs="Arial"/>
          <w:i/>
          <w:iCs/>
        </w:rPr>
        <w:t>convenio de asociación</w:t>
      </w:r>
      <w:r w:rsidRPr="00CF0DDE">
        <w:rPr>
          <w:rStyle w:val="Refdenotaalpie"/>
          <w:rFonts w:ascii="Verdana" w:eastAsia="Calibri" w:hAnsi="Verdana" w:cs="Arial"/>
          <w:i/>
          <w:iCs/>
        </w:rPr>
        <w:footnoteReference w:id="8"/>
      </w:r>
      <w:r w:rsidRPr="00CF0DDE">
        <w:rPr>
          <w:rFonts w:ascii="Verdana" w:eastAsia="Calibri" w:hAnsi="Verdana" w:cs="Arial"/>
        </w:rPr>
        <w:t xml:space="preserve">. </w:t>
      </w:r>
    </w:p>
    <w:p w14:paraId="4B5956CA" w14:textId="77777777" w:rsidR="00660A41" w:rsidRPr="00CF0DDE" w:rsidRDefault="00660A41" w:rsidP="00660A41">
      <w:pPr>
        <w:pStyle w:val="Prrafodelista"/>
        <w:rPr>
          <w:rFonts w:ascii="Verdana" w:eastAsia="Calibri" w:hAnsi="Verdana" w:cs="Arial"/>
        </w:rPr>
      </w:pPr>
    </w:p>
    <w:p w14:paraId="3D635A26"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Calibri" w:hAnsi="Verdana" w:cs="Arial"/>
        </w:rPr>
        <w:t xml:space="preserve">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treinta por ciento (30%) del que sería el valor del eventual convenio. De esta manera, los eventuales aportes en especie no podrán tenerse en cuenta para calcular el referido porcentaje, el cual debe ser en dinero. </w:t>
      </w:r>
    </w:p>
    <w:p w14:paraId="27864AAF" w14:textId="77777777" w:rsidR="00660A41" w:rsidRPr="00CF0DDE" w:rsidRDefault="00660A41" w:rsidP="00660A41">
      <w:pPr>
        <w:pStyle w:val="Prrafodelista"/>
        <w:spacing w:after="0" w:line="276" w:lineRule="auto"/>
        <w:contextualSpacing w:val="0"/>
        <w:rPr>
          <w:rFonts w:ascii="Verdana" w:eastAsia="Calibri" w:hAnsi="Verdana" w:cs="Arial"/>
          <w:lang w:eastAsia="es-ES"/>
        </w:rPr>
      </w:pPr>
    </w:p>
    <w:p w14:paraId="65EBDE1C"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Calibri" w:hAnsi="Verdana" w:cs="Arial"/>
          <w:lang w:eastAsia="es-ES"/>
        </w:rPr>
        <w:t xml:space="preserve">En ese contexto, cuando el aporte de la ESAL al convenio de asociación, que se realizará con una Entidad Estatal bajo los términos del artículo 5 del Decreto 092 de 2017, no sea en dinero sino en especie, esto es, con bienes tangibles e intangibles distintos al dinero o que no sean equivalentes a este, en los términos indicados en el párrafo anterior, </w:t>
      </w:r>
      <w:r w:rsidRPr="00CF0DDE">
        <w:rPr>
          <w:rFonts w:ascii="Verdana" w:eastAsia="Calibri" w:hAnsi="Verdana" w:cs="Arial"/>
          <w:i/>
          <w:lang w:eastAsia="es-ES"/>
        </w:rPr>
        <w:t>no</w:t>
      </w:r>
      <w:r w:rsidRPr="00CF0DDE">
        <w:rPr>
          <w:rFonts w:ascii="Verdana" w:eastAsia="Calibri" w:hAnsi="Verdana" w:cs="Arial"/>
          <w:lang w:eastAsia="es-ES"/>
        </w:rPr>
        <w:t xml:space="preserve"> se aplicará la regla que determina que si el aporte de recursos en dinero es igual o superior a un treinta por ciento (30%) del valor del convenio, este se podrá celebrar de forma directa, por lo que deberá adelantarse un proceso competitivo. </w:t>
      </w:r>
      <w:bookmarkStart w:id="13" w:name="_Hlk173078102"/>
      <w:r w:rsidRPr="00CF0DDE">
        <w:rPr>
          <w:rFonts w:ascii="Verdana" w:eastAsia="Calibri" w:hAnsi="Verdana" w:cs="Arial"/>
          <w:lang w:eastAsia="es-ES"/>
        </w:rPr>
        <w:t xml:space="preserve">No obstante, </w:t>
      </w:r>
      <w:r w:rsidRPr="00CF0DDE">
        <w:rPr>
          <w:rFonts w:ascii="Verdana" w:eastAsia="Calibri" w:hAnsi="Verdana" w:cs="Arial"/>
          <w:lang w:val="es-ES_tradnl" w:eastAsia="es-ES_tradnl"/>
        </w:rPr>
        <w:t xml:space="preserve">debe insistirse </w:t>
      </w:r>
      <w:r w:rsidRPr="00CF0DDE">
        <w:rPr>
          <w:rFonts w:ascii="Verdana" w:eastAsia="Calibri" w:hAnsi="Verdana" w:cs="Arial"/>
          <w:lang w:eastAsia="es-ES"/>
        </w:rPr>
        <w:t xml:space="preserve">que esto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bookmarkEnd w:id="13"/>
    <w:p w14:paraId="24B4BD67" w14:textId="77777777" w:rsidR="00660A41" w:rsidRPr="00CF0DDE" w:rsidRDefault="00660A41" w:rsidP="00660A41">
      <w:pPr>
        <w:pStyle w:val="Prrafodelista"/>
        <w:spacing w:after="0" w:line="276" w:lineRule="auto"/>
        <w:contextualSpacing w:val="0"/>
        <w:rPr>
          <w:rFonts w:ascii="Verdana" w:eastAsia="Calibri" w:hAnsi="Verdana" w:cs="Arial"/>
          <w:lang w:val="es-ES_tradnl" w:eastAsia="es-ES_tradnl"/>
        </w:rPr>
      </w:pPr>
    </w:p>
    <w:p w14:paraId="44D2DB1B" w14:textId="77777777" w:rsidR="00660A41" w:rsidRPr="00CF0DDE" w:rsidRDefault="00660A41" w:rsidP="00660A41">
      <w:pPr>
        <w:pStyle w:val="Prrafodelista"/>
        <w:numPr>
          <w:ilvl w:val="0"/>
          <w:numId w:val="17"/>
        </w:numPr>
        <w:spacing w:after="0" w:line="276" w:lineRule="auto"/>
        <w:contextualSpacing w:val="0"/>
        <w:jc w:val="both"/>
        <w:rPr>
          <w:rFonts w:ascii="Verdana" w:eastAsia="Calibri" w:hAnsi="Verdana" w:cs="Arial"/>
        </w:rPr>
      </w:pPr>
      <w:r w:rsidRPr="00CF0DDE">
        <w:rPr>
          <w:rFonts w:ascii="Verdana" w:eastAsia="Calibri" w:hAnsi="Verdana" w:cs="Arial"/>
          <w:lang w:val="es-ES_tradnl" w:eastAsia="es-ES_tradnl"/>
        </w:rPr>
        <w:t xml:space="preserve">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w:t>
      </w:r>
      <w:r w:rsidRPr="00CF0DDE">
        <w:rPr>
          <w:rFonts w:ascii="Verdana" w:eastAsia="Calibri" w:hAnsi="Verdana" w:cs="Arial"/>
          <w:lang w:val="es-ES_tradnl" w:eastAsia="es-ES_tradnl"/>
        </w:rPr>
        <w:lastRenderedPageBreak/>
        <w:t xml:space="preserve">sin perjuicio de que haya otros aportes en especie que se pacten para la ejecución de las actividades y finalidades de este.  </w:t>
      </w:r>
    </w:p>
    <w:p w14:paraId="682C679C" w14:textId="77777777" w:rsidR="00660A41" w:rsidRPr="00CF0DDE" w:rsidRDefault="00660A41" w:rsidP="00660A41">
      <w:pPr>
        <w:spacing w:after="0" w:line="276" w:lineRule="auto"/>
        <w:rPr>
          <w:rFonts w:ascii="Verdana" w:eastAsia="Calibri" w:hAnsi="Verdana" w:cs="Arial"/>
          <w:lang w:val="es-ES_tradnl" w:eastAsia="es-ES_tradnl"/>
        </w:rPr>
      </w:pPr>
    </w:p>
    <w:p w14:paraId="0A8FAC7C" w14:textId="2BC16373" w:rsidR="00660A41" w:rsidRPr="00EE263B" w:rsidRDefault="00660A41" w:rsidP="00660A41">
      <w:pPr>
        <w:pStyle w:val="Prrafodelista"/>
        <w:numPr>
          <w:ilvl w:val="0"/>
          <w:numId w:val="17"/>
        </w:numPr>
        <w:spacing w:after="0" w:line="276" w:lineRule="auto"/>
        <w:contextualSpacing w:val="0"/>
        <w:jc w:val="both"/>
        <w:rPr>
          <w:rFonts w:ascii="Verdana" w:hAnsi="Verdana" w:cs="Arial"/>
        </w:rPr>
      </w:pPr>
      <w:bookmarkStart w:id="14" w:name="_Hlk173078349"/>
      <w:r w:rsidRPr="00EE263B">
        <w:rPr>
          <w:rFonts w:ascii="Verdana" w:eastAsia="Calibri" w:hAnsi="Verdana" w:cs="Arial"/>
          <w:lang w:val="es-ES_tradnl" w:eastAsia="es-ES_tradnl"/>
        </w:rPr>
        <w:t xml:space="preserve">Finalmente, respecto al problema jurídico planteado en este concepto, relacionado con el deber de </w:t>
      </w:r>
      <w:r w:rsidRPr="00EE263B">
        <w:rPr>
          <w:rFonts w:ascii="Verdana" w:hAnsi="Verdana" w:cs="Arial"/>
          <w:shd w:val="clear" w:color="auto" w:fill="FFFFFF"/>
          <w:lang w:val="es-CO"/>
        </w:rPr>
        <w:t xml:space="preserve">elaborar </w:t>
      </w:r>
      <w:r w:rsidRPr="00EE263B">
        <w:rPr>
          <w:rFonts w:ascii="Verdana" w:hAnsi="Verdana" w:cs="Arial"/>
          <w:shd w:val="clear" w:color="auto" w:fill="FFFFFF"/>
        </w:rPr>
        <w:t xml:space="preserve">el </w:t>
      </w:r>
      <w:r w:rsidRPr="00EE263B">
        <w:rPr>
          <w:rFonts w:ascii="Verdana" w:hAnsi="Verdana" w:cs="Arial"/>
          <w:shd w:val="clear" w:color="auto" w:fill="FFFFFF"/>
          <w:lang w:val="es-CO"/>
        </w:rPr>
        <w:t xml:space="preserve">acto administrativo </w:t>
      </w:r>
      <w:r w:rsidRPr="00EE263B">
        <w:rPr>
          <w:rFonts w:ascii="Verdana" w:hAnsi="Verdana" w:cs="Arial"/>
          <w:shd w:val="clear" w:color="auto" w:fill="FFFFFF"/>
        </w:rPr>
        <w:t>en el que se justifique la</w:t>
      </w:r>
      <w:r w:rsidRPr="00EE263B">
        <w:rPr>
          <w:rFonts w:ascii="Verdana" w:hAnsi="Verdana" w:cs="Arial"/>
          <w:shd w:val="clear" w:color="auto" w:fill="FFFFFF"/>
          <w:lang w:val="es-CO"/>
        </w:rPr>
        <w:t xml:space="preserve"> </w:t>
      </w:r>
      <w:r w:rsidR="006D5DDD">
        <w:rPr>
          <w:rFonts w:ascii="Verdana" w:hAnsi="Verdana" w:cs="Arial"/>
          <w:shd w:val="clear" w:color="auto" w:fill="FFFFFF"/>
          <w:lang w:val="es-CO"/>
        </w:rPr>
        <w:t>celebración</w:t>
      </w:r>
      <w:r w:rsidRPr="00EE263B">
        <w:rPr>
          <w:rFonts w:ascii="Verdana" w:hAnsi="Verdana" w:cs="Arial"/>
          <w:shd w:val="clear" w:color="auto" w:fill="FFFFFF"/>
          <w:lang w:val="es-CO"/>
        </w:rPr>
        <w:t xml:space="preserve"> </w:t>
      </w:r>
      <w:r w:rsidRPr="00EE263B">
        <w:rPr>
          <w:rFonts w:ascii="Verdana" w:hAnsi="Verdana" w:cs="Arial"/>
          <w:shd w:val="clear" w:color="auto" w:fill="FFFFFF"/>
        </w:rPr>
        <w:t>del</w:t>
      </w:r>
      <w:r w:rsidRPr="00EE263B">
        <w:rPr>
          <w:rFonts w:ascii="Verdana" w:hAnsi="Verdana" w:cs="Arial"/>
          <w:shd w:val="clear" w:color="auto" w:fill="FFFFFF"/>
          <w:lang w:val="es-CO"/>
        </w:rPr>
        <w:t xml:space="preserve"> </w:t>
      </w:r>
      <w:r w:rsidRPr="00EE263B">
        <w:rPr>
          <w:rFonts w:ascii="Verdana" w:hAnsi="Verdana" w:cs="Arial"/>
          <w:shd w:val="clear" w:color="auto" w:fill="FFFFFF"/>
        </w:rPr>
        <w:t>convenio de asociación</w:t>
      </w:r>
      <w:r w:rsidR="006D5DDD">
        <w:rPr>
          <w:rFonts w:ascii="Verdana" w:hAnsi="Verdana" w:cs="Arial"/>
          <w:shd w:val="clear" w:color="auto" w:fill="FFFFFF"/>
        </w:rPr>
        <w:t xml:space="preserve"> sin proceso competit</w:t>
      </w:r>
      <w:r w:rsidR="00F6542E">
        <w:rPr>
          <w:rFonts w:ascii="Verdana" w:hAnsi="Verdana" w:cs="Arial"/>
          <w:shd w:val="clear" w:color="auto" w:fill="FFFFFF"/>
        </w:rPr>
        <w:t>ivo</w:t>
      </w:r>
      <w:r w:rsidRPr="00EE263B">
        <w:rPr>
          <w:rFonts w:ascii="Verdana" w:eastAsia="Calibri" w:hAnsi="Verdana" w:cs="Arial"/>
          <w:lang w:val="es-ES_tradnl" w:eastAsia="es-ES_tradnl"/>
        </w:rPr>
        <w:t xml:space="preserve">, debe señalarse que </w:t>
      </w:r>
      <w:bookmarkEnd w:id="14"/>
      <w:r w:rsidRPr="00EE263B">
        <w:rPr>
          <w:rFonts w:ascii="Verdana" w:hAnsi="Verdana" w:cs="Arial"/>
        </w:rPr>
        <w:t xml:space="preserve">el Decreto 092 de 2017 no fijó reglas para </w:t>
      </w:r>
      <w:r w:rsidR="00F23F8F" w:rsidRPr="00EE263B">
        <w:rPr>
          <w:rFonts w:ascii="Verdana" w:hAnsi="Verdana" w:cs="Arial"/>
        </w:rPr>
        <w:t>la elaboración de la justificación del acto</w:t>
      </w:r>
      <w:r w:rsidRPr="00EE263B">
        <w:rPr>
          <w:rFonts w:ascii="Verdana" w:hAnsi="Verdana" w:cs="Arial"/>
        </w:rPr>
        <w:t xml:space="preserve">. Por lo anterior, es necesario </w:t>
      </w:r>
      <w:r w:rsidR="00C11615" w:rsidRPr="00EE263B">
        <w:rPr>
          <w:rFonts w:ascii="Verdana" w:hAnsi="Verdana" w:cs="Arial"/>
        </w:rPr>
        <w:t xml:space="preserve">proceder a la </w:t>
      </w:r>
      <w:r w:rsidR="00C11615" w:rsidRPr="00EE263B">
        <w:rPr>
          <w:rFonts w:ascii="Verdana" w:eastAsia="Times New Roman" w:hAnsi="Verdana" w:cs="Arial"/>
          <w:bCs/>
          <w:color w:val="333333"/>
          <w:shd w:val="clear" w:color="auto" w:fill="FFFFFF"/>
          <w:lang w:eastAsia="es-ES_tradnl"/>
        </w:rPr>
        <w:t>aplicación de normas generales del sistema de contratación pública</w:t>
      </w:r>
      <w:r w:rsidRPr="00EE263B">
        <w:rPr>
          <w:rFonts w:ascii="Verdana" w:hAnsi="Verdana" w:cs="Arial"/>
        </w:rPr>
        <w:t xml:space="preserve">, dada la aplicación residual de tales normas conforme lo dispuesto en el artículo 8 </w:t>
      </w:r>
      <w:r w:rsidRPr="00EE263B">
        <w:rPr>
          <w:rFonts w:ascii="Verdana" w:hAnsi="Verdana" w:cs="Arial"/>
          <w:i/>
        </w:rPr>
        <w:t>ibidem</w:t>
      </w:r>
      <w:r w:rsidRPr="00EE263B">
        <w:rPr>
          <w:rFonts w:ascii="Verdana" w:hAnsi="Verdana" w:cs="Arial"/>
        </w:rPr>
        <w:t xml:space="preserve">, el cual señala: </w:t>
      </w:r>
    </w:p>
    <w:p w14:paraId="44D8B83C" w14:textId="77777777" w:rsidR="00660A41" w:rsidRPr="00EE263B" w:rsidRDefault="00660A41" w:rsidP="00660A41">
      <w:pPr>
        <w:spacing w:after="0" w:line="276" w:lineRule="auto"/>
        <w:rPr>
          <w:rFonts w:ascii="Verdana" w:hAnsi="Verdana" w:cs="Arial"/>
        </w:rPr>
      </w:pPr>
    </w:p>
    <w:p w14:paraId="4920AF90" w14:textId="77777777" w:rsidR="00660A41" w:rsidRPr="00EE263B" w:rsidRDefault="00660A41" w:rsidP="00660A41">
      <w:pPr>
        <w:spacing w:after="0" w:line="240" w:lineRule="auto"/>
        <w:ind w:left="709" w:right="709"/>
        <w:jc w:val="both"/>
        <w:rPr>
          <w:rFonts w:ascii="Verdana" w:eastAsia="Calibri" w:hAnsi="Verdana" w:cs="Arial"/>
          <w:color w:val="000000" w:themeColor="text1"/>
          <w:sz w:val="20"/>
          <w:szCs w:val="20"/>
          <w:lang w:val="es-ES_tradnl"/>
        </w:rPr>
      </w:pPr>
      <w:r w:rsidRPr="00EE263B">
        <w:rPr>
          <w:rFonts w:ascii="Verdana" w:eastAsia="Calibri" w:hAnsi="Verdana" w:cs="Arial"/>
          <w:color w:val="000000" w:themeColor="text1"/>
          <w:sz w:val="20"/>
          <w:szCs w:val="20"/>
          <w:lang w:val="es-ES_tradnl"/>
        </w:rPr>
        <w:t xml:space="preserve">“Artículo 8°. Aplicación de normas generales del sistema de contratación pública. La contratación a la que hace referencia el presente decreto está sujeta </w:t>
      </w:r>
      <w:bookmarkStart w:id="15" w:name="_Hlk38206940"/>
      <w:r w:rsidRPr="00EE263B">
        <w:rPr>
          <w:rFonts w:ascii="Verdana" w:eastAsia="Calibri" w:hAnsi="Verdana" w:cs="Arial"/>
          <w:color w:val="000000" w:themeColor="text1"/>
          <w:sz w:val="20"/>
          <w:szCs w:val="20"/>
          <w:lang w:val="es-ES_tradnl"/>
        </w:rPr>
        <w:t xml:space="preserve">a las </w:t>
      </w:r>
      <w:bookmarkStart w:id="16" w:name="_Hlk38633960"/>
      <w:r w:rsidRPr="00EE263B">
        <w:rPr>
          <w:rFonts w:ascii="Verdana" w:eastAsia="Calibri" w:hAnsi="Verdana" w:cs="Arial"/>
          <w:color w:val="000000" w:themeColor="text1"/>
          <w:sz w:val="20"/>
          <w:szCs w:val="20"/>
          <w:lang w:val="es-ES_tradnl"/>
        </w:rPr>
        <w:t xml:space="preserve">normas generales </w:t>
      </w:r>
      <w:bookmarkStart w:id="17" w:name="_Hlk38275055"/>
      <w:r w:rsidRPr="00EE263B">
        <w:rPr>
          <w:rFonts w:ascii="Verdana" w:eastAsia="Calibri" w:hAnsi="Verdana" w:cs="Arial"/>
          <w:color w:val="000000" w:themeColor="text1"/>
          <w:sz w:val="20"/>
          <w:szCs w:val="20"/>
          <w:lang w:val="es-ES_tradnl"/>
        </w:rPr>
        <w:t>aplicables a la contratación pública</w:t>
      </w:r>
      <w:bookmarkEnd w:id="15"/>
      <w:bookmarkEnd w:id="16"/>
      <w:r w:rsidRPr="00EE263B">
        <w:rPr>
          <w:rFonts w:ascii="Verdana" w:eastAsia="Calibri" w:hAnsi="Verdana" w:cs="Arial"/>
          <w:color w:val="000000" w:themeColor="text1"/>
          <w:sz w:val="20"/>
          <w:szCs w:val="20"/>
          <w:lang w:val="es-ES_tradnl"/>
        </w:rPr>
        <w:t xml:space="preserve"> </w:t>
      </w:r>
      <w:bookmarkEnd w:id="17"/>
      <w:r w:rsidRPr="00EE263B">
        <w:rPr>
          <w:rFonts w:ascii="Verdana" w:eastAsia="Calibri" w:hAnsi="Verdana" w:cs="Arial"/>
          <w:color w:val="000000" w:themeColor="text1"/>
          <w:sz w:val="20"/>
          <w:szCs w:val="20"/>
          <w:lang w:val="es-ES_tradnl"/>
        </w:rPr>
        <w:t xml:space="preserve">excepto en lo reglamentado en el presente decreto”. </w:t>
      </w:r>
    </w:p>
    <w:p w14:paraId="05FBF205" w14:textId="77777777" w:rsidR="00660A41" w:rsidRPr="00EE263B" w:rsidRDefault="00660A41" w:rsidP="00660A41">
      <w:pPr>
        <w:spacing w:after="0" w:line="276" w:lineRule="auto"/>
        <w:jc w:val="both"/>
        <w:rPr>
          <w:rFonts w:ascii="Verdana" w:eastAsia="Calibri" w:hAnsi="Verdana" w:cs="Arial"/>
          <w:color w:val="000000" w:themeColor="text1"/>
          <w:lang w:val="es-ES_tradnl"/>
        </w:rPr>
      </w:pPr>
      <w:r w:rsidRPr="00EE263B">
        <w:rPr>
          <w:rFonts w:ascii="Verdana" w:eastAsia="Calibri" w:hAnsi="Verdana" w:cs="Arial"/>
          <w:color w:val="000000" w:themeColor="text1"/>
          <w:lang w:val="es-ES_tradnl"/>
        </w:rPr>
        <w:tab/>
      </w:r>
    </w:p>
    <w:p w14:paraId="2D8060F7" w14:textId="77777777" w:rsidR="00660A41" w:rsidRPr="00EE263B" w:rsidRDefault="00660A41" w:rsidP="00660A41">
      <w:pPr>
        <w:pStyle w:val="Prrafodelista"/>
        <w:numPr>
          <w:ilvl w:val="0"/>
          <w:numId w:val="17"/>
        </w:numPr>
        <w:spacing w:after="0" w:line="276" w:lineRule="auto"/>
        <w:contextualSpacing w:val="0"/>
        <w:jc w:val="both"/>
        <w:rPr>
          <w:rFonts w:ascii="Verdana" w:hAnsi="Verdana" w:cs="Arial"/>
        </w:rPr>
      </w:pPr>
      <w:r w:rsidRPr="00EE263B">
        <w:rPr>
          <w:rFonts w:ascii="Verdana" w:eastAsia="Calibri" w:hAnsi="Verdana" w:cs="Arial"/>
          <w:lang w:val="es-ES_tradnl" w:eastAsia="es-ES_tradnl"/>
        </w:rPr>
        <w:t xml:space="preserve">La norma citada integra las lagunas o vacíos normativos del reglamento autónomo, y se aplican a todo lo que no esté expresamente regulado en él. </w:t>
      </w:r>
      <w:r w:rsidRPr="00EE263B">
        <w:rPr>
          <w:rFonts w:ascii="Verdana" w:eastAsia="Calibri" w:hAnsi="Verdana" w:cs="Arial"/>
          <w:color w:val="000000" w:themeColor="text1"/>
        </w:rPr>
        <w:t xml:space="preserve">En otras palabras, el EGCAP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 </w:t>
      </w:r>
    </w:p>
    <w:p w14:paraId="3114B195" w14:textId="77777777" w:rsidR="00660A41" w:rsidRPr="00EE263B" w:rsidRDefault="00660A41" w:rsidP="00660A41">
      <w:pPr>
        <w:pStyle w:val="Prrafodelista"/>
        <w:spacing w:after="0" w:line="276" w:lineRule="auto"/>
        <w:ind w:left="360"/>
        <w:contextualSpacing w:val="0"/>
        <w:jc w:val="both"/>
        <w:rPr>
          <w:rFonts w:ascii="Verdana" w:hAnsi="Verdana" w:cs="Arial"/>
        </w:rPr>
      </w:pPr>
    </w:p>
    <w:p w14:paraId="01ED7068" w14:textId="77777777" w:rsidR="00660A41" w:rsidRPr="00EE263B" w:rsidRDefault="00660A41" w:rsidP="00660A41">
      <w:pPr>
        <w:pStyle w:val="Prrafodelista"/>
        <w:numPr>
          <w:ilvl w:val="0"/>
          <w:numId w:val="17"/>
        </w:numPr>
        <w:spacing w:after="0" w:line="276" w:lineRule="auto"/>
        <w:contextualSpacing w:val="0"/>
        <w:jc w:val="both"/>
        <w:rPr>
          <w:rFonts w:ascii="Verdana" w:hAnsi="Verdana" w:cs="Arial"/>
        </w:rPr>
      </w:pPr>
      <w:r w:rsidRPr="00EE263B">
        <w:rPr>
          <w:rFonts w:ascii="Verdana" w:eastAsia="Calibri" w:hAnsi="Verdana" w:cs="Arial"/>
          <w:color w:val="000000" w:themeColor="text1"/>
        </w:rPr>
        <w:t xml:space="preserve">En tal sentido, frente al aspecto por el cual se formula la consulta habrá que remitirse a lo dispuesto en el </w:t>
      </w:r>
      <w:r w:rsidRPr="00EE263B">
        <w:rPr>
          <w:rFonts w:ascii="Verdana" w:hAnsi="Verdana" w:cs="Arial"/>
        </w:rPr>
        <w:t>artículo 2.2.1.2.1.4.1 del Decreto 1082 de 2015. De acuerdo con esta disposición, tratándose de contratación directa, la Entidad Estatal debe señalar en un acto administrativo la justificación para contratar bajo esta modalidad. En este acto administrativo, además, se debe indicar la causal que se invoca para contratar directamente, el objeto del contrato, el presupuesto para la contratación y las condiciones que se exigirá al contratista</w:t>
      </w:r>
      <w:r w:rsidRPr="00EE263B">
        <w:rPr>
          <w:rStyle w:val="Refdenotaalpie"/>
          <w:rFonts w:ascii="Verdana" w:hAnsi="Verdana" w:cs="Arial"/>
        </w:rPr>
        <w:footnoteReference w:id="9"/>
      </w:r>
      <w:r w:rsidRPr="00EE263B">
        <w:rPr>
          <w:rFonts w:ascii="Verdana" w:hAnsi="Verdana" w:cs="Arial"/>
        </w:rPr>
        <w:t xml:space="preserve">. </w:t>
      </w:r>
    </w:p>
    <w:p w14:paraId="0CFE0001" w14:textId="77777777" w:rsidR="00660A41" w:rsidRPr="00EE263B" w:rsidRDefault="00660A41" w:rsidP="00660A41">
      <w:pPr>
        <w:pStyle w:val="Prrafodelista"/>
        <w:spacing w:after="0" w:line="276" w:lineRule="auto"/>
        <w:ind w:left="360"/>
        <w:contextualSpacing w:val="0"/>
        <w:jc w:val="both"/>
        <w:rPr>
          <w:rFonts w:ascii="Verdana" w:hAnsi="Verdana" w:cs="Arial"/>
        </w:rPr>
      </w:pPr>
    </w:p>
    <w:p w14:paraId="0752DF04" w14:textId="27B2D73C" w:rsidR="00660A41" w:rsidRPr="00EE263B" w:rsidRDefault="00660A41" w:rsidP="00660A41">
      <w:pPr>
        <w:pStyle w:val="Prrafodelista"/>
        <w:numPr>
          <w:ilvl w:val="0"/>
          <w:numId w:val="17"/>
        </w:numPr>
        <w:spacing w:after="0" w:line="276" w:lineRule="auto"/>
        <w:contextualSpacing w:val="0"/>
        <w:jc w:val="both"/>
        <w:rPr>
          <w:rFonts w:ascii="Verdana" w:hAnsi="Verdana" w:cs="Arial"/>
        </w:rPr>
      </w:pPr>
      <w:r w:rsidRPr="00EE263B">
        <w:rPr>
          <w:rFonts w:ascii="Verdana" w:hAnsi="Verdana" w:cs="Arial"/>
        </w:rPr>
        <w:t xml:space="preserve">Conforme lo anterior, tratándose de la celebración de convenios de asociación celebrados </w:t>
      </w:r>
      <w:r w:rsidR="00F6542E">
        <w:rPr>
          <w:rFonts w:ascii="Verdana" w:hAnsi="Verdana" w:cs="Arial"/>
        </w:rPr>
        <w:t>sin proceso com</w:t>
      </w:r>
      <w:r w:rsidR="003E6DEA">
        <w:rPr>
          <w:rFonts w:ascii="Verdana" w:hAnsi="Verdana" w:cs="Arial"/>
        </w:rPr>
        <w:t>petitivo</w:t>
      </w:r>
      <w:r w:rsidRPr="00EE263B">
        <w:rPr>
          <w:rFonts w:ascii="Verdana" w:hAnsi="Verdana" w:cs="Arial"/>
        </w:rPr>
        <w:t xml:space="preserve">, en virtud del artículo 5 del Decreto 092 de 2017, se deben elaborar los documentos y estudios previos en los cuales se justifique la contratación directa. En estos se debe realizar la determinación de los indicadores y factores de ponderación a tener cuenta, con el cuidado de acreditar que ese contrato puede ser ejecutado por esa ESAL en particular, que aporta treinta por ciento (30%) del valor total del convenio y porque cuenta con la idoneidad para el efecto; solicitar la oferta a la ESAL idónea; verificar las condiciones de idoneidad, la seriedad del ofrecimiento del aporte y las otras calidades para certificarlas y celebrar el contrato de interés público y; finalmente, debe verificarse que </w:t>
      </w:r>
      <w:r w:rsidRPr="00EE263B">
        <w:rPr>
          <w:rFonts w:ascii="Verdana" w:eastAsia="Times New Roman" w:hAnsi="Verdana"/>
          <w:color w:val="000000"/>
        </w:rPr>
        <w:t>no exista otra ESAL que ofrezca esos servicios o tenga la disponibilidad de más recursos, ya que de ser así debería adelantar un proceso competitivo</w:t>
      </w:r>
      <w:r w:rsidRPr="00EE263B">
        <w:rPr>
          <w:rStyle w:val="Refdenotaalpie"/>
          <w:rFonts w:ascii="Verdana" w:eastAsia="Times New Roman" w:hAnsi="Verdana"/>
          <w:color w:val="000000"/>
        </w:rPr>
        <w:footnoteReference w:id="10"/>
      </w:r>
      <w:r w:rsidRPr="00EE263B">
        <w:rPr>
          <w:rFonts w:ascii="Verdana" w:eastAsia="Times New Roman" w:hAnsi="Verdana"/>
          <w:color w:val="000000"/>
        </w:rPr>
        <w:t>.</w:t>
      </w:r>
    </w:p>
    <w:p w14:paraId="11424CDA" w14:textId="77777777" w:rsidR="00660A41" w:rsidRPr="00CF0DDE" w:rsidRDefault="00660A41" w:rsidP="00660A41">
      <w:pPr>
        <w:spacing w:after="0" w:line="276" w:lineRule="auto"/>
        <w:jc w:val="both"/>
        <w:rPr>
          <w:rFonts w:ascii="Verdana" w:hAnsi="Verdana" w:cs="Arial"/>
          <w:lang w:val="es-ES"/>
        </w:rPr>
      </w:pPr>
    </w:p>
    <w:p w14:paraId="378AF874" w14:textId="77777777" w:rsidR="00660A41" w:rsidRPr="00CF0DDE" w:rsidRDefault="00660A41" w:rsidP="00660A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F0DDE">
        <w:rPr>
          <w:rFonts w:ascii="Verdana" w:eastAsia="Century Gothic" w:hAnsi="Verdana" w:cs="Century Gothic"/>
          <w:b/>
          <w:bCs/>
        </w:rPr>
        <w:t>Referencias normativas, jurisprudenciales y otras fuentes:</w:t>
      </w:r>
    </w:p>
    <w:p w14:paraId="696A41FF" w14:textId="77777777" w:rsidR="00660A41" w:rsidRPr="00CF0DDE" w:rsidRDefault="00660A41" w:rsidP="00660A41">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60A41" w:rsidRPr="00CF0DDE" w14:paraId="30FFC94D" w14:textId="77777777" w:rsidTr="00954CA3">
        <w:trPr>
          <w:trHeight w:val="870"/>
        </w:trPr>
        <w:tc>
          <w:tcPr>
            <w:tcW w:w="8647" w:type="dxa"/>
          </w:tcPr>
          <w:p w14:paraId="2C72B4E5" w14:textId="77777777" w:rsidR="00660A41" w:rsidRPr="004224A2" w:rsidRDefault="00660A41" w:rsidP="00660A41">
            <w:pPr>
              <w:pStyle w:val="Prrafodelista"/>
              <w:numPr>
                <w:ilvl w:val="0"/>
                <w:numId w:val="18"/>
              </w:numPr>
              <w:spacing w:line="276" w:lineRule="auto"/>
              <w:ind w:left="360"/>
              <w:contextualSpacing w:val="0"/>
              <w:jc w:val="both"/>
              <w:rPr>
                <w:rFonts w:ascii="Verdana" w:eastAsia="Calibri" w:hAnsi="Verdana" w:cs="Arial"/>
                <w:color w:val="000000" w:themeColor="text1"/>
              </w:rPr>
            </w:pPr>
            <w:r w:rsidRPr="004224A2">
              <w:rPr>
                <w:rFonts w:ascii="Verdana" w:eastAsia="Calibri" w:hAnsi="Verdana" w:cs="Arial"/>
                <w:color w:val="000000" w:themeColor="text1"/>
              </w:rPr>
              <w:t>Constitución Política: Artículo 355.</w:t>
            </w:r>
          </w:p>
          <w:p w14:paraId="47928630" w14:textId="77777777" w:rsidR="00660A41" w:rsidRPr="004224A2" w:rsidRDefault="00660A41" w:rsidP="00954CA3">
            <w:pPr>
              <w:pStyle w:val="Prrafodelista"/>
              <w:spacing w:line="276" w:lineRule="auto"/>
              <w:ind w:left="360"/>
              <w:contextualSpacing w:val="0"/>
              <w:jc w:val="both"/>
              <w:rPr>
                <w:rFonts w:ascii="Verdana" w:eastAsia="Calibri" w:hAnsi="Verdana" w:cs="Arial"/>
                <w:color w:val="000000" w:themeColor="text1"/>
              </w:rPr>
            </w:pPr>
          </w:p>
          <w:p w14:paraId="5B32C6D6" w14:textId="77777777" w:rsidR="00660A41" w:rsidRPr="004224A2" w:rsidRDefault="00660A41" w:rsidP="00660A41">
            <w:pPr>
              <w:pStyle w:val="Prrafodelista"/>
              <w:numPr>
                <w:ilvl w:val="0"/>
                <w:numId w:val="18"/>
              </w:numPr>
              <w:spacing w:line="276" w:lineRule="auto"/>
              <w:ind w:left="360"/>
              <w:contextualSpacing w:val="0"/>
              <w:jc w:val="both"/>
              <w:rPr>
                <w:rFonts w:ascii="Verdana" w:eastAsia="Calibri" w:hAnsi="Verdana" w:cs="Arial"/>
                <w:color w:val="000000" w:themeColor="text1"/>
              </w:rPr>
            </w:pPr>
            <w:r w:rsidRPr="004224A2">
              <w:rPr>
                <w:rFonts w:ascii="Verdana" w:eastAsia="Calibri" w:hAnsi="Verdana" w:cs="Arial"/>
                <w:color w:val="000000" w:themeColor="text1"/>
              </w:rPr>
              <w:t xml:space="preserve">Ley 489 de 1998: Artículo 96. </w:t>
            </w:r>
          </w:p>
          <w:p w14:paraId="4602F30F" w14:textId="77777777" w:rsidR="00660A41" w:rsidRPr="004224A2" w:rsidRDefault="00660A41" w:rsidP="00954CA3">
            <w:pPr>
              <w:pStyle w:val="Prrafodelista"/>
              <w:ind w:left="360"/>
              <w:rPr>
                <w:rFonts w:ascii="Verdana" w:eastAsia="Calibri" w:hAnsi="Verdana" w:cs="Arial"/>
                <w:color w:val="000000" w:themeColor="text1"/>
              </w:rPr>
            </w:pPr>
          </w:p>
          <w:p w14:paraId="7A334ED4" w14:textId="77777777" w:rsidR="00660A41" w:rsidRPr="004224A2" w:rsidRDefault="00660A41" w:rsidP="00660A41">
            <w:pPr>
              <w:pStyle w:val="Prrafodelista"/>
              <w:numPr>
                <w:ilvl w:val="0"/>
                <w:numId w:val="18"/>
              </w:numPr>
              <w:spacing w:line="276" w:lineRule="auto"/>
              <w:ind w:left="360"/>
              <w:contextualSpacing w:val="0"/>
              <w:jc w:val="both"/>
              <w:rPr>
                <w:rFonts w:ascii="Verdana" w:eastAsia="Calibri" w:hAnsi="Verdana" w:cs="Arial"/>
                <w:color w:val="000000" w:themeColor="text1"/>
              </w:rPr>
            </w:pPr>
            <w:r w:rsidRPr="004224A2">
              <w:rPr>
                <w:rFonts w:ascii="Verdana" w:eastAsia="Calibri" w:hAnsi="Verdana" w:cs="Arial"/>
                <w:color w:val="000000" w:themeColor="text1"/>
              </w:rPr>
              <w:t xml:space="preserve">Decreto 1082 de 2015: Artículo </w:t>
            </w:r>
            <w:r w:rsidRPr="004224A2">
              <w:rPr>
                <w:rFonts w:ascii="Verdana" w:hAnsi="Verdana" w:cs="Arial"/>
              </w:rPr>
              <w:t>2.2.1.2.1.4.1.</w:t>
            </w:r>
          </w:p>
          <w:p w14:paraId="1D6406B1" w14:textId="77777777" w:rsidR="00660A41" w:rsidRPr="004224A2" w:rsidRDefault="00660A41" w:rsidP="00954CA3">
            <w:pPr>
              <w:pStyle w:val="Prrafodelista"/>
              <w:spacing w:line="276" w:lineRule="auto"/>
              <w:ind w:left="360"/>
              <w:contextualSpacing w:val="0"/>
              <w:jc w:val="both"/>
              <w:rPr>
                <w:rFonts w:ascii="Verdana" w:eastAsia="Calibri" w:hAnsi="Verdana" w:cs="Arial"/>
                <w:lang w:val="es-ES_tradnl" w:eastAsia="es-ES_tradnl"/>
              </w:rPr>
            </w:pPr>
          </w:p>
          <w:p w14:paraId="21616887" w14:textId="77777777" w:rsidR="00660A41" w:rsidRPr="004224A2" w:rsidRDefault="00660A41" w:rsidP="00660A41">
            <w:pPr>
              <w:pStyle w:val="Prrafodelista"/>
              <w:numPr>
                <w:ilvl w:val="0"/>
                <w:numId w:val="18"/>
              </w:numPr>
              <w:spacing w:line="276" w:lineRule="auto"/>
              <w:ind w:left="360"/>
              <w:contextualSpacing w:val="0"/>
              <w:jc w:val="both"/>
              <w:rPr>
                <w:rFonts w:ascii="Verdana" w:eastAsia="Calibri" w:hAnsi="Verdana" w:cs="Arial"/>
                <w:lang w:val="es-ES_tradnl" w:eastAsia="es-ES_tradnl"/>
              </w:rPr>
            </w:pPr>
            <w:r w:rsidRPr="004224A2">
              <w:rPr>
                <w:rFonts w:ascii="Verdana" w:hAnsi="Verdana" w:cs="Arial"/>
                <w:lang w:val="es-MX"/>
              </w:rPr>
              <w:t xml:space="preserve">Decreto 092 de 2017: </w:t>
            </w:r>
            <w:r w:rsidRPr="004224A2">
              <w:rPr>
                <w:rFonts w:ascii="Verdana" w:eastAsia="Calibri" w:hAnsi="Verdana" w:cs="Arial"/>
                <w:lang w:val="es-ES_tradnl" w:eastAsia="es-ES_tradnl"/>
              </w:rPr>
              <w:t xml:space="preserve">Artículo 5 y 8. </w:t>
            </w:r>
          </w:p>
          <w:p w14:paraId="30F3CDAC" w14:textId="77777777" w:rsidR="00660A41" w:rsidRPr="004224A2" w:rsidRDefault="00660A41" w:rsidP="00954CA3">
            <w:pPr>
              <w:pStyle w:val="Prrafodelista"/>
              <w:spacing w:line="276" w:lineRule="auto"/>
              <w:ind w:left="360"/>
              <w:contextualSpacing w:val="0"/>
              <w:jc w:val="both"/>
              <w:rPr>
                <w:rFonts w:ascii="Verdana" w:eastAsia="Calibri" w:hAnsi="Verdana" w:cs="Arial"/>
                <w:lang w:val="es-ES_tradnl" w:eastAsia="es-ES_tradnl"/>
              </w:rPr>
            </w:pPr>
          </w:p>
          <w:p w14:paraId="14261608" w14:textId="77777777" w:rsidR="00660A41" w:rsidRPr="004224A2" w:rsidRDefault="00660A41" w:rsidP="00660A41">
            <w:pPr>
              <w:pStyle w:val="Prrafodelista"/>
              <w:numPr>
                <w:ilvl w:val="0"/>
                <w:numId w:val="18"/>
              </w:numPr>
              <w:spacing w:line="276" w:lineRule="auto"/>
              <w:ind w:left="360"/>
              <w:contextualSpacing w:val="0"/>
              <w:jc w:val="both"/>
              <w:rPr>
                <w:rFonts w:ascii="Verdana" w:eastAsia="Calibri" w:hAnsi="Verdana" w:cs="Arial"/>
                <w:lang w:val="es-ES_tradnl" w:eastAsia="es-ES_tradnl"/>
              </w:rPr>
            </w:pPr>
            <w:r w:rsidRPr="004224A2">
              <w:rPr>
                <w:rFonts w:ascii="Verdana" w:eastAsia="Calibri" w:hAnsi="Verdana" w:cs="Arial"/>
                <w:lang w:val="es-ES_tradnl" w:eastAsia="es-ES_tradnl"/>
              </w:rPr>
              <w:t xml:space="preserve">Guía para la contratación con entidades privadas sin ánimo de lucro y de reconocida idoneidad. Disponible en: </w:t>
            </w:r>
            <w:hyperlink r:id="rId13" w:history="1">
              <w:r w:rsidRPr="004224A2">
                <w:rPr>
                  <w:rStyle w:val="Hipervnculo"/>
                  <w:rFonts w:ascii="Verdana" w:eastAsia="Calibri" w:hAnsi="Verdana" w:cs="Arial"/>
                  <w:lang w:val="es-ES_tradnl" w:eastAsia="es-ES_tradnl"/>
                </w:rPr>
                <w:t>https://www.colombiacompra.gov.co/sites/cce_public/files/cce_documents/cce_guia_esal.pdf</w:t>
              </w:r>
            </w:hyperlink>
            <w:r w:rsidRPr="004224A2">
              <w:rPr>
                <w:rFonts w:ascii="Verdana" w:eastAsia="Calibri" w:hAnsi="Verdana" w:cs="Arial"/>
                <w:lang w:val="es-ES_tradnl" w:eastAsia="es-ES_tradnl"/>
              </w:rPr>
              <w:t xml:space="preserve"> </w:t>
            </w:r>
          </w:p>
          <w:p w14:paraId="1427DC84" w14:textId="77777777" w:rsidR="00660A41" w:rsidRPr="004224A2" w:rsidRDefault="00660A41" w:rsidP="00954CA3">
            <w:pPr>
              <w:pStyle w:val="Prrafodelista"/>
              <w:ind w:left="360"/>
              <w:rPr>
                <w:rFonts w:ascii="Verdana" w:eastAsia="Calibri" w:hAnsi="Verdana" w:cs="Arial"/>
                <w:lang w:val="es-ES_tradnl" w:eastAsia="es-ES_tradnl"/>
              </w:rPr>
            </w:pPr>
          </w:p>
          <w:p w14:paraId="584382DA" w14:textId="77777777" w:rsidR="00660A41" w:rsidRPr="00CF0DDE" w:rsidRDefault="00660A41" w:rsidP="00660A41">
            <w:pPr>
              <w:pStyle w:val="Prrafodelista"/>
              <w:numPr>
                <w:ilvl w:val="0"/>
                <w:numId w:val="18"/>
              </w:numPr>
              <w:spacing w:line="276" w:lineRule="auto"/>
              <w:ind w:left="360"/>
              <w:contextualSpacing w:val="0"/>
              <w:jc w:val="both"/>
              <w:rPr>
                <w:rFonts w:ascii="Verdana" w:eastAsia="Calibri" w:hAnsi="Verdana" w:cs="Arial"/>
                <w:lang w:val="es-ES_tradnl" w:eastAsia="es-ES_tradnl"/>
              </w:rPr>
            </w:pPr>
            <w:r w:rsidRPr="004224A2">
              <w:rPr>
                <w:rFonts w:ascii="Verdana" w:hAnsi="Verdana" w:cs="Arial"/>
              </w:rPr>
              <w:t>RODRÍGUEZ TAMAYO, Mauricio. Contratación pública con Entidades sin ánimo de lucro. Bogotá: Legis Editores, 2017.</w:t>
            </w:r>
          </w:p>
        </w:tc>
      </w:tr>
    </w:tbl>
    <w:p w14:paraId="5FDA5C39" w14:textId="77777777" w:rsidR="00660A41" w:rsidRPr="00CF0DDE" w:rsidRDefault="00660A41" w:rsidP="00660A41">
      <w:pPr>
        <w:widowControl w:val="0"/>
        <w:autoSpaceDE w:val="0"/>
        <w:autoSpaceDN w:val="0"/>
        <w:spacing w:after="0" w:line="276" w:lineRule="auto"/>
        <w:jc w:val="both"/>
        <w:rPr>
          <w:rFonts w:ascii="Verdana" w:hAnsi="Verdana" w:cs="Arial"/>
        </w:rPr>
      </w:pPr>
    </w:p>
    <w:p w14:paraId="5710DAF6" w14:textId="77777777" w:rsidR="00660A41" w:rsidRPr="00CF0DDE" w:rsidRDefault="00660A41" w:rsidP="00660A41">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CF0DDE">
        <w:rPr>
          <w:rFonts w:ascii="Verdana" w:eastAsia="Century Gothic" w:hAnsi="Verdana" w:cs="Century Gothic"/>
          <w:b/>
          <w:bCs/>
        </w:rPr>
        <w:t>Doctrina de la Agencia Nacional de Contratación Pública:</w:t>
      </w:r>
    </w:p>
    <w:p w14:paraId="3CACEA8E" w14:textId="77777777" w:rsidR="00660A41" w:rsidRPr="00CF0DDE" w:rsidRDefault="00660A41" w:rsidP="00660A41">
      <w:pPr>
        <w:widowControl w:val="0"/>
        <w:autoSpaceDE w:val="0"/>
        <w:autoSpaceDN w:val="0"/>
        <w:spacing w:after="0" w:line="276" w:lineRule="auto"/>
        <w:jc w:val="both"/>
        <w:rPr>
          <w:rFonts w:ascii="Verdana" w:hAnsi="Verdana" w:cs="Arial"/>
        </w:rPr>
      </w:pPr>
    </w:p>
    <w:p w14:paraId="50AF2599" w14:textId="77777777" w:rsidR="00660A41" w:rsidRPr="00CF0DDE" w:rsidRDefault="00660A41" w:rsidP="00660A41">
      <w:pPr>
        <w:widowControl w:val="0"/>
        <w:autoSpaceDE w:val="0"/>
        <w:autoSpaceDN w:val="0"/>
        <w:spacing w:after="0" w:line="276" w:lineRule="auto"/>
        <w:jc w:val="both"/>
        <w:rPr>
          <w:rStyle w:val="normaltextrun"/>
          <w:rFonts w:ascii="Verdana" w:hAnsi="Verdana" w:cs="Arial"/>
          <w:shd w:val="clear" w:color="auto" w:fill="FFFFFF"/>
          <w:lang w:val="es-ES"/>
        </w:rPr>
      </w:pPr>
      <w:r w:rsidRPr="00CF0DDE">
        <w:rPr>
          <w:rFonts w:ascii="Verdana" w:eastAsia="Calibri" w:hAnsi="Verdana" w:cs="Arial"/>
          <w:color w:val="000000" w:themeColor="text1"/>
          <w:lang w:val="es-ES_tradnl" w:eastAsia="es-ES_tradnl"/>
        </w:rPr>
        <w:t xml:space="preserve">La Agencia Nacional de Contratación Pública – Colombia Compra Eficiente analizó </w:t>
      </w:r>
      <w:r w:rsidRPr="00CF0DDE">
        <w:rPr>
          <w:rFonts w:ascii="Verdana" w:eastAsia="Calibri" w:hAnsi="Verdana" w:cs="Arial"/>
          <w:bCs/>
          <w:color w:val="000000" w:themeColor="text1"/>
          <w:lang w:val="es-ES_tradnl" w:eastAsia="es-ES_tradnl"/>
        </w:rPr>
        <w:t>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Así 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C-560 de 7 de septiembre de 2022, C-771 del 29 de diciembre de 2022, C-045 del 24 de abril de 2024, C-071 del 28 de mayo de 2024, C-096 del 27 de junio de 2024, entre otros</w:t>
      </w:r>
      <w:r w:rsidRPr="00CF0DDE">
        <w:rPr>
          <w:rStyle w:val="normaltextrun"/>
          <w:rFonts w:ascii="Verdana" w:hAnsi="Verdana" w:cs="Arial"/>
          <w:color w:val="7030A0"/>
          <w:shd w:val="clear" w:color="auto" w:fill="FFFFFF"/>
          <w:lang w:val="es-ES"/>
        </w:rPr>
        <w:t xml:space="preserve">. </w:t>
      </w:r>
      <w:r w:rsidRPr="00CF0DDE">
        <w:rPr>
          <w:rStyle w:val="normaltextrun"/>
          <w:rFonts w:ascii="Verdana" w:hAnsi="Verdana" w:cs="Arial"/>
          <w:shd w:val="clear" w:color="auto" w:fill="FFFFFF"/>
          <w:lang w:val="es-ES"/>
        </w:rPr>
        <w:t>Es</w:t>
      </w:r>
      <w:r w:rsidRPr="00CF0DDE">
        <w:rPr>
          <w:rFonts w:ascii="Verdana" w:hAnsi="Verdana"/>
        </w:rPr>
        <w:t>tos y otros conceptos se encuentran disponibles para consulta en el Sistema de relatoría de la Agencia, al cual se puede acceder a través del siguiente enlace:</w:t>
      </w:r>
      <w:r w:rsidRPr="00CF0DDE">
        <w:rPr>
          <w:rStyle w:val="normaltextrun"/>
          <w:rFonts w:ascii="Verdana" w:hAnsi="Verdana" w:cs="Arial"/>
          <w:shd w:val="clear" w:color="auto" w:fill="FFFFFF"/>
          <w:lang w:val="es-ES"/>
        </w:rPr>
        <w:t xml:space="preserve"> </w:t>
      </w:r>
      <w:hyperlink r:id="rId14" w:history="1">
        <w:r w:rsidRPr="00CF0DDE">
          <w:rPr>
            <w:rStyle w:val="Hipervnculo"/>
            <w:rFonts w:ascii="Verdana" w:hAnsi="Verdana" w:cs="Arial"/>
            <w:shd w:val="clear" w:color="auto" w:fill="FFFFFF"/>
            <w:lang w:val="es-ES"/>
          </w:rPr>
          <w:t>https://relatoria.colombiacompra.gov.co/busqueda/conceptos</w:t>
        </w:r>
      </w:hyperlink>
      <w:r w:rsidRPr="00CF0DDE">
        <w:rPr>
          <w:rStyle w:val="normaltextrun"/>
          <w:rFonts w:ascii="Verdana" w:hAnsi="Verdana" w:cs="Arial"/>
          <w:shd w:val="clear" w:color="auto" w:fill="FFFFFF"/>
          <w:lang w:val="es-ES"/>
        </w:rPr>
        <w:t xml:space="preserve">. </w:t>
      </w:r>
    </w:p>
    <w:p w14:paraId="6A423A84" w14:textId="77777777" w:rsidR="00660A41" w:rsidRPr="00CF0DDE" w:rsidRDefault="00660A41" w:rsidP="00660A4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9CBD54A" w14:textId="77777777" w:rsidR="00660A41" w:rsidRPr="00CF0DDE" w:rsidRDefault="00660A41" w:rsidP="00660A41">
      <w:pPr>
        <w:widowControl w:val="0"/>
        <w:autoSpaceDE w:val="0"/>
        <w:autoSpaceDN w:val="0"/>
        <w:spacing w:after="0" w:line="276" w:lineRule="auto"/>
        <w:jc w:val="both"/>
        <w:rPr>
          <w:rFonts w:ascii="Verdana" w:hAnsi="Verdana" w:cs="Arial"/>
        </w:rPr>
      </w:pPr>
      <w:r w:rsidRPr="00087D45">
        <w:rPr>
          <w:rFonts w:ascii="Verdana" w:hAnsi="Verdana" w:cs="Arial"/>
        </w:rPr>
        <w:t xml:space="preserve">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5" w:history="1">
        <w:r w:rsidRPr="00087D45">
          <w:rPr>
            <w:rStyle w:val="Hipervnculo"/>
            <w:rFonts w:ascii="Verdana" w:hAnsi="Verdana" w:cs="Arial"/>
          </w:rPr>
          <w:t>https://www.colombiacompra.gov.co/content/borrador-de-documentos-tipo-de-consultoria-de-obra-publica-de-infraestructura-de-transporte</w:t>
        </w:r>
      </w:hyperlink>
      <w:r w:rsidRPr="00087D45">
        <w:rPr>
          <w:rFonts w:ascii="Verdana" w:hAnsi="Verdana" w:cs="Arial"/>
        </w:rPr>
        <w:t xml:space="preserve"> y </w:t>
      </w:r>
      <w:hyperlink r:id="rId16" w:history="1">
        <w:r w:rsidRPr="00087D45">
          <w:rPr>
            <w:rStyle w:val="Hipervnculo"/>
            <w:rFonts w:ascii="Verdana" w:hAnsi="Verdana" w:cs="Arial"/>
          </w:rPr>
          <w:t>https://www.colombiacompra.gov.co/content/borrador-de-documentos-tipo-de-interventoria-de-obra-publica-de-infraestructura-de</w:t>
        </w:r>
      </w:hyperlink>
      <w:r w:rsidRPr="00087D45">
        <w:rPr>
          <w:rFonts w:ascii="Verdana" w:hAnsi="Verdana" w:cs="Arial"/>
        </w:rPr>
        <w:t xml:space="preserve"> .</w:t>
      </w:r>
    </w:p>
    <w:p w14:paraId="6BC22A9B" w14:textId="77777777" w:rsidR="00660A41" w:rsidRPr="00087D45" w:rsidRDefault="00660A41" w:rsidP="00660A41">
      <w:pPr>
        <w:widowControl w:val="0"/>
        <w:autoSpaceDE w:val="0"/>
        <w:autoSpaceDN w:val="0"/>
        <w:spacing w:after="0" w:line="276" w:lineRule="auto"/>
        <w:jc w:val="both"/>
        <w:rPr>
          <w:rFonts w:ascii="Verdana" w:hAnsi="Verdana" w:cs="Arial"/>
        </w:rPr>
      </w:pPr>
    </w:p>
    <w:p w14:paraId="12E97B64" w14:textId="77777777" w:rsidR="00660A41" w:rsidRPr="00CF0DDE" w:rsidRDefault="00660A41" w:rsidP="00660A41">
      <w:pPr>
        <w:widowControl w:val="0"/>
        <w:autoSpaceDE w:val="0"/>
        <w:autoSpaceDN w:val="0"/>
        <w:spacing w:after="0" w:line="276" w:lineRule="auto"/>
        <w:jc w:val="both"/>
        <w:rPr>
          <w:rFonts w:ascii="Verdana" w:hAnsi="Verdana" w:cs="Arial"/>
        </w:rPr>
      </w:pPr>
      <w:r w:rsidRPr="00087D45">
        <w:rPr>
          <w:rFonts w:ascii="Verdana" w:hAnsi="Verdana" w:cs="Arial"/>
        </w:rPr>
        <w:t xml:space="preserve">De otra parte, te contamos que ya publicamos el borrador de la nueva Guía de Contratación Pública Sostenible y Socialmente Responsable. Conoce el documento y realiza tus comentarios hasta el 14 de noviembre de 2024 a través del siguiente enlace: </w:t>
      </w:r>
      <w:hyperlink r:id="rId17" w:history="1">
        <w:r w:rsidRPr="00087D45">
          <w:rPr>
            <w:rStyle w:val="Hipervnculo"/>
            <w:rFonts w:ascii="Verdana" w:hAnsi="Verdana" w:cs="Arial"/>
          </w:rPr>
          <w:t>https://www.sucop.gov.co/entidades/colombiacompra/Normativa?IDNorma=18320</w:t>
        </w:r>
      </w:hyperlink>
      <w:r w:rsidRPr="00087D45">
        <w:rPr>
          <w:rFonts w:ascii="Verdana" w:hAnsi="Verdana" w:cs="Arial"/>
        </w:rPr>
        <w:t xml:space="preserve">  </w:t>
      </w:r>
    </w:p>
    <w:p w14:paraId="222F6134" w14:textId="77777777" w:rsidR="00660A41" w:rsidRPr="00087D45" w:rsidRDefault="00660A41" w:rsidP="00660A41">
      <w:pPr>
        <w:widowControl w:val="0"/>
        <w:autoSpaceDE w:val="0"/>
        <w:autoSpaceDN w:val="0"/>
        <w:spacing w:after="0" w:line="276" w:lineRule="auto"/>
        <w:jc w:val="both"/>
        <w:rPr>
          <w:rFonts w:ascii="Verdana" w:hAnsi="Verdana" w:cs="Arial"/>
        </w:rPr>
      </w:pPr>
    </w:p>
    <w:p w14:paraId="0EB0D25F" w14:textId="77777777" w:rsidR="00660A41" w:rsidRPr="00CF0DDE" w:rsidRDefault="00660A41" w:rsidP="00660A41">
      <w:pPr>
        <w:widowControl w:val="0"/>
        <w:autoSpaceDE w:val="0"/>
        <w:autoSpaceDN w:val="0"/>
        <w:spacing w:after="0" w:line="276" w:lineRule="auto"/>
        <w:jc w:val="both"/>
        <w:rPr>
          <w:rFonts w:ascii="Verdana" w:hAnsi="Verdana" w:cs="Arial"/>
        </w:rPr>
      </w:pPr>
      <w:r w:rsidRPr="00CF0DDE">
        <w:rPr>
          <w:rFonts w:ascii="Verdana" w:hAnsi="Verdana" w:cs="Arial"/>
        </w:rPr>
        <w:t xml:space="preserve">También le invitamos a consultar las versiones V y VI de 2024 del Boletín de Relatoría de la Subdirección de Gestión Contractual relacionados con las guías de Plan Anual de Adquisiciones y la </w:t>
      </w:r>
      <w:proofErr w:type="spellStart"/>
      <w:r w:rsidRPr="00CF0DDE">
        <w:rPr>
          <w:rFonts w:ascii="Verdana" w:hAnsi="Verdana" w:cs="Arial"/>
        </w:rPr>
        <w:t>odalidad</w:t>
      </w:r>
      <w:proofErr w:type="spellEnd"/>
      <w:r w:rsidRPr="00CF0DDE">
        <w:rPr>
          <w:rFonts w:ascii="Verdana" w:hAnsi="Verdana" w:cs="Arial"/>
        </w:rPr>
        <w:t xml:space="preserve"> de selección de mínima cuantía , los cuales se pueden descargar en la página web de la Agencia: </w:t>
      </w:r>
      <w:hyperlink r:id="rId18" w:tgtFrame="_blank" w:tooltip="Dirección URL original: https://www.colombiacompra.gov.co/sala-de-prensa/boletin-digital. Haga clic o pulse si confía en este vínculo." w:history="1">
        <w:r w:rsidRPr="00CF0DDE">
          <w:rPr>
            <w:rStyle w:val="Hipervnculo"/>
            <w:rFonts w:ascii="Verdana" w:hAnsi="Verdana" w:cs="Arial"/>
          </w:rPr>
          <w:t>https://www.colombiacompra.gov.co/sala-de-prensa/boletin-digital</w:t>
        </w:r>
      </w:hyperlink>
      <w:r w:rsidRPr="00CF0DDE">
        <w:rPr>
          <w:rFonts w:ascii="Verdana" w:hAnsi="Verdana" w:cs="Arial"/>
        </w:rPr>
        <w:t> </w:t>
      </w:r>
    </w:p>
    <w:p w14:paraId="30834F1E" w14:textId="77777777" w:rsidR="00660A41" w:rsidRPr="00CF0DDE" w:rsidRDefault="00660A41" w:rsidP="00660A41">
      <w:pPr>
        <w:widowControl w:val="0"/>
        <w:autoSpaceDE w:val="0"/>
        <w:autoSpaceDN w:val="0"/>
        <w:spacing w:after="0" w:line="276" w:lineRule="auto"/>
        <w:jc w:val="both"/>
        <w:rPr>
          <w:rFonts w:ascii="Verdana" w:hAnsi="Verdana" w:cs="Arial"/>
        </w:rPr>
      </w:pPr>
    </w:p>
    <w:p w14:paraId="387F0C1D" w14:textId="77777777" w:rsidR="00660A41" w:rsidRPr="00CF0DDE" w:rsidRDefault="00660A41" w:rsidP="00660A41">
      <w:pPr>
        <w:widowControl w:val="0"/>
        <w:autoSpaceDE w:val="0"/>
        <w:autoSpaceDN w:val="0"/>
        <w:spacing w:after="0" w:line="276" w:lineRule="auto"/>
        <w:jc w:val="both"/>
        <w:rPr>
          <w:rFonts w:ascii="Verdana" w:hAnsi="Verdana" w:cs="Arial"/>
          <w:lang w:val="es-ES_tradnl"/>
        </w:rPr>
      </w:pPr>
      <w:r w:rsidRPr="00CF0DDE">
        <w:rPr>
          <w:rFonts w:ascii="Verdana" w:hAnsi="Verdana" w:cs="Arial"/>
        </w:rPr>
        <w:t xml:space="preserve">Este concepto tiene el alcance previsto en el artículo 28 del Código de Procedimiento Administrativo y de lo Contencioso Administrativo </w:t>
      </w:r>
      <w:r w:rsidRPr="00CF0DDE">
        <w:rPr>
          <w:rFonts w:ascii="Verdana" w:hAnsi="Verdana" w:cs="Arial"/>
          <w:lang w:val="es-ES_tradnl"/>
        </w:rPr>
        <w:t>y las expresiones aquí utilizadas con mayúscula inicial deben ser entendidas con el significado que les otorga el artículo 2.2.1.1.1.3.1. del Decreto 1082 de 2015.</w:t>
      </w:r>
    </w:p>
    <w:p w14:paraId="7D0082AF" w14:textId="77777777" w:rsidR="00660A41" w:rsidRPr="00CF0DDE" w:rsidRDefault="00660A41" w:rsidP="00660A41">
      <w:pPr>
        <w:widowControl w:val="0"/>
        <w:autoSpaceDE w:val="0"/>
        <w:autoSpaceDN w:val="0"/>
        <w:spacing w:after="0" w:line="276" w:lineRule="auto"/>
        <w:jc w:val="both"/>
        <w:rPr>
          <w:rFonts w:ascii="Verdana" w:hAnsi="Verdana" w:cs="Arial"/>
        </w:rPr>
      </w:pPr>
    </w:p>
    <w:p w14:paraId="17A25EB9" w14:textId="77777777" w:rsidR="00660A41" w:rsidRPr="00CF0DDE" w:rsidRDefault="00660A41" w:rsidP="00660A41">
      <w:pPr>
        <w:spacing w:after="0" w:line="276" w:lineRule="auto"/>
        <w:rPr>
          <w:rFonts w:ascii="Verdana" w:hAnsi="Verdana" w:cs="Arial"/>
          <w:lang w:eastAsia="es-CO"/>
        </w:rPr>
      </w:pPr>
      <w:r w:rsidRPr="00CF0DDE">
        <w:rPr>
          <w:rFonts w:ascii="Verdana" w:eastAsia="Times New Roman" w:hAnsi="Verdana" w:cs="Arial"/>
          <w:lang w:eastAsia="es-CO"/>
        </w:rPr>
        <w:t>Atentamente,</w:t>
      </w:r>
      <w:r w:rsidRPr="00CF0DDE">
        <w:rPr>
          <w:rFonts w:ascii="Verdana" w:hAnsi="Verdana" w:cs="Arial"/>
          <w:lang w:eastAsia="es-CO"/>
        </w:rPr>
        <w:t xml:space="preserve"> </w:t>
      </w:r>
    </w:p>
    <w:p w14:paraId="4B18AF74" w14:textId="0069DFFF" w:rsidR="00660A41" w:rsidRPr="00CF0DDE" w:rsidRDefault="008A6569" w:rsidP="00660A41">
      <w:pPr>
        <w:spacing w:line="276" w:lineRule="auto"/>
        <w:jc w:val="center"/>
        <w:rPr>
          <w:rFonts w:ascii="Verdana" w:hAnsi="Verdana" w:cs="Arial"/>
          <w:color w:val="000000"/>
          <w:lang w:val="es-ES_tradnl" w:eastAsia="es-CO"/>
        </w:rPr>
      </w:pPr>
      <w:r>
        <w:rPr>
          <w:noProof/>
        </w:rPr>
        <w:drawing>
          <wp:inline distT="0" distB="0" distL="0" distR="0" wp14:anchorId="78C2F9B3" wp14:editId="3807FE01">
            <wp:extent cx="4013200" cy="1128209"/>
            <wp:effectExtent l="0" t="0" r="635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9"/>
                    <a:srcRect t="20995" b="13519"/>
                    <a:stretch/>
                  </pic:blipFill>
                  <pic:spPr bwMode="auto">
                    <a:xfrm>
                      <a:off x="0" y="0"/>
                      <a:ext cx="4045024" cy="113715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60A41" w:rsidRPr="00CF0DDE" w14:paraId="590B8643" w14:textId="77777777" w:rsidTr="00954CA3">
        <w:trPr>
          <w:trHeight w:val="315"/>
        </w:trPr>
        <w:tc>
          <w:tcPr>
            <w:tcW w:w="893" w:type="dxa"/>
            <w:vAlign w:val="center"/>
            <w:hideMark/>
          </w:tcPr>
          <w:p w14:paraId="0D0FE397" w14:textId="77777777" w:rsidR="00660A41" w:rsidRPr="00CF0DDE" w:rsidRDefault="00660A41" w:rsidP="00954CA3">
            <w:pPr>
              <w:contextualSpacing/>
              <w:rPr>
                <w:rFonts w:ascii="Verdana" w:hAnsi="Verdana" w:cs="Arial"/>
                <w:sz w:val="16"/>
                <w:szCs w:val="16"/>
                <w:lang w:val="es-ES" w:eastAsia="es-ES"/>
              </w:rPr>
            </w:pPr>
            <w:r w:rsidRPr="00CF0DD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59AC14B" w14:textId="77777777" w:rsidR="00660A41" w:rsidRPr="00CF0DDE" w:rsidRDefault="00660A41" w:rsidP="00954CA3">
            <w:pPr>
              <w:rPr>
                <w:rFonts w:ascii="Verdana" w:eastAsia="Arial" w:hAnsi="Verdana" w:cs="Arial"/>
                <w:sz w:val="16"/>
                <w:szCs w:val="16"/>
              </w:rPr>
            </w:pPr>
            <w:r w:rsidRPr="00CF0DDE">
              <w:rPr>
                <w:rFonts w:ascii="Verdana" w:eastAsia="Arial" w:hAnsi="Verdana" w:cs="Arial"/>
                <w:sz w:val="16"/>
                <w:szCs w:val="16"/>
              </w:rPr>
              <w:t>Diana Lucia Saavedra Castañeda</w:t>
            </w:r>
          </w:p>
          <w:p w14:paraId="0CF61EE2" w14:textId="77777777" w:rsidR="00660A41" w:rsidRPr="00CF0DDE" w:rsidRDefault="00660A41" w:rsidP="00954CA3">
            <w:pPr>
              <w:contextualSpacing/>
              <w:rPr>
                <w:rFonts w:ascii="Verdana" w:eastAsia="Arial" w:hAnsi="Verdana" w:cs="Arial"/>
                <w:sz w:val="16"/>
                <w:szCs w:val="16"/>
              </w:rPr>
            </w:pPr>
            <w:r w:rsidRPr="00CF0DDE">
              <w:rPr>
                <w:rFonts w:ascii="Verdana" w:eastAsia="Arial" w:hAnsi="Verdana" w:cs="Arial"/>
                <w:sz w:val="16"/>
                <w:szCs w:val="16"/>
              </w:rPr>
              <w:t>Contratista de la Subdirección de Gestión Contractual</w:t>
            </w:r>
          </w:p>
        </w:tc>
      </w:tr>
      <w:tr w:rsidR="00660A41" w:rsidRPr="00CF0DDE" w14:paraId="1F725EDA" w14:textId="77777777" w:rsidTr="00954CA3">
        <w:trPr>
          <w:trHeight w:val="330"/>
        </w:trPr>
        <w:tc>
          <w:tcPr>
            <w:tcW w:w="893" w:type="dxa"/>
            <w:vAlign w:val="center"/>
            <w:hideMark/>
          </w:tcPr>
          <w:p w14:paraId="2A2AA117" w14:textId="77777777" w:rsidR="00660A41" w:rsidRPr="00CF0DDE" w:rsidRDefault="00660A41" w:rsidP="00954CA3">
            <w:pPr>
              <w:contextualSpacing/>
              <w:rPr>
                <w:rFonts w:ascii="Verdana" w:hAnsi="Verdana" w:cs="Arial"/>
                <w:sz w:val="16"/>
                <w:szCs w:val="16"/>
                <w:lang w:val="es-ES" w:eastAsia="es-ES"/>
              </w:rPr>
            </w:pPr>
            <w:r w:rsidRPr="00CF0DD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072C6A6" w14:textId="77777777" w:rsidR="00660A41" w:rsidRPr="00CF0DDE" w:rsidRDefault="00660A41" w:rsidP="00954CA3">
            <w:pPr>
              <w:rPr>
                <w:rFonts w:ascii="Verdana" w:hAnsi="Verdana"/>
              </w:rPr>
            </w:pPr>
            <w:r w:rsidRPr="00CF0DDE">
              <w:rPr>
                <w:rFonts w:ascii="Verdana" w:eastAsia="Arial" w:hAnsi="Verdana" w:cs="Arial"/>
                <w:sz w:val="16"/>
                <w:szCs w:val="16"/>
              </w:rPr>
              <w:t>Cielo Victoria González Meza</w:t>
            </w:r>
          </w:p>
          <w:p w14:paraId="0E3B993D" w14:textId="77777777" w:rsidR="00660A41" w:rsidRPr="00CF0DDE" w:rsidRDefault="00660A41" w:rsidP="00954CA3">
            <w:pPr>
              <w:pStyle w:val="paragraph"/>
              <w:spacing w:before="0" w:beforeAutospacing="0" w:after="0" w:afterAutospacing="0"/>
              <w:contextualSpacing/>
              <w:textAlignment w:val="baseline"/>
              <w:rPr>
                <w:rFonts w:ascii="Verdana" w:hAnsi="Verdana" w:cs="Segoe UI"/>
                <w:sz w:val="16"/>
                <w:szCs w:val="16"/>
              </w:rPr>
            </w:pPr>
            <w:r w:rsidRPr="00CF0DDE">
              <w:rPr>
                <w:rFonts w:ascii="Verdana" w:eastAsia="Arial" w:hAnsi="Verdana" w:cs="Arial"/>
                <w:sz w:val="16"/>
                <w:szCs w:val="16"/>
              </w:rPr>
              <w:lastRenderedPageBreak/>
              <w:t>Contratista de la Subdirección de Gestión Contractual</w:t>
            </w:r>
          </w:p>
        </w:tc>
      </w:tr>
      <w:tr w:rsidR="00660A41" w:rsidRPr="00CF0DDE" w14:paraId="40B9DFF4" w14:textId="77777777" w:rsidTr="00954CA3">
        <w:trPr>
          <w:trHeight w:val="300"/>
        </w:trPr>
        <w:tc>
          <w:tcPr>
            <w:tcW w:w="893" w:type="dxa"/>
            <w:vAlign w:val="center"/>
          </w:tcPr>
          <w:p w14:paraId="01AD92B0" w14:textId="77777777" w:rsidR="00660A41" w:rsidRPr="00CF0DDE" w:rsidRDefault="00660A41" w:rsidP="00954CA3">
            <w:pPr>
              <w:contextualSpacing/>
              <w:rPr>
                <w:rFonts w:ascii="Verdana" w:hAnsi="Verdana" w:cs="Arial"/>
                <w:sz w:val="16"/>
                <w:szCs w:val="16"/>
                <w:lang w:val="es-ES" w:eastAsia="es-ES"/>
              </w:rPr>
            </w:pPr>
            <w:r w:rsidRPr="00CF0DDE">
              <w:rPr>
                <w:rFonts w:ascii="Verdana" w:hAnsi="Verdana" w:cs="Arial"/>
                <w:sz w:val="16"/>
                <w:szCs w:val="16"/>
                <w:lang w:val="es-ES" w:eastAsia="es-ES"/>
              </w:rPr>
              <w:lastRenderedPageBreak/>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AE113F8" w14:textId="77777777" w:rsidR="00660A41" w:rsidRPr="00CF0DDE" w:rsidRDefault="00660A41" w:rsidP="00954CA3">
            <w:pPr>
              <w:contextualSpacing/>
              <w:rPr>
                <w:rFonts w:ascii="Verdana" w:eastAsia="Calibri" w:hAnsi="Verdana" w:cs="Arial"/>
                <w:sz w:val="16"/>
                <w:szCs w:val="16"/>
                <w:lang w:val="pt-BR" w:eastAsia="es-ES"/>
              </w:rPr>
            </w:pPr>
            <w:r w:rsidRPr="00CF0DDE">
              <w:rPr>
                <w:rFonts w:ascii="Verdana" w:eastAsia="Calibri" w:hAnsi="Verdana" w:cs="Arial"/>
                <w:sz w:val="16"/>
                <w:szCs w:val="16"/>
                <w:lang w:val="pt-BR" w:eastAsia="es-ES"/>
              </w:rPr>
              <w:t>Carolina Quintero Gacharná</w:t>
            </w:r>
          </w:p>
          <w:p w14:paraId="27C80D7B" w14:textId="77777777" w:rsidR="00660A41" w:rsidRPr="00CF0DDE" w:rsidRDefault="00660A41" w:rsidP="00954CA3">
            <w:pPr>
              <w:contextualSpacing/>
              <w:rPr>
                <w:rFonts w:ascii="Verdana" w:eastAsia="Calibri" w:hAnsi="Verdana" w:cs="Arial"/>
                <w:sz w:val="16"/>
                <w:szCs w:val="16"/>
                <w:lang w:val="pt-BR" w:eastAsia="es-ES"/>
              </w:rPr>
            </w:pPr>
            <w:r w:rsidRPr="00CF0DDE">
              <w:rPr>
                <w:rFonts w:ascii="Verdana" w:eastAsia="Calibri" w:hAnsi="Verdana" w:cs="Arial"/>
                <w:sz w:val="16"/>
                <w:szCs w:val="16"/>
                <w:lang w:eastAsia="es-ES"/>
              </w:rPr>
              <w:t>Subdirectora</w:t>
            </w:r>
            <w:r w:rsidRPr="00CF0DDE">
              <w:rPr>
                <w:rFonts w:ascii="Verdana" w:eastAsia="Calibri" w:hAnsi="Verdana" w:cs="Arial"/>
                <w:sz w:val="16"/>
                <w:szCs w:val="16"/>
                <w:lang w:val="pt-BR" w:eastAsia="es-ES"/>
              </w:rPr>
              <w:t xml:space="preserve"> de Gestión Contractual ANCP – CCE</w:t>
            </w:r>
          </w:p>
        </w:tc>
      </w:tr>
    </w:tbl>
    <w:p w14:paraId="7BFFA144" w14:textId="77777777" w:rsidR="002479D0" w:rsidRPr="0044528D" w:rsidRDefault="002479D0" w:rsidP="00E245AB">
      <w:pPr>
        <w:spacing w:after="0"/>
        <w:rPr>
          <w:rFonts w:ascii="Verdana" w:hAnsi="Verdana"/>
        </w:rPr>
      </w:pPr>
    </w:p>
    <w:bookmarkEnd w:id="0"/>
    <w:sectPr w:rsidR="002479D0" w:rsidRPr="0044528D"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93278" w14:textId="77777777" w:rsidR="003A26D1" w:rsidRDefault="003A26D1" w:rsidP="004A1847">
      <w:pPr>
        <w:spacing w:after="0" w:line="240" w:lineRule="auto"/>
      </w:pPr>
      <w:r>
        <w:separator/>
      </w:r>
    </w:p>
  </w:endnote>
  <w:endnote w:type="continuationSeparator" w:id="0">
    <w:p w14:paraId="07815310" w14:textId="77777777" w:rsidR="003A26D1" w:rsidRDefault="003A26D1" w:rsidP="004A1847">
      <w:pPr>
        <w:spacing w:after="0" w:line="240" w:lineRule="auto"/>
      </w:pPr>
      <w:r>
        <w:continuationSeparator/>
      </w:r>
    </w:p>
  </w:endnote>
  <w:endnote w:type="continuationNotice" w:id="1">
    <w:p w14:paraId="782C4C1F" w14:textId="77777777" w:rsidR="000D700A" w:rsidRDefault="000D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C7B2" w14:textId="77777777" w:rsidR="003A26D1" w:rsidRDefault="003A26D1" w:rsidP="004A1847">
      <w:pPr>
        <w:spacing w:after="0" w:line="240" w:lineRule="auto"/>
      </w:pPr>
      <w:r>
        <w:separator/>
      </w:r>
    </w:p>
  </w:footnote>
  <w:footnote w:type="continuationSeparator" w:id="0">
    <w:p w14:paraId="28BE2236" w14:textId="77777777" w:rsidR="003A26D1" w:rsidRDefault="003A26D1" w:rsidP="004A1847">
      <w:pPr>
        <w:spacing w:after="0" w:line="240" w:lineRule="auto"/>
      </w:pPr>
      <w:r>
        <w:continuationSeparator/>
      </w:r>
    </w:p>
  </w:footnote>
  <w:footnote w:type="continuationNotice" w:id="1">
    <w:p w14:paraId="041D5D10" w14:textId="77777777" w:rsidR="000D700A" w:rsidRDefault="000D700A">
      <w:pPr>
        <w:spacing w:after="0" w:line="240" w:lineRule="auto"/>
      </w:pPr>
    </w:p>
  </w:footnote>
  <w:footnote w:id="2">
    <w:p w14:paraId="6D3C09D8" w14:textId="77777777" w:rsidR="00660A41" w:rsidRPr="008D306C" w:rsidRDefault="00660A41" w:rsidP="00660A41">
      <w:pPr>
        <w:pStyle w:val="Textonotapie"/>
        <w:ind w:firstLine="709"/>
        <w:jc w:val="both"/>
        <w:rPr>
          <w:rFonts w:ascii="Verdana" w:hAnsi="Verdana" w:cs="Arial"/>
          <w:color w:val="000000" w:themeColor="text1"/>
          <w:sz w:val="16"/>
          <w:szCs w:val="16"/>
        </w:rPr>
      </w:pPr>
      <w:r w:rsidRPr="008D306C">
        <w:rPr>
          <w:rStyle w:val="Refdenotaalpie"/>
          <w:rFonts w:ascii="Verdana" w:hAnsi="Verdana" w:cs="Arial"/>
          <w:color w:val="000000" w:themeColor="text1"/>
          <w:sz w:val="16"/>
          <w:szCs w:val="16"/>
        </w:rPr>
        <w:footnoteRef/>
      </w:r>
      <w:r w:rsidRPr="008D306C">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 dictados por la Agencia Nacional de Contratación Pública – Colombia Compra Eficiente.</w:t>
      </w:r>
    </w:p>
    <w:p w14:paraId="3352A446" w14:textId="77777777" w:rsidR="00660A41" w:rsidRPr="008D306C" w:rsidRDefault="00660A41" w:rsidP="00660A41">
      <w:pPr>
        <w:pStyle w:val="Textonotapie"/>
        <w:ind w:firstLine="709"/>
        <w:jc w:val="both"/>
        <w:rPr>
          <w:rFonts w:ascii="Verdana" w:hAnsi="Verdana" w:cs="Arial"/>
          <w:color w:val="000000" w:themeColor="text1"/>
          <w:sz w:val="16"/>
          <w:szCs w:val="16"/>
          <w:lang w:val="es-ES"/>
        </w:rPr>
      </w:pPr>
    </w:p>
  </w:footnote>
  <w:footnote w:id="3">
    <w:p w14:paraId="0474CE33" w14:textId="77777777" w:rsidR="00660A41" w:rsidRPr="008D306C" w:rsidRDefault="00660A41" w:rsidP="00660A41">
      <w:pPr>
        <w:pStyle w:val="Textonotapie"/>
        <w:ind w:firstLine="709"/>
        <w:jc w:val="both"/>
        <w:rPr>
          <w:rFonts w:ascii="Verdana" w:hAnsi="Verdana" w:cs="Arial"/>
          <w:color w:val="000000" w:themeColor="text1"/>
          <w:sz w:val="16"/>
          <w:szCs w:val="16"/>
        </w:rPr>
      </w:pPr>
      <w:r w:rsidRPr="008D306C">
        <w:rPr>
          <w:rStyle w:val="Refdenotaalpie"/>
          <w:rFonts w:ascii="Verdana" w:hAnsi="Verdana" w:cs="Arial"/>
          <w:color w:val="000000" w:themeColor="text1"/>
          <w:sz w:val="16"/>
          <w:szCs w:val="16"/>
        </w:rPr>
        <w:footnoteRef/>
      </w:r>
      <w:r w:rsidRPr="008D306C">
        <w:rPr>
          <w:rFonts w:ascii="Verdana" w:hAnsi="Verdana" w:cs="Arial"/>
          <w:color w:val="000000" w:themeColor="text1"/>
          <w:sz w:val="16"/>
          <w:szCs w:val="16"/>
        </w:rPr>
        <w:t xml:space="preserve"> Al respecto, la Ley 489 de 1998 dispone que “Artículo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01739EC" w14:textId="77777777" w:rsidR="00660A41" w:rsidRPr="008D306C" w:rsidRDefault="00660A41" w:rsidP="00660A41">
      <w:pPr>
        <w:pStyle w:val="Textonotapie"/>
        <w:ind w:firstLine="709"/>
        <w:jc w:val="both"/>
        <w:rPr>
          <w:rFonts w:ascii="Verdana" w:hAnsi="Verdana" w:cs="Arial"/>
          <w:color w:val="000000" w:themeColor="text1"/>
          <w:sz w:val="16"/>
          <w:szCs w:val="16"/>
        </w:rPr>
      </w:pPr>
    </w:p>
    <w:p w14:paraId="6615B978" w14:textId="77777777" w:rsidR="00660A41" w:rsidRPr="008D306C" w:rsidRDefault="00660A41" w:rsidP="00660A41">
      <w:pPr>
        <w:pStyle w:val="Textonotapie"/>
        <w:ind w:firstLine="709"/>
        <w:jc w:val="both"/>
        <w:rPr>
          <w:rFonts w:ascii="Verdana" w:hAnsi="Verdana" w:cs="Arial"/>
          <w:color w:val="000000" w:themeColor="text1"/>
          <w:sz w:val="16"/>
          <w:szCs w:val="16"/>
        </w:rPr>
      </w:pPr>
      <w:r w:rsidRPr="008D306C">
        <w:rPr>
          <w:rFonts w:ascii="Verdana" w:hAnsi="Verdana" w:cs="Arial"/>
          <w:color w:val="000000" w:themeColor="text1"/>
          <w:sz w:val="16"/>
          <w:szCs w:val="16"/>
        </w:rPr>
        <w:t xml:space="preserve">Los convenios de asociación a que se refiere el presente artículo </w:t>
      </w:r>
      <w:bookmarkStart w:id="5" w:name="_Hlk36023315"/>
      <w:r w:rsidRPr="008D306C">
        <w:rPr>
          <w:rFonts w:ascii="Verdana" w:hAnsi="Verdana" w:cs="Arial"/>
          <w:color w:val="000000" w:themeColor="text1"/>
          <w:sz w:val="16"/>
          <w:szCs w:val="16"/>
        </w:rPr>
        <w:t>se celebrarán de conformidad con lo dispuesto en el artículo 355 de la Constitución Política</w:t>
      </w:r>
      <w:bookmarkEnd w:id="5"/>
      <w:r w:rsidRPr="008D306C">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p w14:paraId="6A792D46" w14:textId="77777777" w:rsidR="00660A41" w:rsidRPr="008D306C" w:rsidRDefault="00660A41" w:rsidP="00660A41">
      <w:pPr>
        <w:pStyle w:val="Textonotapie"/>
        <w:ind w:firstLine="709"/>
        <w:jc w:val="both"/>
        <w:rPr>
          <w:rFonts w:ascii="Verdana" w:hAnsi="Verdana" w:cs="Arial"/>
          <w:color w:val="000000" w:themeColor="text1"/>
          <w:sz w:val="16"/>
          <w:szCs w:val="16"/>
          <w:lang w:val="es-ES"/>
        </w:rPr>
      </w:pPr>
      <w:r w:rsidRPr="008D306C">
        <w:rPr>
          <w:rFonts w:ascii="Verdana" w:hAnsi="Verdana" w:cs="Arial"/>
          <w:color w:val="000000" w:themeColor="text1"/>
          <w:sz w:val="16"/>
          <w:szCs w:val="16"/>
        </w:rPr>
        <w:t xml:space="preserve"> </w:t>
      </w:r>
    </w:p>
  </w:footnote>
  <w:footnote w:id="4">
    <w:p w14:paraId="45CAB9DC" w14:textId="77777777" w:rsidR="00660A41" w:rsidRPr="008D306C" w:rsidRDefault="00660A41" w:rsidP="00660A41">
      <w:pPr>
        <w:pStyle w:val="Textonotapie"/>
        <w:ind w:firstLine="708"/>
        <w:jc w:val="both"/>
        <w:rPr>
          <w:rFonts w:ascii="Verdana" w:hAnsi="Verdana" w:cs="Arial"/>
          <w:color w:val="000000"/>
          <w:sz w:val="16"/>
          <w:szCs w:val="16"/>
        </w:rPr>
      </w:pPr>
      <w:r w:rsidRPr="008D306C">
        <w:rPr>
          <w:rStyle w:val="Refdenotaalpie"/>
          <w:rFonts w:ascii="Verdana" w:hAnsi="Verdana" w:cs="Arial"/>
          <w:color w:val="000000"/>
          <w:sz w:val="16"/>
          <w:szCs w:val="16"/>
        </w:rPr>
        <w:footnoteRef/>
      </w:r>
      <w:r w:rsidRPr="008D306C">
        <w:rPr>
          <w:rFonts w:ascii="Verdana" w:hAnsi="Verdana" w:cs="Arial"/>
          <w:color w:val="000000"/>
          <w:sz w:val="16"/>
          <w:szCs w:val="16"/>
        </w:rPr>
        <w:t xml:space="preserve"> En el concepto emitido el 5 de febrero de 2019 por la Agencia Nacional de Contratación Pública – Colombia Compra Eficiente, dentro del radicado No. 2201913000000663, se dijo: “[l]os convenios de asociación del artículo 5 son distintos a los contratos de colaboración del artículo 2 del Decreto 092 de 2017”.</w:t>
      </w:r>
    </w:p>
    <w:p w14:paraId="0D490830" w14:textId="77777777" w:rsidR="00660A41" w:rsidRPr="008D306C" w:rsidRDefault="00660A41" w:rsidP="00660A41">
      <w:pPr>
        <w:pStyle w:val="Textonotapie"/>
        <w:ind w:firstLine="708"/>
        <w:jc w:val="both"/>
        <w:rPr>
          <w:rFonts w:ascii="Verdana" w:hAnsi="Verdana" w:cs="Arial"/>
          <w:color w:val="000000"/>
          <w:sz w:val="16"/>
          <w:szCs w:val="16"/>
        </w:rPr>
      </w:pPr>
    </w:p>
  </w:footnote>
  <w:footnote w:id="5">
    <w:p w14:paraId="45CBD60E" w14:textId="77777777" w:rsidR="00660A41" w:rsidRPr="008D306C" w:rsidRDefault="00660A41" w:rsidP="00660A41">
      <w:pPr>
        <w:pStyle w:val="Textonotapie"/>
        <w:ind w:firstLine="709"/>
        <w:jc w:val="both"/>
        <w:rPr>
          <w:rFonts w:ascii="Verdana" w:hAnsi="Verdana" w:cs="Arial"/>
          <w:color w:val="000000" w:themeColor="text1"/>
          <w:sz w:val="16"/>
          <w:szCs w:val="16"/>
        </w:rPr>
      </w:pPr>
      <w:r w:rsidRPr="008D306C">
        <w:rPr>
          <w:rStyle w:val="Refdenotaalpie"/>
          <w:rFonts w:ascii="Verdana" w:hAnsi="Verdana" w:cs="Arial"/>
          <w:color w:val="000000" w:themeColor="text1"/>
          <w:sz w:val="16"/>
          <w:szCs w:val="16"/>
        </w:rPr>
        <w:footnoteRef/>
      </w:r>
      <w:r w:rsidRPr="008D306C">
        <w:rPr>
          <w:rFonts w:ascii="Verdana" w:hAnsi="Verdana" w:cs="Arial"/>
          <w:color w:val="000000" w:themeColor="text1"/>
          <w:sz w:val="16"/>
          <w:szCs w:val="16"/>
        </w:rPr>
        <w:t xml:space="preserve"> Agencia Nacional de Contratación Pública – Colombia Compra Eficiente. Concepto del 3 de septiembre de 2019, con radicado No. 2201913000006512.</w:t>
      </w:r>
    </w:p>
    <w:p w14:paraId="37DFAEE7" w14:textId="77777777" w:rsidR="00660A41" w:rsidRPr="008D306C" w:rsidRDefault="00660A41" w:rsidP="00660A41">
      <w:pPr>
        <w:pStyle w:val="Textonotapie"/>
        <w:ind w:firstLine="709"/>
        <w:jc w:val="both"/>
        <w:rPr>
          <w:rFonts w:ascii="Verdana" w:hAnsi="Verdana" w:cs="Arial"/>
          <w:color w:val="000000" w:themeColor="text1"/>
          <w:sz w:val="16"/>
          <w:szCs w:val="16"/>
        </w:rPr>
      </w:pPr>
    </w:p>
  </w:footnote>
  <w:footnote w:id="6">
    <w:p w14:paraId="1B45A944" w14:textId="77777777" w:rsidR="00660A41" w:rsidRPr="008D306C" w:rsidRDefault="00660A41" w:rsidP="00660A41">
      <w:pPr>
        <w:pStyle w:val="Textonotapie"/>
        <w:ind w:firstLine="708"/>
        <w:jc w:val="both"/>
        <w:rPr>
          <w:rFonts w:ascii="Verdana" w:hAnsi="Verdana" w:cs="Arial"/>
          <w:color w:val="000000"/>
          <w:sz w:val="16"/>
          <w:szCs w:val="16"/>
        </w:rPr>
      </w:pPr>
      <w:r w:rsidRPr="008D306C">
        <w:rPr>
          <w:rStyle w:val="Refdenotaalpie"/>
          <w:rFonts w:ascii="Verdana" w:hAnsi="Verdana" w:cs="Arial"/>
          <w:color w:val="000000"/>
          <w:sz w:val="16"/>
          <w:szCs w:val="16"/>
        </w:rPr>
        <w:footnoteRef/>
      </w:r>
      <w:r w:rsidRPr="008D306C">
        <w:rPr>
          <w:rFonts w:ascii="Verdana" w:hAnsi="Verdana" w:cs="Arial"/>
          <w:color w:val="000000"/>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A7B44E8" w14:textId="77777777" w:rsidR="00660A41" w:rsidRPr="008D306C" w:rsidRDefault="00660A41" w:rsidP="00660A41">
      <w:pPr>
        <w:pStyle w:val="Textonotapie"/>
        <w:ind w:firstLine="708"/>
        <w:jc w:val="both"/>
        <w:rPr>
          <w:rFonts w:ascii="Verdana" w:hAnsi="Verdana" w:cs="Arial"/>
          <w:color w:val="000000"/>
          <w:sz w:val="16"/>
          <w:szCs w:val="16"/>
        </w:rPr>
      </w:pPr>
    </w:p>
  </w:footnote>
  <w:footnote w:id="7">
    <w:p w14:paraId="460F62C1" w14:textId="77777777" w:rsidR="00660A41" w:rsidRPr="008D306C" w:rsidRDefault="00660A41" w:rsidP="00660A41">
      <w:pPr>
        <w:pStyle w:val="Textonotapie"/>
        <w:ind w:firstLine="708"/>
        <w:jc w:val="both"/>
        <w:rPr>
          <w:rFonts w:ascii="Verdana" w:hAnsi="Verdana" w:cs="Arial"/>
          <w:sz w:val="16"/>
          <w:szCs w:val="16"/>
        </w:rPr>
      </w:pPr>
      <w:r w:rsidRPr="008D306C">
        <w:rPr>
          <w:rStyle w:val="Refdenotaalpie"/>
          <w:rFonts w:ascii="Verdana" w:hAnsi="Verdana" w:cs="Arial"/>
          <w:sz w:val="16"/>
          <w:szCs w:val="16"/>
        </w:rPr>
        <w:footnoteRef/>
      </w:r>
      <w:r w:rsidRPr="008D306C">
        <w:rPr>
          <w:rFonts w:ascii="Verdana" w:hAnsi="Verdana" w:cs="Arial"/>
          <w:sz w:val="16"/>
          <w:szCs w:val="16"/>
        </w:rPr>
        <w:t xml:space="preserve"> RODRÍGUEZ TAMAYO, Mauricio. Contratación pública con Entidades sin ánimo de lucro. Bogotá: Legis Editores, 2017. Página 28. </w:t>
      </w:r>
    </w:p>
    <w:p w14:paraId="574C6439" w14:textId="77777777" w:rsidR="00660A41" w:rsidRPr="008D306C" w:rsidRDefault="00660A41" w:rsidP="00660A41">
      <w:pPr>
        <w:pStyle w:val="Textonotapie"/>
        <w:ind w:firstLine="708"/>
        <w:jc w:val="both"/>
        <w:rPr>
          <w:rFonts w:ascii="Verdana" w:hAnsi="Verdana" w:cs="Arial"/>
          <w:sz w:val="16"/>
          <w:szCs w:val="16"/>
        </w:rPr>
      </w:pPr>
    </w:p>
  </w:footnote>
  <w:footnote w:id="8">
    <w:p w14:paraId="28ADBDF1" w14:textId="77777777" w:rsidR="00660A41" w:rsidRPr="008D306C" w:rsidRDefault="00660A41" w:rsidP="00660A41">
      <w:pPr>
        <w:pStyle w:val="Textonotapie"/>
        <w:ind w:firstLine="708"/>
        <w:rPr>
          <w:rFonts w:ascii="Verdana" w:hAnsi="Verdana"/>
          <w:sz w:val="16"/>
          <w:szCs w:val="16"/>
        </w:rPr>
      </w:pPr>
      <w:r w:rsidRPr="008D306C">
        <w:rPr>
          <w:rStyle w:val="Refdenotaalpie"/>
          <w:rFonts w:ascii="Verdana" w:hAnsi="Verdana"/>
          <w:sz w:val="16"/>
          <w:szCs w:val="16"/>
        </w:rPr>
        <w:footnoteRef/>
      </w:r>
      <w:r w:rsidRPr="008D306C">
        <w:rPr>
          <w:rFonts w:ascii="Verdana" w:hAnsi="Verdana"/>
          <w:sz w:val="16"/>
          <w:szCs w:val="16"/>
        </w:rPr>
        <w:t xml:space="preserve"> Agencia Nacional de Contratación Pública – Colombia Compra Eficiente. Concepto C-560 del 7 de septiembre de 2022.</w:t>
      </w:r>
    </w:p>
    <w:p w14:paraId="2C5C9B39" w14:textId="77777777" w:rsidR="00660A41" w:rsidRPr="008D306C" w:rsidRDefault="00660A41" w:rsidP="00660A41">
      <w:pPr>
        <w:pStyle w:val="Textonotapie"/>
        <w:ind w:firstLine="708"/>
        <w:rPr>
          <w:rFonts w:ascii="Verdana" w:hAnsi="Verdana"/>
          <w:sz w:val="16"/>
          <w:szCs w:val="16"/>
        </w:rPr>
      </w:pPr>
    </w:p>
  </w:footnote>
  <w:footnote w:id="9">
    <w:p w14:paraId="77BB96EC" w14:textId="314EF4DE" w:rsidR="00660A41" w:rsidRPr="008D306C" w:rsidRDefault="00660A41" w:rsidP="00660A41">
      <w:pPr>
        <w:spacing w:after="0" w:line="240" w:lineRule="auto"/>
        <w:ind w:firstLine="708"/>
        <w:jc w:val="both"/>
        <w:rPr>
          <w:rFonts w:ascii="Verdana" w:hAnsi="Verdana" w:cs="Arial"/>
          <w:sz w:val="16"/>
          <w:szCs w:val="16"/>
        </w:rPr>
      </w:pPr>
      <w:r w:rsidRPr="008D306C">
        <w:rPr>
          <w:rStyle w:val="Refdenotaalpie"/>
          <w:rFonts w:ascii="Verdana" w:hAnsi="Verdana"/>
          <w:sz w:val="16"/>
          <w:szCs w:val="16"/>
        </w:rPr>
        <w:footnoteRef/>
      </w:r>
      <w:r w:rsidRPr="008D306C">
        <w:rPr>
          <w:rFonts w:ascii="Verdana" w:hAnsi="Verdana"/>
          <w:sz w:val="16"/>
          <w:szCs w:val="16"/>
        </w:rPr>
        <w:t xml:space="preserve"> </w:t>
      </w:r>
      <w:r w:rsidRPr="008D306C">
        <w:rPr>
          <w:rFonts w:ascii="Verdana" w:hAnsi="Verdana" w:cs="Arial"/>
          <w:sz w:val="16"/>
          <w:szCs w:val="16"/>
        </w:rPr>
        <w:t xml:space="preserve">Decreto 1082 de 2015. </w:t>
      </w:r>
      <w:r w:rsidR="00B349D4" w:rsidRPr="008D306C">
        <w:rPr>
          <w:rFonts w:ascii="Verdana" w:hAnsi="Verdana" w:cs="Arial"/>
          <w:sz w:val="16"/>
          <w:szCs w:val="16"/>
        </w:rPr>
        <w:t>“</w:t>
      </w:r>
      <w:r w:rsidRPr="008D306C">
        <w:rPr>
          <w:rFonts w:ascii="Verdana" w:hAnsi="Verdana" w:cs="Arial"/>
          <w:sz w:val="16"/>
          <w:szCs w:val="16"/>
        </w:rPr>
        <w:t xml:space="preserve">Artículo 2.2.1.2.1.4.1. </w:t>
      </w:r>
      <w:r w:rsidRPr="008D306C">
        <w:rPr>
          <w:rFonts w:ascii="Verdana" w:hAnsi="Verdana" w:cs="Arial"/>
          <w:b/>
          <w:bCs/>
          <w:sz w:val="16"/>
          <w:szCs w:val="16"/>
        </w:rPr>
        <w:t>Acto administrativo de justificación de la contratación directa.</w:t>
      </w:r>
      <w:r w:rsidR="00B349D4" w:rsidRPr="008D306C">
        <w:rPr>
          <w:rFonts w:ascii="Verdana" w:hAnsi="Verdana" w:cs="Arial"/>
          <w:sz w:val="16"/>
          <w:szCs w:val="16"/>
        </w:rPr>
        <w:t xml:space="preserve"> </w:t>
      </w:r>
      <w:r w:rsidRPr="008D306C">
        <w:rPr>
          <w:rFonts w:ascii="Verdana" w:hAnsi="Verdana" w:cs="Arial"/>
          <w:sz w:val="16"/>
          <w:szCs w:val="16"/>
        </w:rPr>
        <w:t>La Entidad Estatal debe señalar en un acto administrativo la justificación para contratar bajo la modalidad de contratación directa, el cual debe contener:</w:t>
      </w:r>
    </w:p>
    <w:p w14:paraId="7299C4EE" w14:textId="77777777" w:rsidR="00660A41" w:rsidRPr="008D306C" w:rsidRDefault="00660A41" w:rsidP="00660A41">
      <w:pPr>
        <w:spacing w:after="0" w:line="240" w:lineRule="auto"/>
        <w:ind w:firstLine="708"/>
        <w:jc w:val="both"/>
        <w:rPr>
          <w:rFonts w:ascii="Verdana" w:hAnsi="Verdana" w:cs="Arial"/>
          <w:sz w:val="16"/>
          <w:szCs w:val="16"/>
        </w:rPr>
      </w:pPr>
      <w:bookmarkStart w:id="18" w:name="2.2.1.2.1.4.1.1"/>
      <w:bookmarkEnd w:id="18"/>
      <w:r w:rsidRPr="008D306C">
        <w:rPr>
          <w:rFonts w:ascii="Verdana" w:hAnsi="Verdana" w:cs="Arial"/>
          <w:sz w:val="16"/>
          <w:szCs w:val="16"/>
        </w:rPr>
        <w:t>1. La causal que invoca para contratar directamente.</w:t>
      </w:r>
    </w:p>
    <w:p w14:paraId="1024DF91" w14:textId="77777777" w:rsidR="00660A41" w:rsidRPr="008D306C" w:rsidRDefault="00660A41" w:rsidP="00660A41">
      <w:pPr>
        <w:spacing w:after="0" w:line="240" w:lineRule="auto"/>
        <w:ind w:firstLine="708"/>
        <w:jc w:val="both"/>
        <w:rPr>
          <w:rFonts w:ascii="Verdana" w:hAnsi="Verdana" w:cs="Arial"/>
          <w:sz w:val="16"/>
          <w:szCs w:val="16"/>
        </w:rPr>
      </w:pPr>
      <w:bookmarkStart w:id="19" w:name="2.2.1.2.1.4.1.2"/>
      <w:bookmarkEnd w:id="19"/>
      <w:r w:rsidRPr="008D306C">
        <w:rPr>
          <w:rFonts w:ascii="Verdana" w:hAnsi="Verdana" w:cs="Arial"/>
          <w:sz w:val="16"/>
          <w:szCs w:val="16"/>
        </w:rPr>
        <w:t>2. El objeto del contrato.</w:t>
      </w:r>
    </w:p>
    <w:p w14:paraId="71A16FF3" w14:textId="77777777" w:rsidR="00660A41" w:rsidRPr="008D306C" w:rsidRDefault="00660A41" w:rsidP="00660A41">
      <w:pPr>
        <w:spacing w:after="0" w:line="240" w:lineRule="auto"/>
        <w:ind w:firstLine="708"/>
        <w:jc w:val="both"/>
        <w:rPr>
          <w:rFonts w:ascii="Verdana" w:hAnsi="Verdana" w:cs="Arial"/>
          <w:sz w:val="16"/>
          <w:szCs w:val="16"/>
        </w:rPr>
      </w:pPr>
      <w:bookmarkStart w:id="20" w:name="2.2.1.2.1.4.1.3"/>
      <w:bookmarkEnd w:id="20"/>
      <w:r w:rsidRPr="008D306C">
        <w:rPr>
          <w:rFonts w:ascii="Verdana" w:hAnsi="Verdana" w:cs="Arial"/>
          <w:sz w:val="16"/>
          <w:szCs w:val="16"/>
        </w:rPr>
        <w:t>3. El presupuesto para la contratación y las condiciones que exigirá al contratista.</w:t>
      </w:r>
    </w:p>
    <w:p w14:paraId="5950B8E8" w14:textId="36A12433" w:rsidR="00660A41" w:rsidRPr="008D306C" w:rsidRDefault="00660A41" w:rsidP="00660A41">
      <w:pPr>
        <w:spacing w:after="0" w:line="240" w:lineRule="auto"/>
        <w:ind w:firstLine="708"/>
        <w:jc w:val="both"/>
        <w:rPr>
          <w:rFonts w:ascii="Verdana" w:hAnsi="Verdana" w:cs="Arial"/>
          <w:sz w:val="16"/>
          <w:szCs w:val="16"/>
        </w:rPr>
      </w:pPr>
      <w:bookmarkStart w:id="21" w:name="2.2.1.2.1.4.1.4"/>
      <w:bookmarkEnd w:id="21"/>
      <w:r w:rsidRPr="008D306C">
        <w:rPr>
          <w:rFonts w:ascii="Verdana" w:hAnsi="Verdana" w:cs="Arial"/>
          <w:sz w:val="16"/>
          <w:szCs w:val="16"/>
        </w:rPr>
        <w:t>4. El lugar en el cual los interesados pueden consultar los estudios y documentos previos. Este acto administrativo no es necesario cuando el contrato a celebrar es de prestación de servicios profesionales y de apoyo a la gestión, y para los contratos de que tratan los literales (a) y (b) del artículo 2.2.1.2.1.4.3 del presente decreto</w:t>
      </w:r>
      <w:r w:rsidR="00B349D4" w:rsidRPr="008D306C">
        <w:rPr>
          <w:rFonts w:ascii="Verdana" w:hAnsi="Verdana" w:cs="Arial"/>
          <w:sz w:val="16"/>
          <w:szCs w:val="16"/>
        </w:rPr>
        <w:t>”</w:t>
      </w:r>
      <w:r w:rsidRPr="008D306C">
        <w:rPr>
          <w:rFonts w:ascii="Verdana" w:hAnsi="Verdana" w:cs="Arial"/>
          <w:sz w:val="16"/>
          <w:szCs w:val="16"/>
        </w:rPr>
        <w:t>.</w:t>
      </w:r>
    </w:p>
    <w:p w14:paraId="08D29166" w14:textId="77777777" w:rsidR="00660A41" w:rsidRPr="008D306C" w:rsidRDefault="00660A41" w:rsidP="00660A41">
      <w:pPr>
        <w:pStyle w:val="Textonotapie"/>
        <w:rPr>
          <w:rFonts w:ascii="Verdana" w:hAnsi="Verdana"/>
          <w:sz w:val="16"/>
          <w:szCs w:val="16"/>
          <w:lang w:val="es-CO"/>
        </w:rPr>
      </w:pPr>
    </w:p>
  </w:footnote>
  <w:footnote w:id="10">
    <w:p w14:paraId="1120A5DD" w14:textId="77777777" w:rsidR="00660A41" w:rsidRPr="008D306C" w:rsidRDefault="00660A41" w:rsidP="00660A41">
      <w:pPr>
        <w:pStyle w:val="Textonotapie"/>
        <w:ind w:firstLine="708"/>
        <w:jc w:val="both"/>
        <w:rPr>
          <w:rFonts w:ascii="Verdana" w:hAnsi="Verdana" w:cs="Arial"/>
          <w:sz w:val="16"/>
          <w:szCs w:val="16"/>
        </w:rPr>
      </w:pPr>
      <w:r w:rsidRPr="008D306C">
        <w:rPr>
          <w:rStyle w:val="Refdenotaalpie"/>
          <w:rFonts w:ascii="Verdana" w:hAnsi="Verdana"/>
          <w:sz w:val="16"/>
          <w:szCs w:val="16"/>
        </w:rPr>
        <w:footnoteRef/>
      </w:r>
      <w:r w:rsidRPr="008D306C">
        <w:rPr>
          <w:rFonts w:ascii="Verdana" w:hAnsi="Verdana"/>
          <w:sz w:val="16"/>
          <w:szCs w:val="16"/>
        </w:rPr>
        <w:t xml:space="preserve"> </w:t>
      </w:r>
      <w:r w:rsidRPr="008D306C">
        <w:rPr>
          <w:rFonts w:ascii="Verdana" w:hAnsi="Verdana" w:cs="Arial"/>
          <w:sz w:val="16"/>
          <w:szCs w:val="16"/>
        </w:rPr>
        <w:t xml:space="preserve">RODRÍGUEZ TAMAYO, Mauricio. Contratación pública con Entidades sin ánimo de lucro. Bogotá: Legis Editores, 2017. Página 25. </w:t>
      </w:r>
    </w:p>
    <w:p w14:paraId="2C87BE6B" w14:textId="77777777" w:rsidR="00660A41" w:rsidRPr="008D306C" w:rsidRDefault="00660A41" w:rsidP="00660A41">
      <w:pPr>
        <w:pStyle w:val="Textonotapie"/>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5pt;height:11.5pt" o:bullet="t">
        <v:imagedata r:id="rId1" o:title="mso1B13"/>
      </v:shape>
    </w:pict>
  </w:numPicBullet>
  <w:abstractNum w:abstractNumId="0" w15:restartNumberingAfterBreak="0">
    <w:nsid w:val="01C06310"/>
    <w:multiLevelType w:val="multilevel"/>
    <w:tmpl w:val="3F121C2C"/>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46F6E"/>
    <w:multiLevelType w:val="hybridMultilevel"/>
    <w:tmpl w:val="6302B2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E9844E6"/>
    <w:multiLevelType w:val="hybridMultilevel"/>
    <w:tmpl w:val="E25A2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1330140246">
    <w:abstractNumId w:val="0"/>
  </w:num>
  <w:num w:numId="17" w16cid:durableId="1903329049">
    <w:abstractNumId w:val="9"/>
  </w:num>
  <w:num w:numId="18" w16cid:durableId="456876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D700A"/>
    <w:rsid w:val="000F6486"/>
    <w:rsid w:val="00125105"/>
    <w:rsid w:val="0012521E"/>
    <w:rsid w:val="00127233"/>
    <w:rsid w:val="00194EF8"/>
    <w:rsid w:val="001B2001"/>
    <w:rsid w:val="001E4177"/>
    <w:rsid w:val="001F7DC6"/>
    <w:rsid w:val="002421BB"/>
    <w:rsid w:val="002479D0"/>
    <w:rsid w:val="0025796E"/>
    <w:rsid w:val="00267F7E"/>
    <w:rsid w:val="002707A2"/>
    <w:rsid w:val="002951A0"/>
    <w:rsid w:val="002962BC"/>
    <w:rsid w:val="002A093D"/>
    <w:rsid w:val="002A0DD0"/>
    <w:rsid w:val="002A49AC"/>
    <w:rsid w:val="002A64FD"/>
    <w:rsid w:val="002C7A84"/>
    <w:rsid w:val="002D36E0"/>
    <w:rsid w:val="002E4FD9"/>
    <w:rsid w:val="003010AC"/>
    <w:rsid w:val="00313E67"/>
    <w:rsid w:val="00322A85"/>
    <w:rsid w:val="00324168"/>
    <w:rsid w:val="003448F4"/>
    <w:rsid w:val="003460E8"/>
    <w:rsid w:val="00370D84"/>
    <w:rsid w:val="00374F5E"/>
    <w:rsid w:val="00377E3E"/>
    <w:rsid w:val="003A26D1"/>
    <w:rsid w:val="003A779E"/>
    <w:rsid w:val="003D0F4D"/>
    <w:rsid w:val="003D5B0D"/>
    <w:rsid w:val="003E0499"/>
    <w:rsid w:val="003E6DEA"/>
    <w:rsid w:val="003F3941"/>
    <w:rsid w:val="00406575"/>
    <w:rsid w:val="0042722E"/>
    <w:rsid w:val="0044528D"/>
    <w:rsid w:val="0045239D"/>
    <w:rsid w:val="004770E3"/>
    <w:rsid w:val="004A1847"/>
    <w:rsid w:val="004A305D"/>
    <w:rsid w:val="004B56B7"/>
    <w:rsid w:val="004F21C4"/>
    <w:rsid w:val="004F685F"/>
    <w:rsid w:val="005566E8"/>
    <w:rsid w:val="00574867"/>
    <w:rsid w:val="00576197"/>
    <w:rsid w:val="00591460"/>
    <w:rsid w:val="00592628"/>
    <w:rsid w:val="005C3777"/>
    <w:rsid w:val="005C5CDC"/>
    <w:rsid w:val="005C7C58"/>
    <w:rsid w:val="005D476C"/>
    <w:rsid w:val="005E73B3"/>
    <w:rsid w:val="00610812"/>
    <w:rsid w:val="006219F8"/>
    <w:rsid w:val="00644DA9"/>
    <w:rsid w:val="00650FF7"/>
    <w:rsid w:val="00660A41"/>
    <w:rsid w:val="00665D70"/>
    <w:rsid w:val="00671DAC"/>
    <w:rsid w:val="006900D9"/>
    <w:rsid w:val="006D12F8"/>
    <w:rsid w:val="006D1671"/>
    <w:rsid w:val="006D5DDD"/>
    <w:rsid w:val="00706C16"/>
    <w:rsid w:val="00746393"/>
    <w:rsid w:val="00756841"/>
    <w:rsid w:val="007649AB"/>
    <w:rsid w:val="00771D0C"/>
    <w:rsid w:val="007833AC"/>
    <w:rsid w:val="007B268C"/>
    <w:rsid w:val="007B7171"/>
    <w:rsid w:val="007C0C0F"/>
    <w:rsid w:val="007C3DC2"/>
    <w:rsid w:val="007D2BD2"/>
    <w:rsid w:val="007E5497"/>
    <w:rsid w:val="00806F5F"/>
    <w:rsid w:val="00820278"/>
    <w:rsid w:val="00850D35"/>
    <w:rsid w:val="008843B6"/>
    <w:rsid w:val="00891928"/>
    <w:rsid w:val="008A446D"/>
    <w:rsid w:val="008A6569"/>
    <w:rsid w:val="008C7D85"/>
    <w:rsid w:val="008D180B"/>
    <w:rsid w:val="008D306C"/>
    <w:rsid w:val="008F0EA7"/>
    <w:rsid w:val="00923EEF"/>
    <w:rsid w:val="009419F9"/>
    <w:rsid w:val="00956606"/>
    <w:rsid w:val="0095685E"/>
    <w:rsid w:val="00961B09"/>
    <w:rsid w:val="00965334"/>
    <w:rsid w:val="0097093E"/>
    <w:rsid w:val="009A0DFA"/>
    <w:rsid w:val="009B2D26"/>
    <w:rsid w:val="009C5AA9"/>
    <w:rsid w:val="009C71FA"/>
    <w:rsid w:val="009C72E7"/>
    <w:rsid w:val="009D3058"/>
    <w:rsid w:val="009F3A13"/>
    <w:rsid w:val="00A122D3"/>
    <w:rsid w:val="00A17F13"/>
    <w:rsid w:val="00A20739"/>
    <w:rsid w:val="00A33C78"/>
    <w:rsid w:val="00AB0ADB"/>
    <w:rsid w:val="00AE103F"/>
    <w:rsid w:val="00B01B1A"/>
    <w:rsid w:val="00B349D4"/>
    <w:rsid w:val="00B72CD3"/>
    <w:rsid w:val="00B72FFF"/>
    <w:rsid w:val="00BC3D36"/>
    <w:rsid w:val="00BD7F72"/>
    <w:rsid w:val="00C04FB3"/>
    <w:rsid w:val="00C11615"/>
    <w:rsid w:val="00C170B1"/>
    <w:rsid w:val="00C330EB"/>
    <w:rsid w:val="00C754BE"/>
    <w:rsid w:val="00C76B1C"/>
    <w:rsid w:val="00CB6357"/>
    <w:rsid w:val="00CC1B26"/>
    <w:rsid w:val="00D423A2"/>
    <w:rsid w:val="00D520D8"/>
    <w:rsid w:val="00D63AC2"/>
    <w:rsid w:val="00D7383B"/>
    <w:rsid w:val="00D85023"/>
    <w:rsid w:val="00DA231B"/>
    <w:rsid w:val="00DA23A0"/>
    <w:rsid w:val="00DC39FC"/>
    <w:rsid w:val="00DE1595"/>
    <w:rsid w:val="00DF5254"/>
    <w:rsid w:val="00E16408"/>
    <w:rsid w:val="00E20894"/>
    <w:rsid w:val="00E245AB"/>
    <w:rsid w:val="00E2764C"/>
    <w:rsid w:val="00E27F2E"/>
    <w:rsid w:val="00E413EA"/>
    <w:rsid w:val="00E50AFE"/>
    <w:rsid w:val="00E67334"/>
    <w:rsid w:val="00E75C92"/>
    <w:rsid w:val="00E771DC"/>
    <w:rsid w:val="00E834BE"/>
    <w:rsid w:val="00E8772A"/>
    <w:rsid w:val="00E90F6B"/>
    <w:rsid w:val="00E92C27"/>
    <w:rsid w:val="00EA0E3D"/>
    <w:rsid w:val="00EC38A7"/>
    <w:rsid w:val="00EE1AA8"/>
    <w:rsid w:val="00EE263B"/>
    <w:rsid w:val="00F23F8F"/>
    <w:rsid w:val="00F31EDC"/>
    <w:rsid w:val="00F462B3"/>
    <w:rsid w:val="00F5664F"/>
    <w:rsid w:val="00F6542E"/>
    <w:rsid w:val="00F666C4"/>
    <w:rsid w:val="00F76AFC"/>
    <w:rsid w:val="00FA47C0"/>
    <w:rsid w:val="00FB5DD1"/>
    <w:rsid w:val="00FC2B5D"/>
    <w:rsid w:val="00FF1449"/>
    <w:rsid w:val="00FF7CB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60A4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60A41"/>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cce_documents/cce_guia_esal.pdf" TargetMode="External"/><Relationship Id="rId18" Type="http://schemas.openxmlformats.org/officeDocument/2006/relationships/hyperlink" Target="https://nam02.safelinks.protection.outlook.com/?url=https%3A%2F%2Fwww.colombiacompra.gov.co%2Fsala-de-prensa%2Fboletin-digital&amp;data=05%7C02%7Cdiana.saavedra%40colombiacompra.gov.co%7C096eca3fdcca424ff1c708dcf932f947%7C7b09041e245149d08cb179d5e3d8c1be%7C0%7C0%7C638659244558171472%7CUnknown%7CTWFpbGZsb3d8eyJWIjoiMC4wLjAwMDAiLCJQIjoiV2luMzIiLCJBTiI6Ik1haWwiLCJXVCI6Mn0%3D%7C0%7C%7C%7C&amp;sdata=tvt%2Bgj1ghaw7jLXwvL1O0TUEXiN6XbQ2LCLzY2KnGGs%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iana.carolina9229@gmail.com" TargetMode="External"/><Relationship Id="rId17" Type="http://schemas.openxmlformats.org/officeDocument/2006/relationships/hyperlink" Target="https://nam02.safelinks.protection.outlook.com/?url=https%3A%2F%2Fwww.sucop.gov.co%2Fentidades%2Fcolombiacompra%2FNormativa%3FIDNorma%3D18320&amp;data=05%7C02%7Cdiana.saavedra%40colombiacompra.gov.co%7C096eca3fdcca424ff1c708dcf932f947%7C7b09041e245149d08cb179d5e3d8c1be%7C0%7C0%7C638659244558154167%7CUnknown%7CTWFpbGZsb3d8eyJWIjoiMC4wLjAwMDAiLCJQIjoiV2luMzIiLCJBTiI6Ik1haWwiLCJXVCI6Mn0%3D%7C0%7C%7C%7C&amp;sdata=w615QBv0P5KxhVjvpv3JkueAmdvURc%2Bxm6bSeiTViNE%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interventoria-de-obra-publica-de-infraestructura-de&amp;data=05%7C02%7Cdiana.saavedra%40colombiacompra.gov.co%7C096eca3fdcca424ff1c708dcf932f947%7C7b09041e245149d08cb179d5e3d8c1be%7C0%7C0%7C638659244558136800%7CUnknown%7CTWFpbGZsb3d8eyJWIjoiMC4wLjAwMDAiLCJQIjoiV2luMzIiLCJBTiI6Ik1haWwiLCJXVCI6Mn0%3D%7C0%7C%7C%7C&amp;sdata=54AjmHGmm%2FEu8aO3zzbHzD0%2FcR%2BCYdA3NGTLvMdcVAk%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borrador-de-documentos-tipo-de-consultoria-de-obra-publica-de-infraestructura-de-transporte&amp;data=05%7C02%7Cdiana.saavedra%40colombiacompra.gov.co%7C096eca3fdcca424ff1c708dcf932f947%7C7b09041e245149d08cb179d5e3d8c1be%7C0%7C0%7C638659244558109929%7CUnknown%7CTWFpbGZsb3d8eyJWIjoiMC4wLjAwMDAiLCJQIjoiV2luMzIiLCJBTiI6Ik1haWwiLCJXVCI6Mn0%3D%7C0%7C%7C%7C&amp;sdata=7sUDIR9JlzhaqnugavS5CHH1W2FHmmjg2s93zGLqhG4%3D&amp;reserved=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28D5EDF-C76E-44A3-843A-0EC8FDF751D9}"/>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36c82cfe-0eda-494d-b392-a9281b89aaf0"/>
    <ds:schemaRef ds:uri="http://www.w3.org/XML/1998/namespace"/>
    <ds:schemaRef ds:uri="8ae15d26-076e-464e-81a7-6f76a0fb3917"/>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4832</Words>
  <Characters>26578</Characters>
  <Application>Microsoft Office Word</Application>
  <DocSecurity>0</DocSecurity>
  <Lines>221</Lines>
  <Paragraphs>62</Paragraphs>
  <ScaleCrop>false</ScaleCrop>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2024-11-07T22:18:00Z</dcterms:created>
  <dcterms:modified xsi:type="dcterms:W3CDTF">2024-11-07T22:18:00Z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