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98056" w14:textId="77777777" w:rsidR="00CD0149" w:rsidRPr="00AD430E" w:rsidRDefault="00CD0149" w:rsidP="008421CB">
      <w:pPr>
        <w:spacing w:line="276" w:lineRule="auto"/>
        <w:rPr>
          <w:rFonts w:ascii="Verdana" w:eastAsia="Geomanist Light" w:hAnsi="Verdana" w:cs="Arial"/>
          <w:color w:val="000000" w:themeColor="text1"/>
          <w:sz w:val="22"/>
          <w:szCs w:val="22"/>
          <w:lang w:val="es-MX"/>
        </w:rPr>
      </w:pPr>
    </w:p>
    <w:p w14:paraId="5C990126" w14:textId="4016DC4B" w:rsidR="004B2D7B" w:rsidRPr="008054E6" w:rsidRDefault="005A58C1" w:rsidP="008054E6">
      <w:pPr>
        <w:spacing w:before="120" w:after="120" w:line="276" w:lineRule="auto"/>
        <w:jc w:val="both"/>
        <w:rPr>
          <w:rFonts w:ascii="Verdana" w:eastAsia="Calibri" w:hAnsi="Verdana" w:cs="Arial"/>
          <w:b/>
          <w:color w:val="000000" w:themeColor="text1"/>
          <w:sz w:val="22"/>
          <w:szCs w:val="22"/>
          <w:lang w:val="es-ES_tradnl"/>
        </w:rPr>
      </w:pPr>
      <w:r w:rsidRPr="008054E6">
        <w:rPr>
          <w:rFonts w:ascii="Verdana" w:eastAsia="Calibri" w:hAnsi="Verdana" w:cs="Arial"/>
          <w:b/>
          <w:color w:val="000000" w:themeColor="text1"/>
          <w:sz w:val="22"/>
          <w:szCs w:val="22"/>
          <w:lang w:val="es-ES_tradnl"/>
        </w:rPr>
        <w:t xml:space="preserve">TÉRMINOS LEGALES – Noción – Días hábiles – Días calendario </w:t>
      </w:r>
    </w:p>
    <w:p w14:paraId="18AB6AA6" w14:textId="5AA4477C" w:rsidR="004B2D7B" w:rsidRDefault="008054E6" w:rsidP="008054E6">
      <w:pPr>
        <w:jc w:val="both"/>
        <w:rPr>
          <w:rFonts w:ascii="Verdana" w:eastAsia="Calibri" w:hAnsi="Verdana" w:cs="Arial"/>
          <w:sz w:val="20"/>
          <w:szCs w:val="20"/>
        </w:rPr>
      </w:pPr>
      <w:r>
        <w:rPr>
          <w:rFonts w:ascii="Verdana" w:eastAsia="Calibri" w:hAnsi="Verdana" w:cs="Arial"/>
          <w:sz w:val="20"/>
          <w:szCs w:val="20"/>
        </w:rPr>
        <w:t xml:space="preserve">[…] </w:t>
      </w:r>
      <w:r w:rsidR="00FC328C" w:rsidRPr="00FC328C">
        <w:rPr>
          <w:rFonts w:ascii="Verdana" w:eastAsia="Calibri" w:hAnsi="Verdana" w:cs="Arial"/>
          <w:sz w:val="20"/>
          <w:szCs w:val="20"/>
        </w:rPr>
        <w:t>los términos en derecho son perentorios, preclusivos y los fija el legislador en días hábiles, calendarios, y con una periodicidad cuando es necesario. De igual forma el Decreto 1082 del 2015 reglamenta los términos para cada procedimiento de adjudicación y lo ha determinado en materia de contratación en hábiles para cada uno de los trámites. En consecuencia, la entidad estatal deberá fijar sus cronogramas para los procesos de selección teniendo en cuenta la normativa vigente y sus decisiones deberán estar en armonía con esta, ya que, la decisión que vaya en contra de lo estipulado no será tenida en cuenta por la prevalencia de la norma en virtud del principio de jerarquía.</w:t>
      </w:r>
    </w:p>
    <w:p w14:paraId="30FE4F3B" w14:textId="77777777" w:rsidR="008054E6" w:rsidRPr="008054E6" w:rsidRDefault="008054E6" w:rsidP="008054E6">
      <w:pPr>
        <w:jc w:val="both"/>
        <w:rPr>
          <w:rFonts w:ascii="Verdana" w:eastAsia="Calibri" w:hAnsi="Verdana" w:cs="Arial"/>
          <w:sz w:val="20"/>
          <w:szCs w:val="20"/>
        </w:rPr>
      </w:pPr>
    </w:p>
    <w:p w14:paraId="68FBDEFB" w14:textId="3F576F88" w:rsidR="004B2D7B" w:rsidRPr="008054E6" w:rsidRDefault="005A58C1" w:rsidP="008054E6">
      <w:pPr>
        <w:spacing w:before="120" w:after="120" w:line="276" w:lineRule="auto"/>
        <w:jc w:val="both"/>
        <w:rPr>
          <w:rFonts w:ascii="Verdana" w:eastAsia="Calibri" w:hAnsi="Verdana" w:cs="Arial"/>
          <w:b/>
          <w:color w:val="000000" w:themeColor="text1"/>
          <w:sz w:val="22"/>
          <w:szCs w:val="22"/>
          <w:lang w:val="es-ES_tradnl"/>
        </w:rPr>
      </w:pPr>
      <w:r w:rsidRPr="008054E6">
        <w:rPr>
          <w:rFonts w:ascii="Verdana" w:eastAsia="Calibri" w:hAnsi="Verdana" w:cs="Arial"/>
          <w:b/>
          <w:color w:val="000000" w:themeColor="text1"/>
          <w:sz w:val="22"/>
          <w:szCs w:val="22"/>
          <w:lang w:val="es-ES_tradnl"/>
        </w:rPr>
        <w:t xml:space="preserve">DOCUMENTOS TIPO – Infraestructura de transporte </w:t>
      </w:r>
    </w:p>
    <w:p w14:paraId="37831F02" w14:textId="1A7EAC3C" w:rsidR="004B2D7B" w:rsidRDefault="009546BF" w:rsidP="009546BF">
      <w:pPr>
        <w:jc w:val="both"/>
        <w:rPr>
          <w:rFonts w:ascii="Verdana" w:eastAsia="Calibri" w:hAnsi="Verdana" w:cs="Arial"/>
          <w:sz w:val="20"/>
          <w:szCs w:val="20"/>
        </w:rPr>
      </w:pPr>
      <w:r>
        <w:rPr>
          <w:rFonts w:ascii="Verdana" w:eastAsia="Calibri" w:hAnsi="Verdana" w:cs="Arial"/>
          <w:sz w:val="20"/>
          <w:szCs w:val="20"/>
        </w:rPr>
        <w:t xml:space="preserve">[…] </w:t>
      </w:r>
      <w:r w:rsidRPr="009546BF">
        <w:rPr>
          <w:rFonts w:ascii="Verdana" w:eastAsia="Calibri" w:hAnsi="Verdana" w:cs="Arial"/>
          <w:sz w:val="20"/>
          <w:szCs w:val="20"/>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00FB0818" w14:textId="77777777" w:rsidR="009546BF" w:rsidRDefault="009546BF" w:rsidP="008421CB">
      <w:pPr>
        <w:spacing w:line="276" w:lineRule="auto"/>
        <w:rPr>
          <w:rFonts w:ascii="Verdana" w:eastAsia="Geomanist Light" w:hAnsi="Verdana" w:cs="Arial"/>
          <w:color w:val="000000" w:themeColor="text1"/>
          <w:sz w:val="22"/>
          <w:szCs w:val="22"/>
          <w:lang w:val="es-MX"/>
        </w:rPr>
      </w:pPr>
    </w:p>
    <w:p w14:paraId="3E28DED2" w14:textId="3F4F4B75" w:rsidR="004B2D7B" w:rsidRPr="008054E6" w:rsidRDefault="005A58C1" w:rsidP="008054E6">
      <w:pPr>
        <w:spacing w:before="120" w:after="120" w:line="276" w:lineRule="auto"/>
        <w:jc w:val="both"/>
        <w:rPr>
          <w:rFonts w:ascii="Verdana" w:eastAsia="Calibri" w:hAnsi="Verdana" w:cs="Arial"/>
          <w:b/>
          <w:color w:val="000000" w:themeColor="text1"/>
          <w:sz w:val="22"/>
          <w:szCs w:val="22"/>
          <w:lang w:val="es-ES_tradnl"/>
        </w:rPr>
      </w:pPr>
      <w:r w:rsidRPr="008054E6">
        <w:rPr>
          <w:rFonts w:ascii="Verdana" w:eastAsia="Calibri" w:hAnsi="Verdana" w:cs="Arial"/>
          <w:b/>
          <w:color w:val="000000" w:themeColor="text1"/>
          <w:sz w:val="22"/>
          <w:szCs w:val="22"/>
          <w:lang w:val="es-ES_tradnl"/>
        </w:rPr>
        <w:t xml:space="preserve">DOCUMENTOS TIPO – Regla de inalterabilidad – Excepciones </w:t>
      </w:r>
    </w:p>
    <w:p w14:paraId="58F93CD4" w14:textId="5C05BB15" w:rsidR="004B2D7B" w:rsidRDefault="008054E6" w:rsidP="008054E6">
      <w:pPr>
        <w:jc w:val="both"/>
        <w:rPr>
          <w:rFonts w:ascii="Verdana" w:eastAsia="Calibri" w:hAnsi="Verdana" w:cs="Arial"/>
          <w:sz w:val="20"/>
          <w:szCs w:val="20"/>
        </w:rPr>
      </w:pPr>
      <w:r>
        <w:rPr>
          <w:rFonts w:ascii="Verdana" w:eastAsia="Calibri" w:hAnsi="Verdana" w:cs="Arial"/>
          <w:sz w:val="20"/>
          <w:szCs w:val="20"/>
        </w:rPr>
        <w:t xml:space="preserve">[…] </w:t>
      </w:r>
      <w:r w:rsidRPr="008054E6">
        <w:rPr>
          <w:rFonts w:ascii="Verdana" w:eastAsia="Calibri" w:hAnsi="Verdana" w:cs="Arial"/>
          <w:sz w:val="20"/>
          <w:szCs w:val="20"/>
        </w:rPr>
        <w:t>las entidades solo pueden modificar aquello que el documento tipo permita. Por ello, debido a que la primera hoja del Formulario 1 – Formulario del Presupuesto Oficial parcialmente impide su modificación en los procesos estructurados por precios unitarios, no será posible omitir alguno de los componentes del A.I.U. Bajo ese entendido, las entidades no podrán eliminar o modificar la fila correspondiente al imprevisto, ni eliminar o modificar las “Nota 1 a 3” que versan sobre el uso de precios unitarios con componentes del A.I.U.</w:t>
      </w:r>
    </w:p>
    <w:p w14:paraId="4FFB4767" w14:textId="77777777" w:rsidR="008054E6" w:rsidRPr="008054E6" w:rsidRDefault="008054E6" w:rsidP="008054E6">
      <w:pPr>
        <w:jc w:val="both"/>
        <w:rPr>
          <w:rFonts w:ascii="Verdana" w:eastAsia="Calibri" w:hAnsi="Verdana" w:cs="Arial"/>
          <w:sz w:val="20"/>
          <w:szCs w:val="20"/>
        </w:rPr>
      </w:pPr>
    </w:p>
    <w:p w14:paraId="74FB2B11" w14:textId="3AC9919A" w:rsidR="004B2D7B" w:rsidRPr="008054E6" w:rsidRDefault="005A58C1" w:rsidP="008054E6">
      <w:pPr>
        <w:spacing w:before="120" w:after="120" w:line="276" w:lineRule="auto"/>
        <w:jc w:val="both"/>
        <w:rPr>
          <w:rFonts w:ascii="Verdana" w:eastAsia="Calibri" w:hAnsi="Verdana" w:cs="Arial"/>
          <w:b/>
          <w:color w:val="000000" w:themeColor="text1"/>
          <w:sz w:val="22"/>
          <w:szCs w:val="22"/>
          <w:lang w:val="es-ES_tradnl"/>
        </w:rPr>
      </w:pPr>
      <w:r w:rsidRPr="008054E6">
        <w:rPr>
          <w:rFonts w:ascii="Verdana" w:eastAsia="Calibri" w:hAnsi="Verdana" w:cs="Arial"/>
          <w:b/>
          <w:color w:val="000000" w:themeColor="text1"/>
          <w:sz w:val="22"/>
          <w:szCs w:val="22"/>
          <w:lang w:val="es-ES_tradnl"/>
        </w:rPr>
        <w:t xml:space="preserve">DOCUMENTOS TIPO – Formulario 1 – Presupuesto Oficial – Propuesta económica </w:t>
      </w:r>
    </w:p>
    <w:p w14:paraId="0C140FCE" w14:textId="72539C30" w:rsidR="00E06B3C" w:rsidRPr="00E06B3C" w:rsidRDefault="00E06B3C" w:rsidP="00E06B3C">
      <w:pPr>
        <w:jc w:val="both"/>
        <w:rPr>
          <w:rFonts w:ascii="Verdana" w:eastAsia="Calibri" w:hAnsi="Verdana" w:cs="Arial"/>
          <w:sz w:val="20"/>
          <w:szCs w:val="20"/>
        </w:rPr>
      </w:pPr>
      <w:r>
        <w:rPr>
          <w:rFonts w:ascii="Verdana" w:eastAsia="Calibri" w:hAnsi="Verdana" w:cs="Arial"/>
          <w:sz w:val="20"/>
          <w:szCs w:val="20"/>
        </w:rPr>
        <w:t>[…]</w:t>
      </w:r>
      <w:r w:rsidRPr="00E06B3C">
        <w:rPr>
          <w:rFonts w:ascii="Verdana" w:eastAsia="Calibri" w:hAnsi="Verdana" w:cs="Arial"/>
          <w:sz w:val="20"/>
          <w:szCs w:val="20"/>
        </w:rPr>
        <w:t xml:space="preserve"> para los procesos de licitación pública, selección abreviada de menor cuantía y mínima cuantía de infraestructura de transporte, contemplan el “Formulario 1 - Formulario de Presupuesto Oficial”, empleado por la entidad para elaborar y presentar el presupuesto oficial, y mediante el cual el proponente estructura la oferta económica. </w:t>
      </w:r>
    </w:p>
    <w:p w14:paraId="78AF1079" w14:textId="77777777" w:rsidR="00E06B3C" w:rsidRPr="00E06B3C" w:rsidRDefault="00E06B3C" w:rsidP="00E06B3C">
      <w:pPr>
        <w:jc w:val="both"/>
        <w:rPr>
          <w:rFonts w:ascii="Verdana" w:eastAsia="Calibri" w:hAnsi="Verdana" w:cs="Arial"/>
          <w:sz w:val="20"/>
          <w:szCs w:val="20"/>
        </w:rPr>
      </w:pPr>
    </w:p>
    <w:p w14:paraId="5D6875B4" w14:textId="62F224C3" w:rsidR="00E06B3C" w:rsidRDefault="00E06B3C" w:rsidP="008054E6">
      <w:pPr>
        <w:jc w:val="both"/>
        <w:rPr>
          <w:rFonts w:ascii="Verdana" w:eastAsia="Calibri" w:hAnsi="Verdana" w:cs="Arial"/>
          <w:sz w:val="20"/>
          <w:szCs w:val="20"/>
        </w:rPr>
      </w:pPr>
      <w:r w:rsidRPr="00E06B3C">
        <w:rPr>
          <w:rFonts w:ascii="Verdana" w:eastAsia="Calibri" w:hAnsi="Verdana" w:cs="Arial"/>
          <w:sz w:val="20"/>
          <w:szCs w:val="20"/>
        </w:rPr>
        <w:t xml:space="preserve">El “Formulario 1 – Formulario de Presupuesto </w:t>
      </w:r>
      <w:r w:rsidRPr="00E06B3C">
        <w:rPr>
          <w:rFonts w:ascii="Verdana" w:eastAsia="Calibri" w:hAnsi="Verdana" w:cs="Arial"/>
          <w:sz w:val="20"/>
          <w:szCs w:val="20"/>
        </w:rPr>
        <w:t>Oficial” tiene</w:t>
      </w:r>
      <w:r w:rsidRPr="00E06B3C">
        <w:rPr>
          <w:rFonts w:ascii="Verdana" w:eastAsia="Calibri" w:hAnsi="Verdana" w:cs="Arial"/>
          <w:sz w:val="20"/>
          <w:szCs w:val="20"/>
        </w:rPr>
        <w:t xml:space="preserve"> dos connotaciones: i) por un lado, es el formulario sobre el cual la entidad estructura y presenta el presupuesto oficial del procedimiento de contratación; y ii) por el otro, es el formulario sobre el cual los proponentes elaboran y presentan su oferta económica. El propósito de esto es evitar la duplicidad de información y permitir que las propuestas económicas sean evaluadas con las variables, cantidades, unidades de medida y reglas consideradas por la entidad al estructurar su presupuesto oficial.</w:t>
      </w:r>
    </w:p>
    <w:p w14:paraId="0DEC77EA" w14:textId="77777777" w:rsidR="008054E6" w:rsidRPr="008054E6" w:rsidRDefault="008054E6" w:rsidP="008054E6">
      <w:pPr>
        <w:jc w:val="both"/>
        <w:rPr>
          <w:rFonts w:ascii="Verdana" w:eastAsia="Calibri" w:hAnsi="Verdana" w:cs="Arial"/>
          <w:sz w:val="20"/>
          <w:szCs w:val="20"/>
        </w:rPr>
      </w:pPr>
    </w:p>
    <w:p w14:paraId="422A31BC" w14:textId="479958CC" w:rsidR="004B2D7B" w:rsidRPr="008054E6" w:rsidRDefault="005A58C1" w:rsidP="008054E6">
      <w:pPr>
        <w:spacing w:before="120" w:after="120" w:line="276" w:lineRule="auto"/>
        <w:jc w:val="both"/>
        <w:rPr>
          <w:rFonts w:ascii="Verdana" w:eastAsia="Calibri" w:hAnsi="Verdana" w:cs="Arial"/>
          <w:b/>
          <w:color w:val="000000" w:themeColor="text1"/>
          <w:sz w:val="22"/>
          <w:szCs w:val="22"/>
          <w:lang w:val="es-ES_tradnl"/>
        </w:rPr>
      </w:pPr>
      <w:r w:rsidRPr="008054E6">
        <w:rPr>
          <w:rFonts w:ascii="Verdana" w:eastAsia="Calibri" w:hAnsi="Verdana" w:cs="Arial"/>
          <w:b/>
          <w:color w:val="000000" w:themeColor="text1"/>
          <w:sz w:val="22"/>
          <w:szCs w:val="22"/>
          <w:lang w:val="es-ES_tradnl"/>
        </w:rPr>
        <w:lastRenderedPageBreak/>
        <w:t>FORMULARIO 1 – Formulario de presupuesto oficial – Inalterabilidad – Notas 1, 2 y 3 – Componentes del AIU</w:t>
      </w:r>
    </w:p>
    <w:p w14:paraId="67C2C2F3" w14:textId="345971E1" w:rsidR="004B2D7B" w:rsidRPr="00DF7E02" w:rsidRDefault="003F11F0" w:rsidP="008054E6">
      <w:pPr>
        <w:jc w:val="both"/>
        <w:rPr>
          <w:rFonts w:ascii="Verdana" w:eastAsia="Calibri" w:hAnsi="Verdana" w:cs="Arial"/>
          <w:sz w:val="20"/>
          <w:szCs w:val="20"/>
        </w:rPr>
      </w:pPr>
      <w:r>
        <w:rPr>
          <w:rFonts w:ascii="Verdana" w:eastAsia="Calibri" w:hAnsi="Verdana" w:cs="Arial"/>
          <w:sz w:val="20"/>
          <w:szCs w:val="20"/>
        </w:rPr>
        <w:t xml:space="preserve">[…] </w:t>
      </w:r>
      <w:r w:rsidRPr="003F11F0">
        <w:rPr>
          <w:rFonts w:ascii="Verdana" w:eastAsia="Calibri" w:hAnsi="Verdana" w:cs="Arial"/>
          <w:sz w:val="20"/>
          <w:szCs w:val="20"/>
        </w:rPr>
        <w:t>en la primera hoja del “Formulario 1 – Formulario de Presupuesto oficial” se señala que en los procesos de contratación estructurados por precios unitarios aplican las notas 1, 2 y 3 de dicho formato y, por tanto, se diligencian las casillas de “Descripción”, “Porcentaje” de la Administración, Imprevistos, Utilidad y total del A.I.U resaltados en color amarillo. En otras palabras, las entidades estatales incluirán de manera obligatoria el porcentaje de la: i) administración, ii) imprevistos y iii) utilidad, cuando el proceso de contratación sea por precios unitarios.</w:t>
      </w:r>
    </w:p>
    <w:p w14:paraId="1B1506D0" w14:textId="77777777" w:rsidR="004B2D7B" w:rsidRDefault="004B2D7B" w:rsidP="008421CB">
      <w:pPr>
        <w:spacing w:line="276" w:lineRule="auto"/>
        <w:rPr>
          <w:rFonts w:ascii="Verdana" w:eastAsia="Geomanist Light" w:hAnsi="Verdana" w:cs="Arial"/>
          <w:color w:val="000000" w:themeColor="text1"/>
          <w:sz w:val="22"/>
          <w:szCs w:val="22"/>
          <w:lang w:val="es-MX"/>
        </w:rPr>
      </w:pPr>
    </w:p>
    <w:p w14:paraId="7FB32468"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10FFBC20"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76187C61"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58FDDB75"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28C91675"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5C3D483C"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14F2E2FB"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57A9723E"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3AAEC98C"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0FB2E367"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63C0D4E3"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4DF759BC"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4DC97CBA"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5D4151A0"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4F281355"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2AC27BAC"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1B94AC2E"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1845A071"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34AC7953"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27D97769"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4EEAEC25"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284DE37E"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29EFD377"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694EC439"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31AF747F"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46AA6F7A" w14:textId="77777777" w:rsidR="008054E6" w:rsidRDefault="008054E6" w:rsidP="008421CB">
      <w:pPr>
        <w:spacing w:line="276" w:lineRule="auto"/>
        <w:rPr>
          <w:rFonts w:ascii="Verdana" w:eastAsia="Geomanist Light" w:hAnsi="Verdana" w:cs="Arial"/>
          <w:color w:val="000000" w:themeColor="text1"/>
          <w:sz w:val="22"/>
          <w:szCs w:val="22"/>
          <w:lang w:val="es-MX"/>
        </w:rPr>
      </w:pPr>
    </w:p>
    <w:p w14:paraId="36A26703" w14:textId="77777777" w:rsidR="008054E6" w:rsidRPr="00AD430E" w:rsidRDefault="008054E6" w:rsidP="008421CB">
      <w:pPr>
        <w:spacing w:line="276" w:lineRule="auto"/>
        <w:rPr>
          <w:rFonts w:ascii="Verdana" w:eastAsia="Geomanist Light" w:hAnsi="Verdana" w:cs="Arial"/>
          <w:color w:val="000000" w:themeColor="text1"/>
          <w:sz w:val="22"/>
          <w:szCs w:val="22"/>
          <w:lang w:val="es-MX"/>
        </w:rPr>
      </w:pPr>
    </w:p>
    <w:p w14:paraId="429BF812" w14:textId="77777777" w:rsidR="003A0843" w:rsidRDefault="003A0843" w:rsidP="008421CB">
      <w:pPr>
        <w:spacing w:line="276" w:lineRule="auto"/>
        <w:rPr>
          <w:rFonts w:ascii="Verdana" w:eastAsia="Geomanist Light" w:hAnsi="Verdana" w:cs="Arial"/>
          <w:color w:val="000000" w:themeColor="text1"/>
          <w:sz w:val="22"/>
          <w:szCs w:val="22"/>
          <w:lang w:val="es-MX"/>
        </w:rPr>
      </w:pPr>
    </w:p>
    <w:p w14:paraId="3625D0CB" w14:textId="77777777" w:rsidR="003A0843" w:rsidRDefault="003A0843" w:rsidP="008421CB">
      <w:pPr>
        <w:spacing w:line="276" w:lineRule="auto"/>
        <w:rPr>
          <w:rFonts w:ascii="Verdana" w:eastAsia="Geomanist Light" w:hAnsi="Verdana" w:cs="Arial"/>
          <w:color w:val="000000" w:themeColor="text1"/>
          <w:sz w:val="22"/>
          <w:szCs w:val="22"/>
          <w:lang w:val="es-MX"/>
        </w:rPr>
      </w:pPr>
    </w:p>
    <w:p w14:paraId="728FF1D7" w14:textId="748890BE" w:rsidR="00300197" w:rsidRDefault="00300197" w:rsidP="008421CB">
      <w:pPr>
        <w:spacing w:line="276" w:lineRule="auto"/>
        <w:rPr>
          <w:rFonts w:ascii="Verdana" w:eastAsia="Geomanist Light" w:hAnsi="Verdana" w:cs="Arial"/>
          <w:color w:val="000000" w:themeColor="text1"/>
          <w:sz w:val="22"/>
          <w:szCs w:val="22"/>
          <w:lang w:val="es-MX"/>
        </w:rPr>
      </w:pPr>
      <w:r w:rsidRPr="000C52D9">
        <w:rPr>
          <w:rFonts w:ascii="Verdana" w:eastAsia="Calibri" w:hAnsi="Verdana" w:cs="Arial"/>
          <w:b/>
          <w:color w:val="000000" w:themeColor="text1"/>
          <w:sz w:val="22"/>
          <w:szCs w:val="22"/>
          <w:lang w:val="es-ES_tradnl"/>
        </w:rPr>
        <w:lastRenderedPageBreak/>
        <w:drawing>
          <wp:anchor distT="0" distB="0" distL="114300" distR="114300" simplePos="0" relativeHeight="251658240" behindDoc="0" locked="0" layoutInCell="1" allowOverlap="1" wp14:anchorId="3461A8C9" wp14:editId="1171763E">
            <wp:simplePos x="0" y="0"/>
            <wp:positionH relativeFrom="margin">
              <wp:align>right</wp:align>
            </wp:positionH>
            <wp:positionV relativeFrom="paragraph">
              <wp:posOffset>9525</wp:posOffset>
            </wp:positionV>
            <wp:extent cx="3038475" cy="855663"/>
            <wp:effectExtent l="0" t="0" r="0" b="1905"/>
            <wp:wrapNone/>
            <wp:docPr id="211963494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34949"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038475" cy="855663"/>
                    </a:xfrm>
                    <a:prstGeom prst="rect">
                      <a:avLst/>
                    </a:prstGeom>
                  </pic:spPr>
                </pic:pic>
              </a:graphicData>
            </a:graphic>
            <wp14:sizeRelH relativeFrom="margin">
              <wp14:pctWidth>0</wp14:pctWidth>
            </wp14:sizeRelH>
            <wp14:sizeRelV relativeFrom="margin">
              <wp14:pctHeight>0</wp14:pctHeight>
            </wp14:sizeRelV>
          </wp:anchor>
        </w:drawing>
      </w:r>
      <w:r w:rsidR="008421CB" w:rsidRPr="00AD430E">
        <w:rPr>
          <w:rFonts w:ascii="Verdana" w:eastAsia="Geomanist Light" w:hAnsi="Verdana" w:cs="Arial"/>
          <w:color w:val="000000" w:themeColor="text1"/>
          <w:sz w:val="22"/>
          <w:szCs w:val="22"/>
          <w:lang w:val="es-MX"/>
        </w:rPr>
        <w:t>Bogotá D.C., </w:t>
      </w:r>
      <w:r>
        <w:rPr>
          <w:rFonts w:ascii="Verdana" w:eastAsia="Geomanist Light" w:hAnsi="Verdana" w:cs="Arial"/>
          <w:color w:val="000000" w:themeColor="text1"/>
          <w:sz w:val="22"/>
          <w:szCs w:val="22"/>
          <w:lang w:val="es-MX"/>
        </w:rPr>
        <w:t xml:space="preserve">13 de noviembre de </w:t>
      </w:r>
    </w:p>
    <w:p w14:paraId="08D59C61" w14:textId="580FD5F5" w:rsidR="008421CB" w:rsidRPr="00AD430E" w:rsidRDefault="00300197" w:rsidP="008421CB">
      <w:pPr>
        <w:spacing w:line="276" w:lineRule="auto"/>
        <w:rPr>
          <w:rFonts w:ascii="Verdana" w:eastAsia="Geomanist Light" w:hAnsi="Verdana" w:cs="Arial"/>
          <w:color w:val="000000" w:themeColor="text1"/>
          <w:sz w:val="22"/>
          <w:szCs w:val="22"/>
          <w:lang w:val="es-MX"/>
        </w:rPr>
      </w:pPr>
      <w:r>
        <w:rPr>
          <w:rFonts w:ascii="Verdana" w:eastAsia="Geomanist Light" w:hAnsi="Verdana" w:cs="Arial"/>
          <w:color w:val="000000" w:themeColor="text1"/>
          <w:sz w:val="22"/>
          <w:szCs w:val="22"/>
          <w:lang w:val="es-MX"/>
        </w:rPr>
        <w:t>2024</w:t>
      </w:r>
    </w:p>
    <w:p w14:paraId="05DCF77B" w14:textId="719D9363" w:rsidR="008421CB" w:rsidRPr="00AD430E" w:rsidRDefault="008421CB" w:rsidP="008421CB">
      <w:pPr>
        <w:spacing w:line="276" w:lineRule="auto"/>
        <w:jc w:val="both"/>
        <w:rPr>
          <w:rFonts w:ascii="Verdana" w:eastAsia="Calibri" w:hAnsi="Verdana" w:cs="Arial"/>
          <w:color w:val="000000" w:themeColor="text1"/>
          <w:sz w:val="22"/>
          <w:szCs w:val="22"/>
        </w:rPr>
      </w:pPr>
    </w:p>
    <w:p w14:paraId="090ECCAE" w14:textId="036DF838" w:rsidR="008421CB" w:rsidRPr="00AD430E" w:rsidRDefault="008421CB" w:rsidP="008421CB">
      <w:pPr>
        <w:spacing w:line="276" w:lineRule="auto"/>
        <w:jc w:val="both"/>
        <w:rPr>
          <w:rFonts w:ascii="Verdana" w:eastAsia="Calibri" w:hAnsi="Verdana" w:cs="Arial"/>
          <w:color w:val="000000" w:themeColor="text1"/>
          <w:sz w:val="22"/>
          <w:szCs w:val="22"/>
          <w:lang w:eastAsia="es-ES"/>
        </w:rPr>
      </w:pPr>
      <w:r w:rsidRPr="00AD430E">
        <w:rPr>
          <w:rFonts w:ascii="Verdana" w:eastAsia="Calibri" w:hAnsi="Verdana" w:cs="Arial"/>
          <w:color w:val="000000" w:themeColor="text1"/>
          <w:sz w:val="22"/>
          <w:szCs w:val="22"/>
          <w:lang w:eastAsia="es-ES"/>
        </w:rPr>
        <w:t>Señor</w:t>
      </w:r>
    </w:p>
    <w:p w14:paraId="17CEDC05" w14:textId="160B17E7" w:rsidR="008421CB" w:rsidRPr="00AD430E" w:rsidRDefault="008421CB" w:rsidP="008421CB">
      <w:pPr>
        <w:spacing w:line="276" w:lineRule="auto"/>
        <w:rPr>
          <w:rFonts w:ascii="Verdana" w:eastAsia="Calibri" w:hAnsi="Verdana" w:cs="Arial"/>
          <w:b/>
          <w:color w:val="000000" w:themeColor="text1"/>
          <w:sz w:val="22"/>
          <w:szCs w:val="22"/>
          <w:lang w:val="es-ES_tradnl"/>
        </w:rPr>
      </w:pPr>
      <w:r w:rsidRPr="00AD430E">
        <w:rPr>
          <w:rFonts w:ascii="Verdana" w:eastAsia="Calibri" w:hAnsi="Verdana" w:cs="Arial"/>
          <w:b/>
          <w:color w:val="000000" w:themeColor="text1"/>
          <w:sz w:val="22"/>
          <w:szCs w:val="22"/>
          <w:lang w:val="es-ES_tradnl"/>
        </w:rPr>
        <w:t>Rogers Carlos Aguirre Bejarano</w:t>
      </w:r>
      <w:r w:rsidR="000C52D9" w:rsidRPr="000C52D9">
        <w:rPr>
          <w:noProof/>
        </w:rPr>
        <w:t xml:space="preserve"> </w:t>
      </w:r>
    </w:p>
    <w:p w14:paraId="75DB771E" w14:textId="77777777" w:rsidR="008421CB" w:rsidRPr="00AD430E" w:rsidRDefault="008421CB" w:rsidP="008421CB">
      <w:pPr>
        <w:spacing w:line="276" w:lineRule="auto"/>
        <w:rPr>
          <w:rFonts w:ascii="Verdana" w:eastAsia="Calibri" w:hAnsi="Verdana" w:cs="Arial"/>
          <w:color w:val="000000" w:themeColor="text1"/>
          <w:sz w:val="22"/>
          <w:szCs w:val="22"/>
          <w:u w:val="single"/>
          <w:lang w:eastAsia="es-ES"/>
        </w:rPr>
      </w:pPr>
      <w:r w:rsidRPr="00AD430E">
        <w:rPr>
          <w:rFonts w:ascii="Verdana" w:eastAsia="Calibri" w:hAnsi="Verdana" w:cs="Arial"/>
          <w:color w:val="000000" w:themeColor="text1"/>
          <w:sz w:val="22"/>
          <w:szCs w:val="22"/>
          <w:u w:val="single"/>
          <w:lang w:eastAsia="es-ES"/>
        </w:rPr>
        <w:t xml:space="preserve">clientes@baguir.com </w:t>
      </w:r>
    </w:p>
    <w:p w14:paraId="7F75A8CA" w14:textId="77777777" w:rsidR="008421CB" w:rsidRPr="00AD430E" w:rsidRDefault="008421CB" w:rsidP="008421CB">
      <w:pPr>
        <w:spacing w:line="276" w:lineRule="auto"/>
        <w:rPr>
          <w:rFonts w:ascii="Verdana" w:eastAsia="Calibri" w:hAnsi="Verdana" w:cs="Arial"/>
          <w:b/>
          <w:bCs/>
          <w:color w:val="000000" w:themeColor="text1"/>
          <w:sz w:val="22"/>
          <w:szCs w:val="22"/>
          <w:lang w:eastAsia="es-ES"/>
        </w:rPr>
      </w:pPr>
      <w:r w:rsidRPr="00AD430E">
        <w:rPr>
          <w:rFonts w:ascii="Verdana" w:eastAsia="Calibri" w:hAnsi="Verdana" w:cs="Arial"/>
          <w:color w:val="000000" w:themeColor="text1"/>
          <w:sz w:val="22"/>
          <w:szCs w:val="22"/>
          <w:u w:val="single"/>
          <w:lang w:eastAsia="es-ES"/>
        </w:rPr>
        <w:t>Bogotá D.C.</w:t>
      </w:r>
      <w:r w:rsidRPr="00AD430E">
        <w:rPr>
          <w:rStyle w:val="Refdecomentario"/>
          <w:rFonts w:ascii="Verdana" w:hAnsi="Verdana"/>
          <w:color w:val="000000" w:themeColor="text1"/>
          <w:sz w:val="14"/>
          <w:szCs w:val="20"/>
        </w:rPr>
        <w:t xml:space="preserve"> </w:t>
      </w:r>
    </w:p>
    <w:p w14:paraId="5FD946FD" w14:textId="77777777" w:rsidR="008421CB" w:rsidRPr="00AD430E" w:rsidRDefault="008421CB" w:rsidP="008421CB">
      <w:pPr>
        <w:spacing w:line="276" w:lineRule="auto"/>
        <w:rPr>
          <w:rFonts w:ascii="Verdana" w:eastAsia="Calibri" w:hAnsi="Verdana" w:cs="Arial"/>
          <w:b/>
          <w:bCs/>
          <w:color w:val="000000" w:themeColor="text1"/>
          <w:sz w:val="22"/>
          <w:szCs w:val="22"/>
          <w:lang w:val="es-ES_tradnl"/>
        </w:rPr>
      </w:pPr>
    </w:p>
    <w:p w14:paraId="2D85509F" w14:textId="77777777" w:rsidR="008421CB" w:rsidRPr="00AD430E" w:rsidRDefault="008421CB" w:rsidP="008421CB">
      <w:pPr>
        <w:spacing w:line="276" w:lineRule="auto"/>
        <w:rPr>
          <w:rFonts w:ascii="Verdana" w:eastAsia="Calibri" w:hAnsi="Verdana" w:cs="Arial"/>
          <w:b/>
          <w:bCs/>
          <w:color w:val="000000" w:themeColor="text1"/>
          <w:sz w:val="22"/>
          <w:szCs w:val="22"/>
          <w:lang w:val="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421CB" w:rsidRPr="00AD430E" w14:paraId="18B647F8" w14:textId="77777777" w:rsidTr="00CE7CC4">
        <w:trPr>
          <w:trHeight w:val="884"/>
        </w:trPr>
        <w:tc>
          <w:tcPr>
            <w:tcW w:w="2689" w:type="dxa"/>
          </w:tcPr>
          <w:p w14:paraId="6E72AF23" w14:textId="77777777" w:rsidR="008421CB" w:rsidRPr="00AD430E" w:rsidRDefault="008421CB" w:rsidP="00CE7CC4">
            <w:pPr>
              <w:spacing w:line="276" w:lineRule="auto"/>
              <w:jc w:val="both"/>
              <w:rPr>
                <w:rFonts w:ascii="Verdana" w:eastAsia="Calibri" w:hAnsi="Verdana" w:cs="Arial"/>
                <w:b/>
                <w:bCs/>
                <w:color w:val="000000" w:themeColor="text1"/>
                <w:sz w:val="22"/>
                <w:szCs w:val="22"/>
                <w:lang w:val="es-ES_tradnl"/>
              </w:rPr>
            </w:pPr>
          </w:p>
        </w:tc>
        <w:tc>
          <w:tcPr>
            <w:tcW w:w="6100" w:type="dxa"/>
          </w:tcPr>
          <w:p w14:paraId="40B5C794" w14:textId="77777777" w:rsidR="008421CB" w:rsidRPr="00AD430E" w:rsidRDefault="008421CB" w:rsidP="00CE7CC4">
            <w:pPr>
              <w:spacing w:line="276" w:lineRule="auto"/>
              <w:jc w:val="both"/>
              <w:rPr>
                <w:rFonts w:ascii="Verdana" w:eastAsia="Calibri" w:hAnsi="Verdana" w:cs="Arial"/>
                <w:b/>
                <w:bCs/>
                <w:color w:val="000000" w:themeColor="text1"/>
                <w:sz w:val="22"/>
                <w:szCs w:val="22"/>
                <w:lang w:eastAsia="es-ES"/>
              </w:rPr>
            </w:pPr>
            <w:r w:rsidRPr="00AD430E">
              <w:rPr>
                <w:rFonts w:ascii="Verdana" w:eastAsia="Calibri" w:hAnsi="Verdana" w:cs="Arial"/>
                <w:b/>
                <w:bCs/>
                <w:color w:val="000000" w:themeColor="text1"/>
                <w:sz w:val="22"/>
                <w:szCs w:val="22"/>
                <w:lang w:eastAsia="es-ES"/>
              </w:rPr>
              <w:t>Concepto C-667 de 2024</w:t>
            </w:r>
          </w:p>
        </w:tc>
      </w:tr>
      <w:tr w:rsidR="008421CB" w:rsidRPr="00AD430E" w14:paraId="2412A5D8" w14:textId="77777777" w:rsidTr="00CE7CC4">
        <w:trPr>
          <w:trHeight w:val="884"/>
        </w:trPr>
        <w:tc>
          <w:tcPr>
            <w:tcW w:w="2689" w:type="dxa"/>
          </w:tcPr>
          <w:p w14:paraId="23F3A859" w14:textId="77777777" w:rsidR="008421CB" w:rsidRPr="00AD430E" w:rsidRDefault="008421CB" w:rsidP="00CE7CC4">
            <w:pPr>
              <w:spacing w:line="276" w:lineRule="auto"/>
              <w:jc w:val="both"/>
              <w:rPr>
                <w:rFonts w:ascii="Verdana" w:eastAsia="Calibri" w:hAnsi="Verdana" w:cs="Arial"/>
                <w:color w:val="000000" w:themeColor="text1"/>
                <w:sz w:val="22"/>
                <w:szCs w:val="22"/>
                <w:lang w:val="es-ES_tradnl"/>
              </w:rPr>
            </w:pPr>
            <w:r w:rsidRPr="00AD430E">
              <w:rPr>
                <w:rFonts w:ascii="Verdana" w:eastAsia="Calibri" w:hAnsi="Verdana" w:cs="Arial"/>
                <w:b/>
                <w:color w:val="000000" w:themeColor="text1"/>
                <w:sz w:val="22"/>
                <w:szCs w:val="22"/>
                <w:lang w:val="es-ES_tradnl"/>
              </w:rPr>
              <w:t>Temas:</w:t>
            </w:r>
            <w:r w:rsidRPr="00AD430E">
              <w:rPr>
                <w:rFonts w:ascii="Verdana" w:eastAsia="Calibri" w:hAnsi="Verdana" w:cs="Arial"/>
                <w:color w:val="000000" w:themeColor="text1"/>
                <w:sz w:val="22"/>
                <w:szCs w:val="22"/>
                <w:lang w:val="es-ES_tradnl"/>
              </w:rPr>
              <w:t xml:space="preserve">                   </w:t>
            </w:r>
          </w:p>
        </w:tc>
        <w:tc>
          <w:tcPr>
            <w:tcW w:w="6100" w:type="dxa"/>
          </w:tcPr>
          <w:p w14:paraId="558E1B19" w14:textId="77777777" w:rsidR="008421CB" w:rsidRPr="00AD430E" w:rsidRDefault="008421CB" w:rsidP="00CE7CC4">
            <w:pPr>
              <w:spacing w:line="276" w:lineRule="auto"/>
              <w:jc w:val="both"/>
              <w:rPr>
                <w:rFonts w:ascii="Verdana" w:eastAsia="Calibri" w:hAnsi="Verdana" w:cs="Arial"/>
                <w:color w:val="000000" w:themeColor="text1"/>
                <w:sz w:val="22"/>
                <w:szCs w:val="22"/>
                <w:lang w:eastAsia="es-ES"/>
              </w:rPr>
            </w:pPr>
            <w:r w:rsidRPr="00AD430E">
              <w:rPr>
                <w:rFonts w:ascii="Verdana" w:eastAsia="Calibri" w:hAnsi="Verdana" w:cs="Arial"/>
                <w:color w:val="000000" w:themeColor="text1"/>
                <w:sz w:val="22"/>
                <w:szCs w:val="22"/>
                <w:lang w:eastAsia="es-ES"/>
              </w:rPr>
              <w:t>TÉRMINOS LEGALES – Noción – Días hábiles – Días calendario / PLIEGO DE CONDICIONES – Observaciones – Término / DOCUMENTOS TIPO – Infraestructura de transporte / DOCUMENTOS TIPO – Regla de inalterabilidad – Excepciones / DOCUMENTOS TIPO – Formulario 1 – Presupuesto Oficial – Propuesta económica / FORMULARIO 1 – Formulario de presupuesto oficial – Inalterabilidad – Notas 1, 2 y 3 – Componentes del AIU</w:t>
            </w:r>
          </w:p>
          <w:p w14:paraId="47B273D6" w14:textId="77777777" w:rsidR="008421CB" w:rsidRPr="00AD430E" w:rsidRDefault="008421CB" w:rsidP="00CE7CC4">
            <w:pPr>
              <w:spacing w:line="276" w:lineRule="auto"/>
              <w:jc w:val="both"/>
              <w:rPr>
                <w:rFonts w:ascii="Verdana" w:eastAsia="Calibri" w:hAnsi="Verdana" w:cs="Arial"/>
                <w:color w:val="000000" w:themeColor="text1"/>
                <w:sz w:val="22"/>
                <w:szCs w:val="22"/>
                <w:lang w:eastAsia="es-ES"/>
              </w:rPr>
            </w:pPr>
          </w:p>
        </w:tc>
      </w:tr>
      <w:tr w:rsidR="008421CB" w:rsidRPr="00AD430E" w14:paraId="2230DE1E" w14:textId="77777777" w:rsidTr="00CE7CC4">
        <w:tc>
          <w:tcPr>
            <w:tcW w:w="2689" w:type="dxa"/>
          </w:tcPr>
          <w:p w14:paraId="7A7125C8" w14:textId="77777777" w:rsidR="008421CB" w:rsidRPr="00AD430E" w:rsidRDefault="008421CB" w:rsidP="00CE7CC4">
            <w:pPr>
              <w:spacing w:line="276" w:lineRule="auto"/>
              <w:jc w:val="both"/>
              <w:rPr>
                <w:rFonts w:ascii="Verdana" w:eastAsia="Calibri" w:hAnsi="Verdana" w:cs="Arial"/>
                <w:b/>
                <w:color w:val="000000" w:themeColor="text1"/>
                <w:sz w:val="22"/>
                <w:szCs w:val="22"/>
                <w:lang w:val="es-ES_tradnl"/>
              </w:rPr>
            </w:pPr>
            <w:r w:rsidRPr="00AD430E">
              <w:rPr>
                <w:rFonts w:ascii="Verdana" w:eastAsia="Calibri" w:hAnsi="Verdana" w:cs="Arial"/>
                <w:b/>
                <w:color w:val="000000" w:themeColor="text1"/>
                <w:sz w:val="22"/>
                <w:szCs w:val="22"/>
                <w:lang w:val="es-ES_tradnl"/>
              </w:rPr>
              <w:t>Radicación:</w:t>
            </w:r>
            <w:r w:rsidRPr="00AD430E">
              <w:rPr>
                <w:rFonts w:ascii="Verdana" w:eastAsia="Calibri" w:hAnsi="Verdana" w:cs="Arial"/>
                <w:color w:val="000000" w:themeColor="text1"/>
                <w:sz w:val="22"/>
                <w:szCs w:val="22"/>
                <w:lang w:val="es-ES_tradnl"/>
              </w:rPr>
              <w:t xml:space="preserve">               </w:t>
            </w:r>
          </w:p>
        </w:tc>
        <w:tc>
          <w:tcPr>
            <w:tcW w:w="6100" w:type="dxa"/>
          </w:tcPr>
          <w:p w14:paraId="61C37373" w14:textId="77777777" w:rsidR="008421CB" w:rsidRPr="00AD430E" w:rsidRDefault="008421CB" w:rsidP="00CE7CC4">
            <w:pPr>
              <w:spacing w:line="276" w:lineRule="auto"/>
              <w:jc w:val="both"/>
              <w:rPr>
                <w:rFonts w:ascii="Verdana" w:eastAsia="Calibri" w:hAnsi="Verdana" w:cs="Arial"/>
                <w:color w:val="000000" w:themeColor="text1"/>
                <w:sz w:val="22"/>
                <w:szCs w:val="22"/>
                <w:lang w:val="es-ES_tradnl"/>
              </w:rPr>
            </w:pPr>
            <w:r w:rsidRPr="00AD430E">
              <w:rPr>
                <w:rFonts w:ascii="Verdana" w:eastAsia="Calibri" w:hAnsi="Verdana" w:cs="Arial"/>
                <w:color w:val="000000" w:themeColor="text1"/>
                <w:sz w:val="22"/>
                <w:szCs w:val="22"/>
                <w:lang w:val="es-ES_tradnl"/>
              </w:rPr>
              <w:t xml:space="preserve">Respuesta a consulta con radicado No. </w:t>
            </w:r>
            <w:r w:rsidRPr="00AD430E">
              <w:rPr>
                <w:rFonts w:ascii="Verdana" w:eastAsia="Calibri" w:hAnsi="Verdana" w:cs="Arial"/>
                <w:color w:val="000000" w:themeColor="text1"/>
                <w:sz w:val="22"/>
                <w:szCs w:val="22"/>
              </w:rPr>
              <w:t>P20240927009904</w:t>
            </w:r>
          </w:p>
        </w:tc>
      </w:tr>
    </w:tbl>
    <w:p w14:paraId="47C5E87C" w14:textId="77777777" w:rsidR="008421CB" w:rsidRPr="00AD430E" w:rsidRDefault="008421CB" w:rsidP="008421CB">
      <w:pPr>
        <w:spacing w:line="276" w:lineRule="auto"/>
        <w:jc w:val="both"/>
        <w:rPr>
          <w:rFonts w:ascii="Verdana" w:eastAsia="Calibri" w:hAnsi="Verdana" w:cs="Arial"/>
          <w:color w:val="000000" w:themeColor="text1"/>
          <w:sz w:val="22"/>
          <w:szCs w:val="22"/>
          <w:lang w:val="es-ES_tradnl"/>
        </w:rPr>
      </w:pPr>
    </w:p>
    <w:p w14:paraId="0E74B0BF" w14:textId="77777777" w:rsidR="008421CB" w:rsidRPr="00AD430E" w:rsidRDefault="008421CB" w:rsidP="008421CB">
      <w:pPr>
        <w:spacing w:line="276" w:lineRule="auto"/>
        <w:jc w:val="both"/>
        <w:rPr>
          <w:rFonts w:ascii="Verdana" w:eastAsia="Calibri" w:hAnsi="Verdana" w:cs="Arial"/>
          <w:color w:val="000000" w:themeColor="text1"/>
          <w:sz w:val="22"/>
          <w:szCs w:val="22"/>
          <w:lang w:val="es-ES_tradnl"/>
        </w:rPr>
      </w:pPr>
    </w:p>
    <w:p w14:paraId="2DAD3EBE" w14:textId="77777777" w:rsidR="008421CB" w:rsidRPr="00AD430E" w:rsidRDefault="008421CB" w:rsidP="008421CB">
      <w:pPr>
        <w:spacing w:line="276" w:lineRule="auto"/>
        <w:jc w:val="both"/>
        <w:rPr>
          <w:rFonts w:ascii="Verdana" w:eastAsia="Calibri" w:hAnsi="Verdana" w:cs="Arial"/>
          <w:color w:val="000000" w:themeColor="text1"/>
          <w:sz w:val="22"/>
          <w:szCs w:val="22"/>
          <w:lang w:eastAsia="es-ES"/>
        </w:rPr>
      </w:pPr>
      <w:r w:rsidRPr="00AD430E">
        <w:rPr>
          <w:rFonts w:ascii="Verdana" w:eastAsia="Calibri" w:hAnsi="Verdana" w:cs="Arial"/>
          <w:color w:val="000000" w:themeColor="text1"/>
          <w:sz w:val="22"/>
          <w:szCs w:val="22"/>
          <w:lang w:eastAsia="es-ES"/>
        </w:rPr>
        <w:t xml:space="preserve">Estimado señor Aguirre: </w:t>
      </w:r>
    </w:p>
    <w:p w14:paraId="6A4CD111" w14:textId="77777777" w:rsidR="008421CB" w:rsidRPr="00AD430E" w:rsidRDefault="008421CB" w:rsidP="008421CB">
      <w:pPr>
        <w:tabs>
          <w:tab w:val="left" w:pos="3768"/>
        </w:tabs>
        <w:spacing w:line="276" w:lineRule="auto"/>
        <w:jc w:val="both"/>
        <w:rPr>
          <w:rFonts w:ascii="Verdana" w:eastAsia="Calibri" w:hAnsi="Verdana" w:cs="Arial"/>
          <w:color w:val="000000" w:themeColor="text1"/>
          <w:sz w:val="22"/>
          <w:szCs w:val="22"/>
          <w:lang w:eastAsia="es-ES"/>
        </w:rPr>
      </w:pPr>
      <w:r w:rsidRPr="00AD430E">
        <w:rPr>
          <w:rFonts w:ascii="Verdana" w:eastAsia="Calibri" w:hAnsi="Verdana" w:cs="Arial"/>
          <w:color w:val="000000" w:themeColor="text1"/>
          <w:sz w:val="22"/>
          <w:szCs w:val="22"/>
          <w:lang w:eastAsia="es-ES"/>
        </w:rPr>
        <w:tab/>
      </w:r>
    </w:p>
    <w:p w14:paraId="1FFD7569" w14:textId="77777777" w:rsidR="008421CB" w:rsidRPr="00AD430E" w:rsidRDefault="008421CB" w:rsidP="008421CB">
      <w:pPr>
        <w:spacing w:line="276" w:lineRule="auto"/>
        <w:jc w:val="both"/>
        <w:rPr>
          <w:rFonts w:ascii="Verdana" w:eastAsia="Calibri" w:hAnsi="Verdana" w:cs="Arial"/>
          <w:color w:val="000000" w:themeColor="text1"/>
          <w:sz w:val="22"/>
          <w:szCs w:val="22"/>
          <w:lang w:eastAsia="es-ES"/>
        </w:rPr>
      </w:pPr>
      <w:r w:rsidRPr="00AD430E">
        <w:rPr>
          <w:rFonts w:ascii="Verdana" w:eastAsia="Calibri" w:hAnsi="Verdana" w:cs="Arial"/>
          <w:color w:val="000000" w:themeColor="text1"/>
          <w:sz w:val="22"/>
          <w:szCs w:val="22"/>
          <w:lang w:eastAsia="es-ES"/>
        </w:rPr>
        <w:t>En ejercicio de la competencia otorgada por los artículos 3, numeral 5º, y 11, numeral 8º, del Decreto Ley 4170 de 2011,</w:t>
      </w:r>
      <w:r w:rsidRPr="00AD430E">
        <w:rPr>
          <w:rFonts w:ascii="Verdana" w:eastAsia="Arial MT" w:hAnsi="Verdana" w:cs="Arial MT"/>
          <w:color w:val="000000" w:themeColor="text1"/>
          <w:sz w:val="22"/>
          <w:szCs w:val="22"/>
          <w:lang w:eastAsia="es-ES"/>
        </w:rPr>
        <w:t xml:space="preserve"> </w:t>
      </w:r>
      <w:r w:rsidRPr="00AD430E">
        <w:rPr>
          <w:rFonts w:ascii="Verdana" w:hAnsi="Verdana" w:cs="Arial"/>
          <w:color w:val="000000" w:themeColor="text1"/>
          <w:sz w:val="22"/>
          <w:szCs w:val="22"/>
        </w:rPr>
        <w:t xml:space="preserve">así como lo establecido en el artículo 4 de la Resolución 1707 de 2018 expedida por esta Entidad, </w:t>
      </w:r>
      <w:r w:rsidRPr="00AD430E">
        <w:rPr>
          <w:rFonts w:ascii="Verdana" w:eastAsia="Calibri" w:hAnsi="Verdana" w:cs="Arial"/>
          <w:color w:val="000000" w:themeColor="text1"/>
          <w:sz w:val="22"/>
          <w:szCs w:val="22"/>
          <w:lang w:eastAsia="es-ES"/>
        </w:rPr>
        <w:t xml:space="preserve">la Agencia Nacional de Contratación Pública – Colombia Compra Eficiente– responde su solicitud de consulta de fecha 27 de septiembre de 2024, en la cual manifiesta lo siguiente: </w:t>
      </w:r>
    </w:p>
    <w:p w14:paraId="598DF6C3" w14:textId="77777777" w:rsidR="008421CB" w:rsidRPr="00132167" w:rsidRDefault="008421CB" w:rsidP="008421CB">
      <w:pPr>
        <w:pStyle w:val="Prrafodelista"/>
        <w:tabs>
          <w:tab w:val="left" w:pos="142"/>
          <w:tab w:val="left" w:pos="284"/>
        </w:tabs>
        <w:spacing w:line="240" w:lineRule="auto"/>
        <w:ind w:left="0"/>
        <w:jc w:val="both"/>
        <w:rPr>
          <w:rFonts w:ascii="Verdana" w:eastAsia="Century Gothic" w:hAnsi="Verdana" w:cs="Century Gothic"/>
          <w:b/>
          <w:bCs/>
          <w:color w:val="000000" w:themeColor="text1"/>
          <w:sz w:val="20"/>
          <w:szCs w:val="20"/>
        </w:rPr>
      </w:pPr>
    </w:p>
    <w:p w14:paraId="36408AD4" w14:textId="77777777" w:rsidR="008421CB" w:rsidRPr="00132167" w:rsidRDefault="008421CB" w:rsidP="008421CB">
      <w:pPr>
        <w:ind w:left="709" w:right="709"/>
        <w:jc w:val="both"/>
        <w:rPr>
          <w:rFonts w:ascii="Verdana" w:eastAsia="Century Gothic" w:hAnsi="Verdana" w:cs="Century Gothic"/>
          <w:color w:val="000000" w:themeColor="text1"/>
          <w:sz w:val="20"/>
          <w:szCs w:val="20"/>
        </w:rPr>
      </w:pPr>
      <w:bookmarkStart w:id="0" w:name="_Hlk95313578"/>
      <w:r w:rsidRPr="00132167">
        <w:rPr>
          <w:rFonts w:ascii="Verdana" w:eastAsia="Century Gothic" w:hAnsi="Verdana" w:cs="Century Gothic"/>
          <w:color w:val="000000" w:themeColor="text1"/>
          <w:sz w:val="20"/>
          <w:szCs w:val="20"/>
        </w:rPr>
        <w:t>“[…]</w:t>
      </w:r>
    </w:p>
    <w:p w14:paraId="651AC7BF" w14:textId="77777777" w:rsidR="008421CB" w:rsidRPr="00132167" w:rsidRDefault="008421CB" w:rsidP="008421CB">
      <w:pPr>
        <w:pStyle w:val="Prrafodelista"/>
        <w:numPr>
          <w:ilvl w:val="0"/>
          <w:numId w:val="19"/>
        </w:numPr>
        <w:spacing w:after="0" w:line="240" w:lineRule="auto"/>
        <w:ind w:right="709"/>
        <w:jc w:val="both"/>
        <w:rPr>
          <w:rStyle w:val="normaltextrun"/>
          <w:rFonts w:ascii="Verdana" w:hAnsi="Verdana" w:cs="Arial"/>
          <w:color w:val="000000" w:themeColor="text1"/>
          <w:sz w:val="20"/>
          <w:szCs w:val="20"/>
          <w:shd w:val="clear" w:color="auto" w:fill="FFFFFF"/>
        </w:rPr>
      </w:pPr>
      <w:r w:rsidRPr="00132167">
        <w:rPr>
          <w:rStyle w:val="normaltextrun"/>
          <w:rFonts w:ascii="Verdana" w:hAnsi="Verdana" w:cs="Arial"/>
          <w:color w:val="000000" w:themeColor="text1"/>
          <w:sz w:val="20"/>
          <w:szCs w:val="20"/>
          <w:shd w:val="clear" w:color="auto" w:fill="FFFFFF"/>
        </w:rPr>
        <w:t>El traslado del informe preliminar en licitación pública es determinado por la Ley en 5 días hábiles, considerando lo anterior, se consulta:</w:t>
      </w:r>
    </w:p>
    <w:p w14:paraId="4F6DD755" w14:textId="77777777" w:rsidR="008421CB" w:rsidRPr="00132167" w:rsidRDefault="008421CB" w:rsidP="008421CB">
      <w:pPr>
        <w:pStyle w:val="Prrafodelista"/>
        <w:spacing w:after="0" w:line="240" w:lineRule="auto"/>
        <w:ind w:left="1069" w:right="709"/>
        <w:jc w:val="both"/>
        <w:rPr>
          <w:rStyle w:val="normaltextrun"/>
          <w:rFonts w:ascii="Verdana" w:hAnsi="Verdana" w:cs="Arial"/>
          <w:color w:val="000000" w:themeColor="text1"/>
          <w:sz w:val="20"/>
          <w:szCs w:val="20"/>
          <w:shd w:val="clear" w:color="auto" w:fill="FFFFFF"/>
        </w:rPr>
      </w:pPr>
    </w:p>
    <w:p w14:paraId="43EAB5C4" w14:textId="77777777" w:rsidR="008421CB" w:rsidRPr="00132167" w:rsidRDefault="008421CB" w:rsidP="008421CB">
      <w:pPr>
        <w:pStyle w:val="Prrafodelista"/>
        <w:numPr>
          <w:ilvl w:val="0"/>
          <w:numId w:val="20"/>
        </w:numPr>
        <w:spacing w:after="0" w:line="240" w:lineRule="auto"/>
        <w:ind w:right="709"/>
        <w:jc w:val="both"/>
        <w:rPr>
          <w:rStyle w:val="normaltextrun"/>
          <w:rFonts w:ascii="Verdana" w:hAnsi="Verdana" w:cs="Arial"/>
          <w:color w:val="000000" w:themeColor="text1"/>
          <w:sz w:val="20"/>
          <w:szCs w:val="20"/>
          <w:shd w:val="clear" w:color="auto" w:fill="FFFFFF"/>
        </w:rPr>
      </w:pPr>
      <w:r w:rsidRPr="00132167">
        <w:rPr>
          <w:rStyle w:val="normaltextrun"/>
          <w:rFonts w:ascii="Verdana" w:hAnsi="Verdana" w:cs="Arial"/>
          <w:color w:val="000000" w:themeColor="text1"/>
          <w:sz w:val="20"/>
          <w:szCs w:val="20"/>
          <w:shd w:val="clear" w:color="auto" w:fill="FFFFFF"/>
        </w:rPr>
        <w:lastRenderedPageBreak/>
        <w:t>¿Los días hábiles corresponden a los días en que presta atención al público la entidad?</w:t>
      </w:r>
    </w:p>
    <w:p w14:paraId="1E4BEA89" w14:textId="77777777" w:rsidR="008421CB" w:rsidRPr="00132167" w:rsidRDefault="008421CB" w:rsidP="008421CB">
      <w:pPr>
        <w:pStyle w:val="Prrafodelista"/>
        <w:numPr>
          <w:ilvl w:val="0"/>
          <w:numId w:val="20"/>
        </w:numPr>
        <w:spacing w:after="0" w:line="240" w:lineRule="auto"/>
        <w:ind w:right="709"/>
        <w:jc w:val="both"/>
        <w:rPr>
          <w:rStyle w:val="normaltextrun"/>
          <w:rFonts w:ascii="Verdana" w:hAnsi="Verdana" w:cs="Arial"/>
          <w:color w:val="000000" w:themeColor="text1"/>
          <w:sz w:val="20"/>
          <w:szCs w:val="20"/>
          <w:shd w:val="clear" w:color="auto" w:fill="FFFFFF"/>
        </w:rPr>
      </w:pPr>
      <w:r w:rsidRPr="00132167">
        <w:rPr>
          <w:rStyle w:val="normaltextrun"/>
          <w:rFonts w:ascii="Verdana" w:hAnsi="Verdana" w:cs="Arial"/>
          <w:color w:val="000000" w:themeColor="text1"/>
          <w:sz w:val="20"/>
          <w:szCs w:val="20"/>
          <w:shd w:val="clear" w:color="auto" w:fill="FFFFFF"/>
        </w:rPr>
        <w:t>¿Sí la entidad tiene atención al público el sábado, medio día; esto se considera hábil?</w:t>
      </w:r>
    </w:p>
    <w:p w14:paraId="61714470" w14:textId="77777777" w:rsidR="008421CB" w:rsidRPr="00132167" w:rsidRDefault="008421CB" w:rsidP="008421CB">
      <w:pPr>
        <w:pStyle w:val="Prrafodelista"/>
        <w:numPr>
          <w:ilvl w:val="0"/>
          <w:numId w:val="20"/>
        </w:numPr>
        <w:spacing w:after="0" w:line="240" w:lineRule="auto"/>
        <w:ind w:right="709"/>
        <w:jc w:val="both"/>
        <w:rPr>
          <w:rStyle w:val="normaltextrun"/>
          <w:rFonts w:ascii="Verdana" w:hAnsi="Verdana" w:cs="Arial"/>
          <w:color w:val="000000" w:themeColor="text1"/>
          <w:sz w:val="20"/>
          <w:szCs w:val="20"/>
          <w:shd w:val="clear" w:color="auto" w:fill="FFFFFF"/>
        </w:rPr>
      </w:pPr>
      <w:r w:rsidRPr="00132167">
        <w:rPr>
          <w:rStyle w:val="normaltextrun"/>
          <w:rFonts w:ascii="Verdana" w:hAnsi="Verdana" w:cs="Arial"/>
          <w:color w:val="000000" w:themeColor="text1"/>
          <w:sz w:val="20"/>
          <w:szCs w:val="20"/>
          <w:shd w:val="clear" w:color="auto" w:fill="FFFFFF"/>
        </w:rPr>
        <w:t>¿La entidad puede dar un plazo mayor a los 5 días hábiles indicados por la norma para observaciones y subsanaciones en licitación pública?</w:t>
      </w:r>
    </w:p>
    <w:p w14:paraId="515B5F24" w14:textId="77777777" w:rsidR="008421CB" w:rsidRPr="00132167" w:rsidRDefault="008421CB" w:rsidP="008421CB">
      <w:pPr>
        <w:pStyle w:val="Prrafodelista"/>
        <w:numPr>
          <w:ilvl w:val="0"/>
          <w:numId w:val="20"/>
        </w:numPr>
        <w:spacing w:after="0" w:line="240" w:lineRule="auto"/>
        <w:ind w:right="709"/>
        <w:jc w:val="both"/>
        <w:rPr>
          <w:rStyle w:val="normaltextrun"/>
          <w:rFonts w:ascii="Verdana" w:hAnsi="Verdana" w:cs="Arial"/>
          <w:color w:val="000000" w:themeColor="text1"/>
          <w:sz w:val="20"/>
          <w:szCs w:val="20"/>
          <w:shd w:val="clear" w:color="auto" w:fill="FFFFFF"/>
        </w:rPr>
      </w:pPr>
      <w:r w:rsidRPr="00132167">
        <w:rPr>
          <w:rStyle w:val="normaltextrun"/>
          <w:rFonts w:ascii="Verdana" w:hAnsi="Verdana" w:cs="Arial"/>
          <w:color w:val="000000" w:themeColor="text1"/>
          <w:sz w:val="20"/>
          <w:szCs w:val="20"/>
          <w:shd w:val="clear" w:color="auto" w:fill="FFFFFF"/>
        </w:rPr>
        <w:t>¿En el evento que se presenten subsanaciones fuera del plazo de los 5 días hábiles señalados por la ley, pero dentro de un mayor plazo otorgado por la entidad, deben ser rechazadas?</w:t>
      </w:r>
    </w:p>
    <w:p w14:paraId="395DDBD8" w14:textId="77777777" w:rsidR="008421CB" w:rsidRPr="00132167" w:rsidRDefault="008421CB" w:rsidP="008421CB">
      <w:pPr>
        <w:ind w:left="709" w:right="709"/>
        <w:jc w:val="both"/>
        <w:rPr>
          <w:rStyle w:val="normaltextrun"/>
          <w:rFonts w:ascii="Verdana" w:hAnsi="Verdana" w:cs="Arial"/>
          <w:color w:val="000000" w:themeColor="text1"/>
          <w:sz w:val="20"/>
          <w:szCs w:val="20"/>
          <w:shd w:val="clear" w:color="auto" w:fill="FFFFFF"/>
        </w:rPr>
      </w:pPr>
    </w:p>
    <w:p w14:paraId="60C7B94B" w14:textId="77777777" w:rsidR="008421CB" w:rsidRPr="00132167" w:rsidRDefault="008421CB" w:rsidP="008421CB">
      <w:pPr>
        <w:pStyle w:val="Prrafodelista"/>
        <w:numPr>
          <w:ilvl w:val="0"/>
          <w:numId w:val="19"/>
        </w:numPr>
        <w:spacing w:after="0" w:line="240" w:lineRule="auto"/>
        <w:ind w:right="709"/>
        <w:jc w:val="both"/>
        <w:rPr>
          <w:rStyle w:val="normaltextrun"/>
          <w:rFonts w:ascii="Verdana" w:hAnsi="Verdana" w:cs="Arial"/>
          <w:color w:val="000000" w:themeColor="text1"/>
          <w:sz w:val="20"/>
          <w:szCs w:val="20"/>
          <w:shd w:val="clear" w:color="auto" w:fill="FFFFFF"/>
        </w:rPr>
      </w:pPr>
      <w:r w:rsidRPr="00132167">
        <w:rPr>
          <w:rStyle w:val="normaltextrun"/>
          <w:rFonts w:ascii="Verdana" w:hAnsi="Verdana" w:cs="Arial"/>
          <w:color w:val="000000" w:themeColor="text1"/>
          <w:sz w:val="20"/>
          <w:szCs w:val="20"/>
          <w:shd w:val="clear" w:color="auto" w:fill="FFFFFF"/>
        </w:rPr>
        <w:t>Los pliegos tipos de obra de transporte consagran en corrección aritmética, la figura de aproximación al peso se consulta:</w:t>
      </w:r>
    </w:p>
    <w:p w14:paraId="691C6B8E" w14:textId="77777777" w:rsidR="008421CB" w:rsidRPr="00132167" w:rsidRDefault="008421CB" w:rsidP="008421CB">
      <w:pPr>
        <w:pStyle w:val="Prrafodelista"/>
        <w:spacing w:after="0" w:line="240" w:lineRule="auto"/>
        <w:ind w:left="1069" w:right="709"/>
        <w:jc w:val="both"/>
        <w:rPr>
          <w:rStyle w:val="normaltextrun"/>
          <w:rFonts w:ascii="Verdana" w:hAnsi="Verdana" w:cs="Arial"/>
          <w:color w:val="000000" w:themeColor="text1"/>
          <w:sz w:val="20"/>
          <w:szCs w:val="20"/>
          <w:shd w:val="clear" w:color="auto" w:fill="FFFFFF"/>
        </w:rPr>
      </w:pPr>
    </w:p>
    <w:p w14:paraId="0257035A" w14:textId="77777777" w:rsidR="008421CB" w:rsidRPr="00132167" w:rsidRDefault="008421CB" w:rsidP="008421CB">
      <w:pPr>
        <w:pStyle w:val="Prrafodelista"/>
        <w:numPr>
          <w:ilvl w:val="0"/>
          <w:numId w:val="20"/>
        </w:numPr>
        <w:spacing w:after="0" w:line="240" w:lineRule="auto"/>
        <w:ind w:right="709"/>
        <w:jc w:val="both"/>
        <w:rPr>
          <w:rStyle w:val="normaltextrun"/>
          <w:rFonts w:ascii="Verdana" w:hAnsi="Verdana" w:cs="Arial"/>
          <w:color w:val="000000" w:themeColor="text1"/>
          <w:sz w:val="20"/>
          <w:szCs w:val="20"/>
          <w:shd w:val="clear" w:color="auto" w:fill="FFFFFF"/>
        </w:rPr>
      </w:pPr>
      <w:r w:rsidRPr="00132167">
        <w:rPr>
          <w:rStyle w:val="normaltextrun"/>
          <w:rFonts w:ascii="Verdana" w:hAnsi="Verdana" w:cs="Arial"/>
          <w:color w:val="000000" w:themeColor="text1"/>
          <w:sz w:val="20"/>
          <w:szCs w:val="20"/>
          <w:shd w:val="clear" w:color="auto" w:fill="FFFFFF"/>
        </w:rPr>
        <w:t xml:space="preserve">¿La aproximación se realiza únicamente sobre el precio unitario? o sobre que valores se realiza dicha aproximación. </w:t>
      </w:r>
    </w:p>
    <w:p w14:paraId="5F284239" w14:textId="77777777" w:rsidR="008421CB" w:rsidRPr="00132167" w:rsidRDefault="008421CB" w:rsidP="008421CB">
      <w:pPr>
        <w:pStyle w:val="Prrafodelista"/>
        <w:numPr>
          <w:ilvl w:val="0"/>
          <w:numId w:val="20"/>
        </w:numPr>
        <w:spacing w:after="0" w:line="240" w:lineRule="auto"/>
        <w:ind w:right="709"/>
        <w:jc w:val="both"/>
        <w:rPr>
          <w:rStyle w:val="normaltextrun"/>
          <w:rFonts w:ascii="Verdana" w:hAnsi="Verdana" w:cs="Arial"/>
          <w:color w:val="000000" w:themeColor="text1"/>
          <w:sz w:val="20"/>
          <w:szCs w:val="20"/>
          <w:shd w:val="clear" w:color="auto" w:fill="FFFFFF"/>
        </w:rPr>
      </w:pPr>
      <w:r w:rsidRPr="00132167">
        <w:rPr>
          <w:rStyle w:val="normaltextrun"/>
          <w:rFonts w:ascii="Verdana" w:hAnsi="Verdana" w:cs="Arial"/>
          <w:color w:val="000000" w:themeColor="text1"/>
          <w:sz w:val="20"/>
          <w:szCs w:val="20"/>
          <w:shd w:val="clear" w:color="auto" w:fill="FFFFFF"/>
        </w:rPr>
        <w:t>¿Es obligación de la entidad realizar dicha aproximación ítem por ítem o debe realizarla sobre el valor total?</w:t>
      </w:r>
    </w:p>
    <w:p w14:paraId="26817D32" w14:textId="77777777" w:rsidR="008421CB" w:rsidRPr="00132167" w:rsidRDefault="008421CB" w:rsidP="008421CB">
      <w:pPr>
        <w:pStyle w:val="Prrafodelista"/>
        <w:numPr>
          <w:ilvl w:val="0"/>
          <w:numId w:val="20"/>
        </w:numPr>
        <w:spacing w:after="0" w:line="240" w:lineRule="auto"/>
        <w:ind w:right="709"/>
        <w:jc w:val="both"/>
        <w:rPr>
          <w:rStyle w:val="normaltextrun"/>
          <w:rFonts w:ascii="Verdana" w:hAnsi="Verdana" w:cs="Arial"/>
          <w:color w:val="000000" w:themeColor="text1"/>
          <w:sz w:val="20"/>
          <w:szCs w:val="20"/>
          <w:shd w:val="clear" w:color="auto" w:fill="FFFFFF"/>
        </w:rPr>
      </w:pPr>
      <w:r w:rsidRPr="00132167">
        <w:rPr>
          <w:rStyle w:val="normaltextrun"/>
          <w:rFonts w:ascii="Verdana" w:hAnsi="Verdana" w:cs="Arial"/>
          <w:color w:val="000000" w:themeColor="text1"/>
          <w:sz w:val="20"/>
          <w:szCs w:val="20"/>
          <w:shd w:val="clear" w:color="auto" w:fill="FFFFFF"/>
        </w:rPr>
        <w:t xml:space="preserve">¿Es obligación o facultativo por la entidad realizar dicha corrección? </w:t>
      </w:r>
    </w:p>
    <w:p w14:paraId="50ACB4A4" w14:textId="77777777" w:rsidR="008421CB" w:rsidRPr="00132167" w:rsidRDefault="008421CB" w:rsidP="008421CB">
      <w:pPr>
        <w:ind w:left="709" w:right="709"/>
        <w:jc w:val="both"/>
        <w:rPr>
          <w:rStyle w:val="normaltextrun"/>
          <w:rFonts w:ascii="Verdana" w:hAnsi="Verdana" w:cs="Arial"/>
          <w:color w:val="000000" w:themeColor="text1"/>
          <w:sz w:val="20"/>
          <w:szCs w:val="20"/>
          <w:shd w:val="clear" w:color="auto" w:fill="FFFFFF"/>
        </w:rPr>
      </w:pPr>
    </w:p>
    <w:p w14:paraId="0C9ACA61" w14:textId="77777777" w:rsidR="008421CB" w:rsidRPr="00132167" w:rsidRDefault="008421CB" w:rsidP="008421CB">
      <w:pPr>
        <w:ind w:left="709" w:right="709"/>
        <w:jc w:val="both"/>
        <w:rPr>
          <w:rFonts w:ascii="Verdana" w:eastAsia="Century Gothic" w:hAnsi="Verdana" w:cs="Century Gothic"/>
          <w:color w:val="000000" w:themeColor="text1"/>
          <w:sz w:val="20"/>
          <w:szCs w:val="20"/>
        </w:rPr>
      </w:pPr>
      <w:r w:rsidRPr="00132167">
        <w:rPr>
          <w:rStyle w:val="normaltextrun"/>
          <w:rFonts w:ascii="Verdana" w:hAnsi="Verdana" w:cs="Arial"/>
          <w:color w:val="000000" w:themeColor="text1"/>
          <w:sz w:val="20"/>
          <w:szCs w:val="20"/>
          <w:shd w:val="clear" w:color="auto" w:fill="FFFFFF"/>
        </w:rPr>
        <w:t>[…]</w:t>
      </w:r>
      <w:r w:rsidRPr="00132167">
        <w:rPr>
          <w:rFonts w:ascii="Verdana" w:eastAsia="Century Gothic" w:hAnsi="Verdana" w:cs="Century Gothic"/>
          <w:color w:val="000000" w:themeColor="text1"/>
          <w:sz w:val="20"/>
          <w:szCs w:val="20"/>
        </w:rPr>
        <w:t>”</w:t>
      </w:r>
      <w:bookmarkEnd w:id="0"/>
      <w:r w:rsidRPr="00132167">
        <w:rPr>
          <w:rFonts w:ascii="Verdana" w:eastAsia="Century Gothic" w:hAnsi="Verdana" w:cs="Century Gothic"/>
          <w:color w:val="000000" w:themeColor="text1"/>
          <w:sz w:val="20"/>
          <w:szCs w:val="20"/>
        </w:rPr>
        <w:t>.</w:t>
      </w:r>
    </w:p>
    <w:p w14:paraId="295293B4" w14:textId="77777777" w:rsidR="008421CB" w:rsidRPr="00132167" w:rsidRDefault="008421CB" w:rsidP="008421CB">
      <w:pPr>
        <w:pStyle w:val="Prrafodelista"/>
        <w:tabs>
          <w:tab w:val="left" w:pos="142"/>
          <w:tab w:val="left" w:pos="284"/>
        </w:tabs>
        <w:spacing w:line="276" w:lineRule="auto"/>
        <w:ind w:left="0"/>
        <w:jc w:val="both"/>
        <w:rPr>
          <w:rFonts w:ascii="Verdana" w:eastAsia="Century Gothic" w:hAnsi="Verdana" w:cs="Century Gothic"/>
          <w:b/>
          <w:bCs/>
          <w:color w:val="000000" w:themeColor="text1"/>
        </w:rPr>
      </w:pPr>
    </w:p>
    <w:p w14:paraId="5FF91729" w14:textId="77777777" w:rsidR="008421CB" w:rsidRPr="00AD430E" w:rsidRDefault="008421CB" w:rsidP="008421CB">
      <w:pPr>
        <w:spacing w:after="120" w:line="276" w:lineRule="auto"/>
        <w:ind w:firstLine="709"/>
        <w:jc w:val="both"/>
        <w:rPr>
          <w:rFonts w:ascii="Verdana" w:eastAsia="Calibri" w:hAnsi="Verdana" w:cs="Arial"/>
          <w:color w:val="000000" w:themeColor="text1"/>
          <w:sz w:val="22"/>
          <w:szCs w:val="22"/>
          <w:lang w:val="es-ES_tradnl"/>
        </w:rPr>
      </w:pPr>
      <w:r w:rsidRPr="00AD430E">
        <w:rPr>
          <w:rFonts w:ascii="Verdana" w:eastAsia="Calibri" w:hAnsi="Verdana" w:cs="Arial"/>
          <w:color w:val="000000" w:themeColor="text1"/>
          <w:sz w:val="22"/>
          <w:szCs w:val="22"/>
          <w:lang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AD430E">
        <w:rPr>
          <w:rFonts w:ascii="Verdana" w:eastAsia="Calibri" w:hAnsi="Verdana" w:cs="Arial"/>
          <w:color w:val="000000" w:themeColor="text1"/>
          <w:sz w:val="22"/>
          <w:szCs w:val="22"/>
          <w:lang w:val="es-ES_tradnl"/>
        </w:rPr>
        <w:tab/>
      </w:r>
    </w:p>
    <w:p w14:paraId="71FA77A1" w14:textId="77777777" w:rsidR="008421CB" w:rsidRPr="00AD430E" w:rsidRDefault="008421CB" w:rsidP="008421CB">
      <w:pPr>
        <w:spacing w:line="276" w:lineRule="auto"/>
        <w:ind w:firstLine="709"/>
        <w:jc w:val="both"/>
        <w:rPr>
          <w:rFonts w:ascii="Verdana" w:eastAsia="Calibri" w:hAnsi="Verdana" w:cs="Arial"/>
          <w:color w:val="000000" w:themeColor="text1"/>
          <w:sz w:val="22"/>
          <w:szCs w:val="22"/>
          <w:lang w:eastAsia="es-ES"/>
        </w:rPr>
      </w:pPr>
      <w:r w:rsidRPr="00AD430E">
        <w:rPr>
          <w:rFonts w:ascii="Verdana" w:eastAsia="Calibri" w:hAnsi="Verdana" w:cs="Arial"/>
          <w:color w:val="000000" w:themeColor="text1"/>
          <w:sz w:val="22"/>
          <w:szCs w:val="22"/>
          <w:lang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30CC3F5E" w14:textId="77777777" w:rsidR="008421CB" w:rsidRPr="00AD430E" w:rsidRDefault="008421CB" w:rsidP="008421CB">
      <w:pPr>
        <w:spacing w:line="276" w:lineRule="auto"/>
        <w:ind w:firstLine="709"/>
        <w:jc w:val="both"/>
        <w:rPr>
          <w:rFonts w:ascii="Verdana" w:eastAsia="Calibri" w:hAnsi="Verdana" w:cs="Arial"/>
          <w:color w:val="000000" w:themeColor="text1"/>
          <w:sz w:val="22"/>
          <w:szCs w:val="22"/>
          <w:lang w:eastAsia="es-ES"/>
        </w:rPr>
      </w:pPr>
    </w:p>
    <w:p w14:paraId="26A7D7EF" w14:textId="77777777" w:rsidR="008421CB" w:rsidRPr="00AD430E" w:rsidRDefault="008421CB" w:rsidP="008421CB">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themeColor="text1"/>
        </w:rPr>
      </w:pPr>
      <w:r w:rsidRPr="00AD430E">
        <w:rPr>
          <w:rFonts w:ascii="Verdana" w:eastAsia="Century Gothic" w:hAnsi="Verdana" w:cs="Century Gothic"/>
          <w:b/>
          <w:bCs/>
          <w:color w:val="000000" w:themeColor="text1"/>
        </w:rPr>
        <w:t>Problema planteado:</w:t>
      </w:r>
    </w:p>
    <w:p w14:paraId="1013BD0D" w14:textId="77777777" w:rsidR="008421CB" w:rsidRPr="00AD430E" w:rsidRDefault="008421CB" w:rsidP="008421CB">
      <w:pPr>
        <w:tabs>
          <w:tab w:val="left" w:pos="426"/>
        </w:tabs>
        <w:spacing w:line="276" w:lineRule="auto"/>
        <w:jc w:val="both"/>
        <w:rPr>
          <w:rFonts w:ascii="Verdana" w:eastAsia="Century Gothic" w:hAnsi="Verdana" w:cs="Century Gothic"/>
          <w:color w:val="000000" w:themeColor="text1"/>
          <w:sz w:val="22"/>
          <w:szCs w:val="22"/>
        </w:rPr>
      </w:pPr>
    </w:p>
    <w:p w14:paraId="60484B4D" w14:textId="77777777" w:rsidR="008421CB" w:rsidRDefault="008421CB" w:rsidP="008421CB">
      <w:pPr>
        <w:jc w:val="both"/>
        <w:rPr>
          <w:rFonts w:ascii="Verdana" w:hAnsi="Verdana"/>
          <w:color w:val="000000" w:themeColor="text1"/>
          <w:sz w:val="22"/>
          <w:szCs w:val="22"/>
        </w:rPr>
      </w:pPr>
      <w:r w:rsidRPr="00AD430E">
        <w:rPr>
          <w:rFonts w:ascii="Verdana" w:eastAsia="Century Gothic" w:hAnsi="Verdana" w:cs="Century Gothic"/>
          <w:color w:val="000000" w:themeColor="text1"/>
          <w:sz w:val="22"/>
          <w:szCs w:val="22"/>
        </w:rPr>
        <w:t xml:space="preserve">De acuerdo con el contenido de su solicitud, esta Agencia resolverá los siguientes problemas jurídicos: </w:t>
      </w:r>
      <w:r w:rsidRPr="00AD430E">
        <w:rPr>
          <w:rFonts w:ascii="Verdana" w:hAnsi="Verdana"/>
          <w:color w:val="000000" w:themeColor="text1"/>
          <w:sz w:val="22"/>
          <w:szCs w:val="22"/>
        </w:rPr>
        <w:t>i) ¿Cuál es el marco jurídico del traslado del informe de evaluación y subsanaciones en la licitación? ii ¿Cuál es el alcance de la figura de la aproximación al peso en la corrección aritmética de los pliegos tipos de obra del sector transporte?</w:t>
      </w:r>
    </w:p>
    <w:p w14:paraId="2C172543" w14:textId="77777777" w:rsidR="00AD430E" w:rsidRPr="00AD430E" w:rsidRDefault="00AD430E" w:rsidP="008421CB">
      <w:pPr>
        <w:jc w:val="both"/>
        <w:rPr>
          <w:rFonts w:ascii="Verdana" w:hAnsi="Verdana"/>
          <w:color w:val="000000" w:themeColor="text1"/>
          <w:sz w:val="22"/>
          <w:szCs w:val="22"/>
        </w:rPr>
      </w:pPr>
    </w:p>
    <w:p w14:paraId="507DAFEC" w14:textId="77777777" w:rsidR="008421CB" w:rsidRPr="00AD430E" w:rsidRDefault="008421CB" w:rsidP="008421C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AD430E">
        <w:rPr>
          <w:rFonts w:ascii="Verdana" w:eastAsia="Century Gothic" w:hAnsi="Verdana" w:cs="Century Gothic"/>
          <w:b/>
          <w:bCs/>
          <w:color w:val="000000" w:themeColor="text1"/>
        </w:rPr>
        <w:t>Respuesta:</w:t>
      </w:r>
    </w:p>
    <w:p w14:paraId="00D2E09B" w14:textId="77777777" w:rsidR="008421CB" w:rsidRPr="00132167" w:rsidRDefault="008421CB" w:rsidP="008421CB">
      <w:pPr>
        <w:tabs>
          <w:tab w:val="left" w:pos="142"/>
          <w:tab w:val="left" w:pos="284"/>
        </w:tabs>
        <w:spacing w:line="276" w:lineRule="auto"/>
        <w:jc w:val="both"/>
        <w:rPr>
          <w:rFonts w:ascii="Verdana" w:eastAsia="Century Gothic" w:hAnsi="Verdana" w:cs="Century Gothic"/>
          <w:b/>
          <w:bCs/>
          <w:color w:val="000000" w:themeColor="text1"/>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421CB" w:rsidRPr="00132167" w14:paraId="082FB252" w14:textId="77777777" w:rsidTr="00CE7CC4">
        <w:trPr>
          <w:trHeight w:val="3038"/>
        </w:trPr>
        <w:tc>
          <w:tcPr>
            <w:tcW w:w="8828" w:type="dxa"/>
            <w:shd w:val="clear" w:color="auto" w:fill="auto"/>
          </w:tcPr>
          <w:p w14:paraId="34FF550E" w14:textId="77777777" w:rsidR="008421CB" w:rsidRPr="00132167" w:rsidRDefault="008421CB" w:rsidP="008421CB">
            <w:pPr>
              <w:pStyle w:val="Prrafodelista"/>
              <w:numPr>
                <w:ilvl w:val="0"/>
                <w:numId w:val="21"/>
              </w:numPr>
              <w:spacing w:line="276" w:lineRule="auto"/>
              <w:jc w:val="both"/>
              <w:rPr>
                <w:rFonts w:ascii="Verdana" w:eastAsia="Calibri" w:hAnsi="Verdana" w:cs="Arial"/>
                <w:bCs/>
                <w:color w:val="000000" w:themeColor="text1"/>
              </w:rPr>
            </w:pPr>
            <w:r w:rsidRPr="00132167">
              <w:rPr>
                <w:rFonts w:ascii="Verdana" w:eastAsia="Calibri" w:hAnsi="Verdana" w:cs="Arial"/>
                <w:bCs/>
                <w:color w:val="000000" w:themeColor="text1"/>
              </w:rPr>
              <w:t xml:space="preserve">El marco jurídico del traslado del informe de evaluación en la licitación pública se fundamenta desde el ámbito legal en el literal 1 del artículo 2 de la Ley 1150 de 2007 que modifica a la Ley 80 de 1993 el cual establece la modalidad de selección por licitación. </w:t>
            </w:r>
          </w:p>
          <w:p w14:paraId="426EBD26" w14:textId="77777777" w:rsidR="008421CB" w:rsidRPr="00132167" w:rsidRDefault="008421CB" w:rsidP="00CE7CC4">
            <w:pPr>
              <w:pStyle w:val="Prrafodelista"/>
              <w:spacing w:line="276" w:lineRule="auto"/>
              <w:ind w:left="1080"/>
              <w:jc w:val="both"/>
              <w:rPr>
                <w:rFonts w:ascii="Verdana" w:eastAsia="Calibri" w:hAnsi="Verdana" w:cs="Arial"/>
                <w:bCs/>
                <w:color w:val="000000" w:themeColor="text1"/>
              </w:rPr>
            </w:pPr>
          </w:p>
          <w:p w14:paraId="2D5B2F96" w14:textId="77777777" w:rsidR="008421CB" w:rsidRPr="00132167" w:rsidRDefault="008421CB" w:rsidP="00CE7CC4">
            <w:pPr>
              <w:pStyle w:val="Prrafodelista"/>
              <w:spacing w:line="276" w:lineRule="auto"/>
              <w:ind w:left="1080"/>
              <w:jc w:val="both"/>
              <w:rPr>
                <w:rFonts w:ascii="Verdana" w:hAnsi="Verdana" w:cs="Arial"/>
                <w:color w:val="000000" w:themeColor="text1"/>
                <w:shd w:val="clear" w:color="auto" w:fill="FFFFFF"/>
              </w:rPr>
            </w:pPr>
            <w:r w:rsidRPr="00132167">
              <w:rPr>
                <w:rFonts w:ascii="Verdana" w:eastAsia="Calibri" w:hAnsi="Verdana" w:cs="Arial"/>
                <w:bCs/>
                <w:color w:val="000000" w:themeColor="text1"/>
              </w:rPr>
              <w:t>De igual manera, el numeral 8 del artículo 30 de la Ley 80 establece que l</w:t>
            </w:r>
            <w:r w:rsidRPr="00132167">
              <w:rPr>
                <w:rFonts w:ascii="Verdana" w:hAnsi="Verdana" w:cs="Arial"/>
                <w:color w:val="000000" w:themeColor="text1"/>
                <w:shd w:val="clear" w:color="auto" w:fill="FFFFFF"/>
              </w:rPr>
              <w:t>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 en tal sentido, se entiende que el término para el traslado d</w:t>
            </w:r>
            <w:r w:rsidRPr="00132167">
              <w:rPr>
                <w:rFonts w:ascii="Verdana" w:hAnsi="Verdana"/>
                <w:color w:val="000000" w:themeColor="text1"/>
              </w:rPr>
              <w:t xml:space="preserve">el informe </w:t>
            </w:r>
            <w:r w:rsidRPr="00132167">
              <w:rPr>
                <w:rFonts w:ascii="Verdana" w:hAnsi="Verdana" w:cs="Arial"/>
                <w:color w:val="000000" w:themeColor="text1"/>
                <w:shd w:val="clear" w:color="auto" w:fill="FFFFFF"/>
              </w:rPr>
              <w:t xml:space="preserve">y </w:t>
            </w:r>
            <w:r w:rsidRPr="00132167">
              <w:rPr>
                <w:rFonts w:ascii="Verdana" w:hAnsi="Verdana"/>
                <w:color w:val="000000" w:themeColor="text1"/>
              </w:rPr>
              <w:t>el momento oportuno para</w:t>
            </w:r>
            <w:r w:rsidRPr="00132167">
              <w:rPr>
                <w:rFonts w:ascii="Verdana" w:hAnsi="Verdana" w:cs="Arial"/>
                <w:color w:val="000000" w:themeColor="text1"/>
                <w:shd w:val="clear" w:color="auto" w:fill="FFFFFF"/>
              </w:rPr>
              <w:t xml:space="preserve"> presentar las subsanaciones y observaciones a lugar será de </w:t>
            </w:r>
            <w:r w:rsidRPr="00132167">
              <w:rPr>
                <w:rFonts w:ascii="Verdana" w:hAnsi="Verdana"/>
                <w:color w:val="000000" w:themeColor="text1"/>
              </w:rPr>
              <w:t>los</w:t>
            </w:r>
            <w:r w:rsidRPr="00132167">
              <w:rPr>
                <w:rFonts w:ascii="Verdana" w:hAnsi="Verdana" w:cs="Arial"/>
                <w:color w:val="000000" w:themeColor="text1"/>
                <w:shd w:val="clear" w:color="auto" w:fill="FFFFFF"/>
              </w:rPr>
              <w:t xml:space="preserve"> 5 días hábiles </w:t>
            </w:r>
            <w:r w:rsidRPr="00132167">
              <w:rPr>
                <w:rFonts w:ascii="Verdana" w:hAnsi="Verdana"/>
                <w:color w:val="000000" w:themeColor="text1"/>
              </w:rPr>
              <w:t>que la ley plantea</w:t>
            </w:r>
            <w:r w:rsidRPr="00132167">
              <w:rPr>
                <w:rFonts w:ascii="Verdana" w:hAnsi="Verdana" w:cs="Arial"/>
                <w:color w:val="000000" w:themeColor="text1"/>
                <w:shd w:val="clear" w:color="auto" w:fill="FFFFFF"/>
              </w:rPr>
              <w:t xml:space="preserve">. </w:t>
            </w:r>
          </w:p>
          <w:p w14:paraId="1E3D684F" w14:textId="77777777" w:rsidR="008421CB" w:rsidRPr="00132167" w:rsidRDefault="008421CB" w:rsidP="00CE7CC4">
            <w:pPr>
              <w:pStyle w:val="Prrafodelista"/>
              <w:spacing w:line="276" w:lineRule="auto"/>
              <w:ind w:left="1080"/>
              <w:jc w:val="both"/>
              <w:rPr>
                <w:rFonts w:ascii="Verdana" w:eastAsia="Calibri" w:hAnsi="Verdana" w:cs="Arial"/>
                <w:bCs/>
                <w:color w:val="000000" w:themeColor="text1"/>
              </w:rPr>
            </w:pPr>
          </w:p>
          <w:p w14:paraId="34D757DF" w14:textId="77777777" w:rsidR="008421CB" w:rsidRPr="00D77C41" w:rsidRDefault="008421CB" w:rsidP="00CE7CC4">
            <w:pPr>
              <w:pStyle w:val="Prrafodelista"/>
              <w:spacing w:line="276" w:lineRule="auto"/>
              <w:ind w:left="1080"/>
              <w:jc w:val="both"/>
              <w:rPr>
                <w:rFonts w:ascii="Verdana" w:hAnsi="Verdana" w:cs="Arial"/>
                <w:color w:val="000000" w:themeColor="text1"/>
                <w:shd w:val="clear" w:color="auto" w:fill="FFFFFF"/>
              </w:rPr>
            </w:pPr>
            <w:r w:rsidRPr="00132167">
              <w:rPr>
                <w:rFonts w:ascii="Verdana" w:eastAsia="Calibri" w:hAnsi="Verdana" w:cs="Arial"/>
                <w:bCs/>
                <w:color w:val="000000" w:themeColor="text1"/>
              </w:rPr>
              <w:t xml:space="preserve">De igual manera, el </w:t>
            </w:r>
            <w:r w:rsidRPr="00D77C41">
              <w:rPr>
                <w:rStyle w:val="Textoennegrita"/>
                <w:rFonts w:ascii="Verdana" w:hAnsi="Verdana" w:cs="Arial"/>
                <w:color w:val="000000" w:themeColor="text1"/>
                <w:shd w:val="clear" w:color="auto" w:fill="FFFFFF"/>
              </w:rPr>
              <w:t xml:space="preserve">Artículo </w:t>
            </w:r>
            <w:r w:rsidRPr="00D77C41">
              <w:rPr>
                <w:rStyle w:val="Textoennegrita"/>
                <w:rFonts w:ascii="Verdana" w:hAnsi="Verdana" w:cs="Arial"/>
                <w:b w:val="0"/>
                <w:color w:val="000000" w:themeColor="text1"/>
                <w:shd w:val="clear" w:color="auto" w:fill="FFFFFF"/>
              </w:rPr>
              <w:t>2.2.1.2.1.1.2.</w:t>
            </w:r>
            <w:r w:rsidRPr="00132167">
              <w:rPr>
                <w:rStyle w:val="nfasis"/>
                <w:rFonts w:ascii="Verdana" w:hAnsi="Verdana" w:cs="Arial"/>
                <w:b/>
                <w:bCs/>
                <w:color w:val="000000" w:themeColor="text1"/>
                <w:shd w:val="clear" w:color="auto" w:fill="FFFFFF"/>
              </w:rPr>
              <w:t xml:space="preserve">  </w:t>
            </w:r>
            <w:r w:rsidRPr="00D77C41">
              <w:rPr>
                <w:rStyle w:val="nfasis"/>
                <w:rFonts w:ascii="Verdana" w:hAnsi="Verdana" w:cs="Arial"/>
                <w:i w:val="0"/>
                <w:color w:val="000000" w:themeColor="text1"/>
                <w:shd w:val="clear" w:color="auto" w:fill="FFFFFF"/>
              </w:rPr>
              <w:t xml:space="preserve">del </w:t>
            </w:r>
            <w:r w:rsidRPr="00D77C41">
              <w:rPr>
                <w:rStyle w:val="nfasis"/>
                <w:rFonts w:ascii="Verdana" w:hAnsi="Verdana" w:cs="Arial"/>
                <w:color w:val="000000" w:themeColor="text1"/>
                <w:shd w:val="clear" w:color="auto" w:fill="FFFFFF"/>
              </w:rPr>
              <w:t>Decreto</w:t>
            </w:r>
            <w:r w:rsidRPr="00D77C41">
              <w:rPr>
                <w:rStyle w:val="nfasis"/>
                <w:rFonts w:ascii="Verdana" w:hAnsi="Verdana" w:cs="Arial"/>
                <w:i w:val="0"/>
                <w:color w:val="000000" w:themeColor="text1"/>
                <w:shd w:val="clear" w:color="auto" w:fill="FFFFFF"/>
              </w:rPr>
              <w:t xml:space="preserve"> 1082 del 2015 establece que en la audiencia de adjudicación de la licitación los oferentes podrán pronunciarse sobre las respuestas dadas por la</w:t>
            </w:r>
            <w:r w:rsidRPr="00132167">
              <w:rPr>
                <w:rFonts w:ascii="Verdana" w:hAnsi="Verdana" w:cs="Arial"/>
                <w:color w:val="000000" w:themeColor="text1"/>
                <w:shd w:val="clear" w:color="auto" w:fill="FFFFFF"/>
              </w:rPr>
              <w:t xml:space="preserve">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14:paraId="4452D031" w14:textId="77777777" w:rsidR="008421CB" w:rsidRPr="00D77C41" w:rsidRDefault="008421CB" w:rsidP="00CE7CC4">
            <w:pPr>
              <w:pStyle w:val="Prrafodelista"/>
              <w:spacing w:line="276" w:lineRule="auto"/>
              <w:ind w:left="1080"/>
              <w:jc w:val="both"/>
              <w:rPr>
                <w:rFonts w:ascii="Verdana" w:hAnsi="Verdana"/>
                <w:color w:val="000000" w:themeColor="text1"/>
              </w:rPr>
            </w:pPr>
          </w:p>
          <w:p w14:paraId="3809BAE6" w14:textId="77777777" w:rsidR="008421CB" w:rsidRPr="00132167" w:rsidRDefault="008421CB" w:rsidP="00CE7CC4">
            <w:pPr>
              <w:pStyle w:val="Prrafodelista"/>
              <w:spacing w:line="276" w:lineRule="auto"/>
              <w:ind w:left="1080"/>
              <w:jc w:val="both"/>
              <w:rPr>
                <w:rFonts w:ascii="Verdana" w:eastAsia="Calibri" w:hAnsi="Verdana" w:cs="Arial"/>
                <w:color w:val="000000" w:themeColor="text1"/>
              </w:rPr>
            </w:pPr>
            <w:r w:rsidRPr="00132167">
              <w:rPr>
                <w:rFonts w:ascii="Verdana" w:eastAsia="Calibri" w:hAnsi="Verdana" w:cs="Arial"/>
                <w:color w:val="000000" w:themeColor="text1"/>
              </w:rPr>
              <w:t xml:space="preserve">Según el Decreto 1082 de 2015, los plazos establecidos en las normas de contratación pública son en días hábiles, los cuales se entienden como aquellos en los que las entidades públicas están </w:t>
            </w:r>
            <w:r w:rsidRPr="00132167">
              <w:rPr>
                <w:rFonts w:ascii="Verdana" w:eastAsia="Calibri" w:hAnsi="Verdana" w:cs="Arial"/>
                <w:color w:val="000000" w:themeColor="text1"/>
              </w:rPr>
              <w:lastRenderedPageBreak/>
              <w:t xml:space="preserve">abiertas para el ejercicio de sus funciones, excluyendo los feriados y días no laborables, como domingos o festivos. </w:t>
            </w:r>
          </w:p>
          <w:p w14:paraId="6853CDE3" w14:textId="77777777" w:rsidR="008421CB" w:rsidRPr="00132167" w:rsidRDefault="008421CB" w:rsidP="00CE7CC4">
            <w:pPr>
              <w:pStyle w:val="Prrafodelista"/>
              <w:spacing w:line="276" w:lineRule="auto"/>
              <w:ind w:left="1080"/>
              <w:jc w:val="both"/>
              <w:rPr>
                <w:rFonts w:ascii="Verdana" w:eastAsia="Calibri" w:hAnsi="Verdana" w:cs="Arial"/>
                <w:color w:val="000000" w:themeColor="text1"/>
              </w:rPr>
            </w:pPr>
          </w:p>
          <w:p w14:paraId="720E707A" w14:textId="77777777" w:rsidR="008421CB" w:rsidRPr="00132167" w:rsidRDefault="008421CB" w:rsidP="008421CB">
            <w:pPr>
              <w:pStyle w:val="Prrafodelista"/>
              <w:numPr>
                <w:ilvl w:val="0"/>
                <w:numId w:val="21"/>
              </w:numPr>
              <w:spacing w:line="276" w:lineRule="auto"/>
              <w:jc w:val="both"/>
              <w:rPr>
                <w:rFonts w:ascii="Verdana" w:eastAsia="Calibri" w:hAnsi="Verdana" w:cs="Arial"/>
                <w:color w:val="000000" w:themeColor="text1"/>
                <w:lang w:val="es-MX"/>
              </w:rPr>
            </w:pPr>
            <w:r w:rsidRPr="00132167">
              <w:rPr>
                <w:rFonts w:ascii="Verdana" w:eastAsia="Calibri" w:hAnsi="Verdana" w:cs="Arial"/>
                <w:color w:val="000000" w:themeColor="text1"/>
              </w:rPr>
              <w:t xml:space="preserve">El numeral 4.1.2 del Documento Base de Licitación pública versión 3, establece las condiciones para que las entidades realicen las correcciones aritméticas y allí se indican dos consideraciones principales que se originen por las siguientes circunstancias: </w:t>
            </w:r>
          </w:p>
          <w:p w14:paraId="2EFDF18E" w14:textId="77777777" w:rsidR="008421CB" w:rsidRPr="00132167" w:rsidRDefault="008421CB" w:rsidP="00CE7CC4">
            <w:pPr>
              <w:pStyle w:val="Prrafodelista"/>
              <w:spacing w:line="276" w:lineRule="auto"/>
              <w:ind w:left="1080"/>
              <w:jc w:val="both"/>
              <w:rPr>
                <w:rFonts w:ascii="Verdana" w:eastAsia="Calibri" w:hAnsi="Verdana" w:cs="Arial"/>
                <w:i/>
                <w:iCs/>
                <w:color w:val="000000" w:themeColor="text1"/>
                <w:lang w:val="es-MX"/>
              </w:rPr>
            </w:pPr>
          </w:p>
          <w:p w14:paraId="5F28AA87" w14:textId="77777777" w:rsidR="008421CB" w:rsidRPr="00132167" w:rsidRDefault="008421CB" w:rsidP="00CE7CC4">
            <w:pPr>
              <w:pStyle w:val="Prrafodelista"/>
              <w:spacing w:line="276" w:lineRule="auto"/>
              <w:ind w:left="1416"/>
              <w:jc w:val="both"/>
              <w:rPr>
                <w:rFonts w:ascii="Verdana" w:eastAsia="Calibri" w:hAnsi="Verdana" w:cs="Arial"/>
                <w:i/>
                <w:iCs/>
                <w:color w:val="000000" w:themeColor="text1"/>
                <w:sz w:val="20"/>
                <w:szCs w:val="20"/>
              </w:rPr>
            </w:pPr>
            <w:r w:rsidRPr="00132167">
              <w:rPr>
                <w:rFonts w:ascii="Verdana" w:eastAsia="Calibri" w:hAnsi="Verdana" w:cs="Arial"/>
                <w:i/>
                <w:iCs/>
                <w:color w:val="000000" w:themeColor="text1"/>
              </w:rPr>
              <w:t>“A</w:t>
            </w:r>
            <w:r w:rsidRPr="00132167">
              <w:rPr>
                <w:rFonts w:ascii="Verdana" w:eastAsia="Calibri" w:hAnsi="Verdana" w:cs="Arial"/>
                <w:i/>
                <w:iCs/>
                <w:color w:val="000000" w:themeColor="text1"/>
                <w:sz w:val="20"/>
                <w:szCs w:val="20"/>
              </w:rPr>
              <w:t xml:space="preserve">. </w:t>
            </w:r>
            <w:r w:rsidRPr="00132167">
              <w:rPr>
                <w:rFonts w:ascii="Verdana" w:eastAsia="Calibri" w:hAnsi="Verdana" w:cs="Arial"/>
                <w:i/>
                <w:iCs/>
                <w:color w:val="000000" w:themeColor="text1"/>
                <w:sz w:val="20"/>
                <w:szCs w:val="20"/>
                <w:lang w:val="es-MX"/>
              </w:rPr>
              <w:t xml:space="preserve">Las </w:t>
            </w:r>
            <w:r w:rsidRPr="00132167">
              <w:rPr>
                <w:rFonts w:ascii="Verdana" w:eastAsia="Calibri" w:hAnsi="Verdana" w:cs="Arial"/>
                <w:i/>
                <w:iCs/>
                <w:color w:val="000000" w:themeColor="text1"/>
                <w:sz w:val="20"/>
                <w:szCs w:val="20"/>
              </w:rPr>
              <w:t>operaciones aritméticas a que haya lugar en la propuesta económica, cuando exista un error que surja de un cálculo meramente aritmético cuando la operación ha sido erróneamente realizada. </w:t>
            </w:r>
          </w:p>
          <w:p w14:paraId="3622E3FF" w14:textId="77777777" w:rsidR="008421CB" w:rsidRPr="00132167" w:rsidRDefault="008421CB" w:rsidP="00CE7CC4">
            <w:pPr>
              <w:pStyle w:val="Prrafodelista"/>
              <w:spacing w:line="276" w:lineRule="auto"/>
              <w:ind w:left="1416"/>
              <w:jc w:val="both"/>
              <w:rPr>
                <w:rFonts w:ascii="Verdana" w:eastAsia="Calibri" w:hAnsi="Verdana" w:cs="Arial"/>
                <w:i/>
                <w:iCs/>
                <w:color w:val="000000" w:themeColor="text1"/>
                <w:sz w:val="20"/>
                <w:szCs w:val="20"/>
                <w:lang w:val="es-MX"/>
              </w:rPr>
            </w:pPr>
          </w:p>
          <w:p w14:paraId="73917723" w14:textId="77777777" w:rsidR="008421CB" w:rsidRPr="00132167" w:rsidRDefault="008421CB" w:rsidP="00CE7CC4">
            <w:pPr>
              <w:pStyle w:val="Prrafodelista"/>
              <w:spacing w:line="276" w:lineRule="auto"/>
              <w:ind w:left="1416"/>
              <w:jc w:val="both"/>
              <w:rPr>
                <w:rFonts w:ascii="Verdana" w:eastAsia="Calibri" w:hAnsi="Verdana" w:cs="Arial"/>
                <w:i/>
                <w:iCs/>
                <w:color w:val="000000" w:themeColor="text1"/>
                <w:sz w:val="20"/>
                <w:szCs w:val="20"/>
              </w:rPr>
            </w:pPr>
            <w:r w:rsidRPr="00132167">
              <w:rPr>
                <w:rFonts w:ascii="Verdana" w:eastAsia="Calibri" w:hAnsi="Verdana" w:cs="Arial"/>
                <w:i/>
                <w:iCs/>
                <w:color w:val="000000" w:themeColor="text1"/>
                <w:sz w:val="20"/>
                <w:szCs w:val="20"/>
                <w:lang w:val="es-MX"/>
              </w:rPr>
              <w:t xml:space="preserve">B. El ajuste </w:t>
            </w:r>
            <w:r w:rsidRPr="00132167">
              <w:rPr>
                <w:rFonts w:ascii="Verdana" w:eastAsia="Calibri" w:hAnsi="Verdana" w:cs="Arial"/>
                <w:i/>
                <w:iCs/>
                <w:color w:val="000000" w:themeColor="text1"/>
                <w:sz w:val="20"/>
                <w:szCs w:val="20"/>
              </w:rPr>
              <w:t>al peso ya sea por exceso o por defecto de los precios unitarios contenidos en la propuesta económica y del valor del IVA, así: cuando la fracción decimal del peso sea igual o superior a punto cinco (0.5) se aproximará por exceso al número entero siguiente del peso y cuando la fracción decimal del peso sea inferior a punto cinco (0.5) se aproximará por defecto al número entero. “</w:t>
            </w:r>
          </w:p>
          <w:p w14:paraId="2E948130" w14:textId="77777777" w:rsidR="008421CB" w:rsidRPr="00132167" w:rsidRDefault="008421CB" w:rsidP="00CE7CC4">
            <w:pPr>
              <w:pStyle w:val="Prrafodelista"/>
              <w:spacing w:line="276" w:lineRule="auto"/>
              <w:ind w:left="1416"/>
              <w:jc w:val="both"/>
              <w:rPr>
                <w:rFonts w:ascii="Verdana" w:eastAsia="Calibri" w:hAnsi="Verdana" w:cs="Arial"/>
                <w:color w:val="000000" w:themeColor="text1"/>
                <w:sz w:val="20"/>
                <w:szCs w:val="20"/>
                <w:lang w:val="es-MX"/>
              </w:rPr>
            </w:pPr>
          </w:p>
          <w:p w14:paraId="122CD180" w14:textId="77777777" w:rsidR="008421CB" w:rsidRPr="00132167" w:rsidRDefault="008421CB" w:rsidP="00CE7CC4">
            <w:pPr>
              <w:pStyle w:val="Prrafodelista"/>
              <w:spacing w:line="276" w:lineRule="auto"/>
              <w:ind w:left="1080"/>
              <w:jc w:val="both"/>
              <w:rPr>
                <w:rFonts w:ascii="Verdana" w:eastAsia="Calibri" w:hAnsi="Verdana" w:cs="Arial"/>
                <w:color w:val="000000" w:themeColor="text1"/>
              </w:rPr>
            </w:pPr>
            <w:r w:rsidRPr="00132167">
              <w:rPr>
                <w:rFonts w:ascii="Verdana" w:eastAsia="Calibri" w:hAnsi="Verdana" w:cs="Arial"/>
                <w:color w:val="000000" w:themeColor="text1"/>
              </w:rPr>
              <w:t>La aproximación aritmética en los procesos de contratación por precios unitarios </w:t>
            </w:r>
            <w:r w:rsidRPr="00132167">
              <w:rPr>
                <w:rFonts w:ascii="Verdana" w:eastAsia="Calibri" w:hAnsi="Verdana" w:cs="Arial"/>
                <w:color w:val="000000" w:themeColor="text1"/>
                <w:u w:val="single"/>
              </w:rPr>
              <w:t>se realiza sobre los valores unitarios</w:t>
            </w:r>
            <w:r w:rsidRPr="00132167">
              <w:rPr>
                <w:rFonts w:ascii="Verdana" w:eastAsia="Calibri" w:hAnsi="Verdana" w:cs="Arial"/>
                <w:color w:val="000000" w:themeColor="text1"/>
              </w:rPr>
              <w:t xml:space="preserve">. </w:t>
            </w:r>
          </w:p>
          <w:p w14:paraId="5C6DE4C7" w14:textId="77777777" w:rsidR="008421CB" w:rsidRPr="00132167" w:rsidRDefault="008421CB" w:rsidP="00CE7CC4">
            <w:pPr>
              <w:pStyle w:val="Prrafodelista"/>
              <w:spacing w:line="276" w:lineRule="auto"/>
              <w:ind w:left="1080"/>
              <w:jc w:val="both"/>
              <w:rPr>
                <w:rFonts w:ascii="Verdana" w:eastAsia="Calibri" w:hAnsi="Verdana" w:cs="Arial"/>
                <w:color w:val="000000" w:themeColor="text1"/>
              </w:rPr>
            </w:pPr>
            <w:r w:rsidRPr="00132167">
              <w:rPr>
                <w:rFonts w:ascii="Verdana" w:eastAsia="Calibri" w:hAnsi="Verdana" w:cs="Arial"/>
                <w:color w:val="000000" w:themeColor="text1"/>
              </w:rPr>
              <w:t>El Formulario 1 del presupuesto oficial, establece unas notas para su diligenciamiento y entre ellas, se indica en la Nota No.2:</w:t>
            </w:r>
          </w:p>
          <w:p w14:paraId="7EEE98DB" w14:textId="77777777" w:rsidR="008421CB" w:rsidRPr="00132167" w:rsidRDefault="008421CB" w:rsidP="00CE7CC4">
            <w:pPr>
              <w:pStyle w:val="Prrafodelista"/>
              <w:spacing w:line="276" w:lineRule="auto"/>
              <w:ind w:left="1080"/>
              <w:jc w:val="both"/>
              <w:rPr>
                <w:rFonts w:ascii="Verdana" w:eastAsia="Calibri" w:hAnsi="Verdana" w:cs="Arial"/>
                <w:color w:val="000000" w:themeColor="text1"/>
              </w:rPr>
            </w:pPr>
          </w:p>
          <w:p w14:paraId="226AFF59" w14:textId="77777777" w:rsidR="008421CB" w:rsidRPr="00132167" w:rsidRDefault="008421CB" w:rsidP="00CE7CC4">
            <w:pPr>
              <w:pStyle w:val="Prrafodelista"/>
              <w:spacing w:line="276" w:lineRule="auto"/>
              <w:ind w:left="1080"/>
              <w:jc w:val="both"/>
              <w:rPr>
                <w:rFonts w:ascii="Verdana" w:eastAsia="Calibri" w:hAnsi="Verdana" w:cs="Arial"/>
                <w:color w:val="000000" w:themeColor="text1"/>
              </w:rPr>
            </w:pPr>
            <w:r w:rsidRPr="00132167">
              <w:rPr>
                <w:rFonts w:ascii="Verdana" w:eastAsia="Calibri" w:hAnsi="Verdana" w:cs="Arial"/>
                <w:color w:val="000000" w:themeColor="text1"/>
              </w:rPr>
              <w:t>“NOTA 2: Cuando la fracción decimal del peso sea igual o superior a 5 se aproximará por exceso al número entero siguiente del peso y cuando la fracción decimal del peso sea inferior a 5 se aproximará por defecto al número entero del peso. “</w:t>
            </w:r>
          </w:p>
          <w:p w14:paraId="7DD2C17C" w14:textId="77777777" w:rsidR="008421CB" w:rsidRPr="00132167" w:rsidRDefault="008421CB" w:rsidP="00CE7CC4">
            <w:pPr>
              <w:pStyle w:val="Prrafodelista"/>
              <w:spacing w:line="276" w:lineRule="auto"/>
              <w:ind w:left="1080"/>
              <w:jc w:val="both"/>
              <w:rPr>
                <w:rFonts w:ascii="Verdana" w:eastAsia="Calibri" w:hAnsi="Verdana" w:cs="Arial"/>
                <w:color w:val="000000" w:themeColor="text1"/>
              </w:rPr>
            </w:pPr>
          </w:p>
          <w:p w14:paraId="1955AF2E" w14:textId="77777777" w:rsidR="008421CB" w:rsidRPr="00132167" w:rsidRDefault="008421CB" w:rsidP="00CE7CC4">
            <w:pPr>
              <w:pStyle w:val="Prrafodelista"/>
              <w:spacing w:line="276" w:lineRule="auto"/>
              <w:ind w:left="1080"/>
              <w:jc w:val="both"/>
              <w:rPr>
                <w:rFonts w:ascii="Verdana" w:eastAsia="Calibri" w:hAnsi="Verdana" w:cs="Arial"/>
                <w:color w:val="000000" w:themeColor="text1"/>
              </w:rPr>
            </w:pPr>
            <w:r w:rsidRPr="00132167">
              <w:rPr>
                <w:rFonts w:ascii="Verdana" w:eastAsia="Calibri" w:hAnsi="Verdana" w:cs="Arial"/>
                <w:color w:val="000000" w:themeColor="text1"/>
              </w:rPr>
              <w:t>La aproximación </w:t>
            </w:r>
            <w:r w:rsidRPr="00132167">
              <w:rPr>
                <w:rFonts w:ascii="Verdana" w:eastAsia="Calibri" w:hAnsi="Verdana" w:cs="Arial"/>
                <w:color w:val="000000" w:themeColor="text1"/>
                <w:u w:val="single"/>
              </w:rPr>
              <w:t>debe realizarse ítem por ítem</w:t>
            </w:r>
            <w:r w:rsidRPr="00132167">
              <w:rPr>
                <w:rFonts w:ascii="Verdana" w:eastAsia="Calibri" w:hAnsi="Verdana" w:cs="Arial"/>
                <w:color w:val="000000" w:themeColor="text1"/>
              </w:rPr>
              <w:t>, ya que está   directamente relacionada con los precios unitarios del presupuesto oficial. Esto significa que la entidad no puede realizar la aproximación sobre el valor total del contrato.</w:t>
            </w:r>
          </w:p>
          <w:p w14:paraId="072E3861" w14:textId="77777777" w:rsidR="008421CB" w:rsidRPr="00132167" w:rsidRDefault="008421CB" w:rsidP="00CE7CC4">
            <w:pPr>
              <w:pStyle w:val="Prrafodelista"/>
              <w:spacing w:line="276" w:lineRule="auto"/>
              <w:ind w:left="1080"/>
              <w:jc w:val="both"/>
              <w:rPr>
                <w:rFonts w:ascii="Verdana" w:eastAsia="Calibri" w:hAnsi="Verdana" w:cs="Arial"/>
                <w:color w:val="000000" w:themeColor="text1"/>
              </w:rPr>
            </w:pPr>
          </w:p>
          <w:p w14:paraId="13358B5A" w14:textId="77777777" w:rsidR="008421CB" w:rsidRPr="00132167" w:rsidRDefault="008421CB" w:rsidP="00CE7CC4">
            <w:pPr>
              <w:spacing w:line="276" w:lineRule="auto"/>
              <w:jc w:val="both"/>
              <w:rPr>
                <w:rFonts w:ascii="Verdana" w:eastAsia="Calibri" w:hAnsi="Verdana" w:cs="Arial"/>
                <w:color w:val="000000" w:themeColor="text1"/>
              </w:rPr>
            </w:pPr>
            <w:r w:rsidRPr="00AD430E">
              <w:rPr>
                <w:rFonts w:ascii="Verdana" w:eastAsia="Calibri" w:hAnsi="Verdana" w:cs="Arial"/>
                <w:color w:val="000000" w:themeColor="text1"/>
                <w:sz w:val="22"/>
                <w:szCs w:val="22"/>
              </w:rPr>
              <w:t>Finalmente, es obligación de la entidad realizar la corrección aritmética de acuerdo con lo establecido en el numeral 4.1.2. del documento base, basados en la propuesta económica presentada por los proponentes con el Formulario 1, incluidas las notas 1, 2 y 3 de dicho formulario, y las reglas establecidas en los documentos tipo de Infraestructura de Transporte.</w:t>
            </w:r>
          </w:p>
        </w:tc>
      </w:tr>
    </w:tbl>
    <w:p w14:paraId="28D8B73A" w14:textId="77777777" w:rsidR="008421CB" w:rsidRPr="00132167" w:rsidRDefault="008421CB" w:rsidP="008421CB">
      <w:pPr>
        <w:tabs>
          <w:tab w:val="left" w:pos="142"/>
          <w:tab w:val="left" w:pos="284"/>
        </w:tabs>
        <w:spacing w:line="276" w:lineRule="auto"/>
        <w:jc w:val="both"/>
        <w:rPr>
          <w:rFonts w:ascii="Verdana" w:eastAsia="Century Gothic" w:hAnsi="Verdana" w:cs="Century Gothic"/>
          <w:b/>
          <w:bCs/>
          <w:color w:val="000000" w:themeColor="text1"/>
        </w:rPr>
      </w:pPr>
    </w:p>
    <w:p w14:paraId="1CF9F1D5" w14:textId="77777777" w:rsidR="008421CB" w:rsidRPr="00132167" w:rsidRDefault="008421CB" w:rsidP="008421C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32167">
        <w:rPr>
          <w:rFonts w:ascii="Verdana" w:eastAsia="Century Gothic" w:hAnsi="Verdana" w:cs="Century Gothic"/>
          <w:b/>
          <w:bCs/>
          <w:color w:val="000000" w:themeColor="text1"/>
        </w:rPr>
        <w:t>Razones de la respuesta:</w:t>
      </w:r>
    </w:p>
    <w:p w14:paraId="3BBF2FFA" w14:textId="77777777" w:rsidR="008421CB" w:rsidRPr="00132167" w:rsidRDefault="008421CB" w:rsidP="008421CB">
      <w:pPr>
        <w:spacing w:line="276" w:lineRule="auto"/>
        <w:jc w:val="both"/>
        <w:rPr>
          <w:rFonts w:ascii="Verdana" w:eastAsia="Calibri" w:hAnsi="Verdana" w:cs="Arial"/>
          <w:color w:val="000000" w:themeColor="text1"/>
        </w:rPr>
      </w:pPr>
    </w:p>
    <w:p w14:paraId="30A05B1E" w14:textId="77777777" w:rsidR="008421CB" w:rsidRDefault="008421CB" w:rsidP="008421CB">
      <w:pPr>
        <w:spacing w:line="276" w:lineRule="auto"/>
        <w:jc w:val="both"/>
        <w:rPr>
          <w:rFonts w:ascii="Verdana" w:eastAsia="Calibri" w:hAnsi="Verdana" w:cs="Arial"/>
          <w:color w:val="000000" w:themeColor="text1"/>
        </w:rPr>
      </w:pPr>
      <w:r w:rsidRPr="00132167">
        <w:rPr>
          <w:rFonts w:ascii="Verdana" w:eastAsia="Calibri" w:hAnsi="Verdana" w:cs="Arial"/>
          <w:color w:val="000000" w:themeColor="text1"/>
        </w:rPr>
        <w:t xml:space="preserve">Lo anterior se sustenta en las siguientes consideraciones: </w:t>
      </w:r>
    </w:p>
    <w:p w14:paraId="278B9974" w14:textId="77777777" w:rsidR="00AD430E" w:rsidRPr="002700C3" w:rsidRDefault="00AD430E" w:rsidP="008421CB">
      <w:pPr>
        <w:spacing w:line="276" w:lineRule="auto"/>
        <w:jc w:val="both"/>
        <w:rPr>
          <w:rFonts w:ascii="Verdana" w:eastAsia="Calibri" w:hAnsi="Verdana" w:cs="Arial"/>
          <w:color w:val="000000" w:themeColor="text1"/>
        </w:rPr>
      </w:pPr>
    </w:p>
    <w:p w14:paraId="12D46AD0" w14:textId="77777777" w:rsidR="008421CB" w:rsidRPr="00AD430E" w:rsidRDefault="008421CB" w:rsidP="008421CB">
      <w:pPr>
        <w:pStyle w:val="Prrafodelista"/>
        <w:numPr>
          <w:ilvl w:val="0"/>
          <w:numId w:val="26"/>
        </w:numPr>
        <w:jc w:val="both"/>
        <w:rPr>
          <w:rFonts w:ascii="Verdana" w:hAnsi="Verdana"/>
          <w:i/>
          <w:color w:val="000000" w:themeColor="text1"/>
        </w:rPr>
      </w:pPr>
      <w:r w:rsidRPr="00AD430E">
        <w:rPr>
          <w:rFonts w:ascii="Verdana" w:eastAsia="Times New Roman" w:hAnsi="Verdana" w:cs="Arial"/>
          <w:color w:val="000000" w:themeColor="text1"/>
          <w:lang w:eastAsia="es-ES"/>
        </w:rPr>
        <w:t xml:space="preserve">Frente al primer interrogante, es menester señalar que el literal 1 del artículo 2 de la Ley 1150 de 2007 </w:t>
      </w:r>
      <w:proofErr w:type="gramStart"/>
      <w:r w:rsidRPr="00AD430E">
        <w:rPr>
          <w:rFonts w:ascii="Verdana" w:eastAsia="Times New Roman" w:hAnsi="Verdana" w:cs="Arial"/>
          <w:color w:val="000000" w:themeColor="text1"/>
          <w:lang w:eastAsia="es-ES"/>
        </w:rPr>
        <w:t>establece  como</w:t>
      </w:r>
      <w:proofErr w:type="gramEnd"/>
      <w:r w:rsidRPr="00AD430E">
        <w:rPr>
          <w:rFonts w:ascii="Verdana" w:eastAsia="Times New Roman" w:hAnsi="Verdana" w:cs="Arial"/>
          <w:color w:val="000000" w:themeColor="text1"/>
          <w:lang w:eastAsia="es-ES"/>
        </w:rPr>
        <w:t xml:space="preserve"> una modalidad de selección del contratista, la licitación pública y señala </w:t>
      </w:r>
      <w:r w:rsidRPr="00AD430E">
        <w:rPr>
          <w:rFonts w:ascii="Verdana" w:eastAsia="Times New Roman" w:hAnsi="Verdana" w:cs="Arial"/>
          <w:i/>
          <w:iCs/>
          <w:color w:val="000000" w:themeColor="text1"/>
          <w:lang w:eastAsia="es-ES"/>
        </w:rPr>
        <w:t xml:space="preserve">“ </w:t>
      </w:r>
      <w:r w:rsidRPr="00AD430E">
        <w:rPr>
          <w:rFonts w:ascii="Verdana" w:eastAsia="Times New Roman" w:hAnsi="Verdana" w:cs="Arial"/>
          <w:i/>
          <w:iCs/>
          <w:color w:val="000000" w:themeColor="text1"/>
          <w:lang w:val="es-CO" w:eastAsia="es-ES"/>
        </w:rPr>
        <w:t>1. </w:t>
      </w:r>
      <w:r w:rsidRPr="00AD430E">
        <w:rPr>
          <w:rFonts w:ascii="Verdana" w:eastAsia="Times New Roman" w:hAnsi="Verdana" w:cs="Arial"/>
          <w:b/>
          <w:bCs/>
          <w:i/>
          <w:iCs/>
          <w:color w:val="000000" w:themeColor="text1"/>
          <w:lang w:val="es-CO" w:eastAsia="es-ES"/>
        </w:rPr>
        <w:t>Licitación pública</w:t>
      </w:r>
      <w:r w:rsidRPr="00AD430E">
        <w:rPr>
          <w:rFonts w:ascii="Verdana" w:eastAsia="Times New Roman" w:hAnsi="Verdana" w:cs="Arial"/>
          <w:i/>
          <w:iCs/>
          <w:color w:val="000000" w:themeColor="text1"/>
          <w:lang w:val="es-CO" w:eastAsia="es-ES"/>
        </w:rPr>
        <w:t>. La escogencia del contratista se efectuará por regla general a través de licitación pública, con las excepciones que se señalan en los numerales 2, 3 y 4 del presente artículo. (…)”</w:t>
      </w:r>
    </w:p>
    <w:p w14:paraId="33D0D241" w14:textId="77777777" w:rsidR="00AD430E" w:rsidRPr="00AD430E" w:rsidRDefault="00AD430E" w:rsidP="00AD430E">
      <w:pPr>
        <w:pStyle w:val="Prrafodelista"/>
        <w:jc w:val="both"/>
        <w:rPr>
          <w:rFonts w:ascii="Verdana" w:hAnsi="Verdana"/>
          <w:i/>
          <w:color w:val="000000" w:themeColor="text1"/>
        </w:rPr>
      </w:pPr>
    </w:p>
    <w:p w14:paraId="7A126A07" w14:textId="77777777" w:rsidR="008421CB" w:rsidRPr="00AD430E" w:rsidRDefault="008421CB" w:rsidP="008421CB">
      <w:pPr>
        <w:pStyle w:val="Prrafodelista"/>
        <w:numPr>
          <w:ilvl w:val="0"/>
          <w:numId w:val="26"/>
        </w:numPr>
        <w:spacing w:line="278" w:lineRule="auto"/>
        <w:jc w:val="both"/>
        <w:rPr>
          <w:rFonts w:ascii="Verdana" w:hAnsi="Verdana"/>
          <w:color w:val="000000" w:themeColor="text1"/>
        </w:rPr>
      </w:pPr>
      <w:r w:rsidRPr="00AD430E">
        <w:rPr>
          <w:rFonts w:ascii="Verdana" w:hAnsi="Verdana"/>
          <w:color w:val="000000" w:themeColor="text1"/>
        </w:rPr>
        <w:t xml:space="preserve">Que el numeral 8 del artículo 30 de la Ley 80 de 1993, artículo 30 establece que: </w:t>
      </w:r>
    </w:p>
    <w:p w14:paraId="2F7A7EC9" w14:textId="77777777" w:rsidR="008421CB" w:rsidRPr="00AD430E" w:rsidRDefault="008421CB" w:rsidP="008421CB">
      <w:pPr>
        <w:spacing w:line="276" w:lineRule="auto"/>
        <w:ind w:left="709" w:right="709"/>
        <w:jc w:val="both"/>
        <w:rPr>
          <w:rFonts w:ascii="Verdana" w:hAnsi="Verdana"/>
          <w:i/>
          <w:iCs/>
          <w:color w:val="000000" w:themeColor="text1"/>
          <w:sz w:val="22"/>
          <w:szCs w:val="22"/>
        </w:rPr>
      </w:pPr>
      <w:r w:rsidRPr="00AD430E">
        <w:rPr>
          <w:rFonts w:ascii="Verdana" w:hAnsi="Verdana"/>
          <w:i/>
          <w:iCs/>
          <w:color w:val="000000" w:themeColor="text1"/>
          <w:sz w:val="22"/>
          <w:szCs w:val="22"/>
        </w:rPr>
        <w:t>“[…] El informe de evaluación de las propuestas debe permanecer disponible en la Secretaría de la Entidad Estatal durante cinco (5) días hábiles. Este período tiene como finalidad permitir que los oferentes puedan presentar observaciones sobre el informe. No obstante, la ley establece que los oferentes no pueden modificar, completar o mejorar sus propuestas durante este plazo. El objetivo de esta disposición es asegurar que las observaciones sean únicamente de carácter explicativo o de aclaración, sin que impliquen la alteración sustancial de las ofertas presentadas […]”.</w:t>
      </w:r>
    </w:p>
    <w:p w14:paraId="095EC2C2" w14:textId="77777777" w:rsidR="008421CB" w:rsidRPr="00AD430E" w:rsidRDefault="008421CB" w:rsidP="008421CB">
      <w:pPr>
        <w:jc w:val="both"/>
        <w:rPr>
          <w:rFonts w:ascii="Verdana" w:hAnsi="Verdana"/>
          <w:sz w:val="22"/>
          <w:szCs w:val="22"/>
        </w:rPr>
      </w:pPr>
      <w:r w:rsidRPr="00AD430E">
        <w:rPr>
          <w:rFonts w:ascii="Verdana" w:hAnsi="Verdana"/>
          <w:sz w:val="22"/>
          <w:szCs w:val="22"/>
        </w:rPr>
        <w:t>Que el artículo 2.2.1.2.1.1.2 del Decreto 1082 de 2015 señala la forma en que los oferentes pueden interactuar con la entidad estatal durante el proceso de licitación. En la audiencia de adjudicación, los oferentes tienen la oportunidad de “pronunciarse sobre las respuestas de la entidad a sus observaciones” sobre el informe de evaluación. Sin embargo, es importante resaltar que esta audiencia “no implica una nueva oportunidad para modificar o mejorar las propuestas”.</w:t>
      </w:r>
      <w:r w:rsidRPr="00AD430E">
        <w:rPr>
          <w:sz w:val="22"/>
          <w:szCs w:val="22"/>
        </w:rPr>
        <w:t xml:space="preserve"> </w:t>
      </w:r>
      <w:r w:rsidRPr="00AD430E">
        <w:rPr>
          <w:rFonts w:ascii="Verdana" w:hAnsi="Verdana"/>
          <w:sz w:val="22"/>
          <w:szCs w:val="22"/>
        </w:rPr>
        <w:t>En caso de que surjan cuestiones que requieran un análisis más profundo y cuya resolución pueda afectar la decisión final de adjudicación, la audiencia puede ser suspendida por el tiempo necesario para verificar los aspectos debatidos.</w:t>
      </w:r>
    </w:p>
    <w:p w14:paraId="136248DF" w14:textId="77777777" w:rsidR="008421CB" w:rsidRPr="00AD430E" w:rsidRDefault="008421CB" w:rsidP="008421CB">
      <w:pPr>
        <w:pStyle w:val="Prrafodelista"/>
        <w:jc w:val="both"/>
        <w:rPr>
          <w:rFonts w:ascii="Verdana" w:hAnsi="Verdana"/>
          <w:color w:val="000000" w:themeColor="text1"/>
        </w:rPr>
      </w:pPr>
    </w:p>
    <w:p w14:paraId="3C9255EC" w14:textId="77777777" w:rsidR="008421CB" w:rsidRPr="00AD430E" w:rsidRDefault="008421CB" w:rsidP="008421CB">
      <w:pPr>
        <w:pStyle w:val="Prrafodelista"/>
        <w:numPr>
          <w:ilvl w:val="0"/>
          <w:numId w:val="27"/>
        </w:numPr>
        <w:spacing w:line="276" w:lineRule="auto"/>
        <w:jc w:val="both"/>
        <w:rPr>
          <w:rFonts w:ascii="Verdana" w:hAnsi="Verdana"/>
          <w:color w:val="000000" w:themeColor="text1"/>
        </w:rPr>
      </w:pPr>
      <w:r w:rsidRPr="00AD430E">
        <w:rPr>
          <w:rFonts w:ascii="Verdana" w:hAnsi="Verdana"/>
          <w:color w:val="000000" w:themeColor="text1"/>
        </w:rPr>
        <w:t xml:space="preserve">Es así como en el proceso de traslado del informe de evaluación en una licitación pública está regulado por una serie de normas que garantizan la participación de los oferentes, sin que esto implique la posibilidad de modificar sus propuestas. El plazo para la presentación de observaciones es de cinco (5) días hábiles y, en caso de que se requieran más análisis o </w:t>
      </w:r>
      <w:r w:rsidRPr="00AD430E">
        <w:rPr>
          <w:rFonts w:ascii="Verdana" w:hAnsi="Verdana"/>
          <w:color w:val="000000" w:themeColor="text1"/>
        </w:rPr>
        <w:lastRenderedPageBreak/>
        <w:t>aclaraciones, se puede suspender la audiencia de adjudicación. Los plazos se computan en días hábiles, excluyendo festivos y días no laborales.</w:t>
      </w:r>
    </w:p>
    <w:p w14:paraId="54F72071" w14:textId="77777777" w:rsidR="008421CB" w:rsidRPr="00AD430E" w:rsidRDefault="008421CB" w:rsidP="008421CB">
      <w:pPr>
        <w:pStyle w:val="Prrafodelista"/>
        <w:spacing w:after="0" w:line="276" w:lineRule="auto"/>
        <w:jc w:val="both"/>
        <w:rPr>
          <w:rFonts w:ascii="Verdana" w:hAnsi="Verdana"/>
          <w:color w:val="000000" w:themeColor="text1"/>
        </w:rPr>
      </w:pPr>
    </w:p>
    <w:p w14:paraId="27A4637F" w14:textId="77777777" w:rsidR="008421CB" w:rsidRPr="00AD430E" w:rsidRDefault="008421CB" w:rsidP="008421CB">
      <w:pPr>
        <w:spacing w:line="276" w:lineRule="auto"/>
        <w:ind w:left="720"/>
        <w:jc w:val="both"/>
        <w:rPr>
          <w:rFonts w:ascii="Verdana" w:hAnsi="Verdana"/>
          <w:color w:val="000000" w:themeColor="text1"/>
          <w:sz w:val="22"/>
          <w:szCs w:val="22"/>
        </w:rPr>
      </w:pPr>
      <w:r w:rsidRPr="00AD430E">
        <w:rPr>
          <w:rFonts w:ascii="Verdana" w:hAnsi="Verdana"/>
          <w:color w:val="000000" w:themeColor="text1"/>
          <w:sz w:val="22"/>
          <w:szCs w:val="22"/>
        </w:rPr>
        <w:t>Ahora bien, los términos en derecho son perentorios, preclusivos y los fija el legislador en días hábiles, calendarios, y con una periodicidad cuando es necesario. De igual forma el Decreto 1082 del 2015 reglamenta los términos para cada procedimiento de adjudicación y lo ha determinado en materia de contratación en hábiles para cada uno de los trámites. En consecuencia, la entidad estatal deberá fijar sus cronogramas para los procesos de selección teniendo en cuenta la normativa vigente y sus decisiones deberán estar en armonía con esta, ya que, la decisión que vaya en contra de lo estipulado no será tenida en cuenta por la prevalencia de la norma en virtud del principio de jerarquía.</w:t>
      </w:r>
    </w:p>
    <w:p w14:paraId="6889CDCF" w14:textId="77777777" w:rsidR="008421CB" w:rsidRPr="00AD430E" w:rsidRDefault="008421CB" w:rsidP="008421CB">
      <w:pPr>
        <w:spacing w:line="276" w:lineRule="auto"/>
        <w:ind w:left="720"/>
        <w:jc w:val="both"/>
        <w:rPr>
          <w:rFonts w:ascii="Verdana" w:hAnsi="Verdana"/>
          <w:color w:val="000000" w:themeColor="text1"/>
          <w:sz w:val="22"/>
          <w:szCs w:val="22"/>
        </w:rPr>
      </w:pPr>
    </w:p>
    <w:p w14:paraId="09A973C4" w14:textId="7E22CA9E" w:rsidR="008421CB" w:rsidRPr="00AD430E" w:rsidRDefault="00AD430E" w:rsidP="008421CB">
      <w:pPr>
        <w:numPr>
          <w:ilvl w:val="0"/>
          <w:numId w:val="17"/>
        </w:numPr>
        <w:spacing w:line="276" w:lineRule="auto"/>
        <w:jc w:val="both"/>
        <w:rPr>
          <w:rFonts w:ascii="Verdana" w:eastAsia="Calibri" w:hAnsi="Verdana" w:cs="Arial"/>
          <w:bCs/>
          <w:color w:val="000000" w:themeColor="text1"/>
          <w:sz w:val="22"/>
          <w:szCs w:val="22"/>
          <w:lang w:val="es-CO"/>
        </w:rPr>
      </w:pPr>
      <w:r w:rsidRPr="00AD430E">
        <w:rPr>
          <w:rFonts w:ascii="Verdana" w:hAnsi="Verdana"/>
          <w:color w:val="000000" w:themeColor="text1"/>
          <w:sz w:val="22"/>
          <w:szCs w:val="22"/>
        </w:rPr>
        <w:t>Así</w:t>
      </w:r>
      <w:r w:rsidR="008421CB" w:rsidRPr="00AD430E">
        <w:rPr>
          <w:rFonts w:ascii="Verdana" w:hAnsi="Verdana"/>
          <w:color w:val="000000" w:themeColor="text1"/>
          <w:sz w:val="22"/>
          <w:szCs w:val="22"/>
        </w:rPr>
        <w:t xml:space="preserve"> mismo</w:t>
      </w:r>
      <w:r w:rsidR="008421CB" w:rsidRPr="00AD430E">
        <w:rPr>
          <w:rFonts w:ascii="Verdana" w:eastAsia="Calibri" w:hAnsi="Verdana" w:cs="Arial"/>
          <w:bCs/>
          <w:color w:val="000000" w:themeColor="text1"/>
          <w:sz w:val="22"/>
          <w:szCs w:val="22"/>
        </w:rPr>
        <w:t xml:space="preserve">, </w:t>
      </w:r>
      <w:bookmarkStart w:id="1" w:name="_Hlk67656400"/>
      <w:r w:rsidR="008421CB" w:rsidRPr="00AD430E">
        <w:rPr>
          <w:rFonts w:ascii="Verdana" w:eastAsia="Calibri" w:hAnsi="Verdana" w:cs="Arial"/>
          <w:bCs/>
          <w:color w:val="000000" w:themeColor="text1"/>
          <w:sz w:val="22"/>
          <w:szCs w:val="22"/>
        </w:rPr>
        <w:t>los días hábiles se determinan según la entidad, ya que “cada entidad pública establece la jornada laboral, a través de su reglamento interno, dando certeza sobre los días que atienden al público, e indirectamente definiendo qué día es hábil en determinada institución”</w:t>
      </w:r>
      <w:r w:rsidR="008421CB" w:rsidRPr="00AD430E">
        <w:rPr>
          <w:rStyle w:val="Refdenotaalpie"/>
          <w:rFonts w:ascii="Verdana" w:eastAsia="Calibri" w:hAnsi="Verdana" w:cs="Arial"/>
          <w:bCs/>
          <w:color w:val="000000" w:themeColor="text1"/>
          <w:sz w:val="22"/>
          <w:szCs w:val="22"/>
        </w:rPr>
        <w:footnoteReference w:id="1"/>
      </w:r>
      <w:r w:rsidR="008421CB" w:rsidRPr="00AD430E">
        <w:rPr>
          <w:rFonts w:ascii="Verdana" w:eastAsia="Calibri" w:hAnsi="Verdana" w:cs="Arial"/>
          <w:bCs/>
          <w:color w:val="000000" w:themeColor="text1"/>
          <w:sz w:val="22"/>
          <w:szCs w:val="22"/>
        </w:rPr>
        <w:t xml:space="preserve">,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 </w:t>
      </w:r>
    </w:p>
    <w:p w14:paraId="44CAD974" w14:textId="77777777" w:rsidR="008421CB" w:rsidRPr="00AD430E" w:rsidRDefault="008421CB" w:rsidP="008421CB">
      <w:pPr>
        <w:numPr>
          <w:ilvl w:val="0"/>
          <w:numId w:val="17"/>
        </w:numPr>
        <w:spacing w:line="276" w:lineRule="auto"/>
        <w:jc w:val="both"/>
        <w:rPr>
          <w:rFonts w:ascii="Verdana" w:eastAsia="Calibri" w:hAnsi="Verdana" w:cs="Arial"/>
          <w:bCs/>
          <w:color w:val="000000" w:themeColor="text1"/>
          <w:sz w:val="22"/>
          <w:szCs w:val="22"/>
        </w:rPr>
      </w:pPr>
      <w:r w:rsidRPr="00AD430E">
        <w:rPr>
          <w:rFonts w:ascii="Verdana" w:eastAsia="Calibri" w:hAnsi="Verdana" w:cs="Arial"/>
          <w:bCs/>
          <w:color w:val="000000" w:themeColor="text1"/>
          <w:sz w:val="22"/>
          <w:szCs w:val="22"/>
        </w:rPr>
        <w:t>Lo anterior, sin perjuicio de que las entidades definan en sus reglamentos internos jornadas laborales distintas, que incluyan el sábado o el domingo, como “[…] en los numerosos municipios del país donde la Administración labora los fines de semana ―sábados y domingos― normalmente para brindarle un buen servicio a la población campesina, que no acostumbra ir al casco urbano en estos dos días y descansan un día de la semana ―usualmente el miércoles―”</w:t>
      </w:r>
      <w:r w:rsidRPr="00AD430E">
        <w:rPr>
          <w:rStyle w:val="Refdenotaalpie"/>
          <w:rFonts w:ascii="Verdana" w:eastAsia="Calibri" w:hAnsi="Verdana" w:cs="Arial"/>
          <w:bCs/>
          <w:color w:val="000000" w:themeColor="text1"/>
          <w:sz w:val="22"/>
          <w:szCs w:val="22"/>
        </w:rPr>
        <w:footnoteReference w:id="2"/>
      </w:r>
      <w:r w:rsidRPr="00AD430E">
        <w:rPr>
          <w:rFonts w:ascii="Verdana" w:eastAsia="Calibri" w:hAnsi="Verdana" w:cs="Arial"/>
          <w:bCs/>
          <w:color w:val="000000" w:themeColor="text1"/>
          <w:sz w:val="22"/>
          <w:szCs w:val="22"/>
        </w:rPr>
        <w:t>, ejemplo donde los días laborables o hábiles son todos los de la semana, con excepción del miércoles.</w:t>
      </w:r>
      <w:bookmarkEnd w:id="1"/>
    </w:p>
    <w:p w14:paraId="35051A46" w14:textId="77777777" w:rsidR="008421CB" w:rsidRPr="00132167" w:rsidRDefault="008421CB" w:rsidP="008421CB">
      <w:pPr>
        <w:ind w:left="1491" w:right="357"/>
        <w:jc w:val="both"/>
        <w:rPr>
          <w:rFonts w:ascii="Verdana" w:hAnsi="Verdana"/>
          <w:color w:val="000000" w:themeColor="text1"/>
          <w:sz w:val="20"/>
          <w:szCs w:val="20"/>
        </w:rPr>
      </w:pPr>
    </w:p>
    <w:p w14:paraId="1FCDAED2" w14:textId="77777777" w:rsidR="008421CB" w:rsidRPr="002700C3" w:rsidRDefault="008421CB" w:rsidP="008421CB">
      <w:pPr>
        <w:pStyle w:val="Prrafodelista"/>
        <w:numPr>
          <w:ilvl w:val="0"/>
          <w:numId w:val="24"/>
        </w:numPr>
        <w:ind w:right="357"/>
        <w:jc w:val="both"/>
        <w:rPr>
          <w:rFonts w:ascii="Verdana" w:hAnsi="Verdana"/>
          <w:color w:val="000000" w:themeColor="text1"/>
        </w:rPr>
      </w:pPr>
      <w:r w:rsidRPr="00132167">
        <w:rPr>
          <w:rFonts w:ascii="Verdana" w:hAnsi="Verdana"/>
          <w:color w:val="000000" w:themeColor="text1"/>
        </w:rPr>
        <w:t xml:space="preserve">En virtud de lo anterior, es de mencionar que los días hábiles corresponden a los días laborales de la entidad estatal por lo que si la entidad presta servicios los sábados podrá incluirlos, pero en todos los </w:t>
      </w:r>
      <w:r w:rsidRPr="00132167">
        <w:rPr>
          <w:rFonts w:ascii="Verdana" w:hAnsi="Verdana"/>
          <w:color w:val="000000" w:themeColor="text1"/>
        </w:rPr>
        <w:lastRenderedPageBreak/>
        <w:t>casos la entidad estatal deberá procurar establecer de manera clara y que no haya lugar a equívocos cuales son los periodos y en el pliego de condiciones y en el cronograma cual será la extensión de los términos, es así como se debe decir cuando empiezan y terminan los plazos.</w:t>
      </w:r>
    </w:p>
    <w:p w14:paraId="30B87B64" w14:textId="77777777" w:rsidR="008421CB" w:rsidRPr="00132167" w:rsidRDefault="008421CB" w:rsidP="008421CB">
      <w:pPr>
        <w:numPr>
          <w:ilvl w:val="0"/>
          <w:numId w:val="17"/>
        </w:numPr>
        <w:spacing w:line="276" w:lineRule="auto"/>
        <w:jc w:val="both"/>
        <w:rPr>
          <w:rFonts w:ascii="Verdana" w:hAnsi="Verdana"/>
          <w:color w:val="000000" w:themeColor="text1"/>
        </w:rPr>
      </w:pPr>
      <w:r w:rsidRPr="00132167">
        <w:rPr>
          <w:rFonts w:ascii="Verdana" w:hAnsi="Verdana"/>
          <w:color w:val="000000" w:themeColor="text1"/>
        </w:rPr>
        <w:t>En ese mismo sentido, el Departamento Administrativo de la Función Pública, en concepto No. 170081 del 2022</w:t>
      </w:r>
      <w:r w:rsidRPr="00132167">
        <w:rPr>
          <w:rStyle w:val="Refdenotaalpie"/>
          <w:rFonts w:ascii="Verdana" w:hAnsi="Verdana"/>
          <w:color w:val="000000" w:themeColor="text1"/>
        </w:rPr>
        <w:footnoteReference w:id="3"/>
      </w:r>
      <w:r w:rsidRPr="00132167">
        <w:rPr>
          <w:rFonts w:ascii="Verdana" w:hAnsi="Verdana"/>
          <w:color w:val="000000" w:themeColor="text1"/>
        </w:rPr>
        <w:t>, frente a la concepción jurídica de los días hábiles y calendario expone así:</w:t>
      </w:r>
    </w:p>
    <w:p w14:paraId="306281A6" w14:textId="77777777" w:rsidR="008421CB" w:rsidRPr="00132167" w:rsidRDefault="008421CB" w:rsidP="008421CB">
      <w:pPr>
        <w:spacing w:line="276" w:lineRule="auto"/>
        <w:ind w:left="720"/>
        <w:jc w:val="both"/>
        <w:rPr>
          <w:rFonts w:ascii="Verdana" w:hAnsi="Verdana"/>
          <w:color w:val="000000" w:themeColor="text1"/>
        </w:rPr>
      </w:pPr>
    </w:p>
    <w:p w14:paraId="4E147A5F" w14:textId="77777777" w:rsidR="008421CB" w:rsidRPr="00132167" w:rsidRDefault="008421CB" w:rsidP="008421CB">
      <w:pPr>
        <w:ind w:left="1491" w:right="357"/>
        <w:jc w:val="both"/>
        <w:rPr>
          <w:rFonts w:ascii="Verdana" w:hAnsi="Verdana"/>
          <w:color w:val="000000" w:themeColor="text1"/>
          <w:sz w:val="20"/>
          <w:szCs w:val="20"/>
        </w:rPr>
      </w:pPr>
      <w:r w:rsidRPr="00132167">
        <w:rPr>
          <w:rFonts w:ascii="Verdana" w:hAnsi="Verdana"/>
          <w:color w:val="000000" w:themeColor="text1"/>
          <w:sz w:val="20"/>
          <w:szCs w:val="20"/>
        </w:rPr>
        <w:t>Ahora bien, la Ley 4ª de 1913, al regular lo relacionado con el concepto de días hábiles estableció:</w:t>
      </w:r>
    </w:p>
    <w:p w14:paraId="02A769C7" w14:textId="77777777" w:rsidR="008421CB" w:rsidRPr="00132167" w:rsidRDefault="008421CB" w:rsidP="008421CB">
      <w:pPr>
        <w:ind w:left="1491" w:right="357"/>
        <w:jc w:val="both"/>
        <w:rPr>
          <w:rFonts w:ascii="Verdana" w:hAnsi="Verdana"/>
          <w:color w:val="000000" w:themeColor="text1"/>
          <w:sz w:val="20"/>
          <w:szCs w:val="20"/>
        </w:rPr>
      </w:pPr>
      <w:r w:rsidRPr="00132167">
        <w:rPr>
          <w:rFonts w:ascii="Verdana" w:hAnsi="Verdana"/>
          <w:color w:val="000000" w:themeColor="text1"/>
          <w:sz w:val="20"/>
          <w:szCs w:val="20"/>
        </w:rPr>
        <w:t>“ARTICULO 62. 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w:t>
      </w:r>
    </w:p>
    <w:p w14:paraId="6B91B3E8" w14:textId="77777777" w:rsidR="008421CB" w:rsidRPr="00132167" w:rsidRDefault="008421CB" w:rsidP="008421CB">
      <w:pPr>
        <w:ind w:left="1491" w:right="357"/>
        <w:jc w:val="both"/>
        <w:rPr>
          <w:rFonts w:ascii="Verdana" w:hAnsi="Verdana"/>
          <w:color w:val="000000" w:themeColor="text1"/>
          <w:sz w:val="20"/>
          <w:szCs w:val="20"/>
        </w:rPr>
      </w:pPr>
      <w:r w:rsidRPr="00132167">
        <w:rPr>
          <w:rFonts w:ascii="Verdana" w:hAnsi="Verdana"/>
          <w:color w:val="000000" w:themeColor="text1"/>
          <w:sz w:val="20"/>
          <w:szCs w:val="20"/>
        </w:rPr>
        <w:t>De acuerdo con lo anterior, de manera general los plazos de días que se señalen en las leyes y actos oficiales se entenderán hábiles, en el evento de que se trate de días calendario, tal circunstancia deberá ser expresa.</w:t>
      </w:r>
    </w:p>
    <w:p w14:paraId="4FAFC976" w14:textId="77777777" w:rsidR="008421CB" w:rsidRPr="00132167" w:rsidRDefault="008421CB" w:rsidP="008421CB">
      <w:pPr>
        <w:ind w:left="1491" w:right="357"/>
        <w:jc w:val="both"/>
        <w:rPr>
          <w:rFonts w:ascii="Verdana" w:hAnsi="Verdana"/>
          <w:color w:val="000000" w:themeColor="text1"/>
          <w:sz w:val="20"/>
          <w:szCs w:val="20"/>
        </w:rPr>
      </w:pPr>
      <w:r w:rsidRPr="00132167">
        <w:rPr>
          <w:rFonts w:ascii="Verdana" w:hAnsi="Verdana"/>
          <w:color w:val="000000" w:themeColor="text1"/>
          <w:sz w:val="20"/>
          <w:szCs w:val="20"/>
        </w:rPr>
        <w:t>La Corte Suprema de Justicia, mediante sentencia de marzo 28 de 1984, se pronunció sobre el alcance de la previsión contenida en el artículo 62 del Código de Régimen Político y Municipal, de la siguiente manera:</w:t>
      </w:r>
    </w:p>
    <w:p w14:paraId="25D0A04A" w14:textId="77777777" w:rsidR="008421CB" w:rsidRPr="00132167" w:rsidRDefault="008421CB" w:rsidP="008421CB">
      <w:pPr>
        <w:ind w:left="1491" w:right="357"/>
        <w:jc w:val="both"/>
        <w:rPr>
          <w:rFonts w:ascii="Verdana" w:hAnsi="Verdana"/>
          <w:color w:val="000000" w:themeColor="text1"/>
          <w:sz w:val="20"/>
          <w:szCs w:val="20"/>
        </w:rPr>
      </w:pPr>
      <w:r w:rsidRPr="00132167">
        <w:rPr>
          <w:rFonts w:ascii="Verdana" w:hAnsi="Verdana"/>
          <w:color w:val="000000" w:themeColor="text1"/>
          <w:sz w:val="20"/>
          <w:szCs w:val="20"/>
        </w:rPr>
        <w:t>"Si el sobredicho artículo 62 del Código de Régimen Político y Municipal, en forma genérica y sin discriminación o especificación alguna, estatuye la manera de computar los plazos de días "que se señalen en las leyes", no puede afirmarse, sin restringir su alcance, que tal disposición se aplica exclusivamente a las leyes reguladoras del régimen político y municipal y no en las que gobiernan las relaciones de los particulares entre sí”</w:t>
      </w:r>
    </w:p>
    <w:p w14:paraId="4FA20A5A" w14:textId="77777777" w:rsidR="008421CB" w:rsidRPr="00132167" w:rsidRDefault="008421CB" w:rsidP="008421CB">
      <w:pPr>
        <w:ind w:left="1491" w:right="357"/>
        <w:jc w:val="both"/>
        <w:rPr>
          <w:rFonts w:ascii="Verdana" w:hAnsi="Verdana"/>
          <w:color w:val="000000" w:themeColor="text1"/>
          <w:sz w:val="20"/>
          <w:szCs w:val="20"/>
        </w:rPr>
      </w:pPr>
      <w:r w:rsidRPr="00132167">
        <w:rPr>
          <w:rFonts w:ascii="Verdana" w:hAnsi="Verdana"/>
          <w:color w:val="000000" w:themeColor="text1"/>
          <w:sz w:val="20"/>
          <w:szCs w:val="20"/>
        </w:rPr>
        <w:t>De igual forma, sobre días hábiles e inhábiles, el Consejo de Estado en sentencia de abril 29 de 1983, expuso:</w:t>
      </w:r>
    </w:p>
    <w:p w14:paraId="167405E0" w14:textId="77777777" w:rsidR="008421CB" w:rsidRDefault="008421CB" w:rsidP="008421CB">
      <w:pPr>
        <w:ind w:left="1491" w:right="357"/>
        <w:jc w:val="both"/>
        <w:rPr>
          <w:rFonts w:ascii="Verdana" w:hAnsi="Verdana"/>
          <w:color w:val="000000" w:themeColor="text1"/>
          <w:sz w:val="20"/>
          <w:szCs w:val="20"/>
        </w:rPr>
      </w:pPr>
      <w:r w:rsidRPr="00132167">
        <w:rPr>
          <w:rFonts w:ascii="Verdana" w:hAnsi="Verdana"/>
          <w:color w:val="000000" w:themeColor="text1"/>
          <w:sz w:val="20"/>
          <w:szCs w:val="20"/>
        </w:rPr>
        <w:t>“La Sala considera ésta una buena oportunidad para precisar el alcance de las disposiciones sobre los días hábiles e inhábiles. Por regla general los sábados son días hábiles, pero si la administración ha dictado alguna norma general que considera inhábiles los sábados éstos no pueden contarse en los términos de la ejecutoria. Es pues regla de excepción que se aplica en caso de autos”.</w:t>
      </w:r>
    </w:p>
    <w:p w14:paraId="7C121A6B" w14:textId="77777777" w:rsidR="008421CB" w:rsidRPr="00132167" w:rsidRDefault="008421CB" w:rsidP="008421CB">
      <w:pPr>
        <w:ind w:left="1491" w:right="357"/>
        <w:jc w:val="both"/>
        <w:rPr>
          <w:rFonts w:ascii="Verdana" w:hAnsi="Verdana"/>
          <w:color w:val="000000" w:themeColor="text1"/>
          <w:sz w:val="20"/>
          <w:szCs w:val="20"/>
        </w:rPr>
      </w:pPr>
    </w:p>
    <w:p w14:paraId="5D8C75FA" w14:textId="77777777" w:rsidR="008421CB" w:rsidRDefault="008421CB" w:rsidP="008421CB">
      <w:pPr>
        <w:ind w:left="1491" w:right="357"/>
        <w:jc w:val="both"/>
        <w:rPr>
          <w:rFonts w:ascii="Verdana" w:hAnsi="Verdana"/>
          <w:color w:val="000000" w:themeColor="text1"/>
          <w:sz w:val="20"/>
          <w:szCs w:val="20"/>
        </w:rPr>
      </w:pPr>
      <w:r w:rsidRPr="00132167">
        <w:rPr>
          <w:rFonts w:ascii="Verdana" w:hAnsi="Verdana"/>
          <w:color w:val="000000" w:themeColor="text1"/>
          <w:sz w:val="20"/>
          <w:szCs w:val="20"/>
        </w:rPr>
        <w:t xml:space="preserve">De lo anterior se colige, que cuando el plazo se haya fijado en días, estos se entienden hábiles, para lo cual se suprimen los feriados, entre </w:t>
      </w:r>
      <w:r w:rsidRPr="00132167">
        <w:rPr>
          <w:rFonts w:ascii="Verdana" w:hAnsi="Verdana"/>
          <w:color w:val="000000" w:themeColor="text1"/>
          <w:sz w:val="20"/>
          <w:szCs w:val="20"/>
        </w:rPr>
        <w:lastRenderedPageBreak/>
        <w:t>los cuales se encuentran los domingos, festivos y los sábados cuando la administración ha dictado una norma que los considere inhábiles.</w:t>
      </w:r>
    </w:p>
    <w:p w14:paraId="55516A16" w14:textId="77777777" w:rsidR="00AD430E" w:rsidRPr="002700C3" w:rsidRDefault="00AD430E" w:rsidP="008421CB">
      <w:pPr>
        <w:ind w:left="1491" w:right="357"/>
        <w:jc w:val="both"/>
        <w:rPr>
          <w:rFonts w:ascii="Verdana" w:hAnsi="Verdana"/>
          <w:color w:val="000000" w:themeColor="text1"/>
          <w:sz w:val="20"/>
          <w:szCs w:val="20"/>
        </w:rPr>
      </w:pPr>
    </w:p>
    <w:p w14:paraId="7096E271" w14:textId="77777777" w:rsidR="008421CB" w:rsidRPr="00AD430E" w:rsidRDefault="008421CB" w:rsidP="008421CB">
      <w:pPr>
        <w:numPr>
          <w:ilvl w:val="0"/>
          <w:numId w:val="17"/>
        </w:numPr>
        <w:snapToGrid w:val="0"/>
        <w:spacing w:line="276" w:lineRule="auto"/>
        <w:jc w:val="both"/>
        <w:rPr>
          <w:rFonts w:ascii="Verdana" w:eastAsia="Calibri" w:hAnsi="Verdana" w:cs="Arial"/>
          <w:sz w:val="22"/>
          <w:szCs w:val="22"/>
          <w:lang w:val="es-ES_tradnl"/>
        </w:rPr>
      </w:pPr>
      <w:r w:rsidRPr="00AD430E">
        <w:rPr>
          <w:rFonts w:ascii="Verdana" w:eastAsia="Arial" w:hAnsi="Verdana" w:cs="Arial"/>
          <w:color w:val="000000" w:themeColor="text1"/>
          <w:sz w:val="22"/>
          <w:szCs w:val="22"/>
          <w:lang w:eastAsia="es-ES" w:bidi="es-ES"/>
        </w:rPr>
        <w:t xml:space="preserve">Frente al segundo interrogante, es necesario recordar que los </w:t>
      </w:r>
      <w:r w:rsidRPr="00AD430E">
        <w:rPr>
          <w:rFonts w:ascii="Verdana" w:eastAsia="Calibri" w:hAnsi="Verdana" w:cs="Arial"/>
          <w:sz w:val="22"/>
          <w:szCs w:val="22"/>
          <w:lang w:val="es-ES_tradnl"/>
        </w:rPr>
        <w:t xml:space="preserve">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6779F518" w14:textId="77777777" w:rsidR="008421CB" w:rsidRDefault="008421CB" w:rsidP="008421CB">
      <w:pPr>
        <w:pStyle w:val="Prrafodelista"/>
        <w:widowControl w:val="0"/>
        <w:autoSpaceDE w:val="0"/>
        <w:autoSpaceDN w:val="0"/>
        <w:spacing w:after="120" w:line="276" w:lineRule="auto"/>
        <w:jc w:val="both"/>
        <w:rPr>
          <w:rFonts w:ascii="Verdana" w:eastAsia="Arial" w:hAnsi="Verdana" w:cs="Arial"/>
          <w:color w:val="000000" w:themeColor="text1"/>
          <w:lang w:eastAsia="es-ES" w:bidi="es-ES"/>
        </w:rPr>
      </w:pPr>
    </w:p>
    <w:p w14:paraId="4CBC9739" w14:textId="77777777" w:rsidR="008421CB" w:rsidRDefault="008421CB" w:rsidP="008421CB">
      <w:pPr>
        <w:pStyle w:val="Prrafodelista"/>
        <w:widowControl w:val="0"/>
        <w:numPr>
          <w:ilvl w:val="0"/>
          <w:numId w:val="17"/>
        </w:numPr>
        <w:autoSpaceDE w:val="0"/>
        <w:autoSpaceDN w:val="0"/>
        <w:spacing w:after="120" w:line="276" w:lineRule="auto"/>
        <w:jc w:val="both"/>
        <w:rPr>
          <w:rFonts w:ascii="Verdana" w:eastAsia="Arial" w:hAnsi="Verdana" w:cs="Arial"/>
          <w:color w:val="000000" w:themeColor="text1"/>
          <w:lang w:eastAsia="es-ES" w:bidi="es-ES"/>
        </w:rPr>
      </w:pPr>
      <w:r>
        <w:rPr>
          <w:rFonts w:ascii="Verdana" w:eastAsia="Arial" w:hAnsi="Verdana" w:cs="Arial"/>
          <w:color w:val="000000" w:themeColor="text1"/>
          <w:lang w:eastAsia="es-ES" w:bidi="es-ES"/>
        </w:rPr>
        <w:t xml:space="preserve">Ahora bien, </w:t>
      </w:r>
      <w:r w:rsidRPr="00132167">
        <w:rPr>
          <w:rFonts w:ascii="Verdana" w:eastAsia="Arial" w:hAnsi="Verdana" w:cs="Arial"/>
          <w:color w:val="000000" w:themeColor="text1"/>
          <w:lang w:eastAsia="es-ES" w:bidi="es-ES"/>
        </w:rPr>
        <w:t xml:space="preserve">para los procesos de licitación pública, selección abreviada de menor cuantía y mínima cuantía de infraestructura de transporte, </w:t>
      </w:r>
      <w:r w:rsidRPr="00132167">
        <w:rPr>
          <w:rFonts w:ascii="Verdana" w:eastAsia="Calibri" w:hAnsi="Verdana" w:cs="Arial"/>
          <w:color w:val="000000" w:themeColor="text1"/>
        </w:rPr>
        <w:t xml:space="preserve">contemplan el </w:t>
      </w:r>
      <w:r w:rsidRPr="00132167">
        <w:rPr>
          <w:rFonts w:ascii="Verdana" w:eastAsia="Arial" w:hAnsi="Verdana" w:cs="Arial"/>
          <w:color w:val="000000" w:themeColor="text1"/>
          <w:lang w:eastAsia="es-ES" w:bidi="es-ES"/>
        </w:rPr>
        <w:t>“Formulario 1 - Formulario de Presupuesto Oficial</w:t>
      </w:r>
      <w:r w:rsidRPr="00132167">
        <w:rPr>
          <w:rFonts w:ascii="Verdana" w:eastAsia="Calibri" w:hAnsi="Verdana" w:cs="Arial"/>
          <w:color w:val="000000" w:themeColor="text1"/>
          <w:lang w:eastAsia="es-ES" w:bidi="es-ES"/>
        </w:rPr>
        <w:t>”</w:t>
      </w:r>
      <w:r w:rsidRPr="00132167">
        <w:rPr>
          <w:rFonts w:ascii="Verdana" w:eastAsia="Arial" w:hAnsi="Verdana" w:cs="Arial"/>
          <w:color w:val="000000" w:themeColor="text1"/>
          <w:lang w:eastAsia="es-ES" w:bidi="es-ES"/>
        </w:rPr>
        <w:t xml:space="preserve">, empleado por la entidad para elaborar y presentar el presupuesto oficial, y mediante el cual el proponente estructura la oferta económica. </w:t>
      </w:r>
    </w:p>
    <w:p w14:paraId="7A02490F" w14:textId="77777777" w:rsidR="008421CB" w:rsidRPr="0068328F" w:rsidRDefault="008421CB" w:rsidP="008421CB">
      <w:pPr>
        <w:pStyle w:val="Prrafodelista"/>
        <w:widowControl w:val="0"/>
        <w:autoSpaceDE w:val="0"/>
        <w:autoSpaceDN w:val="0"/>
        <w:spacing w:after="120" w:line="276" w:lineRule="auto"/>
        <w:jc w:val="both"/>
        <w:rPr>
          <w:rFonts w:ascii="Verdana" w:eastAsia="Arial" w:hAnsi="Verdana" w:cs="Arial"/>
          <w:color w:val="000000" w:themeColor="text1"/>
          <w:lang w:eastAsia="es-ES" w:bidi="es-ES"/>
        </w:rPr>
      </w:pPr>
    </w:p>
    <w:p w14:paraId="44B9BF1B" w14:textId="20F89D5F" w:rsidR="008421CB" w:rsidRPr="00132167" w:rsidRDefault="008421CB" w:rsidP="008421CB">
      <w:pPr>
        <w:pStyle w:val="Prrafodelista"/>
        <w:widowControl w:val="0"/>
        <w:numPr>
          <w:ilvl w:val="0"/>
          <w:numId w:val="17"/>
        </w:numPr>
        <w:autoSpaceDE w:val="0"/>
        <w:autoSpaceDN w:val="0"/>
        <w:spacing w:before="120" w:after="120" w:line="276" w:lineRule="auto"/>
        <w:jc w:val="both"/>
        <w:rPr>
          <w:rFonts w:ascii="Verdana" w:eastAsia="Calibri" w:hAnsi="Verdana" w:cs="Arial"/>
          <w:color w:val="000000" w:themeColor="text1"/>
        </w:rPr>
      </w:pPr>
      <w:r>
        <w:rPr>
          <w:rFonts w:ascii="Verdana" w:eastAsia="Calibri" w:hAnsi="Verdana" w:cs="Arial"/>
          <w:color w:val="000000" w:themeColor="text1"/>
        </w:rPr>
        <w:t>El</w:t>
      </w:r>
      <w:r w:rsidR="00AD430E">
        <w:rPr>
          <w:rFonts w:ascii="Verdana" w:eastAsia="Calibri" w:hAnsi="Verdana" w:cs="Arial"/>
          <w:color w:val="000000" w:themeColor="text1"/>
        </w:rPr>
        <w:t xml:space="preserve"> </w:t>
      </w:r>
      <w:r w:rsidRPr="00132167">
        <w:rPr>
          <w:rFonts w:ascii="Verdana" w:eastAsia="Calibri" w:hAnsi="Verdana" w:cs="Arial"/>
          <w:color w:val="000000" w:themeColor="text1"/>
        </w:rPr>
        <w:t xml:space="preserve">“Formulario 1 – Formulario de Presupuesto </w:t>
      </w:r>
      <w:proofErr w:type="gramStart"/>
      <w:r w:rsidRPr="00132167">
        <w:rPr>
          <w:rFonts w:ascii="Verdana" w:eastAsia="Calibri" w:hAnsi="Verdana" w:cs="Arial"/>
          <w:color w:val="000000" w:themeColor="text1"/>
        </w:rPr>
        <w:t>Oficial”  tiene</w:t>
      </w:r>
      <w:proofErr w:type="gramEnd"/>
      <w:r w:rsidRPr="00132167">
        <w:rPr>
          <w:rFonts w:ascii="Verdana" w:eastAsia="Calibri" w:hAnsi="Verdana" w:cs="Arial"/>
          <w:color w:val="000000" w:themeColor="text1"/>
        </w:rPr>
        <w:t xml:space="preserve"> dos connotaciones: i) por un lado, es el formulario sobre el cual la entidad estructura y presenta el presupuesto oficial del procedimiento de contratación; y ii) por el otro, es el formulario sobre el cual los proponentes elaboran y presentan su oferta económica. El propósito de esto es evitar la duplicidad de información y permitir que las propuestas económicas sean evaluadas con las variables, cantidades, unidades de medida y reglas consideradas por la entidad al estructurar su presupuesto oficial.</w:t>
      </w:r>
    </w:p>
    <w:p w14:paraId="24E555FD" w14:textId="77777777" w:rsidR="008421CB" w:rsidRPr="00132167" w:rsidRDefault="008421CB" w:rsidP="008421CB">
      <w:pPr>
        <w:pStyle w:val="Prrafodelista"/>
        <w:spacing w:line="276" w:lineRule="auto"/>
        <w:rPr>
          <w:rFonts w:ascii="Verdana" w:eastAsia="Calibri" w:hAnsi="Verdana" w:cs="Arial"/>
          <w:color w:val="000000" w:themeColor="text1"/>
        </w:rPr>
      </w:pPr>
    </w:p>
    <w:p w14:paraId="0D2082F6" w14:textId="77777777" w:rsidR="008421CB" w:rsidRPr="00132167" w:rsidRDefault="008421CB" w:rsidP="008421CB">
      <w:pPr>
        <w:pStyle w:val="Prrafodelista"/>
        <w:widowControl w:val="0"/>
        <w:numPr>
          <w:ilvl w:val="0"/>
          <w:numId w:val="17"/>
        </w:numPr>
        <w:autoSpaceDE w:val="0"/>
        <w:autoSpaceDN w:val="0"/>
        <w:spacing w:after="120" w:line="276" w:lineRule="auto"/>
        <w:jc w:val="both"/>
        <w:rPr>
          <w:rFonts w:ascii="Verdana" w:eastAsia="Arial" w:hAnsi="Verdana" w:cs="Arial"/>
          <w:iCs/>
          <w:color w:val="000000" w:themeColor="text1"/>
          <w:lang w:eastAsia="es-ES" w:bidi="es-ES"/>
        </w:rPr>
      </w:pPr>
      <w:r w:rsidRPr="00132167">
        <w:rPr>
          <w:rFonts w:ascii="Verdana" w:eastAsia="Arial" w:hAnsi="Verdana" w:cs="Arial"/>
          <w:color w:val="000000" w:themeColor="text1"/>
          <w:lang w:eastAsia="es-ES" w:bidi="es-ES"/>
        </w:rPr>
        <w:t xml:space="preserve">En ese contexto, se tiene, que en la primera hoja del Formulario 1, que corresponde al presupuesto oficial, la entidad debe enlistar los </w:t>
      </w:r>
      <w:r w:rsidRPr="00132167">
        <w:rPr>
          <w:rFonts w:ascii="Verdana" w:eastAsia="Arial" w:hAnsi="Verdana" w:cs="Arial"/>
          <w:i/>
          <w:color w:val="000000" w:themeColor="text1"/>
          <w:lang w:eastAsia="es-ES" w:bidi="es-ES"/>
        </w:rPr>
        <w:t xml:space="preserve">ítems de pago </w:t>
      </w:r>
      <w:r w:rsidRPr="00132167">
        <w:rPr>
          <w:rFonts w:ascii="Verdana" w:eastAsia="Arial" w:hAnsi="Verdana" w:cs="Arial"/>
          <w:color w:val="000000" w:themeColor="text1"/>
          <w:lang w:eastAsia="es-ES" w:bidi="es-ES"/>
        </w:rPr>
        <w:t xml:space="preserve">de los bienes, obras o servicios que se requieren para la ejecución de la obra pública de infraestructura de transporte. Además, es posible establecer: i) sus especificaciones generales y particulares, ii) la descripción, iii) la unidad de medida, iv) la cantidad, v) el valor unitario y vi) el valor total de los </w:t>
      </w:r>
      <w:r w:rsidRPr="00132167">
        <w:rPr>
          <w:rFonts w:ascii="Verdana" w:eastAsia="Arial" w:hAnsi="Verdana" w:cs="Arial"/>
          <w:i/>
          <w:color w:val="000000" w:themeColor="text1"/>
          <w:lang w:eastAsia="es-ES" w:bidi="es-ES"/>
        </w:rPr>
        <w:t>ítems.</w:t>
      </w:r>
    </w:p>
    <w:p w14:paraId="334CC5C0" w14:textId="77777777" w:rsidR="008421CB" w:rsidRPr="00132167" w:rsidRDefault="008421CB" w:rsidP="008421CB">
      <w:pPr>
        <w:pStyle w:val="Prrafodelista"/>
        <w:spacing w:line="276" w:lineRule="auto"/>
        <w:rPr>
          <w:rFonts w:ascii="Verdana" w:eastAsia="Arial" w:hAnsi="Verdana" w:cs="Arial"/>
          <w:iCs/>
          <w:color w:val="000000" w:themeColor="text1"/>
          <w:lang w:eastAsia="es-ES" w:bidi="es-ES"/>
        </w:rPr>
      </w:pPr>
    </w:p>
    <w:p w14:paraId="234B1AF0" w14:textId="77777777" w:rsidR="008421CB" w:rsidRPr="00132167" w:rsidRDefault="008421CB" w:rsidP="008421CB">
      <w:pPr>
        <w:pStyle w:val="Prrafodelista"/>
        <w:widowControl w:val="0"/>
        <w:numPr>
          <w:ilvl w:val="0"/>
          <w:numId w:val="17"/>
        </w:numPr>
        <w:autoSpaceDE w:val="0"/>
        <w:autoSpaceDN w:val="0"/>
        <w:spacing w:after="120" w:line="276" w:lineRule="auto"/>
        <w:jc w:val="both"/>
        <w:rPr>
          <w:rFonts w:ascii="Verdana" w:eastAsia="Arial" w:hAnsi="Verdana" w:cs="Arial"/>
          <w:color w:val="000000" w:themeColor="text1"/>
          <w:lang w:eastAsia="es-ES" w:bidi="es-ES"/>
        </w:rPr>
      </w:pPr>
      <w:r w:rsidRPr="00132167">
        <w:rPr>
          <w:rFonts w:ascii="Verdana" w:eastAsia="Arial" w:hAnsi="Verdana" w:cs="Arial"/>
          <w:iCs/>
          <w:color w:val="000000" w:themeColor="text1"/>
          <w:lang w:eastAsia="es-ES" w:bidi="es-ES"/>
        </w:rPr>
        <w:t xml:space="preserve">En el marco del ejercicio de planeación, la entidad podrá determinar la necesidad de establecer algunos valores topes para algunos </w:t>
      </w:r>
      <w:r w:rsidRPr="00132167">
        <w:rPr>
          <w:rFonts w:ascii="Verdana" w:eastAsia="Arial" w:hAnsi="Verdana" w:cs="Arial"/>
          <w:i/>
          <w:color w:val="000000" w:themeColor="text1"/>
          <w:lang w:eastAsia="es-ES" w:bidi="es-ES"/>
        </w:rPr>
        <w:t xml:space="preserve">ítems, </w:t>
      </w:r>
      <w:r w:rsidRPr="00132167">
        <w:rPr>
          <w:rFonts w:ascii="Verdana" w:eastAsia="Arial" w:hAnsi="Verdana" w:cs="Arial"/>
          <w:iCs/>
          <w:color w:val="000000" w:themeColor="text1"/>
          <w:lang w:eastAsia="es-ES" w:bidi="es-ES"/>
        </w:rPr>
        <w:t xml:space="preserve">los cuales no podrán ser excedidos por los proponentes al presentar sus </w:t>
      </w:r>
      <w:r w:rsidRPr="00132167">
        <w:rPr>
          <w:rFonts w:ascii="Verdana" w:eastAsia="Arial" w:hAnsi="Verdana" w:cs="Arial"/>
          <w:iCs/>
          <w:color w:val="000000" w:themeColor="text1"/>
          <w:lang w:eastAsia="es-ES" w:bidi="es-ES"/>
        </w:rPr>
        <w:lastRenderedPageBreak/>
        <w:t>ofertas.</w:t>
      </w:r>
      <w:r w:rsidRPr="00132167">
        <w:rPr>
          <w:rFonts w:ascii="Verdana" w:eastAsia="Arial" w:hAnsi="Verdana" w:cs="Arial"/>
          <w:color w:val="000000" w:themeColor="text1"/>
          <w:lang w:eastAsia="es-ES" w:bidi="es-ES"/>
        </w:rPr>
        <w:t xml:space="preserve"> La inclusión que hace la entidad de valores que no deben ser excedidos por los proponentes al presentar sus ofertas no es una práctica generalizada ni obligatoria para todas las entidades, por cuanto la inclusión de estos </w:t>
      </w:r>
      <w:r w:rsidRPr="00132167">
        <w:rPr>
          <w:rFonts w:ascii="Verdana" w:eastAsia="Arial" w:hAnsi="Verdana" w:cs="Arial"/>
          <w:i/>
          <w:color w:val="000000" w:themeColor="text1"/>
          <w:lang w:eastAsia="es-ES" w:bidi="es-ES"/>
        </w:rPr>
        <w:t>ítems</w:t>
      </w:r>
      <w:r w:rsidRPr="00132167">
        <w:rPr>
          <w:rFonts w:ascii="Verdana" w:eastAsia="Arial" w:hAnsi="Verdana" w:cs="Arial"/>
          <w:color w:val="000000" w:themeColor="text1"/>
          <w:lang w:eastAsia="es-ES" w:bidi="es-ES"/>
        </w:rPr>
        <w:t xml:space="preserve"> debe estar justificada en situaciones y eventos particulares de determinados procedimientos de contratación. Cuando las entidades estructuran el Formulario 1, incluyendo este tipo de </w:t>
      </w:r>
      <w:r w:rsidRPr="00132167">
        <w:rPr>
          <w:rFonts w:ascii="Verdana" w:eastAsia="Arial" w:hAnsi="Verdana" w:cs="Arial"/>
          <w:i/>
          <w:color w:val="000000" w:themeColor="text1"/>
          <w:lang w:eastAsia="es-ES" w:bidi="es-ES"/>
        </w:rPr>
        <w:t>ítems</w:t>
      </w:r>
      <w:r w:rsidRPr="00132167">
        <w:rPr>
          <w:rFonts w:ascii="Verdana" w:eastAsia="Arial" w:hAnsi="Verdana" w:cs="Arial"/>
          <w:color w:val="000000" w:themeColor="text1"/>
          <w:lang w:eastAsia="es-ES" w:bidi="es-ES"/>
        </w:rPr>
        <w:t xml:space="preserve"> y justificando su decisión, los proponentes deben incluirlos dentro de la oferta económica sin exceder el valor que la entidad ha definido, so pena del rechazo de la propuesta</w:t>
      </w:r>
      <w:r w:rsidRPr="00132167">
        <w:rPr>
          <w:rFonts w:ascii="Verdana" w:hAnsi="Verdana"/>
          <w:color w:val="000000" w:themeColor="text1"/>
          <w:vertAlign w:val="superscript"/>
          <w:lang w:eastAsia="es-ES" w:bidi="es-ES"/>
        </w:rPr>
        <w:footnoteReference w:id="4"/>
      </w:r>
      <w:r w:rsidRPr="00132167">
        <w:rPr>
          <w:rFonts w:ascii="Verdana" w:eastAsia="Arial" w:hAnsi="Verdana" w:cs="Arial"/>
          <w:color w:val="000000" w:themeColor="text1"/>
          <w:lang w:eastAsia="es-ES" w:bidi="es-ES"/>
        </w:rPr>
        <w:t xml:space="preserve">. </w:t>
      </w:r>
    </w:p>
    <w:p w14:paraId="135527E8" w14:textId="77777777" w:rsidR="008421CB" w:rsidRPr="00132167" w:rsidRDefault="008421CB" w:rsidP="008421CB">
      <w:pPr>
        <w:pStyle w:val="Prrafodelista"/>
        <w:spacing w:line="276" w:lineRule="auto"/>
        <w:rPr>
          <w:rFonts w:ascii="Verdana" w:eastAsia="Arial" w:hAnsi="Verdana" w:cs="Arial"/>
          <w:color w:val="000000" w:themeColor="text1"/>
          <w:lang w:eastAsia="es-ES" w:bidi="es-ES"/>
        </w:rPr>
      </w:pPr>
    </w:p>
    <w:p w14:paraId="44E8A408" w14:textId="77777777" w:rsidR="008421CB" w:rsidRPr="00132167" w:rsidRDefault="008421CB" w:rsidP="008421CB">
      <w:pPr>
        <w:pStyle w:val="Prrafodelista"/>
        <w:widowControl w:val="0"/>
        <w:numPr>
          <w:ilvl w:val="0"/>
          <w:numId w:val="17"/>
        </w:numPr>
        <w:autoSpaceDE w:val="0"/>
        <w:autoSpaceDN w:val="0"/>
        <w:spacing w:after="120" w:line="276" w:lineRule="auto"/>
        <w:jc w:val="both"/>
        <w:rPr>
          <w:rFonts w:ascii="Verdana" w:eastAsia="Arial" w:hAnsi="Verdana" w:cs="Arial"/>
          <w:color w:val="000000" w:themeColor="text1"/>
          <w:lang w:eastAsia="es-ES" w:bidi="es-ES"/>
        </w:rPr>
      </w:pPr>
      <w:r w:rsidRPr="00132167">
        <w:rPr>
          <w:rFonts w:ascii="Verdana" w:eastAsia="Arial" w:hAnsi="Verdana" w:cs="Arial"/>
          <w:color w:val="000000" w:themeColor="text1"/>
          <w:lang w:eastAsia="es-ES" w:bidi="es-ES"/>
        </w:rPr>
        <w:t>De igual manera, en la primera hoja del “Formulario 1 – Formulario de Presupuesto oficial” se señala que en los procesos de contratación estructurados por precios unitarios aplican las notas 1, 2 y 3 de dicho formato y, por tanto, se diligencian las casillas de “Descripción”, “Porcentaje” de la Administración, Imprevistos, Utilidad y total del A.I.U resaltados en color amarillo. En otras palabras, las entidades estatales incluirán de manera obligatoria el porcentaje de la: i) administración, ii) imprevistos y iii) utilidad, cuando el proceso de contratación sea por precios unitarios.</w:t>
      </w:r>
    </w:p>
    <w:p w14:paraId="2BE99BF4" w14:textId="77777777" w:rsidR="008421CB" w:rsidRPr="00132167" w:rsidRDefault="008421CB" w:rsidP="008421CB">
      <w:pPr>
        <w:pStyle w:val="Prrafodelista"/>
        <w:spacing w:line="276" w:lineRule="auto"/>
        <w:rPr>
          <w:rFonts w:ascii="Verdana" w:eastAsia="Arial" w:hAnsi="Verdana" w:cs="Arial"/>
          <w:color w:val="000000" w:themeColor="text1"/>
          <w:lang w:eastAsia="es-ES" w:bidi="es-ES"/>
        </w:rPr>
      </w:pPr>
    </w:p>
    <w:p w14:paraId="3C109956" w14:textId="77777777" w:rsidR="008421CB" w:rsidRPr="00132167" w:rsidRDefault="008421CB" w:rsidP="008421CB">
      <w:pPr>
        <w:pStyle w:val="Prrafodelista"/>
        <w:widowControl w:val="0"/>
        <w:numPr>
          <w:ilvl w:val="0"/>
          <w:numId w:val="17"/>
        </w:numPr>
        <w:autoSpaceDE w:val="0"/>
        <w:autoSpaceDN w:val="0"/>
        <w:spacing w:after="120" w:line="276" w:lineRule="auto"/>
        <w:jc w:val="both"/>
        <w:rPr>
          <w:rFonts w:ascii="Verdana" w:eastAsia="Arial" w:hAnsi="Verdana" w:cs="Arial"/>
          <w:color w:val="000000" w:themeColor="text1"/>
          <w:lang w:eastAsia="es-ES" w:bidi="es-ES"/>
        </w:rPr>
      </w:pPr>
      <w:r w:rsidRPr="00132167">
        <w:rPr>
          <w:rFonts w:ascii="Verdana" w:eastAsia="Arial" w:hAnsi="Verdana" w:cs="Arial"/>
          <w:color w:val="000000" w:themeColor="text1"/>
          <w:lang w:eastAsia="es-ES" w:bidi="es-ES"/>
        </w:rPr>
        <w:t xml:space="preserve">Al respecto, en la “Nota 1” se establece que el precio unitario incluye el valor de A.I.U. Por su parte, la “Nota 2” indica la regla que cuando la fracción decimal del peso sea igual o superior a 5 se aproximará por exceso al número entero siguiente del peso y cuando la fracción decimal del peso sea inferior a 5 se aproximará por defecto al número entero del peso. Finalmente, en la “Nota 3” se indica que el A.I.U y su discriminación debe ser en porcentaje. </w:t>
      </w:r>
    </w:p>
    <w:p w14:paraId="63D74CD6" w14:textId="77777777" w:rsidR="008421CB" w:rsidRPr="00132167" w:rsidRDefault="008421CB" w:rsidP="008421CB">
      <w:pPr>
        <w:pStyle w:val="Prrafodelista"/>
        <w:spacing w:line="276" w:lineRule="auto"/>
        <w:rPr>
          <w:rFonts w:ascii="Verdana" w:eastAsia="Arial" w:hAnsi="Verdana" w:cs="Arial"/>
          <w:color w:val="000000" w:themeColor="text1"/>
          <w:lang w:eastAsia="es-ES" w:bidi="es-ES"/>
        </w:rPr>
      </w:pPr>
    </w:p>
    <w:p w14:paraId="55AB8A5A" w14:textId="77777777" w:rsidR="008421CB" w:rsidRPr="00132167" w:rsidRDefault="008421CB" w:rsidP="008421CB">
      <w:pPr>
        <w:pStyle w:val="Prrafodelista"/>
        <w:widowControl w:val="0"/>
        <w:numPr>
          <w:ilvl w:val="0"/>
          <w:numId w:val="17"/>
        </w:numPr>
        <w:autoSpaceDE w:val="0"/>
        <w:autoSpaceDN w:val="0"/>
        <w:spacing w:after="120" w:line="276" w:lineRule="auto"/>
        <w:jc w:val="both"/>
        <w:rPr>
          <w:rFonts w:ascii="Verdana" w:eastAsia="Arial" w:hAnsi="Verdana" w:cs="Arial"/>
          <w:color w:val="000000" w:themeColor="text1"/>
          <w:lang w:eastAsia="es-ES" w:bidi="es-ES"/>
        </w:rPr>
      </w:pPr>
      <w:r w:rsidRPr="00132167">
        <w:rPr>
          <w:rFonts w:ascii="Verdana" w:eastAsia="Arial" w:hAnsi="Verdana" w:cs="Arial"/>
          <w:color w:val="000000" w:themeColor="text1"/>
          <w:lang w:eastAsia="es-ES" w:bidi="es-ES"/>
        </w:rPr>
        <w:t xml:space="preserve">De la redacción de estas notas se infiere que las entidades obligatoriamente aplicarán las notas definidas en el “Formulario 1 – Formulario del presupuesto oficial”, cuando el proceso de contratación es estructurado por precios unitarios y, por ende, se incluirá el porcentaje </w:t>
      </w:r>
      <w:r w:rsidRPr="00132167">
        <w:rPr>
          <w:rFonts w:ascii="Verdana" w:eastAsia="Arial" w:hAnsi="Verdana" w:cs="Arial"/>
          <w:color w:val="000000" w:themeColor="text1"/>
          <w:lang w:eastAsia="es-ES" w:bidi="es-ES"/>
        </w:rPr>
        <w:lastRenderedPageBreak/>
        <w:t xml:space="preserve">respectivo a la: i) administración, ii) imprevistos y iii) utilidad. En consecuencia, las entidades no podrán omitir alguno de sus componentes y lo definirán de acuerdo con el estudio de mercado y el sector, incluyendo el valor que consideren procedente. Además, el “Formulario 1 – Formulario de Presupuesto Oficial” señala los espacios en los cuales se incluirán estos porcentajes. Así se determina en los siguientes términos: </w:t>
      </w:r>
    </w:p>
    <w:tbl>
      <w:tblPr>
        <w:tblStyle w:val="Tablaconcuadrcula1"/>
        <w:tblW w:w="6834" w:type="dxa"/>
        <w:jc w:val="center"/>
        <w:tblLook w:val="04A0" w:firstRow="1" w:lastRow="0" w:firstColumn="1" w:lastColumn="0" w:noHBand="0" w:noVBand="1"/>
      </w:tblPr>
      <w:tblGrid>
        <w:gridCol w:w="2298"/>
        <w:gridCol w:w="2409"/>
        <w:gridCol w:w="3044"/>
      </w:tblGrid>
      <w:tr w:rsidR="008421CB" w:rsidRPr="00C302AD" w14:paraId="3A49E103" w14:textId="77777777" w:rsidTr="00CE7CC4">
        <w:trPr>
          <w:trHeight w:val="541"/>
          <w:jc w:val="center"/>
        </w:trPr>
        <w:tc>
          <w:tcPr>
            <w:tcW w:w="3790" w:type="dxa"/>
            <w:gridSpan w:val="2"/>
            <w:hideMark/>
          </w:tcPr>
          <w:p w14:paraId="30E78C04" w14:textId="77777777" w:rsidR="008421CB" w:rsidRPr="00132167" w:rsidRDefault="008421CB" w:rsidP="00CE7CC4">
            <w:pPr>
              <w:spacing w:line="276" w:lineRule="auto"/>
              <w:jc w:val="center"/>
              <w:rPr>
                <w:rFonts w:ascii="Verdana" w:hAnsi="Verdana" w:cs="Arial"/>
                <w:b/>
                <w:bCs/>
                <w:color w:val="000000" w:themeColor="text1"/>
                <w:sz w:val="20"/>
                <w:szCs w:val="20"/>
                <w:lang w:eastAsia="es-CO"/>
              </w:rPr>
            </w:pPr>
            <w:r w:rsidRPr="00132167">
              <w:rPr>
                <w:rFonts w:ascii="Verdana" w:hAnsi="Verdana" w:cs="Arial"/>
                <w:b/>
                <w:bCs/>
                <w:color w:val="000000" w:themeColor="text1"/>
                <w:sz w:val="20"/>
                <w:szCs w:val="20"/>
                <w:lang w:eastAsia="es-CO"/>
              </w:rPr>
              <w:t>DESCRIPCION</w:t>
            </w:r>
          </w:p>
        </w:tc>
        <w:tc>
          <w:tcPr>
            <w:tcW w:w="3044" w:type="dxa"/>
            <w:noWrap/>
            <w:hideMark/>
          </w:tcPr>
          <w:p w14:paraId="3DF34FD1" w14:textId="77777777" w:rsidR="008421CB" w:rsidRPr="00132167" w:rsidRDefault="008421CB" w:rsidP="00CE7CC4">
            <w:pPr>
              <w:spacing w:line="276" w:lineRule="auto"/>
              <w:jc w:val="center"/>
              <w:rPr>
                <w:rFonts w:ascii="Verdana" w:hAnsi="Verdana" w:cs="Arial"/>
                <w:b/>
                <w:bCs/>
                <w:color w:val="000000" w:themeColor="text1"/>
                <w:sz w:val="20"/>
                <w:szCs w:val="20"/>
                <w:lang w:eastAsia="es-CO"/>
              </w:rPr>
            </w:pPr>
            <w:r w:rsidRPr="00132167">
              <w:rPr>
                <w:rFonts w:ascii="Verdana" w:hAnsi="Verdana" w:cs="Arial"/>
                <w:b/>
                <w:bCs/>
                <w:color w:val="000000" w:themeColor="text1"/>
                <w:sz w:val="20"/>
                <w:szCs w:val="20"/>
                <w:lang w:eastAsia="es-CO"/>
              </w:rPr>
              <w:t xml:space="preserve"> PORCENTAJE </w:t>
            </w:r>
          </w:p>
        </w:tc>
      </w:tr>
      <w:tr w:rsidR="008421CB" w:rsidRPr="00C302AD" w14:paraId="509D45C8" w14:textId="77777777" w:rsidTr="00CE7CC4">
        <w:trPr>
          <w:trHeight w:val="375"/>
          <w:jc w:val="center"/>
        </w:trPr>
        <w:tc>
          <w:tcPr>
            <w:tcW w:w="1381" w:type="dxa"/>
            <w:noWrap/>
            <w:hideMark/>
          </w:tcPr>
          <w:p w14:paraId="3F4A12FF" w14:textId="77777777" w:rsidR="008421CB" w:rsidRPr="00132167" w:rsidRDefault="008421CB" w:rsidP="00CE7CC4">
            <w:pPr>
              <w:spacing w:line="276" w:lineRule="auto"/>
              <w:jc w:val="center"/>
              <w:rPr>
                <w:rFonts w:ascii="Verdana" w:hAnsi="Verdana" w:cs="Arial"/>
                <w:b/>
                <w:bCs/>
                <w:color w:val="000000" w:themeColor="text1"/>
                <w:sz w:val="20"/>
                <w:szCs w:val="20"/>
                <w:lang w:eastAsia="es-CO"/>
              </w:rPr>
            </w:pPr>
            <w:r w:rsidRPr="00132167">
              <w:rPr>
                <w:rFonts w:ascii="Verdana" w:hAnsi="Verdana" w:cs="Arial"/>
                <w:b/>
                <w:bCs/>
                <w:color w:val="000000" w:themeColor="text1"/>
                <w:sz w:val="20"/>
                <w:szCs w:val="20"/>
                <w:lang w:eastAsia="es-CO"/>
              </w:rPr>
              <w:t>ADMINISTRACIÓN</w:t>
            </w:r>
          </w:p>
        </w:tc>
        <w:tc>
          <w:tcPr>
            <w:tcW w:w="2409" w:type="dxa"/>
            <w:noWrap/>
            <w:hideMark/>
          </w:tcPr>
          <w:p w14:paraId="17C7917D" w14:textId="77777777" w:rsidR="008421CB" w:rsidRPr="00132167" w:rsidRDefault="008421CB" w:rsidP="00CE7CC4">
            <w:pPr>
              <w:spacing w:line="276" w:lineRule="auto"/>
              <w:jc w:val="center"/>
              <w:rPr>
                <w:rFonts w:ascii="Verdana" w:hAnsi="Verdana" w:cs="Arial"/>
                <w:b/>
                <w:bCs/>
                <w:color w:val="000000" w:themeColor="text1"/>
                <w:sz w:val="20"/>
                <w:szCs w:val="20"/>
                <w:lang w:eastAsia="es-CO"/>
              </w:rPr>
            </w:pPr>
            <w:r w:rsidRPr="00132167">
              <w:rPr>
                <w:rFonts w:ascii="Verdana" w:hAnsi="Verdana" w:cs="Arial"/>
                <w:b/>
                <w:bCs/>
                <w:color w:val="000000" w:themeColor="text1"/>
                <w:sz w:val="20"/>
                <w:szCs w:val="20"/>
                <w:lang w:eastAsia="es-CO"/>
              </w:rPr>
              <w:t xml:space="preserve"> A= </w:t>
            </w:r>
          </w:p>
        </w:tc>
        <w:tc>
          <w:tcPr>
            <w:tcW w:w="3044" w:type="dxa"/>
            <w:noWrap/>
            <w:hideMark/>
          </w:tcPr>
          <w:p w14:paraId="5E251B82" w14:textId="77777777" w:rsidR="008421CB" w:rsidRPr="00132167" w:rsidRDefault="008421CB" w:rsidP="00CE7CC4">
            <w:pPr>
              <w:spacing w:line="276" w:lineRule="auto"/>
              <w:jc w:val="center"/>
              <w:rPr>
                <w:rFonts w:ascii="Verdana" w:hAnsi="Verdana" w:cs="Arial"/>
                <w:color w:val="000000" w:themeColor="text1"/>
                <w:sz w:val="20"/>
                <w:szCs w:val="20"/>
                <w:lang w:eastAsia="es-CO"/>
              </w:rPr>
            </w:pPr>
            <w:r w:rsidRPr="00132167">
              <w:rPr>
                <w:rFonts w:ascii="Verdana" w:hAnsi="Verdana" w:cs="Arial"/>
                <w:color w:val="000000" w:themeColor="text1"/>
                <w:sz w:val="20"/>
                <w:szCs w:val="20"/>
                <w:lang w:eastAsia="es-CO"/>
              </w:rPr>
              <w:t>[Determinar por la Entidad]</w:t>
            </w:r>
          </w:p>
        </w:tc>
      </w:tr>
      <w:tr w:rsidR="008421CB" w:rsidRPr="00C302AD" w14:paraId="737C2B9F" w14:textId="77777777" w:rsidTr="00CE7CC4">
        <w:trPr>
          <w:trHeight w:val="349"/>
          <w:jc w:val="center"/>
        </w:trPr>
        <w:tc>
          <w:tcPr>
            <w:tcW w:w="1381" w:type="dxa"/>
            <w:hideMark/>
          </w:tcPr>
          <w:p w14:paraId="3C8AF7A7" w14:textId="77777777" w:rsidR="008421CB" w:rsidRPr="00132167" w:rsidRDefault="008421CB" w:rsidP="00CE7CC4">
            <w:pPr>
              <w:spacing w:line="276" w:lineRule="auto"/>
              <w:jc w:val="center"/>
              <w:rPr>
                <w:rFonts w:ascii="Verdana" w:hAnsi="Verdana" w:cs="Arial"/>
                <w:b/>
                <w:bCs/>
                <w:color w:val="000000" w:themeColor="text1"/>
                <w:sz w:val="20"/>
                <w:szCs w:val="20"/>
                <w:lang w:eastAsia="es-CO"/>
              </w:rPr>
            </w:pPr>
            <w:r w:rsidRPr="00132167">
              <w:rPr>
                <w:rFonts w:ascii="Verdana" w:hAnsi="Verdana" w:cs="Arial"/>
                <w:b/>
                <w:bCs/>
                <w:color w:val="000000" w:themeColor="text1"/>
                <w:sz w:val="20"/>
                <w:szCs w:val="20"/>
                <w:lang w:eastAsia="es-CO"/>
              </w:rPr>
              <w:t>IMPREVISTO</w:t>
            </w:r>
          </w:p>
        </w:tc>
        <w:tc>
          <w:tcPr>
            <w:tcW w:w="2409" w:type="dxa"/>
            <w:noWrap/>
            <w:hideMark/>
          </w:tcPr>
          <w:p w14:paraId="3A4B8E05" w14:textId="77777777" w:rsidR="008421CB" w:rsidRPr="00132167" w:rsidRDefault="008421CB" w:rsidP="00CE7CC4">
            <w:pPr>
              <w:spacing w:line="276" w:lineRule="auto"/>
              <w:jc w:val="center"/>
              <w:rPr>
                <w:rFonts w:ascii="Verdana" w:hAnsi="Verdana" w:cs="Arial"/>
                <w:b/>
                <w:bCs/>
                <w:color w:val="000000" w:themeColor="text1"/>
                <w:sz w:val="20"/>
                <w:szCs w:val="20"/>
                <w:lang w:eastAsia="es-CO"/>
              </w:rPr>
            </w:pPr>
            <w:r w:rsidRPr="00132167">
              <w:rPr>
                <w:rFonts w:ascii="Verdana" w:hAnsi="Verdana" w:cs="Arial"/>
                <w:b/>
                <w:bCs/>
                <w:color w:val="000000" w:themeColor="text1"/>
                <w:sz w:val="20"/>
                <w:szCs w:val="20"/>
                <w:lang w:eastAsia="es-CO"/>
              </w:rPr>
              <w:t xml:space="preserve"> I= </w:t>
            </w:r>
          </w:p>
        </w:tc>
        <w:tc>
          <w:tcPr>
            <w:tcW w:w="3044" w:type="dxa"/>
            <w:noWrap/>
            <w:hideMark/>
          </w:tcPr>
          <w:p w14:paraId="7F94332C" w14:textId="77777777" w:rsidR="008421CB" w:rsidRPr="00132167" w:rsidRDefault="008421CB" w:rsidP="00CE7CC4">
            <w:pPr>
              <w:spacing w:line="276" w:lineRule="auto"/>
              <w:jc w:val="center"/>
              <w:rPr>
                <w:rFonts w:ascii="Verdana" w:hAnsi="Verdana" w:cs="Arial"/>
                <w:color w:val="000000" w:themeColor="text1"/>
                <w:sz w:val="20"/>
                <w:szCs w:val="20"/>
                <w:lang w:eastAsia="es-CO"/>
              </w:rPr>
            </w:pPr>
            <w:r w:rsidRPr="00132167">
              <w:rPr>
                <w:rFonts w:ascii="Verdana" w:hAnsi="Verdana" w:cs="Arial"/>
                <w:color w:val="000000" w:themeColor="text1"/>
                <w:sz w:val="20"/>
                <w:szCs w:val="20"/>
                <w:lang w:eastAsia="es-CO"/>
              </w:rPr>
              <w:t>[Determinar por la Entidad]</w:t>
            </w:r>
          </w:p>
        </w:tc>
      </w:tr>
      <w:tr w:rsidR="008421CB" w:rsidRPr="00C302AD" w14:paraId="1517561B" w14:textId="77777777" w:rsidTr="00CE7CC4">
        <w:trPr>
          <w:trHeight w:val="680"/>
          <w:jc w:val="center"/>
        </w:trPr>
        <w:tc>
          <w:tcPr>
            <w:tcW w:w="1381" w:type="dxa"/>
            <w:hideMark/>
          </w:tcPr>
          <w:p w14:paraId="7DA270B6" w14:textId="77777777" w:rsidR="008421CB" w:rsidRPr="00132167" w:rsidRDefault="008421CB" w:rsidP="00CE7CC4">
            <w:pPr>
              <w:spacing w:line="276" w:lineRule="auto"/>
              <w:jc w:val="center"/>
              <w:rPr>
                <w:rFonts w:ascii="Verdana" w:hAnsi="Verdana" w:cs="Arial"/>
                <w:b/>
                <w:bCs/>
                <w:color w:val="000000" w:themeColor="text1"/>
                <w:sz w:val="20"/>
                <w:szCs w:val="20"/>
                <w:lang w:eastAsia="es-CO"/>
              </w:rPr>
            </w:pPr>
            <w:r w:rsidRPr="00132167">
              <w:rPr>
                <w:rFonts w:ascii="Verdana" w:hAnsi="Verdana" w:cs="Arial"/>
                <w:b/>
                <w:bCs/>
                <w:color w:val="000000" w:themeColor="text1"/>
                <w:sz w:val="20"/>
                <w:szCs w:val="20"/>
                <w:lang w:eastAsia="es-CO"/>
              </w:rPr>
              <w:t>UTILIDAD</w:t>
            </w:r>
          </w:p>
        </w:tc>
        <w:tc>
          <w:tcPr>
            <w:tcW w:w="2409" w:type="dxa"/>
            <w:noWrap/>
            <w:hideMark/>
          </w:tcPr>
          <w:p w14:paraId="5BCB035B" w14:textId="77777777" w:rsidR="008421CB" w:rsidRPr="00132167" w:rsidRDefault="008421CB" w:rsidP="00CE7CC4">
            <w:pPr>
              <w:spacing w:line="276" w:lineRule="auto"/>
              <w:jc w:val="center"/>
              <w:rPr>
                <w:rFonts w:ascii="Verdana" w:hAnsi="Verdana" w:cs="Arial"/>
                <w:b/>
                <w:bCs/>
                <w:color w:val="000000" w:themeColor="text1"/>
                <w:sz w:val="20"/>
                <w:szCs w:val="20"/>
                <w:lang w:eastAsia="es-CO"/>
              </w:rPr>
            </w:pPr>
            <w:r w:rsidRPr="00132167">
              <w:rPr>
                <w:rFonts w:ascii="Verdana" w:hAnsi="Verdana" w:cs="Arial"/>
                <w:b/>
                <w:bCs/>
                <w:color w:val="000000" w:themeColor="text1"/>
                <w:sz w:val="20"/>
                <w:szCs w:val="20"/>
                <w:lang w:eastAsia="es-CO"/>
              </w:rPr>
              <w:t xml:space="preserve"> U= </w:t>
            </w:r>
          </w:p>
        </w:tc>
        <w:tc>
          <w:tcPr>
            <w:tcW w:w="3044" w:type="dxa"/>
            <w:noWrap/>
            <w:hideMark/>
          </w:tcPr>
          <w:p w14:paraId="164CA309" w14:textId="77777777" w:rsidR="008421CB" w:rsidRPr="00132167" w:rsidRDefault="008421CB" w:rsidP="00CE7CC4">
            <w:pPr>
              <w:spacing w:line="276" w:lineRule="auto"/>
              <w:jc w:val="center"/>
              <w:rPr>
                <w:rFonts w:ascii="Verdana" w:hAnsi="Verdana" w:cs="Arial"/>
                <w:color w:val="000000" w:themeColor="text1"/>
                <w:sz w:val="20"/>
                <w:szCs w:val="20"/>
                <w:lang w:eastAsia="es-CO"/>
              </w:rPr>
            </w:pPr>
            <w:r w:rsidRPr="00132167">
              <w:rPr>
                <w:rFonts w:ascii="Verdana" w:hAnsi="Verdana" w:cs="Arial"/>
                <w:color w:val="000000" w:themeColor="text1"/>
                <w:sz w:val="20"/>
                <w:szCs w:val="20"/>
                <w:lang w:eastAsia="es-CO"/>
              </w:rPr>
              <w:t>[Determinar por la Entidad]</w:t>
            </w:r>
          </w:p>
        </w:tc>
      </w:tr>
      <w:tr w:rsidR="008421CB" w:rsidRPr="00C302AD" w14:paraId="4BE29409" w14:textId="77777777" w:rsidTr="00CE7CC4">
        <w:trPr>
          <w:trHeight w:val="663"/>
          <w:jc w:val="center"/>
        </w:trPr>
        <w:tc>
          <w:tcPr>
            <w:tcW w:w="1381" w:type="dxa"/>
            <w:noWrap/>
            <w:hideMark/>
          </w:tcPr>
          <w:p w14:paraId="3B4F0860" w14:textId="77777777" w:rsidR="008421CB" w:rsidRPr="00132167" w:rsidRDefault="008421CB" w:rsidP="00CE7CC4">
            <w:pPr>
              <w:spacing w:line="276" w:lineRule="auto"/>
              <w:jc w:val="center"/>
              <w:rPr>
                <w:rFonts w:ascii="Verdana" w:hAnsi="Verdana" w:cs="Arial"/>
                <w:b/>
                <w:bCs/>
                <w:color w:val="000000" w:themeColor="text1"/>
                <w:sz w:val="20"/>
                <w:szCs w:val="20"/>
                <w:lang w:eastAsia="es-CO"/>
              </w:rPr>
            </w:pPr>
            <w:r w:rsidRPr="00132167">
              <w:rPr>
                <w:rFonts w:ascii="Verdana" w:hAnsi="Verdana" w:cs="Arial"/>
                <w:b/>
                <w:bCs/>
                <w:color w:val="000000" w:themeColor="text1"/>
                <w:sz w:val="20"/>
                <w:szCs w:val="20"/>
                <w:lang w:eastAsia="es-CO"/>
              </w:rPr>
              <w:t>TOTAL A.I.U.</w:t>
            </w:r>
          </w:p>
        </w:tc>
        <w:tc>
          <w:tcPr>
            <w:tcW w:w="2409" w:type="dxa"/>
            <w:noWrap/>
            <w:hideMark/>
          </w:tcPr>
          <w:p w14:paraId="6201180D" w14:textId="77777777" w:rsidR="008421CB" w:rsidRPr="00132167" w:rsidRDefault="008421CB" w:rsidP="00CE7CC4">
            <w:pPr>
              <w:spacing w:line="276" w:lineRule="auto"/>
              <w:jc w:val="center"/>
              <w:rPr>
                <w:rFonts w:ascii="Verdana" w:hAnsi="Verdana" w:cs="Arial"/>
                <w:b/>
                <w:bCs/>
                <w:color w:val="000000" w:themeColor="text1"/>
                <w:sz w:val="20"/>
                <w:szCs w:val="20"/>
                <w:lang w:eastAsia="es-CO"/>
              </w:rPr>
            </w:pPr>
            <w:r w:rsidRPr="00132167">
              <w:rPr>
                <w:rFonts w:ascii="Verdana" w:hAnsi="Verdana" w:cs="Arial"/>
                <w:b/>
                <w:bCs/>
                <w:color w:val="000000" w:themeColor="text1"/>
                <w:sz w:val="20"/>
                <w:szCs w:val="20"/>
                <w:lang w:eastAsia="es-CO"/>
              </w:rPr>
              <w:t xml:space="preserve"> A.I.U.= </w:t>
            </w:r>
          </w:p>
        </w:tc>
        <w:tc>
          <w:tcPr>
            <w:tcW w:w="3044" w:type="dxa"/>
            <w:noWrap/>
            <w:hideMark/>
          </w:tcPr>
          <w:p w14:paraId="5F048802" w14:textId="77777777" w:rsidR="008421CB" w:rsidRPr="00132167" w:rsidRDefault="008421CB" w:rsidP="00CE7CC4">
            <w:pPr>
              <w:spacing w:line="276" w:lineRule="auto"/>
              <w:jc w:val="center"/>
              <w:rPr>
                <w:rFonts w:ascii="Verdana" w:hAnsi="Verdana" w:cs="Arial"/>
                <w:color w:val="000000" w:themeColor="text1"/>
                <w:sz w:val="20"/>
                <w:szCs w:val="20"/>
                <w:lang w:eastAsia="es-CO"/>
              </w:rPr>
            </w:pPr>
            <w:r w:rsidRPr="00132167">
              <w:rPr>
                <w:rFonts w:ascii="Verdana" w:hAnsi="Verdana" w:cs="Arial"/>
                <w:color w:val="000000" w:themeColor="text1"/>
                <w:sz w:val="20"/>
                <w:szCs w:val="20"/>
                <w:lang w:eastAsia="es-CO"/>
              </w:rPr>
              <w:t>[Determinar por la Entidad]</w:t>
            </w:r>
          </w:p>
        </w:tc>
      </w:tr>
    </w:tbl>
    <w:p w14:paraId="4E55F8E8" w14:textId="77777777" w:rsidR="008421CB" w:rsidRPr="00132167" w:rsidRDefault="008421CB" w:rsidP="008421CB">
      <w:pPr>
        <w:pStyle w:val="Prrafodelista"/>
        <w:widowControl w:val="0"/>
        <w:autoSpaceDE w:val="0"/>
        <w:autoSpaceDN w:val="0"/>
        <w:spacing w:after="120" w:line="276" w:lineRule="auto"/>
        <w:jc w:val="both"/>
        <w:rPr>
          <w:rFonts w:ascii="Verdana" w:eastAsia="Arial" w:hAnsi="Verdana" w:cs="Arial"/>
          <w:color w:val="000000" w:themeColor="text1"/>
          <w:lang w:eastAsia="es-ES" w:bidi="es-ES"/>
        </w:rPr>
      </w:pPr>
    </w:p>
    <w:p w14:paraId="533ABBBD" w14:textId="77777777" w:rsidR="008421CB" w:rsidRPr="00132167" w:rsidRDefault="008421CB" w:rsidP="008421CB">
      <w:pPr>
        <w:pStyle w:val="Prrafodelista"/>
        <w:widowControl w:val="0"/>
        <w:numPr>
          <w:ilvl w:val="0"/>
          <w:numId w:val="17"/>
        </w:numPr>
        <w:autoSpaceDE w:val="0"/>
        <w:autoSpaceDN w:val="0"/>
        <w:spacing w:after="120" w:line="276" w:lineRule="auto"/>
        <w:jc w:val="both"/>
        <w:rPr>
          <w:rFonts w:ascii="Verdana" w:eastAsia="Arial" w:hAnsi="Verdana" w:cs="Arial"/>
          <w:color w:val="000000" w:themeColor="text1"/>
          <w:lang w:eastAsia="es-ES" w:bidi="es-ES"/>
        </w:rPr>
      </w:pPr>
      <w:r w:rsidRPr="00132167">
        <w:rPr>
          <w:rFonts w:ascii="Verdana" w:eastAsia="Arial" w:hAnsi="Verdana" w:cs="Arial"/>
          <w:color w:val="000000" w:themeColor="text1"/>
          <w:lang w:eastAsia="es-ES" w:bidi="es-ES"/>
        </w:rPr>
        <w:t>En este sentido, reiterando el principio de inalterabilidad, las entidades solo pueden modificar aquello que el documento tipo permita. Por ello, debido a que la primera hoja del Formulario 1 – Formulario del Presupuesto Oficial parcialmente impide su modificación en los procesos estructurados por precios unitarios, no será posible omitir alguno de los componentes del A.I.U. Bajo ese entendido, las entidades no podrán eliminar o modificar la fila correspondiente al imprevisto, ni eliminar o modificar las “Nota 1 a 3” que versan sobre el uso de precios unitarios con componentes del A.I.U.</w:t>
      </w:r>
    </w:p>
    <w:p w14:paraId="0F412B3D" w14:textId="77777777" w:rsidR="008421CB" w:rsidRPr="00132167" w:rsidRDefault="008421CB" w:rsidP="008421CB">
      <w:pPr>
        <w:pStyle w:val="Prrafodelista"/>
        <w:widowControl w:val="0"/>
        <w:autoSpaceDE w:val="0"/>
        <w:autoSpaceDN w:val="0"/>
        <w:spacing w:after="120" w:line="276" w:lineRule="auto"/>
        <w:jc w:val="both"/>
        <w:rPr>
          <w:rFonts w:ascii="Verdana" w:eastAsia="Arial" w:hAnsi="Verdana" w:cs="Arial"/>
          <w:color w:val="000000" w:themeColor="text1"/>
          <w:lang w:eastAsia="es-ES" w:bidi="es-ES"/>
        </w:rPr>
      </w:pPr>
    </w:p>
    <w:p w14:paraId="52247403" w14:textId="77777777" w:rsidR="008421CB" w:rsidRPr="00132167" w:rsidRDefault="008421CB" w:rsidP="008421CB">
      <w:pPr>
        <w:pStyle w:val="Prrafodelista"/>
        <w:widowControl w:val="0"/>
        <w:numPr>
          <w:ilvl w:val="0"/>
          <w:numId w:val="17"/>
        </w:numPr>
        <w:autoSpaceDE w:val="0"/>
        <w:autoSpaceDN w:val="0"/>
        <w:spacing w:before="120" w:line="276" w:lineRule="auto"/>
        <w:jc w:val="both"/>
        <w:rPr>
          <w:rFonts w:ascii="Verdana" w:eastAsia="Arial" w:hAnsi="Verdana" w:cs="Arial"/>
          <w:color w:val="000000" w:themeColor="text1"/>
          <w:lang w:eastAsia="es-ES" w:bidi="es-ES"/>
        </w:rPr>
      </w:pPr>
      <w:r w:rsidRPr="00132167">
        <w:rPr>
          <w:rFonts w:ascii="Verdana" w:eastAsia="Arial" w:hAnsi="Verdana" w:cs="Arial"/>
          <w:color w:val="000000" w:themeColor="text1"/>
          <w:lang w:eastAsia="es-ES" w:bidi="es-ES"/>
        </w:rPr>
        <w:t>De otra parte, en los documentos tipo para procesos de licitación pública de obras de infraestructura de transporte, el “Formulario 1</w:t>
      </w:r>
      <w:r w:rsidRPr="00132167">
        <w:rPr>
          <w:rFonts w:ascii="Verdana" w:eastAsia="Calibri" w:hAnsi="Verdana" w:cs="Arial"/>
          <w:color w:val="000000" w:themeColor="text1"/>
          <w:lang w:eastAsia="es-ES" w:bidi="es-ES"/>
        </w:rPr>
        <w:t>” en su segunda pestaña en Excel, titulada “Formulario 1 propuesta económica”</w:t>
      </w:r>
      <w:r w:rsidRPr="00132167">
        <w:rPr>
          <w:rFonts w:ascii="Verdana" w:eastAsia="Arial" w:hAnsi="Verdana" w:cs="Arial"/>
          <w:color w:val="000000" w:themeColor="text1"/>
          <w:lang w:eastAsia="es-ES" w:bidi="es-ES"/>
        </w:rPr>
        <w:t xml:space="preserve"> señala en la parte superior derecha: “[La entidad puede utilizar este formulario de presentación de propuesta económica de forma detallada, sin perjuicio que la entidad pueda modificarlo o establecer la presentación de la oferta económica con un formulario distinto al indicado.]”. </w:t>
      </w:r>
      <w:r w:rsidRPr="00132167">
        <w:rPr>
          <w:rFonts w:ascii="Verdana" w:eastAsia="Calibri" w:hAnsi="Verdana" w:cs="Arial"/>
          <w:color w:val="000000" w:themeColor="text1"/>
          <w:lang w:val="es-ES_tradnl"/>
        </w:rPr>
        <w:t xml:space="preserve">Igualmente, se indica que los proponentes emplearán el formulario establecido por la entidad para determinar su propuesta económica conforme al Formulario 1 - Presupuesto Oficial publicado por la Entidad. Esto significa </w:t>
      </w:r>
      <w:r w:rsidRPr="00132167">
        <w:rPr>
          <w:rFonts w:ascii="Verdana" w:eastAsia="Calibri" w:hAnsi="Verdana" w:cs="Arial"/>
          <w:color w:val="000000" w:themeColor="text1"/>
        </w:rPr>
        <w:t xml:space="preserve">que las entidades pueden diseñar un formulario para que los proponentes presenten su oferta económica, sin que sea obligatorio sujetarse al </w:t>
      </w:r>
      <w:r w:rsidRPr="00132167">
        <w:rPr>
          <w:rFonts w:ascii="Verdana" w:eastAsia="Calibri" w:hAnsi="Verdana" w:cs="Arial"/>
          <w:color w:val="000000" w:themeColor="text1"/>
        </w:rPr>
        <w:lastRenderedPageBreak/>
        <w:t>formulario que los documentos tipo proponen para el efecto.</w:t>
      </w:r>
      <w:r w:rsidRPr="00132167">
        <w:rPr>
          <w:rFonts w:ascii="Verdana" w:eastAsia="Arial" w:hAnsi="Verdana" w:cs="Arial"/>
          <w:bCs/>
          <w:color w:val="000000" w:themeColor="text1"/>
        </w:rPr>
        <w:t xml:space="preserve"> En todo caso, el proponente deberá emplear el formulario que establezca la entidad. </w:t>
      </w:r>
    </w:p>
    <w:p w14:paraId="5B838169" w14:textId="77777777" w:rsidR="008421CB" w:rsidRPr="00132167" w:rsidRDefault="008421CB" w:rsidP="008421CB">
      <w:pPr>
        <w:pStyle w:val="Prrafodelista"/>
        <w:spacing w:line="276" w:lineRule="auto"/>
        <w:rPr>
          <w:rFonts w:ascii="Verdana" w:eastAsia="Arial" w:hAnsi="Verdana" w:cs="Arial"/>
          <w:color w:val="000000" w:themeColor="text1"/>
          <w:lang w:eastAsia="es-ES" w:bidi="es-ES"/>
        </w:rPr>
      </w:pPr>
    </w:p>
    <w:p w14:paraId="5F088FAE" w14:textId="77777777" w:rsidR="008421CB" w:rsidRPr="00132167" w:rsidRDefault="008421CB" w:rsidP="008421CB">
      <w:pPr>
        <w:pStyle w:val="Prrafodelista"/>
        <w:widowControl w:val="0"/>
        <w:numPr>
          <w:ilvl w:val="0"/>
          <w:numId w:val="17"/>
        </w:numPr>
        <w:autoSpaceDE w:val="0"/>
        <w:autoSpaceDN w:val="0"/>
        <w:spacing w:before="120" w:line="276" w:lineRule="auto"/>
        <w:jc w:val="both"/>
        <w:rPr>
          <w:rFonts w:ascii="Verdana" w:eastAsia="Arial" w:hAnsi="Verdana" w:cs="Arial"/>
          <w:bCs/>
          <w:color w:val="000000" w:themeColor="text1"/>
        </w:rPr>
      </w:pPr>
      <w:r w:rsidRPr="00132167">
        <w:rPr>
          <w:rFonts w:ascii="Verdana" w:eastAsia="Arial" w:hAnsi="Verdana" w:cs="Arial"/>
          <w:bCs/>
          <w:color w:val="000000" w:themeColor="text1"/>
        </w:rPr>
        <w:t xml:space="preserve">Lo anterior es concordante con lo dispuesto en el numeral 4.1 del Documento Base, que establece que la entidad “debe configurar el formato de oferta económica que se encuentra en el Formulario 1 – Formulario de Presupuesto Oficial, para que sea diligenciado por los proponentes”. En tales términos, la presentación de la oferta económica por parte del proponente se realizará teniendo en cuenta el formato determinado por la entidad, sea el que configure de acuerdo con el Formulario 1 o aquel que disponga sobre el particular. Adicionalmente, los proponentes al presentar su oferta deberán ceñirse a las reglas para la presentación de oferta establecidas en los numerales 2.3 y 4.1 del Documento Base, así como observar el análisis de precios unitarios, procurando no ofertar por encima de los valores tope establecidos por la entidad para algunos de los </w:t>
      </w:r>
      <w:r w:rsidRPr="00132167">
        <w:rPr>
          <w:rFonts w:ascii="Verdana" w:eastAsia="Arial" w:hAnsi="Verdana" w:cs="Arial"/>
          <w:bCs/>
          <w:i/>
          <w:iCs/>
          <w:color w:val="000000" w:themeColor="text1"/>
        </w:rPr>
        <w:t>ítems</w:t>
      </w:r>
      <w:r w:rsidRPr="00132167">
        <w:rPr>
          <w:rFonts w:ascii="Verdana" w:eastAsia="Arial" w:hAnsi="Verdana" w:cs="Arial"/>
          <w:bCs/>
          <w:color w:val="000000" w:themeColor="text1"/>
        </w:rPr>
        <w:t xml:space="preserve">, en caso de que se opte por dicha regulación.  </w:t>
      </w:r>
    </w:p>
    <w:p w14:paraId="667CEDAF" w14:textId="77777777" w:rsidR="008421CB" w:rsidRPr="00132167" w:rsidRDefault="008421CB" w:rsidP="008421CB">
      <w:pPr>
        <w:pStyle w:val="Prrafodelista"/>
        <w:spacing w:line="276" w:lineRule="auto"/>
        <w:rPr>
          <w:rFonts w:ascii="Verdana" w:eastAsia="Arial" w:hAnsi="Verdana" w:cs="Arial"/>
          <w:bCs/>
          <w:color w:val="000000" w:themeColor="text1"/>
        </w:rPr>
      </w:pPr>
    </w:p>
    <w:p w14:paraId="61B74CDB" w14:textId="77777777" w:rsidR="008421CB" w:rsidRPr="00132167" w:rsidRDefault="008421CB" w:rsidP="008421CB">
      <w:pPr>
        <w:pStyle w:val="Prrafodelista"/>
        <w:widowControl w:val="0"/>
        <w:numPr>
          <w:ilvl w:val="0"/>
          <w:numId w:val="17"/>
        </w:numPr>
        <w:autoSpaceDE w:val="0"/>
        <w:autoSpaceDN w:val="0"/>
        <w:spacing w:before="120" w:line="276" w:lineRule="auto"/>
        <w:jc w:val="both"/>
        <w:rPr>
          <w:rFonts w:ascii="Verdana" w:eastAsia="Calibri" w:hAnsi="Verdana" w:cs="Arial"/>
          <w:color w:val="000000" w:themeColor="text1"/>
        </w:rPr>
      </w:pPr>
      <w:r w:rsidRPr="00132167">
        <w:rPr>
          <w:rFonts w:ascii="Verdana" w:eastAsia="Calibri" w:hAnsi="Verdana" w:cs="Arial"/>
          <w:color w:val="000000" w:themeColor="text1"/>
        </w:rPr>
        <w:t>Así las cosas, los oferentes deben usar la segunda pestaña del “Formulario 1 – Formulario de Presupuesto Oficial” puesta a disposición en formato Excel por la respectiva entidad, titulada “propuesta económica (proponente)”, sin perjuicio de que las entidades estatales modifiquen o establezcan la presentación de la oferta económica en un formulario distinto o que realicen modificaciones parciales al mismo, dentro de las posibilidades que admite el mismo Formulario.</w:t>
      </w:r>
    </w:p>
    <w:p w14:paraId="500C582E" w14:textId="77777777" w:rsidR="008421CB" w:rsidRPr="00132167" w:rsidRDefault="008421CB" w:rsidP="008421CB">
      <w:pPr>
        <w:pStyle w:val="Prrafodelista"/>
        <w:spacing w:line="276" w:lineRule="auto"/>
        <w:rPr>
          <w:rFonts w:ascii="Verdana" w:eastAsia="Calibri" w:hAnsi="Verdana" w:cs="Arial"/>
          <w:color w:val="000000" w:themeColor="text1"/>
        </w:rPr>
      </w:pPr>
    </w:p>
    <w:p w14:paraId="049FC8C3" w14:textId="77777777" w:rsidR="008421CB" w:rsidRPr="00132167" w:rsidRDefault="008421CB" w:rsidP="008421CB">
      <w:pPr>
        <w:pStyle w:val="Prrafodelista"/>
        <w:widowControl w:val="0"/>
        <w:numPr>
          <w:ilvl w:val="0"/>
          <w:numId w:val="17"/>
        </w:numPr>
        <w:autoSpaceDE w:val="0"/>
        <w:autoSpaceDN w:val="0"/>
        <w:spacing w:before="120" w:line="276" w:lineRule="auto"/>
        <w:jc w:val="both"/>
        <w:rPr>
          <w:rFonts w:ascii="Verdana" w:eastAsia="Arial" w:hAnsi="Verdana" w:cs="Arial"/>
          <w:color w:val="000000" w:themeColor="text1"/>
          <w:lang w:eastAsia="es-ES" w:bidi="es-ES"/>
        </w:rPr>
      </w:pPr>
      <w:r w:rsidRPr="00132167">
        <w:rPr>
          <w:rFonts w:ascii="Verdana" w:eastAsia="Calibri" w:hAnsi="Verdana" w:cs="Arial"/>
          <w:color w:val="000000" w:themeColor="text1"/>
        </w:rPr>
        <w:t>En línea con lo anterior, cabe precisar que consideraciones similares a las realizadas frente a la primera pestaña de Excel, donde la entidad elabora el presupuesto oficial, son aplicables a la segunda pestaña donde la entidad configura el formulario mediante el cual los proponentes presentarán sus ofertas económicas, lo anterior debido a que ambas pestañas tienen instrucciones similares respecto a su configuración por parte de las entidades estatales. En efecto, es posible, como se señaló anteriormente, que la entidad configure un formulario distinto para la presentación de las ofertas económicas o que lo modifique. Sin embargo, la segunda pestaña de Excel tiene la instrucción consistente en que: “</w:t>
      </w:r>
      <w:r w:rsidRPr="00132167">
        <w:rPr>
          <w:rFonts w:ascii="Verdana" w:hAnsi="Verdana"/>
          <w:color w:val="000000" w:themeColor="text1"/>
        </w:rPr>
        <w:t>cuando</w:t>
      </w:r>
      <w:r w:rsidRPr="00132167">
        <w:rPr>
          <w:rFonts w:ascii="Verdana" w:eastAsia="Calibri" w:hAnsi="Verdana" w:cs="Arial"/>
          <w:color w:val="000000" w:themeColor="text1"/>
        </w:rPr>
        <w:t xml:space="preserve"> el proceso de contratación es estructurado por precios unitarios, la Entidad debe aplicar las notas 1, 2 y 3 del presente formato y las casillas </w:t>
      </w:r>
      <w:r w:rsidRPr="00132167">
        <w:rPr>
          <w:rFonts w:ascii="Verdana" w:eastAsia="Calibri" w:hAnsi="Verdana" w:cs="Arial"/>
          <w:color w:val="000000" w:themeColor="text1"/>
        </w:rPr>
        <w:lastRenderedPageBreak/>
        <w:t>de "Descripción", "Porcentaje" de la Administración, Imprevisto, Utilidad y total A.I.U.  resaltadas en color amarillo”. En este sentido, cuando se trate de un proceso estructurado por precios unitarios, la entidad obligatoriamente debe mantener y aplicar las notas 1, 2 y 3; además de mantener las casillas de "Descripción", "Porcentaje" de la Administración, Imprevisto, Utilidad y total A.I.U. P</w:t>
      </w:r>
      <w:r w:rsidRPr="00132167">
        <w:rPr>
          <w:rFonts w:ascii="Verdana" w:eastAsia="Arial" w:hAnsi="Verdana" w:cs="Arial"/>
          <w:color w:val="000000" w:themeColor="text1"/>
          <w:lang w:eastAsia="es-ES" w:bidi="es-ES"/>
        </w:rPr>
        <w:t xml:space="preserve">or ende, se incluirá el porcentaje respectivo a la: i) administración, ii) imprevistos y iii) utilidad. </w:t>
      </w:r>
    </w:p>
    <w:p w14:paraId="00E59179" w14:textId="77777777" w:rsidR="008421CB" w:rsidRPr="00132167" w:rsidRDefault="008421CB" w:rsidP="008421CB">
      <w:pPr>
        <w:pStyle w:val="Prrafodelista"/>
        <w:widowControl w:val="0"/>
        <w:autoSpaceDE w:val="0"/>
        <w:autoSpaceDN w:val="0"/>
        <w:spacing w:before="120" w:line="276" w:lineRule="auto"/>
        <w:jc w:val="both"/>
        <w:rPr>
          <w:rFonts w:ascii="Verdana" w:eastAsia="Arial" w:hAnsi="Verdana" w:cs="Arial"/>
          <w:color w:val="000000" w:themeColor="text1"/>
          <w:lang w:eastAsia="es-ES" w:bidi="es-ES"/>
        </w:rPr>
      </w:pPr>
    </w:p>
    <w:p w14:paraId="020A7E04" w14:textId="77777777" w:rsidR="008421CB" w:rsidRPr="00132167" w:rsidRDefault="008421CB" w:rsidP="008421CB">
      <w:pPr>
        <w:pStyle w:val="Prrafodelista"/>
        <w:widowControl w:val="0"/>
        <w:numPr>
          <w:ilvl w:val="0"/>
          <w:numId w:val="17"/>
        </w:numPr>
        <w:autoSpaceDE w:val="0"/>
        <w:autoSpaceDN w:val="0"/>
        <w:spacing w:before="120" w:line="276" w:lineRule="auto"/>
        <w:jc w:val="both"/>
        <w:rPr>
          <w:rFonts w:ascii="Verdana" w:eastAsia="Calibri" w:hAnsi="Verdana" w:cs="Arial"/>
          <w:color w:val="000000" w:themeColor="text1"/>
        </w:rPr>
      </w:pPr>
      <w:r w:rsidRPr="00132167">
        <w:rPr>
          <w:rFonts w:ascii="Verdana" w:eastAsia="Arial" w:hAnsi="Verdana" w:cs="Arial"/>
          <w:color w:val="000000" w:themeColor="text1"/>
          <w:lang w:eastAsia="es-ES" w:bidi="es-ES"/>
        </w:rPr>
        <w:t>Sin perjuicio de las restricciones anteriores, respecto a la modificación del formulario que las entidades pondrán a disposición de los oferentes para la presentación de las ofertas económicas, que aplican cuando el proceso se estructura por precios unitarios, es posible, como se desprende de las instrucciones del formulario, que se realicen modificaciones al mismo, lo que permitiría, por ejemplo, incluir notas adicionales. En todo caso, las eventuales modificaciones que se realicen al formulario deben respetar las demás reglas establecidas en los documentos tipo, por lo que no sería posible incluir notas o modificaciones que impliquen alterar otras reglas dispuestas en dichos documentos.</w:t>
      </w:r>
    </w:p>
    <w:p w14:paraId="679115A0" w14:textId="77777777" w:rsidR="008421CB" w:rsidRPr="00132167" w:rsidRDefault="008421CB" w:rsidP="008421CB">
      <w:pPr>
        <w:pStyle w:val="Prrafodelista"/>
        <w:widowControl w:val="0"/>
        <w:autoSpaceDE w:val="0"/>
        <w:autoSpaceDN w:val="0"/>
        <w:spacing w:after="120" w:line="276" w:lineRule="auto"/>
        <w:jc w:val="both"/>
        <w:rPr>
          <w:rFonts w:ascii="Verdana" w:eastAsia="Arial" w:hAnsi="Verdana" w:cs="Arial"/>
          <w:color w:val="000000" w:themeColor="text1"/>
          <w:lang w:eastAsia="es-ES" w:bidi="es-ES"/>
        </w:rPr>
      </w:pPr>
    </w:p>
    <w:p w14:paraId="43F78CFA" w14:textId="77777777" w:rsidR="008421CB" w:rsidRPr="00132167" w:rsidRDefault="008421CB" w:rsidP="008421C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32167">
        <w:rPr>
          <w:rFonts w:ascii="Verdana" w:eastAsia="Century Gothic" w:hAnsi="Verdana" w:cs="Century Gothic"/>
          <w:b/>
          <w:bCs/>
          <w:color w:val="000000" w:themeColor="text1"/>
        </w:rPr>
        <w:t>Referencias normativas, jurisprudenciales y otras fuentes:</w:t>
      </w:r>
    </w:p>
    <w:p w14:paraId="0AE828FE" w14:textId="77777777" w:rsidR="008421CB" w:rsidRPr="00132167" w:rsidRDefault="008421CB" w:rsidP="008421CB">
      <w:pPr>
        <w:widowControl w:val="0"/>
        <w:autoSpaceDE w:val="0"/>
        <w:autoSpaceDN w:val="0"/>
        <w:spacing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421CB" w:rsidRPr="00132167" w14:paraId="1F57FEE7" w14:textId="77777777" w:rsidTr="00CE7CC4">
        <w:trPr>
          <w:trHeight w:val="870"/>
        </w:trPr>
        <w:tc>
          <w:tcPr>
            <w:tcW w:w="8647" w:type="dxa"/>
          </w:tcPr>
          <w:p w14:paraId="07794768" w14:textId="77777777" w:rsidR="008421CB" w:rsidRPr="001C615C" w:rsidRDefault="008421CB" w:rsidP="00CE7CC4">
            <w:pPr>
              <w:widowControl w:val="0"/>
              <w:autoSpaceDE w:val="0"/>
              <w:autoSpaceDN w:val="0"/>
              <w:spacing w:after="120" w:line="276" w:lineRule="auto"/>
              <w:jc w:val="both"/>
              <w:rPr>
                <w:rFonts w:ascii="Verdana" w:hAnsi="Verdana" w:cs="Arial"/>
                <w:color w:val="000000" w:themeColor="text1"/>
              </w:rPr>
            </w:pPr>
          </w:p>
          <w:p w14:paraId="52B51DEC" w14:textId="77777777" w:rsidR="008421CB" w:rsidRPr="00132167" w:rsidRDefault="008421CB" w:rsidP="008421CB">
            <w:pPr>
              <w:pStyle w:val="Prrafodelista"/>
              <w:widowControl w:val="0"/>
              <w:numPr>
                <w:ilvl w:val="0"/>
                <w:numId w:val="18"/>
              </w:numPr>
              <w:autoSpaceDE w:val="0"/>
              <w:autoSpaceDN w:val="0"/>
              <w:spacing w:after="120" w:line="276" w:lineRule="auto"/>
              <w:jc w:val="both"/>
              <w:rPr>
                <w:rFonts w:ascii="Verdana" w:hAnsi="Verdana" w:cs="Arial"/>
                <w:color w:val="000000" w:themeColor="text1"/>
              </w:rPr>
            </w:pPr>
            <w:r w:rsidRPr="00132167">
              <w:rPr>
                <w:rFonts w:ascii="Verdana" w:hAnsi="Verdana" w:cs="Arial"/>
                <w:color w:val="000000" w:themeColor="text1"/>
              </w:rPr>
              <w:t>Ley 4ª de 1913: artículo 62.</w:t>
            </w:r>
          </w:p>
          <w:p w14:paraId="0949C8F8" w14:textId="77777777" w:rsidR="008421CB" w:rsidRPr="00132167" w:rsidRDefault="008421CB" w:rsidP="008421CB">
            <w:pPr>
              <w:pStyle w:val="Prrafodelista"/>
              <w:widowControl w:val="0"/>
              <w:numPr>
                <w:ilvl w:val="0"/>
                <w:numId w:val="18"/>
              </w:numPr>
              <w:autoSpaceDE w:val="0"/>
              <w:autoSpaceDN w:val="0"/>
              <w:spacing w:after="120" w:line="276" w:lineRule="auto"/>
              <w:jc w:val="both"/>
              <w:rPr>
                <w:rFonts w:ascii="Verdana" w:hAnsi="Verdana" w:cs="Arial"/>
                <w:color w:val="000000" w:themeColor="text1"/>
              </w:rPr>
            </w:pPr>
            <w:r>
              <w:rPr>
                <w:rFonts w:ascii="Verdana" w:hAnsi="Verdana" w:cs="Arial"/>
                <w:color w:val="000000" w:themeColor="text1"/>
              </w:rPr>
              <w:t>L</w:t>
            </w:r>
            <w:r w:rsidRPr="00132167">
              <w:rPr>
                <w:rFonts w:ascii="Verdana" w:hAnsi="Verdana" w:cs="Arial"/>
                <w:color w:val="000000" w:themeColor="text1"/>
              </w:rPr>
              <w:t>ey 80 de 1993, artículo 30, numeral 8</w:t>
            </w:r>
          </w:p>
          <w:p w14:paraId="6EAF8A96" w14:textId="77777777" w:rsidR="008421CB" w:rsidRPr="00132167" w:rsidRDefault="008421CB" w:rsidP="008421CB">
            <w:pPr>
              <w:pStyle w:val="Prrafodelista"/>
              <w:widowControl w:val="0"/>
              <w:numPr>
                <w:ilvl w:val="0"/>
                <w:numId w:val="18"/>
              </w:numPr>
              <w:autoSpaceDE w:val="0"/>
              <w:autoSpaceDN w:val="0"/>
              <w:spacing w:after="120" w:line="276" w:lineRule="auto"/>
              <w:jc w:val="both"/>
              <w:rPr>
                <w:rFonts w:ascii="Verdana" w:hAnsi="Verdana" w:cs="Arial"/>
                <w:color w:val="000000" w:themeColor="text1"/>
              </w:rPr>
            </w:pPr>
            <w:r w:rsidRPr="00132167">
              <w:rPr>
                <w:rFonts w:ascii="Verdana" w:hAnsi="Verdana" w:cs="Arial"/>
                <w:color w:val="000000" w:themeColor="text1"/>
              </w:rPr>
              <w:t>Decreto 1082 del 2015, ARTÍCULO 2.2.1.2.1.1.2</w:t>
            </w:r>
          </w:p>
          <w:p w14:paraId="5F649B0B" w14:textId="77777777" w:rsidR="008421CB" w:rsidRPr="00132167" w:rsidRDefault="008421CB" w:rsidP="008421CB">
            <w:pPr>
              <w:pStyle w:val="Prrafodelista"/>
              <w:widowControl w:val="0"/>
              <w:numPr>
                <w:ilvl w:val="0"/>
                <w:numId w:val="18"/>
              </w:numPr>
              <w:autoSpaceDE w:val="0"/>
              <w:autoSpaceDN w:val="0"/>
              <w:spacing w:after="120" w:line="276" w:lineRule="auto"/>
              <w:jc w:val="both"/>
              <w:rPr>
                <w:rFonts w:ascii="Verdana" w:hAnsi="Verdana" w:cs="Arial"/>
                <w:color w:val="000000" w:themeColor="text1"/>
              </w:rPr>
            </w:pPr>
            <w:r w:rsidRPr="00132167">
              <w:rPr>
                <w:rFonts w:ascii="Verdana" w:hAnsi="Verdana" w:cs="Arial"/>
                <w:bCs/>
                <w:color w:val="000000" w:themeColor="text1"/>
              </w:rPr>
              <w:t>Ley 1150 de 2007</w:t>
            </w:r>
            <w:r>
              <w:rPr>
                <w:rFonts w:ascii="Verdana" w:hAnsi="Verdana" w:cs="Arial"/>
                <w:bCs/>
                <w:color w:val="000000" w:themeColor="text1"/>
              </w:rPr>
              <w:t xml:space="preserve">, </w:t>
            </w:r>
            <w:r w:rsidRPr="00132167">
              <w:rPr>
                <w:rFonts w:ascii="Verdana" w:hAnsi="Verdana" w:cs="Arial"/>
                <w:bCs/>
                <w:color w:val="000000" w:themeColor="text1"/>
              </w:rPr>
              <w:t>artículo 2</w:t>
            </w:r>
            <w:r>
              <w:rPr>
                <w:rFonts w:ascii="Verdana" w:hAnsi="Verdana" w:cs="Arial"/>
                <w:bCs/>
                <w:color w:val="000000" w:themeColor="text1"/>
              </w:rPr>
              <w:t>, literal 1 y 2</w:t>
            </w:r>
          </w:p>
          <w:p w14:paraId="319CED42" w14:textId="77777777" w:rsidR="008421CB" w:rsidRPr="00132167" w:rsidRDefault="008421CB" w:rsidP="008421CB">
            <w:pPr>
              <w:pStyle w:val="Prrafodelista"/>
              <w:widowControl w:val="0"/>
              <w:numPr>
                <w:ilvl w:val="0"/>
                <w:numId w:val="18"/>
              </w:numPr>
              <w:autoSpaceDE w:val="0"/>
              <w:autoSpaceDN w:val="0"/>
              <w:spacing w:after="120" w:line="276" w:lineRule="auto"/>
              <w:jc w:val="both"/>
              <w:rPr>
                <w:rFonts w:ascii="Verdana" w:hAnsi="Verdana" w:cs="Arial"/>
                <w:color w:val="000000" w:themeColor="text1"/>
              </w:rPr>
            </w:pPr>
            <w:r w:rsidRPr="00132167">
              <w:rPr>
                <w:rFonts w:ascii="Verdana" w:hAnsi="Verdana" w:cs="Arial"/>
                <w:color w:val="000000" w:themeColor="text1"/>
              </w:rPr>
              <w:t xml:space="preserve">Concepto del Departamento Administrativo de la Función Pública No. 170081 del 2022. Disponible en: </w:t>
            </w:r>
          </w:p>
          <w:p w14:paraId="6C46C4E8" w14:textId="77777777" w:rsidR="008421CB" w:rsidRDefault="008421CB" w:rsidP="008421CB">
            <w:pPr>
              <w:pStyle w:val="Prrafodelista"/>
              <w:widowControl w:val="0"/>
              <w:numPr>
                <w:ilvl w:val="0"/>
                <w:numId w:val="18"/>
              </w:numPr>
              <w:autoSpaceDE w:val="0"/>
              <w:autoSpaceDN w:val="0"/>
              <w:spacing w:after="120" w:line="276" w:lineRule="auto"/>
              <w:jc w:val="both"/>
              <w:rPr>
                <w:rFonts w:ascii="Verdana" w:hAnsi="Verdana" w:cs="Arial"/>
                <w:color w:val="000000" w:themeColor="text1"/>
              </w:rPr>
            </w:pPr>
            <w:r w:rsidRPr="00132167">
              <w:rPr>
                <w:rFonts w:ascii="Verdana" w:hAnsi="Verdana" w:cs="Arial"/>
                <w:color w:val="000000" w:themeColor="text1"/>
              </w:rPr>
              <w:t xml:space="preserve">Jurisprudencia del Consejo de Estado. Disponible en: </w:t>
            </w:r>
            <w:hyperlink r:id="rId12" w:history="1">
              <w:r w:rsidRPr="00132167">
                <w:rPr>
                  <w:rStyle w:val="Hipervnculo"/>
                  <w:rFonts w:ascii="Verdana" w:hAnsi="Verdana" w:cs="Arial"/>
                  <w:color w:val="000000" w:themeColor="text1"/>
                </w:rPr>
                <w:t>https://relatoria.colombiacompra.gov.co/providencias-consejo-de-estado/</w:t>
              </w:r>
            </w:hyperlink>
            <w:r w:rsidRPr="00132167">
              <w:rPr>
                <w:rFonts w:ascii="Verdana" w:hAnsi="Verdana" w:cs="Arial"/>
                <w:color w:val="000000" w:themeColor="text1"/>
              </w:rPr>
              <w:t xml:space="preserve"> </w:t>
            </w:r>
          </w:p>
          <w:p w14:paraId="71FCE081" w14:textId="77777777" w:rsidR="008421CB" w:rsidRPr="00132167" w:rsidRDefault="008421CB" w:rsidP="008421CB">
            <w:pPr>
              <w:pStyle w:val="Prrafodelista"/>
              <w:widowControl w:val="0"/>
              <w:numPr>
                <w:ilvl w:val="0"/>
                <w:numId w:val="18"/>
              </w:numPr>
              <w:autoSpaceDE w:val="0"/>
              <w:autoSpaceDN w:val="0"/>
              <w:spacing w:after="120" w:line="276" w:lineRule="auto"/>
              <w:rPr>
                <w:rFonts w:ascii="Verdana" w:hAnsi="Verdana" w:cs="Arial"/>
                <w:color w:val="000000" w:themeColor="text1"/>
                <w:lang w:val="es-CO"/>
              </w:rPr>
            </w:pPr>
            <w:r w:rsidRPr="00132167">
              <w:rPr>
                <w:rFonts w:ascii="Verdana" w:hAnsi="Verdana" w:cs="Arial"/>
                <w:color w:val="000000" w:themeColor="text1"/>
                <w:lang w:val="es-MX"/>
              </w:rPr>
              <w:t>MARÍN CORTÉS, Fabián G. Derecho de petición y procedimiento administrativo. 1</w:t>
            </w:r>
            <w:r w:rsidRPr="00132167">
              <w:rPr>
                <w:rFonts w:ascii="Verdana" w:hAnsi="Verdana" w:cs="Arial"/>
                <w:color w:val="000000" w:themeColor="text1"/>
                <w:u w:val="single"/>
                <w:vertAlign w:val="superscript"/>
                <w:lang w:val="es-MX"/>
              </w:rPr>
              <w:t>a</w:t>
            </w:r>
            <w:r w:rsidRPr="00132167">
              <w:rPr>
                <w:rFonts w:ascii="Verdana" w:hAnsi="Verdana" w:cs="Arial"/>
                <w:color w:val="000000" w:themeColor="text1"/>
                <w:lang w:val="es-MX"/>
              </w:rPr>
              <w:t xml:space="preserve"> ed. Medellín: Librería Jurídica Sánchez R </w:t>
            </w:r>
            <w:proofErr w:type="spellStart"/>
            <w:r w:rsidRPr="00132167">
              <w:rPr>
                <w:rFonts w:ascii="Verdana" w:hAnsi="Verdana" w:cs="Arial"/>
                <w:color w:val="000000" w:themeColor="text1"/>
                <w:lang w:val="es-MX"/>
              </w:rPr>
              <w:t>Ltda</w:t>
            </w:r>
            <w:proofErr w:type="spellEnd"/>
            <w:r w:rsidRPr="00132167">
              <w:rPr>
                <w:rFonts w:ascii="Verdana" w:hAnsi="Verdana" w:cs="Arial"/>
                <w:color w:val="000000" w:themeColor="text1"/>
                <w:lang w:val="es-MX"/>
              </w:rPr>
              <w:t xml:space="preserve"> y Centro de Estudios de Derecho Administrativo, 2017. p. 417.  </w:t>
            </w:r>
          </w:p>
          <w:p w14:paraId="0D3DA82E" w14:textId="77777777" w:rsidR="008421CB" w:rsidRPr="00132167" w:rsidRDefault="008421CB" w:rsidP="008421CB">
            <w:pPr>
              <w:pStyle w:val="Prrafodelista"/>
              <w:widowControl w:val="0"/>
              <w:numPr>
                <w:ilvl w:val="0"/>
                <w:numId w:val="18"/>
              </w:numPr>
              <w:autoSpaceDE w:val="0"/>
              <w:autoSpaceDN w:val="0"/>
              <w:spacing w:after="120" w:line="276" w:lineRule="auto"/>
              <w:contextualSpacing w:val="0"/>
              <w:jc w:val="both"/>
              <w:rPr>
                <w:rFonts w:ascii="Verdana" w:hAnsi="Verdana" w:cs="Arial"/>
                <w:color w:val="000000" w:themeColor="text1"/>
              </w:rPr>
            </w:pPr>
            <w:r w:rsidRPr="00132167">
              <w:rPr>
                <w:rFonts w:ascii="Verdana" w:hAnsi="Verdana" w:cs="Arial"/>
                <w:color w:val="000000" w:themeColor="text1"/>
              </w:rPr>
              <w:t>Guías y manuales expedidos por la ANCP-CCE. Disponible en:</w:t>
            </w:r>
            <w:r w:rsidRPr="00132167">
              <w:rPr>
                <w:rFonts w:ascii="Verdana" w:hAnsi="Verdana"/>
                <w:color w:val="000000" w:themeColor="text1"/>
              </w:rPr>
              <w:t xml:space="preserve"> </w:t>
            </w:r>
            <w:hyperlink r:id="rId13" w:history="1">
              <w:r w:rsidRPr="00132167">
                <w:rPr>
                  <w:rStyle w:val="Hipervnculo"/>
                  <w:rFonts w:ascii="Verdana" w:hAnsi="Verdana" w:cs="Arial"/>
                  <w:color w:val="000000" w:themeColor="text1"/>
                </w:rPr>
                <w:t>https://www.colombiacompra.gov.co/manuales-guias-y-pliegos-tipo/manuales-y-guias</w:t>
              </w:r>
            </w:hyperlink>
            <w:r w:rsidRPr="00132167">
              <w:rPr>
                <w:rFonts w:ascii="Verdana" w:hAnsi="Verdana" w:cs="Arial"/>
                <w:color w:val="000000" w:themeColor="text1"/>
              </w:rPr>
              <w:t xml:space="preserve"> </w:t>
            </w:r>
          </w:p>
          <w:p w14:paraId="1169B52B" w14:textId="77777777" w:rsidR="008421CB" w:rsidRPr="00132167" w:rsidRDefault="008421CB" w:rsidP="00CE7CC4">
            <w:pPr>
              <w:widowControl w:val="0"/>
              <w:autoSpaceDE w:val="0"/>
              <w:autoSpaceDN w:val="0"/>
              <w:spacing w:after="120" w:line="276" w:lineRule="auto"/>
              <w:ind w:left="360"/>
              <w:jc w:val="both"/>
              <w:rPr>
                <w:rFonts w:ascii="Verdana" w:hAnsi="Verdana" w:cs="Arial"/>
                <w:color w:val="000000" w:themeColor="text1"/>
              </w:rPr>
            </w:pPr>
          </w:p>
        </w:tc>
      </w:tr>
    </w:tbl>
    <w:p w14:paraId="0DDA93F3" w14:textId="77777777" w:rsidR="008421CB" w:rsidRPr="00132167" w:rsidRDefault="008421CB" w:rsidP="008421CB">
      <w:pPr>
        <w:widowControl w:val="0"/>
        <w:autoSpaceDE w:val="0"/>
        <w:autoSpaceDN w:val="0"/>
        <w:spacing w:line="276" w:lineRule="auto"/>
        <w:jc w:val="both"/>
        <w:rPr>
          <w:rFonts w:ascii="Verdana" w:hAnsi="Verdana" w:cs="Arial"/>
          <w:color w:val="000000" w:themeColor="text1"/>
        </w:rPr>
      </w:pPr>
    </w:p>
    <w:p w14:paraId="156A9551" w14:textId="77777777" w:rsidR="008421CB" w:rsidRPr="00132167" w:rsidRDefault="008421CB" w:rsidP="008421C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32167">
        <w:rPr>
          <w:rFonts w:ascii="Verdana" w:eastAsia="Century Gothic" w:hAnsi="Verdana" w:cs="Century Gothic"/>
          <w:b/>
          <w:bCs/>
          <w:color w:val="000000" w:themeColor="text1"/>
        </w:rPr>
        <w:t>Doctrina de la Agencia Nacional de Contratación Pública:</w:t>
      </w:r>
    </w:p>
    <w:p w14:paraId="34EEF535" w14:textId="77777777" w:rsidR="008421CB" w:rsidRPr="00132167" w:rsidRDefault="008421CB" w:rsidP="008421CB">
      <w:pPr>
        <w:widowControl w:val="0"/>
        <w:autoSpaceDE w:val="0"/>
        <w:autoSpaceDN w:val="0"/>
        <w:spacing w:line="276" w:lineRule="auto"/>
        <w:jc w:val="both"/>
        <w:rPr>
          <w:rFonts w:ascii="Verdana" w:hAnsi="Verdana" w:cs="Arial"/>
          <w:color w:val="000000" w:themeColor="text1"/>
        </w:rPr>
      </w:pPr>
    </w:p>
    <w:p w14:paraId="4E41AF3F" w14:textId="77777777" w:rsidR="008421CB" w:rsidRPr="00AD430E" w:rsidRDefault="008421CB" w:rsidP="008421CB">
      <w:pPr>
        <w:widowControl w:val="0"/>
        <w:autoSpaceDE w:val="0"/>
        <w:autoSpaceDN w:val="0"/>
        <w:spacing w:line="276" w:lineRule="auto"/>
        <w:jc w:val="both"/>
        <w:rPr>
          <w:rStyle w:val="normaltextrun"/>
          <w:rFonts w:ascii="Verdana" w:hAnsi="Verdana" w:cs="Arial"/>
          <w:color w:val="000000" w:themeColor="text1"/>
          <w:sz w:val="22"/>
          <w:szCs w:val="22"/>
          <w:shd w:val="clear" w:color="auto" w:fill="FFFFFF"/>
        </w:rPr>
      </w:pPr>
      <w:r w:rsidRPr="00AD430E">
        <w:rPr>
          <w:rStyle w:val="normaltextrun"/>
          <w:rFonts w:ascii="Verdana" w:hAnsi="Verdana" w:cs="Arial"/>
          <w:color w:val="000000" w:themeColor="text1"/>
          <w:sz w:val="22"/>
          <w:szCs w:val="22"/>
          <w:shd w:val="clear" w:color="auto" w:fill="FFFFFF"/>
        </w:rPr>
        <w:t xml:space="preserve">Sobre los documentos tipo, su inalterabilidad y las causales de rechazo se pronunció esta Subdirección en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del 11 de diciembre de 2020, C-031 del 1 de febrero de 2021, C-027 del 1 de marzo de 2021, C-064 del 8 de marzo 2021, C-096 del 24 de marzo de 2021, C-157 del 13 de abril de 2021, C-056 del 20 de abril de 2021, C-204 del 6 de mayo de 2021, C-555 del 20 de octubre de 2021, C-691 del 28 de diciembre de 2021, C-753 del 06 de febrero de 2022, C-078 del 15 de marzo de 2022, C-321 del 17 de mayo de 2022, C-113 del 22 de marzo de 2022, C-178 C-186  del 12 de abril de 2022  y C-444 del 30 de junio de 2022, entre otros. Así mismo, en el concepto con radicado No. 4201912000004987 del 14 de agosto de 2019, reiterado y desarrollado en los conceptos No. 4201913000005675 del 25 de septiembre de 2019, 4201912000005852 del 25 de septiembre de 2019, 4201912000006447 del 10 de octubre de 2019, 4201912000006498 del 7 de octubre de 2019, 4201912000007471 del 13 de noviembre de 2019, C – 016 de 2020 del 21 de abril de 2020, C – 037 de 2020 </w:t>
      </w:r>
      <w:r w:rsidRPr="00AD430E">
        <w:rPr>
          <w:rStyle w:val="normaltextrun"/>
          <w:rFonts w:ascii="Verdana" w:hAnsi="Verdana" w:cs="Arial"/>
          <w:color w:val="000000" w:themeColor="text1"/>
          <w:sz w:val="22"/>
          <w:szCs w:val="22"/>
          <w:shd w:val="clear" w:color="auto" w:fill="FFFFFF"/>
        </w:rPr>
        <w:lastRenderedPageBreak/>
        <w:t>del 28 de enero de 2020, C – 038 de 2020 del 28 de enero de 2020, C – 093 de 2020 del 28 de febrero de 2020, C – 133 del 30 de marzo de 2020, C – 153 del 1 de abril de 2020, C – 704 del 11 de diciembre del 2020, C – 070 del 16 de marzo de 2021, C – 204 del 6 de mayo de 2021, C – 435 de 1° de septiembre de 2021, C-640 del 12 de noviembre de 2021, C-478 del 27 de julio de 2022 se pronunció acerca del Formulario 1 – Formulario de Presupuesto Oficial de los Documentos Tipo. Es</w:t>
      </w:r>
      <w:r w:rsidRPr="00AD430E">
        <w:rPr>
          <w:rFonts w:ascii="Verdana" w:hAnsi="Verdana"/>
          <w:color w:val="000000" w:themeColor="text1"/>
          <w:sz w:val="22"/>
          <w:szCs w:val="22"/>
        </w:rPr>
        <w:t>tos y otros conceptos se encuentran disponibles para consulta en el Sistema de relatoría de la Agencia, al cual se puede acceder a través del siguiente enlace:</w:t>
      </w:r>
      <w:r w:rsidRPr="00AD430E">
        <w:rPr>
          <w:rStyle w:val="normaltextrun"/>
          <w:rFonts w:ascii="Verdana" w:hAnsi="Verdana" w:cs="Arial"/>
          <w:color w:val="000000" w:themeColor="text1"/>
          <w:sz w:val="22"/>
          <w:szCs w:val="22"/>
          <w:shd w:val="clear" w:color="auto" w:fill="FFFFFF"/>
        </w:rPr>
        <w:t xml:space="preserve"> </w:t>
      </w:r>
      <w:hyperlink r:id="rId14" w:history="1">
        <w:r w:rsidRPr="00AD430E">
          <w:rPr>
            <w:rStyle w:val="Hipervnculo"/>
            <w:rFonts w:ascii="Verdana" w:hAnsi="Verdana" w:cs="Arial"/>
            <w:color w:val="000000" w:themeColor="text1"/>
            <w:sz w:val="22"/>
            <w:szCs w:val="22"/>
            <w:shd w:val="clear" w:color="auto" w:fill="FFFFFF"/>
          </w:rPr>
          <w:t>https://relatoria.colombiacompra.gov.co/busqueda/conceptos</w:t>
        </w:r>
      </w:hyperlink>
      <w:r w:rsidRPr="00AD430E">
        <w:rPr>
          <w:rStyle w:val="normaltextrun"/>
          <w:rFonts w:ascii="Verdana" w:hAnsi="Verdana" w:cs="Arial"/>
          <w:color w:val="000000" w:themeColor="text1"/>
          <w:sz w:val="22"/>
          <w:szCs w:val="22"/>
          <w:shd w:val="clear" w:color="auto" w:fill="FFFFFF"/>
        </w:rPr>
        <w:t xml:space="preserve">. </w:t>
      </w:r>
    </w:p>
    <w:p w14:paraId="48ECD82E" w14:textId="77777777" w:rsidR="008421CB" w:rsidRPr="00AD430E" w:rsidRDefault="008421CB" w:rsidP="008421CB">
      <w:pPr>
        <w:widowControl w:val="0"/>
        <w:autoSpaceDE w:val="0"/>
        <w:autoSpaceDN w:val="0"/>
        <w:spacing w:line="276" w:lineRule="auto"/>
        <w:jc w:val="both"/>
        <w:rPr>
          <w:rFonts w:ascii="Verdana" w:hAnsi="Verdana" w:cs="Arial"/>
          <w:color w:val="000000" w:themeColor="text1"/>
          <w:sz w:val="22"/>
          <w:szCs w:val="22"/>
          <w:shd w:val="clear" w:color="auto" w:fill="FFFFFF"/>
        </w:rPr>
      </w:pPr>
      <w:r w:rsidRPr="00AD430E">
        <w:rPr>
          <w:rStyle w:val="normaltextrun"/>
          <w:rFonts w:ascii="Verdana" w:hAnsi="Verdana" w:cs="Arial"/>
          <w:color w:val="000000" w:themeColor="text1"/>
          <w:sz w:val="22"/>
          <w:szCs w:val="22"/>
          <w:shd w:val="clear" w:color="auto" w:fill="FFFFFF"/>
        </w:rPr>
        <w:t xml:space="preserve">También </w:t>
      </w:r>
      <w:r w:rsidRPr="00AD430E">
        <w:rPr>
          <w:rFonts w:ascii="Verdana" w:hAnsi="Verdana" w:cs="Arial"/>
          <w:color w:val="000000" w:themeColor="text1"/>
          <w:sz w:val="22"/>
          <w:szCs w:val="22"/>
          <w:shd w:val="clear" w:color="auto" w:fill="FFFFFF"/>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15" w:tgtFrame="_blank" w:tooltip="Dirección URL original: https://www.colombiacompra.gov.co/content/borrador-de-documentos-tipo-de-consultoria-de-obra-publica-de-infraestructura-de-transporte. Haga clic o pulse si confía en este vínculo." w:history="1">
        <w:r w:rsidRPr="00AD430E">
          <w:rPr>
            <w:rStyle w:val="Hipervnculo"/>
            <w:rFonts w:ascii="Verdana" w:hAnsi="Verdana" w:cs="Arial"/>
            <w:color w:val="000000" w:themeColor="text1"/>
            <w:sz w:val="22"/>
            <w:szCs w:val="22"/>
            <w:shd w:val="clear" w:color="auto" w:fill="FFFFFF"/>
          </w:rPr>
          <w:t>https://www.colombiacompra.gov.co/content/borrador-de-documentos-tipo-de-consultoria-de-obra-publica-de-infraestructura-de-transporte</w:t>
        </w:r>
      </w:hyperlink>
      <w:r w:rsidRPr="00AD430E">
        <w:rPr>
          <w:rFonts w:ascii="Verdana" w:hAnsi="Verdana" w:cs="Arial"/>
          <w:color w:val="000000" w:themeColor="text1"/>
          <w:sz w:val="22"/>
          <w:szCs w:val="22"/>
          <w:shd w:val="clear" w:color="auto" w:fill="FFFFFF"/>
        </w:rPr>
        <w:t> y </w:t>
      </w:r>
      <w:hyperlink r:id="rId16" w:tgtFrame="_blank" w:tooltip="Dirección URL original: https://www.colombiacompra.gov.co/content/borrador-de-documentos-tipo-de-interventoria-de-obra-publica-de-infraestructura-de. Haga clic o pulse si confía en este vínculo." w:history="1">
        <w:r w:rsidRPr="00AD430E">
          <w:rPr>
            <w:rStyle w:val="Hipervnculo"/>
            <w:rFonts w:ascii="Verdana" w:hAnsi="Verdana" w:cs="Arial"/>
            <w:color w:val="000000" w:themeColor="text1"/>
            <w:sz w:val="22"/>
            <w:szCs w:val="22"/>
            <w:shd w:val="clear" w:color="auto" w:fill="FFFFFF"/>
          </w:rPr>
          <w:t>https://www.colombiacompra.gov.co/content/borrador-de-documentos-tipo-de-interventoria-de-obra-publica-de-infraestructura-de</w:t>
        </w:r>
      </w:hyperlink>
      <w:r w:rsidRPr="00AD430E">
        <w:rPr>
          <w:rFonts w:ascii="Verdana" w:hAnsi="Verdana" w:cs="Arial"/>
          <w:color w:val="000000" w:themeColor="text1"/>
          <w:sz w:val="22"/>
          <w:szCs w:val="22"/>
          <w:shd w:val="clear" w:color="auto" w:fill="FFFFFF"/>
        </w:rPr>
        <w:t> .</w:t>
      </w:r>
    </w:p>
    <w:p w14:paraId="412E43D0" w14:textId="77777777" w:rsidR="008421CB" w:rsidRPr="00AD430E" w:rsidRDefault="008421CB" w:rsidP="008421CB">
      <w:pPr>
        <w:widowControl w:val="0"/>
        <w:autoSpaceDE w:val="0"/>
        <w:autoSpaceDN w:val="0"/>
        <w:spacing w:line="276" w:lineRule="auto"/>
        <w:jc w:val="both"/>
        <w:rPr>
          <w:rFonts w:ascii="Verdana" w:hAnsi="Verdana" w:cs="Arial"/>
          <w:color w:val="000000" w:themeColor="text1"/>
          <w:sz w:val="22"/>
          <w:szCs w:val="22"/>
          <w:shd w:val="clear" w:color="auto" w:fill="FFFFFF"/>
        </w:rPr>
      </w:pPr>
      <w:r w:rsidRPr="00AD430E">
        <w:rPr>
          <w:rFonts w:ascii="Verdana" w:hAnsi="Verdana" w:cs="Arial"/>
          <w:color w:val="000000" w:themeColor="text1"/>
          <w:sz w:val="22"/>
          <w:szCs w:val="22"/>
          <w:shd w:val="clear" w:color="auto" w:fill="FFFFFF"/>
        </w:rPr>
        <w:t>De otra parte, te contamos que ya publicamos el borrador de la nueva Guía de Contratación Pública Sostenible y Socialmente Responsable. Conoce el documento y realiza tus comentarios hasta el 14 de noviembre de 2024 a través del siguiente enlace:</w:t>
      </w:r>
    </w:p>
    <w:p w14:paraId="26EC5A01" w14:textId="77777777" w:rsidR="008421CB" w:rsidRPr="00AD430E" w:rsidRDefault="008421CB" w:rsidP="008421CB">
      <w:pPr>
        <w:widowControl w:val="0"/>
        <w:autoSpaceDE w:val="0"/>
        <w:autoSpaceDN w:val="0"/>
        <w:spacing w:line="276" w:lineRule="auto"/>
        <w:jc w:val="both"/>
        <w:rPr>
          <w:rFonts w:ascii="Verdana" w:hAnsi="Verdana" w:cs="Arial"/>
          <w:color w:val="000000" w:themeColor="text1"/>
          <w:sz w:val="22"/>
          <w:szCs w:val="22"/>
          <w:shd w:val="clear" w:color="auto" w:fill="FFFFFF"/>
        </w:rPr>
      </w:pPr>
      <w:r w:rsidRPr="00AD430E">
        <w:rPr>
          <w:rFonts w:ascii="Verdana" w:hAnsi="Verdana" w:cs="Arial"/>
          <w:color w:val="000000" w:themeColor="text1"/>
          <w:sz w:val="22"/>
          <w:szCs w:val="22"/>
          <w:shd w:val="clear" w:color="auto" w:fill="FFFFFF"/>
        </w:rPr>
        <w:t> </w:t>
      </w:r>
      <w:hyperlink r:id="rId17" w:tgtFrame="_blank" w:tooltip="Dirección URL original: https://www.sucop.gov.co/entidades/colombiacompra/Normativa?IDNorma=18320. Haga clic o pulse si confía en este vínculo." w:history="1">
        <w:r w:rsidRPr="00AD430E">
          <w:rPr>
            <w:rStyle w:val="Hipervnculo"/>
            <w:rFonts w:ascii="Verdana" w:hAnsi="Verdana" w:cs="Arial"/>
            <w:color w:val="000000" w:themeColor="text1"/>
            <w:sz w:val="22"/>
            <w:szCs w:val="22"/>
            <w:shd w:val="clear" w:color="auto" w:fill="FFFFFF"/>
          </w:rPr>
          <w:t>https://www.sucop.gov.co/entidades/colombiacompra/Normativa?IDNorma=18320</w:t>
        </w:r>
      </w:hyperlink>
      <w:r w:rsidRPr="00AD430E">
        <w:rPr>
          <w:rFonts w:ascii="Verdana" w:hAnsi="Verdana" w:cs="Arial"/>
          <w:color w:val="000000" w:themeColor="text1"/>
          <w:sz w:val="22"/>
          <w:szCs w:val="22"/>
          <w:shd w:val="clear" w:color="auto" w:fill="FFFFFF"/>
        </w:rPr>
        <w:t>  </w:t>
      </w:r>
    </w:p>
    <w:p w14:paraId="5445B13A" w14:textId="77777777" w:rsidR="008421CB" w:rsidRPr="00AD430E" w:rsidRDefault="008421CB" w:rsidP="008421CB">
      <w:pPr>
        <w:widowControl w:val="0"/>
        <w:autoSpaceDE w:val="0"/>
        <w:autoSpaceDN w:val="0"/>
        <w:spacing w:line="276" w:lineRule="auto"/>
        <w:jc w:val="both"/>
        <w:rPr>
          <w:rStyle w:val="normaltextrun"/>
          <w:rFonts w:ascii="Verdana" w:hAnsi="Verdana" w:cs="Arial"/>
          <w:color w:val="000000" w:themeColor="text1"/>
          <w:sz w:val="22"/>
          <w:szCs w:val="22"/>
          <w:shd w:val="clear" w:color="auto" w:fill="FFFFFF"/>
        </w:rPr>
      </w:pPr>
      <w:r w:rsidRPr="00AD430E">
        <w:rPr>
          <w:rFonts w:ascii="Verdana" w:hAnsi="Verdana" w:cs="Arial"/>
          <w:color w:val="000000" w:themeColor="text1"/>
          <w:sz w:val="22"/>
          <w:szCs w:val="22"/>
          <w:shd w:val="clear" w:color="auto" w:fill="FFFFFF"/>
        </w:rPr>
        <w:t>También le invitamos a consultar las versiones V y VI de 2024 del Boletín de Relatoría de la Subdirección de Gestión Contractual relacionados con las guías de Plan Anual de Adquisiciones y la modalidad de selección de mínima cuantía , los cuales se pueden descargar en la página web de la Agencia: </w:t>
      </w:r>
      <w:hyperlink r:id="rId18" w:tgtFrame="_blank" w:tooltip="Dirección URL original: https://www.colombiacompra.gov.co/sala-de-prensa/boletin-digital. Haga clic o pulse si confía en este vínculo." w:history="1">
        <w:r w:rsidRPr="00AD430E">
          <w:rPr>
            <w:rStyle w:val="Hipervnculo"/>
            <w:rFonts w:ascii="Verdana" w:hAnsi="Verdana" w:cs="Arial"/>
            <w:color w:val="000000" w:themeColor="text1"/>
            <w:sz w:val="22"/>
            <w:szCs w:val="22"/>
            <w:shd w:val="clear" w:color="auto" w:fill="FFFFFF"/>
          </w:rPr>
          <w:t>https://www.colombiacompra.gov.co/sala-de-prensa/boletin-digital</w:t>
        </w:r>
      </w:hyperlink>
    </w:p>
    <w:p w14:paraId="10ACE83F" w14:textId="77777777" w:rsidR="008421CB" w:rsidRPr="00AD430E" w:rsidRDefault="008421CB" w:rsidP="008421CB">
      <w:pPr>
        <w:spacing w:line="276" w:lineRule="auto"/>
        <w:jc w:val="both"/>
        <w:rPr>
          <w:rFonts w:ascii="Verdana" w:hAnsi="Verdana"/>
          <w:color w:val="000000" w:themeColor="text1"/>
          <w:sz w:val="22"/>
          <w:szCs w:val="22"/>
        </w:rPr>
      </w:pPr>
      <w:r w:rsidRPr="00AD430E">
        <w:rPr>
          <w:rFonts w:ascii="Verdana" w:hAnsi="Verdana"/>
          <w:color w:val="000000" w:themeColor="text1"/>
          <w:sz w:val="22"/>
          <w:szCs w:val="22"/>
        </w:rPr>
        <w:t xml:space="preserve">Por último, lo invitamos a seguirnos en las redes sociales en las cuales se difunde información institucional: </w:t>
      </w:r>
    </w:p>
    <w:p w14:paraId="54567B1F" w14:textId="77777777" w:rsidR="008421CB" w:rsidRPr="00AD430E" w:rsidRDefault="008421CB" w:rsidP="008421CB">
      <w:pPr>
        <w:spacing w:line="276" w:lineRule="auto"/>
        <w:jc w:val="both"/>
        <w:rPr>
          <w:rFonts w:ascii="Verdana" w:hAnsi="Verdana"/>
          <w:color w:val="000000" w:themeColor="text1"/>
          <w:sz w:val="22"/>
          <w:szCs w:val="22"/>
        </w:rPr>
      </w:pPr>
      <w:r w:rsidRPr="00AD430E">
        <w:rPr>
          <w:rFonts w:ascii="Verdana" w:hAnsi="Verdana"/>
          <w:color w:val="000000" w:themeColor="text1"/>
          <w:sz w:val="22"/>
          <w:szCs w:val="22"/>
        </w:rPr>
        <w:t xml:space="preserve">Twitter: </w:t>
      </w:r>
      <w:r w:rsidRPr="00AD430E">
        <w:rPr>
          <w:rStyle w:val="Hipervnculo"/>
          <w:rFonts w:ascii="Verdana" w:hAnsi="Verdana"/>
          <w:color w:val="000000" w:themeColor="text1"/>
          <w:sz w:val="22"/>
          <w:szCs w:val="22"/>
        </w:rPr>
        <w:t>@colombiacompra</w:t>
      </w:r>
      <w:r w:rsidRPr="00AD430E">
        <w:rPr>
          <w:rFonts w:ascii="Verdana" w:hAnsi="Verdana"/>
          <w:color w:val="000000" w:themeColor="text1"/>
          <w:sz w:val="22"/>
          <w:szCs w:val="22"/>
        </w:rPr>
        <w:t xml:space="preserve"> </w:t>
      </w:r>
    </w:p>
    <w:p w14:paraId="14BE43FC" w14:textId="77777777" w:rsidR="008421CB" w:rsidRPr="00AD430E" w:rsidRDefault="008421CB" w:rsidP="008421CB">
      <w:pPr>
        <w:spacing w:line="276" w:lineRule="auto"/>
        <w:jc w:val="both"/>
        <w:rPr>
          <w:rFonts w:ascii="Verdana" w:hAnsi="Verdana"/>
          <w:color w:val="000000" w:themeColor="text1"/>
          <w:sz w:val="22"/>
          <w:szCs w:val="22"/>
        </w:rPr>
      </w:pPr>
      <w:r w:rsidRPr="00AD430E">
        <w:rPr>
          <w:rFonts w:ascii="Verdana" w:hAnsi="Verdana"/>
          <w:color w:val="000000" w:themeColor="text1"/>
          <w:sz w:val="22"/>
          <w:szCs w:val="22"/>
        </w:rPr>
        <w:t xml:space="preserve">Facebook: </w:t>
      </w:r>
      <w:r w:rsidRPr="00AD430E">
        <w:rPr>
          <w:rStyle w:val="Hipervnculo"/>
          <w:rFonts w:ascii="Verdana" w:hAnsi="Verdana"/>
          <w:color w:val="000000" w:themeColor="text1"/>
          <w:sz w:val="22"/>
          <w:szCs w:val="22"/>
        </w:rPr>
        <w:t>ColombiaCompraEficiente</w:t>
      </w:r>
    </w:p>
    <w:p w14:paraId="6242C75A" w14:textId="77777777" w:rsidR="008421CB" w:rsidRPr="00AD430E" w:rsidRDefault="008421CB" w:rsidP="008421CB">
      <w:pPr>
        <w:spacing w:line="276" w:lineRule="auto"/>
        <w:jc w:val="both"/>
        <w:rPr>
          <w:rFonts w:ascii="Verdana" w:hAnsi="Verdana"/>
          <w:color w:val="000000" w:themeColor="text1"/>
          <w:sz w:val="22"/>
          <w:szCs w:val="22"/>
        </w:rPr>
      </w:pPr>
      <w:r w:rsidRPr="00AD430E">
        <w:rPr>
          <w:rFonts w:ascii="Verdana" w:hAnsi="Verdana"/>
          <w:color w:val="000000" w:themeColor="text1"/>
          <w:sz w:val="22"/>
          <w:szCs w:val="22"/>
        </w:rPr>
        <w:t xml:space="preserve">LinkedIn: </w:t>
      </w:r>
      <w:r w:rsidRPr="00AD430E">
        <w:rPr>
          <w:rStyle w:val="Hipervnculo"/>
          <w:rFonts w:ascii="Verdana" w:hAnsi="Verdana"/>
          <w:color w:val="000000" w:themeColor="text1"/>
          <w:sz w:val="22"/>
          <w:szCs w:val="22"/>
        </w:rPr>
        <w:t>Agencia Nacional de Contratación Pública - Colombia Compra Eficiente</w:t>
      </w:r>
      <w:r w:rsidRPr="00AD430E">
        <w:rPr>
          <w:rFonts w:ascii="Verdana" w:hAnsi="Verdana"/>
          <w:color w:val="000000" w:themeColor="text1"/>
          <w:sz w:val="22"/>
          <w:szCs w:val="22"/>
        </w:rPr>
        <w:t xml:space="preserve"> Instagram: </w:t>
      </w:r>
      <w:r w:rsidRPr="00AD430E">
        <w:rPr>
          <w:rStyle w:val="Hipervnculo"/>
          <w:rFonts w:ascii="Verdana" w:hAnsi="Verdana"/>
          <w:color w:val="000000" w:themeColor="text1"/>
          <w:sz w:val="22"/>
          <w:szCs w:val="22"/>
        </w:rPr>
        <w:t>@colombiacompraeficiente_cce</w:t>
      </w:r>
    </w:p>
    <w:p w14:paraId="36E6B95D" w14:textId="77777777" w:rsidR="008421CB" w:rsidRPr="00AD430E" w:rsidRDefault="008421CB" w:rsidP="008421CB">
      <w:pPr>
        <w:widowControl w:val="0"/>
        <w:autoSpaceDE w:val="0"/>
        <w:autoSpaceDN w:val="0"/>
        <w:spacing w:line="276" w:lineRule="auto"/>
        <w:jc w:val="both"/>
        <w:rPr>
          <w:rFonts w:ascii="Verdana" w:hAnsi="Verdana" w:cs="Arial"/>
          <w:color w:val="000000" w:themeColor="text1"/>
          <w:sz w:val="22"/>
          <w:szCs w:val="22"/>
          <w:lang w:val="es-ES_tradnl"/>
        </w:rPr>
      </w:pPr>
      <w:r w:rsidRPr="00AD430E">
        <w:rPr>
          <w:rFonts w:ascii="Verdana" w:hAnsi="Verdana" w:cs="Arial"/>
          <w:color w:val="000000" w:themeColor="text1"/>
          <w:sz w:val="22"/>
          <w:szCs w:val="22"/>
        </w:rPr>
        <w:t xml:space="preserve">Este concepto tiene el alcance previsto en el artículo 28 del Código de Procedimiento Administrativo y de lo Contencioso Administrativo </w:t>
      </w:r>
      <w:r w:rsidRPr="00AD430E">
        <w:rPr>
          <w:rFonts w:ascii="Verdana" w:hAnsi="Verdana" w:cs="Arial"/>
          <w:color w:val="000000" w:themeColor="text1"/>
          <w:sz w:val="22"/>
          <w:szCs w:val="22"/>
          <w:lang w:val="es-ES_tradnl"/>
        </w:rPr>
        <w:t xml:space="preserve">y las expresiones aquí utilizadas con mayúscula inicial deben ser entendidas con el </w:t>
      </w:r>
      <w:r w:rsidRPr="00AD430E">
        <w:rPr>
          <w:rFonts w:ascii="Verdana" w:hAnsi="Verdana" w:cs="Arial"/>
          <w:color w:val="000000" w:themeColor="text1"/>
          <w:sz w:val="22"/>
          <w:szCs w:val="22"/>
          <w:lang w:val="es-ES_tradnl"/>
        </w:rPr>
        <w:lastRenderedPageBreak/>
        <w:t>significado que les otorga el artículo 2.2.1.1.1.3.1. del Decreto 1082 de 2015.</w:t>
      </w:r>
    </w:p>
    <w:p w14:paraId="4C61ED51" w14:textId="77777777" w:rsidR="008421CB" w:rsidRPr="00AD430E" w:rsidRDefault="008421CB" w:rsidP="008421CB">
      <w:pPr>
        <w:widowControl w:val="0"/>
        <w:autoSpaceDE w:val="0"/>
        <w:autoSpaceDN w:val="0"/>
        <w:spacing w:line="276" w:lineRule="auto"/>
        <w:jc w:val="both"/>
        <w:rPr>
          <w:rFonts w:ascii="Verdana" w:hAnsi="Verdana" w:cs="Arial"/>
          <w:color w:val="000000" w:themeColor="text1"/>
          <w:sz w:val="22"/>
          <w:szCs w:val="22"/>
        </w:rPr>
      </w:pPr>
    </w:p>
    <w:p w14:paraId="63DA0FAB" w14:textId="77777777" w:rsidR="008421CB" w:rsidRPr="00AD430E" w:rsidRDefault="008421CB" w:rsidP="008421CB">
      <w:pPr>
        <w:spacing w:line="276" w:lineRule="auto"/>
        <w:rPr>
          <w:rFonts w:ascii="Verdana" w:hAnsi="Verdana" w:cs="Arial"/>
          <w:color w:val="000000" w:themeColor="text1"/>
          <w:sz w:val="22"/>
          <w:szCs w:val="22"/>
          <w:lang w:eastAsia="es-CO"/>
        </w:rPr>
      </w:pPr>
      <w:r w:rsidRPr="00AD430E">
        <w:rPr>
          <w:rFonts w:ascii="Verdana" w:hAnsi="Verdana" w:cs="Arial"/>
          <w:color w:val="000000" w:themeColor="text1"/>
          <w:sz w:val="22"/>
          <w:szCs w:val="22"/>
          <w:lang w:eastAsia="es-CO"/>
        </w:rPr>
        <w:t xml:space="preserve">Atentamente, </w:t>
      </w:r>
    </w:p>
    <w:p w14:paraId="3F980BC2" w14:textId="40F9AEEF" w:rsidR="008421CB" w:rsidRPr="00132167" w:rsidRDefault="00AD430E" w:rsidP="008421CB">
      <w:pPr>
        <w:spacing w:line="276" w:lineRule="auto"/>
        <w:jc w:val="center"/>
        <w:rPr>
          <w:rFonts w:ascii="Verdana" w:hAnsi="Verdana" w:cs="Arial"/>
          <w:color w:val="000000" w:themeColor="text1"/>
          <w:lang w:val="es-ES_tradnl" w:eastAsia="es-CO"/>
        </w:rPr>
      </w:pPr>
      <w:r>
        <w:rPr>
          <w:noProof/>
        </w:rPr>
        <w:drawing>
          <wp:inline distT="0" distB="0" distL="0" distR="0" wp14:anchorId="31B669F6" wp14:editId="192CD284">
            <wp:extent cx="3771429" cy="1400000"/>
            <wp:effectExtent l="0" t="0" r="635" b="0"/>
            <wp:docPr id="77839789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97895" name="Imagen 1" descr="Texto&#10;&#10;Descripción generada automáticamente"/>
                    <pic:cNvPicPr/>
                  </pic:nvPicPr>
                  <pic:blipFill>
                    <a:blip r:embed="rId19"/>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421CB" w:rsidRPr="009F0774" w14:paraId="79AD8230" w14:textId="77777777" w:rsidTr="00CE7CC4">
        <w:trPr>
          <w:trHeight w:val="315"/>
        </w:trPr>
        <w:tc>
          <w:tcPr>
            <w:tcW w:w="893" w:type="dxa"/>
            <w:vAlign w:val="center"/>
            <w:hideMark/>
          </w:tcPr>
          <w:p w14:paraId="4707D5E3" w14:textId="77777777" w:rsidR="008421CB" w:rsidRPr="00132167" w:rsidRDefault="008421CB" w:rsidP="00CE7CC4">
            <w:pPr>
              <w:contextualSpacing/>
              <w:rPr>
                <w:rFonts w:ascii="Verdana" w:hAnsi="Verdana" w:cs="Arial"/>
                <w:color w:val="000000" w:themeColor="text1"/>
                <w:sz w:val="16"/>
                <w:szCs w:val="16"/>
                <w:lang w:eastAsia="es-ES"/>
              </w:rPr>
            </w:pPr>
            <w:r w:rsidRPr="00132167">
              <w:rPr>
                <w:rFonts w:ascii="Verdana" w:hAnsi="Verdana" w:cs="Arial"/>
                <w:color w:val="000000" w:themeColor="text1"/>
                <w:sz w:val="16"/>
                <w:szCs w:val="16"/>
                <w:lang w:eastAsia="es-ES"/>
              </w:rPr>
              <w:t>Elaboró:</w:t>
            </w:r>
          </w:p>
        </w:tc>
        <w:tc>
          <w:tcPr>
            <w:tcW w:w="5628" w:type="dxa"/>
            <w:tcBorders>
              <w:top w:val="nil"/>
              <w:left w:val="nil"/>
              <w:bottom w:val="dotted" w:sz="4" w:space="0" w:color="7F7F7F" w:themeColor="text1" w:themeTint="80"/>
              <w:right w:val="nil"/>
            </w:tcBorders>
            <w:vAlign w:val="center"/>
            <w:hideMark/>
          </w:tcPr>
          <w:p w14:paraId="12A53917" w14:textId="77777777" w:rsidR="008421CB" w:rsidRPr="00132167" w:rsidRDefault="008421CB" w:rsidP="00CE7CC4">
            <w:pPr>
              <w:contextualSpacing/>
              <w:rPr>
                <w:rStyle w:val="normaltextrun"/>
                <w:rFonts w:ascii="Verdana" w:hAnsi="Verdana"/>
                <w:color w:val="000000" w:themeColor="text1"/>
                <w:sz w:val="16"/>
                <w:szCs w:val="16"/>
              </w:rPr>
            </w:pPr>
            <w:r w:rsidRPr="00132167">
              <w:rPr>
                <w:rStyle w:val="normaltextrun"/>
                <w:rFonts w:ascii="Verdana" w:hAnsi="Verdana"/>
                <w:color w:val="000000" w:themeColor="text1"/>
                <w:sz w:val="16"/>
                <w:szCs w:val="16"/>
              </w:rPr>
              <w:t>Gloria Ximena Moreno Guio</w:t>
            </w:r>
          </w:p>
          <w:p w14:paraId="678BCFBD" w14:textId="77777777" w:rsidR="008421CB" w:rsidRPr="00132167" w:rsidRDefault="008421CB" w:rsidP="00CE7CC4">
            <w:pPr>
              <w:contextualSpacing/>
              <w:rPr>
                <w:rFonts w:ascii="Verdana" w:eastAsia="Arial" w:hAnsi="Verdana" w:cs="Arial"/>
                <w:color w:val="000000" w:themeColor="text1"/>
                <w:sz w:val="16"/>
                <w:szCs w:val="16"/>
              </w:rPr>
            </w:pPr>
            <w:r w:rsidRPr="00132167">
              <w:rPr>
                <w:rStyle w:val="normaltextrun"/>
                <w:rFonts w:ascii="Verdana" w:hAnsi="Verdana"/>
                <w:color w:val="000000" w:themeColor="text1"/>
                <w:sz w:val="16"/>
                <w:szCs w:val="16"/>
              </w:rPr>
              <w:t xml:space="preserve">Contratista </w:t>
            </w:r>
            <w:r w:rsidRPr="00132167">
              <w:rPr>
                <w:rStyle w:val="normaltextrun"/>
                <w:rFonts w:ascii="Verdana" w:eastAsia="Arial" w:hAnsi="Verdana" w:cs="Arial"/>
                <w:color w:val="000000" w:themeColor="text1"/>
                <w:sz w:val="16"/>
                <w:szCs w:val="16"/>
              </w:rPr>
              <w:t>de la Subdirección de Gestión Contractual</w:t>
            </w:r>
          </w:p>
        </w:tc>
      </w:tr>
      <w:tr w:rsidR="008421CB" w:rsidRPr="009F0774" w14:paraId="5377B3EF" w14:textId="77777777" w:rsidTr="00CE7CC4">
        <w:trPr>
          <w:trHeight w:val="330"/>
        </w:trPr>
        <w:tc>
          <w:tcPr>
            <w:tcW w:w="893" w:type="dxa"/>
            <w:vAlign w:val="center"/>
            <w:hideMark/>
          </w:tcPr>
          <w:p w14:paraId="1068674C" w14:textId="77777777" w:rsidR="008421CB" w:rsidRPr="00132167" w:rsidRDefault="008421CB" w:rsidP="00CE7CC4">
            <w:pPr>
              <w:contextualSpacing/>
              <w:rPr>
                <w:rFonts w:ascii="Verdana" w:hAnsi="Verdana" w:cs="Arial"/>
                <w:color w:val="000000" w:themeColor="text1"/>
                <w:sz w:val="16"/>
                <w:szCs w:val="16"/>
                <w:lang w:eastAsia="es-ES"/>
              </w:rPr>
            </w:pPr>
            <w:r w:rsidRPr="00132167">
              <w:rPr>
                <w:rFonts w:ascii="Verdana" w:hAnsi="Verdana" w:cs="Arial"/>
                <w:color w:val="000000" w:themeColor="text1"/>
                <w:sz w:val="16"/>
                <w:szCs w:val="16"/>
                <w:lang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04F8BD4" w14:textId="77777777" w:rsidR="008421CB" w:rsidRPr="00132167" w:rsidRDefault="008421CB" w:rsidP="00CE7CC4">
            <w:pPr>
              <w:pStyle w:val="paragraph"/>
              <w:spacing w:before="0" w:beforeAutospacing="0" w:after="0" w:afterAutospacing="0"/>
              <w:contextualSpacing/>
              <w:textAlignment w:val="baseline"/>
              <w:rPr>
                <w:rStyle w:val="normaltextrun"/>
                <w:rFonts w:ascii="Verdana" w:hAnsi="Verdana" w:cs="Arial"/>
                <w:color w:val="000000" w:themeColor="text1"/>
                <w:sz w:val="16"/>
                <w:szCs w:val="16"/>
              </w:rPr>
            </w:pPr>
            <w:r w:rsidRPr="00132167">
              <w:rPr>
                <w:rStyle w:val="normaltextrun"/>
                <w:rFonts w:ascii="Verdana" w:hAnsi="Verdana" w:cs="Arial"/>
                <w:color w:val="000000" w:themeColor="text1"/>
                <w:sz w:val="16"/>
                <w:szCs w:val="16"/>
              </w:rPr>
              <w:t>Cielo Victoria González Meza</w:t>
            </w:r>
          </w:p>
          <w:p w14:paraId="56B406DA" w14:textId="77777777" w:rsidR="008421CB" w:rsidRPr="00132167" w:rsidRDefault="008421CB" w:rsidP="00CE7CC4">
            <w:pPr>
              <w:pStyle w:val="paragraph"/>
              <w:spacing w:before="0" w:beforeAutospacing="0" w:after="0" w:afterAutospacing="0"/>
              <w:contextualSpacing/>
              <w:textAlignment w:val="baseline"/>
              <w:rPr>
                <w:rFonts w:ascii="Verdana" w:hAnsi="Verdana" w:cs="Segoe UI"/>
                <w:color w:val="000000" w:themeColor="text1"/>
                <w:sz w:val="16"/>
                <w:szCs w:val="16"/>
              </w:rPr>
            </w:pPr>
            <w:r w:rsidRPr="00132167">
              <w:rPr>
                <w:rStyle w:val="normaltextrun"/>
                <w:rFonts w:ascii="Verdana" w:hAnsi="Verdana" w:cs="Arial"/>
                <w:color w:val="000000" w:themeColor="text1"/>
                <w:sz w:val="16"/>
                <w:szCs w:val="16"/>
              </w:rPr>
              <w:t>Contratista de la Subdirección de Gestión Contractual</w:t>
            </w:r>
            <w:r w:rsidRPr="00132167">
              <w:rPr>
                <w:rStyle w:val="eop"/>
                <w:rFonts w:ascii="Verdana" w:hAnsi="Verdana" w:cs="Arial"/>
                <w:color w:val="000000" w:themeColor="text1"/>
                <w:sz w:val="16"/>
                <w:szCs w:val="16"/>
              </w:rPr>
              <w:t> </w:t>
            </w:r>
          </w:p>
        </w:tc>
      </w:tr>
      <w:tr w:rsidR="008421CB" w:rsidRPr="009F0774" w14:paraId="7B403078" w14:textId="77777777" w:rsidTr="00CE7CC4">
        <w:trPr>
          <w:trHeight w:val="300"/>
        </w:trPr>
        <w:tc>
          <w:tcPr>
            <w:tcW w:w="893" w:type="dxa"/>
            <w:vAlign w:val="center"/>
          </w:tcPr>
          <w:p w14:paraId="323EB064" w14:textId="77777777" w:rsidR="008421CB" w:rsidRPr="00132167" w:rsidRDefault="008421CB" w:rsidP="00CE7CC4">
            <w:pPr>
              <w:contextualSpacing/>
              <w:rPr>
                <w:rFonts w:ascii="Verdana" w:hAnsi="Verdana" w:cs="Arial"/>
                <w:color w:val="000000" w:themeColor="text1"/>
                <w:sz w:val="16"/>
                <w:szCs w:val="16"/>
                <w:lang w:eastAsia="es-ES"/>
              </w:rPr>
            </w:pPr>
            <w:r w:rsidRPr="00132167">
              <w:rPr>
                <w:rFonts w:ascii="Verdana" w:hAnsi="Verdana" w:cs="Arial"/>
                <w:color w:val="000000" w:themeColor="text1"/>
                <w:sz w:val="16"/>
                <w:szCs w:val="16"/>
                <w:lang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A01BAA1" w14:textId="77777777" w:rsidR="008421CB" w:rsidRPr="00132167" w:rsidRDefault="008421CB" w:rsidP="00CE7CC4">
            <w:pPr>
              <w:contextualSpacing/>
              <w:rPr>
                <w:rFonts w:ascii="Verdana" w:eastAsia="Calibri" w:hAnsi="Verdana" w:cs="Arial"/>
                <w:color w:val="000000" w:themeColor="text1"/>
                <w:sz w:val="16"/>
                <w:szCs w:val="16"/>
                <w:lang w:val="pt-BR" w:eastAsia="es-ES"/>
              </w:rPr>
            </w:pPr>
            <w:r w:rsidRPr="00132167">
              <w:rPr>
                <w:rFonts w:ascii="Verdana" w:eastAsia="Calibri" w:hAnsi="Verdana" w:cs="Arial"/>
                <w:color w:val="000000" w:themeColor="text1"/>
                <w:sz w:val="16"/>
                <w:szCs w:val="16"/>
                <w:lang w:val="pt-BR" w:eastAsia="es-ES"/>
              </w:rPr>
              <w:t>Carolina Quintero Gacharná</w:t>
            </w:r>
          </w:p>
          <w:p w14:paraId="1F618536" w14:textId="77777777" w:rsidR="008421CB" w:rsidRPr="00132167" w:rsidRDefault="008421CB" w:rsidP="00CE7CC4">
            <w:pPr>
              <w:contextualSpacing/>
              <w:rPr>
                <w:rFonts w:ascii="Verdana" w:eastAsia="Calibri" w:hAnsi="Verdana" w:cs="Arial"/>
                <w:color w:val="000000" w:themeColor="text1"/>
                <w:sz w:val="16"/>
                <w:szCs w:val="16"/>
                <w:lang w:val="pt-BR" w:eastAsia="es-ES"/>
              </w:rPr>
            </w:pPr>
            <w:r w:rsidRPr="00132167">
              <w:rPr>
                <w:rFonts w:ascii="Verdana" w:eastAsia="Calibri" w:hAnsi="Verdana" w:cs="Arial"/>
                <w:color w:val="000000" w:themeColor="text1"/>
                <w:sz w:val="16"/>
                <w:szCs w:val="16"/>
                <w:lang w:eastAsia="es-ES"/>
              </w:rPr>
              <w:t>Subdirectora</w:t>
            </w:r>
            <w:r w:rsidRPr="00132167">
              <w:rPr>
                <w:rFonts w:ascii="Verdana" w:eastAsia="Calibri" w:hAnsi="Verdana" w:cs="Arial"/>
                <w:color w:val="000000" w:themeColor="text1"/>
                <w:sz w:val="16"/>
                <w:szCs w:val="16"/>
                <w:lang w:val="pt-BR" w:eastAsia="es-ES"/>
              </w:rPr>
              <w:t xml:space="preserve"> de Gestión Contractual ANCP – CCE</w:t>
            </w:r>
          </w:p>
        </w:tc>
      </w:tr>
    </w:tbl>
    <w:p w14:paraId="68907336" w14:textId="77777777" w:rsidR="008421CB" w:rsidRPr="00132167" w:rsidRDefault="008421CB" w:rsidP="008421CB">
      <w:pPr>
        <w:rPr>
          <w:rFonts w:ascii="Verdana" w:hAnsi="Verdana" w:cs="Arial"/>
          <w:color w:val="000000" w:themeColor="text1"/>
          <w:sz w:val="16"/>
          <w:szCs w:val="16"/>
          <w:lang w:eastAsia="es-ES"/>
        </w:rPr>
      </w:pPr>
    </w:p>
    <w:p w14:paraId="08A0D622" w14:textId="77777777" w:rsidR="008421CB" w:rsidRPr="00132167" w:rsidRDefault="008421CB" w:rsidP="008421CB">
      <w:pPr>
        <w:spacing w:line="276" w:lineRule="auto"/>
        <w:rPr>
          <w:rFonts w:ascii="Verdana" w:hAnsi="Verdana"/>
          <w:color w:val="000000" w:themeColor="text1"/>
        </w:rPr>
      </w:pPr>
    </w:p>
    <w:p w14:paraId="1D437EF7" w14:textId="77777777" w:rsidR="008421CB" w:rsidRPr="00132167" w:rsidRDefault="008421CB" w:rsidP="008421CB">
      <w:pPr>
        <w:rPr>
          <w:rFonts w:ascii="Verdana" w:hAnsi="Verdana"/>
          <w:color w:val="000000" w:themeColor="text1"/>
        </w:rPr>
      </w:pPr>
    </w:p>
    <w:p w14:paraId="416A8E71" w14:textId="77777777" w:rsidR="008421CB" w:rsidRPr="00646350" w:rsidRDefault="008421CB" w:rsidP="008421CB"/>
    <w:p w14:paraId="0F293BF4" w14:textId="7BBFAB11" w:rsidR="00127233" w:rsidRPr="008421CB" w:rsidRDefault="00127233" w:rsidP="008421CB"/>
    <w:sectPr w:rsidR="00127233" w:rsidRPr="008421CB" w:rsidSect="007C0C0F">
      <w:headerReference w:type="default" r:id="rId20"/>
      <w:footerReference w:type="default" r:id="rId21"/>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634F2" w14:textId="77777777" w:rsidR="000D4A0B" w:rsidRDefault="000D4A0B" w:rsidP="004A1847">
      <w:r>
        <w:separator/>
      </w:r>
    </w:p>
  </w:endnote>
  <w:endnote w:type="continuationSeparator" w:id="0">
    <w:p w14:paraId="295D8577" w14:textId="77777777" w:rsidR="000D4A0B" w:rsidRDefault="000D4A0B"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default"/>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rPr>
      <w:t xml:space="preserve">pág. </w:t>
    </w:r>
    <w:r w:rsidRPr="002E1330">
      <w:rPr>
        <w:rFonts w:ascii="Verdana" w:eastAsiaTheme="minorEastAsia" w:hAnsi="Verdana" w:cstheme="minorBidi"/>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cstheme="minorBidi"/>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Pr>
        <w:rFonts w:ascii="Verdana" w:hAnsi="Verdana"/>
        <w:b/>
        <w:bCs/>
        <w:sz w:val="20"/>
        <w:szCs w:val="20"/>
      </w:rPr>
      <w:t xml:space="preserve">                                                  </w:t>
    </w:r>
  </w:p>
  <w:p w14:paraId="0A735DD5" w14:textId="77777777" w:rsidR="00D520D8" w:rsidRDefault="00D520D8" w:rsidP="00D520D8">
    <w:pPr>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7031A" w14:textId="77777777" w:rsidR="000D4A0B" w:rsidRDefault="000D4A0B" w:rsidP="004A1847">
      <w:r>
        <w:separator/>
      </w:r>
    </w:p>
  </w:footnote>
  <w:footnote w:type="continuationSeparator" w:id="0">
    <w:p w14:paraId="65AF54AE" w14:textId="77777777" w:rsidR="000D4A0B" w:rsidRDefault="000D4A0B" w:rsidP="004A1847">
      <w:r>
        <w:continuationSeparator/>
      </w:r>
    </w:p>
  </w:footnote>
  <w:footnote w:id="1">
    <w:p w14:paraId="74522445" w14:textId="77777777" w:rsidR="008421CB" w:rsidRPr="00E85B58" w:rsidRDefault="008421CB" w:rsidP="008421CB">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MARÍN CORTÉS, Fabián G. Derecho de petición y procedimiento administrativo. 1</w:t>
      </w:r>
      <w:r w:rsidRPr="00E85B58">
        <w:rPr>
          <w:rFonts w:ascii="Arial" w:hAnsi="Arial" w:cs="Arial"/>
          <w:color w:val="000000" w:themeColor="text1"/>
          <w:sz w:val="18"/>
          <w:szCs w:val="18"/>
          <w:u w:val="single"/>
          <w:vertAlign w:val="superscript"/>
        </w:rPr>
        <w:t>a</w:t>
      </w:r>
      <w:r w:rsidRPr="00E85B58">
        <w:rPr>
          <w:rFonts w:ascii="Arial" w:hAnsi="Arial" w:cs="Arial"/>
          <w:color w:val="000000" w:themeColor="text1"/>
          <w:sz w:val="18"/>
          <w:szCs w:val="18"/>
        </w:rPr>
        <w:t xml:space="preserve"> ed. Medellín: Librería Jurídica Sánchez R </w:t>
      </w:r>
      <w:proofErr w:type="spellStart"/>
      <w:r w:rsidRPr="00E85B58">
        <w:rPr>
          <w:rFonts w:ascii="Arial" w:hAnsi="Arial" w:cs="Arial"/>
          <w:color w:val="000000" w:themeColor="text1"/>
          <w:sz w:val="18"/>
          <w:szCs w:val="18"/>
        </w:rPr>
        <w:t>Ltda</w:t>
      </w:r>
      <w:proofErr w:type="spellEnd"/>
      <w:r w:rsidRPr="00E85B58">
        <w:rPr>
          <w:rFonts w:ascii="Arial" w:hAnsi="Arial" w:cs="Arial"/>
          <w:color w:val="000000" w:themeColor="text1"/>
          <w:sz w:val="18"/>
          <w:szCs w:val="18"/>
        </w:rPr>
        <w:t xml:space="preserve"> y Centro de Estudios de Derecho Administrativo, 2017. p. 417.  </w:t>
      </w:r>
    </w:p>
  </w:footnote>
  <w:footnote w:id="2">
    <w:p w14:paraId="0E4658D7" w14:textId="77777777" w:rsidR="008421CB" w:rsidRPr="00E85B58" w:rsidRDefault="008421CB" w:rsidP="008421CB">
      <w:pPr>
        <w:pStyle w:val="Textonotapie"/>
        <w:ind w:firstLine="708"/>
        <w:jc w:val="both"/>
        <w:rPr>
          <w:rFonts w:ascii="Arial" w:hAnsi="Arial" w:cs="Arial"/>
          <w:color w:val="000000" w:themeColor="text1"/>
          <w:sz w:val="18"/>
          <w:szCs w:val="18"/>
        </w:rPr>
      </w:pPr>
    </w:p>
    <w:p w14:paraId="3BCAE7A1" w14:textId="77777777" w:rsidR="008421CB" w:rsidRPr="00E85B58" w:rsidRDefault="008421CB" w:rsidP="008421CB">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w:t>
      </w:r>
      <w:r w:rsidRPr="00E85B58">
        <w:rPr>
          <w:rFonts w:ascii="Arial" w:hAnsi="Arial" w:cs="Arial"/>
          <w:i/>
          <w:iCs/>
          <w:color w:val="000000" w:themeColor="text1"/>
          <w:sz w:val="18"/>
          <w:szCs w:val="18"/>
        </w:rPr>
        <w:t>Ibídem.</w:t>
      </w:r>
      <w:r w:rsidRPr="00E85B58">
        <w:rPr>
          <w:rFonts w:ascii="Arial" w:hAnsi="Arial" w:cs="Arial"/>
          <w:color w:val="000000" w:themeColor="text1"/>
          <w:sz w:val="18"/>
          <w:szCs w:val="18"/>
        </w:rPr>
        <w:t xml:space="preserve"> </w:t>
      </w:r>
    </w:p>
  </w:footnote>
  <w:footnote w:id="3">
    <w:p w14:paraId="7224D5D0" w14:textId="77777777" w:rsidR="008421CB" w:rsidRPr="00C302AD" w:rsidRDefault="008421CB" w:rsidP="008421CB">
      <w:pPr>
        <w:pStyle w:val="Textonotapie"/>
        <w:ind w:firstLine="708"/>
        <w:jc w:val="both"/>
        <w:rPr>
          <w:rFonts w:ascii="Verdana" w:hAnsi="Verdana"/>
          <w:sz w:val="16"/>
          <w:szCs w:val="16"/>
          <w:lang w:val="es-ES"/>
        </w:rPr>
      </w:pPr>
      <w:r w:rsidRPr="00C302AD">
        <w:rPr>
          <w:rStyle w:val="Refdenotaalpie"/>
          <w:rFonts w:ascii="Verdana" w:hAnsi="Verdana"/>
          <w:sz w:val="16"/>
          <w:szCs w:val="16"/>
        </w:rPr>
        <w:footnoteRef/>
      </w:r>
      <w:r w:rsidRPr="00C302AD">
        <w:rPr>
          <w:rFonts w:ascii="Verdana" w:hAnsi="Verdana"/>
          <w:sz w:val="16"/>
          <w:szCs w:val="16"/>
        </w:rPr>
        <w:t xml:space="preserve"> </w:t>
      </w:r>
      <w:hyperlink r:id="rId1" w:history="1">
        <w:r w:rsidRPr="00C302AD">
          <w:rPr>
            <w:rStyle w:val="Hipervnculo"/>
            <w:rFonts w:ascii="Verdana" w:hAnsi="Verdana"/>
            <w:sz w:val="16"/>
            <w:szCs w:val="16"/>
          </w:rPr>
          <w:t>https://www.funcionpublica.gov.co/eva/gestornormativo/norma.php?i=197188</w:t>
        </w:r>
      </w:hyperlink>
      <w:r w:rsidRPr="00C302AD">
        <w:rPr>
          <w:rFonts w:ascii="Verdana" w:hAnsi="Verdana"/>
          <w:sz w:val="16"/>
          <w:szCs w:val="16"/>
        </w:rPr>
        <w:t xml:space="preserve"> </w:t>
      </w:r>
    </w:p>
  </w:footnote>
  <w:footnote w:id="4">
    <w:p w14:paraId="0A2B93F6" w14:textId="77777777" w:rsidR="008421CB" w:rsidRPr="00C302AD" w:rsidRDefault="008421CB" w:rsidP="008421CB">
      <w:pPr>
        <w:ind w:firstLine="708"/>
        <w:jc w:val="both"/>
        <w:rPr>
          <w:rFonts w:ascii="Verdana" w:hAnsi="Verdana" w:cs="Arial"/>
          <w:sz w:val="16"/>
          <w:szCs w:val="16"/>
        </w:rPr>
      </w:pPr>
      <w:r w:rsidRPr="00C302AD">
        <w:rPr>
          <w:rStyle w:val="Refdenotaalpie"/>
          <w:rFonts w:ascii="Verdana" w:hAnsi="Verdana" w:cs="Arial"/>
          <w:sz w:val="16"/>
          <w:szCs w:val="16"/>
        </w:rPr>
        <w:footnoteRef/>
      </w:r>
      <w:r w:rsidRPr="00C302AD">
        <w:rPr>
          <w:rFonts w:ascii="Verdana" w:hAnsi="Verdana" w:cs="Arial"/>
          <w:sz w:val="16"/>
          <w:szCs w:val="16"/>
        </w:rPr>
        <w:t xml:space="preserve"> En efecto, la causal de rechazo del literal Q de los documentos tipo de licitación de obra pública de infraestructura de transporte – Versión 3 establece: </w:t>
      </w:r>
      <w:r>
        <w:rPr>
          <w:rFonts w:ascii="Verdana" w:hAnsi="Verdana" w:cs="Arial"/>
          <w:sz w:val="16"/>
          <w:szCs w:val="16"/>
        </w:rPr>
        <w:t>“</w:t>
      </w:r>
      <w:r w:rsidRPr="00C302AD">
        <w:rPr>
          <w:rFonts w:ascii="Verdana" w:hAnsi="Verdana" w:cs="Arial"/>
          <w:sz w:val="16"/>
          <w:szCs w:val="16"/>
        </w:rPr>
        <w:t xml:space="preserve">[Incluir solo cuando la forma de pago sea por precios unitarios] Superar el valor unitario de alguno o algunos de los siguientes ítems ofrecidos con respecto al valor establecido para cada ítem del presupuesto oficial: [La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44D80089" w14:textId="77777777" w:rsidR="008421CB" w:rsidRPr="00C302AD" w:rsidRDefault="008421CB" w:rsidP="008421CB">
      <w:pPr>
        <w:pStyle w:val="Textonotapie"/>
        <w:ind w:firstLine="708"/>
        <w:jc w:val="both"/>
        <w:rPr>
          <w:rFonts w:ascii="Verdana" w:hAnsi="Verdana" w:cs="Arial"/>
          <w:sz w:val="16"/>
          <w:szCs w:val="16"/>
          <w:lang w:val="es-CO"/>
        </w:rPr>
      </w:pPr>
      <w:proofErr w:type="gramStart"/>
      <w:r>
        <w:rPr>
          <w:rFonts w:ascii="Verdana" w:hAnsi="Verdana" w:cs="Arial"/>
          <w:sz w:val="16"/>
          <w:szCs w:val="16"/>
        </w:rPr>
        <w:t>“</w:t>
      </w:r>
      <w:r w:rsidRPr="00C302AD">
        <w:rPr>
          <w:rFonts w:ascii="Verdana" w:hAnsi="Verdana" w:cs="Arial"/>
          <w:sz w:val="16"/>
          <w:szCs w:val="16"/>
        </w:rPr>
        <w:t xml:space="preserve"> Para</w:t>
      </w:r>
      <w:proofErr w:type="gramEnd"/>
      <w:r w:rsidRPr="00C302AD">
        <w:rPr>
          <w:rFonts w:ascii="Verdana" w:hAnsi="Verdana" w:cs="Arial"/>
          <w:sz w:val="16"/>
          <w:szCs w:val="16"/>
        </w:rPr>
        <w:t xml:space="preserve"> la aplicación de esta causal la entidad debe tener en cuenta que el valor unitario establecido en el Formulario 1 – Formulario de Presupuesto Oficial incluye el valor de AIU]</w:t>
      </w:r>
      <w:r>
        <w:rPr>
          <w:rFonts w:ascii="Verdana" w:hAnsi="Verdana"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rPr>
        <w:rFonts w:ascii="Verdana" w:hAnsi="Verdana"/>
        <w:b/>
        <w:bCs/>
      </w:rPr>
    </w:pPr>
  </w:p>
  <w:p w14:paraId="5E18350A" w14:textId="705F7B76" w:rsidR="004A305D" w:rsidRPr="004A305D" w:rsidRDefault="004A305D" w:rsidP="00B01B1A">
    <w:pPr>
      <w:spacing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88C0166"/>
    <w:multiLevelType w:val="hybridMultilevel"/>
    <w:tmpl w:val="302EDCD6"/>
    <w:lvl w:ilvl="0" w:tplc="B1D60DDA">
      <w:start w:val="1"/>
      <w:numFmt w:val="decimal"/>
      <w:lvlText w:val="%1."/>
      <w:lvlJc w:val="left"/>
      <w:pPr>
        <w:ind w:left="1069"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0F2B1CEC"/>
    <w:multiLevelType w:val="hybridMultilevel"/>
    <w:tmpl w:val="032AC396"/>
    <w:lvl w:ilvl="0" w:tplc="E7D69E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8A3EE1"/>
    <w:multiLevelType w:val="hybridMultilevel"/>
    <w:tmpl w:val="D996DDB0"/>
    <w:lvl w:ilvl="0" w:tplc="080A0001">
      <w:start w:val="1"/>
      <w:numFmt w:val="bullet"/>
      <w:lvlText w:val=""/>
      <w:lvlJc w:val="left"/>
      <w:pPr>
        <w:ind w:left="2211" w:hanging="360"/>
      </w:pPr>
      <w:rPr>
        <w:rFonts w:ascii="Symbol" w:hAnsi="Symbol" w:hint="default"/>
      </w:rPr>
    </w:lvl>
    <w:lvl w:ilvl="1" w:tplc="080A0003" w:tentative="1">
      <w:start w:val="1"/>
      <w:numFmt w:val="bullet"/>
      <w:lvlText w:val="o"/>
      <w:lvlJc w:val="left"/>
      <w:pPr>
        <w:ind w:left="2931" w:hanging="360"/>
      </w:pPr>
      <w:rPr>
        <w:rFonts w:ascii="Courier New" w:hAnsi="Courier New" w:cs="Courier New" w:hint="default"/>
      </w:rPr>
    </w:lvl>
    <w:lvl w:ilvl="2" w:tplc="080A0005" w:tentative="1">
      <w:start w:val="1"/>
      <w:numFmt w:val="bullet"/>
      <w:lvlText w:val=""/>
      <w:lvlJc w:val="left"/>
      <w:pPr>
        <w:ind w:left="3651" w:hanging="360"/>
      </w:pPr>
      <w:rPr>
        <w:rFonts w:ascii="Wingdings" w:hAnsi="Wingdings" w:hint="default"/>
      </w:rPr>
    </w:lvl>
    <w:lvl w:ilvl="3" w:tplc="080A0001" w:tentative="1">
      <w:start w:val="1"/>
      <w:numFmt w:val="bullet"/>
      <w:lvlText w:val=""/>
      <w:lvlJc w:val="left"/>
      <w:pPr>
        <w:ind w:left="4371" w:hanging="360"/>
      </w:pPr>
      <w:rPr>
        <w:rFonts w:ascii="Symbol" w:hAnsi="Symbol" w:hint="default"/>
      </w:rPr>
    </w:lvl>
    <w:lvl w:ilvl="4" w:tplc="080A0003" w:tentative="1">
      <w:start w:val="1"/>
      <w:numFmt w:val="bullet"/>
      <w:lvlText w:val="o"/>
      <w:lvlJc w:val="left"/>
      <w:pPr>
        <w:ind w:left="5091" w:hanging="360"/>
      </w:pPr>
      <w:rPr>
        <w:rFonts w:ascii="Courier New" w:hAnsi="Courier New" w:cs="Courier New" w:hint="default"/>
      </w:rPr>
    </w:lvl>
    <w:lvl w:ilvl="5" w:tplc="080A0005" w:tentative="1">
      <w:start w:val="1"/>
      <w:numFmt w:val="bullet"/>
      <w:lvlText w:val=""/>
      <w:lvlJc w:val="left"/>
      <w:pPr>
        <w:ind w:left="5811" w:hanging="360"/>
      </w:pPr>
      <w:rPr>
        <w:rFonts w:ascii="Wingdings" w:hAnsi="Wingdings" w:hint="default"/>
      </w:rPr>
    </w:lvl>
    <w:lvl w:ilvl="6" w:tplc="080A0001" w:tentative="1">
      <w:start w:val="1"/>
      <w:numFmt w:val="bullet"/>
      <w:lvlText w:val=""/>
      <w:lvlJc w:val="left"/>
      <w:pPr>
        <w:ind w:left="6531" w:hanging="360"/>
      </w:pPr>
      <w:rPr>
        <w:rFonts w:ascii="Symbol" w:hAnsi="Symbol" w:hint="default"/>
      </w:rPr>
    </w:lvl>
    <w:lvl w:ilvl="7" w:tplc="080A0003" w:tentative="1">
      <w:start w:val="1"/>
      <w:numFmt w:val="bullet"/>
      <w:lvlText w:val="o"/>
      <w:lvlJc w:val="left"/>
      <w:pPr>
        <w:ind w:left="7251" w:hanging="360"/>
      </w:pPr>
      <w:rPr>
        <w:rFonts w:ascii="Courier New" w:hAnsi="Courier New" w:cs="Courier New" w:hint="default"/>
      </w:rPr>
    </w:lvl>
    <w:lvl w:ilvl="8" w:tplc="080A0005" w:tentative="1">
      <w:start w:val="1"/>
      <w:numFmt w:val="bullet"/>
      <w:lvlText w:val=""/>
      <w:lvlJc w:val="left"/>
      <w:pPr>
        <w:ind w:left="7971" w:hanging="360"/>
      </w:pPr>
      <w:rPr>
        <w:rFonts w:ascii="Wingdings" w:hAnsi="Wingdings" w:hint="default"/>
      </w:rPr>
    </w:lvl>
  </w:abstractNum>
  <w:abstractNum w:abstractNumId="7" w15:restartNumberingAfterBreak="0">
    <w:nsid w:val="2FDD605E"/>
    <w:multiLevelType w:val="hybridMultilevel"/>
    <w:tmpl w:val="32C4E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B373C1B"/>
    <w:multiLevelType w:val="hybridMultilevel"/>
    <w:tmpl w:val="9982B2D8"/>
    <w:lvl w:ilvl="0" w:tplc="5CDCC802">
      <w:start w:val="1"/>
      <w:numFmt w:val="bullet"/>
      <w:lvlText w:val="-"/>
      <w:lvlJc w:val="left"/>
      <w:pPr>
        <w:ind w:left="1429" w:hanging="360"/>
      </w:pPr>
      <w:rPr>
        <w:rFonts w:ascii="Verdana" w:eastAsiaTheme="minorHAnsi" w:hAnsi="Verdana" w:cs="Aria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7" w15:restartNumberingAfterBreak="0">
    <w:nsid w:val="6395250C"/>
    <w:multiLevelType w:val="hybridMultilevel"/>
    <w:tmpl w:val="3F9E24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BF2DFF"/>
    <w:multiLevelType w:val="hybridMultilevel"/>
    <w:tmpl w:val="B776C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035C1E"/>
    <w:multiLevelType w:val="hybridMultilevel"/>
    <w:tmpl w:val="5352F80C"/>
    <w:lvl w:ilvl="0" w:tplc="5CDCC802">
      <w:start w:val="1"/>
      <w:numFmt w:val="bullet"/>
      <w:lvlText w:val="-"/>
      <w:lvlJc w:val="left"/>
      <w:pPr>
        <w:ind w:left="1429" w:hanging="360"/>
      </w:pPr>
      <w:rPr>
        <w:rFonts w:ascii="Verdana" w:eastAsiaTheme="minorHAnsi"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5F64B8"/>
    <w:multiLevelType w:val="hybridMultilevel"/>
    <w:tmpl w:val="F91A0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5259239">
    <w:abstractNumId w:val="11"/>
  </w:num>
  <w:num w:numId="2" w16cid:durableId="953289830">
    <w:abstractNumId w:val="2"/>
  </w:num>
  <w:num w:numId="3" w16cid:durableId="329218688">
    <w:abstractNumId w:val="8"/>
  </w:num>
  <w:num w:numId="4" w16cid:durableId="1412966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217481">
    <w:abstractNumId w:val="2"/>
  </w:num>
  <w:num w:numId="6" w16cid:durableId="169804026">
    <w:abstractNumId w:val="22"/>
  </w:num>
  <w:num w:numId="7" w16cid:durableId="400174393">
    <w:abstractNumId w:val="10"/>
  </w:num>
  <w:num w:numId="8" w16cid:durableId="1339456244">
    <w:abstractNumId w:val="20"/>
  </w:num>
  <w:num w:numId="9" w16cid:durableId="1148978759">
    <w:abstractNumId w:val="12"/>
  </w:num>
  <w:num w:numId="10" w16cid:durableId="1897427733">
    <w:abstractNumId w:val="19"/>
  </w:num>
  <w:num w:numId="11" w16cid:durableId="966281043">
    <w:abstractNumId w:val="13"/>
  </w:num>
  <w:num w:numId="12" w16cid:durableId="184296263">
    <w:abstractNumId w:val="1"/>
  </w:num>
  <w:num w:numId="13" w16cid:durableId="791439684">
    <w:abstractNumId w:val="5"/>
  </w:num>
  <w:num w:numId="14" w16cid:durableId="466707101">
    <w:abstractNumId w:val="23"/>
  </w:num>
  <w:num w:numId="15" w16cid:durableId="1507138230">
    <w:abstractNumId w:val="16"/>
  </w:num>
  <w:num w:numId="16" w16cid:durableId="1383095319">
    <w:abstractNumId w:val="0"/>
  </w:num>
  <w:num w:numId="17" w16cid:durableId="779757999">
    <w:abstractNumId w:val="9"/>
  </w:num>
  <w:num w:numId="18" w16cid:durableId="645820724">
    <w:abstractNumId w:val="14"/>
  </w:num>
  <w:num w:numId="19" w16cid:durableId="1672097314">
    <w:abstractNumId w:val="3"/>
  </w:num>
  <w:num w:numId="20" w16cid:durableId="2113433891">
    <w:abstractNumId w:val="15"/>
  </w:num>
  <w:num w:numId="21" w16cid:durableId="2101022936">
    <w:abstractNumId w:val="4"/>
  </w:num>
  <w:num w:numId="22" w16cid:durableId="800808760">
    <w:abstractNumId w:val="17"/>
  </w:num>
  <w:num w:numId="23" w16cid:durableId="848375521">
    <w:abstractNumId w:val="6"/>
  </w:num>
  <w:num w:numId="24" w16cid:durableId="245111191">
    <w:abstractNumId w:val="18"/>
  </w:num>
  <w:num w:numId="25" w16cid:durableId="668678824">
    <w:abstractNumId w:val="21"/>
  </w:num>
  <w:num w:numId="26" w16cid:durableId="1252278700">
    <w:abstractNumId w:val="7"/>
  </w:num>
  <w:num w:numId="27" w16cid:durableId="11953820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6C5B"/>
    <w:rsid w:val="00061B2A"/>
    <w:rsid w:val="00082362"/>
    <w:rsid w:val="000A683E"/>
    <w:rsid w:val="000B19B9"/>
    <w:rsid w:val="000C52D9"/>
    <w:rsid w:val="000D0334"/>
    <w:rsid w:val="000D4A0B"/>
    <w:rsid w:val="000F6486"/>
    <w:rsid w:val="00125105"/>
    <w:rsid w:val="00127233"/>
    <w:rsid w:val="00132167"/>
    <w:rsid w:val="00145A80"/>
    <w:rsid w:val="001555DE"/>
    <w:rsid w:val="001D0A4B"/>
    <w:rsid w:val="001E4177"/>
    <w:rsid w:val="001F7DC6"/>
    <w:rsid w:val="002421BB"/>
    <w:rsid w:val="0025796E"/>
    <w:rsid w:val="002707A2"/>
    <w:rsid w:val="00277A49"/>
    <w:rsid w:val="002951A0"/>
    <w:rsid w:val="002962BC"/>
    <w:rsid w:val="002A093D"/>
    <w:rsid w:val="002A0DD0"/>
    <w:rsid w:val="002A49AC"/>
    <w:rsid w:val="002A64FD"/>
    <w:rsid w:val="002C7A84"/>
    <w:rsid w:val="002E4FD9"/>
    <w:rsid w:val="00300197"/>
    <w:rsid w:val="00322A85"/>
    <w:rsid w:val="00324168"/>
    <w:rsid w:val="003448F4"/>
    <w:rsid w:val="00374F5E"/>
    <w:rsid w:val="00377E3E"/>
    <w:rsid w:val="003A0843"/>
    <w:rsid w:val="003A26D1"/>
    <w:rsid w:val="003A779E"/>
    <w:rsid w:val="003D0F4D"/>
    <w:rsid w:val="003D5B0D"/>
    <w:rsid w:val="003E0499"/>
    <w:rsid w:val="003F11F0"/>
    <w:rsid w:val="003F3941"/>
    <w:rsid w:val="00406575"/>
    <w:rsid w:val="0042722E"/>
    <w:rsid w:val="0044528D"/>
    <w:rsid w:val="00493E99"/>
    <w:rsid w:val="004A1847"/>
    <w:rsid w:val="004A305D"/>
    <w:rsid w:val="004B2D7B"/>
    <w:rsid w:val="004F21C4"/>
    <w:rsid w:val="004F3F85"/>
    <w:rsid w:val="004F685F"/>
    <w:rsid w:val="00523A43"/>
    <w:rsid w:val="005566E8"/>
    <w:rsid w:val="00560910"/>
    <w:rsid w:val="00564CDD"/>
    <w:rsid w:val="00574867"/>
    <w:rsid w:val="00591460"/>
    <w:rsid w:val="00592628"/>
    <w:rsid w:val="005A58C1"/>
    <w:rsid w:val="005C3777"/>
    <w:rsid w:val="005C5CDC"/>
    <w:rsid w:val="005D476C"/>
    <w:rsid w:val="00610812"/>
    <w:rsid w:val="006219F8"/>
    <w:rsid w:val="00650FF7"/>
    <w:rsid w:val="00665D70"/>
    <w:rsid w:val="00671DAC"/>
    <w:rsid w:val="0068328F"/>
    <w:rsid w:val="006900D9"/>
    <w:rsid w:val="00692392"/>
    <w:rsid w:val="006D12F8"/>
    <w:rsid w:val="00702548"/>
    <w:rsid w:val="00706C16"/>
    <w:rsid w:val="00756841"/>
    <w:rsid w:val="007649AB"/>
    <w:rsid w:val="00771D0C"/>
    <w:rsid w:val="0078328E"/>
    <w:rsid w:val="007833AC"/>
    <w:rsid w:val="007B268C"/>
    <w:rsid w:val="007B7171"/>
    <w:rsid w:val="007C0C0F"/>
    <w:rsid w:val="007C3DC2"/>
    <w:rsid w:val="007E5497"/>
    <w:rsid w:val="007F3968"/>
    <w:rsid w:val="008054E6"/>
    <w:rsid w:val="00806F5F"/>
    <w:rsid w:val="00820278"/>
    <w:rsid w:val="008421CB"/>
    <w:rsid w:val="008843B6"/>
    <w:rsid w:val="00891928"/>
    <w:rsid w:val="008A446D"/>
    <w:rsid w:val="008B50A1"/>
    <w:rsid w:val="008D180B"/>
    <w:rsid w:val="008D2F14"/>
    <w:rsid w:val="008F0EA7"/>
    <w:rsid w:val="00923EEF"/>
    <w:rsid w:val="009419F9"/>
    <w:rsid w:val="009546BF"/>
    <w:rsid w:val="0095685E"/>
    <w:rsid w:val="00961B09"/>
    <w:rsid w:val="00965334"/>
    <w:rsid w:val="0097093E"/>
    <w:rsid w:val="009A0DFA"/>
    <w:rsid w:val="009B2D26"/>
    <w:rsid w:val="009C71FA"/>
    <w:rsid w:val="009C72E7"/>
    <w:rsid w:val="009D3058"/>
    <w:rsid w:val="009E0922"/>
    <w:rsid w:val="009F3A13"/>
    <w:rsid w:val="00A122D3"/>
    <w:rsid w:val="00A17F13"/>
    <w:rsid w:val="00A20739"/>
    <w:rsid w:val="00A33C78"/>
    <w:rsid w:val="00AB0ADB"/>
    <w:rsid w:val="00AD430E"/>
    <w:rsid w:val="00B01B1A"/>
    <w:rsid w:val="00B0735E"/>
    <w:rsid w:val="00B37598"/>
    <w:rsid w:val="00B57607"/>
    <w:rsid w:val="00B72CD3"/>
    <w:rsid w:val="00B72FFF"/>
    <w:rsid w:val="00B81C3A"/>
    <w:rsid w:val="00BC3D36"/>
    <w:rsid w:val="00BD7F72"/>
    <w:rsid w:val="00BF73C4"/>
    <w:rsid w:val="00C04FB3"/>
    <w:rsid w:val="00C330EB"/>
    <w:rsid w:val="00C715B6"/>
    <w:rsid w:val="00C754BE"/>
    <w:rsid w:val="00C76B1C"/>
    <w:rsid w:val="00CB6357"/>
    <w:rsid w:val="00CC1B26"/>
    <w:rsid w:val="00CD0149"/>
    <w:rsid w:val="00D423A2"/>
    <w:rsid w:val="00D520D8"/>
    <w:rsid w:val="00D62B45"/>
    <w:rsid w:val="00D63AC2"/>
    <w:rsid w:val="00D7383B"/>
    <w:rsid w:val="00D7396F"/>
    <w:rsid w:val="00DA231B"/>
    <w:rsid w:val="00DA23A0"/>
    <w:rsid w:val="00DC39FC"/>
    <w:rsid w:val="00DD03C3"/>
    <w:rsid w:val="00DF5254"/>
    <w:rsid w:val="00E03E68"/>
    <w:rsid w:val="00E06B3C"/>
    <w:rsid w:val="00E14811"/>
    <w:rsid w:val="00E16408"/>
    <w:rsid w:val="00E20894"/>
    <w:rsid w:val="00E245AB"/>
    <w:rsid w:val="00E2764C"/>
    <w:rsid w:val="00E27F2E"/>
    <w:rsid w:val="00E413EA"/>
    <w:rsid w:val="00E453A7"/>
    <w:rsid w:val="00E50AFE"/>
    <w:rsid w:val="00E73207"/>
    <w:rsid w:val="00E75C92"/>
    <w:rsid w:val="00E771DC"/>
    <w:rsid w:val="00E8772A"/>
    <w:rsid w:val="00E90F6B"/>
    <w:rsid w:val="00E92C27"/>
    <w:rsid w:val="00EA0E3D"/>
    <w:rsid w:val="00EC38A7"/>
    <w:rsid w:val="00EE1AA8"/>
    <w:rsid w:val="00F31EDC"/>
    <w:rsid w:val="00F462B3"/>
    <w:rsid w:val="00F5664F"/>
    <w:rsid w:val="00F666C4"/>
    <w:rsid w:val="00F76AFC"/>
    <w:rsid w:val="00F839F8"/>
    <w:rsid w:val="00F87887"/>
    <w:rsid w:val="00FA47C0"/>
    <w:rsid w:val="00FB11B4"/>
    <w:rsid w:val="00FB5DD1"/>
    <w:rsid w:val="00FC2B5D"/>
    <w:rsid w:val="00FC328C"/>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7B"/>
    <w:pPr>
      <w:spacing w:after="0" w:line="240" w:lineRule="auto"/>
    </w:pPr>
    <w:rPr>
      <w:rFonts w:ascii="Times New Roman" w:eastAsia="Times New Roman" w:hAnsi="Times New Roman" w:cs="Times New Roman"/>
      <w:sz w:val="24"/>
      <w:szCs w:val="24"/>
      <w:lang w:val="es-ES"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spacing w:after="160" w:line="259" w:lineRule="auto"/>
      <w:ind w:left="720"/>
      <w:contextualSpacing/>
    </w:pPr>
    <w:rPr>
      <w:rFonts w:ascii="Geomanist Light" w:eastAsiaTheme="minorHAnsi" w:hAnsi="Geomanist Light" w:cstheme="minorBidi"/>
      <w:sz w:val="22"/>
      <w:szCs w:val="22"/>
      <w:lang w:eastAsia="en-U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 w:val="22"/>
      <w:szCs w:val="56"/>
      <w:lang w:eastAsia="en-U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pPr>
    <w:rPr>
      <w:lang w:val="es-CO"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pPr>
    <w:rPr>
      <w:lang w:eastAsia="es-CO"/>
    </w:rPr>
  </w:style>
  <w:style w:type="paragraph" w:customStyle="1" w:styleId="blanco">
    <w:name w:val="blanco"/>
    <w:basedOn w:val="Normal"/>
    <w:rsid w:val="00C76B1C"/>
    <w:pPr>
      <w:spacing w:before="100" w:beforeAutospacing="1" w:after="100" w:afterAutospacing="1"/>
    </w:pPr>
    <w:rPr>
      <w:lang w:val="es-CO"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560910"/>
    <w:pPr>
      <w:spacing w:after="160" w:line="240" w:lineRule="exact"/>
    </w:pPr>
    <w:rPr>
      <w:rFonts w:asciiTheme="minorHAnsi" w:eastAsiaTheme="minorHAnsi" w:hAnsiTheme="minorHAnsi" w:cstheme="minorBidi"/>
      <w:sz w:val="22"/>
      <w:szCs w:val="22"/>
      <w:vertAlign w:val="superscript"/>
      <w:lang w:val="es-CO" w:eastAsia="en-US"/>
    </w:rPr>
  </w:style>
  <w:style w:type="character" w:styleId="Refdecomentario">
    <w:name w:val="annotation reference"/>
    <w:basedOn w:val="Fuentedeprrafopredeter"/>
    <w:uiPriority w:val="99"/>
    <w:semiHidden/>
    <w:unhideWhenUsed/>
    <w:rsid w:val="00560910"/>
    <w:rPr>
      <w:sz w:val="16"/>
      <w:szCs w:val="16"/>
    </w:rPr>
  </w:style>
  <w:style w:type="table" w:customStyle="1" w:styleId="Tablaconcuadrcula1">
    <w:name w:val="Tabla con cuadrícula1"/>
    <w:basedOn w:val="Tablanormal"/>
    <w:next w:val="Tablaconcuadrcula"/>
    <w:uiPriority w:val="59"/>
    <w:qFormat/>
    <w:rsid w:val="0056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60910"/>
    <w:rPr>
      <w:rFonts w:ascii="Geomanist Light" w:hAnsi="Geomanist Light"/>
      <w:lang w:val="es-ES"/>
    </w:rPr>
  </w:style>
  <w:style w:type="paragraph" w:styleId="Textocomentario">
    <w:name w:val="annotation text"/>
    <w:basedOn w:val="Normal"/>
    <w:link w:val="TextocomentarioCar"/>
    <w:uiPriority w:val="99"/>
    <w:unhideWhenUsed/>
    <w:rsid w:val="008B50A1"/>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8B50A1"/>
    <w:rPr>
      <w:sz w:val="20"/>
      <w:szCs w:val="20"/>
    </w:rPr>
  </w:style>
  <w:style w:type="paragraph" w:styleId="Asuntodelcomentario">
    <w:name w:val="annotation subject"/>
    <w:basedOn w:val="Textocomentario"/>
    <w:next w:val="Textocomentario"/>
    <w:link w:val="AsuntodelcomentarioCar"/>
    <w:uiPriority w:val="99"/>
    <w:semiHidden/>
    <w:unhideWhenUsed/>
    <w:rsid w:val="008B50A1"/>
    <w:rPr>
      <w:b/>
      <w:bCs/>
    </w:rPr>
  </w:style>
  <w:style w:type="character" w:customStyle="1" w:styleId="AsuntodelcomentarioCar">
    <w:name w:val="Asunto del comentario Car"/>
    <w:basedOn w:val="TextocomentarioCar"/>
    <w:link w:val="Asuntodelcomentario"/>
    <w:uiPriority w:val="99"/>
    <w:semiHidden/>
    <w:rsid w:val="008B50A1"/>
    <w:rPr>
      <w:b/>
      <w:bCs/>
      <w:sz w:val="20"/>
      <w:szCs w:val="20"/>
    </w:rPr>
  </w:style>
  <w:style w:type="paragraph" w:styleId="Textodeglobo">
    <w:name w:val="Balloon Text"/>
    <w:basedOn w:val="Normal"/>
    <w:link w:val="TextodegloboCar"/>
    <w:uiPriority w:val="99"/>
    <w:semiHidden/>
    <w:unhideWhenUsed/>
    <w:rsid w:val="008B50A1"/>
    <w:rPr>
      <w:rFonts w:eastAsiaTheme="minorHAnsi"/>
      <w:sz w:val="18"/>
      <w:szCs w:val="18"/>
      <w:lang w:val="es-CO" w:eastAsia="en-US"/>
    </w:rPr>
  </w:style>
  <w:style w:type="character" w:customStyle="1" w:styleId="TextodegloboCar">
    <w:name w:val="Texto de globo Car"/>
    <w:basedOn w:val="Fuentedeprrafopredeter"/>
    <w:link w:val="Textodeglobo"/>
    <w:uiPriority w:val="99"/>
    <w:semiHidden/>
    <w:rsid w:val="008B50A1"/>
    <w:rPr>
      <w:rFonts w:ascii="Times New Roman" w:hAnsi="Times New Roman" w:cs="Times New Roman"/>
      <w:sz w:val="18"/>
      <w:szCs w:val="18"/>
    </w:rPr>
  </w:style>
  <w:style w:type="character" w:styleId="Textoennegrita">
    <w:name w:val="Strong"/>
    <w:basedOn w:val="Fuentedeprrafopredeter"/>
    <w:uiPriority w:val="22"/>
    <w:qFormat/>
    <w:rsid w:val="00E453A7"/>
    <w:rPr>
      <w:b/>
      <w:bCs/>
    </w:rPr>
  </w:style>
  <w:style w:type="character" w:styleId="nfasis">
    <w:name w:val="Emphasis"/>
    <w:basedOn w:val="Fuentedeprrafopredeter"/>
    <w:uiPriority w:val="20"/>
    <w:qFormat/>
    <w:rsid w:val="00E453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04251">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29391212">
      <w:bodyDiv w:val="1"/>
      <w:marLeft w:val="0"/>
      <w:marRight w:val="0"/>
      <w:marTop w:val="0"/>
      <w:marBottom w:val="0"/>
      <w:divBdr>
        <w:top w:val="none" w:sz="0" w:space="0" w:color="auto"/>
        <w:left w:val="none" w:sz="0" w:space="0" w:color="auto"/>
        <w:bottom w:val="none" w:sz="0" w:space="0" w:color="auto"/>
        <w:right w:val="none" w:sz="0" w:space="0" w:color="auto"/>
      </w:divBdr>
    </w:div>
    <w:div w:id="260991553">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03021960">
      <w:bodyDiv w:val="1"/>
      <w:marLeft w:val="0"/>
      <w:marRight w:val="0"/>
      <w:marTop w:val="0"/>
      <w:marBottom w:val="0"/>
      <w:divBdr>
        <w:top w:val="none" w:sz="0" w:space="0" w:color="auto"/>
        <w:left w:val="none" w:sz="0" w:space="0" w:color="auto"/>
        <w:bottom w:val="none" w:sz="0" w:space="0" w:color="auto"/>
        <w:right w:val="none" w:sz="0" w:space="0" w:color="auto"/>
      </w:divBdr>
    </w:div>
    <w:div w:id="705981245">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47257336">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99342326">
      <w:bodyDiv w:val="1"/>
      <w:marLeft w:val="0"/>
      <w:marRight w:val="0"/>
      <w:marTop w:val="0"/>
      <w:marBottom w:val="0"/>
      <w:divBdr>
        <w:top w:val="none" w:sz="0" w:space="0" w:color="auto"/>
        <w:left w:val="none" w:sz="0" w:space="0" w:color="auto"/>
        <w:bottom w:val="none" w:sz="0" w:space="0" w:color="auto"/>
        <w:right w:val="none" w:sz="0" w:space="0" w:color="auto"/>
      </w:divBdr>
    </w:div>
    <w:div w:id="1587347539">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95123023">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manuales-guias-y-pliegos-tipo/manuales-y-guias" TargetMode="External"/><Relationship Id="rId18" Type="http://schemas.openxmlformats.org/officeDocument/2006/relationships/hyperlink" Target="https://nam02.safelinks.protection.outlook.com/?url=https%3A%2F%2Fwww.colombiacompra.gov.co%2Fsala-de-prensa%2Fboletin-digital&amp;data=05%7C02%7Csantiago.herrera%40colombiacompra.gov.co%7C096eca3fdcca424ff1c708dcf932f947%7C7b09041e245149d08cb179d5e3d8c1be%7C0%7C0%7C638659244557683431%7CUnknown%7CTWFpbGZsb3d8eyJWIjoiMC4wLjAwMDAiLCJQIjoiV2luMzIiLCJBTiI6Ik1haWwiLCJXVCI6Mn0%3D%7C0%7C%7C%7C&amp;sdata=DDzxsWu35v74OjgoGc2uD6sPoWr4LvTHKYE1N30%2BqxA%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relatoria.colombiacompra.gov.co/providencias-consejo-de-estado/" TargetMode="External"/><Relationship Id="rId17" Type="http://schemas.openxmlformats.org/officeDocument/2006/relationships/hyperlink" Target="https://nam02.safelinks.protection.outlook.com/?url=https%3A%2F%2Fwww.sucop.gov.co%2Fentidades%2Fcolombiacompra%2FNormativa%3FIDNorma%3D18320&amp;data=05%7C02%7Csantiago.herrera%40colombiacompra.gov.co%7C096eca3fdcca424ff1c708dcf932f947%7C7b09041e245149d08cb179d5e3d8c1be%7C0%7C0%7C638659244557641986%7CUnknown%7CTWFpbGZsb3d8eyJWIjoiMC4wLjAwMDAiLCJQIjoiV2luMzIiLCJBTiI6Ik1haWwiLCJXVCI6Mn0%3D%7C0%7C%7C%7C&amp;sdata=cvryslPYIe2igvMyzzkZ32rgVDlisRO%2FS58lXNABT30%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borrador-de-documentos-tipo-de-interventoria-de-obra-publica-de-infraestructura-de&amp;data=05%7C02%7Csantiago.herrera%40colombiacompra.gov.co%7C096eca3fdcca424ff1c708dcf932f947%7C7b09041e245149d08cb179d5e3d8c1be%7C0%7C0%7C638659244557612538%7CUnknown%7CTWFpbGZsb3d8eyJWIjoiMC4wLjAwMDAiLCJQIjoiV2luMzIiLCJBTiI6Ik1haWwiLCJXVCI6Mn0%3D%7C0%7C%7C%7C&amp;sdata=PptTeXlOufRJzvNgcBCbY%2BgS5ZWUh4x8RLP7Pzjbdxg%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content%2Fborrador-de-documentos-tipo-de-consultoria-de-obra-publica-de-infraestructura-de-transporte&amp;data=05%7C02%7Csantiago.herrera%40colombiacompra.gov.co%7C096eca3fdcca424ff1c708dcf932f947%7C7b09041e245149d08cb179d5e3d8c1be%7C0%7C0%7C638659244557582587%7CUnknown%7CTWFpbGZsb3d8eyJWIjoiMC4wLjAwMDAiLCJQIjoiV2luMzIiLCJBTiI6Ik1haWwiLCJXVCI6Mn0%3D%7C0%7C%7C%7C&amp;sdata=%2BmcNdT%2F6zDp6FOpplPSqKUjqAVtsc6Po2k4tiKyyMGQ%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busqueda/concepto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19718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2A515-33F2-48F6-BEF2-B36399CDF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91E30-C2C2-47BD-800D-44DFE7226C27}">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5687</Words>
  <Characters>31284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17</cp:revision>
  <cp:lastPrinted>2023-01-10T21:18:00Z</cp:lastPrinted>
  <dcterms:created xsi:type="dcterms:W3CDTF">2024-11-13T20:44:00Z</dcterms:created>
  <dcterms:modified xsi:type="dcterms:W3CDTF">2024-11-19T21:23:00Z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