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B3F13" w14:textId="77777777" w:rsidR="004E579A" w:rsidRPr="006E2BB3" w:rsidRDefault="004E579A" w:rsidP="004E579A">
      <w:pPr>
        <w:spacing w:after="0" w:line="240" w:lineRule="auto"/>
        <w:rPr>
          <w:rFonts w:ascii="Verdana" w:eastAsia="Calibri" w:hAnsi="Verdana" w:cs="Arial"/>
          <w:b/>
          <w:lang w:val="es-MX" w:eastAsia="es-ES_tradnl"/>
        </w:rPr>
      </w:pPr>
      <w:r w:rsidRPr="006E2BB3">
        <w:rPr>
          <w:rFonts w:ascii="Verdana" w:eastAsia="Calibri" w:hAnsi="Verdana" w:cs="Arial"/>
          <w:b/>
          <w:lang w:val="es-MX" w:eastAsia="es-ES_tradnl"/>
        </w:rPr>
        <w:t>INHABILIDADES – Definición – Finalidad – Limitación capacidad contractual</w:t>
      </w:r>
    </w:p>
    <w:p w14:paraId="26BF6F4E" w14:textId="77777777" w:rsidR="004E579A" w:rsidRPr="006E2BB3" w:rsidRDefault="004E579A" w:rsidP="004E579A">
      <w:pPr>
        <w:spacing w:after="0" w:line="240" w:lineRule="auto"/>
        <w:rPr>
          <w:rFonts w:ascii="Verdana" w:eastAsia="Calibri" w:hAnsi="Verdana" w:cs="Arial"/>
          <w:bCs/>
          <w:sz w:val="20"/>
          <w:szCs w:val="20"/>
          <w:lang w:val="es-MX" w:eastAsia="es-ES_tradnl"/>
        </w:rPr>
      </w:pPr>
    </w:p>
    <w:p w14:paraId="191DCE0B" w14:textId="77777777" w:rsidR="004E579A" w:rsidRPr="006E2BB3" w:rsidRDefault="004E579A" w:rsidP="004E579A">
      <w:pPr>
        <w:spacing w:after="0" w:line="240" w:lineRule="auto"/>
        <w:jc w:val="both"/>
        <w:rPr>
          <w:rFonts w:ascii="Verdana" w:eastAsia="Geomanist Light" w:hAnsi="Verdana" w:cs="Arial"/>
          <w:color w:val="000000" w:themeColor="text1"/>
          <w:sz w:val="20"/>
          <w:szCs w:val="20"/>
          <w:lang w:val="es-MX"/>
        </w:rPr>
      </w:pPr>
      <w:r w:rsidRPr="006E2BB3">
        <w:rPr>
          <w:rFonts w:ascii="Verdana" w:eastAsia="Geomanist Light" w:hAnsi="Verdana" w:cs="Arial"/>
          <w:color w:val="000000" w:themeColor="text1"/>
          <w:sz w:val="20"/>
          <w:szCs w:val="20"/>
          <w:lang w:val="es-MX"/>
        </w:rPr>
        <w:t>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La consagración limitaciones que afectan la capacidad jurídica para contratar desarrolla los principios de la función administrativa consagrados en el artículo 209 de la Constitución Política, con especial énfasis el de moralidad.</w:t>
      </w:r>
    </w:p>
    <w:p w14:paraId="27763325" w14:textId="77777777" w:rsidR="004E579A" w:rsidRPr="006E2BB3" w:rsidRDefault="004E579A" w:rsidP="004E579A">
      <w:pPr>
        <w:spacing w:after="0" w:line="240" w:lineRule="auto"/>
        <w:contextualSpacing/>
        <w:jc w:val="both"/>
        <w:rPr>
          <w:rFonts w:ascii="Verdana" w:eastAsia="Calibri" w:hAnsi="Verdana" w:cs="Arial"/>
          <w:b/>
          <w:bCs/>
          <w:lang w:eastAsia="es-MX"/>
        </w:rPr>
      </w:pPr>
    </w:p>
    <w:p w14:paraId="7C94E04A" w14:textId="77777777" w:rsidR="004E579A" w:rsidRPr="006E2BB3" w:rsidRDefault="004E579A" w:rsidP="004E579A">
      <w:pPr>
        <w:spacing w:after="0" w:line="240" w:lineRule="auto"/>
        <w:contextualSpacing/>
        <w:jc w:val="both"/>
        <w:rPr>
          <w:rFonts w:ascii="Verdana" w:eastAsia="Calibri" w:hAnsi="Verdana" w:cs="Arial"/>
          <w:b/>
          <w:bCs/>
          <w:lang w:eastAsia="es-MX"/>
        </w:rPr>
      </w:pPr>
      <w:r w:rsidRPr="006E2BB3">
        <w:rPr>
          <w:rFonts w:ascii="Verdana" w:eastAsia="Calibri" w:hAnsi="Verdana" w:cs="Arial"/>
          <w:b/>
          <w:bCs/>
          <w:lang w:eastAsia="es-MX"/>
        </w:rPr>
        <w:t>INHABILIDAD – Relación de parentesco – Vínculo natural – Personas naturales</w:t>
      </w:r>
    </w:p>
    <w:p w14:paraId="766D6C84" w14:textId="77777777" w:rsidR="004E579A" w:rsidRPr="006E2BB3" w:rsidRDefault="004E579A" w:rsidP="004E579A">
      <w:pPr>
        <w:spacing w:after="0" w:line="240" w:lineRule="auto"/>
        <w:contextualSpacing/>
        <w:jc w:val="both"/>
        <w:rPr>
          <w:rFonts w:ascii="Verdana" w:eastAsia="Calibri" w:hAnsi="Verdana" w:cs="Arial"/>
          <w:b/>
          <w:bCs/>
          <w:lang w:eastAsia="es-MX"/>
        </w:rPr>
      </w:pPr>
    </w:p>
    <w:p w14:paraId="5EE90B0C" w14:textId="77777777" w:rsidR="004E579A" w:rsidRPr="006E2BB3" w:rsidRDefault="004E579A" w:rsidP="004E579A">
      <w:pPr>
        <w:spacing w:after="0" w:line="240" w:lineRule="auto"/>
        <w:jc w:val="both"/>
        <w:rPr>
          <w:rFonts w:ascii="Verdana" w:eastAsia="Calibri" w:hAnsi="Verdana" w:cs="Arial"/>
          <w:sz w:val="20"/>
          <w:szCs w:val="20"/>
          <w:lang w:val="es-ES_tradnl"/>
        </w:rPr>
      </w:pPr>
      <w:r w:rsidRPr="006E2BB3">
        <w:rPr>
          <w:rFonts w:ascii="Verdana" w:eastAsia="Calibri" w:hAnsi="Verdana" w:cs="Arial"/>
          <w:sz w:val="20"/>
          <w:szCs w:val="20"/>
          <w:lang w:val="es-ES_tradnl"/>
        </w:rPr>
        <w:t>El literal g) del numeral 1 del artículo 8 de la Ley 80 de 1993 determina que 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w:t>
      </w:r>
    </w:p>
    <w:p w14:paraId="2D59B862" w14:textId="77777777" w:rsidR="004E579A" w:rsidRPr="006E2BB3" w:rsidRDefault="004E579A" w:rsidP="004E579A">
      <w:pPr>
        <w:spacing w:after="0" w:line="240" w:lineRule="auto"/>
        <w:jc w:val="both"/>
        <w:rPr>
          <w:rFonts w:ascii="Verdana" w:eastAsia="Calibri" w:hAnsi="Verdana" w:cs="Arial"/>
          <w:sz w:val="20"/>
          <w:szCs w:val="20"/>
          <w:lang w:val="es-ES_tradnl"/>
        </w:rPr>
      </w:pPr>
    </w:p>
    <w:p w14:paraId="66034617" w14:textId="77777777" w:rsidR="004E579A" w:rsidRPr="006E2BB3" w:rsidRDefault="004E579A" w:rsidP="004E579A">
      <w:pPr>
        <w:spacing w:after="0" w:line="240" w:lineRule="auto"/>
        <w:jc w:val="both"/>
        <w:rPr>
          <w:rFonts w:ascii="Verdana" w:eastAsia="Calibri" w:hAnsi="Verdana" w:cs="Arial"/>
          <w:sz w:val="20"/>
          <w:szCs w:val="20"/>
          <w:lang w:val="es-ES"/>
        </w:rPr>
      </w:pPr>
      <w:r w:rsidRPr="5602F0C2">
        <w:rPr>
          <w:rFonts w:ascii="Verdana" w:eastAsia="Calibri" w:hAnsi="Verdana" w:cs="Arial"/>
          <w:sz w:val="20"/>
          <w:szCs w:val="20"/>
          <w:lang w:val="es-ES"/>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 esto es, sujetos de derechos y obligaciones de la especie humana unidos entre si ya sea por vínculos naturales o jurídicos.</w:t>
      </w:r>
    </w:p>
    <w:p w14:paraId="26A4CCEE" w14:textId="77777777" w:rsidR="004E579A" w:rsidRPr="006E2BB3" w:rsidRDefault="004E579A" w:rsidP="004E579A">
      <w:pPr>
        <w:spacing w:after="0" w:line="240" w:lineRule="auto"/>
        <w:jc w:val="both"/>
        <w:rPr>
          <w:rFonts w:ascii="Verdana" w:eastAsia="Calibri" w:hAnsi="Verdana" w:cs="Arial"/>
          <w:sz w:val="20"/>
          <w:szCs w:val="20"/>
          <w:lang w:val="es-ES_tradnl"/>
        </w:rPr>
      </w:pPr>
    </w:p>
    <w:p w14:paraId="1B568182" w14:textId="77777777" w:rsidR="004E579A" w:rsidRPr="006E2BB3" w:rsidRDefault="004E579A" w:rsidP="004E579A">
      <w:pPr>
        <w:spacing w:after="0"/>
        <w:jc w:val="both"/>
        <w:rPr>
          <w:rFonts w:ascii="Verdana" w:eastAsia="Calibri" w:hAnsi="Verdana" w:cs="Arial"/>
          <w:b/>
          <w:bCs/>
          <w:lang w:val="es-ES_tradnl"/>
        </w:rPr>
      </w:pPr>
      <w:r w:rsidRPr="006E2BB3">
        <w:rPr>
          <w:rFonts w:ascii="Verdana" w:eastAsia="Calibri" w:hAnsi="Verdana" w:cs="Arial"/>
          <w:b/>
          <w:bCs/>
          <w:lang w:val="es-ES_tradnl"/>
        </w:rPr>
        <w:t>PARENTESCO – Clasificación – Consanguinidad – Afinidad – Grados</w:t>
      </w:r>
    </w:p>
    <w:p w14:paraId="60B310CC" w14:textId="77777777" w:rsidR="004E579A" w:rsidRPr="006E2BB3" w:rsidRDefault="004E579A" w:rsidP="004E579A">
      <w:pPr>
        <w:spacing w:after="0"/>
        <w:jc w:val="both"/>
        <w:rPr>
          <w:rFonts w:ascii="Verdana" w:eastAsia="Calibri" w:hAnsi="Verdana" w:cs="Arial"/>
          <w:lang w:val="es-ES_tradnl"/>
        </w:rPr>
      </w:pPr>
    </w:p>
    <w:p w14:paraId="50984145" w14:textId="77777777" w:rsidR="004E579A" w:rsidRPr="006E2BB3" w:rsidRDefault="004E579A" w:rsidP="004E579A">
      <w:pPr>
        <w:spacing w:after="0"/>
        <w:jc w:val="both"/>
        <w:rPr>
          <w:rFonts w:ascii="Verdana" w:eastAsia="Calibri" w:hAnsi="Verdana" w:cs="Arial"/>
          <w:sz w:val="20"/>
          <w:szCs w:val="20"/>
          <w:lang w:val="es-ES"/>
        </w:rPr>
      </w:pPr>
      <w:r w:rsidRPr="5602F0C2">
        <w:rPr>
          <w:rFonts w:ascii="Verdana" w:eastAsia="Calibri" w:hAnsi="Verdana" w:cs="Arial"/>
          <w:sz w:val="20"/>
          <w:szCs w:val="20"/>
          <w:lang w:val="es-ES"/>
        </w:rPr>
        <w:t xml:space="preserve">De otra parte y </w:t>
      </w:r>
      <w:proofErr w:type="gramStart"/>
      <w:r w:rsidRPr="5602F0C2">
        <w:rPr>
          <w:rFonts w:ascii="Verdana" w:eastAsia="Calibri" w:hAnsi="Verdana" w:cs="Arial"/>
          <w:sz w:val="20"/>
          <w:szCs w:val="20"/>
          <w:lang w:val="es-ES"/>
        </w:rPr>
        <w:t>en relación al</w:t>
      </w:r>
      <w:proofErr w:type="gramEnd"/>
      <w:r w:rsidRPr="5602F0C2">
        <w:rPr>
          <w:rFonts w:ascii="Verdana" w:eastAsia="Calibri" w:hAnsi="Verdana" w:cs="Arial"/>
          <w:sz w:val="20"/>
          <w:szCs w:val="20"/>
          <w:lang w:val="es-ES"/>
        </w:rPr>
        <w:t xml:space="preserve">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El parentesco de afinidad se refiere a la relación surgida entre una persona y los consanguíneos de su esposo, esposa o compañeros permanentes, según el caso. Es preciso señalar que la Corte Constitucional si bien declaró la </w:t>
      </w:r>
      <w:proofErr w:type="spellStart"/>
      <w:r w:rsidRPr="5602F0C2">
        <w:rPr>
          <w:rFonts w:ascii="Verdana" w:eastAsia="Calibri" w:hAnsi="Verdana" w:cs="Arial"/>
          <w:sz w:val="20"/>
          <w:szCs w:val="20"/>
          <w:lang w:val="es-ES"/>
        </w:rPr>
        <w:t>inexequibilidad</w:t>
      </w:r>
      <w:proofErr w:type="spellEnd"/>
      <w:r w:rsidRPr="5602F0C2">
        <w:rPr>
          <w:rFonts w:ascii="Verdana" w:eastAsia="Calibri" w:hAnsi="Verdana" w:cs="Arial"/>
          <w:sz w:val="20"/>
          <w:szCs w:val="20"/>
          <w:lang w:val="es-ES"/>
        </w:rPr>
        <w:t xml:space="preserve"> del parentesco de afinidad ilegítima, reconoció la vigencia de la denominada afinidad extramatrimonial.</w:t>
      </w:r>
    </w:p>
    <w:p w14:paraId="7C0CC1C4" w14:textId="77777777" w:rsidR="004E579A" w:rsidRPr="006E2BB3" w:rsidRDefault="004E579A" w:rsidP="004E579A">
      <w:pPr>
        <w:spacing w:after="0"/>
        <w:jc w:val="both"/>
        <w:rPr>
          <w:rFonts w:ascii="Verdana" w:eastAsia="Calibri" w:hAnsi="Verdana" w:cs="Arial"/>
          <w:sz w:val="20"/>
          <w:szCs w:val="20"/>
          <w:lang w:val="es-ES_tradnl"/>
        </w:rPr>
      </w:pPr>
    </w:p>
    <w:p w14:paraId="1E318885" w14:textId="5355FEE6" w:rsidR="004E579A" w:rsidRDefault="004E579A" w:rsidP="004E579A">
      <w:pPr>
        <w:spacing w:after="0"/>
        <w:jc w:val="both"/>
        <w:rPr>
          <w:rFonts w:ascii="Verdana" w:eastAsia="Calibri" w:hAnsi="Verdana" w:cs="Arial"/>
          <w:sz w:val="20"/>
          <w:szCs w:val="20"/>
          <w:lang w:val="es-ES_tradnl"/>
        </w:rPr>
      </w:pPr>
      <w:r w:rsidRPr="006E2BB3">
        <w:rPr>
          <w:rFonts w:ascii="Verdana" w:eastAsia="Calibri" w:hAnsi="Verdana" w:cs="Arial"/>
          <w:sz w:val="20"/>
          <w:szCs w:val="20"/>
          <w:lang w:val="es-ES_tradnl"/>
        </w:rPr>
        <w:t>En cuanto a los grados del parentesco se refiere, ya sea de consanguinidad o de afinidad, estos se cuentan en consideración al número de generaciones existentes entre las personas. De esta 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p>
    <w:p w14:paraId="6D0F5E5D" w14:textId="77777777" w:rsidR="004E579A" w:rsidRDefault="004E579A" w:rsidP="004E579A">
      <w:pPr>
        <w:spacing w:after="0"/>
        <w:jc w:val="both"/>
        <w:rPr>
          <w:rFonts w:ascii="Verdana" w:eastAsia="Calibri" w:hAnsi="Verdana" w:cs="Arial"/>
          <w:sz w:val="20"/>
          <w:szCs w:val="20"/>
          <w:lang w:val="es-ES_tradnl"/>
        </w:rPr>
      </w:pPr>
    </w:p>
    <w:p w14:paraId="7EC1632D" w14:textId="77777777" w:rsidR="004E579A" w:rsidRPr="00DB6EFB" w:rsidRDefault="004E579A" w:rsidP="004E579A">
      <w:pPr>
        <w:spacing w:before="120" w:after="120" w:line="276" w:lineRule="auto"/>
        <w:jc w:val="both"/>
        <w:rPr>
          <w:rFonts w:ascii="Verdana" w:eastAsia="Arial" w:hAnsi="Verdana" w:cs="Arial"/>
          <w:b/>
          <w:bCs/>
          <w:lang w:val="es-MX"/>
        </w:rPr>
      </w:pPr>
      <w:r w:rsidRPr="00DB6EFB">
        <w:rPr>
          <w:rFonts w:ascii="Verdana" w:eastAsia="Arial" w:hAnsi="Verdana" w:cs="Arial"/>
          <w:b/>
          <w:bCs/>
          <w:lang w:val="es-MX"/>
        </w:rPr>
        <w:t>SECOP – Publicidad – Documentos – Información oficial</w:t>
      </w:r>
    </w:p>
    <w:p w14:paraId="5C06B433" w14:textId="77777777" w:rsidR="004E579A" w:rsidRPr="00CF7760" w:rsidRDefault="004E579A" w:rsidP="004E579A">
      <w:pPr>
        <w:spacing w:after="0" w:line="240" w:lineRule="auto"/>
        <w:jc w:val="both"/>
        <w:rPr>
          <w:rFonts w:ascii="Verdana" w:eastAsia="Arial" w:hAnsi="Verdana" w:cs="Arial"/>
          <w:b/>
          <w:bCs/>
          <w:lang w:val="es-ES" w:eastAsia="es-ES"/>
        </w:rPr>
      </w:pPr>
    </w:p>
    <w:p w14:paraId="083BF64D" w14:textId="77777777" w:rsidR="004E579A" w:rsidRPr="00DB6EFB" w:rsidRDefault="004E579A" w:rsidP="004E579A">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En el literal e) del artículo 9, la ley estatutaria citada establece dispone que los sujetos obligados, que son todas las entidades públicas, deben publicar la información relativa a su contratación. Esta obligación fue desarrollada por el Decreto Único Reglamentario 1081 de 2015, el cual dispuso que la publicación de la información contractual de los sujetos obligados, que contratan con cargo a recursos públicos, debe hacerse en el Sistema Electrónico para la Contratación Pública −SECOP–.</w:t>
      </w:r>
    </w:p>
    <w:p w14:paraId="7F649F6B" w14:textId="77777777" w:rsidR="004E579A" w:rsidRPr="00DB6EFB" w:rsidRDefault="004E579A" w:rsidP="004E579A">
      <w:pPr>
        <w:spacing w:after="0" w:line="240" w:lineRule="auto"/>
        <w:jc w:val="both"/>
        <w:rPr>
          <w:rFonts w:ascii="Verdana" w:eastAsia="Arial" w:hAnsi="Verdana" w:cs="Arial"/>
          <w:sz w:val="20"/>
          <w:szCs w:val="20"/>
          <w:lang w:val="es-MX"/>
        </w:rPr>
      </w:pPr>
    </w:p>
    <w:p w14:paraId="5244B598" w14:textId="77777777" w:rsidR="004E579A" w:rsidRPr="00DB6EFB" w:rsidRDefault="004E579A" w:rsidP="004E579A">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 xml:space="preserve">[…] </w:t>
      </w:r>
    </w:p>
    <w:p w14:paraId="30F76D73" w14:textId="77777777" w:rsidR="004E579A" w:rsidRPr="00DB6EFB" w:rsidRDefault="004E579A" w:rsidP="004E579A">
      <w:pPr>
        <w:spacing w:after="0" w:line="240" w:lineRule="auto"/>
        <w:jc w:val="both"/>
        <w:rPr>
          <w:rFonts w:ascii="Verdana" w:eastAsia="Arial" w:hAnsi="Verdana" w:cs="Arial"/>
          <w:sz w:val="20"/>
          <w:szCs w:val="20"/>
          <w:lang w:val="es-MX"/>
        </w:rPr>
      </w:pPr>
    </w:p>
    <w:p w14:paraId="1F2E9777" w14:textId="77777777" w:rsidR="004E579A" w:rsidRPr="00DB6EFB" w:rsidRDefault="004E579A" w:rsidP="004E579A">
      <w:pPr>
        <w:spacing w:after="0" w:line="240" w:lineRule="auto"/>
        <w:jc w:val="both"/>
        <w:rPr>
          <w:rFonts w:ascii="Verdana" w:eastAsia="Arial" w:hAnsi="Verdana" w:cs="Arial"/>
          <w:sz w:val="20"/>
          <w:szCs w:val="20"/>
          <w:lang w:val="es-MX"/>
        </w:rPr>
      </w:pPr>
      <w:r w:rsidRPr="00DB6EFB">
        <w:rPr>
          <w:rFonts w:ascii="Verdana" w:eastAsia="Arial" w:hAnsi="Verdana" w:cs="Arial"/>
          <w:sz w:val="20"/>
          <w:szCs w:val="20"/>
          <w:lang w:val="es-MX"/>
        </w:rPr>
        <w:t>Nótese, entonces, que en ese momento el Consejo de Estado asumió como criterio para determinar la obligatoriedad de publicar en el SECOP que la contratación se realizara con recursos públicos, conclusión que se fundamenta en el literal c) del artículo 3 de la Ley 1150 de 2007. Así, la decisión judicial citada refuerza la obligación de publicar en el SECOP, mandato que además está expresamente consagrado en las Leyes 1150 de 2007, 1712 de 2014 y la Circular Externa Única.</w:t>
      </w:r>
    </w:p>
    <w:p w14:paraId="0BC1C121" w14:textId="77777777" w:rsidR="004E579A" w:rsidRDefault="004E579A" w:rsidP="004E579A">
      <w:pPr>
        <w:spacing w:after="0"/>
        <w:jc w:val="both"/>
        <w:rPr>
          <w:rFonts w:ascii="Verdana" w:eastAsia="Calibri" w:hAnsi="Verdana" w:cs="Arial"/>
          <w:sz w:val="20"/>
          <w:szCs w:val="20"/>
          <w:lang w:val="es-ES_tradnl"/>
        </w:rPr>
      </w:pPr>
    </w:p>
    <w:p w14:paraId="7DFC4058" w14:textId="77777777" w:rsidR="004E579A" w:rsidRPr="000B0884" w:rsidRDefault="004E579A" w:rsidP="004E579A">
      <w:pPr>
        <w:spacing w:after="0" w:line="240" w:lineRule="auto"/>
        <w:jc w:val="both"/>
        <w:rPr>
          <w:rFonts w:ascii="Verdana" w:eastAsia="Times New Roman" w:hAnsi="Verdana" w:cs="Arial"/>
          <w:b/>
          <w:bCs/>
          <w:bdr w:val="none" w:sz="0" w:space="0" w:color="auto" w:frame="1"/>
          <w:lang w:val="es-ES" w:eastAsia="es-ES_tradnl"/>
        </w:rPr>
      </w:pPr>
      <w:r w:rsidRPr="000B0884">
        <w:rPr>
          <w:rFonts w:ascii="Verdana" w:eastAsia="Times New Roman" w:hAnsi="Verdana" w:cs="Arial"/>
          <w:b/>
          <w:bCs/>
          <w:bdr w:val="none" w:sz="0" w:space="0" w:color="auto" w:frame="1"/>
          <w:lang w:val="es-ES" w:eastAsia="es-ES_tradnl"/>
        </w:rPr>
        <w:t xml:space="preserve">CONTRATO DE PRESTACIÓN DE SERVICIOS ― Concepto ― Requisitos y límites para su celebración </w:t>
      </w:r>
    </w:p>
    <w:p w14:paraId="513D7976" w14:textId="77777777" w:rsidR="004E579A" w:rsidRPr="000B0884" w:rsidRDefault="004E579A" w:rsidP="004E579A">
      <w:pPr>
        <w:spacing w:after="0" w:line="240" w:lineRule="auto"/>
        <w:jc w:val="both"/>
        <w:rPr>
          <w:rFonts w:ascii="Verdana" w:eastAsia="Times New Roman" w:hAnsi="Verdana" w:cs="Arial"/>
          <w:sz w:val="20"/>
          <w:szCs w:val="20"/>
          <w:bdr w:val="none" w:sz="0" w:space="0" w:color="auto" w:frame="1"/>
          <w:lang w:val="es-ES" w:eastAsia="es-ES_tradnl"/>
        </w:rPr>
      </w:pPr>
    </w:p>
    <w:p w14:paraId="3E6989B2" w14:textId="77777777" w:rsidR="004E579A" w:rsidRPr="000B0884" w:rsidRDefault="004E579A" w:rsidP="004E579A">
      <w:pPr>
        <w:spacing w:after="0" w:line="240" w:lineRule="auto"/>
        <w:jc w:val="both"/>
        <w:rPr>
          <w:rFonts w:ascii="Verdana" w:eastAsia="Calibri" w:hAnsi="Verdana" w:cs="Arial"/>
          <w:sz w:val="20"/>
          <w:szCs w:val="20"/>
          <w:lang w:val="es-ES_tradnl" w:eastAsia="es-ES_tradnl"/>
        </w:rPr>
      </w:pPr>
      <w:r w:rsidRPr="000B0884">
        <w:rPr>
          <w:rFonts w:ascii="Verdana" w:eastAsia="Calibri" w:hAnsi="Verdana" w:cs="Arial"/>
          <w:sz w:val="20"/>
          <w:szCs w:val="20"/>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14:paraId="71D445BB" w14:textId="77777777" w:rsidR="004E579A" w:rsidRPr="000B0884" w:rsidRDefault="004E579A" w:rsidP="004E579A">
      <w:pPr>
        <w:spacing w:after="0" w:line="240" w:lineRule="auto"/>
        <w:jc w:val="both"/>
        <w:rPr>
          <w:rFonts w:ascii="Verdana" w:eastAsia="Calibri" w:hAnsi="Verdana" w:cs="Arial"/>
          <w:sz w:val="20"/>
          <w:szCs w:val="20"/>
          <w:lang w:val="es-ES_tradnl" w:eastAsia="es-ES_tradnl"/>
        </w:rPr>
      </w:pPr>
    </w:p>
    <w:p w14:paraId="77840F7D" w14:textId="77777777" w:rsidR="004E579A" w:rsidRPr="000B0884" w:rsidRDefault="004E579A" w:rsidP="004E579A">
      <w:pPr>
        <w:spacing w:after="0" w:line="240" w:lineRule="auto"/>
        <w:jc w:val="both"/>
        <w:rPr>
          <w:rFonts w:ascii="Verdana" w:eastAsia="Calibri" w:hAnsi="Verdana" w:cs="Arial"/>
          <w:sz w:val="20"/>
          <w:szCs w:val="20"/>
          <w:lang w:val="es-ES_tradnl" w:eastAsia="es-ES_tradnl"/>
        </w:rPr>
      </w:pPr>
      <w:r w:rsidRPr="000B0884">
        <w:rPr>
          <w:rFonts w:ascii="Verdana" w:eastAsia="Calibri" w:hAnsi="Verdana" w:cs="Arial"/>
          <w:sz w:val="20"/>
          <w:szCs w:val="20"/>
          <w:lang w:val="es-ES_tradnl" w:eastAsia="es-ES_tradnl"/>
        </w:rPr>
        <w:t>[…]</w:t>
      </w:r>
    </w:p>
    <w:p w14:paraId="205338A8" w14:textId="77777777" w:rsidR="004E579A" w:rsidRPr="000B0884" w:rsidRDefault="004E579A" w:rsidP="004E579A">
      <w:pPr>
        <w:spacing w:after="0" w:line="240" w:lineRule="auto"/>
        <w:jc w:val="both"/>
        <w:rPr>
          <w:rFonts w:ascii="Verdana" w:eastAsia="Calibri" w:hAnsi="Verdana" w:cs="Arial"/>
          <w:sz w:val="20"/>
          <w:szCs w:val="20"/>
          <w:lang w:val="es-ES_tradnl" w:eastAsia="es-ES_tradnl"/>
        </w:rPr>
      </w:pPr>
    </w:p>
    <w:p w14:paraId="33B13D74" w14:textId="77777777" w:rsidR="004E579A" w:rsidRPr="000B0884" w:rsidRDefault="004E579A" w:rsidP="004E579A">
      <w:pPr>
        <w:spacing w:after="0" w:line="240" w:lineRule="auto"/>
        <w:jc w:val="both"/>
        <w:rPr>
          <w:rFonts w:ascii="Verdana" w:eastAsia="Times New Roman" w:hAnsi="Verdana" w:cs="Arial"/>
          <w:b/>
          <w:bCs/>
          <w:sz w:val="20"/>
          <w:szCs w:val="20"/>
          <w:bdr w:val="none" w:sz="0" w:space="0" w:color="auto" w:frame="1"/>
          <w:lang w:val="es-ES" w:eastAsia="es-ES_tradnl"/>
        </w:rPr>
      </w:pPr>
      <w:r w:rsidRPr="000B0884">
        <w:rPr>
          <w:rStyle w:val="normaltextrun"/>
          <w:rFonts w:ascii="Verdana" w:hAnsi="Verdana" w:cs="Arial"/>
          <w:color w:val="000000"/>
          <w:sz w:val="20"/>
          <w:szCs w:val="20"/>
          <w:shd w:val="clear" w:color="auto" w:fill="FFFFFF"/>
          <w:lang w:val="es-ES"/>
        </w:rPr>
        <w:lastRenderedPageBreak/>
        <w:t xml:space="preserve">Sus principales características son: i) </w:t>
      </w:r>
      <w:r w:rsidRPr="000B0884">
        <w:rPr>
          <w:rFonts w:ascii="Verdana" w:eastAsia="Calibri" w:hAnsi="Verdana" w:cs="Arial"/>
          <w:sz w:val="20"/>
          <w:szCs w:val="20"/>
          <w:lang w:val="es-ES_tradnl" w:eastAsia="es-ES_tradnl"/>
        </w:rPr>
        <w:t>Solo puede celebrarse para realizar “actividades relacionadas con la administración o funcionamiento de la entidad”, es decir, que hagan parte de su giro ordinario o quehacer cotidiano</w:t>
      </w:r>
      <w:r w:rsidRPr="000B0884">
        <w:rPr>
          <w:rStyle w:val="normaltextrun"/>
          <w:rFonts w:ascii="Verdana" w:hAnsi="Verdana" w:cs="Arial"/>
          <w:color w:val="000000"/>
          <w:sz w:val="20"/>
          <w:szCs w:val="20"/>
          <w:shd w:val="clear" w:color="auto" w:fill="FFFFFF"/>
          <w:lang w:val="es-ES"/>
        </w:rPr>
        <w:t xml:space="preserve">; </w:t>
      </w:r>
      <w:proofErr w:type="spellStart"/>
      <w:r w:rsidRPr="000B0884">
        <w:rPr>
          <w:rStyle w:val="normaltextrun"/>
          <w:rFonts w:ascii="Verdana" w:hAnsi="Verdana" w:cs="Arial"/>
          <w:color w:val="000000"/>
          <w:sz w:val="20"/>
          <w:szCs w:val="20"/>
          <w:shd w:val="clear" w:color="auto" w:fill="FFFFFF"/>
          <w:lang w:val="es-ES"/>
        </w:rPr>
        <w:t>ii</w:t>
      </w:r>
      <w:proofErr w:type="spellEnd"/>
      <w:r w:rsidRPr="000B0884">
        <w:rPr>
          <w:rStyle w:val="normaltextrun"/>
          <w:rFonts w:ascii="Verdana" w:hAnsi="Verdana" w:cs="Arial"/>
          <w:color w:val="000000"/>
          <w:sz w:val="20"/>
          <w:szCs w:val="20"/>
          <w:shd w:val="clear" w:color="auto" w:fill="FFFFFF"/>
          <w:lang w:val="es-ES"/>
        </w:rPr>
        <w:t xml:space="preserve">) </w:t>
      </w:r>
      <w:r w:rsidRPr="000B0884">
        <w:rPr>
          <w:rFonts w:ascii="Verdana" w:eastAsia="Calibri" w:hAnsi="Verdana" w:cs="Arial"/>
          <w:sz w:val="20"/>
          <w:szCs w:val="20"/>
          <w:lang w:val="es-ES_tradnl" w:eastAsia="es-ES_tradnl"/>
        </w:rPr>
        <w:t>admite que se suscriba tanto con personas naturales como con personas jurídicas […]</w:t>
      </w:r>
      <w:r w:rsidRPr="000B0884">
        <w:rPr>
          <w:rStyle w:val="normaltextrun"/>
          <w:rFonts w:ascii="Verdana" w:hAnsi="Verdana" w:cs="Arial"/>
          <w:color w:val="000000"/>
          <w:sz w:val="20"/>
          <w:szCs w:val="20"/>
          <w:shd w:val="clear" w:color="auto" w:fill="FFFFFF"/>
          <w:lang w:val="es-ES"/>
        </w:rPr>
        <w:t xml:space="preserve">; </w:t>
      </w:r>
      <w:proofErr w:type="spellStart"/>
      <w:r w:rsidRPr="000B0884">
        <w:rPr>
          <w:rStyle w:val="normaltextrun"/>
          <w:rFonts w:ascii="Verdana" w:hAnsi="Verdana" w:cs="Arial"/>
          <w:color w:val="000000"/>
          <w:sz w:val="20"/>
          <w:szCs w:val="20"/>
          <w:shd w:val="clear" w:color="auto" w:fill="FFFFFF"/>
          <w:lang w:val="es-ES"/>
        </w:rPr>
        <w:t>iii</w:t>
      </w:r>
      <w:proofErr w:type="spellEnd"/>
      <w:r w:rsidRPr="000B0884">
        <w:rPr>
          <w:rStyle w:val="normaltextrun"/>
          <w:rFonts w:ascii="Verdana" w:hAnsi="Verdana" w:cs="Arial"/>
          <w:color w:val="000000"/>
          <w:sz w:val="20"/>
          <w:szCs w:val="20"/>
          <w:shd w:val="clear" w:color="auto" w:fill="FFFFFF"/>
          <w:lang w:val="es-ES"/>
        </w:rPr>
        <w:t xml:space="preserve">) </w:t>
      </w:r>
      <w:r w:rsidRPr="000B0884">
        <w:rPr>
          <w:rFonts w:ascii="Verdana" w:eastAsia="Calibri" w:hAnsi="Verdana" w:cs="Arial"/>
          <w:sz w:val="20"/>
          <w:szCs w:val="20"/>
          <w:lang w:val="es-ES_tradnl" w:eastAsia="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w:t>
      </w:r>
      <w:r w:rsidRPr="000B0884">
        <w:rPr>
          <w:rFonts w:ascii="Verdana" w:eastAsia="Calibri" w:hAnsi="Verdana" w:cs="Arial"/>
          <w:i/>
          <w:sz w:val="20"/>
          <w:szCs w:val="20"/>
          <w:lang w:val="es-ES_tradnl" w:eastAsia="es-ES_tradnl"/>
        </w:rPr>
        <w:t>subordinación y dependencia</w:t>
      </w:r>
      <w:r w:rsidRPr="000B0884">
        <w:rPr>
          <w:rFonts w:ascii="Verdana" w:eastAsia="Calibri" w:hAnsi="Verdana" w:cs="Arial"/>
          <w:iCs/>
          <w:sz w:val="20"/>
          <w:szCs w:val="20"/>
          <w:lang w:val="es-ES_tradnl" w:eastAsia="es-ES_tradnl"/>
        </w:rPr>
        <w:t>,</w:t>
      </w:r>
      <w:r w:rsidRPr="000B0884">
        <w:rPr>
          <w:rFonts w:ascii="Verdana" w:eastAsia="Calibri" w:hAnsi="Verdana" w:cs="Arial"/>
          <w:sz w:val="20"/>
          <w:szCs w:val="20"/>
          <w:lang w:val="es-ES_tradnl" w:eastAsia="es-ES_tradnl"/>
        </w:rPr>
        <w:t xml:space="preserve"> que es uno de los elementos constitutivos del vínculo laboral […]</w:t>
      </w:r>
      <w:r w:rsidRPr="000B0884">
        <w:rPr>
          <w:rStyle w:val="normaltextrun"/>
          <w:rFonts w:ascii="Verdana" w:hAnsi="Verdana" w:cs="Arial"/>
          <w:color w:val="000000"/>
          <w:sz w:val="20"/>
          <w:szCs w:val="20"/>
          <w:shd w:val="clear" w:color="auto" w:fill="FFFFFF"/>
          <w:lang w:val="es-ES"/>
        </w:rPr>
        <w:t xml:space="preserve">; </w:t>
      </w:r>
      <w:proofErr w:type="spellStart"/>
      <w:r w:rsidRPr="000B0884">
        <w:rPr>
          <w:rStyle w:val="normaltextrun"/>
          <w:rFonts w:ascii="Verdana" w:hAnsi="Verdana" w:cs="Arial"/>
          <w:color w:val="000000"/>
          <w:sz w:val="20"/>
          <w:szCs w:val="20"/>
          <w:shd w:val="clear" w:color="auto" w:fill="FFFFFF"/>
          <w:lang w:val="es-ES"/>
        </w:rPr>
        <w:t>iv</w:t>
      </w:r>
      <w:proofErr w:type="spellEnd"/>
      <w:r w:rsidRPr="000B0884">
        <w:rPr>
          <w:rStyle w:val="normaltextrun"/>
          <w:rFonts w:ascii="Verdana" w:hAnsi="Verdana" w:cs="Arial"/>
          <w:color w:val="000000"/>
          <w:sz w:val="20"/>
          <w:szCs w:val="20"/>
          <w:shd w:val="clear" w:color="auto" w:fill="FFFFFF"/>
          <w:lang w:val="es-ES"/>
        </w:rPr>
        <w:t xml:space="preserve">) debe ser temporal […]; v) </w:t>
      </w:r>
      <w:r w:rsidRPr="000B0884">
        <w:rPr>
          <w:rFonts w:ascii="Verdana" w:eastAsia="Calibri" w:hAnsi="Verdana" w:cs="Arial"/>
          <w:sz w:val="20"/>
          <w:szCs w:val="20"/>
          <w:lang w:val="es-ES_tradnl" w:eastAsia="es-ES_tradnl"/>
        </w:rPr>
        <w:t xml:space="preserve">los contratos de prestación de servicios constituyen un </w:t>
      </w:r>
      <w:r w:rsidRPr="000B0884">
        <w:rPr>
          <w:rFonts w:ascii="Verdana" w:eastAsia="Calibri" w:hAnsi="Verdana" w:cs="Arial"/>
          <w:i/>
          <w:iCs/>
          <w:sz w:val="20"/>
          <w:szCs w:val="20"/>
          <w:lang w:val="es-ES_tradnl" w:eastAsia="es-ES_tradnl"/>
        </w:rPr>
        <w:t>género</w:t>
      </w:r>
      <w:r w:rsidRPr="000B0884">
        <w:rPr>
          <w:rFonts w:ascii="Verdana" w:eastAsia="Calibri" w:hAnsi="Verdana" w:cs="Arial"/>
          <w:sz w:val="20"/>
          <w:szCs w:val="20"/>
          <w:lang w:val="es-ES_tradnl" w:eastAsia="es-ES_tradnl"/>
        </w:rPr>
        <w:t xml:space="preserve"> que incluye, como </w:t>
      </w:r>
      <w:r w:rsidRPr="000B0884">
        <w:rPr>
          <w:rFonts w:ascii="Verdana" w:eastAsia="Calibri" w:hAnsi="Verdana" w:cs="Arial"/>
          <w:i/>
          <w:iCs/>
          <w:sz w:val="20"/>
          <w:szCs w:val="20"/>
          <w:lang w:val="es-ES_tradnl" w:eastAsia="es-ES_tradnl"/>
        </w:rPr>
        <w:t>especies</w:t>
      </w:r>
      <w:r w:rsidRPr="000B0884">
        <w:rPr>
          <w:rFonts w:ascii="Verdana" w:eastAsia="Calibri" w:hAnsi="Verdana" w:cs="Arial"/>
          <w:sz w:val="20"/>
          <w:szCs w:val="20"/>
          <w:lang w:val="es-ES_tradnl" w:eastAsia="es-ES_tradnl"/>
        </w:rPr>
        <w:t>, los contratos de prestación de servicios profesionales, los contratos de prestación de servicios de apoyo a la gestión y los contratos de prestación de servicios artísticos que solo pueden encomendarse a determinadas personas naturales […]</w:t>
      </w:r>
      <w:r w:rsidRPr="000B0884">
        <w:rPr>
          <w:rStyle w:val="normaltextrun"/>
          <w:rFonts w:ascii="Verdana" w:hAnsi="Verdana" w:cs="Arial"/>
          <w:color w:val="000000"/>
          <w:sz w:val="20"/>
          <w:szCs w:val="20"/>
          <w:shd w:val="clear" w:color="auto" w:fill="FFFFFF"/>
          <w:lang w:val="es-ES"/>
        </w:rPr>
        <w:t xml:space="preserve">; vi) </w:t>
      </w:r>
      <w:r w:rsidRPr="000B0884">
        <w:rPr>
          <w:rFonts w:ascii="Verdana" w:eastAsia="Calibri" w:hAnsi="Verdana" w:cs="Arial"/>
          <w:sz w:val="20"/>
          <w:szCs w:val="20"/>
          <w:lang w:val="es-ES_tradnl" w:eastAsia="es-ES_tradnl"/>
        </w:rPr>
        <w:t>Su celebración debe realizarse a través de la modalidad de contratación directa, independientemente de la cuantía y del tipo de servicio, siempre que este no ingrese dentro del objeto del contrato de consultoría […]</w:t>
      </w:r>
      <w:r w:rsidRPr="000B0884">
        <w:rPr>
          <w:rStyle w:val="normaltextrun"/>
          <w:rFonts w:ascii="Verdana" w:hAnsi="Verdana" w:cs="Arial"/>
          <w:color w:val="000000"/>
          <w:sz w:val="20"/>
          <w:szCs w:val="20"/>
          <w:shd w:val="clear" w:color="auto" w:fill="FFFFFF"/>
          <w:lang w:val="es-ES"/>
        </w:rPr>
        <w:t xml:space="preserve">; </w:t>
      </w:r>
      <w:proofErr w:type="spellStart"/>
      <w:r w:rsidRPr="000B0884">
        <w:rPr>
          <w:rStyle w:val="normaltextrun"/>
          <w:rFonts w:ascii="Verdana" w:hAnsi="Verdana" w:cs="Arial"/>
          <w:color w:val="000000"/>
          <w:sz w:val="20"/>
          <w:szCs w:val="20"/>
          <w:shd w:val="clear" w:color="auto" w:fill="FFFFFF"/>
          <w:lang w:val="es-ES"/>
        </w:rPr>
        <w:t>vii</w:t>
      </w:r>
      <w:proofErr w:type="spellEnd"/>
      <w:r w:rsidRPr="000B0884">
        <w:rPr>
          <w:rStyle w:val="normaltextrun"/>
          <w:rFonts w:ascii="Verdana" w:hAnsi="Verdana" w:cs="Arial"/>
          <w:color w:val="000000"/>
          <w:sz w:val="20"/>
          <w:szCs w:val="20"/>
          <w:shd w:val="clear" w:color="auto" w:fill="FFFFFF"/>
          <w:lang w:val="es-ES"/>
        </w:rPr>
        <w:t xml:space="preserve">) </w:t>
      </w:r>
      <w:r w:rsidRPr="000B0884">
        <w:rPr>
          <w:rFonts w:ascii="Verdana" w:eastAsia="Calibri" w:hAnsi="Verdana" w:cs="Arial"/>
          <w:sz w:val="20"/>
          <w:szCs w:val="20"/>
          <w:lang w:val="es-ES_tradnl" w:eastAsia="es-ES_tradnl"/>
        </w:rPr>
        <w:t>Para su celebración no se requiere en algunos casos la expedición del acto administrativo de justificación de la contratación directa […]</w:t>
      </w:r>
      <w:r w:rsidRPr="000B0884">
        <w:rPr>
          <w:rStyle w:val="normaltextrun"/>
          <w:rFonts w:ascii="Verdana" w:hAnsi="Verdana" w:cs="Arial"/>
          <w:color w:val="000000"/>
          <w:sz w:val="20"/>
          <w:szCs w:val="20"/>
          <w:shd w:val="clear" w:color="auto" w:fill="FFFFFF"/>
          <w:lang w:val="es-ES"/>
        </w:rPr>
        <w:t xml:space="preserve">; </w:t>
      </w:r>
      <w:proofErr w:type="spellStart"/>
      <w:r w:rsidRPr="000B0884">
        <w:rPr>
          <w:rStyle w:val="normaltextrun"/>
          <w:rFonts w:ascii="Verdana" w:hAnsi="Verdana" w:cs="Arial"/>
          <w:color w:val="000000"/>
          <w:sz w:val="20"/>
          <w:szCs w:val="20"/>
          <w:shd w:val="clear" w:color="auto" w:fill="FFFFFF"/>
          <w:lang w:val="es-ES"/>
        </w:rPr>
        <w:t>viii</w:t>
      </w:r>
      <w:proofErr w:type="spellEnd"/>
      <w:r w:rsidRPr="000B0884">
        <w:rPr>
          <w:rStyle w:val="normaltextrun"/>
          <w:rFonts w:ascii="Verdana" w:hAnsi="Verdana" w:cs="Arial"/>
          <w:color w:val="000000"/>
          <w:sz w:val="20"/>
          <w:szCs w:val="20"/>
          <w:shd w:val="clear" w:color="auto" w:fill="FFFFFF"/>
          <w:lang w:val="es-ES"/>
        </w:rPr>
        <w:t xml:space="preserve">) </w:t>
      </w:r>
      <w:r w:rsidRPr="000B0884">
        <w:rPr>
          <w:rFonts w:ascii="Verdana" w:eastAsia="Calibri" w:hAnsi="Verdana" w:cs="Arial"/>
          <w:sz w:val="20"/>
          <w:szCs w:val="20"/>
          <w:lang w:val="es-ES_tradnl" w:eastAsia="es-ES_tradnl"/>
        </w:rPr>
        <w:t>admiten el pacto de cláusulas excepcionales […]</w:t>
      </w:r>
      <w:r w:rsidRPr="000B0884">
        <w:rPr>
          <w:rStyle w:val="normaltextrun"/>
          <w:rFonts w:ascii="Verdana" w:hAnsi="Verdana" w:cs="Arial"/>
          <w:color w:val="000000"/>
          <w:sz w:val="20"/>
          <w:szCs w:val="20"/>
          <w:shd w:val="clear" w:color="auto" w:fill="FFFFFF"/>
          <w:lang w:val="es-ES"/>
        </w:rPr>
        <w:t xml:space="preserve">; </w:t>
      </w:r>
      <w:proofErr w:type="spellStart"/>
      <w:r w:rsidRPr="000B0884">
        <w:rPr>
          <w:rStyle w:val="normaltextrun"/>
          <w:rFonts w:ascii="Verdana" w:hAnsi="Verdana" w:cs="Arial"/>
          <w:color w:val="000000"/>
          <w:sz w:val="20"/>
          <w:szCs w:val="20"/>
          <w:shd w:val="clear" w:color="auto" w:fill="FFFFFF"/>
          <w:lang w:val="es-ES"/>
        </w:rPr>
        <w:t>ix</w:t>
      </w:r>
      <w:proofErr w:type="spellEnd"/>
      <w:r w:rsidRPr="000B0884">
        <w:rPr>
          <w:rStyle w:val="normaltextrun"/>
          <w:rFonts w:ascii="Verdana" w:hAnsi="Verdana" w:cs="Arial"/>
          <w:color w:val="000000"/>
          <w:sz w:val="20"/>
          <w:szCs w:val="20"/>
          <w:shd w:val="clear" w:color="auto" w:fill="FFFFFF"/>
          <w:lang w:val="es-ES"/>
        </w:rPr>
        <w:t xml:space="preserve">) </w:t>
      </w:r>
      <w:r w:rsidRPr="000B0884">
        <w:rPr>
          <w:rFonts w:ascii="Verdana" w:eastAsia="Calibri" w:hAnsi="Verdana" w:cs="Arial"/>
          <w:sz w:val="20"/>
          <w:szCs w:val="20"/>
          <w:lang w:val="es-ES_tradnl" w:eastAsia="es-ES_tradnl"/>
        </w:rPr>
        <w:t>) en algunos casos no es obligatoria la liquidación […]</w:t>
      </w:r>
      <w:r w:rsidRPr="000B0884">
        <w:rPr>
          <w:rStyle w:val="normaltextrun"/>
          <w:rFonts w:ascii="Verdana" w:hAnsi="Verdana" w:cs="Arial"/>
          <w:color w:val="000000"/>
          <w:sz w:val="20"/>
          <w:szCs w:val="20"/>
          <w:shd w:val="clear" w:color="auto" w:fill="FFFFFF"/>
          <w:lang w:val="es-ES"/>
        </w:rPr>
        <w:t>; x) para su celebración no se requiere inscripción en el Registro Único de Proponentes […]; xi) en ellos no son necesarias las garantías.</w:t>
      </w:r>
      <w:r w:rsidRPr="000B0884">
        <w:rPr>
          <w:rStyle w:val="eop"/>
          <w:rFonts w:ascii="Verdana" w:hAnsi="Verdana" w:cs="Arial"/>
          <w:color w:val="000000"/>
          <w:sz w:val="20"/>
          <w:szCs w:val="20"/>
          <w:shd w:val="clear" w:color="auto" w:fill="FFFFFF"/>
        </w:rPr>
        <w:t> </w:t>
      </w:r>
    </w:p>
    <w:p w14:paraId="79C37F97" w14:textId="77777777" w:rsidR="004E579A" w:rsidRPr="004E579A" w:rsidRDefault="004E579A" w:rsidP="004E579A">
      <w:pPr>
        <w:spacing w:after="0"/>
        <w:jc w:val="both"/>
        <w:rPr>
          <w:rFonts w:ascii="Verdana" w:eastAsia="Calibri" w:hAnsi="Verdana" w:cs="Arial"/>
          <w:sz w:val="20"/>
          <w:szCs w:val="20"/>
          <w:lang w:val="es-ES_tradnl"/>
        </w:rPr>
      </w:pPr>
    </w:p>
    <w:p w14:paraId="11114A8D" w14:textId="77777777" w:rsidR="004E579A" w:rsidRDefault="004E579A" w:rsidP="000446E6">
      <w:pPr>
        <w:spacing w:after="0" w:line="240" w:lineRule="auto"/>
        <w:rPr>
          <w:rFonts w:ascii="Verdana" w:eastAsia="Geomanist Light" w:hAnsi="Verdana" w:cs="Arial"/>
          <w:color w:val="000000"/>
          <w:lang w:val="es-MX" w:eastAsia="es-MX"/>
        </w:rPr>
      </w:pPr>
    </w:p>
    <w:p w14:paraId="5F7D1BE6" w14:textId="77777777" w:rsidR="004E579A" w:rsidRDefault="004E579A" w:rsidP="000446E6">
      <w:pPr>
        <w:spacing w:after="0" w:line="240" w:lineRule="auto"/>
        <w:rPr>
          <w:rFonts w:ascii="Verdana" w:eastAsia="Geomanist Light" w:hAnsi="Verdana" w:cs="Arial"/>
          <w:color w:val="000000"/>
          <w:lang w:val="es-MX" w:eastAsia="es-MX"/>
        </w:rPr>
      </w:pPr>
    </w:p>
    <w:p w14:paraId="00DCA1EE" w14:textId="77777777" w:rsidR="004E579A" w:rsidRDefault="004E579A" w:rsidP="000446E6">
      <w:pPr>
        <w:spacing w:after="0" w:line="240" w:lineRule="auto"/>
        <w:rPr>
          <w:rFonts w:ascii="Verdana" w:eastAsia="Geomanist Light" w:hAnsi="Verdana" w:cs="Arial"/>
          <w:color w:val="000000"/>
          <w:lang w:val="es-MX" w:eastAsia="es-MX"/>
        </w:rPr>
      </w:pPr>
    </w:p>
    <w:p w14:paraId="5931F4A7" w14:textId="77777777" w:rsidR="004E579A" w:rsidRDefault="004E579A" w:rsidP="000446E6">
      <w:pPr>
        <w:spacing w:after="0" w:line="240" w:lineRule="auto"/>
        <w:rPr>
          <w:rFonts w:ascii="Verdana" w:eastAsia="Geomanist Light" w:hAnsi="Verdana" w:cs="Arial"/>
          <w:color w:val="000000"/>
          <w:lang w:val="es-MX" w:eastAsia="es-MX"/>
        </w:rPr>
      </w:pPr>
    </w:p>
    <w:p w14:paraId="0D414836" w14:textId="77777777" w:rsidR="004E579A" w:rsidRDefault="004E579A" w:rsidP="000446E6">
      <w:pPr>
        <w:spacing w:after="0" w:line="240" w:lineRule="auto"/>
        <w:rPr>
          <w:rFonts w:ascii="Verdana" w:eastAsia="Geomanist Light" w:hAnsi="Verdana" w:cs="Arial"/>
          <w:color w:val="000000"/>
          <w:lang w:val="es-MX" w:eastAsia="es-MX"/>
        </w:rPr>
      </w:pPr>
    </w:p>
    <w:p w14:paraId="592CBCC5" w14:textId="77777777" w:rsidR="004E579A" w:rsidRDefault="004E579A" w:rsidP="000446E6">
      <w:pPr>
        <w:spacing w:after="0" w:line="240" w:lineRule="auto"/>
        <w:rPr>
          <w:rFonts w:ascii="Verdana" w:eastAsia="Geomanist Light" w:hAnsi="Verdana" w:cs="Arial"/>
          <w:color w:val="000000"/>
          <w:lang w:val="es-MX" w:eastAsia="es-MX"/>
        </w:rPr>
      </w:pPr>
    </w:p>
    <w:p w14:paraId="1510293A" w14:textId="77777777" w:rsidR="004E579A" w:rsidRDefault="004E579A" w:rsidP="000446E6">
      <w:pPr>
        <w:spacing w:after="0" w:line="240" w:lineRule="auto"/>
        <w:rPr>
          <w:rFonts w:ascii="Verdana" w:eastAsia="Geomanist Light" w:hAnsi="Verdana" w:cs="Arial"/>
          <w:color w:val="000000"/>
          <w:lang w:val="es-MX" w:eastAsia="es-MX"/>
        </w:rPr>
      </w:pPr>
    </w:p>
    <w:p w14:paraId="31CAA275" w14:textId="77777777" w:rsidR="004E579A" w:rsidRDefault="004E579A" w:rsidP="000446E6">
      <w:pPr>
        <w:spacing w:after="0" w:line="240" w:lineRule="auto"/>
        <w:rPr>
          <w:rFonts w:ascii="Verdana" w:eastAsia="Geomanist Light" w:hAnsi="Verdana" w:cs="Arial"/>
          <w:color w:val="000000"/>
          <w:lang w:val="es-MX" w:eastAsia="es-MX"/>
        </w:rPr>
      </w:pPr>
    </w:p>
    <w:p w14:paraId="06BC1525" w14:textId="77777777" w:rsidR="004E579A" w:rsidRDefault="004E579A" w:rsidP="000446E6">
      <w:pPr>
        <w:spacing w:after="0" w:line="240" w:lineRule="auto"/>
        <w:rPr>
          <w:rFonts w:ascii="Verdana" w:eastAsia="Geomanist Light" w:hAnsi="Verdana" w:cs="Arial"/>
          <w:color w:val="000000"/>
          <w:lang w:val="es-MX" w:eastAsia="es-MX"/>
        </w:rPr>
      </w:pPr>
    </w:p>
    <w:p w14:paraId="7773FD8E" w14:textId="77777777" w:rsidR="004E579A" w:rsidRDefault="004E579A" w:rsidP="000446E6">
      <w:pPr>
        <w:spacing w:after="0" w:line="240" w:lineRule="auto"/>
        <w:rPr>
          <w:rFonts w:ascii="Verdana" w:eastAsia="Geomanist Light" w:hAnsi="Verdana" w:cs="Arial"/>
          <w:color w:val="000000"/>
          <w:lang w:val="es-MX" w:eastAsia="es-MX"/>
        </w:rPr>
      </w:pPr>
    </w:p>
    <w:p w14:paraId="3BCA09B7" w14:textId="77777777" w:rsidR="004E579A" w:rsidRDefault="004E579A" w:rsidP="000446E6">
      <w:pPr>
        <w:spacing w:after="0" w:line="240" w:lineRule="auto"/>
        <w:rPr>
          <w:rFonts w:ascii="Verdana" w:eastAsia="Geomanist Light" w:hAnsi="Verdana" w:cs="Arial"/>
          <w:color w:val="000000"/>
          <w:lang w:val="es-MX" w:eastAsia="es-MX"/>
        </w:rPr>
      </w:pPr>
    </w:p>
    <w:p w14:paraId="46392561" w14:textId="77777777" w:rsidR="004E579A" w:rsidRDefault="004E579A" w:rsidP="000446E6">
      <w:pPr>
        <w:spacing w:after="0" w:line="240" w:lineRule="auto"/>
        <w:rPr>
          <w:rFonts w:ascii="Verdana" w:eastAsia="Geomanist Light" w:hAnsi="Verdana" w:cs="Arial"/>
          <w:color w:val="000000"/>
          <w:lang w:val="es-MX" w:eastAsia="es-MX"/>
        </w:rPr>
      </w:pPr>
    </w:p>
    <w:p w14:paraId="75A41540" w14:textId="77777777" w:rsidR="004E579A" w:rsidRDefault="004E579A" w:rsidP="000446E6">
      <w:pPr>
        <w:spacing w:after="0" w:line="240" w:lineRule="auto"/>
        <w:rPr>
          <w:rFonts w:ascii="Verdana" w:eastAsia="Geomanist Light" w:hAnsi="Verdana" w:cs="Arial"/>
          <w:color w:val="000000"/>
          <w:lang w:val="es-MX" w:eastAsia="es-MX"/>
        </w:rPr>
      </w:pPr>
    </w:p>
    <w:p w14:paraId="772CC1D1" w14:textId="77777777" w:rsidR="004E579A" w:rsidRDefault="004E579A" w:rsidP="000446E6">
      <w:pPr>
        <w:spacing w:after="0" w:line="240" w:lineRule="auto"/>
        <w:rPr>
          <w:rFonts w:ascii="Verdana" w:eastAsia="Geomanist Light" w:hAnsi="Verdana" w:cs="Arial"/>
          <w:color w:val="000000"/>
          <w:lang w:val="es-MX" w:eastAsia="es-MX"/>
        </w:rPr>
      </w:pPr>
    </w:p>
    <w:p w14:paraId="2720D788" w14:textId="77777777" w:rsidR="004E579A" w:rsidRDefault="004E579A" w:rsidP="000446E6">
      <w:pPr>
        <w:spacing w:after="0" w:line="240" w:lineRule="auto"/>
        <w:rPr>
          <w:rFonts w:ascii="Verdana" w:eastAsia="Geomanist Light" w:hAnsi="Verdana" w:cs="Arial"/>
          <w:color w:val="000000"/>
          <w:lang w:val="es-MX" w:eastAsia="es-MX"/>
        </w:rPr>
      </w:pPr>
    </w:p>
    <w:p w14:paraId="42B9BFBA" w14:textId="77777777" w:rsidR="004E579A" w:rsidRDefault="004E579A" w:rsidP="000446E6">
      <w:pPr>
        <w:spacing w:after="0" w:line="240" w:lineRule="auto"/>
        <w:rPr>
          <w:rFonts w:ascii="Verdana" w:eastAsia="Geomanist Light" w:hAnsi="Verdana" w:cs="Arial"/>
          <w:color w:val="000000"/>
          <w:lang w:val="es-MX" w:eastAsia="es-MX"/>
        </w:rPr>
      </w:pPr>
    </w:p>
    <w:p w14:paraId="0A82A1F8" w14:textId="77777777" w:rsidR="004E579A" w:rsidRDefault="004E579A" w:rsidP="000446E6">
      <w:pPr>
        <w:spacing w:after="0" w:line="240" w:lineRule="auto"/>
        <w:rPr>
          <w:rFonts w:ascii="Verdana" w:eastAsia="Geomanist Light" w:hAnsi="Verdana" w:cs="Arial"/>
          <w:color w:val="000000"/>
          <w:lang w:val="es-MX" w:eastAsia="es-MX"/>
        </w:rPr>
      </w:pPr>
    </w:p>
    <w:p w14:paraId="3216F4C0" w14:textId="77777777" w:rsidR="004E579A" w:rsidRDefault="004E579A" w:rsidP="000446E6">
      <w:pPr>
        <w:spacing w:after="0" w:line="240" w:lineRule="auto"/>
        <w:rPr>
          <w:rFonts w:ascii="Verdana" w:eastAsia="Geomanist Light" w:hAnsi="Verdana" w:cs="Arial"/>
          <w:color w:val="000000"/>
          <w:lang w:val="es-MX" w:eastAsia="es-MX"/>
        </w:rPr>
      </w:pPr>
    </w:p>
    <w:p w14:paraId="750C374E" w14:textId="77777777" w:rsidR="004E579A" w:rsidRDefault="004E579A" w:rsidP="000446E6">
      <w:pPr>
        <w:spacing w:after="0" w:line="240" w:lineRule="auto"/>
        <w:rPr>
          <w:rFonts w:ascii="Verdana" w:eastAsia="Geomanist Light" w:hAnsi="Verdana" w:cs="Arial"/>
          <w:color w:val="000000"/>
          <w:lang w:val="es-MX" w:eastAsia="es-MX"/>
        </w:rPr>
      </w:pPr>
    </w:p>
    <w:p w14:paraId="11829DD9" w14:textId="77777777" w:rsidR="004E579A" w:rsidRDefault="004E579A" w:rsidP="000446E6">
      <w:pPr>
        <w:spacing w:after="0" w:line="240" w:lineRule="auto"/>
        <w:rPr>
          <w:rFonts w:ascii="Verdana" w:eastAsia="Geomanist Light" w:hAnsi="Verdana" w:cs="Arial"/>
          <w:color w:val="000000"/>
          <w:lang w:val="es-MX" w:eastAsia="es-MX"/>
        </w:rPr>
      </w:pPr>
    </w:p>
    <w:p w14:paraId="031830AF" w14:textId="77777777" w:rsidR="004E579A" w:rsidRDefault="004E579A" w:rsidP="000446E6">
      <w:pPr>
        <w:spacing w:after="0" w:line="240" w:lineRule="auto"/>
        <w:rPr>
          <w:rFonts w:ascii="Verdana" w:eastAsia="Geomanist Light" w:hAnsi="Verdana" w:cs="Arial"/>
          <w:color w:val="000000"/>
          <w:lang w:val="es-MX" w:eastAsia="es-MX"/>
        </w:rPr>
      </w:pPr>
    </w:p>
    <w:p w14:paraId="57A95A96" w14:textId="77777777" w:rsidR="004E579A" w:rsidRDefault="004E579A" w:rsidP="000446E6">
      <w:pPr>
        <w:spacing w:after="0" w:line="240" w:lineRule="auto"/>
        <w:rPr>
          <w:rFonts w:ascii="Verdana" w:eastAsia="Geomanist Light" w:hAnsi="Verdana" w:cs="Arial"/>
          <w:color w:val="000000"/>
          <w:lang w:val="es-MX" w:eastAsia="es-MX"/>
        </w:rPr>
      </w:pPr>
    </w:p>
    <w:p w14:paraId="39F2B878" w14:textId="77777777" w:rsidR="004E579A" w:rsidRDefault="004E579A" w:rsidP="000446E6">
      <w:pPr>
        <w:spacing w:after="0" w:line="240" w:lineRule="auto"/>
        <w:rPr>
          <w:rFonts w:ascii="Verdana" w:eastAsia="Geomanist Light" w:hAnsi="Verdana" w:cs="Arial"/>
          <w:color w:val="000000"/>
          <w:lang w:val="es-MX" w:eastAsia="es-MX"/>
        </w:rPr>
      </w:pPr>
    </w:p>
    <w:p w14:paraId="02732BD6" w14:textId="77777777" w:rsidR="004E579A" w:rsidRDefault="004E579A" w:rsidP="000446E6">
      <w:pPr>
        <w:spacing w:after="0" w:line="240" w:lineRule="auto"/>
        <w:rPr>
          <w:rFonts w:ascii="Verdana" w:eastAsia="Geomanist Light" w:hAnsi="Verdana" w:cs="Arial"/>
          <w:color w:val="000000"/>
          <w:lang w:val="es-MX" w:eastAsia="es-MX"/>
        </w:rPr>
      </w:pPr>
    </w:p>
    <w:p w14:paraId="46F276F5" w14:textId="77777777" w:rsidR="004E579A" w:rsidRDefault="004E579A" w:rsidP="000446E6">
      <w:pPr>
        <w:spacing w:after="0" w:line="240" w:lineRule="auto"/>
        <w:rPr>
          <w:rFonts w:ascii="Verdana" w:eastAsia="Geomanist Light" w:hAnsi="Verdana" w:cs="Arial"/>
          <w:color w:val="000000"/>
          <w:lang w:val="es-MX" w:eastAsia="es-MX"/>
        </w:rPr>
      </w:pPr>
    </w:p>
    <w:p w14:paraId="1A0198C3" w14:textId="549DDB4A" w:rsidR="000446E6" w:rsidRPr="000446E6" w:rsidRDefault="000446E6" w:rsidP="000446E6">
      <w:pPr>
        <w:spacing w:after="0" w:line="240" w:lineRule="auto"/>
        <w:rPr>
          <w:rFonts w:ascii="Verdana" w:eastAsia="Geomanist Light" w:hAnsi="Verdana" w:cs="Arial"/>
          <w:color w:val="000000"/>
          <w:lang w:val="es-MX" w:eastAsia="es-MX"/>
        </w:rPr>
      </w:pPr>
      <w:r w:rsidRPr="000446E6">
        <w:rPr>
          <w:rFonts w:ascii="Verdana" w:eastAsia="Geomanist Light" w:hAnsi="Verdana" w:cs="Arial"/>
          <w:color w:val="000000"/>
          <w:lang w:val="es-MX" w:eastAsia="es-MX"/>
        </w:rPr>
        <w:lastRenderedPageBreak/>
        <w:t>Bogotá D.C., [Día] de [</w:t>
      </w:r>
      <w:proofErr w:type="spellStart"/>
      <w:r w:rsidRPr="000446E6">
        <w:rPr>
          <w:rFonts w:ascii="Verdana" w:eastAsia="Geomanist Light" w:hAnsi="Verdana" w:cs="Arial"/>
          <w:color w:val="000000"/>
          <w:lang w:val="es-MX" w:eastAsia="es-MX"/>
        </w:rPr>
        <w:t>Mes.NombreCapitalizado</w:t>
      </w:r>
      <w:proofErr w:type="spellEnd"/>
      <w:r w:rsidRPr="000446E6">
        <w:rPr>
          <w:rFonts w:ascii="Verdana" w:eastAsia="Geomanist Light" w:hAnsi="Verdana" w:cs="Arial"/>
          <w:color w:val="000000"/>
          <w:lang w:val="es-MX" w:eastAsia="es-MX"/>
        </w:rPr>
        <w:t>] de [Año]</w:t>
      </w:r>
    </w:p>
    <w:p w14:paraId="4A4E3D57" w14:textId="5AC26718" w:rsidR="000446E6" w:rsidRDefault="000446E6" w:rsidP="000446E6">
      <w:pPr>
        <w:spacing w:after="0" w:line="240" w:lineRule="auto"/>
        <w:jc w:val="both"/>
        <w:rPr>
          <w:rFonts w:ascii="Verdana" w:eastAsia="Calibri" w:hAnsi="Verdana" w:cs="Arial"/>
          <w:color w:val="000000"/>
          <w:lang w:val="es-ES" w:eastAsia="es-MX"/>
        </w:rPr>
      </w:pPr>
    </w:p>
    <w:p w14:paraId="285628A0" w14:textId="6EF9F9E1" w:rsidR="004E579A" w:rsidRDefault="004E579A" w:rsidP="000446E6">
      <w:pPr>
        <w:spacing w:after="0" w:line="240" w:lineRule="auto"/>
        <w:jc w:val="both"/>
        <w:rPr>
          <w:rFonts w:ascii="Verdana" w:eastAsia="Calibri" w:hAnsi="Verdana" w:cs="Arial"/>
          <w:color w:val="000000"/>
          <w:lang w:val="es-ES" w:eastAsia="es-MX"/>
        </w:rPr>
      </w:pPr>
      <w:r w:rsidRPr="004E579A">
        <w:rPr>
          <w:rFonts w:ascii="Verdana" w:eastAsia="Calibri" w:hAnsi="Verdana" w:cs="Arial"/>
          <w:noProof/>
          <w:color w:val="000000"/>
          <w:lang w:val="es-ES" w:eastAsia="es-MX"/>
        </w:rPr>
        <w:drawing>
          <wp:anchor distT="0" distB="0" distL="114300" distR="114300" simplePos="0" relativeHeight="251658240" behindDoc="1" locked="0" layoutInCell="1" allowOverlap="1" wp14:anchorId="3D088921" wp14:editId="67E30577">
            <wp:simplePos x="0" y="0"/>
            <wp:positionH relativeFrom="column">
              <wp:posOffset>2783205</wp:posOffset>
            </wp:positionH>
            <wp:positionV relativeFrom="paragraph">
              <wp:posOffset>7620</wp:posOffset>
            </wp:positionV>
            <wp:extent cx="3829584" cy="1076475"/>
            <wp:effectExtent l="0" t="0" r="0" b="9525"/>
            <wp:wrapTight wrapText="bothSides">
              <wp:wrapPolygon edited="0">
                <wp:start x="0" y="0"/>
                <wp:lineTo x="0" y="21409"/>
                <wp:lineTo x="21493" y="21409"/>
                <wp:lineTo x="21493" y="0"/>
                <wp:lineTo x="0" y="0"/>
              </wp:wrapPolygon>
            </wp:wrapTight>
            <wp:docPr id="563950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50565" name=""/>
                    <pic:cNvPicPr/>
                  </pic:nvPicPr>
                  <pic:blipFill>
                    <a:blip r:embed="rId10">
                      <a:extLst>
                        <a:ext uri="{28A0092B-C50C-407E-A947-70E740481C1C}">
                          <a14:useLocalDpi xmlns:a14="http://schemas.microsoft.com/office/drawing/2010/main" val="0"/>
                        </a:ext>
                      </a:extLst>
                    </a:blip>
                    <a:stretch>
                      <a:fillRect/>
                    </a:stretch>
                  </pic:blipFill>
                  <pic:spPr>
                    <a:xfrm>
                      <a:off x="0" y="0"/>
                      <a:ext cx="3829584" cy="1076475"/>
                    </a:xfrm>
                    <a:prstGeom prst="rect">
                      <a:avLst/>
                    </a:prstGeom>
                  </pic:spPr>
                </pic:pic>
              </a:graphicData>
            </a:graphic>
          </wp:anchor>
        </w:drawing>
      </w:r>
    </w:p>
    <w:p w14:paraId="0D6E0BC7" w14:textId="77777777" w:rsidR="004E579A" w:rsidRDefault="004E579A" w:rsidP="000446E6">
      <w:pPr>
        <w:spacing w:after="0" w:line="240" w:lineRule="auto"/>
        <w:jc w:val="both"/>
        <w:rPr>
          <w:rFonts w:ascii="Verdana" w:eastAsia="Calibri" w:hAnsi="Verdana" w:cs="Arial"/>
          <w:color w:val="000000"/>
          <w:lang w:val="es-ES" w:eastAsia="es-MX"/>
        </w:rPr>
      </w:pPr>
    </w:p>
    <w:p w14:paraId="488423DE" w14:textId="77777777" w:rsidR="004E579A" w:rsidRDefault="004E579A" w:rsidP="000446E6">
      <w:pPr>
        <w:spacing w:after="0" w:line="240" w:lineRule="auto"/>
        <w:jc w:val="both"/>
        <w:rPr>
          <w:rFonts w:ascii="Verdana" w:eastAsia="Calibri" w:hAnsi="Verdana" w:cs="Arial"/>
          <w:color w:val="000000"/>
          <w:lang w:val="es-ES" w:eastAsia="es-MX"/>
        </w:rPr>
      </w:pPr>
    </w:p>
    <w:p w14:paraId="36941DE7" w14:textId="77777777" w:rsidR="000446E6" w:rsidRPr="000446E6" w:rsidRDefault="000446E6" w:rsidP="000446E6">
      <w:pPr>
        <w:spacing w:after="0" w:line="240" w:lineRule="auto"/>
        <w:jc w:val="both"/>
        <w:rPr>
          <w:rFonts w:ascii="Verdana" w:eastAsia="Calibri" w:hAnsi="Verdana" w:cs="Arial"/>
          <w:color w:val="000000"/>
          <w:lang w:val="es-ES" w:eastAsia="es-MX"/>
        </w:rPr>
      </w:pPr>
    </w:p>
    <w:p w14:paraId="6B4C04F3" w14:textId="77777777" w:rsidR="000446E6" w:rsidRPr="000446E6" w:rsidRDefault="000446E6" w:rsidP="000446E6">
      <w:pPr>
        <w:spacing w:after="0" w:line="240" w:lineRule="auto"/>
        <w:jc w:val="both"/>
        <w:rPr>
          <w:rFonts w:ascii="Verdana" w:eastAsia="Calibri" w:hAnsi="Verdana" w:cs="Arial"/>
          <w:color w:val="000000"/>
          <w:lang w:val="es-ES" w:eastAsia="es-ES"/>
        </w:rPr>
      </w:pPr>
      <w:r w:rsidRPr="000446E6">
        <w:rPr>
          <w:rFonts w:ascii="Verdana" w:eastAsia="Calibri" w:hAnsi="Verdana" w:cs="Arial"/>
          <w:color w:val="000000"/>
          <w:lang w:val="es-ES" w:eastAsia="es-ES"/>
        </w:rPr>
        <w:t>Señor</w:t>
      </w:r>
    </w:p>
    <w:p w14:paraId="5E66DCE8" w14:textId="5800CF2E" w:rsidR="000446E6" w:rsidRPr="000446E6" w:rsidRDefault="000446E6" w:rsidP="118F19B5">
      <w:pPr>
        <w:spacing w:after="0" w:line="240" w:lineRule="auto"/>
        <w:rPr>
          <w:rFonts w:ascii="Verdana" w:eastAsia="Calibri" w:hAnsi="Verdana" w:cs="Arial"/>
          <w:b/>
          <w:bCs/>
          <w:color w:val="000000"/>
          <w:lang w:val="es-ES" w:eastAsia="es-ES"/>
        </w:rPr>
      </w:pPr>
      <w:r w:rsidRPr="118F19B5">
        <w:rPr>
          <w:rFonts w:ascii="Verdana" w:eastAsia="Calibri" w:hAnsi="Verdana" w:cs="Arial"/>
          <w:b/>
          <w:bCs/>
          <w:color w:val="000000" w:themeColor="text1"/>
          <w:lang w:val="es-ES" w:eastAsia="es-ES"/>
        </w:rPr>
        <w:t xml:space="preserve">Elkin Samuel </w:t>
      </w:r>
      <w:r w:rsidR="00F5206E" w:rsidRPr="118F19B5">
        <w:rPr>
          <w:rFonts w:ascii="Verdana" w:eastAsia="Calibri" w:hAnsi="Verdana" w:cs="Arial"/>
          <w:b/>
          <w:bCs/>
          <w:color w:val="000000" w:themeColor="text1"/>
          <w:lang w:val="es-ES" w:eastAsia="es-ES"/>
        </w:rPr>
        <w:t>Pabón</w:t>
      </w:r>
      <w:r w:rsidRPr="118F19B5">
        <w:rPr>
          <w:rFonts w:ascii="Verdana" w:eastAsia="Calibri" w:hAnsi="Verdana" w:cs="Arial"/>
          <w:b/>
          <w:bCs/>
          <w:color w:val="000000" w:themeColor="text1"/>
          <w:lang w:val="es-ES" w:eastAsia="es-ES"/>
        </w:rPr>
        <w:t xml:space="preserve"> Herrera</w:t>
      </w:r>
    </w:p>
    <w:p w14:paraId="2B358939" w14:textId="77777777" w:rsidR="000446E6" w:rsidRPr="000446E6" w:rsidRDefault="000446E6" w:rsidP="000446E6">
      <w:pPr>
        <w:spacing w:after="0" w:line="240" w:lineRule="auto"/>
        <w:rPr>
          <w:rFonts w:ascii="Verdana" w:eastAsia="Calibri" w:hAnsi="Verdana" w:cs="Arial"/>
          <w:lang w:eastAsia="es-ES"/>
        </w:rPr>
      </w:pPr>
      <w:hyperlink r:id="rId11" w:history="1">
        <w:r w:rsidRPr="000446E6">
          <w:rPr>
            <w:rFonts w:ascii="Verdana" w:eastAsia="Calibri" w:hAnsi="Verdana" w:cs="Arial"/>
            <w:color w:val="467886"/>
            <w:u w:val="single"/>
            <w:lang w:eastAsia="es-ES"/>
          </w:rPr>
          <w:t>epabonherrara@gmail.com</w:t>
        </w:r>
      </w:hyperlink>
    </w:p>
    <w:p w14:paraId="3FDE1A7C" w14:textId="77777777" w:rsidR="000446E6" w:rsidRPr="000446E6" w:rsidRDefault="000446E6" w:rsidP="000446E6">
      <w:pPr>
        <w:spacing w:after="0" w:line="240" w:lineRule="auto"/>
        <w:rPr>
          <w:rFonts w:ascii="Verdana" w:eastAsia="Calibri" w:hAnsi="Verdana" w:cs="Arial"/>
          <w:b/>
          <w:bCs/>
          <w:color w:val="000000"/>
          <w:lang w:val="en-US" w:eastAsia="es-ES"/>
        </w:rPr>
      </w:pPr>
      <w:r w:rsidRPr="000446E6">
        <w:rPr>
          <w:rFonts w:ascii="Verdana" w:eastAsia="Calibri" w:hAnsi="Verdana" w:cs="Arial"/>
          <w:color w:val="000000"/>
          <w:lang w:val="en-US" w:eastAsia="es-ES"/>
        </w:rPr>
        <w:t>Santa Rosalia, Vichada</w:t>
      </w:r>
    </w:p>
    <w:p w14:paraId="46AAEB87" w14:textId="77777777" w:rsidR="000446E6" w:rsidRPr="000446E6" w:rsidRDefault="000446E6" w:rsidP="000446E6">
      <w:pPr>
        <w:spacing w:after="0" w:line="240" w:lineRule="auto"/>
        <w:rPr>
          <w:rFonts w:ascii="Verdana" w:eastAsia="Calibri" w:hAnsi="Verdana" w:cs="Arial"/>
          <w:b/>
          <w:bCs/>
          <w:color w:val="000000"/>
          <w:lang w:val="en-US" w:eastAsia="es-ES_tradnl"/>
        </w:rPr>
      </w:pPr>
    </w:p>
    <w:p w14:paraId="261A63C6" w14:textId="77777777" w:rsidR="000446E6" w:rsidRPr="000446E6" w:rsidRDefault="000446E6" w:rsidP="000446E6">
      <w:pPr>
        <w:spacing w:after="0" w:line="240" w:lineRule="auto"/>
        <w:rPr>
          <w:rFonts w:ascii="Verdana" w:eastAsia="Calibri" w:hAnsi="Verdana" w:cs="Arial"/>
          <w:b/>
          <w:bCs/>
          <w:color w:val="000000"/>
          <w:lang w:val="en-US"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446E6" w:rsidRPr="000446E6" w14:paraId="1568B36C" w14:textId="77777777" w:rsidTr="005804BE">
        <w:trPr>
          <w:trHeight w:val="884"/>
        </w:trPr>
        <w:tc>
          <w:tcPr>
            <w:tcW w:w="2689" w:type="dxa"/>
          </w:tcPr>
          <w:p w14:paraId="5D727294" w14:textId="77777777" w:rsidR="000446E6" w:rsidRPr="000446E6" w:rsidRDefault="000446E6" w:rsidP="000446E6">
            <w:pPr>
              <w:jc w:val="both"/>
              <w:rPr>
                <w:rFonts w:ascii="Verdana" w:eastAsia="Calibri" w:hAnsi="Verdana" w:cs="Arial"/>
                <w:b/>
                <w:bCs/>
                <w:color w:val="000000"/>
                <w:lang w:val="en-US" w:eastAsia="es-ES_tradnl"/>
              </w:rPr>
            </w:pPr>
          </w:p>
        </w:tc>
        <w:tc>
          <w:tcPr>
            <w:tcW w:w="6100" w:type="dxa"/>
          </w:tcPr>
          <w:p w14:paraId="0AA274D5" w14:textId="77777777" w:rsidR="000446E6" w:rsidRPr="000446E6" w:rsidRDefault="000446E6" w:rsidP="000446E6">
            <w:pPr>
              <w:jc w:val="both"/>
              <w:rPr>
                <w:rFonts w:ascii="Verdana" w:eastAsia="Calibri" w:hAnsi="Verdana" w:cs="Arial"/>
                <w:b/>
                <w:bCs/>
                <w:color w:val="000000"/>
                <w:lang w:val="es-ES" w:eastAsia="es-ES"/>
              </w:rPr>
            </w:pPr>
            <w:r w:rsidRPr="000446E6">
              <w:rPr>
                <w:rFonts w:ascii="Verdana" w:eastAsia="Calibri" w:hAnsi="Verdana" w:cs="Arial"/>
                <w:b/>
                <w:bCs/>
                <w:color w:val="000000"/>
                <w:lang w:val="es-ES" w:eastAsia="es-ES"/>
              </w:rPr>
              <w:t>Concepto C- 672 de 2024</w:t>
            </w:r>
          </w:p>
        </w:tc>
      </w:tr>
      <w:tr w:rsidR="000446E6" w:rsidRPr="000446E6" w14:paraId="3CB71259" w14:textId="77777777" w:rsidTr="005804BE">
        <w:trPr>
          <w:trHeight w:val="884"/>
        </w:trPr>
        <w:tc>
          <w:tcPr>
            <w:tcW w:w="2689" w:type="dxa"/>
          </w:tcPr>
          <w:p w14:paraId="6CB7F7DF" w14:textId="77777777" w:rsidR="000446E6" w:rsidRPr="000446E6" w:rsidRDefault="000446E6" w:rsidP="000446E6">
            <w:pPr>
              <w:jc w:val="both"/>
              <w:rPr>
                <w:rFonts w:ascii="Verdana" w:eastAsia="Calibri" w:hAnsi="Verdana" w:cs="Arial"/>
                <w:color w:val="000000"/>
                <w:lang w:val="es-ES_tradnl" w:eastAsia="es-ES_tradnl"/>
              </w:rPr>
            </w:pPr>
            <w:r w:rsidRPr="000446E6">
              <w:rPr>
                <w:rFonts w:ascii="Verdana" w:eastAsia="Calibri" w:hAnsi="Verdana" w:cs="Arial"/>
                <w:b/>
                <w:color w:val="000000"/>
                <w:lang w:val="es-ES_tradnl" w:eastAsia="es-ES_tradnl"/>
              </w:rPr>
              <w:t>Temas:</w:t>
            </w:r>
            <w:r w:rsidRPr="000446E6">
              <w:rPr>
                <w:rFonts w:ascii="Verdana" w:eastAsia="Calibri" w:hAnsi="Verdana" w:cs="Arial"/>
                <w:color w:val="000000"/>
                <w:lang w:val="es-ES_tradnl" w:eastAsia="es-ES_tradnl"/>
              </w:rPr>
              <w:t xml:space="preserve">                   </w:t>
            </w:r>
          </w:p>
        </w:tc>
        <w:tc>
          <w:tcPr>
            <w:tcW w:w="6100" w:type="dxa"/>
          </w:tcPr>
          <w:p w14:paraId="68AD0458" w14:textId="77777777" w:rsidR="000446E6" w:rsidRPr="000446E6" w:rsidRDefault="000446E6" w:rsidP="000446E6">
            <w:pPr>
              <w:spacing w:line="276" w:lineRule="auto"/>
              <w:jc w:val="both"/>
              <w:rPr>
                <w:rFonts w:ascii="Verdana" w:eastAsia="Calibri" w:hAnsi="Verdana" w:cs="Arial"/>
                <w:color w:val="000000"/>
                <w:lang w:val="es-ES_tradnl" w:eastAsia="es-ES"/>
              </w:rPr>
            </w:pPr>
            <w:bookmarkStart w:id="0" w:name="_Hlk180764033"/>
            <w:r w:rsidRPr="000446E6">
              <w:rPr>
                <w:rFonts w:ascii="Verdana" w:eastAsia="Calibri" w:hAnsi="Verdana" w:cs="Arial"/>
                <w:color w:val="000000"/>
                <w:lang w:val="es-ES_tradnl" w:eastAsia="es-ES"/>
              </w:rPr>
              <w:t xml:space="preserve">INHABILIDADES – Definición – Finalidad – Limitación capacidad contractual / INHABILIDADES – Relación de parentesco – Vínculo natural – Personas naturales / PARENTESCO – Clasificación – Consanguinidad – Afinidad – Grados / </w:t>
            </w:r>
            <w:r w:rsidRPr="000446E6">
              <w:rPr>
                <w:rFonts w:ascii="Verdana" w:eastAsia="Calibri" w:hAnsi="Verdana" w:cs="Arial"/>
                <w:color w:val="000000"/>
                <w:lang w:val="es-ES" w:eastAsia="es-ES"/>
              </w:rPr>
              <w:t xml:space="preserve">SECOP – Publicidad – Documentos – Información oficial / </w:t>
            </w:r>
            <w:r w:rsidRPr="000446E6">
              <w:rPr>
                <w:rFonts w:ascii="Verdana" w:eastAsia="Times New Roman" w:hAnsi="Verdana" w:cs="Times New Roman"/>
                <w:lang w:eastAsia="es-MX"/>
              </w:rPr>
              <w:t>CONTRATO</w:t>
            </w:r>
            <w:r w:rsidRPr="000446E6">
              <w:rPr>
                <w:rFonts w:ascii="Verdana" w:eastAsia="Times New Roman" w:hAnsi="Verdana" w:cs="Times New Roman"/>
                <w:spacing w:val="9"/>
                <w:lang w:eastAsia="es-MX"/>
              </w:rPr>
              <w:t xml:space="preserve"> </w:t>
            </w:r>
            <w:r w:rsidRPr="000446E6">
              <w:rPr>
                <w:rFonts w:ascii="Verdana" w:eastAsia="Times New Roman" w:hAnsi="Verdana" w:cs="Times New Roman"/>
                <w:lang w:eastAsia="es-MX"/>
              </w:rPr>
              <w:t>DE</w:t>
            </w:r>
            <w:r w:rsidRPr="000446E6">
              <w:rPr>
                <w:rFonts w:ascii="Verdana" w:eastAsia="Times New Roman" w:hAnsi="Verdana" w:cs="Times New Roman"/>
                <w:spacing w:val="9"/>
                <w:lang w:eastAsia="es-MX"/>
              </w:rPr>
              <w:t xml:space="preserve"> </w:t>
            </w:r>
            <w:r w:rsidRPr="000446E6">
              <w:rPr>
                <w:rFonts w:ascii="Verdana" w:eastAsia="Times New Roman" w:hAnsi="Verdana" w:cs="Times New Roman"/>
                <w:lang w:eastAsia="es-MX"/>
              </w:rPr>
              <w:t>PRESTACIÓN</w:t>
            </w:r>
            <w:r w:rsidRPr="000446E6">
              <w:rPr>
                <w:rFonts w:ascii="Verdana" w:eastAsia="Times New Roman" w:hAnsi="Verdana" w:cs="Times New Roman"/>
                <w:spacing w:val="11"/>
                <w:lang w:eastAsia="es-MX"/>
              </w:rPr>
              <w:t xml:space="preserve"> </w:t>
            </w:r>
            <w:r w:rsidRPr="000446E6">
              <w:rPr>
                <w:rFonts w:ascii="Verdana" w:eastAsia="Times New Roman" w:hAnsi="Verdana" w:cs="Times New Roman"/>
                <w:lang w:eastAsia="es-MX"/>
              </w:rPr>
              <w:t>DE</w:t>
            </w:r>
            <w:r w:rsidRPr="000446E6">
              <w:rPr>
                <w:rFonts w:ascii="Verdana" w:eastAsia="Times New Roman" w:hAnsi="Verdana" w:cs="Times New Roman"/>
                <w:spacing w:val="10"/>
                <w:lang w:eastAsia="es-MX"/>
              </w:rPr>
              <w:t xml:space="preserve"> </w:t>
            </w:r>
            <w:r w:rsidRPr="000446E6">
              <w:rPr>
                <w:rFonts w:ascii="Verdana" w:eastAsia="Times New Roman" w:hAnsi="Verdana" w:cs="Times New Roman"/>
                <w:lang w:eastAsia="es-MX"/>
              </w:rPr>
              <w:t>SERVICIOS</w:t>
            </w:r>
            <w:r w:rsidRPr="000446E6">
              <w:rPr>
                <w:rFonts w:ascii="Verdana" w:eastAsia="Times New Roman" w:hAnsi="Verdana" w:cs="Times New Roman"/>
                <w:spacing w:val="11"/>
                <w:lang w:eastAsia="es-MX"/>
              </w:rPr>
              <w:t xml:space="preserve"> </w:t>
            </w:r>
            <w:r w:rsidRPr="000446E6">
              <w:rPr>
                <w:rFonts w:ascii="Verdana" w:eastAsia="Times New Roman" w:hAnsi="Verdana" w:cs="Times New Roman"/>
                <w:lang w:eastAsia="es-MX"/>
              </w:rPr>
              <w:t>–</w:t>
            </w:r>
            <w:r w:rsidRPr="000446E6">
              <w:rPr>
                <w:rFonts w:ascii="Verdana" w:eastAsia="Times New Roman" w:hAnsi="Verdana" w:cs="Times New Roman"/>
                <w:spacing w:val="9"/>
                <w:lang w:eastAsia="es-MX"/>
              </w:rPr>
              <w:t xml:space="preserve"> </w:t>
            </w:r>
            <w:r w:rsidRPr="000446E6">
              <w:rPr>
                <w:rFonts w:ascii="Verdana" w:eastAsia="Times New Roman" w:hAnsi="Verdana" w:cs="Times New Roman"/>
                <w:lang w:eastAsia="es-MX"/>
              </w:rPr>
              <w:t>Limitación Honorarios</w:t>
            </w:r>
          </w:p>
          <w:bookmarkEnd w:id="0"/>
          <w:p w14:paraId="508C982F" w14:textId="77777777" w:rsidR="000446E6" w:rsidRPr="000446E6" w:rsidRDefault="000446E6" w:rsidP="000446E6">
            <w:pPr>
              <w:spacing w:line="276" w:lineRule="auto"/>
              <w:jc w:val="both"/>
              <w:rPr>
                <w:rFonts w:ascii="Verdana" w:eastAsia="Calibri" w:hAnsi="Verdana" w:cs="Arial"/>
                <w:color w:val="000000"/>
                <w:lang w:val="es-ES" w:eastAsia="es-ES"/>
              </w:rPr>
            </w:pPr>
          </w:p>
        </w:tc>
      </w:tr>
      <w:tr w:rsidR="000446E6" w:rsidRPr="000446E6" w14:paraId="102D6F95" w14:textId="77777777" w:rsidTr="005804BE">
        <w:tc>
          <w:tcPr>
            <w:tcW w:w="2689" w:type="dxa"/>
          </w:tcPr>
          <w:p w14:paraId="5647C0EA" w14:textId="77777777" w:rsidR="000446E6" w:rsidRPr="000446E6" w:rsidRDefault="000446E6" w:rsidP="000446E6">
            <w:pPr>
              <w:jc w:val="both"/>
              <w:rPr>
                <w:rFonts w:ascii="Verdana" w:eastAsia="Calibri" w:hAnsi="Verdana" w:cs="Arial"/>
                <w:b/>
                <w:color w:val="000000"/>
                <w:lang w:val="es-ES_tradnl" w:eastAsia="es-ES_tradnl"/>
              </w:rPr>
            </w:pPr>
            <w:r w:rsidRPr="000446E6">
              <w:rPr>
                <w:rFonts w:ascii="Verdana" w:eastAsia="Calibri" w:hAnsi="Verdana" w:cs="Arial"/>
                <w:b/>
                <w:color w:val="000000"/>
                <w:lang w:val="es-ES_tradnl" w:eastAsia="es-ES_tradnl"/>
              </w:rPr>
              <w:t>Radicación:</w:t>
            </w:r>
            <w:r w:rsidRPr="000446E6">
              <w:rPr>
                <w:rFonts w:ascii="Verdana" w:eastAsia="Calibri" w:hAnsi="Verdana" w:cs="Arial"/>
                <w:color w:val="000000"/>
                <w:lang w:val="es-ES_tradnl" w:eastAsia="es-ES_tradnl"/>
              </w:rPr>
              <w:t xml:space="preserve">               </w:t>
            </w:r>
          </w:p>
        </w:tc>
        <w:tc>
          <w:tcPr>
            <w:tcW w:w="6100" w:type="dxa"/>
          </w:tcPr>
          <w:p w14:paraId="19C0B005" w14:textId="77777777" w:rsidR="000446E6" w:rsidRPr="000446E6" w:rsidRDefault="000446E6" w:rsidP="000446E6">
            <w:pPr>
              <w:jc w:val="both"/>
              <w:rPr>
                <w:rFonts w:ascii="Verdana" w:eastAsia="Calibri" w:hAnsi="Verdana" w:cs="Arial"/>
                <w:color w:val="000000"/>
                <w:lang w:val="es-ES_tradnl" w:eastAsia="es-ES_tradnl"/>
              </w:rPr>
            </w:pPr>
            <w:r w:rsidRPr="000446E6">
              <w:rPr>
                <w:rFonts w:ascii="Verdana" w:eastAsia="Calibri" w:hAnsi="Verdana" w:cs="Arial"/>
                <w:color w:val="000000"/>
                <w:lang w:val="es-ES_tradnl" w:eastAsia="es-ES_tradnl"/>
              </w:rPr>
              <w:t xml:space="preserve">Respuesta a consulta con radicado No. </w:t>
            </w:r>
            <w:r w:rsidRPr="000446E6">
              <w:rPr>
                <w:rFonts w:ascii="Verdana" w:eastAsia="Calibri" w:hAnsi="Verdana" w:cs="Arial"/>
                <w:color w:val="000000"/>
                <w:lang w:eastAsia="es-ES_tradnl"/>
              </w:rPr>
              <w:t>P20240930009918</w:t>
            </w:r>
          </w:p>
        </w:tc>
      </w:tr>
    </w:tbl>
    <w:p w14:paraId="3A1E70B6" w14:textId="77777777" w:rsidR="000446E6" w:rsidRPr="000446E6" w:rsidRDefault="000446E6" w:rsidP="000446E6">
      <w:pPr>
        <w:spacing w:after="0" w:line="240" w:lineRule="auto"/>
        <w:jc w:val="both"/>
        <w:rPr>
          <w:rFonts w:ascii="Verdana" w:eastAsia="Calibri" w:hAnsi="Verdana" w:cs="Arial"/>
          <w:color w:val="000000"/>
          <w:lang w:val="es-ES_tradnl" w:eastAsia="es-ES_tradnl"/>
        </w:rPr>
      </w:pPr>
    </w:p>
    <w:p w14:paraId="3CD6B7D4" w14:textId="77777777" w:rsidR="000446E6" w:rsidRPr="000446E6" w:rsidRDefault="000446E6" w:rsidP="000446E6">
      <w:pPr>
        <w:spacing w:after="0" w:line="240" w:lineRule="auto"/>
        <w:jc w:val="both"/>
        <w:rPr>
          <w:rFonts w:ascii="Verdana" w:eastAsia="Calibri" w:hAnsi="Verdana" w:cs="Arial"/>
          <w:color w:val="000000"/>
          <w:lang w:val="es-ES_tradnl" w:eastAsia="es-ES_tradnl"/>
        </w:rPr>
      </w:pPr>
    </w:p>
    <w:p w14:paraId="14572552" w14:textId="3218ED21" w:rsidR="000446E6" w:rsidRPr="000446E6" w:rsidRDefault="000446E6" w:rsidP="000446E6">
      <w:pPr>
        <w:spacing w:after="0" w:line="276" w:lineRule="auto"/>
        <w:jc w:val="both"/>
        <w:rPr>
          <w:rFonts w:ascii="Verdana" w:eastAsia="Calibri" w:hAnsi="Verdana" w:cs="Arial"/>
          <w:color w:val="000000"/>
          <w:lang w:val="es-ES" w:eastAsia="es-ES"/>
        </w:rPr>
      </w:pPr>
      <w:r w:rsidRPr="000446E6">
        <w:rPr>
          <w:rFonts w:ascii="Verdana" w:eastAsia="Calibri" w:hAnsi="Verdana" w:cs="Arial"/>
          <w:color w:val="000000"/>
          <w:lang w:val="es-ES" w:eastAsia="es-ES"/>
        </w:rPr>
        <w:t xml:space="preserve">Estimado señor </w:t>
      </w:r>
      <w:r w:rsidR="00F5206E" w:rsidRPr="000446E6">
        <w:rPr>
          <w:rFonts w:ascii="Verdana" w:eastAsia="Calibri" w:hAnsi="Verdana" w:cs="Arial"/>
          <w:color w:val="000000"/>
          <w:lang w:val="es-ES" w:eastAsia="es-ES"/>
        </w:rPr>
        <w:t>Pabón</w:t>
      </w:r>
      <w:r w:rsidRPr="000446E6">
        <w:rPr>
          <w:rFonts w:ascii="Verdana" w:eastAsia="Calibri" w:hAnsi="Verdana" w:cs="Arial"/>
          <w:color w:val="000000"/>
          <w:lang w:val="es-ES" w:eastAsia="es-ES"/>
        </w:rPr>
        <w:t xml:space="preserve">: </w:t>
      </w:r>
    </w:p>
    <w:p w14:paraId="6E3F8471" w14:textId="77777777" w:rsidR="000446E6" w:rsidRPr="000446E6" w:rsidRDefault="000446E6" w:rsidP="000446E6">
      <w:pPr>
        <w:tabs>
          <w:tab w:val="left" w:pos="3768"/>
        </w:tabs>
        <w:spacing w:after="0" w:line="276" w:lineRule="auto"/>
        <w:jc w:val="both"/>
        <w:rPr>
          <w:rFonts w:ascii="Verdana" w:eastAsia="Calibri" w:hAnsi="Verdana" w:cs="Arial"/>
          <w:color w:val="000000"/>
          <w:lang w:val="es-ES" w:eastAsia="es-ES"/>
        </w:rPr>
      </w:pPr>
      <w:r w:rsidRPr="000446E6">
        <w:rPr>
          <w:rFonts w:ascii="Verdana" w:eastAsia="Calibri" w:hAnsi="Verdana" w:cs="Arial"/>
          <w:color w:val="000000"/>
          <w:lang w:val="es-ES" w:eastAsia="es-ES"/>
        </w:rPr>
        <w:tab/>
      </w:r>
    </w:p>
    <w:p w14:paraId="15C8D219" w14:textId="77777777" w:rsidR="000446E6" w:rsidRPr="000446E6" w:rsidRDefault="000446E6" w:rsidP="000446E6">
      <w:pPr>
        <w:spacing w:after="0" w:line="276" w:lineRule="auto"/>
        <w:jc w:val="both"/>
        <w:rPr>
          <w:rFonts w:ascii="Verdana" w:eastAsia="Calibri" w:hAnsi="Verdana" w:cs="Arial"/>
          <w:color w:val="000000"/>
          <w:lang w:val="es-ES" w:eastAsia="es-ES"/>
        </w:rPr>
      </w:pPr>
      <w:r w:rsidRPr="000446E6">
        <w:rPr>
          <w:rFonts w:ascii="Verdana" w:eastAsia="Calibri" w:hAnsi="Verdana" w:cs="Arial"/>
          <w:color w:val="000000"/>
          <w:lang w:val="es-ES" w:eastAsia="es-ES"/>
        </w:rPr>
        <w:t>En ejercicio de la competencia otorgada por los artículos 3, numeral 5º, y 11, numeral 8º, del Decreto Ley 4170 de 2011,</w:t>
      </w:r>
      <w:r w:rsidRPr="000446E6">
        <w:rPr>
          <w:rFonts w:ascii="Verdana" w:eastAsia="Arial MT" w:hAnsi="Verdana" w:cs="Arial MT"/>
          <w:color w:val="000000"/>
          <w:lang w:val="es-ES" w:eastAsia="es-ES"/>
        </w:rPr>
        <w:t xml:space="preserve"> </w:t>
      </w:r>
      <w:r w:rsidRPr="000446E6">
        <w:rPr>
          <w:rFonts w:ascii="Verdana" w:eastAsia="Times New Roman" w:hAnsi="Verdana" w:cs="Arial"/>
          <w:color w:val="000000"/>
          <w:lang w:eastAsia="es-MX"/>
        </w:rPr>
        <w:t xml:space="preserve">así como lo establecido en el artículo 4 de la Resolución 1707 de 2018 expedida por esta Entidad, </w:t>
      </w:r>
      <w:r w:rsidRPr="000446E6">
        <w:rPr>
          <w:rFonts w:ascii="Verdana" w:eastAsia="Calibri" w:hAnsi="Verdana" w:cs="Arial"/>
          <w:color w:val="000000"/>
          <w:lang w:val="es-ES" w:eastAsia="es-ES"/>
        </w:rPr>
        <w:t xml:space="preserve">la Agencia Nacional de Contratación Pública – Colombia Compra Eficiente– responde su solicitud de consulta de fecha 30 de septiembre de 2024, en la cual manifiesta lo siguiente: </w:t>
      </w:r>
    </w:p>
    <w:p w14:paraId="5430C40D" w14:textId="77777777" w:rsidR="000446E6" w:rsidRPr="000446E6" w:rsidRDefault="000446E6" w:rsidP="000446E6">
      <w:pPr>
        <w:tabs>
          <w:tab w:val="left" w:pos="142"/>
          <w:tab w:val="left" w:pos="284"/>
        </w:tabs>
        <w:spacing w:line="276" w:lineRule="auto"/>
        <w:contextualSpacing/>
        <w:jc w:val="both"/>
        <w:rPr>
          <w:rFonts w:ascii="Verdana" w:eastAsia="Century Gothic" w:hAnsi="Verdana" w:cs="Century Gothic"/>
          <w:b/>
          <w:bCs/>
          <w:color w:val="000000"/>
          <w:lang w:val="es-ES"/>
        </w:rPr>
      </w:pPr>
    </w:p>
    <w:p w14:paraId="6DDDFEB0" w14:textId="77777777" w:rsidR="000446E6" w:rsidRPr="000446E6" w:rsidRDefault="000446E6" w:rsidP="000446E6">
      <w:pPr>
        <w:spacing w:after="0" w:line="240" w:lineRule="auto"/>
        <w:ind w:left="709" w:right="709"/>
        <w:jc w:val="both"/>
        <w:rPr>
          <w:rFonts w:ascii="Verdana" w:eastAsia="Century Gothic" w:hAnsi="Verdana" w:cs="Century Gothic"/>
          <w:i/>
          <w:iCs/>
          <w:color w:val="000000"/>
          <w:sz w:val="20"/>
          <w:szCs w:val="20"/>
          <w:lang w:eastAsia="es-MX"/>
        </w:rPr>
      </w:pPr>
      <w:bookmarkStart w:id="1" w:name="_Hlk95313578"/>
      <w:r w:rsidRPr="000446E6">
        <w:rPr>
          <w:rFonts w:ascii="Verdana" w:eastAsia="Century Gothic" w:hAnsi="Verdana" w:cs="Century Gothic"/>
          <w:i/>
          <w:iCs/>
          <w:color w:val="000000"/>
          <w:sz w:val="20"/>
          <w:szCs w:val="20"/>
          <w:lang w:val="es-ES" w:eastAsia="es-MX"/>
        </w:rPr>
        <w:t>“</w:t>
      </w:r>
      <w:bookmarkEnd w:id="1"/>
      <w:r w:rsidRPr="000446E6">
        <w:rPr>
          <w:rFonts w:ascii="Verdana" w:eastAsia="Century Gothic" w:hAnsi="Verdana" w:cs="Century Gothic"/>
          <w:i/>
          <w:iCs/>
          <w:color w:val="000000"/>
          <w:sz w:val="20"/>
          <w:szCs w:val="20"/>
          <w:lang w:eastAsia="es-MX"/>
        </w:rPr>
        <w:t xml:space="preserve">Solicito amablemente me den un concepto sobre el Régimen de Inhabilidades e Incompatibilidades para contratar: ¿En un municipio de quinta y sexta categoría es permitido por la ley que el alcalde contrate a su cuñado mediante contrato de prestación de servicios directamente con el municipio? ¿Hasta que grados de consanguinidad, afinidad y civil está expresamente prohibido por la ley para contratar en los municipios de quinta y sexta categoría? ¿en el desarrollo de un proceso contractual en </w:t>
      </w:r>
      <w:proofErr w:type="spellStart"/>
      <w:r w:rsidRPr="000446E6">
        <w:rPr>
          <w:rFonts w:ascii="Verdana" w:eastAsia="Century Gothic" w:hAnsi="Verdana" w:cs="Century Gothic"/>
          <w:i/>
          <w:iCs/>
          <w:color w:val="000000"/>
          <w:sz w:val="20"/>
          <w:szCs w:val="20"/>
          <w:lang w:eastAsia="es-MX"/>
        </w:rPr>
        <w:lastRenderedPageBreak/>
        <w:t>secop</w:t>
      </w:r>
      <w:proofErr w:type="spellEnd"/>
      <w:r w:rsidRPr="000446E6">
        <w:rPr>
          <w:rFonts w:ascii="Verdana" w:eastAsia="Century Gothic" w:hAnsi="Verdana" w:cs="Century Gothic"/>
          <w:i/>
          <w:iCs/>
          <w:color w:val="000000"/>
          <w:sz w:val="20"/>
          <w:szCs w:val="20"/>
          <w:lang w:eastAsia="es-MX"/>
        </w:rPr>
        <w:t xml:space="preserve"> i, taxativamente cuales son los documentos que la alcaldía está obligada a cargar a dicha plataforma? ¿puede un municipio pagar por concepto de honorarios mensuales a un contratista el 200% del salario que devenga el </w:t>
      </w:r>
      <w:proofErr w:type="gramStart"/>
      <w:r w:rsidRPr="000446E6">
        <w:rPr>
          <w:rFonts w:ascii="Verdana" w:eastAsia="Century Gothic" w:hAnsi="Verdana" w:cs="Century Gothic"/>
          <w:i/>
          <w:iCs/>
          <w:color w:val="000000"/>
          <w:sz w:val="20"/>
          <w:szCs w:val="20"/>
          <w:lang w:eastAsia="es-MX"/>
        </w:rPr>
        <w:t>alcalde?</w:t>
      </w:r>
      <w:r w:rsidRPr="000446E6">
        <w:rPr>
          <w:rFonts w:ascii="Verdana" w:eastAsia="Century Gothic" w:hAnsi="Verdana" w:cs="Century Gothic"/>
          <w:i/>
          <w:iCs/>
          <w:color w:val="000000"/>
          <w:sz w:val="20"/>
          <w:szCs w:val="20"/>
          <w:lang w:val="es-ES" w:eastAsia="es-MX"/>
        </w:rPr>
        <w:t>.</w:t>
      </w:r>
      <w:proofErr w:type="gramEnd"/>
      <w:r w:rsidRPr="000446E6">
        <w:rPr>
          <w:rFonts w:ascii="Verdana" w:eastAsia="Century Gothic" w:hAnsi="Verdana" w:cs="Century Gothic"/>
          <w:i/>
          <w:iCs/>
          <w:color w:val="000000"/>
          <w:sz w:val="20"/>
          <w:szCs w:val="20"/>
          <w:lang w:val="es-ES" w:eastAsia="es-MX"/>
        </w:rPr>
        <w:t>”</w:t>
      </w:r>
    </w:p>
    <w:p w14:paraId="78808937" w14:textId="77777777" w:rsidR="000446E6" w:rsidRPr="000446E6" w:rsidRDefault="000446E6" w:rsidP="000446E6">
      <w:pPr>
        <w:tabs>
          <w:tab w:val="left" w:pos="142"/>
          <w:tab w:val="left" w:pos="284"/>
        </w:tabs>
        <w:spacing w:line="276" w:lineRule="auto"/>
        <w:contextualSpacing/>
        <w:jc w:val="both"/>
        <w:rPr>
          <w:rFonts w:ascii="Verdana" w:eastAsia="Century Gothic" w:hAnsi="Verdana" w:cs="Century Gothic"/>
          <w:b/>
          <w:bCs/>
          <w:color w:val="000000"/>
          <w:lang w:val="es-ES"/>
        </w:rPr>
      </w:pPr>
    </w:p>
    <w:p w14:paraId="761CF6BE" w14:textId="77777777" w:rsidR="000446E6" w:rsidRPr="000446E6" w:rsidRDefault="000446E6" w:rsidP="000446E6">
      <w:pPr>
        <w:spacing w:after="120" w:line="276" w:lineRule="auto"/>
        <w:ind w:firstLine="709"/>
        <w:jc w:val="both"/>
        <w:rPr>
          <w:rFonts w:ascii="Verdana" w:eastAsia="Calibri" w:hAnsi="Verdana" w:cs="Arial"/>
          <w:color w:val="000000"/>
          <w:lang w:val="es-ES_tradnl" w:eastAsia="es-ES_tradnl"/>
        </w:rPr>
      </w:pPr>
      <w:r w:rsidRPr="000446E6">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446E6">
        <w:rPr>
          <w:rFonts w:ascii="Verdana" w:eastAsia="Calibri" w:hAnsi="Verdana" w:cs="Arial"/>
          <w:color w:val="000000"/>
          <w:lang w:val="es-ES_tradnl" w:eastAsia="es-ES_tradnl"/>
        </w:rPr>
        <w:tab/>
      </w:r>
    </w:p>
    <w:p w14:paraId="5032C94A" w14:textId="77777777" w:rsidR="000446E6" w:rsidRPr="000446E6" w:rsidRDefault="000446E6" w:rsidP="000446E6">
      <w:pPr>
        <w:spacing w:after="0" w:line="276" w:lineRule="auto"/>
        <w:ind w:firstLine="709"/>
        <w:jc w:val="both"/>
        <w:rPr>
          <w:rFonts w:ascii="Verdana" w:eastAsia="Calibri" w:hAnsi="Verdana" w:cs="Arial"/>
          <w:color w:val="000000"/>
          <w:lang w:val="es-ES" w:eastAsia="es-ES"/>
        </w:rPr>
      </w:pPr>
      <w:r w:rsidRPr="000446E6">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4760F5DF" w14:textId="77777777" w:rsidR="000446E6" w:rsidRPr="000446E6" w:rsidRDefault="000446E6" w:rsidP="000446E6">
      <w:pPr>
        <w:spacing w:after="0" w:line="276" w:lineRule="auto"/>
        <w:ind w:firstLine="709"/>
        <w:jc w:val="both"/>
        <w:rPr>
          <w:rFonts w:ascii="Verdana" w:eastAsia="Calibri" w:hAnsi="Verdana" w:cs="Arial"/>
          <w:color w:val="000000"/>
          <w:lang w:val="es-ES" w:eastAsia="es-ES"/>
        </w:rPr>
      </w:pPr>
    </w:p>
    <w:p w14:paraId="6DC54B9E" w14:textId="77777777" w:rsidR="000446E6" w:rsidRPr="000446E6" w:rsidRDefault="000446E6" w:rsidP="000446E6">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color w:val="000000"/>
          <w:lang w:val="es-ES"/>
        </w:rPr>
      </w:pPr>
      <w:r w:rsidRPr="000446E6">
        <w:rPr>
          <w:rFonts w:ascii="Verdana" w:eastAsia="Century Gothic" w:hAnsi="Verdana" w:cs="Century Gothic"/>
          <w:b/>
          <w:bCs/>
          <w:color w:val="000000"/>
          <w:lang w:val="es-ES"/>
        </w:rPr>
        <w:t>Problema planteado:</w:t>
      </w:r>
    </w:p>
    <w:p w14:paraId="44F2E3E9" w14:textId="77777777" w:rsidR="000446E6" w:rsidRPr="000446E6" w:rsidRDefault="000446E6" w:rsidP="000446E6">
      <w:pPr>
        <w:tabs>
          <w:tab w:val="left" w:pos="426"/>
        </w:tabs>
        <w:spacing w:after="0" w:line="276" w:lineRule="auto"/>
        <w:jc w:val="both"/>
        <w:rPr>
          <w:rFonts w:ascii="Verdana" w:eastAsia="Century Gothic" w:hAnsi="Verdana" w:cs="Century Gothic"/>
          <w:color w:val="000000"/>
          <w:lang w:val="es-ES" w:eastAsia="es-MX"/>
        </w:rPr>
      </w:pPr>
    </w:p>
    <w:p w14:paraId="351E30B2" w14:textId="77777777" w:rsidR="000446E6" w:rsidRPr="000446E6" w:rsidRDefault="000446E6" w:rsidP="000446E6">
      <w:pPr>
        <w:spacing w:after="0" w:line="276" w:lineRule="auto"/>
        <w:jc w:val="both"/>
        <w:rPr>
          <w:rFonts w:ascii="Verdana" w:eastAsia="Century Gothic" w:hAnsi="Verdana" w:cs="Century Gothic"/>
          <w:color w:val="000000"/>
          <w:lang w:eastAsia="es-MX"/>
        </w:rPr>
      </w:pPr>
      <w:r w:rsidRPr="000446E6">
        <w:rPr>
          <w:rFonts w:ascii="Verdana" w:eastAsia="Century Gothic" w:hAnsi="Verdana" w:cs="Century Gothic"/>
          <w:color w:val="000000"/>
          <w:lang w:eastAsia="es-MX"/>
        </w:rPr>
        <w:t xml:space="preserve">De acuerdo con el contenido de su solicitud, esta Agencia resolverá los siguientes problemas jurídicos: </w:t>
      </w:r>
    </w:p>
    <w:p w14:paraId="623EE857" w14:textId="77777777" w:rsidR="000446E6" w:rsidRPr="000446E6" w:rsidRDefault="000446E6" w:rsidP="000446E6">
      <w:pPr>
        <w:spacing w:after="0" w:line="276" w:lineRule="auto"/>
        <w:jc w:val="both"/>
        <w:rPr>
          <w:rFonts w:ascii="Verdana" w:eastAsia="Century Gothic" w:hAnsi="Verdana" w:cs="Century Gothic"/>
          <w:color w:val="000000"/>
          <w:lang w:eastAsia="es-MX"/>
        </w:rPr>
      </w:pPr>
    </w:p>
    <w:p w14:paraId="22643CFB" w14:textId="38EFA68B" w:rsidR="000446E6" w:rsidRPr="000446E6" w:rsidRDefault="000446E6" w:rsidP="000446E6">
      <w:pPr>
        <w:numPr>
          <w:ilvl w:val="0"/>
          <w:numId w:val="18"/>
        </w:numPr>
        <w:spacing w:after="0" w:line="276" w:lineRule="auto"/>
        <w:jc w:val="both"/>
        <w:rPr>
          <w:rFonts w:ascii="Verdana" w:eastAsia="Century Gothic" w:hAnsi="Verdana" w:cs="Century Gothic"/>
          <w:color w:val="000000"/>
          <w:lang w:eastAsia="es-MX"/>
        </w:rPr>
      </w:pPr>
      <w:r w:rsidRPr="000446E6">
        <w:rPr>
          <w:rFonts w:ascii="Verdana" w:eastAsia="Century Gothic" w:hAnsi="Verdana" w:cs="Century Gothic"/>
          <w:color w:val="000000"/>
          <w:lang w:eastAsia="es-MX"/>
        </w:rPr>
        <w:t>¿</w:t>
      </w:r>
      <w:r w:rsidRPr="000446E6">
        <w:rPr>
          <w:rFonts w:ascii="Verdana" w:eastAsia="Century Gothic" w:hAnsi="Verdana" w:cs="Century Gothic"/>
          <w:color w:val="000000"/>
          <w:lang w:val="es-ES" w:eastAsia="es-MX"/>
        </w:rPr>
        <w:t>Cuáles son las inhabilidades relacionadas con el vínculo entre parientes establecidas en el artículo 8 de la Ley 80 de 1993</w:t>
      </w:r>
      <w:r w:rsidR="00F5206E">
        <w:rPr>
          <w:rFonts w:ascii="Verdana" w:eastAsia="Century Gothic" w:hAnsi="Verdana" w:cs="Century Gothic"/>
          <w:color w:val="000000"/>
          <w:lang w:val="es-ES" w:eastAsia="es-MX"/>
        </w:rPr>
        <w:t>?</w:t>
      </w:r>
    </w:p>
    <w:p w14:paraId="3AF89DCC" w14:textId="079A6258" w:rsidR="000446E6" w:rsidRPr="000446E6" w:rsidRDefault="000446E6" w:rsidP="00F1274C">
      <w:pPr>
        <w:numPr>
          <w:ilvl w:val="0"/>
          <w:numId w:val="18"/>
        </w:numPr>
        <w:spacing w:after="0" w:line="276" w:lineRule="auto"/>
        <w:jc w:val="both"/>
        <w:rPr>
          <w:rFonts w:ascii="Verdana" w:eastAsia="Century Gothic" w:hAnsi="Verdana" w:cs="Century Gothic"/>
          <w:color w:val="000000"/>
          <w:lang w:eastAsia="es-MX"/>
        </w:rPr>
      </w:pPr>
      <w:r w:rsidRPr="000446E6">
        <w:rPr>
          <w:rFonts w:ascii="Verdana" w:eastAsia="Century Gothic" w:hAnsi="Verdana" w:cs="Century Gothic"/>
          <w:color w:val="000000"/>
          <w:lang w:eastAsia="es-MX"/>
        </w:rPr>
        <w:t xml:space="preserve">¿Qué limites existen en cuanto al pago de honorarios de un contratista de una entidad estatal? </w:t>
      </w:r>
    </w:p>
    <w:p w14:paraId="6ECA7459" w14:textId="77777777" w:rsidR="000446E6" w:rsidRPr="000446E6" w:rsidRDefault="000446E6" w:rsidP="000446E6">
      <w:pPr>
        <w:spacing w:after="0" w:line="276" w:lineRule="auto"/>
        <w:jc w:val="both"/>
        <w:rPr>
          <w:rFonts w:ascii="Verdana" w:eastAsia="Century Gothic" w:hAnsi="Verdana" w:cs="Century Gothic"/>
          <w:color w:val="000000"/>
          <w:lang w:eastAsia="es-MX"/>
        </w:rPr>
      </w:pPr>
    </w:p>
    <w:p w14:paraId="67DE60FB" w14:textId="77777777" w:rsidR="000446E6" w:rsidRPr="000446E6" w:rsidRDefault="000446E6" w:rsidP="000446E6">
      <w:pPr>
        <w:spacing w:after="0" w:line="276" w:lineRule="auto"/>
        <w:jc w:val="both"/>
        <w:rPr>
          <w:rFonts w:ascii="Verdana" w:eastAsia="Calibri" w:hAnsi="Verdana" w:cs="Arial"/>
          <w:color w:val="000000"/>
          <w:lang w:val="es-ES" w:eastAsia="es-MX"/>
        </w:rPr>
      </w:pPr>
    </w:p>
    <w:p w14:paraId="593B77B1" w14:textId="77777777" w:rsidR="000446E6" w:rsidRPr="000446E6" w:rsidRDefault="000446E6" w:rsidP="000446E6">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0446E6">
        <w:rPr>
          <w:rFonts w:ascii="Verdana" w:eastAsia="Century Gothic" w:hAnsi="Verdana" w:cs="Century Gothic"/>
          <w:b/>
          <w:bCs/>
          <w:color w:val="000000"/>
          <w:lang w:val="es-ES"/>
        </w:rPr>
        <w:t>Respuesta:</w:t>
      </w:r>
    </w:p>
    <w:p w14:paraId="596B9A77" w14:textId="77777777" w:rsidR="000446E6" w:rsidRPr="000446E6" w:rsidRDefault="000446E6" w:rsidP="000446E6">
      <w:pPr>
        <w:tabs>
          <w:tab w:val="left" w:pos="142"/>
          <w:tab w:val="left" w:pos="284"/>
        </w:tabs>
        <w:spacing w:after="0" w:line="276" w:lineRule="auto"/>
        <w:jc w:val="both"/>
        <w:rPr>
          <w:rFonts w:ascii="Verdana" w:eastAsia="Century Gothic" w:hAnsi="Verdana" w:cs="Century Gothic"/>
          <w:b/>
          <w:bCs/>
          <w:color w:val="000000"/>
          <w:lang w:val="es-ES" w:eastAsia="es-MX"/>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446E6" w:rsidRPr="000446E6" w14:paraId="36C8AB2D" w14:textId="77777777" w:rsidTr="005804BE">
        <w:tc>
          <w:tcPr>
            <w:tcW w:w="8828" w:type="dxa"/>
            <w:shd w:val="clear" w:color="auto" w:fill="auto"/>
          </w:tcPr>
          <w:p w14:paraId="6E3B7792" w14:textId="79CE4884" w:rsidR="00170FF4" w:rsidRPr="00F26ED8" w:rsidRDefault="00170FF4" w:rsidP="00F26ED8">
            <w:pPr>
              <w:pStyle w:val="Prrafodelista"/>
              <w:numPr>
                <w:ilvl w:val="0"/>
                <w:numId w:val="21"/>
              </w:numPr>
              <w:tabs>
                <w:tab w:val="left" w:pos="0"/>
              </w:tabs>
              <w:spacing w:after="120" w:line="276" w:lineRule="auto"/>
              <w:jc w:val="both"/>
              <w:rPr>
                <w:rFonts w:ascii="Verdana" w:eastAsia="Calibri" w:hAnsi="Verdana" w:cs="Arial"/>
                <w:lang w:val="es-ES_tradnl"/>
              </w:rPr>
            </w:pPr>
            <w:r w:rsidRPr="00F26ED8">
              <w:rPr>
                <w:rFonts w:ascii="Verdana" w:eastAsia="Calibri" w:hAnsi="Verdana" w:cs="Arial"/>
                <w:lang w:val="es-ES_tradnl"/>
              </w:rPr>
              <w:t xml:space="preserve">Resulta a bien señalar que el literal g) del numeral 1 del artículo 8 de la Ley 80 de 1993 determina que son inhábiles para participar en </w:t>
            </w:r>
            <w:r w:rsidRPr="00F26ED8">
              <w:rPr>
                <w:rFonts w:ascii="Verdana" w:eastAsia="Calibri" w:hAnsi="Verdana" w:cs="Arial"/>
                <w:lang w:val="es-ES_tradnl"/>
              </w:rPr>
              <w:lastRenderedPageBreak/>
              <w:t xml:space="preserve">Procesos de Contratación o suscribir contratos con Entidades Estatales “Quienes sean cónyuges o compañeros permanentes y quiénes se encuentren dentro del segundo grado de consanguinidad o segundo de afinidad con cualquier otra persona que formalmente haya presentado propuesta para una misma licitación”. Similar prohibición, se encuentra en el literal h) del numeral 1 </w:t>
            </w:r>
            <w:r w:rsidRPr="00F26ED8">
              <w:rPr>
                <w:rFonts w:ascii="Verdana" w:eastAsia="Calibri" w:hAnsi="Verdana" w:cs="Arial"/>
                <w:i/>
                <w:iCs/>
                <w:lang w:val="es-ES_tradnl"/>
              </w:rPr>
              <w:t xml:space="preserve">ibidem, </w:t>
            </w:r>
            <w:r w:rsidRPr="00F26ED8">
              <w:rPr>
                <w:rFonts w:ascii="Verdana" w:eastAsia="Calibri" w:hAnsi="Verdana" w:cs="Arial"/>
                <w:lang w:val="es-ES_tradnl"/>
              </w:rPr>
              <w:t>cuando la participación simultánea en el proceso es de sociedades, distintas a las sociedades anónimas abiertas.</w:t>
            </w:r>
          </w:p>
          <w:p w14:paraId="7A670E3A" w14:textId="77777777" w:rsidR="00170FF4" w:rsidRPr="006E2BB3" w:rsidRDefault="00170FF4" w:rsidP="00170FF4">
            <w:pPr>
              <w:spacing w:before="120" w:line="276" w:lineRule="auto"/>
              <w:jc w:val="both"/>
              <w:rPr>
                <w:rFonts w:ascii="Verdana" w:eastAsia="Calibri" w:hAnsi="Verdana" w:cs="Arial"/>
                <w:lang w:val="es-ES_tradnl"/>
              </w:rPr>
            </w:pPr>
            <w:r w:rsidRPr="006E2BB3">
              <w:rPr>
                <w:rFonts w:ascii="Verdana" w:eastAsia="Calibri" w:hAnsi="Verdana" w:cs="Arial"/>
                <w:lang w:val="es-ES_tradnl"/>
              </w:rPr>
              <w:t>Dichas inhabilidades tienen fundamento en las relaciones familiares o de parentesco, tales como los cónyuges o compañeros permanentes, así como aquellas personas respecto de las cuales se predican relaciones de consanguinidad o afinidad hasta el segundo grado. Esto implica que las referidas causales de inhabilidad se instituyen, única y exclusivamente, con el propósito de limitar la capacidad en la participación en Procesos de Contratación de las denominadas personas naturales</w:t>
            </w:r>
            <w:r w:rsidRPr="006E2BB3">
              <w:rPr>
                <w:rFonts w:ascii="Verdana" w:hAnsi="Verdana"/>
                <w:vertAlign w:val="superscript"/>
                <w:lang w:val="es-ES"/>
              </w:rPr>
              <w:footnoteReference w:id="2"/>
            </w:r>
            <w:r w:rsidRPr="006E2BB3">
              <w:rPr>
                <w:rFonts w:ascii="Verdana" w:eastAsia="Calibri" w:hAnsi="Verdana" w:cs="Arial"/>
                <w:lang w:val="es-ES"/>
              </w:rPr>
              <w:t>, esto es, sujetos de derechos y obligaciones de la especie humana unidos entre sí, ya sea por vínculos naturales o jurídicos</w:t>
            </w:r>
            <w:r w:rsidRPr="006E2BB3">
              <w:rPr>
                <w:rFonts w:ascii="Verdana" w:hAnsi="Verdana"/>
                <w:vertAlign w:val="superscript"/>
                <w:lang w:val="es-ES"/>
              </w:rPr>
              <w:footnoteReference w:id="3"/>
            </w:r>
            <w:r w:rsidRPr="006E2BB3">
              <w:rPr>
                <w:rFonts w:ascii="Verdana" w:eastAsia="Calibri" w:hAnsi="Verdana" w:cs="Arial"/>
                <w:lang w:val="es-ES"/>
              </w:rPr>
              <w:t>.</w:t>
            </w:r>
          </w:p>
          <w:p w14:paraId="1778917B" w14:textId="412B2BAC" w:rsidR="000446E6" w:rsidRPr="000446E6" w:rsidRDefault="000446E6" w:rsidP="00F26ED8">
            <w:pPr>
              <w:spacing w:line="276" w:lineRule="auto"/>
              <w:ind w:left="1080"/>
              <w:jc w:val="both"/>
              <w:rPr>
                <w:rFonts w:ascii="Verdana" w:eastAsia="Calibri" w:hAnsi="Verdana" w:cs="Arial"/>
                <w:color w:val="000000"/>
                <w:lang w:eastAsia="es-MX"/>
              </w:rPr>
            </w:pPr>
          </w:p>
          <w:p w14:paraId="0771E0C5" w14:textId="4F466A33" w:rsidR="000446E6" w:rsidRPr="00F26ED8" w:rsidRDefault="00E742F8" w:rsidP="00F26ED8">
            <w:pPr>
              <w:pStyle w:val="Prrafodelista"/>
              <w:numPr>
                <w:ilvl w:val="0"/>
                <w:numId w:val="21"/>
              </w:numPr>
              <w:spacing w:line="276" w:lineRule="auto"/>
              <w:jc w:val="both"/>
              <w:rPr>
                <w:rFonts w:ascii="Verdana" w:eastAsia="Calibri" w:hAnsi="Verdana" w:cs="Arial"/>
                <w:color w:val="000000"/>
                <w:lang w:eastAsia="es-MX"/>
              </w:rPr>
            </w:pPr>
            <w:r w:rsidRPr="00F26ED8">
              <w:rPr>
                <w:rFonts w:ascii="Verdana" w:eastAsia="Calibri" w:hAnsi="Verdana" w:cs="Arial"/>
                <w:color w:val="000000"/>
                <w:lang w:eastAsia="es-MX"/>
              </w:rPr>
              <w:t xml:space="preserve">No existe en el sistema de compra publica una disposición que imponga un límite en los honorarios de los contratos de prestación de servicio profesionales y de apoyo a la gestión, pues en virtud del principio de la autonomía de la voluntad, las partes pueden determinar el contenido de los contratos estatales e incluir las condiciones, cláusulas o estipulaciones que consideren necesarias para desarrollar el objeto contractual, siempre que no sean contrarias a la Constitución, la ley y el orden público. No obstante lo anterior, la Entidad Estatal durante la etapa de planeación, tiene el deber de realizar el análisis del sector y justificar la modalidad de contratación en los documentos del proceso, que para el caso de los procesos que impliquen una contratación directa y en lo concerniente a los contratos de prestación de servicios profesionales y de apoyo a la gestión se constata en los estudios y documentos previos, los cuales deben indicar, entre otras, las condiciones mínimas exigidas para suplir la necesidad de la entidad así como los requisitos que </w:t>
            </w:r>
            <w:r w:rsidRPr="00F26ED8">
              <w:rPr>
                <w:rFonts w:ascii="Verdana" w:eastAsia="Calibri" w:hAnsi="Verdana" w:cs="Arial"/>
                <w:color w:val="000000"/>
                <w:lang w:eastAsia="es-MX"/>
              </w:rPr>
              <w:lastRenderedPageBreak/>
              <w:t>debe acreditar el futuro contratista para el cumplimiento del objeto</w:t>
            </w:r>
            <w:r w:rsidR="005837F6" w:rsidRPr="005837F6">
              <w:t xml:space="preserve"> </w:t>
            </w:r>
            <w:r w:rsidR="005837F6">
              <w:t>C</w:t>
            </w:r>
            <w:r w:rsidR="005837F6" w:rsidRPr="00F26ED8">
              <w:rPr>
                <w:rFonts w:ascii="Verdana" w:eastAsia="Calibri" w:hAnsi="Verdana" w:cs="Arial"/>
                <w:color w:val="000000"/>
                <w:lang w:eastAsia="es-MX"/>
              </w:rPr>
              <w:t xml:space="preserve">ontractual. En este sentido, las Entidades Estatales determinan el monto de los honorarios de los contratos de prestación de servicios y apoyo a la gestión de conformidad con lo establecido en el análisis del sector y en los documentos o estudios previos. </w:t>
            </w:r>
          </w:p>
        </w:tc>
      </w:tr>
    </w:tbl>
    <w:p w14:paraId="4B5BAD5F" w14:textId="77777777" w:rsidR="000446E6" w:rsidRPr="000446E6" w:rsidRDefault="000446E6" w:rsidP="000446E6">
      <w:pPr>
        <w:tabs>
          <w:tab w:val="left" w:pos="142"/>
          <w:tab w:val="left" w:pos="284"/>
        </w:tabs>
        <w:spacing w:after="0" w:line="276" w:lineRule="auto"/>
        <w:jc w:val="both"/>
        <w:rPr>
          <w:rFonts w:ascii="Verdana" w:eastAsia="Century Gothic" w:hAnsi="Verdana" w:cs="Century Gothic"/>
          <w:b/>
          <w:bCs/>
          <w:color w:val="000000"/>
          <w:sz w:val="24"/>
          <w:szCs w:val="24"/>
          <w:lang w:val="es-ES" w:eastAsia="es-MX"/>
        </w:rPr>
      </w:pPr>
    </w:p>
    <w:p w14:paraId="1716EF0E" w14:textId="77777777" w:rsidR="000446E6" w:rsidRPr="000446E6" w:rsidRDefault="000446E6" w:rsidP="000446E6">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0446E6">
        <w:rPr>
          <w:rFonts w:ascii="Verdana" w:eastAsia="Century Gothic" w:hAnsi="Verdana" w:cs="Century Gothic"/>
          <w:b/>
          <w:bCs/>
          <w:color w:val="000000"/>
          <w:lang w:val="es-ES"/>
        </w:rPr>
        <w:t>Razones de la respuesta:</w:t>
      </w:r>
    </w:p>
    <w:p w14:paraId="65DDA1E2" w14:textId="77777777" w:rsidR="000446E6" w:rsidRPr="000446E6" w:rsidRDefault="000446E6" w:rsidP="000446E6">
      <w:pPr>
        <w:spacing w:after="0" w:line="276" w:lineRule="auto"/>
        <w:jc w:val="both"/>
        <w:rPr>
          <w:rFonts w:ascii="Verdana" w:eastAsia="Calibri" w:hAnsi="Verdana" w:cs="Arial"/>
          <w:color w:val="000000"/>
          <w:sz w:val="24"/>
          <w:szCs w:val="24"/>
          <w:lang w:val="es-ES" w:eastAsia="es-MX"/>
        </w:rPr>
      </w:pPr>
    </w:p>
    <w:p w14:paraId="029844FB" w14:textId="77777777" w:rsidR="000446E6" w:rsidRPr="000446E6" w:rsidRDefault="000446E6" w:rsidP="000446E6">
      <w:pPr>
        <w:spacing w:after="0" w:line="276" w:lineRule="auto"/>
        <w:jc w:val="both"/>
        <w:rPr>
          <w:rFonts w:ascii="Verdana" w:eastAsia="Calibri" w:hAnsi="Verdana" w:cs="Arial"/>
          <w:color w:val="000000"/>
          <w:lang w:val="es-ES" w:eastAsia="es-MX"/>
        </w:rPr>
      </w:pPr>
      <w:r w:rsidRPr="000446E6">
        <w:rPr>
          <w:rFonts w:ascii="Verdana" w:eastAsia="Calibri" w:hAnsi="Verdana" w:cs="Arial"/>
          <w:color w:val="000000"/>
          <w:lang w:val="es-ES" w:eastAsia="es-MX"/>
        </w:rPr>
        <w:t xml:space="preserve">Lo anterior se sustenta en las siguientes consideraciones: </w:t>
      </w:r>
    </w:p>
    <w:p w14:paraId="269AF78C" w14:textId="77777777" w:rsidR="000446E6" w:rsidRPr="000446E6" w:rsidRDefault="000446E6" w:rsidP="000446E6">
      <w:pPr>
        <w:spacing w:after="0" w:line="276" w:lineRule="auto"/>
        <w:jc w:val="both"/>
        <w:rPr>
          <w:rFonts w:ascii="Verdana" w:eastAsia="Calibri" w:hAnsi="Verdana" w:cs="Arial"/>
          <w:color w:val="000000"/>
          <w:lang w:val="es-ES" w:eastAsia="es-MX"/>
        </w:rPr>
      </w:pPr>
    </w:p>
    <w:p w14:paraId="22178FB4" w14:textId="77777777" w:rsidR="000446E6" w:rsidRPr="000446E6" w:rsidRDefault="000446E6" w:rsidP="000446E6">
      <w:pPr>
        <w:numPr>
          <w:ilvl w:val="0"/>
          <w:numId w:val="20"/>
        </w:numPr>
        <w:spacing w:after="120" w:line="276" w:lineRule="auto"/>
        <w:contextualSpacing/>
        <w:jc w:val="both"/>
        <w:rPr>
          <w:rFonts w:ascii="Verdana" w:eastAsia="Calibri" w:hAnsi="Verdana" w:cs="Arial"/>
          <w:lang w:val="es-MX"/>
        </w:rPr>
      </w:pPr>
      <w:r w:rsidRPr="000446E6">
        <w:rPr>
          <w:rFonts w:ascii="Verdana" w:eastAsia="Calibri" w:hAnsi="Verdana" w:cs="Arial"/>
          <w:lang w:val="es-MX"/>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7CF0AEB3" w14:textId="77777777" w:rsidR="000446E6" w:rsidRPr="000446E6" w:rsidRDefault="000446E6" w:rsidP="000446E6">
      <w:pPr>
        <w:numPr>
          <w:ilvl w:val="0"/>
          <w:numId w:val="20"/>
        </w:numPr>
        <w:spacing w:after="0" w:line="276" w:lineRule="auto"/>
        <w:contextualSpacing/>
        <w:jc w:val="both"/>
        <w:rPr>
          <w:rFonts w:ascii="Verdana" w:eastAsia="Calibri" w:hAnsi="Verdana" w:cs="Arial"/>
          <w:lang w:val="es-ES"/>
        </w:rPr>
      </w:pPr>
      <w:r w:rsidRPr="000446E6">
        <w:rPr>
          <w:rFonts w:ascii="Verdana" w:eastAsia="Calibri" w:hAnsi="Verdana" w:cs="Arial"/>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0446E6">
        <w:rPr>
          <w:rFonts w:ascii="Verdana" w:eastAsia="Calibri" w:hAnsi="Verdana" w:cs="Times New Roman"/>
          <w:vertAlign w:val="superscript"/>
          <w:lang w:val="es-ES"/>
        </w:rPr>
        <w:footnoteReference w:id="4"/>
      </w:r>
      <w:r w:rsidRPr="000446E6">
        <w:rPr>
          <w:rFonts w:ascii="Verdana" w:eastAsia="Calibri" w:hAnsi="Verdana" w:cs="Arial"/>
          <w:lang w:val="es-ES"/>
        </w:rPr>
        <w:t>.</w:t>
      </w:r>
    </w:p>
    <w:p w14:paraId="386AFFB7" w14:textId="77777777" w:rsidR="000446E6" w:rsidRPr="000446E6" w:rsidRDefault="000446E6" w:rsidP="000446E6">
      <w:pPr>
        <w:numPr>
          <w:ilvl w:val="0"/>
          <w:numId w:val="20"/>
        </w:numPr>
        <w:spacing w:after="0" w:line="276" w:lineRule="auto"/>
        <w:contextualSpacing/>
        <w:jc w:val="both"/>
        <w:rPr>
          <w:rFonts w:ascii="Verdana" w:eastAsia="Calibri" w:hAnsi="Verdana" w:cs="Arial"/>
          <w:lang w:val="es-ES"/>
        </w:rPr>
      </w:pPr>
      <w:r w:rsidRPr="000446E6">
        <w:rPr>
          <w:rFonts w:ascii="Verdana" w:eastAsia="Calibri" w:hAnsi="Verdana" w:cs="Arial"/>
          <w:lang w:val="es-ES"/>
        </w:rPr>
        <w:t xml:space="preserve">Conviene también distinguir las fuentes de las inhabilidades, las cuales han sido clasificadas en dos (2) grupos: i) inhabilidades-sanción y </w:t>
      </w:r>
      <w:proofErr w:type="spellStart"/>
      <w:r w:rsidRPr="000446E6">
        <w:rPr>
          <w:rFonts w:ascii="Verdana" w:eastAsia="Calibri" w:hAnsi="Verdana" w:cs="Arial"/>
          <w:lang w:val="es-ES"/>
        </w:rPr>
        <w:t>ii</w:t>
      </w:r>
      <w:proofErr w:type="spellEnd"/>
      <w:r w:rsidRPr="000446E6">
        <w:rPr>
          <w:rFonts w:ascii="Verdana" w:eastAsia="Calibri" w:hAnsi="Verdana" w:cs="Arial"/>
          <w:lang w:val="es-ES"/>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0446E6">
        <w:rPr>
          <w:rFonts w:ascii="Verdana" w:eastAsia="Calibri" w:hAnsi="Verdana" w:cs="Times New Roman"/>
          <w:vertAlign w:val="superscript"/>
          <w:lang w:val="es-ES"/>
        </w:rPr>
        <w:footnoteReference w:id="5"/>
      </w:r>
      <w:r w:rsidRPr="000446E6">
        <w:rPr>
          <w:rFonts w:ascii="Verdana" w:eastAsia="Calibri" w:hAnsi="Verdana" w:cs="Arial"/>
          <w:lang w:val="es-ES"/>
        </w:rPr>
        <w:t>.</w:t>
      </w:r>
    </w:p>
    <w:p w14:paraId="7BE0DE87" w14:textId="77777777" w:rsidR="000446E6" w:rsidRPr="000446E6" w:rsidRDefault="000446E6" w:rsidP="000446E6">
      <w:pPr>
        <w:numPr>
          <w:ilvl w:val="0"/>
          <w:numId w:val="20"/>
        </w:numPr>
        <w:spacing w:before="120" w:after="120" w:line="276" w:lineRule="auto"/>
        <w:contextualSpacing/>
        <w:jc w:val="both"/>
        <w:rPr>
          <w:rFonts w:ascii="Verdana" w:eastAsia="Calibri" w:hAnsi="Verdana" w:cs="Arial"/>
          <w:lang w:val="es-ES"/>
        </w:rPr>
      </w:pPr>
      <w:r w:rsidRPr="000446E6">
        <w:rPr>
          <w:rFonts w:ascii="Verdana" w:eastAsia="Calibri" w:hAnsi="Verdana" w:cs="Arial"/>
          <w:lang w:val="es-ES"/>
        </w:rPr>
        <w:lastRenderedPageBreak/>
        <w:t>A manera de ejemplo, en materia contractual, los literales c), d) y j) del numeral 1 del artículo 8 de la Ley 80 de 1993</w:t>
      </w:r>
      <w:r w:rsidRPr="000446E6">
        <w:rPr>
          <w:rFonts w:ascii="Verdana" w:eastAsia="Calibri" w:hAnsi="Verdana" w:cs="Times New Roman"/>
          <w:vertAlign w:val="superscript"/>
          <w:lang w:val="es-ES"/>
        </w:rPr>
        <w:footnoteReference w:id="6"/>
      </w:r>
      <w:r w:rsidRPr="000446E6">
        <w:rPr>
          <w:rFonts w:ascii="Verdana" w:eastAsia="Calibri" w:hAnsi="Verdana" w:cs="Arial"/>
          <w:lang w:val="es-ES"/>
        </w:rPr>
        <w:t xml:space="preserve">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bookmarkStart w:id="2" w:name="_Hlk40976328"/>
      <w:r w:rsidRPr="000446E6">
        <w:rPr>
          <w:rFonts w:ascii="Verdana" w:eastAsia="Calibri" w:hAnsi="Verdana" w:cs="Arial"/>
          <w:lang w:val="es-ES"/>
        </w:rPr>
        <w:t xml:space="preserve">En ambos eventos, la inhabilidad </w:t>
      </w:r>
      <w:r w:rsidRPr="000446E6">
        <w:rPr>
          <w:rFonts w:ascii="Verdana" w:eastAsia="Calibri" w:hAnsi="Verdana" w:cs="Arial"/>
          <w:lang w:val="es-ES"/>
        </w:rPr>
        <w:lastRenderedPageBreak/>
        <w:t xml:space="preserve">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2"/>
    </w:p>
    <w:p w14:paraId="7CC5D315" w14:textId="77777777" w:rsidR="000446E6" w:rsidRPr="000446E6" w:rsidRDefault="000446E6" w:rsidP="000446E6">
      <w:pPr>
        <w:numPr>
          <w:ilvl w:val="0"/>
          <w:numId w:val="20"/>
        </w:numPr>
        <w:spacing w:after="120" w:line="276" w:lineRule="auto"/>
        <w:contextualSpacing/>
        <w:jc w:val="both"/>
        <w:rPr>
          <w:rFonts w:ascii="Verdana" w:eastAsia="Calibri" w:hAnsi="Verdana" w:cs="Arial"/>
          <w:lang w:val="es-ES"/>
        </w:rPr>
      </w:pPr>
      <w:r w:rsidRPr="000446E6">
        <w:rPr>
          <w:rFonts w:ascii="Verdana" w:eastAsia="Calibri" w:hAnsi="Verdana" w:cs="Arial"/>
          <w:lang w:val="es-ES"/>
        </w:rPr>
        <w:t xml:space="preserve">Igualmente, en la contratación estatal, la </w:t>
      </w:r>
      <w:r w:rsidRPr="000446E6">
        <w:rPr>
          <w:rFonts w:ascii="Verdana" w:eastAsia="Calibri" w:hAnsi="Verdana" w:cs="Arial"/>
          <w:i/>
          <w:iCs/>
          <w:lang w:val="es-ES"/>
        </w:rPr>
        <w:t>capacidad</w:t>
      </w:r>
      <w:r w:rsidRPr="000446E6">
        <w:rPr>
          <w:rFonts w:ascii="Verdana" w:eastAsia="Calibri" w:hAnsi="Verdana" w:cs="Arial"/>
          <w:lang w:val="es-ES"/>
        </w:rPr>
        <w:t xml:space="preserve"> también es un requisito de validez de los contratos, tanto en el régimen de las entidades sujetas al Estatuto General de Contratación de la Administración Pública</w:t>
      </w:r>
      <w:r w:rsidRPr="000446E6">
        <w:rPr>
          <w:rFonts w:ascii="Verdana" w:eastAsia="Calibri" w:hAnsi="Verdana" w:cs="Times New Roman"/>
          <w:vertAlign w:val="superscript"/>
          <w:lang w:val="es-ES"/>
        </w:rPr>
        <w:footnoteReference w:id="7"/>
      </w:r>
      <w:r w:rsidRPr="000446E6">
        <w:rPr>
          <w:rFonts w:ascii="Verdana" w:eastAsia="Calibri" w:hAnsi="Verdana" w:cs="Arial"/>
          <w:lang w:val="es-ES"/>
        </w:rPr>
        <w:t xml:space="preserve"> como en el de las entidades exceptuadas de aquel</w:t>
      </w:r>
      <w:r w:rsidRPr="000446E6">
        <w:rPr>
          <w:rFonts w:ascii="Verdana" w:eastAsia="Calibri" w:hAnsi="Verdana" w:cs="Times New Roman"/>
          <w:vertAlign w:val="superscript"/>
          <w:lang w:val="es-ES"/>
        </w:rPr>
        <w:footnoteReference w:id="8"/>
      </w:r>
      <w:r w:rsidRPr="000446E6">
        <w:rPr>
          <w:rFonts w:ascii="Verdana" w:eastAsia="Calibri" w:hAnsi="Verdana" w:cs="Arial"/>
          <w:lang w:val="es-ES"/>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0446E6">
        <w:rPr>
          <w:rFonts w:ascii="Verdana" w:eastAsia="Calibri" w:hAnsi="Verdana" w:cs="Times New Roman"/>
          <w:vertAlign w:val="superscript"/>
          <w:lang w:val="es-ES"/>
        </w:rPr>
        <w:footnoteReference w:id="9"/>
      </w:r>
      <w:r w:rsidRPr="000446E6">
        <w:rPr>
          <w:rFonts w:ascii="Verdana" w:eastAsia="Calibri" w:hAnsi="Verdana" w:cs="Arial"/>
          <w:lang w:val="es-ES"/>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0446E6">
        <w:rPr>
          <w:rFonts w:ascii="Verdana" w:eastAsia="Calibri" w:hAnsi="Verdana" w:cs="Times New Roman"/>
          <w:vertAlign w:val="superscript"/>
          <w:lang w:val="es-ES"/>
        </w:rPr>
        <w:footnoteReference w:id="10"/>
      </w:r>
      <w:r w:rsidRPr="000446E6">
        <w:rPr>
          <w:rFonts w:ascii="Verdana" w:eastAsia="Calibri" w:hAnsi="Verdana" w:cs="Arial"/>
          <w:lang w:val="es-ES"/>
        </w:rPr>
        <w:t>.</w:t>
      </w:r>
    </w:p>
    <w:p w14:paraId="4C3FB827" w14:textId="77777777" w:rsidR="000446E6" w:rsidRPr="000446E6" w:rsidRDefault="000446E6" w:rsidP="000446E6">
      <w:pPr>
        <w:numPr>
          <w:ilvl w:val="0"/>
          <w:numId w:val="20"/>
        </w:numPr>
        <w:spacing w:after="120" w:line="276" w:lineRule="auto"/>
        <w:contextualSpacing/>
        <w:jc w:val="both"/>
        <w:rPr>
          <w:rFonts w:ascii="Verdana" w:eastAsia="Calibri" w:hAnsi="Verdana" w:cs="Arial"/>
          <w:lang w:val="es-ES"/>
        </w:rPr>
      </w:pPr>
      <w:r w:rsidRPr="000446E6">
        <w:rPr>
          <w:rFonts w:ascii="Verdana" w:eastAsia="Calibri" w:hAnsi="Verdana" w:cs="Arial"/>
          <w:lang w:val="es-ES"/>
        </w:rPr>
        <w:t>Las inhabilidades son prohibiciones para concurrir a los procedimientos de selección y para contratar con el Estado, que se derivan: i) de la existencia de comportamientos reprochables o de sanciones anteriormente impuestas</w:t>
      </w:r>
      <w:r w:rsidRPr="000446E6">
        <w:rPr>
          <w:rFonts w:ascii="Verdana" w:eastAsia="Calibri" w:hAnsi="Verdana" w:cs="Times New Roman"/>
          <w:vertAlign w:val="superscript"/>
          <w:lang w:val="es-ES"/>
        </w:rPr>
        <w:footnoteReference w:id="11"/>
      </w:r>
      <w:r w:rsidRPr="000446E6">
        <w:rPr>
          <w:rFonts w:ascii="Verdana" w:eastAsia="Calibri" w:hAnsi="Verdana" w:cs="Arial"/>
          <w:lang w:val="es-ES"/>
        </w:rPr>
        <w:t xml:space="preserve">, </w:t>
      </w:r>
      <w:proofErr w:type="spellStart"/>
      <w:r w:rsidRPr="000446E6">
        <w:rPr>
          <w:rFonts w:ascii="Verdana" w:eastAsia="Calibri" w:hAnsi="Verdana" w:cs="Arial"/>
          <w:lang w:val="es-ES"/>
        </w:rPr>
        <w:t>ii</w:t>
      </w:r>
      <w:proofErr w:type="spellEnd"/>
      <w:r w:rsidRPr="000446E6">
        <w:rPr>
          <w:rFonts w:ascii="Verdana" w:eastAsia="Calibri" w:hAnsi="Verdana" w:cs="Arial"/>
          <w:lang w:val="es-ES"/>
        </w:rPr>
        <w:t xml:space="preserve">) de vínculos personales relativos al parentesco o al estado </w:t>
      </w:r>
      <w:r w:rsidRPr="000446E6">
        <w:rPr>
          <w:rFonts w:ascii="Verdana" w:eastAsia="Calibri" w:hAnsi="Verdana" w:cs="Arial"/>
          <w:lang w:val="es-ES"/>
        </w:rPr>
        <w:lastRenderedPageBreak/>
        <w:t>civil</w:t>
      </w:r>
      <w:r w:rsidRPr="000446E6">
        <w:rPr>
          <w:rFonts w:ascii="Verdana" w:eastAsia="Calibri" w:hAnsi="Verdana" w:cs="Times New Roman"/>
          <w:vertAlign w:val="superscript"/>
          <w:lang w:val="es-ES"/>
        </w:rPr>
        <w:footnoteReference w:id="12"/>
      </w:r>
      <w:r w:rsidRPr="000446E6">
        <w:rPr>
          <w:rFonts w:ascii="Verdana" w:eastAsia="Calibri" w:hAnsi="Verdana" w:cs="Arial"/>
          <w:lang w:val="es-ES"/>
        </w:rPr>
        <w:t xml:space="preserve"> o </w:t>
      </w:r>
      <w:proofErr w:type="spellStart"/>
      <w:r w:rsidRPr="000446E6">
        <w:rPr>
          <w:rFonts w:ascii="Verdana" w:eastAsia="Calibri" w:hAnsi="Verdana" w:cs="Arial"/>
          <w:lang w:val="es-ES"/>
        </w:rPr>
        <w:t>iii</w:t>
      </w:r>
      <w:proofErr w:type="spellEnd"/>
      <w:r w:rsidRPr="000446E6">
        <w:rPr>
          <w:rFonts w:ascii="Verdana" w:eastAsia="Calibri" w:hAnsi="Verdana" w:cs="Arial"/>
          <w:lang w:val="es-ES"/>
        </w:rPr>
        <w:t>) de una actividad u oficio que se desempeñó en el pasado</w:t>
      </w:r>
      <w:r w:rsidRPr="000446E6">
        <w:rPr>
          <w:rFonts w:ascii="Verdana" w:eastAsia="Calibri" w:hAnsi="Verdana" w:cs="Times New Roman"/>
          <w:vertAlign w:val="superscript"/>
          <w:lang w:val="es-ES"/>
        </w:rPr>
        <w:footnoteReference w:id="13"/>
      </w:r>
      <w:r w:rsidRPr="000446E6">
        <w:rPr>
          <w:rFonts w:ascii="Verdana" w:eastAsia="Calibri" w:hAnsi="Verdana" w:cs="Arial"/>
          <w:lang w:val="es-ES"/>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0446E6">
        <w:rPr>
          <w:rFonts w:ascii="Verdana" w:eastAsia="Calibri" w:hAnsi="Verdana" w:cs="Times New Roman"/>
          <w:vertAlign w:val="superscript"/>
          <w:lang w:val="es-ES"/>
        </w:rPr>
        <w:footnoteReference w:id="14"/>
      </w:r>
      <w:r w:rsidRPr="000446E6">
        <w:rPr>
          <w:rFonts w:ascii="Verdana" w:eastAsia="Calibri" w:hAnsi="Verdana" w:cs="Arial"/>
          <w:lang w:val="es-ES"/>
        </w:rPr>
        <w:t>. 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0446E6">
        <w:rPr>
          <w:rFonts w:ascii="Verdana" w:eastAsia="Calibri" w:hAnsi="Verdana" w:cs="Times New Roman"/>
          <w:vertAlign w:val="superscript"/>
          <w:lang w:val="es-ES"/>
        </w:rPr>
        <w:footnoteReference w:id="15"/>
      </w:r>
      <w:r w:rsidRPr="000446E6">
        <w:rPr>
          <w:rFonts w:ascii="Verdana" w:eastAsia="Calibri" w:hAnsi="Verdana" w:cs="Arial"/>
          <w:lang w:val="es-ES"/>
        </w:rPr>
        <w:t>.</w:t>
      </w:r>
    </w:p>
    <w:p w14:paraId="43887CD2" w14:textId="77777777" w:rsidR="000446E6" w:rsidRPr="000446E6" w:rsidRDefault="000446E6" w:rsidP="000446E6">
      <w:pPr>
        <w:numPr>
          <w:ilvl w:val="0"/>
          <w:numId w:val="20"/>
        </w:numPr>
        <w:spacing w:before="120" w:after="120" w:line="276" w:lineRule="auto"/>
        <w:contextualSpacing/>
        <w:jc w:val="both"/>
        <w:rPr>
          <w:rFonts w:ascii="Verdana" w:eastAsia="Calibri" w:hAnsi="Verdana" w:cs="Arial"/>
          <w:lang w:val="es-ES"/>
        </w:rPr>
      </w:pPr>
      <w:r w:rsidRPr="000446E6">
        <w:rPr>
          <w:rFonts w:ascii="Verdana" w:eastAsia="Calibri" w:hAnsi="Verdana" w:cs="Arial"/>
          <w:lang w:val="es-ES"/>
        </w:rPr>
        <w:lastRenderedPageBreak/>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00446E6">
        <w:rPr>
          <w:rFonts w:ascii="Verdana" w:eastAsia="Calibri" w:hAnsi="Verdana" w:cs="Arial"/>
          <w:lang w:val="es-ES"/>
        </w:rPr>
        <w:t>neopunitiva</w:t>
      </w:r>
      <w:proofErr w:type="spellEnd"/>
      <w:r w:rsidRPr="000446E6">
        <w:rPr>
          <w:rFonts w:ascii="Verdana" w:eastAsia="Calibri" w:hAnsi="Verdana" w:cs="Arial"/>
          <w:lang w:val="es-ES"/>
        </w:rPr>
        <w:t>”</w:t>
      </w:r>
      <w:r w:rsidRPr="000446E6">
        <w:rPr>
          <w:rFonts w:ascii="Verdana" w:eastAsia="Calibri" w:hAnsi="Verdana" w:cs="Times New Roman"/>
          <w:vertAlign w:val="superscript"/>
          <w:lang w:val="es-ES"/>
        </w:rPr>
        <w:footnoteReference w:id="16"/>
      </w:r>
      <w:r w:rsidRPr="000446E6">
        <w:rPr>
          <w:rFonts w:ascii="Verdana" w:eastAsia="Calibri" w:hAnsi="Verdana" w:cs="Arial"/>
          <w:lang w:val="es-ES"/>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6295728" w14:textId="77777777" w:rsidR="000446E6" w:rsidRPr="000446E6" w:rsidRDefault="000446E6" w:rsidP="000446E6">
      <w:pPr>
        <w:numPr>
          <w:ilvl w:val="0"/>
          <w:numId w:val="20"/>
        </w:numPr>
        <w:spacing w:after="0" w:line="276" w:lineRule="auto"/>
        <w:contextualSpacing/>
        <w:jc w:val="both"/>
        <w:rPr>
          <w:rFonts w:ascii="Verdana" w:eastAsia="Calibri" w:hAnsi="Verdana" w:cs="Arial"/>
          <w:color w:val="000000"/>
          <w:lang w:val="es-ES"/>
        </w:rPr>
      </w:pPr>
      <w:r w:rsidRPr="000446E6">
        <w:rPr>
          <w:rFonts w:ascii="Verdana" w:eastAsia="Arial" w:hAnsi="Verdana" w:cs="Arial"/>
          <w:color w:val="000000"/>
          <w:lang w:val="es-ES_tradnl"/>
        </w:rPr>
        <w:t xml:space="preserve">Como se aprecia, el principio </w:t>
      </w:r>
      <w:r w:rsidRPr="000446E6">
        <w:rPr>
          <w:rFonts w:ascii="Verdana" w:eastAsia="Arial" w:hAnsi="Verdana" w:cs="Arial"/>
          <w:i/>
          <w:iCs/>
          <w:color w:val="000000"/>
          <w:lang w:val="es-ES_tradnl"/>
        </w:rPr>
        <w:t xml:space="preserve">pro </w:t>
      </w:r>
      <w:proofErr w:type="spellStart"/>
      <w:r w:rsidRPr="000446E6">
        <w:rPr>
          <w:rFonts w:ascii="Verdana" w:eastAsia="Arial" w:hAnsi="Verdana" w:cs="Arial"/>
          <w:i/>
          <w:iCs/>
          <w:color w:val="000000"/>
          <w:lang w:val="es-ES_tradnl"/>
        </w:rPr>
        <w:t>libertate</w:t>
      </w:r>
      <w:proofErr w:type="spellEnd"/>
      <w:r w:rsidRPr="000446E6">
        <w:rPr>
          <w:rFonts w:ascii="Verdana" w:eastAsia="Arial" w:hAnsi="Verdana"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0446E6">
        <w:rPr>
          <w:rFonts w:ascii="Verdana" w:eastAsia="Calibri" w:hAnsi="Verdana" w:cs="Arial"/>
          <w:color w:val="000000"/>
          <w:lang w:val="es-ES"/>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Pr="000446E6">
        <w:rPr>
          <w:rFonts w:ascii="Verdana" w:eastAsia="Calibri" w:hAnsi="Verdana" w:cs="Times New Roman"/>
          <w:color w:val="000000"/>
          <w:vertAlign w:val="superscript"/>
          <w:lang w:val="es-ES"/>
        </w:rPr>
        <w:footnoteReference w:id="17"/>
      </w:r>
      <w:r w:rsidRPr="000446E6">
        <w:rPr>
          <w:rFonts w:ascii="Verdana" w:eastAsia="Calibri" w:hAnsi="Verdana" w:cs="Arial"/>
          <w:color w:val="000000"/>
          <w:lang w:val="es-ES"/>
        </w:rPr>
        <w:t>.</w:t>
      </w:r>
    </w:p>
    <w:p w14:paraId="5B0195B0" w14:textId="77777777" w:rsidR="000446E6" w:rsidRPr="000446E6" w:rsidRDefault="000446E6" w:rsidP="000446E6">
      <w:pPr>
        <w:numPr>
          <w:ilvl w:val="0"/>
          <w:numId w:val="20"/>
        </w:numPr>
        <w:spacing w:after="120" w:line="276" w:lineRule="auto"/>
        <w:contextualSpacing/>
        <w:jc w:val="both"/>
        <w:rPr>
          <w:rFonts w:ascii="Verdana" w:eastAsia="Calibri" w:hAnsi="Verdana" w:cs="Arial"/>
          <w:color w:val="000000"/>
          <w:shd w:val="clear" w:color="auto" w:fill="FFFFFF"/>
          <w:lang w:val="es-ES"/>
        </w:rPr>
      </w:pPr>
      <w:r w:rsidRPr="000446E6">
        <w:rPr>
          <w:rFonts w:ascii="Verdana" w:eastAsia="Calibri" w:hAnsi="Verdana" w:cs="Arial"/>
          <w:lang w:val="es-ES_tradnl"/>
        </w:rPr>
        <w:t xml:space="preserve">Retomando la línea anterior, la doctrina y la jurisprudencia son pacíficas en considera que la creación de inhabilidades e incompatibilidades es un asunto con reserva de ley, en tanto, </w:t>
      </w:r>
      <w:r w:rsidRPr="000446E6">
        <w:rPr>
          <w:rFonts w:ascii="Verdana" w:eastAsia="Calibri" w:hAnsi="Verdana" w:cs="Arial"/>
          <w:shd w:val="clear" w:color="auto" w:fill="FFFFFF"/>
          <w:lang w:val="es-ES"/>
        </w:rPr>
        <w:t xml:space="preserve">“[…] su previsión y desarrollo es </w:t>
      </w:r>
      <w:r w:rsidRPr="000446E6">
        <w:rPr>
          <w:rFonts w:ascii="Verdana" w:eastAsia="Calibri" w:hAnsi="Verdana" w:cs="Arial"/>
          <w:shd w:val="clear" w:color="auto" w:fill="FFFFFF"/>
          <w:lang w:val="es-ES"/>
        </w:rPr>
        <w:lastRenderedPageBreak/>
        <w:t>materia exclusiva del legislador (reserva de ley), quien en virtud del principio democrático debe definir y tipificar expresamente sus causas, vigencia, naturaleza y efectos”</w:t>
      </w:r>
      <w:r w:rsidRPr="000446E6">
        <w:rPr>
          <w:rFonts w:ascii="Verdana" w:eastAsia="Calibri" w:hAnsi="Verdana" w:cs="Times New Roman"/>
          <w:shd w:val="clear" w:color="auto" w:fill="FFFFFF"/>
          <w:vertAlign w:val="superscript"/>
          <w:lang w:val="es-ES"/>
        </w:rPr>
        <w:footnoteReference w:id="18"/>
      </w:r>
      <w:r w:rsidRPr="000446E6">
        <w:rPr>
          <w:rFonts w:ascii="Verdana" w:eastAsia="Calibri" w:hAnsi="Verdana" w:cs="Arial"/>
          <w:shd w:val="clear" w:color="auto" w:fill="FFFFFF"/>
          <w:lang w:val="es-ES"/>
        </w:rPr>
        <w:t xml:space="preserve"> En similar sentido, la Sala de Consulta y Servicio Civil del Consejo de Estado expresó </w:t>
      </w:r>
      <w:r w:rsidRPr="000446E6">
        <w:rPr>
          <w:rFonts w:ascii="Verdana" w:eastAsia="Calibri" w:hAnsi="Verdana" w:cs="Arial"/>
          <w:color w:val="000000"/>
          <w:shd w:val="clear" w:color="auto" w:fill="FFFFFF"/>
          <w:lang w:val="es-ES"/>
        </w:rPr>
        <w:t>que “[…] las causales de inhabilidad e incompatibilidad deben estar expresa y taxativamente establecidas en la Constitución o en la ley y son de aplicación e interpretación restrictivas […]”</w:t>
      </w:r>
      <w:r w:rsidRPr="000446E6">
        <w:rPr>
          <w:rFonts w:ascii="Verdana" w:eastAsia="Calibri" w:hAnsi="Verdana" w:cs="Times New Roman"/>
          <w:color w:val="000000"/>
          <w:shd w:val="clear" w:color="auto" w:fill="FFFFFF"/>
          <w:vertAlign w:val="superscript"/>
          <w:lang w:val="es-ES"/>
        </w:rPr>
        <w:footnoteReference w:id="19"/>
      </w:r>
      <w:r w:rsidRPr="000446E6">
        <w:rPr>
          <w:rFonts w:ascii="Verdana" w:eastAsia="Calibri" w:hAnsi="Verdana" w:cs="Arial"/>
          <w:color w:val="000000"/>
          <w:shd w:val="clear" w:color="auto" w:fill="FFFFFF"/>
          <w:lang w:val="es-ES"/>
        </w:rPr>
        <w:t xml:space="preserve">. En este sentido, como se observa, existe consenso, incluso como lo ha expresado esta Agencia en ocasiones anteriores, que la creación de inhabilidades o incompatibilidades está reservada al constituyente o al legislador. </w:t>
      </w:r>
    </w:p>
    <w:p w14:paraId="66D859F3" w14:textId="77777777" w:rsidR="000446E6" w:rsidRPr="000446E6" w:rsidRDefault="000446E6" w:rsidP="000446E6">
      <w:pPr>
        <w:numPr>
          <w:ilvl w:val="0"/>
          <w:numId w:val="20"/>
        </w:numPr>
        <w:spacing w:after="120" w:line="276" w:lineRule="auto"/>
        <w:contextualSpacing/>
        <w:jc w:val="both"/>
        <w:rPr>
          <w:rFonts w:ascii="Verdana" w:eastAsia="Calibri" w:hAnsi="Verdana" w:cs="Arial"/>
          <w:lang w:val="es-ES"/>
        </w:rPr>
      </w:pPr>
      <w:r w:rsidRPr="000446E6">
        <w:rPr>
          <w:rFonts w:ascii="Verdana" w:eastAsia="Calibri" w:hAnsi="Verdana" w:cs="Arial"/>
          <w:lang w:val="es-ES"/>
        </w:rPr>
        <w:t xml:space="preserve">Bajo esa orbita, se precisa que la citada inhabilidad se predica de las personas que ostentan vínculos en los términos expuestos y que presenten formalmente ofertas en un proceso de contratación después que lo ha hecho su esposo, esposa, compañero(a) permanente o algún pariente hasta el segundo grado de consanguinidad o afinidad. Es por eso </w:t>
      </w:r>
      <w:proofErr w:type="gramStart"/>
      <w:r w:rsidRPr="000446E6">
        <w:rPr>
          <w:rFonts w:ascii="Verdana" w:eastAsia="Calibri" w:hAnsi="Verdana" w:cs="Arial"/>
          <w:lang w:val="es-ES"/>
        </w:rPr>
        <w:t>que</w:t>
      </w:r>
      <w:proofErr w:type="gramEnd"/>
      <w:r w:rsidRPr="000446E6">
        <w:rPr>
          <w:rFonts w:ascii="Verdana" w:eastAsia="Calibri" w:hAnsi="Verdana" w:cs="Arial"/>
          <w:lang w:val="es-ES"/>
        </w:rPr>
        <w:t xml:space="preserve"> en el artículo 2.2.1.1.2.2.5 del Decreto 1082 de 2015, se dispuso que la Entidad Estatal contratante dejará constancia de la fecha y hora en que recibió las correspondientes ofertas, para establecer cuál fue la primera en el tiempo y/o cual(es) se encuentra(n) inhabilitada(s) acorde al literal g) y h) del numeral 1 del artículo 8 de la Ley 80 de 1993.</w:t>
      </w:r>
    </w:p>
    <w:p w14:paraId="14FFB764" w14:textId="77777777" w:rsidR="000446E6" w:rsidRPr="000446E6" w:rsidRDefault="000446E6" w:rsidP="000446E6">
      <w:pPr>
        <w:numPr>
          <w:ilvl w:val="0"/>
          <w:numId w:val="20"/>
        </w:numPr>
        <w:spacing w:before="120" w:after="120" w:line="276" w:lineRule="auto"/>
        <w:contextualSpacing/>
        <w:jc w:val="both"/>
        <w:rPr>
          <w:rFonts w:ascii="Verdana" w:eastAsia="Calibri" w:hAnsi="Verdana" w:cs="Arial"/>
          <w:lang w:val="es-ES"/>
        </w:rPr>
      </w:pPr>
      <w:r w:rsidRPr="000446E6">
        <w:rPr>
          <w:rFonts w:ascii="Verdana" w:eastAsia="Calibri" w:hAnsi="Verdana" w:cs="Arial"/>
          <w:lang w:val="es-ES"/>
        </w:rPr>
        <w:t xml:space="preserve">En conclusión, </w:t>
      </w:r>
      <w:bookmarkStart w:id="3" w:name="_Hlk143237097"/>
      <w:r w:rsidRPr="000446E6">
        <w:rPr>
          <w:rFonts w:ascii="Verdana" w:eastAsia="Calibri" w:hAnsi="Verdana" w:cs="Arial"/>
          <w:lang w:val="es-ES"/>
        </w:rPr>
        <w:t>debido a que el régimen de inhabilidades se interpreta de manera restrictiva, las causales de inhabilidad dispuestas en el literal g) y h) del numeral 1 del artículo 8 de la Ley 80 de 1993 se refiere solamente de personas naturales, sin que exista posibilidad de extender su aplicación a personas jurídicas, entendidas estas últimas como sujetos capaces de ejercer derechos y contraer obligaciones</w:t>
      </w:r>
      <w:r w:rsidRPr="000446E6">
        <w:rPr>
          <w:rFonts w:ascii="Verdana" w:eastAsia="Calibri" w:hAnsi="Verdana" w:cs="Times New Roman"/>
          <w:vertAlign w:val="superscript"/>
          <w:lang w:val="es-ES"/>
        </w:rPr>
        <w:footnoteReference w:id="20"/>
      </w:r>
      <w:r w:rsidRPr="000446E6">
        <w:rPr>
          <w:rFonts w:ascii="Verdana" w:eastAsia="Calibri" w:hAnsi="Verdana" w:cs="Arial"/>
          <w:lang w:val="es-ES"/>
        </w:rPr>
        <w:t>, cuya capacidad está determinada por su objeto social</w:t>
      </w:r>
      <w:r w:rsidRPr="000446E6">
        <w:rPr>
          <w:rFonts w:ascii="Verdana" w:eastAsia="Calibri" w:hAnsi="Verdana" w:cs="Times New Roman"/>
          <w:vertAlign w:val="superscript"/>
          <w:lang w:val="es-ES"/>
        </w:rPr>
        <w:footnoteReference w:id="21"/>
      </w:r>
      <w:r w:rsidRPr="000446E6">
        <w:rPr>
          <w:rFonts w:ascii="Verdana" w:eastAsia="Calibri" w:hAnsi="Verdana" w:cs="Arial"/>
          <w:lang w:val="es-ES"/>
        </w:rPr>
        <w:t>.</w:t>
      </w:r>
    </w:p>
    <w:p w14:paraId="312B3153" w14:textId="77777777" w:rsidR="000446E6" w:rsidRPr="000446E6" w:rsidRDefault="000446E6" w:rsidP="000446E6">
      <w:pPr>
        <w:numPr>
          <w:ilvl w:val="0"/>
          <w:numId w:val="20"/>
        </w:numPr>
        <w:spacing w:before="120" w:after="0" w:line="276" w:lineRule="auto"/>
        <w:contextualSpacing/>
        <w:jc w:val="both"/>
        <w:rPr>
          <w:rFonts w:ascii="Verdana" w:eastAsia="Calibri" w:hAnsi="Verdana" w:cs="Arial"/>
          <w:lang w:val="es-ES_tradnl"/>
        </w:rPr>
      </w:pPr>
      <w:r w:rsidRPr="000446E6">
        <w:rPr>
          <w:rFonts w:ascii="Verdana" w:eastAsia="Calibri" w:hAnsi="Verdana" w:cs="Arial"/>
          <w:lang w:val="es-ES_tradnl"/>
        </w:rPr>
        <w:t xml:space="preserve">De igual manera, esas causales de inhabilidad también se refieren a las personas naturales que integran sociedades distintas a las anónimas, proponentes plurales, consorcios o uniones temporales, así como la </w:t>
      </w:r>
      <w:r w:rsidRPr="000446E6">
        <w:rPr>
          <w:rFonts w:ascii="Verdana" w:eastAsia="Calibri" w:hAnsi="Verdana" w:cs="Arial"/>
          <w:lang w:val="es-ES_tradnl"/>
        </w:rPr>
        <w:lastRenderedPageBreak/>
        <w:t>persona designada como representante de estos, ya que estas formas de asociación no constituyen una persona jurídica diferente o independiente los miembros que los integran, lo cual implica, que la sociedad distinta a las anónimas, el consorcio o unión temporal serán inhabilitados en un proceso de contratación, cuando uno de sus integrantes o representante designado se encuentra en alguna de las relaciones de parentesco determinadas en las mencionadas disposiciones.</w:t>
      </w:r>
      <w:bookmarkEnd w:id="3"/>
      <w:r w:rsidRPr="000446E6">
        <w:rPr>
          <w:rFonts w:ascii="Verdana" w:eastAsia="Calibri" w:hAnsi="Verdana" w:cs="Arial"/>
          <w:lang w:val="es-ES_tradnl"/>
        </w:rPr>
        <w:tab/>
        <w:t xml:space="preserve"> </w:t>
      </w:r>
    </w:p>
    <w:p w14:paraId="61100741" w14:textId="77777777" w:rsidR="000446E6" w:rsidRPr="000446E6" w:rsidRDefault="000446E6" w:rsidP="000446E6">
      <w:pPr>
        <w:numPr>
          <w:ilvl w:val="0"/>
          <w:numId w:val="20"/>
        </w:numPr>
        <w:spacing w:before="120" w:after="0" w:line="276" w:lineRule="auto"/>
        <w:contextualSpacing/>
        <w:jc w:val="both"/>
        <w:rPr>
          <w:rFonts w:ascii="Verdana" w:eastAsia="Calibri" w:hAnsi="Verdana" w:cs="Arial"/>
          <w:lang w:val="es-ES"/>
        </w:rPr>
      </w:pPr>
      <w:r w:rsidRPr="000446E6">
        <w:rPr>
          <w:rFonts w:ascii="Verdana" w:eastAsia="Calibri" w:hAnsi="Verdana" w:cs="Arial"/>
          <w:lang w:val="es-ES"/>
        </w:rPr>
        <w:t>En ese sentido, para acreditar que los proponentes no se encuentran incursos en inhabilidades, es válido que las Entidades Estatales, al adelantar procesos de selección, exijan a los proponentes, declaraciones en las que, bajo la gravedad de juramento, manifiesten no estar incursos en causales de inhabilidad o incompatibilidad. Ello ciertamente corresponde una forma viable para demostrar el hecho al que se refiere, al ser el juramento un medio de prueba válido a la luz de las normas procesales</w:t>
      </w:r>
      <w:r w:rsidRPr="000446E6">
        <w:rPr>
          <w:rFonts w:ascii="Verdana" w:eastAsia="Calibri" w:hAnsi="Verdana" w:cs="Times New Roman"/>
          <w:vertAlign w:val="superscript"/>
          <w:lang w:val="es-ES"/>
        </w:rPr>
        <w:footnoteReference w:id="22"/>
      </w:r>
      <w:r w:rsidRPr="000446E6">
        <w:rPr>
          <w:rFonts w:ascii="Verdana" w:eastAsia="Calibri" w:hAnsi="Verdana" w:cs="Arial"/>
          <w:lang w:val="es-ES"/>
        </w:rPr>
        <w:t xml:space="preserve">. La negación en la que consiste tal declaración, siempre que sea formulada de forma fidedigna o general, respecto del régimen de inhabilidades e incompatibilidades, o aludiendo específicamente a </w:t>
      </w:r>
      <w:proofErr w:type="spellStart"/>
      <w:r w:rsidRPr="000446E6">
        <w:rPr>
          <w:rFonts w:ascii="Verdana" w:eastAsia="Calibri" w:hAnsi="Verdana" w:cs="Arial"/>
          <w:lang w:val="es-ES"/>
        </w:rPr>
        <w:t>a</w:t>
      </w:r>
      <w:proofErr w:type="spellEnd"/>
      <w:r w:rsidRPr="000446E6">
        <w:rPr>
          <w:rFonts w:ascii="Verdana" w:eastAsia="Calibri" w:hAnsi="Verdana" w:cs="Arial"/>
          <w:lang w:val="es-ES"/>
        </w:rPr>
        <w:t xml:space="preserve"> los literales g) y h) del numeral 1 del artículo 8 de la Ley 80 de 1993, cobijan el supuesto de hecho al que se refiere dicha norma. En ese sentido, el proponente mediante tal declaración acredita no estar incurso en las inhabilidades bajo estudio.</w:t>
      </w:r>
    </w:p>
    <w:p w14:paraId="3EF33B1B" w14:textId="77777777" w:rsidR="000446E6" w:rsidRPr="000446E6" w:rsidRDefault="000446E6" w:rsidP="000446E6">
      <w:pPr>
        <w:numPr>
          <w:ilvl w:val="0"/>
          <w:numId w:val="20"/>
        </w:numPr>
        <w:spacing w:before="120" w:after="0" w:line="276" w:lineRule="auto"/>
        <w:contextualSpacing/>
        <w:jc w:val="both"/>
        <w:rPr>
          <w:rFonts w:ascii="Verdana" w:eastAsia="Calibri" w:hAnsi="Verdana" w:cs="Arial"/>
          <w:lang w:val="es-ES_tradnl"/>
        </w:rPr>
      </w:pPr>
      <w:r w:rsidRPr="000446E6">
        <w:rPr>
          <w:rFonts w:ascii="Verdana" w:eastAsia="Calibri" w:hAnsi="Verdana" w:cs="Arial"/>
          <w:lang w:val="es-ES_tradnl"/>
        </w:rPr>
        <w:t>No obstante, tal declaración no exime a la Entidad Estatal del deber de ejercer la potestad verificadora que le compete, respecto de la acreditación de la capacidad jurídica, en lo atinente a las inhabilidades de los literales g) y h) del numeral 1 del artículo 8</w:t>
      </w:r>
      <w:r w:rsidRPr="000446E6">
        <w:rPr>
          <w:rFonts w:ascii="Verdana" w:eastAsia="Calibri" w:hAnsi="Verdana" w:cs="Arial"/>
          <w:i/>
          <w:iCs/>
          <w:lang w:val="es-ES"/>
        </w:rPr>
        <w:t xml:space="preserve"> ibidem, </w:t>
      </w:r>
      <w:r w:rsidRPr="000446E6">
        <w:rPr>
          <w:rFonts w:ascii="Verdana" w:eastAsia="Calibri" w:hAnsi="Verdana" w:cs="Arial"/>
          <w:lang w:val="es-ES"/>
        </w:rPr>
        <w:t xml:space="preserve">cuando en el marco de la evaluación de las propuestas, se tienen dudas en relación con la configuración de dicha </w:t>
      </w:r>
      <w:r w:rsidRPr="000446E6">
        <w:rPr>
          <w:rFonts w:ascii="Verdana" w:eastAsia="Calibri" w:hAnsi="Verdana" w:cs="Arial"/>
          <w:lang w:val="es-ES_tradnl"/>
        </w:rPr>
        <w:t xml:space="preserve">inhabilidad. En ese sentido, en primer lugar, si en el marco de la evaluación de ofertas, antes de la publicación del respectivo informe, la Entidad Estatal tiene conocimiento de circunstancias que le indiquen la eventual configuración de la respectiva inhabilidad, tiene posibilidad de solicitar a los proponentes el esclarecimiento de dicha </w:t>
      </w:r>
      <w:r w:rsidRPr="000446E6">
        <w:rPr>
          <w:rFonts w:ascii="Verdana" w:eastAsia="Calibri" w:hAnsi="Verdana" w:cs="Arial"/>
          <w:lang w:val="es-ES_tradnl"/>
        </w:rPr>
        <w:lastRenderedPageBreak/>
        <w:t>circunstancia, exigiendo las explicaciones y aclaraciones que sean procedentes.</w:t>
      </w:r>
    </w:p>
    <w:p w14:paraId="142F4344" w14:textId="77777777" w:rsidR="000446E6" w:rsidRPr="000446E6" w:rsidRDefault="000446E6" w:rsidP="000446E6">
      <w:pPr>
        <w:numPr>
          <w:ilvl w:val="0"/>
          <w:numId w:val="20"/>
        </w:numPr>
        <w:spacing w:before="120" w:after="0" w:line="276" w:lineRule="auto"/>
        <w:contextualSpacing/>
        <w:jc w:val="both"/>
        <w:rPr>
          <w:rFonts w:ascii="Verdana" w:eastAsia="Calibri" w:hAnsi="Verdana" w:cs="Arial"/>
          <w:lang w:val="es-ES"/>
        </w:rPr>
      </w:pPr>
      <w:r w:rsidRPr="000446E6">
        <w:rPr>
          <w:rFonts w:ascii="Verdana" w:eastAsia="Calibri" w:hAnsi="Verdana" w:cs="Arial"/>
          <w:lang w:val="es-ES"/>
        </w:rPr>
        <w:t>En ese contexto, como se indicó anteriormente, al ser capacidad jurídica un requisito habilitante, ante la ausencia de claridad en su acreditación, procede la regla de subsanabilidad prevista en el parágrafo 1 del artículo 5 de la Ley 1150 de 2007. Conforme a esta, hasta el término de traslado del informe de evaluación, la Entidad Estatal tiene la posibilidad de solicitar a los proponentes los proponentes los medios de prueba necesarios para verificar la configuración o no de las circunstancias y condiciones sancionadas con la inhabilidad, que confirmen o desvirtúen la negación indefinida hecha bajo la gravedad de juramento relativa a no estar incurso en inhabilidades e incompatibilidades.</w:t>
      </w:r>
    </w:p>
    <w:p w14:paraId="743453FA" w14:textId="77777777" w:rsidR="000446E6" w:rsidRPr="000446E6" w:rsidRDefault="000446E6" w:rsidP="000446E6">
      <w:pPr>
        <w:numPr>
          <w:ilvl w:val="0"/>
          <w:numId w:val="20"/>
        </w:numPr>
        <w:spacing w:before="120" w:after="0" w:line="276" w:lineRule="auto"/>
        <w:contextualSpacing/>
        <w:jc w:val="both"/>
        <w:rPr>
          <w:rFonts w:ascii="Verdana" w:eastAsia="Calibri" w:hAnsi="Verdana" w:cs="Arial"/>
          <w:lang w:val="es-ES"/>
        </w:rPr>
      </w:pPr>
      <w:r w:rsidRPr="000446E6">
        <w:rPr>
          <w:rFonts w:ascii="Verdana" w:eastAsia="Calibri" w:hAnsi="Verdana" w:cs="Arial"/>
          <w:lang w:val="es-ES_tradnl"/>
        </w:rPr>
        <w:t xml:space="preserve">Sin perjuicio de lo anterior, también es posible que la configuración de la inhabilidad se evidencie en un estado más avanzado del proceso de selección, lo cual tampoco obsta para que la Entidad Estatal ejerza su potestad verificadora y descalifique la oferta del proponente afectado por la inhabilidad. Ello puede suceder si, por ejemplo, en el marco de las observaciones al informe de evaluación algún proponente pone de presente la configuración de la inhabilidad, suministrando información o documentación que así lo indique. En este caso, la entidad también debe verificar la configuración de la inhabilidad. </w:t>
      </w:r>
    </w:p>
    <w:p w14:paraId="3F839FCC" w14:textId="77777777" w:rsidR="000446E6" w:rsidRPr="000446E6" w:rsidRDefault="000446E6" w:rsidP="000446E6">
      <w:pPr>
        <w:numPr>
          <w:ilvl w:val="0"/>
          <w:numId w:val="20"/>
        </w:numPr>
        <w:spacing w:before="120" w:after="0" w:line="276" w:lineRule="auto"/>
        <w:contextualSpacing/>
        <w:jc w:val="both"/>
        <w:rPr>
          <w:rFonts w:ascii="Verdana" w:eastAsia="Calibri" w:hAnsi="Verdana" w:cs="Arial"/>
          <w:lang w:val="es-ES"/>
        </w:rPr>
      </w:pPr>
      <w:r w:rsidRPr="000446E6">
        <w:rPr>
          <w:rFonts w:ascii="Verdana" w:eastAsia="Calibri" w:hAnsi="Verdana" w:cs="Arial"/>
          <w:lang w:val="es-ES"/>
        </w:rPr>
        <w:t xml:space="preserve">Se concluye que, conforme a lo expuesto las Entidades Estatales que quieran celebrar Contratos de Prestación de Servicios Profesionales tienen autonomía para definir los honorarios de un contrato de prestación de servicios profesionales y su forma de pago, para lo cual deberán tener en cuenta el tipo de actividades a ejecutar, el tiempo que se destinara a su desarrollo, el perfil requerido al contratista, dentro de este aspecto se destaca el conocimiento que tenga de una determinada materia de acuerdo con sus estudios y la experiencia que acredite, las obligaciones asignadas para satisfacer la necesidad de la Entidad Estatal, entre otros aspectos, que deberán consignarse en el estudio de sector. </w:t>
      </w:r>
    </w:p>
    <w:p w14:paraId="37962E46" w14:textId="77777777" w:rsidR="000446E6" w:rsidRPr="000446E6" w:rsidRDefault="000446E6" w:rsidP="000446E6">
      <w:pPr>
        <w:spacing w:before="120" w:line="276" w:lineRule="auto"/>
        <w:contextualSpacing/>
        <w:jc w:val="both"/>
        <w:rPr>
          <w:rFonts w:ascii="Verdana" w:eastAsia="Calibri" w:hAnsi="Verdana" w:cs="Arial"/>
          <w:lang w:val="es-ES"/>
        </w:rPr>
      </w:pPr>
    </w:p>
    <w:p w14:paraId="177A131E" w14:textId="77777777" w:rsidR="000446E6" w:rsidRPr="000446E6" w:rsidRDefault="000446E6" w:rsidP="000446E6">
      <w:pPr>
        <w:spacing w:before="120" w:line="276" w:lineRule="auto"/>
        <w:contextualSpacing/>
        <w:jc w:val="both"/>
        <w:rPr>
          <w:rFonts w:ascii="Verdana" w:eastAsia="Calibri" w:hAnsi="Verdana" w:cs="Arial"/>
          <w:lang w:val="es-ES"/>
        </w:rPr>
      </w:pPr>
    </w:p>
    <w:p w14:paraId="413C17A7" w14:textId="77777777" w:rsidR="000446E6" w:rsidRPr="000446E6" w:rsidRDefault="000446E6" w:rsidP="000446E6">
      <w:pPr>
        <w:spacing w:before="120" w:line="276" w:lineRule="auto"/>
        <w:contextualSpacing/>
        <w:jc w:val="both"/>
        <w:rPr>
          <w:rFonts w:ascii="Verdana" w:eastAsia="Calibri" w:hAnsi="Verdana" w:cs="Arial"/>
          <w:lang w:val="es-ES"/>
        </w:rPr>
      </w:pPr>
    </w:p>
    <w:p w14:paraId="39642C86" w14:textId="77777777" w:rsidR="000446E6" w:rsidRPr="000446E6" w:rsidRDefault="000446E6" w:rsidP="000446E6">
      <w:pPr>
        <w:spacing w:before="120" w:line="276" w:lineRule="auto"/>
        <w:contextualSpacing/>
        <w:jc w:val="both"/>
        <w:rPr>
          <w:rFonts w:ascii="Verdana" w:eastAsia="Calibri" w:hAnsi="Verdana" w:cs="Arial"/>
          <w:lang w:val="es-ES"/>
        </w:rPr>
      </w:pPr>
    </w:p>
    <w:p w14:paraId="530CD5C3"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lang w:eastAsia="es-MX"/>
        </w:rPr>
      </w:pPr>
    </w:p>
    <w:p w14:paraId="2E7185D0" w14:textId="77777777" w:rsidR="000446E6" w:rsidRPr="000446E6" w:rsidRDefault="000446E6" w:rsidP="000446E6">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0446E6">
        <w:rPr>
          <w:rFonts w:ascii="Verdana" w:eastAsia="Century Gothic" w:hAnsi="Verdana" w:cs="Century Gothic"/>
          <w:b/>
          <w:bCs/>
          <w:color w:val="000000"/>
          <w:lang w:val="es-ES"/>
        </w:rPr>
        <w:t>Referencias normativas, jurisprudenciales y otras fuentes:</w:t>
      </w:r>
    </w:p>
    <w:p w14:paraId="54274C96"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lang w:eastAsia="es-MX"/>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446E6" w:rsidRPr="000446E6" w14:paraId="22D87DEC" w14:textId="77777777" w:rsidTr="005804BE">
        <w:trPr>
          <w:trHeight w:val="870"/>
        </w:trPr>
        <w:tc>
          <w:tcPr>
            <w:tcW w:w="8647" w:type="dxa"/>
          </w:tcPr>
          <w:p w14:paraId="02B1F009" w14:textId="77777777" w:rsidR="000446E6" w:rsidRPr="000446E6" w:rsidRDefault="000446E6" w:rsidP="000446E6">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0446E6">
              <w:rPr>
                <w:rFonts w:ascii="Verdana" w:eastAsia="Calibri" w:hAnsi="Verdana" w:cs="Arial"/>
                <w:color w:val="000000"/>
                <w:lang w:val="es-MX"/>
              </w:rPr>
              <w:lastRenderedPageBreak/>
              <w:t>Ley 80 de 1993</w:t>
            </w:r>
          </w:p>
          <w:p w14:paraId="7F523F11" w14:textId="77777777" w:rsidR="000446E6" w:rsidRPr="000446E6" w:rsidRDefault="000446E6" w:rsidP="000446E6">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0446E6">
              <w:rPr>
                <w:rFonts w:ascii="Verdana" w:eastAsia="Calibri" w:hAnsi="Verdana" w:cs="Arial"/>
                <w:color w:val="000000"/>
                <w:lang w:val="es-MX"/>
              </w:rPr>
              <w:t>Ley 1150 de 2007</w:t>
            </w:r>
          </w:p>
          <w:p w14:paraId="114A590E" w14:textId="77777777" w:rsidR="000446E6" w:rsidRPr="000446E6" w:rsidRDefault="000446E6" w:rsidP="000446E6">
            <w:pPr>
              <w:numPr>
                <w:ilvl w:val="0"/>
                <w:numId w:val="17"/>
              </w:numPr>
              <w:contextualSpacing/>
              <w:jc w:val="both"/>
              <w:rPr>
                <w:rFonts w:ascii="Verdana" w:eastAsia="Calibri" w:hAnsi="Verdana" w:cs="Arial"/>
                <w:color w:val="000000"/>
                <w:lang w:val="es-ES" w:eastAsia="es-ES_tradnl"/>
              </w:rPr>
            </w:pPr>
            <w:r w:rsidRPr="000446E6">
              <w:rPr>
                <w:rFonts w:ascii="Verdana" w:eastAsia="Calibri" w:hAnsi="Verdana" w:cs="Arial"/>
                <w:bCs/>
                <w:lang w:val="es-ES_tradnl"/>
              </w:rPr>
              <w:t>artículo 86 de la Ley 1474 de 2011</w:t>
            </w:r>
          </w:p>
          <w:p w14:paraId="6C472B73" w14:textId="77777777" w:rsidR="000446E6" w:rsidRPr="000446E6" w:rsidRDefault="000446E6" w:rsidP="000446E6">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0446E6">
              <w:rPr>
                <w:rFonts w:ascii="Verdana" w:eastAsia="Calibri" w:hAnsi="Verdana" w:cs="Arial"/>
                <w:color w:val="000000"/>
                <w:lang w:val="es-MX"/>
              </w:rPr>
              <w:t>Decreto Único Reglamentario 1082 de 2015</w:t>
            </w:r>
          </w:p>
          <w:p w14:paraId="015AD1EB" w14:textId="77777777" w:rsidR="000446E6" w:rsidRPr="000446E6" w:rsidRDefault="000446E6" w:rsidP="000446E6">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0446E6">
              <w:rPr>
                <w:rFonts w:ascii="Verdana" w:eastAsia="Calibri" w:hAnsi="Verdana" w:cs="Arial"/>
                <w:color w:val="000000"/>
                <w:lang w:val="es-MX"/>
              </w:rPr>
              <w:t xml:space="preserve">Jurisprudencia del Consejo de Estado. Disponible en: </w:t>
            </w:r>
            <w:hyperlink r:id="rId12" w:history="1">
              <w:r w:rsidRPr="000446E6">
                <w:rPr>
                  <w:rFonts w:ascii="Verdana" w:eastAsia="Calibri" w:hAnsi="Verdana" w:cs="Arial"/>
                  <w:color w:val="467886"/>
                  <w:u w:val="single"/>
                  <w:lang w:val="es-MX"/>
                </w:rPr>
                <w:t>https://relatoria.colombiacompra.gov.co/providencias-consejo-de-estado/</w:t>
              </w:r>
            </w:hyperlink>
            <w:r w:rsidRPr="000446E6">
              <w:rPr>
                <w:rFonts w:ascii="Verdana" w:eastAsia="Calibri" w:hAnsi="Verdana" w:cs="Arial"/>
                <w:color w:val="000000"/>
                <w:lang w:val="es-MX"/>
              </w:rPr>
              <w:t xml:space="preserve">  </w:t>
            </w:r>
          </w:p>
          <w:p w14:paraId="1433D0A8" w14:textId="77777777" w:rsidR="000446E6" w:rsidRPr="000446E6" w:rsidRDefault="000446E6" w:rsidP="000446E6">
            <w:pPr>
              <w:numPr>
                <w:ilvl w:val="0"/>
                <w:numId w:val="17"/>
              </w:numPr>
              <w:contextualSpacing/>
              <w:rPr>
                <w:rFonts w:ascii="Verdana" w:eastAsia="Aptos" w:hAnsi="Verdana" w:cs="Arial"/>
                <w:color w:val="000000"/>
              </w:rPr>
            </w:pPr>
            <w:r w:rsidRPr="000446E6">
              <w:rPr>
                <w:rFonts w:ascii="Verdana" w:eastAsia="Aptos" w:hAnsi="Verdana" w:cs="Arial"/>
              </w:rPr>
              <w:t xml:space="preserve">Guías y manuales expedidos por la ANCP-CCE. Disponible en: </w:t>
            </w:r>
            <w:hyperlink r:id="rId13" w:history="1">
              <w:r w:rsidRPr="000446E6">
                <w:rPr>
                  <w:rFonts w:ascii="Verdana" w:eastAsia="Aptos" w:hAnsi="Verdana" w:cs="Arial"/>
                  <w:color w:val="467886"/>
                  <w:u w:val="single"/>
                </w:rPr>
                <w:t>https://www.colombiacompra.gov.co/node/21498/</w:t>
              </w:r>
            </w:hyperlink>
          </w:p>
        </w:tc>
      </w:tr>
    </w:tbl>
    <w:p w14:paraId="66639140"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lang w:eastAsia="es-MX"/>
        </w:rPr>
      </w:pPr>
    </w:p>
    <w:p w14:paraId="14C82386" w14:textId="77777777" w:rsidR="000446E6" w:rsidRPr="000446E6" w:rsidRDefault="000446E6" w:rsidP="000446E6">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0446E6">
        <w:rPr>
          <w:rFonts w:ascii="Verdana" w:eastAsia="Century Gothic" w:hAnsi="Verdana" w:cs="Century Gothic"/>
          <w:b/>
          <w:bCs/>
          <w:color w:val="000000"/>
          <w:lang w:val="es-ES"/>
        </w:rPr>
        <w:t>Doctrina de la Agencia Nacional de Contratación Pública:</w:t>
      </w:r>
    </w:p>
    <w:p w14:paraId="5D07909D"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lang w:eastAsia="es-MX"/>
        </w:rPr>
      </w:pPr>
    </w:p>
    <w:p w14:paraId="0643B513"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shd w:val="clear" w:color="auto" w:fill="FFFFFF"/>
          <w:lang w:val="es-ES" w:eastAsia="es-MX"/>
        </w:rPr>
      </w:pPr>
      <w:r w:rsidRPr="000446E6">
        <w:rPr>
          <w:rFonts w:ascii="Verdana" w:eastAsia="Times New Roman" w:hAnsi="Verdana" w:cs="Arial"/>
          <w:lang w:val="es-ES_tradnl" w:eastAsia="es-ES_tradnl"/>
        </w:rPr>
        <w:t xml:space="preserve">La Agencia Nacional de Contratación Pública – Colombia Compra Eficiente, en los Conceptos número Conceptos </w:t>
      </w:r>
      <w:r w:rsidRPr="000446E6">
        <w:rPr>
          <w:rFonts w:ascii="Verdana" w:eastAsia="Times New Roman" w:hAnsi="Verdana" w:cs="Arial"/>
          <w:lang w:val="es-MX" w:eastAsia="es-ES_tradnl"/>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0446E6">
        <w:rPr>
          <w:rFonts w:ascii="Verdana" w:eastAsia="Times New Roman" w:hAnsi="Verdana" w:cs="Arial"/>
          <w:lang w:val="es-ES_tradnl" w:eastAsia="es-ES_tradnl"/>
        </w:rPr>
        <w:t xml:space="preserve">C-032 del 19 de febrero de 2020, C-090 del 24 de febrero de 2020, </w:t>
      </w:r>
      <w:r w:rsidRPr="000446E6">
        <w:rPr>
          <w:rFonts w:ascii="Verdana" w:eastAsia="Times New Roman" w:hAnsi="Verdana" w:cs="Arial"/>
          <w:lang w:val="es-ES" w:eastAsia="es-ES_tradnl"/>
        </w:rPr>
        <w:t>C-318 del 18 de mayo de 2022, C-252 del 30 de mayo de 2022, C-001 del 14 de febrero de 2023 y el C-175 del 4 de mayo de 2022 y C-456 de 2024 analizó los contornos generales del régimen de inhabilidades e incompatibilidades en la contratación estatal</w:t>
      </w:r>
      <w:r w:rsidRPr="000446E6">
        <w:rPr>
          <w:rFonts w:ascii="Verdana" w:eastAsia="Times New Roman" w:hAnsi="Verdana" w:cs="Arial"/>
          <w:lang w:val="es-ES_tradnl" w:eastAsia="es-ES_tradnl"/>
        </w:rPr>
        <w:t xml:space="preserve">. </w:t>
      </w:r>
      <w:r w:rsidRPr="000446E6">
        <w:rPr>
          <w:rFonts w:ascii="Verdana" w:eastAsia="Times New Roman" w:hAnsi="Verdana" w:cs="Arial"/>
          <w:shd w:val="clear" w:color="auto" w:fill="FFFFFF"/>
          <w:lang w:val="es-ES" w:eastAsia="es-MX"/>
        </w:rPr>
        <w:t xml:space="preserve">Sobre </w:t>
      </w:r>
      <w:r w:rsidRPr="000446E6">
        <w:rPr>
          <w:rFonts w:ascii="Verdana" w:eastAsia="Times New Roman" w:hAnsi="Verdana" w:cs="Arial"/>
          <w:i/>
          <w:iCs/>
          <w:shd w:val="clear" w:color="auto" w:fill="FFFFFF"/>
          <w:lang w:val="es-ES" w:eastAsia="es-MX"/>
        </w:rPr>
        <w:t>el deber de las entidades de publicar sus actuaciones contractuales en el SECOP</w:t>
      </w:r>
      <w:r w:rsidRPr="000446E6">
        <w:rPr>
          <w:rFonts w:ascii="Verdana" w:eastAsia="Times New Roman" w:hAnsi="Verdana" w:cs="Arial"/>
          <w:shd w:val="clear" w:color="auto" w:fill="FFFFFF"/>
          <w:lang w:val="es-ES" w:eastAsia="es-MX"/>
        </w:rPr>
        <w:t>, esta Subdirección unificó su doctrina en el concepto CU-003 del 15 de enero de 2020.  Dicho concepto de unificación, fue reiterado en los conceptos C-116 del 18 de febrero de 2020</w:t>
      </w:r>
      <w:proofErr w:type="gramStart"/>
      <w:r w:rsidRPr="000446E6">
        <w:rPr>
          <w:rFonts w:ascii="Verdana" w:eastAsia="Times New Roman" w:hAnsi="Verdana" w:cs="Arial"/>
          <w:shd w:val="clear" w:color="auto" w:fill="FFFFFF"/>
          <w:lang w:val="es-ES" w:eastAsia="es-MX"/>
        </w:rPr>
        <w:t>, ,</w:t>
      </w:r>
      <w:proofErr w:type="gramEnd"/>
      <w:r w:rsidRPr="000446E6">
        <w:rPr>
          <w:rFonts w:ascii="Verdana" w:eastAsia="Times New Roman" w:hAnsi="Verdana" w:cs="Arial"/>
          <w:shd w:val="clear" w:color="auto" w:fill="FFFFFF"/>
          <w:lang w:val="es-ES" w:eastAsia="es-MX"/>
        </w:rPr>
        <w:t xml:space="preserve"> C-026 del 18 de febrero de 2022, C-074 del 10 de marzo de 2022, C-083 del 18 de marzo de 2022, C-135 del 28 de marzo de 2022, C-495 del 2 de agosto de 2022, C-508 del 30 de agosto de 2022, C-609 del 23 de septiembre de 2022, C-464 del 23 de septiembre de 2024. Además se ha analizado el tema los contratos de prestación de servicios, así como los requisitos para su celebración, entre otros, en los conceptos con radicado: C-661 del 17 de noviembre de 2020 C−685 del 18 de diciembre de 2020, C- 004 del 12 de febrero de 2021, C−106 del 7 de abril de 2021, C-181 del  07 de abril de 2022, C-214 del 22 de abril de 2022 y C-491 de 01 de agosto de 2022 </w:t>
      </w:r>
      <w:r w:rsidRPr="000446E6">
        <w:rPr>
          <w:rFonts w:ascii="Verdana" w:eastAsia="Times New Roman" w:hAnsi="Verdana" w:cs="Arial"/>
          <w:color w:val="000000"/>
          <w:shd w:val="clear" w:color="auto" w:fill="FFFFFF"/>
          <w:lang w:val="es-ES" w:eastAsia="es-MX"/>
        </w:rPr>
        <w:t>Es</w:t>
      </w:r>
      <w:r w:rsidRPr="000446E6">
        <w:rPr>
          <w:rFonts w:ascii="Verdana" w:eastAsia="Times New Roman" w:hAnsi="Verdana" w:cs="Times New Roman"/>
          <w:color w:val="000000"/>
          <w:lang w:eastAsia="es-MX"/>
        </w:rPr>
        <w:t>tos y otros conceptos se encuentran disponibles para consulta en el Sistema de relatoría de la Agencia, al cual se puede acceder a través del siguiente enlace:</w:t>
      </w:r>
      <w:r w:rsidRPr="000446E6">
        <w:rPr>
          <w:rFonts w:ascii="Verdana" w:eastAsia="Times New Roman" w:hAnsi="Verdana" w:cs="Arial"/>
          <w:color w:val="000000"/>
          <w:shd w:val="clear" w:color="auto" w:fill="FFFFFF"/>
          <w:lang w:val="es-ES" w:eastAsia="es-MX"/>
        </w:rPr>
        <w:t xml:space="preserve"> </w:t>
      </w:r>
    </w:p>
    <w:p w14:paraId="6E864BCD"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shd w:val="clear" w:color="auto" w:fill="FFFFFF"/>
          <w:lang w:val="es-ES" w:eastAsia="es-MX"/>
        </w:rPr>
      </w:pPr>
      <w:hyperlink r:id="rId14" w:history="1">
        <w:r w:rsidRPr="000446E6">
          <w:rPr>
            <w:rFonts w:ascii="Verdana" w:eastAsia="Times New Roman" w:hAnsi="Verdana" w:cs="Arial"/>
            <w:color w:val="467886"/>
            <w:u w:val="single"/>
            <w:shd w:val="clear" w:color="auto" w:fill="FFFFFF"/>
            <w:lang w:val="es-ES" w:eastAsia="es-MX"/>
          </w:rPr>
          <w:t>https://relatoria.colombiacompra.gov.co/busqueda/conceptos</w:t>
        </w:r>
      </w:hyperlink>
      <w:r w:rsidRPr="000446E6">
        <w:rPr>
          <w:rFonts w:ascii="Verdana" w:eastAsia="Times New Roman" w:hAnsi="Verdana" w:cs="Arial"/>
          <w:color w:val="000000"/>
          <w:shd w:val="clear" w:color="auto" w:fill="FFFFFF"/>
          <w:lang w:val="es-ES" w:eastAsia="es-MX"/>
        </w:rPr>
        <w:t xml:space="preserve">. </w:t>
      </w:r>
    </w:p>
    <w:p w14:paraId="3116F6A1"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shd w:val="clear" w:color="auto" w:fill="FFFFFF"/>
          <w:lang w:val="es-ES" w:eastAsia="es-MX"/>
        </w:rPr>
      </w:pPr>
    </w:p>
    <w:p w14:paraId="59003B67"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shd w:val="clear" w:color="auto" w:fill="FFFFFF"/>
          <w:lang w:eastAsia="es-MX"/>
        </w:rPr>
      </w:pPr>
      <w:r w:rsidRPr="000446E6">
        <w:rPr>
          <w:rFonts w:ascii="Verdana" w:eastAsia="Times New Roman" w:hAnsi="Verdana" w:cs="Arial"/>
          <w:color w:val="000000"/>
          <w:shd w:val="clear" w:color="auto" w:fill="FFFFFF"/>
          <w:lang w:eastAsia="es-MX"/>
        </w:rPr>
        <w:t xml:space="preserve">Te </w:t>
      </w:r>
      <w:proofErr w:type="gramStart"/>
      <w:r w:rsidRPr="000446E6">
        <w:rPr>
          <w:rFonts w:ascii="Verdana" w:eastAsia="Times New Roman" w:hAnsi="Verdana" w:cs="Arial"/>
          <w:color w:val="000000"/>
          <w:shd w:val="clear" w:color="auto" w:fill="FFFFFF"/>
          <w:lang w:eastAsia="es-MX"/>
        </w:rPr>
        <w:t>invitamos  a</w:t>
      </w:r>
      <w:proofErr w:type="gramEnd"/>
      <w:r w:rsidRPr="000446E6">
        <w:rPr>
          <w:rFonts w:ascii="Verdana" w:eastAsia="Times New Roman" w:hAnsi="Verdana" w:cs="Arial"/>
          <w:color w:val="000000"/>
          <w:shd w:val="clear" w:color="auto" w:fill="FFFFFF"/>
          <w:lang w:eastAsia="es-MX"/>
        </w:rPr>
        <w:t xml:space="preserve">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5" w:tgtFrame="_blank" w:tooltip="Dirección URL original: https://www.colombiacompra.gov.co/sala-de-prensa/boletin-digital/boletin-de-relatoria-2024-iv. Haga clic o pulse si confía en este vínculo." w:history="1">
        <w:r w:rsidRPr="000446E6">
          <w:rPr>
            <w:rFonts w:ascii="Verdana" w:eastAsia="Times New Roman" w:hAnsi="Verdana" w:cs="Arial"/>
            <w:color w:val="467886"/>
            <w:u w:val="single"/>
            <w:shd w:val="clear" w:color="auto" w:fill="FFFFFF"/>
            <w:lang w:eastAsia="es-MX"/>
          </w:rPr>
          <w:t>BOLETÍN DE RELATORÍA 2024 – IV | Colombia Compra Eficiente | Agencia Nacional de Contratación Pública</w:t>
        </w:r>
      </w:hyperlink>
    </w:p>
    <w:p w14:paraId="78F3D21B"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shd w:val="clear" w:color="auto" w:fill="FFFFFF"/>
          <w:lang w:val="es-ES" w:eastAsia="es-MX"/>
        </w:rPr>
      </w:pPr>
      <w:r w:rsidRPr="000446E6">
        <w:rPr>
          <w:rFonts w:ascii="Verdana" w:eastAsia="Times New Roman" w:hAnsi="Verdana" w:cs="Arial"/>
          <w:color w:val="000000"/>
          <w:shd w:val="clear" w:color="auto" w:fill="FFFFFF"/>
          <w:lang w:val="es-ES" w:eastAsia="es-MX"/>
        </w:rPr>
        <w:t xml:space="preserve">    </w:t>
      </w:r>
    </w:p>
    <w:p w14:paraId="3CD04108" w14:textId="77777777" w:rsidR="000446E6" w:rsidRPr="000446E6" w:rsidRDefault="000446E6" w:rsidP="000446E6">
      <w:pPr>
        <w:spacing w:after="0" w:line="240" w:lineRule="auto"/>
        <w:jc w:val="both"/>
        <w:rPr>
          <w:rFonts w:ascii="Verdana" w:eastAsia="Times New Roman" w:hAnsi="Verdana" w:cs="Times New Roman"/>
          <w:color w:val="000000"/>
          <w:lang w:eastAsia="es-MX"/>
        </w:rPr>
      </w:pPr>
      <w:r w:rsidRPr="000446E6">
        <w:rPr>
          <w:rFonts w:ascii="Verdana" w:eastAsia="Times New Roman" w:hAnsi="Verdana" w:cs="Times New Roman"/>
          <w:color w:val="000000"/>
          <w:lang w:eastAsia="es-MX"/>
        </w:rPr>
        <w:t xml:space="preserve">Por último, lo invitamos a seguirnos en las redes sociales en las cuales se difunde información institucional: </w:t>
      </w:r>
    </w:p>
    <w:p w14:paraId="1C5BA70D" w14:textId="77777777" w:rsidR="000446E6" w:rsidRPr="000446E6" w:rsidRDefault="000446E6" w:rsidP="000446E6">
      <w:pPr>
        <w:spacing w:after="0" w:line="240" w:lineRule="auto"/>
        <w:jc w:val="both"/>
        <w:rPr>
          <w:rFonts w:ascii="Verdana" w:eastAsia="Times New Roman" w:hAnsi="Verdana" w:cs="Times New Roman"/>
          <w:color w:val="000000"/>
          <w:lang w:eastAsia="es-MX"/>
        </w:rPr>
      </w:pPr>
    </w:p>
    <w:p w14:paraId="03245AB8" w14:textId="77777777" w:rsidR="000446E6" w:rsidRPr="000446E6" w:rsidRDefault="000446E6" w:rsidP="000446E6">
      <w:pPr>
        <w:spacing w:after="0" w:line="240" w:lineRule="auto"/>
        <w:jc w:val="both"/>
        <w:rPr>
          <w:rFonts w:ascii="Verdana" w:eastAsia="Times New Roman" w:hAnsi="Verdana" w:cs="Times New Roman"/>
          <w:color w:val="000000"/>
          <w:lang w:eastAsia="es-MX"/>
        </w:rPr>
      </w:pPr>
      <w:r w:rsidRPr="000446E6">
        <w:rPr>
          <w:rFonts w:ascii="Verdana" w:eastAsia="Times New Roman" w:hAnsi="Verdana" w:cs="Times New Roman"/>
          <w:color w:val="000000"/>
          <w:lang w:eastAsia="es-MX"/>
        </w:rPr>
        <w:t xml:space="preserve">Twitter: </w:t>
      </w:r>
      <w:r w:rsidRPr="000446E6">
        <w:rPr>
          <w:rFonts w:ascii="Verdana" w:eastAsia="Times New Roman" w:hAnsi="Verdana" w:cs="Times New Roman"/>
          <w:color w:val="000000"/>
          <w:u w:val="single"/>
          <w:lang w:eastAsia="es-MX"/>
        </w:rPr>
        <w:t>@colombiacompra</w:t>
      </w:r>
      <w:r w:rsidRPr="000446E6">
        <w:rPr>
          <w:rFonts w:ascii="Verdana" w:eastAsia="Times New Roman" w:hAnsi="Verdana" w:cs="Times New Roman"/>
          <w:color w:val="000000"/>
          <w:lang w:eastAsia="es-MX"/>
        </w:rPr>
        <w:t xml:space="preserve"> </w:t>
      </w:r>
    </w:p>
    <w:p w14:paraId="24B8F2C7" w14:textId="77777777" w:rsidR="000446E6" w:rsidRPr="000446E6" w:rsidRDefault="000446E6" w:rsidP="000446E6">
      <w:pPr>
        <w:spacing w:after="0" w:line="240" w:lineRule="auto"/>
        <w:jc w:val="both"/>
        <w:rPr>
          <w:rFonts w:ascii="Verdana" w:eastAsia="Times New Roman" w:hAnsi="Verdana" w:cs="Times New Roman"/>
          <w:color w:val="000000"/>
          <w:lang w:eastAsia="es-MX"/>
        </w:rPr>
      </w:pPr>
      <w:r w:rsidRPr="000446E6">
        <w:rPr>
          <w:rFonts w:ascii="Verdana" w:eastAsia="Times New Roman" w:hAnsi="Verdana" w:cs="Times New Roman"/>
          <w:color w:val="000000"/>
          <w:lang w:eastAsia="es-MX"/>
        </w:rPr>
        <w:t xml:space="preserve">Facebook: </w:t>
      </w:r>
      <w:proofErr w:type="spellStart"/>
      <w:r w:rsidRPr="000446E6">
        <w:rPr>
          <w:rFonts w:ascii="Verdana" w:eastAsia="Times New Roman" w:hAnsi="Verdana" w:cs="Times New Roman"/>
          <w:color w:val="000000"/>
          <w:u w:val="single"/>
          <w:lang w:eastAsia="es-MX"/>
        </w:rPr>
        <w:t>ColombiaCompraEficiente</w:t>
      </w:r>
      <w:proofErr w:type="spellEnd"/>
    </w:p>
    <w:p w14:paraId="66467D08" w14:textId="77777777" w:rsidR="000446E6" w:rsidRPr="000446E6" w:rsidRDefault="000446E6" w:rsidP="000446E6">
      <w:pPr>
        <w:spacing w:after="0" w:line="240" w:lineRule="auto"/>
        <w:jc w:val="both"/>
        <w:rPr>
          <w:rFonts w:ascii="Verdana" w:eastAsia="Times New Roman" w:hAnsi="Verdana" w:cs="Times New Roman"/>
          <w:color w:val="000000"/>
          <w:lang w:eastAsia="es-MX"/>
        </w:rPr>
      </w:pPr>
      <w:r w:rsidRPr="000446E6">
        <w:rPr>
          <w:rFonts w:ascii="Verdana" w:eastAsia="Times New Roman" w:hAnsi="Verdana" w:cs="Times New Roman"/>
          <w:color w:val="000000"/>
          <w:lang w:eastAsia="es-MX"/>
        </w:rPr>
        <w:t xml:space="preserve">LinkedIn: </w:t>
      </w:r>
      <w:r w:rsidRPr="000446E6">
        <w:rPr>
          <w:rFonts w:ascii="Verdana" w:eastAsia="Times New Roman" w:hAnsi="Verdana" w:cs="Times New Roman"/>
          <w:color w:val="000000"/>
          <w:u w:val="single"/>
          <w:lang w:eastAsia="es-MX"/>
        </w:rPr>
        <w:t>Agencia Nacional de Contratación Pública - Colombia Compra Eficiente</w:t>
      </w:r>
      <w:r w:rsidRPr="000446E6">
        <w:rPr>
          <w:rFonts w:ascii="Verdana" w:eastAsia="Times New Roman" w:hAnsi="Verdana" w:cs="Times New Roman"/>
          <w:color w:val="000000"/>
          <w:lang w:eastAsia="es-MX"/>
        </w:rPr>
        <w:t xml:space="preserve"> Instagram: </w:t>
      </w:r>
      <w:r w:rsidRPr="000446E6">
        <w:rPr>
          <w:rFonts w:ascii="Verdana" w:eastAsia="Times New Roman" w:hAnsi="Verdana" w:cs="Times New Roman"/>
          <w:color w:val="000000"/>
          <w:u w:val="single"/>
          <w:lang w:eastAsia="es-MX"/>
        </w:rPr>
        <w:t>@colombiacompraeficiente_cce</w:t>
      </w:r>
    </w:p>
    <w:p w14:paraId="39378A5A"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lang w:eastAsia="es-MX"/>
        </w:rPr>
      </w:pPr>
    </w:p>
    <w:p w14:paraId="22C36E7F"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lang w:val="es-ES_tradnl" w:eastAsia="es-MX"/>
        </w:rPr>
      </w:pPr>
      <w:r w:rsidRPr="000446E6">
        <w:rPr>
          <w:rFonts w:ascii="Verdana" w:eastAsia="Times New Roman" w:hAnsi="Verdana" w:cs="Arial"/>
          <w:color w:val="000000"/>
          <w:lang w:eastAsia="es-MX"/>
        </w:rPr>
        <w:t xml:space="preserve">Este concepto tiene el alcance previsto en el artículo 28 del Código de Procedimiento Administrativo y de lo Contencioso Administrativo </w:t>
      </w:r>
      <w:r w:rsidRPr="000446E6">
        <w:rPr>
          <w:rFonts w:ascii="Verdana" w:eastAsia="Times New Roman" w:hAnsi="Verdana" w:cs="Arial"/>
          <w:color w:val="000000"/>
          <w:lang w:val="es-ES_tradnl" w:eastAsia="es-MX"/>
        </w:rPr>
        <w:t>y las expresiones aquí utilizadas con mayúscula inicial deben ser entendidas con el significado que les otorga el artículo 2.2.1.1.1.3.1. del Decreto 1082 de 2015.</w:t>
      </w:r>
    </w:p>
    <w:p w14:paraId="3E72C2C5" w14:textId="77777777" w:rsidR="000446E6" w:rsidRPr="000446E6" w:rsidRDefault="000446E6" w:rsidP="000446E6">
      <w:pPr>
        <w:widowControl w:val="0"/>
        <w:autoSpaceDE w:val="0"/>
        <w:autoSpaceDN w:val="0"/>
        <w:spacing w:after="0" w:line="276" w:lineRule="auto"/>
        <w:jc w:val="both"/>
        <w:rPr>
          <w:rFonts w:ascii="Verdana" w:eastAsia="Times New Roman" w:hAnsi="Verdana" w:cs="Arial"/>
          <w:color w:val="000000"/>
          <w:lang w:eastAsia="es-MX"/>
        </w:rPr>
      </w:pPr>
    </w:p>
    <w:p w14:paraId="53A6E817" w14:textId="77777777" w:rsidR="000446E6" w:rsidRPr="000446E6" w:rsidRDefault="000446E6" w:rsidP="000446E6">
      <w:pPr>
        <w:spacing w:after="0" w:line="240" w:lineRule="auto"/>
        <w:rPr>
          <w:rFonts w:ascii="Verdana" w:eastAsia="Times New Roman" w:hAnsi="Verdana" w:cs="Arial"/>
          <w:color w:val="000000"/>
          <w:lang w:eastAsia="es-CO"/>
        </w:rPr>
      </w:pPr>
      <w:r w:rsidRPr="000446E6">
        <w:rPr>
          <w:rFonts w:ascii="Verdana" w:eastAsia="Times New Roman" w:hAnsi="Verdana" w:cs="Arial"/>
          <w:color w:val="000000"/>
          <w:lang w:eastAsia="es-CO"/>
        </w:rPr>
        <w:t xml:space="preserve">Atentamente, </w:t>
      </w:r>
    </w:p>
    <w:p w14:paraId="4522A31B" w14:textId="2CF8A916" w:rsidR="000446E6" w:rsidRPr="000446E6" w:rsidRDefault="004E579A" w:rsidP="000446E6">
      <w:pPr>
        <w:spacing w:after="0" w:line="276" w:lineRule="auto"/>
        <w:jc w:val="center"/>
        <w:rPr>
          <w:rFonts w:ascii="Verdana" w:eastAsia="Times New Roman" w:hAnsi="Verdana" w:cs="Arial"/>
          <w:color w:val="000000"/>
          <w:sz w:val="24"/>
          <w:szCs w:val="24"/>
          <w:lang w:val="es-ES_tradnl" w:eastAsia="es-CO"/>
        </w:rPr>
      </w:pPr>
      <w:r w:rsidRPr="004E579A">
        <w:rPr>
          <w:rFonts w:ascii="Century Gothic" w:eastAsia="Aptos" w:hAnsi="Century Gothic" w:cs="Times New Roman"/>
          <w:noProof/>
          <w:kern w:val="2"/>
          <w14:ligatures w14:val="standardContextual"/>
        </w:rPr>
        <w:drawing>
          <wp:inline distT="0" distB="0" distL="0" distR="0" wp14:anchorId="2C447EF8" wp14:editId="5AC7ABE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446E6" w:rsidRPr="000446E6" w14:paraId="7176D3F2" w14:textId="77777777" w:rsidTr="000446E6">
        <w:trPr>
          <w:trHeight w:val="315"/>
        </w:trPr>
        <w:tc>
          <w:tcPr>
            <w:tcW w:w="893" w:type="dxa"/>
            <w:vAlign w:val="center"/>
            <w:hideMark/>
          </w:tcPr>
          <w:p w14:paraId="5CD81A19" w14:textId="77777777" w:rsidR="000446E6" w:rsidRPr="000446E6" w:rsidRDefault="000446E6" w:rsidP="000446E6">
            <w:pPr>
              <w:contextualSpacing/>
              <w:rPr>
                <w:rFonts w:ascii="Verdana" w:eastAsia="Times New Roman" w:hAnsi="Verdana" w:cs="Arial"/>
                <w:color w:val="000000"/>
                <w:sz w:val="16"/>
                <w:szCs w:val="16"/>
                <w:lang w:val="es-ES" w:eastAsia="es-ES"/>
              </w:rPr>
            </w:pPr>
            <w:r w:rsidRPr="000446E6">
              <w:rPr>
                <w:rFonts w:ascii="Verdana" w:eastAsia="Times New Roman" w:hAnsi="Verdana" w:cs="Arial"/>
                <w:color w:val="000000"/>
                <w:sz w:val="16"/>
                <w:szCs w:val="16"/>
                <w:lang w:val="es-ES" w:eastAsia="es-ES"/>
              </w:rPr>
              <w:t>Elaboró:</w:t>
            </w:r>
          </w:p>
        </w:tc>
        <w:tc>
          <w:tcPr>
            <w:tcW w:w="5628" w:type="dxa"/>
            <w:tcBorders>
              <w:top w:val="nil"/>
              <w:left w:val="nil"/>
              <w:bottom w:val="dotted" w:sz="4" w:space="0" w:color="7F7F7F"/>
              <w:right w:val="nil"/>
            </w:tcBorders>
            <w:vAlign w:val="center"/>
            <w:hideMark/>
          </w:tcPr>
          <w:p w14:paraId="696E225F" w14:textId="77777777" w:rsidR="000446E6" w:rsidRPr="000446E6" w:rsidRDefault="000446E6" w:rsidP="000446E6">
            <w:pPr>
              <w:contextualSpacing/>
              <w:rPr>
                <w:rFonts w:ascii="Verdana" w:eastAsia="Arial" w:hAnsi="Verdana" w:cs="Arial"/>
                <w:color w:val="000000"/>
                <w:sz w:val="16"/>
                <w:szCs w:val="16"/>
                <w:lang w:eastAsia="es-MX"/>
              </w:rPr>
            </w:pPr>
            <w:r w:rsidRPr="000446E6">
              <w:rPr>
                <w:rFonts w:ascii="Verdana" w:eastAsia="Arial" w:hAnsi="Verdana" w:cs="Arial"/>
                <w:color w:val="000000"/>
                <w:sz w:val="16"/>
                <w:szCs w:val="16"/>
                <w:lang w:eastAsia="es-MX"/>
              </w:rPr>
              <w:t>J</w:t>
            </w:r>
            <w:r w:rsidRPr="000446E6">
              <w:rPr>
                <w:rFonts w:ascii="Verdana" w:eastAsia="Arial" w:hAnsi="Verdana" w:cs="Arial"/>
                <w:sz w:val="16"/>
                <w:szCs w:val="16"/>
                <w:lang w:eastAsia="es-MX"/>
              </w:rPr>
              <w:t xml:space="preserve">uan Manuel Avendaño Robles </w:t>
            </w:r>
          </w:p>
          <w:p w14:paraId="412988ED" w14:textId="77777777" w:rsidR="000446E6" w:rsidRPr="000446E6" w:rsidRDefault="000446E6" w:rsidP="000446E6">
            <w:pPr>
              <w:contextualSpacing/>
              <w:rPr>
                <w:rFonts w:ascii="Verdana" w:eastAsia="Arial" w:hAnsi="Verdana" w:cs="Arial"/>
                <w:color w:val="000000"/>
                <w:sz w:val="16"/>
                <w:szCs w:val="16"/>
                <w:lang w:eastAsia="es-MX"/>
              </w:rPr>
            </w:pPr>
            <w:r w:rsidRPr="000446E6">
              <w:rPr>
                <w:rFonts w:ascii="Verdana" w:eastAsia="Arial" w:hAnsi="Verdana" w:cs="Arial"/>
                <w:color w:val="000000"/>
                <w:sz w:val="16"/>
                <w:szCs w:val="16"/>
                <w:lang w:eastAsia="es-MX"/>
              </w:rPr>
              <w:t>Contratista de la Subdirección de Gestión Contractual</w:t>
            </w:r>
          </w:p>
        </w:tc>
      </w:tr>
      <w:tr w:rsidR="000446E6" w:rsidRPr="000446E6" w14:paraId="07B61367" w14:textId="77777777" w:rsidTr="000446E6">
        <w:trPr>
          <w:trHeight w:val="330"/>
        </w:trPr>
        <w:tc>
          <w:tcPr>
            <w:tcW w:w="893" w:type="dxa"/>
            <w:vAlign w:val="center"/>
            <w:hideMark/>
          </w:tcPr>
          <w:p w14:paraId="76ADE1AC" w14:textId="77777777" w:rsidR="000446E6" w:rsidRPr="000446E6" w:rsidRDefault="000446E6" w:rsidP="000446E6">
            <w:pPr>
              <w:contextualSpacing/>
              <w:rPr>
                <w:rFonts w:ascii="Verdana" w:eastAsia="Times New Roman" w:hAnsi="Verdana" w:cs="Arial"/>
                <w:color w:val="000000"/>
                <w:sz w:val="16"/>
                <w:szCs w:val="16"/>
                <w:lang w:val="es-ES" w:eastAsia="es-ES"/>
              </w:rPr>
            </w:pPr>
            <w:r w:rsidRPr="000446E6">
              <w:rPr>
                <w:rFonts w:ascii="Verdana" w:eastAsia="Times New Roman" w:hAnsi="Verdana" w:cs="Arial"/>
                <w:color w:val="000000"/>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07B77FF2" w14:textId="77777777" w:rsidR="000446E6" w:rsidRPr="000446E6" w:rsidRDefault="000446E6" w:rsidP="000446E6">
            <w:pPr>
              <w:contextualSpacing/>
              <w:textAlignment w:val="baseline"/>
              <w:rPr>
                <w:rFonts w:ascii="Verdana" w:eastAsia="Times New Roman" w:hAnsi="Verdana" w:cs="Segoe UI"/>
                <w:color w:val="000000"/>
                <w:sz w:val="16"/>
                <w:szCs w:val="16"/>
                <w:lang w:eastAsia="es-ES_tradnl"/>
              </w:rPr>
            </w:pPr>
            <w:r w:rsidRPr="000446E6">
              <w:rPr>
                <w:rFonts w:ascii="Verdana" w:eastAsia="Times New Roman" w:hAnsi="Verdana" w:cs="Segoe UI"/>
                <w:color w:val="000000"/>
                <w:sz w:val="16"/>
                <w:szCs w:val="16"/>
                <w:lang w:eastAsia="es-ES_tradnl"/>
              </w:rPr>
              <w:t xml:space="preserve">Adriana </w:t>
            </w:r>
            <w:proofErr w:type="spellStart"/>
            <w:r w:rsidRPr="000446E6">
              <w:rPr>
                <w:rFonts w:ascii="Verdana" w:eastAsia="Times New Roman" w:hAnsi="Verdana" w:cs="Segoe UI"/>
                <w:color w:val="000000"/>
                <w:sz w:val="16"/>
                <w:szCs w:val="16"/>
                <w:lang w:eastAsia="es-ES_tradnl"/>
              </w:rPr>
              <w:t>Katerine</w:t>
            </w:r>
            <w:proofErr w:type="spellEnd"/>
            <w:r w:rsidRPr="000446E6">
              <w:rPr>
                <w:rFonts w:ascii="Verdana" w:eastAsia="Times New Roman" w:hAnsi="Verdana" w:cs="Segoe UI"/>
                <w:color w:val="000000"/>
                <w:sz w:val="16"/>
                <w:szCs w:val="16"/>
                <w:lang w:eastAsia="es-ES_tradnl"/>
              </w:rPr>
              <w:t xml:space="preserve"> </w:t>
            </w:r>
            <w:proofErr w:type="spellStart"/>
            <w:r w:rsidRPr="000446E6">
              <w:rPr>
                <w:rFonts w:ascii="Verdana" w:eastAsia="Times New Roman" w:hAnsi="Verdana" w:cs="Segoe UI"/>
                <w:color w:val="000000"/>
                <w:sz w:val="16"/>
                <w:szCs w:val="16"/>
                <w:lang w:eastAsia="es-ES_tradnl"/>
              </w:rPr>
              <w:t>Lopez</w:t>
            </w:r>
            <w:proofErr w:type="spellEnd"/>
            <w:r w:rsidRPr="000446E6">
              <w:rPr>
                <w:rFonts w:ascii="Verdana" w:eastAsia="Times New Roman" w:hAnsi="Verdana" w:cs="Segoe UI"/>
                <w:color w:val="000000"/>
                <w:sz w:val="16"/>
                <w:szCs w:val="16"/>
                <w:lang w:eastAsia="es-ES_tradnl"/>
              </w:rPr>
              <w:t xml:space="preserve"> </w:t>
            </w:r>
            <w:proofErr w:type="spellStart"/>
            <w:r w:rsidRPr="000446E6">
              <w:rPr>
                <w:rFonts w:ascii="Verdana" w:eastAsia="Times New Roman" w:hAnsi="Verdana" w:cs="Segoe UI"/>
                <w:color w:val="000000"/>
                <w:sz w:val="16"/>
                <w:szCs w:val="16"/>
                <w:lang w:eastAsia="es-ES_tradnl"/>
              </w:rPr>
              <w:t>Rodriguez</w:t>
            </w:r>
            <w:proofErr w:type="spellEnd"/>
          </w:p>
          <w:p w14:paraId="25B40F27" w14:textId="77777777" w:rsidR="000446E6" w:rsidRPr="000446E6" w:rsidRDefault="000446E6" w:rsidP="000446E6">
            <w:pPr>
              <w:contextualSpacing/>
              <w:textAlignment w:val="baseline"/>
              <w:rPr>
                <w:rFonts w:ascii="Verdana" w:eastAsia="Times New Roman" w:hAnsi="Verdana" w:cs="Segoe UI"/>
                <w:color w:val="000000"/>
                <w:sz w:val="16"/>
                <w:szCs w:val="16"/>
                <w:lang w:eastAsia="es-ES_tradnl"/>
              </w:rPr>
            </w:pPr>
            <w:r w:rsidRPr="000446E6">
              <w:rPr>
                <w:rFonts w:ascii="Verdana" w:eastAsia="Times New Roman" w:hAnsi="Verdana" w:cs="Arial"/>
                <w:color w:val="000000"/>
                <w:sz w:val="16"/>
                <w:szCs w:val="16"/>
                <w:lang w:val="es-ES" w:eastAsia="es-ES_tradnl"/>
              </w:rPr>
              <w:t>Contratista de la Subdirección de Gestión Contractual</w:t>
            </w:r>
            <w:r w:rsidRPr="000446E6">
              <w:rPr>
                <w:rFonts w:ascii="Verdana" w:eastAsia="Times New Roman" w:hAnsi="Verdana" w:cs="Arial"/>
                <w:color w:val="000000"/>
                <w:sz w:val="16"/>
                <w:szCs w:val="16"/>
                <w:lang w:eastAsia="es-ES_tradnl"/>
              </w:rPr>
              <w:t> </w:t>
            </w:r>
          </w:p>
        </w:tc>
      </w:tr>
      <w:tr w:rsidR="000446E6" w:rsidRPr="000446E6" w14:paraId="708C5F5B" w14:textId="77777777" w:rsidTr="000446E6">
        <w:trPr>
          <w:trHeight w:val="300"/>
        </w:trPr>
        <w:tc>
          <w:tcPr>
            <w:tcW w:w="893" w:type="dxa"/>
            <w:vAlign w:val="center"/>
          </w:tcPr>
          <w:p w14:paraId="6F130DCA" w14:textId="77777777" w:rsidR="000446E6" w:rsidRPr="000446E6" w:rsidRDefault="000446E6" w:rsidP="000446E6">
            <w:pPr>
              <w:contextualSpacing/>
              <w:rPr>
                <w:rFonts w:ascii="Verdana" w:eastAsia="Times New Roman" w:hAnsi="Verdana" w:cs="Arial"/>
                <w:color w:val="000000"/>
                <w:sz w:val="16"/>
                <w:szCs w:val="16"/>
                <w:lang w:val="es-ES" w:eastAsia="es-ES"/>
              </w:rPr>
            </w:pPr>
            <w:r w:rsidRPr="000446E6">
              <w:rPr>
                <w:rFonts w:ascii="Verdana" w:eastAsia="Times New Roman" w:hAnsi="Verdana" w:cs="Arial"/>
                <w:color w:val="000000"/>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4904E123" w14:textId="77777777" w:rsidR="000446E6" w:rsidRPr="000446E6" w:rsidRDefault="000446E6" w:rsidP="000446E6">
            <w:pPr>
              <w:contextualSpacing/>
              <w:rPr>
                <w:rFonts w:ascii="Verdana" w:eastAsia="Calibri" w:hAnsi="Verdana" w:cs="Arial"/>
                <w:color w:val="000000"/>
                <w:sz w:val="16"/>
                <w:szCs w:val="16"/>
                <w:lang w:val="pt-BR" w:eastAsia="es-ES"/>
              </w:rPr>
            </w:pPr>
            <w:r w:rsidRPr="000446E6">
              <w:rPr>
                <w:rFonts w:ascii="Verdana" w:eastAsia="Calibri" w:hAnsi="Verdana" w:cs="Arial"/>
                <w:color w:val="000000"/>
                <w:sz w:val="16"/>
                <w:szCs w:val="16"/>
                <w:lang w:val="pt-BR" w:eastAsia="es-ES"/>
              </w:rPr>
              <w:t>Carolina Quintero Gacharná</w:t>
            </w:r>
          </w:p>
          <w:p w14:paraId="5B3DE523" w14:textId="77777777" w:rsidR="000446E6" w:rsidRPr="000446E6" w:rsidRDefault="000446E6" w:rsidP="000446E6">
            <w:pPr>
              <w:contextualSpacing/>
              <w:rPr>
                <w:rFonts w:ascii="Verdana" w:eastAsia="Calibri" w:hAnsi="Verdana" w:cs="Arial"/>
                <w:color w:val="000000"/>
                <w:sz w:val="16"/>
                <w:szCs w:val="16"/>
                <w:lang w:val="pt-BR" w:eastAsia="es-ES"/>
              </w:rPr>
            </w:pPr>
            <w:r w:rsidRPr="000446E6">
              <w:rPr>
                <w:rFonts w:ascii="Verdana" w:eastAsia="Calibri" w:hAnsi="Verdana" w:cs="Arial"/>
                <w:color w:val="000000"/>
                <w:sz w:val="16"/>
                <w:szCs w:val="16"/>
                <w:lang w:eastAsia="es-ES"/>
              </w:rPr>
              <w:t>Subdirectora</w:t>
            </w:r>
            <w:r w:rsidRPr="000446E6">
              <w:rPr>
                <w:rFonts w:ascii="Verdana" w:eastAsia="Calibri" w:hAnsi="Verdana" w:cs="Arial"/>
                <w:color w:val="000000"/>
                <w:sz w:val="16"/>
                <w:szCs w:val="16"/>
                <w:lang w:val="pt-BR" w:eastAsia="es-ES"/>
              </w:rPr>
              <w:t xml:space="preserve"> de Gestión Contractual ANCP – CCE</w:t>
            </w:r>
          </w:p>
        </w:tc>
      </w:tr>
    </w:tbl>
    <w:p w14:paraId="543318A0" w14:textId="77777777" w:rsidR="000446E6" w:rsidRPr="000446E6" w:rsidRDefault="000446E6" w:rsidP="000446E6">
      <w:pPr>
        <w:spacing w:after="0" w:line="240" w:lineRule="auto"/>
        <w:rPr>
          <w:rFonts w:ascii="Times New Roman" w:eastAsia="Times New Roman" w:hAnsi="Times New Roman" w:cs="Times New Roman"/>
          <w:sz w:val="24"/>
          <w:szCs w:val="24"/>
          <w:lang w:eastAsia="es-MX"/>
        </w:rPr>
      </w:pPr>
    </w:p>
    <w:p w14:paraId="0F293BF4" w14:textId="7BBFAB11" w:rsidR="00127233" w:rsidRPr="000446E6" w:rsidRDefault="00127233" w:rsidP="000446E6"/>
    <w:sectPr w:rsidR="00127233" w:rsidRPr="000446E6"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B39E" w14:textId="77777777" w:rsidR="00575834" w:rsidRDefault="00575834" w:rsidP="004A1847">
      <w:pPr>
        <w:spacing w:after="0" w:line="240" w:lineRule="auto"/>
      </w:pPr>
      <w:r>
        <w:separator/>
      </w:r>
    </w:p>
  </w:endnote>
  <w:endnote w:type="continuationSeparator" w:id="0">
    <w:p w14:paraId="410C6CDE" w14:textId="77777777" w:rsidR="00575834" w:rsidRDefault="00575834" w:rsidP="004A1847">
      <w:pPr>
        <w:spacing w:after="0" w:line="240" w:lineRule="auto"/>
      </w:pPr>
      <w:r>
        <w:continuationSeparator/>
      </w:r>
    </w:p>
  </w:endnote>
  <w:endnote w:type="continuationNotice" w:id="1">
    <w:p w14:paraId="280D4559" w14:textId="77777777" w:rsidR="00575834" w:rsidRDefault="00575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0446E6">
      <w:rPr>
        <w:rFonts w:ascii="Verdana" w:eastAsia="Times New Roman" w:hAnsi="Verdana" w:cs="Times New Roman"/>
        <w:b/>
        <w:bCs/>
        <w:sz w:val="16"/>
        <w:szCs w:val="16"/>
        <w:lang w:val="es-ES"/>
      </w:rPr>
      <w:t xml:space="preserve">pág. </w:t>
    </w:r>
    <w:r w:rsidRPr="000446E6">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0446E6">
      <w:rPr>
        <w:rFonts w:ascii="Verdana" w:eastAsia="Times New Roman" w:hAnsi="Verdana"/>
        <w:b/>
        <w:bCs/>
        <w:sz w:val="16"/>
        <w:szCs w:val="16"/>
      </w:rPr>
      <w:fldChar w:fldCharType="separate"/>
    </w:r>
    <w:r w:rsidRPr="000446E6">
      <w:rPr>
        <w:rFonts w:ascii="Verdana" w:eastAsia="Times New Roman" w:hAnsi="Verdana"/>
        <w:b/>
        <w:bCs/>
        <w:sz w:val="16"/>
        <w:szCs w:val="16"/>
      </w:rPr>
      <w:t>1</w:t>
    </w:r>
    <w:r w:rsidRPr="000446E6">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7F95B" w14:textId="77777777" w:rsidR="00575834" w:rsidRDefault="00575834" w:rsidP="004A1847">
      <w:pPr>
        <w:spacing w:after="0" w:line="240" w:lineRule="auto"/>
      </w:pPr>
      <w:r>
        <w:separator/>
      </w:r>
    </w:p>
  </w:footnote>
  <w:footnote w:type="continuationSeparator" w:id="0">
    <w:p w14:paraId="6A97ECDF" w14:textId="77777777" w:rsidR="00575834" w:rsidRDefault="00575834" w:rsidP="004A1847">
      <w:pPr>
        <w:spacing w:after="0" w:line="240" w:lineRule="auto"/>
      </w:pPr>
      <w:r>
        <w:continuationSeparator/>
      </w:r>
    </w:p>
  </w:footnote>
  <w:footnote w:type="continuationNotice" w:id="1">
    <w:p w14:paraId="4D1EBD3D" w14:textId="77777777" w:rsidR="00575834" w:rsidRDefault="00575834">
      <w:pPr>
        <w:spacing w:after="0" w:line="240" w:lineRule="auto"/>
      </w:pPr>
    </w:p>
  </w:footnote>
  <w:footnote w:id="2">
    <w:p w14:paraId="5E99C061" w14:textId="77777777" w:rsidR="00170FF4" w:rsidRPr="0061735F" w:rsidRDefault="00170FF4" w:rsidP="00AD3FFE">
      <w:pPr>
        <w:pStyle w:val="Textonotapie"/>
        <w:ind w:firstLine="709"/>
        <w:jc w:val="both"/>
        <w:rPr>
          <w:rFonts w:ascii="Verdana" w:hAnsi="Verdana" w:cs="Arial"/>
          <w:sz w:val="12"/>
          <w:szCs w:val="12"/>
        </w:rPr>
      </w:pPr>
      <w:r w:rsidRPr="0061735F">
        <w:rPr>
          <w:rStyle w:val="Refdenotaalpie"/>
          <w:rFonts w:ascii="Verdana" w:hAnsi="Verdana" w:cs="Arial"/>
          <w:sz w:val="12"/>
          <w:szCs w:val="12"/>
        </w:rPr>
        <w:footnoteRef/>
      </w:r>
      <w:r w:rsidRPr="0061735F">
        <w:rPr>
          <w:rFonts w:ascii="Verdana" w:hAnsi="Verdana" w:cs="Arial"/>
          <w:sz w:val="12"/>
          <w:szCs w:val="12"/>
        </w:rPr>
        <w:t xml:space="preserve"> Código Civil: “Artículo 33. Palabras relacionadas con las personas. La palabra persona en su sentido general se aplica(rá) a la especie humana, sin distinción de sexo”.</w:t>
      </w:r>
    </w:p>
    <w:p w14:paraId="4B762613" w14:textId="77777777" w:rsidR="00170FF4" w:rsidRPr="0061735F" w:rsidRDefault="00170FF4" w:rsidP="00AD3FFE">
      <w:pPr>
        <w:pStyle w:val="Textonotapie"/>
        <w:ind w:firstLine="709"/>
        <w:jc w:val="both"/>
        <w:rPr>
          <w:rFonts w:ascii="Verdana" w:hAnsi="Verdana" w:cs="Arial"/>
          <w:sz w:val="12"/>
          <w:szCs w:val="12"/>
          <w:lang w:val="es-CO"/>
        </w:rPr>
      </w:pPr>
    </w:p>
  </w:footnote>
  <w:footnote w:id="3">
    <w:p w14:paraId="0E9F82C5" w14:textId="77777777" w:rsidR="00170FF4" w:rsidRPr="0061735F" w:rsidRDefault="00170FF4" w:rsidP="00AD3FFE">
      <w:pPr>
        <w:pStyle w:val="Textonotapie"/>
        <w:ind w:firstLine="709"/>
        <w:jc w:val="both"/>
        <w:rPr>
          <w:rFonts w:ascii="Verdana" w:hAnsi="Verdana" w:cs="Arial"/>
          <w:sz w:val="12"/>
          <w:szCs w:val="12"/>
        </w:rPr>
      </w:pPr>
      <w:r w:rsidRPr="0061735F">
        <w:rPr>
          <w:rStyle w:val="Refdenotaalpie"/>
          <w:rFonts w:ascii="Verdana" w:hAnsi="Verdana" w:cs="Arial"/>
          <w:sz w:val="12"/>
          <w:szCs w:val="12"/>
        </w:rPr>
        <w:footnoteRef/>
      </w:r>
      <w:r w:rsidRPr="0061735F">
        <w:rPr>
          <w:rFonts w:ascii="Verdana" w:hAnsi="Verdana" w:cs="Arial"/>
          <w:sz w:val="12"/>
          <w:szCs w:val="12"/>
        </w:rPr>
        <w:t>Constitución Política de Colombia: “Artículo 42. La familia es el núcleo fundamental de la sociedad. Se constituye por vínculos naturales o jurídicos, por la decisión libre de un hombre y una mujer de contraer matrimonio o por la voluntad responsable de conformarla”.</w:t>
      </w:r>
    </w:p>
    <w:p w14:paraId="18686735" w14:textId="77777777" w:rsidR="00170FF4" w:rsidRPr="0061735F" w:rsidRDefault="00170FF4" w:rsidP="00AD3FFE">
      <w:pPr>
        <w:pStyle w:val="Textonotapie"/>
        <w:ind w:firstLine="709"/>
        <w:jc w:val="both"/>
        <w:rPr>
          <w:rFonts w:ascii="Verdana" w:hAnsi="Verdana" w:cs="Arial"/>
          <w:sz w:val="12"/>
          <w:szCs w:val="12"/>
          <w:lang w:val="es-CO"/>
        </w:rPr>
      </w:pPr>
    </w:p>
  </w:footnote>
  <w:footnote w:id="4">
    <w:p w14:paraId="0563AE00" w14:textId="77777777" w:rsidR="000446E6" w:rsidRPr="0061735F" w:rsidRDefault="000446E6" w:rsidP="00AD3FFE">
      <w:pPr>
        <w:pStyle w:val="Textonotapie"/>
        <w:ind w:firstLine="709"/>
        <w:jc w:val="both"/>
        <w:rPr>
          <w:rFonts w:ascii="Verdana" w:hAnsi="Verdana" w:cs="Calibri"/>
          <w:sz w:val="12"/>
          <w:szCs w:val="12"/>
          <w:lang w:val="es-ES_tradnl"/>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pt-BR"/>
        </w:rPr>
        <w:t>CORTE CONSTITUCIONAL. Sentencia C-1016 de 2012. M.P. Jorge Iván Palacio.</w:t>
      </w:r>
    </w:p>
  </w:footnote>
  <w:footnote w:id="5">
    <w:p w14:paraId="5C16F40A" w14:textId="77777777" w:rsidR="000446E6" w:rsidRPr="0061735F" w:rsidRDefault="000446E6" w:rsidP="00AD3FFE">
      <w:pPr>
        <w:pStyle w:val="Textonotapie"/>
        <w:ind w:firstLine="709"/>
        <w:jc w:val="both"/>
        <w:rPr>
          <w:rFonts w:ascii="Verdana" w:hAnsi="Verdana" w:cs="Calibri"/>
          <w:sz w:val="12"/>
          <w:szCs w:val="12"/>
          <w:lang w:val="es-CO"/>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pt-BR"/>
        </w:rPr>
        <w:t xml:space="preserve">CORTE CONSTITUCIONAL. </w:t>
      </w:r>
      <w:r w:rsidRPr="0061735F">
        <w:rPr>
          <w:rFonts w:ascii="Verdana" w:hAnsi="Verdana" w:cs="Calibri"/>
          <w:sz w:val="12"/>
          <w:szCs w:val="12"/>
        </w:rPr>
        <w:t xml:space="preserve">Sentencia C-780 de 2001. </w:t>
      </w:r>
      <w:r w:rsidRPr="0061735F">
        <w:rPr>
          <w:rFonts w:ascii="Verdana" w:hAnsi="Verdana" w:cs="Calibri"/>
          <w:sz w:val="12"/>
          <w:szCs w:val="12"/>
          <w:lang w:val="es-CO"/>
        </w:rPr>
        <w:t xml:space="preserve">M.P. Jaime Córdoba Triviño. </w:t>
      </w:r>
    </w:p>
  </w:footnote>
  <w:footnote w:id="6">
    <w:p w14:paraId="779D1B20" w14:textId="77777777" w:rsidR="000446E6" w:rsidRPr="0061735F" w:rsidRDefault="000446E6" w:rsidP="00AD3FFE">
      <w:pPr>
        <w:pStyle w:val="NormalWeb"/>
        <w:spacing w:before="0" w:beforeAutospacing="0" w:after="0" w:afterAutospacing="0"/>
        <w:ind w:firstLine="709"/>
        <w:jc w:val="both"/>
        <w:rPr>
          <w:rFonts w:ascii="Verdana" w:hAnsi="Verdana" w:cs="Calibri"/>
          <w:sz w:val="12"/>
          <w:szCs w:val="12"/>
        </w:rPr>
      </w:pPr>
    </w:p>
    <w:p w14:paraId="61269F79" w14:textId="77777777" w:rsidR="000446E6" w:rsidRPr="0061735F" w:rsidRDefault="000446E6" w:rsidP="00AD3FFE">
      <w:pPr>
        <w:pStyle w:val="NormalWeb"/>
        <w:spacing w:before="0" w:beforeAutospacing="0" w:after="0" w:afterAutospacing="0"/>
        <w:ind w:firstLine="709"/>
        <w:jc w:val="both"/>
        <w:rPr>
          <w:rFonts w:ascii="Verdana" w:hAnsi="Verdana" w:cs="Calibri"/>
          <w:sz w:val="12"/>
          <w:szCs w:val="12"/>
          <w:lang w:val="es-ES"/>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es-ES"/>
        </w:rPr>
        <w:t>Ley 80 de 1993: “Artículo 8: 1o. Son inhábiles para participar en licitaciones o concursos y para celebrar contratos con las entidades estatales: </w:t>
      </w:r>
    </w:p>
    <w:p w14:paraId="21C0C0BF"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a) Las personas que se hallen inhabilitadas para contratar por la Constitución y las leyes. </w:t>
      </w:r>
    </w:p>
    <w:p w14:paraId="7AAF266A"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b) Quienes participaron en las licitaciones o concursos o celebraron los contratos de que trata el literal anterior estando inhabilitados. </w:t>
      </w:r>
    </w:p>
    <w:p w14:paraId="2C61B834" w14:textId="77777777" w:rsidR="000446E6" w:rsidRPr="0061735F" w:rsidRDefault="000446E6" w:rsidP="00AD3FFE">
      <w:pPr>
        <w:pStyle w:val="NormalWeb"/>
        <w:spacing w:before="0" w:beforeAutospacing="0" w:after="0" w:afterAutospacing="0"/>
        <w:ind w:firstLine="709"/>
        <w:jc w:val="both"/>
        <w:rPr>
          <w:rFonts w:ascii="Verdana" w:hAnsi="Verdana" w:cs="Calibri"/>
          <w:sz w:val="12"/>
          <w:szCs w:val="12"/>
          <w:lang w:val="es-ES"/>
        </w:rPr>
      </w:pPr>
      <w:r w:rsidRPr="0061735F">
        <w:rPr>
          <w:rFonts w:ascii="Verdana" w:hAnsi="Verdana" w:cs="Calibri"/>
          <w:sz w:val="12"/>
          <w:szCs w:val="12"/>
          <w:lang w:val="es-ES"/>
        </w:rPr>
        <w:t>c) Quienes dieron lugar a la declaratoria de caducidad. </w:t>
      </w:r>
    </w:p>
    <w:p w14:paraId="3BE47AEF" w14:textId="77777777" w:rsidR="000446E6" w:rsidRPr="0061735F" w:rsidRDefault="000446E6" w:rsidP="00AD3FFE">
      <w:pPr>
        <w:pStyle w:val="NormalWeb"/>
        <w:spacing w:before="0" w:beforeAutospacing="0" w:after="0" w:afterAutospacing="0"/>
        <w:ind w:firstLine="709"/>
        <w:jc w:val="both"/>
        <w:rPr>
          <w:rFonts w:ascii="Verdana" w:hAnsi="Verdana" w:cs="Calibri"/>
          <w:sz w:val="12"/>
          <w:szCs w:val="12"/>
          <w:lang w:val="es-ES"/>
        </w:rPr>
      </w:pPr>
      <w:r w:rsidRPr="0061735F">
        <w:rPr>
          <w:rFonts w:ascii="Verdana" w:hAnsi="Verdana" w:cs="Calibri"/>
          <w:sz w:val="12"/>
          <w:szCs w:val="12"/>
          <w:lang w:val="es-ES"/>
        </w:rPr>
        <w:t>d) Quienes en sentencia judicial hayan sido condenados a la pena accesoria de interdicción de derechos y funciones públicas y quienes hayan sido sancionados disciplinariamente con destitución. </w:t>
      </w:r>
    </w:p>
    <w:p w14:paraId="474CE6B6"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e) Quienes sin justa causa se abstengan de suscribir el contrato estatal adjudicado. </w:t>
      </w:r>
    </w:p>
    <w:p w14:paraId="6C3B9D52"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f) Los servidores públicos. </w:t>
      </w:r>
    </w:p>
    <w:p w14:paraId="460F3E63"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g) Quienes sean cónyuges o compañeros permanentes y quienes se encuentren dentro del segundo grado de consanguinidad o segundo de afinidad con cualquier otra persona que formalmente haya presentado propuesta para una misma licitación o concurso. </w:t>
      </w:r>
    </w:p>
    <w:p w14:paraId="51D92F82" w14:textId="77777777" w:rsidR="000446E6" w:rsidRPr="0061735F" w:rsidRDefault="000446E6" w:rsidP="00AD3FFE">
      <w:pPr>
        <w:pStyle w:val="NormalWeb"/>
        <w:spacing w:before="0" w:beforeAutospacing="0" w:after="0" w:afterAutospacing="0"/>
        <w:ind w:firstLine="709"/>
        <w:jc w:val="both"/>
        <w:rPr>
          <w:rFonts w:ascii="Verdana" w:hAnsi="Verdana" w:cs="Calibri"/>
          <w:sz w:val="12"/>
          <w:szCs w:val="12"/>
          <w:lang w:val="es-ES"/>
        </w:rPr>
      </w:pPr>
      <w:r w:rsidRPr="0061735F">
        <w:rPr>
          <w:rFonts w:ascii="Verdana" w:hAnsi="Verdana" w:cs="Calibri"/>
          <w:sz w:val="12"/>
          <w:szCs w:val="12"/>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14007C60"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i) Los socios de sociedades de personas a las cuales se haya declarado la caducidad, así como las sociedades de personas de las que aquellos formen parte con posterioridad a dicha declaratoria. </w:t>
      </w:r>
    </w:p>
    <w:p w14:paraId="71B022CC" w14:textId="77777777" w:rsidR="000446E6" w:rsidRPr="0061735F" w:rsidRDefault="000446E6" w:rsidP="00AD3FFE">
      <w:pPr>
        <w:pStyle w:val="NormalWeb"/>
        <w:spacing w:before="0" w:beforeAutospacing="0" w:after="0" w:afterAutospacing="0"/>
        <w:ind w:firstLine="709"/>
        <w:jc w:val="both"/>
        <w:rPr>
          <w:rFonts w:ascii="Verdana" w:hAnsi="Verdana" w:cs="Calibri"/>
          <w:sz w:val="12"/>
          <w:szCs w:val="12"/>
          <w:lang w:val="es-ES"/>
        </w:rPr>
      </w:pPr>
      <w:r w:rsidRPr="0061735F">
        <w:rPr>
          <w:rFonts w:ascii="Verdana" w:hAnsi="Verdana" w:cs="Calibri"/>
          <w:sz w:val="12"/>
          <w:szCs w:val="12"/>
          <w:lang w:val="es-E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0D33E798"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1B4872E2"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61735F">
        <w:rPr>
          <w:rFonts w:ascii="Verdana" w:hAnsi="Verdana" w:cs="Calibri"/>
          <w:sz w:val="12"/>
          <w:szCs w:val="12"/>
          <w:lang w:val="es-E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61735F">
        <w:rPr>
          <w:rFonts w:ascii="Verdana" w:hAnsi="Verdana" w:cs="Calibri"/>
          <w:sz w:val="12"/>
          <w:szCs w:val="12"/>
          <w:lang w:val="es-ES"/>
        </w:rPr>
        <w:softHyphen/>
        <w:t>cepción de las sociedades anónimas abiertas. También se considerarán inhabilitadas para contratar, las personas jurídicas sobre las cuales se haya ordenado la suspensión de la perso</w:t>
      </w:r>
      <w:r w:rsidRPr="0061735F">
        <w:rPr>
          <w:rFonts w:ascii="Verdana" w:hAnsi="Verdana" w:cs="Calibri"/>
          <w:sz w:val="12"/>
          <w:szCs w:val="12"/>
          <w:lang w:val="es-ES"/>
        </w:rPr>
        <w:softHyphen/>
        <w:t>nería jurídica en los términos de ley, o cuyos representantes legales, ad</w:t>
      </w:r>
      <w:r w:rsidRPr="0061735F">
        <w:rPr>
          <w:rFonts w:ascii="Verdana" w:hAnsi="Verdana" w:cs="Calibri"/>
          <w:sz w:val="12"/>
          <w:szCs w:val="12"/>
          <w:lang w:val="es-E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61735F">
        <w:rPr>
          <w:rFonts w:ascii="Verdana" w:hAnsi="Verdana" w:cs="Calibri"/>
          <w:sz w:val="12"/>
          <w:szCs w:val="12"/>
          <w:lang w:val="es-E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56C1893" w14:textId="77777777" w:rsidR="000446E6" w:rsidRPr="0061735F" w:rsidRDefault="000446E6" w:rsidP="00AD3FFE">
      <w:pPr>
        <w:pStyle w:val="NormalWeb"/>
        <w:spacing w:before="0" w:beforeAutospacing="0" w:after="0" w:afterAutospacing="0"/>
        <w:ind w:firstLine="709"/>
        <w:jc w:val="both"/>
        <w:rPr>
          <w:rFonts w:ascii="Verdana" w:hAnsi="Verdana" w:cs="Calibri"/>
          <w:sz w:val="12"/>
          <w:szCs w:val="12"/>
          <w:lang w:val="es-ES"/>
        </w:rPr>
      </w:pPr>
      <w:r w:rsidRPr="0061735F">
        <w:rPr>
          <w:rFonts w:ascii="Verdana" w:hAnsi="Verdana" w:cs="Calibri"/>
          <w:sz w:val="12"/>
          <w:szCs w:val="12"/>
          <w:lang w:val="es-ES"/>
        </w:rPr>
        <w:t>[…]</w:t>
      </w:r>
    </w:p>
    <w:p w14:paraId="5EF79C63" w14:textId="77777777" w:rsidR="000446E6" w:rsidRPr="0061735F" w:rsidRDefault="000446E6" w:rsidP="00AD3FFE">
      <w:pPr>
        <w:pStyle w:val="NormalWeb"/>
        <w:spacing w:before="0" w:beforeAutospacing="0" w:after="0" w:afterAutospacing="0"/>
        <w:ind w:firstLine="709"/>
        <w:jc w:val="both"/>
        <w:rPr>
          <w:rFonts w:ascii="Verdana" w:hAnsi="Verdana" w:cs="Calibri"/>
          <w:sz w:val="12"/>
          <w:szCs w:val="12"/>
          <w:lang w:val="es-ES"/>
        </w:rPr>
      </w:pPr>
      <w:r w:rsidRPr="0061735F">
        <w:rPr>
          <w:rFonts w:ascii="Verdana" w:hAnsi="Verdana" w:cs="Calibri"/>
          <w:sz w:val="12"/>
          <w:szCs w:val="12"/>
          <w:lang w:val="es-ES"/>
        </w:rPr>
        <w:t>2o. Tampoco podrán participar en licitaciones o concursos ni celebrar contratos estatales con la entidad respectiva: </w:t>
      </w:r>
    </w:p>
    <w:p w14:paraId="5C376BC3"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552E03F6"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615AD253"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c) El cónyuge, compañero o compañera permanente del servidor público en los niveles directivo, asesor, ejecutivo, o de un miembro de la junta o consejo directivo, o de quien ejerza funciones de control interno o de control fiscal. </w:t>
      </w:r>
    </w:p>
    <w:p w14:paraId="7443B1CF"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64095579"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e) Los miembros de las juntas o consejos directivos. Esta incompatibilidad sólo se predica respecto de la entidad a la cual prestan sus servicios y de las del sector administrativo al que la misma esté adscrita o vinculada. </w:t>
      </w:r>
    </w:p>
    <w:p w14:paraId="5520E5C9" w14:textId="77777777" w:rsidR="000446E6" w:rsidRPr="0061735F" w:rsidRDefault="000446E6" w:rsidP="00AD3FFE">
      <w:pPr>
        <w:pStyle w:val="NormalWeb"/>
        <w:spacing w:before="0" w:beforeAutospacing="0" w:after="0" w:afterAutospacing="0"/>
        <w:ind w:firstLine="708"/>
        <w:jc w:val="both"/>
        <w:rPr>
          <w:rFonts w:ascii="Verdana" w:hAnsi="Verdana" w:cs="Calibri"/>
          <w:sz w:val="12"/>
          <w:szCs w:val="12"/>
          <w:lang w:val="es-ES"/>
        </w:rPr>
      </w:pPr>
      <w:r w:rsidRPr="0061735F">
        <w:rPr>
          <w:rFonts w:ascii="Verdana" w:hAnsi="Verdana" w:cs="Calibri"/>
          <w:sz w:val="12"/>
          <w:szCs w:val="12"/>
          <w:lang w:val="es-E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r w:rsidRPr="0061735F">
        <w:rPr>
          <w:rFonts w:ascii="Verdana" w:hAnsi="Verdana" w:cs="Calibri"/>
          <w:sz w:val="12"/>
          <w:szCs w:val="12"/>
          <w:lang w:val="es-ES"/>
        </w:rPr>
        <w:t xml:space="preserve">ex empleado público”. (…). </w:t>
      </w:r>
    </w:p>
  </w:footnote>
  <w:footnote w:id="7">
    <w:p w14:paraId="6A1C4043" w14:textId="77777777" w:rsidR="000446E6" w:rsidRPr="0061735F" w:rsidRDefault="000446E6" w:rsidP="00AD3FFE">
      <w:pPr>
        <w:pStyle w:val="Textonotapie"/>
        <w:ind w:firstLine="709"/>
        <w:jc w:val="both"/>
        <w:rPr>
          <w:rFonts w:ascii="Verdana" w:hAnsi="Verdana" w:cs="Calibri"/>
          <w:sz w:val="12"/>
          <w:szCs w:val="12"/>
        </w:rPr>
      </w:pPr>
      <w:r w:rsidRPr="0061735F">
        <w:rPr>
          <w:rStyle w:val="Refdenotaalpie"/>
          <w:rFonts w:ascii="Verdana" w:hAnsi="Verdana" w:cs="Calibri"/>
          <w:sz w:val="12"/>
          <w:szCs w:val="12"/>
        </w:rPr>
        <w:footnoteRef/>
      </w:r>
      <w:r w:rsidRPr="0061735F">
        <w:rPr>
          <w:rFonts w:ascii="Verdana" w:hAnsi="Verdana" w:cs="Calibri"/>
          <w:sz w:val="12"/>
          <w:szCs w:val="12"/>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58DA27ED" w14:textId="77777777" w:rsidR="000446E6" w:rsidRPr="0061735F" w:rsidRDefault="000446E6" w:rsidP="00AD3FFE">
      <w:pPr>
        <w:pStyle w:val="Textonotapie"/>
        <w:ind w:firstLine="709"/>
        <w:jc w:val="both"/>
        <w:rPr>
          <w:rFonts w:ascii="Verdana" w:hAnsi="Verdana" w:cs="Calibri"/>
          <w:sz w:val="12"/>
          <w:szCs w:val="12"/>
        </w:rPr>
      </w:pPr>
      <w:r w:rsidRPr="0061735F">
        <w:rPr>
          <w:rFonts w:ascii="Verdana" w:hAnsi="Verdana" w:cs="Calibri"/>
          <w:sz w:val="12"/>
          <w:szCs w:val="12"/>
        </w:rPr>
        <w:t>Las personas jurídicas nacionales y extranjeras deberán acreditar que su duración no será inferior a la del plazo del contrato y un año más”.</w:t>
      </w:r>
    </w:p>
  </w:footnote>
  <w:footnote w:id="8">
    <w:p w14:paraId="443A83EB" w14:textId="77777777" w:rsidR="000446E6" w:rsidRPr="0061735F" w:rsidRDefault="000446E6" w:rsidP="00AD3FFE">
      <w:pPr>
        <w:pStyle w:val="Textonotapie"/>
        <w:ind w:firstLine="709"/>
        <w:jc w:val="both"/>
        <w:rPr>
          <w:rFonts w:ascii="Verdana" w:hAnsi="Verdana" w:cs="Calibri"/>
          <w:sz w:val="12"/>
          <w:szCs w:val="12"/>
        </w:rPr>
      </w:pPr>
    </w:p>
    <w:p w14:paraId="13E39987" w14:textId="77777777" w:rsidR="000446E6" w:rsidRPr="0061735F" w:rsidRDefault="000446E6" w:rsidP="00AD3FFE">
      <w:pPr>
        <w:pStyle w:val="Textonotapie"/>
        <w:ind w:firstLine="709"/>
        <w:jc w:val="both"/>
        <w:rPr>
          <w:rFonts w:ascii="Verdana" w:hAnsi="Verdana" w:cs="Calibri"/>
          <w:sz w:val="12"/>
          <w:szCs w:val="12"/>
        </w:rPr>
      </w:pPr>
      <w:r w:rsidRPr="0061735F">
        <w:rPr>
          <w:rStyle w:val="Refdenotaalpie"/>
          <w:rFonts w:ascii="Verdana" w:hAnsi="Verdana" w:cs="Calibri"/>
          <w:sz w:val="12"/>
          <w:szCs w:val="12"/>
        </w:rPr>
        <w:footnoteRef/>
      </w:r>
      <w:r w:rsidRPr="0061735F">
        <w:rPr>
          <w:rFonts w:ascii="Verdana" w:hAnsi="Verdana" w:cs="Calibri"/>
          <w:sz w:val="12"/>
          <w:szCs w:val="12"/>
        </w:rPr>
        <w:t xml:space="preserve"> Código Civil: “Artículo 1502. Requisitos para obligarse. Para que una persona se obligue a otra por un acto o declaración de voluntad, es necesario:</w:t>
      </w:r>
    </w:p>
    <w:p w14:paraId="1D858AA4" w14:textId="77777777" w:rsidR="000446E6" w:rsidRPr="0061735F" w:rsidRDefault="000446E6" w:rsidP="00AD3FFE">
      <w:pPr>
        <w:pStyle w:val="Textonotapie"/>
        <w:ind w:firstLine="709"/>
        <w:jc w:val="both"/>
        <w:rPr>
          <w:rFonts w:ascii="Verdana" w:hAnsi="Verdana" w:cs="Calibri"/>
          <w:sz w:val="12"/>
          <w:szCs w:val="12"/>
        </w:rPr>
      </w:pPr>
      <w:r w:rsidRPr="0061735F">
        <w:rPr>
          <w:rFonts w:ascii="Verdana" w:hAnsi="Verdana" w:cs="Calibri"/>
          <w:sz w:val="12"/>
          <w:szCs w:val="12"/>
        </w:rPr>
        <w:t>1o.) que sea legalmente capaz.</w:t>
      </w:r>
    </w:p>
    <w:p w14:paraId="27246AB4" w14:textId="77777777" w:rsidR="000446E6" w:rsidRPr="0061735F" w:rsidRDefault="000446E6" w:rsidP="00AD3FFE">
      <w:pPr>
        <w:pStyle w:val="Textonotapie"/>
        <w:ind w:firstLine="709"/>
        <w:jc w:val="both"/>
        <w:rPr>
          <w:rFonts w:ascii="Verdana" w:hAnsi="Verdana" w:cs="Calibri"/>
          <w:sz w:val="12"/>
          <w:szCs w:val="12"/>
        </w:rPr>
      </w:pPr>
      <w:r w:rsidRPr="0061735F">
        <w:rPr>
          <w:rFonts w:ascii="Verdana" w:hAnsi="Verdana" w:cs="Calibri"/>
          <w:sz w:val="12"/>
          <w:szCs w:val="12"/>
        </w:rPr>
        <w:t>[…]</w:t>
      </w:r>
    </w:p>
    <w:p w14:paraId="3B1E4CEA" w14:textId="77777777" w:rsidR="000446E6" w:rsidRPr="0061735F" w:rsidRDefault="000446E6" w:rsidP="00AD3FFE">
      <w:pPr>
        <w:pStyle w:val="Textonotapie"/>
        <w:ind w:firstLine="709"/>
        <w:jc w:val="both"/>
        <w:rPr>
          <w:rFonts w:ascii="Verdana" w:hAnsi="Verdana" w:cs="Calibri"/>
          <w:sz w:val="12"/>
          <w:szCs w:val="12"/>
        </w:rPr>
      </w:pPr>
      <w:r w:rsidRPr="0061735F">
        <w:rPr>
          <w:rFonts w:ascii="Verdana" w:hAnsi="Verdana" w:cs="Calibri"/>
          <w:sz w:val="12"/>
          <w:szCs w:val="12"/>
        </w:rPr>
        <w:t>La capacidad legal de una persona consiste en poderse obligar por sí misma, sin el ministerio o la autorización de otra”.</w:t>
      </w:r>
    </w:p>
  </w:footnote>
  <w:footnote w:id="9">
    <w:p w14:paraId="14797877" w14:textId="77777777" w:rsidR="000446E6" w:rsidRPr="0061735F" w:rsidRDefault="000446E6" w:rsidP="00AD3FFE">
      <w:pPr>
        <w:pStyle w:val="Textonotapie"/>
        <w:ind w:firstLine="709"/>
        <w:jc w:val="both"/>
        <w:rPr>
          <w:rFonts w:ascii="Verdana" w:hAnsi="Verdana" w:cs="Calibri"/>
          <w:sz w:val="12"/>
          <w:szCs w:val="12"/>
        </w:rPr>
      </w:pPr>
    </w:p>
    <w:p w14:paraId="130F1D56" w14:textId="77777777" w:rsidR="000446E6" w:rsidRPr="0061735F" w:rsidRDefault="000446E6" w:rsidP="00AD3FFE">
      <w:pPr>
        <w:pStyle w:val="Textonotapie"/>
        <w:ind w:firstLine="709"/>
        <w:jc w:val="both"/>
        <w:rPr>
          <w:rFonts w:ascii="Verdana" w:hAnsi="Verdana" w:cs="Calibri"/>
          <w:sz w:val="12"/>
          <w:szCs w:val="12"/>
        </w:rPr>
      </w:pPr>
      <w:r w:rsidRPr="0061735F">
        <w:rPr>
          <w:rStyle w:val="Refdenotaalpie"/>
          <w:rFonts w:ascii="Verdana" w:hAnsi="Verdana" w:cs="Calibri"/>
          <w:sz w:val="12"/>
          <w:szCs w:val="12"/>
        </w:rPr>
        <w:footnoteRef/>
      </w:r>
      <w:r w:rsidRPr="0061735F">
        <w:rPr>
          <w:rFonts w:ascii="Verdana" w:hAnsi="Verdana" w:cs="Calibri"/>
          <w:sz w:val="12"/>
          <w:szCs w:val="12"/>
        </w:rPr>
        <w:t xml:space="preserve"> Decreto Ley 19 de 2012: “Artículo 221. El artículo 6 de la Ley 1150 de 2007, quedará así:</w:t>
      </w:r>
    </w:p>
    <w:p w14:paraId="45E5373F" w14:textId="77777777" w:rsidR="000446E6" w:rsidRPr="0061735F" w:rsidRDefault="000446E6" w:rsidP="00AD3FFE">
      <w:pPr>
        <w:pStyle w:val="Textonotapie"/>
        <w:ind w:firstLine="709"/>
        <w:jc w:val="both"/>
        <w:rPr>
          <w:rFonts w:ascii="Verdana" w:hAnsi="Verdana" w:cs="Calibri"/>
          <w:sz w:val="12"/>
          <w:szCs w:val="12"/>
          <w:lang w:val="es-ES"/>
        </w:rPr>
      </w:pPr>
      <w:r w:rsidRPr="0061735F">
        <w:rPr>
          <w:rFonts w:ascii="Verdana" w:hAnsi="Verdana" w:cs="Calibri"/>
          <w:sz w:val="12"/>
          <w:szCs w:val="12"/>
        </w:rPr>
        <w:t>Artículo 6. De la verificación de las condiciones de los proponentes. T</w:t>
      </w:r>
      <w:r w:rsidRPr="0061735F">
        <w:rPr>
          <w:rFonts w:ascii="Verdana" w:hAnsi="Verdana" w:cs="Calibri"/>
          <w:sz w:val="12"/>
          <w:szCs w:val="12"/>
          <w:lang w:val="es-ES"/>
        </w:rPr>
        <w: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5853EE9" w14:textId="77777777" w:rsidR="000446E6" w:rsidRPr="0061735F" w:rsidRDefault="000446E6" w:rsidP="00AD3FFE">
      <w:pPr>
        <w:pStyle w:val="Textonotapie"/>
        <w:ind w:firstLine="709"/>
        <w:jc w:val="both"/>
        <w:rPr>
          <w:rFonts w:ascii="Verdana" w:hAnsi="Verdana" w:cs="Calibri"/>
          <w:sz w:val="12"/>
          <w:szCs w:val="12"/>
          <w:lang w:val="es-ES"/>
        </w:rPr>
      </w:pPr>
      <w:r w:rsidRPr="0061735F">
        <w:rPr>
          <w:rFonts w:ascii="Verdana" w:hAnsi="Verdana" w:cs="Calibri"/>
          <w:sz w:val="12"/>
          <w:szCs w:val="12"/>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0">
    <w:p w14:paraId="63CB2E02" w14:textId="77777777" w:rsidR="000446E6" w:rsidRPr="0061735F" w:rsidRDefault="000446E6" w:rsidP="00AD3FFE">
      <w:pPr>
        <w:pStyle w:val="Textonotapie"/>
        <w:ind w:firstLine="709"/>
        <w:jc w:val="both"/>
        <w:rPr>
          <w:rFonts w:ascii="Verdana" w:hAnsi="Verdana" w:cs="Calibri"/>
          <w:sz w:val="12"/>
          <w:szCs w:val="12"/>
          <w:lang w:val="es-ES"/>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61735F">
        <w:rPr>
          <w:rFonts w:ascii="Verdana" w:hAnsi="Verdana" w:cs="Calibri"/>
          <w:i/>
          <w:iCs/>
          <w:sz w:val="12"/>
          <w:szCs w:val="12"/>
          <w:lang w:val="es-ES"/>
        </w:rPr>
        <w:t>el régimen de inhabilidades e incompatibilidades</w:t>
      </w:r>
      <w:r w:rsidRPr="0061735F">
        <w:rPr>
          <w:rFonts w:ascii="Verdana" w:hAnsi="Verdana" w:cs="Calibri"/>
          <w:sz w:val="12"/>
          <w:szCs w:val="12"/>
          <w:lang w:val="es-ES"/>
        </w:rPr>
        <w:t xml:space="preserve"> (1) y la obligación de ciertos proponentes de inscribirse en el </w:t>
      </w:r>
      <w:r w:rsidRPr="0061735F">
        <w:rPr>
          <w:rFonts w:ascii="Verdana" w:hAnsi="Verdana" w:cs="Calibri"/>
          <w:i/>
          <w:iCs/>
          <w:sz w:val="12"/>
          <w:szCs w:val="12"/>
          <w:lang w:val="es-ES"/>
        </w:rPr>
        <w:t>registro único</w:t>
      </w:r>
      <w:r w:rsidRPr="0061735F">
        <w:rPr>
          <w:rFonts w:ascii="Verdana" w:hAnsi="Verdana" w:cs="Calibri"/>
          <w:sz w:val="12"/>
          <w:szCs w:val="12"/>
          <w:lang w:val="es-ES"/>
        </w:rPr>
        <w:t xml:space="preserve"> (2)” (BENAVIDES, José Luis. El contrato estatal. Entre el Derecho público y el Derecho privado. 2ª ed. Bogotá: Universidad Externado de Colombia, 2004. p. 278). </w:t>
      </w:r>
    </w:p>
  </w:footnote>
  <w:footnote w:id="11">
    <w:p w14:paraId="04B0F9DE" w14:textId="77777777" w:rsidR="000446E6" w:rsidRPr="0061735F" w:rsidRDefault="000446E6" w:rsidP="00AD3FFE">
      <w:pPr>
        <w:spacing w:after="0" w:line="240" w:lineRule="auto"/>
        <w:ind w:firstLine="709"/>
        <w:jc w:val="both"/>
        <w:rPr>
          <w:rFonts w:ascii="Verdana" w:hAnsi="Verdana" w:cs="Calibri"/>
          <w:sz w:val="12"/>
          <w:szCs w:val="12"/>
        </w:rPr>
      </w:pPr>
    </w:p>
    <w:p w14:paraId="146E65C9" w14:textId="77777777" w:rsidR="000446E6" w:rsidRPr="0061735F" w:rsidRDefault="000446E6" w:rsidP="00AD3FFE">
      <w:pPr>
        <w:spacing w:after="0" w:line="240" w:lineRule="auto"/>
        <w:ind w:firstLine="709"/>
        <w:jc w:val="both"/>
        <w:rPr>
          <w:rFonts w:ascii="Verdana" w:hAnsi="Verdana" w:cs="Calibri"/>
          <w:sz w:val="12"/>
          <w:szCs w:val="12"/>
          <w:lang w:val="es-ES"/>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es-ES"/>
        </w:rPr>
        <w:t xml:space="preserve">Son inhabilidades que responden a esta circunstancia, entre otras, las siguientes: “Quienes participaron en las licitaciones o celebraron los contratos de que trata el literal anterior estando inhabilitados” (art. 8, </w:t>
      </w:r>
      <w:r w:rsidRPr="0061735F">
        <w:rPr>
          <w:rFonts w:ascii="Verdana" w:hAnsi="Verdana" w:cs="Calibri"/>
          <w:sz w:val="12"/>
          <w:szCs w:val="12"/>
          <w:lang w:val="es-ES"/>
        </w:rPr>
        <w:t>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footnote>
  <w:footnote w:id="12">
    <w:p w14:paraId="6A4382F8" w14:textId="77777777" w:rsidR="000446E6" w:rsidRPr="0061735F" w:rsidRDefault="000446E6" w:rsidP="00AD3FFE">
      <w:pPr>
        <w:pStyle w:val="Textonotapie"/>
        <w:ind w:firstLine="709"/>
        <w:jc w:val="both"/>
        <w:rPr>
          <w:rFonts w:ascii="Verdana" w:hAnsi="Verdana" w:cs="Calibri"/>
          <w:sz w:val="12"/>
          <w:szCs w:val="12"/>
        </w:rPr>
      </w:pPr>
    </w:p>
    <w:p w14:paraId="3B0451B7" w14:textId="77777777" w:rsidR="000446E6" w:rsidRPr="0061735F" w:rsidRDefault="000446E6" w:rsidP="00AD3FFE">
      <w:pPr>
        <w:pStyle w:val="Textonotapie"/>
        <w:ind w:firstLine="709"/>
        <w:jc w:val="both"/>
        <w:rPr>
          <w:rFonts w:ascii="Verdana" w:hAnsi="Verdana" w:cs="Calibri"/>
          <w:sz w:val="12"/>
          <w:szCs w:val="12"/>
          <w:lang w:val="es-ES"/>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r w:rsidRPr="0061735F">
        <w:rPr>
          <w:rFonts w:ascii="Verdana" w:hAnsi="Verdana" w:cs="Calibri"/>
          <w:sz w:val="12"/>
          <w:szCs w:val="12"/>
          <w:lang w:val="es-ES"/>
        </w:rPr>
        <w:t>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footnote>
  <w:footnote w:id="13">
    <w:p w14:paraId="2FBFA95B" w14:textId="77777777" w:rsidR="000446E6" w:rsidRPr="0061735F" w:rsidRDefault="000446E6" w:rsidP="00AD3FFE">
      <w:pPr>
        <w:pStyle w:val="Textonotapie"/>
        <w:ind w:firstLine="709"/>
        <w:jc w:val="both"/>
        <w:rPr>
          <w:rFonts w:ascii="Verdana" w:hAnsi="Verdana" w:cs="Calibri"/>
          <w:sz w:val="12"/>
          <w:szCs w:val="12"/>
        </w:rPr>
      </w:pPr>
    </w:p>
    <w:p w14:paraId="66D0D3A9" w14:textId="77777777" w:rsidR="000446E6" w:rsidRPr="0061735F" w:rsidRDefault="000446E6" w:rsidP="00AD3FFE">
      <w:pPr>
        <w:pStyle w:val="Textonotapie"/>
        <w:ind w:firstLine="709"/>
        <w:jc w:val="both"/>
        <w:rPr>
          <w:rFonts w:ascii="Verdana" w:hAnsi="Verdana" w:cs="Calibri"/>
          <w:sz w:val="12"/>
          <w:szCs w:val="12"/>
          <w:lang w:val="es-ES"/>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es-ES"/>
        </w:rPr>
        <w:t xml:space="preserve">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w:t>
      </w:r>
      <w:r w:rsidRPr="0061735F">
        <w:rPr>
          <w:rFonts w:ascii="Verdana" w:hAnsi="Verdana" w:cs="Calibri"/>
          <w:sz w:val="12"/>
          <w:szCs w:val="12"/>
          <w:lang w:val="es-ES"/>
        </w:rPr>
        <w:t>num. 1º, lit. k), Ley 80/93, modificado por el art. 33, Ley 1778/16); “Quienes fueron miembros de la junta o consejo directivo o servidores públicos de la entidad contratante” (art. 8, num. 2º, lit.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w:t>
      </w:r>
    </w:p>
    <w:p w14:paraId="7454DECC" w14:textId="77777777" w:rsidR="000446E6" w:rsidRPr="0061735F" w:rsidRDefault="000446E6" w:rsidP="00AD3FFE">
      <w:pPr>
        <w:pStyle w:val="Textonotapie"/>
        <w:ind w:firstLine="709"/>
        <w:jc w:val="both"/>
        <w:rPr>
          <w:rFonts w:ascii="Verdana" w:hAnsi="Verdana" w:cs="Calibri"/>
          <w:sz w:val="12"/>
          <w:szCs w:val="12"/>
          <w:lang w:val="es-ES"/>
        </w:rPr>
      </w:pPr>
    </w:p>
  </w:footnote>
  <w:footnote w:id="14">
    <w:p w14:paraId="76F4213B" w14:textId="77777777" w:rsidR="000446E6" w:rsidRPr="0061735F" w:rsidRDefault="000446E6" w:rsidP="00AD3FFE">
      <w:pPr>
        <w:spacing w:after="0" w:line="240" w:lineRule="auto"/>
        <w:ind w:firstLine="709"/>
        <w:jc w:val="both"/>
        <w:rPr>
          <w:rFonts w:ascii="Verdana" w:hAnsi="Verdana" w:cs="Calibri"/>
          <w:sz w:val="12"/>
          <w:szCs w:val="12"/>
          <w:lang w:val="es-ES"/>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es-ES"/>
        </w:rPr>
        <w:t xml:space="preserve">Como las señaladas a continuación: “Los servidores públicos” (art. 8, </w:t>
      </w:r>
      <w:r w:rsidRPr="0061735F">
        <w:rPr>
          <w:rFonts w:ascii="Verdana" w:hAnsi="Verdana" w:cs="Calibri"/>
          <w:sz w:val="12"/>
          <w:szCs w:val="12"/>
          <w:lang w:val="es-ES"/>
        </w:rPr>
        <w:t xml:space="preserve">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5">
    <w:p w14:paraId="0EABCEA5" w14:textId="77777777" w:rsidR="000446E6" w:rsidRPr="0061735F" w:rsidRDefault="000446E6" w:rsidP="00AD3FFE">
      <w:pPr>
        <w:pStyle w:val="Textonotapie"/>
        <w:ind w:firstLine="709"/>
        <w:jc w:val="both"/>
        <w:rPr>
          <w:rFonts w:ascii="Verdana" w:hAnsi="Verdana" w:cs="Calibri"/>
          <w:sz w:val="12"/>
          <w:szCs w:val="12"/>
        </w:rPr>
      </w:pPr>
    </w:p>
    <w:p w14:paraId="70234D4E" w14:textId="77777777" w:rsidR="000446E6" w:rsidRPr="0061735F" w:rsidRDefault="000446E6" w:rsidP="00AD3FFE">
      <w:pPr>
        <w:pStyle w:val="Textonotapie"/>
        <w:ind w:firstLine="709"/>
        <w:jc w:val="both"/>
        <w:rPr>
          <w:rFonts w:ascii="Verdana" w:hAnsi="Verdana" w:cs="Calibri"/>
          <w:sz w:val="12"/>
          <w:szCs w:val="12"/>
        </w:rPr>
      </w:pPr>
      <w:r w:rsidRPr="0061735F">
        <w:rPr>
          <w:rStyle w:val="Refdenotaalpie"/>
          <w:rFonts w:ascii="Verdana" w:hAnsi="Verdana" w:cs="Calibri"/>
          <w:sz w:val="12"/>
          <w:szCs w:val="12"/>
        </w:rPr>
        <w:footnoteRef/>
      </w:r>
      <w:r w:rsidRPr="0061735F">
        <w:rPr>
          <w:rFonts w:ascii="Verdana" w:hAnsi="Verdana" w:cs="Calibri"/>
          <w:sz w:val="12"/>
          <w:szCs w:val="12"/>
        </w:rPr>
        <w:t xml:space="preserve"> En esta línea Dávila Vinueza Expresa: “El legislador para calificar estas prohibiciones emplea dos vocablos: Inhabilidades o incompatibilidades, los cuales en un examen desprevenido podrían sugerir ideas diferentes </w:t>
      </w:r>
      <w:r w:rsidRPr="0061735F">
        <w:rPr>
          <w:rFonts w:ascii="Verdana" w:hAnsi="Verdana" w:cs="Calibri"/>
          <w:sz w:val="12"/>
          <w:szCs w:val="12"/>
        </w:rPr>
        <w:t>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6">
    <w:p w14:paraId="1559A07A" w14:textId="77777777" w:rsidR="000446E6" w:rsidRPr="0061735F" w:rsidRDefault="000446E6" w:rsidP="00AD3FFE">
      <w:pPr>
        <w:pStyle w:val="Textonotapie"/>
        <w:ind w:firstLine="709"/>
        <w:jc w:val="both"/>
        <w:rPr>
          <w:rFonts w:ascii="Verdana" w:hAnsi="Verdana" w:cs="Calibri"/>
          <w:sz w:val="12"/>
          <w:szCs w:val="12"/>
        </w:rPr>
      </w:pPr>
    </w:p>
    <w:p w14:paraId="2A6E149B" w14:textId="77777777" w:rsidR="000446E6" w:rsidRPr="0061735F" w:rsidRDefault="000446E6" w:rsidP="00AD3FFE">
      <w:pPr>
        <w:pStyle w:val="Textonotapie"/>
        <w:ind w:firstLine="709"/>
        <w:jc w:val="both"/>
        <w:rPr>
          <w:rFonts w:ascii="Verdana" w:hAnsi="Verdana" w:cs="Calibri"/>
          <w:sz w:val="12"/>
          <w:szCs w:val="12"/>
          <w:lang w:val="es-ES"/>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es-ES"/>
        </w:rPr>
        <w:t xml:space="preserve">BARRETO ROZO, Antonio Alejandro. Inhabilidades de la contratación estatal, efectos y </w:t>
      </w:r>
      <w:r w:rsidRPr="0061735F">
        <w:rPr>
          <w:rFonts w:ascii="Verdana" w:hAnsi="Verdana" w:cs="Calibri"/>
          <w:sz w:val="12"/>
          <w:szCs w:val="12"/>
          <w:lang w:val="es-ES"/>
        </w:rPr>
        <w:t>neopunitivismo en el Estatuto Anticorrupción. En: ALVIAR GARCÍA, Helena (Coordinadora). Nuevas tendencias del Derecho administrativo. Bogotá: Universidad de los Andes; Temis, 2016. pp. 63-99.</w:t>
      </w:r>
    </w:p>
  </w:footnote>
  <w:footnote w:id="17">
    <w:p w14:paraId="5C193F32" w14:textId="77777777" w:rsidR="000446E6" w:rsidRPr="0061735F" w:rsidRDefault="000446E6" w:rsidP="00AD3FFE">
      <w:pPr>
        <w:pStyle w:val="Textonotapie"/>
        <w:ind w:firstLine="709"/>
        <w:jc w:val="both"/>
        <w:rPr>
          <w:rFonts w:ascii="Verdana" w:hAnsi="Verdana" w:cs="Calibri"/>
          <w:sz w:val="12"/>
          <w:szCs w:val="12"/>
        </w:rPr>
      </w:pPr>
    </w:p>
    <w:p w14:paraId="4F9A468B" w14:textId="77777777" w:rsidR="000446E6" w:rsidRPr="0061735F" w:rsidRDefault="000446E6" w:rsidP="00AD3FFE">
      <w:pPr>
        <w:pStyle w:val="Textonotapie"/>
        <w:ind w:firstLine="709"/>
        <w:jc w:val="both"/>
        <w:rPr>
          <w:rFonts w:ascii="Verdana" w:hAnsi="Verdana" w:cs="Calibri"/>
          <w:sz w:val="12"/>
          <w:szCs w:val="12"/>
          <w:lang w:val="pt-BR"/>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sz w:val="12"/>
          <w:szCs w:val="12"/>
          <w:lang w:val="pt-BR"/>
        </w:rPr>
        <w:t xml:space="preserve">Corte Constitucional. Sentencia C-415 de 1994. M.P. Eduardo </w:t>
      </w:r>
      <w:r w:rsidRPr="0061735F">
        <w:rPr>
          <w:rFonts w:ascii="Verdana" w:hAnsi="Verdana" w:cs="Calibri"/>
          <w:sz w:val="12"/>
          <w:szCs w:val="12"/>
          <w:lang w:val="pt-BR"/>
        </w:rPr>
        <w:t>Cifuentes Muñoz.</w:t>
      </w:r>
    </w:p>
  </w:footnote>
  <w:footnote w:id="18">
    <w:p w14:paraId="6C91131E" w14:textId="77777777" w:rsidR="000446E6" w:rsidRPr="0061735F" w:rsidRDefault="000446E6" w:rsidP="00AD3FFE">
      <w:pPr>
        <w:pStyle w:val="Textonotapie"/>
        <w:ind w:firstLine="709"/>
        <w:jc w:val="both"/>
        <w:rPr>
          <w:rFonts w:ascii="Verdana" w:hAnsi="Verdana" w:cs="Calibri"/>
          <w:sz w:val="12"/>
          <w:szCs w:val="12"/>
        </w:rPr>
      </w:pPr>
    </w:p>
    <w:p w14:paraId="149750D3" w14:textId="77777777" w:rsidR="000446E6" w:rsidRPr="0061735F" w:rsidRDefault="000446E6" w:rsidP="00AD3FFE">
      <w:pPr>
        <w:pStyle w:val="Textonotapie"/>
        <w:ind w:firstLine="709"/>
        <w:jc w:val="both"/>
        <w:rPr>
          <w:rFonts w:ascii="Verdana" w:hAnsi="Verdana" w:cs="Calibri"/>
          <w:color w:val="000000"/>
          <w:sz w:val="12"/>
          <w:szCs w:val="12"/>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color w:val="000000"/>
          <w:sz w:val="12"/>
          <w:szCs w:val="12"/>
          <w:lang w:val="pt-BR"/>
        </w:rPr>
        <w:t xml:space="preserve">CONSEJO DE ESTADO. Sala de </w:t>
      </w:r>
      <w:r w:rsidRPr="0061735F">
        <w:rPr>
          <w:rFonts w:ascii="Verdana" w:hAnsi="Verdana" w:cs="Calibri"/>
          <w:color w:val="000000"/>
          <w:sz w:val="12"/>
          <w:szCs w:val="12"/>
          <w:lang w:val="pt-BR"/>
        </w:rPr>
        <w:t xml:space="preserve">lo contencioso administrativo. Sentencia del 12 de diciembre de 2014. Exp. 26496. C.P. Ramiro Pazos Guerrero. </w:t>
      </w:r>
      <w:r w:rsidRPr="0061735F">
        <w:rPr>
          <w:rFonts w:ascii="Verdana" w:hAnsi="Verdana" w:cs="Calibri"/>
          <w:color w:val="000000"/>
          <w:sz w:val="12"/>
          <w:szCs w:val="12"/>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19">
    <w:p w14:paraId="0C0469ED" w14:textId="77777777" w:rsidR="000446E6" w:rsidRPr="0061735F" w:rsidRDefault="000446E6" w:rsidP="00AD3FFE">
      <w:pPr>
        <w:pStyle w:val="Textonotapie"/>
        <w:ind w:firstLine="709"/>
        <w:jc w:val="both"/>
        <w:rPr>
          <w:rFonts w:ascii="Verdana" w:hAnsi="Verdana" w:cs="Calibri"/>
          <w:sz w:val="12"/>
          <w:szCs w:val="12"/>
        </w:rPr>
      </w:pPr>
    </w:p>
    <w:p w14:paraId="20605036" w14:textId="77777777" w:rsidR="000446E6" w:rsidRPr="0061735F" w:rsidRDefault="000446E6" w:rsidP="00AD3FFE">
      <w:pPr>
        <w:pStyle w:val="Textonotapie"/>
        <w:ind w:firstLine="709"/>
        <w:jc w:val="both"/>
        <w:rPr>
          <w:rFonts w:ascii="Verdana" w:hAnsi="Verdana" w:cs="Calibri"/>
          <w:sz w:val="12"/>
          <w:szCs w:val="12"/>
          <w:lang w:val="es-ES_tradnl"/>
        </w:rPr>
      </w:pPr>
      <w:r w:rsidRPr="0061735F">
        <w:rPr>
          <w:rStyle w:val="Refdenotaalpie"/>
          <w:rFonts w:ascii="Verdana" w:hAnsi="Verdana" w:cs="Calibri"/>
          <w:sz w:val="12"/>
          <w:szCs w:val="12"/>
        </w:rPr>
        <w:footnoteRef/>
      </w:r>
      <w:r w:rsidRPr="0061735F">
        <w:rPr>
          <w:rFonts w:ascii="Verdana" w:hAnsi="Verdana" w:cs="Calibri"/>
          <w:sz w:val="12"/>
          <w:szCs w:val="12"/>
        </w:rPr>
        <w:t xml:space="preserve"> </w:t>
      </w:r>
      <w:r w:rsidRPr="0061735F">
        <w:rPr>
          <w:rFonts w:ascii="Verdana" w:hAnsi="Verdana" w:cs="Calibri"/>
          <w:color w:val="000000"/>
          <w:sz w:val="12"/>
          <w:szCs w:val="12"/>
        </w:rPr>
        <w:t>CONSEJO DE ESTADO. Sala de Consulta y Servicio Civil. Concepto del 29 de abril de 1998. Rad. 1097. C.P. Augusto Trejos Jaramillo.</w:t>
      </w:r>
    </w:p>
  </w:footnote>
  <w:footnote w:id="20">
    <w:p w14:paraId="29F1FA6A" w14:textId="77777777" w:rsidR="000446E6" w:rsidRPr="0061735F" w:rsidRDefault="000446E6" w:rsidP="00AD3FFE">
      <w:pPr>
        <w:pStyle w:val="Textonotapie"/>
        <w:ind w:firstLine="709"/>
        <w:jc w:val="both"/>
        <w:rPr>
          <w:rFonts w:ascii="Verdana" w:hAnsi="Verdana" w:cs="Calibri"/>
          <w:sz w:val="12"/>
          <w:szCs w:val="12"/>
        </w:rPr>
      </w:pPr>
      <w:r w:rsidRPr="0061735F">
        <w:rPr>
          <w:rStyle w:val="Refdenotaalpie"/>
          <w:rFonts w:ascii="Verdana" w:hAnsi="Verdana" w:cs="Calibri"/>
          <w:sz w:val="12"/>
          <w:szCs w:val="12"/>
        </w:rPr>
        <w:footnoteRef/>
      </w:r>
      <w:r w:rsidRPr="0061735F">
        <w:rPr>
          <w:rFonts w:ascii="Verdana" w:hAnsi="Verdana" w:cs="Calibri"/>
          <w:sz w:val="12"/>
          <w:szCs w:val="12"/>
        </w:rPr>
        <w:t xml:space="preserve"> Código Civil: “Artículo 633. Definición de persona jurídica. Se llama persona jurídica, una persona ficticia, capaz de ejercer derechos y contraer obligaciones civiles, y de ser representada judicial y extrajudicialmente.</w:t>
      </w:r>
    </w:p>
    <w:p w14:paraId="43208355" w14:textId="77777777" w:rsidR="000446E6" w:rsidRPr="0061735F" w:rsidRDefault="000446E6" w:rsidP="00AD3FFE">
      <w:pPr>
        <w:pStyle w:val="Textonotapie"/>
        <w:ind w:firstLine="709"/>
        <w:jc w:val="both"/>
        <w:rPr>
          <w:rFonts w:ascii="Verdana" w:hAnsi="Verdana" w:cs="Calibri"/>
          <w:sz w:val="12"/>
          <w:szCs w:val="12"/>
        </w:rPr>
      </w:pPr>
      <w:r w:rsidRPr="0061735F">
        <w:rPr>
          <w:rFonts w:ascii="Verdana" w:hAnsi="Verdana" w:cs="Calibri"/>
          <w:sz w:val="12"/>
          <w:szCs w:val="12"/>
        </w:rPr>
        <w:t>Las personas jurídicas son de dos especies: corporaciones y fundaciones de beneficencia pública.</w:t>
      </w:r>
    </w:p>
    <w:p w14:paraId="515B3104" w14:textId="77777777" w:rsidR="000446E6" w:rsidRPr="0061735F" w:rsidRDefault="000446E6" w:rsidP="00AD3FFE">
      <w:pPr>
        <w:pStyle w:val="Textonotapie"/>
        <w:ind w:firstLine="709"/>
        <w:jc w:val="both"/>
        <w:rPr>
          <w:rFonts w:ascii="Verdana" w:hAnsi="Verdana" w:cs="Calibri"/>
          <w:sz w:val="12"/>
          <w:szCs w:val="12"/>
        </w:rPr>
      </w:pPr>
      <w:r w:rsidRPr="0061735F">
        <w:rPr>
          <w:rFonts w:ascii="Verdana" w:hAnsi="Verdana" w:cs="Calibri"/>
          <w:sz w:val="12"/>
          <w:szCs w:val="12"/>
        </w:rPr>
        <w:t>Hay personas jurídicas que participan de uno y otro carácter”.</w:t>
      </w:r>
    </w:p>
    <w:p w14:paraId="327437D4" w14:textId="77777777" w:rsidR="000446E6" w:rsidRPr="0061735F" w:rsidRDefault="000446E6" w:rsidP="00AD3FFE">
      <w:pPr>
        <w:pStyle w:val="Textonotapie"/>
        <w:ind w:firstLine="709"/>
        <w:jc w:val="both"/>
        <w:rPr>
          <w:rFonts w:ascii="Verdana" w:hAnsi="Verdana" w:cs="Calibri"/>
          <w:sz w:val="12"/>
          <w:szCs w:val="12"/>
          <w:lang w:val="es-CO"/>
        </w:rPr>
      </w:pPr>
    </w:p>
  </w:footnote>
  <w:footnote w:id="21">
    <w:p w14:paraId="2F8E7D88" w14:textId="77777777" w:rsidR="000446E6" w:rsidRPr="0061735F" w:rsidRDefault="000446E6" w:rsidP="00AD3FFE">
      <w:pPr>
        <w:pStyle w:val="Textonotapie"/>
        <w:ind w:firstLine="709"/>
        <w:jc w:val="both"/>
        <w:rPr>
          <w:rFonts w:ascii="Verdana" w:hAnsi="Verdana" w:cs="Calibri"/>
          <w:sz w:val="12"/>
          <w:szCs w:val="12"/>
        </w:rPr>
      </w:pPr>
      <w:r w:rsidRPr="0061735F">
        <w:rPr>
          <w:rStyle w:val="Refdenotaalpie"/>
          <w:rFonts w:ascii="Verdana" w:hAnsi="Verdana" w:cs="Calibri"/>
          <w:sz w:val="12"/>
          <w:szCs w:val="12"/>
        </w:rPr>
        <w:footnoteRef/>
      </w:r>
      <w:r w:rsidRPr="0061735F">
        <w:rPr>
          <w:rFonts w:ascii="Verdana" w:hAnsi="Verdana" w:cs="Calibri"/>
          <w:sz w:val="12"/>
          <w:szCs w:val="12"/>
        </w:rPr>
        <w:t xml:space="preserve"> Código de Comercio: “Artículo 99.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p>
    <w:p w14:paraId="0872A91F" w14:textId="77777777" w:rsidR="000446E6" w:rsidRPr="0061735F" w:rsidRDefault="000446E6" w:rsidP="00AD3FFE">
      <w:pPr>
        <w:pStyle w:val="Textonotapie"/>
        <w:ind w:firstLine="709"/>
        <w:jc w:val="both"/>
        <w:rPr>
          <w:rFonts w:ascii="Verdana" w:hAnsi="Verdana" w:cs="Calibri"/>
          <w:sz w:val="12"/>
          <w:szCs w:val="12"/>
          <w:lang w:val="es-CO"/>
        </w:rPr>
      </w:pPr>
      <w:r w:rsidRPr="0061735F">
        <w:rPr>
          <w:rFonts w:ascii="Verdana" w:hAnsi="Verdana" w:cs="Calibri"/>
          <w:sz w:val="12"/>
          <w:szCs w:val="12"/>
        </w:rPr>
        <w:t xml:space="preserve"> </w:t>
      </w:r>
    </w:p>
  </w:footnote>
  <w:footnote w:id="22">
    <w:p w14:paraId="31CEAE27" w14:textId="77777777" w:rsidR="000446E6" w:rsidRPr="0061735F" w:rsidRDefault="000446E6" w:rsidP="00AD3FFE">
      <w:pPr>
        <w:pStyle w:val="NormalWeb"/>
        <w:spacing w:before="0" w:beforeAutospacing="0" w:after="0" w:afterAutospacing="0"/>
        <w:ind w:firstLine="708"/>
        <w:jc w:val="both"/>
        <w:rPr>
          <w:rFonts w:ascii="Verdana" w:hAnsi="Verdana" w:cs="Calibri"/>
          <w:color w:val="000000"/>
          <w:sz w:val="12"/>
          <w:szCs w:val="12"/>
        </w:rPr>
      </w:pPr>
      <w:r w:rsidRPr="0061735F">
        <w:rPr>
          <w:rStyle w:val="Refdenotaalpie"/>
          <w:rFonts w:ascii="Verdana" w:hAnsi="Verdana" w:cs="Calibri"/>
          <w:sz w:val="12"/>
          <w:szCs w:val="12"/>
        </w:rPr>
        <w:footnoteRef/>
      </w:r>
      <w:r w:rsidRPr="0061735F">
        <w:rPr>
          <w:rFonts w:ascii="Verdana" w:hAnsi="Verdana" w:cs="Calibri"/>
          <w:sz w:val="12"/>
          <w:szCs w:val="12"/>
        </w:rPr>
        <w:t xml:space="preserve"> En el marco del procedimiento administrativo general, previsto en los artículos 34 y ss. del Código de Procedimiento Administrativo y de lo Contencioso Administrativo, el artículo 40 de dicha norma señala que: “</w:t>
      </w:r>
      <w:r w:rsidRPr="0061735F">
        <w:rPr>
          <w:rFonts w:ascii="Verdana" w:hAnsi="Verdana" w:cs="Calibri"/>
          <w:color w:val="000000"/>
          <w:sz w:val="12"/>
          <w:szCs w:val="12"/>
        </w:rPr>
        <w:t>Serán admisibles todos los medios de prueba señalados en el Código de Procedimiento Civil</w:t>
      </w:r>
      <w:r w:rsidRPr="0061735F">
        <w:rPr>
          <w:rFonts w:ascii="Verdana" w:hAnsi="Verdana" w:cs="Calibri"/>
          <w:sz w:val="12"/>
          <w:szCs w:val="12"/>
        </w:rPr>
        <w:t>”</w:t>
      </w:r>
      <w:r w:rsidRPr="0061735F">
        <w:rPr>
          <w:rFonts w:ascii="Verdana" w:hAnsi="Verdana" w:cs="Calibri"/>
          <w:color w:val="000000"/>
          <w:sz w:val="12"/>
          <w:szCs w:val="12"/>
        </w:rPr>
        <w:t xml:space="preserve">. Al respecto, la Ley 1564 de 2012, que subrogó el Código de Procedimiento Civil adoptando el Código General del Proceso, señala en su artículo 165 que: </w:t>
      </w:r>
      <w:r w:rsidRPr="0061735F">
        <w:rPr>
          <w:rFonts w:ascii="Verdana" w:hAnsi="Verdana" w:cs="Calibri"/>
          <w:sz w:val="12"/>
          <w:szCs w:val="12"/>
        </w:rPr>
        <w:t>“</w:t>
      </w:r>
      <w:r w:rsidRPr="0061735F">
        <w:rPr>
          <w:rFonts w:ascii="Verdana" w:hAnsi="Verdana" w:cs="Calibri"/>
          <w:color w:val="000000"/>
          <w:sz w:val="12"/>
          <w:szCs w:val="12"/>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r w:rsidRPr="0061735F">
        <w:rPr>
          <w:rFonts w:ascii="Verdana" w:hAnsi="Verdana" w:cs="Calibri"/>
          <w:sz w:val="12"/>
          <w:szCs w:val="12"/>
        </w:rPr>
        <w:t>”</w:t>
      </w:r>
      <w:r w:rsidRPr="0061735F">
        <w:rPr>
          <w:rFonts w:ascii="Verdana" w:hAnsi="Verdana" w:cs="Calibri"/>
          <w:color w:val="000000"/>
          <w:sz w:val="12"/>
          <w:szCs w:val="12"/>
        </w:rPr>
        <w:t xml:space="preserve">. </w:t>
      </w:r>
    </w:p>
    <w:p w14:paraId="60FBE83B" w14:textId="77777777" w:rsidR="000446E6" w:rsidRPr="00AD3FFE" w:rsidRDefault="000446E6" w:rsidP="00AD3FFE">
      <w:pPr>
        <w:pStyle w:val="NormalWeb"/>
        <w:spacing w:before="0" w:beforeAutospacing="0" w:after="0" w:afterAutospacing="0"/>
        <w:ind w:firstLine="709"/>
        <w:jc w:val="both"/>
        <w:rPr>
          <w:rFonts w:ascii="Verdana" w:hAnsi="Verdana" w:cs="Calibri"/>
          <w:sz w:val="12"/>
          <w:szCs w:val="12"/>
        </w:rPr>
      </w:pPr>
      <w:r w:rsidRPr="0061735F">
        <w:rPr>
          <w:rFonts w:ascii="Verdana" w:hAnsi="Verdana" w:cs="Calibri"/>
          <w:color w:val="000000"/>
          <w:sz w:val="12"/>
          <w:szCs w:val="12"/>
        </w:rPr>
        <w:t>Es posible acudir a las disposiciones anteriores en relación con los procedimientos administrativos de selección, en virtud de la remisión que realiza el artículo 77 de la Ley 80 de 1993: “</w:t>
      </w:r>
      <w:r w:rsidRPr="0061735F">
        <w:rPr>
          <w:rStyle w:val="Textoennegrita"/>
          <w:rFonts w:ascii="Verdana" w:hAnsi="Verdana" w:cs="Calibri"/>
          <w:color w:val="000000"/>
          <w:sz w:val="12"/>
          <w:szCs w:val="12"/>
        </w:rPr>
        <w:t>Artículo 77. De la normatividad aplicable en las actuaciones administrativas.</w:t>
      </w:r>
      <w:r w:rsidRPr="0061735F">
        <w:rPr>
          <w:rFonts w:ascii="Verdana" w:hAnsi="Verdana" w:cs="Calibri"/>
          <w:color w:val="000000"/>
          <w:sz w:val="12"/>
          <w:szCs w:val="12"/>
        </w:rPr>
        <w:t xml:space="preserve"> En cuanto sean compatibles con la finalidad y los principios de esta ley, las normas que rigen los procedimientos y actuaciones en la función </w:t>
      </w:r>
      <w:r w:rsidRPr="0061735F">
        <w:rPr>
          <w:rFonts w:ascii="Verdana" w:hAnsi="Verdana" w:cs="Calibri"/>
          <w:color w:val="000000"/>
          <w:sz w:val="12"/>
          <w:szCs w:val="12"/>
        </w:rPr>
        <w:t>administrativa, serán aplicables en las actuaciones</w:t>
      </w:r>
      <w:r w:rsidRPr="00AD3FFE">
        <w:rPr>
          <w:rFonts w:ascii="Verdana" w:hAnsi="Verdana" w:cs="Calibri"/>
          <w:color w:val="000000"/>
          <w:sz w:val="12"/>
          <w:szCs w:val="12"/>
        </w:rPr>
        <w:t xml:space="preserve"> </w:t>
      </w:r>
      <w:r w:rsidRPr="0061735F">
        <w:rPr>
          <w:rFonts w:ascii="Verdana" w:hAnsi="Verdana" w:cs="Calibri"/>
          <w:color w:val="000000"/>
          <w:sz w:val="12"/>
          <w:szCs w:val="12"/>
        </w:rPr>
        <w:t>contrac</w:t>
      </w:r>
      <w:r w:rsidRPr="00AD3FFE">
        <w:rPr>
          <w:rFonts w:ascii="Verdana" w:hAnsi="Verdana" w:cs="Calibri"/>
          <w:color w:val="000000"/>
          <w:sz w:val="12"/>
          <w:szCs w:val="12"/>
        </w:rPr>
        <w:t>tuales. A falta de estas, regirán las disposiciones del Código de Procedimiento Civil”.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1FD1C243" w14:textId="6D74A3CF" w:rsidR="008A446D" w:rsidRDefault="008A446D" w:rsidP="00061B2A">
    <w:pPr>
      <w:pStyle w:val="Encabezado"/>
      <w:spacing w:line="120" w:lineRule="auto"/>
    </w:pPr>
  </w:p>
  <w:p w14:paraId="25F93846" w14:textId="77777777" w:rsidR="00AD3FFE" w:rsidRDefault="00AD3FFE" w:rsidP="00061B2A">
    <w:pPr>
      <w:pStyle w:val="Encabezado"/>
      <w:spacing w:line="120" w:lineRule="auto"/>
    </w:pPr>
  </w:p>
  <w:p w14:paraId="7B4AF7BE" w14:textId="77777777" w:rsidR="00AD3FFE" w:rsidRDefault="00AD3FFE"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0E0B74"/>
    <w:multiLevelType w:val="hybridMultilevel"/>
    <w:tmpl w:val="428C4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CE139C0"/>
    <w:multiLevelType w:val="hybridMultilevel"/>
    <w:tmpl w:val="A9E2CA2E"/>
    <w:lvl w:ilvl="0" w:tplc="0BB6C6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606227"/>
    <w:multiLevelType w:val="hybridMultilevel"/>
    <w:tmpl w:val="910849B0"/>
    <w:lvl w:ilvl="0" w:tplc="188297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E37F0E"/>
    <w:multiLevelType w:val="hybridMultilevel"/>
    <w:tmpl w:val="312A755C"/>
    <w:lvl w:ilvl="0" w:tplc="7368BD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5"/>
  </w:num>
  <w:num w:numId="8" w16cid:durableId="152644682">
    <w:abstractNumId w:val="14"/>
  </w:num>
  <w:num w:numId="9" w16cid:durableId="1317221377">
    <w:abstractNumId w:val="7"/>
  </w:num>
  <w:num w:numId="10" w16cid:durableId="1471245386">
    <w:abstractNumId w:val="13"/>
  </w:num>
  <w:num w:numId="11" w16cid:durableId="289172385">
    <w:abstractNumId w:val="8"/>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1468472738">
    <w:abstractNumId w:val="0"/>
  </w:num>
  <w:num w:numId="17" w16cid:durableId="949968658">
    <w:abstractNumId w:val="10"/>
  </w:num>
  <w:num w:numId="18" w16cid:durableId="537011677">
    <w:abstractNumId w:val="18"/>
  </w:num>
  <w:num w:numId="19" w16cid:durableId="184056703">
    <w:abstractNumId w:val="11"/>
  </w:num>
  <w:num w:numId="20" w16cid:durableId="594171357">
    <w:abstractNumId w:val="9"/>
  </w:num>
  <w:num w:numId="21" w16cid:durableId="3319563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87A"/>
    <w:rsid w:val="00011214"/>
    <w:rsid w:val="000446E6"/>
    <w:rsid w:val="00061B2A"/>
    <w:rsid w:val="00082362"/>
    <w:rsid w:val="000A683E"/>
    <w:rsid w:val="000B19B9"/>
    <w:rsid w:val="000D0334"/>
    <w:rsid w:val="000F6486"/>
    <w:rsid w:val="00103D76"/>
    <w:rsid w:val="001062C7"/>
    <w:rsid w:val="00121738"/>
    <w:rsid w:val="00125105"/>
    <w:rsid w:val="00127233"/>
    <w:rsid w:val="00170FF4"/>
    <w:rsid w:val="001E4177"/>
    <w:rsid w:val="001F7DC6"/>
    <w:rsid w:val="002421BB"/>
    <w:rsid w:val="002464AC"/>
    <w:rsid w:val="0025796E"/>
    <w:rsid w:val="002707A2"/>
    <w:rsid w:val="002951A0"/>
    <w:rsid w:val="002962BC"/>
    <w:rsid w:val="002A093D"/>
    <w:rsid w:val="002A0DD0"/>
    <w:rsid w:val="002A49AC"/>
    <w:rsid w:val="002A64FD"/>
    <w:rsid w:val="002C7A84"/>
    <w:rsid w:val="002D731D"/>
    <w:rsid w:val="002E4F1C"/>
    <w:rsid w:val="002E4FD9"/>
    <w:rsid w:val="003139F1"/>
    <w:rsid w:val="00322A85"/>
    <w:rsid w:val="00324168"/>
    <w:rsid w:val="00342580"/>
    <w:rsid w:val="003448F4"/>
    <w:rsid w:val="00374F5E"/>
    <w:rsid w:val="00377E3E"/>
    <w:rsid w:val="003A26D1"/>
    <w:rsid w:val="003A779E"/>
    <w:rsid w:val="003D0F4D"/>
    <w:rsid w:val="003D5B0D"/>
    <w:rsid w:val="003E0499"/>
    <w:rsid w:val="003F248A"/>
    <w:rsid w:val="003F3941"/>
    <w:rsid w:val="00406575"/>
    <w:rsid w:val="0042722E"/>
    <w:rsid w:val="0044528D"/>
    <w:rsid w:val="00482C98"/>
    <w:rsid w:val="004A1847"/>
    <w:rsid w:val="004A305D"/>
    <w:rsid w:val="004A4623"/>
    <w:rsid w:val="004D59EE"/>
    <w:rsid w:val="004E579A"/>
    <w:rsid w:val="004F21C4"/>
    <w:rsid w:val="004F685F"/>
    <w:rsid w:val="005566E8"/>
    <w:rsid w:val="00574867"/>
    <w:rsid w:val="00575834"/>
    <w:rsid w:val="005804BE"/>
    <w:rsid w:val="005837F6"/>
    <w:rsid w:val="00591460"/>
    <w:rsid w:val="00592628"/>
    <w:rsid w:val="005B68BB"/>
    <w:rsid w:val="005C3777"/>
    <w:rsid w:val="005C5CDC"/>
    <w:rsid w:val="005D476C"/>
    <w:rsid w:val="005E1F4F"/>
    <w:rsid w:val="00610812"/>
    <w:rsid w:val="0061735F"/>
    <w:rsid w:val="006219F8"/>
    <w:rsid w:val="006237EB"/>
    <w:rsid w:val="00650FF7"/>
    <w:rsid w:val="00665D70"/>
    <w:rsid w:val="00671DAC"/>
    <w:rsid w:val="00673D93"/>
    <w:rsid w:val="006900D9"/>
    <w:rsid w:val="00697EEC"/>
    <w:rsid w:val="006D12F8"/>
    <w:rsid w:val="006E3137"/>
    <w:rsid w:val="00706C16"/>
    <w:rsid w:val="0071193A"/>
    <w:rsid w:val="00747F5A"/>
    <w:rsid w:val="00756841"/>
    <w:rsid w:val="007649AB"/>
    <w:rsid w:val="00771D0C"/>
    <w:rsid w:val="007833AC"/>
    <w:rsid w:val="007B11D5"/>
    <w:rsid w:val="007B268C"/>
    <w:rsid w:val="007B7171"/>
    <w:rsid w:val="007C0C0F"/>
    <w:rsid w:val="007C3DC2"/>
    <w:rsid w:val="007E5497"/>
    <w:rsid w:val="007F7B02"/>
    <w:rsid w:val="00806F5F"/>
    <w:rsid w:val="00813201"/>
    <w:rsid w:val="00820278"/>
    <w:rsid w:val="00822751"/>
    <w:rsid w:val="008571C2"/>
    <w:rsid w:val="0087153D"/>
    <w:rsid w:val="008843B6"/>
    <w:rsid w:val="00891928"/>
    <w:rsid w:val="008A446D"/>
    <w:rsid w:val="008A781F"/>
    <w:rsid w:val="008D180B"/>
    <w:rsid w:val="008F0EA7"/>
    <w:rsid w:val="00923EEF"/>
    <w:rsid w:val="009254EE"/>
    <w:rsid w:val="009419F9"/>
    <w:rsid w:val="0095685E"/>
    <w:rsid w:val="00961B09"/>
    <w:rsid w:val="00961F72"/>
    <w:rsid w:val="00965334"/>
    <w:rsid w:val="0097093E"/>
    <w:rsid w:val="009A0DFA"/>
    <w:rsid w:val="009B2D26"/>
    <w:rsid w:val="009C71FA"/>
    <w:rsid w:val="009C72E7"/>
    <w:rsid w:val="009D3058"/>
    <w:rsid w:val="009F3A13"/>
    <w:rsid w:val="00A122D3"/>
    <w:rsid w:val="00A17F13"/>
    <w:rsid w:val="00A20739"/>
    <w:rsid w:val="00A33C78"/>
    <w:rsid w:val="00AB0ADB"/>
    <w:rsid w:val="00AD3FFE"/>
    <w:rsid w:val="00AE629B"/>
    <w:rsid w:val="00B00B83"/>
    <w:rsid w:val="00B01B1A"/>
    <w:rsid w:val="00B33A9B"/>
    <w:rsid w:val="00B72CD3"/>
    <w:rsid w:val="00B72FFF"/>
    <w:rsid w:val="00BC3D36"/>
    <w:rsid w:val="00BD7F72"/>
    <w:rsid w:val="00C04FB3"/>
    <w:rsid w:val="00C25F48"/>
    <w:rsid w:val="00C330EB"/>
    <w:rsid w:val="00C754BE"/>
    <w:rsid w:val="00C76B1C"/>
    <w:rsid w:val="00CB08BC"/>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42F8"/>
    <w:rsid w:val="00E75C92"/>
    <w:rsid w:val="00E771DC"/>
    <w:rsid w:val="00E8772A"/>
    <w:rsid w:val="00E90F6B"/>
    <w:rsid w:val="00E92C27"/>
    <w:rsid w:val="00EA0E3D"/>
    <w:rsid w:val="00EC38A7"/>
    <w:rsid w:val="00EE1AA8"/>
    <w:rsid w:val="00F1274C"/>
    <w:rsid w:val="00F26ED8"/>
    <w:rsid w:val="00F31EDC"/>
    <w:rsid w:val="00F40AB3"/>
    <w:rsid w:val="00F462B3"/>
    <w:rsid w:val="00F5206E"/>
    <w:rsid w:val="00F5664F"/>
    <w:rsid w:val="00F666C4"/>
    <w:rsid w:val="00F76AFC"/>
    <w:rsid w:val="00FA47C0"/>
    <w:rsid w:val="00FB5DD1"/>
    <w:rsid w:val="00FC2B5D"/>
    <w:rsid w:val="00FF1449"/>
    <w:rsid w:val="118F19B5"/>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52B201B-DF57-4F1F-86A1-A961D7BE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446E6"/>
    <w:pPr>
      <w:spacing w:line="240" w:lineRule="exact"/>
    </w:pPr>
    <w:rPr>
      <w:vertAlign w:val="superscript"/>
    </w:rPr>
  </w:style>
  <w:style w:type="character" w:styleId="Textoennegrita">
    <w:name w:val="Strong"/>
    <w:basedOn w:val="Fuentedeprrafopredeter"/>
    <w:uiPriority w:val="22"/>
    <w:qFormat/>
    <w:rsid w:val="000446E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node/2149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bonherrara@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2Fboletin-de-relatoria-2024-iv&amp;data=05%7C02%7Cjuan.avendano%40colombiacompra.gov.co%7C616b83c3423e4d31151908dce489c00d%7C7b09041e245149d08cb179d5e3d8c1be%7C0%7C0%7C638636527541272440%7CUnknown%7CTWFpbGZsb3d8eyJWIjoiMC4wLjAwMDAiLCJQIjoiV2luMzIiLCJBTiI6Ik1haWwiLCJXVCI6Mn0%3D%7C0%7C%7C%7C&amp;sdata=VOv0vUywNxNx7YXgqlxhlII5V3j%2Ffeq3dcExMx1BZ1g%3D&amp;reserved=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6cb9e4b-f1d1-4245-83ec-6cad768d538a"/>
    <ds:schemaRef ds:uri="9d85dbaf-23eb-4e57-a637-93dcacc8b1a1"/>
    <ds:schemaRef ds:uri="http://purl.org/dc/terms/"/>
  </ds:schemaRefs>
</ds:datastoreItem>
</file>

<file path=customXml/itemProps2.xml><?xml version="1.0" encoding="utf-8"?>
<ds:datastoreItem xmlns:ds="http://schemas.openxmlformats.org/officeDocument/2006/customXml" ds:itemID="{40D36E24-2EA2-411B-AD02-1A708670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4898</Words>
  <Characters>26940</Characters>
  <Application>Microsoft Office Word</Application>
  <DocSecurity>0</DocSecurity>
  <Lines>224</Lines>
  <Paragraphs>63</Paragraphs>
  <ScaleCrop>false</ScaleCrop>
  <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2023-01-10T18:18:00Z</cp:lastPrinted>
  <dcterms:created xsi:type="dcterms:W3CDTF">2024-11-26T21:33:00Z</dcterms:created>
  <dcterms:modified xsi:type="dcterms:W3CDTF">2024-11-26T21:33:00Z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