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47BA" w14:textId="77777777" w:rsidR="00590E26" w:rsidRDefault="00590E26" w:rsidP="00AD7191">
      <w:pPr>
        <w:spacing w:after="0"/>
        <w:rPr>
          <w:rFonts w:ascii="Verdana" w:hAnsi="Verdana"/>
          <w:lang w:val="es-ES"/>
        </w:rPr>
      </w:pPr>
      <w:bookmarkStart w:id="0" w:name="_Hlk143780582"/>
    </w:p>
    <w:p w14:paraId="020CB483" w14:textId="77777777" w:rsidR="00590E26" w:rsidRPr="00965E05" w:rsidRDefault="00590E26" w:rsidP="00590E26">
      <w:pPr>
        <w:pStyle w:val="paragraph"/>
        <w:spacing w:before="0" w:beforeAutospacing="0" w:after="0" w:afterAutospacing="0"/>
        <w:jc w:val="both"/>
        <w:textAlignment w:val="baseline"/>
        <w:rPr>
          <w:rFonts w:ascii="Verdana" w:hAnsi="Verdana" w:cs="Segoe UI"/>
          <w:b/>
          <w:bCs/>
          <w:sz w:val="22"/>
          <w:szCs w:val="22"/>
        </w:rPr>
      </w:pPr>
      <w:r w:rsidRPr="00FD28DB">
        <w:rPr>
          <w:rStyle w:val="normaltextrun"/>
          <w:rFonts w:ascii="Verdana" w:hAnsi="Verdana" w:cs="Segoe UI"/>
          <w:b/>
          <w:bCs/>
          <w:sz w:val="22"/>
          <w:szCs w:val="22"/>
        </w:rPr>
        <w:t xml:space="preserve">CONTRATO DE PRESTACIÓN DE SERVICIOS </w:t>
      </w:r>
      <w:r w:rsidRPr="00FD28DB">
        <w:rPr>
          <w:rStyle w:val="normaltextrun"/>
          <w:rFonts w:ascii="Verdana" w:hAnsi="Verdana" w:cs="Segoe UI"/>
          <w:b/>
          <w:bCs/>
          <w:color w:val="000000"/>
          <w:sz w:val="22"/>
          <w:szCs w:val="22"/>
        </w:rPr>
        <w:t>–</w:t>
      </w:r>
      <w:r w:rsidRPr="00FD28DB">
        <w:rPr>
          <w:rStyle w:val="normaltextrun"/>
          <w:rFonts w:ascii="Verdana" w:hAnsi="Verdana" w:cs="Segoe UI"/>
          <w:b/>
          <w:bCs/>
          <w:sz w:val="22"/>
          <w:szCs w:val="22"/>
        </w:rPr>
        <w:t xml:space="preserve"> Concepto </w:t>
      </w:r>
      <w:r w:rsidRPr="00FD28DB">
        <w:rPr>
          <w:rStyle w:val="normaltextrun"/>
          <w:rFonts w:ascii="Verdana" w:hAnsi="Verdana" w:cs="Segoe UI"/>
          <w:b/>
          <w:bCs/>
          <w:color w:val="000000"/>
          <w:sz w:val="22"/>
          <w:szCs w:val="22"/>
        </w:rPr>
        <w:t xml:space="preserve">– </w:t>
      </w:r>
      <w:r w:rsidRPr="00965E05">
        <w:rPr>
          <w:rStyle w:val="normaltextrun"/>
          <w:rFonts w:ascii="Verdana" w:hAnsi="Verdana" w:cs="Segoe UI"/>
          <w:b/>
          <w:bCs/>
          <w:color w:val="000000"/>
          <w:sz w:val="22"/>
          <w:szCs w:val="22"/>
        </w:rPr>
        <w:t>Objeto</w:t>
      </w:r>
      <w:r w:rsidRPr="00965E05">
        <w:rPr>
          <w:rStyle w:val="eop"/>
          <w:rFonts w:ascii="Verdana" w:hAnsi="Verdana" w:cs="Segoe UI"/>
          <w:b/>
          <w:bCs/>
          <w:color w:val="000000"/>
          <w:sz w:val="22"/>
          <w:szCs w:val="22"/>
        </w:rPr>
        <w:t> - Idoneidad</w:t>
      </w:r>
    </w:p>
    <w:p w14:paraId="3C75AF8D" w14:textId="77777777" w:rsidR="00590E26" w:rsidRPr="00FD28DB" w:rsidRDefault="00590E26" w:rsidP="00590E26">
      <w:pPr>
        <w:pStyle w:val="paragraph"/>
        <w:spacing w:before="0" w:beforeAutospacing="0" w:after="0" w:afterAutospacing="0"/>
        <w:jc w:val="both"/>
        <w:textAlignment w:val="baseline"/>
        <w:rPr>
          <w:rFonts w:ascii="Verdana" w:hAnsi="Verdana" w:cs="Segoe UI"/>
          <w:sz w:val="22"/>
          <w:szCs w:val="22"/>
        </w:rPr>
      </w:pPr>
      <w:r w:rsidRPr="00FD28DB">
        <w:rPr>
          <w:rStyle w:val="eop"/>
          <w:rFonts w:ascii="Verdana" w:hAnsi="Verdana" w:cs="Segoe UI"/>
          <w:sz w:val="22"/>
          <w:szCs w:val="22"/>
        </w:rPr>
        <w:t> </w:t>
      </w:r>
    </w:p>
    <w:p w14:paraId="09DC8347" w14:textId="77777777" w:rsidR="00590E26" w:rsidRDefault="00590E26" w:rsidP="00590E26">
      <w:pPr>
        <w:pStyle w:val="paragraph"/>
        <w:spacing w:before="0" w:beforeAutospacing="0" w:after="0" w:afterAutospacing="0"/>
        <w:jc w:val="both"/>
        <w:textAlignment w:val="baseline"/>
        <w:rPr>
          <w:rStyle w:val="normaltextrun"/>
          <w:rFonts w:ascii="Verdana" w:hAnsi="Verdana" w:cs="Segoe UI"/>
          <w:sz w:val="22"/>
          <w:szCs w:val="22"/>
        </w:rPr>
      </w:pPr>
      <w:r w:rsidRPr="00FD28DB">
        <w:rPr>
          <w:rStyle w:val="normaltextrun"/>
          <w:rFonts w:ascii="Verdana" w:hAnsi="Verdana" w:cs="Segoe UI"/>
          <w:sz w:val="22"/>
          <w:szCs w:val="22"/>
        </w:rPr>
        <w:t xml:space="preserve">El contrato de prestación de servicios es un contrato estatal típico regulado en el artículo 32.3 de la Ley 80 de 1993. Es definido como aquel que </w:t>
      </w:r>
      <w:r>
        <w:rPr>
          <w:rStyle w:val="normaltextrun"/>
          <w:rFonts w:ascii="Verdana" w:hAnsi="Verdana" w:cs="Segoe UI"/>
          <w:sz w:val="22"/>
          <w:szCs w:val="22"/>
        </w:rPr>
        <w:t>“</w:t>
      </w:r>
      <w:r w:rsidRPr="00FD28DB">
        <w:rPr>
          <w:rStyle w:val="normaltextrun"/>
          <w:rFonts w:ascii="Verdana" w:hAnsi="Verdana" w:cs="Segoe UI"/>
          <w:sz w:val="22"/>
          <w:szCs w:val="22"/>
        </w:rPr>
        <w:t>celebren las entidades estatales para desarrollar actividades relacionadas con la administración o funcionamiento de la entidad</w:t>
      </w:r>
      <w:r>
        <w:rPr>
          <w:rStyle w:val="normaltextrun"/>
          <w:rFonts w:ascii="Verdana" w:hAnsi="Verdana" w:cs="Segoe UI"/>
          <w:sz w:val="22"/>
          <w:szCs w:val="22"/>
        </w:rPr>
        <w:t>”</w:t>
      </w:r>
      <w:r w:rsidRPr="00FD28DB">
        <w:rPr>
          <w:rStyle w:val="normaltextrun"/>
          <w:rFonts w:ascii="Verdana" w:hAnsi="Verdana" w:cs="Segoe UI"/>
          <w:sz w:val="22"/>
          <w:szCs w:val="22"/>
        </w:rPr>
        <w:t>.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p>
    <w:p w14:paraId="6BA4F71C" w14:textId="77777777" w:rsidR="00590E26" w:rsidRDefault="00590E26" w:rsidP="00590E26">
      <w:pPr>
        <w:pStyle w:val="paragraph"/>
        <w:spacing w:before="0" w:beforeAutospacing="0" w:after="0" w:afterAutospacing="0"/>
        <w:jc w:val="both"/>
        <w:textAlignment w:val="baseline"/>
        <w:rPr>
          <w:rStyle w:val="normaltextrun"/>
          <w:rFonts w:ascii="Verdana" w:hAnsi="Verdana" w:cs="Segoe UI"/>
          <w:sz w:val="22"/>
          <w:szCs w:val="22"/>
        </w:rPr>
      </w:pPr>
    </w:p>
    <w:p w14:paraId="32A8CF7B" w14:textId="77777777" w:rsidR="00590E26" w:rsidRPr="009E6B44" w:rsidRDefault="00590E26" w:rsidP="00590E26">
      <w:pPr>
        <w:spacing w:after="120" w:line="240" w:lineRule="auto"/>
        <w:jc w:val="both"/>
        <w:rPr>
          <w:rFonts w:ascii="Verdana" w:hAnsi="Verdana"/>
          <w:sz w:val="20"/>
          <w:szCs w:val="20"/>
        </w:rPr>
      </w:pPr>
      <w:r w:rsidRPr="009E6B44">
        <w:rPr>
          <w:rFonts w:ascii="Verdana" w:hAnsi="Verdana"/>
          <w:sz w:val="20"/>
          <w:szCs w:val="20"/>
        </w:rPr>
        <w:t>El artículo 2.2.1.2.1.4.9. del Decreto 1082 de 2015,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que se trate […]”. En este sentido, establece como condición para la celebración de este particular tipo de contratos que la Entidad Estatal verifique que el contratista tenga la “la idoneidad y la experiencia requerida y relacionada con el área de que se trate” el respectivo objeto contractual. De lo anterior supone que, la Entidad Estatal establezca en los estudios previos unos parámetros mínimos de idoneidad y experiencia, a partir de los cuales puedan constatar la aptitud del aspirante contratista, los cuales deberán ser adecuados y proporcionales a la naturaleza del contrato a suscribir y a su valor, de acuerdo con lo dispuesto en el numeral 1 del artículo 5 de la Ley 1150 de 2007.</w:t>
      </w:r>
    </w:p>
    <w:p w14:paraId="112C6127" w14:textId="77777777" w:rsidR="00590E26" w:rsidRDefault="00590E26" w:rsidP="00590E26">
      <w:pPr>
        <w:pStyle w:val="paragraph"/>
        <w:spacing w:before="0" w:beforeAutospacing="0" w:after="0" w:afterAutospacing="0"/>
        <w:jc w:val="both"/>
        <w:textAlignment w:val="baseline"/>
        <w:rPr>
          <w:rFonts w:ascii="Verdana" w:hAnsi="Verdana"/>
        </w:rPr>
      </w:pPr>
    </w:p>
    <w:p w14:paraId="6E97C2DF" w14:textId="77777777" w:rsidR="00590E26" w:rsidRDefault="00590E26" w:rsidP="00590E26">
      <w:pPr>
        <w:pStyle w:val="paragraph"/>
        <w:spacing w:before="0" w:beforeAutospacing="0" w:after="0" w:afterAutospacing="0"/>
        <w:jc w:val="both"/>
        <w:textAlignment w:val="baseline"/>
        <w:rPr>
          <w:rFonts w:ascii="Verdana" w:hAnsi="Verdana"/>
          <w:b/>
          <w:bCs/>
          <w:sz w:val="22"/>
          <w:szCs w:val="22"/>
        </w:rPr>
      </w:pPr>
      <w:r>
        <w:rPr>
          <w:rFonts w:ascii="Verdana" w:hAnsi="Verdana"/>
          <w:b/>
          <w:bCs/>
          <w:sz w:val="22"/>
          <w:szCs w:val="22"/>
        </w:rPr>
        <w:t>CONTRATOS DE PRESTACIÓN DE SERVICIOS – Estudios previos – Condiciones para su ejecución</w:t>
      </w:r>
    </w:p>
    <w:p w14:paraId="4F1BDD92" w14:textId="77777777" w:rsidR="00590E26" w:rsidRDefault="00590E26" w:rsidP="00590E26">
      <w:pPr>
        <w:pStyle w:val="paragraph"/>
        <w:spacing w:before="0" w:beforeAutospacing="0" w:after="0" w:afterAutospacing="0"/>
        <w:jc w:val="both"/>
        <w:textAlignment w:val="baseline"/>
        <w:rPr>
          <w:rFonts w:ascii="Verdana" w:hAnsi="Verdana"/>
          <w:b/>
          <w:bCs/>
          <w:sz w:val="22"/>
          <w:szCs w:val="22"/>
        </w:rPr>
      </w:pPr>
    </w:p>
    <w:p w14:paraId="7B100DEA" w14:textId="77777777" w:rsidR="00590E26" w:rsidRPr="009E6B44" w:rsidRDefault="00590E26" w:rsidP="00590E26">
      <w:pPr>
        <w:pStyle w:val="paragraph"/>
        <w:spacing w:before="0" w:beforeAutospacing="0" w:after="0" w:afterAutospacing="0"/>
        <w:jc w:val="both"/>
        <w:textAlignment w:val="baseline"/>
        <w:rPr>
          <w:rFonts w:ascii="Verdana" w:hAnsi="Verdana"/>
          <w:b/>
          <w:bCs/>
          <w:sz w:val="20"/>
          <w:szCs w:val="20"/>
        </w:rPr>
      </w:pPr>
    </w:p>
    <w:p w14:paraId="31F2CF15" w14:textId="77777777" w:rsidR="00590E26" w:rsidRPr="009E6B44" w:rsidRDefault="00590E26" w:rsidP="00590E26">
      <w:pPr>
        <w:spacing w:after="0" w:line="240" w:lineRule="auto"/>
        <w:jc w:val="both"/>
        <w:rPr>
          <w:rFonts w:ascii="Verdana" w:hAnsi="Verdana" w:cs="Arial"/>
          <w:sz w:val="20"/>
          <w:szCs w:val="20"/>
        </w:rPr>
      </w:pPr>
      <w:r w:rsidRPr="009E6B44">
        <w:rPr>
          <w:rFonts w:ascii="Verdana" w:hAnsi="Verdana" w:cs="Arial"/>
          <w:sz w:val="20"/>
          <w:szCs w:val="20"/>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4AFF22E2" w14:textId="77777777" w:rsidR="00590E26" w:rsidRPr="009E6B44" w:rsidRDefault="00590E26" w:rsidP="00590E26">
      <w:pPr>
        <w:spacing w:after="0" w:line="240" w:lineRule="auto"/>
        <w:jc w:val="both"/>
        <w:rPr>
          <w:rFonts w:ascii="Verdana" w:hAnsi="Verdana" w:cs="Arial"/>
          <w:sz w:val="20"/>
          <w:szCs w:val="20"/>
        </w:rPr>
      </w:pPr>
      <w:r w:rsidRPr="009E6B44">
        <w:rPr>
          <w:rFonts w:ascii="Verdana" w:hAnsi="Verdana" w:cs="Arial"/>
          <w:sz w:val="20"/>
          <w:szCs w:val="20"/>
        </w:rPr>
        <w:t xml:space="preserve">La descripción de la necesidad que la Entidad Estatal pretende satisfacer con el Proceso de Contratación. </w:t>
      </w:r>
      <w:r w:rsidRPr="009E6B44">
        <w:rPr>
          <w:rFonts w:ascii="Arial" w:hAnsi="Arial" w:cs="Arial"/>
          <w:sz w:val="20"/>
          <w:szCs w:val="20"/>
        </w:rPr>
        <w:t>​</w:t>
      </w:r>
    </w:p>
    <w:p w14:paraId="38EA122B" w14:textId="77777777" w:rsidR="00590E26" w:rsidRPr="009E6B44" w:rsidRDefault="00590E26" w:rsidP="00590E26">
      <w:pPr>
        <w:spacing w:after="0" w:line="240" w:lineRule="auto"/>
        <w:jc w:val="both"/>
        <w:rPr>
          <w:rFonts w:ascii="Verdana" w:hAnsi="Verdana" w:cs="Arial"/>
          <w:sz w:val="20"/>
          <w:szCs w:val="20"/>
        </w:rPr>
      </w:pPr>
      <w:proofErr w:type="gramStart"/>
      <w:r w:rsidRPr="009E6B44">
        <w:rPr>
          <w:rFonts w:ascii="Verdana" w:hAnsi="Verdana" w:cs="Arial"/>
          <w:sz w:val="20"/>
          <w:szCs w:val="20"/>
        </w:rPr>
        <w:t>El objeto a contratar</w:t>
      </w:r>
      <w:proofErr w:type="gramEnd"/>
      <w:r w:rsidRPr="009E6B44">
        <w:rPr>
          <w:rFonts w:ascii="Verdana" w:hAnsi="Verdana" w:cs="Arial"/>
          <w:sz w:val="20"/>
          <w:szCs w:val="20"/>
        </w:rPr>
        <w:t xml:space="preserve">, con sus especificaciones, las autorizaciones, permisos y licencias requeridos para su ejecución, y cuando el contrato incluye diseño y construcción, los documentos técnicos para el desarrollo del proyecto. </w:t>
      </w:r>
    </w:p>
    <w:p w14:paraId="06C7BBD7" w14:textId="77777777" w:rsidR="00590E26" w:rsidRPr="009E6B44" w:rsidRDefault="00590E26" w:rsidP="00590E26">
      <w:pPr>
        <w:spacing w:after="0" w:line="240" w:lineRule="auto"/>
        <w:jc w:val="both"/>
        <w:rPr>
          <w:rFonts w:ascii="Verdana" w:hAnsi="Verdana" w:cs="Arial"/>
          <w:sz w:val="20"/>
          <w:szCs w:val="20"/>
        </w:rPr>
      </w:pPr>
      <w:r w:rsidRPr="009E6B44">
        <w:rPr>
          <w:rFonts w:ascii="Verdana" w:hAnsi="Verdana" w:cs="Arial"/>
          <w:sz w:val="20"/>
          <w:szCs w:val="20"/>
        </w:rPr>
        <w:lastRenderedPageBreak/>
        <w:t xml:space="preserve">La modalidad de selección del contratista y su justificación, incluyendo los fundamentos jurídicos. </w:t>
      </w:r>
    </w:p>
    <w:p w14:paraId="377DCDC5" w14:textId="77777777" w:rsidR="00590E26" w:rsidRPr="009E6B44" w:rsidRDefault="00590E26" w:rsidP="00590E26">
      <w:pPr>
        <w:spacing w:after="0" w:line="240" w:lineRule="auto"/>
        <w:jc w:val="both"/>
        <w:rPr>
          <w:rFonts w:ascii="Verdana" w:hAnsi="Verdana" w:cs="Arial"/>
          <w:sz w:val="20"/>
          <w:szCs w:val="20"/>
        </w:rPr>
      </w:pPr>
      <w:r w:rsidRPr="009E6B44">
        <w:rPr>
          <w:rFonts w:ascii="Verdana" w:hAnsi="Verdana" w:cs="Arial"/>
          <w:sz w:val="20"/>
          <w:szCs w:val="20"/>
        </w:rPr>
        <w:t xml:space="preserve">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Los criterios para seleccionar la oferta más favorable. El análisis de Riesgo y la forma de mitigarlo. </w:t>
      </w:r>
    </w:p>
    <w:p w14:paraId="704BCDEA" w14:textId="77777777" w:rsidR="00590E26" w:rsidRPr="009E6B44" w:rsidRDefault="00590E26" w:rsidP="00590E26">
      <w:pPr>
        <w:pStyle w:val="paragraph"/>
        <w:spacing w:before="0" w:beforeAutospacing="0" w:after="0" w:afterAutospacing="0"/>
        <w:textAlignment w:val="baseline"/>
        <w:rPr>
          <w:rFonts w:ascii="Verdana" w:hAnsi="Verdana"/>
          <w:sz w:val="20"/>
          <w:szCs w:val="20"/>
        </w:rPr>
      </w:pPr>
      <w:r w:rsidRPr="009E6B44">
        <w:rPr>
          <w:rFonts w:ascii="Verdana" w:hAnsi="Verdana" w:cs="Arial"/>
          <w:sz w:val="20"/>
          <w:szCs w:val="20"/>
        </w:rPr>
        <w:t>Las garantías que la Entidad Estatal contempla exigir en el proceso de contratación. La indicación de si el proceso de contratación está</w:t>
      </w:r>
      <w:r>
        <w:rPr>
          <w:rFonts w:ascii="Verdana" w:hAnsi="Verdana" w:cs="Arial"/>
          <w:sz w:val="20"/>
          <w:szCs w:val="20"/>
        </w:rPr>
        <w:t>”.</w:t>
      </w:r>
    </w:p>
    <w:p w14:paraId="27277190" w14:textId="77777777" w:rsidR="00590E26" w:rsidRDefault="00590E26" w:rsidP="00590E26">
      <w:pPr>
        <w:pStyle w:val="paragraph"/>
        <w:spacing w:before="0" w:beforeAutospacing="0" w:after="0" w:afterAutospacing="0"/>
        <w:textAlignment w:val="baseline"/>
        <w:rPr>
          <w:rFonts w:ascii="Verdana" w:hAnsi="Verdana"/>
        </w:rPr>
      </w:pPr>
    </w:p>
    <w:p w14:paraId="1AF9F3DA" w14:textId="77777777" w:rsidR="00590E26" w:rsidRDefault="00590E26">
      <w:pPr>
        <w:rPr>
          <w:rFonts w:ascii="Verdana" w:hAnsi="Verdana"/>
          <w:lang w:val="es-ES"/>
        </w:rPr>
      </w:pPr>
      <w:r>
        <w:rPr>
          <w:rFonts w:ascii="Verdana" w:hAnsi="Verdana"/>
          <w:lang w:val="es-ES"/>
        </w:rPr>
        <w:br w:type="page"/>
      </w:r>
    </w:p>
    <w:p w14:paraId="4D1FDDE8" w14:textId="4A6B8C80" w:rsidR="00AD7191" w:rsidRPr="00FD28DB" w:rsidRDefault="00AD7191" w:rsidP="00AD7191">
      <w:pPr>
        <w:spacing w:after="0"/>
        <w:rPr>
          <w:rFonts w:ascii="Verdana" w:hAnsi="Verdana"/>
          <w:lang w:val="es-ES"/>
        </w:rPr>
      </w:pPr>
      <w:r w:rsidRPr="00FD28DB">
        <w:rPr>
          <w:rFonts w:ascii="Verdana" w:hAnsi="Verdana"/>
          <w:lang w:val="es-ES"/>
        </w:rPr>
        <w:t>Bogotá D.C., [Día] [</w:t>
      </w:r>
      <w:proofErr w:type="spellStart"/>
      <w:r w:rsidRPr="00FD28DB">
        <w:rPr>
          <w:rFonts w:ascii="Verdana" w:hAnsi="Verdana"/>
          <w:lang w:val="es-ES"/>
        </w:rPr>
        <w:t>Mes.NombreCapitalizado</w:t>
      </w:r>
      <w:proofErr w:type="spellEnd"/>
      <w:r w:rsidRPr="00FD28DB">
        <w:rPr>
          <w:rFonts w:ascii="Verdana" w:hAnsi="Verdana"/>
          <w:lang w:val="es-ES"/>
        </w:rPr>
        <w:t>] [Año]</w:t>
      </w:r>
      <w:r w:rsidRPr="00FD28DB">
        <w:rPr>
          <w:rFonts w:ascii="Verdana" w:hAnsi="Verdana"/>
          <w:lang w:val="es-ES"/>
        </w:rPr>
        <w:tab/>
      </w:r>
    </w:p>
    <w:p w14:paraId="5A90F8F4" w14:textId="005A1737" w:rsidR="00AD7191" w:rsidRPr="00FD28DB" w:rsidRDefault="00D030F1" w:rsidP="00AD7191">
      <w:pPr>
        <w:spacing w:after="0"/>
        <w:rPr>
          <w:rFonts w:ascii="Verdana" w:hAnsi="Verdana"/>
          <w:lang w:val="es-ES"/>
        </w:rPr>
      </w:pPr>
      <w:r>
        <w:rPr>
          <w:rFonts w:ascii="Verdana" w:hAnsi="Verdana"/>
          <w:lang w:val="es-ES"/>
        </w:rPr>
        <w:t xml:space="preserve">  </w:t>
      </w:r>
    </w:p>
    <w:p w14:paraId="06AB8328" w14:textId="2322B3DE" w:rsidR="00AD7191" w:rsidRPr="00FD28DB" w:rsidRDefault="00D030F1" w:rsidP="00AD7191">
      <w:pPr>
        <w:spacing w:after="0"/>
        <w:rPr>
          <w:rFonts w:ascii="Verdana" w:hAnsi="Verdana"/>
          <w:lang w:val="es-ES"/>
        </w:rPr>
      </w:pPr>
      <w:r w:rsidRPr="00D030F1">
        <w:rPr>
          <w:rFonts w:ascii="Verdana" w:hAnsi="Verdana"/>
          <w:noProof/>
          <w:lang w:val="es-ES"/>
        </w:rPr>
        <w:drawing>
          <wp:anchor distT="0" distB="0" distL="114300" distR="114300" simplePos="0" relativeHeight="251658240" behindDoc="1" locked="0" layoutInCell="1" allowOverlap="1" wp14:anchorId="46EB19AC" wp14:editId="61422483">
            <wp:simplePos x="0" y="0"/>
            <wp:positionH relativeFrom="margin">
              <wp:align>right</wp:align>
            </wp:positionH>
            <wp:positionV relativeFrom="paragraph">
              <wp:posOffset>186055</wp:posOffset>
            </wp:positionV>
            <wp:extent cx="2437130" cy="887730"/>
            <wp:effectExtent l="0" t="0" r="1270" b="7620"/>
            <wp:wrapTight wrapText="bothSides">
              <wp:wrapPolygon edited="0">
                <wp:start x="0" y="0"/>
                <wp:lineTo x="0" y="21322"/>
                <wp:lineTo x="21442" y="21322"/>
                <wp:lineTo x="21442" y="0"/>
                <wp:lineTo x="0" y="0"/>
              </wp:wrapPolygon>
            </wp:wrapTight>
            <wp:docPr id="177110936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713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lang w:val="es-ES"/>
        </w:rPr>
        <w:t xml:space="preserve">                                                       </w:t>
      </w:r>
    </w:p>
    <w:p w14:paraId="7CD35930" w14:textId="77777777" w:rsidR="00AD7191" w:rsidRPr="00FD28DB" w:rsidRDefault="00AD7191" w:rsidP="00AD7191">
      <w:pPr>
        <w:spacing w:after="0"/>
        <w:rPr>
          <w:rFonts w:ascii="Verdana" w:hAnsi="Verdana"/>
          <w:lang w:val="es-ES"/>
        </w:rPr>
      </w:pPr>
      <w:r w:rsidRPr="00FD28DB">
        <w:rPr>
          <w:rFonts w:ascii="Verdana" w:hAnsi="Verdana"/>
          <w:lang w:val="es-ES"/>
        </w:rPr>
        <w:t>Señor</w:t>
      </w:r>
    </w:p>
    <w:p w14:paraId="53118777" w14:textId="77777777" w:rsidR="00AD7191" w:rsidRPr="00FD28DB" w:rsidRDefault="00AD7191" w:rsidP="00AD7191">
      <w:pPr>
        <w:spacing w:after="0"/>
        <w:rPr>
          <w:rFonts w:ascii="Verdana" w:hAnsi="Verdana"/>
          <w:b/>
          <w:bCs/>
          <w:lang w:val="es-ES"/>
        </w:rPr>
      </w:pPr>
      <w:r w:rsidRPr="00FD28DB">
        <w:rPr>
          <w:rFonts w:ascii="Verdana" w:hAnsi="Verdana"/>
          <w:b/>
          <w:bCs/>
          <w:lang w:val="es-ES"/>
        </w:rPr>
        <w:t>Santiago Núñez Arenas</w:t>
      </w:r>
    </w:p>
    <w:bookmarkEnd w:id="0"/>
    <w:p w14:paraId="6286B1FA" w14:textId="77777777" w:rsidR="00AD7191" w:rsidRPr="00FD28DB" w:rsidRDefault="00AD7191" w:rsidP="00AD7191">
      <w:pPr>
        <w:spacing w:after="0" w:line="240" w:lineRule="auto"/>
        <w:jc w:val="both"/>
        <w:textAlignment w:val="baseline"/>
        <w:rPr>
          <w:rFonts w:ascii="Verdana" w:eastAsia="Times New Roman" w:hAnsi="Verdana" w:cs="Segoe UI"/>
          <w:lang w:val="es-ES" w:eastAsia="es-CO"/>
        </w:rPr>
      </w:pPr>
      <w:r w:rsidRPr="00FD28DB">
        <w:rPr>
          <w:rFonts w:ascii="Verdana" w:eastAsia="Times New Roman" w:hAnsi="Verdana" w:cs="Segoe UI"/>
          <w:lang w:val="es-ES" w:eastAsia="es-CO"/>
        </w:rPr>
        <w:fldChar w:fldCharType="begin"/>
      </w:r>
      <w:r w:rsidRPr="00FD28DB">
        <w:rPr>
          <w:rFonts w:ascii="Verdana" w:eastAsia="Times New Roman" w:hAnsi="Verdana" w:cs="Segoe UI"/>
          <w:lang w:val="es-ES" w:eastAsia="es-CO"/>
        </w:rPr>
        <w:instrText>HYPERLINK "mailto:santiago.nunez@fuac.edu.co"</w:instrText>
      </w:r>
      <w:r w:rsidRPr="00FD28DB">
        <w:rPr>
          <w:rFonts w:ascii="Verdana" w:eastAsia="Times New Roman" w:hAnsi="Verdana" w:cs="Segoe UI"/>
          <w:lang w:val="es-ES" w:eastAsia="es-CO"/>
        </w:rPr>
      </w:r>
      <w:r w:rsidRPr="00FD28DB">
        <w:rPr>
          <w:rFonts w:ascii="Verdana" w:eastAsia="Times New Roman" w:hAnsi="Verdana" w:cs="Segoe UI"/>
          <w:lang w:val="es-ES" w:eastAsia="es-CO"/>
        </w:rPr>
        <w:fldChar w:fldCharType="separate"/>
      </w:r>
      <w:r w:rsidRPr="00FD28DB">
        <w:rPr>
          <w:rStyle w:val="Hipervnculo"/>
          <w:rFonts w:ascii="Verdana" w:eastAsia="Times New Roman" w:hAnsi="Verdana" w:cs="Segoe UI"/>
          <w:lang w:val="es-ES" w:eastAsia="es-CO"/>
        </w:rPr>
        <w:t>santiago.nunez@fuac.edu.co</w:t>
      </w:r>
      <w:r w:rsidRPr="00FD28DB">
        <w:rPr>
          <w:rFonts w:ascii="Verdana" w:eastAsia="Times New Roman" w:hAnsi="Verdana" w:cs="Segoe UI"/>
          <w:lang w:val="es-ES" w:eastAsia="es-CO"/>
        </w:rPr>
        <w:fldChar w:fldCharType="end"/>
      </w:r>
      <w:r w:rsidRPr="00FD28DB">
        <w:rPr>
          <w:rFonts w:ascii="Verdana" w:eastAsia="Times New Roman" w:hAnsi="Verdana" w:cs="Segoe UI"/>
          <w:lang w:val="es-ES" w:eastAsia="es-CO"/>
        </w:rPr>
        <w:t xml:space="preserve"> </w:t>
      </w:r>
    </w:p>
    <w:p w14:paraId="6466A42D" w14:textId="77777777" w:rsidR="00AD7191" w:rsidRPr="00FD28DB" w:rsidRDefault="00AD7191" w:rsidP="00AD7191">
      <w:pPr>
        <w:spacing w:after="0" w:line="240" w:lineRule="auto"/>
        <w:jc w:val="both"/>
        <w:textAlignment w:val="baseline"/>
        <w:rPr>
          <w:rFonts w:ascii="Verdana" w:eastAsia="Times New Roman" w:hAnsi="Verdana" w:cs="Segoe UI"/>
          <w:lang w:val="es-ES" w:eastAsia="es-CO"/>
        </w:rPr>
      </w:pPr>
      <w:r w:rsidRPr="00FD28DB">
        <w:rPr>
          <w:rFonts w:ascii="Verdana" w:eastAsia="Times New Roman" w:hAnsi="Verdana" w:cs="Segoe UI"/>
          <w:lang w:val="es-ES" w:eastAsia="es-CO"/>
        </w:rPr>
        <w:t xml:space="preserve">Ciudad </w:t>
      </w:r>
    </w:p>
    <w:p w14:paraId="50B542D0" w14:textId="77777777" w:rsidR="00AD7191" w:rsidRPr="00FD28DB" w:rsidRDefault="00AD7191" w:rsidP="00AD7191">
      <w:pPr>
        <w:spacing w:after="0" w:line="240" w:lineRule="auto"/>
        <w:jc w:val="both"/>
        <w:textAlignment w:val="baseline"/>
        <w:rPr>
          <w:rFonts w:ascii="Verdana" w:eastAsia="Times New Roman" w:hAnsi="Verdana" w:cs="Segoe UI"/>
          <w:lang w:val="es-ES" w:eastAsia="es-CO"/>
        </w:rPr>
      </w:pP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gridCol w:w="388"/>
      </w:tblGrid>
      <w:tr w:rsidR="00AD7191" w:rsidRPr="00FD28DB" w14:paraId="5DC57F36" w14:textId="77777777" w:rsidTr="00C8160F">
        <w:trPr>
          <w:trHeight w:val="902"/>
        </w:trPr>
        <w:tc>
          <w:tcPr>
            <w:tcW w:w="8931" w:type="dxa"/>
          </w:tcPr>
          <w:p w14:paraId="54D1180D" w14:textId="77777777" w:rsidR="00AD7191" w:rsidRPr="00FD28DB" w:rsidRDefault="00AD7191" w:rsidP="00C8160F">
            <w:pPr>
              <w:jc w:val="both"/>
              <w:rPr>
                <w:rFonts w:ascii="Verdana" w:eastAsia="Calibri" w:hAnsi="Verdana" w:cs="Arial"/>
                <w:lang w:val="es-ES" w:eastAsia="es-ES_tradnl"/>
              </w:rPr>
            </w:pPr>
            <w:r w:rsidRPr="00FD28DB">
              <w:rPr>
                <w:rFonts w:ascii="Verdana" w:eastAsia="Calibri" w:hAnsi="Verdana" w:cs="Arial"/>
                <w:b/>
                <w:lang w:val="es-ES" w:eastAsia="es-ES_tradnl"/>
              </w:rPr>
              <w:t xml:space="preserve">                         </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D7191" w:rsidRPr="00FD28DB" w14:paraId="58C2C378" w14:textId="77777777" w:rsidTr="00C8160F">
              <w:trPr>
                <w:trHeight w:val="458"/>
              </w:trPr>
              <w:tc>
                <w:tcPr>
                  <w:tcW w:w="2689" w:type="dxa"/>
                </w:tcPr>
                <w:p w14:paraId="7494998A" w14:textId="77777777" w:rsidR="00AD7191" w:rsidRPr="00FD28DB" w:rsidRDefault="00AD7191" w:rsidP="00C8160F">
                  <w:pPr>
                    <w:jc w:val="both"/>
                    <w:rPr>
                      <w:rFonts w:ascii="Verdana" w:eastAsia="Calibri" w:hAnsi="Verdana" w:cs="Arial"/>
                      <w:b/>
                      <w:bCs/>
                      <w:lang w:val="es-ES" w:eastAsia="es-ES_tradnl"/>
                    </w:rPr>
                  </w:pPr>
                </w:p>
              </w:tc>
              <w:tc>
                <w:tcPr>
                  <w:tcW w:w="6100" w:type="dxa"/>
                </w:tcPr>
                <w:p w14:paraId="03D335C7" w14:textId="77777777" w:rsidR="00AD7191" w:rsidRPr="00FD28DB" w:rsidRDefault="00AD7191" w:rsidP="00C8160F">
                  <w:pPr>
                    <w:jc w:val="both"/>
                    <w:rPr>
                      <w:rFonts w:ascii="Verdana" w:eastAsia="Calibri" w:hAnsi="Verdana" w:cs="Arial"/>
                      <w:b/>
                      <w:bCs/>
                      <w:lang w:val="es-ES" w:eastAsia="es-ES"/>
                    </w:rPr>
                  </w:pPr>
                  <w:r w:rsidRPr="00FD28DB">
                    <w:rPr>
                      <w:rFonts w:ascii="Verdana" w:eastAsia="Calibri" w:hAnsi="Verdana" w:cs="Arial"/>
                      <w:b/>
                      <w:bCs/>
                      <w:lang w:val="es-ES" w:eastAsia="es-ES"/>
                    </w:rPr>
                    <w:t>Concepto C- 674 de 2024</w:t>
                  </w:r>
                </w:p>
              </w:tc>
            </w:tr>
            <w:tr w:rsidR="00AD7191" w:rsidRPr="00FD28DB" w14:paraId="3C863C87" w14:textId="77777777" w:rsidTr="00C8160F">
              <w:trPr>
                <w:trHeight w:val="1772"/>
              </w:trPr>
              <w:tc>
                <w:tcPr>
                  <w:tcW w:w="2689" w:type="dxa"/>
                </w:tcPr>
                <w:p w14:paraId="42D1CAEE" w14:textId="77777777" w:rsidR="00AD7191" w:rsidRPr="00FD28DB" w:rsidRDefault="00AD7191" w:rsidP="00C8160F">
                  <w:pPr>
                    <w:jc w:val="both"/>
                    <w:rPr>
                      <w:rFonts w:ascii="Verdana" w:eastAsia="Calibri" w:hAnsi="Verdana" w:cs="Arial"/>
                      <w:lang w:val="es-ES" w:eastAsia="es-ES_tradnl"/>
                    </w:rPr>
                  </w:pPr>
                  <w:r w:rsidRPr="00FD28DB">
                    <w:rPr>
                      <w:rFonts w:ascii="Verdana" w:eastAsia="Calibri" w:hAnsi="Verdana" w:cs="Arial"/>
                      <w:b/>
                      <w:lang w:val="es-ES" w:eastAsia="es-ES_tradnl"/>
                    </w:rPr>
                    <w:t>Temas:</w:t>
                  </w:r>
                  <w:r w:rsidRPr="00FD28DB">
                    <w:rPr>
                      <w:rFonts w:ascii="Verdana" w:eastAsia="Calibri" w:hAnsi="Verdana" w:cs="Arial"/>
                      <w:lang w:val="es-ES" w:eastAsia="es-ES_tradnl"/>
                    </w:rPr>
                    <w:t xml:space="preserve">                   </w:t>
                  </w:r>
                </w:p>
              </w:tc>
              <w:tc>
                <w:tcPr>
                  <w:tcW w:w="6100" w:type="dxa"/>
                </w:tcPr>
                <w:p w14:paraId="0562DB5D" w14:textId="5FD0E51B" w:rsidR="00AD7191" w:rsidRPr="00FD28DB" w:rsidRDefault="00AD7191" w:rsidP="00C8160F">
                  <w:pPr>
                    <w:spacing w:line="276" w:lineRule="auto"/>
                    <w:jc w:val="both"/>
                    <w:rPr>
                      <w:rFonts w:ascii="Verdana" w:hAnsi="Verdana" w:cs="Arial"/>
                      <w:bCs/>
                      <w:lang w:val="es-ES"/>
                    </w:rPr>
                  </w:pPr>
                  <w:r>
                    <w:rPr>
                      <w:rFonts w:ascii="Verdana" w:hAnsi="Verdana" w:cs="Arial"/>
                      <w:bCs/>
                    </w:rPr>
                    <w:t>CONTRATOS DE PRESTACIÓN DE SERVICIOS - Concepto</w:t>
                  </w:r>
                  <w:r w:rsidRPr="00FD28DB">
                    <w:rPr>
                      <w:rFonts w:ascii="Verdana" w:hAnsi="Verdana" w:cs="Arial"/>
                      <w:bCs/>
                      <w:lang w:val="es-ES"/>
                    </w:rPr>
                    <w:t xml:space="preserve"> –</w:t>
                  </w:r>
                  <w:r w:rsidR="00124F3C">
                    <w:rPr>
                      <w:rFonts w:ascii="Verdana" w:hAnsi="Verdana" w:cs="Arial"/>
                      <w:bCs/>
                      <w:lang w:val="es-ES"/>
                    </w:rPr>
                    <w:t xml:space="preserve"> Idoneidad </w:t>
                  </w:r>
                  <w:r>
                    <w:rPr>
                      <w:rFonts w:ascii="Verdana" w:hAnsi="Verdana" w:cs="Arial"/>
                      <w:bCs/>
                    </w:rPr>
                    <w:t>/ CONTRATOS DE PRESTACIÓN DE SERVICIOS –</w:t>
                  </w:r>
                  <w:r w:rsidR="00811883">
                    <w:rPr>
                      <w:rFonts w:ascii="Verdana" w:hAnsi="Verdana" w:cs="Arial"/>
                      <w:bCs/>
                    </w:rPr>
                    <w:t xml:space="preserve"> </w:t>
                  </w:r>
                  <w:r w:rsidR="00124F3C">
                    <w:rPr>
                      <w:rFonts w:ascii="Verdana" w:hAnsi="Verdana" w:cs="Arial"/>
                      <w:bCs/>
                    </w:rPr>
                    <w:t>Estudios previos -</w:t>
                  </w:r>
                  <w:r w:rsidR="00811883">
                    <w:rPr>
                      <w:rFonts w:ascii="Verdana" w:hAnsi="Verdana" w:cs="Arial"/>
                      <w:bCs/>
                    </w:rPr>
                    <w:t xml:space="preserve"> Condiciones</w:t>
                  </w:r>
                  <w:r>
                    <w:rPr>
                      <w:rFonts w:ascii="Verdana" w:hAnsi="Verdana" w:cs="Arial"/>
                      <w:bCs/>
                    </w:rPr>
                    <w:t xml:space="preserve"> para su ejecución</w:t>
                  </w:r>
                </w:p>
              </w:tc>
            </w:tr>
          </w:tbl>
          <w:p w14:paraId="04CCD44C" w14:textId="77777777" w:rsidR="00AD7191" w:rsidRPr="00FD28DB" w:rsidRDefault="00AD7191" w:rsidP="00C8160F">
            <w:pPr>
              <w:tabs>
                <w:tab w:val="left" w:pos="3768"/>
              </w:tabs>
              <w:spacing w:line="276" w:lineRule="auto"/>
              <w:jc w:val="both"/>
              <w:rPr>
                <w:rFonts w:ascii="Verdana" w:eastAsia="Calibri" w:hAnsi="Verdana" w:cs="Arial"/>
                <w:lang w:val="es-ES" w:eastAsia="es-ES"/>
              </w:rPr>
            </w:pPr>
            <w:r w:rsidRPr="00FD28DB">
              <w:rPr>
                <w:rFonts w:ascii="Verdana" w:eastAsia="Calibri" w:hAnsi="Verdana" w:cs="Arial"/>
                <w:lang w:val="es-ES" w:eastAsia="es-ES"/>
              </w:rPr>
              <w:tab/>
            </w:r>
          </w:p>
          <w:p w14:paraId="40F92580" w14:textId="77777777" w:rsidR="00AD7191" w:rsidRPr="00FD28DB" w:rsidRDefault="00AD7191" w:rsidP="00C8160F">
            <w:pPr>
              <w:jc w:val="both"/>
              <w:rPr>
                <w:rFonts w:ascii="Verdana" w:eastAsia="Calibri" w:hAnsi="Verdana" w:cs="Arial"/>
                <w:lang w:val="es-ES" w:eastAsia="es-ES_tradnl"/>
              </w:rPr>
            </w:pPr>
            <w:r w:rsidRPr="00FD28DB">
              <w:rPr>
                <w:rFonts w:ascii="Verdana" w:eastAsia="Calibri" w:hAnsi="Verdana" w:cs="Arial"/>
                <w:lang w:val="es-ES" w:eastAsia="es-ES_tradnl"/>
              </w:rPr>
              <w:t xml:space="preserve">                                             </w:t>
            </w:r>
          </w:p>
        </w:tc>
        <w:tc>
          <w:tcPr>
            <w:tcW w:w="388" w:type="dxa"/>
          </w:tcPr>
          <w:p w14:paraId="31207AB0" w14:textId="77777777" w:rsidR="00AD7191" w:rsidRPr="00FD28DB" w:rsidRDefault="00AD7191" w:rsidP="00C8160F">
            <w:pPr>
              <w:spacing w:line="276" w:lineRule="auto"/>
              <w:jc w:val="both"/>
              <w:rPr>
                <w:rFonts w:ascii="Verdana" w:eastAsia="Calibri" w:hAnsi="Verdana" w:cs="Arial"/>
                <w:lang w:val="es-ES" w:eastAsia="es-ES"/>
              </w:rPr>
            </w:pPr>
            <w:r w:rsidRPr="00FD28DB">
              <w:rPr>
                <w:rFonts w:ascii="Verdana" w:eastAsia="Calibri" w:hAnsi="Verdana" w:cs="Arial"/>
                <w:lang w:val="es-ES" w:eastAsia="es-ES"/>
              </w:rPr>
              <w:t xml:space="preserve">  </w:t>
            </w:r>
          </w:p>
          <w:p w14:paraId="460F8DF3" w14:textId="77777777" w:rsidR="00AD7191" w:rsidRPr="00FD28DB" w:rsidRDefault="00AD7191" w:rsidP="00C8160F">
            <w:pPr>
              <w:spacing w:line="276" w:lineRule="auto"/>
              <w:jc w:val="both"/>
              <w:rPr>
                <w:rFonts w:ascii="Verdana" w:eastAsia="Calibri" w:hAnsi="Verdana" w:cs="Arial"/>
                <w:highlight w:val="cyan"/>
                <w:lang w:val="es-ES" w:eastAsia="es-ES"/>
              </w:rPr>
            </w:pPr>
          </w:p>
        </w:tc>
      </w:tr>
      <w:tr w:rsidR="00AD7191" w:rsidRPr="00FD28DB" w14:paraId="58DAE2F0" w14:textId="77777777" w:rsidTr="00C8160F">
        <w:trPr>
          <w:trHeight w:val="260"/>
        </w:trPr>
        <w:tc>
          <w:tcPr>
            <w:tcW w:w="8931" w:type="dxa"/>
          </w:tcPr>
          <w:p w14:paraId="7CAE35F2" w14:textId="77777777" w:rsidR="00AD7191" w:rsidRPr="00FD28DB" w:rsidRDefault="00AD7191" w:rsidP="00C8160F">
            <w:pPr>
              <w:jc w:val="both"/>
              <w:rPr>
                <w:rFonts w:ascii="Verdana" w:eastAsia="Calibri" w:hAnsi="Verdana" w:cs="Arial"/>
                <w:b/>
                <w:lang w:val="es-ES" w:eastAsia="es-ES_tradnl"/>
              </w:rPr>
            </w:pPr>
            <w:r w:rsidRPr="00FD28DB">
              <w:rPr>
                <w:rFonts w:ascii="Verdana" w:eastAsia="Calibri" w:hAnsi="Verdana" w:cs="Arial"/>
                <w:b/>
                <w:lang w:val="es-ES" w:eastAsia="es-ES_tradnl"/>
              </w:rPr>
              <w:t>Radicación:</w:t>
            </w:r>
            <w:r w:rsidRPr="00FD28DB">
              <w:rPr>
                <w:rFonts w:ascii="Verdana" w:eastAsia="Calibri" w:hAnsi="Verdana" w:cs="Arial"/>
                <w:lang w:val="es-ES" w:eastAsia="es-ES_tradnl"/>
              </w:rPr>
              <w:t xml:space="preserve">               Respuesta a consulta con radicado No. P20240930009954</w:t>
            </w:r>
          </w:p>
        </w:tc>
        <w:tc>
          <w:tcPr>
            <w:tcW w:w="388" w:type="dxa"/>
          </w:tcPr>
          <w:p w14:paraId="4258845E" w14:textId="77777777" w:rsidR="00AD7191" w:rsidRPr="00FD28DB" w:rsidRDefault="00AD7191" w:rsidP="00C8160F">
            <w:pPr>
              <w:jc w:val="both"/>
              <w:rPr>
                <w:rFonts w:ascii="Verdana" w:eastAsia="Calibri" w:hAnsi="Verdana" w:cs="Arial"/>
                <w:lang w:val="es-ES" w:eastAsia="es-ES_tradnl"/>
              </w:rPr>
            </w:pPr>
          </w:p>
        </w:tc>
      </w:tr>
    </w:tbl>
    <w:p w14:paraId="6040F464" w14:textId="77777777" w:rsidR="00AD7191" w:rsidRPr="00FD28DB" w:rsidRDefault="00AD7191" w:rsidP="00AD7191">
      <w:pPr>
        <w:spacing w:after="0" w:line="240" w:lineRule="auto"/>
        <w:jc w:val="both"/>
        <w:rPr>
          <w:rFonts w:ascii="Verdana" w:eastAsia="Calibri" w:hAnsi="Verdana" w:cs="Arial"/>
          <w:highlight w:val="cyan"/>
          <w:lang w:val="es-ES" w:eastAsia="es-ES_tradnl"/>
        </w:rPr>
      </w:pPr>
    </w:p>
    <w:p w14:paraId="36EC8D0D" w14:textId="77777777" w:rsidR="00AD7191" w:rsidRPr="00FD28DB" w:rsidRDefault="00AD7191" w:rsidP="00AD7191">
      <w:pPr>
        <w:spacing w:after="0" w:line="240" w:lineRule="auto"/>
        <w:jc w:val="both"/>
        <w:rPr>
          <w:rFonts w:ascii="Verdana" w:eastAsia="Calibri" w:hAnsi="Verdana" w:cs="Arial"/>
          <w:highlight w:val="cyan"/>
          <w:lang w:val="es-ES" w:eastAsia="es-ES_tradnl"/>
        </w:rPr>
      </w:pPr>
    </w:p>
    <w:p w14:paraId="2BEBF4B4" w14:textId="77777777" w:rsidR="00AD7191" w:rsidRPr="00FD28DB" w:rsidRDefault="00AD7191" w:rsidP="00AD7191">
      <w:pPr>
        <w:spacing w:after="0" w:line="276" w:lineRule="auto"/>
        <w:jc w:val="both"/>
        <w:rPr>
          <w:rFonts w:ascii="Verdana" w:eastAsia="Calibri" w:hAnsi="Verdana" w:cs="Arial"/>
          <w:lang w:val="es-ES" w:eastAsia="es-ES"/>
        </w:rPr>
      </w:pPr>
      <w:r w:rsidRPr="00FD28DB">
        <w:rPr>
          <w:rFonts w:ascii="Verdana" w:eastAsia="Calibri" w:hAnsi="Verdana" w:cs="Arial"/>
          <w:lang w:val="es-ES" w:eastAsia="es-ES"/>
        </w:rPr>
        <w:t>Estimado señor Núñez;</w:t>
      </w:r>
    </w:p>
    <w:p w14:paraId="16177416" w14:textId="77777777" w:rsidR="00AD7191" w:rsidRPr="00FD28DB" w:rsidRDefault="00AD7191" w:rsidP="00AD7191">
      <w:pPr>
        <w:spacing w:after="0" w:line="276" w:lineRule="auto"/>
        <w:jc w:val="both"/>
        <w:rPr>
          <w:rFonts w:ascii="Verdana" w:eastAsia="Calibri" w:hAnsi="Verdana" w:cs="Arial"/>
          <w:lang w:val="es-ES" w:eastAsia="es-ES"/>
        </w:rPr>
      </w:pPr>
    </w:p>
    <w:p w14:paraId="1CCD298A" w14:textId="77777777" w:rsidR="00AD7191" w:rsidRPr="00FD28DB" w:rsidRDefault="00AD7191" w:rsidP="00AD7191">
      <w:pPr>
        <w:spacing w:after="0" w:line="276" w:lineRule="auto"/>
        <w:jc w:val="both"/>
        <w:rPr>
          <w:rFonts w:ascii="Verdana" w:eastAsia="Calibri" w:hAnsi="Verdana" w:cs="Arial"/>
          <w:lang w:val="es-ES" w:eastAsia="es-ES"/>
        </w:rPr>
      </w:pPr>
      <w:r w:rsidRPr="00FD28DB">
        <w:rPr>
          <w:rFonts w:ascii="Verdana" w:eastAsia="Calibri" w:hAnsi="Verdana" w:cs="Arial"/>
          <w:lang w:val="es-ES" w:eastAsia="es-ES"/>
        </w:rPr>
        <w:t>En ejercicio de la competencia otorgada por los artículos 3, numeral 5º, y 11, numeral 8º, del Decreto Ley 4170 de 2011,</w:t>
      </w:r>
      <w:r w:rsidRPr="00FD28DB">
        <w:rPr>
          <w:rFonts w:ascii="Verdana" w:eastAsia="Arial MT" w:hAnsi="Verdana" w:cs="Arial MT"/>
          <w:lang w:val="es-ES" w:eastAsia="es-ES"/>
        </w:rPr>
        <w:t xml:space="preserve"> </w:t>
      </w:r>
      <w:r w:rsidRPr="00FD28DB">
        <w:rPr>
          <w:rFonts w:ascii="Verdana" w:hAnsi="Verdana" w:cs="Arial"/>
          <w:lang w:val="es-ES"/>
        </w:rPr>
        <w:t xml:space="preserve">así como lo establecido en el artículo 4 de la Resolución 1707 de 2018 expedida por esta Entidad, </w:t>
      </w:r>
      <w:r w:rsidRPr="00FD28DB">
        <w:rPr>
          <w:rFonts w:ascii="Verdana" w:eastAsia="Calibri" w:hAnsi="Verdana" w:cs="Arial"/>
          <w:lang w:val="es-ES" w:eastAsia="es-ES"/>
        </w:rPr>
        <w:t>la Agencia Nacional de Contratación Pública – Colombia Compra Eficiente– responde su solicitud de consulta de fecha 30 de septiembre de 2024, en la cual usted manifiesta lo siguiente:</w:t>
      </w:r>
    </w:p>
    <w:p w14:paraId="05BF59CB" w14:textId="77777777" w:rsidR="00AD7191" w:rsidRPr="00FD28DB" w:rsidRDefault="00AD7191" w:rsidP="00AD7191">
      <w:pPr>
        <w:tabs>
          <w:tab w:val="left" w:pos="3768"/>
        </w:tabs>
        <w:spacing w:after="0" w:line="276" w:lineRule="auto"/>
        <w:jc w:val="both"/>
        <w:rPr>
          <w:rFonts w:ascii="Verdana" w:eastAsia="Calibri" w:hAnsi="Verdana" w:cs="Arial"/>
          <w:lang w:val="es-ES" w:eastAsia="es-ES"/>
        </w:rPr>
      </w:pPr>
    </w:p>
    <w:p w14:paraId="18E47F3D" w14:textId="77777777" w:rsidR="00AD7191" w:rsidRPr="00E97FFA" w:rsidRDefault="00AD7191" w:rsidP="00AD7191">
      <w:pPr>
        <w:tabs>
          <w:tab w:val="left" w:pos="3768"/>
        </w:tabs>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lang w:eastAsia="es-ES"/>
        </w:rPr>
        <w:t>“</w:t>
      </w:r>
      <w:r w:rsidRPr="00E97FFA">
        <w:rPr>
          <w:rFonts w:ascii="Verdana" w:eastAsia="Calibri" w:hAnsi="Verdana" w:cs="Arial"/>
          <w:i/>
          <w:iCs/>
          <w:sz w:val="21"/>
          <w:szCs w:val="21"/>
          <w:lang w:eastAsia="es-ES"/>
        </w:rPr>
        <w:t>1. Est</w:t>
      </w:r>
      <w:r>
        <w:rPr>
          <w:rFonts w:ascii="Verdana" w:eastAsia="Calibri" w:hAnsi="Verdana" w:cs="Arial"/>
          <w:i/>
          <w:iCs/>
          <w:sz w:val="21"/>
          <w:szCs w:val="21"/>
          <w:lang w:eastAsia="es-ES"/>
        </w:rPr>
        <w:t xml:space="preserve">ablecer el concepto de los efectos jurídicos del certificado de vigencia de la tarjeta profesional de abogados. </w:t>
      </w:r>
    </w:p>
    <w:p w14:paraId="10F20D5F" w14:textId="77777777" w:rsidR="00AD7191" w:rsidRPr="00E97FFA" w:rsidRDefault="00AD7191" w:rsidP="00AD7191">
      <w:pPr>
        <w:tabs>
          <w:tab w:val="left" w:pos="3768"/>
        </w:tabs>
        <w:spacing w:after="0" w:line="276" w:lineRule="auto"/>
        <w:ind w:left="709" w:right="709"/>
        <w:jc w:val="both"/>
        <w:rPr>
          <w:rFonts w:ascii="Verdana" w:eastAsia="Calibri" w:hAnsi="Verdana" w:cs="Arial"/>
          <w:i/>
          <w:iCs/>
          <w:sz w:val="21"/>
          <w:szCs w:val="21"/>
          <w:lang w:val="es-ES" w:eastAsia="es-ES"/>
        </w:rPr>
      </w:pPr>
      <w:r w:rsidRPr="00E97FFA">
        <w:rPr>
          <w:rFonts w:ascii="Verdana" w:eastAsia="Calibri" w:hAnsi="Verdana" w:cs="Arial"/>
          <w:i/>
          <w:iCs/>
          <w:sz w:val="21"/>
          <w:szCs w:val="21"/>
          <w:lang w:val="es-ES" w:eastAsia="es-ES"/>
        </w:rPr>
        <w:t>2. Establecer concepto en relación a si el documento denominado tarjeta profesional de abogado es requisito de idoneidad para contratar con el Estado en actividades que no requieren la representación judicial y que si el certificado de vigencia de la tarjeta profesional reemplaza dicha certificación de existencia de la capacidad de abogado mediante tarjeta profesional cuando exista una solicitud de expedición del documento en físico o cuando se encuentre en trámite el duplicado de la misma.</w:t>
      </w:r>
    </w:p>
    <w:p w14:paraId="30F7B08E" w14:textId="77777777" w:rsidR="00AD7191" w:rsidRPr="00FD28DB" w:rsidRDefault="00AD7191" w:rsidP="00AD7191">
      <w:pPr>
        <w:tabs>
          <w:tab w:val="left" w:pos="3768"/>
        </w:tabs>
        <w:spacing w:after="0" w:line="276" w:lineRule="auto"/>
        <w:ind w:left="709" w:right="709"/>
        <w:jc w:val="both"/>
        <w:rPr>
          <w:rFonts w:ascii="Verdana" w:eastAsia="Calibri" w:hAnsi="Verdana" w:cs="Arial"/>
          <w:i/>
          <w:iCs/>
          <w:sz w:val="21"/>
          <w:szCs w:val="21"/>
          <w:lang w:val="es-ES" w:eastAsia="es-ES"/>
        </w:rPr>
      </w:pPr>
      <w:r w:rsidRPr="00FD28DB">
        <w:rPr>
          <w:rFonts w:ascii="Verdana" w:eastAsia="Calibri" w:hAnsi="Verdana" w:cs="Arial"/>
          <w:i/>
          <w:iCs/>
          <w:sz w:val="21"/>
          <w:szCs w:val="21"/>
          <w:lang w:val="es-ES" w:eastAsia="es-ES"/>
        </w:rPr>
        <w:t xml:space="preserve">3. Establecer concepto sobre si para acceder a un contrato de prestación de servicios, es necesaria la presentación de la respectiva tarjeta profesional de abogados y si el certificado de vigencia reemplaza la acreditación. </w:t>
      </w:r>
    </w:p>
    <w:p w14:paraId="293D1686" w14:textId="77777777" w:rsidR="00AD7191" w:rsidRPr="00FD28DB" w:rsidRDefault="00AD7191" w:rsidP="00AD7191">
      <w:pPr>
        <w:tabs>
          <w:tab w:val="left" w:pos="3768"/>
        </w:tabs>
        <w:spacing w:after="0" w:line="276" w:lineRule="auto"/>
        <w:ind w:left="709" w:right="709"/>
        <w:jc w:val="both"/>
        <w:rPr>
          <w:rFonts w:ascii="Verdana" w:eastAsia="Calibri" w:hAnsi="Verdana" w:cs="Arial"/>
          <w:i/>
          <w:iCs/>
          <w:sz w:val="21"/>
          <w:szCs w:val="21"/>
          <w:lang w:val="es-ES" w:eastAsia="es-ES"/>
        </w:rPr>
      </w:pPr>
      <w:r w:rsidRPr="00FD28DB">
        <w:rPr>
          <w:rFonts w:ascii="Verdana" w:eastAsia="Calibri" w:hAnsi="Verdana" w:cs="Arial"/>
          <w:i/>
          <w:iCs/>
          <w:sz w:val="21"/>
          <w:szCs w:val="21"/>
          <w:lang w:val="es-ES" w:eastAsia="es-ES"/>
        </w:rPr>
        <w:t>4. Establecer concepto sobre si los abogados con título profesional que no cuentan con tarjeta profesional deben acreditar o no dicho documento para procesos contractuales con la administración pública” (SIC).</w:t>
      </w:r>
    </w:p>
    <w:p w14:paraId="2795CB7A" w14:textId="77777777" w:rsidR="00AD7191" w:rsidRPr="00FD28DB" w:rsidRDefault="00AD7191" w:rsidP="00AD7191">
      <w:pPr>
        <w:tabs>
          <w:tab w:val="left" w:pos="3768"/>
        </w:tabs>
        <w:spacing w:after="0" w:line="276" w:lineRule="auto"/>
        <w:ind w:left="709" w:right="709"/>
        <w:jc w:val="both"/>
        <w:rPr>
          <w:rFonts w:ascii="Verdana" w:eastAsia="Calibri" w:hAnsi="Verdana" w:cs="Arial"/>
          <w:i/>
          <w:iCs/>
          <w:lang w:val="es-ES" w:eastAsia="es-ES"/>
        </w:rPr>
      </w:pPr>
    </w:p>
    <w:p w14:paraId="38ABD506" w14:textId="77777777" w:rsidR="00AD7191" w:rsidRPr="00FD28DB" w:rsidRDefault="00AD7191" w:rsidP="00AD7191">
      <w:pPr>
        <w:spacing w:after="120" w:line="276" w:lineRule="auto"/>
        <w:ind w:firstLine="709"/>
        <w:jc w:val="both"/>
        <w:rPr>
          <w:rFonts w:ascii="Verdana" w:eastAsia="Calibri" w:hAnsi="Verdana" w:cs="Arial"/>
          <w:lang w:val="es-ES" w:eastAsia="es-ES"/>
        </w:rPr>
      </w:pPr>
      <w:r w:rsidRPr="00FD28DB">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33180885" w14:textId="77777777" w:rsidR="00AD7191" w:rsidRPr="00FD28DB" w:rsidRDefault="00AD7191" w:rsidP="00AD7191">
      <w:pPr>
        <w:spacing w:after="0" w:line="276" w:lineRule="auto"/>
        <w:ind w:firstLine="709"/>
        <w:jc w:val="both"/>
        <w:rPr>
          <w:rFonts w:ascii="Verdana" w:eastAsia="Calibri" w:hAnsi="Verdana" w:cs="Arial"/>
          <w:lang w:val="es-ES" w:eastAsia="es-ES"/>
        </w:rPr>
      </w:pPr>
      <w:r w:rsidRPr="00FD28DB">
        <w:rPr>
          <w:rFonts w:ascii="Verdana" w:eastAsia="Calibri" w:hAnsi="Verdana" w:cs="Arial"/>
          <w:lang w:val="es-ES"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3C0B98C7" w14:textId="77777777" w:rsidR="00AD7191" w:rsidRPr="00FD28DB" w:rsidRDefault="00AD7191" w:rsidP="00AD7191">
      <w:pPr>
        <w:spacing w:after="0" w:line="276" w:lineRule="auto"/>
        <w:ind w:firstLine="708"/>
        <w:jc w:val="both"/>
        <w:rPr>
          <w:rFonts w:ascii="Verdana" w:eastAsia="Calibri" w:hAnsi="Verdana" w:cs="Arial"/>
          <w:lang w:val="es-ES" w:eastAsia="es-ES"/>
        </w:rPr>
      </w:pPr>
    </w:p>
    <w:p w14:paraId="23F0E88E" w14:textId="77777777" w:rsidR="00AD7191" w:rsidRPr="00FD28DB" w:rsidRDefault="00AD7191" w:rsidP="00AD7191">
      <w:pPr>
        <w:spacing w:after="0" w:line="276" w:lineRule="auto"/>
        <w:jc w:val="both"/>
        <w:rPr>
          <w:rFonts w:ascii="Verdana" w:eastAsia="Calibri" w:hAnsi="Verdana" w:cs="Arial"/>
          <w:b/>
          <w:bCs/>
          <w:lang w:val="es-ES" w:eastAsia="es-ES"/>
        </w:rPr>
      </w:pPr>
      <w:r w:rsidRPr="00FD28DB">
        <w:rPr>
          <w:rFonts w:ascii="Verdana" w:eastAsia="Calibri" w:hAnsi="Verdana" w:cs="Arial"/>
          <w:b/>
          <w:bCs/>
          <w:lang w:val="es-ES" w:eastAsia="es-ES"/>
        </w:rPr>
        <w:t>1. Problemas planteados:</w:t>
      </w:r>
    </w:p>
    <w:p w14:paraId="6C165664" w14:textId="77777777" w:rsidR="00AD7191" w:rsidRPr="00FD28DB" w:rsidRDefault="00AD7191" w:rsidP="00AD7191">
      <w:pPr>
        <w:pStyle w:val="Prrafodelista"/>
        <w:spacing w:after="0" w:line="276" w:lineRule="auto"/>
        <w:ind w:left="1068"/>
        <w:jc w:val="both"/>
        <w:rPr>
          <w:rFonts w:ascii="Verdana" w:eastAsia="Calibri" w:hAnsi="Verdana" w:cs="Arial"/>
          <w:b/>
          <w:bCs/>
          <w:lang w:eastAsia="es-ES"/>
        </w:rPr>
      </w:pPr>
    </w:p>
    <w:p w14:paraId="2FFD2D1F" w14:textId="77777777" w:rsidR="00AD7191" w:rsidRPr="00FD28DB" w:rsidRDefault="00AD7191" w:rsidP="00AD7191">
      <w:pPr>
        <w:spacing w:after="0" w:line="276" w:lineRule="auto"/>
        <w:jc w:val="both"/>
        <w:textAlignment w:val="baseline"/>
        <w:rPr>
          <w:rFonts w:ascii="Verdana" w:eastAsia="Calibri" w:hAnsi="Verdana" w:cs="Arial"/>
          <w:lang w:val="es-ES" w:eastAsia="es-ES"/>
        </w:rPr>
      </w:pPr>
      <w:r w:rsidRPr="00FD28DB">
        <w:rPr>
          <w:rFonts w:ascii="Verdana" w:eastAsia="Calibri" w:hAnsi="Verdana" w:cs="Arial"/>
          <w:lang w:val="es-ES" w:eastAsia="es-ES"/>
        </w:rPr>
        <w:t xml:space="preserve">De acuerdo con el contenido de su solicitud, esta Agencia resolverá los siguientes problemas jurídicos: </w:t>
      </w:r>
      <w:bookmarkStart w:id="1" w:name="_Hlk182581156"/>
      <w:r w:rsidRPr="00FD28DB">
        <w:rPr>
          <w:rFonts w:ascii="Verdana" w:eastAsia="Calibri" w:hAnsi="Verdana" w:cs="Arial"/>
          <w:lang w:val="es-ES" w:eastAsia="es-ES"/>
        </w:rPr>
        <w:t>i) ¿Cuáles son los efectos jurídicos del certificado de vigencia de la tarjeta profesional de abogado?, ii) ¿La tarjeta profesional de abogados es un requisito de idoneidad para contratar con el Estado en actividades que no requiere la representación judicial?</w:t>
      </w:r>
      <w:r>
        <w:rPr>
          <w:rFonts w:ascii="Verdana" w:eastAsia="Calibri" w:hAnsi="Verdana" w:cs="Arial"/>
          <w:lang w:eastAsia="es-ES"/>
        </w:rPr>
        <w:t xml:space="preserve"> y, </w:t>
      </w:r>
      <w:r w:rsidRPr="00FD28DB">
        <w:rPr>
          <w:rFonts w:ascii="Verdana" w:eastAsia="Calibri" w:hAnsi="Verdana" w:cs="Arial"/>
          <w:lang w:val="es-ES" w:eastAsia="es-ES"/>
        </w:rPr>
        <w:t xml:space="preserve">iii) ¿Para acceder a un contrato de prestación de servicios, es necesaria la presentación de la tarjeta profesional de abogado o el certificado de vigencia la reemplaza? </w:t>
      </w:r>
      <w:bookmarkEnd w:id="1"/>
    </w:p>
    <w:p w14:paraId="1EB8BC3B" w14:textId="77777777" w:rsidR="00AD7191" w:rsidRPr="00FD28DB" w:rsidRDefault="00AD7191" w:rsidP="00AD7191">
      <w:pPr>
        <w:spacing w:after="0" w:line="240" w:lineRule="auto"/>
        <w:jc w:val="both"/>
        <w:textAlignment w:val="baseline"/>
        <w:rPr>
          <w:rFonts w:ascii="Verdana" w:eastAsia="Calibri" w:hAnsi="Verdana" w:cs="Arial"/>
          <w:lang w:val="es-ES" w:eastAsia="es-ES"/>
        </w:rPr>
      </w:pPr>
    </w:p>
    <w:p w14:paraId="3019DF3A" w14:textId="77777777" w:rsidR="00AD7191" w:rsidRDefault="00AD7191" w:rsidP="00AD7191">
      <w:pPr>
        <w:spacing w:after="0" w:line="240" w:lineRule="auto"/>
        <w:jc w:val="both"/>
        <w:textAlignment w:val="baseline"/>
        <w:rPr>
          <w:rFonts w:ascii="Verdana" w:eastAsia="Times New Roman" w:hAnsi="Verdana" w:cs="Segoe UI"/>
          <w:b/>
          <w:bCs/>
          <w:lang w:val="es-ES" w:eastAsia="es-CO"/>
        </w:rPr>
      </w:pPr>
      <w:r w:rsidRPr="00FD28DB">
        <w:rPr>
          <w:rFonts w:ascii="Verdana" w:eastAsia="Times New Roman" w:hAnsi="Verdana" w:cs="Segoe UI"/>
          <w:b/>
          <w:bCs/>
          <w:lang w:val="es-ES" w:eastAsia="es-CO"/>
        </w:rPr>
        <w:t xml:space="preserve">2. Respuesta: </w:t>
      </w:r>
    </w:p>
    <w:p w14:paraId="56584F99" w14:textId="77777777" w:rsidR="008E5E9E" w:rsidRDefault="008E5E9E" w:rsidP="00AD7191">
      <w:pPr>
        <w:spacing w:after="0" w:line="240" w:lineRule="auto"/>
        <w:jc w:val="both"/>
        <w:textAlignment w:val="baseline"/>
        <w:rPr>
          <w:rFonts w:ascii="Verdana" w:eastAsia="Times New Roman" w:hAnsi="Verdana" w:cs="Segoe UI"/>
          <w:b/>
          <w:bCs/>
          <w:lang w:val="es-ES" w:eastAsia="es-CO"/>
        </w:rPr>
      </w:pPr>
    </w:p>
    <w:p w14:paraId="34F916C9" w14:textId="77777777" w:rsidR="008E5E9E" w:rsidRPr="00C41FE6" w:rsidRDefault="008E5E9E" w:rsidP="00AD7191">
      <w:pPr>
        <w:spacing w:after="0" w:line="240" w:lineRule="auto"/>
        <w:jc w:val="both"/>
        <w:textAlignment w:val="baseline"/>
        <w:rPr>
          <w:rFonts w:ascii="Verdana" w:eastAsia="Times New Roman" w:hAnsi="Verdana" w:cs="Segoe UI"/>
          <w:lang w:val="es-ES" w:eastAsia="es-CO"/>
        </w:rPr>
      </w:pPr>
    </w:p>
    <w:p w14:paraId="47BFB126" w14:textId="77777777" w:rsidR="008E5E9E" w:rsidRDefault="008E5E9E" w:rsidP="008E5E9E">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rPr>
      </w:pPr>
      <w:bookmarkStart w:id="2" w:name="_Hlk182581229"/>
      <w:r>
        <w:rPr>
          <w:rFonts w:ascii="Verdana" w:hAnsi="Verdana"/>
        </w:rPr>
        <w:t xml:space="preserve">i) </w:t>
      </w:r>
      <w:r w:rsidRPr="00F60E86">
        <w:rPr>
          <w:rFonts w:ascii="Verdana" w:hAnsi="Verdana"/>
        </w:rPr>
        <w:t>Conforme a las facultades otorgadas por el numeral 5 del artículo 3 y el numeral 8 del artículo 11 del Decreto 4170 de 2011, esta Agencia no tiene competencia y no puede pronunciarse sobre casos particulares o preguntas que no contengan dudas sobre la aplicación de una norma general en materia de contratación estatal; y teniendo en cuenta que usted radicó esta consulta ante el Consejo Superior de la Judicatura, no daremos traslado de esta pregunta.</w:t>
      </w:r>
    </w:p>
    <w:p w14:paraId="7A80D45B" w14:textId="77777777" w:rsidR="008E5E9E" w:rsidRPr="00F60E86" w:rsidRDefault="008E5E9E" w:rsidP="008E5E9E">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rPr>
      </w:pPr>
    </w:p>
    <w:p w14:paraId="1D59909B" w14:textId="77777777" w:rsidR="008E5E9E" w:rsidRPr="00F60E86" w:rsidRDefault="008E5E9E" w:rsidP="008E5E9E">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rPr>
      </w:pPr>
      <w:r>
        <w:rPr>
          <w:rFonts w:ascii="Verdana" w:hAnsi="Verdana"/>
        </w:rPr>
        <w:t xml:space="preserve">ii) </w:t>
      </w:r>
      <w:r w:rsidRPr="00F60E86">
        <w:rPr>
          <w:rFonts w:ascii="Verdana" w:hAnsi="Verdana"/>
        </w:rPr>
        <w:t>El artículo 2.2.1.2.1.4.9. del Decreto 1082 de 2015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que se trate […]”. En este sentido, establece como condición para la celebración de este particular tipo de contratos que la Entidad Estatal verifique que el contratista tenga “la idoneidad y la experiencia requerida y relacionada con el área de que se trate” el respectivo objeto contractual.</w:t>
      </w:r>
      <w:bookmarkEnd w:id="2"/>
      <w:r w:rsidRPr="00F60E86">
        <w:rPr>
          <w:rFonts w:ascii="Verdana" w:hAnsi="Verdana"/>
        </w:rPr>
        <w:t xml:space="preserve"> </w:t>
      </w:r>
    </w:p>
    <w:p w14:paraId="100D455B" w14:textId="77777777" w:rsidR="008E5E9E" w:rsidRDefault="008E5E9E" w:rsidP="008E5E9E">
      <w:pPr>
        <w:pBdr>
          <w:top w:val="single" w:sz="4" w:space="1" w:color="auto"/>
          <w:left w:val="single" w:sz="4" w:space="4" w:color="auto"/>
          <w:bottom w:val="single" w:sz="4" w:space="1" w:color="auto"/>
          <w:right w:val="single" w:sz="4" w:space="4" w:color="auto"/>
        </w:pBdr>
        <w:spacing w:after="120" w:line="276" w:lineRule="auto"/>
        <w:ind w:firstLine="708"/>
        <w:jc w:val="both"/>
        <w:rPr>
          <w:rFonts w:ascii="Verdana" w:hAnsi="Verdana"/>
        </w:rPr>
      </w:pPr>
      <w:r w:rsidRPr="00F60E86">
        <w:rPr>
          <w:rFonts w:ascii="Verdana" w:hAnsi="Verdana"/>
        </w:rPr>
        <w:t>Lo anterior supone que la Entidad Estatal establezca en los estudios previos unos parámetros mínimos de idoneidad y experiencia, a partir de los cuales puedan constatar la aptitud del aspirante contratista. En ese sentido, de acuerdo con las actividades a contratar y los requisitos que la entidad contratante establezca para determinar la idoneidad del contratista según los estudios previos, esta puede requerir o no la tarjeta profesional de abogado.</w:t>
      </w:r>
    </w:p>
    <w:p w14:paraId="07D00FD4" w14:textId="77777777" w:rsidR="00C943E0" w:rsidRPr="00F60E86" w:rsidRDefault="00C943E0" w:rsidP="008E5E9E">
      <w:pPr>
        <w:pBdr>
          <w:top w:val="single" w:sz="4" w:space="1" w:color="auto"/>
          <w:left w:val="single" w:sz="4" w:space="4" w:color="auto"/>
          <w:bottom w:val="single" w:sz="4" w:space="1" w:color="auto"/>
          <w:right w:val="single" w:sz="4" w:space="4" w:color="auto"/>
        </w:pBdr>
        <w:spacing w:after="120" w:line="276" w:lineRule="auto"/>
        <w:ind w:firstLine="708"/>
        <w:jc w:val="both"/>
        <w:rPr>
          <w:rFonts w:ascii="Verdana" w:hAnsi="Verdana"/>
        </w:rPr>
      </w:pPr>
    </w:p>
    <w:p w14:paraId="682A6CA1" w14:textId="77777777" w:rsidR="008E5E9E" w:rsidRPr="00F60E86" w:rsidRDefault="008E5E9E" w:rsidP="008E5E9E">
      <w:pPr>
        <w:pBdr>
          <w:top w:val="single" w:sz="4" w:space="1" w:color="auto"/>
          <w:left w:val="single" w:sz="4" w:space="4" w:color="auto"/>
          <w:bottom w:val="single" w:sz="4" w:space="1" w:color="auto"/>
          <w:right w:val="single" w:sz="4" w:space="4" w:color="auto"/>
        </w:pBdr>
        <w:spacing w:after="120" w:line="276" w:lineRule="auto"/>
        <w:jc w:val="both"/>
        <w:rPr>
          <w:rFonts w:ascii="Verdana" w:hAnsi="Verdana"/>
        </w:rPr>
      </w:pPr>
      <w:r>
        <w:rPr>
          <w:rFonts w:ascii="Verdana" w:hAnsi="Verdana"/>
        </w:rPr>
        <w:t xml:space="preserve">iii) </w:t>
      </w:r>
      <w:r w:rsidRPr="00F60E86">
        <w:rPr>
          <w:rFonts w:ascii="Verdana" w:hAnsi="Verdana"/>
        </w:rPr>
        <w:t xml:space="preserve">Resulta </w:t>
      </w:r>
      <w:r>
        <w:rPr>
          <w:rFonts w:ascii="Verdana" w:hAnsi="Verdana"/>
        </w:rPr>
        <w:t xml:space="preserve">a </w:t>
      </w:r>
      <w:r w:rsidRPr="00F60E86">
        <w:rPr>
          <w:rFonts w:ascii="Verdana" w:hAnsi="Verdana"/>
        </w:rPr>
        <w:t>bien resaltar la autonomía de las entidades públicas para estructurar</w:t>
      </w:r>
      <w:r>
        <w:rPr>
          <w:rFonts w:ascii="Verdana" w:hAnsi="Verdana"/>
        </w:rPr>
        <w:t xml:space="preserve"> </w:t>
      </w:r>
      <w:r w:rsidRPr="00F60E86">
        <w:rPr>
          <w:rFonts w:ascii="Verdana" w:hAnsi="Verdana"/>
        </w:rPr>
        <w:t>los estudios previos, siempre y cuando observen los aspectos que estos deben contener. En todo caso, tratándose de contratos de prestación de servicios, los estudios previos entran a justificar las particularidades del objeto contractual de cara a la satisfacción de la necesidad de la Entidad Estatal en atención a la cual se requiere el respectivo contrato. Antes de iniciar un procedimiento de selección, la Entidad Estatal podrá determinar en los estudios previos los procedimientos, trámites y requisitos que deban satisfacerse, reunirse u obtenerse para llevar a cabo la selección del respectivo contratista y la celebración del contrato.</w:t>
      </w:r>
      <w:r>
        <w:rPr>
          <w:rFonts w:ascii="Verdana" w:hAnsi="Verdana"/>
        </w:rPr>
        <w:t xml:space="preserve"> Por tanto, si el resultado del estudio previo indica que para la celebración del contrato de prestación de servicios, la persona requiere presentar la tarjeta profesional de abogado así lo exigirá la entidad contratante, de lo contrario podrá establecer los requisitos necesarios para la celebración del contrato después de realizar el estudio de la necesidad a satisfacer con el objeto contractual, y con la finalidad de verificar la idoneidad y experiencia del futuro contratista.</w:t>
      </w:r>
    </w:p>
    <w:p w14:paraId="5441E3E1" w14:textId="77777777" w:rsidR="00AD7191" w:rsidRPr="008E5E9E" w:rsidRDefault="00AD7191" w:rsidP="00AD7191">
      <w:pPr>
        <w:spacing w:after="0"/>
        <w:jc w:val="both"/>
        <w:rPr>
          <w:rFonts w:ascii="Verdana" w:hAnsi="Verdana"/>
        </w:rPr>
      </w:pPr>
    </w:p>
    <w:p w14:paraId="7ED00979" w14:textId="77777777" w:rsidR="00AD7191" w:rsidRPr="00FD28DB" w:rsidRDefault="00AD7191" w:rsidP="00AD7191">
      <w:pPr>
        <w:spacing w:after="120" w:line="240" w:lineRule="auto"/>
        <w:jc w:val="both"/>
        <w:rPr>
          <w:rFonts w:ascii="Verdana" w:hAnsi="Verdana"/>
          <w:b/>
          <w:bCs/>
          <w:lang w:val="es-ES"/>
        </w:rPr>
      </w:pPr>
      <w:r w:rsidRPr="00FD28DB">
        <w:rPr>
          <w:rFonts w:ascii="Verdana" w:hAnsi="Verdana"/>
          <w:b/>
          <w:bCs/>
          <w:lang w:val="es-ES"/>
        </w:rPr>
        <w:t xml:space="preserve">3. Razones de la respuesta: </w:t>
      </w:r>
    </w:p>
    <w:p w14:paraId="0E0865E4" w14:textId="77777777" w:rsidR="00AD7191" w:rsidRPr="00FD28DB" w:rsidRDefault="00AD7191" w:rsidP="00AD7191">
      <w:pPr>
        <w:spacing w:after="120" w:line="240" w:lineRule="auto"/>
        <w:jc w:val="both"/>
        <w:rPr>
          <w:rFonts w:ascii="Verdana" w:hAnsi="Verdana"/>
          <w:b/>
          <w:bCs/>
          <w:lang w:val="es-ES"/>
        </w:rPr>
      </w:pPr>
    </w:p>
    <w:p w14:paraId="733983E9" w14:textId="77777777" w:rsidR="00AD7191" w:rsidRPr="00FD28DB" w:rsidRDefault="00AD7191" w:rsidP="00AD7191">
      <w:pPr>
        <w:spacing w:after="120" w:line="240" w:lineRule="auto"/>
        <w:jc w:val="both"/>
        <w:rPr>
          <w:rFonts w:ascii="Verdana" w:hAnsi="Verdana"/>
          <w:lang w:val="es-ES"/>
        </w:rPr>
      </w:pPr>
      <w:r w:rsidRPr="00FD28DB">
        <w:rPr>
          <w:rFonts w:ascii="Verdana" w:hAnsi="Verdana"/>
          <w:lang w:val="es-ES"/>
        </w:rPr>
        <w:t>Lo anterior se sustenta en las siguientes consideraciones:</w:t>
      </w:r>
    </w:p>
    <w:p w14:paraId="008688AB" w14:textId="77777777" w:rsidR="00AD7191" w:rsidRDefault="00AD7191" w:rsidP="00AD7191">
      <w:pPr>
        <w:spacing w:after="0" w:line="240" w:lineRule="auto"/>
        <w:ind w:right="709"/>
        <w:jc w:val="both"/>
        <w:rPr>
          <w:rFonts w:ascii="Verdana" w:hAnsi="Verdana"/>
        </w:rPr>
      </w:pPr>
    </w:p>
    <w:p w14:paraId="310E1708" w14:textId="77777777" w:rsidR="009D2AD6" w:rsidRPr="005201A1" w:rsidRDefault="009D2AD6" w:rsidP="009D2AD6">
      <w:pPr>
        <w:spacing w:after="120" w:line="276" w:lineRule="auto"/>
        <w:ind w:firstLine="709"/>
        <w:jc w:val="both"/>
        <w:rPr>
          <w:rFonts w:ascii="Verdana" w:eastAsia="Calibri" w:hAnsi="Verdana" w:cs="Arial"/>
        </w:rPr>
      </w:pPr>
      <w:r w:rsidRPr="005201A1">
        <w:rPr>
          <w:rFonts w:ascii="Verdana" w:eastAsia="Calibri" w:hAnsi="Verdana" w:cs="Arial"/>
        </w:rPr>
        <w:t>El contrato de prestación de servicios es uno de los tipos contractuales consagrados en el Estatuto General de Contratación de la Administración Pública -EGCP, que pueden celebrar las entidades estatales. Se trata de un contrato típico, ya que se encuentra definido en la ley. Concretamente, el artículo 32, numeral 3º, de la Ley 80 de 1993</w:t>
      </w:r>
      <w:r w:rsidRPr="005201A1">
        <w:rPr>
          <w:rStyle w:val="Refdenotaalpie"/>
          <w:rFonts w:ascii="Verdana" w:eastAsia="Calibri" w:hAnsi="Verdana" w:cs="Arial"/>
        </w:rPr>
        <w:footnoteReference w:id="2"/>
      </w:r>
      <w:r w:rsidRPr="005201A1">
        <w:rPr>
          <w:rFonts w:ascii="Verdana" w:eastAsia="Calibri" w:hAnsi="Verdana" w:cs="Arial"/>
        </w:rPr>
        <w:t>, establece:</w:t>
      </w:r>
    </w:p>
    <w:p w14:paraId="0496516C" w14:textId="77777777" w:rsidR="009D2AD6" w:rsidRPr="00F551BB" w:rsidRDefault="009D2AD6" w:rsidP="009D2AD6">
      <w:pPr>
        <w:spacing w:after="0" w:line="276" w:lineRule="auto"/>
        <w:jc w:val="both"/>
        <w:rPr>
          <w:rFonts w:ascii="Verdana" w:eastAsia="Calibri" w:hAnsi="Verdana" w:cs="Arial"/>
          <w:sz w:val="20"/>
          <w:szCs w:val="20"/>
        </w:rPr>
      </w:pPr>
    </w:p>
    <w:p w14:paraId="15BE429A"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F0DC16C" w14:textId="77777777" w:rsidR="009D2AD6" w:rsidRPr="00124F3C" w:rsidRDefault="009D2AD6" w:rsidP="009D2AD6">
      <w:pPr>
        <w:spacing w:after="0" w:line="276" w:lineRule="auto"/>
        <w:ind w:left="709" w:right="709"/>
        <w:jc w:val="both"/>
        <w:rPr>
          <w:rFonts w:ascii="Verdana" w:eastAsia="Calibri" w:hAnsi="Verdana" w:cs="Arial"/>
          <w:sz w:val="20"/>
          <w:szCs w:val="20"/>
        </w:rPr>
      </w:pPr>
    </w:p>
    <w:p w14:paraId="0DC21DE9"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En ningún caso estos contratos generan relación laboral ni prestaciones sociales y se celebrarán por el término estrictamente indispensable.</w:t>
      </w:r>
    </w:p>
    <w:p w14:paraId="6B0226AB" w14:textId="77777777" w:rsidR="009D2AD6" w:rsidRPr="005201A1" w:rsidRDefault="009D2AD6" w:rsidP="009D2AD6">
      <w:pPr>
        <w:spacing w:after="0" w:line="276" w:lineRule="auto"/>
        <w:ind w:left="709" w:right="709"/>
        <w:jc w:val="both"/>
        <w:rPr>
          <w:rFonts w:ascii="Verdana" w:eastAsia="Calibri" w:hAnsi="Verdana" w:cs="Arial"/>
          <w:sz w:val="21"/>
          <w:szCs w:val="21"/>
        </w:rPr>
      </w:pPr>
    </w:p>
    <w:p w14:paraId="4C9262B6" w14:textId="77777777" w:rsidR="009D2AD6" w:rsidRPr="00724976" w:rsidRDefault="009D2AD6" w:rsidP="00124F3C">
      <w:pPr>
        <w:spacing w:after="120" w:line="276" w:lineRule="auto"/>
        <w:ind w:firstLine="709"/>
        <w:jc w:val="both"/>
        <w:rPr>
          <w:rFonts w:ascii="Verdana" w:eastAsia="Calibri" w:hAnsi="Verdana" w:cs="Arial"/>
        </w:rPr>
      </w:pPr>
      <w:r w:rsidRPr="00724976">
        <w:rPr>
          <w:rFonts w:ascii="Verdana" w:eastAsia="Calibri" w:hAnsi="Verdana" w:cs="Arial"/>
        </w:rPr>
        <w:t>De otro lado, la celebración de dicho contrato se debe efectuar a través de la modalidad de la contratación directa. Así lo prevé el artículo 2, numeral 4º, literal h), de la Ley 1150 de 2007</w:t>
      </w:r>
      <w:r w:rsidRPr="00724976">
        <w:rPr>
          <w:rStyle w:val="Refdenotaalpie"/>
          <w:rFonts w:ascii="Verdana" w:eastAsia="Calibri" w:hAnsi="Verdana" w:cs="Arial"/>
        </w:rPr>
        <w:footnoteReference w:id="3"/>
      </w:r>
      <w:r w:rsidRPr="00724976">
        <w:rPr>
          <w:rFonts w:ascii="Verdana" w:eastAsia="Calibri" w:hAnsi="Verdana" w:cs="Arial"/>
        </w:rPr>
        <w:t>, que dispone:</w:t>
      </w:r>
    </w:p>
    <w:p w14:paraId="26E1ABDF" w14:textId="77777777" w:rsidR="009D2AD6" w:rsidRPr="005201A1" w:rsidRDefault="009D2AD6" w:rsidP="009D2AD6">
      <w:pPr>
        <w:spacing w:after="0" w:line="276" w:lineRule="auto"/>
        <w:ind w:left="709" w:right="709"/>
        <w:jc w:val="both"/>
        <w:rPr>
          <w:rFonts w:ascii="Verdana" w:eastAsia="Calibri" w:hAnsi="Verdana" w:cs="Arial"/>
          <w:sz w:val="21"/>
          <w:szCs w:val="21"/>
        </w:rPr>
      </w:pPr>
      <w:r w:rsidRPr="005201A1">
        <w:rPr>
          <w:rFonts w:ascii="Verdana" w:eastAsia="Calibri" w:hAnsi="Verdana" w:cs="Arial"/>
          <w:sz w:val="21"/>
          <w:szCs w:val="21"/>
        </w:rPr>
        <w:t>[…]</w:t>
      </w:r>
    </w:p>
    <w:p w14:paraId="3A8B55FD"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h) Para la prestación de servicios profesionales y de apoyo a la gestión, o para la ejecución de trabajos artísticos que sólo puedan encomendarse a determinadas personas naturales;</w:t>
      </w:r>
    </w:p>
    <w:p w14:paraId="0E6EABCC" w14:textId="77777777" w:rsidR="009D2AD6" w:rsidRPr="00124F3C" w:rsidRDefault="009D2AD6" w:rsidP="009D2AD6">
      <w:pPr>
        <w:spacing w:after="0" w:line="276" w:lineRule="auto"/>
        <w:ind w:left="709" w:right="709"/>
        <w:jc w:val="both"/>
        <w:rPr>
          <w:rFonts w:ascii="Verdana" w:eastAsia="Calibri" w:hAnsi="Verdana" w:cs="Arial"/>
          <w:sz w:val="20"/>
          <w:szCs w:val="20"/>
        </w:rPr>
      </w:pPr>
    </w:p>
    <w:p w14:paraId="46C15F44"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68AF7166" w14:textId="77777777" w:rsidR="00124F3C" w:rsidRPr="005201A1" w:rsidRDefault="00124F3C" w:rsidP="009D2AD6">
      <w:pPr>
        <w:spacing w:after="0" w:line="276" w:lineRule="auto"/>
        <w:ind w:left="709" w:right="709"/>
        <w:jc w:val="both"/>
        <w:rPr>
          <w:rFonts w:ascii="Verdana" w:eastAsia="Calibri" w:hAnsi="Verdana" w:cs="Arial"/>
          <w:sz w:val="21"/>
          <w:szCs w:val="21"/>
        </w:rPr>
      </w:pPr>
    </w:p>
    <w:p w14:paraId="0370895A"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i) Solo puede celebrarse para realizar “actividades relacionadas con la administración o funcionamiento de la entidad”, es decir, que hagan parte de su giro ordinario o quehacer cotidiano.</w:t>
      </w:r>
    </w:p>
    <w:p w14:paraId="0F51E66A"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ii)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4012422"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subordinación y dependencia, que es uno de los elementos constitutivos del vínculo laboral. Por ello el artículo 32, numeral 3º, de la Ley 80 de 1993 </w:t>
      </w:r>
      <w:r w:rsidRPr="00124F3C">
        <w:rPr>
          <w:rStyle w:val="Refdenotaalpie"/>
          <w:rFonts w:ascii="Verdana" w:eastAsia="Calibri" w:hAnsi="Verdana" w:cs="Arial"/>
          <w:sz w:val="20"/>
          <w:szCs w:val="20"/>
        </w:rPr>
        <w:footnoteReference w:id="4"/>
      </w:r>
      <w:r w:rsidRPr="00124F3C">
        <w:rPr>
          <w:rFonts w:ascii="Verdana" w:eastAsia="Calibri" w:hAnsi="Verdana" w:cs="Arial"/>
          <w:sz w:val="20"/>
          <w:szCs w:val="20"/>
        </w:rPr>
        <w:t>establece que “En ningún caso estos contratos generan relación laboral ni prestaciones sociales”, inciso que más que un enunciado que aluda al “ser” se refiere al “deber ser”, pues debe interpretarse en el sentido de que los 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p>
    <w:p w14:paraId="4AD40BF6" w14:textId="77777777" w:rsidR="009D2AD6" w:rsidRPr="00124F3C" w:rsidRDefault="009D2AD6" w:rsidP="009D2AD6">
      <w:pPr>
        <w:spacing w:after="0" w:line="276" w:lineRule="auto"/>
        <w:ind w:left="709" w:right="709"/>
        <w:jc w:val="both"/>
        <w:rPr>
          <w:rFonts w:ascii="Verdana" w:eastAsia="Calibri" w:hAnsi="Verdana" w:cs="Arial"/>
          <w:sz w:val="20"/>
          <w:szCs w:val="20"/>
        </w:rPr>
      </w:pPr>
      <w:proofErr w:type="spellStart"/>
      <w:r w:rsidRPr="00124F3C">
        <w:rPr>
          <w:rFonts w:ascii="Verdana" w:eastAsia="Calibri" w:hAnsi="Verdana" w:cs="Arial"/>
          <w:sz w:val="20"/>
          <w:szCs w:val="20"/>
        </w:rPr>
        <w:t>iv</w:t>
      </w:r>
      <w:proofErr w:type="spellEnd"/>
      <w:r w:rsidRPr="00124F3C">
        <w:rPr>
          <w:rFonts w:ascii="Verdana" w:eastAsia="Calibri" w:hAnsi="Verdana" w:cs="Arial"/>
          <w:sz w:val="20"/>
          <w:szCs w:val="20"/>
        </w:rPr>
        <w:t>) Deben ser temporales. Así lo señaló la Corte Constitucional en la misma providencia a la que se aludió previamente, expresando que:</w:t>
      </w:r>
    </w:p>
    <w:p w14:paraId="43DBAD84" w14:textId="77777777" w:rsidR="009D2AD6" w:rsidRPr="00124F3C" w:rsidRDefault="009D2AD6" w:rsidP="009D2AD6">
      <w:pPr>
        <w:spacing w:after="0" w:line="276" w:lineRule="auto"/>
        <w:ind w:left="709" w:right="709"/>
        <w:jc w:val="both"/>
        <w:rPr>
          <w:rFonts w:ascii="Verdana" w:eastAsia="Calibri" w:hAnsi="Verdana" w:cs="Arial"/>
          <w:sz w:val="20"/>
          <w:szCs w:val="20"/>
        </w:rPr>
      </w:pPr>
    </w:p>
    <w:p w14:paraId="5D9C6FED" w14:textId="77777777" w:rsidR="009D2AD6" w:rsidRPr="00124F3C" w:rsidRDefault="009D2AD6" w:rsidP="009D2AD6">
      <w:pPr>
        <w:spacing w:after="0" w:line="276" w:lineRule="auto"/>
        <w:ind w:left="709" w:right="709"/>
        <w:jc w:val="both"/>
        <w:rPr>
          <w:rFonts w:ascii="Verdana" w:eastAsia="Calibri" w:hAnsi="Verdana" w:cs="Arial"/>
          <w:sz w:val="20"/>
          <w:szCs w:val="20"/>
        </w:rPr>
      </w:pPr>
      <w:r w:rsidRPr="00124F3C">
        <w:rPr>
          <w:rFonts w:ascii="Verdana" w:eastAsia="Calibri" w:hAnsi="Verdana" w:cs="Arial"/>
          <w:sz w:val="20"/>
          <w:szCs w:val="20"/>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w:t>
      </w:r>
      <w:r w:rsidRPr="00124F3C">
        <w:rPr>
          <w:rStyle w:val="Refdenotaalpie"/>
          <w:rFonts w:ascii="Verdana" w:eastAsia="Calibri" w:hAnsi="Verdana" w:cs="Arial"/>
          <w:sz w:val="20"/>
          <w:szCs w:val="20"/>
        </w:rPr>
        <w:footnoteReference w:id="5"/>
      </w:r>
      <w:r w:rsidRPr="00124F3C">
        <w:rPr>
          <w:rFonts w:ascii="Verdana" w:eastAsia="Calibri" w:hAnsi="Verdana" w:cs="Arial"/>
          <w:sz w:val="20"/>
          <w:szCs w:val="20"/>
        </w:rPr>
        <w:t>, según el cual se requiere que el empleo</w:t>
      </w:r>
      <w:r w:rsidRPr="005201A1">
        <w:rPr>
          <w:rFonts w:ascii="Verdana" w:eastAsia="Calibri" w:hAnsi="Verdana" w:cs="Arial"/>
          <w:sz w:val="21"/>
          <w:szCs w:val="21"/>
        </w:rPr>
        <w:t xml:space="preserve"> público quede contemplado en </w:t>
      </w:r>
      <w:r w:rsidRPr="00124F3C">
        <w:rPr>
          <w:rFonts w:ascii="Verdana" w:eastAsia="Calibri" w:hAnsi="Verdana" w:cs="Arial"/>
          <w:sz w:val="20"/>
          <w:szCs w:val="20"/>
        </w:rPr>
        <w:t>la respectiva planta y previstos sus emolumentos en el presupuesto correspondiente .</w:t>
      </w:r>
    </w:p>
    <w:p w14:paraId="7AEBDB1C" w14:textId="77777777" w:rsidR="009D2AD6" w:rsidRPr="00124F3C" w:rsidRDefault="009D2AD6" w:rsidP="00124F3C">
      <w:pPr>
        <w:spacing w:after="0" w:line="240" w:lineRule="auto"/>
        <w:ind w:left="709" w:right="709"/>
        <w:jc w:val="both"/>
        <w:rPr>
          <w:rFonts w:ascii="Verdana" w:eastAsia="Calibri" w:hAnsi="Verdana" w:cs="Arial"/>
          <w:sz w:val="20"/>
          <w:szCs w:val="20"/>
        </w:rPr>
      </w:pPr>
      <w:r w:rsidRPr="00124F3C">
        <w:rPr>
          <w:rFonts w:ascii="Verdana" w:eastAsia="Calibri" w:hAnsi="Verdana" w:cs="Arial"/>
          <w:sz w:val="20"/>
          <w:szCs w:val="20"/>
        </w:rPr>
        <w:t>v) Los contratos de prestación de servicios constituyen un género que incluye, como especies, los contratos de prestación de servicios profesionales, los contratos de prestación de servicios de apoyo a la gestión y los contratos de prestación de servicios artísticos que solo pueden encomendarse a determinadas personas naturales. La diferencia entre el contrato de prestación de servicios profesionales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4541CC2A" w14:textId="77777777" w:rsidR="009D2AD6" w:rsidRPr="00124F3C" w:rsidRDefault="009D2AD6" w:rsidP="009D2AD6">
      <w:pPr>
        <w:spacing w:after="0" w:line="276" w:lineRule="auto"/>
        <w:jc w:val="both"/>
        <w:rPr>
          <w:rFonts w:ascii="Verdana" w:eastAsia="Calibri" w:hAnsi="Verdana" w:cs="Arial"/>
          <w:sz w:val="20"/>
          <w:szCs w:val="20"/>
        </w:rPr>
      </w:pPr>
    </w:p>
    <w:p w14:paraId="08423F01" w14:textId="77777777" w:rsidR="009D2AD6" w:rsidRPr="00124F3C" w:rsidRDefault="009D2AD6" w:rsidP="00177106">
      <w:pPr>
        <w:spacing w:after="0" w:line="240" w:lineRule="auto"/>
        <w:ind w:left="709" w:right="709"/>
        <w:jc w:val="both"/>
        <w:rPr>
          <w:rFonts w:ascii="Verdana" w:eastAsia="Calibri" w:hAnsi="Verdana" w:cs="Arial"/>
          <w:sz w:val="20"/>
          <w:szCs w:val="20"/>
        </w:rPr>
      </w:pPr>
      <w:r w:rsidRPr="00124F3C">
        <w:rPr>
          <w:rFonts w:ascii="Verdana" w:eastAsia="Calibri" w:hAnsi="Verdana" w:cs="Arial"/>
          <w:sz w:val="20"/>
          <w:szCs w:val="20"/>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 </w:t>
      </w:r>
    </w:p>
    <w:p w14:paraId="28206D74" w14:textId="77777777" w:rsidR="00177106" w:rsidRPr="00124F3C" w:rsidRDefault="00177106" w:rsidP="00177106">
      <w:pPr>
        <w:spacing w:after="0" w:line="240" w:lineRule="auto"/>
        <w:ind w:left="709" w:right="709"/>
        <w:jc w:val="both"/>
        <w:rPr>
          <w:rFonts w:ascii="Verdana" w:eastAsia="Calibri" w:hAnsi="Verdana" w:cs="Arial"/>
          <w:sz w:val="20"/>
          <w:szCs w:val="20"/>
        </w:rPr>
      </w:pPr>
    </w:p>
    <w:p w14:paraId="7077B15F" w14:textId="77777777" w:rsidR="009D2AD6" w:rsidRPr="00124F3C" w:rsidRDefault="009D2AD6" w:rsidP="00177106">
      <w:pPr>
        <w:spacing w:after="0" w:line="240" w:lineRule="auto"/>
        <w:ind w:left="709" w:right="709"/>
        <w:jc w:val="both"/>
        <w:rPr>
          <w:rFonts w:ascii="Verdana" w:eastAsia="Calibri" w:hAnsi="Verdana" w:cs="Arial"/>
          <w:sz w:val="20"/>
          <w:szCs w:val="20"/>
        </w:rPr>
      </w:pPr>
      <w:r w:rsidRPr="00124F3C">
        <w:rPr>
          <w:rFonts w:ascii="Verdana" w:eastAsia="Calibri" w:hAnsi="Verdana" w:cs="Arial"/>
          <w:sz w:val="20"/>
          <w:szCs w:val="20"/>
        </w:rPr>
        <w:t>Dentro de su objeto contractual pueden tener lugar actividades operativas, logísticas o asistenciales, siempre que satisfaga los requisitos antes mencionados y sea acorde con las necesidades de la Administración y el principio de planeación.</w:t>
      </w:r>
    </w:p>
    <w:p w14:paraId="017589E0" w14:textId="5D7B1225" w:rsidR="00662A98" w:rsidRPr="00E255FE" w:rsidRDefault="00662A98" w:rsidP="00E255FE">
      <w:pPr>
        <w:widowControl w:val="0"/>
        <w:tabs>
          <w:tab w:val="left" w:pos="1088"/>
        </w:tabs>
        <w:autoSpaceDE w:val="0"/>
        <w:autoSpaceDN w:val="0"/>
        <w:spacing w:after="0" w:line="240" w:lineRule="auto"/>
        <w:ind w:right="709"/>
        <w:jc w:val="both"/>
        <w:rPr>
          <w:rFonts w:ascii="Verdana" w:eastAsia="Calibri" w:hAnsi="Verdana" w:cs="Arial"/>
        </w:rPr>
      </w:pPr>
    </w:p>
    <w:p w14:paraId="4E5AFF06" w14:textId="1536FCE4" w:rsidR="00BA4C8F" w:rsidRPr="00662A98" w:rsidRDefault="00741430" w:rsidP="006535CB">
      <w:pPr>
        <w:pStyle w:val="Prrafodelista"/>
        <w:widowControl w:val="0"/>
        <w:tabs>
          <w:tab w:val="left" w:pos="1088"/>
        </w:tabs>
        <w:autoSpaceDE w:val="0"/>
        <w:autoSpaceDN w:val="0"/>
        <w:spacing w:after="120" w:line="276" w:lineRule="auto"/>
        <w:ind w:left="0" w:firstLine="1089"/>
        <w:jc w:val="both"/>
        <w:rPr>
          <w:rFonts w:ascii="Verdana" w:eastAsia="Calibri" w:hAnsi="Verdana" w:cs="Arial"/>
        </w:rPr>
      </w:pPr>
      <w:r w:rsidRPr="00662A98">
        <w:rPr>
          <w:rFonts w:ascii="Verdana" w:eastAsia="Calibri" w:hAnsi="Verdana" w:cs="Arial"/>
        </w:rPr>
        <w:t>Por otro lado, l</w:t>
      </w:r>
      <w:r w:rsidR="00881509" w:rsidRPr="00662A98">
        <w:rPr>
          <w:rFonts w:ascii="Verdana" w:eastAsia="Calibri" w:hAnsi="Verdana" w:cs="Arial"/>
        </w:rPr>
        <w:t>a planeación contractual es una herramienta de gerencia pública, que exige estructurar el proceso contractual</w:t>
      </w:r>
      <w:r w:rsidR="00173E94" w:rsidRPr="00662A98">
        <w:rPr>
          <w:rFonts w:ascii="Verdana" w:eastAsia="Calibri" w:hAnsi="Verdana" w:cs="Arial"/>
        </w:rPr>
        <w:t xml:space="preserve"> dedicando tiempo y esfuerzos para elaborar estudios previos, con el fin de determinar la necesidad que pretende satisfacer la Entidad Estatal y cuál es la mejor manera de hacerlo, consultando el tipo de bienes y servicios que ofrece el mercado</w:t>
      </w:r>
      <w:r w:rsidR="009C3565" w:rsidRPr="00662A98">
        <w:rPr>
          <w:rFonts w:ascii="Verdana" w:eastAsia="Calibri" w:hAnsi="Verdana" w:cs="Arial"/>
        </w:rPr>
        <w:t xml:space="preserve"> y sus características, especificaciones, precios, costos, riesgos, garantía,</w:t>
      </w:r>
      <w:r w:rsidR="003C6D61" w:rsidRPr="00662A98">
        <w:rPr>
          <w:rFonts w:ascii="Verdana" w:eastAsia="Calibri" w:hAnsi="Verdana" w:cs="Arial"/>
        </w:rPr>
        <w:t xml:space="preserve"> disponibilidad, oferentes, etc. Lo anterior</w:t>
      </w:r>
      <w:r w:rsidR="005A3540" w:rsidRPr="00662A98">
        <w:rPr>
          <w:rFonts w:ascii="Verdana" w:eastAsia="Calibri" w:hAnsi="Verdana" w:cs="Arial"/>
        </w:rPr>
        <w:t xml:space="preserve"> con la finalidad de realizar la escogencia diligente de la mejor </w:t>
      </w:r>
      <w:r w:rsidR="00793C62" w:rsidRPr="00662A98">
        <w:rPr>
          <w:rFonts w:ascii="Verdana" w:eastAsia="Calibri" w:hAnsi="Verdana" w:cs="Arial"/>
        </w:rPr>
        <w:t>oferta, para beneficiar los intereses y fines públicos inmersos</w:t>
      </w:r>
      <w:r w:rsidR="00071E94" w:rsidRPr="00662A98">
        <w:rPr>
          <w:rFonts w:ascii="Verdana" w:eastAsia="Calibri" w:hAnsi="Verdana" w:cs="Arial"/>
        </w:rPr>
        <w:t xml:space="preserve"> en la contratación</w:t>
      </w:r>
      <w:r w:rsidR="00BA4C8F" w:rsidRPr="00662A98">
        <w:rPr>
          <w:rFonts w:ascii="Verdana" w:eastAsia="Calibri" w:hAnsi="Verdana" w:cs="Arial"/>
        </w:rPr>
        <w:t xml:space="preserve"> de las entidades públicas. </w:t>
      </w:r>
    </w:p>
    <w:p w14:paraId="3CDDE42D" w14:textId="16783F1A" w:rsidR="00AD7191" w:rsidRDefault="00AD7191" w:rsidP="00BA4C8F">
      <w:pPr>
        <w:spacing w:after="120" w:line="276" w:lineRule="auto"/>
        <w:ind w:firstLine="709"/>
        <w:jc w:val="both"/>
        <w:rPr>
          <w:rFonts w:ascii="Verdana" w:eastAsia="Calibri" w:hAnsi="Verdana" w:cs="Arial"/>
        </w:rPr>
      </w:pPr>
      <w:r>
        <w:rPr>
          <w:rFonts w:ascii="Verdana" w:eastAsia="Calibri" w:hAnsi="Verdana" w:cs="Arial"/>
        </w:rPr>
        <w:t>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cumplas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w:t>
      </w:r>
    </w:p>
    <w:p w14:paraId="278757CF" w14:textId="77777777" w:rsidR="00AD7191" w:rsidRDefault="00AD7191" w:rsidP="00AD7191">
      <w:pPr>
        <w:spacing w:after="120" w:line="276" w:lineRule="auto"/>
        <w:ind w:firstLine="709"/>
        <w:jc w:val="both"/>
        <w:rPr>
          <w:rFonts w:ascii="Verdana" w:eastAsia="Calibri" w:hAnsi="Verdana" w:cs="Arial"/>
        </w:rPr>
      </w:pPr>
    </w:p>
    <w:p w14:paraId="0E40624A" w14:textId="77777777" w:rsidR="00AD7191" w:rsidRPr="00A33A8A" w:rsidRDefault="00AD7191" w:rsidP="00AD7191">
      <w:pPr>
        <w:pStyle w:val="Prrafodelista"/>
        <w:spacing w:after="0" w:line="240" w:lineRule="auto"/>
        <w:ind w:left="709" w:right="709"/>
        <w:jc w:val="both"/>
        <w:rPr>
          <w:rFonts w:ascii="Verdana" w:eastAsia="Times New Roman" w:hAnsi="Verdana" w:cs="Arial"/>
          <w:color w:val="000000"/>
          <w:sz w:val="20"/>
          <w:szCs w:val="20"/>
          <w:lang w:val="es-ES_tradnl" w:eastAsia="es-ES_tradnl"/>
        </w:rPr>
      </w:pPr>
      <w:r w:rsidRPr="00F62967">
        <w:rPr>
          <w:rFonts w:ascii="Verdana" w:eastAsia="Times New Roman" w:hAnsi="Verdana" w:cs="Arial"/>
          <w:color w:val="000000"/>
          <w:sz w:val="21"/>
          <w:szCs w:val="21"/>
          <w:lang w:val="es-ES_tradnl" w:eastAsia="es-ES_tradnl"/>
        </w:rPr>
        <w:t>“</w:t>
      </w:r>
      <w:r w:rsidRPr="00A33A8A">
        <w:rPr>
          <w:rFonts w:ascii="Verdana" w:eastAsia="Times New Roman" w:hAnsi="Verdana" w:cs="Arial"/>
          <w:color w:val="000000"/>
          <w:sz w:val="20"/>
          <w:szCs w:val="20"/>
          <w:lang w:val="es-ES_tradnl" w:eastAsia="es-ES_tradnl"/>
        </w:rPr>
        <w:t>7. La conveniencia o inconveniencia del objeto a contratar y las autorizaciones y aprobaciones para ello, se analizarán o impartirán con antelación al inicio del proceso de selección del contratista o al de la firma del contrato, según el caso.</w:t>
      </w:r>
    </w:p>
    <w:p w14:paraId="57076C4D" w14:textId="77777777" w:rsidR="00AD7191" w:rsidRPr="00A33A8A" w:rsidRDefault="00AD7191" w:rsidP="00AD7191">
      <w:pPr>
        <w:pStyle w:val="Prrafodelista"/>
        <w:spacing w:before="120" w:after="0" w:line="240" w:lineRule="auto"/>
        <w:ind w:left="709" w:right="709"/>
        <w:jc w:val="both"/>
        <w:rPr>
          <w:rFonts w:ascii="Verdana" w:eastAsia="Times New Roman" w:hAnsi="Verdana" w:cs="Arial"/>
          <w:color w:val="000000"/>
          <w:sz w:val="20"/>
          <w:szCs w:val="20"/>
          <w:lang w:val="es-ES_tradnl" w:eastAsia="es-ES_tradnl"/>
        </w:rPr>
      </w:pPr>
      <w:r w:rsidRPr="00A33A8A">
        <w:rPr>
          <w:rFonts w:ascii="Verdana" w:eastAsia="Times New Roman" w:hAnsi="Verdana" w:cs="Arial"/>
          <w:color w:val="000000"/>
          <w:sz w:val="20"/>
          <w:szCs w:val="20"/>
          <w:lang w:val="es-ES_tradnl" w:eastAsia="es-ES_tradnl"/>
        </w:rPr>
        <w:t>[…]</w:t>
      </w:r>
    </w:p>
    <w:p w14:paraId="52D2A162" w14:textId="77777777" w:rsidR="00AD7191" w:rsidRPr="00A33A8A" w:rsidRDefault="00AD7191" w:rsidP="00AD7191">
      <w:pPr>
        <w:pStyle w:val="Prrafodelista"/>
        <w:spacing w:before="120" w:after="0" w:line="240" w:lineRule="auto"/>
        <w:ind w:left="709" w:right="709"/>
        <w:jc w:val="both"/>
        <w:rPr>
          <w:rFonts w:ascii="Verdana" w:eastAsia="Times New Roman" w:hAnsi="Verdana" w:cs="Arial"/>
          <w:color w:val="000000"/>
          <w:sz w:val="20"/>
          <w:szCs w:val="20"/>
          <w:lang w:val="es-ES_tradnl" w:eastAsia="es-ES_tradnl"/>
        </w:rPr>
      </w:pPr>
      <w:r w:rsidRPr="00A33A8A">
        <w:rPr>
          <w:rFonts w:ascii="Verdana" w:eastAsia="Times New Roman" w:hAnsi="Verdana" w:cs="Arial"/>
          <w:color w:val="000000"/>
          <w:sz w:val="20"/>
          <w:szCs w:val="20"/>
          <w:lang w:val="es-ES_tradnl" w:eastAsia="es-ES_tradnl"/>
        </w:rPr>
        <w:t xml:space="preserve">12. Previo a la apertura de un proceso de selección, </w:t>
      </w:r>
      <w:r w:rsidRPr="00A33A8A">
        <w:rPr>
          <w:rFonts w:ascii="Verdana" w:eastAsia="Times New Roman" w:hAnsi="Verdana" w:cs="Arial"/>
          <w:i/>
          <w:iCs/>
          <w:color w:val="000000"/>
          <w:sz w:val="20"/>
          <w:szCs w:val="20"/>
          <w:u w:val="single"/>
          <w:lang w:val="es-ES_tradnl" w:eastAsia="es-ES_tradnl"/>
        </w:rPr>
        <w:t>o a la firma del contrato en el caso en que la modalidad de selección sea contratación directa,</w:t>
      </w:r>
      <w:r w:rsidRPr="00A33A8A">
        <w:rPr>
          <w:rFonts w:ascii="Verdana" w:eastAsia="Times New Roman" w:hAnsi="Verdana" w:cs="Arial"/>
          <w:color w:val="000000"/>
          <w:sz w:val="20"/>
          <w:szCs w:val="20"/>
          <w:lang w:val="es-ES_tradnl" w:eastAsia="es-ES_tradnl"/>
        </w:rPr>
        <w:t xml:space="preserve"> deberán elaborarse los estudios, diseños y proyectos requeridos, y los pliegos de condiciones, según corresponda. […]” [Énfasis fuera de texto]</w:t>
      </w:r>
    </w:p>
    <w:p w14:paraId="75861D84" w14:textId="77777777" w:rsidR="00AD7191" w:rsidRPr="00F62967" w:rsidRDefault="00AD7191" w:rsidP="00AD7191">
      <w:pPr>
        <w:spacing w:after="0" w:line="276" w:lineRule="auto"/>
        <w:ind w:firstLine="709"/>
        <w:jc w:val="both"/>
        <w:rPr>
          <w:rFonts w:ascii="Verdana" w:eastAsia="Times New Roman" w:hAnsi="Verdana" w:cs="Arial"/>
          <w:color w:val="000000"/>
          <w:szCs w:val="24"/>
          <w:lang w:val="es-ES_tradnl" w:eastAsia="es-ES_tradnl"/>
        </w:rPr>
      </w:pPr>
    </w:p>
    <w:p w14:paraId="352746E4" w14:textId="77777777" w:rsidR="00AD7191" w:rsidRPr="004237E4" w:rsidRDefault="00AD7191" w:rsidP="00AD7191">
      <w:pPr>
        <w:spacing w:after="120" w:line="276" w:lineRule="auto"/>
        <w:ind w:firstLine="709"/>
        <w:jc w:val="both"/>
        <w:rPr>
          <w:rFonts w:ascii="Verdana" w:eastAsia="Times New Roman" w:hAnsi="Verdana" w:cs="Arial"/>
          <w:color w:val="000000"/>
          <w:szCs w:val="24"/>
          <w:lang w:val="es-ES_tradnl" w:eastAsia="es-ES_tradnl"/>
        </w:rPr>
      </w:pPr>
      <w:r w:rsidRPr="004237E4">
        <w:rPr>
          <w:rFonts w:ascii="Verdana" w:eastAsia="Times New Roman" w:hAnsi="Verdana" w:cs="Arial"/>
          <w:color w:val="000000"/>
          <w:szCs w:val="24"/>
          <w:lang w:val="es-ES_tradnl" w:eastAsia="es-ES_tradnl"/>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F62967">
        <w:rPr>
          <w:vertAlign w:val="superscript"/>
        </w:rPr>
        <w:footnoteReference w:id="6"/>
      </w:r>
      <w:r w:rsidRPr="004237E4">
        <w:rPr>
          <w:rFonts w:ascii="Verdana" w:eastAsia="Times New Roman" w:hAnsi="Verdana" w:cs="Arial"/>
          <w:color w:val="000000"/>
          <w:szCs w:val="24"/>
          <w:lang w:val="es-ES_tradnl" w:eastAsia="es-ES_tradnl"/>
        </w:rPr>
        <w:t>. En congruencia con el artículo 25 de la Ley 80 de 1993, el Decreto Único Reglamentario del Sector Administrativo de Planeación Nacional –Decreto 1082 de 2015–, dispone en el artículo 2.2.1.1.2.1.1 el contenido mínimo de los estudios y documentos previos:</w:t>
      </w:r>
    </w:p>
    <w:p w14:paraId="3ED76F12" w14:textId="77777777" w:rsidR="00AD7191" w:rsidRPr="00F62967" w:rsidRDefault="00AD7191" w:rsidP="00AD7191">
      <w:pPr>
        <w:spacing w:after="0" w:line="276" w:lineRule="auto"/>
        <w:jc w:val="both"/>
        <w:rPr>
          <w:rFonts w:ascii="Verdana" w:eastAsia="Times New Roman" w:hAnsi="Verdana" w:cs="Arial"/>
          <w:color w:val="000000"/>
          <w:szCs w:val="24"/>
          <w:lang w:val="es-ES_tradnl" w:eastAsia="es-ES_tradnl"/>
        </w:rPr>
      </w:pPr>
    </w:p>
    <w:p w14:paraId="69CCE200" w14:textId="77777777" w:rsidR="00AD7191" w:rsidRPr="00A33A8A" w:rsidRDefault="00AD7191" w:rsidP="00AD7191">
      <w:pPr>
        <w:pStyle w:val="Prrafodelista"/>
        <w:spacing w:after="0" w:line="240" w:lineRule="auto"/>
        <w:ind w:right="709"/>
        <w:jc w:val="both"/>
        <w:rPr>
          <w:rFonts w:ascii="Verdana" w:hAnsi="Verdana" w:cs="Arial"/>
          <w:sz w:val="20"/>
          <w:szCs w:val="20"/>
        </w:rPr>
      </w:pPr>
      <w:r w:rsidRPr="00A33A8A">
        <w:rPr>
          <w:rFonts w:ascii="Verdana" w:hAnsi="Verdana" w:cs="Arial"/>
          <w:sz w:val="20"/>
          <w:szCs w:val="20"/>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7406F962" w14:textId="77777777" w:rsidR="00AD7191" w:rsidRPr="00A33A8A" w:rsidRDefault="00AD7191" w:rsidP="00AD7191">
      <w:pPr>
        <w:pStyle w:val="Prrafodelista"/>
        <w:spacing w:after="0" w:line="240" w:lineRule="auto"/>
        <w:ind w:right="709"/>
        <w:jc w:val="both"/>
        <w:rPr>
          <w:rFonts w:ascii="Verdana" w:hAnsi="Verdana" w:cs="Arial"/>
          <w:sz w:val="20"/>
          <w:szCs w:val="20"/>
        </w:rPr>
      </w:pPr>
      <w:r w:rsidRPr="00A33A8A">
        <w:rPr>
          <w:rFonts w:ascii="Verdana" w:hAnsi="Verdana" w:cs="Arial"/>
          <w:sz w:val="20"/>
          <w:szCs w:val="20"/>
        </w:rPr>
        <w:t xml:space="preserve">La descripción de la necesidad que la Entidad Estatal pretende satisfacer con el Proceso de Contratación. </w:t>
      </w:r>
      <w:r w:rsidRPr="00A33A8A">
        <w:rPr>
          <w:rFonts w:ascii="Arial" w:hAnsi="Arial" w:cs="Arial"/>
          <w:sz w:val="20"/>
          <w:szCs w:val="20"/>
        </w:rPr>
        <w:t>​</w:t>
      </w:r>
    </w:p>
    <w:p w14:paraId="4A9A0735" w14:textId="77777777" w:rsidR="00AD7191" w:rsidRPr="00A33A8A" w:rsidRDefault="00AD7191" w:rsidP="00AD7191">
      <w:pPr>
        <w:pStyle w:val="Prrafodelista"/>
        <w:spacing w:after="0" w:line="240" w:lineRule="auto"/>
        <w:ind w:right="709"/>
        <w:jc w:val="both"/>
        <w:rPr>
          <w:rFonts w:ascii="Verdana" w:hAnsi="Verdana" w:cs="Arial"/>
          <w:sz w:val="20"/>
          <w:szCs w:val="20"/>
        </w:rPr>
      </w:pPr>
      <w:proofErr w:type="gramStart"/>
      <w:r w:rsidRPr="00A33A8A">
        <w:rPr>
          <w:rFonts w:ascii="Verdana" w:hAnsi="Verdana" w:cs="Arial"/>
          <w:sz w:val="20"/>
          <w:szCs w:val="20"/>
        </w:rPr>
        <w:t>El objeto a contratar</w:t>
      </w:r>
      <w:proofErr w:type="gramEnd"/>
      <w:r w:rsidRPr="00A33A8A">
        <w:rPr>
          <w:rFonts w:ascii="Verdana" w:hAnsi="Verdana" w:cs="Arial"/>
          <w:sz w:val="20"/>
          <w:szCs w:val="20"/>
        </w:rPr>
        <w:t xml:space="preserve">, con sus especificaciones, las autorizaciones, permisos y licencias requeridos para su ejecución, y cuando el contrato incluye diseño y construcción, los documentos técnicos para el desarrollo del proyecto. </w:t>
      </w:r>
    </w:p>
    <w:p w14:paraId="12135798" w14:textId="77777777" w:rsidR="00AD7191" w:rsidRPr="00A33A8A" w:rsidRDefault="00AD7191" w:rsidP="00AD7191">
      <w:pPr>
        <w:pStyle w:val="Prrafodelista"/>
        <w:spacing w:after="0" w:line="240" w:lineRule="auto"/>
        <w:ind w:right="709"/>
        <w:jc w:val="both"/>
        <w:rPr>
          <w:rFonts w:ascii="Verdana" w:hAnsi="Verdana" w:cs="Arial"/>
          <w:sz w:val="20"/>
          <w:szCs w:val="20"/>
        </w:rPr>
      </w:pPr>
      <w:r w:rsidRPr="00A33A8A">
        <w:rPr>
          <w:rFonts w:ascii="Verdana" w:hAnsi="Verdana" w:cs="Arial"/>
          <w:sz w:val="20"/>
          <w:szCs w:val="20"/>
        </w:rPr>
        <w:t xml:space="preserve">La modalidad de selección del contratista y su justificación, incluyendo los fundamentos jurídicos. </w:t>
      </w:r>
    </w:p>
    <w:p w14:paraId="0B1425CF" w14:textId="77777777" w:rsidR="00AD7191" w:rsidRPr="00A33A8A" w:rsidRDefault="00AD7191" w:rsidP="00AD7191">
      <w:pPr>
        <w:pStyle w:val="Prrafodelista"/>
        <w:spacing w:after="0" w:line="240" w:lineRule="auto"/>
        <w:ind w:right="709"/>
        <w:jc w:val="both"/>
        <w:rPr>
          <w:rFonts w:ascii="Verdana" w:hAnsi="Verdana" w:cs="Arial"/>
          <w:sz w:val="20"/>
          <w:szCs w:val="20"/>
        </w:rPr>
      </w:pPr>
      <w:r w:rsidRPr="00A33A8A">
        <w:rPr>
          <w:rFonts w:ascii="Verdana" w:hAnsi="Verdana" w:cs="Arial"/>
          <w:sz w:val="20"/>
          <w:szCs w:val="20"/>
        </w:rPr>
        <w:t xml:space="preserve">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Los criterios para seleccionar la oferta más favorable. El análisis de Riesgo y la forma de mitigarlo. </w:t>
      </w:r>
    </w:p>
    <w:p w14:paraId="1EFB2388" w14:textId="77777777" w:rsidR="00AD7191" w:rsidRPr="00A33A8A" w:rsidRDefault="00AD7191" w:rsidP="00AD7191">
      <w:pPr>
        <w:pStyle w:val="Prrafodelista"/>
        <w:spacing w:after="0" w:line="240" w:lineRule="auto"/>
        <w:ind w:right="709"/>
        <w:jc w:val="both"/>
        <w:rPr>
          <w:rFonts w:ascii="Verdana" w:hAnsi="Verdana" w:cs="Arial"/>
          <w:sz w:val="20"/>
          <w:szCs w:val="20"/>
        </w:rPr>
      </w:pPr>
      <w:r w:rsidRPr="00A33A8A">
        <w:rPr>
          <w:rFonts w:ascii="Verdana" w:hAnsi="Verdana" w:cs="Arial"/>
          <w:sz w:val="20"/>
          <w:szCs w:val="20"/>
        </w:rPr>
        <w:t>Las garantías que la Entidad Estatal contempla exigir en el proceso de contratación. La indicación de si el proceso de contratación está cobijado por un acuerdo comercial. El presente artículo no es aplicable a la contratación por mínima cuantía”.</w:t>
      </w:r>
    </w:p>
    <w:p w14:paraId="238EEE20" w14:textId="77777777" w:rsidR="00AD7191" w:rsidRPr="00F62967" w:rsidRDefault="00AD7191" w:rsidP="00AD7191">
      <w:pPr>
        <w:pStyle w:val="Prrafodelista"/>
        <w:spacing w:after="0" w:line="276" w:lineRule="auto"/>
        <w:jc w:val="both"/>
        <w:rPr>
          <w:rFonts w:ascii="Verdana" w:eastAsia="Times New Roman" w:hAnsi="Verdana" w:cs="Arial"/>
          <w:color w:val="000000"/>
          <w:szCs w:val="24"/>
          <w:lang w:val="es-ES_tradnl" w:eastAsia="es-ES_tradnl"/>
        </w:rPr>
      </w:pPr>
    </w:p>
    <w:p w14:paraId="3D5213AC" w14:textId="77777777" w:rsidR="00AD7191" w:rsidRPr="00A33A8A" w:rsidRDefault="00AD7191" w:rsidP="00AD7191">
      <w:pPr>
        <w:spacing w:after="0" w:line="276" w:lineRule="auto"/>
        <w:ind w:firstLine="709"/>
        <w:jc w:val="both"/>
        <w:rPr>
          <w:rFonts w:ascii="Verdana" w:eastAsia="Times New Roman" w:hAnsi="Verdana" w:cs="Arial"/>
          <w:color w:val="000000"/>
          <w:szCs w:val="24"/>
          <w:lang w:val="es-ES_tradnl" w:eastAsia="es-ES_tradnl"/>
        </w:rPr>
      </w:pPr>
      <w:r w:rsidRPr="00A33A8A">
        <w:rPr>
          <w:rFonts w:ascii="Verdana" w:eastAsia="Times New Roman" w:hAnsi="Verdana" w:cs="Arial"/>
          <w:color w:val="000000"/>
          <w:szCs w:val="24"/>
          <w:lang w:val="es-ES_tradnl" w:eastAsia="es-ES_tradnl"/>
        </w:rPr>
        <w:t xml:space="preserve">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los servicios, etcétera, cuya contratación, se haya determinado necesaria, </w:t>
      </w:r>
      <w:proofErr w:type="spellStart"/>
      <w:r w:rsidRPr="00A33A8A">
        <w:rPr>
          <w:rFonts w:ascii="Verdana" w:eastAsia="Times New Roman" w:hAnsi="Verdana" w:cs="Arial"/>
          <w:color w:val="000000"/>
          <w:szCs w:val="24"/>
          <w:lang w:val="es-ES_tradnl" w:eastAsia="es-ES_tradnl"/>
        </w:rPr>
        <w:t>iv</w:t>
      </w:r>
      <w:proofErr w:type="spellEnd"/>
      <w:r w:rsidRPr="00A33A8A">
        <w:rPr>
          <w:rFonts w:ascii="Verdana" w:eastAsia="Times New Roman" w:hAnsi="Verdana" w:cs="Arial"/>
          <w:color w:val="000000"/>
          <w:szCs w:val="24"/>
          <w:lang w:val="es-ES_tradnl" w:eastAsia="es-ES_tradnl"/>
        </w:rPr>
        <w:t>)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w:t>
      </w:r>
      <w:r w:rsidRPr="00A33A8A">
        <w:rPr>
          <w:rFonts w:ascii="Verdana" w:hAnsi="Verdana"/>
          <w:vertAlign w:val="superscript"/>
        </w:rPr>
        <w:footnoteReference w:id="7"/>
      </w:r>
      <w:r w:rsidRPr="00A33A8A">
        <w:rPr>
          <w:rFonts w:ascii="Verdana" w:hAnsi="Verdana" w:cs="Arial"/>
        </w:rPr>
        <w:t>.</w:t>
      </w:r>
    </w:p>
    <w:p w14:paraId="10C9835B" w14:textId="77777777" w:rsidR="00AD7191" w:rsidRPr="00A33A8A" w:rsidRDefault="00AD7191" w:rsidP="00AD7191">
      <w:pPr>
        <w:spacing w:before="120" w:after="120" w:line="276" w:lineRule="auto"/>
        <w:ind w:firstLine="709"/>
        <w:jc w:val="both"/>
        <w:rPr>
          <w:rFonts w:ascii="Verdana" w:eastAsia="Times New Roman" w:hAnsi="Verdana" w:cs="Arial"/>
          <w:color w:val="000000"/>
          <w:szCs w:val="24"/>
          <w:lang w:val="es-ES_tradnl" w:eastAsia="es-ES_tradnl"/>
        </w:rPr>
      </w:pPr>
      <w:r w:rsidRPr="00A33A8A">
        <w:rPr>
          <w:rFonts w:ascii="Verdana" w:eastAsia="Times New Roman" w:hAnsi="Verdana" w:cs="Arial"/>
          <w:color w:val="000000"/>
          <w:szCs w:val="24"/>
          <w:lang w:val="es-ES_tradnl" w:eastAsia="es-ES_tradnl"/>
        </w:rPr>
        <w:t xml:space="preserve">Cuando las entidades públicas cumplen con los elementos mínimos establecidos en la norma y aquellos adicionales que identifiquen en la etapa de planeación de los procedimientos de contratación, permiten que los contratos resultantes cuenten con el sustento técnico, económico y jurídico que incidirá en una adecuada ejecución. Así pues, más allá </w:t>
      </w:r>
      <w:r w:rsidRPr="00A33A8A">
        <w:rPr>
          <w:rFonts w:ascii="Verdana" w:eastAsia="Times New Roman" w:hAnsi="Verdana" w:cs="Arial"/>
          <w:szCs w:val="24"/>
          <w:lang w:eastAsia="es-ES_tradnl"/>
        </w:rPr>
        <w:t>del cumplimiento de la normativa, “los estudios y documentos previos son el soporte para elaborar el proyecto de pliegos, los pliegos de condiciones, y el contrato”</w:t>
      </w:r>
      <w:r w:rsidRPr="00A33A8A">
        <w:rPr>
          <w:rFonts w:ascii="Verdana" w:hAnsi="Verdana"/>
          <w:vertAlign w:val="superscript"/>
          <w:lang w:eastAsia="es-ES_tradnl"/>
        </w:rPr>
        <w:footnoteReference w:id="8"/>
      </w:r>
      <w:r w:rsidRPr="00A33A8A">
        <w:rPr>
          <w:rFonts w:ascii="Verdana" w:eastAsia="Times New Roman" w:hAnsi="Verdana" w:cs="Arial"/>
          <w:szCs w:val="24"/>
          <w:lang w:eastAsia="es-ES_tradnl"/>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1DC0F3AE" w14:textId="77777777" w:rsidR="00AD7191" w:rsidRPr="00A33A8A" w:rsidRDefault="00AD7191" w:rsidP="00AD7191">
      <w:pPr>
        <w:spacing w:after="120" w:line="276" w:lineRule="auto"/>
        <w:ind w:firstLine="709"/>
        <w:jc w:val="both"/>
        <w:rPr>
          <w:rFonts w:ascii="Verdana" w:hAnsi="Verdana" w:cs="Arial"/>
        </w:rPr>
      </w:pPr>
      <w:r w:rsidRPr="00A33A8A">
        <w:rPr>
          <w:rFonts w:ascii="Verdana" w:eastAsia="Times New Roman" w:hAnsi="Verdana" w:cs="Arial"/>
          <w:color w:val="000000"/>
          <w:szCs w:val="24"/>
          <w:lang w:val="es-ES_tradnl" w:eastAsia="es-ES_tradnl"/>
        </w:rPr>
        <w:t>De lo explicado se desprende que los estudios y documentos previos son necesarios antes de la celebración del contrato, pues fundamentan las condiciones que la Entidad Estatal exige en un proceso de contratación. Sin embargo, luego de la suscripción del contrato la entidad no debe actuar unilateralmente, sino que debe respetar la buena fe contractual y proceder de acuerdo con lo pactado</w:t>
      </w:r>
      <w:r w:rsidRPr="00A33A8A">
        <w:rPr>
          <w:rFonts w:ascii="Verdana" w:hAnsi="Verdana"/>
          <w:vertAlign w:val="superscript"/>
        </w:rPr>
        <w:footnoteReference w:id="9"/>
      </w:r>
      <w:r w:rsidRPr="00A33A8A">
        <w:rPr>
          <w:rFonts w:ascii="Verdana" w:hAnsi="Verdana" w:cs="Arial"/>
        </w:rPr>
        <w:t>.</w:t>
      </w:r>
    </w:p>
    <w:p w14:paraId="0E5127D7" w14:textId="77777777" w:rsidR="00AD7191" w:rsidRPr="00A33A8A" w:rsidRDefault="00AD7191" w:rsidP="00AD7191">
      <w:pPr>
        <w:spacing w:after="120" w:line="276" w:lineRule="auto"/>
        <w:ind w:firstLine="709"/>
        <w:jc w:val="both"/>
        <w:rPr>
          <w:rFonts w:ascii="Verdana" w:eastAsia="Times New Roman" w:hAnsi="Verdana" w:cs="Arial"/>
          <w:szCs w:val="24"/>
          <w:lang w:eastAsia="es-ES_tradnl"/>
        </w:rPr>
      </w:pPr>
      <w:r w:rsidRPr="00A33A8A">
        <w:rPr>
          <w:rFonts w:ascii="Verdana" w:eastAsia="Times New Roman" w:hAnsi="Verdana" w:cs="Arial"/>
          <w:szCs w:val="24"/>
          <w:lang w:eastAsia="es-ES_tradnl"/>
        </w:rPr>
        <w:t>El numeral 12 del artículo 25 antes citado, establece el deber de las entidades de realizar estudios previos en dos momentos específicos: i) previo a la apertura de un proceso de selección y ii) previo a la firma del contrato en el caso en que la modalidad de selección sea contratación directa. Por su parte, el reglamento, es decir los artículos 2.2.1.1.1.6.1 y 2.2.1.1.2.1.1 del Decreto 1082 de 2015, no imponen la obligación de realizar estudios y documentos previos en etapas diferentes a la de planeación del contrato.</w:t>
      </w:r>
    </w:p>
    <w:p w14:paraId="5A721D79" w14:textId="77777777" w:rsidR="00AD7191" w:rsidRPr="00A33A8A" w:rsidRDefault="00AD7191" w:rsidP="00AD7191">
      <w:pPr>
        <w:spacing w:before="120" w:line="276" w:lineRule="auto"/>
        <w:ind w:firstLine="709"/>
        <w:jc w:val="both"/>
        <w:rPr>
          <w:rFonts w:ascii="Verdana" w:eastAsia="Calibri" w:hAnsi="Verdana" w:cs="Arial"/>
          <w:bCs/>
          <w:szCs w:val="24"/>
          <w:lang w:val="es-ES_tradnl" w:eastAsia="es-ES_tradnl"/>
        </w:rPr>
      </w:pPr>
      <w:r w:rsidRPr="00A33A8A">
        <w:rPr>
          <w:rFonts w:ascii="Verdana" w:eastAsia="Times New Roman" w:hAnsi="Verdana" w:cs="Arial"/>
          <w:szCs w:val="24"/>
          <w:lang w:eastAsia="es-ES_tradnl"/>
        </w:rPr>
        <w:t xml:space="preserve">En consecuencia, dicho análisis facilita tanto el conocimiento del sector, desde una perspectiva multidisciplinaria, como de los proveedores disponibles en el mercado para satisfacer la necesidad de la entidad contratante. Asimismo, el análisis del sector implica un estudio de la oferta, lo que permitirá identificar qué proveedores existen en el mercado y cómo intervienen en la cadena de producción, comercialización </w:t>
      </w:r>
      <w:r w:rsidRPr="00A33A8A">
        <w:rPr>
          <w:rFonts w:ascii="Verdana" w:eastAsia="Calibri" w:hAnsi="Verdana" w:cs="Arial"/>
          <w:bCs/>
          <w:szCs w:val="24"/>
          <w:lang w:val="es-ES_tradnl" w:eastAsia="es-ES_tradnl"/>
        </w:rPr>
        <w:t xml:space="preserve">y distribución de los bienes, obras o servicios. </w:t>
      </w:r>
    </w:p>
    <w:p w14:paraId="66E197E7" w14:textId="77777777" w:rsidR="00AD7191" w:rsidRPr="00A33A8A" w:rsidRDefault="00AD7191" w:rsidP="00AD7191">
      <w:pPr>
        <w:spacing w:before="120" w:line="276" w:lineRule="auto"/>
        <w:ind w:firstLine="709"/>
        <w:jc w:val="both"/>
        <w:rPr>
          <w:rFonts w:ascii="Verdana" w:eastAsia="Calibri" w:hAnsi="Verdana" w:cs="Arial"/>
          <w:bCs/>
          <w:szCs w:val="24"/>
          <w:lang w:val="es-ES_tradnl" w:eastAsia="es-ES_tradnl"/>
        </w:rPr>
      </w:pPr>
      <w:r w:rsidRPr="00A33A8A">
        <w:rPr>
          <w:rFonts w:ascii="Verdana" w:eastAsia="Calibri" w:hAnsi="Verdana" w:cs="Arial"/>
          <w:bCs/>
          <w:szCs w:val="24"/>
          <w:lang w:val="es-ES_tradnl" w:eastAsia="es-ES_tradnl"/>
        </w:rPr>
        <w:t xml:space="preserve">Adicionalmente, podrá estudiar la demanda para determinar cómo las Entidades Estatales y los particulares adquieren esos bienes, obras o servicios para extraer las mejores prácticas e información para el Proceso de Contratación y así estructurar de mejor manera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778D56CD" w14:textId="77777777" w:rsidR="00AD7191" w:rsidRPr="00A33A8A" w:rsidRDefault="00AD7191" w:rsidP="00AD7191">
      <w:pPr>
        <w:spacing w:before="120" w:after="120" w:line="276" w:lineRule="auto"/>
        <w:ind w:firstLine="709"/>
        <w:jc w:val="both"/>
        <w:rPr>
          <w:rFonts w:ascii="Verdana" w:eastAsia="Times New Roman" w:hAnsi="Verdana" w:cs="Arial"/>
          <w:szCs w:val="24"/>
          <w:lang w:eastAsia="es-ES_tradnl"/>
        </w:rPr>
      </w:pPr>
      <w:r w:rsidRPr="00A33A8A">
        <w:rPr>
          <w:rFonts w:ascii="Verdana" w:eastAsia="Times New Roman" w:hAnsi="Verdana" w:cs="Arial"/>
          <w:szCs w:val="24"/>
          <w:lang w:eastAsia="es-ES_tradnl"/>
        </w:rPr>
        <w:t>Adicionalmente, si bien los estudios del sector son de gran relevancia en los Procesos de Contratación donde existe pluralidad de oferentes, nada obsta para que se elaboren allí donde no existiría competencia, como es el caso de la contratación de prestación de servicios mediante la contratación directa. Para estos efectos, la “Guía para la Elaboración de Estudios del Sector”</w:t>
      </w:r>
      <w:r w:rsidRPr="00A33A8A">
        <w:rPr>
          <w:rFonts w:ascii="Verdana" w:eastAsia="Calibri" w:hAnsi="Verdana"/>
          <w:bCs/>
          <w:vertAlign w:val="superscript"/>
          <w:lang w:val="es-ES_tradnl"/>
        </w:rPr>
        <w:footnoteReference w:id="10"/>
      </w:r>
      <w:r w:rsidRPr="00A33A8A">
        <w:rPr>
          <w:rFonts w:ascii="Verdana" w:eastAsia="Times New Roman" w:hAnsi="Verdana" w:cs="Arial"/>
          <w:szCs w:val="24"/>
          <w:lang w:eastAsia="es-ES_tradnl"/>
        </w:rPr>
        <w:t xml:space="preserve"> expedida por Colombia Compra Eficiente,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pública debe consignar en los</w:t>
      </w:r>
      <w:r w:rsidRPr="00A33A8A">
        <w:rPr>
          <w:rFonts w:ascii="Verdana" w:eastAsia="Times New Roman" w:hAnsi="Verdana" w:cs="Arial"/>
          <w:i/>
          <w:iCs/>
          <w:szCs w:val="24"/>
          <w:lang w:eastAsia="es-ES_tradnl"/>
        </w:rPr>
        <w:t xml:space="preserve"> Documentos del Proceso, </w:t>
      </w:r>
      <w:r w:rsidRPr="00A33A8A">
        <w:rPr>
          <w:rFonts w:ascii="Verdana" w:eastAsia="Times New Roman" w:hAnsi="Verdana" w:cs="Arial"/>
          <w:szCs w:val="24"/>
          <w:lang w:eastAsia="es-ES_tradnl"/>
        </w:rPr>
        <w:t>bien sea en los estudios previos o en la información de soporte de estos, los aspectos de que trata el artículo 2.2.1.1.1.6.1 del Decreto 1082 de 2015.</w:t>
      </w:r>
    </w:p>
    <w:p w14:paraId="0447E72B" w14:textId="77777777" w:rsidR="00AD7191" w:rsidRPr="00A33A8A" w:rsidRDefault="00AD7191" w:rsidP="00AD7191">
      <w:pPr>
        <w:spacing w:after="120" w:line="276" w:lineRule="auto"/>
        <w:ind w:firstLine="709"/>
        <w:jc w:val="both"/>
        <w:rPr>
          <w:rFonts w:ascii="Verdana" w:eastAsia="Times New Roman" w:hAnsi="Verdana" w:cs="Arial"/>
          <w:szCs w:val="24"/>
          <w:lang w:eastAsia="es-ES_tradnl"/>
        </w:rPr>
      </w:pPr>
      <w:r w:rsidRPr="00A33A8A">
        <w:rPr>
          <w:rFonts w:ascii="Verdana" w:eastAsia="Times New Roman" w:hAnsi="Verdana" w:cs="Arial"/>
          <w:szCs w:val="24"/>
          <w:lang w:eastAsia="es-ES_tradnl"/>
        </w:rPr>
        <w:t xml:space="preserve">Finalmente, resulta a bien resaltar la autonomía de las entidades públicas para estructurar los estudios previos, siempre y cuando observen los aspectos que estos deben contener, de conformidad con los artículos 2.2.1.1.1.6.1, 2.2.1.1.2.1.1 y 2.2.1.2.1.4.9 del Decreto 1082 de 2015. </w:t>
      </w:r>
    </w:p>
    <w:p w14:paraId="557C174A" w14:textId="77777777" w:rsidR="00AD7191" w:rsidRDefault="00AD7191" w:rsidP="00AD7191">
      <w:pPr>
        <w:spacing w:after="120" w:line="276" w:lineRule="auto"/>
        <w:ind w:firstLine="709"/>
        <w:jc w:val="both"/>
        <w:rPr>
          <w:rFonts w:ascii="Verdana" w:eastAsia="Times New Roman" w:hAnsi="Verdana" w:cs="Arial"/>
          <w:szCs w:val="24"/>
          <w:lang w:eastAsia="es-ES_tradnl"/>
        </w:rPr>
      </w:pPr>
      <w:r w:rsidRPr="004237E4">
        <w:rPr>
          <w:rFonts w:ascii="Verdana" w:eastAsia="Times New Roman" w:hAnsi="Verdana" w:cs="Arial"/>
          <w:szCs w:val="24"/>
          <w:lang w:eastAsia="es-ES_tradnl"/>
        </w:rPr>
        <w:t xml:space="preserve">En todo caso, tratándose contratos de prestación de servicios, los estudios previos deben entrar a justificar las particularidades del objeto contractual de cara a la satisfacción de la necesidad de la Entidad Estatal en atención a la cual se requiere el respectivo contrato. De esto dependerán las regulaciones que se establezcan en la minuta del contrato en cuanto a la temporalidad, pago y demás asuntos relevantes del negocio jurídico, que, sin perjuicio de estar mediados por la autonomía de la voluntad de las partes para establecer las condiciones del contrato, deben tener una justificación expresada en los estudios y documentos previos. </w:t>
      </w:r>
    </w:p>
    <w:p w14:paraId="7DF5BD19" w14:textId="057C3E8A" w:rsidR="00811883" w:rsidRPr="00986579" w:rsidRDefault="00811883" w:rsidP="00AD7191">
      <w:pPr>
        <w:spacing w:after="120" w:line="276" w:lineRule="auto"/>
        <w:ind w:firstLine="709"/>
        <w:jc w:val="both"/>
        <w:rPr>
          <w:rFonts w:ascii="Verdana" w:eastAsia="Times New Roman" w:hAnsi="Verdana" w:cs="Arial"/>
          <w:szCs w:val="24"/>
          <w:lang w:val="es-ES" w:eastAsia="es-ES_tradnl"/>
        </w:rPr>
      </w:pPr>
    </w:p>
    <w:p w14:paraId="1B66278E" w14:textId="77777777" w:rsidR="00AD7191" w:rsidRPr="007F40AE" w:rsidRDefault="00AD7191" w:rsidP="00AD7191">
      <w:pPr>
        <w:spacing w:after="120" w:line="276" w:lineRule="auto"/>
        <w:jc w:val="both"/>
        <w:rPr>
          <w:rFonts w:ascii="Verdana" w:hAnsi="Verdana" w:cs="Arial"/>
          <w:b/>
          <w:bCs/>
        </w:rPr>
      </w:pPr>
      <w:r w:rsidRPr="00FD28DB">
        <w:rPr>
          <w:rFonts w:ascii="Verdana" w:hAnsi="Verdana" w:cs="Arial"/>
          <w:b/>
          <w:bCs/>
          <w:lang w:val="es-ES"/>
        </w:rPr>
        <w:t>4. Referencias normativas, jurisprudenciales y otras fuentes:</w:t>
      </w:r>
    </w:p>
    <w:p w14:paraId="39084588" w14:textId="77777777" w:rsidR="00AD7191" w:rsidRPr="00FD28DB" w:rsidRDefault="00AD7191" w:rsidP="00AD7191">
      <w:pPr>
        <w:pStyle w:val="Prrafodelista"/>
        <w:spacing w:after="0" w:line="276" w:lineRule="auto"/>
        <w:ind w:left="714"/>
        <w:rPr>
          <w:rFonts w:ascii="Verdana" w:hAnsi="Verdana" w:cs="Arial"/>
        </w:rPr>
      </w:pPr>
    </w:p>
    <w:p w14:paraId="0D604F2C" w14:textId="77777777" w:rsidR="00AD7191" w:rsidRPr="007F40AE" w:rsidRDefault="00AD7191" w:rsidP="00AD7191">
      <w:pPr>
        <w:pStyle w:val="Prrafodelista"/>
        <w:numPr>
          <w:ilvl w:val="0"/>
          <w:numId w:val="19"/>
        </w:numPr>
        <w:spacing w:after="0" w:line="276" w:lineRule="auto"/>
        <w:ind w:left="714" w:hanging="357"/>
        <w:rPr>
          <w:rFonts w:ascii="Verdana" w:hAnsi="Verdana" w:cs="Arial"/>
        </w:rPr>
      </w:pPr>
      <w:r w:rsidRPr="00FD28DB">
        <w:rPr>
          <w:rFonts w:ascii="Verdana" w:hAnsi="Verdana" w:cs="Arial"/>
        </w:rPr>
        <w:t>Artículo 2.2.1.2.1.4.9</w:t>
      </w:r>
      <w:r>
        <w:rPr>
          <w:rFonts w:ascii="Verdana" w:hAnsi="Verdana" w:cs="Arial"/>
        </w:rPr>
        <w:t xml:space="preserve">, artículo 2.2.1.1.1.6.1. y 2.2.1.1.2.1.1., </w:t>
      </w:r>
      <w:r w:rsidRPr="00FD28DB">
        <w:rPr>
          <w:rFonts w:ascii="Verdana" w:hAnsi="Verdana" w:cs="Arial"/>
        </w:rPr>
        <w:t xml:space="preserve">del Decreto 1082 de 2015 disponible en: </w:t>
      </w:r>
      <w:hyperlink r:id="rId12" w:history="1">
        <w:r w:rsidRPr="00FD28DB">
          <w:rPr>
            <w:rStyle w:val="Hipervnculo"/>
            <w:rFonts w:ascii="Verdana" w:hAnsi="Verdana" w:cs="Arial"/>
          </w:rPr>
          <w:t>https://cceficiente.sharepoint.com/:w:/r/sites/SGC-Consultas/_layouts/15/Doc.aspx?sourcedoc=%7B29359D70-67D4-4566-91EA-D62D911AF562%7D&amp;file=Decreto%201082%20de%202015.docx&amp;action=default&amp;mobileredirect=true</w:t>
        </w:r>
      </w:hyperlink>
    </w:p>
    <w:p w14:paraId="42C9F984" w14:textId="77777777" w:rsidR="00AD7191" w:rsidRPr="00FD28DB" w:rsidRDefault="00AD7191" w:rsidP="00AD7191">
      <w:pPr>
        <w:pStyle w:val="Prrafodelista"/>
        <w:spacing w:after="0" w:line="276" w:lineRule="auto"/>
        <w:ind w:left="714"/>
        <w:rPr>
          <w:rFonts w:ascii="Verdana" w:hAnsi="Verdana" w:cs="Arial"/>
        </w:rPr>
      </w:pPr>
    </w:p>
    <w:p w14:paraId="59760F13" w14:textId="77777777" w:rsidR="00AD7191" w:rsidRDefault="00AD7191" w:rsidP="00AD7191">
      <w:pPr>
        <w:pStyle w:val="Prrafodelista"/>
        <w:numPr>
          <w:ilvl w:val="0"/>
          <w:numId w:val="19"/>
        </w:numPr>
        <w:spacing w:after="0" w:line="276" w:lineRule="auto"/>
        <w:ind w:left="714" w:hanging="357"/>
        <w:rPr>
          <w:rFonts w:ascii="Verdana" w:hAnsi="Verdana" w:cs="Arial"/>
        </w:rPr>
      </w:pPr>
      <w:r w:rsidRPr="00FD28DB">
        <w:rPr>
          <w:rFonts w:ascii="Verdana" w:hAnsi="Verdana" w:cs="Arial"/>
        </w:rPr>
        <w:t xml:space="preserve">Artículo 32, numeral 3° Ley 80 de 1993 disponible en: </w:t>
      </w:r>
      <w:hyperlink r:id="rId13" w:history="1">
        <w:r w:rsidRPr="00FD28DB">
          <w:rPr>
            <w:rStyle w:val="Hipervnculo"/>
            <w:rFonts w:ascii="Verdana" w:hAnsi="Verdana" w:cs="Arial"/>
          </w:rPr>
          <w:t>https://cceficiente.sharepoint.com/:w:/r/sites/SGC-Consultas/_layouts/15/Doc.aspx?sourcedoc=%7B603E9E70-5CDD-4057-AD0B-04E86291845F%7D&amp;file=Ley%2080%20de%201993.docx&amp;action=default&amp;mobileredirect=true</w:t>
        </w:r>
      </w:hyperlink>
      <w:r w:rsidRPr="00FD28DB">
        <w:rPr>
          <w:rFonts w:ascii="Verdana" w:hAnsi="Verdana" w:cs="Arial"/>
        </w:rPr>
        <w:t xml:space="preserve"> </w:t>
      </w:r>
    </w:p>
    <w:p w14:paraId="212D28BE" w14:textId="77777777" w:rsidR="00AD7191" w:rsidRPr="00724976" w:rsidRDefault="00AD7191" w:rsidP="00AD7191">
      <w:pPr>
        <w:pStyle w:val="Prrafodelista"/>
        <w:rPr>
          <w:rFonts w:ascii="Verdana" w:hAnsi="Verdana" w:cs="Arial"/>
        </w:rPr>
      </w:pPr>
    </w:p>
    <w:p w14:paraId="5C80B685" w14:textId="77777777" w:rsidR="00AD7191" w:rsidRDefault="00AD7191" w:rsidP="00AD7191">
      <w:pPr>
        <w:pStyle w:val="Prrafodelista"/>
        <w:numPr>
          <w:ilvl w:val="0"/>
          <w:numId w:val="19"/>
        </w:numPr>
        <w:spacing w:after="0" w:line="276" w:lineRule="auto"/>
        <w:ind w:left="714" w:hanging="357"/>
        <w:rPr>
          <w:rFonts w:ascii="Verdana" w:hAnsi="Verdana" w:cs="Arial"/>
        </w:rPr>
      </w:pPr>
      <w:r>
        <w:rPr>
          <w:rFonts w:ascii="Verdana" w:hAnsi="Verdana" w:cs="Arial"/>
        </w:rPr>
        <w:t>A</w:t>
      </w:r>
      <w:r w:rsidRPr="00724976">
        <w:rPr>
          <w:rFonts w:ascii="Verdana" w:hAnsi="Verdana" w:cs="Arial"/>
        </w:rPr>
        <w:t>rtículo</w:t>
      </w:r>
      <w:r>
        <w:rPr>
          <w:rFonts w:ascii="Verdana" w:hAnsi="Verdana" w:cs="Arial"/>
        </w:rPr>
        <w:t>s</w:t>
      </w:r>
      <w:r w:rsidRPr="00724976">
        <w:rPr>
          <w:rFonts w:ascii="Verdana" w:hAnsi="Verdana" w:cs="Arial"/>
        </w:rPr>
        <w:t xml:space="preserve"> 25 y 32 de la Ley 80 de 1993</w:t>
      </w:r>
    </w:p>
    <w:p w14:paraId="50E700AE" w14:textId="77777777" w:rsidR="00AD7191" w:rsidRPr="00724976" w:rsidRDefault="00AD7191" w:rsidP="00AD7191">
      <w:pPr>
        <w:spacing w:after="0" w:line="276" w:lineRule="auto"/>
        <w:ind w:left="708"/>
        <w:rPr>
          <w:rFonts w:ascii="Verdana" w:hAnsi="Verdana" w:cs="Arial"/>
        </w:rPr>
      </w:pPr>
      <w:hyperlink r:id="rId14" w:history="1">
        <w:r w:rsidRPr="00930F35">
          <w:rPr>
            <w:rStyle w:val="Hipervnculo"/>
            <w:rFonts w:ascii="Verdana" w:hAnsi="Verdana" w:cs="Arial"/>
          </w:rPr>
          <w:t>https://cceficiente.sharepoint.com/:w:/r/sites/SGC-Consultas/_layouts/15/Doc.aspx?sourcedoc=%7B603E9E70-5CDD-4057-AD0B-04E86291845F%7D&amp;file=Ley%2080%20de%201993.docx&amp;action=default&amp;mobileredirect=true</w:t>
        </w:r>
      </w:hyperlink>
      <w:r w:rsidRPr="00724976">
        <w:rPr>
          <w:rFonts w:ascii="Verdana" w:hAnsi="Verdana" w:cs="Arial"/>
        </w:rPr>
        <w:t xml:space="preserve"> </w:t>
      </w:r>
    </w:p>
    <w:p w14:paraId="4911F06C" w14:textId="77777777" w:rsidR="00AD7191" w:rsidRPr="00965E05" w:rsidRDefault="00AD7191" w:rsidP="00AD7191">
      <w:pPr>
        <w:pStyle w:val="Prrafodelista"/>
        <w:rPr>
          <w:rFonts w:ascii="Verdana" w:hAnsi="Verdana" w:cs="Arial"/>
        </w:rPr>
      </w:pPr>
    </w:p>
    <w:p w14:paraId="50413793" w14:textId="77777777" w:rsidR="00AD7191" w:rsidRDefault="00AD7191" w:rsidP="00AD7191">
      <w:pPr>
        <w:pStyle w:val="Prrafodelista"/>
        <w:numPr>
          <w:ilvl w:val="0"/>
          <w:numId w:val="19"/>
        </w:numPr>
        <w:spacing w:after="0" w:line="276" w:lineRule="auto"/>
        <w:ind w:left="714" w:hanging="357"/>
        <w:rPr>
          <w:rFonts w:ascii="Verdana" w:hAnsi="Verdana" w:cs="Arial"/>
        </w:rPr>
      </w:pPr>
      <w:r>
        <w:rPr>
          <w:rFonts w:ascii="Verdana" w:hAnsi="Verdana" w:cs="Arial"/>
        </w:rPr>
        <w:t>Artículo 2, numeral 4°, literal h) de la Ley 1150 de 2007</w:t>
      </w:r>
    </w:p>
    <w:p w14:paraId="70FDE228" w14:textId="77777777" w:rsidR="00AD7191" w:rsidRDefault="00AD7191" w:rsidP="00AD7191">
      <w:pPr>
        <w:pStyle w:val="Prrafodelista"/>
        <w:spacing w:after="0" w:line="276" w:lineRule="auto"/>
        <w:ind w:left="714"/>
        <w:rPr>
          <w:rFonts w:ascii="Verdana" w:hAnsi="Verdana" w:cs="Arial"/>
        </w:rPr>
      </w:pPr>
      <w:hyperlink r:id="rId15" w:history="1">
        <w:r w:rsidRPr="00930F35">
          <w:rPr>
            <w:rStyle w:val="Hipervnculo"/>
            <w:rFonts w:ascii="Verdana" w:hAnsi="Verdana" w:cs="Arial"/>
          </w:rPr>
          <w:t>https://cceficiente.sharepoint.com/:w:/r/sites/SGC-Consultas/_layouts/15/Doc.aspx?sourcedoc=%7BB5EFB206-5A72-4DBE-9F5D-0DD0C30593CC%7D&amp;file=Ley%201150%20de%202007.docx&amp;action=default&amp;mobileredirect=true</w:t>
        </w:r>
      </w:hyperlink>
      <w:r>
        <w:rPr>
          <w:rFonts w:ascii="Verdana" w:hAnsi="Verdana" w:cs="Arial"/>
        </w:rPr>
        <w:t xml:space="preserve"> </w:t>
      </w:r>
    </w:p>
    <w:p w14:paraId="56DA1DFA" w14:textId="77777777" w:rsidR="00AD7191" w:rsidRDefault="00AD7191" w:rsidP="00AD7191">
      <w:pPr>
        <w:pStyle w:val="Prrafodelista"/>
        <w:spacing w:after="0" w:line="276" w:lineRule="auto"/>
        <w:ind w:left="714"/>
        <w:rPr>
          <w:rFonts w:ascii="Verdana" w:hAnsi="Verdana" w:cs="Arial"/>
        </w:rPr>
      </w:pPr>
    </w:p>
    <w:p w14:paraId="08BCECFF" w14:textId="77777777" w:rsidR="00AD7191" w:rsidRPr="003367E8" w:rsidRDefault="00AD7191" w:rsidP="00AD7191">
      <w:pPr>
        <w:pStyle w:val="Prrafodelista"/>
        <w:numPr>
          <w:ilvl w:val="0"/>
          <w:numId w:val="19"/>
        </w:numPr>
        <w:spacing w:after="0" w:line="276" w:lineRule="auto"/>
        <w:jc w:val="both"/>
        <w:rPr>
          <w:rFonts w:ascii="Verdana" w:hAnsi="Verdana" w:cs="Arial"/>
        </w:rPr>
      </w:pPr>
      <w:r w:rsidRPr="003367E8">
        <w:rPr>
          <w:rFonts w:ascii="Verdana" w:hAnsi="Verdana" w:cs="Arial"/>
        </w:rPr>
        <w:t xml:space="preserve">Consejo de Estado, Sala de lo Contencioso Administrativo. Sección Tercera, Subsección B, 31 de agosto de 2011, exp. 18080, C.P. Ruth Stella Correa Palacio.  </w:t>
      </w:r>
    </w:p>
    <w:p w14:paraId="52DC98B3" w14:textId="77777777" w:rsidR="00AD7191" w:rsidRDefault="00AD7191" w:rsidP="00AD7191">
      <w:pPr>
        <w:spacing w:after="0" w:line="276" w:lineRule="auto"/>
        <w:rPr>
          <w:rFonts w:ascii="Verdana" w:hAnsi="Verdana" w:cs="Arial"/>
          <w:b/>
          <w:bCs/>
        </w:rPr>
      </w:pPr>
    </w:p>
    <w:p w14:paraId="73DAEF5A" w14:textId="77777777" w:rsidR="00AD7191" w:rsidRPr="00FD28DB" w:rsidRDefault="00AD7191" w:rsidP="00AD7191">
      <w:pPr>
        <w:spacing w:after="0" w:line="276" w:lineRule="auto"/>
        <w:rPr>
          <w:rFonts w:ascii="Verdana" w:hAnsi="Verdana" w:cs="Arial"/>
          <w:b/>
          <w:bCs/>
          <w:lang w:val="es-ES"/>
        </w:rPr>
      </w:pPr>
      <w:r w:rsidRPr="00FD28DB">
        <w:rPr>
          <w:rFonts w:ascii="Verdana" w:hAnsi="Verdana" w:cs="Arial"/>
          <w:b/>
          <w:bCs/>
          <w:lang w:val="es-ES"/>
        </w:rPr>
        <w:t>5. Doctrina de la Agencia Nacional de Contratación Pública:</w:t>
      </w:r>
    </w:p>
    <w:p w14:paraId="311D5837" w14:textId="77777777" w:rsidR="00AD7191" w:rsidRPr="00FD28DB" w:rsidRDefault="00AD7191" w:rsidP="00AD7191">
      <w:pPr>
        <w:spacing w:after="0" w:line="276" w:lineRule="auto"/>
        <w:rPr>
          <w:rFonts w:ascii="Verdana" w:hAnsi="Verdana" w:cs="Arial"/>
          <w:b/>
          <w:bCs/>
          <w:lang w:val="es-ES"/>
        </w:rPr>
      </w:pPr>
    </w:p>
    <w:p w14:paraId="4DCE0E05" w14:textId="77777777" w:rsidR="00AD7191" w:rsidRPr="00FD28DB" w:rsidRDefault="00AD7191" w:rsidP="00AD7191">
      <w:pPr>
        <w:spacing w:after="120" w:line="276" w:lineRule="auto"/>
        <w:jc w:val="both"/>
        <w:rPr>
          <w:rFonts w:ascii="Verdana" w:hAnsi="Verdana"/>
          <w:lang w:val="es-ES"/>
        </w:rPr>
      </w:pPr>
      <w:r w:rsidRPr="00FD28DB">
        <w:rPr>
          <w:rFonts w:ascii="Verdana" w:hAnsi="Verdana" w:cs="Arial"/>
          <w:lang w:val="es-ES"/>
        </w:rPr>
        <w:t xml:space="preserve">Sobre el contrato de prestación de servicios profesionales, así como los requisitos para su celebración esta Agencia, se ha pronunciado esta Subdirección en los Conceptos </w:t>
      </w:r>
      <w:r w:rsidRPr="00FD28DB">
        <w:rPr>
          <w:rFonts w:ascii="Verdana" w:hAnsi="Verdana"/>
          <w:lang w:val="es-ES"/>
        </w:rPr>
        <w:t xml:space="preserve">4201912000005478 del 25 de septiembre de 2019, 4201912000006692 del 12 de noviembre de 2019, C-090 del 24 de febrero de 2020, C-734 del 28 de noviembre de 2022, C-783 del 05 de diciembre de 2022, C-936 del 19 de diciembre de 2022, C-826 del 22 de diciembre de 2022, C-780 del 22 de diciembre de 2022, C-103 del 05 de mayo de 2023, C-286 del 26 de julio de 2023, C-334 del 17 de agosto de 2023, C-443 del 31 de octubre de 2023, C-463 del 22 de noviembre de 2023, C-472 del 11 de diciembre de 2023, C-067 del 16 de mayo de 2024, C-260 del 15 de agosto de 2024. Estos y otros conceptos se encuentran disponibles para consulta en el Sistema de Relatoría de la Agencia, en el cual podrán encontrar jurisprudencia del Consejo de Estado, laudos arbitrales y la normativa de la contratación concordada con la doctrina de la Subdirección de Gestión contractual a través del siguiente enlace: </w:t>
      </w:r>
      <w:hyperlink r:id="rId16" w:history="1">
        <w:r w:rsidRPr="00FD28DB">
          <w:rPr>
            <w:rStyle w:val="Hipervnculo"/>
            <w:rFonts w:ascii="Verdana" w:hAnsi="Verdana"/>
            <w:lang w:val="es-ES"/>
          </w:rPr>
          <w:t>https://relatoria.colombiacompra.gov.co/</w:t>
        </w:r>
      </w:hyperlink>
      <w:r w:rsidRPr="00FD28DB">
        <w:rPr>
          <w:rFonts w:ascii="Verdana" w:hAnsi="Verdana"/>
          <w:lang w:val="es-ES"/>
        </w:rPr>
        <w:t xml:space="preserve"> </w:t>
      </w:r>
    </w:p>
    <w:p w14:paraId="74FCC010" w14:textId="77777777" w:rsidR="00AD7191" w:rsidRPr="00FD28DB" w:rsidRDefault="00AD7191" w:rsidP="00AD7191">
      <w:pPr>
        <w:spacing w:after="0" w:line="276" w:lineRule="auto"/>
        <w:jc w:val="both"/>
        <w:rPr>
          <w:rFonts w:ascii="Verdana" w:hAnsi="Verdana"/>
          <w:lang w:val="es-ES"/>
        </w:rPr>
      </w:pPr>
    </w:p>
    <w:p w14:paraId="1F611562" w14:textId="77777777" w:rsidR="00AD7191" w:rsidRPr="00FD28DB" w:rsidRDefault="00AD7191" w:rsidP="00AD7191">
      <w:pPr>
        <w:pStyle w:val="Textonotapie"/>
        <w:spacing w:line="276" w:lineRule="auto"/>
        <w:jc w:val="both"/>
        <w:rPr>
          <w:rFonts w:ascii="Verdana" w:hAnsi="Verdana"/>
          <w:color w:val="000000"/>
          <w:sz w:val="22"/>
          <w:szCs w:val="22"/>
          <w:shd w:val="clear" w:color="auto" w:fill="FFFFFF"/>
          <w:lang w:val="es-ES"/>
        </w:rPr>
      </w:pPr>
      <w:r w:rsidRPr="00FD28DB">
        <w:rPr>
          <w:rFonts w:ascii="Verdana" w:hAnsi="Verdana"/>
          <w:color w:val="000000"/>
          <w:sz w:val="22"/>
          <w:szCs w:val="22"/>
          <w:shd w:val="clear" w:color="auto" w:fill="FFFFFF"/>
          <w:lang w:val="es-ES"/>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7" w:tgtFrame="_blank" w:tooltip="Dirección URL original: https://www.colombiacompra.gov.co/content/borrador-de-documentos-tipo-de-consultoria-de-obra-publica-de-infraestructura-de-transporte. Haga clic o pulse si confía en este vínculo." w:history="1">
        <w:r w:rsidRPr="00FD28DB">
          <w:rPr>
            <w:rStyle w:val="Hipervnculo"/>
            <w:rFonts w:ascii="Verdana" w:hAnsi="Verdana"/>
            <w:sz w:val="22"/>
            <w:szCs w:val="22"/>
            <w:shd w:val="clear" w:color="auto" w:fill="FFFFFF"/>
            <w:lang w:val="es-ES"/>
          </w:rPr>
          <w:t>https://www.colombiacompra.gov.co/content/borrador-de-documentos-tipo-de-consultoria-de-obra-publica-de-infraestructura-de-transporte</w:t>
        </w:r>
      </w:hyperlink>
      <w:r w:rsidRPr="00FD28DB">
        <w:rPr>
          <w:rFonts w:ascii="Verdana" w:hAnsi="Verdana"/>
          <w:color w:val="000000"/>
          <w:sz w:val="22"/>
          <w:szCs w:val="22"/>
          <w:shd w:val="clear" w:color="auto" w:fill="FFFFFF"/>
          <w:lang w:val="es-ES"/>
        </w:rPr>
        <w:t> y </w:t>
      </w:r>
      <w:hyperlink r:id="rId18" w:tgtFrame="_blank" w:tooltip="Dirección URL original: https://www.colombiacompra.gov.co/content/borrador-de-documentos-tipo-de-interventoria-de-obra-publica-de-infraestructura-de. Haga clic o pulse si confía en este vínculo." w:history="1">
        <w:r w:rsidRPr="00FD28DB">
          <w:rPr>
            <w:rStyle w:val="Hipervnculo"/>
            <w:rFonts w:ascii="Verdana" w:hAnsi="Verdana"/>
            <w:sz w:val="22"/>
            <w:szCs w:val="22"/>
            <w:shd w:val="clear" w:color="auto" w:fill="FFFFFF"/>
            <w:lang w:val="es-ES"/>
          </w:rPr>
          <w:t>https://www.colombiacompra.gov.co/content/borrador-de-documentos-tipo-de-interventoria-de-obra-publica-de-infraestructura-de</w:t>
        </w:r>
      </w:hyperlink>
      <w:r w:rsidRPr="00FD28DB">
        <w:rPr>
          <w:rFonts w:ascii="Verdana" w:hAnsi="Verdana"/>
          <w:color w:val="000000"/>
          <w:sz w:val="22"/>
          <w:szCs w:val="22"/>
          <w:shd w:val="clear" w:color="auto" w:fill="FFFFFF"/>
          <w:lang w:val="es-ES"/>
        </w:rPr>
        <w:t> .</w:t>
      </w:r>
    </w:p>
    <w:p w14:paraId="6A7E15E8" w14:textId="77777777" w:rsidR="00AD7191" w:rsidRPr="00FD28DB" w:rsidRDefault="00AD7191" w:rsidP="00AD7191">
      <w:pPr>
        <w:pStyle w:val="Textonotapie"/>
        <w:spacing w:line="276" w:lineRule="auto"/>
        <w:jc w:val="both"/>
        <w:rPr>
          <w:rFonts w:ascii="Verdana" w:hAnsi="Verdana"/>
          <w:color w:val="000000"/>
          <w:sz w:val="22"/>
          <w:szCs w:val="22"/>
          <w:shd w:val="clear" w:color="auto" w:fill="FFFFFF"/>
          <w:lang w:val="es-ES"/>
        </w:rPr>
      </w:pPr>
    </w:p>
    <w:p w14:paraId="021B6629" w14:textId="77777777" w:rsidR="00AD7191" w:rsidRPr="00FD28DB" w:rsidRDefault="00AD7191" w:rsidP="00AD7191">
      <w:pPr>
        <w:pStyle w:val="Textonotapie"/>
        <w:spacing w:line="276" w:lineRule="auto"/>
        <w:jc w:val="both"/>
        <w:rPr>
          <w:rFonts w:ascii="Verdana" w:hAnsi="Verdana"/>
          <w:color w:val="000000"/>
          <w:sz w:val="22"/>
          <w:szCs w:val="22"/>
          <w:shd w:val="clear" w:color="auto" w:fill="FFFFFF"/>
          <w:lang w:val="es-ES"/>
        </w:rPr>
      </w:pPr>
      <w:r w:rsidRPr="00FD28DB">
        <w:rPr>
          <w:rFonts w:ascii="Verdana" w:hAnsi="Verdana"/>
          <w:color w:val="000000"/>
          <w:sz w:val="22"/>
          <w:szCs w:val="22"/>
          <w:shd w:val="clear" w:color="auto" w:fill="FFFFFF"/>
          <w:lang w:val="es-ES"/>
        </w:rPr>
        <w:t>De otra parte, te contamos que ya publicamos el borrador de la nueva Guía de Contratación Pública Sostenible y Socialmente Responsable. Conoce el documento y realiza tus comentarios hasta el 14 de noviembre de 2024 a través del siguiente enlace: </w:t>
      </w:r>
      <w:hyperlink r:id="rId19" w:tgtFrame="_blank" w:tooltip="Dirección URL original: https://www.sucop.gov.co/entidades/colombiacompra/Normativa?IDNorma=18320. Haga clic o pulse si confía en este vínculo." w:history="1">
        <w:r w:rsidRPr="00FD28DB">
          <w:rPr>
            <w:rStyle w:val="Hipervnculo"/>
            <w:rFonts w:ascii="Verdana" w:hAnsi="Verdana"/>
            <w:sz w:val="22"/>
            <w:szCs w:val="22"/>
            <w:shd w:val="clear" w:color="auto" w:fill="FFFFFF"/>
            <w:lang w:val="es-ES"/>
          </w:rPr>
          <w:t>https://www.sucop.gov.co/entidades/colombiacompra/Normativa?IDNorma=18320</w:t>
        </w:r>
      </w:hyperlink>
      <w:r w:rsidRPr="00FD28DB">
        <w:rPr>
          <w:rFonts w:ascii="Verdana" w:hAnsi="Verdana"/>
          <w:color w:val="000000"/>
          <w:sz w:val="22"/>
          <w:szCs w:val="22"/>
          <w:shd w:val="clear" w:color="auto" w:fill="FFFFFF"/>
          <w:lang w:val="es-ES"/>
        </w:rPr>
        <w:t>  </w:t>
      </w:r>
    </w:p>
    <w:p w14:paraId="702AF68D" w14:textId="77777777" w:rsidR="00AD7191" w:rsidRPr="00FD28DB" w:rsidRDefault="00AD7191" w:rsidP="00AD7191">
      <w:pPr>
        <w:pStyle w:val="Textonotapie"/>
        <w:spacing w:line="276" w:lineRule="auto"/>
        <w:jc w:val="both"/>
        <w:rPr>
          <w:rFonts w:ascii="Verdana" w:hAnsi="Verdana"/>
          <w:color w:val="000000"/>
          <w:sz w:val="22"/>
          <w:szCs w:val="22"/>
          <w:shd w:val="clear" w:color="auto" w:fill="FFFFFF"/>
          <w:lang w:val="es-ES"/>
        </w:rPr>
      </w:pPr>
    </w:p>
    <w:p w14:paraId="3B418041" w14:textId="77777777" w:rsidR="00AD7191" w:rsidRPr="00FD28DB" w:rsidRDefault="00AD7191" w:rsidP="00AD7191">
      <w:pPr>
        <w:pStyle w:val="Textonotapie"/>
        <w:spacing w:line="276" w:lineRule="auto"/>
        <w:jc w:val="both"/>
        <w:rPr>
          <w:rFonts w:ascii="Verdana" w:hAnsi="Verdana"/>
          <w:color w:val="000000"/>
          <w:sz w:val="22"/>
          <w:szCs w:val="22"/>
          <w:shd w:val="clear" w:color="auto" w:fill="FFFFFF"/>
          <w:lang w:val="es-ES"/>
        </w:rPr>
      </w:pPr>
      <w:r w:rsidRPr="00FD28DB">
        <w:rPr>
          <w:rFonts w:ascii="Verdana" w:hAnsi="Verdana"/>
          <w:color w:val="000000"/>
          <w:sz w:val="22"/>
          <w:szCs w:val="22"/>
          <w:shd w:val="clear" w:color="auto" w:fill="FFFFFF"/>
          <w:lang w:val="es-ES"/>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20" w:tgtFrame="_blank" w:tooltip="Dirección URL original: https://www.colombiacompra.gov.co/sala-de-prensa/boletin-digital. Haga clic o pulse si confía en este vínculo." w:history="1">
        <w:r w:rsidRPr="00FD28DB">
          <w:rPr>
            <w:rStyle w:val="Hipervnculo"/>
            <w:rFonts w:ascii="Verdana" w:hAnsi="Verdana"/>
            <w:sz w:val="22"/>
            <w:szCs w:val="22"/>
            <w:shd w:val="clear" w:color="auto" w:fill="FFFFFF"/>
            <w:lang w:val="es-ES"/>
          </w:rPr>
          <w:t>https://www.colombiacompra.gov.co/sala-de-prensa/boletin-digital</w:t>
        </w:r>
      </w:hyperlink>
      <w:r w:rsidRPr="00FD28DB">
        <w:rPr>
          <w:rStyle w:val="Hipervnculo"/>
          <w:rFonts w:ascii="Verdana" w:hAnsi="Verdana"/>
          <w:color w:val="auto"/>
          <w:sz w:val="22"/>
          <w:szCs w:val="22"/>
          <w:u w:val="none"/>
          <w:shd w:val="clear" w:color="auto" w:fill="FFFFFF"/>
          <w:lang w:val="es-ES"/>
        </w:rPr>
        <w:t>.</w:t>
      </w:r>
      <w:r w:rsidRPr="00FD28DB">
        <w:rPr>
          <w:rFonts w:ascii="Verdana" w:hAnsi="Verdana"/>
          <w:color w:val="000000"/>
          <w:sz w:val="22"/>
          <w:szCs w:val="22"/>
          <w:shd w:val="clear" w:color="auto" w:fill="FFFFFF"/>
          <w:lang w:val="es-ES"/>
        </w:rPr>
        <w:t>  </w:t>
      </w:r>
    </w:p>
    <w:p w14:paraId="5AE1FFEC" w14:textId="77777777" w:rsidR="00AD7191" w:rsidRPr="00FD28DB" w:rsidRDefault="00AD7191" w:rsidP="00AD7191">
      <w:pPr>
        <w:spacing w:after="0" w:line="240" w:lineRule="auto"/>
        <w:jc w:val="both"/>
        <w:rPr>
          <w:rFonts w:ascii="Verdana" w:hAnsi="Verdana"/>
          <w:lang w:val="es-ES"/>
        </w:rPr>
      </w:pPr>
    </w:p>
    <w:p w14:paraId="2B23F76C" w14:textId="77777777" w:rsidR="00AD7191" w:rsidRPr="00FD28DB" w:rsidRDefault="00AD7191" w:rsidP="00AD7191">
      <w:pPr>
        <w:spacing w:after="0" w:line="276" w:lineRule="auto"/>
        <w:jc w:val="both"/>
        <w:rPr>
          <w:rFonts w:ascii="Verdana" w:hAnsi="Verdana"/>
          <w:lang w:val="es-ES"/>
        </w:rPr>
      </w:pPr>
      <w:r w:rsidRPr="00FD28DB">
        <w:rPr>
          <w:rFonts w:ascii="Verdana" w:hAnsi="Verdana"/>
          <w:lang w:val="es-ES"/>
        </w:rPr>
        <w:t xml:space="preserve">Por último, lo invitamos a seguirnos en las redes sociales en las cuales se difunde información institucional: </w:t>
      </w:r>
    </w:p>
    <w:p w14:paraId="1DD7B949" w14:textId="77777777" w:rsidR="00AD7191" w:rsidRPr="00FD28DB" w:rsidRDefault="00AD7191" w:rsidP="00AD7191">
      <w:pPr>
        <w:spacing w:after="0" w:line="240" w:lineRule="auto"/>
        <w:jc w:val="both"/>
        <w:rPr>
          <w:rFonts w:ascii="Verdana" w:hAnsi="Verdana"/>
          <w:lang w:val="es-ES"/>
        </w:rPr>
      </w:pPr>
    </w:p>
    <w:p w14:paraId="77EBF132" w14:textId="77777777" w:rsidR="00AD7191" w:rsidRPr="00FD28DB" w:rsidRDefault="00AD7191" w:rsidP="00AD7191">
      <w:pPr>
        <w:spacing w:after="0" w:line="240" w:lineRule="auto"/>
        <w:jc w:val="both"/>
        <w:rPr>
          <w:rFonts w:ascii="Verdana" w:hAnsi="Verdana"/>
          <w:lang w:val="es-ES"/>
        </w:rPr>
      </w:pPr>
      <w:r w:rsidRPr="00FD28DB">
        <w:rPr>
          <w:rFonts w:ascii="Verdana" w:hAnsi="Verdana"/>
          <w:lang w:val="es-ES"/>
        </w:rPr>
        <w:t xml:space="preserve">Twitter: </w:t>
      </w:r>
      <w:r w:rsidRPr="00FD28DB">
        <w:rPr>
          <w:rStyle w:val="Hipervnculo"/>
          <w:rFonts w:ascii="Verdana" w:hAnsi="Verdana"/>
          <w:color w:val="4472C4" w:themeColor="accent1"/>
          <w:lang w:val="es-ES"/>
        </w:rPr>
        <w:t>@colombiacompra</w:t>
      </w:r>
      <w:r w:rsidRPr="00FD28DB">
        <w:rPr>
          <w:rFonts w:ascii="Verdana" w:hAnsi="Verdana"/>
          <w:color w:val="4472C4" w:themeColor="accent1"/>
          <w:lang w:val="es-ES"/>
        </w:rPr>
        <w:t xml:space="preserve"> </w:t>
      </w:r>
    </w:p>
    <w:p w14:paraId="3190F68A" w14:textId="77777777" w:rsidR="00AD7191" w:rsidRPr="00FD28DB" w:rsidRDefault="00AD7191" w:rsidP="00AD7191">
      <w:pPr>
        <w:spacing w:after="0" w:line="240" w:lineRule="auto"/>
        <w:jc w:val="both"/>
        <w:rPr>
          <w:rFonts w:ascii="Verdana" w:hAnsi="Verdana"/>
          <w:lang w:val="es-ES"/>
        </w:rPr>
      </w:pPr>
      <w:r w:rsidRPr="00FD28DB">
        <w:rPr>
          <w:rFonts w:ascii="Verdana" w:hAnsi="Verdana"/>
          <w:lang w:val="es-ES"/>
        </w:rPr>
        <w:t xml:space="preserve">Facebook: </w:t>
      </w:r>
      <w:r w:rsidRPr="00FD28DB">
        <w:rPr>
          <w:rStyle w:val="Hipervnculo"/>
          <w:rFonts w:ascii="Verdana" w:hAnsi="Verdana"/>
          <w:color w:val="4472C4" w:themeColor="accent1"/>
          <w:lang w:val="es-ES"/>
        </w:rPr>
        <w:t>ColombiaCompraEficiente</w:t>
      </w:r>
    </w:p>
    <w:p w14:paraId="214ECADA" w14:textId="77777777" w:rsidR="00AD7191" w:rsidRPr="00FD28DB" w:rsidRDefault="00AD7191" w:rsidP="00AD7191">
      <w:pPr>
        <w:spacing w:after="0" w:line="240" w:lineRule="auto"/>
        <w:jc w:val="both"/>
        <w:rPr>
          <w:rFonts w:ascii="Verdana" w:hAnsi="Verdana"/>
          <w:lang w:val="es-ES"/>
        </w:rPr>
      </w:pPr>
      <w:r w:rsidRPr="00FD28DB">
        <w:rPr>
          <w:rFonts w:ascii="Verdana" w:hAnsi="Verdana"/>
          <w:lang w:val="es-ES"/>
        </w:rPr>
        <w:t xml:space="preserve">LinkedIn: </w:t>
      </w:r>
      <w:r w:rsidRPr="00FD28DB">
        <w:rPr>
          <w:rStyle w:val="Hipervnculo"/>
          <w:rFonts w:ascii="Verdana" w:hAnsi="Verdana"/>
          <w:color w:val="4472C4" w:themeColor="accent1"/>
          <w:lang w:val="es-ES"/>
        </w:rPr>
        <w:t>Agencia Nacional de Contratación Pública - Colombia Compra Eficiente</w:t>
      </w:r>
      <w:r w:rsidRPr="00FD28DB">
        <w:rPr>
          <w:rFonts w:ascii="Verdana" w:hAnsi="Verdana"/>
          <w:color w:val="4472C4" w:themeColor="accent1"/>
          <w:lang w:val="es-ES"/>
        </w:rPr>
        <w:t xml:space="preserve"> </w:t>
      </w:r>
      <w:r w:rsidRPr="00FD28DB">
        <w:rPr>
          <w:rFonts w:ascii="Verdana" w:hAnsi="Verdana"/>
          <w:lang w:val="es-ES"/>
        </w:rPr>
        <w:t xml:space="preserve">Instagram: </w:t>
      </w:r>
      <w:r w:rsidRPr="00FD28DB">
        <w:rPr>
          <w:rStyle w:val="Hipervnculo"/>
          <w:rFonts w:ascii="Verdana" w:hAnsi="Verdana"/>
          <w:color w:val="4472C4" w:themeColor="accent1"/>
          <w:lang w:val="es-ES"/>
        </w:rPr>
        <w:t>@colombiacompraeficiente_cce</w:t>
      </w:r>
    </w:p>
    <w:p w14:paraId="66C8C1F1" w14:textId="77777777" w:rsidR="00AD7191" w:rsidRPr="00FD28DB" w:rsidRDefault="00AD7191" w:rsidP="00AD7191">
      <w:pPr>
        <w:spacing w:after="120" w:line="276" w:lineRule="auto"/>
        <w:jc w:val="center"/>
        <w:rPr>
          <w:rFonts w:ascii="Verdana" w:hAnsi="Verdana" w:cs="Arial"/>
          <w:lang w:val="es-ES"/>
        </w:rPr>
      </w:pPr>
    </w:p>
    <w:p w14:paraId="3EC535F5" w14:textId="77777777" w:rsidR="00AD7191" w:rsidRPr="00FD28DB" w:rsidRDefault="00AD7191" w:rsidP="00AD7191">
      <w:pPr>
        <w:spacing w:after="120" w:line="276" w:lineRule="auto"/>
        <w:jc w:val="both"/>
        <w:rPr>
          <w:rFonts w:ascii="Verdana" w:hAnsi="Verdana" w:cs="Arial"/>
          <w:color w:val="000000" w:themeColor="text1"/>
          <w:lang w:val="es-ES"/>
        </w:rPr>
      </w:pPr>
      <w:r w:rsidRPr="00FD28DB">
        <w:rPr>
          <w:rFonts w:ascii="Verdana" w:hAnsi="Verdana" w:cs="Arial"/>
          <w:color w:val="000000" w:themeColor="text1"/>
          <w:lang w:val="es-ES"/>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EB3D810" w14:textId="77777777" w:rsidR="00AD7191" w:rsidRPr="00FD28DB" w:rsidRDefault="00AD7191" w:rsidP="00AD7191">
      <w:pPr>
        <w:spacing w:after="120" w:line="276" w:lineRule="auto"/>
        <w:jc w:val="both"/>
        <w:rPr>
          <w:rFonts w:ascii="Verdana" w:eastAsia="Times New Roman" w:hAnsi="Verdana" w:cs="Arial"/>
          <w:i/>
          <w:lang w:val="es-ES" w:eastAsia="es-ES"/>
        </w:rPr>
      </w:pPr>
    </w:p>
    <w:p w14:paraId="4474B268" w14:textId="77777777" w:rsidR="00AD7191" w:rsidRPr="00FD28DB" w:rsidRDefault="00AD7191" w:rsidP="00AD7191">
      <w:pPr>
        <w:spacing w:after="0" w:line="276" w:lineRule="auto"/>
        <w:jc w:val="both"/>
        <w:rPr>
          <w:rFonts w:ascii="Verdana" w:hAnsi="Verdana"/>
          <w:lang w:val="es-ES"/>
        </w:rPr>
      </w:pPr>
    </w:p>
    <w:p w14:paraId="4BED1C64" w14:textId="77777777" w:rsidR="00AD7191" w:rsidRPr="00FD28DB" w:rsidRDefault="00AD7191" w:rsidP="00AD7191">
      <w:pPr>
        <w:spacing w:after="0" w:line="276" w:lineRule="auto"/>
        <w:jc w:val="both"/>
        <w:rPr>
          <w:rFonts w:ascii="Verdana" w:hAnsi="Verdana"/>
          <w:lang w:val="es-ES"/>
        </w:rPr>
      </w:pPr>
    </w:p>
    <w:p w14:paraId="626715A6" w14:textId="77777777" w:rsidR="00AD7191" w:rsidRPr="00FD28DB" w:rsidRDefault="00AD7191" w:rsidP="00AD7191">
      <w:pPr>
        <w:spacing w:after="0" w:line="240" w:lineRule="auto"/>
        <w:rPr>
          <w:rFonts w:ascii="Verdana" w:eastAsia="Times New Roman" w:hAnsi="Verdana" w:cs="Arial"/>
          <w:lang w:val="es-ES" w:eastAsia="es-CO"/>
        </w:rPr>
      </w:pPr>
      <w:r w:rsidRPr="00FD28DB">
        <w:rPr>
          <w:rFonts w:ascii="Verdana" w:eastAsia="Times New Roman" w:hAnsi="Verdana" w:cs="Arial"/>
          <w:lang w:val="es-ES" w:eastAsia="es-CO"/>
        </w:rPr>
        <w:t>Atentamente,</w:t>
      </w:r>
    </w:p>
    <w:p w14:paraId="27B65BAC" w14:textId="34E2D9E8" w:rsidR="00AD7191" w:rsidRPr="00FD28DB" w:rsidRDefault="005A426D" w:rsidP="00AD7191">
      <w:pPr>
        <w:spacing w:after="0" w:line="276" w:lineRule="auto"/>
        <w:jc w:val="center"/>
        <w:rPr>
          <w:rFonts w:ascii="Verdana" w:eastAsia="Times New Roman" w:hAnsi="Verdana" w:cs="Arial"/>
          <w:color w:val="000000"/>
          <w:lang w:val="es-ES" w:eastAsia="es-CO"/>
        </w:rPr>
      </w:pPr>
      <w:r w:rsidRPr="004D5C25">
        <w:rPr>
          <w:rFonts w:ascii="Century Gothic" w:hAnsi="Century Gothic"/>
          <w:noProof/>
        </w:rPr>
        <w:drawing>
          <wp:inline distT="0" distB="0" distL="0" distR="0" wp14:anchorId="7DCE7B95" wp14:editId="75680F5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1"/>
                    <a:stretch>
                      <a:fillRect/>
                    </a:stretch>
                  </pic:blipFill>
                  <pic:spPr>
                    <a:xfrm>
                      <a:off x="0" y="0"/>
                      <a:ext cx="3705742" cy="1590897"/>
                    </a:xfrm>
                    <a:prstGeom prst="rect">
                      <a:avLst/>
                    </a:prstGeom>
                  </pic:spPr>
                </pic:pic>
              </a:graphicData>
            </a:graphic>
          </wp:inline>
        </w:drawing>
      </w:r>
    </w:p>
    <w:p w14:paraId="19E78B36" w14:textId="77777777" w:rsidR="00AD7191" w:rsidRPr="00CE4481" w:rsidRDefault="00AD7191" w:rsidP="00AD7191">
      <w:pPr>
        <w:spacing w:after="0" w:line="276" w:lineRule="auto"/>
        <w:jc w:val="center"/>
        <w:rPr>
          <w:rFonts w:ascii="Verdana" w:eastAsia="Times New Roman" w:hAnsi="Verdana" w:cs="Arial"/>
          <w:color w:val="000000"/>
          <w:sz w:val="16"/>
          <w:szCs w:val="16"/>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AD7191" w:rsidRPr="00CE4481" w14:paraId="5F0F569A" w14:textId="77777777" w:rsidTr="00C8160F">
        <w:trPr>
          <w:trHeight w:val="409"/>
        </w:trPr>
        <w:tc>
          <w:tcPr>
            <w:tcW w:w="913" w:type="dxa"/>
            <w:tcBorders>
              <w:top w:val="nil"/>
              <w:left w:val="nil"/>
              <w:bottom w:val="nil"/>
              <w:right w:val="nil"/>
            </w:tcBorders>
            <w:vAlign w:val="center"/>
            <w:hideMark/>
          </w:tcPr>
          <w:p w14:paraId="62D45328" w14:textId="77777777" w:rsidR="00AD7191" w:rsidRPr="00CE4481" w:rsidRDefault="00AD7191" w:rsidP="00C8160F">
            <w:pPr>
              <w:spacing w:after="0"/>
              <w:jc w:val="both"/>
              <w:rPr>
                <w:rFonts w:ascii="Verdana" w:hAnsi="Verdana" w:cs="Arial"/>
                <w:sz w:val="16"/>
                <w:szCs w:val="16"/>
                <w:lang w:val="es-ES"/>
              </w:rPr>
            </w:pPr>
            <w:r w:rsidRPr="00CE4481">
              <w:rPr>
                <w:rFonts w:ascii="Verdana" w:hAnsi="Verdana" w:cs="Arial"/>
                <w:sz w:val="16"/>
                <w:szCs w:val="16"/>
                <w:lang w:val="es-ES"/>
              </w:rPr>
              <w:t>Elaboró: </w:t>
            </w:r>
          </w:p>
        </w:tc>
        <w:tc>
          <w:tcPr>
            <w:tcW w:w="5525" w:type="dxa"/>
            <w:tcBorders>
              <w:top w:val="nil"/>
              <w:left w:val="nil"/>
              <w:bottom w:val="dotted" w:sz="6" w:space="0" w:color="7F7F7F" w:themeColor="text1" w:themeTint="80"/>
              <w:right w:val="nil"/>
            </w:tcBorders>
            <w:vAlign w:val="center"/>
            <w:hideMark/>
          </w:tcPr>
          <w:p w14:paraId="06871CBF" w14:textId="77777777" w:rsidR="00AD7191" w:rsidRPr="00CE4481" w:rsidRDefault="00AD7191" w:rsidP="00C8160F">
            <w:pPr>
              <w:spacing w:after="0"/>
              <w:jc w:val="both"/>
              <w:rPr>
                <w:rFonts w:ascii="Verdana" w:hAnsi="Verdana" w:cs="Arial"/>
                <w:sz w:val="16"/>
                <w:szCs w:val="16"/>
                <w:lang w:val="es-ES"/>
              </w:rPr>
            </w:pPr>
            <w:r w:rsidRPr="00CE4481">
              <w:rPr>
                <w:rFonts w:ascii="Verdana" w:hAnsi="Verdana" w:cs="Arial"/>
                <w:sz w:val="16"/>
                <w:szCs w:val="16"/>
                <w:lang w:val="es-ES"/>
              </w:rPr>
              <w:t>Kelmis Yirama Brugés Alvarado</w:t>
            </w:r>
          </w:p>
          <w:p w14:paraId="08667E7E" w14:textId="77777777" w:rsidR="00AD7191" w:rsidRPr="00CE4481" w:rsidRDefault="00AD7191" w:rsidP="00C8160F">
            <w:pPr>
              <w:spacing w:after="0"/>
              <w:jc w:val="both"/>
              <w:rPr>
                <w:rFonts w:ascii="Verdana" w:hAnsi="Verdana" w:cs="Arial"/>
                <w:sz w:val="16"/>
                <w:szCs w:val="16"/>
                <w:lang w:val="es-ES"/>
              </w:rPr>
            </w:pPr>
            <w:r w:rsidRPr="00CE4481">
              <w:rPr>
                <w:rFonts w:ascii="Verdana" w:hAnsi="Verdana" w:cs="Arial"/>
                <w:sz w:val="16"/>
                <w:szCs w:val="16"/>
                <w:lang w:val="es-ES"/>
              </w:rPr>
              <w:t>Analista T2-04 de la Subdirección de Gestión Contractual</w:t>
            </w:r>
          </w:p>
        </w:tc>
      </w:tr>
      <w:tr w:rsidR="00AD7191" w:rsidRPr="00CE4481" w14:paraId="56A06538" w14:textId="77777777" w:rsidTr="00C8160F">
        <w:trPr>
          <w:trHeight w:val="409"/>
        </w:trPr>
        <w:tc>
          <w:tcPr>
            <w:tcW w:w="913" w:type="dxa"/>
            <w:tcBorders>
              <w:top w:val="nil"/>
              <w:left w:val="nil"/>
              <w:right w:val="nil"/>
            </w:tcBorders>
            <w:vAlign w:val="center"/>
          </w:tcPr>
          <w:p w14:paraId="6A7A3FF0" w14:textId="77777777" w:rsidR="00AD7191" w:rsidRPr="00CE4481" w:rsidRDefault="00AD7191" w:rsidP="00C8160F">
            <w:pPr>
              <w:spacing w:after="0"/>
              <w:rPr>
                <w:rStyle w:val="normaltextrun"/>
                <w:rFonts w:ascii="Verdana" w:eastAsia="Arial" w:hAnsi="Verdana"/>
                <w:color w:val="000000" w:themeColor="text1"/>
                <w:sz w:val="16"/>
                <w:szCs w:val="16"/>
                <w:lang w:val="es-ES"/>
              </w:rPr>
            </w:pPr>
            <w:r w:rsidRPr="00CE4481">
              <w:rPr>
                <w:rStyle w:val="normaltextrun"/>
                <w:rFonts w:ascii="Verdana" w:eastAsia="Arial" w:hAnsi="Verdana"/>
                <w:color w:val="000000" w:themeColor="text1"/>
                <w:sz w:val="16"/>
                <w:szCs w:val="16"/>
                <w:lang w:val="es-ES"/>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6EF3CCE6" w14:textId="77777777" w:rsidR="00AD7191" w:rsidRPr="00CE4481" w:rsidRDefault="00AD7191" w:rsidP="00C8160F">
            <w:pPr>
              <w:spacing w:after="0"/>
              <w:rPr>
                <w:rStyle w:val="normaltextrun"/>
                <w:rFonts w:ascii="Verdana" w:eastAsia="Arial" w:hAnsi="Verdana" w:cs="Arial"/>
                <w:color w:val="000000" w:themeColor="text1"/>
                <w:sz w:val="16"/>
                <w:szCs w:val="16"/>
                <w:lang w:val="es-ES"/>
              </w:rPr>
            </w:pPr>
            <w:r w:rsidRPr="00CE4481">
              <w:rPr>
                <w:rStyle w:val="normaltextrun"/>
                <w:rFonts w:ascii="Verdana" w:eastAsia="Arial" w:hAnsi="Verdana" w:cs="Arial"/>
                <w:color w:val="000000" w:themeColor="text1"/>
                <w:sz w:val="16"/>
                <w:szCs w:val="16"/>
                <w:lang w:val="es-ES"/>
              </w:rPr>
              <w:t>Ximena Ríos López</w:t>
            </w:r>
          </w:p>
          <w:p w14:paraId="1A089748" w14:textId="77777777" w:rsidR="00AD7191" w:rsidRPr="00CE4481" w:rsidRDefault="00AD7191" w:rsidP="00C8160F">
            <w:pPr>
              <w:spacing w:after="0"/>
              <w:rPr>
                <w:rStyle w:val="normaltextrun"/>
                <w:rFonts w:ascii="Verdana" w:eastAsia="Arial" w:hAnsi="Verdana"/>
                <w:color w:val="000000" w:themeColor="text1"/>
                <w:sz w:val="16"/>
                <w:szCs w:val="16"/>
                <w:lang w:val="es-ES"/>
              </w:rPr>
            </w:pPr>
            <w:r w:rsidRPr="00CE4481">
              <w:rPr>
                <w:rStyle w:val="normaltextrun"/>
                <w:rFonts w:ascii="Verdana" w:eastAsia="Arial" w:hAnsi="Verdana" w:cs="Arial"/>
                <w:color w:val="000000" w:themeColor="text1"/>
                <w:sz w:val="16"/>
                <w:szCs w:val="16"/>
                <w:lang w:val="es-ES"/>
              </w:rPr>
              <w:t>Gestor código T1 grado 11 de la Subdirección de Gestión Contractual</w:t>
            </w:r>
          </w:p>
        </w:tc>
      </w:tr>
      <w:tr w:rsidR="00AD7191" w:rsidRPr="00CE4481" w14:paraId="4BB32EF2" w14:textId="77777777" w:rsidTr="00C8160F">
        <w:trPr>
          <w:trHeight w:val="389"/>
        </w:trPr>
        <w:tc>
          <w:tcPr>
            <w:tcW w:w="913" w:type="dxa"/>
            <w:tcBorders>
              <w:top w:val="nil"/>
              <w:left w:val="nil"/>
              <w:bottom w:val="nil"/>
              <w:right w:val="nil"/>
            </w:tcBorders>
            <w:vAlign w:val="center"/>
            <w:hideMark/>
          </w:tcPr>
          <w:p w14:paraId="6257FACB" w14:textId="77777777" w:rsidR="00AD7191" w:rsidRPr="00CE4481" w:rsidRDefault="00AD7191" w:rsidP="00C8160F">
            <w:pPr>
              <w:spacing w:after="0"/>
              <w:jc w:val="both"/>
              <w:rPr>
                <w:rFonts w:ascii="Verdana" w:hAnsi="Verdana" w:cs="Arial"/>
                <w:sz w:val="16"/>
                <w:szCs w:val="16"/>
                <w:lang w:val="es-ES"/>
              </w:rPr>
            </w:pPr>
            <w:r w:rsidRPr="00CE4481">
              <w:rPr>
                <w:rFonts w:ascii="Verdana" w:hAnsi="Verdana" w:cs="Arial"/>
                <w:sz w:val="16"/>
                <w:szCs w:val="16"/>
                <w:lang w:val="es-ES"/>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643D3BB3" w14:textId="77777777" w:rsidR="00AD7191" w:rsidRPr="00CE4481" w:rsidRDefault="00AD7191" w:rsidP="00C8160F">
            <w:pPr>
              <w:spacing w:after="0"/>
              <w:rPr>
                <w:rFonts w:ascii="Verdana" w:eastAsia="Calibri" w:hAnsi="Verdana" w:cs="Arial"/>
                <w:sz w:val="16"/>
                <w:szCs w:val="16"/>
                <w:lang w:val="es-ES" w:eastAsia="es-ES"/>
              </w:rPr>
            </w:pPr>
            <w:r w:rsidRPr="00CE4481">
              <w:rPr>
                <w:rFonts w:ascii="Verdana" w:eastAsia="Calibri" w:hAnsi="Verdana" w:cs="Arial"/>
                <w:sz w:val="16"/>
                <w:szCs w:val="16"/>
                <w:lang w:val="es-ES" w:eastAsia="es-ES"/>
              </w:rPr>
              <w:t>Carolina Quintero Gacharná</w:t>
            </w:r>
          </w:p>
          <w:p w14:paraId="1C2828D5" w14:textId="77777777" w:rsidR="00AD7191" w:rsidRPr="00CE4481" w:rsidRDefault="00AD7191" w:rsidP="00C8160F">
            <w:pPr>
              <w:spacing w:after="0"/>
              <w:jc w:val="both"/>
              <w:rPr>
                <w:rFonts w:ascii="Verdana" w:hAnsi="Verdana" w:cs="Arial"/>
                <w:sz w:val="16"/>
                <w:szCs w:val="16"/>
                <w:lang w:val="es-ES"/>
              </w:rPr>
            </w:pPr>
            <w:r w:rsidRPr="00CE4481">
              <w:rPr>
                <w:rFonts w:ascii="Verdana" w:hAnsi="Verdana" w:cs="Arial"/>
                <w:sz w:val="16"/>
                <w:szCs w:val="16"/>
                <w:lang w:val="es-ES"/>
              </w:rPr>
              <w:t>Subdirectora de Gestión Contractual ANCP – CCE</w:t>
            </w:r>
          </w:p>
        </w:tc>
      </w:tr>
    </w:tbl>
    <w:p w14:paraId="341CE344" w14:textId="77777777" w:rsidR="00AD7191" w:rsidRPr="00FD28DB" w:rsidRDefault="00AD7191" w:rsidP="00AD7191">
      <w:pPr>
        <w:rPr>
          <w:lang w:val="es-ES"/>
        </w:rPr>
      </w:pPr>
    </w:p>
    <w:p w14:paraId="53476A04" w14:textId="77777777" w:rsidR="00AD7191" w:rsidRPr="00470423" w:rsidRDefault="00AD7191" w:rsidP="00AD7191">
      <w:pPr>
        <w:spacing w:after="0" w:line="276" w:lineRule="auto"/>
        <w:jc w:val="both"/>
        <w:rPr>
          <w:rFonts w:ascii="Verdana" w:hAnsi="Verdana" w:cs="Arial"/>
          <w:lang w:val="es-ES"/>
        </w:rPr>
      </w:pPr>
    </w:p>
    <w:p w14:paraId="7CAA9FFD" w14:textId="00CFF4F0" w:rsidR="00470423" w:rsidRPr="00AD7191" w:rsidRDefault="00470423" w:rsidP="005C3A4A">
      <w:pPr>
        <w:rPr>
          <w:lang w:val="es-ES"/>
        </w:rPr>
      </w:pPr>
    </w:p>
    <w:sectPr w:rsidR="00470423" w:rsidRPr="00AD7191"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3214F" w14:textId="77777777" w:rsidR="002335F7" w:rsidRDefault="002335F7" w:rsidP="004A1847">
      <w:pPr>
        <w:spacing w:after="0" w:line="240" w:lineRule="auto"/>
      </w:pPr>
      <w:r>
        <w:separator/>
      </w:r>
    </w:p>
  </w:endnote>
  <w:endnote w:type="continuationSeparator" w:id="0">
    <w:p w14:paraId="5DAF6D7F" w14:textId="77777777" w:rsidR="002335F7" w:rsidRDefault="002335F7" w:rsidP="004A1847">
      <w:pPr>
        <w:spacing w:after="0" w:line="240" w:lineRule="auto"/>
      </w:pPr>
      <w:r>
        <w:continuationSeparator/>
      </w:r>
    </w:p>
  </w:endnote>
  <w:endnote w:type="continuationNotice" w:id="1">
    <w:p w14:paraId="17654EDB" w14:textId="77777777" w:rsidR="002335F7" w:rsidRDefault="00233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p w14:paraId="09D57A0D" w14:textId="77777777" w:rsidR="001A0317" w:rsidRDefault="001A0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B048" w14:textId="77777777" w:rsidR="002335F7" w:rsidRDefault="002335F7" w:rsidP="004A1847">
      <w:pPr>
        <w:spacing w:after="0" w:line="240" w:lineRule="auto"/>
      </w:pPr>
      <w:r>
        <w:separator/>
      </w:r>
    </w:p>
  </w:footnote>
  <w:footnote w:type="continuationSeparator" w:id="0">
    <w:p w14:paraId="70AEF4E2" w14:textId="77777777" w:rsidR="002335F7" w:rsidRDefault="002335F7" w:rsidP="004A1847">
      <w:pPr>
        <w:spacing w:after="0" w:line="240" w:lineRule="auto"/>
      </w:pPr>
      <w:r>
        <w:continuationSeparator/>
      </w:r>
    </w:p>
  </w:footnote>
  <w:footnote w:type="continuationNotice" w:id="1">
    <w:p w14:paraId="1E52CA92" w14:textId="77777777" w:rsidR="002335F7" w:rsidRDefault="002335F7">
      <w:pPr>
        <w:spacing w:after="0" w:line="240" w:lineRule="auto"/>
      </w:pPr>
    </w:p>
  </w:footnote>
  <w:footnote w:id="2">
    <w:p w14:paraId="3ADC8991" w14:textId="77777777" w:rsidR="009D2AD6" w:rsidRPr="00724976" w:rsidRDefault="009D2AD6" w:rsidP="009D2AD6">
      <w:pPr>
        <w:pStyle w:val="Textonotapie"/>
        <w:jc w:val="both"/>
        <w:rPr>
          <w:rFonts w:ascii="Verdana" w:hAnsi="Verdana"/>
          <w:sz w:val="16"/>
          <w:szCs w:val="16"/>
          <w:lang w:val="es-ES"/>
        </w:rPr>
      </w:pPr>
      <w:r w:rsidRPr="00724976">
        <w:rPr>
          <w:rStyle w:val="Refdenotaalpie"/>
          <w:rFonts w:ascii="Verdana" w:hAnsi="Verdana"/>
          <w:sz w:val="16"/>
          <w:szCs w:val="16"/>
        </w:rPr>
        <w:footnoteRef/>
      </w:r>
      <w:r w:rsidRPr="00724976">
        <w:rPr>
          <w:rFonts w:ascii="Verdana" w:hAnsi="Verdana"/>
          <w:sz w:val="16"/>
          <w:szCs w:val="16"/>
        </w:rPr>
        <w:t xml:space="preserve"> </w:t>
      </w:r>
      <w:r w:rsidRPr="00724976">
        <w:rPr>
          <w:rFonts w:ascii="Verdana" w:eastAsia="Calibri" w:hAnsi="Verdana" w:cs="Arial"/>
          <w:sz w:val="16"/>
          <w:szCs w:val="16"/>
          <w:lang w:val="es-ES"/>
        </w:rPr>
        <w:t>Artículo 32, numeral 3º, de la Ley 80 de 1993</w:t>
      </w:r>
    </w:p>
  </w:footnote>
  <w:footnote w:id="3">
    <w:p w14:paraId="3996437D" w14:textId="77777777" w:rsidR="009D2AD6" w:rsidRDefault="009D2AD6" w:rsidP="009D2AD6">
      <w:pPr>
        <w:pStyle w:val="Textonotapie"/>
        <w:rPr>
          <w:rFonts w:ascii="Verdana" w:eastAsia="Calibri" w:hAnsi="Verdana" w:cs="Arial"/>
          <w:sz w:val="16"/>
          <w:szCs w:val="16"/>
          <w:lang w:val="es-ES"/>
        </w:rPr>
      </w:pPr>
      <w:r w:rsidRPr="00724976">
        <w:rPr>
          <w:rStyle w:val="Refdenotaalpie"/>
          <w:rFonts w:ascii="Verdana" w:hAnsi="Verdana"/>
          <w:sz w:val="16"/>
          <w:szCs w:val="16"/>
        </w:rPr>
        <w:footnoteRef/>
      </w:r>
      <w:r w:rsidRPr="00724976">
        <w:rPr>
          <w:rFonts w:ascii="Verdana" w:hAnsi="Verdana"/>
          <w:sz w:val="16"/>
          <w:szCs w:val="16"/>
        </w:rPr>
        <w:t xml:space="preserve"> </w:t>
      </w:r>
      <w:r w:rsidRPr="00724976">
        <w:rPr>
          <w:rFonts w:ascii="Verdana" w:eastAsia="Calibri" w:hAnsi="Verdana" w:cs="Arial"/>
          <w:sz w:val="16"/>
          <w:szCs w:val="16"/>
          <w:lang w:val="es-ES"/>
        </w:rPr>
        <w:t>Artículo 2, numeral 4º, literal h), de la Ley 1150 de 2007</w:t>
      </w:r>
    </w:p>
    <w:p w14:paraId="02927E47" w14:textId="77777777" w:rsidR="007A3C88" w:rsidRPr="00043704" w:rsidRDefault="007A3C88" w:rsidP="009D2AD6">
      <w:pPr>
        <w:pStyle w:val="Textonotapie"/>
        <w:rPr>
          <w:rFonts w:ascii="Verdana" w:hAnsi="Verdana"/>
          <w:sz w:val="16"/>
          <w:szCs w:val="16"/>
          <w:lang w:val="es-ES"/>
        </w:rPr>
      </w:pPr>
    </w:p>
  </w:footnote>
  <w:footnote w:id="4">
    <w:p w14:paraId="54A7D4A5" w14:textId="77777777" w:rsidR="009D2AD6" w:rsidRPr="00724976" w:rsidRDefault="009D2AD6" w:rsidP="009D2AD6">
      <w:pPr>
        <w:pStyle w:val="Textonotapie"/>
        <w:rPr>
          <w:rFonts w:ascii="Verdana" w:hAnsi="Verdana"/>
          <w:sz w:val="16"/>
          <w:szCs w:val="16"/>
          <w:lang w:val="es-ES"/>
        </w:rPr>
      </w:pPr>
      <w:r w:rsidRPr="00724976">
        <w:rPr>
          <w:rStyle w:val="Refdenotaalpie"/>
          <w:rFonts w:ascii="Verdana" w:hAnsi="Verdana"/>
          <w:sz w:val="16"/>
          <w:szCs w:val="16"/>
        </w:rPr>
        <w:footnoteRef/>
      </w:r>
      <w:r w:rsidRPr="00724976">
        <w:rPr>
          <w:rFonts w:ascii="Verdana" w:hAnsi="Verdana"/>
          <w:sz w:val="16"/>
          <w:szCs w:val="16"/>
        </w:rPr>
        <w:t xml:space="preserve"> Articulo </w:t>
      </w:r>
      <w:r w:rsidRPr="00724976">
        <w:rPr>
          <w:rFonts w:ascii="Verdana" w:eastAsia="Calibri" w:hAnsi="Verdana" w:cs="Arial"/>
          <w:sz w:val="16"/>
          <w:szCs w:val="16"/>
          <w:lang w:val="es-ES"/>
        </w:rPr>
        <w:t>32, numeral 3º, de la Ley 80 de 1993</w:t>
      </w:r>
    </w:p>
  </w:footnote>
  <w:footnote w:id="5">
    <w:p w14:paraId="4595ADA9" w14:textId="77777777" w:rsidR="009D2AD6" w:rsidRPr="00747045" w:rsidRDefault="009D2AD6" w:rsidP="009D2AD6">
      <w:pPr>
        <w:pStyle w:val="Textonotapie"/>
        <w:rPr>
          <w:rFonts w:ascii="Verdana" w:hAnsi="Verdana"/>
          <w:sz w:val="16"/>
          <w:szCs w:val="16"/>
          <w:lang w:val="es-ES"/>
        </w:rPr>
      </w:pPr>
      <w:r w:rsidRPr="00747045">
        <w:rPr>
          <w:rStyle w:val="Refdenotaalpie"/>
          <w:rFonts w:ascii="Verdana" w:hAnsi="Verdana"/>
          <w:sz w:val="16"/>
          <w:szCs w:val="16"/>
        </w:rPr>
        <w:footnoteRef/>
      </w:r>
      <w:r w:rsidRPr="00747045">
        <w:rPr>
          <w:rFonts w:ascii="Verdana" w:hAnsi="Verdana"/>
          <w:sz w:val="16"/>
          <w:szCs w:val="16"/>
        </w:rPr>
        <w:t xml:space="preserve"> Artículo 122 de la </w:t>
      </w:r>
      <w:r>
        <w:rPr>
          <w:rFonts w:ascii="Verdana" w:hAnsi="Verdana"/>
          <w:sz w:val="16"/>
          <w:szCs w:val="16"/>
        </w:rPr>
        <w:t xml:space="preserve">Constitución Política </w:t>
      </w:r>
      <w:r w:rsidRPr="00747045">
        <w:rPr>
          <w:rFonts w:ascii="Verdana" w:hAnsi="Verdana"/>
          <w:sz w:val="16"/>
          <w:szCs w:val="16"/>
        </w:rPr>
        <w:t xml:space="preserve"> </w:t>
      </w:r>
    </w:p>
  </w:footnote>
  <w:footnote w:id="6">
    <w:p w14:paraId="3DAE7053" w14:textId="77777777" w:rsidR="00AD7191" w:rsidRPr="00724976" w:rsidRDefault="00AD7191" w:rsidP="00AD7191">
      <w:pPr>
        <w:spacing w:after="0" w:line="240" w:lineRule="auto"/>
        <w:ind w:left="120" w:firstLine="707"/>
        <w:jc w:val="both"/>
        <w:rPr>
          <w:rFonts w:ascii="Verdana" w:hAnsi="Verdana" w:cs="Arial"/>
          <w:sz w:val="16"/>
          <w:szCs w:val="16"/>
        </w:rPr>
      </w:pPr>
      <w:r w:rsidRPr="00724976">
        <w:rPr>
          <w:rStyle w:val="Refdenotaalpie"/>
          <w:rFonts w:ascii="Verdana" w:hAnsi="Verdana" w:cs="Arial"/>
          <w:sz w:val="16"/>
          <w:szCs w:val="16"/>
        </w:rPr>
        <w:footnoteRef/>
      </w:r>
      <w:r w:rsidRPr="00724976">
        <w:rPr>
          <w:rFonts w:ascii="Verdana" w:hAnsi="Verdana" w:cs="Arial"/>
          <w:position w:val="6"/>
          <w:sz w:val="16"/>
          <w:szCs w:val="16"/>
        </w:rPr>
        <w:t xml:space="preserve"> </w:t>
      </w:r>
      <w:r w:rsidRPr="00724976">
        <w:rPr>
          <w:rFonts w:ascii="Verdana" w:hAnsi="Verdana" w:cs="Arial"/>
          <w:sz w:val="16"/>
          <w:szCs w:val="16"/>
        </w:rPr>
        <w:t>DEIK ACOSTAMADIEDO, Carolina, Guía de Contratación Estatal: Deber de planeación y modalidades de selección, Buenos Aires, 2015, p. 59.</w:t>
      </w:r>
    </w:p>
  </w:footnote>
  <w:footnote w:id="7">
    <w:p w14:paraId="6817EB3A" w14:textId="77777777" w:rsidR="00AD7191" w:rsidRPr="007A3C88" w:rsidRDefault="00AD7191" w:rsidP="00AD7191">
      <w:pPr>
        <w:pStyle w:val="Textonotapie"/>
        <w:ind w:firstLine="708"/>
        <w:jc w:val="both"/>
        <w:rPr>
          <w:rFonts w:ascii="Verdana" w:hAnsi="Verdana" w:cs="Arial"/>
          <w:sz w:val="16"/>
          <w:szCs w:val="16"/>
          <w:lang w:val="pt-BR"/>
        </w:rPr>
      </w:pPr>
      <w:r w:rsidRPr="007A3C88">
        <w:rPr>
          <w:rStyle w:val="Refdenotaalpie"/>
          <w:rFonts w:ascii="Verdana" w:hAnsi="Verdana" w:cs="Arial"/>
          <w:sz w:val="16"/>
          <w:szCs w:val="16"/>
        </w:rPr>
        <w:footnoteRef/>
      </w:r>
      <w:r w:rsidRPr="007A3C88">
        <w:rPr>
          <w:rFonts w:ascii="Verdana" w:hAnsi="Verdana" w:cs="Arial"/>
          <w:sz w:val="16"/>
          <w:szCs w:val="16"/>
          <w:lang w:val="pt-BR"/>
        </w:rPr>
        <w:t xml:space="preserve"> Tomado de </w:t>
      </w:r>
      <w:hyperlink r:id="rId1" w:history="1">
        <w:r w:rsidRPr="007A3C88">
          <w:rPr>
            <w:rStyle w:val="Hipervnculo"/>
            <w:rFonts w:ascii="Verdana" w:hAnsi="Verdana" w:cs="Arial"/>
            <w:color w:val="44546A" w:themeColor="text2"/>
            <w:sz w:val="16"/>
            <w:szCs w:val="16"/>
            <w:lang w:val="pt-BR"/>
          </w:rPr>
          <w:t>https://sintesis.colombiacompra.gov.co/sintesis/9-etapa-precontractual-estudios-previos</w:t>
        </w:r>
      </w:hyperlink>
      <w:r w:rsidRPr="007A3C88">
        <w:rPr>
          <w:rFonts w:ascii="Verdana" w:hAnsi="Verdana" w:cs="Arial"/>
          <w:sz w:val="16"/>
          <w:szCs w:val="16"/>
          <w:lang w:val="pt-BR"/>
        </w:rPr>
        <w:t>.</w:t>
      </w:r>
    </w:p>
  </w:footnote>
  <w:footnote w:id="8">
    <w:p w14:paraId="78A8106B" w14:textId="77777777" w:rsidR="00AD7191" w:rsidRDefault="00AD7191" w:rsidP="00AD7191">
      <w:pPr>
        <w:pStyle w:val="Textoindependiente"/>
        <w:ind w:right="103" w:firstLine="709"/>
        <w:jc w:val="both"/>
        <w:rPr>
          <w:rFonts w:ascii="Verdana" w:hAnsi="Verdana"/>
          <w:sz w:val="16"/>
          <w:szCs w:val="16"/>
        </w:rPr>
      </w:pPr>
      <w:r w:rsidRPr="00724976">
        <w:rPr>
          <w:rStyle w:val="Refdenotaalpie"/>
          <w:rFonts w:ascii="Verdana" w:hAnsi="Verdana"/>
          <w:sz w:val="16"/>
          <w:szCs w:val="16"/>
        </w:rPr>
        <w:footnoteRef/>
      </w:r>
      <w:r w:rsidRPr="00724976">
        <w:rPr>
          <w:rFonts w:ascii="Verdana" w:hAnsi="Verdana"/>
          <w:sz w:val="16"/>
          <w:szCs w:val="16"/>
        </w:rPr>
        <w:t xml:space="preserve"> </w:t>
      </w:r>
      <w:r w:rsidRPr="00724976">
        <w:rPr>
          <w:rFonts w:ascii="Verdana" w:hAnsi="Verdana"/>
          <w:position w:val="6"/>
          <w:sz w:val="16"/>
          <w:szCs w:val="16"/>
        </w:rPr>
        <w:t xml:space="preserve"> </w:t>
      </w:r>
      <w:r w:rsidRPr="00724976">
        <w:rPr>
          <w:rFonts w:ascii="Verdana" w:hAnsi="Verdana"/>
          <w:sz w:val="16"/>
          <w:szCs w:val="16"/>
        </w:rPr>
        <w:t xml:space="preserve">“Artículo </w:t>
      </w:r>
      <w:bookmarkStart w:id="3" w:name="_Hlk54173885"/>
      <w:r w:rsidRPr="00724976">
        <w:rPr>
          <w:rFonts w:ascii="Verdana" w:hAnsi="Verdana"/>
          <w:sz w:val="16"/>
          <w:szCs w:val="16"/>
        </w:rPr>
        <w:t>2.2.1.1.2.1.1</w:t>
      </w:r>
      <w:bookmarkEnd w:id="3"/>
      <w:r w:rsidRPr="00724976">
        <w:rPr>
          <w:rFonts w:ascii="Verdana" w:hAnsi="Verdana"/>
          <w:sz w:val="16"/>
          <w:szCs w:val="16"/>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0BAE702D" w14:textId="77777777" w:rsidR="007A3C88" w:rsidRPr="00724976" w:rsidRDefault="007A3C88" w:rsidP="00AD7191">
      <w:pPr>
        <w:pStyle w:val="Textoindependiente"/>
        <w:ind w:right="103" w:firstLine="709"/>
        <w:jc w:val="both"/>
        <w:rPr>
          <w:rFonts w:ascii="Verdana" w:hAnsi="Verdana"/>
          <w:sz w:val="16"/>
          <w:szCs w:val="16"/>
        </w:rPr>
      </w:pPr>
    </w:p>
  </w:footnote>
  <w:footnote w:id="9">
    <w:p w14:paraId="628ADED7" w14:textId="77777777" w:rsidR="00AD7191" w:rsidRPr="00724976" w:rsidRDefault="00AD7191" w:rsidP="00AD7191">
      <w:pPr>
        <w:pStyle w:val="Textoindependiente"/>
        <w:ind w:right="108" w:firstLine="708"/>
        <w:jc w:val="both"/>
        <w:rPr>
          <w:rFonts w:ascii="Verdana" w:hAnsi="Verdana"/>
          <w:sz w:val="16"/>
          <w:szCs w:val="16"/>
        </w:rPr>
      </w:pPr>
      <w:r w:rsidRPr="00724976">
        <w:rPr>
          <w:rStyle w:val="Refdenotaalpie"/>
          <w:rFonts w:ascii="Verdana" w:hAnsi="Verdana"/>
          <w:sz w:val="16"/>
          <w:szCs w:val="16"/>
        </w:rPr>
        <w:footnoteRef/>
      </w:r>
      <w:r w:rsidRPr="00724976">
        <w:rPr>
          <w:rFonts w:ascii="Verdana" w:hAnsi="Verdana"/>
          <w:sz w:val="16"/>
          <w:szCs w:val="16"/>
        </w:rPr>
        <w:t xml:space="preserve"> Consejo de Estado, Sala de lo Contencioso Administrativo. Sección Tercera, Subsección B,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footnote>
  <w:footnote w:id="10">
    <w:p w14:paraId="0493D59F" w14:textId="77777777" w:rsidR="00AD7191" w:rsidRPr="007A3C88" w:rsidRDefault="00AD7191" w:rsidP="00AD7191">
      <w:pPr>
        <w:pStyle w:val="Textonotapie"/>
        <w:ind w:firstLine="708"/>
        <w:jc w:val="both"/>
        <w:rPr>
          <w:rFonts w:ascii="Verdana" w:hAnsi="Verdana" w:cs="Arial"/>
          <w:sz w:val="16"/>
          <w:szCs w:val="16"/>
          <w:lang w:val="es-ES"/>
        </w:rPr>
      </w:pPr>
      <w:r w:rsidRPr="007A3C88">
        <w:rPr>
          <w:rStyle w:val="Refdenotaalpie"/>
          <w:rFonts w:ascii="Verdana" w:hAnsi="Verdana" w:cs="Arial"/>
          <w:sz w:val="16"/>
          <w:szCs w:val="16"/>
        </w:rPr>
        <w:footnoteRef/>
      </w:r>
      <w:r w:rsidRPr="007A3C88">
        <w:rPr>
          <w:rFonts w:ascii="Verdana" w:hAnsi="Verdana" w:cs="Arial"/>
          <w:sz w:val="16"/>
          <w:szCs w:val="16"/>
        </w:rPr>
        <w:t xml:space="preserve"> </w:t>
      </w:r>
      <w:r w:rsidRPr="007A3C88">
        <w:rPr>
          <w:rFonts w:ascii="Verdana" w:hAnsi="Verdana" w:cs="Arial"/>
          <w:sz w:val="16"/>
          <w:szCs w:val="16"/>
          <w:lang w:val="es-ES"/>
        </w:rPr>
        <w:t xml:space="preserve">La </w:t>
      </w:r>
      <w:r w:rsidRPr="007A3C88">
        <w:rPr>
          <w:rFonts w:ascii="Verdana" w:eastAsia="Calibri" w:hAnsi="Verdana" w:cs="Arial"/>
          <w:bCs/>
          <w:sz w:val="16"/>
          <w:szCs w:val="16"/>
          <w:lang w:val="es-ES_tradnl"/>
        </w:rPr>
        <w:t xml:space="preserve">“Guía para la Elaboración de Estudios del Sector” puede ser consultada en el siguiente </w:t>
      </w:r>
      <w:proofErr w:type="gramStart"/>
      <w:r w:rsidRPr="007A3C88">
        <w:rPr>
          <w:rFonts w:ascii="Verdana" w:eastAsia="Calibri" w:hAnsi="Verdana" w:cs="Arial"/>
          <w:bCs/>
          <w:sz w:val="16"/>
          <w:szCs w:val="16"/>
          <w:lang w:val="es-ES_tradnl"/>
        </w:rPr>
        <w:t>link</w:t>
      </w:r>
      <w:proofErr w:type="gramEnd"/>
      <w:r w:rsidRPr="007A3C88">
        <w:rPr>
          <w:rFonts w:ascii="Verdana" w:eastAsia="Calibri" w:hAnsi="Verdana" w:cs="Arial"/>
          <w:bCs/>
          <w:sz w:val="16"/>
          <w:szCs w:val="16"/>
          <w:lang w:val="es-ES_tradnl"/>
        </w:rPr>
        <w:t>:</w:t>
      </w:r>
      <w:r w:rsidRPr="007A3C88">
        <w:rPr>
          <w:rFonts w:ascii="Verdana" w:hAnsi="Verdana" w:cs="Arial"/>
          <w:sz w:val="16"/>
          <w:szCs w:val="16"/>
          <w:lang w:val="es-ES"/>
        </w:rPr>
        <w:t xml:space="preserve"> </w:t>
      </w:r>
      <w:hyperlink r:id="rId2" w:history="1">
        <w:r w:rsidRPr="007A3C88">
          <w:rPr>
            <w:rStyle w:val="Hipervnculo"/>
            <w:rFonts w:ascii="Verdana" w:hAnsi="Verdana" w:cs="Arial"/>
            <w:sz w:val="16"/>
            <w:szCs w:val="16"/>
            <w:lang w:val="es-ES"/>
          </w:rPr>
          <w:t>https://www.colombiacompra.gov.co/sites/cce_public/files/cce_documentos/cce-eicp-gi-18._gees_v.2_2.pdf</w:t>
        </w:r>
      </w:hyperlink>
      <w:r w:rsidRPr="007A3C88">
        <w:rPr>
          <w:rFonts w:ascii="Verdana" w:hAnsi="Verdana" w:cs="Arial"/>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p w14:paraId="1E689AC0" w14:textId="77777777" w:rsidR="001A0317" w:rsidRDefault="001A03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1B13"/>
      </v:shape>
    </w:pict>
  </w:numPicBullet>
  <w:abstractNum w:abstractNumId="0" w15:restartNumberingAfterBreak="0">
    <w:nsid w:val="015E1A66"/>
    <w:multiLevelType w:val="hybridMultilevel"/>
    <w:tmpl w:val="475E5600"/>
    <w:lvl w:ilvl="0" w:tplc="B9BC15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C203F"/>
    <w:multiLevelType w:val="hybridMultilevel"/>
    <w:tmpl w:val="77184076"/>
    <w:lvl w:ilvl="0" w:tplc="FD0C58C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05F36B8E"/>
    <w:multiLevelType w:val="hybridMultilevel"/>
    <w:tmpl w:val="98E2C49C"/>
    <w:lvl w:ilvl="0" w:tplc="CF4E8390">
      <w:start w:val="1"/>
      <w:numFmt w:val="upperRoman"/>
      <w:lvlText w:val="%1)"/>
      <w:lvlJc w:val="left"/>
      <w:pPr>
        <w:ind w:left="1080" w:hanging="72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C07121A"/>
    <w:multiLevelType w:val="hybridMultilevel"/>
    <w:tmpl w:val="1EF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7733BBA"/>
    <w:multiLevelType w:val="hybridMultilevel"/>
    <w:tmpl w:val="37063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1EA4083"/>
    <w:multiLevelType w:val="hybridMultilevel"/>
    <w:tmpl w:val="AF26C08E"/>
    <w:lvl w:ilvl="0" w:tplc="365A6400">
      <w:start w:val="1"/>
      <w:numFmt w:val="lowerRoman"/>
      <w:lvlText w:val="%1)"/>
      <w:lvlJc w:val="left"/>
      <w:pPr>
        <w:ind w:left="795" w:hanging="72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9"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F60BDD"/>
    <w:multiLevelType w:val="hybridMultilevel"/>
    <w:tmpl w:val="1B8043C6"/>
    <w:lvl w:ilvl="0" w:tplc="83FE4630">
      <w:start w:val="6"/>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6A7437"/>
    <w:multiLevelType w:val="hybridMultilevel"/>
    <w:tmpl w:val="4ED83804"/>
    <w:lvl w:ilvl="0" w:tplc="5B9AB1CC">
      <w:start w:val="1"/>
      <w:numFmt w:val="lowerRoman"/>
      <w:lvlText w:val="%1)"/>
      <w:lvlJc w:val="left"/>
      <w:pPr>
        <w:ind w:left="1174" w:hanging="720"/>
      </w:pPr>
      <w:rPr>
        <w:rFonts w:hint="default"/>
      </w:rPr>
    </w:lvl>
    <w:lvl w:ilvl="1" w:tplc="240A0019" w:tentative="1">
      <w:start w:val="1"/>
      <w:numFmt w:val="lowerLetter"/>
      <w:lvlText w:val="%2."/>
      <w:lvlJc w:val="left"/>
      <w:pPr>
        <w:ind w:left="1534" w:hanging="360"/>
      </w:pPr>
    </w:lvl>
    <w:lvl w:ilvl="2" w:tplc="240A001B" w:tentative="1">
      <w:start w:val="1"/>
      <w:numFmt w:val="lowerRoman"/>
      <w:lvlText w:val="%3."/>
      <w:lvlJc w:val="right"/>
      <w:pPr>
        <w:ind w:left="2254" w:hanging="180"/>
      </w:pPr>
    </w:lvl>
    <w:lvl w:ilvl="3" w:tplc="240A000F" w:tentative="1">
      <w:start w:val="1"/>
      <w:numFmt w:val="decimal"/>
      <w:lvlText w:val="%4."/>
      <w:lvlJc w:val="left"/>
      <w:pPr>
        <w:ind w:left="2974" w:hanging="360"/>
      </w:pPr>
    </w:lvl>
    <w:lvl w:ilvl="4" w:tplc="240A0019" w:tentative="1">
      <w:start w:val="1"/>
      <w:numFmt w:val="lowerLetter"/>
      <w:lvlText w:val="%5."/>
      <w:lvlJc w:val="left"/>
      <w:pPr>
        <w:ind w:left="3694" w:hanging="360"/>
      </w:pPr>
    </w:lvl>
    <w:lvl w:ilvl="5" w:tplc="240A001B" w:tentative="1">
      <w:start w:val="1"/>
      <w:numFmt w:val="lowerRoman"/>
      <w:lvlText w:val="%6."/>
      <w:lvlJc w:val="right"/>
      <w:pPr>
        <w:ind w:left="4414" w:hanging="180"/>
      </w:pPr>
    </w:lvl>
    <w:lvl w:ilvl="6" w:tplc="240A000F" w:tentative="1">
      <w:start w:val="1"/>
      <w:numFmt w:val="decimal"/>
      <w:lvlText w:val="%7."/>
      <w:lvlJc w:val="left"/>
      <w:pPr>
        <w:ind w:left="5134" w:hanging="360"/>
      </w:pPr>
    </w:lvl>
    <w:lvl w:ilvl="7" w:tplc="240A0019" w:tentative="1">
      <w:start w:val="1"/>
      <w:numFmt w:val="lowerLetter"/>
      <w:lvlText w:val="%8."/>
      <w:lvlJc w:val="left"/>
      <w:pPr>
        <w:ind w:left="5854" w:hanging="360"/>
      </w:pPr>
    </w:lvl>
    <w:lvl w:ilvl="8" w:tplc="240A001B" w:tentative="1">
      <w:start w:val="1"/>
      <w:numFmt w:val="lowerRoman"/>
      <w:lvlText w:val="%9."/>
      <w:lvlJc w:val="right"/>
      <w:pPr>
        <w:ind w:left="6574" w:hanging="180"/>
      </w:pPr>
    </w:lvl>
  </w:abstractNum>
  <w:abstractNum w:abstractNumId="15"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23FD3"/>
    <w:multiLevelType w:val="hybridMultilevel"/>
    <w:tmpl w:val="EDCC3386"/>
    <w:lvl w:ilvl="0" w:tplc="E414986C">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956126"/>
    <w:multiLevelType w:val="hybridMultilevel"/>
    <w:tmpl w:val="CE18281A"/>
    <w:lvl w:ilvl="0" w:tplc="B686C3BC">
      <w:start w:val="1"/>
      <w:numFmt w:val="decimal"/>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6057396F"/>
    <w:multiLevelType w:val="hybridMultilevel"/>
    <w:tmpl w:val="1160FA9E"/>
    <w:lvl w:ilvl="0" w:tplc="0F22EEB6">
      <w:start w:val="1"/>
      <w:numFmt w:val="decimal"/>
      <w:lvlText w:val="%1."/>
      <w:lvlJc w:val="left"/>
      <w:pPr>
        <w:ind w:left="385" w:hanging="284"/>
      </w:pPr>
      <w:rPr>
        <w:rFonts w:ascii="Verdana" w:eastAsia="Verdana" w:hAnsi="Verdana" w:cs="Verdana" w:hint="default"/>
        <w:b/>
        <w:bCs/>
        <w:spacing w:val="-1"/>
        <w:w w:val="99"/>
        <w:sz w:val="22"/>
        <w:szCs w:val="22"/>
        <w:lang w:val="es-ES" w:eastAsia="en-US" w:bidi="ar-SA"/>
      </w:rPr>
    </w:lvl>
    <w:lvl w:ilvl="1" w:tplc="6EEA6C6E">
      <w:start w:val="8"/>
      <w:numFmt w:val="lowerLetter"/>
      <w:lvlText w:val="%2)"/>
      <w:lvlJc w:val="left"/>
      <w:pPr>
        <w:ind w:left="810" w:hanging="356"/>
      </w:pPr>
      <w:rPr>
        <w:rFonts w:ascii="Verdana" w:eastAsia="Verdana" w:hAnsi="Verdana" w:cs="Verdana" w:hint="default"/>
        <w:spacing w:val="-1"/>
        <w:w w:val="99"/>
        <w:sz w:val="22"/>
        <w:szCs w:val="22"/>
        <w:lang w:val="es-ES" w:eastAsia="en-US" w:bidi="ar-SA"/>
      </w:rPr>
    </w:lvl>
    <w:lvl w:ilvl="2" w:tplc="3F96B438">
      <w:numFmt w:val="bullet"/>
      <w:lvlText w:val="•"/>
      <w:lvlJc w:val="left"/>
      <w:pPr>
        <w:ind w:left="1822" w:hanging="356"/>
      </w:pPr>
      <w:rPr>
        <w:rFonts w:hint="default"/>
        <w:lang w:val="es-ES" w:eastAsia="en-US" w:bidi="ar-SA"/>
      </w:rPr>
    </w:lvl>
    <w:lvl w:ilvl="3" w:tplc="376EC5F4">
      <w:numFmt w:val="bullet"/>
      <w:lvlText w:val="•"/>
      <w:lvlJc w:val="left"/>
      <w:pPr>
        <w:ind w:left="2824" w:hanging="356"/>
      </w:pPr>
      <w:rPr>
        <w:rFonts w:hint="default"/>
        <w:lang w:val="es-ES" w:eastAsia="en-US" w:bidi="ar-SA"/>
      </w:rPr>
    </w:lvl>
    <w:lvl w:ilvl="4" w:tplc="A5D69F40">
      <w:numFmt w:val="bullet"/>
      <w:lvlText w:val="•"/>
      <w:lvlJc w:val="left"/>
      <w:pPr>
        <w:ind w:left="3826" w:hanging="356"/>
      </w:pPr>
      <w:rPr>
        <w:rFonts w:hint="default"/>
        <w:lang w:val="es-ES" w:eastAsia="en-US" w:bidi="ar-SA"/>
      </w:rPr>
    </w:lvl>
    <w:lvl w:ilvl="5" w:tplc="FA9825B8">
      <w:numFmt w:val="bullet"/>
      <w:lvlText w:val="•"/>
      <w:lvlJc w:val="left"/>
      <w:pPr>
        <w:ind w:left="4828" w:hanging="356"/>
      </w:pPr>
      <w:rPr>
        <w:rFonts w:hint="default"/>
        <w:lang w:val="es-ES" w:eastAsia="en-US" w:bidi="ar-SA"/>
      </w:rPr>
    </w:lvl>
    <w:lvl w:ilvl="6" w:tplc="724062A4">
      <w:numFmt w:val="bullet"/>
      <w:lvlText w:val="•"/>
      <w:lvlJc w:val="left"/>
      <w:pPr>
        <w:ind w:left="5831" w:hanging="356"/>
      </w:pPr>
      <w:rPr>
        <w:rFonts w:hint="default"/>
        <w:lang w:val="es-ES" w:eastAsia="en-US" w:bidi="ar-SA"/>
      </w:rPr>
    </w:lvl>
    <w:lvl w:ilvl="7" w:tplc="A802FAE0">
      <w:numFmt w:val="bullet"/>
      <w:lvlText w:val="•"/>
      <w:lvlJc w:val="left"/>
      <w:pPr>
        <w:ind w:left="6833" w:hanging="356"/>
      </w:pPr>
      <w:rPr>
        <w:rFonts w:hint="default"/>
        <w:lang w:val="es-ES" w:eastAsia="en-US" w:bidi="ar-SA"/>
      </w:rPr>
    </w:lvl>
    <w:lvl w:ilvl="8" w:tplc="2296184C">
      <w:numFmt w:val="bullet"/>
      <w:lvlText w:val="•"/>
      <w:lvlJc w:val="left"/>
      <w:pPr>
        <w:ind w:left="7835" w:hanging="356"/>
      </w:pPr>
      <w:rPr>
        <w:rFonts w:hint="default"/>
        <w:lang w:val="es-ES" w:eastAsia="en-US" w:bidi="ar-SA"/>
      </w:rPr>
    </w:lvl>
  </w:abstractNum>
  <w:abstractNum w:abstractNumId="20" w15:restartNumberingAfterBreak="0">
    <w:nsid w:val="60625F7B"/>
    <w:multiLevelType w:val="hybridMultilevel"/>
    <w:tmpl w:val="9C6AFB44"/>
    <w:lvl w:ilvl="0" w:tplc="CAB644BE">
      <w:start w:val="1"/>
      <w:numFmt w:val="lowerRoman"/>
      <w:lvlText w:val="%1)"/>
      <w:lvlJc w:val="left"/>
      <w:pPr>
        <w:ind w:left="1429" w:hanging="720"/>
      </w:pPr>
      <w:rPr>
        <w:rFonts w:hint="default"/>
        <w:sz w:val="21"/>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62157AE3"/>
    <w:multiLevelType w:val="hybridMultilevel"/>
    <w:tmpl w:val="AE486BFE"/>
    <w:lvl w:ilvl="0" w:tplc="C1EE7CA8">
      <w:start w:val="1"/>
      <w:numFmt w:val="lowerRoman"/>
      <w:lvlText w:val="(%1)"/>
      <w:lvlJc w:val="left"/>
      <w:pPr>
        <w:ind w:left="1789" w:hanging="108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3" w15:restartNumberingAfterBreak="0">
    <w:nsid w:val="63D76CC5"/>
    <w:multiLevelType w:val="hybridMultilevel"/>
    <w:tmpl w:val="CABADA60"/>
    <w:lvl w:ilvl="0" w:tplc="EA58E7CA">
      <w:start w:val="3"/>
      <w:numFmt w:val="lowerRoman"/>
      <w:lvlText w:val="(%1)"/>
      <w:lvlJc w:val="left"/>
      <w:pPr>
        <w:ind w:left="1155" w:hanging="108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A26E8"/>
    <w:multiLevelType w:val="hybridMultilevel"/>
    <w:tmpl w:val="E9A864EE"/>
    <w:lvl w:ilvl="0" w:tplc="7BCE331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240AD"/>
    <w:multiLevelType w:val="hybridMultilevel"/>
    <w:tmpl w:val="DDA6AFA8"/>
    <w:lvl w:ilvl="0" w:tplc="6078672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B44281A"/>
    <w:multiLevelType w:val="hybridMultilevel"/>
    <w:tmpl w:val="98301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13"/>
  </w:num>
  <w:num w:numId="2" w16cid:durableId="19822139">
    <w:abstractNumId w:val="4"/>
  </w:num>
  <w:num w:numId="3" w16cid:durableId="876742304">
    <w:abstractNumId w:val="11"/>
  </w:num>
  <w:num w:numId="4" w16cid:durableId="245186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4"/>
  </w:num>
  <w:num w:numId="6" w16cid:durableId="316692925">
    <w:abstractNumId w:val="27"/>
  </w:num>
  <w:num w:numId="7" w16cid:durableId="1946422806">
    <w:abstractNumId w:val="12"/>
  </w:num>
  <w:num w:numId="8" w16cid:durableId="152644682">
    <w:abstractNumId w:val="25"/>
  </w:num>
  <w:num w:numId="9" w16cid:durableId="1317221377">
    <w:abstractNumId w:val="15"/>
  </w:num>
  <w:num w:numId="10" w16cid:durableId="1471245386">
    <w:abstractNumId w:val="24"/>
  </w:num>
  <w:num w:numId="11" w16cid:durableId="289172385">
    <w:abstractNumId w:val="16"/>
  </w:num>
  <w:num w:numId="12" w16cid:durableId="1470781324">
    <w:abstractNumId w:val="1"/>
  </w:num>
  <w:num w:numId="13" w16cid:durableId="1512908409">
    <w:abstractNumId w:val="9"/>
  </w:num>
  <w:num w:numId="14" w16cid:durableId="895897244">
    <w:abstractNumId w:val="28"/>
  </w:num>
  <w:num w:numId="15" w16cid:durableId="390349800">
    <w:abstractNumId w:val="22"/>
  </w:num>
  <w:num w:numId="16" w16cid:durableId="485359972">
    <w:abstractNumId w:val="18"/>
  </w:num>
  <w:num w:numId="17" w16cid:durableId="84497803">
    <w:abstractNumId w:val="5"/>
  </w:num>
  <w:num w:numId="18" w16cid:durableId="1055735186">
    <w:abstractNumId w:val="26"/>
  </w:num>
  <w:num w:numId="19" w16cid:durableId="1091896638">
    <w:abstractNumId w:val="30"/>
  </w:num>
  <w:num w:numId="20" w16cid:durableId="219025838">
    <w:abstractNumId w:val="7"/>
  </w:num>
  <w:num w:numId="21" w16cid:durableId="1916746380">
    <w:abstractNumId w:val="17"/>
  </w:num>
  <w:num w:numId="22" w16cid:durableId="991132821">
    <w:abstractNumId w:val="6"/>
  </w:num>
  <w:num w:numId="23" w16cid:durableId="2054847632">
    <w:abstractNumId w:val="21"/>
  </w:num>
  <w:num w:numId="24" w16cid:durableId="1074670116">
    <w:abstractNumId w:val="0"/>
  </w:num>
  <w:num w:numId="25" w16cid:durableId="1596358117">
    <w:abstractNumId w:val="2"/>
  </w:num>
  <w:num w:numId="26" w16cid:durableId="1417168452">
    <w:abstractNumId w:val="20"/>
  </w:num>
  <w:num w:numId="27" w16cid:durableId="1846556868">
    <w:abstractNumId w:val="3"/>
  </w:num>
  <w:num w:numId="28" w16cid:durableId="923685677">
    <w:abstractNumId w:val="8"/>
  </w:num>
  <w:num w:numId="29" w16cid:durableId="881794596">
    <w:abstractNumId w:val="23"/>
  </w:num>
  <w:num w:numId="30" w16cid:durableId="1952275083">
    <w:abstractNumId w:val="10"/>
  </w:num>
  <w:num w:numId="31" w16cid:durableId="1572932752">
    <w:abstractNumId w:val="29"/>
  </w:num>
  <w:num w:numId="32" w16cid:durableId="322971266">
    <w:abstractNumId w:val="19"/>
  </w:num>
  <w:num w:numId="33" w16cid:durableId="856850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283"/>
    <w:rsid w:val="000070E5"/>
    <w:rsid w:val="00011DB8"/>
    <w:rsid w:val="00014BC5"/>
    <w:rsid w:val="00025D0A"/>
    <w:rsid w:val="00043689"/>
    <w:rsid w:val="00047F9B"/>
    <w:rsid w:val="00056A95"/>
    <w:rsid w:val="00061B2A"/>
    <w:rsid w:val="00071E94"/>
    <w:rsid w:val="00082362"/>
    <w:rsid w:val="00094EA8"/>
    <w:rsid w:val="000A683E"/>
    <w:rsid w:val="000B19B9"/>
    <w:rsid w:val="000B4F6B"/>
    <w:rsid w:val="000B506F"/>
    <w:rsid w:val="000C456F"/>
    <w:rsid w:val="000D0334"/>
    <w:rsid w:val="000E3FC6"/>
    <w:rsid w:val="000E7FF3"/>
    <w:rsid w:val="000F12D9"/>
    <w:rsid w:val="000F1EED"/>
    <w:rsid w:val="000F2083"/>
    <w:rsid w:val="000F6486"/>
    <w:rsid w:val="00103D1A"/>
    <w:rsid w:val="00104304"/>
    <w:rsid w:val="00110B75"/>
    <w:rsid w:val="001122EB"/>
    <w:rsid w:val="00114AD4"/>
    <w:rsid w:val="00117474"/>
    <w:rsid w:val="00124F3C"/>
    <w:rsid w:val="00125105"/>
    <w:rsid w:val="00127233"/>
    <w:rsid w:val="001338F8"/>
    <w:rsid w:val="00141F0C"/>
    <w:rsid w:val="00143239"/>
    <w:rsid w:val="00154E72"/>
    <w:rsid w:val="001567E6"/>
    <w:rsid w:val="00156F4C"/>
    <w:rsid w:val="00163212"/>
    <w:rsid w:val="001714D0"/>
    <w:rsid w:val="00172CE9"/>
    <w:rsid w:val="00173E94"/>
    <w:rsid w:val="00177106"/>
    <w:rsid w:val="00192A28"/>
    <w:rsid w:val="0019767A"/>
    <w:rsid w:val="001A0317"/>
    <w:rsid w:val="001B1328"/>
    <w:rsid w:val="001B1494"/>
    <w:rsid w:val="001B4A2E"/>
    <w:rsid w:val="001B4DF0"/>
    <w:rsid w:val="001B5E66"/>
    <w:rsid w:val="001C4EA9"/>
    <w:rsid w:val="001D2F0E"/>
    <w:rsid w:val="001D3E2D"/>
    <w:rsid w:val="001D6E27"/>
    <w:rsid w:val="001E358D"/>
    <w:rsid w:val="001E4177"/>
    <w:rsid w:val="001E5179"/>
    <w:rsid w:val="001F1B60"/>
    <w:rsid w:val="001F34FA"/>
    <w:rsid w:val="001F351E"/>
    <w:rsid w:val="001F3941"/>
    <w:rsid w:val="001F7DC6"/>
    <w:rsid w:val="002005A9"/>
    <w:rsid w:val="00203BE0"/>
    <w:rsid w:val="00215853"/>
    <w:rsid w:val="00215C2A"/>
    <w:rsid w:val="002237D7"/>
    <w:rsid w:val="00231734"/>
    <w:rsid w:val="002335F7"/>
    <w:rsid w:val="002421BB"/>
    <w:rsid w:val="00247B20"/>
    <w:rsid w:val="002503E7"/>
    <w:rsid w:val="0025796E"/>
    <w:rsid w:val="00257A88"/>
    <w:rsid w:val="00264630"/>
    <w:rsid w:val="002707A2"/>
    <w:rsid w:val="00273067"/>
    <w:rsid w:val="002819F9"/>
    <w:rsid w:val="00286C59"/>
    <w:rsid w:val="002950B0"/>
    <w:rsid w:val="002951A0"/>
    <w:rsid w:val="002962BC"/>
    <w:rsid w:val="002A04FE"/>
    <w:rsid w:val="002A08BB"/>
    <w:rsid w:val="002A093D"/>
    <w:rsid w:val="002A0DD0"/>
    <w:rsid w:val="002A49AC"/>
    <w:rsid w:val="002A64FD"/>
    <w:rsid w:val="002C7A84"/>
    <w:rsid w:val="002D61E1"/>
    <w:rsid w:val="002E4FD9"/>
    <w:rsid w:val="002F28BE"/>
    <w:rsid w:val="002F75AC"/>
    <w:rsid w:val="00306561"/>
    <w:rsid w:val="00310850"/>
    <w:rsid w:val="00313B13"/>
    <w:rsid w:val="00322A85"/>
    <w:rsid w:val="00324168"/>
    <w:rsid w:val="00340B08"/>
    <w:rsid w:val="003448F4"/>
    <w:rsid w:val="003474E6"/>
    <w:rsid w:val="00357667"/>
    <w:rsid w:val="00360D5F"/>
    <w:rsid w:val="003645B5"/>
    <w:rsid w:val="00374F5E"/>
    <w:rsid w:val="00377E3E"/>
    <w:rsid w:val="00382EC7"/>
    <w:rsid w:val="00383525"/>
    <w:rsid w:val="00390083"/>
    <w:rsid w:val="003A26D1"/>
    <w:rsid w:val="003A779E"/>
    <w:rsid w:val="003B0C64"/>
    <w:rsid w:val="003C190F"/>
    <w:rsid w:val="003C6D61"/>
    <w:rsid w:val="003D01EE"/>
    <w:rsid w:val="003D03CE"/>
    <w:rsid w:val="003D0F4D"/>
    <w:rsid w:val="003D4C13"/>
    <w:rsid w:val="003D5B0D"/>
    <w:rsid w:val="003E0499"/>
    <w:rsid w:val="003E60CF"/>
    <w:rsid w:val="003F3941"/>
    <w:rsid w:val="00401E1E"/>
    <w:rsid w:val="0040323E"/>
    <w:rsid w:val="004064AB"/>
    <w:rsid w:val="00406575"/>
    <w:rsid w:val="00412F64"/>
    <w:rsid w:val="0042557E"/>
    <w:rsid w:val="00426D09"/>
    <w:rsid w:val="0042722E"/>
    <w:rsid w:val="004274E5"/>
    <w:rsid w:val="00435E9B"/>
    <w:rsid w:val="00441C22"/>
    <w:rsid w:val="0044528D"/>
    <w:rsid w:val="00452C48"/>
    <w:rsid w:val="00455E5B"/>
    <w:rsid w:val="0046127F"/>
    <w:rsid w:val="00466ECF"/>
    <w:rsid w:val="00470423"/>
    <w:rsid w:val="00483E13"/>
    <w:rsid w:val="00492255"/>
    <w:rsid w:val="004A1847"/>
    <w:rsid w:val="004A305D"/>
    <w:rsid w:val="004B2B2F"/>
    <w:rsid w:val="004C1CE0"/>
    <w:rsid w:val="004C5FF1"/>
    <w:rsid w:val="004C7C78"/>
    <w:rsid w:val="004E21A7"/>
    <w:rsid w:val="004E3927"/>
    <w:rsid w:val="004E5320"/>
    <w:rsid w:val="004F21C4"/>
    <w:rsid w:val="004F2627"/>
    <w:rsid w:val="004F685F"/>
    <w:rsid w:val="00506578"/>
    <w:rsid w:val="00507345"/>
    <w:rsid w:val="00535AF4"/>
    <w:rsid w:val="00540601"/>
    <w:rsid w:val="00552AF3"/>
    <w:rsid w:val="005566E8"/>
    <w:rsid w:val="00560D2A"/>
    <w:rsid w:val="00566696"/>
    <w:rsid w:val="00574867"/>
    <w:rsid w:val="00576074"/>
    <w:rsid w:val="00577186"/>
    <w:rsid w:val="00586946"/>
    <w:rsid w:val="00590E26"/>
    <w:rsid w:val="00591460"/>
    <w:rsid w:val="00592628"/>
    <w:rsid w:val="005A3540"/>
    <w:rsid w:val="005A426D"/>
    <w:rsid w:val="005A5F47"/>
    <w:rsid w:val="005C3777"/>
    <w:rsid w:val="005C3A4A"/>
    <w:rsid w:val="005C5CDC"/>
    <w:rsid w:val="005D476C"/>
    <w:rsid w:val="005E67DD"/>
    <w:rsid w:val="005F197A"/>
    <w:rsid w:val="00601019"/>
    <w:rsid w:val="00602467"/>
    <w:rsid w:val="006077D9"/>
    <w:rsid w:val="00607A2C"/>
    <w:rsid w:val="00610812"/>
    <w:rsid w:val="00617C1F"/>
    <w:rsid w:val="006219F8"/>
    <w:rsid w:val="00627A07"/>
    <w:rsid w:val="00632200"/>
    <w:rsid w:val="00632E4F"/>
    <w:rsid w:val="00634749"/>
    <w:rsid w:val="006362E9"/>
    <w:rsid w:val="00650BFB"/>
    <w:rsid w:val="00650FF7"/>
    <w:rsid w:val="00651CF3"/>
    <w:rsid w:val="006535CB"/>
    <w:rsid w:val="0065563D"/>
    <w:rsid w:val="00660A18"/>
    <w:rsid w:val="00662A98"/>
    <w:rsid w:val="00663886"/>
    <w:rsid w:val="00665D70"/>
    <w:rsid w:val="00670C0E"/>
    <w:rsid w:val="00671DAC"/>
    <w:rsid w:val="0067678E"/>
    <w:rsid w:val="00676D74"/>
    <w:rsid w:val="006807A7"/>
    <w:rsid w:val="006809B3"/>
    <w:rsid w:val="00682598"/>
    <w:rsid w:val="006900D9"/>
    <w:rsid w:val="00695EE7"/>
    <w:rsid w:val="00697183"/>
    <w:rsid w:val="006A3FD5"/>
    <w:rsid w:val="006C4742"/>
    <w:rsid w:val="006C6684"/>
    <w:rsid w:val="006C71C7"/>
    <w:rsid w:val="006D02F1"/>
    <w:rsid w:val="006D12F8"/>
    <w:rsid w:val="006D413E"/>
    <w:rsid w:val="006E16E0"/>
    <w:rsid w:val="006E1E8F"/>
    <w:rsid w:val="006E3420"/>
    <w:rsid w:val="006E6CCC"/>
    <w:rsid w:val="006F02C1"/>
    <w:rsid w:val="006F12FA"/>
    <w:rsid w:val="006F2C71"/>
    <w:rsid w:val="006F48EB"/>
    <w:rsid w:val="006F7081"/>
    <w:rsid w:val="006F7225"/>
    <w:rsid w:val="00704939"/>
    <w:rsid w:val="00706C16"/>
    <w:rsid w:val="00715CD5"/>
    <w:rsid w:val="00720B8A"/>
    <w:rsid w:val="0072788E"/>
    <w:rsid w:val="00730772"/>
    <w:rsid w:val="00741430"/>
    <w:rsid w:val="00746F16"/>
    <w:rsid w:val="00750590"/>
    <w:rsid w:val="00756841"/>
    <w:rsid w:val="00760AB7"/>
    <w:rsid w:val="0076495C"/>
    <w:rsid w:val="007649AB"/>
    <w:rsid w:val="00765EDB"/>
    <w:rsid w:val="00771D0C"/>
    <w:rsid w:val="00772FBE"/>
    <w:rsid w:val="00773A8F"/>
    <w:rsid w:val="00774761"/>
    <w:rsid w:val="00777598"/>
    <w:rsid w:val="007833AC"/>
    <w:rsid w:val="00793C62"/>
    <w:rsid w:val="00796CD7"/>
    <w:rsid w:val="00797A16"/>
    <w:rsid w:val="007A3C88"/>
    <w:rsid w:val="007A3EE6"/>
    <w:rsid w:val="007A69C5"/>
    <w:rsid w:val="007B268C"/>
    <w:rsid w:val="007B7171"/>
    <w:rsid w:val="007C0C0F"/>
    <w:rsid w:val="007C3DC2"/>
    <w:rsid w:val="007E2F27"/>
    <w:rsid w:val="007E5497"/>
    <w:rsid w:val="0080425C"/>
    <w:rsid w:val="00805E7E"/>
    <w:rsid w:val="00806F5F"/>
    <w:rsid w:val="00811883"/>
    <w:rsid w:val="00820278"/>
    <w:rsid w:val="00820E61"/>
    <w:rsid w:val="00833EE3"/>
    <w:rsid w:val="00835B05"/>
    <w:rsid w:val="00836273"/>
    <w:rsid w:val="00842494"/>
    <w:rsid w:val="00843B44"/>
    <w:rsid w:val="00845DD5"/>
    <w:rsid w:val="00851AC7"/>
    <w:rsid w:val="00854781"/>
    <w:rsid w:val="008602D6"/>
    <w:rsid w:val="00862FF8"/>
    <w:rsid w:val="008638E5"/>
    <w:rsid w:val="008724B9"/>
    <w:rsid w:val="00877CFC"/>
    <w:rsid w:val="00881509"/>
    <w:rsid w:val="008843B6"/>
    <w:rsid w:val="00891928"/>
    <w:rsid w:val="00891CC2"/>
    <w:rsid w:val="00894080"/>
    <w:rsid w:val="008A446D"/>
    <w:rsid w:val="008A6907"/>
    <w:rsid w:val="008B54B5"/>
    <w:rsid w:val="008C2D9F"/>
    <w:rsid w:val="008D14FC"/>
    <w:rsid w:val="008D180B"/>
    <w:rsid w:val="008D2AB4"/>
    <w:rsid w:val="008D2C62"/>
    <w:rsid w:val="008E5E9E"/>
    <w:rsid w:val="008F0EA7"/>
    <w:rsid w:val="008F20BB"/>
    <w:rsid w:val="00905DC7"/>
    <w:rsid w:val="009218B6"/>
    <w:rsid w:val="00923EEF"/>
    <w:rsid w:val="00934A9C"/>
    <w:rsid w:val="00935032"/>
    <w:rsid w:val="009419F9"/>
    <w:rsid w:val="009473FB"/>
    <w:rsid w:val="0095685E"/>
    <w:rsid w:val="00957CC5"/>
    <w:rsid w:val="00961B09"/>
    <w:rsid w:val="009641C0"/>
    <w:rsid w:val="00965334"/>
    <w:rsid w:val="0097093E"/>
    <w:rsid w:val="00974863"/>
    <w:rsid w:val="009773B6"/>
    <w:rsid w:val="00986074"/>
    <w:rsid w:val="00986579"/>
    <w:rsid w:val="009A0DFA"/>
    <w:rsid w:val="009A17BC"/>
    <w:rsid w:val="009A6EF0"/>
    <w:rsid w:val="009B2D26"/>
    <w:rsid w:val="009C3565"/>
    <w:rsid w:val="009C71FA"/>
    <w:rsid w:val="009C72E7"/>
    <w:rsid w:val="009D2AD6"/>
    <w:rsid w:val="009D3058"/>
    <w:rsid w:val="009D4F9A"/>
    <w:rsid w:val="009D72D8"/>
    <w:rsid w:val="009F1A86"/>
    <w:rsid w:val="009F3A13"/>
    <w:rsid w:val="00A01104"/>
    <w:rsid w:val="00A122D3"/>
    <w:rsid w:val="00A15985"/>
    <w:rsid w:val="00A17F13"/>
    <w:rsid w:val="00A20739"/>
    <w:rsid w:val="00A20FA2"/>
    <w:rsid w:val="00A234AA"/>
    <w:rsid w:val="00A31DC1"/>
    <w:rsid w:val="00A33A8A"/>
    <w:rsid w:val="00A33C78"/>
    <w:rsid w:val="00A408E5"/>
    <w:rsid w:val="00A42232"/>
    <w:rsid w:val="00A43BBD"/>
    <w:rsid w:val="00A44432"/>
    <w:rsid w:val="00A57DB3"/>
    <w:rsid w:val="00A73E44"/>
    <w:rsid w:val="00A90F7F"/>
    <w:rsid w:val="00A96124"/>
    <w:rsid w:val="00AA0E97"/>
    <w:rsid w:val="00AA29DC"/>
    <w:rsid w:val="00AB0ADB"/>
    <w:rsid w:val="00AB24AD"/>
    <w:rsid w:val="00AB54C4"/>
    <w:rsid w:val="00AB6C72"/>
    <w:rsid w:val="00AB730F"/>
    <w:rsid w:val="00AC0D24"/>
    <w:rsid w:val="00AC6314"/>
    <w:rsid w:val="00AD7191"/>
    <w:rsid w:val="00AE70CF"/>
    <w:rsid w:val="00AF07C5"/>
    <w:rsid w:val="00B01B1A"/>
    <w:rsid w:val="00B07D4B"/>
    <w:rsid w:val="00B10D6C"/>
    <w:rsid w:val="00B15AE5"/>
    <w:rsid w:val="00B24E09"/>
    <w:rsid w:val="00B258FD"/>
    <w:rsid w:val="00B32316"/>
    <w:rsid w:val="00B41343"/>
    <w:rsid w:val="00B417B9"/>
    <w:rsid w:val="00B46564"/>
    <w:rsid w:val="00B51C89"/>
    <w:rsid w:val="00B65635"/>
    <w:rsid w:val="00B66781"/>
    <w:rsid w:val="00B72CD3"/>
    <w:rsid w:val="00B72FFF"/>
    <w:rsid w:val="00B75563"/>
    <w:rsid w:val="00B80BD1"/>
    <w:rsid w:val="00B944C9"/>
    <w:rsid w:val="00BA4C8F"/>
    <w:rsid w:val="00BB11CE"/>
    <w:rsid w:val="00BC32DE"/>
    <w:rsid w:val="00BC3D36"/>
    <w:rsid w:val="00BD34FE"/>
    <w:rsid w:val="00BD76B8"/>
    <w:rsid w:val="00BD795E"/>
    <w:rsid w:val="00BD7F72"/>
    <w:rsid w:val="00BE0F37"/>
    <w:rsid w:val="00BE3BE5"/>
    <w:rsid w:val="00BE6BFE"/>
    <w:rsid w:val="00BE6C34"/>
    <w:rsid w:val="00C04FB3"/>
    <w:rsid w:val="00C10045"/>
    <w:rsid w:val="00C1027C"/>
    <w:rsid w:val="00C17772"/>
    <w:rsid w:val="00C178AF"/>
    <w:rsid w:val="00C24144"/>
    <w:rsid w:val="00C27D3E"/>
    <w:rsid w:val="00C330EB"/>
    <w:rsid w:val="00C34537"/>
    <w:rsid w:val="00C42818"/>
    <w:rsid w:val="00C46EE3"/>
    <w:rsid w:val="00C47386"/>
    <w:rsid w:val="00C47BE6"/>
    <w:rsid w:val="00C6514A"/>
    <w:rsid w:val="00C6607A"/>
    <w:rsid w:val="00C723D1"/>
    <w:rsid w:val="00C754BE"/>
    <w:rsid w:val="00C76B1C"/>
    <w:rsid w:val="00C82B5D"/>
    <w:rsid w:val="00C85504"/>
    <w:rsid w:val="00C87F37"/>
    <w:rsid w:val="00C93E01"/>
    <w:rsid w:val="00C943E0"/>
    <w:rsid w:val="00C95208"/>
    <w:rsid w:val="00C95ACD"/>
    <w:rsid w:val="00CA1591"/>
    <w:rsid w:val="00CA5705"/>
    <w:rsid w:val="00CA5BB8"/>
    <w:rsid w:val="00CB6357"/>
    <w:rsid w:val="00CC1B26"/>
    <w:rsid w:val="00CD081E"/>
    <w:rsid w:val="00CD2F4E"/>
    <w:rsid w:val="00CD7529"/>
    <w:rsid w:val="00CE670A"/>
    <w:rsid w:val="00CE67C8"/>
    <w:rsid w:val="00CF2880"/>
    <w:rsid w:val="00D030F1"/>
    <w:rsid w:val="00D11F1F"/>
    <w:rsid w:val="00D12CF7"/>
    <w:rsid w:val="00D26134"/>
    <w:rsid w:val="00D26A3C"/>
    <w:rsid w:val="00D40BF0"/>
    <w:rsid w:val="00D411B0"/>
    <w:rsid w:val="00D423A2"/>
    <w:rsid w:val="00D4398E"/>
    <w:rsid w:val="00D520D8"/>
    <w:rsid w:val="00D63AC2"/>
    <w:rsid w:val="00D733CB"/>
    <w:rsid w:val="00D7383B"/>
    <w:rsid w:val="00D75008"/>
    <w:rsid w:val="00D750BE"/>
    <w:rsid w:val="00D80D8F"/>
    <w:rsid w:val="00D8195D"/>
    <w:rsid w:val="00D9266F"/>
    <w:rsid w:val="00DA231B"/>
    <w:rsid w:val="00DA23A0"/>
    <w:rsid w:val="00DA2765"/>
    <w:rsid w:val="00DA30B5"/>
    <w:rsid w:val="00DA3C83"/>
    <w:rsid w:val="00DA6036"/>
    <w:rsid w:val="00DC0AC2"/>
    <w:rsid w:val="00DC241B"/>
    <w:rsid w:val="00DC39FC"/>
    <w:rsid w:val="00DC46AB"/>
    <w:rsid w:val="00DC5394"/>
    <w:rsid w:val="00DD019C"/>
    <w:rsid w:val="00DD322A"/>
    <w:rsid w:val="00DD7B8E"/>
    <w:rsid w:val="00DE1CE7"/>
    <w:rsid w:val="00DE2450"/>
    <w:rsid w:val="00DE4284"/>
    <w:rsid w:val="00DF5254"/>
    <w:rsid w:val="00DF72B0"/>
    <w:rsid w:val="00E10A02"/>
    <w:rsid w:val="00E10FE8"/>
    <w:rsid w:val="00E16408"/>
    <w:rsid w:val="00E20894"/>
    <w:rsid w:val="00E245AB"/>
    <w:rsid w:val="00E24EED"/>
    <w:rsid w:val="00E255FE"/>
    <w:rsid w:val="00E26881"/>
    <w:rsid w:val="00E2764C"/>
    <w:rsid w:val="00E27F2E"/>
    <w:rsid w:val="00E319F8"/>
    <w:rsid w:val="00E36E57"/>
    <w:rsid w:val="00E413EA"/>
    <w:rsid w:val="00E44A5E"/>
    <w:rsid w:val="00E50AFE"/>
    <w:rsid w:val="00E57C93"/>
    <w:rsid w:val="00E61E53"/>
    <w:rsid w:val="00E72D61"/>
    <w:rsid w:val="00E75C92"/>
    <w:rsid w:val="00E76559"/>
    <w:rsid w:val="00E771DC"/>
    <w:rsid w:val="00E86419"/>
    <w:rsid w:val="00E8772A"/>
    <w:rsid w:val="00E90F6B"/>
    <w:rsid w:val="00E9135F"/>
    <w:rsid w:val="00E92C27"/>
    <w:rsid w:val="00E936BE"/>
    <w:rsid w:val="00EA0702"/>
    <w:rsid w:val="00EA0E3D"/>
    <w:rsid w:val="00EA2E32"/>
    <w:rsid w:val="00EA3610"/>
    <w:rsid w:val="00EB3ADC"/>
    <w:rsid w:val="00EC195A"/>
    <w:rsid w:val="00EC38A7"/>
    <w:rsid w:val="00EE1AA8"/>
    <w:rsid w:val="00EE6FA8"/>
    <w:rsid w:val="00EE7C1C"/>
    <w:rsid w:val="00EE7FFD"/>
    <w:rsid w:val="00EF23DF"/>
    <w:rsid w:val="00F003A5"/>
    <w:rsid w:val="00F17B90"/>
    <w:rsid w:val="00F23A89"/>
    <w:rsid w:val="00F26454"/>
    <w:rsid w:val="00F270A9"/>
    <w:rsid w:val="00F31EDC"/>
    <w:rsid w:val="00F352EA"/>
    <w:rsid w:val="00F36289"/>
    <w:rsid w:val="00F462B3"/>
    <w:rsid w:val="00F51518"/>
    <w:rsid w:val="00F52922"/>
    <w:rsid w:val="00F5664F"/>
    <w:rsid w:val="00F574D8"/>
    <w:rsid w:val="00F603A9"/>
    <w:rsid w:val="00F666C4"/>
    <w:rsid w:val="00F76AFC"/>
    <w:rsid w:val="00F77E20"/>
    <w:rsid w:val="00F84FE2"/>
    <w:rsid w:val="00F85102"/>
    <w:rsid w:val="00FA45C7"/>
    <w:rsid w:val="00FA47C0"/>
    <w:rsid w:val="00FA6BCE"/>
    <w:rsid w:val="00FB5DD1"/>
    <w:rsid w:val="00FC09C1"/>
    <w:rsid w:val="00FC2B5D"/>
    <w:rsid w:val="00FD72EB"/>
    <w:rsid w:val="00FE1075"/>
    <w:rsid w:val="00FF1449"/>
    <w:rsid w:val="00FF3243"/>
    <w:rsid w:val="00FF3B67"/>
    <w:rsid w:val="00FF5120"/>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0425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35E9B"/>
    <w:rPr>
      <w:rFonts w:ascii="Geomanist Light" w:hAnsi="Geomanist Light"/>
      <w:lang w:val="es-ES"/>
    </w:rPr>
  </w:style>
  <w:style w:type="paragraph" w:styleId="Textoindependiente">
    <w:name w:val="Body Text"/>
    <w:basedOn w:val="Normal"/>
    <w:link w:val="TextoindependienteCar"/>
    <w:uiPriority w:val="1"/>
    <w:qFormat/>
    <w:rsid w:val="00DD019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DD019C"/>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360D5F"/>
    <w:rPr>
      <w:sz w:val="16"/>
      <w:szCs w:val="16"/>
    </w:rPr>
  </w:style>
  <w:style w:type="paragraph" w:styleId="Textocomentario">
    <w:name w:val="annotation text"/>
    <w:basedOn w:val="Normal"/>
    <w:link w:val="TextocomentarioCar"/>
    <w:uiPriority w:val="99"/>
    <w:unhideWhenUsed/>
    <w:rsid w:val="00360D5F"/>
    <w:pPr>
      <w:spacing w:line="240" w:lineRule="auto"/>
    </w:pPr>
    <w:rPr>
      <w:sz w:val="20"/>
      <w:szCs w:val="20"/>
    </w:rPr>
  </w:style>
  <w:style w:type="character" w:customStyle="1" w:styleId="TextocomentarioCar">
    <w:name w:val="Texto comentario Car"/>
    <w:basedOn w:val="Fuentedeprrafopredeter"/>
    <w:link w:val="Textocomentario"/>
    <w:uiPriority w:val="99"/>
    <w:rsid w:val="00360D5F"/>
    <w:rPr>
      <w:sz w:val="20"/>
      <w:szCs w:val="20"/>
    </w:rPr>
  </w:style>
  <w:style w:type="paragraph" w:styleId="Asuntodelcomentario">
    <w:name w:val="annotation subject"/>
    <w:basedOn w:val="Textocomentario"/>
    <w:next w:val="Textocomentario"/>
    <w:link w:val="AsuntodelcomentarioCar"/>
    <w:uiPriority w:val="99"/>
    <w:semiHidden/>
    <w:unhideWhenUsed/>
    <w:rsid w:val="00360D5F"/>
    <w:rPr>
      <w:b/>
      <w:bCs/>
    </w:rPr>
  </w:style>
  <w:style w:type="character" w:customStyle="1" w:styleId="AsuntodelcomentarioCar">
    <w:name w:val="Asunto del comentario Car"/>
    <w:basedOn w:val="TextocomentarioCar"/>
    <w:link w:val="Asuntodelcomentario"/>
    <w:uiPriority w:val="99"/>
    <w:semiHidden/>
    <w:rsid w:val="00360D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eficiente.sharepoint.com/:w:/r/sites/SGC-Consultas/_layouts/15/Doc.aspx?sourcedoc=%7B603E9E70-5CDD-4057-AD0B-04E86291845F%7D&amp;file=Ley%2080%20de%201993.docx&amp;action=default&amp;mobileredirect=true" TargetMode="External"/><Relationship Id="rId18" Type="http://schemas.openxmlformats.org/officeDocument/2006/relationships/hyperlink" Target="https://nam02.safelinks.protection.outlook.com/?url=https%3A%2F%2Fwww.colombiacompra.gov.co%2Fcontent%2Fborrador-de-documentos-tipo-de-interventoria-de-obra-publica-de-infraestructura-de&amp;data=05%7C02%7Ckelmis.bruges%40colombiacompra.gov.co%7C096eca3fdcca424ff1c708dcf932f947%7C7b09041e245149d08cb179d5e3d8c1be%7C0%7C0%7C638659244557816541%7CUnknown%7CTWFpbGZsb3d8eyJWIjoiMC4wLjAwMDAiLCJQIjoiV2luMzIiLCJBTiI6Ik1haWwiLCJXVCI6Mn0%3D%7C0%7C%7C%7C&amp;sdata=PlHDSUVCDKvJbNofa1VPZlMCz%2BWPKRWPE%2FErtSAGQVI%3D&amp;reserved=0"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cceficiente.sharepoint.com/:w:/r/sites/SGC-Consultas/_layouts/15/Doc.aspx?sourcedoc=%7B29359D70-67D4-4566-91EA-D62D911AF562%7D&amp;file=Decreto%201082%20de%202015.docx&amp;action=default&amp;mobileredirect=true" TargetMode="External"/><Relationship Id="rId17" Type="http://schemas.openxmlformats.org/officeDocument/2006/relationships/hyperlink" Target="https://nam02.safelinks.protection.outlook.com/?url=https%3A%2F%2Fwww.colombiacompra.gov.co%2Fcontent%2Fborrador-de-documentos-tipo-de-consultoria-de-obra-publica-de-infraestructura-de-transporte&amp;data=05%7C02%7Ckelmis.bruges%40colombiacompra.gov.co%7C096eca3fdcca424ff1c708dcf932f947%7C7b09041e245149d08cb179d5e3d8c1be%7C0%7C0%7C638659244557793956%7CUnknown%7CTWFpbGZsb3d8eyJWIjoiMC4wLjAwMDAiLCJQIjoiV2luMzIiLCJBTiI6Ik1haWwiLCJXVCI6Mn0%3D%7C0%7C%7C%7C&amp;sdata=NONvjuNsqFK1Enw6vT3xdBLX%2F0DYMXnDXH6TULKIsaM%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 TargetMode="External"/><Relationship Id="rId20" Type="http://schemas.openxmlformats.org/officeDocument/2006/relationships/hyperlink" Target="https://nam02.safelinks.protection.outlook.com/?url=https%3A%2F%2Fwww.colombiacompra.gov.co%2Fsala-de-prensa%2Fboletin-digital&amp;data=05%7C02%7Ckelmis.bruges%40colombiacompra.gov.co%7C096eca3fdcca424ff1c708dcf932f947%7C7b09041e245149d08cb179d5e3d8c1be%7C0%7C0%7C638659244557858594%7CUnknown%7CTWFpbGZsb3d8eyJWIjoiMC4wLjAwMDAiLCJQIjoiV2luMzIiLCJBTiI6Ik1haWwiLCJXVCI6Mn0%3D%7C0%7C%7C%7C&amp;sdata=SBnjbSygyhNOMiCgT2zhmixX0qrmj7nCaR4HIzQsWlo%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ceficiente.sharepoint.com/:w:/r/sites/SGC-Consultas/_layouts/15/Doc.aspx?sourcedoc=%7BB5EFB206-5A72-4DBE-9F5D-0DD0C30593CC%7D&amp;file=Ley%201150%20de%202007.docx&amp;action=default&amp;mobileredirect=tru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eficiente.sharepoint.com/:w:/r/sites/SGC-Consultas/_layouts/15/Doc.aspx?sourcedoc=%7B603E9E70-5CDD-4057-AD0B-04E86291845F%7D&amp;file=Ley%2080%20de%201993.docx&amp;action=default&amp;mobileredirect=tru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cce-eicp-gi-18._gees_v.2_2.pdf" TargetMode="External"/><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elements/1.1/"/>
    <ds:schemaRef ds:uri="9d85dbaf-23eb-4e57-a637-93dcacc8b1a1"/>
    <ds:schemaRef ds:uri="a6cb9e4b-f1d1-4245-83ec-6cad768d538a"/>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363B232-C051-4161-B33A-4E765FDC8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690E7-3DB4-443C-8452-2A76C38F54B5}">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5501</Words>
  <Characters>30260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35690</CharactersWithSpaces>
  <SharedDoc>false</SharedDoc>
  <HLinks>
    <vt:vector size="72" baseType="variant">
      <vt:variant>
        <vt:i4>3997736</vt:i4>
      </vt:variant>
      <vt:variant>
        <vt:i4>27</vt:i4>
      </vt:variant>
      <vt:variant>
        <vt:i4>0</vt:i4>
      </vt:variant>
      <vt:variant>
        <vt:i4>5</vt:i4>
      </vt:variant>
      <vt:variant>
        <vt:lpwstr>https://nam02.safelinks.protection.outlook.com/?url=https%3A%2F%2Fwww.colombiacompra.gov.co%2Fsala-de-prensa%2Fboletin-digital&amp;data=05%7C02%7Ckelmis.bruges%40colombiacompra.gov.co%7C096eca3fdcca424ff1c708dcf932f947%7C7b09041e245149d08cb179d5e3d8c1be%7C0%7C0%7C638659244557858594%7CUnknown%7CTWFpbGZsb3d8eyJWIjoiMC4wLjAwMDAiLCJQIjoiV2luMzIiLCJBTiI6Ik1haWwiLCJXVCI6Mn0%3D%7C0%7C%7C%7C&amp;sdata=SBnjbSygyhNOMiCgT2zhmixX0qrmj7nCaR4HIzQsWlo%3D&amp;reserved=0</vt:lpwstr>
      </vt:variant>
      <vt:variant>
        <vt:lpwstr/>
      </vt:variant>
      <vt:variant>
        <vt:i4>2359337</vt:i4>
      </vt:variant>
      <vt:variant>
        <vt:i4>24</vt:i4>
      </vt:variant>
      <vt:variant>
        <vt:i4>0</vt:i4>
      </vt:variant>
      <vt:variant>
        <vt:i4>5</vt:i4>
      </vt:variant>
      <vt:variant>
        <vt:lpwstr>https://nam02.safelinks.protection.outlook.com/?url=https%3A%2F%2Fwww.sucop.gov.co%2Fentidades%2Fcolombiacompra%2FNormativa%3FIDNorma%3D18320&amp;data=05%7C02%7Ckelmis.bruges%40colombiacompra.gov.co%7C096eca3fdcca424ff1c708dcf932f947%7C7b09041e245149d08cb179d5e3d8c1be%7C0%7C0%7C638659244557840711%7CUnknown%7CTWFpbGZsb3d8eyJWIjoiMC4wLjAwMDAiLCJQIjoiV2luMzIiLCJBTiI6Ik1haWwiLCJXVCI6Mn0%3D%7C0%7C%7C%7C&amp;sdata=i8t39ge82bAwFEJTEviOC8pYjtd6b7iRL2D4fPnyyIo%3D&amp;reserved=0</vt:lpwstr>
      </vt:variant>
      <vt:variant>
        <vt:lpwstr/>
      </vt:variant>
      <vt:variant>
        <vt:i4>3538999</vt:i4>
      </vt:variant>
      <vt:variant>
        <vt:i4>21</vt:i4>
      </vt:variant>
      <vt:variant>
        <vt:i4>0</vt:i4>
      </vt:variant>
      <vt:variant>
        <vt:i4>5</vt:i4>
      </vt:variant>
      <vt:variant>
        <vt:lpwstr>https://nam02.safelinks.protection.outlook.com/?url=https%3A%2F%2Fwww.colombiacompra.gov.co%2Fcontent%2Fborrador-de-documentos-tipo-de-interventoria-de-obra-publica-de-infraestructura-de&amp;data=05%7C02%7Ckelmis.bruges%40colombiacompra.gov.co%7C096eca3fdcca424ff1c708dcf932f947%7C7b09041e245149d08cb179d5e3d8c1be%7C0%7C0%7C638659244557816541%7CUnknown%7CTWFpbGZsb3d8eyJWIjoiMC4wLjAwMDAiLCJQIjoiV2luMzIiLCJBTiI6Ik1haWwiLCJXVCI6Mn0%3D%7C0%7C%7C%7C&amp;sdata=PlHDSUVCDKvJbNofa1VPZlMCz%2BWPKRWPE%2FErtSAGQVI%3D&amp;reserved=0</vt:lpwstr>
      </vt:variant>
      <vt:variant>
        <vt:lpwstr/>
      </vt:variant>
      <vt:variant>
        <vt:i4>7143521</vt:i4>
      </vt:variant>
      <vt:variant>
        <vt:i4>18</vt:i4>
      </vt:variant>
      <vt:variant>
        <vt:i4>0</vt:i4>
      </vt:variant>
      <vt:variant>
        <vt:i4>5</vt:i4>
      </vt:variant>
      <vt:variant>
        <vt:lpwstr>https://nam02.safelinks.protection.outlook.com/?url=https%3A%2F%2Fwww.colombiacompra.gov.co%2Fcontent%2Fborrador-de-documentos-tipo-de-consultoria-de-obra-publica-de-infraestructura-de-transporte&amp;data=05%7C02%7Ckelmis.bruges%40colombiacompra.gov.co%7C096eca3fdcca424ff1c708dcf932f947%7C7b09041e245149d08cb179d5e3d8c1be%7C0%7C0%7C638659244557793956%7CUnknown%7CTWFpbGZsb3d8eyJWIjoiMC4wLjAwMDAiLCJQIjoiV2luMzIiLCJBTiI6Ik1haWwiLCJXVCI6Mn0%3D%7C0%7C%7C%7C&amp;sdata=NONvjuNsqFK1Enw6vT3xdBLX%2F0DYMXnDXH6TULKIsaM%3D&amp;reserved=0</vt:lpwstr>
      </vt:variant>
      <vt:variant>
        <vt:lpwstr/>
      </vt:variant>
      <vt:variant>
        <vt:i4>1900622</vt:i4>
      </vt:variant>
      <vt:variant>
        <vt:i4>15</vt:i4>
      </vt:variant>
      <vt:variant>
        <vt:i4>0</vt:i4>
      </vt:variant>
      <vt:variant>
        <vt:i4>5</vt:i4>
      </vt:variant>
      <vt:variant>
        <vt:lpwstr>https://relatoria.colombiacompra.gov.co/</vt:lpwstr>
      </vt:variant>
      <vt:variant>
        <vt:lpwstr/>
      </vt:variant>
      <vt:variant>
        <vt:i4>1507452</vt:i4>
      </vt:variant>
      <vt:variant>
        <vt:i4>12</vt:i4>
      </vt:variant>
      <vt:variant>
        <vt:i4>0</vt:i4>
      </vt:variant>
      <vt:variant>
        <vt:i4>5</vt:i4>
      </vt:variant>
      <vt:variant>
        <vt:lpwstr>https://cceficiente.sharepoint.com/:w:/r/sites/SGC-Consultas/_layouts/15/Doc.aspx?sourcedoc=%7BB5EFB206-5A72-4DBE-9F5D-0DD0C30593CC%7D&amp;file=Ley%201150%20de%202007.docx&amp;action=default&amp;mobileredirect=true</vt:lpwstr>
      </vt:variant>
      <vt:variant>
        <vt:lpwstr/>
      </vt:variant>
      <vt:variant>
        <vt:i4>7864394</vt:i4>
      </vt:variant>
      <vt:variant>
        <vt:i4>9</vt:i4>
      </vt:variant>
      <vt:variant>
        <vt:i4>0</vt:i4>
      </vt:variant>
      <vt:variant>
        <vt:i4>5</vt:i4>
      </vt:variant>
      <vt:variant>
        <vt:lpwstr>https://cceficiente.sharepoint.com/:w:/r/sites/SGC-Consultas/_layouts/15/Doc.aspx?sourcedoc=%7B603E9E70-5CDD-4057-AD0B-04E86291845F%7D&amp;file=Ley%2080%20de%201993.docx&amp;action=default&amp;mobileredirect=true</vt:lpwstr>
      </vt:variant>
      <vt:variant>
        <vt:lpwstr/>
      </vt:variant>
      <vt:variant>
        <vt:i4>7864394</vt:i4>
      </vt:variant>
      <vt:variant>
        <vt:i4>6</vt:i4>
      </vt:variant>
      <vt:variant>
        <vt:i4>0</vt:i4>
      </vt:variant>
      <vt:variant>
        <vt:i4>5</vt:i4>
      </vt:variant>
      <vt:variant>
        <vt:lpwstr>https://cceficiente.sharepoint.com/:w:/r/sites/SGC-Consultas/_layouts/15/Doc.aspx?sourcedoc=%7B603E9E70-5CDD-4057-AD0B-04E86291845F%7D&amp;file=Ley%2080%20de%201993.docx&amp;action=default&amp;mobileredirect=true</vt:lpwstr>
      </vt:variant>
      <vt:variant>
        <vt:lpwstr/>
      </vt:variant>
      <vt:variant>
        <vt:i4>5177442</vt:i4>
      </vt:variant>
      <vt:variant>
        <vt:i4>3</vt:i4>
      </vt:variant>
      <vt:variant>
        <vt:i4>0</vt:i4>
      </vt:variant>
      <vt:variant>
        <vt:i4>5</vt:i4>
      </vt:variant>
      <vt:variant>
        <vt:lpwstr>https://cceficiente.sharepoint.com/:w:/r/sites/SGC-Consultas/_layouts/15/Doc.aspx?sourcedoc=%7B29359D70-67D4-4566-91EA-D62D911AF562%7D&amp;file=Decreto%201082%20de%202015.docx&amp;action=default&amp;mobileredirect=true</vt:lpwstr>
      </vt:variant>
      <vt:variant>
        <vt:lpwstr/>
      </vt:variant>
      <vt:variant>
        <vt:i4>6946888</vt:i4>
      </vt:variant>
      <vt:variant>
        <vt:i4>0</vt:i4>
      </vt:variant>
      <vt:variant>
        <vt:i4>0</vt:i4>
      </vt:variant>
      <vt:variant>
        <vt:i4>5</vt:i4>
      </vt:variant>
      <vt:variant>
        <vt:lpwstr>mailto:santiago.nunez@fuac.edu.co</vt:lpwstr>
      </vt:variant>
      <vt:variant>
        <vt:lpwstr/>
      </vt:variant>
      <vt:variant>
        <vt:i4>3801163</vt:i4>
      </vt:variant>
      <vt:variant>
        <vt:i4>3</vt:i4>
      </vt:variant>
      <vt:variant>
        <vt:i4>0</vt:i4>
      </vt:variant>
      <vt:variant>
        <vt:i4>5</vt:i4>
      </vt:variant>
      <vt:variant>
        <vt:lpwstr>https://www.colombiacompra.gov.co/sites/cce_public/files/cce_documentos/cce-eicp-gi-18._gees_v.2_2.pdf</vt:lpwstr>
      </vt:variant>
      <vt:variant>
        <vt:lpwstr/>
      </vt:variant>
      <vt:variant>
        <vt:i4>6946857</vt:i4>
      </vt:variant>
      <vt:variant>
        <vt:i4>0</vt:i4>
      </vt:variant>
      <vt:variant>
        <vt:i4>0</vt:i4>
      </vt:variant>
      <vt:variant>
        <vt:i4>5</vt:i4>
      </vt:variant>
      <vt:variant>
        <vt:lpwstr>https://sintesis.colombiacompra.gov.co/sintesis/9-etapa-precontractual-estudios-previos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2024-11-22T15:10:00Z</dcterms:created>
  <dcterms:modified xsi:type="dcterms:W3CDTF">2024-11-22T15:10:00Z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