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44001" w14:textId="25EA688B" w:rsidR="000A6FDD" w:rsidRPr="00EC66C1" w:rsidRDefault="000A6FDD" w:rsidP="147779E6">
      <w:pPr>
        <w:tabs>
          <w:tab w:val="left" w:pos="709"/>
        </w:tabs>
        <w:spacing w:after="0" w:line="276" w:lineRule="auto"/>
        <w:jc w:val="both"/>
        <w:rPr>
          <w:rFonts w:ascii="Verdana" w:eastAsia="Calibri" w:hAnsi="Verdana" w:cs="Arial"/>
          <w:b/>
          <w:bCs/>
          <w:kern w:val="2"/>
          <w14:ligatures w14:val="standardContextual"/>
        </w:rPr>
      </w:pPr>
      <w:bookmarkStart w:id="0" w:name="_Hlk143780582"/>
      <w:r w:rsidRPr="00EC66C1">
        <w:rPr>
          <w:rFonts w:ascii="Verdana" w:eastAsia="Calibri" w:hAnsi="Verdana" w:cs="Arial"/>
          <w:b/>
          <w:bCs/>
          <w:kern w:val="2"/>
          <w14:ligatures w14:val="standardContextual"/>
        </w:rPr>
        <w:t xml:space="preserve">SISTEMA GENERAL DE REGALÍAS – Ley 2056 de 2020 – Régimen contractual – Entidades ejecutoras – Aplicación del Estatuto General de Contratación de la Administración Pública </w:t>
      </w:r>
    </w:p>
    <w:p w14:paraId="76C8326A" w14:textId="77777777" w:rsidR="000A6FDD" w:rsidRPr="00EC66C1" w:rsidRDefault="000A6FDD" w:rsidP="000A6FDD">
      <w:pPr>
        <w:spacing w:after="0" w:line="240" w:lineRule="auto"/>
        <w:jc w:val="both"/>
        <w:rPr>
          <w:rFonts w:ascii="Verdana" w:eastAsia="Aptos" w:hAnsi="Verdana" w:cs="Arial"/>
          <w:kern w:val="2"/>
          <w14:ligatures w14:val="standardContextual"/>
        </w:rPr>
      </w:pPr>
    </w:p>
    <w:p w14:paraId="7942F45B" w14:textId="77777777" w:rsidR="000A6FDD" w:rsidRPr="00EC66C1" w:rsidRDefault="000A6FDD" w:rsidP="000A6FDD">
      <w:pPr>
        <w:snapToGrid w:val="0"/>
        <w:spacing w:after="0" w:line="240" w:lineRule="auto"/>
        <w:jc w:val="both"/>
        <w:rPr>
          <w:rFonts w:ascii="Verdana" w:eastAsia="Aptos" w:hAnsi="Verdana" w:cs="Arial"/>
          <w:kern w:val="2"/>
          <w:sz w:val="20"/>
          <w:szCs w:val="20"/>
          <w14:ligatures w14:val="standardContextual"/>
        </w:rPr>
      </w:pPr>
      <w:proofErr w:type="spellStart"/>
      <w:r w:rsidRPr="00EC66C1">
        <w:rPr>
          <w:rFonts w:ascii="Verdana" w:eastAsia="Aptos" w:hAnsi="Verdana" w:cs="Arial"/>
          <w:kern w:val="2"/>
          <w:sz w:val="20"/>
          <w:szCs w:val="20"/>
          <w14:ligatures w14:val="standardContextual"/>
        </w:rPr>
        <w:t>iv</w:t>
      </w:r>
      <w:proofErr w:type="spellEnd"/>
      <w:r w:rsidRPr="00EC66C1">
        <w:rPr>
          <w:rFonts w:ascii="Verdana" w:eastAsia="Aptos" w:hAnsi="Verdana" w:cs="Arial"/>
          <w:kern w:val="2"/>
          <w:sz w:val="20"/>
          <w:szCs w:val="20"/>
          <w14:ligatures w14:val="standardContextual"/>
        </w:rPr>
        <w:t xml:space="preserve">) El artículo 37 de la Ley 2056 de 2020 dispone que los proyectos de inversión que se financien con cargo al Sistema General de Regalías serán ejecutados por quien designe las entidades u órganos de que tratan los artículos 35 y 36 </w:t>
      </w:r>
      <w:r w:rsidRPr="00EC66C1">
        <w:rPr>
          <w:rFonts w:ascii="Verdana" w:eastAsia="Aptos" w:hAnsi="Verdana" w:cs="Arial"/>
          <w:i/>
          <w:iCs/>
          <w:kern w:val="2"/>
          <w:sz w:val="20"/>
          <w:szCs w:val="20"/>
          <w14:ligatures w14:val="standardContextual"/>
        </w:rPr>
        <w:t>ibidem</w:t>
      </w:r>
      <w:r w:rsidRPr="00EC66C1">
        <w:rPr>
          <w:rFonts w:ascii="Verdana" w:eastAsia="Aptos" w:hAnsi="Verdana" w:cs="Arial"/>
          <w:kern w:val="2"/>
          <w:sz w:val="20"/>
          <w:szCs w:val="20"/>
          <w14:ligatures w14:val="standardContextu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18A53DF9" w14:textId="77777777" w:rsidR="000A6FDD" w:rsidRPr="00EC66C1" w:rsidRDefault="000A6FDD" w:rsidP="000A6FDD">
      <w:pPr>
        <w:snapToGrid w:val="0"/>
        <w:spacing w:after="0" w:line="240" w:lineRule="auto"/>
        <w:jc w:val="both"/>
        <w:rPr>
          <w:rFonts w:ascii="Verdana" w:eastAsia="Aptos" w:hAnsi="Verdana" w:cs="Arial"/>
          <w:kern w:val="2"/>
          <w:sz w:val="20"/>
          <w:szCs w:val="20"/>
          <w14:ligatures w14:val="standardContextual"/>
        </w:rPr>
      </w:pPr>
    </w:p>
    <w:p w14:paraId="16473720" w14:textId="77777777" w:rsidR="000A6FDD" w:rsidRPr="00EC66C1" w:rsidRDefault="000A6FDD" w:rsidP="000A6FDD">
      <w:pPr>
        <w:snapToGrid w:val="0"/>
        <w:spacing w:after="0" w:line="240" w:lineRule="auto"/>
        <w:jc w:val="both"/>
        <w:rPr>
          <w:rFonts w:ascii="Verdana" w:eastAsia="Aptos" w:hAnsi="Verdana" w:cs="Arial"/>
          <w:noProof/>
          <w:kern w:val="2"/>
          <w:sz w:val="20"/>
          <w:szCs w:val="20"/>
          <w14:ligatures w14:val="standardContextual"/>
        </w:rPr>
      </w:pPr>
      <w:r w:rsidRPr="00EC66C1">
        <w:rPr>
          <w:rFonts w:ascii="Verdana" w:eastAsia="Aptos" w:hAnsi="Verdana" w:cs="Arial"/>
          <w:kern w:val="2"/>
          <w:sz w:val="20"/>
          <w:szCs w:val="20"/>
          <w14:ligatures w14:val="standardContextual"/>
        </w:rPr>
        <w:t xml:space="preserve">En esta línea, el parágrafo primero del artículo 37 dispone: “La ejecución de proyectos de </w:t>
      </w:r>
      <w:proofErr w:type="spellStart"/>
      <w:r w:rsidRPr="00EC66C1">
        <w:rPr>
          <w:rFonts w:ascii="Verdana" w:eastAsia="Aptos" w:hAnsi="Verdana" w:cs="Arial"/>
          <w:kern w:val="2"/>
          <w:sz w:val="20"/>
          <w:szCs w:val="20"/>
          <w14:ligatures w14:val="standardContextual"/>
        </w:rPr>
        <w:t>que</w:t>
      </w:r>
      <w:proofErr w:type="spellEnd"/>
      <w:r w:rsidRPr="00EC66C1">
        <w:rPr>
          <w:rFonts w:ascii="Verdana" w:eastAsia="Aptos" w:hAnsi="Verdana" w:cs="Arial"/>
          <w:kern w:val="2"/>
          <w:sz w:val="20"/>
          <w:szCs w:val="20"/>
          <w14:ligatures w14:val="standardContextu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EC66C1">
        <w:rPr>
          <w:rFonts w:ascii="Verdana" w:eastAsia="Aptos" w:hAnsi="Verdana" w:cs="Arial"/>
          <w:noProof/>
          <w:kern w:val="2"/>
          <w:sz w:val="20"/>
          <w:szCs w:val="20"/>
          <w14:ligatures w14:val="standardContextual"/>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19C5E817" w14:textId="02ED09EC" w:rsidR="00143B90" w:rsidRPr="00EC66C1" w:rsidRDefault="00143B90" w:rsidP="00143B90">
      <w:pPr>
        <w:jc w:val="both"/>
        <w:rPr>
          <w:rFonts w:ascii="Verdana" w:hAnsi="Verdana"/>
        </w:rPr>
      </w:pPr>
      <w:r w:rsidRPr="00EC66C1">
        <w:rPr>
          <w:rFonts w:ascii="Verdana" w:hAnsi="Verdana"/>
        </w:rPr>
        <w:br w:type="page"/>
      </w:r>
      <w:r w:rsidRPr="00EC66C1">
        <w:rPr>
          <w:rFonts w:ascii="Verdana" w:hAnsi="Verdana"/>
        </w:rPr>
        <w:lastRenderedPageBreak/>
        <w:t xml:space="preserve">Bogotá D.C., </w:t>
      </w:r>
      <w:r w:rsidR="00555D9C">
        <w:rPr>
          <w:rFonts w:ascii="Verdana" w:hAnsi="Verdana"/>
        </w:rPr>
        <w:t>14 de Noviembre de 2024</w:t>
      </w:r>
      <w:r w:rsidRPr="00EC66C1">
        <w:rPr>
          <w:rFonts w:ascii="Verdana" w:hAnsi="Verdana"/>
        </w:rPr>
        <w:tab/>
      </w:r>
    </w:p>
    <w:p w14:paraId="58656F67" w14:textId="6446BDCC" w:rsidR="00143B90" w:rsidRPr="00EC66C1" w:rsidRDefault="00555D9C" w:rsidP="00555D9C">
      <w:pPr>
        <w:spacing w:after="0"/>
        <w:jc w:val="right"/>
        <w:rPr>
          <w:rFonts w:ascii="Verdana" w:hAnsi="Verdana"/>
        </w:rPr>
      </w:pPr>
      <w:r w:rsidRPr="00555D9C">
        <w:rPr>
          <w:rFonts w:ascii="Verdana" w:hAnsi="Verdana"/>
          <w:noProof/>
        </w:rPr>
        <w:drawing>
          <wp:inline distT="0" distB="0" distL="0" distR="0" wp14:anchorId="08EC3146" wp14:editId="50A8550B">
            <wp:extent cx="3189005" cy="8976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9219" cy="920225"/>
                    </a:xfrm>
                    <a:prstGeom prst="rect">
                      <a:avLst/>
                    </a:prstGeom>
                  </pic:spPr>
                </pic:pic>
              </a:graphicData>
            </a:graphic>
          </wp:inline>
        </w:drawing>
      </w:r>
    </w:p>
    <w:p w14:paraId="466FB356" w14:textId="7C506C63" w:rsidR="00143B90" w:rsidRPr="00EC66C1" w:rsidRDefault="00EC66C1" w:rsidP="00143B90">
      <w:pPr>
        <w:spacing w:after="0" w:line="256" w:lineRule="auto"/>
        <w:rPr>
          <w:rFonts w:ascii="Verdana" w:eastAsia="Calibri" w:hAnsi="Verdana" w:cs="Times New Roman"/>
        </w:rPr>
      </w:pPr>
      <w:r>
        <w:rPr>
          <w:rFonts w:ascii="Verdana" w:eastAsia="Calibri" w:hAnsi="Verdana" w:cs="Times New Roman"/>
        </w:rPr>
        <w:t>Señor</w:t>
      </w:r>
    </w:p>
    <w:p w14:paraId="5112D1E1" w14:textId="239105D9" w:rsidR="006710FC" w:rsidRPr="00EC66C1" w:rsidRDefault="00EC66C1" w:rsidP="00143B90">
      <w:pPr>
        <w:spacing w:after="0" w:line="256" w:lineRule="auto"/>
        <w:rPr>
          <w:rFonts w:ascii="Verdana" w:eastAsia="Calibri" w:hAnsi="Verdana" w:cs="Times New Roman"/>
          <w:b/>
        </w:rPr>
      </w:pPr>
      <w:r w:rsidRPr="00EC66C1">
        <w:rPr>
          <w:rFonts w:ascii="Verdana" w:eastAsia="Calibri" w:hAnsi="Verdana" w:cs="Times New Roman"/>
          <w:b/>
        </w:rPr>
        <w:t xml:space="preserve">H. R. </w:t>
      </w:r>
      <w:r w:rsidR="000E00AB" w:rsidRPr="00EC66C1">
        <w:rPr>
          <w:rFonts w:ascii="Verdana" w:eastAsia="Calibri" w:hAnsi="Verdana" w:cs="Times New Roman"/>
          <w:b/>
        </w:rPr>
        <w:t>Erick Velasco</w:t>
      </w:r>
    </w:p>
    <w:p w14:paraId="2814174B" w14:textId="04FCFD78" w:rsidR="00EC66C1" w:rsidRDefault="00EC66C1" w:rsidP="00143B90">
      <w:pPr>
        <w:spacing w:after="0" w:line="256" w:lineRule="auto"/>
        <w:rPr>
          <w:rFonts w:ascii="Verdana" w:eastAsia="Calibri" w:hAnsi="Verdana" w:cs="Times New Roman"/>
          <w:b/>
        </w:rPr>
      </w:pPr>
      <w:r>
        <w:rPr>
          <w:rFonts w:ascii="Verdana" w:eastAsia="Calibri" w:hAnsi="Verdana" w:cs="Times New Roman"/>
          <w:b/>
        </w:rPr>
        <w:t>Congreso de la República</w:t>
      </w:r>
      <w:r w:rsidRPr="00EC66C1">
        <w:rPr>
          <w:rFonts w:ascii="Verdana" w:eastAsia="Calibri" w:hAnsi="Verdana" w:cs="Times New Roman"/>
          <w:b/>
        </w:rPr>
        <w:t xml:space="preserve"> </w:t>
      </w:r>
    </w:p>
    <w:p w14:paraId="1599FC70" w14:textId="0925CD4E" w:rsidR="006710FC" w:rsidRPr="00EC66C1" w:rsidRDefault="0093622D" w:rsidP="00143B90">
      <w:pPr>
        <w:spacing w:after="0" w:line="256" w:lineRule="auto"/>
        <w:rPr>
          <w:rFonts w:ascii="Verdana" w:eastAsia="Calibri" w:hAnsi="Verdana" w:cs="Times New Roman"/>
          <w:bCs/>
        </w:rPr>
      </w:pPr>
      <w:hyperlink r:id="rId12" w:history="1">
        <w:r w:rsidR="00EC66C1" w:rsidRPr="00D263D0">
          <w:rPr>
            <w:rStyle w:val="Hipervnculo"/>
            <w:rFonts w:ascii="Verdana" w:eastAsia="Calibri" w:hAnsi="Verdana" w:cs="Times New Roman"/>
            <w:bCs/>
          </w:rPr>
          <w:t>erick.velasco@camara.gov.co</w:t>
        </w:r>
      </w:hyperlink>
      <w:r w:rsidR="00EC66C1" w:rsidRPr="00EC66C1">
        <w:rPr>
          <w:rFonts w:ascii="Verdana" w:eastAsia="Calibri" w:hAnsi="Verdana" w:cs="Times New Roman"/>
          <w:bCs/>
        </w:rPr>
        <w:t xml:space="preserve"> </w:t>
      </w:r>
    </w:p>
    <w:p w14:paraId="42A55757" w14:textId="2EFC06B4" w:rsidR="00143B90" w:rsidRPr="00EC66C1" w:rsidRDefault="00143B90" w:rsidP="00143B90">
      <w:pPr>
        <w:spacing w:after="0" w:line="256" w:lineRule="auto"/>
        <w:rPr>
          <w:rFonts w:ascii="Verdana" w:eastAsia="Calibri" w:hAnsi="Verdana" w:cs="Times New Roman"/>
        </w:rPr>
      </w:pPr>
      <w:r w:rsidRPr="00EC66C1">
        <w:rPr>
          <w:rFonts w:ascii="Verdana" w:eastAsia="Calibri" w:hAnsi="Verdana" w:cs="Times New Roman"/>
        </w:rPr>
        <w:t>Bogotá D.C</w:t>
      </w:r>
    </w:p>
    <w:p w14:paraId="5C148C3B" w14:textId="77777777" w:rsidR="00143B90" w:rsidRPr="00EC66C1" w:rsidRDefault="00143B90" w:rsidP="00143B90">
      <w:pPr>
        <w:spacing w:after="0" w:line="256" w:lineRule="auto"/>
        <w:rPr>
          <w:rFonts w:ascii="Verdana" w:eastAsia="Calibri" w:hAnsi="Verdana" w:cs="Times New Roman"/>
        </w:rPr>
      </w:pPr>
    </w:p>
    <w:p w14:paraId="1B54954B" w14:textId="6C108CBA" w:rsidR="00143B90" w:rsidRPr="00EC66C1" w:rsidRDefault="00143B90" w:rsidP="00143B90">
      <w:pPr>
        <w:spacing w:after="0" w:line="256" w:lineRule="auto"/>
        <w:ind w:left="2124" w:firstLine="708"/>
        <w:rPr>
          <w:rFonts w:ascii="Verdana" w:eastAsia="Calibri" w:hAnsi="Verdana" w:cs="Times New Roman"/>
          <w:b/>
          <w:bCs/>
        </w:rPr>
      </w:pPr>
      <w:r w:rsidRPr="00EC66C1">
        <w:rPr>
          <w:rFonts w:ascii="Verdana" w:eastAsia="Calibri" w:hAnsi="Verdana" w:cs="Times New Roman"/>
          <w:b/>
          <w:bCs/>
        </w:rPr>
        <w:t>Concepto C–</w:t>
      </w:r>
      <w:r w:rsidR="002C4A61">
        <w:rPr>
          <w:rFonts w:ascii="Verdana" w:eastAsia="Calibri" w:hAnsi="Verdana" w:cs="Times New Roman"/>
          <w:b/>
          <w:bCs/>
        </w:rPr>
        <w:t>679</w:t>
      </w:r>
      <w:bookmarkStart w:id="1" w:name="_GoBack"/>
      <w:bookmarkEnd w:id="1"/>
      <w:r w:rsidRPr="00EC66C1">
        <w:rPr>
          <w:rFonts w:ascii="Verdana" w:eastAsia="Calibri" w:hAnsi="Verdana" w:cs="Times New Roman"/>
          <w:b/>
          <w:bCs/>
        </w:rPr>
        <w:t xml:space="preserve"> de 2024</w:t>
      </w:r>
    </w:p>
    <w:p w14:paraId="16F01A44" w14:textId="77777777" w:rsidR="00143B90" w:rsidRPr="00EC66C1" w:rsidRDefault="00143B90" w:rsidP="00143B90">
      <w:pPr>
        <w:spacing w:after="0" w:line="256" w:lineRule="auto"/>
        <w:rPr>
          <w:rFonts w:ascii="Verdana" w:eastAsia="Calibri" w:hAnsi="Verdana" w:cs="Times New Roman"/>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143B90" w:rsidRPr="00EC66C1" w14:paraId="50B41DCC" w14:textId="77777777" w:rsidTr="002173DC">
        <w:trPr>
          <w:trHeight w:val="884"/>
        </w:trPr>
        <w:tc>
          <w:tcPr>
            <w:tcW w:w="2685" w:type="dxa"/>
            <w:hideMark/>
          </w:tcPr>
          <w:p w14:paraId="142C6924" w14:textId="77777777" w:rsidR="00143B90" w:rsidRPr="00EC66C1" w:rsidRDefault="00143B90" w:rsidP="002173DC">
            <w:pPr>
              <w:spacing w:line="256" w:lineRule="auto"/>
              <w:rPr>
                <w:rFonts w:ascii="Verdana" w:hAnsi="Verdana"/>
              </w:rPr>
            </w:pPr>
            <w:r w:rsidRPr="00EC66C1">
              <w:rPr>
                <w:rFonts w:ascii="Verdana" w:hAnsi="Verdana"/>
              </w:rPr>
              <w:t xml:space="preserve">Temas:                   </w:t>
            </w:r>
          </w:p>
        </w:tc>
        <w:tc>
          <w:tcPr>
            <w:tcW w:w="6241" w:type="dxa"/>
            <w:hideMark/>
          </w:tcPr>
          <w:p w14:paraId="17AB6325" w14:textId="77777777" w:rsidR="000A6FDD" w:rsidRPr="00EC66C1" w:rsidRDefault="000A6FDD" w:rsidP="000A6FDD">
            <w:pPr>
              <w:tabs>
                <w:tab w:val="left" w:pos="709"/>
              </w:tabs>
              <w:spacing w:line="276" w:lineRule="auto"/>
              <w:jc w:val="both"/>
              <w:rPr>
                <w:rFonts w:ascii="Verdana" w:hAnsi="Verdana" w:cs="Arial"/>
                <w:bCs/>
                <w:kern w:val="2"/>
                <w14:ligatures w14:val="standardContextual"/>
              </w:rPr>
            </w:pPr>
            <w:r w:rsidRPr="00EC66C1">
              <w:rPr>
                <w:rFonts w:ascii="Verdana" w:hAnsi="Verdana" w:cs="Arial"/>
                <w:bCs/>
                <w:kern w:val="2"/>
                <w14:ligatures w14:val="standardContextual"/>
              </w:rPr>
              <w:t xml:space="preserve">SISTEMA GENERAL DE REGALÍAS – Ley 2056 de 2020 – Régimen contractual – Entidades ejecutoras – Aplicación del Estatuto General de Contratación de la Administración Pública </w:t>
            </w:r>
          </w:p>
          <w:p w14:paraId="06CA33AB" w14:textId="2647483F" w:rsidR="00143B90" w:rsidRPr="00EC66C1" w:rsidRDefault="00143B90" w:rsidP="002173DC">
            <w:pPr>
              <w:spacing w:line="256" w:lineRule="auto"/>
              <w:jc w:val="both"/>
              <w:rPr>
                <w:rFonts w:ascii="Verdana" w:hAnsi="Verdana"/>
                <w:highlight w:val="yellow"/>
              </w:rPr>
            </w:pPr>
          </w:p>
        </w:tc>
        <w:tc>
          <w:tcPr>
            <w:tcW w:w="6237" w:type="dxa"/>
          </w:tcPr>
          <w:p w14:paraId="162CD355" w14:textId="77777777" w:rsidR="00143B90" w:rsidRPr="00EC66C1" w:rsidRDefault="00143B90" w:rsidP="002173DC">
            <w:pPr>
              <w:spacing w:line="256" w:lineRule="auto"/>
              <w:rPr>
                <w:rFonts w:ascii="Verdana" w:hAnsi="Verdana"/>
              </w:rPr>
            </w:pPr>
          </w:p>
        </w:tc>
      </w:tr>
      <w:tr w:rsidR="00143B90" w:rsidRPr="00EC66C1" w14:paraId="5FA2CD6A" w14:textId="77777777" w:rsidTr="002173DC">
        <w:trPr>
          <w:trHeight w:val="66"/>
        </w:trPr>
        <w:tc>
          <w:tcPr>
            <w:tcW w:w="2685" w:type="dxa"/>
          </w:tcPr>
          <w:p w14:paraId="28E8049C" w14:textId="77777777" w:rsidR="00143B90" w:rsidRPr="00EC66C1" w:rsidRDefault="00143B90" w:rsidP="002173DC">
            <w:pPr>
              <w:spacing w:line="256" w:lineRule="auto"/>
              <w:rPr>
                <w:rFonts w:ascii="Verdana" w:hAnsi="Verdana"/>
              </w:rPr>
            </w:pPr>
          </w:p>
          <w:p w14:paraId="6805A4EB" w14:textId="77777777" w:rsidR="00143B90" w:rsidRPr="00EC66C1" w:rsidRDefault="00143B90" w:rsidP="002173DC">
            <w:pPr>
              <w:spacing w:line="256" w:lineRule="auto"/>
              <w:rPr>
                <w:rFonts w:ascii="Verdana" w:hAnsi="Verdana"/>
              </w:rPr>
            </w:pPr>
            <w:r w:rsidRPr="00EC66C1">
              <w:rPr>
                <w:rFonts w:ascii="Verdana" w:hAnsi="Verdana"/>
              </w:rPr>
              <w:t xml:space="preserve">Radicación:               </w:t>
            </w:r>
          </w:p>
        </w:tc>
        <w:tc>
          <w:tcPr>
            <w:tcW w:w="6241" w:type="dxa"/>
          </w:tcPr>
          <w:p w14:paraId="3B94B9D1" w14:textId="77777777" w:rsidR="00143B90" w:rsidRPr="00EC66C1" w:rsidRDefault="00143B90" w:rsidP="002173DC">
            <w:pPr>
              <w:spacing w:line="256" w:lineRule="auto"/>
              <w:rPr>
                <w:rFonts w:ascii="Verdana" w:hAnsi="Verdana"/>
              </w:rPr>
            </w:pPr>
          </w:p>
          <w:p w14:paraId="53A956B9" w14:textId="1D7AEF31" w:rsidR="00143B90" w:rsidRPr="00EC66C1" w:rsidRDefault="00143B90" w:rsidP="002173DC">
            <w:pPr>
              <w:spacing w:line="256" w:lineRule="auto"/>
              <w:rPr>
                <w:rFonts w:ascii="Verdana" w:hAnsi="Verdana"/>
              </w:rPr>
            </w:pPr>
            <w:r w:rsidRPr="00EC66C1">
              <w:rPr>
                <w:rFonts w:ascii="Verdana" w:hAnsi="Verdana"/>
              </w:rPr>
              <w:t xml:space="preserve">Respuesta a consulta con radicado No. </w:t>
            </w:r>
            <w:r w:rsidR="005038C7" w:rsidRPr="00EC66C1">
              <w:rPr>
                <w:rFonts w:ascii="Verdana" w:hAnsi="Verdana"/>
              </w:rPr>
              <w:t>P20241001010006</w:t>
            </w:r>
          </w:p>
        </w:tc>
        <w:tc>
          <w:tcPr>
            <w:tcW w:w="6237" w:type="dxa"/>
          </w:tcPr>
          <w:p w14:paraId="2270E235" w14:textId="77777777" w:rsidR="00143B90" w:rsidRPr="00EC66C1" w:rsidRDefault="00143B90" w:rsidP="002173DC">
            <w:pPr>
              <w:spacing w:line="256" w:lineRule="auto"/>
              <w:rPr>
                <w:rFonts w:ascii="Verdana" w:hAnsi="Verdana"/>
              </w:rPr>
            </w:pPr>
          </w:p>
        </w:tc>
      </w:tr>
    </w:tbl>
    <w:p w14:paraId="03AF4443" w14:textId="77777777" w:rsidR="00143B90" w:rsidRPr="00EC66C1" w:rsidRDefault="00143B90" w:rsidP="00143B90">
      <w:pPr>
        <w:spacing w:after="0" w:line="256" w:lineRule="auto"/>
        <w:rPr>
          <w:rFonts w:ascii="Verdana" w:eastAsia="Calibri" w:hAnsi="Verdana" w:cs="Times New Roman"/>
        </w:rPr>
      </w:pPr>
    </w:p>
    <w:p w14:paraId="75DA6F44" w14:textId="77777777" w:rsidR="00143B90" w:rsidRPr="00EC66C1" w:rsidRDefault="00143B90" w:rsidP="00143B90">
      <w:pPr>
        <w:spacing w:after="0" w:line="256" w:lineRule="auto"/>
        <w:rPr>
          <w:rFonts w:ascii="Verdana" w:eastAsia="Calibri" w:hAnsi="Verdana" w:cs="Times New Roman"/>
        </w:rPr>
      </w:pPr>
      <w:r w:rsidRPr="00EC66C1">
        <w:rPr>
          <w:rFonts w:ascii="Verdana" w:eastAsia="Calibri" w:hAnsi="Verdana" w:cs="Times New Roman"/>
        </w:rPr>
        <w:t xml:space="preserve">Estimada señora Mariana: </w:t>
      </w:r>
    </w:p>
    <w:p w14:paraId="57EB74FE" w14:textId="77777777" w:rsidR="00143B90" w:rsidRPr="00EC66C1" w:rsidRDefault="00143B90" w:rsidP="00143B90">
      <w:pPr>
        <w:spacing w:after="0" w:line="256" w:lineRule="auto"/>
        <w:rPr>
          <w:rFonts w:ascii="Verdana" w:eastAsia="Calibri" w:hAnsi="Verdana" w:cs="Times New Roman"/>
        </w:rPr>
      </w:pPr>
    </w:p>
    <w:p w14:paraId="7EF426AF" w14:textId="67C9C5F3" w:rsidR="00143B90" w:rsidRPr="00EC66C1" w:rsidRDefault="00143B90" w:rsidP="00143B90">
      <w:pPr>
        <w:spacing w:after="0" w:line="256" w:lineRule="auto"/>
        <w:jc w:val="both"/>
        <w:rPr>
          <w:rFonts w:ascii="Verdana" w:eastAsia="Calibri" w:hAnsi="Verdana" w:cs="Times New Roman"/>
        </w:rPr>
      </w:pPr>
      <w:r w:rsidRPr="00EC66C1">
        <w:rPr>
          <w:rFonts w:ascii="Verdana" w:eastAsia="Calibri" w:hAnsi="Verdana" w:cs="Times New Roman"/>
        </w:rPr>
        <w:t xml:space="preserve">En ejercicio de la competencia otorgada por los artículos 3, numeral 5º, y 11, numeral 8º, del Decreto Ley 4170 de 2011, la Agencia Nacional de Contratación Pública – Colombia Compra Eficiente– responde la solicitud </w:t>
      </w:r>
      <w:r w:rsidR="00BA7434" w:rsidRPr="00EC66C1">
        <w:rPr>
          <w:rFonts w:ascii="Verdana" w:eastAsia="Calibri" w:hAnsi="Verdana" w:cs="Times New Roman"/>
        </w:rPr>
        <w:t>del 01 de octubre de 2024</w:t>
      </w:r>
      <w:r w:rsidRPr="00EC66C1">
        <w:rPr>
          <w:rFonts w:ascii="Verdana" w:eastAsia="Calibri" w:hAnsi="Verdana" w:cs="Times New Roman"/>
        </w:rPr>
        <w:t>, en la cual manifiesta lo siguiente:</w:t>
      </w:r>
    </w:p>
    <w:p w14:paraId="777D15C9" w14:textId="77777777" w:rsidR="00143B90" w:rsidRPr="00EC66C1" w:rsidRDefault="00143B90" w:rsidP="00143B90">
      <w:pPr>
        <w:spacing w:after="0" w:line="256" w:lineRule="auto"/>
        <w:jc w:val="both"/>
        <w:rPr>
          <w:rFonts w:ascii="Verdana" w:eastAsia="Calibri" w:hAnsi="Verdana" w:cs="Times New Roman"/>
        </w:rPr>
      </w:pPr>
    </w:p>
    <w:p w14:paraId="6B0CDC62" w14:textId="4DEC01FC" w:rsidR="00317F7F" w:rsidRPr="00EC66C1" w:rsidRDefault="00143B90" w:rsidP="00091E72">
      <w:pPr>
        <w:spacing w:after="0" w:line="257" w:lineRule="auto"/>
        <w:ind w:left="709" w:right="709"/>
        <w:jc w:val="both"/>
        <w:rPr>
          <w:rFonts w:ascii="Verdana" w:eastAsia="Calibri" w:hAnsi="Verdana" w:cs="Times New Roman"/>
          <w:sz w:val="20"/>
          <w:szCs w:val="20"/>
        </w:rPr>
      </w:pPr>
      <w:r w:rsidRPr="00EC66C1">
        <w:rPr>
          <w:rFonts w:ascii="Verdana" w:eastAsia="Calibri" w:hAnsi="Verdana" w:cs="Times New Roman"/>
          <w:sz w:val="20"/>
          <w:szCs w:val="20"/>
        </w:rPr>
        <w:t>“</w:t>
      </w:r>
      <w:r w:rsidR="00317F7F" w:rsidRPr="00EC66C1">
        <w:rPr>
          <w:rFonts w:ascii="Verdana" w:eastAsia="Calibri" w:hAnsi="Verdana" w:cs="Times New Roman"/>
          <w:i/>
          <w:iCs/>
          <w:sz w:val="20"/>
          <w:szCs w:val="20"/>
        </w:rPr>
        <w:t>Solicito a Colombia Compra Eficiente que emita concepto jurídico en el cual establezca si las entidades públicas designadas como entidades ejecutoras por los OCAD y que tienen un régimen de contratación especial o privado, excluido de la Ley 80 de 1993, al momento de realizar el correspondiente proceso de contratación con recursos de regalías están obligadas o no a aplicar la ley 80 de 1993  en ese tipo de procesos de contratación, por virtud de lo establecido en el parágrafo del artículo 37 de la Ley 2056 de 2020</w:t>
      </w:r>
      <w:r w:rsidR="00317F7F" w:rsidRPr="00EC66C1">
        <w:rPr>
          <w:rFonts w:ascii="Verdana" w:eastAsia="Calibri" w:hAnsi="Verdana" w:cs="Times New Roman"/>
          <w:sz w:val="20"/>
          <w:szCs w:val="20"/>
        </w:rPr>
        <w:t>.(…)</w:t>
      </w:r>
    </w:p>
    <w:p w14:paraId="3EDF0A0A" w14:textId="77777777" w:rsidR="00BA7434" w:rsidRPr="00EC66C1" w:rsidRDefault="00BA7434" w:rsidP="00BA7434">
      <w:pPr>
        <w:spacing w:after="0" w:line="257" w:lineRule="auto"/>
        <w:ind w:left="709" w:right="709"/>
        <w:jc w:val="both"/>
        <w:rPr>
          <w:rFonts w:ascii="Verdana" w:eastAsia="Calibri" w:hAnsi="Verdana" w:cs="Times New Roman"/>
        </w:rPr>
      </w:pPr>
    </w:p>
    <w:p w14:paraId="5C05240E" w14:textId="77777777" w:rsidR="00143B90" w:rsidRPr="00EC66C1" w:rsidRDefault="00143B90" w:rsidP="00EC66C1">
      <w:pPr>
        <w:spacing w:after="0" w:line="256" w:lineRule="auto"/>
        <w:ind w:firstLine="708"/>
        <w:jc w:val="both"/>
        <w:rPr>
          <w:rFonts w:ascii="Verdana" w:eastAsia="Calibri" w:hAnsi="Verdana" w:cs="Times New Roman"/>
        </w:rPr>
      </w:pPr>
      <w:r w:rsidRPr="00EC66C1">
        <w:rPr>
          <w:rFonts w:ascii="Verdana" w:eastAsia="Calibri" w:hAnsi="Verdana" w:cs="Times New Roman"/>
        </w:rPr>
        <w:t xml:space="preserve">De manera preliminar, resulta necesario acotar que esta entidad solo tiene competencia para responder consultas sobre la aplicación de normas de carácter general en materia de compras y contratación pública. En ese sentido, resolver </w:t>
      </w:r>
      <w:r w:rsidRPr="00EC66C1">
        <w:rPr>
          <w:rFonts w:ascii="Verdana" w:eastAsia="Calibri" w:hAnsi="Verdana" w:cs="Times New Roman"/>
        </w:rPr>
        <w:lastRenderedPageBreak/>
        <w:t>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C451576" w14:textId="77777777" w:rsidR="00143B90" w:rsidRPr="00EC66C1" w:rsidRDefault="00143B90" w:rsidP="00143B90">
      <w:pPr>
        <w:spacing w:after="0" w:line="256" w:lineRule="auto"/>
        <w:rPr>
          <w:rFonts w:ascii="Verdana" w:eastAsia="Calibri" w:hAnsi="Verdana" w:cs="Times New Roman"/>
        </w:rPr>
      </w:pPr>
    </w:p>
    <w:p w14:paraId="11552AAF" w14:textId="77777777" w:rsidR="00143B90" w:rsidRPr="00EC66C1" w:rsidRDefault="00143B90" w:rsidP="00143B90">
      <w:pPr>
        <w:spacing w:after="0" w:line="256" w:lineRule="auto"/>
        <w:jc w:val="both"/>
        <w:rPr>
          <w:rFonts w:ascii="Verdana" w:eastAsia="Calibri" w:hAnsi="Verdana" w:cs="Times New Roman"/>
        </w:rPr>
      </w:pPr>
      <w:r w:rsidRPr="00EC66C1">
        <w:rPr>
          <w:rFonts w:ascii="Verdana" w:eastAsia="Calibri" w:hAnsi="Verdana" w:cs="Times New Roman"/>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B5334C0" w14:textId="77777777" w:rsidR="00143B90" w:rsidRPr="00EC66C1" w:rsidRDefault="00143B90" w:rsidP="00143B90">
      <w:pPr>
        <w:spacing w:after="0" w:line="256" w:lineRule="auto"/>
        <w:rPr>
          <w:rFonts w:ascii="Verdana" w:eastAsia="Calibri" w:hAnsi="Verdana" w:cs="Times New Roman"/>
        </w:rPr>
      </w:pPr>
    </w:p>
    <w:p w14:paraId="121B4D92" w14:textId="77777777" w:rsidR="00143B90" w:rsidRPr="00EC66C1" w:rsidRDefault="00143B90" w:rsidP="00143B90">
      <w:pPr>
        <w:numPr>
          <w:ilvl w:val="0"/>
          <w:numId w:val="16"/>
        </w:numPr>
        <w:spacing w:after="0" w:line="256" w:lineRule="auto"/>
        <w:ind w:left="0" w:firstLine="0"/>
        <w:rPr>
          <w:rFonts w:ascii="Verdana" w:eastAsia="Calibri" w:hAnsi="Verdana" w:cs="Times New Roman"/>
          <w:b/>
          <w:bCs/>
        </w:rPr>
      </w:pPr>
      <w:r w:rsidRPr="00EC66C1">
        <w:rPr>
          <w:rFonts w:ascii="Verdana" w:eastAsia="Calibri" w:hAnsi="Verdana" w:cs="Times New Roman"/>
          <w:b/>
          <w:bCs/>
        </w:rPr>
        <w:t>Problema planteado:</w:t>
      </w:r>
    </w:p>
    <w:p w14:paraId="3C7B86C6" w14:textId="77777777" w:rsidR="00143B90" w:rsidRPr="00EC66C1" w:rsidRDefault="00143B90" w:rsidP="00143B90">
      <w:pPr>
        <w:spacing w:after="0" w:line="256" w:lineRule="auto"/>
        <w:rPr>
          <w:rFonts w:ascii="Verdana" w:eastAsia="Calibri" w:hAnsi="Verdana" w:cs="Times New Roman"/>
        </w:rPr>
      </w:pPr>
    </w:p>
    <w:p w14:paraId="201F2F8B" w14:textId="77777777" w:rsidR="000054AB" w:rsidRPr="00EC66C1" w:rsidRDefault="000054AB" w:rsidP="006F0E50">
      <w:pPr>
        <w:spacing w:after="0" w:line="276" w:lineRule="auto"/>
        <w:jc w:val="both"/>
        <w:rPr>
          <w:rFonts w:ascii="Verdana" w:eastAsia="Calibri" w:hAnsi="Verdana" w:cs="Times New Roman"/>
        </w:rPr>
      </w:pPr>
      <w:r w:rsidRPr="00EC66C1">
        <w:rPr>
          <w:rFonts w:ascii="Verdana" w:eastAsia="Calibri" w:hAnsi="Verdana" w:cs="Times New Roman"/>
        </w:rPr>
        <w:t>De acuerdo con el contenido de su solicitud, esta Agencia resolverá el siguiente</w:t>
      </w:r>
    </w:p>
    <w:p w14:paraId="6F0BE35A" w14:textId="171FAF0C" w:rsidR="00143B90" w:rsidRPr="00EC66C1" w:rsidRDefault="000054AB" w:rsidP="006F0E50">
      <w:pPr>
        <w:spacing w:after="0" w:line="276" w:lineRule="auto"/>
        <w:jc w:val="both"/>
        <w:rPr>
          <w:rFonts w:ascii="Verdana" w:eastAsia="Calibri" w:hAnsi="Verdana" w:cs="Times New Roman"/>
        </w:rPr>
      </w:pPr>
      <w:r w:rsidRPr="00EC66C1">
        <w:rPr>
          <w:rFonts w:ascii="Verdana" w:eastAsia="Calibri" w:hAnsi="Verdana" w:cs="Times New Roman"/>
        </w:rPr>
        <w:t>problema jurídico: ¿Cuál es régimen contractual aplicable en la ejecución de proyectos cuya fuente de financiación es el Sistema General de Regalías?</w:t>
      </w:r>
      <w:r w:rsidRPr="00EC66C1">
        <w:rPr>
          <w:rFonts w:ascii="Verdana" w:eastAsia="Calibri" w:hAnsi="Verdana" w:cs="Times New Roman"/>
        </w:rPr>
        <w:cr/>
      </w:r>
    </w:p>
    <w:p w14:paraId="361DECEE" w14:textId="77777777" w:rsidR="00143B90" w:rsidRPr="00EC66C1" w:rsidRDefault="00143B90" w:rsidP="00143B90">
      <w:pPr>
        <w:numPr>
          <w:ilvl w:val="0"/>
          <w:numId w:val="16"/>
        </w:numPr>
        <w:spacing w:after="0" w:line="256" w:lineRule="auto"/>
        <w:ind w:left="0" w:firstLine="0"/>
        <w:rPr>
          <w:rFonts w:ascii="Verdana" w:eastAsia="Calibri" w:hAnsi="Verdana" w:cs="Times New Roman"/>
          <w:b/>
          <w:bCs/>
        </w:rPr>
      </w:pPr>
      <w:r w:rsidRPr="00EC66C1">
        <w:rPr>
          <w:rFonts w:ascii="Verdana" w:eastAsia="Calibri" w:hAnsi="Verdana" w:cs="Times New Roman"/>
          <w:b/>
          <w:bCs/>
        </w:rPr>
        <w:t>Respuesta:</w:t>
      </w:r>
    </w:p>
    <w:p w14:paraId="35173C68" w14:textId="77777777" w:rsidR="00143B90" w:rsidRPr="00EC66C1" w:rsidRDefault="00143B90" w:rsidP="00143B90">
      <w:pPr>
        <w:spacing w:after="0" w:line="256" w:lineRule="auto"/>
        <w:rPr>
          <w:rFonts w:ascii="Verdana" w:eastAsia="Calibri" w:hAnsi="Verdana" w:cs="Times New Roman"/>
          <w:b/>
          <w:bCs/>
        </w:rPr>
      </w:pPr>
    </w:p>
    <w:p w14:paraId="43B46004" w14:textId="27834539" w:rsidR="00143B90" w:rsidRPr="00EC66C1" w:rsidRDefault="002163E3" w:rsidP="006F0E50">
      <w:pPr>
        <w:tabs>
          <w:tab w:val="left" w:pos="567"/>
        </w:tabs>
        <w:spacing w:after="0" w:line="276" w:lineRule="auto"/>
        <w:jc w:val="both"/>
        <w:rPr>
          <w:rFonts w:ascii="Verdana" w:eastAsia="Calibri" w:hAnsi="Verdana" w:cs="Arial"/>
        </w:rPr>
      </w:pPr>
      <w:r>
        <w:rPr>
          <w:rFonts w:ascii="Verdana" w:eastAsia="Calibri" w:hAnsi="Verdana" w:cs="Arial"/>
        </w:rPr>
        <w:t>D</w:t>
      </w:r>
      <w:r w:rsidR="008E3E9A">
        <w:rPr>
          <w:rFonts w:ascii="Verdana" w:eastAsia="Calibri" w:hAnsi="Verdana" w:cs="Arial"/>
        </w:rPr>
        <w:t xml:space="preserve">e </w:t>
      </w:r>
      <w:r w:rsidR="00EB3EFE" w:rsidRPr="00EC66C1">
        <w:rPr>
          <w:rFonts w:ascii="Verdana" w:eastAsia="Calibri" w:hAnsi="Verdana" w:cs="Arial"/>
        </w:rPr>
        <w:t xml:space="preserve">conformidad </w:t>
      </w:r>
      <w:r w:rsidR="00371D67" w:rsidRPr="00EC66C1">
        <w:rPr>
          <w:rFonts w:ascii="Verdana" w:eastAsia="Calibri" w:hAnsi="Verdana" w:cs="Arial"/>
        </w:rPr>
        <w:t>a lo establecido en el</w:t>
      </w:r>
      <w:r w:rsidR="00EB3EFE" w:rsidRPr="00EC66C1">
        <w:rPr>
          <w:rFonts w:ascii="Verdana" w:eastAsia="Calibri" w:hAnsi="Verdana" w:cs="Arial"/>
        </w:rPr>
        <w:t xml:space="preserve"> artículo 37 de la Ley 2056 de 2020, el ejecutor de los proyectos de inversión del Sistema General de Regalías</w:t>
      </w:r>
      <w:r w:rsidR="00371D67" w:rsidRPr="00EC66C1">
        <w:rPr>
          <w:rFonts w:ascii="Verdana" w:eastAsia="Calibri" w:hAnsi="Verdana" w:cs="Arial"/>
        </w:rPr>
        <w:t xml:space="preserve">, independiente del régimen contractual </w:t>
      </w:r>
      <w:r w:rsidR="004F79EE" w:rsidRPr="00EC66C1">
        <w:rPr>
          <w:rFonts w:ascii="Verdana" w:eastAsia="Calibri" w:hAnsi="Verdana" w:cs="Arial"/>
        </w:rPr>
        <w:t xml:space="preserve">al cuál </w:t>
      </w:r>
      <w:r w:rsidR="008E3E9A">
        <w:rPr>
          <w:rFonts w:ascii="Verdana" w:eastAsia="Calibri" w:hAnsi="Verdana" w:cs="Arial"/>
        </w:rPr>
        <w:t>se encue</w:t>
      </w:r>
      <w:r>
        <w:rPr>
          <w:rFonts w:ascii="Verdana" w:eastAsia="Calibri" w:hAnsi="Verdana" w:cs="Arial"/>
        </w:rPr>
        <w:t>n</w:t>
      </w:r>
      <w:r w:rsidR="008E3E9A">
        <w:rPr>
          <w:rFonts w:ascii="Verdana" w:eastAsia="Calibri" w:hAnsi="Verdana" w:cs="Arial"/>
        </w:rPr>
        <w:t xml:space="preserve">tre sujeto </w:t>
      </w:r>
      <w:r>
        <w:rPr>
          <w:rFonts w:ascii="Verdana" w:eastAsia="Calibri" w:hAnsi="Verdana" w:cs="Arial"/>
        </w:rPr>
        <w:t xml:space="preserve">de manera general,  </w:t>
      </w:r>
      <w:r w:rsidR="004F79EE" w:rsidRPr="00EC66C1">
        <w:rPr>
          <w:rFonts w:ascii="Verdana" w:eastAsia="Calibri" w:hAnsi="Verdana" w:cs="Arial"/>
        </w:rPr>
        <w:t>deberá</w:t>
      </w:r>
      <w:r w:rsidR="00EB3EFE" w:rsidRPr="00EC66C1">
        <w:rPr>
          <w:rFonts w:ascii="Verdana" w:eastAsia="Calibri" w:hAnsi="Verdana" w:cs="Arial"/>
        </w:rPr>
        <w:t xml:space="preserve"> </w:t>
      </w:r>
      <w:r>
        <w:rPr>
          <w:rFonts w:ascii="Verdana" w:eastAsia="Calibri" w:hAnsi="Verdana" w:cs="Arial"/>
        </w:rPr>
        <w:t>aplicar</w:t>
      </w:r>
      <w:r w:rsidRPr="00EC66C1">
        <w:rPr>
          <w:rFonts w:ascii="Verdana" w:eastAsia="Calibri" w:hAnsi="Verdana" w:cs="Arial"/>
        </w:rPr>
        <w:t xml:space="preserve"> </w:t>
      </w:r>
      <w:r w:rsidR="00EB3EFE" w:rsidRPr="00EC66C1">
        <w:rPr>
          <w:rFonts w:ascii="Verdana" w:eastAsia="Calibri" w:hAnsi="Verdana" w:cs="Arial"/>
        </w:rPr>
        <w:t>las reglas de contratación pública, es decir, a las prescripciones establecidas en el Estatuto General de Contratación de la Administración Pública-EGCAP, así como las normas que lo modifiquen, sustituyan o reglamenten. En tal sentido, el ejecutor debe someterse a las reglas generales de la contratación pública cuando desarrolle proyectos en el marco del Sistema General de Regalías.</w:t>
      </w:r>
    </w:p>
    <w:p w14:paraId="77DE5499" w14:textId="77777777" w:rsidR="00EB3EFE" w:rsidRPr="00EC66C1" w:rsidRDefault="00EB3EFE" w:rsidP="00143B90">
      <w:pPr>
        <w:tabs>
          <w:tab w:val="left" w:pos="567"/>
        </w:tabs>
        <w:spacing w:after="0" w:line="256" w:lineRule="auto"/>
        <w:jc w:val="both"/>
        <w:rPr>
          <w:rFonts w:ascii="Verdana" w:eastAsia="Calibri" w:hAnsi="Verdana" w:cs="Times New Roman"/>
        </w:rPr>
      </w:pPr>
    </w:p>
    <w:p w14:paraId="79D45A8F" w14:textId="77777777" w:rsidR="00143B90" w:rsidRPr="00EC66C1" w:rsidRDefault="00143B90" w:rsidP="00143B90">
      <w:pPr>
        <w:numPr>
          <w:ilvl w:val="0"/>
          <w:numId w:val="16"/>
        </w:numPr>
        <w:spacing w:after="0" w:line="256" w:lineRule="auto"/>
        <w:ind w:left="0" w:firstLine="0"/>
        <w:rPr>
          <w:rFonts w:ascii="Verdana" w:eastAsia="Calibri" w:hAnsi="Verdana" w:cs="Times New Roman"/>
          <w:b/>
          <w:bCs/>
        </w:rPr>
      </w:pPr>
      <w:r w:rsidRPr="00EC66C1">
        <w:rPr>
          <w:rFonts w:ascii="Verdana" w:eastAsia="Calibri" w:hAnsi="Verdana" w:cs="Times New Roman"/>
          <w:b/>
          <w:bCs/>
        </w:rPr>
        <w:t>Razones de la respuesta:</w:t>
      </w:r>
    </w:p>
    <w:p w14:paraId="62A3095F" w14:textId="77777777" w:rsidR="00143B90" w:rsidRPr="00EC66C1" w:rsidRDefault="00143B90" w:rsidP="00143B90">
      <w:pPr>
        <w:spacing w:after="0" w:line="256" w:lineRule="auto"/>
        <w:rPr>
          <w:rFonts w:ascii="Verdana" w:eastAsia="Calibri" w:hAnsi="Verdana" w:cs="Times New Roman"/>
          <w:b/>
          <w:bCs/>
        </w:rPr>
      </w:pPr>
    </w:p>
    <w:p w14:paraId="23AB713B" w14:textId="77777777" w:rsidR="00143B90" w:rsidRPr="00EC66C1" w:rsidRDefault="00143B90" w:rsidP="00143B90">
      <w:pPr>
        <w:spacing w:after="0" w:line="276" w:lineRule="auto"/>
        <w:jc w:val="both"/>
        <w:rPr>
          <w:rFonts w:ascii="Verdana" w:eastAsia="Calibri" w:hAnsi="Verdana" w:cs="Arial"/>
        </w:rPr>
      </w:pPr>
      <w:r w:rsidRPr="00EC66C1">
        <w:rPr>
          <w:rFonts w:ascii="Verdana" w:eastAsia="Calibri" w:hAnsi="Verdana" w:cs="Arial"/>
        </w:rPr>
        <w:t xml:space="preserve">Lo anterior se sustenta en las siguientes consideraciones: </w:t>
      </w:r>
    </w:p>
    <w:p w14:paraId="0323B79C" w14:textId="77777777" w:rsidR="00143B90" w:rsidRPr="00EC66C1" w:rsidRDefault="00143B90" w:rsidP="00143B90">
      <w:pPr>
        <w:spacing w:after="0" w:line="276" w:lineRule="auto"/>
        <w:jc w:val="both"/>
        <w:rPr>
          <w:rFonts w:ascii="Verdana" w:eastAsia="Calibri" w:hAnsi="Verdana" w:cs="Arial"/>
          <w:bCs/>
          <w:color w:val="000000" w:themeColor="text1"/>
        </w:rPr>
      </w:pPr>
    </w:p>
    <w:p w14:paraId="364753FC" w14:textId="77777777" w:rsidR="00F85191" w:rsidRPr="0084743F" w:rsidRDefault="00F85191" w:rsidP="00F85191">
      <w:pPr>
        <w:tabs>
          <w:tab w:val="left" w:pos="426"/>
        </w:tabs>
        <w:spacing w:after="0" w:line="276" w:lineRule="auto"/>
        <w:jc w:val="both"/>
        <w:rPr>
          <w:rFonts w:ascii="Verdana" w:eastAsia="Calibri" w:hAnsi="Verdana" w:cs="Arial"/>
          <w:color w:val="000000" w:themeColor="text1"/>
          <w:lang w:val="es-ES_tradnl"/>
        </w:rPr>
      </w:pPr>
      <w:r w:rsidRPr="0084743F">
        <w:rPr>
          <w:rFonts w:ascii="Verdana" w:eastAsia="Calibri" w:hAnsi="Verdana" w:cs="Arial"/>
          <w:color w:val="000000" w:themeColor="text1"/>
          <w:lang w:val="es-ES_tradnl"/>
        </w:rPr>
        <w:lastRenderedPageBreak/>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p>
    <w:p w14:paraId="696DBF37" w14:textId="77777777" w:rsidR="00F85191" w:rsidRPr="0084743F" w:rsidRDefault="00F85191" w:rsidP="00F85191">
      <w:pPr>
        <w:tabs>
          <w:tab w:val="left" w:pos="426"/>
        </w:tabs>
        <w:spacing w:after="0" w:line="276" w:lineRule="auto"/>
        <w:jc w:val="both"/>
        <w:rPr>
          <w:rFonts w:ascii="Verdana" w:eastAsia="Calibri" w:hAnsi="Verdana" w:cs="Arial"/>
          <w:color w:val="000000" w:themeColor="text1"/>
          <w:lang w:val="es-ES_tradnl"/>
        </w:rPr>
      </w:pPr>
    </w:p>
    <w:p w14:paraId="324D8490" w14:textId="77777777" w:rsidR="00F85191" w:rsidRPr="0084743F" w:rsidRDefault="00F85191" w:rsidP="00F85191">
      <w:pPr>
        <w:spacing w:after="0" w:line="240" w:lineRule="auto"/>
        <w:ind w:left="709" w:right="709"/>
        <w:jc w:val="both"/>
        <w:rPr>
          <w:rFonts w:ascii="Verdana" w:eastAsia="Calibri" w:hAnsi="Verdana" w:cs="Arial"/>
          <w:sz w:val="20"/>
          <w:szCs w:val="20"/>
          <w:lang w:val="es-ES_tradnl"/>
        </w:rPr>
      </w:pPr>
      <w:r w:rsidRPr="0084743F">
        <w:rPr>
          <w:rFonts w:ascii="Verdana" w:eastAsia="Calibri" w:hAnsi="Verdana" w:cs="Arial"/>
          <w:sz w:val="20"/>
          <w:szCs w:val="20"/>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62E34B26" w14:textId="77777777" w:rsidR="00F85191" w:rsidRPr="0084743F" w:rsidRDefault="00F85191" w:rsidP="00F85191">
      <w:pPr>
        <w:spacing w:after="0" w:line="240" w:lineRule="auto"/>
        <w:ind w:left="709" w:right="709"/>
        <w:jc w:val="both"/>
        <w:rPr>
          <w:rFonts w:ascii="Verdana" w:eastAsia="Calibri" w:hAnsi="Verdana" w:cs="Arial"/>
          <w:sz w:val="20"/>
          <w:szCs w:val="20"/>
          <w:lang w:val="es-ES_tradnl"/>
        </w:rPr>
      </w:pPr>
    </w:p>
    <w:p w14:paraId="44C6CB8B" w14:textId="77777777" w:rsidR="00F85191" w:rsidRPr="0084743F" w:rsidRDefault="00F85191" w:rsidP="00F85191">
      <w:pPr>
        <w:spacing w:after="0" w:line="240" w:lineRule="auto"/>
        <w:ind w:left="709" w:right="709"/>
        <w:jc w:val="both"/>
        <w:rPr>
          <w:rFonts w:ascii="Verdana" w:eastAsia="Calibri" w:hAnsi="Verdana" w:cs="Arial"/>
          <w:sz w:val="20"/>
          <w:szCs w:val="20"/>
          <w:lang w:val="es-ES_tradnl"/>
        </w:rPr>
      </w:pPr>
      <w:r w:rsidRPr="0084743F">
        <w:rPr>
          <w:rFonts w:ascii="Verdana" w:eastAsia="Calibri" w:hAnsi="Verdana" w:cs="Arial"/>
          <w:sz w:val="20"/>
          <w:szCs w:val="20"/>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197B6C10" w14:textId="77777777" w:rsidR="00F85191" w:rsidRPr="0084743F" w:rsidRDefault="00F85191" w:rsidP="00F85191">
      <w:pPr>
        <w:spacing w:after="0" w:line="276" w:lineRule="auto"/>
        <w:ind w:left="709" w:right="709"/>
        <w:jc w:val="both"/>
        <w:rPr>
          <w:rFonts w:ascii="Verdana" w:eastAsia="Calibri" w:hAnsi="Verdana" w:cs="Arial"/>
          <w:lang w:val="es-ES_tradnl"/>
        </w:rPr>
      </w:pPr>
    </w:p>
    <w:p w14:paraId="2EED701D" w14:textId="77777777" w:rsidR="00F85191" w:rsidRPr="0084743F" w:rsidRDefault="00F85191" w:rsidP="00F85191">
      <w:pPr>
        <w:spacing w:after="120" w:line="276" w:lineRule="auto"/>
        <w:ind w:firstLine="709"/>
        <w:jc w:val="both"/>
        <w:rPr>
          <w:rFonts w:ascii="Verdana" w:hAnsi="Verdana" w:cs="Arial"/>
          <w:noProof/>
          <w:lang w:val="es-ES_tradnl"/>
        </w:rPr>
      </w:pPr>
      <w:r w:rsidRPr="0084743F">
        <w:rPr>
          <w:rFonts w:ascii="Verdana" w:hAnsi="Verdana" w:cs="Arial"/>
          <w:noProof/>
          <w:lang w:val="es-ES_tradnl"/>
        </w:rPr>
        <w:t>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r w:rsidRPr="0084743F">
        <w:rPr>
          <w:rFonts w:ascii="Verdana" w:hAnsi="Verdana" w:cs="Arial"/>
          <w:noProof/>
          <w:vertAlign w:val="superscript"/>
          <w:lang w:val="es-ES_tradnl"/>
        </w:rPr>
        <w:footnoteReference w:id="1"/>
      </w:r>
      <w:r w:rsidRPr="0084743F">
        <w:rPr>
          <w:rFonts w:ascii="Verdana" w:hAnsi="Verdana" w:cs="Arial"/>
          <w:noProof/>
          <w:lang w:val="es-ES_tradnl"/>
        </w:rPr>
        <w:t xml:space="preserve">. </w:t>
      </w:r>
    </w:p>
    <w:p w14:paraId="65F2DB41" w14:textId="77777777" w:rsidR="00F85191" w:rsidRPr="0084743F" w:rsidRDefault="00F85191" w:rsidP="00F85191">
      <w:pPr>
        <w:spacing w:after="120" w:line="276" w:lineRule="auto"/>
        <w:ind w:firstLine="709"/>
        <w:jc w:val="both"/>
        <w:rPr>
          <w:rFonts w:ascii="Verdana" w:hAnsi="Verdana" w:cs="Arial"/>
          <w:noProof/>
          <w:lang w:val="es-ES_tradnl"/>
        </w:rPr>
      </w:pPr>
      <w:r w:rsidRPr="0084743F">
        <w:rPr>
          <w:rFonts w:ascii="Verdana" w:hAnsi="Verdana" w:cs="Arial"/>
          <w:noProof/>
          <w:lang w:val="es-ES_tradnl"/>
        </w:rPr>
        <w:lastRenderedPageBreak/>
        <w:t xml:space="preserve">El artículo 1 del Acto Legislativo 05 de 2019 modificó el artículo 361 de la Constitución, disponiendo que “los ingresos corrientes del Sistema General de Regalías se destinarán a la financiación de proyectos de inversión que contribuyan al desarrollo social, económico y ambiental de las entidades territoriales”. </w:t>
      </w:r>
    </w:p>
    <w:p w14:paraId="30D23AD6" w14:textId="77777777" w:rsidR="00F85191" w:rsidRPr="0084743F" w:rsidRDefault="00F85191" w:rsidP="00F85191">
      <w:pPr>
        <w:spacing w:before="120" w:after="0" w:line="276" w:lineRule="auto"/>
        <w:ind w:firstLine="709"/>
        <w:jc w:val="both"/>
        <w:rPr>
          <w:rFonts w:ascii="Verdana" w:hAnsi="Verdana" w:cs="Arial"/>
        </w:rPr>
      </w:pPr>
      <w:r w:rsidRPr="0084743F">
        <w:rPr>
          <w:rFonts w:ascii="Verdana" w:hAnsi="Verdana" w:cs="Arial"/>
          <w:noProof/>
          <w:lang w:val="es-ES_tradnl"/>
        </w:rPr>
        <w:t xml:space="preserve">Con fundamento en los artículos </w:t>
      </w:r>
      <w:bookmarkStart w:id="2" w:name="_Hlk181026059"/>
      <w:r w:rsidRPr="0084743F">
        <w:rPr>
          <w:rFonts w:ascii="Verdana" w:hAnsi="Verdana" w:cs="Arial"/>
          <w:noProof/>
          <w:lang w:val="es-ES_tradnl"/>
        </w:rPr>
        <w:t>360 y 361 de la Constitución Política</w:t>
      </w:r>
      <w:bookmarkEnd w:id="2"/>
      <w:r w:rsidRPr="0084743F">
        <w:rPr>
          <w:rFonts w:ascii="Verdana" w:hAnsi="Verdana" w:cs="Arial"/>
          <w:noProof/>
          <w:lang w:val="es-ES_tradnl"/>
        </w:rPr>
        <w:t xml:space="preserve">, se expidió la </w:t>
      </w:r>
      <w:bookmarkStart w:id="3" w:name="_Hlk181026083"/>
      <w:r w:rsidRPr="0084743F">
        <w:rPr>
          <w:rFonts w:ascii="Verdana" w:hAnsi="Verdana" w:cs="Arial"/>
          <w:noProof/>
          <w:lang w:val="es-ES_tradnl"/>
        </w:rPr>
        <w:t>Ley 2056 de 2020</w:t>
      </w:r>
      <w:bookmarkEnd w:id="3"/>
      <w:r w:rsidRPr="0084743F">
        <w:rPr>
          <w:rFonts w:ascii="Verdana" w:hAnsi="Verdana" w:cs="Arial"/>
          <w:noProof/>
          <w:lang w:val="es-ES_tradnl"/>
        </w:rPr>
        <w:t xml:space="preserve">, por medio de la cual se deroga, entre otras, la Ley 1530 de 2012, y </w:t>
      </w:r>
      <w:r w:rsidRPr="0084743F">
        <w:rPr>
          <w:rFonts w:ascii="Verdana" w:hAnsi="Verdana" w:cs="Arial"/>
          <w:bCs/>
          <w:lang w:val="es-ES_tradnl"/>
        </w:rPr>
        <w:t>“</w:t>
      </w:r>
      <w:r w:rsidRPr="0084743F">
        <w:rPr>
          <w:rFonts w:ascii="Verdana" w:hAnsi="Verdana" w:cs="Arial"/>
        </w:rPr>
        <w:t>Por la cual se regula la organización y el funcionamiento del Sistema General de Regalías</w:t>
      </w:r>
      <w:r w:rsidRPr="0084743F">
        <w:rPr>
          <w:rFonts w:ascii="Verdana" w:hAnsi="Verdana" w:cs="Arial"/>
          <w:noProof/>
        </w:rPr>
        <w:t>”</w:t>
      </w:r>
      <w:r w:rsidRPr="0084743F">
        <w:rPr>
          <w:rFonts w:ascii="Verdana" w:hAnsi="Verdana" w:cs="Arial"/>
        </w:rPr>
        <w:t xml:space="preserve">. En este sentido, la exposición de motivos de esta Ley expresó que: </w:t>
      </w:r>
    </w:p>
    <w:p w14:paraId="0C27DEA4" w14:textId="77777777" w:rsidR="00F85191" w:rsidRPr="0084743F" w:rsidRDefault="00F85191" w:rsidP="00F85191">
      <w:pPr>
        <w:spacing w:after="0" w:line="276" w:lineRule="auto"/>
        <w:jc w:val="both"/>
        <w:rPr>
          <w:rFonts w:ascii="Verdana" w:hAnsi="Verdana" w:cs="Arial"/>
        </w:rPr>
      </w:pPr>
    </w:p>
    <w:p w14:paraId="7094E436" w14:textId="77777777" w:rsidR="00F85191" w:rsidRPr="0084743F" w:rsidRDefault="00F85191" w:rsidP="00FE07EA">
      <w:pPr>
        <w:spacing w:after="0" w:line="240" w:lineRule="auto"/>
        <w:ind w:left="709" w:right="709"/>
        <w:contextualSpacing/>
        <w:jc w:val="both"/>
        <w:rPr>
          <w:rFonts w:ascii="Verdana" w:hAnsi="Verdana" w:cs="Arial"/>
          <w:sz w:val="20"/>
          <w:szCs w:val="20"/>
        </w:rPr>
      </w:pPr>
      <w:r w:rsidRPr="0084743F">
        <w:rPr>
          <w:rFonts w:ascii="Verdana" w:hAnsi="Verdana" w:cs="Arial"/>
          <w:sz w:val="20"/>
          <w:szCs w:val="20"/>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1B03D305" w14:textId="77777777" w:rsidR="00F85191" w:rsidRPr="0084743F" w:rsidRDefault="00F85191" w:rsidP="00FE07EA">
      <w:pPr>
        <w:pStyle w:val="Prrafodelista"/>
        <w:numPr>
          <w:ilvl w:val="0"/>
          <w:numId w:val="19"/>
        </w:numPr>
        <w:spacing w:after="0" w:line="240" w:lineRule="auto"/>
        <w:ind w:left="709" w:right="709" w:firstLine="0"/>
        <w:jc w:val="both"/>
        <w:rPr>
          <w:rFonts w:ascii="Verdana" w:hAnsi="Verdana" w:cs="Arial"/>
          <w:sz w:val="20"/>
          <w:szCs w:val="20"/>
        </w:rPr>
      </w:pPr>
      <w:r w:rsidRPr="0084743F">
        <w:rPr>
          <w:rFonts w:ascii="Verdana" w:hAnsi="Verdana" w:cs="Arial"/>
          <w:sz w:val="20"/>
          <w:szCs w:val="20"/>
        </w:rPr>
        <w:t xml:space="preserve">Incentivar en el territorio nacional el desarrollo de actividades de exploración y explotación de recursos naturales no renovables, en el marco de la normativa vigente. </w:t>
      </w:r>
    </w:p>
    <w:p w14:paraId="7CC333C4" w14:textId="77777777" w:rsidR="00F85191" w:rsidRPr="0084743F" w:rsidRDefault="00F85191" w:rsidP="00FE07EA">
      <w:pPr>
        <w:pStyle w:val="Prrafodelista"/>
        <w:spacing w:after="0" w:line="240" w:lineRule="auto"/>
        <w:ind w:left="709" w:right="709"/>
        <w:jc w:val="both"/>
        <w:rPr>
          <w:rFonts w:ascii="Verdana" w:hAnsi="Verdana" w:cs="Arial"/>
          <w:sz w:val="20"/>
          <w:szCs w:val="20"/>
        </w:rPr>
      </w:pPr>
    </w:p>
    <w:p w14:paraId="67A5D4F2" w14:textId="77777777" w:rsidR="00F85191" w:rsidRPr="0084743F" w:rsidRDefault="00F85191" w:rsidP="00FE07EA">
      <w:pPr>
        <w:pStyle w:val="Prrafodelista"/>
        <w:numPr>
          <w:ilvl w:val="0"/>
          <w:numId w:val="19"/>
        </w:numPr>
        <w:spacing w:after="0" w:line="240" w:lineRule="auto"/>
        <w:ind w:left="709" w:right="709" w:firstLine="0"/>
        <w:jc w:val="both"/>
        <w:rPr>
          <w:rFonts w:ascii="Verdana" w:hAnsi="Verdana" w:cs="Arial"/>
          <w:sz w:val="20"/>
          <w:szCs w:val="20"/>
        </w:rPr>
      </w:pPr>
      <w:r w:rsidRPr="0084743F">
        <w:rPr>
          <w:rFonts w:ascii="Verdana" w:hAnsi="Verdana" w:cs="Arial"/>
          <w:sz w:val="20"/>
          <w:szCs w:val="20"/>
        </w:rPr>
        <w:t>Fomentar la estructuración y aprobación de proyectos de inversión que permitan la implementación del Acuerdo Final para la Terminación del Conflicto y la Construcción de una Paz Estable y Duradera, en los términos establecidos en las normas vigentes”</w:t>
      </w:r>
      <w:r w:rsidRPr="0084743F">
        <w:rPr>
          <w:rStyle w:val="Refdenotaalpie"/>
          <w:rFonts w:ascii="Verdana" w:hAnsi="Verdana" w:cs="Arial"/>
          <w:sz w:val="20"/>
          <w:szCs w:val="20"/>
        </w:rPr>
        <w:footnoteReference w:id="2"/>
      </w:r>
      <w:r w:rsidRPr="0084743F">
        <w:rPr>
          <w:rFonts w:ascii="Verdana" w:hAnsi="Verdana" w:cs="Arial"/>
          <w:sz w:val="20"/>
          <w:szCs w:val="20"/>
        </w:rPr>
        <w:t xml:space="preserve">. </w:t>
      </w:r>
    </w:p>
    <w:p w14:paraId="4511F220" w14:textId="77777777" w:rsidR="00FE07EA" w:rsidRDefault="00FE07EA" w:rsidP="006F0E50">
      <w:pPr>
        <w:spacing w:after="0" w:line="276" w:lineRule="auto"/>
        <w:ind w:firstLine="709"/>
        <w:jc w:val="both"/>
        <w:rPr>
          <w:rFonts w:ascii="Verdana" w:hAnsi="Verdana" w:cs="Arial"/>
          <w:noProof/>
          <w:lang w:val="es-ES_tradnl"/>
        </w:rPr>
      </w:pPr>
    </w:p>
    <w:p w14:paraId="43B89BBF" w14:textId="7CBEF6E0" w:rsidR="00F85191" w:rsidRPr="0084743F" w:rsidRDefault="00F85191" w:rsidP="00F85191">
      <w:pPr>
        <w:spacing w:after="120" w:line="276" w:lineRule="auto"/>
        <w:ind w:firstLine="709"/>
        <w:jc w:val="both"/>
        <w:rPr>
          <w:rFonts w:ascii="Verdana" w:hAnsi="Verdana" w:cs="Arial"/>
          <w:noProof/>
          <w:lang w:val="es-ES_tradnl"/>
        </w:rPr>
      </w:pPr>
      <w:r w:rsidRPr="0084743F">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84743F">
        <w:rPr>
          <w:rFonts w:ascii="Verdana" w:hAnsi="Verdana" w:cs="Arial"/>
          <w:noProof/>
          <w:vertAlign w:val="superscript"/>
          <w:lang w:val="es-ES_tradnl"/>
        </w:rPr>
        <w:footnoteReference w:id="3"/>
      </w:r>
      <w:r w:rsidRPr="0084743F">
        <w:rPr>
          <w:rFonts w:ascii="Verdana" w:hAnsi="Verdana" w:cs="Arial"/>
          <w:noProof/>
          <w:lang w:val="es-ES_tradnl"/>
        </w:rPr>
        <w:t xml:space="preserve">. El artículo 3 establece los organos del Estado que hacen parte del Sistema General Regalias, </w:t>
      </w:r>
      <w:r w:rsidRPr="0084743F">
        <w:rPr>
          <w:rFonts w:ascii="Verdana" w:hAnsi="Verdana" w:cs="Arial"/>
          <w:noProof/>
          <w:lang w:val="es-ES_tradnl"/>
        </w:rPr>
        <w:lastRenderedPageBreak/>
        <w:t xml:space="preserve">como son </w:t>
      </w:r>
      <w:r w:rsidRPr="0084743F">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84743F">
        <w:rPr>
          <w:rFonts w:ascii="Verdana" w:hAnsi="Verdana" w:cs="Arial"/>
          <w:noProof/>
          <w:lang w:val="es-ES_tradnl"/>
        </w:rPr>
        <w:t xml:space="preserve"> incluyendo dentro de los mismos al Ministerio de Ciencia, Tenoclogía e Innovación</w:t>
      </w:r>
      <w:r w:rsidRPr="0084743F">
        <w:rPr>
          <w:rFonts w:ascii="Verdana" w:hAnsi="Verdana" w:cs="Arial"/>
          <w:noProof/>
          <w:vertAlign w:val="superscript"/>
          <w:lang w:val="es-ES_tradnl"/>
        </w:rPr>
        <w:footnoteReference w:id="4"/>
      </w:r>
      <w:r w:rsidRPr="0084743F">
        <w:rPr>
          <w:rFonts w:ascii="Verdana" w:hAnsi="Verdana" w:cs="Arial"/>
          <w:noProof/>
          <w:lang w:val="es-ES_tradnl"/>
        </w:rPr>
        <w:t xml:space="preserve">. Estas entidades deben ejercer sus competencias, de acuerdo a lo prescrito en dicha ley y los lineamientos que expida la Comisión Rectora. </w:t>
      </w:r>
    </w:p>
    <w:p w14:paraId="1C3BD02C" w14:textId="77777777" w:rsidR="00F85191" w:rsidRPr="0084743F" w:rsidRDefault="00F85191" w:rsidP="00F85191">
      <w:pPr>
        <w:spacing w:after="120" w:line="276" w:lineRule="auto"/>
        <w:ind w:firstLine="709"/>
        <w:jc w:val="both"/>
        <w:rPr>
          <w:rFonts w:ascii="Verdana" w:hAnsi="Verdana" w:cs="Arial"/>
          <w:noProof/>
          <w:lang w:val="es-ES_tradnl"/>
        </w:rPr>
      </w:pPr>
      <w:r w:rsidRPr="0084743F">
        <w:rPr>
          <w:rFonts w:ascii="Verdana" w:hAnsi="Verdana" w:cs="Arial"/>
          <w:noProof/>
        </w:rPr>
        <w:t>E</w:t>
      </w:r>
      <w:r w:rsidRPr="0084743F">
        <w:rPr>
          <w:rFonts w:ascii="Verdana" w:hAnsi="Verdana" w:cs="Arial"/>
          <w:noProof/>
          <w:lang w:val="es-ES_tradnl"/>
        </w:rPr>
        <w:t xml:space="preserve">n el marco de la Ley 2056 de 2020, tambien se expidió el </w:t>
      </w:r>
      <w:bookmarkStart w:id="4" w:name="_Hlk181026109"/>
      <w:r w:rsidRPr="0084743F">
        <w:rPr>
          <w:rFonts w:ascii="Verdana" w:hAnsi="Verdana" w:cs="Arial"/>
          <w:noProof/>
          <w:lang w:val="es-ES_tradnl"/>
        </w:rPr>
        <w:t>Decreto 1821 de 2020</w:t>
      </w:r>
      <w:bookmarkEnd w:id="4"/>
      <w:r w:rsidRPr="0084743F">
        <w:rPr>
          <w:rFonts w:ascii="Verdana" w:hAnsi="Verdana" w:cs="Arial"/>
          <w:noProof/>
          <w:lang w:val="es-ES_tradnl"/>
        </w:rPr>
        <w:t>, “</w:t>
      </w:r>
      <w:r w:rsidRPr="0084743F">
        <w:rPr>
          <w:rStyle w:val="Textoennegrita"/>
          <w:rFonts w:ascii="Verdana" w:hAnsi="Verdana" w:cs="Arial"/>
          <w:b w:val="0"/>
          <w:bCs w:val="0"/>
          <w:shd w:val="clear" w:color="auto" w:fill="FFFFFF"/>
        </w:rPr>
        <w:t>Por el cual se expide el Decreto Único Reglamentario del Sistema General de Regalías”</w:t>
      </w:r>
      <w:r w:rsidRPr="0084743F">
        <w:rPr>
          <w:rFonts w:ascii="Verdana" w:hAnsi="Verdana" w:cs="Arial"/>
          <w:noProof/>
          <w:lang w:val="es-ES_tradnl"/>
        </w:rPr>
        <w:t xml:space="preserve">, reglamento que regula la ejecución de los proyectos. A partir de lo expuesto, se analizará el régimen de contratación aplicable de las entidades públicas ejecutoras en el Sistema General de Regalías, con el fin de dar respuesta al problema juridico planteado. </w:t>
      </w:r>
    </w:p>
    <w:p w14:paraId="3DADDD09" w14:textId="77777777" w:rsidR="00F85191" w:rsidRPr="0084743F" w:rsidRDefault="00F85191" w:rsidP="00F85191">
      <w:pPr>
        <w:spacing w:after="120" w:line="276" w:lineRule="auto"/>
        <w:ind w:firstLine="709"/>
        <w:jc w:val="both"/>
        <w:rPr>
          <w:rFonts w:ascii="Verdana" w:hAnsi="Verdana" w:cs="Arial"/>
          <w:noProof/>
          <w:lang w:val="es-ES_tradnl"/>
        </w:rPr>
      </w:pPr>
      <w:r w:rsidRPr="0084743F">
        <w:rPr>
          <w:rFonts w:ascii="Verdana" w:hAnsi="Verdana" w:cs="Arial"/>
          <w:noProof/>
          <w:lang w:val="es-ES_tradnl"/>
        </w:rPr>
        <w:t xml:space="preserve">En </w:t>
      </w:r>
      <w:r w:rsidRPr="0084743F">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52056CD3" w14:textId="77777777" w:rsidR="00F85191" w:rsidRPr="0084743F" w:rsidRDefault="00F85191" w:rsidP="00F85191">
      <w:pPr>
        <w:spacing w:after="120" w:line="276" w:lineRule="auto"/>
        <w:ind w:firstLine="708"/>
        <w:jc w:val="both"/>
        <w:rPr>
          <w:rFonts w:ascii="Verdana" w:hAnsi="Verdana" w:cs="Arial"/>
          <w:noProof/>
        </w:rPr>
      </w:pPr>
      <w:r w:rsidRPr="0084743F">
        <w:rPr>
          <w:rFonts w:ascii="Verdana" w:hAnsi="Verdana" w:cs="Arial"/>
          <w:noProof/>
        </w:rPr>
        <w:t>i) E</w:t>
      </w:r>
      <w:r w:rsidRPr="0084743F">
        <w:rPr>
          <w:rFonts w:ascii="Verdana" w:hAnsi="Verdana" w:cs="Arial"/>
          <w:noProof/>
          <w:lang w:val="es-ES_tradnl"/>
        </w:rPr>
        <w:t xml:space="preserve">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w:t>
      </w:r>
      <w:r w:rsidRPr="0084743F">
        <w:rPr>
          <w:rFonts w:ascii="Verdana" w:hAnsi="Verdana" w:cs="Arial"/>
          <w:noProof/>
          <w:lang w:val="es-ES_tradnl"/>
        </w:rPr>
        <w:lastRenderedPageBreak/>
        <w:t>proyectos deben basarse en la metodología dispuesta por el Departamento Nacional de Planeación. A su vez, se dispone que estos recursos no podrán financiar gastos permanentes: una vez finalizada la etapa de inversión, la prestación del servicio debe ser sostenible y financiada por recursos diferentes al Sistema General de Regalías</w:t>
      </w:r>
      <w:r w:rsidRPr="0084743F">
        <w:rPr>
          <w:rStyle w:val="Refdenotaalpie"/>
          <w:rFonts w:ascii="Verdana" w:hAnsi="Verdana" w:cs="Arial"/>
          <w:noProof/>
          <w:lang w:val="es-ES_tradnl"/>
        </w:rPr>
        <w:footnoteReference w:id="5"/>
      </w:r>
      <w:r w:rsidRPr="0084743F">
        <w:rPr>
          <w:rFonts w:ascii="Verdana" w:hAnsi="Verdana" w:cs="Arial"/>
          <w:noProof/>
          <w:lang w:val="es-ES_tradnl"/>
        </w:rPr>
        <w:t>.</w:t>
      </w:r>
      <w:r w:rsidRPr="0084743F">
        <w:rPr>
          <w:rFonts w:ascii="Verdana" w:hAnsi="Verdana" w:cs="Arial"/>
          <w:noProof/>
        </w:rPr>
        <w:t xml:space="preserve"> </w:t>
      </w:r>
    </w:p>
    <w:p w14:paraId="352CAA3A" w14:textId="77777777" w:rsidR="00F85191" w:rsidRPr="0084743F" w:rsidRDefault="00F85191" w:rsidP="00F85191">
      <w:pPr>
        <w:spacing w:after="120" w:line="276" w:lineRule="auto"/>
        <w:ind w:firstLine="709"/>
        <w:jc w:val="both"/>
        <w:rPr>
          <w:rFonts w:ascii="Verdana" w:hAnsi="Verdana" w:cs="Arial"/>
          <w:noProof/>
        </w:rPr>
      </w:pPr>
      <w:r w:rsidRPr="0084743F">
        <w:rPr>
          <w:rFonts w:ascii="Verdana" w:hAnsi="Verdana" w:cs="Arial"/>
          <w:noProof/>
        </w:rPr>
        <w:t>ii) El artículo 35, parágrafo 2, dispone que los Departamentos y Órganos Colegiados de Administración y Decisión Regionales de que trata el artículo citado, en el marco de sus competencia, deben designar una</w:t>
      </w:r>
      <w:r w:rsidRPr="0084743F" w:rsidDel="003822CF">
        <w:rPr>
          <w:rFonts w:ascii="Verdana" w:hAnsi="Verdana" w:cs="Arial"/>
          <w:noProof/>
        </w:rPr>
        <w:t xml:space="preserve"> </w:t>
      </w:r>
      <w:r w:rsidRPr="0084743F">
        <w:rPr>
          <w:rFonts w:ascii="Verdana" w:hAnsi="Verdana" w:cs="Arial"/>
          <w:noProof/>
        </w:rPr>
        <w:t>entidad ejecutora de naturaleza pública, que además debe estar a cargo de la contratación de la interventoría, de acuerdo a lo regulado en dicha ley</w:t>
      </w:r>
      <w:r w:rsidRPr="0084743F">
        <w:rPr>
          <w:rStyle w:val="Refdenotaalpie"/>
          <w:rFonts w:ascii="Verdana" w:hAnsi="Verdana" w:cs="Arial"/>
          <w:noProof/>
        </w:rPr>
        <w:footnoteReference w:id="6"/>
      </w:r>
      <w:r w:rsidRPr="0084743F">
        <w:rPr>
          <w:rFonts w:ascii="Verdana" w:hAnsi="Verdana" w:cs="Arial"/>
          <w:noProof/>
        </w:rPr>
        <w:t xml:space="preserve">. </w:t>
      </w:r>
    </w:p>
    <w:p w14:paraId="0D8B492B" w14:textId="77777777" w:rsidR="00F85191" w:rsidRPr="0084743F" w:rsidRDefault="00F85191" w:rsidP="00F85191">
      <w:pPr>
        <w:spacing w:after="120" w:line="276" w:lineRule="auto"/>
        <w:ind w:firstLine="709"/>
        <w:jc w:val="both"/>
        <w:rPr>
          <w:rFonts w:ascii="Verdana" w:hAnsi="Verdana" w:cs="Arial"/>
        </w:rPr>
      </w:pPr>
      <w:r w:rsidRPr="0084743F">
        <w:rPr>
          <w:rFonts w:ascii="Verdana" w:hAnsi="Verdana" w:cs="Arial"/>
          <w:noProof/>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84743F">
        <w:rPr>
          <w:rFonts w:ascii="Verdana" w:hAnsi="Verdana" w:cs="Arial"/>
        </w:rPr>
        <w:t>así como de verificar su disponibilidad, conforme con la metodología del Departamento Nacional de Planeación</w:t>
      </w:r>
      <w:r w:rsidRPr="0084743F">
        <w:rPr>
          <w:rStyle w:val="Refdenotaalpie"/>
          <w:rFonts w:ascii="Verdana" w:hAnsi="Verdana" w:cs="Arial"/>
        </w:rPr>
        <w:footnoteReference w:id="7"/>
      </w:r>
      <w:r w:rsidRPr="0084743F">
        <w:rPr>
          <w:rFonts w:ascii="Verdana" w:hAnsi="Verdana" w:cs="Arial"/>
        </w:rPr>
        <w:t>.</w:t>
      </w:r>
    </w:p>
    <w:p w14:paraId="33829EC9" w14:textId="77777777" w:rsidR="00F85191" w:rsidRPr="0084743F" w:rsidRDefault="00F85191" w:rsidP="00F85191">
      <w:pPr>
        <w:spacing w:after="120" w:line="276" w:lineRule="auto"/>
        <w:ind w:firstLine="709"/>
        <w:jc w:val="both"/>
        <w:rPr>
          <w:rFonts w:ascii="Verdana" w:hAnsi="Verdana" w:cs="Arial"/>
        </w:rPr>
      </w:pPr>
      <w:proofErr w:type="spellStart"/>
      <w:r w:rsidRPr="0084743F">
        <w:rPr>
          <w:rFonts w:ascii="Verdana" w:hAnsi="Verdana" w:cs="Arial"/>
        </w:rPr>
        <w:lastRenderedPageBreak/>
        <w:t>iv</w:t>
      </w:r>
      <w:proofErr w:type="spellEnd"/>
      <w:r w:rsidRPr="0084743F">
        <w:rPr>
          <w:rFonts w:ascii="Verdana" w:hAnsi="Verdana" w:cs="Arial"/>
        </w:rPr>
        <w:t xml:space="preserve">) </w:t>
      </w:r>
      <w:bookmarkStart w:id="5" w:name="_Hlk181022545"/>
      <w:r w:rsidRPr="0084743F">
        <w:rPr>
          <w:rFonts w:ascii="Verdana" w:hAnsi="Verdana" w:cs="Arial"/>
        </w:rPr>
        <w:t xml:space="preserve">El artículo 37 de la Ley 2056 de 2020 dispone que los proyectos de inversión que se financien con cargo al Sistema General de Regalías serán ejecutados por quien designe las entidades u órganos de que tratan los artículos 35 y 36 </w:t>
      </w:r>
      <w:r w:rsidRPr="0084743F">
        <w:rPr>
          <w:rFonts w:ascii="Verdana" w:hAnsi="Verdana" w:cs="Arial"/>
          <w:i/>
          <w:iCs/>
        </w:rPr>
        <w:t>ibidem</w:t>
      </w:r>
      <w:r w:rsidRPr="0084743F">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35124648" w14:textId="77777777" w:rsidR="00F85191" w:rsidRDefault="00F85191" w:rsidP="00F85191">
      <w:pPr>
        <w:spacing w:after="120" w:line="276" w:lineRule="auto"/>
        <w:ind w:firstLine="708"/>
        <w:jc w:val="both"/>
        <w:rPr>
          <w:rFonts w:ascii="Verdana" w:hAnsi="Verdana" w:cs="Arial"/>
          <w:noProof/>
        </w:rPr>
      </w:pPr>
      <w:r w:rsidRPr="0084743F">
        <w:rPr>
          <w:rFonts w:ascii="Verdana" w:hAnsi="Verdana" w:cs="Arial"/>
        </w:rPr>
        <w:t xml:space="preserve">En esta línea, el parágrafo primero del artículo 37 dispone: “La ejecución de proyectos de </w:t>
      </w:r>
      <w:proofErr w:type="spellStart"/>
      <w:r w:rsidRPr="0084743F">
        <w:rPr>
          <w:rFonts w:ascii="Verdana" w:hAnsi="Verdana" w:cs="Arial"/>
        </w:rPr>
        <w:t>que</w:t>
      </w:r>
      <w:proofErr w:type="spellEnd"/>
      <w:r w:rsidRPr="0084743F">
        <w:rPr>
          <w:rFonts w:ascii="Verdana" w:hAnsi="Verdana" w:cs="Arial"/>
        </w:rPr>
        <w:t xml:space="preserve"> trata este artículo, se adelantará, con estricta sujeción al régimen presupuestal definido en esta ley, </w:t>
      </w:r>
      <w:r w:rsidRPr="0084743F">
        <w:rPr>
          <w:rFonts w:ascii="Verdana" w:hAnsi="Verdana" w:cs="Arial"/>
          <w:i/>
          <w:iCs/>
        </w:rPr>
        <w:t>al de contratación pública</w:t>
      </w:r>
      <w:r w:rsidRPr="0084743F">
        <w:rPr>
          <w:rFonts w:ascii="Verdana" w:hAnsi="Verdana" w:cs="Arial"/>
        </w:rPr>
        <w:t xml:space="preserve"> y las demás normas legales vigentes. El ejecutor garantizará la correcta ejecución de los recursos asignados al proyecto de inversión, así como el suministro y registro de la información requerida por el sistema de seguimiento, evaluación y control”</w:t>
      </w:r>
      <w:r w:rsidRPr="0084743F">
        <w:rPr>
          <w:rStyle w:val="Refdenotaalpie"/>
          <w:rFonts w:ascii="Verdana" w:hAnsi="Verdana" w:cs="Arial"/>
        </w:rPr>
        <w:footnoteReference w:id="8"/>
      </w:r>
      <w:r w:rsidRPr="0084743F">
        <w:rPr>
          <w:rFonts w:ascii="Verdana" w:hAnsi="Verdana" w:cs="Arial"/>
        </w:rPr>
        <w:t xml:space="preserve"> </w:t>
      </w:r>
      <w:r w:rsidRPr="0084743F">
        <w:rPr>
          <w:rFonts w:ascii="Verdana" w:hAnsi="Verdana" w:cs="Arial"/>
        </w:rPr>
        <w:lastRenderedPageBreak/>
        <w:t>[Énfasis fuera del texto original].</w:t>
      </w:r>
      <w:r w:rsidRPr="0084743F">
        <w:rPr>
          <w:rFonts w:ascii="Verdana" w:hAnsi="Verdana" w:cs="Arial"/>
          <w:noProof/>
        </w:rPr>
        <w:t xml:space="preserve"> </w:t>
      </w:r>
      <w:bookmarkEnd w:id="5"/>
      <w:r w:rsidRPr="0084743F">
        <w:rPr>
          <w:rFonts w:ascii="Verdana" w:hAnsi="Verdana" w:cs="Arial"/>
          <w:noProof/>
        </w:rPr>
        <w:t xml:space="preserve">A partir de esta norma, el ejercutor de los proyectos de inversion en el Sistema General de Regalias debe sujetarse a las reglas de contratación pública, es decir, a las prescripciones establecidas en el Estatuto General de Contratación de la Administración Pública, así como las normas que lo modifiquen, sustituyan o reglamenten. En efecto, el ejecutor debe someterse a las reglas generales de la contratación pública cuando desarrolle proyectos en el marco del Sistema General de Regalías. </w:t>
      </w:r>
    </w:p>
    <w:p w14:paraId="3174E644" w14:textId="7E2A3497" w:rsidR="001A575B" w:rsidRPr="001A575B" w:rsidRDefault="003221CA" w:rsidP="003221CA">
      <w:pPr>
        <w:shd w:val="clear" w:color="auto" w:fill="FFFFFF"/>
        <w:spacing w:after="120" w:line="276" w:lineRule="auto"/>
        <w:ind w:firstLine="709"/>
        <w:jc w:val="both"/>
        <w:rPr>
          <w:rFonts w:ascii="Verdana" w:hAnsi="Verdana" w:cs="Arial"/>
        </w:rPr>
      </w:pPr>
      <w:r w:rsidRPr="00495E44">
        <w:rPr>
          <w:rFonts w:ascii="Verdana" w:hAnsi="Verdana" w:cs="Arial"/>
          <w:lang w:val="es-ES_tradnl"/>
        </w:rPr>
        <w:t xml:space="preserve">Igualmente, y en lo que al objeto de la consulta se refiere, es importante referenciar lo prescrito en los artículos 85 de la Ley 2056 de 2020 sobre los recursos del Sistema General de Regalías. </w:t>
      </w:r>
      <w:bookmarkStart w:id="6" w:name="_Hlk66438231"/>
      <w:r w:rsidR="00E145B7">
        <w:rPr>
          <w:rFonts w:ascii="Verdana" w:hAnsi="Verdana" w:cs="Arial"/>
          <w:lang w:val="es-ES_tradnl"/>
        </w:rPr>
        <w:t>De acuerdo,</w:t>
      </w:r>
      <w:r w:rsidR="00DB784F">
        <w:rPr>
          <w:rFonts w:ascii="Verdana" w:hAnsi="Verdana" w:cs="Arial"/>
          <w:lang w:val="es-ES_tradnl"/>
        </w:rPr>
        <w:t xml:space="preserve"> con </w:t>
      </w:r>
      <w:r w:rsidR="00E145B7">
        <w:rPr>
          <w:rFonts w:ascii="Verdana" w:hAnsi="Verdana" w:cs="Arial"/>
        </w:rPr>
        <w:t>esta</w:t>
      </w:r>
      <w:r w:rsidRPr="00495E44">
        <w:rPr>
          <w:rFonts w:ascii="Verdana" w:hAnsi="Verdana" w:cs="Arial"/>
        </w:rPr>
        <w:t xml:space="preserve"> </w:t>
      </w:r>
      <w:bookmarkStart w:id="7" w:name="_Hlk71740241"/>
      <w:r w:rsidR="00E145B7">
        <w:rPr>
          <w:rFonts w:ascii="Verdana" w:hAnsi="Verdana" w:cs="Arial"/>
        </w:rPr>
        <w:t xml:space="preserve">disposición </w:t>
      </w:r>
      <w:r w:rsidRPr="00495E44">
        <w:rPr>
          <w:rFonts w:ascii="Verdana" w:hAnsi="Verdana" w:cs="Arial"/>
        </w:rPr>
        <w:t>cuando dichos recursos sean para proyectos de inversión en</w:t>
      </w:r>
      <w:r w:rsidR="00E145B7">
        <w:rPr>
          <w:rFonts w:ascii="Verdana" w:hAnsi="Verdana" w:cs="Arial"/>
        </w:rPr>
        <w:t xml:space="preserve"> favor de comunidades indígenas </w:t>
      </w:r>
      <w:r w:rsidRPr="006F0E50">
        <w:rPr>
          <w:rFonts w:ascii="Verdana" w:hAnsi="Verdana" w:cs="Arial"/>
          <w:i/>
          <w:iCs/>
        </w:rPr>
        <w:t>“</w:t>
      </w:r>
      <w:r w:rsidR="001A575B" w:rsidRPr="006F0E50">
        <w:rPr>
          <w:rFonts w:ascii="Verdana" w:hAnsi="Verdana" w:cs="Arial"/>
          <w:i/>
          <w:iCs/>
        </w:rPr>
        <w:t>Los actos o contratos que expidan o celebren los ejecutores se regirán por las normas presupuestales contenidas en la presente Ley, el Estatuto de Contratación Estatal, los Decretos 1088 de 1993 y 252 de 2020, las normas contables que para este efecto defina la Contaduría General de la Nación y las demás disposiciones complementarias</w:t>
      </w:r>
      <w:r w:rsidRPr="006F0E50">
        <w:rPr>
          <w:rFonts w:ascii="Verdana" w:hAnsi="Verdana" w:cs="Arial"/>
          <w:i/>
          <w:iCs/>
        </w:rPr>
        <w:t>”</w:t>
      </w:r>
      <w:bookmarkEnd w:id="6"/>
      <w:bookmarkEnd w:id="7"/>
      <w:r w:rsidR="001A575B">
        <w:rPr>
          <w:rFonts w:ascii="Verdana" w:hAnsi="Verdana" w:cs="Arial"/>
          <w:i/>
          <w:iCs/>
        </w:rPr>
        <w:t xml:space="preserve">. </w:t>
      </w:r>
      <w:r w:rsidR="001A575B">
        <w:rPr>
          <w:rFonts w:ascii="Verdana" w:hAnsi="Verdana" w:cs="Arial"/>
        </w:rPr>
        <w:t>Al respecto, es importante tener en cuenta que, el a</w:t>
      </w:r>
      <w:r w:rsidR="00B265CF">
        <w:rPr>
          <w:rFonts w:ascii="Verdana" w:hAnsi="Verdana" w:cs="Arial"/>
        </w:rPr>
        <w:t>rtículo</w:t>
      </w:r>
      <w:r w:rsidR="00985562">
        <w:rPr>
          <w:rFonts w:ascii="Verdana" w:hAnsi="Verdana" w:cs="Arial"/>
        </w:rPr>
        <w:t xml:space="preserve"> 10 del Decreto 1088 de 1993</w:t>
      </w:r>
      <w:r w:rsidR="001F5948">
        <w:rPr>
          <w:rFonts w:ascii="Verdana" w:hAnsi="Verdana" w:cs="Arial"/>
        </w:rPr>
        <w:t>, con relación a las Asociaciones de Cabildos y</w:t>
      </w:r>
      <w:r w:rsidR="00DB784F">
        <w:rPr>
          <w:rFonts w:ascii="Verdana" w:hAnsi="Verdana" w:cs="Arial"/>
        </w:rPr>
        <w:t>/o</w:t>
      </w:r>
      <w:r w:rsidR="001F5948">
        <w:rPr>
          <w:rFonts w:ascii="Verdana" w:hAnsi="Verdana" w:cs="Arial"/>
        </w:rPr>
        <w:t xml:space="preserve"> Auto</w:t>
      </w:r>
      <w:r w:rsidR="00DB784F">
        <w:rPr>
          <w:rFonts w:ascii="Verdana" w:hAnsi="Verdana" w:cs="Arial"/>
        </w:rPr>
        <w:t>ridades Tradicionales Indígenas</w:t>
      </w:r>
      <w:r w:rsidR="00420E1D">
        <w:rPr>
          <w:rFonts w:ascii="Verdana" w:hAnsi="Verdana" w:cs="Arial"/>
        </w:rPr>
        <w:t>,</w:t>
      </w:r>
      <w:r w:rsidR="006C213B">
        <w:rPr>
          <w:rFonts w:ascii="Verdana" w:hAnsi="Verdana" w:cs="Arial"/>
        </w:rPr>
        <w:t xml:space="preserve"> dispone que</w:t>
      </w:r>
      <w:r w:rsidR="00420E1D">
        <w:rPr>
          <w:rFonts w:ascii="Verdana" w:hAnsi="Verdana" w:cs="Arial"/>
        </w:rPr>
        <w:t xml:space="preserve"> sus</w:t>
      </w:r>
      <w:r w:rsidR="006C213B">
        <w:rPr>
          <w:rFonts w:ascii="Verdana" w:hAnsi="Verdana" w:cs="Arial"/>
        </w:rPr>
        <w:t xml:space="preserve"> </w:t>
      </w:r>
      <w:r w:rsidR="006C213B" w:rsidRPr="006F0E50">
        <w:rPr>
          <w:rFonts w:ascii="Verdana" w:hAnsi="Verdana" w:cs="Arial"/>
          <w:i/>
          <w:iCs/>
        </w:rPr>
        <w:t>“</w:t>
      </w:r>
      <w:r w:rsidR="00420E1D">
        <w:rPr>
          <w:rFonts w:ascii="Verdana" w:hAnsi="Verdana" w:cs="Arial"/>
          <w:i/>
          <w:iCs/>
        </w:rPr>
        <w:t xml:space="preserve">[…] </w:t>
      </w:r>
      <w:r w:rsidR="006C213B" w:rsidRPr="006F0E50">
        <w:rPr>
          <w:rFonts w:ascii="Verdana" w:hAnsi="Verdana" w:cs="Arial"/>
          <w:i/>
          <w:iCs/>
        </w:rPr>
        <w:t xml:space="preserve">actos y contratos de naturaleza industrial o comercial </w:t>
      </w:r>
      <w:r w:rsidR="00420E1D">
        <w:rPr>
          <w:rFonts w:ascii="Verdana" w:hAnsi="Verdana" w:cs="Arial"/>
          <w:i/>
          <w:iCs/>
        </w:rPr>
        <w:t>[…]</w:t>
      </w:r>
      <w:r w:rsidR="006C213B" w:rsidRPr="006F0E50">
        <w:rPr>
          <w:rFonts w:ascii="Verdana" w:hAnsi="Verdana" w:cs="Arial"/>
          <w:i/>
          <w:iCs/>
        </w:rPr>
        <w:t xml:space="preserve"> se regirán por el derecho privado”</w:t>
      </w:r>
      <w:r w:rsidR="00AA740A">
        <w:rPr>
          <w:rFonts w:ascii="Verdana" w:hAnsi="Verdana" w:cs="Arial"/>
        </w:rPr>
        <w:t xml:space="preserve">. </w:t>
      </w:r>
    </w:p>
    <w:p w14:paraId="536655C3" w14:textId="3210357F" w:rsidR="003221CA" w:rsidRPr="00495E44" w:rsidRDefault="003221CA" w:rsidP="006F0E50">
      <w:pPr>
        <w:shd w:val="clear" w:color="auto" w:fill="FFFFFF"/>
        <w:spacing w:after="0" w:line="276" w:lineRule="auto"/>
        <w:ind w:firstLine="709"/>
        <w:jc w:val="both"/>
        <w:rPr>
          <w:rFonts w:ascii="Verdana" w:hAnsi="Verdana" w:cs="Arial"/>
        </w:rPr>
      </w:pPr>
      <w:r w:rsidRPr="00495E44">
        <w:rPr>
          <w:rFonts w:ascii="Verdana" w:hAnsi="Verdana" w:cs="Arial"/>
        </w:rPr>
        <w:t xml:space="preserve">Por tanto, en caso de que se realicen proyectos de inversión en el marco del Sistema General de Regalías, como también aquellos proyectos especiales referenciados </w:t>
      </w:r>
      <w:r w:rsidRPr="00495E44">
        <w:rPr>
          <w:rFonts w:ascii="Verdana" w:hAnsi="Verdana" w:cs="Arial"/>
          <w:i/>
          <w:iCs/>
        </w:rPr>
        <w:t>ut supra</w:t>
      </w:r>
      <w:r w:rsidRPr="00495E44">
        <w:rPr>
          <w:rFonts w:ascii="Verdana" w:hAnsi="Verdana" w:cs="Arial"/>
        </w:rPr>
        <w:t>, los ejecutores designados para desarrollarlos deben sujetarse al Estatuto General de Contratación de la Administración Pública</w:t>
      </w:r>
      <w:r w:rsidR="00035F7D">
        <w:rPr>
          <w:rFonts w:ascii="Verdana" w:hAnsi="Verdana" w:cs="Arial"/>
        </w:rPr>
        <w:t>, sin perjuicio de lo dispuesto en el dispuesto en el artículo</w:t>
      </w:r>
      <w:r w:rsidR="004924C4">
        <w:rPr>
          <w:rFonts w:ascii="Verdana" w:hAnsi="Verdana" w:cs="Arial"/>
        </w:rPr>
        <w:t xml:space="preserve"> 85 de la Ley 2056 de 2020</w:t>
      </w:r>
      <w:r w:rsidRPr="00495E44">
        <w:rPr>
          <w:rFonts w:ascii="Verdana" w:eastAsia="Calibri" w:hAnsi="Verdana" w:cs="Arial"/>
          <w:lang w:val="es-MX"/>
        </w:rPr>
        <w:t>.</w:t>
      </w:r>
      <w:r w:rsidRPr="00495E44">
        <w:rPr>
          <w:rFonts w:ascii="Verdana" w:hAnsi="Verdana" w:cs="Arial"/>
          <w:lang w:val="es-MX"/>
        </w:rPr>
        <w:t xml:space="preserve"> </w:t>
      </w:r>
    </w:p>
    <w:p w14:paraId="7C10EC02" w14:textId="77777777" w:rsidR="00295AD2" w:rsidRPr="00EC66C1" w:rsidRDefault="00295AD2" w:rsidP="00295AD2">
      <w:pPr>
        <w:snapToGrid w:val="0"/>
        <w:spacing w:after="0" w:line="276" w:lineRule="auto"/>
        <w:ind w:left="720"/>
        <w:jc w:val="both"/>
        <w:rPr>
          <w:rStyle w:val="Hipervnculo"/>
          <w:rFonts w:ascii="Verdana" w:hAnsi="Verdana"/>
        </w:rPr>
      </w:pPr>
    </w:p>
    <w:bookmarkEnd w:id="0"/>
    <w:p w14:paraId="4D8BDB9D" w14:textId="77777777" w:rsidR="00143B90" w:rsidRPr="00EC66C1" w:rsidRDefault="00143B90" w:rsidP="00143B90">
      <w:pPr>
        <w:numPr>
          <w:ilvl w:val="0"/>
          <w:numId w:val="16"/>
        </w:numPr>
        <w:spacing w:after="0" w:line="256" w:lineRule="auto"/>
        <w:ind w:left="0" w:firstLine="0"/>
        <w:rPr>
          <w:rFonts w:ascii="Verdana" w:eastAsia="Calibri" w:hAnsi="Verdana" w:cs="Times New Roman"/>
          <w:b/>
          <w:bCs/>
        </w:rPr>
      </w:pPr>
      <w:r w:rsidRPr="00EC66C1">
        <w:rPr>
          <w:rFonts w:ascii="Verdana" w:eastAsia="Calibri" w:hAnsi="Verdana" w:cs="Times New Roman"/>
          <w:b/>
          <w:bCs/>
        </w:rPr>
        <w:t>Referencias normativas, jurisprudenciales y otras fuentes:</w:t>
      </w:r>
    </w:p>
    <w:p w14:paraId="0974E45F" w14:textId="77777777" w:rsidR="00143B90" w:rsidRPr="00EC66C1" w:rsidRDefault="00143B90" w:rsidP="00143B90">
      <w:pPr>
        <w:spacing w:after="0" w:line="256" w:lineRule="auto"/>
        <w:rPr>
          <w:rFonts w:ascii="Verdana" w:eastAsia="Calibri" w:hAnsi="Verdana" w:cs="Times New Roman"/>
          <w:bCs/>
        </w:rPr>
      </w:pPr>
    </w:p>
    <w:p w14:paraId="65E1FCFE" w14:textId="61DB85FF"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 xml:space="preserve">Convenio No. 169 de 1989 de la OIT. </w:t>
      </w:r>
    </w:p>
    <w:p w14:paraId="29B37EE1"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eastAsia="Calibri" w:hAnsi="Verdana" w:cs="Arial"/>
        </w:rPr>
        <w:t>Ley 21 de 1991, Artículo 2.</w:t>
      </w:r>
    </w:p>
    <w:p w14:paraId="66175913"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Ley 2160 de 2021, Artículos 1, 3.</w:t>
      </w:r>
    </w:p>
    <w:p w14:paraId="28C117DA"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Ley 80 de 1993, Artículo 6, 7.</w:t>
      </w:r>
    </w:p>
    <w:p w14:paraId="12BCD9E5"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lastRenderedPageBreak/>
        <w:t>Ley 70 de 1993.</w:t>
      </w:r>
    </w:p>
    <w:p w14:paraId="71FFD58B"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Ley 1150 de 2007, Artículo 5, Artículo 2, Numeral 4, Literal M.</w:t>
      </w:r>
    </w:p>
    <w:p w14:paraId="7EB02DE7"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eastAsia="Times New Roman" w:hAnsi="Verdana" w:cs="Arial"/>
          <w:lang w:eastAsia="es-CO"/>
        </w:rPr>
        <w:t>Decreto 1066 de 2015.</w:t>
      </w:r>
    </w:p>
    <w:p w14:paraId="47DDF339"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eastAsia="Times New Roman" w:hAnsi="Verdana" w:cs="Arial"/>
          <w:lang w:eastAsia="es-CO"/>
        </w:rPr>
        <w:t>Decreto 1640 de 2020.</w:t>
      </w:r>
    </w:p>
    <w:p w14:paraId="28C8B8BC"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eastAsia="Times New Roman" w:hAnsi="Verdana" w:cs="Arial"/>
          <w:lang w:eastAsia="es-CO"/>
        </w:rPr>
        <w:t>Decreto 1066 de 2015, Artículo 2.5.1.5.6.</w:t>
      </w:r>
    </w:p>
    <w:p w14:paraId="3763D4C5"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eastAsia="Times New Roman" w:hAnsi="Verdana" w:cs="Arial"/>
          <w:lang w:eastAsia="es-CO"/>
        </w:rPr>
        <w:t>Constitución de 1991, Artículos 360 y 361.</w:t>
      </w:r>
    </w:p>
    <w:p w14:paraId="0BE6668E"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Acto Legislativo 05 de 2019.</w:t>
      </w:r>
    </w:p>
    <w:p w14:paraId="20F91906"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lang w:val="es-MX"/>
        </w:rPr>
        <w:t xml:space="preserve">Ley 2056 de 2020, artículos 1, 27, </w:t>
      </w:r>
      <w:r w:rsidRPr="00495E44">
        <w:rPr>
          <w:rFonts w:ascii="Verdana" w:hAnsi="Verdana" w:cs="Arial"/>
          <w:lang w:val="es-ES_tradnl"/>
        </w:rPr>
        <w:t>85, 99 y 109.</w:t>
      </w:r>
    </w:p>
    <w:p w14:paraId="0F41C0F1"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Corte Constitucional. Sentencia T-823 del 17 de octubre del 2012, M.P. Jorge Ignacio Pretelt Chaljub.</w:t>
      </w:r>
    </w:p>
    <w:p w14:paraId="68939525" w14:textId="77777777" w:rsidR="005A34F6" w:rsidRPr="00495E44" w:rsidRDefault="005A34F6" w:rsidP="005A34F6">
      <w:pPr>
        <w:pStyle w:val="Prrafodelista"/>
        <w:widowControl w:val="0"/>
        <w:numPr>
          <w:ilvl w:val="0"/>
          <w:numId w:val="20"/>
        </w:numPr>
        <w:tabs>
          <w:tab w:val="left" w:pos="8419"/>
        </w:tabs>
        <w:autoSpaceDE w:val="0"/>
        <w:autoSpaceDN w:val="0"/>
        <w:spacing w:line="276" w:lineRule="auto"/>
        <w:contextualSpacing w:val="0"/>
        <w:jc w:val="both"/>
        <w:rPr>
          <w:rFonts w:ascii="Verdana" w:hAnsi="Verdana" w:cs="Arial"/>
        </w:rPr>
      </w:pPr>
      <w:r w:rsidRPr="00495E44">
        <w:rPr>
          <w:rFonts w:ascii="Verdana" w:hAnsi="Verdana" w:cs="Arial"/>
        </w:rPr>
        <w:t>Corte Constitucional. Sentencia T-189 del 01 de junio del 2022. M.P. Cristina Pardo Schlesinger.</w:t>
      </w:r>
    </w:p>
    <w:p w14:paraId="2E5B84FB" w14:textId="34D45D42" w:rsidR="00143B90" w:rsidRPr="00EC66C1" w:rsidRDefault="005A34F6" w:rsidP="006F0E50">
      <w:pPr>
        <w:pStyle w:val="Prrafodelista"/>
        <w:numPr>
          <w:ilvl w:val="0"/>
          <w:numId w:val="20"/>
        </w:numPr>
        <w:spacing w:line="276" w:lineRule="auto"/>
        <w:ind w:right="709"/>
        <w:jc w:val="both"/>
        <w:rPr>
          <w:rFonts w:ascii="Verdana" w:hAnsi="Verdana" w:cs="Arial"/>
          <w:color w:val="000000" w:themeColor="text1"/>
          <w:lang w:val="es-CO"/>
        </w:rPr>
      </w:pPr>
      <w:r w:rsidRPr="00495E44">
        <w:rPr>
          <w:rFonts w:ascii="Verdana" w:hAnsi="Verdana" w:cs="Arial"/>
        </w:rPr>
        <w:t xml:space="preserve">Cartilla para incentivar y fortalecer el acceso al Sistema de Compras y Contratación Pública de los Pueblos y Comunidades étnicas en Colombia. Disponible en: </w:t>
      </w:r>
      <w:hyperlink r:id="rId13" w:history="1">
        <w:r w:rsidRPr="00495E44">
          <w:rPr>
            <w:rStyle w:val="Hipervnculo"/>
            <w:rFonts w:ascii="Verdana" w:hAnsi="Verdana" w:cs="Arial"/>
          </w:rPr>
          <w:t>https://colombiacompra.gov.co/manuales-guias-y-pliegos-tipo/manuales-y-guias/cartilla-para-incentivar-y-fortalecer-el-acceso-al</w:t>
        </w:r>
      </w:hyperlink>
      <w:r w:rsidRPr="00495E44">
        <w:rPr>
          <w:rFonts w:ascii="Verdana" w:hAnsi="Verdana" w:cs="Arial"/>
        </w:rPr>
        <w:t xml:space="preserve"> </w:t>
      </w:r>
    </w:p>
    <w:p w14:paraId="08095380" w14:textId="77777777" w:rsidR="00143B90" w:rsidRPr="00EC66C1" w:rsidRDefault="00143B90" w:rsidP="00143B90">
      <w:pPr>
        <w:numPr>
          <w:ilvl w:val="0"/>
          <w:numId w:val="16"/>
        </w:numPr>
        <w:spacing w:after="0" w:line="256" w:lineRule="auto"/>
        <w:ind w:left="0" w:firstLine="0"/>
        <w:rPr>
          <w:rFonts w:ascii="Verdana" w:eastAsia="Calibri" w:hAnsi="Verdana" w:cs="Times New Roman"/>
          <w:b/>
          <w:bCs/>
        </w:rPr>
      </w:pPr>
      <w:r w:rsidRPr="00EC66C1">
        <w:rPr>
          <w:rFonts w:ascii="Verdana" w:eastAsia="Calibri" w:hAnsi="Verdana" w:cs="Times New Roman"/>
          <w:b/>
          <w:bCs/>
        </w:rPr>
        <w:t>Doctrina de la Agencia Nacional de Contratación Pública:</w:t>
      </w:r>
    </w:p>
    <w:p w14:paraId="68D4FF75" w14:textId="77777777" w:rsidR="00143B90" w:rsidRPr="00EC66C1" w:rsidRDefault="00143B90" w:rsidP="00143B90">
      <w:pPr>
        <w:spacing w:after="0" w:line="256" w:lineRule="auto"/>
        <w:rPr>
          <w:rFonts w:ascii="Verdana" w:eastAsia="Calibri" w:hAnsi="Verdana" w:cs="Times New Roman"/>
        </w:rPr>
      </w:pPr>
    </w:p>
    <w:p w14:paraId="04E4FA07" w14:textId="76A6CB55" w:rsidR="005C78D8" w:rsidRPr="00EC66C1" w:rsidRDefault="005C78D8" w:rsidP="005C78D8">
      <w:pPr>
        <w:widowControl w:val="0"/>
        <w:autoSpaceDE w:val="0"/>
        <w:autoSpaceDN w:val="0"/>
        <w:spacing w:after="0" w:line="276" w:lineRule="auto"/>
        <w:jc w:val="both"/>
        <w:rPr>
          <w:rFonts w:ascii="Verdana" w:eastAsia="Calibri" w:hAnsi="Verdana" w:cs="Times New Roman"/>
        </w:rPr>
      </w:pPr>
      <w:r w:rsidRPr="00EC66C1">
        <w:rPr>
          <w:rFonts w:ascii="Verdana" w:eastAsia="Calibri" w:hAnsi="Verdana" w:cs="Arial"/>
          <w:shd w:val="clear" w:color="auto" w:fill="FFFFFF"/>
        </w:rPr>
        <w:t>La Agencia Nacional de Contratación Pública − Colombia Compra Eficiente se pronunció sobre el Sistema General de Regalías, su régimen de contratación y demás particularidades, en los conceptos C- 370 del 28 de julio de 2021, C-604 del 09 de septiembre de 2020, C-095 del 22 de marzo de 2022, C-353 del 02 de junio del 2022, C-489 del 01 de agosto del 2022. De otra parte, en los conceptos C-731 del 26 de enero de 2022, C-052 de 21 de abril de 2023, C-025 del 21 de febrero de 2024, C-082 del 4 de junio de 2024</w:t>
      </w:r>
      <w:r w:rsidR="005A34F6">
        <w:rPr>
          <w:rFonts w:ascii="Verdana" w:eastAsia="Calibri" w:hAnsi="Verdana" w:cs="Arial"/>
          <w:shd w:val="clear" w:color="auto" w:fill="FFFFFF"/>
        </w:rPr>
        <w:t>,</w:t>
      </w:r>
      <w:r w:rsidR="00F23349">
        <w:rPr>
          <w:rFonts w:ascii="Verdana" w:eastAsia="Calibri" w:hAnsi="Verdana" w:cs="Arial"/>
          <w:shd w:val="clear" w:color="auto" w:fill="FFFFFF"/>
        </w:rPr>
        <w:t xml:space="preserve"> C</w:t>
      </w:r>
      <w:r w:rsidR="00185A82">
        <w:rPr>
          <w:rFonts w:ascii="Verdana" w:eastAsia="Calibri" w:hAnsi="Verdana" w:cs="Arial"/>
          <w:shd w:val="clear" w:color="auto" w:fill="FFFFFF"/>
        </w:rPr>
        <w:t>-211 de</w:t>
      </w:r>
      <w:r w:rsidR="0010522A">
        <w:rPr>
          <w:rFonts w:ascii="Verdana" w:eastAsia="Calibri" w:hAnsi="Verdana" w:cs="Arial"/>
          <w:shd w:val="clear" w:color="auto" w:fill="FFFFFF"/>
        </w:rPr>
        <w:t xml:space="preserve"> 5 de octubre de 2024, C-553 de 15 de octubre de 2024, </w:t>
      </w:r>
      <w:r w:rsidR="00365EA8" w:rsidRPr="00EC66C1">
        <w:rPr>
          <w:rFonts w:ascii="Verdana" w:eastAsia="Calibri" w:hAnsi="Verdana" w:cs="Arial"/>
          <w:shd w:val="clear" w:color="auto" w:fill="FFFFFF"/>
        </w:rPr>
        <w:t xml:space="preserve">C-655 del </w:t>
      </w:r>
      <w:r w:rsidR="0057478D" w:rsidRPr="00EC66C1">
        <w:rPr>
          <w:rFonts w:ascii="Verdana" w:eastAsia="Calibri" w:hAnsi="Verdana" w:cs="Arial"/>
          <w:shd w:val="clear" w:color="auto" w:fill="FFFFFF"/>
        </w:rPr>
        <w:t xml:space="preserve">16 de </w:t>
      </w:r>
      <w:r w:rsidR="001B1978" w:rsidRPr="00EC66C1">
        <w:rPr>
          <w:rFonts w:ascii="Verdana" w:eastAsia="Calibri" w:hAnsi="Verdana" w:cs="Arial"/>
          <w:shd w:val="clear" w:color="auto" w:fill="FFFFFF"/>
        </w:rPr>
        <w:t>octubre de 2024</w:t>
      </w:r>
      <w:r w:rsidR="005A34F6">
        <w:rPr>
          <w:rFonts w:ascii="Verdana" w:eastAsia="Calibri" w:hAnsi="Verdana" w:cs="Arial"/>
          <w:shd w:val="clear" w:color="auto" w:fill="FFFFFF"/>
        </w:rPr>
        <w:t xml:space="preserve"> y </w:t>
      </w:r>
      <w:r w:rsidR="00CA35D8">
        <w:rPr>
          <w:rFonts w:ascii="Verdana" w:eastAsia="Calibri" w:hAnsi="Verdana" w:cs="Arial"/>
          <w:shd w:val="clear" w:color="auto" w:fill="FFFFFF"/>
        </w:rPr>
        <w:t>C-610 del 28 de octubre de 2024</w:t>
      </w:r>
      <w:r w:rsidR="001B1978" w:rsidRPr="00EC66C1">
        <w:rPr>
          <w:rFonts w:ascii="Verdana" w:eastAsia="Calibri" w:hAnsi="Verdana" w:cs="Arial"/>
          <w:shd w:val="clear" w:color="auto" w:fill="FFFFFF"/>
        </w:rPr>
        <w:t xml:space="preserve">. </w:t>
      </w:r>
      <w:r w:rsidRPr="00EC66C1">
        <w:rPr>
          <w:rFonts w:ascii="Verdana" w:eastAsia="Calibri" w:hAnsi="Verdana" w:cs="Arial"/>
          <w:shd w:val="clear" w:color="auto" w:fill="FFFFFF"/>
        </w:rPr>
        <w:t>Es</w:t>
      </w:r>
      <w:r w:rsidRPr="00EC66C1">
        <w:rPr>
          <w:rFonts w:ascii="Verdana" w:eastAsia="Calibri" w:hAnsi="Verdana" w:cs="Times New Roman"/>
        </w:rPr>
        <w:t>tos y otros conceptos se encuentran disponibles para consulta en el sistema de relatoría de la Agencia, al cual se puede acceder a través del siguiente enlace:</w:t>
      </w:r>
    </w:p>
    <w:p w14:paraId="65790961" w14:textId="77777777" w:rsidR="005C78D8" w:rsidRPr="00EC66C1" w:rsidRDefault="0093622D" w:rsidP="005C78D8">
      <w:pPr>
        <w:widowControl w:val="0"/>
        <w:autoSpaceDE w:val="0"/>
        <w:autoSpaceDN w:val="0"/>
        <w:spacing w:after="0" w:line="276" w:lineRule="auto"/>
        <w:jc w:val="both"/>
        <w:rPr>
          <w:rFonts w:ascii="Verdana" w:eastAsia="Calibri" w:hAnsi="Verdana" w:cs="Arial"/>
          <w:shd w:val="clear" w:color="auto" w:fill="FFFFFF"/>
        </w:rPr>
      </w:pPr>
      <w:hyperlink r:id="rId14" w:history="1">
        <w:r w:rsidR="005C78D8" w:rsidRPr="00EC66C1">
          <w:rPr>
            <w:rStyle w:val="Hipervnculo"/>
            <w:rFonts w:ascii="Verdana" w:eastAsia="Calibri" w:hAnsi="Verdana" w:cs="Arial"/>
            <w:shd w:val="clear" w:color="auto" w:fill="FFFFFF"/>
          </w:rPr>
          <w:t>https://relatoria.colombiacompra.gov.co/busqueda/conceptos</w:t>
        </w:r>
      </w:hyperlink>
      <w:r w:rsidR="005C78D8" w:rsidRPr="00EC66C1">
        <w:rPr>
          <w:rFonts w:ascii="Verdana" w:eastAsia="Calibri" w:hAnsi="Verdana" w:cs="Arial"/>
          <w:u w:val="single"/>
          <w:shd w:val="clear" w:color="auto" w:fill="FFFFFF"/>
        </w:rPr>
        <w:t xml:space="preserve">  </w:t>
      </w:r>
      <w:r w:rsidR="005C78D8" w:rsidRPr="00EC66C1">
        <w:rPr>
          <w:rFonts w:ascii="Verdana" w:eastAsia="Calibri" w:hAnsi="Verdana" w:cs="Arial"/>
          <w:shd w:val="clear" w:color="auto" w:fill="FFFFFF"/>
        </w:rPr>
        <w:t xml:space="preserve">  </w:t>
      </w:r>
    </w:p>
    <w:p w14:paraId="6F69CC7D" w14:textId="77777777" w:rsidR="005C78D8" w:rsidRPr="00EC66C1" w:rsidRDefault="005C78D8" w:rsidP="005C78D8">
      <w:pPr>
        <w:widowControl w:val="0"/>
        <w:autoSpaceDE w:val="0"/>
        <w:autoSpaceDN w:val="0"/>
        <w:spacing w:after="0" w:line="276" w:lineRule="auto"/>
        <w:jc w:val="both"/>
        <w:rPr>
          <w:rFonts w:ascii="Verdana" w:eastAsia="Calibri" w:hAnsi="Verdana" w:cs="Arial"/>
          <w:shd w:val="clear" w:color="auto" w:fill="FFFFFF"/>
        </w:rPr>
      </w:pPr>
    </w:p>
    <w:p w14:paraId="2091FFCD" w14:textId="1D4EBFE2" w:rsidR="00050BF7" w:rsidRDefault="00050BF7" w:rsidP="00050BF7">
      <w:pPr>
        <w:widowControl w:val="0"/>
        <w:autoSpaceDE w:val="0"/>
        <w:autoSpaceDN w:val="0"/>
        <w:spacing w:after="0" w:line="276" w:lineRule="auto"/>
        <w:jc w:val="both"/>
        <w:rPr>
          <w:rFonts w:ascii="Verdana" w:eastAsia="Calibri" w:hAnsi="Verdana" w:cs="Arial"/>
          <w:shd w:val="clear" w:color="auto" w:fill="FFFFFF"/>
        </w:rPr>
      </w:pPr>
      <w:r w:rsidRPr="00050BF7">
        <w:rPr>
          <w:rFonts w:ascii="Verdana" w:eastAsia="Calibri" w:hAnsi="Verdana" w:cs="Arial"/>
          <w:shd w:val="clear" w:color="auto" w:fill="FFFFFF"/>
        </w:rPr>
        <w:lastRenderedPageBreak/>
        <w:t xml:space="preserve">De otra parte, </w:t>
      </w:r>
      <w:r>
        <w:rPr>
          <w:rFonts w:ascii="Verdana" w:eastAsia="Calibri" w:hAnsi="Verdana" w:cs="Arial"/>
          <w:shd w:val="clear" w:color="auto" w:fill="FFFFFF"/>
        </w:rPr>
        <w:t>se encuentra</w:t>
      </w:r>
      <w:r w:rsidR="00FD6FBF">
        <w:rPr>
          <w:rFonts w:ascii="Verdana" w:eastAsia="Calibri" w:hAnsi="Verdana" w:cs="Arial"/>
          <w:shd w:val="clear" w:color="auto" w:fill="FFFFFF"/>
        </w:rPr>
        <w:t xml:space="preserve"> publicado</w:t>
      </w:r>
      <w:r w:rsidRPr="00050BF7">
        <w:rPr>
          <w:rFonts w:ascii="Verdana" w:eastAsia="Calibri" w:hAnsi="Verdana" w:cs="Arial"/>
          <w:shd w:val="clear" w:color="auto" w:fill="FFFFFF"/>
        </w:rPr>
        <w:t xml:space="preserve"> el borrador de la nueva Guía de Contratación Pública Sostenible y Socialmente Responsable. Conoce el documento y realiza tus comentarios hasta el 14 de noviembre de 2024 a través del siguiente enlace: </w:t>
      </w:r>
      <w:hyperlink r:id="rId15" w:tgtFrame="_blank" w:tooltip="Dirección URL original: https://www.sucop.gov.co/entidades/colombiacompra/Normativa?IDNorma=18320. Haga clic o pulse si confía en este vínculo." w:history="1">
        <w:r w:rsidRPr="00050BF7">
          <w:rPr>
            <w:rStyle w:val="Hipervnculo"/>
            <w:rFonts w:ascii="Verdana" w:eastAsia="Calibri" w:hAnsi="Verdana" w:cs="Arial"/>
            <w:shd w:val="clear" w:color="auto" w:fill="FFFFFF"/>
          </w:rPr>
          <w:t>https://www.sucop.gov.co/entidades/colombiacompra/Normativa?IDNorma=18320</w:t>
        </w:r>
      </w:hyperlink>
      <w:r w:rsidRPr="00050BF7">
        <w:rPr>
          <w:rFonts w:ascii="Verdana" w:eastAsia="Calibri" w:hAnsi="Verdana" w:cs="Arial"/>
          <w:shd w:val="clear" w:color="auto" w:fill="FFFFFF"/>
        </w:rPr>
        <w:t>  </w:t>
      </w:r>
    </w:p>
    <w:p w14:paraId="52429E59" w14:textId="77777777" w:rsidR="00FD6FBF" w:rsidRPr="00050BF7" w:rsidRDefault="00FD6FBF" w:rsidP="00050BF7">
      <w:pPr>
        <w:widowControl w:val="0"/>
        <w:autoSpaceDE w:val="0"/>
        <w:autoSpaceDN w:val="0"/>
        <w:spacing w:after="0" w:line="276" w:lineRule="auto"/>
        <w:jc w:val="both"/>
        <w:rPr>
          <w:rFonts w:ascii="Verdana" w:eastAsia="Calibri" w:hAnsi="Verdana" w:cs="Arial"/>
          <w:shd w:val="clear" w:color="auto" w:fill="FFFFFF"/>
        </w:rPr>
      </w:pPr>
    </w:p>
    <w:p w14:paraId="1C0F20EF" w14:textId="2EB6B866" w:rsidR="00050BF7" w:rsidRPr="00050BF7" w:rsidRDefault="00050BF7" w:rsidP="00FD6FBF">
      <w:pPr>
        <w:widowControl w:val="0"/>
        <w:autoSpaceDE w:val="0"/>
        <w:autoSpaceDN w:val="0"/>
        <w:spacing w:after="0" w:line="276" w:lineRule="auto"/>
        <w:jc w:val="both"/>
        <w:rPr>
          <w:rFonts w:ascii="Verdana" w:eastAsia="Calibri" w:hAnsi="Verdana" w:cs="Arial"/>
          <w:shd w:val="clear" w:color="auto" w:fill="FFFFFF"/>
        </w:rPr>
      </w:pPr>
      <w:r w:rsidRPr="00050BF7">
        <w:rPr>
          <w:rFonts w:ascii="Verdana" w:eastAsia="Calibri"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r w:rsidR="00FD6FBF">
        <w:rPr>
          <w:rFonts w:ascii="Verdana" w:eastAsia="Calibri" w:hAnsi="Verdana" w:cs="Arial"/>
          <w:shd w:val="clear" w:color="auto" w:fill="FFFFFF"/>
        </w:rPr>
        <w:t>m</w:t>
      </w:r>
      <w:r w:rsidRPr="00050BF7">
        <w:rPr>
          <w:rFonts w:ascii="Verdana" w:eastAsia="Calibri" w:hAnsi="Verdana" w:cs="Arial"/>
          <w:shd w:val="clear" w:color="auto" w:fill="FFFFFF"/>
        </w:rPr>
        <w:t>odalidad de selección de mínima cuantía , los cuales se pueden descargar en la página web de la Agencia: </w:t>
      </w:r>
      <w:hyperlink r:id="rId16" w:tgtFrame="_blank" w:tooltip="Dirección URL original: https://www.colombiacompra.gov.co/sala-de-prensa/boletin-digital. Haga clic o pulse si confía en este vínculo." w:history="1">
        <w:r w:rsidRPr="00050BF7">
          <w:rPr>
            <w:rStyle w:val="Hipervnculo"/>
            <w:rFonts w:ascii="Verdana" w:eastAsia="Calibri" w:hAnsi="Verdana" w:cs="Arial"/>
            <w:shd w:val="clear" w:color="auto" w:fill="FFFFFF"/>
          </w:rPr>
          <w:t>https://www.colombiacompra.gov.co/sala-de-prensa/boletin-digital</w:t>
        </w:r>
      </w:hyperlink>
      <w:r w:rsidRPr="00050BF7">
        <w:rPr>
          <w:rFonts w:ascii="Verdana" w:eastAsia="Calibri" w:hAnsi="Verdana" w:cs="Arial"/>
          <w:shd w:val="clear" w:color="auto" w:fill="FFFFFF"/>
        </w:rPr>
        <w:t>     </w:t>
      </w:r>
    </w:p>
    <w:p w14:paraId="75794F70" w14:textId="77777777" w:rsidR="005C78D8" w:rsidRPr="00EC66C1" w:rsidRDefault="005C78D8" w:rsidP="005C78D8">
      <w:pPr>
        <w:widowControl w:val="0"/>
        <w:autoSpaceDE w:val="0"/>
        <w:autoSpaceDN w:val="0"/>
        <w:spacing w:after="0" w:line="276" w:lineRule="auto"/>
        <w:jc w:val="both"/>
        <w:rPr>
          <w:rFonts w:ascii="Verdana" w:eastAsia="Calibri" w:hAnsi="Verdana" w:cs="Arial"/>
          <w:shd w:val="clear" w:color="auto" w:fill="FFFFFF"/>
        </w:rPr>
      </w:pPr>
    </w:p>
    <w:p w14:paraId="49E96689" w14:textId="77777777" w:rsidR="005C78D8" w:rsidRPr="00EC66C1" w:rsidRDefault="005C78D8" w:rsidP="005C78D8">
      <w:pPr>
        <w:spacing w:after="0" w:line="240" w:lineRule="auto"/>
        <w:jc w:val="both"/>
        <w:rPr>
          <w:rFonts w:ascii="Verdana" w:eastAsia="Calibri" w:hAnsi="Verdana" w:cs="Times New Roman"/>
        </w:rPr>
      </w:pPr>
      <w:r w:rsidRPr="00EC66C1">
        <w:rPr>
          <w:rFonts w:ascii="Verdana" w:eastAsia="Calibri" w:hAnsi="Verdana" w:cs="Times New Roman"/>
        </w:rPr>
        <w:t xml:space="preserve">Por último, los invitamos a seguirnos en las redes sociales, en las cuales se difunde información institucional: </w:t>
      </w:r>
    </w:p>
    <w:p w14:paraId="1A0F7083" w14:textId="77777777" w:rsidR="005C78D8" w:rsidRPr="00EC66C1" w:rsidRDefault="005C78D8" w:rsidP="005C78D8">
      <w:pPr>
        <w:spacing w:after="0" w:line="240" w:lineRule="auto"/>
        <w:jc w:val="both"/>
        <w:rPr>
          <w:rFonts w:ascii="Verdana" w:eastAsia="Calibri" w:hAnsi="Verdana" w:cs="Times New Roman"/>
        </w:rPr>
      </w:pPr>
    </w:p>
    <w:p w14:paraId="5D5C03CA" w14:textId="77777777" w:rsidR="005C78D8" w:rsidRPr="00EC66C1" w:rsidRDefault="005C78D8" w:rsidP="005C78D8">
      <w:pPr>
        <w:spacing w:after="0" w:line="240" w:lineRule="auto"/>
        <w:jc w:val="both"/>
        <w:rPr>
          <w:rFonts w:ascii="Verdana" w:eastAsia="Calibri" w:hAnsi="Verdana" w:cs="Times New Roman"/>
        </w:rPr>
      </w:pPr>
      <w:r w:rsidRPr="00EC66C1">
        <w:rPr>
          <w:rFonts w:ascii="Verdana" w:eastAsia="Calibri" w:hAnsi="Verdana" w:cs="Times New Roman"/>
        </w:rPr>
        <w:t xml:space="preserve">Twitter: </w:t>
      </w:r>
      <w:r w:rsidRPr="00EC66C1">
        <w:rPr>
          <w:rFonts w:ascii="Verdana" w:eastAsia="Calibri" w:hAnsi="Verdana" w:cs="Times New Roman"/>
          <w:u w:val="single"/>
        </w:rPr>
        <w:t>@colombiacompra</w:t>
      </w:r>
      <w:r w:rsidRPr="00EC66C1">
        <w:rPr>
          <w:rFonts w:ascii="Verdana" w:eastAsia="Calibri" w:hAnsi="Verdana" w:cs="Times New Roman"/>
        </w:rPr>
        <w:t xml:space="preserve"> </w:t>
      </w:r>
    </w:p>
    <w:p w14:paraId="2E0A510C" w14:textId="77777777" w:rsidR="005C78D8" w:rsidRPr="00EC66C1" w:rsidRDefault="005C78D8" w:rsidP="005C78D8">
      <w:pPr>
        <w:spacing w:after="0" w:line="240" w:lineRule="auto"/>
        <w:jc w:val="both"/>
        <w:rPr>
          <w:rFonts w:ascii="Verdana" w:eastAsia="Calibri" w:hAnsi="Verdana" w:cs="Times New Roman"/>
        </w:rPr>
      </w:pPr>
      <w:r w:rsidRPr="00EC66C1">
        <w:rPr>
          <w:rFonts w:ascii="Verdana" w:eastAsia="Calibri" w:hAnsi="Verdana" w:cs="Times New Roman"/>
        </w:rPr>
        <w:t xml:space="preserve">Facebook: </w:t>
      </w:r>
      <w:proofErr w:type="spellStart"/>
      <w:r w:rsidRPr="00EC66C1">
        <w:rPr>
          <w:rFonts w:ascii="Verdana" w:eastAsia="Calibri" w:hAnsi="Verdana" w:cs="Times New Roman"/>
          <w:u w:val="single"/>
        </w:rPr>
        <w:t>ColombiaCompraEficiente</w:t>
      </w:r>
      <w:proofErr w:type="spellEnd"/>
    </w:p>
    <w:p w14:paraId="5CD40C14" w14:textId="77777777" w:rsidR="005C78D8" w:rsidRPr="00EC66C1" w:rsidRDefault="005C78D8" w:rsidP="005C78D8">
      <w:pPr>
        <w:spacing w:after="0" w:line="240" w:lineRule="auto"/>
        <w:jc w:val="both"/>
        <w:rPr>
          <w:rFonts w:ascii="Verdana" w:eastAsia="Calibri" w:hAnsi="Verdana" w:cs="Times New Roman"/>
        </w:rPr>
      </w:pPr>
      <w:r w:rsidRPr="00EC66C1">
        <w:rPr>
          <w:rFonts w:ascii="Verdana" w:eastAsia="Calibri" w:hAnsi="Verdana" w:cs="Times New Roman"/>
        </w:rPr>
        <w:t xml:space="preserve">LinkedIn: </w:t>
      </w:r>
      <w:r w:rsidRPr="00EC66C1">
        <w:rPr>
          <w:rFonts w:ascii="Verdana" w:eastAsia="Calibri" w:hAnsi="Verdana" w:cs="Times New Roman"/>
          <w:u w:val="single"/>
        </w:rPr>
        <w:t>Agencia Nacional de Contratación Pública - Colombia Compra Eficiente</w:t>
      </w:r>
      <w:r w:rsidRPr="00EC66C1">
        <w:rPr>
          <w:rFonts w:ascii="Verdana" w:eastAsia="Calibri" w:hAnsi="Verdana" w:cs="Times New Roman"/>
        </w:rPr>
        <w:t xml:space="preserve"> Instagram: </w:t>
      </w:r>
      <w:r w:rsidRPr="00EC66C1">
        <w:rPr>
          <w:rFonts w:ascii="Verdana" w:eastAsia="Calibri" w:hAnsi="Verdana" w:cs="Times New Roman"/>
          <w:u w:val="single"/>
        </w:rPr>
        <w:t>@colombiacompraeficiente_cce</w:t>
      </w:r>
    </w:p>
    <w:p w14:paraId="4DE0497C" w14:textId="77777777" w:rsidR="005C78D8" w:rsidRPr="00EC66C1" w:rsidRDefault="005C78D8" w:rsidP="005C78D8">
      <w:pPr>
        <w:widowControl w:val="0"/>
        <w:autoSpaceDE w:val="0"/>
        <w:autoSpaceDN w:val="0"/>
        <w:spacing w:after="0" w:line="276" w:lineRule="auto"/>
        <w:jc w:val="both"/>
        <w:rPr>
          <w:rFonts w:ascii="Verdana" w:eastAsia="Calibri" w:hAnsi="Verdana" w:cs="Arial"/>
        </w:rPr>
      </w:pPr>
    </w:p>
    <w:p w14:paraId="306FFB4E" w14:textId="77777777" w:rsidR="005C78D8" w:rsidRPr="00EC66C1" w:rsidRDefault="005C78D8" w:rsidP="005C78D8">
      <w:pPr>
        <w:widowControl w:val="0"/>
        <w:autoSpaceDE w:val="0"/>
        <w:autoSpaceDN w:val="0"/>
        <w:spacing w:after="0" w:line="276" w:lineRule="auto"/>
        <w:jc w:val="both"/>
        <w:rPr>
          <w:rFonts w:ascii="Verdana" w:eastAsia="Calibri" w:hAnsi="Verdana" w:cs="Arial"/>
        </w:rPr>
      </w:pPr>
      <w:r w:rsidRPr="00EC66C1">
        <w:rPr>
          <w:rFonts w:ascii="Verdana" w:eastAsia="Calibri"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AA62316" w14:textId="77777777" w:rsidR="00143B90" w:rsidRPr="00EC66C1" w:rsidRDefault="00143B90" w:rsidP="00143B90">
      <w:pPr>
        <w:spacing w:after="0" w:line="256" w:lineRule="auto"/>
        <w:jc w:val="both"/>
        <w:rPr>
          <w:rFonts w:ascii="Verdana" w:eastAsia="Calibri" w:hAnsi="Verdana" w:cs="Times New Roman"/>
        </w:rPr>
      </w:pPr>
    </w:p>
    <w:p w14:paraId="329CFB07" w14:textId="77777777" w:rsidR="00143B90" w:rsidRPr="00EC66C1" w:rsidRDefault="00143B90" w:rsidP="00143B90">
      <w:pPr>
        <w:spacing w:after="0" w:line="256" w:lineRule="auto"/>
        <w:jc w:val="both"/>
        <w:rPr>
          <w:rFonts w:ascii="Verdana" w:eastAsia="Calibri" w:hAnsi="Verdana" w:cs="Times New Roman"/>
        </w:rPr>
      </w:pPr>
      <w:r w:rsidRPr="00EC66C1">
        <w:rPr>
          <w:rFonts w:ascii="Verdana" w:eastAsia="Calibri" w:hAnsi="Verdana" w:cs="Times New Roman"/>
        </w:rPr>
        <w:t>Atentamente,</w:t>
      </w:r>
    </w:p>
    <w:p w14:paraId="66CAE30C" w14:textId="77777777" w:rsidR="00143B90" w:rsidRPr="00EC66C1" w:rsidRDefault="00143B90" w:rsidP="00143B90">
      <w:pPr>
        <w:spacing w:after="0" w:line="256" w:lineRule="auto"/>
        <w:jc w:val="center"/>
        <w:rPr>
          <w:rFonts w:ascii="Verdana" w:hAnsi="Verdana"/>
          <w:noProof/>
        </w:rPr>
      </w:pPr>
    </w:p>
    <w:p w14:paraId="1075357A" w14:textId="2628C704" w:rsidR="00143B90" w:rsidRPr="00EC66C1" w:rsidRDefault="00555D9C" w:rsidP="00143B90">
      <w:pPr>
        <w:spacing w:after="0" w:line="256" w:lineRule="auto"/>
        <w:jc w:val="center"/>
        <w:rPr>
          <w:rFonts w:ascii="Verdana" w:hAnsi="Verdana"/>
          <w:noProof/>
        </w:rPr>
      </w:pPr>
      <w:r w:rsidRPr="002C3AD6">
        <w:rPr>
          <w:rFonts w:ascii="Century Gothic" w:hAnsi="Century Gothic"/>
          <w:noProof/>
        </w:rPr>
        <w:drawing>
          <wp:inline distT="0" distB="0" distL="0" distR="0" wp14:anchorId="0567A62B" wp14:editId="716C1411">
            <wp:extent cx="3095625" cy="1149134"/>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114023" cy="1155963"/>
                    </a:xfrm>
                    <a:prstGeom prst="rect">
                      <a:avLst/>
                    </a:prstGeom>
                  </pic:spPr>
                </pic:pic>
              </a:graphicData>
            </a:graphic>
          </wp:inline>
        </w:drawing>
      </w:r>
    </w:p>
    <w:p w14:paraId="7B91554B" w14:textId="77777777" w:rsidR="00143B90" w:rsidRPr="00EC66C1" w:rsidRDefault="00143B90" w:rsidP="00143B90">
      <w:pPr>
        <w:spacing w:after="0" w:line="256" w:lineRule="auto"/>
        <w:jc w:val="center"/>
        <w:rPr>
          <w:rFonts w:ascii="Verdana" w:eastAsia="Calibri" w:hAnsi="Verdana" w:cs="Times New Roman"/>
        </w:rPr>
      </w:pPr>
    </w:p>
    <w:p w14:paraId="1182257F" w14:textId="77777777" w:rsidR="00143B90" w:rsidRPr="00EC66C1" w:rsidRDefault="00143B90" w:rsidP="00143B90">
      <w:pPr>
        <w:spacing w:after="0" w:line="256" w:lineRule="auto"/>
        <w:rPr>
          <w:rFonts w:ascii="Verdana" w:eastAsia="Calibri" w:hAnsi="Verdana" w:cs="Times New Roman"/>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43B90" w:rsidRPr="00EC66C1" w14:paraId="080AD47A" w14:textId="77777777" w:rsidTr="002173DC">
        <w:trPr>
          <w:trHeight w:val="409"/>
        </w:trPr>
        <w:tc>
          <w:tcPr>
            <w:tcW w:w="817" w:type="dxa"/>
            <w:tcBorders>
              <w:top w:val="nil"/>
              <w:left w:val="nil"/>
              <w:bottom w:val="nil"/>
              <w:right w:val="nil"/>
            </w:tcBorders>
            <w:vAlign w:val="center"/>
            <w:hideMark/>
          </w:tcPr>
          <w:p w14:paraId="48E5275E"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1A241DC3"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Gustavo Hinestroza Martínez</w:t>
            </w:r>
          </w:p>
          <w:p w14:paraId="769688CB"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Contratista de la Subdirección de Gestión Contractual</w:t>
            </w:r>
          </w:p>
        </w:tc>
      </w:tr>
      <w:tr w:rsidR="00143B90" w:rsidRPr="00EC66C1" w14:paraId="0150A114" w14:textId="77777777" w:rsidTr="002173DC">
        <w:trPr>
          <w:trHeight w:val="409"/>
        </w:trPr>
        <w:tc>
          <w:tcPr>
            <w:tcW w:w="817" w:type="dxa"/>
            <w:tcBorders>
              <w:top w:val="nil"/>
              <w:left w:val="nil"/>
              <w:bottom w:val="nil"/>
              <w:right w:val="nil"/>
            </w:tcBorders>
            <w:vAlign w:val="center"/>
            <w:hideMark/>
          </w:tcPr>
          <w:p w14:paraId="22860232"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A0F02A5"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Alejandro Sarmiento Cantillo</w:t>
            </w:r>
          </w:p>
          <w:p w14:paraId="7CE53C8B"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Gestor T1-15 de la Subdirección de Gestión Contractual </w:t>
            </w:r>
          </w:p>
        </w:tc>
      </w:tr>
      <w:tr w:rsidR="00143B90" w:rsidRPr="00EC66C1" w14:paraId="7E8CF6F0" w14:textId="77777777" w:rsidTr="002173DC">
        <w:trPr>
          <w:trHeight w:val="389"/>
        </w:trPr>
        <w:tc>
          <w:tcPr>
            <w:tcW w:w="817" w:type="dxa"/>
            <w:tcBorders>
              <w:top w:val="nil"/>
              <w:left w:val="nil"/>
              <w:bottom w:val="nil"/>
              <w:right w:val="nil"/>
            </w:tcBorders>
            <w:vAlign w:val="center"/>
            <w:hideMark/>
          </w:tcPr>
          <w:p w14:paraId="0D40240E"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0B3F1DE"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Carolina Quintero Gacharná</w:t>
            </w:r>
          </w:p>
          <w:p w14:paraId="4252D39D" w14:textId="77777777" w:rsidR="00143B90" w:rsidRPr="00EC66C1" w:rsidRDefault="00143B90" w:rsidP="002173DC">
            <w:pPr>
              <w:spacing w:after="0" w:line="256" w:lineRule="auto"/>
              <w:rPr>
                <w:rFonts w:ascii="Verdana" w:eastAsia="Calibri" w:hAnsi="Verdana" w:cs="Times New Roman"/>
                <w:sz w:val="14"/>
                <w:szCs w:val="14"/>
              </w:rPr>
            </w:pPr>
            <w:r w:rsidRPr="00EC66C1">
              <w:rPr>
                <w:rFonts w:ascii="Verdana" w:eastAsia="Calibri" w:hAnsi="Verdana" w:cs="Times New Roman"/>
                <w:sz w:val="14"/>
                <w:szCs w:val="14"/>
              </w:rPr>
              <w:t>Subdirectora de Gestión Contractual ANCP – CCE</w:t>
            </w:r>
          </w:p>
        </w:tc>
      </w:tr>
    </w:tbl>
    <w:p w14:paraId="0F293BF4" w14:textId="655C984E" w:rsidR="00127233" w:rsidRPr="00EC66C1" w:rsidRDefault="00143B90" w:rsidP="00555D9C">
      <w:pPr>
        <w:spacing w:after="0" w:line="240" w:lineRule="auto"/>
        <w:textAlignment w:val="baseline"/>
        <w:rPr>
          <w:rFonts w:ascii="Verdana" w:hAnsi="Verdana"/>
        </w:rPr>
      </w:pPr>
      <w:r w:rsidRPr="00EC66C1">
        <w:rPr>
          <w:rFonts w:ascii="Verdana" w:eastAsia="Times New Roman" w:hAnsi="Verdana" w:cs="Segoe UI"/>
          <w:color w:val="404040"/>
          <w:lang w:eastAsia="es-CO"/>
        </w:rPr>
        <w:t> </w:t>
      </w:r>
    </w:p>
    <w:sectPr w:rsidR="00127233" w:rsidRPr="00EC66C1"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50BE" w14:textId="77777777" w:rsidR="0093622D" w:rsidRDefault="0093622D" w:rsidP="004A1847">
      <w:pPr>
        <w:spacing w:after="0" w:line="240" w:lineRule="auto"/>
      </w:pPr>
      <w:r>
        <w:separator/>
      </w:r>
    </w:p>
  </w:endnote>
  <w:endnote w:type="continuationSeparator" w:id="0">
    <w:p w14:paraId="531D33DC" w14:textId="77777777" w:rsidR="0093622D" w:rsidRDefault="0093622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97890" w14:textId="77777777" w:rsidR="0093622D" w:rsidRDefault="0093622D" w:rsidP="004A1847">
      <w:pPr>
        <w:spacing w:after="0" w:line="240" w:lineRule="auto"/>
      </w:pPr>
      <w:r>
        <w:separator/>
      </w:r>
    </w:p>
  </w:footnote>
  <w:footnote w:type="continuationSeparator" w:id="0">
    <w:p w14:paraId="1D18D8E0" w14:textId="77777777" w:rsidR="0093622D" w:rsidRDefault="0093622D" w:rsidP="004A1847">
      <w:pPr>
        <w:spacing w:after="0" w:line="240" w:lineRule="auto"/>
      </w:pPr>
      <w:r>
        <w:continuationSeparator/>
      </w:r>
    </w:p>
  </w:footnote>
  <w:footnote w:id="1">
    <w:p w14:paraId="5935C778" w14:textId="77777777" w:rsidR="00F85191" w:rsidRPr="00947E57" w:rsidRDefault="00F85191" w:rsidP="00F85191">
      <w:pPr>
        <w:pStyle w:val="Textonotapie"/>
        <w:ind w:firstLine="708"/>
        <w:contextualSpacing/>
        <w:jc w:val="both"/>
        <w:rPr>
          <w:rFonts w:ascii="Verdana" w:hAnsi="Verdana" w:cs="Arial"/>
          <w:sz w:val="14"/>
          <w:szCs w:val="14"/>
          <w:shd w:val="clear" w:color="auto" w:fill="FFFFFF"/>
        </w:rPr>
      </w:pPr>
      <w:r w:rsidRPr="00947E57">
        <w:rPr>
          <w:rStyle w:val="Refdenotaalpie"/>
          <w:rFonts w:ascii="Verdana" w:hAnsi="Verdana" w:cs="Arial"/>
          <w:sz w:val="14"/>
          <w:szCs w:val="14"/>
        </w:rPr>
        <w:footnoteRef/>
      </w:r>
      <w:r w:rsidRPr="00947E57">
        <w:rPr>
          <w:rFonts w:ascii="Verdana" w:hAnsi="Verdana" w:cs="Arial"/>
          <w:sz w:val="14"/>
          <w:szCs w:val="14"/>
        </w:rPr>
        <w:t xml:space="preserve"> Al respecto, la Corte indicó: “</w:t>
      </w:r>
      <w:r w:rsidRPr="00947E57">
        <w:rPr>
          <w:rFonts w:ascii="Verdana" w:hAnsi="Verdana" w:cs="Arial"/>
          <w:sz w:val="14"/>
          <w:szCs w:val="14"/>
          <w:shd w:val="clear" w:color="auto" w:fill="FFFFFF"/>
        </w:rPr>
        <w:t>Las regalías son comprendidas por el derecho constitucional como una </w:t>
      </w:r>
      <w:r w:rsidRPr="00947E57">
        <w:rPr>
          <w:rFonts w:ascii="Verdana" w:hAnsi="Verdana" w:cs="Arial"/>
          <w:i/>
          <w:iCs/>
          <w:sz w:val="14"/>
          <w:szCs w:val="14"/>
          <w:shd w:val="clear" w:color="auto" w:fill="FFFFFF"/>
        </w:rPr>
        <w:t>contraprestación económica </w:t>
      </w:r>
      <w:r w:rsidRPr="00947E57">
        <w:rPr>
          <w:rFonts w:ascii="Verdana" w:hAnsi="Verdana" w:cs="Arial"/>
          <w:sz w:val="14"/>
          <w:szCs w:val="14"/>
          <w:shd w:val="clear" w:color="auto" w:fill="FFFFFF"/>
        </w:rPr>
        <w:t>que recibe el Estado, en razón de la extracción de recursos naturales no renovables existentes en el subsuelo.  Como lo ha explicado la jurisprudencia reiterada, este concepto refiere a la </w:t>
      </w:r>
      <w:r w:rsidRPr="00947E57">
        <w:rPr>
          <w:rFonts w:ascii="Verdana" w:hAnsi="Verdana" w:cs="Arial"/>
          <w:i/>
          <w:iCs/>
          <w:sz w:val="14"/>
          <w:szCs w:val="14"/>
          <w:shd w:val="clear" w:color="auto" w:fill="FFFFFF"/>
        </w:rPr>
        <w:t>“c</w:t>
      </w:r>
      <w:r w:rsidRPr="00947E57">
        <w:rPr>
          <w:rFonts w:ascii="Verdana" w:hAnsi="Verdana" w:cs="Arial"/>
          <w:i/>
          <w:iCs/>
          <w:spacing w:val="-3"/>
          <w:sz w:val="14"/>
          <w:szCs w:val="14"/>
          <w:shd w:val="clear" w:color="auto" w:fill="FFFFFF"/>
        </w:rPr>
        <w:t>ontraprestación económica que percibe el Estado de las personas a quienes se les concede el derecho a explotar los recursos naturales no renovables en determinado porcentaje sobre el producto bruto explotado.</w:t>
      </w:r>
      <w:r w:rsidRPr="00947E57">
        <w:rPr>
          <w:rFonts w:ascii="Verdana" w:hAnsi="Verdana" w:cs="Arial"/>
          <w:spacing w:val="-3"/>
          <w:sz w:val="14"/>
          <w:szCs w:val="14"/>
          <w:shd w:val="clear" w:color="auto" w:fill="FFFFFF"/>
        </w:rPr>
        <w:t xml:space="preserve"> A su vez, de acuerdo con el mismo precedente, en lo que respecta al derecho a las compensaciones, este </w:t>
      </w:r>
      <w:r w:rsidRPr="00947E57">
        <w:rPr>
          <w:rFonts w:ascii="Verdana" w:hAnsi="Verdana" w:cs="Arial"/>
          <w:sz w:val="14"/>
          <w:szCs w:val="14"/>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7F323363" w14:textId="77777777" w:rsidR="00F85191" w:rsidRPr="00947E57" w:rsidRDefault="00F85191" w:rsidP="00F85191">
      <w:pPr>
        <w:pStyle w:val="Textonotapie"/>
        <w:ind w:firstLine="708"/>
        <w:contextualSpacing/>
        <w:jc w:val="both"/>
        <w:rPr>
          <w:rFonts w:ascii="Verdana" w:hAnsi="Verdana" w:cs="Arial"/>
          <w:sz w:val="14"/>
          <w:szCs w:val="14"/>
          <w:shd w:val="clear" w:color="auto" w:fill="FFFFFF"/>
        </w:rPr>
      </w:pPr>
    </w:p>
    <w:p w14:paraId="43EA5347" w14:textId="77777777" w:rsidR="00F85191" w:rsidRPr="00947E57" w:rsidRDefault="00F85191" w:rsidP="00F85191">
      <w:pPr>
        <w:pStyle w:val="Textonotapie"/>
        <w:ind w:firstLine="708"/>
        <w:contextualSpacing/>
        <w:jc w:val="both"/>
        <w:rPr>
          <w:rFonts w:ascii="Verdana" w:hAnsi="Verdana" w:cs="Arial"/>
          <w:sz w:val="14"/>
          <w:szCs w:val="14"/>
          <w:lang w:val="es-CO"/>
        </w:rPr>
      </w:pPr>
      <w:r w:rsidRPr="00947E57">
        <w:rPr>
          <w:rFonts w:ascii="Verdana" w:hAnsi="Verdana" w:cs="Arial"/>
          <w:sz w:val="14"/>
          <w:szCs w:val="14"/>
          <w:shd w:val="clear" w:color="auto" w:fill="FFFFFF"/>
        </w:rPr>
        <w:t>Así lo ha explicado la Corte al prever que las regalías carecen de naturaleza tributaria, ya que </w:t>
      </w:r>
      <w:r w:rsidRPr="00947E57">
        <w:rPr>
          <w:rFonts w:ascii="Verdana" w:hAnsi="Verdana" w:cs="Arial"/>
          <w:i/>
          <w:iCs/>
          <w:sz w:val="14"/>
          <w:szCs w:val="14"/>
          <w:shd w:val="clear" w:color="auto" w:fill="FFFFFF"/>
        </w:rPr>
        <w:t>“</w:t>
      </w:r>
      <w:r w:rsidRPr="00947E57">
        <w:rPr>
          <w:rFonts w:ascii="Verdana" w:hAnsi="Verdana" w:cs="Arial"/>
          <w:sz w:val="14"/>
          <w:szCs w:val="14"/>
          <w:shd w:val="clear" w:color="auto" w:fill="FFFFFF"/>
        </w:rPr>
        <w:t>[a]</w:t>
      </w:r>
      <w:r w:rsidRPr="00947E57">
        <w:rPr>
          <w:rFonts w:ascii="Verdana" w:hAnsi="Verdana" w:cs="Arial"/>
          <w:i/>
          <w:iCs/>
          <w:sz w:val="14"/>
          <w:szCs w:val="14"/>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947E57">
        <w:rPr>
          <w:rFonts w:ascii="Verdana" w:hAnsi="Verdana" w:cs="Arial"/>
          <w:sz w:val="14"/>
          <w:szCs w:val="14"/>
          <w:lang w:val="es-CO"/>
        </w:rPr>
        <w:t xml:space="preserve">Corte Constitucional. Sentencias C-748 de 2012 y C-010 de 2013. M.P. Luis Ernesto Vargas Silva. </w:t>
      </w:r>
    </w:p>
    <w:p w14:paraId="0F899D71" w14:textId="77777777" w:rsidR="00F85191" w:rsidRPr="00947E57" w:rsidRDefault="00F85191" w:rsidP="00F85191">
      <w:pPr>
        <w:pStyle w:val="Textonotapie"/>
        <w:ind w:firstLine="708"/>
        <w:contextualSpacing/>
        <w:jc w:val="both"/>
        <w:rPr>
          <w:rFonts w:ascii="Verdana" w:hAnsi="Verdana" w:cs="Arial"/>
          <w:sz w:val="14"/>
          <w:szCs w:val="14"/>
          <w:shd w:val="clear" w:color="auto" w:fill="FFFFFF"/>
        </w:rPr>
      </w:pPr>
    </w:p>
  </w:footnote>
  <w:footnote w:id="2">
    <w:p w14:paraId="2D69B8F1" w14:textId="77777777" w:rsidR="00F85191" w:rsidRPr="00947E57" w:rsidRDefault="00F85191" w:rsidP="00F85191">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CÁMARA DE REPRESENTANTES. Exposición de motivos del Proyecto de Ley No 311 de 2020. Gaceta No 638 de 2020. </w:t>
      </w:r>
    </w:p>
    <w:p w14:paraId="4BE8B491" w14:textId="77777777" w:rsidR="00F85191" w:rsidRPr="00947E57" w:rsidRDefault="00F85191" w:rsidP="00F85191">
      <w:pPr>
        <w:pStyle w:val="Textonotapie"/>
        <w:ind w:firstLine="708"/>
        <w:contextualSpacing/>
        <w:jc w:val="both"/>
        <w:rPr>
          <w:rFonts w:ascii="Verdana" w:hAnsi="Verdana" w:cs="Arial"/>
          <w:sz w:val="14"/>
          <w:szCs w:val="14"/>
          <w:lang w:val="es-CO"/>
        </w:rPr>
      </w:pPr>
    </w:p>
  </w:footnote>
  <w:footnote w:id="3">
    <w:p w14:paraId="3963EF4D" w14:textId="77777777" w:rsidR="00F85191" w:rsidRPr="00947E57" w:rsidRDefault="00F85191" w:rsidP="00F85191">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p w14:paraId="49E02188" w14:textId="77777777" w:rsidR="00F85191" w:rsidRPr="00947E57" w:rsidRDefault="00F85191" w:rsidP="00F85191">
      <w:pPr>
        <w:pStyle w:val="Textonotapie"/>
        <w:ind w:firstLine="708"/>
        <w:contextualSpacing/>
        <w:jc w:val="both"/>
        <w:rPr>
          <w:rFonts w:ascii="Verdana" w:hAnsi="Verdana" w:cs="Arial"/>
          <w:sz w:val="14"/>
          <w:szCs w:val="14"/>
        </w:rPr>
      </w:pPr>
    </w:p>
  </w:footnote>
  <w:footnote w:id="4">
    <w:p w14:paraId="36733FF7" w14:textId="77777777" w:rsidR="00F85191" w:rsidRPr="00947E57" w:rsidRDefault="00F85191" w:rsidP="00F85191">
      <w:pPr>
        <w:pStyle w:val="Textonotapie"/>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w:t>
      </w:r>
    </w:p>
    <w:p w14:paraId="7E69AD3C" w14:textId="77777777" w:rsidR="00F85191" w:rsidRPr="00947E57" w:rsidRDefault="00F85191" w:rsidP="00F85191">
      <w:pPr>
        <w:pStyle w:val="Textonotapie"/>
        <w:ind w:firstLine="708"/>
        <w:contextualSpacing/>
        <w:jc w:val="both"/>
        <w:rPr>
          <w:rFonts w:ascii="Verdana" w:hAnsi="Verdana" w:cs="Arial"/>
          <w:sz w:val="14"/>
          <w:szCs w:val="14"/>
        </w:rPr>
      </w:pPr>
      <w:r w:rsidRPr="00947E57">
        <w:rPr>
          <w:rFonts w:ascii="Verdana" w:hAnsi="Verdana" w:cs="Arial"/>
          <w:sz w:val="14"/>
          <w:szCs w:val="14"/>
        </w:rPr>
        <w:t xml:space="preserve"> </w:t>
      </w:r>
    </w:p>
  </w:footnote>
  <w:footnote w:id="5">
    <w:p w14:paraId="3727D414"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r w:rsidRPr="00947E57">
        <w:rPr>
          <w:rFonts w:ascii="Verdana" w:hAnsi="Verdana" w:cs="Arial"/>
          <w:sz w:val="14"/>
          <w:szCs w:val="14"/>
        </w:rPr>
        <w:t xml:space="preserve"> </w:t>
      </w:r>
      <w:r w:rsidRPr="00947E57">
        <w:rPr>
          <w:rFonts w:ascii="Verdana" w:hAnsi="Verdana" w:cs="Arial"/>
          <w:color w:val="000000" w:themeColor="text1"/>
          <w:sz w:val="14"/>
          <w:szCs w:val="14"/>
          <w:lang w:val="es-ES_tradnl"/>
        </w:rPr>
        <w:t>“</w:t>
      </w:r>
      <w:r w:rsidRPr="00947E57">
        <w:rPr>
          <w:rFonts w:ascii="Verdana" w:hAnsi="Verdana" w:cs="Arial"/>
          <w:bCs/>
          <w:sz w:val="14"/>
          <w:szCs w:val="14"/>
        </w:rPr>
        <w:t>Artículo 28. Destinación.</w:t>
      </w:r>
      <w:r w:rsidRPr="00947E57">
        <w:rPr>
          <w:rFonts w:ascii="Verdana" w:hAnsi="Verdana" w:cs="Arial"/>
          <w:sz w:val="14"/>
          <w:szCs w:val="14"/>
        </w:rPr>
        <w:t xml:space="preserve"> Con los recursos del Sistema General de Regalías se financiarán proyectos de inversión en sus diferentes etapas, siempre y cuando esté definido en los mismos el horizonte de realización.</w:t>
      </w:r>
    </w:p>
    <w:p w14:paraId="0DFFD1B8"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2A1D3A24"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Lo anterior de conformidad con la metodología para la formulación de los proyectos de inversión establecida por el Departamento Nacional de Planeación.</w:t>
      </w:r>
    </w:p>
    <w:p w14:paraId="3E4C36B1"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En todo caso, no podrán financiarse gastos permanentes y, una vez terminada la etapa de inversión, la prestación del servicio debe ser sostenible y financiada por recursos diferentes al Sistema General de Regalías.</w:t>
      </w:r>
    </w:p>
    <w:p w14:paraId="0CDB064F" w14:textId="77777777" w:rsidR="00F85191" w:rsidRPr="00947E57" w:rsidRDefault="00F85191" w:rsidP="00F85191">
      <w:pPr>
        <w:pStyle w:val="NormalWeb"/>
        <w:spacing w:before="0" w:beforeAutospacing="0" w:after="0" w:afterAutospacing="0"/>
        <w:ind w:firstLine="708"/>
        <w:contextualSpacing/>
        <w:jc w:val="both"/>
        <w:rPr>
          <w:rFonts w:ascii="Verdana" w:hAnsi="Verdana"/>
          <w:sz w:val="14"/>
          <w:szCs w:val="14"/>
        </w:rPr>
      </w:pPr>
      <w:r w:rsidRPr="00947E57">
        <w:rPr>
          <w:rStyle w:val="baj"/>
          <w:rFonts w:ascii="Verdana" w:hAnsi="Verdana" w:cs="Arial"/>
          <w:bCs/>
          <w:sz w:val="14"/>
          <w:szCs w:val="14"/>
        </w:rPr>
        <w:t>Parágrafo.</w:t>
      </w:r>
      <w:r w:rsidRPr="00947E57">
        <w:rPr>
          <w:rFonts w:ascii="Verdana" w:hAnsi="Verdana" w:cs="Arial"/>
          <w:sz w:val="14"/>
          <w:szCs w:val="14"/>
        </w:rPr>
        <w:t> Los recursos de que trata este artículo podrán ser usados para financiar parte del Programa de Alimentación Escolar (PAE) y del programa de transporte escolar</w:t>
      </w:r>
      <w:r w:rsidRPr="00947E57">
        <w:rPr>
          <w:rFonts w:ascii="Verdana" w:hAnsi="Verdana" w:cs="Arial"/>
          <w:color w:val="000000" w:themeColor="text1"/>
          <w:sz w:val="14"/>
          <w:szCs w:val="14"/>
          <w:lang w:val="es-ES_tradnl"/>
        </w:rPr>
        <w:t>»</w:t>
      </w:r>
      <w:r w:rsidRPr="00947E57">
        <w:rPr>
          <w:rFonts w:ascii="Verdana" w:hAnsi="Verdana" w:cs="Arial"/>
          <w:sz w:val="14"/>
          <w:szCs w:val="14"/>
        </w:rPr>
        <w:t>.</w:t>
      </w:r>
    </w:p>
  </w:footnote>
  <w:footnote w:id="6">
    <w:p w14:paraId="498DCEA7" w14:textId="77777777" w:rsidR="00F85191" w:rsidRPr="00947E57" w:rsidRDefault="00F85191" w:rsidP="00F85191">
      <w:pPr>
        <w:pStyle w:val="NormalWeb"/>
        <w:spacing w:after="0"/>
        <w:ind w:firstLine="708"/>
        <w:contextualSpacing/>
        <w:jc w:val="both"/>
        <w:rPr>
          <w:rFonts w:ascii="Verdana" w:hAnsi="Verdana" w:cs="Arial"/>
          <w:sz w:val="14"/>
          <w:szCs w:val="14"/>
        </w:rPr>
      </w:pPr>
    </w:p>
    <w:p w14:paraId="603DC138"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r w:rsidRPr="00947E57">
        <w:rPr>
          <w:rFonts w:ascii="Verdana" w:hAnsi="Verdana" w:cs="Arial"/>
          <w:sz w:val="14"/>
          <w:szCs w:val="14"/>
        </w:rPr>
        <w:t xml:space="preserve"> “</w:t>
      </w:r>
      <w:r w:rsidRPr="00947E57">
        <w:rPr>
          <w:rFonts w:ascii="Verdana" w:hAnsi="Verdana" w:cs="Arial"/>
          <w:bCs/>
          <w:sz w:val="14"/>
          <w:szCs w:val="14"/>
        </w:rPr>
        <w:t>Artículo 35. Priorización y aprobación de los proyectos de inversión de la asignación para la inversión regional.</w:t>
      </w:r>
      <w:r w:rsidRPr="00947E57">
        <w:rPr>
          <w:rFonts w:ascii="Verdana" w:hAnsi="Verdana" w:cs="Arial"/>
          <w:sz w:val="14"/>
          <w:szCs w:val="14"/>
        </w:rPr>
        <w:t> La priorización y aprobación de los proyectos de inversión de la Asignación para la Inversión Regional en cabeza de los departamentos estará a cargo de los respectivos departamentos.</w:t>
      </w:r>
    </w:p>
    <w:p w14:paraId="3C2A7868"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4459F94F" w14:textId="77777777" w:rsidR="00F85191" w:rsidRPr="00947E57" w:rsidRDefault="00F85191" w:rsidP="00F85191">
      <w:pPr>
        <w:pStyle w:val="NormalWeb"/>
        <w:spacing w:after="0"/>
        <w:contextualSpacing/>
        <w:jc w:val="both"/>
        <w:rPr>
          <w:rFonts w:ascii="Verdana" w:hAnsi="Verdana" w:cs="Arial"/>
          <w:sz w:val="14"/>
          <w:szCs w:val="14"/>
        </w:rPr>
      </w:pPr>
      <w:r w:rsidRPr="00947E57">
        <w:rPr>
          <w:rFonts w:ascii="Verdana" w:hAnsi="Verdana" w:cs="Arial"/>
          <w:sz w:val="14"/>
          <w:szCs w:val="14"/>
        </w:rPr>
        <w:t>[…]</w:t>
      </w:r>
    </w:p>
    <w:p w14:paraId="4ABE2922"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Style w:val="baj"/>
          <w:rFonts w:ascii="Verdana" w:hAnsi="Verdana" w:cs="Arial"/>
          <w:bCs/>
          <w:sz w:val="14"/>
          <w:szCs w:val="14"/>
        </w:rPr>
        <w:t>Parágrafo 1o.</w:t>
      </w:r>
      <w:r w:rsidRPr="00947E57">
        <w:rPr>
          <w:rFonts w:ascii="Verdana" w:hAnsi="Verdana" w:cs="Arial"/>
          <w:sz w:val="14"/>
          <w:szCs w:val="14"/>
        </w:rPr>
        <w:t> En las zonas no interconectadas del país, tendrán especial consideración los proyectos de energización, conectividad e infraestructura vial.</w:t>
      </w:r>
    </w:p>
    <w:p w14:paraId="7C3CEA98" w14:textId="77777777" w:rsidR="00F85191" w:rsidRPr="00947E57" w:rsidRDefault="00F85191" w:rsidP="00F85191">
      <w:pPr>
        <w:pStyle w:val="NormalWeb"/>
        <w:spacing w:after="0"/>
        <w:ind w:firstLine="708"/>
        <w:contextualSpacing/>
        <w:jc w:val="both"/>
        <w:rPr>
          <w:rFonts w:ascii="Verdana" w:hAnsi="Verdana" w:cs="Arial"/>
          <w:sz w:val="14"/>
          <w:szCs w:val="14"/>
        </w:rPr>
      </w:pPr>
      <w:r w:rsidRPr="00947E57">
        <w:rPr>
          <w:rStyle w:val="baj"/>
          <w:rFonts w:ascii="Verdana" w:hAnsi="Verdana" w:cs="Arial"/>
          <w:bCs/>
          <w:sz w:val="14"/>
          <w:szCs w:val="14"/>
        </w:rPr>
        <w:t>Parágrafo 2o.</w:t>
      </w:r>
      <w:r w:rsidRPr="00947E57">
        <w:rPr>
          <w:rFonts w:ascii="Verdana" w:hAnsi="Verdana" w:cs="Arial"/>
          <w:sz w:val="14"/>
          <w:szCs w:val="14"/>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947E57">
        <w:rPr>
          <w:rFonts w:ascii="Verdana" w:hAnsi="Verdana" w:cs="Arial"/>
          <w:sz w:val="14"/>
          <w:szCs w:val="14"/>
          <w:lang w:val="es-ES"/>
        </w:rPr>
        <w:t>”</w:t>
      </w:r>
      <w:r w:rsidRPr="00947E57">
        <w:rPr>
          <w:rFonts w:ascii="Verdana" w:hAnsi="Verdana" w:cs="Arial"/>
          <w:sz w:val="14"/>
          <w:szCs w:val="14"/>
        </w:rPr>
        <w:t>.</w:t>
      </w:r>
    </w:p>
    <w:p w14:paraId="4800C2FA" w14:textId="77777777" w:rsidR="00F85191" w:rsidRPr="00947E57" w:rsidRDefault="00F85191" w:rsidP="00F85191">
      <w:pPr>
        <w:pStyle w:val="NormalWeb"/>
        <w:spacing w:after="0"/>
        <w:ind w:firstLine="708"/>
        <w:contextualSpacing/>
        <w:jc w:val="both"/>
        <w:rPr>
          <w:rFonts w:ascii="Verdana" w:hAnsi="Verdana" w:cs="Arial"/>
          <w:sz w:val="14"/>
          <w:szCs w:val="14"/>
        </w:rPr>
      </w:pPr>
    </w:p>
  </w:footnote>
  <w:footnote w:id="7">
    <w:p w14:paraId="6044D11A"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lang w:eastAsia="en-US"/>
        </w:rPr>
      </w:pPr>
      <w:r w:rsidRPr="00947E57">
        <w:rPr>
          <w:rStyle w:val="Refdenotaalpie"/>
          <w:rFonts w:ascii="Verdana" w:hAnsi="Verdana" w:cs="Arial"/>
          <w:sz w:val="14"/>
          <w:szCs w:val="14"/>
        </w:rPr>
        <w:footnoteRef/>
      </w:r>
      <w:r w:rsidRPr="00947E57">
        <w:rPr>
          <w:rFonts w:ascii="Verdana" w:hAnsi="Verdana" w:cs="Arial"/>
          <w:sz w:val="14"/>
          <w:szCs w:val="14"/>
        </w:rPr>
        <w:t xml:space="preserve">“Artículo 36. </w:t>
      </w:r>
      <w:r w:rsidRPr="00947E57">
        <w:rPr>
          <w:rFonts w:ascii="Verdana" w:hAnsi="Verdana" w:cs="Arial"/>
          <w:bCs/>
          <w:sz w:val="14"/>
          <w:szCs w:val="14"/>
        </w:rPr>
        <w:t>Priorización y aprobación de proyectos de inversión para las asignaciones directas y asignación para la inversión local.</w:t>
      </w:r>
      <w:r w:rsidRPr="00947E57">
        <w:rPr>
          <w:rFonts w:ascii="Verdana" w:hAnsi="Verdana" w:cs="Arial"/>
          <w:sz w:val="14"/>
          <w:szCs w:val="14"/>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4B16BBF2"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Style w:val="baj"/>
          <w:rFonts w:ascii="Verdana" w:hAnsi="Verdana" w:cs="Arial"/>
          <w:bCs/>
          <w:sz w:val="14"/>
          <w:szCs w:val="14"/>
        </w:rPr>
        <w:t>Parágrafo.</w:t>
      </w:r>
      <w:r w:rsidRPr="00947E57">
        <w:rPr>
          <w:rFonts w:ascii="Verdana" w:hAnsi="Verdana" w:cs="Arial"/>
          <w:sz w:val="14"/>
          <w:szCs w:val="14"/>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4235032A"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06C72A58" w14:textId="77777777" w:rsidR="00F85191" w:rsidRPr="00947E57" w:rsidRDefault="00F85191" w:rsidP="00F85191">
      <w:pPr>
        <w:pStyle w:val="NormalWeb"/>
        <w:spacing w:before="0" w:beforeAutospacing="0" w:after="0" w:afterAutospacing="0"/>
        <w:ind w:firstLine="708"/>
        <w:contextualSpacing/>
        <w:jc w:val="both"/>
        <w:rPr>
          <w:rFonts w:ascii="Verdana" w:hAnsi="Verdana" w:cs="Arial"/>
          <w:sz w:val="14"/>
          <w:szCs w:val="14"/>
        </w:rPr>
      </w:pPr>
      <w:r w:rsidRPr="00947E57">
        <w:rPr>
          <w:rFonts w:ascii="Verdana" w:hAnsi="Verdana" w:cs="Arial"/>
          <w:sz w:val="14"/>
          <w:szCs w:val="14"/>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21B01B68" w14:textId="77777777" w:rsidR="00F85191" w:rsidRPr="00947E57" w:rsidRDefault="00F85191" w:rsidP="00F85191">
      <w:pPr>
        <w:pStyle w:val="Textonotapie"/>
        <w:ind w:firstLine="708"/>
        <w:contextualSpacing/>
        <w:rPr>
          <w:rFonts w:ascii="Verdana" w:hAnsi="Verdana"/>
          <w:sz w:val="14"/>
          <w:szCs w:val="14"/>
          <w:lang w:val="es-CO"/>
        </w:rPr>
      </w:pPr>
      <w:r w:rsidRPr="00947E57">
        <w:rPr>
          <w:rFonts w:ascii="Verdana" w:hAnsi="Verdana" w:cs="Arial"/>
          <w:sz w:val="14"/>
          <w:szCs w:val="14"/>
          <w:lang w:val="es-ES"/>
        </w:rPr>
        <w:t xml:space="preserve"> </w:t>
      </w:r>
      <w:r w:rsidRPr="00947E57">
        <w:rPr>
          <w:rStyle w:val="baj"/>
          <w:rFonts w:ascii="Verdana" w:hAnsi="Verdana" w:cs="Arial"/>
          <w:bCs/>
          <w:sz w:val="14"/>
          <w:szCs w:val="14"/>
        </w:rPr>
        <w:t>Parágrafo transitorio.</w:t>
      </w:r>
      <w:r w:rsidRPr="00947E57">
        <w:rPr>
          <w:rFonts w:ascii="Verdana" w:hAnsi="Verdana" w:cs="Arial"/>
          <w:sz w:val="14"/>
          <w:szCs w:val="14"/>
        </w:rPr>
        <w:t> Para el año 2021 no aplicará la metodología de cierre de brechas de que trata el parágrafo anterior dirigida a las entidades territoriales receptoras de la Asignación para la Inversión Local</w:t>
      </w:r>
      <w:r w:rsidRPr="00947E57">
        <w:rPr>
          <w:rFonts w:ascii="Verdana" w:hAnsi="Verdana" w:cs="Arial"/>
          <w:sz w:val="14"/>
          <w:szCs w:val="14"/>
          <w:lang w:val="es-ES"/>
        </w:rPr>
        <w:t>”</w:t>
      </w:r>
      <w:r w:rsidRPr="00947E57">
        <w:rPr>
          <w:rFonts w:ascii="Verdana" w:hAnsi="Verdana" w:cs="Arial"/>
          <w:sz w:val="14"/>
          <w:szCs w:val="14"/>
        </w:rPr>
        <w:t>.</w:t>
      </w:r>
    </w:p>
  </w:footnote>
  <w:footnote w:id="8">
    <w:p w14:paraId="7C18296A" w14:textId="77777777" w:rsidR="00F85191" w:rsidRPr="00947E57" w:rsidRDefault="00F85191" w:rsidP="00F85191">
      <w:pPr>
        <w:spacing w:after="0" w:line="240" w:lineRule="auto"/>
        <w:ind w:firstLine="708"/>
        <w:contextualSpacing/>
        <w:jc w:val="both"/>
        <w:rPr>
          <w:rFonts w:ascii="Verdana" w:hAnsi="Verdana" w:cs="Arial"/>
          <w:sz w:val="14"/>
          <w:szCs w:val="14"/>
        </w:rPr>
      </w:pPr>
    </w:p>
    <w:p w14:paraId="45F9B008"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Style w:val="Refdenotaalpie"/>
          <w:rFonts w:ascii="Verdana" w:hAnsi="Verdana" w:cs="Arial"/>
          <w:sz w:val="14"/>
          <w:szCs w:val="14"/>
        </w:rPr>
        <w:footnoteRef/>
      </w:r>
      <w:r w:rsidRPr="00947E57">
        <w:rPr>
          <w:rFonts w:ascii="Verdana" w:hAnsi="Verdana" w:cs="Arial"/>
          <w:sz w:val="14"/>
          <w:szCs w:val="14"/>
        </w:rPr>
        <w:t xml:space="preserve"> “</w:t>
      </w:r>
      <w:r w:rsidRPr="00947E57">
        <w:rPr>
          <w:rFonts w:ascii="Verdana" w:hAnsi="Verdana" w:cs="Arial"/>
          <w:bCs/>
          <w:sz w:val="14"/>
          <w:szCs w:val="14"/>
        </w:rPr>
        <w:t>Artículo 37. ejecución de proyectos de inversión.</w:t>
      </w:r>
      <w:r w:rsidRPr="00947E57">
        <w:rPr>
          <w:rFonts w:ascii="Verdana" w:hAnsi="Verdana" w:cs="Arial"/>
          <w:sz w:val="14"/>
          <w:szCs w:val="14"/>
        </w:rPr>
        <w:t> los proyectos de inversión que se financien con cargo al sistema general de regalías serán ejecutados por quien designe las entidades u órganos de que tratan los artículos </w:t>
      </w:r>
      <w:hyperlink r:id="rId1" w:anchor="35" w:history="1">
        <w:r w:rsidRPr="00947E57">
          <w:rPr>
            <w:rFonts w:ascii="Verdana" w:hAnsi="Verdana" w:cs="Arial"/>
            <w:sz w:val="14"/>
            <w:szCs w:val="14"/>
          </w:rPr>
          <w:t>35</w:t>
        </w:r>
      </w:hyperlink>
      <w:r w:rsidRPr="00947E57">
        <w:rPr>
          <w:rFonts w:ascii="Verdana" w:hAnsi="Verdana" w:cs="Arial"/>
          <w:sz w:val="14"/>
          <w:szCs w:val="14"/>
        </w:rPr>
        <w:t> y </w:t>
      </w:r>
      <w:hyperlink r:id="rId2" w:anchor="36" w:history="1">
        <w:r w:rsidRPr="00947E57">
          <w:rPr>
            <w:rFonts w:ascii="Verdana" w:hAnsi="Verdana" w:cs="Arial"/>
            <w:sz w:val="14"/>
            <w:szCs w:val="14"/>
          </w:rPr>
          <w:t>36</w:t>
        </w:r>
      </w:hyperlink>
      <w:r w:rsidRPr="00947E57">
        <w:rPr>
          <w:rFonts w:ascii="Verdana" w:hAnsi="Verdana" w:cs="Arial"/>
          <w:sz w:val="14"/>
          <w:szCs w:val="14"/>
        </w:rPr>
        <w:t> de la presente ley. así mismo, la entidad ejecutora estará a cargo de la contratación de la interventoría, de conformidad con lo previsto en la presente ley.</w:t>
      </w:r>
    </w:p>
    <w:p w14:paraId="16E30BBC"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1F45E332"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1o.</w:t>
      </w:r>
      <w:r w:rsidRPr="00947E57">
        <w:rPr>
          <w:rFonts w:ascii="Verdana" w:hAnsi="Verdana" w:cs="Arial"/>
          <w:sz w:val="14"/>
          <w:szCs w:val="14"/>
        </w:rPr>
        <w:t xml:space="preserve"> La ejecución de proyectos de </w:t>
      </w:r>
      <w:r w:rsidRPr="00947E57">
        <w:rPr>
          <w:rFonts w:ascii="Verdana" w:hAnsi="Verdana" w:cs="Arial"/>
          <w:sz w:val="14"/>
          <w:szCs w:val="14"/>
        </w:rPr>
        <w:t>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5729BBF8"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2o.</w:t>
      </w:r>
      <w:r w:rsidRPr="00947E57">
        <w:rPr>
          <w:rFonts w:ascii="Verdana" w:hAnsi="Verdana" w:cs="Arial"/>
          <w:sz w:val="14"/>
          <w:szCs w:val="14"/>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771D0BE1"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bCs/>
          <w:sz w:val="14"/>
          <w:szCs w:val="14"/>
        </w:rPr>
        <w:t>Parágrafo 3o.</w:t>
      </w:r>
      <w:r w:rsidRPr="00947E57">
        <w:rPr>
          <w:rFonts w:ascii="Verdana" w:hAnsi="Verdana" w:cs="Arial"/>
          <w:sz w:val="14"/>
          <w:szCs w:val="14"/>
        </w:rPr>
        <w:t xml:space="preserve"> La entidad designada ejecutora por las entidades u órganos de que tratan los artículos </w:t>
      </w:r>
      <w:hyperlink r:id="rId3" w:anchor="35" w:history="1">
        <w:r w:rsidRPr="00947E57">
          <w:rPr>
            <w:rFonts w:ascii="Verdana" w:hAnsi="Verdana" w:cs="Arial"/>
            <w:sz w:val="14"/>
            <w:szCs w:val="14"/>
          </w:rPr>
          <w:t>35</w:t>
        </w:r>
      </w:hyperlink>
      <w:r w:rsidRPr="00947E57">
        <w:rPr>
          <w:rFonts w:ascii="Verdana" w:hAnsi="Verdana" w:cs="Arial"/>
          <w:sz w:val="14"/>
          <w:szCs w:val="14"/>
        </w:rPr>
        <w:t xml:space="preserve"> y </w:t>
      </w:r>
      <w:hyperlink r:id="rId4" w:anchor="36" w:history="1">
        <w:r w:rsidRPr="00947E57">
          <w:rPr>
            <w:rFonts w:ascii="Verdana" w:hAnsi="Verdana" w:cs="Arial"/>
            <w:sz w:val="14"/>
            <w:szCs w:val="14"/>
          </w:rPr>
          <w:t>36</w:t>
        </w:r>
      </w:hyperlink>
      <w:r w:rsidRPr="00947E57">
        <w:rPr>
          <w:rFonts w:ascii="Verdana" w:hAnsi="Verdana" w:cs="Arial"/>
          <w:sz w:val="14"/>
          <w:szCs w:val="14"/>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305DC16F"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17D27B32" w14:textId="77777777" w:rsidR="00F85191" w:rsidRPr="00947E57" w:rsidRDefault="00F85191" w:rsidP="00F85191">
      <w:pPr>
        <w:spacing w:after="0" w:line="240" w:lineRule="auto"/>
        <w:ind w:firstLine="708"/>
        <w:contextualSpacing/>
        <w:jc w:val="both"/>
        <w:rPr>
          <w:rFonts w:ascii="Verdana" w:hAnsi="Verdana" w:cs="Arial"/>
          <w:sz w:val="14"/>
          <w:szCs w:val="14"/>
        </w:rPr>
      </w:pPr>
      <w:r w:rsidRPr="00947E57">
        <w:rPr>
          <w:rFonts w:ascii="Verdana" w:hAnsi="Verdana" w:cs="Arial"/>
          <w:sz w:val="14"/>
          <w:szCs w:val="14"/>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947E57">
        <w:rPr>
          <w:rFonts w:ascii="Verdana" w:hAnsi="Verdana" w:cs="Arial"/>
          <w:sz w:val="14"/>
          <w:szCs w:val="14"/>
          <w:lang w:val="es-ES"/>
        </w:rPr>
        <w:t>”</w:t>
      </w:r>
      <w:r w:rsidRPr="00947E57">
        <w:rPr>
          <w:rFonts w:ascii="Verdana" w:hAnsi="Verdana" w:cs="Arial"/>
          <w:sz w:val="14"/>
          <w:szCs w:val="14"/>
        </w:rPr>
        <w:t>.</w:t>
      </w:r>
    </w:p>
    <w:p w14:paraId="00CCE5AA" w14:textId="77777777" w:rsidR="00F85191" w:rsidRPr="00947E57" w:rsidRDefault="00F85191" w:rsidP="00F85191">
      <w:pPr>
        <w:spacing w:after="0" w:line="240" w:lineRule="auto"/>
        <w:ind w:firstLine="708"/>
        <w:contextualSpacing/>
        <w:jc w:val="both"/>
        <w:rPr>
          <w:rFonts w:ascii="Verdana" w:hAnsi="Verdana"/>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98F0A1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176513"/>
    <w:multiLevelType w:val="hybridMultilevel"/>
    <w:tmpl w:val="ED04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7"/>
  </w:num>
  <w:num w:numId="8">
    <w:abstractNumId w:val="14"/>
  </w:num>
  <w:num w:numId="9">
    <w:abstractNumId w:val="9"/>
  </w:num>
  <w:num w:numId="10">
    <w:abstractNumId w:val="13"/>
  </w:num>
  <w:num w:numId="11">
    <w:abstractNumId w:val="10"/>
  </w:num>
  <w:num w:numId="12">
    <w:abstractNumId w:val="1"/>
  </w:num>
  <w:num w:numId="13">
    <w:abstractNumId w:val="5"/>
  </w:num>
  <w:num w:numId="14">
    <w:abstractNumId w:val="16"/>
  </w:num>
  <w:num w:numId="15">
    <w:abstractNumId w:val="12"/>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4AB"/>
    <w:rsid w:val="00007D67"/>
    <w:rsid w:val="00022B9C"/>
    <w:rsid w:val="00035F7D"/>
    <w:rsid w:val="00050BF7"/>
    <w:rsid w:val="00061B2A"/>
    <w:rsid w:val="00082362"/>
    <w:rsid w:val="00091E72"/>
    <w:rsid w:val="000A683E"/>
    <w:rsid w:val="000A6FDD"/>
    <w:rsid w:val="000B19B9"/>
    <w:rsid w:val="000B488E"/>
    <w:rsid w:val="000C73C8"/>
    <w:rsid w:val="000D0334"/>
    <w:rsid w:val="000E00AB"/>
    <w:rsid w:val="000F6486"/>
    <w:rsid w:val="0010522A"/>
    <w:rsid w:val="001139CB"/>
    <w:rsid w:val="00125105"/>
    <w:rsid w:val="00127233"/>
    <w:rsid w:val="00132403"/>
    <w:rsid w:val="00143B90"/>
    <w:rsid w:val="001630F2"/>
    <w:rsid w:val="00164338"/>
    <w:rsid w:val="00185A82"/>
    <w:rsid w:val="001A575B"/>
    <w:rsid w:val="001B1978"/>
    <w:rsid w:val="001D56F4"/>
    <w:rsid w:val="001E4177"/>
    <w:rsid w:val="001F5948"/>
    <w:rsid w:val="001F7DC6"/>
    <w:rsid w:val="002163E3"/>
    <w:rsid w:val="002421BB"/>
    <w:rsid w:val="002442C5"/>
    <w:rsid w:val="0025796E"/>
    <w:rsid w:val="002707A2"/>
    <w:rsid w:val="002951A0"/>
    <w:rsid w:val="00295AD2"/>
    <w:rsid w:val="002962BC"/>
    <w:rsid w:val="002979A1"/>
    <w:rsid w:val="002A093D"/>
    <w:rsid w:val="002A0DD0"/>
    <w:rsid w:val="002A49AC"/>
    <w:rsid w:val="002A64FD"/>
    <w:rsid w:val="002C4A61"/>
    <w:rsid w:val="002C7A84"/>
    <w:rsid w:val="002E4FD9"/>
    <w:rsid w:val="00317F7F"/>
    <w:rsid w:val="003221CA"/>
    <w:rsid w:val="00322A85"/>
    <w:rsid w:val="00324168"/>
    <w:rsid w:val="003448F4"/>
    <w:rsid w:val="0035356E"/>
    <w:rsid w:val="00365EA8"/>
    <w:rsid w:val="00371D67"/>
    <w:rsid w:val="00374F5E"/>
    <w:rsid w:val="00377E3E"/>
    <w:rsid w:val="003A26D1"/>
    <w:rsid w:val="003A779E"/>
    <w:rsid w:val="003D0F4D"/>
    <w:rsid w:val="003D357A"/>
    <w:rsid w:val="003D5B0D"/>
    <w:rsid w:val="003E0499"/>
    <w:rsid w:val="003F3941"/>
    <w:rsid w:val="00406575"/>
    <w:rsid w:val="00420E1D"/>
    <w:rsid w:val="0042722E"/>
    <w:rsid w:val="0044528D"/>
    <w:rsid w:val="004924C4"/>
    <w:rsid w:val="004A1847"/>
    <w:rsid w:val="004A305D"/>
    <w:rsid w:val="004F21C4"/>
    <w:rsid w:val="004F685F"/>
    <w:rsid w:val="004F79EE"/>
    <w:rsid w:val="005038C7"/>
    <w:rsid w:val="00555D9C"/>
    <w:rsid w:val="005560D6"/>
    <w:rsid w:val="005566E8"/>
    <w:rsid w:val="0057478D"/>
    <w:rsid w:val="00574867"/>
    <w:rsid w:val="00591460"/>
    <w:rsid w:val="00592628"/>
    <w:rsid w:val="005A34F6"/>
    <w:rsid w:val="005C3777"/>
    <w:rsid w:val="005C4F76"/>
    <w:rsid w:val="005C5CDC"/>
    <w:rsid w:val="005C78D8"/>
    <w:rsid w:val="005D476C"/>
    <w:rsid w:val="00610812"/>
    <w:rsid w:val="006219F8"/>
    <w:rsid w:val="00650FF7"/>
    <w:rsid w:val="00665D70"/>
    <w:rsid w:val="006710FC"/>
    <w:rsid w:val="00671DAC"/>
    <w:rsid w:val="006900D9"/>
    <w:rsid w:val="006C213B"/>
    <w:rsid w:val="006D12F8"/>
    <w:rsid w:val="006D1F51"/>
    <w:rsid w:val="006E0284"/>
    <w:rsid w:val="006F0E50"/>
    <w:rsid w:val="00706C16"/>
    <w:rsid w:val="00745197"/>
    <w:rsid w:val="00756841"/>
    <w:rsid w:val="007649AB"/>
    <w:rsid w:val="00771D0C"/>
    <w:rsid w:val="007833AC"/>
    <w:rsid w:val="007834A7"/>
    <w:rsid w:val="007B268C"/>
    <w:rsid w:val="007B7171"/>
    <w:rsid w:val="007C0C0F"/>
    <w:rsid w:val="007C3DC2"/>
    <w:rsid w:val="007E5497"/>
    <w:rsid w:val="00806F5F"/>
    <w:rsid w:val="00820278"/>
    <w:rsid w:val="008843B6"/>
    <w:rsid w:val="00891928"/>
    <w:rsid w:val="008A446D"/>
    <w:rsid w:val="008D180B"/>
    <w:rsid w:val="008E3E9A"/>
    <w:rsid w:val="008F0EA7"/>
    <w:rsid w:val="00922543"/>
    <w:rsid w:val="00923EEF"/>
    <w:rsid w:val="0093622D"/>
    <w:rsid w:val="009419F9"/>
    <w:rsid w:val="0095685E"/>
    <w:rsid w:val="00961B09"/>
    <w:rsid w:val="00965334"/>
    <w:rsid w:val="0097093E"/>
    <w:rsid w:val="009834E7"/>
    <w:rsid w:val="00985562"/>
    <w:rsid w:val="009A0DFA"/>
    <w:rsid w:val="009A24A4"/>
    <w:rsid w:val="009B2D26"/>
    <w:rsid w:val="009C71FA"/>
    <w:rsid w:val="009C72E7"/>
    <w:rsid w:val="009D3058"/>
    <w:rsid w:val="009E5901"/>
    <w:rsid w:val="009F3A13"/>
    <w:rsid w:val="00A122D3"/>
    <w:rsid w:val="00A17F13"/>
    <w:rsid w:val="00A20739"/>
    <w:rsid w:val="00A26350"/>
    <w:rsid w:val="00A33C78"/>
    <w:rsid w:val="00AA740A"/>
    <w:rsid w:val="00AB0ADB"/>
    <w:rsid w:val="00B01B1A"/>
    <w:rsid w:val="00B265CF"/>
    <w:rsid w:val="00B72CD3"/>
    <w:rsid w:val="00B72FFF"/>
    <w:rsid w:val="00BA7434"/>
    <w:rsid w:val="00BB6A0C"/>
    <w:rsid w:val="00BC3D36"/>
    <w:rsid w:val="00BD5531"/>
    <w:rsid w:val="00BD7F72"/>
    <w:rsid w:val="00C04FB3"/>
    <w:rsid w:val="00C330EB"/>
    <w:rsid w:val="00C72280"/>
    <w:rsid w:val="00C754BE"/>
    <w:rsid w:val="00C76B1C"/>
    <w:rsid w:val="00C86B10"/>
    <w:rsid w:val="00CA2F4D"/>
    <w:rsid w:val="00CA35D8"/>
    <w:rsid w:val="00CB6357"/>
    <w:rsid w:val="00CC1B26"/>
    <w:rsid w:val="00D423A2"/>
    <w:rsid w:val="00D520D8"/>
    <w:rsid w:val="00D63AC2"/>
    <w:rsid w:val="00D7383B"/>
    <w:rsid w:val="00DA231B"/>
    <w:rsid w:val="00DA23A0"/>
    <w:rsid w:val="00DB784F"/>
    <w:rsid w:val="00DC1669"/>
    <w:rsid w:val="00DC39FC"/>
    <w:rsid w:val="00DC40C0"/>
    <w:rsid w:val="00DF5254"/>
    <w:rsid w:val="00E145B7"/>
    <w:rsid w:val="00E16408"/>
    <w:rsid w:val="00E20894"/>
    <w:rsid w:val="00E245AB"/>
    <w:rsid w:val="00E2764C"/>
    <w:rsid w:val="00E27F2E"/>
    <w:rsid w:val="00E413EA"/>
    <w:rsid w:val="00E50AFE"/>
    <w:rsid w:val="00E578B6"/>
    <w:rsid w:val="00E75C92"/>
    <w:rsid w:val="00E771DC"/>
    <w:rsid w:val="00E8772A"/>
    <w:rsid w:val="00E90F6B"/>
    <w:rsid w:val="00E92C27"/>
    <w:rsid w:val="00EA0E3D"/>
    <w:rsid w:val="00EB3EFE"/>
    <w:rsid w:val="00EC38A7"/>
    <w:rsid w:val="00EC66C1"/>
    <w:rsid w:val="00EE1AA8"/>
    <w:rsid w:val="00F142F9"/>
    <w:rsid w:val="00F23349"/>
    <w:rsid w:val="00F31EDC"/>
    <w:rsid w:val="00F462B3"/>
    <w:rsid w:val="00F5664F"/>
    <w:rsid w:val="00F666C4"/>
    <w:rsid w:val="00F76AFC"/>
    <w:rsid w:val="00F85191"/>
    <w:rsid w:val="00FA47C0"/>
    <w:rsid w:val="00FB5DD1"/>
    <w:rsid w:val="00FB74C3"/>
    <w:rsid w:val="00FC2B5D"/>
    <w:rsid w:val="00FD6FBF"/>
    <w:rsid w:val="00FE07EA"/>
    <w:rsid w:val="00FF1449"/>
    <w:rsid w:val="147779E6"/>
    <w:rsid w:val="50E3F9BB"/>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143B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143B90"/>
    <w:pPr>
      <w:spacing w:line="240" w:lineRule="exact"/>
    </w:pPr>
    <w:rPr>
      <w:vertAlign w:val="superscript"/>
    </w:rPr>
  </w:style>
  <w:style w:type="character" w:styleId="Textoennegrita">
    <w:name w:val="Strong"/>
    <w:basedOn w:val="Fuentedeprrafopredeter"/>
    <w:uiPriority w:val="22"/>
    <w:qFormat/>
    <w:rsid w:val="00143B90"/>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43B90"/>
    <w:rPr>
      <w:rFonts w:ascii="Geomanist Light" w:hAnsi="Geomanist Light"/>
      <w:lang w:val="es-ES"/>
    </w:rPr>
  </w:style>
  <w:style w:type="character" w:customStyle="1" w:styleId="NormalWebCar">
    <w:name w:val="Normal (Web) Car"/>
    <w:link w:val="NormalWeb"/>
    <w:uiPriority w:val="99"/>
    <w:rsid w:val="00FB74C3"/>
    <w:rPr>
      <w:rFonts w:ascii="Times New Roman" w:eastAsia="Times New Roman" w:hAnsi="Times New Roman" w:cs="Times New Roman"/>
      <w:sz w:val="24"/>
      <w:szCs w:val="24"/>
      <w:lang w:eastAsia="es-CO"/>
    </w:rPr>
  </w:style>
  <w:style w:type="character" w:customStyle="1" w:styleId="baj">
    <w:name w:val="b_aj"/>
    <w:basedOn w:val="Fuentedeprrafopredeter"/>
    <w:rsid w:val="00FB74C3"/>
  </w:style>
  <w:style w:type="paragraph" w:styleId="Textodeglobo">
    <w:name w:val="Balloon Text"/>
    <w:basedOn w:val="Normal"/>
    <w:link w:val="TextodegloboCar"/>
    <w:uiPriority w:val="99"/>
    <w:semiHidden/>
    <w:unhideWhenUsed/>
    <w:rsid w:val="006F0E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7096745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16093406">
      <w:bodyDiv w:val="1"/>
      <w:marLeft w:val="0"/>
      <w:marRight w:val="0"/>
      <w:marTop w:val="0"/>
      <w:marBottom w:val="0"/>
      <w:divBdr>
        <w:top w:val="none" w:sz="0" w:space="0" w:color="auto"/>
        <w:left w:val="none" w:sz="0" w:space="0" w:color="auto"/>
        <w:bottom w:val="none" w:sz="0" w:space="0" w:color="auto"/>
        <w:right w:val="none" w:sz="0" w:space="0" w:color="auto"/>
      </w:divBdr>
      <w:divsChild>
        <w:div w:id="1886214161">
          <w:marLeft w:val="0"/>
          <w:marRight w:val="0"/>
          <w:marTop w:val="0"/>
          <w:marBottom w:val="160"/>
          <w:divBdr>
            <w:top w:val="none" w:sz="0" w:space="0" w:color="auto"/>
            <w:left w:val="none" w:sz="0" w:space="0" w:color="auto"/>
            <w:bottom w:val="none" w:sz="0" w:space="0" w:color="auto"/>
            <w:right w:val="none" w:sz="0" w:space="0" w:color="auto"/>
          </w:divBdr>
        </w:div>
        <w:div w:id="533034881">
          <w:marLeft w:val="0"/>
          <w:marRight w:val="0"/>
          <w:marTop w:val="0"/>
          <w:marBottom w:val="16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91184971">
      <w:bodyDiv w:val="1"/>
      <w:marLeft w:val="0"/>
      <w:marRight w:val="0"/>
      <w:marTop w:val="0"/>
      <w:marBottom w:val="0"/>
      <w:divBdr>
        <w:top w:val="none" w:sz="0" w:space="0" w:color="auto"/>
        <w:left w:val="none" w:sz="0" w:space="0" w:color="auto"/>
        <w:bottom w:val="none" w:sz="0" w:space="0" w:color="auto"/>
        <w:right w:val="none" w:sz="0" w:space="0" w:color="auto"/>
      </w:divBdr>
      <w:divsChild>
        <w:div w:id="230310761">
          <w:marLeft w:val="0"/>
          <w:marRight w:val="0"/>
          <w:marTop w:val="0"/>
          <w:marBottom w:val="0"/>
          <w:divBdr>
            <w:top w:val="none" w:sz="0" w:space="0" w:color="auto"/>
            <w:left w:val="none" w:sz="0" w:space="0" w:color="auto"/>
            <w:bottom w:val="none" w:sz="0" w:space="0" w:color="auto"/>
            <w:right w:val="none" w:sz="0" w:space="0" w:color="auto"/>
          </w:divBdr>
        </w:div>
        <w:div w:id="86240158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67184262">
      <w:bodyDiv w:val="1"/>
      <w:marLeft w:val="0"/>
      <w:marRight w:val="0"/>
      <w:marTop w:val="0"/>
      <w:marBottom w:val="0"/>
      <w:divBdr>
        <w:top w:val="none" w:sz="0" w:space="0" w:color="auto"/>
        <w:left w:val="none" w:sz="0" w:space="0" w:color="auto"/>
        <w:bottom w:val="none" w:sz="0" w:space="0" w:color="auto"/>
        <w:right w:val="none" w:sz="0" w:space="0" w:color="auto"/>
      </w:divBdr>
      <w:divsChild>
        <w:div w:id="298070872">
          <w:marLeft w:val="0"/>
          <w:marRight w:val="0"/>
          <w:marTop w:val="0"/>
          <w:marBottom w:val="160"/>
          <w:divBdr>
            <w:top w:val="none" w:sz="0" w:space="0" w:color="auto"/>
            <w:left w:val="none" w:sz="0" w:space="0" w:color="auto"/>
            <w:bottom w:val="none" w:sz="0" w:space="0" w:color="auto"/>
            <w:right w:val="none" w:sz="0" w:space="0" w:color="auto"/>
          </w:divBdr>
        </w:div>
        <w:div w:id="1070351367">
          <w:marLeft w:val="0"/>
          <w:marRight w:val="0"/>
          <w:marTop w:val="0"/>
          <w:marBottom w:val="160"/>
          <w:divBdr>
            <w:top w:val="none" w:sz="0" w:space="0" w:color="auto"/>
            <w:left w:val="none" w:sz="0" w:space="0" w:color="auto"/>
            <w:bottom w:val="none" w:sz="0" w:space="0" w:color="auto"/>
            <w:right w:val="none" w:sz="0" w:space="0" w:color="auto"/>
          </w:divBdr>
        </w:div>
      </w:divsChild>
    </w:div>
    <w:div w:id="1758791438">
      <w:bodyDiv w:val="1"/>
      <w:marLeft w:val="0"/>
      <w:marRight w:val="0"/>
      <w:marTop w:val="0"/>
      <w:marBottom w:val="0"/>
      <w:divBdr>
        <w:top w:val="none" w:sz="0" w:space="0" w:color="auto"/>
        <w:left w:val="none" w:sz="0" w:space="0" w:color="auto"/>
        <w:bottom w:val="none" w:sz="0" w:space="0" w:color="auto"/>
        <w:right w:val="none" w:sz="0" w:space="0" w:color="auto"/>
      </w:divBdr>
      <w:divsChild>
        <w:div w:id="903376258">
          <w:marLeft w:val="0"/>
          <w:marRight w:val="0"/>
          <w:marTop w:val="0"/>
          <w:marBottom w:val="0"/>
          <w:divBdr>
            <w:top w:val="none" w:sz="0" w:space="0" w:color="auto"/>
            <w:left w:val="none" w:sz="0" w:space="0" w:color="auto"/>
            <w:bottom w:val="none" w:sz="0" w:space="0" w:color="auto"/>
            <w:right w:val="none" w:sz="0" w:space="0" w:color="auto"/>
          </w:divBdr>
        </w:div>
        <w:div w:id="1223639201">
          <w:marLeft w:val="0"/>
          <w:marRight w:val="0"/>
          <w:marTop w:val="0"/>
          <w:marBottom w:val="0"/>
          <w:divBdr>
            <w:top w:val="none" w:sz="0" w:space="0" w:color="auto"/>
            <w:left w:val="none" w:sz="0" w:space="0" w:color="auto"/>
            <w:bottom w:val="none" w:sz="0" w:space="0" w:color="auto"/>
            <w:right w:val="none" w:sz="0" w:space="0" w:color="auto"/>
          </w:divBdr>
        </w:div>
      </w:divsChild>
    </w:div>
    <w:div w:id="1778871262">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manuales-guias-y-pliegos-tipo/manuales-y-guias/cartilla-para-incentivar-y-fortalecer-el-acceso-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ick.velasco@camara.gov.c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alejandro.sarmiento%40colombiacompra.gov.co%7C096eca3fdcca424ff1c708dcf932f947%7C7b09041e245149d08cb179d5e3d8c1be%7C0%7C0%7C638659244558824646%7CUnknown%7CTWFpbGZsb3d8eyJWIjoiMC4wLjAwMDAiLCJQIjoiV2luMzIiLCJBTiI6Ik1haWwiLCJXVCI6Mn0%3D%7C0%7C%7C%7C&amp;sdata=wljREfVw4zISdBPHSBRslpNs6oNA2nSWbhZEsUmEhf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sucop.gov.co%2Fentidades%2Fcolombiacompra%2FNormativa%3FIDNorma%3D18320&amp;data=05%7C02%7Calejandro.sarmiento%40colombiacompra.gov.co%7C096eca3fdcca424ff1c708dcf932f947%7C7b09041e245149d08cb179d5e3d8c1be%7C0%7C0%7C638659244558801027%7CUnknown%7CTWFpbGZsb3d8eyJWIjoiMC4wLjAwMDAiLCJQIjoiV2luMzIiLCJBTiI6Ik1haWwiLCJXVCI6Mn0%3D%7C0%7C%7C%7C&amp;sdata=SbKuj0s%2FEfLJuTG2C7AYVmH7eTUkIPEeuGsejbghhvA%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D6ED515-FD15-4AC0-A747-0E4596403440}"/>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FCEC23DD-FAD8-4178-B5BE-0BDC88B9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3241</Words>
  <Characters>17829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2024-11-13T20:36:00Z</dcterms:created>
  <dcterms:modified xsi:type="dcterms:W3CDTF">2024-11-14T16:15:00Z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