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2F6D" w14:textId="77777777" w:rsidR="0028758E" w:rsidRDefault="0028758E" w:rsidP="0028758E">
      <w:pPr>
        <w:spacing w:after="0" w:line="240" w:lineRule="auto"/>
        <w:rPr>
          <w:rFonts w:ascii="Verdana" w:eastAsia="Times New Roman" w:hAnsi="Verdana" w:cs="Arial"/>
          <w:color w:val="000000"/>
          <w:lang w:val="es-MX"/>
        </w:rPr>
      </w:pPr>
      <w:bookmarkStart w:id="0" w:name="_Hlk181088230"/>
    </w:p>
    <w:p w14:paraId="3D8BA2B3" w14:textId="77777777" w:rsidR="00E57206" w:rsidRPr="00DD357C" w:rsidRDefault="00E57206" w:rsidP="0028758E">
      <w:pPr>
        <w:spacing w:after="0" w:line="240" w:lineRule="auto"/>
        <w:rPr>
          <w:rFonts w:ascii="Verdana" w:eastAsia="Times New Roman" w:hAnsi="Verdana" w:cs="Arial"/>
          <w:color w:val="000000"/>
          <w:lang w:val="es-MX"/>
        </w:rPr>
      </w:pPr>
    </w:p>
    <w:p w14:paraId="68F6B02A" w14:textId="77777777" w:rsidR="00DD357C" w:rsidRPr="00DD357C" w:rsidRDefault="00DD357C" w:rsidP="00DD357C">
      <w:pPr>
        <w:widowControl w:val="0"/>
        <w:autoSpaceDE w:val="0"/>
        <w:autoSpaceDN w:val="0"/>
        <w:spacing w:before="120" w:after="0" w:line="276" w:lineRule="auto"/>
        <w:jc w:val="both"/>
        <w:rPr>
          <w:rFonts w:ascii="Verdana" w:eastAsia="Arial" w:hAnsi="Verdana" w:cs="Arial"/>
          <w:b/>
        </w:rPr>
      </w:pPr>
      <w:r w:rsidRPr="00DD357C">
        <w:rPr>
          <w:rFonts w:ascii="Verdana" w:eastAsia="Arial" w:hAnsi="Verdana" w:cs="Arial"/>
          <w:b/>
        </w:rPr>
        <w:t xml:space="preserve">CONTRATO DE ARRENDAMIENTO – Concepto – Elementos </w:t>
      </w:r>
    </w:p>
    <w:p w14:paraId="5AD12581" w14:textId="77777777" w:rsidR="00DD357C" w:rsidRPr="00DD357C" w:rsidRDefault="00DD357C" w:rsidP="00DD357C">
      <w:pPr>
        <w:widowControl w:val="0"/>
        <w:autoSpaceDE w:val="0"/>
        <w:autoSpaceDN w:val="0"/>
        <w:spacing w:before="120" w:after="0" w:line="276" w:lineRule="auto"/>
        <w:jc w:val="both"/>
        <w:rPr>
          <w:rFonts w:ascii="Verdana" w:hAnsi="Verdana" w:cs="Arial"/>
          <w:sz w:val="20"/>
          <w:szCs w:val="20"/>
          <w:lang w:val="es-ES"/>
        </w:rPr>
      </w:pPr>
      <w:r w:rsidRPr="00DD357C">
        <w:rPr>
          <w:rFonts w:ascii="Verdana" w:eastAsia="Arial" w:hAnsi="Verdana" w:cs="Arial"/>
          <w:bCs/>
          <w:sz w:val="20"/>
          <w:szCs w:val="20"/>
        </w:rPr>
        <w:t>El</w:t>
      </w:r>
      <w:r w:rsidRPr="00DD357C">
        <w:rPr>
          <w:rFonts w:ascii="Verdana" w:hAnsi="Verdana" w:cs="Arial"/>
          <w:sz w:val="20"/>
          <w:szCs w:val="20"/>
          <w:lang w:val="es-ES"/>
        </w:rPr>
        <w:t xml:space="preserve">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se obliga a concederle a otra –llamada arrendatario– el uso y goce de un bien, a cambio de una renta o canon. Por tanto, se diferencia del contrato de compraventa en que no opera una transferencia del dominio del bien cuyo uso y goce se entrega.</w:t>
      </w:r>
    </w:p>
    <w:p w14:paraId="2498B56F" w14:textId="77777777" w:rsidR="00DD357C" w:rsidRPr="00DD357C" w:rsidRDefault="00DD357C" w:rsidP="00DD357C">
      <w:pPr>
        <w:jc w:val="both"/>
        <w:rPr>
          <w:rFonts w:ascii="Verdana" w:hAnsi="Verdana" w:cs="Arial"/>
          <w:sz w:val="20"/>
          <w:szCs w:val="20"/>
          <w:lang w:val="es-ES"/>
        </w:rPr>
      </w:pPr>
    </w:p>
    <w:p w14:paraId="11752890" w14:textId="3D3B5225" w:rsidR="00DD357C" w:rsidRDefault="00DD357C" w:rsidP="00DD357C">
      <w:pPr>
        <w:jc w:val="both"/>
        <w:rPr>
          <w:rFonts w:ascii="Verdana" w:hAnsi="Verdana" w:cs="Arial"/>
          <w:sz w:val="20"/>
          <w:szCs w:val="20"/>
          <w:lang w:val="es-ES"/>
        </w:rPr>
      </w:pPr>
      <w:r w:rsidRPr="00DD357C">
        <w:rPr>
          <w:rFonts w:ascii="Verdana" w:hAnsi="Verdana" w:cs="Arial"/>
          <w:sz w:val="20"/>
          <w:szCs w:val="20"/>
          <w:lang w:val="es-ES"/>
        </w:rPr>
        <w:t xml:space="preserve">En cuanto a sus características, la doctrina ha indicado que el arrendamiento es un contrato: i) bilateral, pues ambas partes se obligan recíprocamente; </w:t>
      </w:r>
      <w:proofErr w:type="spellStart"/>
      <w:r w:rsidRPr="00DD357C">
        <w:rPr>
          <w:rFonts w:ascii="Verdana" w:hAnsi="Verdana" w:cs="Arial"/>
          <w:sz w:val="20"/>
          <w:szCs w:val="20"/>
          <w:lang w:val="es-ES"/>
        </w:rPr>
        <w:t>ii</w:t>
      </w:r>
      <w:proofErr w:type="spellEnd"/>
      <w:r w:rsidRPr="00DD357C">
        <w:rPr>
          <w:rFonts w:ascii="Verdana" w:hAnsi="Verdana" w:cs="Arial"/>
          <w:sz w:val="20"/>
          <w:szCs w:val="20"/>
          <w:lang w:val="es-ES"/>
        </w:rPr>
        <w:t xml:space="preserve">) consensual, dado que se perfecciona con el consentimiento ; </w:t>
      </w:r>
      <w:proofErr w:type="spellStart"/>
      <w:r w:rsidRPr="00DD357C">
        <w:rPr>
          <w:rFonts w:ascii="Verdana" w:hAnsi="Verdana" w:cs="Arial"/>
          <w:sz w:val="20"/>
          <w:szCs w:val="20"/>
          <w:lang w:val="es-ES"/>
        </w:rPr>
        <w:t>iii</w:t>
      </w:r>
      <w:proofErr w:type="spellEnd"/>
      <w:r w:rsidRPr="00DD357C">
        <w:rPr>
          <w:rFonts w:ascii="Verdana" w:hAnsi="Verdana" w:cs="Arial"/>
          <w:sz w:val="20"/>
          <w:szCs w:val="20"/>
          <w:lang w:val="es-ES"/>
        </w:rPr>
        <w:t xml:space="preserve">) oneroso, ya que ambas partes obtienen utilidades –el arrendatario, el uso y goce del bien, y el arrendador la renta o canon–; </w:t>
      </w:r>
      <w:proofErr w:type="spellStart"/>
      <w:r w:rsidRPr="00DD357C">
        <w:rPr>
          <w:rFonts w:ascii="Verdana" w:hAnsi="Verdana" w:cs="Arial"/>
          <w:sz w:val="20"/>
          <w:szCs w:val="20"/>
          <w:lang w:val="es-ES"/>
        </w:rPr>
        <w:t>iv</w:t>
      </w:r>
      <w:proofErr w:type="spellEnd"/>
      <w:r w:rsidRPr="00DD357C">
        <w:rPr>
          <w:rFonts w:ascii="Verdana" w:hAnsi="Verdana" w:cs="Arial"/>
          <w:sz w:val="20"/>
          <w:szCs w:val="20"/>
          <w:lang w:val="es-ES"/>
        </w:rPr>
        <w:t>) de ejecución sucesiva, en la medida en que se ejecuta en forma periódica; v) principal, porque existe en forma autónoma; y v) nominado, porque está tipificado y desarrollado en la ley</w:t>
      </w:r>
    </w:p>
    <w:p w14:paraId="48156B22" w14:textId="77777777" w:rsidR="00E57206" w:rsidRDefault="00E57206" w:rsidP="0028758E">
      <w:pPr>
        <w:spacing w:after="0" w:line="240" w:lineRule="auto"/>
        <w:rPr>
          <w:rFonts w:ascii="Verdana" w:eastAsia="Times New Roman" w:hAnsi="Verdana" w:cs="Arial"/>
          <w:color w:val="000000"/>
          <w:lang w:val="es-MX"/>
        </w:rPr>
      </w:pPr>
    </w:p>
    <w:p w14:paraId="527E470D" w14:textId="77777777" w:rsidR="00795CD0" w:rsidRPr="00D42270" w:rsidRDefault="00795CD0" w:rsidP="00795CD0">
      <w:pPr>
        <w:widowControl w:val="0"/>
        <w:autoSpaceDE w:val="0"/>
        <w:autoSpaceDN w:val="0"/>
        <w:spacing w:before="120" w:after="0" w:line="276" w:lineRule="auto"/>
        <w:jc w:val="both"/>
        <w:rPr>
          <w:rFonts w:ascii="Verdana" w:eastAsia="Arial" w:hAnsi="Verdana" w:cs="Arial"/>
          <w:b/>
        </w:rPr>
      </w:pPr>
      <w:r w:rsidRPr="00D42270">
        <w:rPr>
          <w:rFonts w:ascii="Verdana" w:eastAsia="Calibri" w:hAnsi="Verdana" w:cs="Arial"/>
          <w:b/>
          <w:bCs/>
          <w:color w:val="000000" w:themeColor="text1"/>
          <w:lang w:val="es-ES_tradnl"/>
        </w:rPr>
        <w:t xml:space="preserve">SEGURIDAD SOCIAL </w:t>
      </w:r>
      <w:r w:rsidRPr="00D42270">
        <w:rPr>
          <w:rFonts w:ascii="Verdana" w:eastAsia="Calibri" w:hAnsi="Verdana" w:cs="Arial"/>
          <w:b/>
          <w:color w:val="000000" w:themeColor="text1"/>
        </w:rPr>
        <w:t>–</w:t>
      </w:r>
      <w:r w:rsidRPr="00D42270">
        <w:rPr>
          <w:rFonts w:ascii="Verdana" w:eastAsia="Calibri" w:hAnsi="Verdana" w:cs="Arial"/>
          <w:b/>
          <w:bCs/>
          <w:color w:val="000000" w:themeColor="text1"/>
          <w:lang w:val="es-ES_tradnl"/>
        </w:rPr>
        <w:t xml:space="preserve"> Verificación </w:t>
      </w:r>
      <w:r w:rsidRPr="00D42270">
        <w:rPr>
          <w:rFonts w:ascii="Verdana" w:eastAsia="Calibri" w:hAnsi="Verdana" w:cs="Arial"/>
          <w:b/>
          <w:color w:val="000000" w:themeColor="text1"/>
        </w:rPr>
        <w:t>–</w:t>
      </w:r>
      <w:r w:rsidRPr="00D42270">
        <w:rPr>
          <w:rFonts w:ascii="Verdana" w:eastAsia="Calibri" w:hAnsi="Verdana" w:cs="Arial"/>
          <w:b/>
          <w:bCs/>
          <w:color w:val="000000" w:themeColor="text1"/>
          <w:lang w:val="es-ES_tradnl"/>
        </w:rPr>
        <w:t xml:space="preserve"> Pago de aportes parafiscales </w:t>
      </w:r>
      <w:r w:rsidRPr="00D42270">
        <w:rPr>
          <w:rFonts w:ascii="Verdana" w:eastAsia="Calibri" w:hAnsi="Verdana" w:cs="Arial"/>
          <w:b/>
          <w:color w:val="000000" w:themeColor="text1"/>
        </w:rPr>
        <w:t>–</w:t>
      </w:r>
      <w:r w:rsidRPr="00D42270">
        <w:rPr>
          <w:rFonts w:ascii="Verdana" w:eastAsia="Calibri" w:hAnsi="Verdana" w:cs="Arial"/>
          <w:b/>
          <w:bCs/>
          <w:color w:val="000000" w:themeColor="text1"/>
          <w:lang w:val="es-ES_tradnl"/>
        </w:rPr>
        <w:t xml:space="preserve"> </w:t>
      </w:r>
      <w:r w:rsidRPr="00D42270">
        <w:rPr>
          <w:rFonts w:ascii="Verdana" w:eastAsia="Arial" w:hAnsi="Verdana" w:cs="Arial"/>
          <w:b/>
        </w:rPr>
        <w:t>Persona natural – Persona jurídica</w:t>
      </w:r>
    </w:p>
    <w:p w14:paraId="5178A93E" w14:textId="77777777" w:rsidR="00795CD0" w:rsidRPr="00872FC5" w:rsidRDefault="00795CD0" w:rsidP="00795CD0">
      <w:pPr>
        <w:widowControl w:val="0"/>
        <w:autoSpaceDE w:val="0"/>
        <w:autoSpaceDN w:val="0"/>
        <w:spacing w:before="120" w:after="0" w:line="276" w:lineRule="auto"/>
        <w:jc w:val="both"/>
        <w:rPr>
          <w:rFonts w:ascii="Verdana" w:hAnsi="Verdana" w:cs="Arial"/>
          <w:color w:val="000000" w:themeColor="text1"/>
          <w:sz w:val="20"/>
          <w:szCs w:val="20"/>
          <w:lang w:val="es-ES_tradnl"/>
        </w:rPr>
      </w:pPr>
      <w:r w:rsidRPr="00D42270">
        <w:rPr>
          <w:rFonts w:ascii="Verdana" w:eastAsia="Arial" w:hAnsi="Verdana" w:cs="Arial"/>
          <w:bCs/>
        </w:rPr>
        <w:t>[…]</w:t>
      </w:r>
      <w:r w:rsidRPr="00D42270">
        <w:rPr>
          <w:rFonts w:ascii="Verdana" w:hAnsi="Verdana" w:cs="Arial"/>
          <w:bCs/>
          <w:color w:val="000000" w:themeColor="text1"/>
          <w:sz w:val="20"/>
          <w:szCs w:val="20"/>
          <w:lang w:val="es-ES_tradnl"/>
        </w:rPr>
        <w:t xml:space="preserve"> la</w:t>
      </w:r>
      <w:r w:rsidRPr="00872FC5">
        <w:rPr>
          <w:rFonts w:ascii="Verdana" w:hAnsi="Verdana" w:cs="Arial"/>
          <w:color w:val="000000" w:themeColor="text1"/>
          <w:sz w:val="20"/>
          <w:szCs w:val="20"/>
          <w:lang w:val="es-ES_tradnl"/>
        </w:rPr>
        <w:t xml:space="preserve"> verificación de los aportes al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872FC5">
        <w:rPr>
          <w:rFonts w:ascii="Verdana" w:hAnsi="Verdana" w:cs="Arial"/>
          <w:color w:val="000000" w:themeColor="text1"/>
          <w:sz w:val="20"/>
          <w:szCs w:val="20"/>
          <w:lang w:val="es-ES_tradnl"/>
        </w:rPr>
        <w:t>ii</w:t>
      </w:r>
      <w:proofErr w:type="spellEnd"/>
      <w:r w:rsidRPr="00872FC5">
        <w:rPr>
          <w:rFonts w:ascii="Verdana" w:hAnsi="Verdana" w:cs="Arial"/>
          <w:color w:val="000000" w:themeColor="text1"/>
          <w:sz w:val="20"/>
          <w:szCs w:val="20"/>
          <w:lang w:val="es-ES_tradnl"/>
        </w:rPr>
        <w:t>)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w:t>
      </w:r>
    </w:p>
    <w:p w14:paraId="5AB67B0E" w14:textId="77777777" w:rsidR="00E57206" w:rsidRPr="00795CD0" w:rsidRDefault="00E57206" w:rsidP="0028758E">
      <w:pPr>
        <w:spacing w:after="0" w:line="240" w:lineRule="auto"/>
        <w:rPr>
          <w:rFonts w:ascii="Verdana" w:eastAsia="Times New Roman" w:hAnsi="Verdana" w:cs="Arial"/>
          <w:color w:val="000000"/>
          <w:lang w:val="es-ES_tradnl"/>
        </w:rPr>
      </w:pPr>
    </w:p>
    <w:p w14:paraId="5FE1C449" w14:textId="77777777" w:rsidR="00E57206" w:rsidRDefault="00E57206" w:rsidP="0028758E">
      <w:pPr>
        <w:spacing w:after="0" w:line="240" w:lineRule="auto"/>
        <w:rPr>
          <w:rFonts w:ascii="Verdana" w:eastAsia="Times New Roman" w:hAnsi="Verdana" w:cs="Arial"/>
          <w:color w:val="000000"/>
          <w:lang w:val="es-MX"/>
        </w:rPr>
      </w:pPr>
    </w:p>
    <w:p w14:paraId="2C72A3F1" w14:textId="77777777" w:rsidR="00E57206" w:rsidRDefault="00E57206" w:rsidP="0028758E">
      <w:pPr>
        <w:spacing w:after="0" w:line="240" w:lineRule="auto"/>
        <w:rPr>
          <w:rFonts w:ascii="Verdana" w:eastAsia="Times New Roman" w:hAnsi="Verdana" w:cs="Arial"/>
          <w:color w:val="000000"/>
          <w:lang w:val="es-MX"/>
        </w:rPr>
      </w:pPr>
    </w:p>
    <w:p w14:paraId="622E2EEF" w14:textId="77777777" w:rsidR="00E57206" w:rsidRDefault="00E57206" w:rsidP="0028758E">
      <w:pPr>
        <w:spacing w:after="0" w:line="240" w:lineRule="auto"/>
        <w:rPr>
          <w:rFonts w:ascii="Verdana" w:eastAsia="Times New Roman" w:hAnsi="Verdana" w:cs="Arial"/>
          <w:color w:val="000000"/>
          <w:lang w:val="es-MX"/>
        </w:rPr>
      </w:pPr>
    </w:p>
    <w:p w14:paraId="3908403C" w14:textId="77777777" w:rsidR="00E57206" w:rsidRDefault="00E57206" w:rsidP="0028758E">
      <w:pPr>
        <w:spacing w:after="0" w:line="240" w:lineRule="auto"/>
        <w:rPr>
          <w:rFonts w:ascii="Verdana" w:eastAsia="Times New Roman" w:hAnsi="Verdana" w:cs="Arial"/>
          <w:color w:val="000000"/>
          <w:lang w:val="es-MX"/>
        </w:rPr>
      </w:pPr>
    </w:p>
    <w:p w14:paraId="4F5992A5" w14:textId="77777777" w:rsidR="00E57206" w:rsidRDefault="00E57206" w:rsidP="0028758E">
      <w:pPr>
        <w:spacing w:after="0" w:line="240" w:lineRule="auto"/>
        <w:rPr>
          <w:rFonts w:ascii="Verdana" w:eastAsia="Times New Roman" w:hAnsi="Verdana" w:cs="Arial"/>
          <w:color w:val="000000"/>
          <w:lang w:val="es-MX"/>
        </w:rPr>
      </w:pPr>
    </w:p>
    <w:p w14:paraId="67989523" w14:textId="77777777" w:rsidR="00E57206" w:rsidRDefault="00E57206" w:rsidP="0028758E">
      <w:pPr>
        <w:spacing w:after="0" w:line="240" w:lineRule="auto"/>
        <w:rPr>
          <w:rFonts w:ascii="Verdana" w:eastAsia="Times New Roman" w:hAnsi="Verdana" w:cs="Arial"/>
          <w:color w:val="000000"/>
          <w:lang w:val="es-MX"/>
        </w:rPr>
      </w:pPr>
    </w:p>
    <w:p w14:paraId="4AE72DAB" w14:textId="77777777" w:rsidR="00E57206" w:rsidRDefault="00E57206" w:rsidP="0028758E">
      <w:pPr>
        <w:spacing w:after="0" w:line="240" w:lineRule="auto"/>
        <w:rPr>
          <w:rFonts w:ascii="Verdana" w:eastAsia="Times New Roman" w:hAnsi="Verdana" w:cs="Arial"/>
          <w:color w:val="000000"/>
          <w:lang w:val="es-MX"/>
        </w:rPr>
      </w:pPr>
    </w:p>
    <w:p w14:paraId="3C643E79" w14:textId="77777777" w:rsidR="00E57206" w:rsidRDefault="00E57206" w:rsidP="0028758E">
      <w:pPr>
        <w:spacing w:after="0" w:line="240" w:lineRule="auto"/>
        <w:rPr>
          <w:rFonts w:ascii="Verdana" w:eastAsia="Times New Roman" w:hAnsi="Verdana" w:cs="Arial"/>
          <w:color w:val="000000"/>
          <w:lang w:val="es-MX"/>
        </w:rPr>
      </w:pPr>
    </w:p>
    <w:p w14:paraId="3A4961E4" w14:textId="77777777" w:rsidR="00E57206" w:rsidRDefault="00E57206" w:rsidP="0028758E">
      <w:pPr>
        <w:spacing w:after="0" w:line="240" w:lineRule="auto"/>
        <w:rPr>
          <w:rFonts w:ascii="Verdana" w:eastAsia="Times New Roman" w:hAnsi="Verdana" w:cs="Arial"/>
          <w:color w:val="000000"/>
          <w:lang w:val="es-MX"/>
        </w:rPr>
      </w:pPr>
    </w:p>
    <w:p w14:paraId="4221B06B" w14:textId="77777777" w:rsidR="00E57206" w:rsidRDefault="00E57206" w:rsidP="0028758E">
      <w:pPr>
        <w:spacing w:after="0" w:line="240" w:lineRule="auto"/>
        <w:rPr>
          <w:rFonts w:ascii="Verdana" w:eastAsia="Times New Roman" w:hAnsi="Verdana" w:cs="Arial"/>
          <w:color w:val="000000"/>
          <w:lang w:val="es-MX"/>
        </w:rPr>
      </w:pPr>
    </w:p>
    <w:p w14:paraId="591CA738" w14:textId="77777777" w:rsidR="00E57206" w:rsidRDefault="00E57206" w:rsidP="0028758E">
      <w:pPr>
        <w:spacing w:after="0" w:line="240" w:lineRule="auto"/>
        <w:rPr>
          <w:rFonts w:ascii="Verdana" w:eastAsia="Times New Roman" w:hAnsi="Verdana" w:cs="Arial"/>
          <w:color w:val="000000"/>
          <w:lang w:val="es-MX"/>
        </w:rPr>
      </w:pPr>
    </w:p>
    <w:p w14:paraId="53A960A3" w14:textId="77777777" w:rsidR="00E57206" w:rsidRDefault="00E57206" w:rsidP="0028758E">
      <w:pPr>
        <w:spacing w:after="0" w:line="240" w:lineRule="auto"/>
        <w:rPr>
          <w:rFonts w:ascii="Verdana" w:eastAsia="Times New Roman" w:hAnsi="Verdana" w:cs="Arial"/>
          <w:color w:val="000000"/>
          <w:lang w:val="es-MX"/>
        </w:rPr>
      </w:pPr>
    </w:p>
    <w:p w14:paraId="5ECEB56D" w14:textId="77777777" w:rsidR="00E57206" w:rsidRDefault="00E57206" w:rsidP="0028758E">
      <w:pPr>
        <w:spacing w:after="0" w:line="240" w:lineRule="auto"/>
        <w:rPr>
          <w:rFonts w:ascii="Verdana" w:eastAsia="Times New Roman" w:hAnsi="Verdana" w:cs="Arial"/>
          <w:color w:val="000000"/>
          <w:lang w:val="es-MX"/>
        </w:rPr>
      </w:pPr>
    </w:p>
    <w:p w14:paraId="61624190" w14:textId="77777777" w:rsidR="00E57206" w:rsidRDefault="00E57206" w:rsidP="0028758E">
      <w:pPr>
        <w:spacing w:after="0" w:line="240" w:lineRule="auto"/>
        <w:rPr>
          <w:rFonts w:ascii="Verdana" w:eastAsia="Times New Roman" w:hAnsi="Verdana" w:cs="Arial"/>
          <w:color w:val="000000"/>
          <w:lang w:val="es-MX"/>
        </w:rPr>
      </w:pPr>
    </w:p>
    <w:p w14:paraId="15F8BB94" w14:textId="77777777" w:rsidR="00E57206" w:rsidRDefault="00E57206" w:rsidP="0028758E">
      <w:pPr>
        <w:spacing w:after="0" w:line="240" w:lineRule="auto"/>
        <w:rPr>
          <w:rFonts w:ascii="Verdana" w:eastAsia="Times New Roman" w:hAnsi="Verdana" w:cs="Arial"/>
          <w:color w:val="000000"/>
          <w:lang w:val="es-MX"/>
        </w:rPr>
      </w:pPr>
    </w:p>
    <w:p w14:paraId="0DC09255" w14:textId="77777777" w:rsidR="00E57206" w:rsidRDefault="00E57206" w:rsidP="0028758E">
      <w:pPr>
        <w:spacing w:after="0" w:line="240" w:lineRule="auto"/>
        <w:rPr>
          <w:rFonts w:ascii="Verdana" w:eastAsia="Times New Roman" w:hAnsi="Verdana" w:cs="Arial"/>
          <w:color w:val="000000"/>
          <w:lang w:val="es-MX"/>
        </w:rPr>
      </w:pPr>
    </w:p>
    <w:p w14:paraId="1D3DA9E0" w14:textId="2A4FAB9A" w:rsidR="00E22F2D" w:rsidRDefault="00E22F2D" w:rsidP="0028758E">
      <w:pPr>
        <w:spacing w:after="0" w:line="240" w:lineRule="auto"/>
        <w:jc w:val="both"/>
        <w:rPr>
          <w:rFonts w:ascii="Verdana" w:eastAsia="Times New Roman" w:hAnsi="Verdana" w:cs="Arial"/>
          <w:color w:val="000000"/>
          <w:lang w:val="es-ES"/>
        </w:rPr>
      </w:pPr>
      <w:r w:rsidRPr="00E22F2D">
        <w:rPr>
          <w:rFonts w:ascii="Verdana" w:eastAsia="Times New Roman" w:hAnsi="Verdana" w:cs="Arial"/>
          <w:color w:val="000000"/>
        </w:rPr>
        <w:t>Bogotá D.C., 29 de Octubre de 2024</w:t>
      </w:r>
    </w:p>
    <w:p w14:paraId="6596E829" w14:textId="7C993971" w:rsidR="0028758E" w:rsidRPr="00B05F99" w:rsidRDefault="00326FBF" w:rsidP="0028758E">
      <w:pPr>
        <w:spacing w:after="0" w:line="240" w:lineRule="auto"/>
        <w:jc w:val="both"/>
        <w:rPr>
          <w:rFonts w:ascii="Verdana" w:eastAsia="Times New Roman" w:hAnsi="Verdana" w:cs="Arial"/>
          <w:color w:val="000000"/>
          <w:lang w:val="es-ES"/>
        </w:rPr>
      </w:pPr>
      <w:r w:rsidRPr="008D49B5">
        <w:rPr>
          <w:rFonts w:ascii="Verdana" w:eastAsia="Times New Roman" w:hAnsi="Verdana" w:cs="Arial"/>
          <w:noProof/>
          <w:color w:val="000000"/>
          <w:lang w:val="es-ES" w:eastAsia="es-ES"/>
        </w:rPr>
        <w:drawing>
          <wp:anchor distT="0" distB="0" distL="114300" distR="114300" simplePos="0" relativeHeight="251658240" behindDoc="1" locked="0" layoutInCell="1" allowOverlap="1" wp14:anchorId="296F7817" wp14:editId="762FF183">
            <wp:simplePos x="0" y="0"/>
            <wp:positionH relativeFrom="column">
              <wp:posOffset>1958340</wp:posOffset>
            </wp:positionH>
            <wp:positionV relativeFrom="paragraph">
              <wp:posOffset>156210</wp:posOffset>
            </wp:positionV>
            <wp:extent cx="3876675" cy="1143000"/>
            <wp:effectExtent l="0" t="0" r="9525" b="0"/>
            <wp:wrapTight wrapText="bothSides">
              <wp:wrapPolygon edited="0">
                <wp:start x="0" y="0"/>
                <wp:lineTo x="0" y="21240"/>
                <wp:lineTo x="21547" y="21240"/>
                <wp:lineTo x="21547" y="0"/>
                <wp:lineTo x="0" y="0"/>
              </wp:wrapPolygon>
            </wp:wrapTight>
            <wp:docPr id="891739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1143000"/>
                    </a:xfrm>
                    <a:prstGeom prst="rect">
                      <a:avLst/>
                    </a:prstGeom>
                    <a:noFill/>
                    <a:ln>
                      <a:noFill/>
                    </a:ln>
                  </pic:spPr>
                </pic:pic>
              </a:graphicData>
            </a:graphic>
          </wp:anchor>
        </w:drawing>
      </w:r>
    </w:p>
    <w:p w14:paraId="69555DA9" w14:textId="5196993C" w:rsidR="0028758E" w:rsidRDefault="0028758E" w:rsidP="0028758E">
      <w:pPr>
        <w:spacing w:after="0" w:line="240" w:lineRule="auto"/>
        <w:jc w:val="both"/>
        <w:rPr>
          <w:rFonts w:ascii="Verdana" w:eastAsia="Times New Roman" w:hAnsi="Verdana" w:cs="Arial"/>
          <w:color w:val="000000"/>
          <w:lang w:val="es-ES" w:eastAsia="es-ES"/>
        </w:rPr>
      </w:pPr>
    </w:p>
    <w:p w14:paraId="7415F825" w14:textId="1F2C9941" w:rsidR="008D49B5" w:rsidRDefault="008D49B5" w:rsidP="0028758E">
      <w:pPr>
        <w:spacing w:after="0" w:line="240" w:lineRule="auto"/>
        <w:jc w:val="both"/>
        <w:rPr>
          <w:rFonts w:ascii="Verdana" w:eastAsia="Times New Roman" w:hAnsi="Verdana" w:cs="Arial"/>
          <w:color w:val="000000"/>
          <w:lang w:val="es-ES" w:eastAsia="es-ES"/>
        </w:rPr>
      </w:pPr>
    </w:p>
    <w:p w14:paraId="182653E5" w14:textId="47DAD577" w:rsidR="008D49B5" w:rsidRDefault="008D49B5" w:rsidP="0028758E">
      <w:pPr>
        <w:spacing w:after="0" w:line="240" w:lineRule="auto"/>
        <w:jc w:val="both"/>
        <w:rPr>
          <w:rFonts w:ascii="Verdana" w:eastAsia="Times New Roman" w:hAnsi="Verdana" w:cs="Arial"/>
          <w:color w:val="000000"/>
          <w:lang w:val="es-ES" w:eastAsia="es-ES"/>
        </w:rPr>
      </w:pPr>
    </w:p>
    <w:p w14:paraId="242E30ED" w14:textId="3399DA85" w:rsidR="008D49B5" w:rsidRDefault="008D49B5" w:rsidP="0028758E">
      <w:pPr>
        <w:spacing w:after="0" w:line="240" w:lineRule="auto"/>
        <w:jc w:val="both"/>
        <w:rPr>
          <w:rFonts w:ascii="Verdana" w:eastAsia="Times New Roman" w:hAnsi="Verdana" w:cs="Arial"/>
          <w:color w:val="000000"/>
          <w:lang w:val="es-ES" w:eastAsia="es-ES"/>
        </w:rPr>
      </w:pPr>
    </w:p>
    <w:p w14:paraId="76115DBC" w14:textId="1B787461" w:rsidR="008D49B5" w:rsidRDefault="008D49B5" w:rsidP="0028758E">
      <w:pPr>
        <w:spacing w:after="0" w:line="240" w:lineRule="auto"/>
        <w:jc w:val="both"/>
        <w:rPr>
          <w:rFonts w:ascii="Verdana" w:eastAsia="Times New Roman" w:hAnsi="Verdana" w:cs="Arial"/>
          <w:color w:val="000000"/>
          <w:lang w:val="es-ES" w:eastAsia="es-ES"/>
        </w:rPr>
      </w:pPr>
    </w:p>
    <w:p w14:paraId="7C52B38E" w14:textId="0C05BC37" w:rsidR="008D49B5" w:rsidRDefault="008D49B5" w:rsidP="0028758E">
      <w:pPr>
        <w:spacing w:after="0" w:line="240" w:lineRule="auto"/>
        <w:jc w:val="both"/>
        <w:rPr>
          <w:rFonts w:ascii="Verdana" w:eastAsia="Times New Roman" w:hAnsi="Verdana" w:cs="Arial"/>
          <w:color w:val="000000"/>
          <w:lang w:val="es-ES" w:eastAsia="es-ES"/>
        </w:rPr>
      </w:pPr>
    </w:p>
    <w:p w14:paraId="425BAE71" w14:textId="77777777" w:rsidR="008D49B5" w:rsidRDefault="008D49B5" w:rsidP="0028758E">
      <w:pPr>
        <w:spacing w:after="0" w:line="240" w:lineRule="auto"/>
        <w:jc w:val="both"/>
        <w:rPr>
          <w:rFonts w:ascii="Verdana" w:eastAsia="Times New Roman" w:hAnsi="Verdana" w:cs="Arial"/>
          <w:color w:val="000000"/>
          <w:lang w:val="es-ES" w:eastAsia="es-ES"/>
        </w:rPr>
      </w:pPr>
    </w:p>
    <w:p w14:paraId="7BE5E536" w14:textId="702A50A9" w:rsidR="008D49B5" w:rsidRPr="00B05F99" w:rsidRDefault="008D49B5" w:rsidP="0028758E">
      <w:pPr>
        <w:spacing w:after="0" w:line="240" w:lineRule="auto"/>
        <w:jc w:val="both"/>
        <w:rPr>
          <w:rFonts w:ascii="Verdana" w:eastAsia="Times New Roman" w:hAnsi="Verdana" w:cs="Arial"/>
          <w:color w:val="000000"/>
          <w:lang w:val="es-ES" w:eastAsia="es-ES"/>
        </w:rPr>
      </w:pPr>
    </w:p>
    <w:p w14:paraId="0AF70466" w14:textId="77777777" w:rsidR="0028758E" w:rsidRPr="00B05F99" w:rsidRDefault="0028758E" w:rsidP="0028758E">
      <w:pPr>
        <w:spacing w:after="0" w:line="240" w:lineRule="auto"/>
        <w:jc w:val="both"/>
        <w:rPr>
          <w:rFonts w:ascii="Verdana" w:eastAsia="Times New Roman" w:hAnsi="Verdana" w:cs="Arial"/>
          <w:color w:val="000000"/>
          <w:lang w:val="es-ES" w:eastAsia="es-ES"/>
        </w:rPr>
      </w:pPr>
      <w:r w:rsidRPr="00B05F99">
        <w:rPr>
          <w:rFonts w:ascii="Verdana" w:eastAsia="Times New Roman" w:hAnsi="Verdana" w:cs="Arial"/>
          <w:color w:val="000000"/>
          <w:lang w:val="es-ES" w:eastAsia="es-ES"/>
        </w:rPr>
        <w:t>Señora</w:t>
      </w:r>
    </w:p>
    <w:p w14:paraId="41707507" w14:textId="77777777" w:rsidR="0028758E" w:rsidRPr="00B05F99" w:rsidRDefault="0028758E" w:rsidP="0028758E">
      <w:pPr>
        <w:spacing w:after="0" w:line="240" w:lineRule="auto"/>
        <w:rPr>
          <w:rFonts w:ascii="Verdana" w:eastAsia="Times New Roman" w:hAnsi="Verdana" w:cs="Arial"/>
          <w:b/>
          <w:color w:val="000000"/>
          <w:lang w:val="es-ES_tradnl" w:eastAsia="es-ES_tradnl"/>
        </w:rPr>
      </w:pPr>
      <w:r w:rsidRPr="00B05F99">
        <w:rPr>
          <w:rFonts w:ascii="Verdana" w:eastAsia="Times New Roman" w:hAnsi="Verdana" w:cs="Arial"/>
          <w:b/>
          <w:color w:val="000000"/>
          <w:lang w:val="es-ES_tradnl" w:eastAsia="es-ES_tradnl"/>
        </w:rPr>
        <w:t xml:space="preserve">Laura Camila Ávila Ojeda </w:t>
      </w:r>
    </w:p>
    <w:p w14:paraId="12465B52" w14:textId="77777777" w:rsidR="0028758E" w:rsidRPr="00B05F99" w:rsidRDefault="0028758E" w:rsidP="0028758E">
      <w:pPr>
        <w:spacing w:after="0" w:line="240" w:lineRule="auto"/>
        <w:rPr>
          <w:rFonts w:ascii="Verdana" w:eastAsia="Times New Roman" w:hAnsi="Verdana" w:cs="Calibri"/>
          <w:color w:val="000000"/>
          <w:lang w:eastAsia="es-CO"/>
        </w:rPr>
      </w:pPr>
      <w:hyperlink r:id="rId8" w:history="1">
        <w:r w:rsidRPr="00B05F99">
          <w:rPr>
            <w:rFonts w:ascii="Verdana" w:eastAsia="Times New Roman" w:hAnsi="Verdana" w:cs="Calibri"/>
            <w:color w:val="467886"/>
            <w:u w:val="single"/>
            <w:lang w:eastAsia="es-CO"/>
          </w:rPr>
          <w:t>avila-camy@hotmail.com</w:t>
        </w:r>
      </w:hyperlink>
    </w:p>
    <w:p w14:paraId="302A2119" w14:textId="77777777" w:rsidR="0028758E" w:rsidRPr="00B05F99" w:rsidRDefault="0028758E" w:rsidP="0028758E">
      <w:pPr>
        <w:spacing w:after="0" w:line="240" w:lineRule="auto"/>
        <w:rPr>
          <w:rFonts w:ascii="Verdana" w:eastAsia="Times New Roman" w:hAnsi="Verdana" w:cs="Arial"/>
          <w:b/>
          <w:bCs/>
          <w:color w:val="000000"/>
          <w:lang w:eastAsia="es-ES"/>
        </w:rPr>
      </w:pPr>
      <w:r w:rsidRPr="00B05F99">
        <w:rPr>
          <w:rFonts w:ascii="Verdana" w:eastAsia="Times New Roman" w:hAnsi="Verdana" w:cs="Arial"/>
          <w:color w:val="000000"/>
          <w:lang w:eastAsia="es-ES"/>
        </w:rPr>
        <w:t xml:space="preserve">Tunja, Boyacá </w:t>
      </w:r>
    </w:p>
    <w:p w14:paraId="5B447A6C" w14:textId="77777777" w:rsidR="0028758E" w:rsidRPr="00B05F99" w:rsidRDefault="0028758E" w:rsidP="0028758E">
      <w:pPr>
        <w:spacing w:after="0" w:line="240" w:lineRule="auto"/>
        <w:rPr>
          <w:rFonts w:ascii="Verdana" w:eastAsia="Times New Roman" w:hAnsi="Verdana" w:cs="Arial"/>
          <w:b/>
          <w:bCs/>
          <w:color w:val="000000"/>
          <w:lang w:eastAsia="es-ES_tradnl"/>
        </w:rPr>
      </w:pPr>
    </w:p>
    <w:p w14:paraId="6D195FDE" w14:textId="77777777" w:rsidR="0028758E" w:rsidRPr="00B05F99" w:rsidRDefault="0028758E" w:rsidP="0028758E">
      <w:pPr>
        <w:spacing w:after="0" w:line="240" w:lineRule="auto"/>
        <w:rPr>
          <w:rFonts w:ascii="Verdana" w:eastAsia="Times New Roman" w:hAnsi="Verdana" w:cs="Arial"/>
          <w:b/>
          <w:bCs/>
          <w:color w:val="000000"/>
          <w:lang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8758E" w:rsidRPr="00B05F99" w14:paraId="0E95A7B2" w14:textId="77777777" w:rsidTr="00400EB4">
        <w:trPr>
          <w:trHeight w:val="884"/>
        </w:trPr>
        <w:tc>
          <w:tcPr>
            <w:tcW w:w="2689" w:type="dxa"/>
          </w:tcPr>
          <w:p w14:paraId="017FB14D" w14:textId="77777777" w:rsidR="0028758E" w:rsidRPr="00B05F99" w:rsidRDefault="0028758E" w:rsidP="00400EB4">
            <w:pPr>
              <w:jc w:val="both"/>
              <w:rPr>
                <w:rFonts w:ascii="Verdana" w:hAnsi="Verdana" w:cs="Arial"/>
                <w:b/>
                <w:bCs/>
                <w:color w:val="000000"/>
                <w:lang w:eastAsia="es-ES_tradnl"/>
              </w:rPr>
            </w:pPr>
          </w:p>
        </w:tc>
        <w:tc>
          <w:tcPr>
            <w:tcW w:w="6100" w:type="dxa"/>
          </w:tcPr>
          <w:p w14:paraId="1AC18EF2" w14:textId="77777777" w:rsidR="0028758E" w:rsidRPr="00B05F99" w:rsidRDefault="0028758E" w:rsidP="00400EB4">
            <w:pPr>
              <w:jc w:val="both"/>
              <w:rPr>
                <w:rFonts w:ascii="Verdana" w:hAnsi="Verdana" w:cs="Arial"/>
                <w:b/>
                <w:bCs/>
                <w:color w:val="000000"/>
                <w:lang w:val="es-ES" w:eastAsia="es-ES"/>
              </w:rPr>
            </w:pPr>
            <w:r w:rsidRPr="00B05F99">
              <w:rPr>
                <w:rFonts w:ascii="Verdana" w:hAnsi="Verdana" w:cs="Arial"/>
                <w:b/>
                <w:bCs/>
                <w:color w:val="000000"/>
                <w:lang w:val="es-ES" w:eastAsia="es-ES"/>
              </w:rPr>
              <w:t>Concepto C- 681 de 2024</w:t>
            </w:r>
          </w:p>
        </w:tc>
      </w:tr>
      <w:tr w:rsidR="0028758E" w:rsidRPr="00B05F99" w14:paraId="43995B05" w14:textId="77777777" w:rsidTr="00400EB4">
        <w:trPr>
          <w:trHeight w:val="884"/>
        </w:trPr>
        <w:tc>
          <w:tcPr>
            <w:tcW w:w="2689" w:type="dxa"/>
          </w:tcPr>
          <w:p w14:paraId="1E4F051C" w14:textId="77777777" w:rsidR="0028758E" w:rsidRPr="00B05F99" w:rsidRDefault="0028758E" w:rsidP="00400EB4">
            <w:pPr>
              <w:jc w:val="both"/>
              <w:rPr>
                <w:rFonts w:ascii="Verdana" w:hAnsi="Verdana" w:cs="Arial"/>
                <w:color w:val="000000"/>
                <w:lang w:val="es-ES_tradnl" w:eastAsia="es-ES_tradnl"/>
              </w:rPr>
            </w:pPr>
            <w:r w:rsidRPr="00B05F99">
              <w:rPr>
                <w:rFonts w:ascii="Verdana" w:hAnsi="Verdana" w:cs="Arial"/>
                <w:b/>
                <w:color w:val="000000"/>
                <w:lang w:val="es-ES_tradnl" w:eastAsia="es-ES_tradnl"/>
              </w:rPr>
              <w:t>Temas:</w:t>
            </w:r>
            <w:r w:rsidRPr="00B05F99">
              <w:rPr>
                <w:rFonts w:ascii="Verdana" w:hAnsi="Verdana" w:cs="Arial"/>
                <w:color w:val="000000"/>
                <w:lang w:val="es-ES_tradnl" w:eastAsia="es-ES_tradnl"/>
              </w:rPr>
              <w:t xml:space="preserve">                   </w:t>
            </w:r>
          </w:p>
        </w:tc>
        <w:tc>
          <w:tcPr>
            <w:tcW w:w="6100" w:type="dxa"/>
          </w:tcPr>
          <w:p w14:paraId="5883D029" w14:textId="77777777" w:rsidR="0028758E" w:rsidRPr="00B05F99" w:rsidRDefault="0028758E" w:rsidP="00400EB4">
            <w:pPr>
              <w:spacing w:line="276" w:lineRule="auto"/>
              <w:jc w:val="both"/>
              <w:rPr>
                <w:rFonts w:ascii="Verdana" w:hAnsi="Verdana" w:cs="Arial"/>
                <w:color w:val="000000"/>
                <w:lang w:val="es-ES" w:eastAsia="es-ES"/>
              </w:rPr>
            </w:pPr>
            <w:r w:rsidRPr="00B05F99">
              <w:rPr>
                <w:rFonts w:ascii="Verdana" w:hAnsi="Verdana" w:cs="Arial"/>
                <w:color w:val="000000"/>
                <w:lang w:val="es-ES" w:eastAsia="es-ES"/>
              </w:rPr>
              <w:t>CONTRATO DE ARRENDAMIENTO – Concepto – Elementos – Regulación / CONTRATO DE ARRENDAMIENTO – Seguridad social – SEGURIDAD SOCIAL – Verificación – Pago – Persona natural – Persona Jurídica</w:t>
            </w:r>
          </w:p>
          <w:p w14:paraId="53D593F1" w14:textId="77777777" w:rsidR="0028758E" w:rsidRPr="00B05F99" w:rsidRDefault="0028758E" w:rsidP="00400EB4">
            <w:pPr>
              <w:spacing w:line="276" w:lineRule="auto"/>
              <w:jc w:val="both"/>
              <w:rPr>
                <w:rFonts w:ascii="Verdana" w:hAnsi="Verdana" w:cs="Arial"/>
                <w:color w:val="000000"/>
                <w:lang w:val="es-ES" w:eastAsia="es-ES"/>
              </w:rPr>
            </w:pPr>
          </w:p>
        </w:tc>
      </w:tr>
      <w:tr w:rsidR="0028758E" w:rsidRPr="00B05F99" w14:paraId="65A804CA" w14:textId="77777777" w:rsidTr="00400EB4">
        <w:tc>
          <w:tcPr>
            <w:tcW w:w="2689" w:type="dxa"/>
          </w:tcPr>
          <w:p w14:paraId="6D4599D1" w14:textId="77777777" w:rsidR="0028758E" w:rsidRPr="00B05F99" w:rsidRDefault="0028758E" w:rsidP="00400EB4">
            <w:pPr>
              <w:jc w:val="both"/>
              <w:rPr>
                <w:rFonts w:ascii="Verdana" w:hAnsi="Verdana" w:cs="Arial"/>
                <w:b/>
                <w:color w:val="000000"/>
                <w:lang w:val="es-ES_tradnl" w:eastAsia="es-ES_tradnl"/>
              </w:rPr>
            </w:pPr>
            <w:r w:rsidRPr="00B05F99">
              <w:rPr>
                <w:rFonts w:ascii="Verdana" w:hAnsi="Verdana" w:cs="Arial"/>
                <w:b/>
                <w:color w:val="000000"/>
                <w:lang w:val="es-ES_tradnl" w:eastAsia="es-ES_tradnl"/>
              </w:rPr>
              <w:t>Radicación:</w:t>
            </w:r>
            <w:r w:rsidRPr="00B05F99">
              <w:rPr>
                <w:rFonts w:ascii="Verdana" w:hAnsi="Verdana" w:cs="Arial"/>
                <w:color w:val="000000"/>
                <w:lang w:val="es-ES_tradnl" w:eastAsia="es-ES_tradnl"/>
              </w:rPr>
              <w:t xml:space="preserve">               </w:t>
            </w:r>
          </w:p>
        </w:tc>
        <w:tc>
          <w:tcPr>
            <w:tcW w:w="6100" w:type="dxa"/>
          </w:tcPr>
          <w:p w14:paraId="222AE050" w14:textId="77777777" w:rsidR="0028758E" w:rsidRPr="00B05F99" w:rsidRDefault="0028758E" w:rsidP="00400EB4">
            <w:pPr>
              <w:jc w:val="both"/>
              <w:rPr>
                <w:rFonts w:ascii="Verdana" w:hAnsi="Verdana" w:cs="Arial"/>
                <w:color w:val="000000"/>
                <w:lang w:val="es-ES_tradnl" w:eastAsia="es-ES_tradnl"/>
              </w:rPr>
            </w:pPr>
            <w:r w:rsidRPr="00B05F99">
              <w:rPr>
                <w:rFonts w:ascii="Verdana" w:hAnsi="Verdana" w:cs="Arial"/>
                <w:color w:val="000000"/>
                <w:lang w:val="es-ES_tradnl" w:eastAsia="es-ES_tradnl"/>
              </w:rPr>
              <w:t xml:space="preserve">Respuesta a consulta con radicado No. </w:t>
            </w:r>
          </w:p>
          <w:p w14:paraId="61EC1A6D" w14:textId="77777777" w:rsidR="0028758E" w:rsidRPr="00B05F99" w:rsidRDefault="0028758E" w:rsidP="00400EB4">
            <w:pPr>
              <w:jc w:val="both"/>
              <w:rPr>
                <w:rFonts w:ascii="Verdana" w:hAnsi="Verdana" w:cs="Calibri"/>
                <w:color w:val="000000"/>
              </w:rPr>
            </w:pPr>
            <w:r w:rsidRPr="00B05F99">
              <w:rPr>
                <w:rFonts w:ascii="Verdana" w:hAnsi="Verdana" w:cs="Calibri"/>
                <w:color w:val="000000"/>
              </w:rPr>
              <w:t>P20241002010028</w:t>
            </w:r>
          </w:p>
          <w:p w14:paraId="39BEBEBC" w14:textId="77777777" w:rsidR="0028758E" w:rsidRPr="00B05F99" w:rsidRDefault="0028758E" w:rsidP="00400EB4">
            <w:pPr>
              <w:jc w:val="both"/>
              <w:rPr>
                <w:rFonts w:ascii="Verdana" w:hAnsi="Verdana" w:cs="Arial"/>
                <w:color w:val="000000"/>
                <w:lang w:val="es-ES_tradnl" w:eastAsia="es-ES_tradnl"/>
              </w:rPr>
            </w:pPr>
          </w:p>
        </w:tc>
      </w:tr>
    </w:tbl>
    <w:p w14:paraId="79CCB90F" w14:textId="77777777" w:rsidR="0028758E" w:rsidRPr="00B05F99" w:rsidRDefault="0028758E" w:rsidP="0028758E">
      <w:pPr>
        <w:spacing w:after="0" w:line="240" w:lineRule="auto"/>
        <w:jc w:val="both"/>
        <w:rPr>
          <w:rFonts w:ascii="Verdana" w:eastAsia="Times New Roman" w:hAnsi="Verdana" w:cs="Arial"/>
          <w:color w:val="000000"/>
          <w:lang w:val="es-ES_tradnl" w:eastAsia="es-ES_tradnl"/>
        </w:rPr>
      </w:pPr>
    </w:p>
    <w:p w14:paraId="3DE46212" w14:textId="77777777" w:rsidR="0028758E" w:rsidRPr="00B05F99" w:rsidRDefault="0028758E" w:rsidP="0028758E">
      <w:pPr>
        <w:spacing w:after="0" w:line="240" w:lineRule="auto"/>
        <w:jc w:val="both"/>
        <w:rPr>
          <w:rFonts w:ascii="Verdana" w:eastAsia="Times New Roman" w:hAnsi="Verdana" w:cs="Arial"/>
          <w:color w:val="000000"/>
          <w:lang w:val="es-ES_tradnl" w:eastAsia="es-ES_tradnl"/>
        </w:rPr>
      </w:pPr>
    </w:p>
    <w:p w14:paraId="7D931C7C" w14:textId="77777777" w:rsidR="0028758E" w:rsidRPr="00B05F99" w:rsidRDefault="0028758E" w:rsidP="0028758E">
      <w:pPr>
        <w:spacing w:after="0" w:line="276" w:lineRule="auto"/>
        <w:jc w:val="both"/>
        <w:rPr>
          <w:rFonts w:ascii="Verdana" w:eastAsia="Times New Roman" w:hAnsi="Verdana" w:cs="Arial"/>
          <w:color w:val="000000"/>
          <w:lang w:val="es-ES" w:eastAsia="es-ES"/>
        </w:rPr>
      </w:pPr>
      <w:r w:rsidRPr="00B05F99">
        <w:rPr>
          <w:rFonts w:ascii="Verdana" w:eastAsia="Times New Roman" w:hAnsi="Verdana" w:cs="Arial"/>
          <w:color w:val="000000"/>
          <w:lang w:val="es-ES" w:eastAsia="es-ES"/>
        </w:rPr>
        <w:t xml:space="preserve">Estimada señora Ávila:  </w:t>
      </w:r>
    </w:p>
    <w:p w14:paraId="0FB8B9FC" w14:textId="77777777" w:rsidR="0028758E" w:rsidRPr="00B05F99" w:rsidRDefault="0028758E" w:rsidP="0028758E">
      <w:pPr>
        <w:tabs>
          <w:tab w:val="left" w:pos="3768"/>
        </w:tabs>
        <w:spacing w:after="0" w:line="276" w:lineRule="auto"/>
        <w:jc w:val="both"/>
        <w:rPr>
          <w:rFonts w:ascii="Verdana" w:eastAsia="Times New Roman" w:hAnsi="Verdana" w:cs="Arial"/>
          <w:color w:val="000000"/>
          <w:lang w:val="es-ES" w:eastAsia="es-ES"/>
        </w:rPr>
      </w:pPr>
      <w:r w:rsidRPr="00B05F99">
        <w:rPr>
          <w:rFonts w:ascii="Verdana" w:eastAsia="Times New Roman" w:hAnsi="Verdana" w:cs="Arial"/>
          <w:color w:val="000000"/>
          <w:lang w:val="es-ES" w:eastAsia="es-ES"/>
        </w:rPr>
        <w:lastRenderedPageBreak/>
        <w:tab/>
      </w:r>
    </w:p>
    <w:p w14:paraId="3CC3B29E" w14:textId="77777777" w:rsidR="0028758E" w:rsidRPr="00B05F99" w:rsidRDefault="0028758E" w:rsidP="0028758E">
      <w:pPr>
        <w:spacing w:after="0" w:line="276" w:lineRule="auto"/>
        <w:jc w:val="both"/>
        <w:rPr>
          <w:rFonts w:ascii="Verdana" w:eastAsia="Times New Roman" w:hAnsi="Verdana" w:cs="Arial"/>
          <w:color w:val="000000"/>
          <w:lang w:val="es-ES" w:eastAsia="es-ES"/>
        </w:rPr>
      </w:pPr>
      <w:r w:rsidRPr="00B05F99">
        <w:rPr>
          <w:rFonts w:ascii="Verdana" w:eastAsia="Times New Roman" w:hAnsi="Verdana" w:cs="Arial"/>
          <w:color w:val="000000"/>
          <w:lang w:val="es-ES" w:eastAsia="es-ES"/>
        </w:rPr>
        <w:t>En ejercicio de la competencia otorgada por los artículos 3, numeral 5º, y 11, numeral 8º, del Decreto Ley 4170 de 2011,</w:t>
      </w:r>
      <w:r w:rsidRPr="00B05F99">
        <w:rPr>
          <w:rFonts w:ascii="Verdana" w:eastAsia="Times New Roman" w:hAnsi="Verdana" w:cs="Arial MT"/>
          <w:color w:val="000000"/>
          <w:lang w:val="es-ES" w:eastAsia="es-ES"/>
        </w:rPr>
        <w:t xml:space="preserve"> </w:t>
      </w:r>
      <w:r w:rsidRPr="00B05F99">
        <w:rPr>
          <w:rFonts w:ascii="Verdana" w:eastAsia="Times New Roman" w:hAnsi="Verdana" w:cs="Arial"/>
          <w:color w:val="000000"/>
        </w:rPr>
        <w:t xml:space="preserve">así como lo establecido en el artículo 4 de la Resolución 1707 de 2018 expedida por esta Entidad, </w:t>
      </w:r>
      <w:r w:rsidRPr="00B05F99">
        <w:rPr>
          <w:rFonts w:ascii="Verdana" w:eastAsia="Times New Roman" w:hAnsi="Verdana" w:cs="Arial"/>
          <w:color w:val="000000"/>
          <w:lang w:val="es-ES" w:eastAsia="es-ES"/>
        </w:rPr>
        <w:t xml:space="preserve">la Agencia Nacional de Contratación Pública – Colombia Compra Eficiente– responde su solicitud de consulta de fecha 01 de octubre de 2024, en la cual manifiesta lo siguiente: </w:t>
      </w:r>
    </w:p>
    <w:p w14:paraId="3AA82879" w14:textId="77777777" w:rsidR="0028758E" w:rsidRPr="00B05F99" w:rsidRDefault="0028758E" w:rsidP="0028758E">
      <w:pPr>
        <w:tabs>
          <w:tab w:val="left" w:pos="142"/>
          <w:tab w:val="left" w:pos="284"/>
        </w:tabs>
        <w:spacing w:line="276" w:lineRule="auto"/>
        <w:contextualSpacing/>
        <w:jc w:val="both"/>
        <w:rPr>
          <w:rFonts w:ascii="Verdana" w:eastAsia="Times New Roman" w:hAnsi="Verdana" w:cs="Century Gothic"/>
          <w:b/>
          <w:bCs/>
          <w:color w:val="000000"/>
          <w:lang w:val="es-ES"/>
        </w:rPr>
      </w:pPr>
    </w:p>
    <w:p w14:paraId="602571F6" w14:textId="77777777" w:rsidR="0028758E" w:rsidRPr="00B05F99" w:rsidRDefault="0028758E" w:rsidP="0028758E">
      <w:pPr>
        <w:spacing w:after="0" w:line="240" w:lineRule="auto"/>
        <w:ind w:left="709" w:right="709"/>
        <w:jc w:val="both"/>
        <w:rPr>
          <w:rFonts w:ascii="Verdana" w:eastAsia="Times New Roman" w:hAnsi="Verdana" w:cs="Century Gothic"/>
          <w:i/>
          <w:iCs/>
          <w:color w:val="000000"/>
          <w:sz w:val="20"/>
          <w:szCs w:val="20"/>
          <w:lang w:val="es-ES"/>
        </w:rPr>
      </w:pPr>
      <w:bookmarkStart w:id="1" w:name="_Hlk95313578"/>
      <w:r w:rsidRPr="00B05F99">
        <w:rPr>
          <w:rFonts w:ascii="Verdana" w:eastAsia="Times New Roman" w:hAnsi="Verdana" w:cs="Century Gothic"/>
          <w:i/>
          <w:iCs/>
          <w:color w:val="000000"/>
          <w:sz w:val="20"/>
          <w:szCs w:val="20"/>
          <w:lang w:val="es-ES"/>
        </w:rPr>
        <w:t>“</w:t>
      </w:r>
      <w:bookmarkEnd w:id="1"/>
      <w:r w:rsidRPr="00B05F99">
        <w:rPr>
          <w:rFonts w:ascii="Verdana" w:eastAsia="Times New Roman" w:hAnsi="Verdana" w:cs="Century Gothic"/>
          <w:i/>
          <w:iCs/>
          <w:color w:val="000000"/>
          <w:sz w:val="20"/>
          <w:szCs w:val="20"/>
          <w:lang w:val="es-ES"/>
        </w:rPr>
        <w:t xml:space="preserve">Una entidad territorial de sexta categoría pretende suscribir contrato de </w:t>
      </w:r>
    </w:p>
    <w:p w14:paraId="1791D990" w14:textId="77777777" w:rsidR="0028758E" w:rsidRPr="00B05F99" w:rsidRDefault="0028758E" w:rsidP="0028758E">
      <w:pPr>
        <w:spacing w:after="0" w:line="240" w:lineRule="auto"/>
        <w:ind w:left="709" w:right="709"/>
        <w:jc w:val="both"/>
        <w:rPr>
          <w:rFonts w:ascii="Verdana" w:eastAsia="Times New Roman" w:hAnsi="Verdana" w:cs="Century Gothic"/>
          <w:i/>
          <w:iCs/>
          <w:color w:val="000000"/>
          <w:sz w:val="20"/>
          <w:szCs w:val="20"/>
          <w:lang w:val="es-ES"/>
        </w:rPr>
      </w:pPr>
      <w:r w:rsidRPr="00B05F99">
        <w:rPr>
          <w:rFonts w:ascii="Verdana" w:eastAsia="Times New Roman" w:hAnsi="Verdana" w:cs="Century Gothic"/>
          <w:i/>
          <w:iCs/>
          <w:color w:val="000000"/>
          <w:sz w:val="20"/>
          <w:szCs w:val="20"/>
          <w:lang w:val="es-ES"/>
        </w:rPr>
        <w:t>arrendamiento con objeto de entregar a dicho título inmuebles municipales en favor de terceros; en los precitados contratos de arrendamiento, ¿deben efectuarse los respectivos aportes al Sistema General de Seguridad Social Integral, dado que quien funge como arrendador es el municipio y arrendatario personas naturales?”</w:t>
      </w:r>
    </w:p>
    <w:p w14:paraId="51543211" w14:textId="77777777" w:rsidR="0028758E" w:rsidRPr="00B05F99" w:rsidRDefault="0028758E" w:rsidP="0028758E">
      <w:pPr>
        <w:tabs>
          <w:tab w:val="left" w:pos="142"/>
          <w:tab w:val="left" w:pos="284"/>
        </w:tabs>
        <w:spacing w:line="276" w:lineRule="auto"/>
        <w:contextualSpacing/>
        <w:jc w:val="both"/>
        <w:rPr>
          <w:rFonts w:ascii="Verdana" w:eastAsia="Times New Roman" w:hAnsi="Verdana" w:cs="Century Gothic"/>
          <w:b/>
          <w:bCs/>
          <w:color w:val="000000"/>
          <w:lang w:val="es-ES"/>
        </w:rPr>
      </w:pPr>
    </w:p>
    <w:p w14:paraId="26119E54" w14:textId="77777777" w:rsidR="0028758E" w:rsidRPr="00B05F99" w:rsidRDefault="0028758E" w:rsidP="0028758E">
      <w:pPr>
        <w:spacing w:after="120" w:line="276" w:lineRule="auto"/>
        <w:ind w:firstLine="709"/>
        <w:jc w:val="both"/>
        <w:rPr>
          <w:rFonts w:ascii="Verdana" w:eastAsia="Times New Roman" w:hAnsi="Verdana" w:cs="Arial"/>
          <w:color w:val="000000"/>
          <w:szCs w:val="24"/>
          <w:lang w:val="es-ES_tradnl" w:eastAsia="es-ES_tradnl"/>
        </w:rPr>
      </w:pPr>
      <w:r w:rsidRPr="00B05F99">
        <w:rPr>
          <w:rFonts w:ascii="Verdana" w:eastAsia="Times New Roman"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05F99">
        <w:rPr>
          <w:rFonts w:ascii="Verdana" w:eastAsia="Times New Roman" w:hAnsi="Verdana" w:cs="Arial"/>
          <w:color w:val="000000"/>
          <w:szCs w:val="24"/>
          <w:lang w:val="es-ES_tradnl" w:eastAsia="es-ES_tradnl"/>
        </w:rPr>
        <w:tab/>
      </w:r>
    </w:p>
    <w:p w14:paraId="0CF3C26D" w14:textId="77777777" w:rsidR="0028758E" w:rsidRPr="00B05F99" w:rsidRDefault="0028758E" w:rsidP="0028758E">
      <w:pPr>
        <w:spacing w:after="0" w:line="276" w:lineRule="auto"/>
        <w:ind w:firstLine="709"/>
        <w:jc w:val="both"/>
        <w:rPr>
          <w:rFonts w:ascii="Verdana" w:eastAsia="Times New Roman" w:hAnsi="Verdana" w:cs="Arial"/>
          <w:color w:val="000000"/>
          <w:lang w:val="es-ES" w:eastAsia="es-ES"/>
        </w:rPr>
      </w:pPr>
      <w:r w:rsidRPr="00B05F99">
        <w:rPr>
          <w:rFonts w:ascii="Verdana" w:eastAsia="Times New Roman"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7E769521" w14:textId="77777777" w:rsidR="0028758E" w:rsidRPr="00B05F99" w:rsidRDefault="0028758E" w:rsidP="0028758E">
      <w:pPr>
        <w:spacing w:after="0" w:line="276" w:lineRule="auto"/>
        <w:ind w:firstLine="709"/>
        <w:jc w:val="both"/>
        <w:rPr>
          <w:rFonts w:ascii="Verdana" w:eastAsia="Times New Roman" w:hAnsi="Verdana" w:cs="Arial"/>
          <w:color w:val="000000"/>
          <w:lang w:val="es-ES" w:eastAsia="es-ES"/>
        </w:rPr>
      </w:pPr>
    </w:p>
    <w:p w14:paraId="26440269" w14:textId="77777777" w:rsidR="0028758E" w:rsidRPr="00B05F99" w:rsidRDefault="0028758E" w:rsidP="0028758E">
      <w:pPr>
        <w:numPr>
          <w:ilvl w:val="0"/>
          <w:numId w:val="1"/>
        </w:numPr>
        <w:tabs>
          <w:tab w:val="left" w:pos="142"/>
          <w:tab w:val="left" w:pos="284"/>
        </w:tabs>
        <w:spacing w:after="0" w:line="276" w:lineRule="auto"/>
        <w:ind w:left="0" w:firstLine="0"/>
        <w:contextualSpacing/>
        <w:jc w:val="both"/>
        <w:rPr>
          <w:rFonts w:ascii="Verdana" w:eastAsia="Times New Roman" w:hAnsi="Verdana" w:cs="Century Gothic"/>
          <w:b/>
          <w:bCs/>
          <w:color w:val="000000"/>
          <w:lang w:val="es-ES"/>
        </w:rPr>
      </w:pPr>
      <w:r w:rsidRPr="00B05F99">
        <w:rPr>
          <w:rFonts w:ascii="Verdana" w:eastAsia="Times New Roman" w:hAnsi="Verdana" w:cs="Century Gothic"/>
          <w:b/>
          <w:bCs/>
          <w:color w:val="000000"/>
          <w:lang w:val="es-ES"/>
        </w:rPr>
        <w:t>Problema planteado:</w:t>
      </w:r>
    </w:p>
    <w:p w14:paraId="1A1D2D85" w14:textId="77777777" w:rsidR="0028758E" w:rsidRPr="00B05F99" w:rsidRDefault="0028758E" w:rsidP="0028758E">
      <w:pPr>
        <w:tabs>
          <w:tab w:val="left" w:pos="426"/>
        </w:tabs>
        <w:spacing w:after="0" w:line="276" w:lineRule="auto"/>
        <w:jc w:val="both"/>
        <w:rPr>
          <w:rFonts w:ascii="Verdana" w:eastAsia="Times New Roman" w:hAnsi="Verdana" w:cs="Century Gothic"/>
          <w:color w:val="000000"/>
          <w:lang w:val="es-ES"/>
        </w:rPr>
      </w:pPr>
    </w:p>
    <w:p w14:paraId="6C6803B5" w14:textId="77777777" w:rsidR="0028758E" w:rsidRPr="00B05F99" w:rsidRDefault="0028758E" w:rsidP="0028758E">
      <w:pPr>
        <w:jc w:val="both"/>
        <w:rPr>
          <w:rFonts w:ascii="Verdana" w:eastAsia="Times New Roman" w:hAnsi="Verdana" w:cs="Century Gothic"/>
          <w:color w:val="000000"/>
          <w:lang w:val="es-ES"/>
        </w:rPr>
      </w:pPr>
      <w:r w:rsidRPr="00B05F99">
        <w:rPr>
          <w:rFonts w:ascii="Verdana" w:eastAsia="Times New Roman" w:hAnsi="Verdana" w:cs="Century Gothic"/>
          <w:color w:val="000000"/>
        </w:rPr>
        <w:t xml:space="preserve">De acuerdo con el contenido de su solicitud, esta Agencia resolverá el siguiente problema jurídico: i) </w:t>
      </w:r>
      <w:r w:rsidRPr="00B05F99">
        <w:rPr>
          <w:rFonts w:ascii="Verdana" w:eastAsia="Times New Roman" w:hAnsi="Verdana" w:cs="Century Gothic"/>
          <w:color w:val="000000"/>
          <w:lang w:val="es-ES"/>
        </w:rPr>
        <w:t xml:space="preserve">¿Es obligatorio acreditar y pagar aportes de la Seguridad </w:t>
      </w:r>
      <w:r w:rsidRPr="00B05F99">
        <w:rPr>
          <w:rFonts w:ascii="Verdana" w:eastAsia="Times New Roman" w:hAnsi="Verdana" w:cs="Century Gothic"/>
          <w:color w:val="000000"/>
          <w:lang w:val="es-ES"/>
        </w:rPr>
        <w:lastRenderedPageBreak/>
        <w:t xml:space="preserve">Social en todos los contratos de arrendamiento que suscriba una Entidad Territorial? </w:t>
      </w:r>
    </w:p>
    <w:p w14:paraId="6D632007" w14:textId="77777777" w:rsidR="0028758E" w:rsidRPr="00B05F99" w:rsidRDefault="0028758E" w:rsidP="0028758E">
      <w:pPr>
        <w:rPr>
          <w:rFonts w:ascii="Verdana" w:eastAsia="Times New Roman" w:hAnsi="Verdana" w:cs="Century Gothic"/>
          <w:color w:val="000000"/>
          <w:lang w:val="es-ES"/>
        </w:rPr>
      </w:pPr>
    </w:p>
    <w:p w14:paraId="0ED08E54" w14:textId="77777777" w:rsidR="0028758E" w:rsidRPr="00B05F99" w:rsidRDefault="0028758E" w:rsidP="0028758E">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B05F99">
        <w:rPr>
          <w:rFonts w:ascii="Verdana" w:eastAsia="Times New Roman" w:hAnsi="Verdana" w:cs="Century Gothic"/>
          <w:b/>
          <w:bCs/>
          <w:color w:val="000000"/>
          <w:lang w:val="es-ES"/>
        </w:rPr>
        <w:t>Respuesta:</w:t>
      </w:r>
    </w:p>
    <w:p w14:paraId="71F0E1A3" w14:textId="77777777" w:rsidR="0028758E" w:rsidRPr="00B05F99" w:rsidRDefault="0028758E" w:rsidP="0028758E">
      <w:pPr>
        <w:tabs>
          <w:tab w:val="left" w:pos="142"/>
          <w:tab w:val="left" w:pos="284"/>
        </w:tabs>
        <w:spacing w:after="0" w:line="276" w:lineRule="auto"/>
        <w:jc w:val="both"/>
        <w:rPr>
          <w:rFonts w:ascii="Verdana" w:eastAsia="Times New Roman" w:hAnsi="Verdana" w:cs="Century Gothic"/>
          <w:b/>
          <w:bCs/>
          <w:color w:val="000000"/>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8758E" w:rsidRPr="00B05F99" w14:paraId="7FA7A4AB" w14:textId="77777777" w:rsidTr="00400EB4">
        <w:tc>
          <w:tcPr>
            <w:tcW w:w="8828" w:type="dxa"/>
          </w:tcPr>
          <w:p w14:paraId="410D221A" w14:textId="77777777" w:rsidR="0028758E" w:rsidRPr="00B05F99" w:rsidRDefault="0028758E" w:rsidP="00400EB4">
            <w:pPr>
              <w:ind w:firstLine="709"/>
              <w:jc w:val="both"/>
              <w:rPr>
                <w:rFonts w:ascii="Verdana" w:hAnsi="Verdana"/>
              </w:rPr>
            </w:pPr>
            <w:r w:rsidRPr="00B05F99">
              <w:rPr>
                <w:rFonts w:ascii="Verdana" w:hAnsi="Verdana"/>
              </w:rPr>
              <w:t xml:space="preserve">Si, por parte del contratista en calidad de arrendador o arrendatario. El pago de aportes al Sistema de Seguridad Social Integral por parte de los contratistas estatales es un requisito regulado por la Ley 80 de 1993, Ley 1150 de 2007, </w:t>
            </w:r>
            <w:r w:rsidRPr="00B05F99">
              <w:rPr>
                <w:rFonts w:ascii="Verdana" w:hAnsi="Verdana" w:cs="Arial"/>
                <w:lang w:val="es-ES"/>
              </w:rPr>
              <w:t xml:space="preserve">Ley 789 de 2002 y demás normas complementarias, </w:t>
            </w:r>
            <w:r w:rsidRPr="00B05F99">
              <w:rPr>
                <w:rFonts w:ascii="Verdana" w:hAnsi="Verdana"/>
              </w:rPr>
              <w:t xml:space="preserve">por lo que las Entidades Contratantes tienen el deber de verificar su cumplimiento antes de la celebración del contrato como es el caso de la afiliación, y durante su ejecución y liquidación el pago de los respectivos aportes conforme al valor de la prestación. </w:t>
            </w:r>
          </w:p>
          <w:p w14:paraId="2FE20AE6" w14:textId="77777777" w:rsidR="0028758E" w:rsidRPr="008B3075" w:rsidRDefault="0028758E" w:rsidP="00400EB4">
            <w:pPr>
              <w:ind w:firstLine="709"/>
              <w:jc w:val="both"/>
              <w:rPr>
                <w:rFonts w:ascii="Verdana" w:hAnsi="Verdana"/>
              </w:rPr>
            </w:pPr>
          </w:p>
          <w:p w14:paraId="0DC8F006" w14:textId="77777777" w:rsidR="0028758E" w:rsidRPr="00B05F99" w:rsidRDefault="0028758E" w:rsidP="00400EB4">
            <w:pPr>
              <w:ind w:firstLine="709"/>
              <w:jc w:val="both"/>
              <w:rPr>
                <w:rFonts w:ascii="Verdana" w:hAnsi="Verdana" w:cs="Arial"/>
                <w:lang w:val="es-ES"/>
              </w:rPr>
            </w:pPr>
            <w:r w:rsidRPr="00B05F99">
              <w:rPr>
                <w:rFonts w:ascii="Verdana" w:hAnsi="Verdana" w:cs="Arial"/>
                <w:lang w:val="es-ES"/>
              </w:rPr>
              <w:t>El artículo 23 de la Ley 1150 de 2007  prescribe “(…) e</w:t>
            </w:r>
            <w:r w:rsidRPr="00B05F99">
              <w:rPr>
                <w:rFonts w:ascii="Verdana" w:hAnsi="Verdana" w:cs="Arial"/>
              </w:rPr>
              <w:t xml:space="preserve">l proponente y el contratista deberán acreditar que se encuentran al día en el pago de aportes parafiscales relativos al Sistema de Seguridad Social Integral, así como los propios del Sena, ICBF y Cajas de Compensación Familiar, cuando corresponda.(…);  </w:t>
            </w:r>
            <w:r w:rsidRPr="00B05F99">
              <w:rPr>
                <w:rFonts w:ascii="Verdana" w:hAnsi="Verdana" w:cs="Arial"/>
                <w:lang w:val="es-ES"/>
              </w:rPr>
              <w:t>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14:paraId="70ACE12E" w14:textId="77777777" w:rsidR="0028758E" w:rsidRPr="00B05F99" w:rsidRDefault="0028758E" w:rsidP="00400EB4">
            <w:pPr>
              <w:spacing w:before="120" w:after="120" w:line="276" w:lineRule="auto"/>
              <w:ind w:firstLine="709"/>
              <w:jc w:val="both"/>
              <w:rPr>
                <w:rFonts w:ascii="Verdana" w:hAnsi="Verdana" w:cs="Arial"/>
                <w:lang w:val="es-ES"/>
              </w:rPr>
            </w:pPr>
            <w:r w:rsidRPr="00B05F99">
              <w:rPr>
                <w:rFonts w:ascii="Verdana" w:hAnsi="Verdana" w:cs="Arial"/>
                <w:lang w:val="es-ES"/>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w:t>
            </w:r>
          </w:p>
          <w:p w14:paraId="33479B19" w14:textId="77777777" w:rsidR="0028758E" w:rsidRPr="00B05F99" w:rsidRDefault="0028758E" w:rsidP="00400EB4">
            <w:pPr>
              <w:ind w:firstLine="709"/>
              <w:jc w:val="both"/>
              <w:rPr>
                <w:rFonts w:ascii="Verdana" w:hAnsi="Verdana"/>
              </w:rPr>
            </w:pPr>
            <w:r w:rsidRPr="00B05F99">
              <w:rPr>
                <w:rFonts w:ascii="Verdana" w:hAnsi="Verdana"/>
              </w:rPr>
              <w:t xml:space="preserve">Adicionalmente, al liquidar el contrato, la entidad estatal debe dejar constancia del cumplimiento de las obligaciones de aportes por parte del contratista, relacionando los pagos efectuados con los montos que debieron haberse cotizado. </w:t>
            </w:r>
          </w:p>
          <w:p w14:paraId="5D15CB72" w14:textId="77777777" w:rsidR="0028758E" w:rsidRPr="008B3075" w:rsidRDefault="0028758E" w:rsidP="00400EB4">
            <w:pPr>
              <w:ind w:firstLine="709"/>
              <w:jc w:val="both"/>
              <w:rPr>
                <w:rFonts w:ascii="Verdana" w:hAnsi="Verdana"/>
              </w:rPr>
            </w:pPr>
          </w:p>
          <w:p w14:paraId="282ACB8D" w14:textId="77777777" w:rsidR="0028758E" w:rsidRPr="00B05F99" w:rsidRDefault="0028758E" w:rsidP="00400EB4">
            <w:pPr>
              <w:ind w:firstLine="709"/>
              <w:jc w:val="both"/>
              <w:rPr>
                <w:rFonts w:ascii="Verdana" w:hAnsi="Verdana"/>
              </w:rPr>
            </w:pPr>
            <w:r w:rsidRPr="00B05F99">
              <w:rPr>
                <w:rFonts w:ascii="Verdana" w:hAnsi="Verdana"/>
              </w:rPr>
              <w:lastRenderedPageBreak/>
              <w:t xml:space="preserve">En el caso de contratos de arrendamiento de bienes cuya titularidad del bien no es del Estado, la entidad contratante está obligada a solicitar al arrendador contratista, cuando este sea una persona natural o jurídica, la acreditación de los aportes al sistema de seguridad social antes de proceder con el pago del canon previa presentación de cuenta de cobro o factura, con el fin de verificar su contribución y el monto adecuado. </w:t>
            </w:r>
          </w:p>
          <w:p w14:paraId="0CCFB2B9" w14:textId="77777777" w:rsidR="0028758E" w:rsidRPr="008B3075" w:rsidRDefault="0028758E" w:rsidP="00400EB4">
            <w:pPr>
              <w:ind w:firstLine="709"/>
              <w:jc w:val="both"/>
              <w:rPr>
                <w:rFonts w:ascii="Verdana" w:hAnsi="Verdana"/>
              </w:rPr>
            </w:pPr>
          </w:p>
          <w:p w14:paraId="17081629" w14:textId="77777777" w:rsidR="0028758E" w:rsidRDefault="0028758E" w:rsidP="00400EB4">
            <w:pPr>
              <w:ind w:firstLine="709"/>
              <w:jc w:val="both"/>
              <w:rPr>
                <w:rFonts w:ascii="Verdana" w:hAnsi="Verdana"/>
              </w:rPr>
            </w:pPr>
            <w:r w:rsidRPr="008B3075">
              <w:rPr>
                <w:rFonts w:ascii="Verdana" w:hAnsi="Verdana"/>
              </w:rPr>
              <w:t>Ahora bien, cuando el contratista se vincule en calidad de arrendatario porque la titularidad del bien es de la entidad contratante, de igual manera deberá hacer las afiliaciones y pagos respectivos, debido a que la norma está creada para el que figure como contratista del Estado independiente de si es arrendador o arrendatario.</w:t>
            </w:r>
          </w:p>
          <w:p w14:paraId="2C46EA27" w14:textId="77777777" w:rsidR="0028758E" w:rsidRPr="00896D0B" w:rsidRDefault="0028758E" w:rsidP="00400EB4">
            <w:pPr>
              <w:ind w:firstLine="709"/>
              <w:jc w:val="both"/>
              <w:rPr>
                <w:rFonts w:ascii="Verdana" w:hAnsi="Verdana"/>
              </w:rPr>
            </w:pPr>
          </w:p>
          <w:p w14:paraId="3791AA0B" w14:textId="77777777" w:rsidR="0028758E" w:rsidRDefault="0028758E" w:rsidP="00400EB4">
            <w:pPr>
              <w:spacing w:after="160" w:line="259" w:lineRule="auto"/>
              <w:ind w:firstLine="709"/>
              <w:jc w:val="both"/>
              <w:rPr>
                <w:rFonts w:ascii="Verdana" w:hAnsi="Verdana" w:cs="Arial"/>
                <w:lang w:val="es-ES"/>
              </w:rPr>
            </w:pPr>
            <w:r>
              <w:rPr>
                <w:rFonts w:ascii="Verdana" w:hAnsi="Verdana"/>
              </w:rPr>
              <w:t xml:space="preserve">En conclusión, </w:t>
            </w:r>
            <w:r>
              <w:rPr>
                <w:rFonts w:ascii="Verdana" w:hAnsi="Verdana" w:cs="Arial"/>
                <w:lang w:val="es-ES"/>
              </w:rPr>
              <w:t>e</w:t>
            </w:r>
            <w:r w:rsidRPr="00166572">
              <w:rPr>
                <w:rFonts w:ascii="Verdana" w:hAnsi="Verdana" w:cs="Arial"/>
                <w:lang w:val="es-ES"/>
              </w:rPr>
              <w:t>l arrendador de un bien inmueble tiene la calidad de rentista de capital y, como tal, es aportante al Sistema Integral de Seguridad Socia</w:t>
            </w:r>
            <w:r>
              <w:rPr>
                <w:rFonts w:ascii="Verdana" w:hAnsi="Verdana" w:cs="Arial"/>
                <w:lang w:val="es-ES"/>
              </w:rPr>
              <w:t>l y deberá pagar lo que le corresponda de acuerdo a la prestación del contrato</w:t>
            </w:r>
            <w:r w:rsidRPr="00166572">
              <w:rPr>
                <w:rFonts w:ascii="Verdana" w:hAnsi="Verdana" w:cs="Arial"/>
                <w:lang w:val="es-ES"/>
              </w:rPr>
              <w:t>.</w:t>
            </w:r>
            <w:r>
              <w:rPr>
                <w:rFonts w:ascii="Verdana" w:hAnsi="Verdana" w:cs="Arial"/>
                <w:lang w:val="es-ES"/>
              </w:rPr>
              <w:t xml:space="preserve"> Cuando es el Estado el arrendador contratante o arrendatario contratante, él mismo paga las seguridades sociales integrales de sus funcionarios por lo cual se deberá aportar el respectivo aporte de quién figure como representante legal de la entidad, ordenador del gasto o responsable del contrato mediante acto de delegación, conforme a como lo tenga previsto la entidad.</w:t>
            </w:r>
          </w:p>
          <w:p w14:paraId="6A353399" w14:textId="77777777" w:rsidR="0028758E" w:rsidRDefault="0028758E" w:rsidP="00400EB4">
            <w:pPr>
              <w:spacing w:after="160" w:line="259" w:lineRule="auto"/>
              <w:jc w:val="both"/>
              <w:rPr>
                <w:rFonts w:ascii="Verdana" w:hAnsi="Verdana" w:cs="Arial"/>
                <w:lang w:val="es-ES"/>
              </w:rPr>
            </w:pPr>
            <w:r>
              <w:rPr>
                <w:rFonts w:ascii="Verdana" w:hAnsi="Verdana" w:cs="Arial"/>
                <w:lang w:val="es-ES"/>
              </w:rPr>
              <w:t xml:space="preserve">En todo caso, el contratista en calidad de arrendatario o arrendador siempre deberá realizar los aportes respectivos de acuerdo a lo explicado anteriormente.     </w:t>
            </w:r>
            <w:r w:rsidRPr="00166572">
              <w:rPr>
                <w:rFonts w:ascii="Verdana" w:hAnsi="Verdana" w:cs="Arial"/>
                <w:lang w:val="es-ES"/>
              </w:rPr>
              <w:t xml:space="preserve"> </w:t>
            </w:r>
          </w:p>
          <w:p w14:paraId="160958FD" w14:textId="77777777" w:rsidR="0028758E" w:rsidRPr="00B05F99" w:rsidRDefault="0028758E" w:rsidP="00400EB4">
            <w:pPr>
              <w:ind w:firstLine="709"/>
              <w:jc w:val="both"/>
              <w:rPr>
                <w:rFonts w:ascii="Verdana" w:hAnsi="Verdana" w:cs="Arial"/>
                <w:lang w:val="es-ES"/>
              </w:rPr>
            </w:pPr>
          </w:p>
        </w:tc>
      </w:tr>
    </w:tbl>
    <w:p w14:paraId="5D652E41" w14:textId="77777777" w:rsidR="0028758E" w:rsidRPr="00B05F99" w:rsidRDefault="0028758E" w:rsidP="0028758E">
      <w:pPr>
        <w:tabs>
          <w:tab w:val="left" w:pos="142"/>
          <w:tab w:val="left" w:pos="284"/>
        </w:tabs>
        <w:spacing w:after="0" w:line="276" w:lineRule="auto"/>
        <w:jc w:val="both"/>
        <w:rPr>
          <w:rFonts w:ascii="Verdana" w:eastAsia="Times New Roman" w:hAnsi="Verdana" w:cs="Century Gothic"/>
          <w:b/>
          <w:bCs/>
          <w:color w:val="000000"/>
          <w:lang w:val="es-ES"/>
        </w:rPr>
      </w:pPr>
    </w:p>
    <w:p w14:paraId="0DAC5074" w14:textId="77777777" w:rsidR="0028758E" w:rsidRPr="00B05F99" w:rsidRDefault="0028758E" w:rsidP="0028758E">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B05F99">
        <w:rPr>
          <w:rFonts w:ascii="Verdana" w:eastAsia="Times New Roman" w:hAnsi="Verdana" w:cs="Century Gothic"/>
          <w:b/>
          <w:bCs/>
          <w:color w:val="000000"/>
          <w:lang w:val="es-ES"/>
        </w:rPr>
        <w:t>Razones de la respuesta:</w:t>
      </w:r>
    </w:p>
    <w:p w14:paraId="269727A4" w14:textId="77777777" w:rsidR="0028758E" w:rsidRPr="00B05F99" w:rsidRDefault="0028758E" w:rsidP="0028758E">
      <w:pPr>
        <w:spacing w:after="0" w:line="276" w:lineRule="auto"/>
        <w:jc w:val="both"/>
        <w:rPr>
          <w:rFonts w:ascii="Verdana" w:eastAsia="Times New Roman" w:hAnsi="Verdana" w:cs="Arial"/>
          <w:color w:val="000000"/>
          <w:lang w:val="es-ES"/>
        </w:rPr>
      </w:pPr>
    </w:p>
    <w:p w14:paraId="0FD88C95" w14:textId="77777777" w:rsidR="0028758E" w:rsidRPr="00B05F99" w:rsidRDefault="0028758E" w:rsidP="0028758E">
      <w:pPr>
        <w:spacing w:after="0" w:line="276" w:lineRule="auto"/>
        <w:jc w:val="both"/>
        <w:rPr>
          <w:rFonts w:ascii="Verdana" w:eastAsia="Times New Roman" w:hAnsi="Verdana" w:cs="Arial"/>
          <w:color w:val="000000"/>
          <w:lang w:val="es-ES"/>
        </w:rPr>
      </w:pPr>
      <w:r w:rsidRPr="00B05F99">
        <w:rPr>
          <w:rFonts w:ascii="Verdana" w:eastAsia="Times New Roman" w:hAnsi="Verdana" w:cs="Arial"/>
          <w:color w:val="000000"/>
          <w:lang w:val="es-ES"/>
        </w:rPr>
        <w:t xml:space="preserve">Lo anterior se sustenta en las siguientes consideraciones: </w:t>
      </w:r>
    </w:p>
    <w:p w14:paraId="0195E6FB" w14:textId="77777777" w:rsidR="0028758E" w:rsidRPr="00B05F99" w:rsidRDefault="0028758E" w:rsidP="0028758E">
      <w:pPr>
        <w:spacing w:after="0" w:line="276" w:lineRule="auto"/>
        <w:jc w:val="both"/>
        <w:rPr>
          <w:rFonts w:ascii="Verdana" w:eastAsia="Times New Roman" w:hAnsi="Verdana" w:cs="Arial"/>
          <w:color w:val="000000"/>
          <w:lang w:val="es-ES"/>
        </w:rPr>
      </w:pPr>
    </w:p>
    <w:p w14:paraId="6ECADD29"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 xml:space="preserve">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o arrendadora– se obliga a concederle a otra –llamada arrendatario o arrendataria– el uso y goce de </w:t>
      </w:r>
      <w:r w:rsidRPr="00B05F99">
        <w:rPr>
          <w:rFonts w:ascii="Verdana" w:eastAsia="Times New Roman" w:hAnsi="Verdana" w:cs="Arial"/>
          <w:color w:val="000000"/>
        </w:rPr>
        <w:lastRenderedPageBreak/>
        <w:t>un bien, a cambio de una renta o canon, diferenciándose del contrato de compraventa en que no opera una transferencia del dominio del bien cuyo uso y goce se entrega.</w:t>
      </w:r>
    </w:p>
    <w:p w14:paraId="77934DA7" w14:textId="77777777" w:rsidR="0028758E" w:rsidRPr="00B05F99" w:rsidRDefault="0028758E" w:rsidP="0028758E">
      <w:pPr>
        <w:spacing w:line="276" w:lineRule="auto"/>
        <w:ind w:left="720"/>
        <w:contextualSpacing/>
        <w:jc w:val="both"/>
        <w:rPr>
          <w:rFonts w:ascii="Verdana" w:eastAsia="Times New Roman" w:hAnsi="Verdana" w:cs="Arial"/>
          <w:color w:val="000000"/>
        </w:rPr>
      </w:pPr>
    </w:p>
    <w:p w14:paraId="6916EA4A" w14:textId="77777777" w:rsidR="0028758E" w:rsidRPr="00B05F99" w:rsidRDefault="0028758E" w:rsidP="0028758E">
      <w:pPr>
        <w:numPr>
          <w:ilvl w:val="0"/>
          <w:numId w:val="2"/>
        </w:numPr>
        <w:spacing w:after="0" w:line="276" w:lineRule="auto"/>
        <w:contextualSpacing/>
        <w:jc w:val="both"/>
        <w:rPr>
          <w:rFonts w:ascii="Verdana" w:eastAsia="Times New Roman" w:hAnsi="Verdana" w:cs="Times New Roman"/>
          <w:color w:val="000000"/>
        </w:rPr>
      </w:pPr>
      <w:r w:rsidRPr="00B05F99">
        <w:rPr>
          <w:rFonts w:ascii="Verdana" w:eastAsia="Times New Roman" w:hAnsi="Verdana" w:cs="Times New Roman"/>
          <w:color w:val="000000"/>
        </w:rPr>
        <w:t xml:space="preserve">En cuanto a sus características, la doctrina ha indicado que el arrendamiento es un contrato: i) bilateral, pues ambas partes se obligan recíprocamente; </w:t>
      </w:r>
      <w:proofErr w:type="spellStart"/>
      <w:r w:rsidRPr="00B05F99">
        <w:rPr>
          <w:rFonts w:ascii="Verdana" w:eastAsia="Times New Roman" w:hAnsi="Verdana" w:cs="Times New Roman"/>
          <w:color w:val="000000"/>
        </w:rPr>
        <w:t>ii</w:t>
      </w:r>
      <w:proofErr w:type="spellEnd"/>
      <w:r w:rsidRPr="00B05F99">
        <w:rPr>
          <w:rFonts w:ascii="Verdana" w:eastAsia="Times New Roman" w:hAnsi="Verdana" w:cs="Times New Roman"/>
          <w:color w:val="000000"/>
        </w:rPr>
        <w:t xml:space="preserve">) consensual, dado que se perfecciona con el consentimiento ; </w:t>
      </w:r>
      <w:proofErr w:type="spellStart"/>
      <w:r w:rsidRPr="00B05F99">
        <w:rPr>
          <w:rFonts w:ascii="Verdana" w:eastAsia="Times New Roman" w:hAnsi="Verdana" w:cs="Times New Roman"/>
          <w:color w:val="000000"/>
        </w:rPr>
        <w:t>iii</w:t>
      </w:r>
      <w:proofErr w:type="spellEnd"/>
      <w:r w:rsidRPr="00B05F99">
        <w:rPr>
          <w:rFonts w:ascii="Verdana" w:eastAsia="Times New Roman" w:hAnsi="Verdana" w:cs="Times New Roman"/>
          <w:color w:val="000000"/>
        </w:rPr>
        <w:t xml:space="preserve">) oneroso, ya que ambas partes obtienen utilidades –el arrendatario, el uso y goce del bien, y el arrendador la renta o canon; </w:t>
      </w:r>
      <w:proofErr w:type="spellStart"/>
      <w:r w:rsidRPr="00B05F99">
        <w:rPr>
          <w:rFonts w:ascii="Verdana" w:eastAsia="Times New Roman" w:hAnsi="Verdana" w:cs="Times New Roman"/>
          <w:color w:val="000000"/>
        </w:rPr>
        <w:t>iv</w:t>
      </w:r>
      <w:proofErr w:type="spellEnd"/>
      <w:r w:rsidRPr="00B05F99">
        <w:rPr>
          <w:rFonts w:ascii="Verdana" w:eastAsia="Times New Roman" w:hAnsi="Verdana" w:cs="Times New Roman"/>
          <w:color w:val="000000"/>
        </w:rPr>
        <w:t>) de ejecución sucesiva, en la medida en que se ejecuta en forma periódica; v) principal, porque existe en forma autónoma; y v) nominado, porque está tipificado y desarrollado en la ley.</w:t>
      </w:r>
      <w:r w:rsidRPr="00B05F99">
        <w:rPr>
          <w:rFonts w:ascii="Verdana" w:eastAsia="Times New Roman" w:hAnsi="Verdana" w:cs="Times New Roman"/>
          <w:color w:val="000000"/>
          <w:vertAlign w:val="superscript"/>
        </w:rPr>
        <w:footnoteReference w:id="1"/>
      </w:r>
    </w:p>
    <w:p w14:paraId="2F270501" w14:textId="77777777" w:rsidR="0028758E" w:rsidRPr="00B05F99" w:rsidRDefault="0028758E" w:rsidP="0028758E">
      <w:pPr>
        <w:spacing w:after="0" w:line="276" w:lineRule="auto"/>
        <w:ind w:left="720"/>
        <w:contextualSpacing/>
        <w:jc w:val="both"/>
        <w:rPr>
          <w:rFonts w:ascii="Verdana" w:eastAsia="Times New Roman" w:hAnsi="Verdana" w:cs="Times New Roman"/>
          <w:color w:val="000000"/>
        </w:rPr>
      </w:pPr>
    </w:p>
    <w:p w14:paraId="06F7D554"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Frente a su regulación, debemos remitirnos a las normas civiles y comerciales, debido a que</w:t>
      </w:r>
      <w:r>
        <w:rPr>
          <w:rFonts w:ascii="Verdana" w:eastAsia="Times New Roman" w:hAnsi="Verdana" w:cs="Arial"/>
          <w:color w:val="000000"/>
        </w:rPr>
        <w:t>, a</w:t>
      </w:r>
      <w:r w:rsidRPr="00B05F99">
        <w:rPr>
          <w:rFonts w:ascii="Verdana" w:eastAsia="Times New Roman" w:hAnsi="Verdana" w:cs="Arial"/>
          <w:color w:val="000000"/>
        </w:rPr>
        <w:t>unque el contrato de arrendamiento no se encuentra dentro del listado enunciativo del artículo 32 de la Ley 80 de 1993, por lo que se aplicará, los artículos 1973 al 2078 del Código Civil y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6CBFA272" w14:textId="77777777" w:rsidR="0028758E" w:rsidRPr="00B05F99" w:rsidRDefault="0028758E" w:rsidP="0028758E">
      <w:pPr>
        <w:spacing w:line="276" w:lineRule="auto"/>
        <w:ind w:left="720"/>
        <w:contextualSpacing/>
        <w:rPr>
          <w:rFonts w:ascii="Verdana" w:eastAsia="Times New Roman" w:hAnsi="Verdana" w:cs="Times New Roman"/>
          <w:color w:val="000000"/>
        </w:rPr>
      </w:pPr>
    </w:p>
    <w:p w14:paraId="0EC7F2B1"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En igual sentido, por su importancia en la contratación estatal, debe precisarse que la modalidad de selección aplicable a la celebración de los contratos de arrendamiento depende del régimen aplicable a la entidad estatal. Si se rige por el derecho privado, es decir, si está exceptuada del Estatuto General de Contratación de la Administración Pública, debe aplicar en principio las normas civiles y comerciales mencionadas, en las cuales se permite la celebración directa del contrato de arrendamiento, pero si el reglamento o manual interno de contratación de la entidad dispone que debe efectuar algún procedimiento especial, este prevalece.</w:t>
      </w:r>
    </w:p>
    <w:p w14:paraId="27B62CC5" w14:textId="77777777" w:rsidR="0028758E" w:rsidRPr="00B05F99" w:rsidRDefault="0028758E" w:rsidP="0028758E">
      <w:pPr>
        <w:ind w:left="720"/>
        <w:contextualSpacing/>
        <w:rPr>
          <w:rFonts w:ascii="Verdana" w:eastAsia="Times New Roman" w:hAnsi="Verdana" w:cs="Arial"/>
          <w:color w:val="000000"/>
        </w:rPr>
      </w:pPr>
    </w:p>
    <w:p w14:paraId="12E04B73"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lastRenderedPageBreak/>
        <w:t>En contraste, si la entidad estatal se rige por el Estatuto General de Contratación de la Administración Pública, bien sea que obre en calidad de arrendadora o arrendataria, debe acudir a la modalidad de selección de contratación directa si arrendara un inmueble, pues el  literal i) del numeral 4 del artículo 2ºde la Ley 1150 de 2007 establece que una de las causales de este procedimiento es “i) El arrendamiento o adquisición de inmuebles” . Si lo que arrendará la Entidad es un bien mueble, lo deberá hacer por licitación pública, selección abreviada o mínima cuantía, dependiendo del valor de la contratación. En ambos supuestos la entidad estatal también debe aplicar las normas civiles y comerciales que regulan la sustantividad del contrato de arrendamiento, en virtud de la remisión de  los artículos 13, 32 y 40 de la Ley 80 de 1993.</w:t>
      </w:r>
    </w:p>
    <w:p w14:paraId="41BB3200" w14:textId="77777777" w:rsidR="0028758E" w:rsidRPr="00B05F99" w:rsidRDefault="0028758E" w:rsidP="0028758E">
      <w:pPr>
        <w:spacing w:after="0" w:line="276" w:lineRule="auto"/>
        <w:jc w:val="both"/>
        <w:rPr>
          <w:rFonts w:ascii="Verdana" w:eastAsia="Times New Roman" w:hAnsi="Verdana" w:cs="Arial"/>
          <w:color w:val="000000"/>
          <w:lang w:val="es-ES"/>
        </w:rPr>
      </w:pPr>
    </w:p>
    <w:p w14:paraId="4579FED2" w14:textId="77777777" w:rsidR="0028758E" w:rsidRPr="00681253" w:rsidRDefault="0028758E" w:rsidP="0028758E">
      <w:pPr>
        <w:numPr>
          <w:ilvl w:val="0"/>
          <w:numId w:val="2"/>
        </w:numPr>
        <w:spacing w:after="0" w:line="276" w:lineRule="auto"/>
        <w:contextualSpacing/>
        <w:jc w:val="both"/>
        <w:rPr>
          <w:rFonts w:ascii="Verdana" w:eastAsia="Times New Roman" w:hAnsi="Verdana" w:cs="Arial"/>
        </w:rPr>
      </w:pPr>
      <w:r w:rsidRPr="00B05F99">
        <w:rPr>
          <w:rFonts w:ascii="Verdana" w:eastAsia="Times New Roman" w:hAnsi="Verdana" w:cs="Arial"/>
          <w:color w:val="000000"/>
        </w:rPr>
        <w:t xml:space="preserve">Por otro lado, artículo 41 de la Ley 80 de 1993, estableció que los requisitos para perfeccionar el contrato eran: i) llegar a un acuerdo sobre el objeto y la contraprestación y </w:t>
      </w:r>
      <w:proofErr w:type="spellStart"/>
      <w:r w:rsidRPr="00B05F99">
        <w:rPr>
          <w:rFonts w:ascii="Verdana" w:eastAsia="Times New Roman" w:hAnsi="Verdana" w:cs="Arial"/>
          <w:color w:val="000000"/>
        </w:rPr>
        <w:t>ii</w:t>
      </w:r>
      <w:proofErr w:type="spellEnd"/>
      <w:r w:rsidRPr="00B05F99">
        <w:rPr>
          <w:rFonts w:ascii="Verdana" w:eastAsia="Times New Roman" w:hAnsi="Verdana" w:cs="Arial"/>
          <w:color w:val="000000"/>
        </w:rPr>
        <w:t xml:space="preserve">) que conste por escrito. Por su parte, para iniciar la ejecución se requería: i) la constitución y aprobación de la garantía y </w:t>
      </w:r>
      <w:proofErr w:type="spellStart"/>
      <w:r w:rsidRPr="00B05F99">
        <w:rPr>
          <w:rFonts w:ascii="Verdana" w:eastAsia="Times New Roman" w:hAnsi="Verdana" w:cs="Arial"/>
          <w:color w:val="000000"/>
        </w:rPr>
        <w:t>ii</w:t>
      </w:r>
      <w:proofErr w:type="spellEnd"/>
      <w:r w:rsidRPr="00B05F99">
        <w:rPr>
          <w:rFonts w:ascii="Verdana" w:eastAsia="Times New Roman" w:hAnsi="Verdana" w:cs="Arial"/>
          <w:color w:val="000000"/>
        </w:rPr>
        <w:t>) la existencia de disponibilidades presupuestales correspondientes. Además indica que “</w:t>
      </w:r>
      <w:r w:rsidRPr="00681253">
        <w:rPr>
          <w:rFonts w:ascii="Verdana" w:eastAsia="Times New Roman" w:hAnsi="Verdana" w:cs="Times New Roman"/>
        </w:rPr>
        <w:t>el proponente y el contratista deberán acreditar que se encuentran al día en el pago de aportes parafiscales relativos al Sistema de Seguridad Social Integral, así como los propios del Sena, ICBF y Cajas de Compensación Familiar, cuando corresponda”</w:t>
      </w:r>
    </w:p>
    <w:p w14:paraId="74318970" w14:textId="77777777" w:rsidR="0028758E" w:rsidRPr="00B05F99" w:rsidRDefault="0028758E" w:rsidP="0028758E">
      <w:pPr>
        <w:spacing w:after="0" w:line="276" w:lineRule="auto"/>
        <w:jc w:val="both"/>
        <w:rPr>
          <w:rFonts w:ascii="Verdana" w:eastAsia="Times New Roman" w:hAnsi="Verdana" w:cs="Arial"/>
          <w:color w:val="000000"/>
        </w:rPr>
      </w:pPr>
      <w:bookmarkStart w:id="2" w:name="41.I.2"/>
      <w:bookmarkEnd w:id="2"/>
    </w:p>
    <w:p w14:paraId="2B729502"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En ese sentido, el artículo 50 de la Ley 789 de 2002 estableció, como obligación de quien quiere celebrar, renovar o liquidar contratos de cualquier naturaleza con entidades del sector público, cumplir con las obligaciones frente a los sistemas de salud, riesgos profesionales, pensiones y aportes a la Caja de Compensación Familiar, Instituto Colombiano de Bienestar Familiar y Servicio Nacional de Aprendizaje cuando a ello haya lugar. Además,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p>
    <w:p w14:paraId="65CB495D" w14:textId="77777777" w:rsidR="0028758E" w:rsidRPr="00B05F99" w:rsidRDefault="0028758E" w:rsidP="0028758E">
      <w:pPr>
        <w:spacing w:line="276" w:lineRule="auto"/>
        <w:ind w:left="720"/>
        <w:contextualSpacing/>
        <w:rPr>
          <w:rFonts w:ascii="Verdana" w:eastAsia="Times New Roman" w:hAnsi="Verdana" w:cs="Arial"/>
          <w:color w:val="000000"/>
          <w:lang w:eastAsia="es-ES"/>
        </w:rPr>
      </w:pPr>
    </w:p>
    <w:p w14:paraId="42CA543E"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lang w:eastAsia="es-ES"/>
        </w:rPr>
        <w:lastRenderedPageBreak/>
        <w:t>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6 meses anteriores a la celebración del contrato. En este sentido, la ley establece que para presentar la oferta las personas jurídicas deben acreditar el requisito señalado anteriormente, es decir, el pago al sistema de seguridad social de sus empleados.</w:t>
      </w:r>
    </w:p>
    <w:p w14:paraId="670EB818" w14:textId="77777777" w:rsidR="0028758E" w:rsidRPr="00B05F99" w:rsidRDefault="0028758E" w:rsidP="0028758E">
      <w:pPr>
        <w:ind w:left="720"/>
        <w:contextualSpacing/>
        <w:rPr>
          <w:rFonts w:ascii="Verdana" w:eastAsia="Times New Roman" w:hAnsi="Verdana" w:cs="Arial"/>
          <w:color w:val="000000"/>
        </w:rPr>
      </w:pPr>
    </w:p>
    <w:p w14:paraId="3AB96E4D"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Esta norma fue analizada por el Consejo de Estado</w:t>
      </w:r>
      <w:r w:rsidRPr="00B05F99">
        <w:rPr>
          <w:rFonts w:ascii="Verdana" w:eastAsia="Times New Roman" w:hAnsi="Verdana" w:cs="Arial"/>
          <w:color w:val="000000"/>
          <w:vertAlign w:val="superscript"/>
        </w:rPr>
        <w:footnoteReference w:id="2"/>
      </w:r>
      <w:r w:rsidRPr="00B05F99">
        <w:rPr>
          <w:rFonts w:ascii="Verdana" w:eastAsia="Times New Roman" w:hAnsi="Verdana" w:cs="Arial"/>
          <w:color w:val="000000"/>
        </w:rPr>
        <w:t xml:space="preserve">, quien consideró que el artículo 50 de la Ley 789 de 2002 tiene por objeto evitar la evasión por parte de los empleadores de las cotizaciones al Sistema de Seguridad Social Integral y de los aportes parafiscales.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 Por lo tanto, la jurisprudencia reiteró la necesidad de que las entidades estatales, durante la ejecución del contrato, verifiquen el cumplimiento de las obligaciones del Sistema de Seguridad Social Integral por parte de los contratistas. </w:t>
      </w:r>
    </w:p>
    <w:p w14:paraId="76C943EE" w14:textId="77777777" w:rsidR="0028758E" w:rsidRPr="00B05F99" w:rsidRDefault="0028758E" w:rsidP="0028758E">
      <w:pPr>
        <w:ind w:left="720"/>
        <w:contextualSpacing/>
        <w:rPr>
          <w:rFonts w:ascii="Verdana" w:eastAsia="Times New Roman" w:hAnsi="Verdana" w:cs="Arial"/>
          <w:color w:val="000000"/>
        </w:rPr>
      </w:pPr>
    </w:p>
    <w:p w14:paraId="223FF800" w14:textId="77777777" w:rsidR="0028758E" w:rsidRPr="00B05F99" w:rsidRDefault="0028758E" w:rsidP="0028758E">
      <w:pPr>
        <w:ind w:left="720"/>
        <w:contextualSpacing/>
        <w:jc w:val="both"/>
        <w:rPr>
          <w:rFonts w:ascii="Verdana" w:eastAsia="Times New Roman" w:hAnsi="Verdana" w:cs="Arial"/>
          <w:color w:val="000000"/>
        </w:rPr>
      </w:pPr>
      <w:r w:rsidRPr="00B05F99">
        <w:rPr>
          <w:rFonts w:ascii="Verdana" w:eastAsia="Times New Roman" w:hAnsi="Verdana" w:cs="Arial"/>
          <w:color w:val="000000"/>
        </w:rPr>
        <w:t>En igual sentido,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0B19D944" w14:textId="77777777" w:rsidR="0028758E" w:rsidRPr="00B05F99" w:rsidRDefault="0028758E" w:rsidP="0028758E">
      <w:pPr>
        <w:ind w:left="720"/>
        <w:contextualSpacing/>
        <w:jc w:val="both"/>
        <w:rPr>
          <w:rFonts w:ascii="Verdana" w:eastAsia="Times New Roman" w:hAnsi="Verdana" w:cs="Arial"/>
          <w:color w:val="000000"/>
        </w:rPr>
      </w:pPr>
    </w:p>
    <w:p w14:paraId="79B0C131"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 xml:space="preserve">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w:t>
      </w:r>
      <w:r w:rsidRPr="00B05F99">
        <w:rPr>
          <w:rFonts w:ascii="Verdana" w:eastAsia="Times New Roman" w:hAnsi="Verdana" w:cs="Arial"/>
          <w:sz w:val="20"/>
          <w:szCs w:val="20"/>
          <w:lang w:val="es-ES" w:eastAsia="es-CO"/>
        </w:rPr>
        <w:lastRenderedPageBreak/>
        <w:t>Sistema de Seguridad Social Integral, así como los propios del Sena, ICBF y Cajas de Compensación Familiar, cuando corresponda.</w:t>
      </w:r>
    </w:p>
    <w:p w14:paraId="0CF07D8C" w14:textId="77777777" w:rsidR="0028758E" w:rsidRPr="00B05F99" w:rsidRDefault="0028758E" w:rsidP="0028758E">
      <w:pPr>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bCs/>
          <w:sz w:val="20"/>
          <w:szCs w:val="20"/>
          <w:lang w:val="es-ES" w:eastAsia="es-CO"/>
        </w:rPr>
        <w:t>Parágrafo 1.</w:t>
      </w:r>
      <w:r w:rsidRPr="00B05F99">
        <w:rPr>
          <w:rFonts w:ascii="Verdana" w:eastAsia="Times New Roman" w:hAnsi="Verdana" w:cs="Arial"/>
          <w:sz w:val="20"/>
          <w:szCs w:val="20"/>
          <w:lang w:val="es-ES" w:eastAsia="es-CO"/>
        </w:rPr>
        <w:t> El requisito establecido en la parte final del inciso segundo de este artículo deberá acreditarse para la realización de cada pago derivado del contrato estatal.</w:t>
      </w:r>
    </w:p>
    <w:p w14:paraId="010D2A5F" w14:textId="77777777" w:rsidR="0028758E" w:rsidRPr="00B05F99" w:rsidRDefault="0028758E" w:rsidP="0028758E">
      <w:pPr>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El servidor público que sin justa causa no verifique el pago de los aportes a que se refiere el presente artículo, incurrirá en causal de mala conducta, que será sancionada con arreglo al régimen disciplinario vigente.</w:t>
      </w:r>
    </w:p>
    <w:p w14:paraId="711F2F10"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w:t>
      </w:r>
    </w:p>
    <w:p w14:paraId="545D6DA0" w14:textId="77777777" w:rsidR="0028758E" w:rsidRPr="00B05F99" w:rsidRDefault="0028758E" w:rsidP="0028758E">
      <w:pPr>
        <w:spacing w:after="0" w:line="276" w:lineRule="auto"/>
        <w:ind w:left="720"/>
        <w:contextualSpacing/>
        <w:jc w:val="both"/>
        <w:rPr>
          <w:rFonts w:ascii="Verdana" w:eastAsia="Times New Roman" w:hAnsi="Verdana" w:cs="Arial"/>
          <w:color w:val="000000"/>
        </w:rPr>
      </w:pPr>
    </w:p>
    <w:p w14:paraId="1F437F66" w14:textId="77777777" w:rsidR="0028758E" w:rsidRPr="00B05F99" w:rsidRDefault="0028758E" w:rsidP="0028758E">
      <w:pPr>
        <w:numPr>
          <w:ilvl w:val="0"/>
          <w:numId w:val="2"/>
        </w:numPr>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 xml:space="preserve">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B05F99">
        <w:rPr>
          <w:rFonts w:ascii="Verdana" w:eastAsia="Times New Roman" w:hAnsi="Verdana" w:cs="Arial"/>
          <w:color w:val="000000"/>
        </w:rPr>
        <w:t>ii</w:t>
      </w:r>
      <w:proofErr w:type="spellEnd"/>
      <w:r w:rsidRPr="00B05F99">
        <w:rPr>
          <w:rFonts w:ascii="Verdana" w:eastAsia="Times New Roman" w:hAnsi="Verdana" w:cs="Arial"/>
          <w:color w:val="000000"/>
        </w:rPr>
        <w:t>) si se refiere a una persona jurídica, el comprobante de pago de los aportes al Sistema de Seguridad Social 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w:t>
      </w:r>
    </w:p>
    <w:p w14:paraId="7B7B3196" w14:textId="77777777" w:rsidR="0028758E" w:rsidRPr="00B05F99" w:rsidRDefault="0028758E" w:rsidP="0028758E">
      <w:pPr>
        <w:ind w:left="720"/>
        <w:contextualSpacing/>
        <w:rPr>
          <w:rFonts w:ascii="Verdana" w:eastAsia="Times New Roman" w:hAnsi="Verdana" w:cs="Arial"/>
          <w:color w:val="000000"/>
        </w:rPr>
      </w:pPr>
    </w:p>
    <w:p w14:paraId="402A36E9"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Igualmente,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w:t>
      </w:r>
    </w:p>
    <w:p w14:paraId="2E896662" w14:textId="77777777" w:rsidR="0028758E" w:rsidRPr="00B05F99" w:rsidRDefault="0028758E" w:rsidP="0028758E">
      <w:pPr>
        <w:ind w:left="720"/>
        <w:contextualSpacing/>
        <w:rPr>
          <w:rFonts w:ascii="Arial" w:eastAsia="Times New Roman" w:hAnsi="Arial" w:cs="Arial"/>
          <w:lang w:val="es-ES"/>
        </w:rPr>
      </w:pPr>
    </w:p>
    <w:p w14:paraId="682979FE"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lang w:val="es-ES"/>
        </w:rPr>
        <w:t xml:space="preserve">Ahora bien, frente a la persona que arrendataria, es menester tener en cuenta que la Corte Constitucional en sentencia C-578 de 2009 concluyó </w:t>
      </w:r>
      <w:r w:rsidRPr="00B05F99">
        <w:rPr>
          <w:rFonts w:ascii="Verdana" w:eastAsia="Times New Roman" w:hAnsi="Verdana" w:cs="Arial"/>
          <w:lang w:val="es-ES"/>
        </w:rPr>
        <w:lastRenderedPageBreak/>
        <w:t>que de la interpretación de los artículos 157 y 204 de la Ley 100 de 1993 debía considerarse a los rentistas de capital como trabajadores independientes, ya que dicha expresión incluye a todas las personas económicamente activas.</w:t>
      </w:r>
    </w:p>
    <w:p w14:paraId="1A39EE8D" w14:textId="77777777" w:rsidR="0028758E" w:rsidRPr="00B05F99" w:rsidRDefault="0028758E" w:rsidP="0028758E">
      <w:pPr>
        <w:ind w:left="720"/>
        <w:contextualSpacing/>
        <w:rPr>
          <w:rFonts w:ascii="Verdana" w:eastAsia="Times New Roman" w:hAnsi="Verdana" w:cs="Arial"/>
          <w:lang w:val="es-ES"/>
        </w:rPr>
      </w:pPr>
    </w:p>
    <w:p w14:paraId="3B815291"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lang w:val="es-ES"/>
        </w:rPr>
        <w:t xml:space="preserve">En ese orden de ideas, son conocidos como rentistas de capital aquellas personas que obtienen ingresos de arrendamientos, dividendos de inversiones, entre otras actividades, adquiriendo de esta manera capacidad de pago para cotizar al Sistema Integral de Seguridad Social. </w:t>
      </w:r>
    </w:p>
    <w:p w14:paraId="6B49591E" w14:textId="77777777" w:rsidR="0028758E" w:rsidRPr="00B05F99" w:rsidRDefault="0028758E" w:rsidP="0028758E">
      <w:pPr>
        <w:ind w:left="720"/>
        <w:contextualSpacing/>
        <w:rPr>
          <w:rFonts w:ascii="Verdana" w:eastAsia="Times New Roman" w:hAnsi="Verdana" w:cs="Arial"/>
          <w:lang w:val="es-ES"/>
        </w:rPr>
      </w:pPr>
    </w:p>
    <w:p w14:paraId="77ECC8EF"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lang w:val="es-ES"/>
        </w:rPr>
        <w:t>El Decreto Único 780 de 2016 identifica como aportante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p>
    <w:p w14:paraId="51E56E89" w14:textId="77777777" w:rsidR="0028758E" w:rsidRPr="00B05F99" w:rsidRDefault="0028758E" w:rsidP="0028758E">
      <w:pPr>
        <w:ind w:left="720"/>
        <w:contextualSpacing/>
        <w:rPr>
          <w:rFonts w:ascii="Verdana" w:eastAsia="Times New Roman" w:hAnsi="Verdana" w:cs="Arial"/>
          <w:lang w:val="es-ES"/>
        </w:rPr>
      </w:pPr>
    </w:p>
    <w:p w14:paraId="69CE6565"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lang w:val="es-ES"/>
        </w:rPr>
        <w:t>Toda persona económicamente activa con capacidad de pago, en virtud del principio de solidaridad que rige el Sistema Integral de Seguridad Social, está en la obligación de aportar a los Sistemas de Salud y Pensiones, y en forma voluntaria pueden afiliarse al Sistema de Riesgos Laborales y caja de compensación familiar. Lo anterior para el caso de los independientes por cuenta propia y con contrato diferente al de prestación de servicios, dentro de los cuales se encuentran los rentistas de capital.</w:t>
      </w:r>
    </w:p>
    <w:p w14:paraId="2E14B58D" w14:textId="77777777" w:rsidR="0028758E" w:rsidRPr="00B05F99" w:rsidRDefault="0028758E" w:rsidP="0028758E">
      <w:pPr>
        <w:ind w:left="720"/>
        <w:contextualSpacing/>
        <w:rPr>
          <w:rFonts w:ascii="Verdana" w:eastAsia="Times New Roman" w:hAnsi="Verdana" w:cs="Arial"/>
          <w:lang w:val="es-ES"/>
        </w:rPr>
      </w:pPr>
    </w:p>
    <w:p w14:paraId="6B859E3D"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lang w:val="es-ES"/>
        </w:rPr>
        <w:t>Al respecto, la Unidad de Gestión Pensional y Parafiscales indicó que:</w:t>
      </w:r>
    </w:p>
    <w:p w14:paraId="001476F6" w14:textId="77777777" w:rsidR="0028758E" w:rsidRPr="00B05F99" w:rsidRDefault="0028758E" w:rsidP="0028758E">
      <w:pPr>
        <w:ind w:left="709" w:right="709"/>
        <w:jc w:val="both"/>
        <w:rPr>
          <w:rFonts w:ascii="Verdana" w:eastAsia="Times New Roman" w:hAnsi="Verdana" w:cs="Arial"/>
          <w:sz w:val="20"/>
          <w:szCs w:val="20"/>
          <w:lang w:val="es-ES"/>
        </w:rPr>
      </w:pPr>
    </w:p>
    <w:p w14:paraId="2C2464F4"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 xml:space="preserve">“Un independiente que percibe ingresos mensuales iguales o superiores a 1 salario mínimo mensual legal vigente provenientes de la explotación de sus bienes muebles o inmuebles, o recibe intereses, dividendos o utilidades producto de unas acciones de su propiedad se considera como rentista de capital dentro del grupo de independientes por cuenta propia o por contratos diferentes al de prestación de servicios, y por tanto está en la obligación de cotizar a los sistemas de salud y pensión, en la forma señalada en el inciso primero del artículo 135 de la Ley 1753 de 2015, es decir, sobre mínimo el 40% </w:t>
      </w:r>
      <w:r w:rsidRPr="00B05F99">
        <w:rPr>
          <w:rFonts w:ascii="Verdana" w:eastAsia="Times New Roman" w:hAnsi="Verdana" w:cs="Arial"/>
          <w:sz w:val="20"/>
          <w:szCs w:val="20"/>
          <w:lang w:val="es-ES" w:eastAsia="es-CO"/>
        </w:rPr>
        <w:lastRenderedPageBreak/>
        <w:t>del valor de sus ingresos y para calcular el ingreso base de cotización IBC podrán deducir las expensas que se generen en la ejecución de cada actividad conforme a lo dispuesto en el art. 107 del Estatuto Tributario”</w:t>
      </w:r>
      <w:r w:rsidRPr="00B05F99">
        <w:rPr>
          <w:rFonts w:ascii="Aptos" w:eastAsia="Times New Roman" w:hAnsi="Aptos" w:cs="Times New Roman"/>
          <w:lang w:eastAsia="es-CO"/>
        </w:rPr>
        <w:footnoteReference w:id="3"/>
      </w:r>
      <w:r w:rsidRPr="00B05F99">
        <w:rPr>
          <w:rFonts w:ascii="Verdana" w:eastAsia="Times New Roman" w:hAnsi="Verdana" w:cs="Arial"/>
          <w:sz w:val="20"/>
          <w:szCs w:val="20"/>
          <w:lang w:val="es-ES" w:eastAsia="es-CO"/>
        </w:rPr>
        <w:t>.</w:t>
      </w:r>
    </w:p>
    <w:p w14:paraId="0B41B737" w14:textId="77777777" w:rsidR="0028758E" w:rsidRPr="00B05F99" w:rsidRDefault="0028758E" w:rsidP="0028758E">
      <w:pPr>
        <w:numPr>
          <w:ilvl w:val="0"/>
          <w:numId w:val="4"/>
        </w:numPr>
        <w:spacing w:line="276" w:lineRule="auto"/>
        <w:contextualSpacing/>
        <w:jc w:val="both"/>
        <w:rPr>
          <w:rFonts w:ascii="Verdana" w:eastAsia="Times New Roman" w:hAnsi="Verdana" w:cs="Arial"/>
          <w:lang w:val="es-ES"/>
        </w:rPr>
      </w:pPr>
      <w:r w:rsidRPr="00B05F99">
        <w:rPr>
          <w:rFonts w:ascii="Verdana" w:eastAsia="Times New Roman" w:hAnsi="Verdana" w:cs="Arial"/>
          <w:lang w:val="es-ES"/>
        </w:rPr>
        <w:t>Por otra parte, en concepto con radicado No. 4201912000005462, expedido como respuesta a la consulta del 13 de agosto de 2019, esta Subdirección indicó:</w:t>
      </w:r>
    </w:p>
    <w:p w14:paraId="731E8089" w14:textId="77777777" w:rsidR="0028758E" w:rsidRPr="00B05F99" w:rsidRDefault="0028758E" w:rsidP="0028758E">
      <w:pPr>
        <w:spacing w:line="276" w:lineRule="auto"/>
        <w:ind w:left="720"/>
        <w:contextualSpacing/>
        <w:jc w:val="both"/>
        <w:rPr>
          <w:rFonts w:ascii="Verdana" w:eastAsia="Times New Roman" w:hAnsi="Verdana" w:cs="Arial"/>
          <w:lang w:val="es-ES"/>
        </w:rPr>
      </w:pPr>
    </w:p>
    <w:p w14:paraId="7435F383"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“Asimismo, como se mencionó previamente, el artículo 50 de la Ley 789 de 2002 establece que las entidades estatales, al momento de celebrar, renovar o liquidar un contrato verificará que el contratista cumpla sus obligaciones con los sistemas de salud, riesgos profesionales, pensiones y aportes a las Cajas de Compensación Familiar, cuando a ello haya lugar.</w:t>
      </w:r>
    </w:p>
    <w:p w14:paraId="54CBF095"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 xml:space="preserve"> </w:t>
      </w:r>
    </w:p>
    <w:p w14:paraId="2ED9780B"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Si bien la Ley 1393 de 2010 sólo prevé como obligación verificar la afiliación al sistema de seguridad social en los contratos de prestación de servicios, la Ley 789 de 2002 sí establece que en cualquier contrato estatal la entidad contratante deberá verificar que el contratista cumplió con sus obligaciones al sistema de salud, riesgos profesionales, pensiones y aportes a las Cajas de Compensación Familiar.</w:t>
      </w:r>
    </w:p>
    <w:p w14:paraId="67DF17C2"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 xml:space="preserve"> </w:t>
      </w:r>
    </w:p>
    <w:p w14:paraId="749F5E8A"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 xml:space="preserve">Entre las obligaciones que tienen las personas naturales que presten directamente servicios al Estado, bajo la modalidad de contratos de prestación o bajo cualquier otra modalidad de contrato, como el de suministro, se encuentra la de estar afiliados al sistema de seguridad social en salud y pensiones. </w:t>
      </w:r>
    </w:p>
    <w:p w14:paraId="20FAD802"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p>
    <w:p w14:paraId="523D9294" w14:textId="77777777" w:rsidR="0028758E" w:rsidRPr="00B05F99" w:rsidRDefault="0028758E" w:rsidP="0028758E">
      <w:pPr>
        <w:tabs>
          <w:tab w:val="left" w:pos="7938"/>
          <w:tab w:val="left" w:pos="8080"/>
        </w:tabs>
        <w:spacing w:before="120" w:after="120" w:line="240" w:lineRule="auto"/>
        <w:ind w:left="1134" w:right="709"/>
        <w:jc w:val="both"/>
        <w:rPr>
          <w:rFonts w:ascii="Verdana" w:eastAsia="Times New Roman" w:hAnsi="Verdana" w:cs="Arial"/>
          <w:sz w:val="20"/>
          <w:szCs w:val="20"/>
          <w:lang w:val="es-ES" w:eastAsia="es-CO"/>
        </w:rPr>
      </w:pPr>
      <w:r w:rsidRPr="00B05F99">
        <w:rPr>
          <w:rFonts w:ascii="Verdana" w:eastAsia="Times New Roman" w:hAnsi="Verdana" w:cs="Arial"/>
          <w:sz w:val="20"/>
          <w:szCs w:val="20"/>
          <w:lang w:val="es-ES" w:eastAsia="es-CO"/>
        </w:rPr>
        <w:t xml:space="preserve">Por otro lado, el artículo 3 de la Ley 797 de 2003 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El Ministerio de Salud y Protección Social, en el concepto No. 112520 del 31 de mayo de 2012 indicó que el alcance de cualquier otra modalidad de servicios incluye </w:t>
      </w:r>
      <w:r w:rsidRPr="00B05F99">
        <w:rPr>
          <w:rFonts w:ascii="Verdana" w:eastAsia="Times New Roman" w:hAnsi="Verdana" w:cs="Arial"/>
          <w:sz w:val="20"/>
          <w:szCs w:val="20"/>
          <w:lang w:val="es-ES" w:eastAsia="es-CO"/>
        </w:rPr>
        <w:lastRenderedPageBreak/>
        <w:t>los contratos de obra, suministro, de arrendamiento de servicios, entre otros</w:t>
      </w:r>
      <w:r w:rsidRPr="00B05F99">
        <w:rPr>
          <w:rFonts w:ascii="Aptos" w:eastAsia="Times New Roman" w:hAnsi="Aptos" w:cs="Times New Roman"/>
          <w:lang w:eastAsia="es-CO"/>
        </w:rPr>
        <w:footnoteReference w:id="4"/>
      </w:r>
      <w:r w:rsidRPr="00B05F99">
        <w:rPr>
          <w:rFonts w:ascii="Verdana" w:eastAsia="Times New Roman" w:hAnsi="Verdana" w:cs="Arial"/>
          <w:sz w:val="20"/>
          <w:szCs w:val="20"/>
          <w:lang w:val="es-ES" w:eastAsia="es-CO"/>
        </w:rPr>
        <w:t>. Por lo tanto, en los contratos de suministro la entidad estatal deberá verificar que la persona natural que presta el servicio de contrato de suministro en favor de una entidad estatal está afiliada al Sistema General de Pensiones</w:t>
      </w:r>
      <w:r w:rsidRPr="00B05F99">
        <w:rPr>
          <w:rFonts w:ascii="Aptos" w:eastAsia="Times New Roman" w:hAnsi="Aptos" w:cs="Times New Roman"/>
          <w:lang w:eastAsia="es-CO"/>
        </w:rPr>
        <w:footnoteReference w:id="5"/>
      </w:r>
      <w:r w:rsidRPr="00B05F99">
        <w:rPr>
          <w:rFonts w:ascii="Verdana" w:eastAsia="Times New Roman" w:hAnsi="Verdana" w:cs="Arial"/>
          <w:sz w:val="20"/>
          <w:szCs w:val="20"/>
          <w:lang w:val="es-ES" w:eastAsia="es-CO"/>
        </w:rPr>
        <w:t>.”</w:t>
      </w:r>
    </w:p>
    <w:p w14:paraId="1F2D070B" w14:textId="77777777" w:rsidR="0028758E" w:rsidRPr="00B05F99" w:rsidRDefault="0028758E" w:rsidP="0028758E">
      <w:pPr>
        <w:spacing w:line="276" w:lineRule="auto"/>
        <w:jc w:val="both"/>
        <w:rPr>
          <w:rFonts w:ascii="Verdana" w:eastAsia="Times New Roman" w:hAnsi="Verdana" w:cs="Arial"/>
          <w:lang w:val="es-ES"/>
        </w:rPr>
      </w:pPr>
      <w:r w:rsidRPr="00B05F99">
        <w:rPr>
          <w:rFonts w:ascii="Verdana" w:eastAsia="Times New Roman" w:hAnsi="Verdana" w:cs="Arial"/>
          <w:lang w:val="es-ES"/>
        </w:rPr>
        <w:t xml:space="preserve"> </w:t>
      </w:r>
    </w:p>
    <w:p w14:paraId="1D73EB38"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lang w:val="es-ES"/>
        </w:rPr>
        <w:t>Como se observa, en dicho concepto se señaló que la obligación frente al Sistema de Seguridad Social Integral aplica frente a todos los contratos con las entidades estatales, pues es lo que se deduce del artículo 50 de la Ley 789 de 2002.</w:t>
      </w:r>
    </w:p>
    <w:p w14:paraId="03137BFE" w14:textId="77777777" w:rsidR="0028758E" w:rsidRPr="00B05F99" w:rsidRDefault="0028758E" w:rsidP="0028758E">
      <w:pPr>
        <w:ind w:left="720"/>
        <w:contextualSpacing/>
        <w:rPr>
          <w:rFonts w:ascii="Verdana" w:eastAsia="Times New Roman" w:hAnsi="Verdana" w:cs="Arial"/>
          <w:color w:val="000000"/>
        </w:rPr>
      </w:pPr>
    </w:p>
    <w:p w14:paraId="1D887F0A"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rPr>
        <w:t xml:space="preserve">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contrato como durante su ejecución y liquidación, conforme a la naturaleza jurídica de la persona con quien se va a realizar el contrato </w:t>
      </w:r>
      <w:r w:rsidRPr="00B05F99">
        <w:rPr>
          <w:rFonts w:ascii="Verdana" w:eastAsia="Times New Roman" w:hAnsi="Verdana" w:cs="Arial"/>
          <w:color w:val="000000"/>
        </w:rPr>
        <w:t xml:space="preserve">de arrendamiento. </w:t>
      </w:r>
    </w:p>
    <w:p w14:paraId="187E6C38" w14:textId="77777777" w:rsidR="0028758E" w:rsidRDefault="0028758E" w:rsidP="0028758E">
      <w:pPr>
        <w:pStyle w:val="Prrafodelista"/>
        <w:rPr>
          <w:rFonts w:ascii="Verdana" w:eastAsia="Times New Roman" w:hAnsi="Verdana" w:cs="Arial"/>
          <w:color w:val="000000"/>
        </w:rPr>
      </w:pPr>
    </w:p>
    <w:p w14:paraId="450A52B2" w14:textId="77777777" w:rsidR="0028758E" w:rsidRPr="004F7B8D"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4F7B8D">
        <w:rPr>
          <w:rFonts w:ascii="Verdana" w:eastAsia="Times New Roman" w:hAnsi="Verdana" w:cs="Arial"/>
          <w:color w:val="000000"/>
        </w:rPr>
        <w:t xml:space="preserve">En el caso de los arrendadores, que son personas naturales o jurídicas y que actúan como rentistas de capital (quienes obtienen ingresos por el uso de sus bienes), la normativa los obliga a cotizar como trabajadores independientes. Este grupo debe realizar aportes sobre un ingreso base de cotización del 40% de sus ingresos brutos, sin incluir el valor del IVA, tal como lo establece el Decreto Único 780 de 2016. Este requisito </w:t>
      </w:r>
      <w:r w:rsidRPr="004F7B8D">
        <w:rPr>
          <w:rFonts w:ascii="Verdana" w:eastAsia="Times New Roman" w:hAnsi="Verdana" w:cs="Arial"/>
          <w:color w:val="000000"/>
        </w:rPr>
        <w:lastRenderedPageBreak/>
        <w:t xml:space="preserve">responde al principio de solidaridad, que implica que toda persona con capacidad económica debe contribuir al financiamiento del Sistema de Seguridad Social. </w:t>
      </w:r>
    </w:p>
    <w:p w14:paraId="381352E7" w14:textId="77777777" w:rsidR="0028758E" w:rsidRPr="00B05F99" w:rsidRDefault="0028758E" w:rsidP="0028758E">
      <w:pPr>
        <w:widowControl w:val="0"/>
        <w:autoSpaceDE w:val="0"/>
        <w:autoSpaceDN w:val="0"/>
        <w:spacing w:after="0" w:line="276" w:lineRule="auto"/>
        <w:ind w:left="720"/>
        <w:contextualSpacing/>
        <w:jc w:val="both"/>
        <w:rPr>
          <w:rFonts w:ascii="Verdana" w:eastAsia="Times New Roman" w:hAnsi="Verdana" w:cs="Arial"/>
          <w:color w:val="000000"/>
        </w:rPr>
      </w:pPr>
    </w:p>
    <w:p w14:paraId="58603265" w14:textId="77777777" w:rsidR="0028758E" w:rsidRPr="00B05F99" w:rsidRDefault="0028758E" w:rsidP="0028758E">
      <w:pPr>
        <w:widowControl w:val="0"/>
        <w:numPr>
          <w:ilvl w:val="0"/>
          <w:numId w:val="2"/>
        </w:numPr>
        <w:autoSpaceDE w:val="0"/>
        <w:autoSpaceDN w:val="0"/>
        <w:spacing w:after="0" w:line="276" w:lineRule="auto"/>
        <w:contextualSpacing/>
        <w:jc w:val="both"/>
        <w:rPr>
          <w:rFonts w:ascii="Verdana" w:eastAsia="Times New Roman" w:hAnsi="Verdana" w:cs="Arial"/>
          <w:color w:val="000000"/>
        </w:rPr>
      </w:pPr>
      <w:r w:rsidRPr="00B05F99">
        <w:rPr>
          <w:rFonts w:ascii="Verdana" w:eastAsia="Times New Roman" w:hAnsi="Verdana" w:cs="Arial"/>
          <w:color w:val="000000"/>
        </w:rPr>
        <w:t>Finalmente, en Colombia, es obligatorio que los contratistas que participen en contratos de arrendamiento con entidades territoriales cumplan con sus aportes al Sistema Integral de Seguridad Social. Esta obligación recae tanto sobre quienes actúan como arrendadores (quienes ceden el uso de un bien a cambio de una renta) como sobre los arrendatarios (quienes alquilan un bien). La Ley 80 de 1993, la Ley 1150 de 2007 y la Ley 789 de 2002, junto con normas complementarias, establecen que estos contratistas deben estar al día en sus aportes a salud, pensión y cajas de compensación familiar. Antes de celebrar el contrato, así como durante su ejecución y al momento de la liquidación, la entidad estatal contratante tiene el deber de verificar el cumplimiento de estas obligaciones, asegurándose de que tanto proponentes como contratistas estén a paz y salvo en sus aportes parafiscales.</w:t>
      </w:r>
    </w:p>
    <w:p w14:paraId="7D7A3BA8" w14:textId="77777777" w:rsidR="0028758E" w:rsidRPr="00B05F99" w:rsidRDefault="0028758E" w:rsidP="0028758E">
      <w:pPr>
        <w:widowControl w:val="0"/>
        <w:autoSpaceDE w:val="0"/>
        <w:autoSpaceDN w:val="0"/>
        <w:spacing w:after="0" w:line="276" w:lineRule="auto"/>
        <w:contextualSpacing/>
        <w:jc w:val="both"/>
        <w:rPr>
          <w:rFonts w:ascii="Verdana" w:eastAsia="Times New Roman" w:hAnsi="Verdana" w:cs="Arial"/>
          <w:color w:val="000000"/>
        </w:rPr>
      </w:pPr>
    </w:p>
    <w:p w14:paraId="554F9C9B"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p>
    <w:p w14:paraId="6A37DAD2" w14:textId="77777777" w:rsidR="0028758E" w:rsidRPr="00B05F99" w:rsidRDefault="0028758E" w:rsidP="0028758E">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B05F99">
        <w:rPr>
          <w:rFonts w:ascii="Verdana" w:eastAsia="Times New Roman" w:hAnsi="Verdana" w:cs="Century Gothic"/>
          <w:b/>
          <w:bCs/>
          <w:color w:val="000000"/>
          <w:lang w:val="es-ES"/>
        </w:rPr>
        <w:t>Referencias normativas, jurisprudenciales y otras fuentes:</w:t>
      </w:r>
    </w:p>
    <w:p w14:paraId="7BD2956F"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8758E" w:rsidRPr="00B05F99" w14:paraId="5474B7CD" w14:textId="77777777" w:rsidTr="00400EB4">
        <w:trPr>
          <w:trHeight w:val="870"/>
        </w:trPr>
        <w:tc>
          <w:tcPr>
            <w:tcW w:w="8647" w:type="dxa"/>
          </w:tcPr>
          <w:p w14:paraId="58BBB9C9" w14:textId="77777777" w:rsidR="0028758E" w:rsidRPr="00B05F99" w:rsidRDefault="0028758E" w:rsidP="00400EB4">
            <w:pPr>
              <w:widowControl w:val="0"/>
              <w:autoSpaceDE w:val="0"/>
              <w:autoSpaceDN w:val="0"/>
              <w:spacing w:after="120" w:line="276" w:lineRule="auto"/>
              <w:jc w:val="both"/>
              <w:rPr>
                <w:rFonts w:ascii="Verdana" w:hAnsi="Verdana" w:cs="Arial"/>
                <w:color w:val="000000"/>
              </w:rPr>
            </w:pPr>
          </w:p>
          <w:p w14:paraId="34D3349A" w14:textId="77777777" w:rsidR="0028758E" w:rsidRPr="00B05F99" w:rsidRDefault="0028758E" w:rsidP="00400EB4">
            <w:pPr>
              <w:widowControl w:val="0"/>
              <w:numPr>
                <w:ilvl w:val="0"/>
                <w:numId w:val="3"/>
              </w:numPr>
              <w:autoSpaceDE w:val="0"/>
              <w:autoSpaceDN w:val="0"/>
              <w:spacing w:after="120" w:line="276" w:lineRule="auto"/>
              <w:jc w:val="both"/>
              <w:rPr>
                <w:rFonts w:ascii="Verdana" w:hAnsi="Verdana" w:cs="Arial"/>
                <w:color w:val="000000"/>
              </w:rPr>
            </w:pPr>
            <w:r w:rsidRPr="00B05F99">
              <w:rPr>
                <w:rFonts w:ascii="Verdana" w:hAnsi="Verdana" w:cs="Arial"/>
                <w:color w:val="000000"/>
              </w:rPr>
              <w:t xml:space="preserve">Ley 80 de 1993: Artículo 41 </w:t>
            </w:r>
          </w:p>
          <w:p w14:paraId="2595D6F5" w14:textId="77777777" w:rsidR="0028758E" w:rsidRPr="00B05F99" w:rsidRDefault="0028758E" w:rsidP="00400EB4">
            <w:pPr>
              <w:widowControl w:val="0"/>
              <w:numPr>
                <w:ilvl w:val="0"/>
                <w:numId w:val="3"/>
              </w:numPr>
              <w:autoSpaceDE w:val="0"/>
              <w:autoSpaceDN w:val="0"/>
              <w:spacing w:after="120" w:line="276" w:lineRule="auto"/>
              <w:jc w:val="both"/>
              <w:rPr>
                <w:rFonts w:ascii="Verdana" w:hAnsi="Verdana" w:cs="Arial"/>
                <w:color w:val="000000"/>
              </w:rPr>
            </w:pPr>
            <w:r w:rsidRPr="00B05F99">
              <w:rPr>
                <w:rFonts w:ascii="Verdana" w:hAnsi="Verdana" w:cs="Arial"/>
                <w:lang w:val="es-ES"/>
              </w:rPr>
              <w:t>Ley 1150 de 2007: Artículo 23</w:t>
            </w:r>
          </w:p>
          <w:p w14:paraId="006434C6" w14:textId="77777777" w:rsidR="0028758E" w:rsidRPr="00B05F99" w:rsidRDefault="0028758E" w:rsidP="00400EB4">
            <w:pPr>
              <w:widowControl w:val="0"/>
              <w:numPr>
                <w:ilvl w:val="0"/>
                <w:numId w:val="3"/>
              </w:numPr>
              <w:autoSpaceDE w:val="0"/>
              <w:autoSpaceDN w:val="0"/>
              <w:spacing w:after="120" w:line="276" w:lineRule="auto"/>
              <w:jc w:val="both"/>
              <w:rPr>
                <w:rFonts w:ascii="Verdana" w:hAnsi="Verdana" w:cs="Arial"/>
                <w:color w:val="000000"/>
              </w:rPr>
            </w:pPr>
            <w:r w:rsidRPr="00B05F99">
              <w:rPr>
                <w:rFonts w:ascii="Verdana" w:hAnsi="Verdana" w:cs="Arial"/>
                <w:color w:val="000000"/>
              </w:rPr>
              <w:t>Código Civil: Artículos 1973, Artículo 2000</w:t>
            </w:r>
          </w:p>
          <w:p w14:paraId="1F493326" w14:textId="77777777" w:rsidR="0028758E" w:rsidRPr="00B05F99" w:rsidRDefault="0028758E" w:rsidP="00400EB4">
            <w:pPr>
              <w:widowControl w:val="0"/>
              <w:numPr>
                <w:ilvl w:val="0"/>
                <w:numId w:val="3"/>
              </w:numPr>
              <w:autoSpaceDE w:val="0"/>
              <w:autoSpaceDN w:val="0"/>
              <w:spacing w:after="120" w:line="276" w:lineRule="auto"/>
              <w:jc w:val="both"/>
              <w:rPr>
                <w:rFonts w:ascii="Verdana" w:hAnsi="Verdana" w:cs="Arial"/>
                <w:color w:val="000000"/>
              </w:rPr>
            </w:pPr>
            <w:r w:rsidRPr="00B05F99">
              <w:rPr>
                <w:rFonts w:ascii="Verdana" w:hAnsi="Verdana" w:cs="Arial"/>
                <w:color w:val="000000"/>
              </w:rPr>
              <w:t xml:space="preserve">Ley 789 de 2002: Artículo 50 </w:t>
            </w:r>
          </w:p>
          <w:p w14:paraId="563BFA84" w14:textId="77777777" w:rsidR="0028758E" w:rsidRPr="00B05F99" w:rsidRDefault="0028758E" w:rsidP="00400EB4">
            <w:pPr>
              <w:widowControl w:val="0"/>
              <w:numPr>
                <w:ilvl w:val="0"/>
                <w:numId w:val="3"/>
              </w:numPr>
              <w:autoSpaceDE w:val="0"/>
              <w:autoSpaceDN w:val="0"/>
              <w:spacing w:after="120" w:line="276" w:lineRule="auto"/>
              <w:jc w:val="both"/>
              <w:rPr>
                <w:rFonts w:ascii="Verdana" w:hAnsi="Verdana" w:cs="Arial"/>
                <w:color w:val="000000"/>
              </w:rPr>
            </w:pPr>
            <w:r w:rsidRPr="00B05F99">
              <w:rPr>
                <w:rFonts w:ascii="Verdana" w:hAnsi="Verdana" w:cs="Arial"/>
                <w:color w:val="000000"/>
              </w:rPr>
              <w:t>Ley 1955 de 2019: Artículos 244, Artículo 336</w:t>
            </w:r>
          </w:p>
          <w:p w14:paraId="56068DA4" w14:textId="77777777" w:rsidR="0028758E" w:rsidRPr="00B05F99" w:rsidRDefault="0028758E" w:rsidP="00400EB4">
            <w:pPr>
              <w:widowControl w:val="0"/>
              <w:numPr>
                <w:ilvl w:val="0"/>
                <w:numId w:val="3"/>
              </w:numPr>
              <w:autoSpaceDE w:val="0"/>
              <w:autoSpaceDN w:val="0"/>
              <w:spacing w:after="120" w:line="276" w:lineRule="auto"/>
              <w:jc w:val="both"/>
              <w:rPr>
                <w:rFonts w:ascii="Verdana" w:hAnsi="Verdana" w:cs="Arial"/>
                <w:color w:val="000000"/>
              </w:rPr>
            </w:pPr>
            <w:r w:rsidRPr="00B05F99">
              <w:rPr>
                <w:rFonts w:ascii="Verdana" w:hAnsi="Verdana"/>
              </w:rPr>
              <w:t xml:space="preserve">CONSEJO DE ESTADO. SALA DE CONSULTA Y SERVICIO CIVIL. Sentencia del 26 de julio de 2007. </w:t>
            </w:r>
            <w:proofErr w:type="spellStart"/>
            <w:r w:rsidRPr="00B05F99">
              <w:rPr>
                <w:rFonts w:ascii="Verdana" w:hAnsi="Verdana"/>
              </w:rPr>
              <w:t>Exp</w:t>
            </w:r>
            <w:proofErr w:type="spellEnd"/>
            <w:r w:rsidRPr="00B05F99">
              <w:rPr>
                <w:rFonts w:ascii="Verdana" w:hAnsi="Verdana"/>
              </w:rPr>
              <w:t>. 1832. C.P. Luis Fernando Álvarez Jaramillo.</w:t>
            </w:r>
          </w:p>
        </w:tc>
      </w:tr>
    </w:tbl>
    <w:p w14:paraId="1CBC0A8B"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p>
    <w:p w14:paraId="74ED2C84" w14:textId="77777777" w:rsidR="0028758E" w:rsidRPr="00B05F99" w:rsidRDefault="0028758E" w:rsidP="0028758E">
      <w:pPr>
        <w:numPr>
          <w:ilvl w:val="0"/>
          <w:numId w:val="1"/>
        </w:numPr>
        <w:tabs>
          <w:tab w:val="left" w:pos="142"/>
          <w:tab w:val="left" w:pos="284"/>
        </w:tabs>
        <w:spacing w:after="0" w:line="276" w:lineRule="auto"/>
        <w:ind w:left="0" w:firstLine="0"/>
        <w:jc w:val="both"/>
        <w:rPr>
          <w:rFonts w:ascii="Verdana" w:eastAsia="Times New Roman" w:hAnsi="Verdana" w:cs="Century Gothic"/>
          <w:b/>
          <w:bCs/>
          <w:color w:val="000000"/>
          <w:lang w:val="es-ES"/>
        </w:rPr>
      </w:pPr>
      <w:r w:rsidRPr="00B05F99">
        <w:rPr>
          <w:rFonts w:ascii="Verdana" w:eastAsia="Times New Roman" w:hAnsi="Verdana" w:cs="Century Gothic"/>
          <w:b/>
          <w:bCs/>
          <w:color w:val="000000"/>
          <w:lang w:val="es-ES"/>
        </w:rPr>
        <w:t>Doctrina de la Agencia Nacional de Contratación Pública:</w:t>
      </w:r>
    </w:p>
    <w:p w14:paraId="49D1C2BB"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p>
    <w:p w14:paraId="0F2866AA"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r w:rsidRPr="00B05F99">
        <w:rPr>
          <w:rFonts w:ascii="Verdana" w:eastAsia="Times New Roman" w:hAnsi="Verdana" w:cs="Arial"/>
          <w:color w:val="000000"/>
          <w:lang w:val="es-ES"/>
        </w:rPr>
        <w:t xml:space="preserve">La Agencia Nacional de Contratación Pública – Colombia Compra Eficiente ha </w:t>
      </w:r>
      <w:r w:rsidRPr="00B05F99">
        <w:rPr>
          <w:rFonts w:ascii="Verdana" w:eastAsia="Times New Roman" w:hAnsi="Verdana" w:cs="Arial"/>
          <w:color w:val="000000"/>
          <w:lang w:val="es-ES"/>
        </w:rPr>
        <w:lastRenderedPageBreak/>
        <w:t xml:space="preserve">tenido la oportunidad de pronunciarse en relación con estos aspectos en los Conceptos No. 4201814000000493 en respuesta a la consulta del 18 de enero de 2018, así como en los conceptos C-006 del 04 de febrero de 2020, C-141 del 03 de marzo de 2020, C-161 y C-183 del 17 de marzo de 2020, C-319 del 12 de junio de 202 </w:t>
      </w:r>
      <w:r w:rsidRPr="00B05F99">
        <w:rPr>
          <w:rFonts w:ascii="Verdana" w:eastAsia="Times New Roman" w:hAnsi="Verdana" w:cs="Arial"/>
          <w:color w:val="000000"/>
        </w:rPr>
        <w:t>Concepto C-391 de 2023</w:t>
      </w:r>
      <w:r w:rsidRPr="00B05F99">
        <w:rPr>
          <w:rFonts w:ascii="Verdana" w:eastAsia="Times New Roman" w:hAnsi="Verdana" w:cs="Arial"/>
          <w:b/>
          <w:bCs/>
          <w:color w:val="000000"/>
        </w:rPr>
        <w:t xml:space="preserve"> </w:t>
      </w:r>
      <w:r w:rsidRPr="00B05F99">
        <w:rPr>
          <w:rFonts w:ascii="Verdana" w:eastAsia="Times New Roman" w:hAnsi="Verdana" w:cs="Arial"/>
          <w:color w:val="000000"/>
        </w:rPr>
        <w:t xml:space="preserve">, </w:t>
      </w:r>
      <w:r w:rsidRPr="00B05F99">
        <w:rPr>
          <w:rFonts w:ascii="Verdana" w:eastAsia="Times New Roman" w:hAnsi="Verdana" w:cs="Arial"/>
          <w:color w:val="000000"/>
          <w:lang w:val="es-ES"/>
        </w:rPr>
        <w:t>y C-293 del 20 de agosto de 2024. Es</w:t>
      </w:r>
      <w:r w:rsidRPr="00B05F99">
        <w:rPr>
          <w:rFonts w:ascii="Verdana" w:eastAsia="Times New Roman" w:hAnsi="Verdana" w:cs="Arial"/>
          <w:color w:val="000000"/>
        </w:rPr>
        <w:t>tos y otros conceptos se encuentran disponibles para consulta en el Sistema de relatoría de la Agencia, al cual se puede acceder a través del siguiente enlace:</w:t>
      </w:r>
      <w:r w:rsidRPr="00B05F99">
        <w:rPr>
          <w:rFonts w:ascii="Verdana" w:eastAsia="Times New Roman" w:hAnsi="Verdana" w:cs="Arial"/>
          <w:color w:val="000000"/>
          <w:lang w:val="es-ES"/>
        </w:rPr>
        <w:t xml:space="preserve"> </w:t>
      </w:r>
      <w:hyperlink r:id="rId9" w:history="1">
        <w:r w:rsidRPr="00B05F99">
          <w:rPr>
            <w:rFonts w:ascii="Verdana" w:eastAsia="Times New Roman" w:hAnsi="Verdana" w:cs="Arial"/>
            <w:color w:val="467886"/>
            <w:u w:val="single"/>
            <w:lang w:val="es-ES"/>
          </w:rPr>
          <w:t>https://relatoria.colombiacompra.gov.co/busqueda/conceptos</w:t>
        </w:r>
      </w:hyperlink>
      <w:r w:rsidRPr="00B05F99">
        <w:rPr>
          <w:rFonts w:ascii="Verdana" w:eastAsia="Times New Roman" w:hAnsi="Verdana" w:cs="Arial"/>
          <w:color w:val="000000"/>
          <w:lang w:val="es-ES"/>
        </w:rPr>
        <w:t xml:space="preserve">. </w:t>
      </w:r>
    </w:p>
    <w:p w14:paraId="1BF73C5C"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lang w:val="es-ES"/>
        </w:rPr>
      </w:pPr>
    </w:p>
    <w:p w14:paraId="76D35C87"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r w:rsidRPr="00B05F99">
        <w:rPr>
          <w:rFonts w:ascii="Verdana" w:eastAsia="Times New Roman" w:hAnsi="Verdana" w:cs="Arial"/>
          <w:color w:val="000000"/>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0" w:tgtFrame="_blank" w:tooltip="Dirección URL original: https://www.colombiacompra.gov.co/sala-de-prensa/boletin-digital/boletin-de-relatoria-2024-iv. Haga clic o pulse si confía en este vínculo." w:history="1">
        <w:r w:rsidRPr="00B05F99">
          <w:rPr>
            <w:rFonts w:ascii="Verdana" w:eastAsia="Times New Roman" w:hAnsi="Verdana" w:cs="Arial"/>
            <w:color w:val="467886"/>
            <w:u w:val="single"/>
          </w:rPr>
          <w:t>BOLETÍN DE RELATORÍA 2024 – IV | Colombia Compra Eficiente | Agencia Nacional de Contratación Pública</w:t>
        </w:r>
      </w:hyperlink>
    </w:p>
    <w:p w14:paraId="25918F58"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p>
    <w:p w14:paraId="5C34F6D0"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r w:rsidRPr="00B05F99">
        <w:rPr>
          <w:rFonts w:ascii="Verdana" w:eastAsia="Times New Roman" w:hAnsi="Verdana" w:cs="Arial"/>
          <w:color w:val="000000"/>
        </w:rPr>
        <w:t xml:space="preserve">Twitter: </w:t>
      </w:r>
      <w:r w:rsidRPr="00B05F99">
        <w:rPr>
          <w:rFonts w:ascii="Verdana" w:eastAsia="Times New Roman" w:hAnsi="Verdana" w:cs="Arial"/>
          <w:color w:val="000000"/>
          <w:u w:val="single"/>
        </w:rPr>
        <w:t>@colombiacompra</w:t>
      </w:r>
      <w:r w:rsidRPr="00B05F99">
        <w:rPr>
          <w:rFonts w:ascii="Verdana" w:eastAsia="Times New Roman" w:hAnsi="Verdana" w:cs="Arial"/>
          <w:color w:val="000000"/>
        </w:rPr>
        <w:t xml:space="preserve"> </w:t>
      </w:r>
    </w:p>
    <w:p w14:paraId="76ED6D37"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r w:rsidRPr="00B05F99">
        <w:rPr>
          <w:rFonts w:ascii="Verdana" w:eastAsia="Times New Roman" w:hAnsi="Verdana" w:cs="Arial"/>
          <w:color w:val="000000"/>
        </w:rPr>
        <w:t xml:space="preserve">Facebook: </w:t>
      </w:r>
      <w:proofErr w:type="spellStart"/>
      <w:r w:rsidRPr="00B05F99">
        <w:rPr>
          <w:rFonts w:ascii="Verdana" w:eastAsia="Times New Roman" w:hAnsi="Verdana" w:cs="Arial"/>
          <w:color w:val="000000"/>
          <w:u w:val="single"/>
        </w:rPr>
        <w:t>ColombiaCompraEficiente</w:t>
      </w:r>
      <w:proofErr w:type="spellEnd"/>
    </w:p>
    <w:p w14:paraId="0D83C727"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r w:rsidRPr="00B05F99">
        <w:rPr>
          <w:rFonts w:ascii="Verdana" w:eastAsia="Times New Roman" w:hAnsi="Verdana" w:cs="Arial"/>
          <w:color w:val="000000"/>
        </w:rPr>
        <w:t xml:space="preserve">LinkedIn: </w:t>
      </w:r>
      <w:r w:rsidRPr="00B05F99">
        <w:rPr>
          <w:rFonts w:ascii="Verdana" w:eastAsia="Times New Roman" w:hAnsi="Verdana" w:cs="Arial"/>
          <w:color w:val="000000"/>
          <w:u w:val="single"/>
        </w:rPr>
        <w:t>Agencia Nacional de Contratación Pública - Colombia Compra Eficiente</w:t>
      </w:r>
      <w:r w:rsidRPr="00B05F99">
        <w:rPr>
          <w:rFonts w:ascii="Verdana" w:eastAsia="Times New Roman" w:hAnsi="Verdana" w:cs="Arial"/>
          <w:color w:val="000000"/>
        </w:rPr>
        <w:t xml:space="preserve"> Instagram: </w:t>
      </w:r>
      <w:r w:rsidRPr="00B05F99">
        <w:rPr>
          <w:rFonts w:ascii="Verdana" w:eastAsia="Times New Roman" w:hAnsi="Verdana" w:cs="Arial"/>
          <w:color w:val="000000"/>
          <w:u w:val="single"/>
        </w:rPr>
        <w:t>@colombiacompraeficiente_cce</w:t>
      </w:r>
    </w:p>
    <w:p w14:paraId="137BD380"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rPr>
      </w:pPr>
    </w:p>
    <w:p w14:paraId="106D8F0C"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lang w:val="es-ES_tradnl"/>
        </w:rPr>
      </w:pPr>
      <w:r w:rsidRPr="00B05F99">
        <w:rPr>
          <w:rFonts w:ascii="Verdana" w:eastAsia="Times New Roman" w:hAnsi="Verdana" w:cs="Arial"/>
          <w:color w:val="000000"/>
        </w:rPr>
        <w:t xml:space="preserve">Este concepto tiene el alcance previsto en el artículo 28 del Código de Procedimiento Administrativo y de lo Contencioso Administrativo </w:t>
      </w:r>
      <w:r w:rsidRPr="00B05F99">
        <w:rPr>
          <w:rFonts w:ascii="Verdana" w:eastAsia="Times New Roman" w:hAnsi="Verdana" w:cs="Arial"/>
          <w:color w:val="000000"/>
          <w:lang w:val="es-ES_tradnl"/>
        </w:rPr>
        <w:t>y las expresiones aquí utilizadas con mayúscula inicial deben ser entendidas con el significado que les otorga el artículo 2.2.1.1.1.3.1. del Decreto 1082 de 2015.</w:t>
      </w:r>
    </w:p>
    <w:p w14:paraId="56158604" w14:textId="77777777" w:rsidR="0028758E" w:rsidRPr="00B05F99" w:rsidRDefault="0028758E" w:rsidP="0028758E">
      <w:pPr>
        <w:widowControl w:val="0"/>
        <w:autoSpaceDE w:val="0"/>
        <w:autoSpaceDN w:val="0"/>
        <w:spacing w:after="0" w:line="276" w:lineRule="auto"/>
        <w:jc w:val="both"/>
        <w:rPr>
          <w:rFonts w:ascii="Verdana" w:eastAsia="Times New Roman" w:hAnsi="Verdana" w:cs="Arial"/>
          <w:color w:val="000000"/>
          <w:lang w:val="es-ES_tradnl"/>
        </w:rPr>
      </w:pPr>
    </w:p>
    <w:p w14:paraId="12C32C4F" w14:textId="77777777" w:rsidR="0028758E" w:rsidRPr="00B05F99" w:rsidRDefault="0028758E" w:rsidP="0028758E">
      <w:pPr>
        <w:spacing w:after="0" w:line="240" w:lineRule="auto"/>
        <w:rPr>
          <w:rFonts w:ascii="Verdana" w:eastAsia="Times New Roman" w:hAnsi="Verdana" w:cs="Arial"/>
          <w:color w:val="000000"/>
          <w:lang w:eastAsia="es-CO"/>
        </w:rPr>
      </w:pPr>
      <w:r w:rsidRPr="00B05F99">
        <w:rPr>
          <w:rFonts w:ascii="Verdana" w:eastAsia="Times New Roman" w:hAnsi="Verdana" w:cs="Arial"/>
          <w:color w:val="000000"/>
          <w:lang w:eastAsia="es-CO"/>
        </w:rPr>
        <w:t xml:space="preserve">Atentamente, </w:t>
      </w:r>
    </w:p>
    <w:p w14:paraId="648798E8" w14:textId="7EDF5EE1" w:rsidR="0028758E" w:rsidRPr="00B05F99" w:rsidRDefault="00DB041F" w:rsidP="0028758E">
      <w:pPr>
        <w:spacing w:line="276" w:lineRule="auto"/>
        <w:jc w:val="center"/>
        <w:rPr>
          <w:rFonts w:ascii="Verdana" w:eastAsia="Times New Roman" w:hAnsi="Verdana" w:cs="Arial"/>
          <w:color w:val="000000"/>
          <w:lang w:val="es-ES_tradnl" w:eastAsia="es-CO"/>
        </w:rPr>
      </w:pPr>
      <w:r>
        <w:rPr>
          <w:noProof/>
          <w14:ligatures w14:val="standardContextual"/>
        </w:rPr>
        <w:drawing>
          <wp:inline distT="0" distB="0" distL="0" distR="0" wp14:anchorId="5A47D70C" wp14:editId="1111C433">
            <wp:extent cx="3622675" cy="116205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rotWithShape="1">
                    <a:blip r:embed="rId11"/>
                    <a:srcRect t="13600"/>
                    <a:stretch/>
                  </pic:blipFill>
                  <pic:spPr bwMode="auto">
                    <a:xfrm>
                      <a:off x="0" y="0"/>
                      <a:ext cx="3622675" cy="11620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8758E" w:rsidRPr="00B05F99" w14:paraId="472746D6" w14:textId="77777777" w:rsidTr="00400EB4">
        <w:trPr>
          <w:trHeight w:val="315"/>
        </w:trPr>
        <w:tc>
          <w:tcPr>
            <w:tcW w:w="893" w:type="dxa"/>
            <w:vAlign w:val="center"/>
            <w:hideMark/>
          </w:tcPr>
          <w:p w14:paraId="4101DDB0" w14:textId="77777777" w:rsidR="0028758E" w:rsidRPr="00B05F99" w:rsidRDefault="0028758E" w:rsidP="00400EB4">
            <w:pPr>
              <w:contextualSpacing/>
              <w:rPr>
                <w:rFonts w:ascii="Verdana" w:hAnsi="Verdana" w:cs="Arial"/>
                <w:color w:val="000000"/>
                <w:sz w:val="16"/>
                <w:szCs w:val="16"/>
                <w:lang w:val="es-ES" w:eastAsia="es-ES"/>
              </w:rPr>
            </w:pPr>
            <w:r w:rsidRPr="00B05F99">
              <w:rPr>
                <w:rFonts w:ascii="Verdana" w:hAnsi="Verdana" w:cs="Arial"/>
                <w:color w:val="000000"/>
                <w:sz w:val="16"/>
                <w:szCs w:val="16"/>
                <w:lang w:val="es-ES" w:eastAsia="es-ES"/>
              </w:rPr>
              <w:t>Elaboró:</w:t>
            </w:r>
          </w:p>
        </w:tc>
        <w:tc>
          <w:tcPr>
            <w:tcW w:w="5628" w:type="dxa"/>
            <w:tcBorders>
              <w:top w:val="nil"/>
              <w:left w:val="nil"/>
              <w:bottom w:val="dotted" w:sz="4" w:space="0" w:color="7F7F7F"/>
              <w:right w:val="nil"/>
            </w:tcBorders>
            <w:vAlign w:val="center"/>
            <w:hideMark/>
          </w:tcPr>
          <w:p w14:paraId="7FA287DE" w14:textId="77777777" w:rsidR="0028758E" w:rsidRPr="00B05F99" w:rsidRDefault="0028758E" w:rsidP="00400EB4">
            <w:pPr>
              <w:contextualSpacing/>
              <w:rPr>
                <w:rFonts w:ascii="Verdana" w:hAnsi="Verdana" w:cs="Arial"/>
                <w:color w:val="000000"/>
                <w:sz w:val="16"/>
                <w:szCs w:val="16"/>
              </w:rPr>
            </w:pPr>
            <w:r w:rsidRPr="00B05F99">
              <w:rPr>
                <w:rFonts w:ascii="Verdana" w:hAnsi="Verdana" w:cs="Arial"/>
                <w:color w:val="000000"/>
                <w:sz w:val="16"/>
                <w:szCs w:val="16"/>
              </w:rPr>
              <w:t>A</w:t>
            </w:r>
            <w:r w:rsidRPr="00B05F99">
              <w:rPr>
                <w:rFonts w:ascii="Verdana" w:hAnsi="Verdana" w:cs="Arial"/>
                <w:sz w:val="16"/>
                <w:szCs w:val="16"/>
              </w:rPr>
              <w:t xml:space="preserve">ndreina Cerpa Muñoz </w:t>
            </w:r>
          </w:p>
          <w:p w14:paraId="1943552C" w14:textId="77777777" w:rsidR="0028758E" w:rsidRPr="00B05F99" w:rsidRDefault="0028758E" w:rsidP="00400EB4">
            <w:pPr>
              <w:contextualSpacing/>
              <w:rPr>
                <w:rFonts w:ascii="Verdana" w:hAnsi="Verdana" w:cs="Arial"/>
                <w:color w:val="000000"/>
                <w:sz w:val="16"/>
                <w:szCs w:val="16"/>
              </w:rPr>
            </w:pPr>
            <w:r w:rsidRPr="00B05F99">
              <w:rPr>
                <w:rFonts w:ascii="Verdana" w:hAnsi="Verdana" w:cs="Arial"/>
                <w:color w:val="000000"/>
                <w:sz w:val="16"/>
                <w:szCs w:val="16"/>
              </w:rPr>
              <w:t>Analista T2-02 de la Subdirección de Gestión Contractual</w:t>
            </w:r>
          </w:p>
        </w:tc>
      </w:tr>
      <w:tr w:rsidR="0028758E" w:rsidRPr="00B05F99" w14:paraId="711B36EB" w14:textId="77777777" w:rsidTr="00400EB4">
        <w:trPr>
          <w:trHeight w:val="330"/>
        </w:trPr>
        <w:tc>
          <w:tcPr>
            <w:tcW w:w="893" w:type="dxa"/>
            <w:vAlign w:val="center"/>
            <w:hideMark/>
          </w:tcPr>
          <w:p w14:paraId="48D54F04" w14:textId="77777777" w:rsidR="0028758E" w:rsidRPr="00B05F99" w:rsidRDefault="0028758E" w:rsidP="00400EB4">
            <w:pPr>
              <w:contextualSpacing/>
              <w:rPr>
                <w:rFonts w:ascii="Verdana" w:hAnsi="Verdana" w:cs="Arial"/>
                <w:color w:val="000000"/>
                <w:sz w:val="16"/>
                <w:szCs w:val="16"/>
                <w:lang w:val="es-ES" w:eastAsia="es-ES"/>
              </w:rPr>
            </w:pPr>
            <w:r w:rsidRPr="00B05F99">
              <w:rPr>
                <w:rFonts w:ascii="Verdana" w:hAnsi="Verdana" w:cs="Arial"/>
                <w:color w:val="000000"/>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3A452D09" w14:textId="77777777" w:rsidR="0028758E" w:rsidRPr="00B05F99" w:rsidRDefault="0028758E" w:rsidP="00400EB4">
            <w:pPr>
              <w:contextualSpacing/>
              <w:textAlignment w:val="baseline"/>
              <w:rPr>
                <w:rFonts w:ascii="Verdana" w:hAnsi="Verdana" w:cs="Segoe UI"/>
                <w:color w:val="000000"/>
                <w:sz w:val="16"/>
                <w:szCs w:val="16"/>
                <w:lang w:eastAsia="es-ES_tradnl"/>
              </w:rPr>
            </w:pPr>
            <w:r w:rsidRPr="00B05F99">
              <w:rPr>
                <w:rFonts w:ascii="Verdana" w:hAnsi="Verdana" w:cs="Segoe UI"/>
                <w:color w:val="000000"/>
                <w:sz w:val="16"/>
                <w:szCs w:val="16"/>
                <w:lang w:eastAsia="es-ES_tradnl"/>
              </w:rPr>
              <w:t>C</w:t>
            </w:r>
            <w:r w:rsidRPr="00B05F99">
              <w:rPr>
                <w:rFonts w:ascii="Verdana" w:hAnsi="Verdana" w:cs="Segoe UI"/>
                <w:sz w:val="16"/>
                <w:szCs w:val="16"/>
                <w:lang w:eastAsia="es-ES_tradnl"/>
              </w:rPr>
              <w:t xml:space="preserve">ielo Victoria González </w:t>
            </w:r>
          </w:p>
          <w:p w14:paraId="0ADD9148" w14:textId="77777777" w:rsidR="0028758E" w:rsidRPr="00B05F99" w:rsidRDefault="0028758E" w:rsidP="00400EB4">
            <w:pPr>
              <w:contextualSpacing/>
              <w:textAlignment w:val="baseline"/>
              <w:rPr>
                <w:rFonts w:ascii="Verdana" w:hAnsi="Verdana" w:cs="Segoe UI"/>
                <w:color w:val="000000"/>
                <w:sz w:val="16"/>
                <w:szCs w:val="16"/>
                <w:lang w:eastAsia="es-ES_tradnl"/>
              </w:rPr>
            </w:pPr>
            <w:r w:rsidRPr="00B05F99">
              <w:rPr>
                <w:rFonts w:ascii="Verdana" w:hAnsi="Verdana" w:cs="Arial"/>
                <w:color w:val="000000"/>
                <w:sz w:val="16"/>
                <w:szCs w:val="16"/>
                <w:lang w:val="es-ES" w:eastAsia="es-ES_tradnl"/>
              </w:rPr>
              <w:lastRenderedPageBreak/>
              <w:t>Contratista de la Subdirección de Gestión Contractual</w:t>
            </w:r>
            <w:r w:rsidRPr="00B05F99">
              <w:rPr>
                <w:rFonts w:ascii="Verdana" w:hAnsi="Verdana" w:cs="Arial"/>
                <w:color w:val="000000"/>
                <w:sz w:val="16"/>
                <w:szCs w:val="16"/>
                <w:lang w:eastAsia="es-ES_tradnl"/>
              </w:rPr>
              <w:t> </w:t>
            </w:r>
          </w:p>
        </w:tc>
      </w:tr>
      <w:tr w:rsidR="0028758E" w:rsidRPr="00B05F99" w14:paraId="56801740" w14:textId="77777777" w:rsidTr="00400EB4">
        <w:trPr>
          <w:trHeight w:val="300"/>
        </w:trPr>
        <w:tc>
          <w:tcPr>
            <w:tcW w:w="893" w:type="dxa"/>
            <w:vAlign w:val="center"/>
          </w:tcPr>
          <w:p w14:paraId="3C16C551" w14:textId="77777777" w:rsidR="0028758E" w:rsidRPr="00B05F99" w:rsidRDefault="0028758E" w:rsidP="00400EB4">
            <w:pPr>
              <w:contextualSpacing/>
              <w:rPr>
                <w:rFonts w:ascii="Verdana" w:hAnsi="Verdana" w:cs="Arial"/>
                <w:color w:val="000000"/>
                <w:sz w:val="16"/>
                <w:szCs w:val="16"/>
                <w:lang w:val="es-ES" w:eastAsia="es-ES"/>
              </w:rPr>
            </w:pPr>
            <w:r w:rsidRPr="00B05F99">
              <w:rPr>
                <w:rFonts w:ascii="Verdana" w:hAnsi="Verdana" w:cs="Arial"/>
                <w:color w:val="000000"/>
                <w:sz w:val="16"/>
                <w:szCs w:val="16"/>
                <w:lang w:val="es-ES" w:eastAsia="es-ES"/>
              </w:rPr>
              <w:lastRenderedPageBreak/>
              <w:t>Aprobó:</w:t>
            </w:r>
          </w:p>
        </w:tc>
        <w:tc>
          <w:tcPr>
            <w:tcW w:w="5628" w:type="dxa"/>
            <w:tcBorders>
              <w:top w:val="dotted" w:sz="4" w:space="0" w:color="7F7F7F"/>
              <w:left w:val="nil"/>
              <w:bottom w:val="dotted" w:sz="4" w:space="0" w:color="7F7F7F"/>
              <w:right w:val="nil"/>
            </w:tcBorders>
            <w:vAlign w:val="center"/>
          </w:tcPr>
          <w:p w14:paraId="509C7649" w14:textId="77777777" w:rsidR="0028758E" w:rsidRPr="00B05F99" w:rsidRDefault="0028758E" w:rsidP="00400EB4">
            <w:pPr>
              <w:contextualSpacing/>
              <w:rPr>
                <w:rFonts w:ascii="Verdana" w:hAnsi="Verdana" w:cs="Arial"/>
                <w:color w:val="000000"/>
                <w:sz w:val="16"/>
                <w:szCs w:val="16"/>
                <w:lang w:val="pt-BR" w:eastAsia="es-ES"/>
              </w:rPr>
            </w:pPr>
            <w:r w:rsidRPr="00B05F99">
              <w:rPr>
                <w:rFonts w:ascii="Verdana" w:hAnsi="Verdana" w:cs="Arial"/>
                <w:color w:val="000000"/>
                <w:sz w:val="16"/>
                <w:szCs w:val="16"/>
                <w:lang w:val="pt-BR" w:eastAsia="es-ES"/>
              </w:rPr>
              <w:t xml:space="preserve">Carolina Quintero </w:t>
            </w:r>
            <w:proofErr w:type="spellStart"/>
            <w:r w:rsidRPr="00B05F99">
              <w:rPr>
                <w:rFonts w:ascii="Verdana" w:hAnsi="Verdana" w:cs="Arial"/>
                <w:color w:val="000000"/>
                <w:sz w:val="16"/>
                <w:szCs w:val="16"/>
                <w:lang w:val="pt-BR" w:eastAsia="es-ES"/>
              </w:rPr>
              <w:t>Gacharná</w:t>
            </w:r>
            <w:proofErr w:type="spellEnd"/>
          </w:p>
          <w:p w14:paraId="1D72C1C3" w14:textId="77777777" w:rsidR="0028758E" w:rsidRPr="00B05F99" w:rsidRDefault="0028758E" w:rsidP="00400EB4">
            <w:pPr>
              <w:contextualSpacing/>
              <w:rPr>
                <w:rFonts w:ascii="Verdana" w:hAnsi="Verdana" w:cs="Arial"/>
                <w:color w:val="000000"/>
                <w:sz w:val="16"/>
                <w:szCs w:val="16"/>
                <w:lang w:val="pt-BR" w:eastAsia="es-ES"/>
              </w:rPr>
            </w:pPr>
            <w:r w:rsidRPr="00B05F99">
              <w:rPr>
                <w:rFonts w:ascii="Verdana" w:hAnsi="Verdana" w:cs="Arial"/>
                <w:color w:val="000000"/>
                <w:sz w:val="16"/>
                <w:szCs w:val="16"/>
                <w:lang w:eastAsia="es-ES"/>
              </w:rPr>
              <w:t>Subdirectora</w:t>
            </w:r>
            <w:r w:rsidRPr="00B05F99">
              <w:rPr>
                <w:rFonts w:ascii="Verdana" w:hAnsi="Verdana" w:cs="Arial"/>
                <w:color w:val="000000"/>
                <w:sz w:val="16"/>
                <w:szCs w:val="16"/>
                <w:lang w:val="pt-BR" w:eastAsia="es-ES"/>
              </w:rPr>
              <w:t xml:space="preserve"> de Gestión </w:t>
            </w:r>
            <w:proofErr w:type="spellStart"/>
            <w:r w:rsidRPr="00B05F99">
              <w:rPr>
                <w:rFonts w:ascii="Verdana" w:hAnsi="Verdana" w:cs="Arial"/>
                <w:color w:val="000000"/>
                <w:sz w:val="16"/>
                <w:szCs w:val="16"/>
                <w:lang w:val="pt-BR" w:eastAsia="es-ES"/>
              </w:rPr>
              <w:t>Contractual</w:t>
            </w:r>
            <w:proofErr w:type="spellEnd"/>
            <w:r w:rsidRPr="00B05F99">
              <w:rPr>
                <w:rFonts w:ascii="Verdana" w:hAnsi="Verdana" w:cs="Arial"/>
                <w:color w:val="000000"/>
                <w:sz w:val="16"/>
                <w:szCs w:val="16"/>
                <w:lang w:val="pt-BR" w:eastAsia="es-ES"/>
              </w:rPr>
              <w:t xml:space="preserve"> ANCP – CCE</w:t>
            </w:r>
          </w:p>
        </w:tc>
      </w:tr>
    </w:tbl>
    <w:p w14:paraId="0B08E20C" w14:textId="77777777" w:rsidR="0028758E" w:rsidRPr="00B05F99" w:rsidRDefault="0028758E" w:rsidP="0028758E">
      <w:pPr>
        <w:spacing w:after="0" w:line="240" w:lineRule="auto"/>
        <w:rPr>
          <w:rFonts w:ascii="Verdana" w:eastAsia="Times New Roman" w:hAnsi="Verdana" w:cs="Arial"/>
          <w:color w:val="000000"/>
          <w:sz w:val="24"/>
          <w:szCs w:val="24"/>
          <w:lang w:eastAsia="es-ES"/>
        </w:rPr>
      </w:pPr>
    </w:p>
    <w:bookmarkEnd w:id="0"/>
    <w:p w14:paraId="6ED49A22" w14:textId="77777777" w:rsidR="0028758E" w:rsidRPr="00B05F99" w:rsidRDefault="0028758E" w:rsidP="0028758E"/>
    <w:p w14:paraId="2941670F" w14:textId="77777777" w:rsidR="004028F9" w:rsidRPr="0058298C" w:rsidRDefault="004028F9" w:rsidP="0058298C"/>
    <w:sectPr w:rsidR="004028F9" w:rsidRPr="0058298C" w:rsidSect="00480680">
      <w:headerReference w:type="default" r:id="rId12"/>
      <w:footerReference w:type="default" r:id="rId1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6925" w14:textId="77777777" w:rsidR="000D70C1" w:rsidRDefault="000D70C1" w:rsidP="00480680">
      <w:pPr>
        <w:spacing w:after="0" w:line="240" w:lineRule="auto"/>
      </w:pPr>
      <w:r>
        <w:separator/>
      </w:r>
    </w:p>
  </w:endnote>
  <w:endnote w:type="continuationSeparator" w:id="0">
    <w:p w14:paraId="6E8F3C38" w14:textId="77777777" w:rsidR="000D70C1" w:rsidRDefault="000D70C1" w:rsidP="0048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7048" w14:textId="77777777" w:rsidR="00817BE1" w:rsidRDefault="00817BE1">
    <w:pPr>
      <w:spacing w:after="0"/>
      <w:rPr>
        <w:rFonts w:ascii="Verdana" w:hAnsi="Verdana"/>
        <w:b/>
        <w:bCs/>
        <w:sz w:val="20"/>
        <w:szCs w:val="20"/>
      </w:rPr>
    </w:pPr>
  </w:p>
  <w:p w14:paraId="7C4E7C9A" w14:textId="77777777" w:rsidR="00817BE1" w:rsidRPr="00174B77" w:rsidRDefault="004028F9">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A0F2949" w14:textId="77777777" w:rsidR="00817BE1" w:rsidRDefault="004028F9">
    <w:pPr>
      <w:spacing w:after="0"/>
      <w:jc w:val="both"/>
      <w:rPr>
        <w:rFonts w:ascii="Verdana" w:hAnsi="Verdana"/>
        <w:sz w:val="18"/>
        <w:szCs w:val="18"/>
      </w:rPr>
    </w:pPr>
    <w:r w:rsidRPr="00E41027">
      <w:rPr>
        <w:rFonts w:ascii="Verdana" w:hAnsi="Verdana"/>
        <w:sz w:val="18"/>
        <w:szCs w:val="18"/>
      </w:rPr>
      <w:t>Dirección: Carrera 7 # 26 – 20 - Bogotá, Colombia</w:t>
    </w:r>
  </w:p>
  <w:p w14:paraId="62AFD3C6" w14:textId="77777777" w:rsidR="00817BE1" w:rsidRPr="00E41027" w:rsidRDefault="004028F9">
    <w:pPr>
      <w:spacing w:after="0"/>
      <w:jc w:val="both"/>
      <w:rPr>
        <w:rFonts w:ascii="Verdana" w:hAnsi="Verdana"/>
        <w:sz w:val="18"/>
        <w:szCs w:val="18"/>
      </w:rPr>
    </w:pPr>
    <w:r w:rsidRPr="00E41027">
      <w:rPr>
        <w:rFonts w:ascii="Verdana" w:hAnsi="Verdana"/>
        <w:sz w:val="18"/>
        <w:szCs w:val="18"/>
      </w:rPr>
      <w:t>Mesa de servicio: (+57) 601 7456788</w:t>
    </w:r>
  </w:p>
  <w:p w14:paraId="0E5C2F3F" w14:textId="77777777" w:rsidR="00817BE1" w:rsidRDefault="004028F9">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018D2EFA" w14:textId="77777777" w:rsidR="00817BE1" w:rsidRPr="007D04B2" w:rsidRDefault="00817BE1">
    <w:pPr>
      <w:pStyle w:val="Piedepgina"/>
    </w:pPr>
  </w:p>
  <w:p w14:paraId="204FCAF2" w14:textId="77777777" w:rsidR="00817BE1" w:rsidRPr="000849D5" w:rsidRDefault="00817B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0DDF4" w14:textId="77777777" w:rsidR="000D70C1" w:rsidRDefault="000D70C1" w:rsidP="00480680">
      <w:pPr>
        <w:spacing w:after="0" w:line="240" w:lineRule="auto"/>
      </w:pPr>
      <w:r>
        <w:separator/>
      </w:r>
    </w:p>
  </w:footnote>
  <w:footnote w:type="continuationSeparator" w:id="0">
    <w:p w14:paraId="449783AA" w14:textId="77777777" w:rsidR="000D70C1" w:rsidRDefault="000D70C1" w:rsidP="00480680">
      <w:pPr>
        <w:spacing w:after="0" w:line="240" w:lineRule="auto"/>
      </w:pPr>
      <w:r>
        <w:continuationSeparator/>
      </w:r>
    </w:p>
  </w:footnote>
  <w:footnote w:id="1">
    <w:p w14:paraId="791C6D67" w14:textId="77777777" w:rsidR="0028758E" w:rsidRPr="00670324" w:rsidRDefault="0028758E" w:rsidP="0028758E">
      <w:pPr>
        <w:pStyle w:val="Textonotapie"/>
        <w:rPr>
          <w:rFonts w:ascii="Verdana" w:hAnsi="Verdana"/>
          <w:sz w:val="16"/>
          <w:szCs w:val="16"/>
          <w:lang w:val="es-CO"/>
        </w:rPr>
      </w:pPr>
      <w:r w:rsidRPr="003C1FDC">
        <w:rPr>
          <w:rFonts w:ascii="Verdana" w:hAnsi="Verdana"/>
          <w:sz w:val="16"/>
          <w:szCs w:val="16"/>
          <w:vertAlign w:val="superscript"/>
        </w:rPr>
        <w:footnoteRef/>
      </w:r>
      <w:r w:rsidRPr="00670324">
        <w:rPr>
          <w:rFonts w:ascii="Verdana" w:hAnsi="Verdana"/>
          <w:sz w:val="16"/>
          <w:szCs w:val="16"/>
        </w:rPr>
        <w:t xml:space="preserve"> </w:t>
      </w:r>
      <w:r w:rsidRPr="00670324">
        <w:rPr>
          <w:rFonts w:ascii="Verdana" w:hAnsi="Verdana"/>
          <w:sz w:val="16"/>
          <w:szCs w:val="16"/>
          <w:lang w:val="es-CO"/>
        </w:rPr>
        <w:t xml:space="preserve">BONIVENTO FERNÁNDEZ, </w:t>
      </w:r>
      <w:proofErr w:type="spellStart"/>
      <w:r w:rsidRPr="00670324">
        <w:rPr>
          <w:rFonts w:ascii="Verdana" w:hAnsi="Verdana"/>
          <w:sz w:val="16"/>
          <w:szCs w:val="16"/>
          <w:lang w:val="es-CO"/>
        </w:rPr>
        <w:t>Jose</w:t>
      </w:r>
      <w:proofErr w:type="spellEnd"/>
      <w:r w:rsidRPr="00670324">
        <w:rPr>
          <w:rFonts w:ascii="Verdana" w:hAnsi="Verdana"/>
          <w:sz w:val="16"/>
          <w:szCs w:val="16"/>
          <w:lang w:val="es-CO"/>
        </w:rPr>
        <w:t xml:space="preserve">́ Alejandro. Los principales contratos civiles y su paralelo con los comerciales. 16a ed. </w:t>
      </w:r>
      <w:proofErr w:type="spellStart"/>
      <w:r w:rsidRPr="00670324">
        <w:rPr>
          <w:rFonts w:ascii="Verdana" w:hAnsi="Verdana"/>
          <w:sz w:val="16"/>
          <w:szCs w:val="16"/>
          <w:lang w:val="es-CO"/>
        </w:rPr>
        <w:t>Bogota</w:t>
      </w:r>
      <w:proofErr w:type="spellEnd"/>
      <w:r w:rsidRPr="00670324">
        <w:rPr>
          <w:rFonts w:ascii="Verdana" w:hAnsi="Verdana"/>
          <w:sz w:val="16"/>
          <w:szCs w:val="16"/>
          <w:lang w:val="es-CO"/>
        </w:rPr>
        <w:t xml:space="preserve">́: </w:t>
      </w:r>
      <w:proofErr w:type="spellStart"/>
      <w:r w:rsidRPr="00670324">
        <w:rPr>
          <w:rFonts w:ascii="Verdana" w:hAnsi="Verdana"/>
          <w:sz w:val="16"/>
          <w:szCs w:val="16"/>
          <w:lang w:val="es-CO"/>
        </w:rPr>
        <w:t>Librería</w:t>
      </w:r>
      <w:proofErr w:type="spellEnd"/>
      <w:r w:rsidRPr="00670324">
        <w:rPr>
          <w:rFonts w:ascii="Verdana" w:hAnsi="Verdana"/>
          <w:sz w:val="16"/>
          <w:szCs w:val="16"/>
          <w:lang w:val="es-CO"/>
        </w:rPr>
        <w:t xml:space="preserve"> Ediciones del Profesional, 2004. p. 401</w:t>
      </w:r>
    </w:p>
    <w:p w14:paraId="529E119C" w14:textId="77777777" w:rsidR="0028758E" w:rsidRDefault="0028758E" w:rsidP="0028758E">
      <w:pPr>
        <w:pStyle w:val="Textonotapie"/>
      </w:pPr>
    </w:p>
  </w:footnote>
  <w:footnote w:id="2">
    <w:p w14:paraId="15167DFE" w14:textId="77777777" w:rsidR="0028758E" w:rsidRDefault="0028758E" w:rsidP="0028758E">
      <w:pPr>
        <w:pStyle w:val="Textonotapie"/>
      </w:pPr>
      <w:r w:rsidRPr="00B01463">
        <w:rPr>
          <w:rFonts w:ascii="Verdana" w:hAnsi="Verdana"/>
          <w:sz w:val="16"/>
          <w:szCs w:val="16"/>
          <w:vertAlign w:val="superscript"/>
        </w:rPr>
        <w:footnoteRef/>
      </w:r>
      <w:r w:rsidRPr="00B01463">
        <w:rPr>
          <w:rFonts w:ascii="Verdana" w:hAnsi="Verdana"/>
          <w:sz w:val="16"/>
          <w:szCs w:val="16"/>
        </w:rPr>
        <w:t xml:space="preserve"> CONSEJO DE ESTADO. SALA DE CONSULTA Y SERVICIO CIVIL. Sentencia del 26 de julio de 2007. </w:t>
      </w:r>
      <w:proofErr w:type="spellStart"/>
      <w:r w:rsidRPr="00B01463">
        <w:rPr>
          <w:rFonts w:ascii="Verdana" w:hAnsi="Verdana"/>
          <w:sz w:val="16"/>
          <w:szCs w:val="16"/>
        </w:rPr>
        <w:t>Exp</w:t>
      </w:r>
      <w:proofErr w:type="spellEnd"/>
      <w:r w:rsidRPr="00B01463">
        <w:rPr>
          <w:rFonts w:ascii="Verdana" w:hAnsi="Verdana"/>
          <w:sz w:val="16"/>
          <w:szCs w:val="16"/>
        </w:rPr>
        <w:t>. 1832. C.P. Luis Fernando Álvarez Jaramillo.</w:t>
      </w:r>
    </w:p>
  </w:footnote>
  <w:footnote w:id="3">
    <w:p w14:paraId="1AEC3777" w14:textId="77777777" w:rsidR="0028758E" w:rsidRPr="00B05F99" w:rsidRDefault="0028758E" w:rsidP="0028758E">
      <w:pPr>
        <w:ind w:firstLine="709"/>
        <w:jc w:val="both"/>
        <w:rPr>
          <w:rFonts w:ascii="Verdana" w:hAnsi="Verdana" w:cs="Arial"/>
          <w:color w:val="000000"/>
          <w:sz w:val="14"/>
          <w:szCs w:val="14"/>
        </w:rPr>
      </w:pPr>
      <w:r w:rsidRPr="00B05F99">
        <w:rPr>
          <w:rFonts w:ascii="Verdana" w:hAnsi="Verdana" w:cs="Arial"/>
          <w:color w:val="000000"/>
          <w:sz w:val="14"/>
          <w:szCs w:val="14"/>
          <w:vertAlign w:val="superscript"/>
        </w:rPr>
        <w:footnoteRef/>
      </w:r>
      <w:r w:rsidRPr="00B05F99">
        <w:rPr>
          <w:rFonts w:ascii="Verdana" w:hAnsi="Verdana" w:cs="Arial"/>
          <w:color w:val="000000"/>
          <w:sz w:val="14"/>
          <w:szCs w:val="14"/>
        </w:rPr>
        <w:t xml:space="preserve"> Concepto Unidad de Gestión Pensional y Parafiscales, radicado 201811200427881 del 12 de febrero de 2018.</w:t>
      </w:r>
    </w:p>
    <w:p w14:paraId="7318A0ED" w14:textId="77777777" w:rsidR="0028758E" w:rsidRDefault="0028758E" w:rsidP="0028758E">
      <w:pPr>
        <w:ind w:firstLine="709"/>
        <w:jc w:val="both"/>
      </w:pPr>
    </w:p>
  </w:footnote>
  <w:footnote w:id="4">
    <w:p w14:paraId="12E295FE" w14:textId="77777777" w:rsidR="0028758E" w:rsidRPr="00B05F99" w:rsidRDefault="0028758E" w:rsidP="0028758E">
      <w:pPr>
        <w:pStyle w:val="Textonotapie"/>
        <w:ind w:firstLine="709"/>
        <w:jc w:val="both"/>
        <w:rPr>
          <w:rFonts w:ascii="Verdana" w:hAnsi="Verdana" w:cs="Arial"/>
          <w:color w:val="000000"/>
          <w:sz w:val="14"/>
          <w:szCs w:val="14"/>
        </w:rPr>
      </w:pPr>
      <w:r w:rsidRPr="00B05F99">
        <w:rPr>
          <w:rFonts w:ascii="Verdana" w:hAnsi="Verdana" w:cs="Arial"/>
          <w:color w:val="000000"/>
          <w:sz w:val="14"/>
          <w:szCs w:val="14"/>
          <w:vertAlign w:val="superscript"/>
        </w:rPr>
        <w:footnoteRef/>
      </w:r>
      <w:r w:rsidRPr="00B05F99">
        <w:rPr>
          <w:rFonts w:ascii="Verdana" w:hAnsi="Verdana" w:cs="Arial"/>
          <w:color w:val="000000"/>
          <w:sz w:val="14"/>
          <w:szCs w:val="14"/>
        </w:rPr>
        <w:t xml:space="preserve"> Ley 797 de 2003, «Artículo 3. El artículo 15 de la Ley 100 de 1993, quedará así:</w:t>
      </w:r>
    </w:p>
    <w:p w14:paraId="19A0E859" w14:textId="77777777" w:rsidR="0028758E" w:rsidRPr="00B05F99" w:rsidRDefault="0028758E" w:rsidP="0028758E">
      <w:pPr>
        <w:pStyle w:val="Textonotapie"/>
        <w:ind w:firstLine="709"/>
        <w:jc w:val="both"/>
        <w:rPr>
          <w:rFonts w:ascii="Verdana" w:hAnsi="Verdana" w:cs="Arial"/>
          <w:color w:val="000000"/>
          <w:sz w:val="14"/>
          <w:szCs w:val="14"/>
        </w:rPr>
      </w:pPr>
      <w:r w:rsidRPr="00B05F99">
        <w:rPr>
          <w:rFonts w:ascii="Verdana" w:hAnsi="Verdana" w:cs="Arial"/>
          <w:color w:val="000000"/>
          <w:sz w:val="14"/>
          <w:szCs w:val="14"/>
        </w:rPr>
        <w:t>“Artículo 15. Afiliados. Serán afiliados al Sistema General de Pensiones:</w:t>
      </w:r>
    </w:p>
    <w:p w14:paraId="4CFE6537" w14:textId="77777777" w:rsidR="0028758E" w:rsidRPr="00B05F99" w:rsidRDefault="0028758E" w:rsidP="0028758E">
      <w:pPr>
        <w:pStyle w:val="Textonotapie"/>
        <w:ind w:firstLine="709"/>
        <w:jc w:val="both"/>
        <w:rPr>
          <w:rFonts w:ascii="Verdana" w:hAnsi="Verdana" w:cs="Arial"/>
          <w:color w:val="000000"/>
          <w:sz w:val="14"/>
          <w:szCs w:val="14"/>
        </w:rPr>
      </w:pPr>
      <w:r w:rsidRPr="00B05F99">
        <w:rPr>
          <w:rFonts w:ascii="Verdana" w:hAnsi="Verdana" w:cs="Arial"/>
          <w:color w:val="000000"/>
          <w:sz w:val="14"/>
          <w:szCs w:val="14"/>
        </w:rPr>
        <w:t>“1. En forma obligatoria: Todas aquellas personas vinculadas mediante contrato de trabajo o como servidores públicos. Así mismo, las personas naturales que presten directamente servicios al Estado o a</w:t>
      </w:r>
      <w:r w:rsidRPr="00B05F99">
        <w:rPr>
          <w:rFonts w:ascii="Arial" w:hAnsi="Arial" w:cs="Arial"/>
          <w:color w:val="000000"/>
          <w:sz w:val="19"/>
          <w:szCs w:val="19"/>
        </w:rPr>
        <w:t xml:space="preserve"> </w:t>
      </w:r>
      <w:r w:rsidRPr="00B05F99">
        <w:rPr>
          <w:rFonts w:ascii="Verdana" w:hAnsi="Verdana" w:cs="Arial"/>
          <w:color w:val="000000"/>
          <w:sz w:val="14"/>
          <w:szCs w:val="14"/>
        </w:rPr>
        <w:t>las entidades o empresas del sector privado, bajo la modalidad de contratos de prestación de servicios, o cualquier otra modalidad</w:t>
      </w:r>
      <w:r w:rsidRPr="00B05F99">
        <w:rPr>
          <w:rFonts w:ascii="Arial" w:hAnsi="Arial" w:cs="Arial"/>
          <w:color w:val="000000"/>
          <w:sz w:val="19"/>
          <w:szCs w:val="19"/>
        </w:rPr>
        <w:t xml:space="preserve"> </w:t>
      </w:r>
      <w:r w:rsidRPr="00B05F99">
        <w:rPr>
          <w:rFonts w:ascii="Verdana" w:hAnsi="Verdana" w:cs="Arial"/>
          <w:color w:val="000000"/>
          <w:sz w:val="14"/>
          <w:szCs w:val="14"/>
        </w:rPr>
        <w:t>de servicios que</w:t>
      </w:r>
      <w:r w:rsidRPr="00B05F99">
        <w:rPr>
          <w:rFonts w:ascii="Arial" w:hAnsi="Arial" w:cs="Arial"/>
          <w:color w:val="000000"/>
          <w:sz w:val="19"/>
          <w:szCs w:val="19"/>
        </w:rPr>
        <w:t xml:space="preserve"> </w:t>
      </w:r>
      <w:r w:rsidRPr="00B05F99">
        <w:rPr>
          <w:rFonts w:ascii="Verdana" w:hAnsi="Verdana" w:cs="Arial"/>
          <w:color w:val="000000"/>
          <w:sz w:val="14"/>
          <w:szCs w:val="14"/>
        </w:rPr>
        <w:t>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14:paraId="567DC260" w14:textId="77777777" w:rsidR="0028758E" w:rsidRDefault="0028758E" w:rsidP="0028758E">
      <w:pPr>
        <w:pStyle w:val="Textonotapie"/>
        <w:ind w:firstLine="709"/>
        <w:jc w:val="both"/>
      </w:pPr>
    </w:p>
  </w:footnote>
  <w:footnote w:id="5">
    <w:p w14:paraId="3196BD16" w14:textId="77777777" w:rsidR="0028758E" w:rsidRPr="00B05F99" w:rsidRDefault="0028758E" w:rsidP="0028758E">
      <w:pPr>
        <w:pStyle w:val="Textonotapie"/>
        <w:ind w:firstLine="709"/>
        <w:jc w:val="both"/>
        <w:rPr>
          <w:rFonts w:ascii="Verdana" w:hAnsi="Verdana" w:cs="Arial"/>
          <w:color w:val="000000"/>
          <w:sz w:val="14"/>
          <w:szCs w:val="14"/>
        </w:rPr>
      </w:pPr>
      <w:r w:rsidRPr="00B05F99">
        <w:rPr>
          <w:rFonts w:ascii="Verdana" w:hAnsi="Verdana" w:cs="Arial"/>
          <w:color w:val="000000"/>
          <w:sz w:val="14"/>
          <w:szCs w:val="14"/>
          <w:vertAlign w:val="superscript"/>
        </w:rPr>
        <w:footnoteRef/>
      </w:r>
      <w:r w:rsidRPr="00B05F99">
        <w:rPr>
          <w:rFonts w:ascii="Verdana" w:hAnsi="Verdana" w:cs="Arial"/>
          <w:color w:val="000000"/>
          <w:sz w:val="14"/>
          <w:szCs w:val="14"/>
        </w:rPr>
        <w:t xml:space="preserve"> Concepto del Ministerio de Salud y Protección Social, radicado No. 112520 del 31 de mayo de 2012: “Lo anterior permite entender como en los contratos que involucren la ejecución de un servicio por una persona natural en favor de una persona natural o jurídica de derecho público o privado, tales como contratos de obra, suministro, de arrendamiento de servicios, de prestación de servicios, consultoría, asesoría, es decir, bajo la modalidad de contratos de prestación de servicios o cualquier otra modalidad, el contratista deberá estar afiliado obligatoriamente al Sistema General de Seguridad Social en Pensiones y al Sistema General de Seguridad Social en Salud, y la parte contratante deberá verificar la afiliación y pago de aportes, sea cual fuere la duración o modalidad de contrato que se adopte”.</w:t>
      </w:r>
    </w:p>
    <w:p w14:paraId="7EE0B128" w14:textId="77777777" w:rsidR="0028758E" w:rsidRDefault="0028758E" w:rsidP="0028758E">
      <w:pPr>
        <w:pStyle w:val="Textonotapie"/>
        <w:ind w:firstLine="70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7CCA" w14:textId="77777777" w:rsidR="00817BE1" w:rsidRDefault="004028F9">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D73ED35" wp14:editId="235FEF72">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271BAD6" wp14:editId="5019761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72746A5" w14:textId="77777777" w:rsidR="00817BE1" w:rsidRDefault="00817BE1">
    <w:pPr>
      <w:pStyle w:val="Encabezado"/>
    </w:pPr>
  </w:p>
  <w:p w14:paraId="43B0F59C" w14:textId="77777777" w:rsidR="00817BE1" w:rsidRPr="00515FB5" w:rsidRDefault="00817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8E2"/>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1"/>
  </w:num>
  <w:num w:numId="2" w16cid:durableId="1492209491">
    <w:abstractNumId w:val="2"/>
  </w:num>
  <w:num w:numId="3" w16cid:durableId="679089576">
    <w:abstractNumId w:val="3"/>
  </w:num>
  <w:num w:numId="4" w16cid:durableId="13441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80"/>
    <w:rsid w:val="00001E3B"/>
    <w:rsid w:val="00007F70"/>
    <w:rsid w:val="00065B88"/>
    <w:rsid w:val="000B06AE"/>
    <w:rsid w:val="000B5E9B"/>
    <w:rsid w:val="000D70C1"/>
    <w:rsid w:val="000E111C"/>
    <w:rsid w:val="000E1AD4"/>
    <w:rsid w:val="000F5A42"/>
    <w:rsid w:val="001578F1"/>
    <w:rsid w:val="00161E83"/>
    <w:rsid w:val="0016282B"/>
    <w:rsid w:val="00166EFD"/>
    <w:rsid w:val="001D7255"/>
    <w:rsid w:val="0028758E"/>
    <w:rsid w:val="002A6657"/>
    <w:rsid w:val="00326FBF"/>
    <w:rsid w:val="00365C6D"/>
    <w:rsid w:val="0038765E"/>
    <w:rsid w:val="003C63D4"/>
    <w:rsid w:val="004028F9"/>
    <w:rsid w:val="00431660"/>
    <w:rsid w:val="00480680"/>
    <w:rsid w:val="004A5512"/>
    <w:rsid w:val="0058298C"/>
    <w:rsid w:val="005C34D2"/>
    <w:rsid w:val="0066201F"/>
    <w:rsid w:val="006827D6"/>
    <w:rsid w:val="006B3BFB"/>
    <w:rsid w:val="006C727B"/>
    <w:rsid w:val="006D384F"/>
    <w:rsid w:val="006F7C12"/>
    <w:rsid w:val="00736615"/>
    <w:rsid w:val="0078714D"/>
    <w:rsid w:val="00787CE5"/>
    <w:rsid w:val="00795CD0"/>
    <w:rsid w:val="007A601A"/>
    <w:rsid w:val="007F5859"/>
    <w:rsid w:val="00817BE1"/>
    <w:rsid w:val="0084352C"/>
    <w:rsid w:val="008D49B5"/>
    <w:rsid w:val="00937766"/>
    <w:rsid w:val="00A12218"/>
    <w:rsid w:val="00A90678"/>
    <w:rsid w:val="00AB4D02"/>
    <w:rsid w:val="00B1115F"/>
    <w:rsid w:val="00B31283"/>
    <w:rsid w:val="00B32C37"/>
    <w:rsid w:val="00B40008"/>
    <w:rsid w:val="00B8085A"/>
    <w:rsid w:val="00B90C0A"/>
    <w:rsid w:val="00BA21F8"/>
    <w:rsid w:val="00C5528F"/>
    <w:rsid w:val="00CA17B5"/>
    <w:rsid w:val="00CB6292"/>
    <w:rsid w:val="00D05F89"/>
    <w:rsid w:val="00D519A5"/>
    <w:rsid w:val="00DA6ED8"/>
    <w:rsid w:val="00DB041F"/>
    <w:rsid w:val="00DD357C"/>
    <w:rsid w:val="00DD3D38"/>
    <w:rsid w:val="00DE42D1"/>
    <w:rsid w:val="00E22F2D"/>
    <w:rsid w:val="00E57206"/>
    <w:rsid w:val="00E71AAD"/>
    <w:rsid w:val="00EA0F4A"/>
    <w:rsid w:val="00F57FA9"/>
    <w:rsid w:val="00F90D5F"/>
    <w:rsid w:val="00FD0F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4633"/>
  <w15:chartTrackingRefBased/>
  <w15:docId w15:val="{25A09AD3-56F7-4BC7-869E-13010255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80"/>
    <w:rPr>
      <w:kern w:val="0"/>
      <w14:ligatures w14:val="none"/>
    </w:rPr>
  </w:style>
  <w:style w:type="paragraph" w:styleId="Ttulo1">
    <w:name w:val="heading 1"/>
    <w:basedOn w:val="Normal"/>
    <w:next w:val="Normal"/>
    <w:link w:val="Ttulo1Car"/>
    <w:uiPriority w:val="9"/>
    <w:qFormat/>
    <w:rsid w:val="00480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0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06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06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06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068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068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068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068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6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06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06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06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06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06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06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06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0680"/>
    <w:rPr>
      <w:rFonts w:eastAsiaTheme="majorEastAsia" w:cstheme="majorBidi"/>
      <w:color w:val="272727" w:themeColor="text1" w:themeTint="D8"/>
    </w:rPr>
  </w:style>
  <w:style w:type="paragraph" w:styleId="Ttulo">
    <w:name w:val="Title"/>
    <w:basedOn w:val="Normal"/>
    <w:next w:val="Normal"/>
    <w:link w:val="TtuloCar"/>
    <w:uiPriority w:val="10"/>
    <w:qFormat/>
    <w:rsid w:val="00480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06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06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06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0680"/>
    <w:pPr>
      <w:spacing w:before="160"/>
      <w:jc w:val="center"/>
    </w:pPr>
    <w:rPr>
      <w:i/>
      <w:iCs/>
      <w:color w:val="404040" w:themeColor="text1" w:themeTint="BF"/>
    </w:rPr>
  </w:style>
  <w:style w:type="character" w:customStyle="1" w:styleId="CitaCar">
    <w:name w:val="Cita Car"/>
    <w:basedOn w:val="Fuentedeprrafopredeter"/>
    <w:link w:val="Cita"/>
    <w:uiPriority w:val="29"/>
    <w:rsid w:val="00480680"/>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80680"/>
    <w:pPr>
      <w:ind w:left="720"/>
      <w:contextualSpacing/>
    </w:pPr>
  </w:style>
  <w:style w:type="character" w:styleId="nfasisintenso">
    <w:name w:val="Intense Emphasis"/>
    <w:basedOn w:val="Fuentedeprrafopredeter"/>
    <w:uiPriority w:val="21"/>
    <w:qFormat/>
    <w:rsid w:val="00480680"/>
    <w:rPr>
      <w:i/>
      <w:iCs/>
      <w:color w:val="0F4761" w:themeColor="accent1" w:themeShade="BF"/>
    </w:rPr>
  </w:style>
  <w:style w:type="paragraph" w:styleId="Citadestacada">
    <w:name w:val="Intense Quote"/>
    <w:basedOn w:val="Normal"/>
    <w:next w:val="Normal"/>
    <w:link w:val="CitadestacadaCar"/>
    <w:uiPriority w:val="30"/>
    <w:qFormat/>
    <w:rsid w:val="00480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0680"/>
    <w:rPr>
      <w:i/>
      <w:iCs/>
      <w:color w:val="0F4761" w:themeColor="accent1" w:themeShade="BF"/>
    </w:rPr>
  </w:style>
  <w:style w:type="character" w:styleId="Referenciaintensa">
    <w:name w:val="Intense Reference"/>
    <w:basedOn w:val="Fuentedeprrafopredeter"/>
    <w:uiPriority w:val="32"/>
    <w:qFormat/>
    <w:rsid w:val="00480680"/>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8068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8068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8068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80680"/>
    <w:rPr>
      <w:vertAlign w:val="superscript"/>
    </w:rPr>
  </w:style>
  <w:style w:type="paragraph" w:customStyle="1" w:styleId="Appelnotedebasde">
    <w:name w:val="Appel note de bas de..."/>
    <w:basedOn w:val="Normal"/>
    <w:link w:val="Refdenotaalpie"/>
    <w:uiPriority w:val="99"/>
    <w:rsid w:val="00480680"/>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480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680"/>
    <w:rPr>
      <w:kern w:val="0"/>
      <w14:ligatures w14:val="none"/>
    </w:rPr>
  </w:style>
  <w:style w:type="paragraph" w:styleId="Piedepgina">
    <w:name w:val="footer"/>
    <w:basedOn w:val="Normal"/>
    <w:link w:val="PiedepginaCar"/>
    <w:uiPriority w:val="99"/>
    <w:unhideWhenUsed/>
    <w:rsid w:val="00480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680"/>
    <w:rPr>
      <w:kern w:val="0"/>
      <w14:ligatures w14:val="none"/>
    </w:rPr>
  </w:style>
  <w:style w:type="table" w:styleId="Tablaconcuadrcula">
    <w:name w:val="Table Grid"/>
    <w:basedOn w:val="Tablanormal"/>
    <w:uiPriority w:val="39"/>
    <w:qFormat/>
    <w:rsid w:val="004806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0680"/>
    <w:rPr>
      <w:color w:val="467886" w:themeColor="hyperlink"/>
      <w:u w:val="single"/>
    </w:rPr>
  </w:style>
  <w:style w:type="character" w:styleId="Refdecomentario">
    <w:name w:val="annotation reference"/>
    <w:basedOn w:val="Fuentedeprrafopredeter"/>
    <w:uiPriority w:val="99"/>
    <w:semiHidden/>
    <w:unhideWhenUsed/>
    <w:rsid w:val="00480680"/>
    <w:rPr>
      <w:sz w:val="16"/>
      <w:szCs w:val="16"/>
    </w:rPr>
  </w:style>
  <w:style w:type="paragraph" w:styleId="Textocomentario">
    <w:name w:val="annotation text"/>
    <w:basedOn w:val="Normal"/>
    <w:link w:val="TextocomentarioCar"/>
    <w:uiPriority w:val="99"/>
    <w:unhideWhenUsed/>
    <w:rsid w:val="00480680"/>
    <w:pPr>
      <w:spacing w:line="240" w:lineRule="auto"/>
    </w:pPr>
    <w:rPr>
      <w:sz w:val="20"/>
      <w:szCs w:val="20"/>
    </w:rPr>
  </w:style>
  <w:style w:type="character" w:customStyle="1" w:styleId="TextocomentarioCar">
    <w:name w:val="Texto comentario Car"/>
    <w:basedOn w:val="Fuentedeprrafopredeter"/>
    <w:link w:val="Textocomentario"/>
    <w:uiPriority w:val="99"/>
    <w:rsid w:val="00480680"/>
    <w:rPr>
      <w:kern w:val="0"/>
      <w:sz w:val="20"/>
      <w:szCs w:val="20"/>
      <w14:ligatures w14:val="none"/>
    </w:rPr>
  </w:style>
  <w:style w:type="character" w:customStyle="1" w:styleId="normaltextrun">
    <w:name w:val="normaltextrun"/>
    <w:basedOn w:val="Fuentedeprrafopredeter"/>
    <w:rsid w:val="00480680"/>
  </w:style>
  <w:style w:type="character" w:customStyle="1" w:styleId="eop">
    <w:name w:val="eop"/>
    <w:basedOn w:val="Fuentedeprrafopredeter"/>
    <w:rsid w:val="00480680"/>
  </w:style>
  <w:style w:type="paragraph" w:customStyle="1" w:styleId="paragraph">
    <w:name w:val="paragraph"/>
    <w:basedOn w:val="Normal"/>
    <w:rsid w:val="0048068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80680"/>
  </w:style>
  <w:style w:type="character" w:styleId="Mencinsinresolver">
    <w:name w:val="Unresolved Mention"/>
    <w:basedOn w:val="Fuentedeprrafopredeter"/>
    <w:uiPriority w:val="99"/>
    <w:semiHidden/>
    <w:unhideWhenUsed/>
    <w:rsid w:val="00CB6292"/>
    <w:rPr>
      <w:color w:val="605E5C"/>
      <w:shd w:val="clear" w:color="auto" w:fill="E1DFDD"/>
    </w:rPr>
  </w:style>
  <w:style w:type="paragraph" w:styleId="Revisin">
    <w:name w:val="Revision"/>
    <w:hidden/>
    <w:uiPriority w:val="99"/>
    <w:semiHidden/>
    <w:rsid w:val="006B3BFB"/>
    <w:pPr>
      <w:spacing w:after="0" w:line="240" w:lineRule="auto"/>
    </w:pPr>
    <w:rPr>
      <w:kern w:val="0"/>
      <w14:ligatures w14:val="none"/>
    </w:rPr>
  </w:style>
  <w:style w:type="table" w:customStyle="1" w:styleId="Tablaconcuadrcula1">
    <w:name w:val="Tabla con cuadrícula1"/>
    <w:basedOn w:val="Tablanormal"/>
    <w:next w:val="Tablaconcuadrcula"/>
    <w:uiPriority w:val="39"/>
    <w:qFormat/>
    <w:rsid w:val="004028F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454961">
      <w:bodyDiv w:val="1"/>
      <w:marLeft w:val="0"/>
      <w:marRight w:val="0"/>
      <w:marTop w:val="0"/>
      <w:marBottom w:val="0"/>
      <w:divBdr>
        <w:top w:val="none" w:sz="0" w:space="0" w:color="auto"/>
        <w:left w:val="none" w:sz="0" w:space="0" w:color="auto"/>
        <w:bottom w:val="none" w:sz="0" w:space="0" w:color="auto"/>
        <w:right w:val="none" w:sz="0" w:space="0" w:color="auto"/>
      </w:divBdr>
      <w:divsChild>
        <w:div w:id="1805123609">
          <w:marLeft w:val="0"/>
          <w:marRight w:val="0"/>
          <w:marTop w:val="0"/>
          <w:marBottom w:val="0"/>
          <w:divBdr>
            <w:top w:val="none" w:sz="0" w:space="0" w:color="auto"/>
            <w:left w:val="none" w:sz="0" w:space="0" w:color="auto"/>
            <w:bottom w:val="none" w:sz="0" w:space="0" w:color="auto"/>
            <w:right w:val="none" w:sz="0" w:space="0" w:color="auto"/>
          </w:divBdr>
        </w:div>
      </w:divsChild>
    </w:div>
    <w:div w:id="1312909356">
      <w:bodyDiv w:val="1"/>
      <w:marLeft w:val="0"/>
      <w:marRight w:val="0"/>
      <w:marTop w:val="0"/>
      <w:marBottom w:val="0"/>
      <w:divBdr>
        <w:top w:val="none" w:sz="0" w:space="0" w:color="auto"/>
        <w:left w:val="none" w:sz="0" w:space="0" w:color="auto"/>
        <w:bottom w:val="none" w:sz="0" w:space="0" w:color="auto"/>
        <w:right w:val="none" w:sz="0" w:space="0" w:color="auto"/>
      </w:divBdr>
      <w:divsChild>
        <w:div w:id="114104938">
          <w:marLeft w:val="0"/>
          <w:marRight w:val="0"/>
          <w:marTop w:val="0"/>
          <w:marBottom w:val="0"/>
          <w:divBdr>
            <w:top w:val="none" w:sz="0" w:space="0" w:color="auto"/>
            <w:left w:val="none" w:sz="0" w:space="0" w:color="auto"/>
            <w:bottom w:val="none" w:sz="0" w:space="0" w:color="auto"/>
            <w:right w:val="none" w:sz="0" w:space="0" w:color="auto"/>
          </w:divBdr>
        </w:div>
      </w:divsChild>
    </w:div>
    <w:div w:id="1452435131">
      <w:bodyDiv w:val="1"/>
      <w:marLeft w:val="0"/>
      <w:marRight w:val="0"/>
      <w:marTop w:val="0"/>
      <w:marBottom w:val="0"/>
      <w:divBdr>
        <w:top w:val="none" w:sz="0" w:space="0" w:color="auto"/>
        <w:left w:val="none" w:sz="0" w:space="0" w:color="auto"/>
        <w:bottom w:val="none" w:sz="0" w:space="0" w:color="auto"/>
        <w:right w:val="none" w:sz="0" w:space="0" w:color="auto"/>
      </w:divBdr>
      <w:divsChild>
        <w:div w:id="122317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la-camy@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02.safelinks.protection.outlook.com/?url=https%3A%2F%2Fwww.colombiacompra.gov.co%2Fsala-de-prensa%2Fboletin-digital%2Fboletin-de-relatoria-2024-iv&amp;data=05%7C02%7Candreina.cerpa%40colombiacompra.gov.co%7C616b83c3423e4d31151908dce489c00d%7C7b09041e245149d08cb179d5e3d8c1be%7C0%7C0%7C638636527545378925%7CUnknown%7CTWFpbGZsb3d8eyJWIjoiMC4wLjAwMDAiLCJQIjoiV2luMzIiLCJBTiI6Ik1haWwiLCJXVCI6Mn0%3D%7C0%7C%7C%7C&amp;sdata=Jt0VFQV8PRhWg0M5ooGBTZ7iW%2BGqNuYPrhVZ%2B4d6XHA%3D&amp;reserved=0" TargetMode="External"/><Relationship Id="rId4" Type="http://schemas.openxmlformats.org/officeDocument/2006/relationships/webSettings" Target="webSettings.xml"/><Relationship Id="rId9" Type="http://schemas.openxmlformats.org/officeDocument/2006/relationships/hyperlink" Target="https://relatoria.colombiacompra.gov.co/busqueda/concep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15</Pages>
  <Words>4269</Words>
  <Characters>23484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53</cp:revision>
  <dcterms:created xsi:type="dcterms:W3CDTF">2024-10-04T21:28:00Z</dcterms:created>
  <dcterms:modified xsi:type="dcterms:W3CDTF">2024-11-12T13:39:00Z</dcterms:modified>
</cp:coreProperties>
</file>