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70529" w14:textId="77777777" w:rsidR="004275DC" w:rsidRDefault="004275DC" w:rsidP="004275DC">
      <w:pPr>
        <w:spacing w:line="240" w:lineRule="auto"/>
        <w:jc w:val="both"/>
        <w:rPr>
          <w:rFonts w:ascii="Verdana" w:hAnsi="Verdana" w:cs="Arial"/>
          <w:b/>
          <w:sz w:val="20"/>
          <w:szCs w:val="20"/>
          <w:lang w:val="es-MX"/>
        </w:rPr>
      </w:pPr>
    </w:p>
    <w:p w14:paraId="4DCFCD87" w14:textId="2D1C416F" w:rsidR="004275DC" w:rsidRDefault="004275DC" w:rsidP="004275DC">
      <w:pPr>
        <w:spacing w:line="240" w:lineRule="auto"/>
        <w:jc w:val="both"/>
        <w:rPr>
          <w:rFonts w:ascii="Verdana" w:hAnsi="Verdana" w:cs="Arial"/>
          <w:b/>
          <w:sz w:val="20"/>
          <w:szCs w:val="20"/>
          <w:lang w:val="es-MX"/>
        </w:rPr>
      </w:pPr>
      <w:r w:rsidRPr="00433B96">
        <w:rPr>
          <w:rFonts w:ascii="Verdana" w:hAnsi="Verdana" w:cs="Arial"/>
          <w:b/>
          <w:sz w:val="20"/>
          <w:szCs w:val="20"/>
          <w:lang w:val="es-MX"/>
        </w:rPr>
        <w:t xml:space="preserve">DEFINICIÓN DE LA SITUACIÓN MILITAR – Verificación </w:t>
      </w:r>
    </w:p>
    <w:p w14:paraId="35E1A8FA" w14:textId="77777777" w:rsidR="004275DC" w:rsidRPr="00433B96" w:rsidRDefault="004275DC" w:rsidP="004275DC">
      <w:pPr>
        <w:spacing w:line="240" w:lineRule="auto"/>
        <w:jc w:val="both"/>
        <w:rPr>
          <w:rFonts w:ascii="Verdana" w:hAnsi="Verdana" w:cs="Arial"/>
          <w:b/>
          <w:sz w:val="20"/>
          <w:szCs w:val="20"/>
          <w:lang w:val="es-MX"/>
        </w:rPr>
      </w:pPr>
    </w:p>
    <w:p w14:paraId="380C83FE" w14:textId="77777777" w:rsidR="004275DC" w:rsidRPr="00433B96" w:rsidRDefault="004275DC" w:rsidP="004275DC">
      <w:pPr>
        <w:spacing w:line="240" w:lineRule="auto"/>
        <w:jc w:val="both"/>
        <w:rPr>
          <w:rFonts w:ascii="Verdana" w:hAnsi="Verdana" w:cs="Arial"/>
          <w:bCs/>
          <w:sz w:val="20"/>
          <w:szCs w:val="20"/>
          <w:lang w:val="es-MX"/>
        </w:rPr>
      </w:pPr>
      <w:r w:rsidRPr="00433B96">
        <w:rPr>
          <w:rFonts w:ascii="Verdana" w:hAnsi="Verdana" w:cs="Arial"/>
          <w:bCs/>
          <w:sz w:val="20"/>
          <w:szCs w:val="20"/>
          <w:lang w:val="es-MX"/>
        </w:rPr>
        <w:t>[…] se entiende que la situación militar se acredita resuelta o definida cuando el ciudadano posee tarjeta de reservista militar (primera o segunda clase), el certificado digital o cédula militar de que de que tratan los artículos 35, 40 y 41 de la Ley 1861 de 2017.</w:t>
      </w:r>
    </w:p>
    <w:p w14:paraId="533079D8" w14:textId="77777777" w:rsidR="004275DC" w:rsidRPr="00433B96" w:rsidRDefault="004275DC" w:rsidP="004275DC">
      <w:pPr>
        <w:spacing w:line="240" w:lineRule="auto"/>
        <w:jc w:val="both"/>
        <w:rPr>
          <w:rFonts w:ascii="Verdana" w:hAnsi="Verdana" w:cs="Arial"/>
          <w:bCs/>
          <w:sz w:val="20"/>
          <w:szCs w:val="20"/>
          <w:lang w:val="es-MX"/>
        </w:rPr>
      </w:pPr>
      <w:r w:rsidRPr="00433B96">
        <w:rPr>
          <w:rFonts w:ascii="Verdana" w:hAnsi="Verdana" w:cs="Arial"/>
          <w:bCs/>
          <w:sz w:val="20"/>
          <w:szCs w:val="20"/>
          <w:lang w:val="es-MX"/>
        </w:rPr>
        <w:t>[…]</w:t>
      </w:r>
    </w:p>
    <w:p w14:paraId="05BF33C1" w14:textId="77777777" w:rsidR="004275DC" w:rsidRPr="00433B96" w:rsidRDefault="004275DC" w:rsidP="004275DC">
      <w:pPr>
        <w:spacing w:line="240" w:lineRule="auto"/>
        <w:jc w:val="both"/>
        <w:rPr>
          <w:rFonts w:ascii="Verdana" w:hAnsi="Verdana" w:cs="Arial"/>
          <w:bCs/>
          <w:sz w:val="20"/>
          <w:szCs w:val="20"/>
          <w:lang w:val="es-ES_tradnl"/>
        </w:rPr>
      </w:pPr>
      <w:r w:rsidRPr="00433B96">
        <w:rPr>
          <w:rFonts w:ascii="Verdana" w:hAnsi="Verdana" w:cs="Arial"/>
          <w:bCs/>
          <w:sz w:val="20"/>
          <w:szCs w:val="20"/>
          <w:lang w:val="es-ES_tradnl"/>
        </w:rPr>
        <w:t xml:space="preserve">Los ciudadanos que pretendan suscribir un contrato de prestación de servicios con una Entidad Estatal podrán acreditar su situación militar de la siguiente manera: i) copia de la libreta militar; o ii) certificación provisional en línea la cual acreditará que su situación militar se encuentra en trámite;  o iii) declaración juramentada, en la que el ciudadano manifiesta que ha realizado  las actuaciones tendientes a definir su situación militar –esta puede materializarse en virtud del principio constitucional de buena fe a través de cualquier documento que allegue el ciudadano con la respectiva declaración o, incluso a través de formatos estandarizados por la Entidad Estatal para dicho fin–; o iv) cualquier otro medio de prueba que resulte conducente para demostrar que la persona con la que se va a suscribir el contrato es beneficiario de la prerrogativa establecida en el artículo 42 de la Ley 1861 de 2017 y ha adelantado actuaciones tendientes a definir su situación militar. La Entidad Estatal contratante deberá estudiar los medios de prueba presentados por el ciudadano, analizando si este cumple o no con los presupuestos indicados en el segundo inciso del artículo 42 de la Ley 1861 de 2017. </w:t>
      </w:r>
      <w:r w:rsidRPr="00433B96">
        <w:rPr>
          <w:rFonts w:ascii="Verdana" w:hAnsi="Verdana" w:cs="Arial"/>
          <w:bCs/>
          <w:sz w:val="20"/>
          <w:szCs w:val="20"/>
          <w:lang w:val="es-MX"/>
        </w:rPr>
        <w:t>[…]</w:t>
      </w:r>
    </w:p>
    <w:p w14:paraId="5DE0E00B" w14:textId="77777777" w:rsidR="004275DC" w:rsidRDefault="004275DC" w:rsidP="004275DC">
      <w:pPr>
        <w:spacing w:line="240" w:lineRule="auto"/>
        <w:jc w:val="both"/>
        <w:rPr>
          <w:rFonts w:ascii="Verdana" w:hAnsi="Verdana" w:cs="Arial"/>
          <w:b/>
          <w:sz w:val="20"/>
          <w:szCs w:val="20"/>
          <w:lang w:val="es-MX"/>
        </w:rPr>
      </w:pPr>
    </w:p>
    <w:p w14:paraId="13313641" w14:textId="185DB476" w:rsidR="004275DC" w:rsidRDefault="004275DC" w:rsidP="004275DC">
      <w:pPr>
        <w:spacing w:line="240" w:lineRule="auto"/>
        <w:jc w:val="both"/>
        <w:rPr>
          <w:rFonts w:ascii="Verdana" w:hAnsi="Verdana" w:cs="Arial"/>
          <w:b/>
          <w:sz w:val="20"/>
          <w:szCs w:val="20"/>
          <w:lang w:val="es-MX"/>
        </w:rPr>
      </w:pPr>
      <w:r w:rsidRPr="00433B96">
        <w:rPr>
          <w:rFonts w:ascii="Verdana" w:hAnsi="Verdana" w:cs="Arial"/>
          <w:b/>
          <w:sz w:val="20"/>
          <w:szCs w:val="20"/>
          <w:lang w:val="es-MX"/>
        </w:rPr>
        <w:t>ACREDITACIÓN DE LA SITUACIÓN MILITAR – Exigibilidad – Personas naturales – Personas jurídicas – Consorcio – Unión Temporal – Representante legal</w:t>
      </w:r>
    </w:p>
    <w:p w14:paraId="71BF2076" w14:textId="77777777" w:rsidR="004275DC" w:rsidRPr="00433B96" w:rsidRDefault="004275DC" w:rsidP="004275DC">
      <w:pPr>
        <w:spacing w:line="240" w:lineRule="auto"/>
        <w:jc w:val="both"/>
        <w:rPr>
          <w:rFonts w:ascii="Verdana" w:hAnsi="Verdana" w:cs="Arial"/>
          <w:b/>
          <w:sz w:val="20"/>
          <w:szCs w:val="20"/>
          <w:lang w:val="es-MX"/>
        </w:rPr>
      </w:pPr>
    </w:p>
    <w:p w14:paraId="61FB057F" w14:textId="77777777" w:rsidR="004275DC" w:rsidRPr="00433B96" w:rsidRDefault="004275DC" w:rsidP="004275DC">
      <w:pPr>
        <w:spacing w:line="240" w:lineRule="auto"/>
        <w:jc w:val="both"/>
        <w:rPr>
          <w:rFonts w:ascii="Verdana" w:hAnsi="Verdana" w:cs="Arial"/>
          <w:b/>
          <w:sz w:val="20"/>
          <w:szCs w:val="20"/>
          <w:lang w:val="es-MX"/>
        </w:rPr>
      </w:pPr>
      <w:r w:rsidRPr="00433B96">
        <w:rPr>
          <w:rFonts w:ascii="Verdana" w:hAnsi="Verdana" w:cs="Arial"/>
          <w:bCs/>
          <w:sz w:val="20"/>
          <w:szCs w:val="20"/>
          <w:lang w:val="es-MX"/>
        </w:rPr>
        <w:t xml:space="preserve">[…] </w:t>
      </w:r>
      <w:r w:rsidRPr="00433B96">
        <w:rPr>
          <w:rFonts w:ascii="Verdana" w:eastAsia="Calibri" w:hAnsi="Verdana" w:cs="Arial"/>
          <w:sz w:val="20"/>
          <w:szCs w:val="20"/>
        </w:rPr>
        <w:t>El ámbito de aplicación del requisito al que se refiere el primer inciso del artículo 42 de la Ley 1861 de 2017 se circunscribe a la tipología contractual contemplada en el numeral 3 del artículo 32 de la Ley 80 de 1993, cuando haya lugar a su celebración con personas naturales, específicamente, con varón es de nacionalidad colombiana.</w:t>
      </w:r>
    </w:p>
    <w:p w14:paraId="760EC794" w14:textId="77777777" w:rsidR="004275DC" w:rsidRPr="00433B96" w:rsidRDefault="004275DC" w:rsidP="004275DC">
      <w:pPr>
        <w:spacing w:line="240" w:lineRule="auto"/>
        <w:jc w:val="both"/>
        <w:rPr>
          <w:rFonts w:ascii="Verdana" w:hAnsi="Verdana" w:cs="Arial"/>
          <w:bCs/>
          <w:sz w:val="20"/>
          <w:szCs w:val="20"/>
          <w:lang w:val="es-MX"/>
        </w:rPr>
      </w:pPr>
      <w:r w:rsidRPr="00433B96">
        <w:rPr>
          <w:rFonts w:ascii="Verdana" w:hAnsi="Verdana" w:cs="Arial"/>
          <w:bCs/>
          <w:sz w:val="20"/>
          <w:szCs w:val="20"/>
          <w:lang w:val="es-MX"/>
        </w:rPr>
        <w:t xml:space="preserve">[…] </w:t>
      </w:r>
    </w:p>
    <w:p w14:paraId="300B6EEE" w14:textId="77777777" w:rsidR="004275DC" w:rsidRPr="00433B96" w:rsidRDefault="004275DC" w:rsidP="004275DC">
      <w:pPr>
        <w:spacing w:line="240" w:lineRule="auto"/>
        <w:jc w:val="both"/>
        <w:rPr>
          <w:rFonts w:ascii="Verdana" w:hAnsi="Verdana" w:cs="Arial"/>
          <w:bCs/>
          <w:sz w:val="20"/>
          <w:szCs w:val="20"/>
          <w:lang w:val="es-MX"/>
        </w:rPr>
      </w:pPr>
      <w:r w:rsidRPr="00433B96">
        <w:rPr>
          <w:rFonts w:ascii="Verdana" w:hAnsi="Verdana" w:cs="Arial"/>
          <w:bCs/>
          <w:sz w:val="20"/>
          <w:szCs w:val="20"/>
          <w:lang w:val="es-MX"/>
        </w:rPr>
        <w:t>En sentido, lo dispuesto en el primer inciso del artículo 42 de la Ley 1861 de 2017 , tampoco implica que de manera obligatoria se deba exigir la acreditación del estado de definición de la situación militar a los representantes legales de las personas jurídicas que pretendan suscribir contratos estatales, ya que si bien el representante sea una persona natural, este concurre el negocio jurídico en representación de una persona jurídica a la que no resulta aplicable el requisito, menos aun si no se trata de un contrato de prestación de servicios profesionales o de apoyo a la gestión.</w:t>
      </w:r>
    </w:p>
    <w:p w14:paraId="41AB652C" w14:textId="77777777" w:rsidR="004275DC" w:rsidRPr="00433B96" w:rsidRDefault="004275DC" w:rsidP="004275DC">
      <w:pPr>
        <w:spacing w:line="240" w:lineRule="auto"/>
        <w:jc w:val="both"/>
        <w:rPr>
          <w:rFonts w:ascii="Verdana" w:hAnsi="Verdana" w:cs="Arial"/>
          <w:bCs/>
          <w:sz w:val="20"/>
          <w:szCs w:val="20"/>
          <w:lang w:val="es-MX"/>
        </w:rPr>
      </w:pPr>
      <w:r w:rsidRPr="00433B96">
        <w:rPr>
          <w:rFonts w:ascii="Verdana" w:hAnsi="Verdana" w:cs="Arial"/>
          <w:bCs/>
          <w:sz w:val="20"/>
          <w:szCs w:val="20"/>
          <w:lang w:val="es-MX"/>
        </w:rPr>
        <w:t xml:space="preserve">[…] </w:t>
      </w:r>
    </w:p>
    <w:p w14:paraId="6755121D" w14:textId="77777777" w:rsidR="004275DC" w:rsidRPr="00433B96" w:rsidRDefault="004275DC" w:rsidP="004275DC">
      <w:pPr>
        <w:spacing w:line="240" w:lineRule="auto"/>
        <w:jc w:val="both"/>
        <w:rPr>
          <w:rFonts w:ascii="Verdana" w:hAnsi="Verdana" w:cs="Arial"/>
          <w:bCs/>
          <w:sz w:val="20"/>
          <w:szCs w:val="20"/>
          <w:lang w:val="es-MX"/>
        </w:rPr>
      </w:pPr>
      <w:r w:rsidRPr="00433B96">
        <w:rPr>
          <w:rFonts w:ascii="Verdana" w:hAnsi="Verdana" w:cs="Arial"/>
          <w:bCs/>
          <w:sz w:val="20"/>
          <w:szCs w:val="20"/>
          <w:lang w:val="es-MX"/>
        </w:rPr>
        <w:lastRenderedPageBreak/>
        <w:t xml:space="preserve">Lo mismo podría decirse mutatis mutandis respecto de los representantes legales de consorcios o uniones temporales, quienes por lo general concurren a la estructura plural en representación de personas jurídicas, caso en el cual, por las razones antes explicadas, tampoco sería aplicable el requisito. No obstante, el requisito del inciso primero del artículo 42 de la Ley 1861 de 2017 si resultara exigible respecto de los miembros del consocio o unión que tengan la obligación de definir su situación militar con arreglo al artículo 11 de la referida ley, pero únicamente cuando el negocio jurídico a celebrar se trate de un contrato de prestación de servicios profesionales o de apoyo a la gestión. […] </w:t>
      </w:r>
    </w:p>
    <w:p w14:paraId="4D24342E" w14:textId="77777777" w:rsidR="004275DC" w:rsidRDefault="004275DC" w:rsidP="004275DC">
      <w:pPr>
        <w:spacing w:line="240" w:lineRule="auto"/>
        <w:jc w:val="both"/>
        <w:rPr>
          <w:rFonts w:ascii="Verdana" w:hAnsi="Verdana" w:cs="Arial"/>
          <w:b/>
          <w:sz w:val="20"/>
          <w:szCs w:val="20"/>
          <w:lang w:val="es-MX"/>
        </w:rPr>
      </w:pPr>
    </w:p>
    <w:p w14:paraId="45A4C72A" w14:textId="4C4D50DE" w:rsidR="004275DC" w:rsidRDefault="004275DC" w:rsidP="004275DC">
      <w:pPr>
        <w:spacing w:line="240" w:lineRule="auto"/>
        <w:jc w:val="both"/>
        <w:rPr>
          <w:rFonts w:ascii="Verdana" w:hAnsi="Verdana" w:cs="Arial"/>
          <w:b/>
          <w:sz w:val="20"/>
          <w:szCs w:val="20"/>
          <w:lang w:val="es-MX"/>
        </w:rPr>
      </w:pPr>
      <w:r w:rsidRPr="00433B96">
        <w:rPr>
          <w:rFonts w:ascii="Verdana" w:hAnsi="Verdana" w:cs="Arial"/>
          <w:b/>
          <w:sz w:val="20"/>
          <w:szCs w:val="20"/>
          <w:lang w:val="es-MX"/>
        </w:rPr>
        <w:t>SECOP II – Obligatoriedad</w:t>
      </w:r>
    </w:p>
    <w:p w14:paraId="7AB9C5B5" w14:textId="77777777" w:rsidR="004275DC" w:rsidRPr="00433B96" w:rsidRDefault="004275DC" w:rsidP="004275DC">
      <w:pPr>
        <w:spacing w:line="240" w:lineRule="auto"/>
        <w:jc w:val="both"/>
        <w:rPr>
          <w:rFonts w:ascii="Verdana" w:hAnsi="Verdana" w:cs="Arial"/>
          <w:b/>
          <w:sz w:val="20"/>
          <w:szCs w:val="20"/>
          <w:lang w:val="es-MX"/>
        </w:rPr>
      </w:pPr>
    </w:p>
    <w:p w14:paraId="5D796DEC" w14:textId="77777777" w:rsidR="004275DC" w:rsidRPr="00433B96" w:rsidRDefault="004275DC" w:rsidP="004275DC">
      <w:pPr>
        <w:spacing w:line="240" w:lineRule="auto"/>
        <w:jc w:val="both"/>
        <w:rPr>
          <w:rFonts w:ascii="Verdana" w:hAnsi="Verdana" w:cs="Arial"/>
          <w:bCs/>
          <w:sz w:val="20"/>
          <w:szCs w:val="20"/>
          <w:lang w:val="es-MX"/>
        </w:rPr>
      </w:pPr>
      <w:r w:rsidRPr="00433B96">
        <w:rPr>
          <w:rFonts w:ascii="Verdana" w:hAnsi="Verdana" w:cs="Arial"/>
          <w:bCs/>
          <w:sz w:val="20"/>
          <w:szCs w:val="20"/>
          <w:lang w:val="es-MX"/>
        </w:rPr>
        <w:t xml:space="preserve">[…] </w:t>
      </w:r>
      <w:r w:rsidRPr="00433B96">
        <w:rPr>
          <w:rFonts w:ascii="Verdana" w:eastAsia="Times New Roman" w:hAnsi="Verdana" w:cs="Arial"/>
          <w:sz w:val="20"/>
          <w:szCs w:val="20"/>
          <w:lang w:val="es-MX"/>
        </w:rPr>
        <w:t>El principio de publicidad impone a las autoridades el deber de dar a conocer sus actos, contratos y decisiones, para que se divulguen y eventualmente se controlen dichas actuaciones. Es por eso que, en materia de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p>
    <w:p w14:paraId="167AE482" w14:textId="77777777" w:rsidR="004275DC" w:rsidRPr="00433B96" w:rsidRDefault="004275DC" w:rsidP="004275DC">
      <w:pPr>
        <w:spacing w:after="0" w:line="240" w:lineRule="auto"/>
        <w:jc w:val="both"/>
        <w:rPr>
          <w:rFonts w:ascii="Verdana" w:eastAsia="Times New Roman" w:hAnsi="Verdana" w:cs="Arial"/>
          <w:sz w:val="20"/>
          <w:szCs w:val="20"/>
          <w:lang w:val="es-MX"/>
        </w:rPr>
      </w:pPr>
    </w:p>
    <w:p w14:paraId="039D06AD" w14:textId="77777777" w:rsidR="004275DC" w:rsidRPr="00433B96" w:rsidRDefault="004275DC" w:rsidP="004275DC">
      <w:pPr>
        <w:spacing w:line="240" w:lineRule="auto"/>
        <w:jc w:val="both"/>
        <w:rPr>
          <w:rFonts w:ascii="Verdana" w:hAnsi="Verdana" w:cs="Arial"/>
          <w:bCs/>
          <w:sz w:val="20"/>
          <w:szCs w:val="20"/>
          <w:lang w:val="es-MX"/>
        </w:rPr>
      </w:pPr>
      <w:r w:rsidRPr="00433B96">
        <w:rPr>
          <w:rFonts w:ascii="Verdana" w:eastAsia="Times New Roman" w:hAnsi="Verdana" w:cs="Arial"/>
          <w:sz w:val="20"/>
          <w:szCs w:val="20"/>
          <w:lang w:val="es-MX"/>
        </w:rPr>
        <w:t xml:space="preserve">La Ley 2195 de 2022, por medio de la cual se adoptan medidas en materia de transparencia, prevención y lucha contra la corrupción. Según lo dispone su artículo 1, esta Ley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w:t>
      </w:r>
      <w:r>
        <w:rPr>
          <w:rFonts w:ascii="Verdana" w:eastAsia="Times New Roman" w:hAnsi="Verdana" w:cs="Arial"/>
          <w:sz w:val="20"/>
          <w:szCs w:val="20"/>
          <w:lang w:val="es-MX"/>
        </w:rPr>
        <w:t>E</w:t>
      </w:r>
      <w:r w:rsidRPr="00433B96">
        <w:rPr>
          <w:rFonts w:ascii="Verdana" w:eastAsia="Times New Roman" w:hAnsi="Verdana" w:cs="Arial"/>
          <w:sz w:val="20"/>
          <w:szCs w:val="20"/>
          <w:lang w:val="es-MX"/>
        </w:rPr>
        <w:t>ntidades que por disposición legal cuenten con un régimen contractual excepcional al del Estatuto General de Contratación de la Administración Pública de publicar los documentos relacionados con su actividad contractual en el Sistema Electrónico para la Contratación Pública –SECOP II- o la plataforma transaccional que haga sus veces.</w:t>
      </w:r>
      <w:r>
        <w:rPr>
          <w:rFonts w:ascii="Verdana" w:eastAsia="Times New Roman" w:hAnsi="Verdana" w:cs="Arial"/>
          <w:sz w:val="20"/>
          <w:szCs w:val="20"/>
          <w:lang w:val="es-MX"/>
        </w:rPr>
        <w:t xml:space="preserve"> </w:t>
      </w:r>
      <w:r w:rsidRPr="00433B96">
        <w:rPr>
          <w:rFonts w:ascii="Verdana" w:hAnsi="Verdana" w:cs="Arial"/>
          <w:bCs/>
          <w:sz w:val="20"/>
          <w:szCs w:val="20"/>
          <w:lang w:val="es-MX"/>
        </w:rPr>
        <w:t>[…]</w:t>
      </w:r>
    </w:p>
    <w:p w14:paraId="43C049AF" w14:textId="77777777" w:rsidR="00FF381E" w:rsidRDefault="00FF381E" w:rsidP="00871985">
      <w:pPr>
        <w:spacing w:after="0" w:line="240" w:lineRule="auto"/>
        <w:rPr>
          <w:rFonts w:ascii="Verdana" w:eastAsia="Geomanist Light" w:hAnsi="Verdana" w:cs="Arial"/>
          <w:color w:val="000000" w:themeColor="text1"/>
          <w:lang w:val="es-MX"/>
        </w:rPr>
      </w:pPr>
    </w:p>
    <w:p w14:paraId="61A90714" w14:textId="77777777" w:rsidR="00FF381E" w:rsidRDefault="00FF381E" w:rsidP="00871985">
      <w:pPr>
        <w:spacing w:after="0" w:line="240" w:lineRule="auto"/>
        <w:rPr>
          <w:rFonts w:ascii="Verdana" w:eastAsia="Geomanist Light" w:hAnsi="Verdana" w:cs="Arial"/>
          <w:color w:val="000000" w:themeColor="text1"/>
          <w:lang w:val="es-MX"/>
        </w:rPr>
      </w:pPr>
    </w:p>
    <w:p w14:paraId="7CD2DB7E" w14:textId="77777777" w:rsidR="00FF381E" w:rsidRDefault="00FF381E" w:rsidP="00871985">
      <w:pPr>
        <w:spacing w:after="0" w:line="240" w:lineRule="auto"/>
        <w:rPr>
          <w:rFonts w:ascii="Verdana" w:eastAsia="Geomanist Light" w:hAnsi="Verdana" w:cs="Arial"/>
          <w:color w:val="000000" w:themeColor="text1"/>
          <w:lang w:val="es-MX"/>
        </w:rPr>
      </w:pPr>
    </w:p>
    <w:p w14:paraId="41D78AAC" w14:textId="77777777" w:rsidR="00FF381E" w:rsidRDefault="00FF381E" w:rsidP="00871985">
      <w:pPr>
        <w:spacing w:after="0" w:line="240" w:lineRule="auto"/>
        <w:rPr>
          <w:rFonts w:ascii="Verdana" w:eastAsia="Geomanist Light" w:hAnsi="Verdana" w:cs="Arial"/>
          <w:color w:val="000000" w:themeColor="text1"/>
          <w:lang w:val="es-MX"/>
        </w:rPr>
      </w:pPr>
    </w:p>
    <w:p w14:paraId="7E324DFC" w14:textId="77777777" w:rsidR="00FF381E" w:rsidRDefault="00FF381E" w:rsidP="00871985">
      <w:pPr>
        <w:spacing w:after="0" w:line="240" w:lineRule="auto"/>
        <w:rPr>
          <w:rFonts w:ascii="Verdana" w:eastAsia="Geomanist Light" w:hAnsi="Verdana" w:cs="Arial"/>
          <w:color w:val="000000" w:themeColor="text1"/>
          <w:lang w:val="es-MX"/>
        </w:rPr>
      </w:pPr>
    </w:p>
    <w:p w14:paraId="2DFB64EB" w14:textId="77777777" w:rsidR="00FF381E" w:rsidRDefault="00FF381E" w:rsidP="00871985">
      <w:pPr>
        <w:spacing w:after="0" w:line="240" w:lineRule="auto"/>
        <w:rPr>
          <w:rFonts w:ascii="Verdana" w:eastAsia="Geomanist Light" w:hAnsi="Verdana" w:cs="Arial"/>
          <w:color w:val="000000" w:themeColor="text1"/>
          <w:lang w:val="es-MX"/>
        </w:rPr>
      </w:pPr>
    </w:p>
    <w:p w14:paraId="6C32A6B4" w14:textId="77777777" w:rsidR="00FF381E" w:rsidRDefault="00FF381E" w:rsidP="00871985">
      <w:pPr>
        <w:spacing w:after="0" w:line="240" w:lineRule="auto"/>
        <w:rPr>
          <w:rFonts w:ascii="Verdana" w:eastAsia="Geomanist Light" w:hAnsi="Verdana" w:cs="Arial"/>
          <w:color w:val="000000" w:themeColor="text1"/>
          <w:lang w:val="es-MX"/>
        </w:rPr>
      </w:pPr>
    </w:p>
    <w:p w14:paraId="15EC5244" w14:textId="77777777" w:rsidR="00FF381E" w:rsidRDefault="00FF381E" w:rsidP="00871985">
      <w:pPr>
        <w:spacing w:after="0" w:line="240" w:lineRule="auto"/>
        <w:rPr>
          <w:rFonts w:ascii="Verdana" w:eastAsia="Geomanist Light" w:hAnsi="Verdana" w:cs="Arial"/>
          <w:color w:val="000000" w:themeColor="text1"/>
          <w:lang w:val="es-MX"/>
        </w:rPr>
      </w:pPr>
    </w:p>
    <w:p w14:paraId="38F082BE" w14:textId="77777777" w:rsidR="00FF381E" w:rsidRDefault="00FF381E" w:rsidP="00871985">
      <w:pPr>
        <w:spacing w:after="0" w:line="240" w:lineRule="auto"/>
        <w:rPr>
          <w:rFonts w:ascii="Verdana" w:eastAsia="Geomanist Light" w:hAnsi="Verdana" w:cs="Arial"/>
          <w:color w:val="000000" w:themeColor="text1"/>
          <w:lang w:val="es-MX"/>
        </w:rPr>
      </w:pPr>
    </w:p>
    <w:p w14:paraId="3CC93663" w14:textId="77777777" w:rsidR="004275DC" w:rsidRDefault="004275DC" w:rsidP="00871985">
      <w:pPr>
        <w:spacing w:after="0" w:line="240" w:lineRule="auto"/>
        <w:rPr>
          <w:rFonts w:ascii="Verdana" w:eastAsia="Geomanist Light" w:hAnsi="Verdana" w:cs="Arial"/>
          <w:color w:val="000000" w:themeColor="text1"/>
          <w:lang w:val="es-MX"/>
        </w:rPr>
      </w:pPr>
    </w:p>
    <w:p w14:paraId="10E4C41B" w14:textId="56CE20B2" w:rsidR="00871985" w:rsidRPr="00115E3D" w:rsidRDefault="00871985" w:rsidP="00871985">
      <w:pPr>
        <w:spacing w:after="0" w:line="240" w:lineRule="auto"/>
        <w:rPr>
          <w:rFonts w:ascii="Verdana" w:eastAsia="Geomanist Light" w:hAnsi="Verdana" w:cs="Arial"/>
          <w:color w:val="000000" w:themeColor="text1"/>
          <w:lang w:val="es-MX"/>
        </w:rPr>
      </w:pPr>
      <w:r w:rsidRPr="00115E3D">
        <w:rPr>
          <w:rFonts w:ascii="Verdana" w:eastAsia="Geomanist Light" w:hAnsi="Verdana" w:cs="Arial"/>
          <w:color w:val="000000" w:themeColor="text1"/>
          <w:lang w:val="es-MX"/>
        </w:rPr>
        <w:t>Bogotá D.C., [Día] de [Mes.NombreCapitalizado] de [Año]</w:t>
      </w:r>
    </w:p>
    <w:p w14:paraId="3343F2D6" w14:textId="77777777" w:rsidR="00871985" w:rsidRDefault="00871985" w:rsidP="00871985">
      <w:pPr>
        <w:spacing w:after="0" w:line="240" w:lineRule="auto"/>
        <w:jc w:val="both"/>
        <w:rPr>
          <w:rFonts w:ascii="Verdana" w:eastAsia="Calibri" w:hAnsi="Verdana" w:cs="Arial"/>
          <w:color w:val="000000" w:themeColor="text1"/>
          <w:lang w:val="es-ES"/>
        </w:rPr>
      </w:pPr>
    </w:p>
    <w:p w14:paraId="50C7C9F7" w14:textId="469F2279" w:rsidR="00871985" w:rsidRPr="00115E3D" w:rsidRDefault="00F22B32" w:rsidP="00871985">
      <w:pPr>
        <w:spacing w:after="0" w:line="240" w:lineRule="auto"/>
        <w:jc w:val="both"/>
        <w:rPr>
          <w:rFonts w:ascii="Verdana" w:eastAsia="Calibri" w:hAnsi="Verdana" w:cs="Arial"/>
          <w:color w:val="000000" w:themeColor="text1"/>
          <w:lang w:val="es-ES"/>
        </w:rPr>
      </w:pPr>
      <w:r w:rsidRPr="0042374E">
        <w:rPr>
          <w:rFonts w:ascii="Verdana" w:eastAsia="Calibri" w:hAnsi="Verdana" w:cs="Arial"/>
          <w:color w:val="000000" w:themeColor="text1"/>
          <w:lang w:val="es-ES" w:eastAsia="es-ES"/>
        </w:rPr>
        <w:drawing>
          <wp:anchor distT="0" distB="0" distL="114300" distR="114300" simplePos="0" relativeHeight="251658240" behindDoc="1" locked="0" layoutInCell="1" allowOverlap="1" wp14:anchorId="6806C358" wp14:editId="7D364C51">
            <wp:simplePos x="0" y="0"/>
            <wp:positionH relativeFrom="column">
              <wp:posOffset>2854325</wp:posOffset>
            </wp:positionH>
            <wp:positionV relativeFrom="paragraph">
              <wp:posOffset>83820</wp:posOffset>
            </wp:positionV>
            <wp:extent cx="3371850" cy="1009650"/>
            <wp:effectExtent l="0" t="0" r="0" b="0"/>
            <wp:wrapTight wrapText="bothSides">
              <wp:wrapPolygon edited="0">
                <wp:start x="0" y="0"/>
                <wp:lineTo x="0" y="21192"/>
                <wp:lineTo x="21478" y="21192"/>
                <wp:lineTo x="21478" y="0"/>
                <wp:lineTo x="0" y="0"/>
              </wp:wrapPolygon>
            </wp:wrapTight>
            <wp:docPr id="477212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1238" name="Imagen 1"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3371850" cy="1009650"/>
                    </a:xfrm>
                    <a:prstGeom prst="rect">
                      <a:avLst/>
                    </a:prstGeom>
                  </pic:spPr>
                </pic:pic>
              </a:graphicData>
            </a:graphic>
          </wp:anchor>
        </w:drawing>
      </w:r>
    </w:p>
    <w:p w14:paraId="1D409C05" w14:textId="458CD39E" w:rsidR="00FF381E" w:rsidRDefault="00FF381E" w:rsidP="00871985">
      <w:pPr>
        <w:spacing w:after="0" w:line="276" w:lineRule="auto"/>
        <w:jc w:val="both"/>
        <w:rPr>
          <w:rFonts w:ascii="Verdana" w:eastAsia="Calibri" w:hAnsi="Verdana" w:cs="Arial"/>
          <w:color w:val="000000" w:themeColor="text1"/>
          <w:lang w:val="es-ES" w:eastAsia="es-ES"/>
        </w:rPr>
      </w:pPr>
    </w:p>
    <w:p w14:paraId="6B85179C" w14:textId="77777777" w:rsidR="0042374E" w:rsidRDefault="0042374E" w:rsidP="00871985">
      <w:pPr>
        <w:spacing w:after="0" w:line="276" w:lineRule="auto"/>
        <w:jc w:val="both"/>
        <w:rPr>
          <w:rFonts w:ascii="Verdana" w:eastAsia="Calibri" w:hAnsi="Verdana" w:cs="Arial"/>
          <w:color w:val="000000" w:themeColor="text1"/>
          <w:lang w:val="es-ES" w:eastAsia="es-ES"/>
        </w:rPr>
      </w:pPr>
    </w:p>
    <w:p w14:paraId="31003613" w14:textId="7DE78DDC" w:rsidR="0042374E" w:rsidRDefault="0042374E" w:rsidP="00871985">
      <w:pPr>
        <w:spacing w:after="0" w:line="276" w:lineRule="auto"/>
        <w:jc w:val="both"/>
        <w:rPr>
          <w:rFonts w:ascii="Verdana" w:eastAsia="Calibri" w:hAnsi="Verdana" w:cs="Arial"/>
          <w:color w:val="000000" w:themeColor="text1"/>
          <w:lang w:val="es-ES" w:eastAsia="es-ES"/>
        </w:rPr>
      </w:pPr>
    </w:p>
    <w:p w14:paraId="00D3054E" w14:textId="62D8595B" w:rsidR="00FF381E" w:rsidRDefault="00FF381E" w:rsidP="00871985">
      <w:pPr>
        <w:spacing w:after="0" w:line="276" w:lineRule="auto"/>
        <w:jc w:val="both"/>
        <w:rPr>
          <w:rFonts w:ascii="Verdana" w:eastAsia="Calibri" w:hAnsi="Verdana" w:cs="Arial"/>
          <w:color w:val="000000" w:themeColor="text1"/>
          <w:lang w:val="es-ES" w:eastAsia="es-ES"/>
        </w:rPr>
      </w:pPr>
    </w:p>
    <w:p w14:paraId="3CAF8605" w14:textId="20E8E42F" w:rsidR="00FF381E" w:rsidRDefault="00F22B32" w:rsidP="00871985">
      <w:pPr>
        <w:spacing w:after="0" w:line="276" w:lineRule="auto"/>
        <w:jc w:val="both"/>
        <w:rPr>
          <w:rFonts w:ascii="Verdana" w:eastAsia="Calibri" w:hAnsi="Verdana" w:cs="Arial"/>
          <w:color w:val="000000" w:themeColor="text1"/>
          <w:lang w:val="es-ES" w:eastAsia="es-ES"/>
        </w:rPr>
      </w:pPr>
      <w:r w:rsidRPr="00F22B32">
        <w:rPr>
          <w:rFonts w:ascii="Verdana" w:eastAsia="Calibri" w:hAnsi="Verdana" w:cs="Arial"/>
          <w:color w:val="000000" w:themeColor="text1"/>
          <w:lang w:val="es-ES" w:eastAsia="es-ES"/>
        </w:rPr>
        <w:drawing>
          <wp:anchor distT="0" distB="0" distL="114300" distR="114300" simplePos="0" relativeHeight="251659264" behindDoc="1" locked="0" layoutInCell="1" allowOverlap="1" wp14:anchorId="2B0DD514" wp14:editId="254B8741">
            <wp:simplePos x="0" y="0"/>
            <wp:positionH relativeFrom="column">
              <wp:posOffset>2854325</wp:posOffset>
            </wp:positionH>
            <wp:positionV relativeFrom="paragraph">
              <wp:posOffset>142989</wp:posOffset>
            </wp:positionV>
            <wp:extent cx="3371850" cy="1131570"/>
            <wp:effectExtent l="0" t="0" r="0" b="0"/>
            <wp:wrapTight wrapText="bothSides">
              <wp:wrapPolygon edited="0">
                <wp:start x="0" y="0"/>
                <wp:lineTo x="0" y="21091"/>
                <wp:lineTo x="21478" y="21091"/>
                <wp:lineTo x="21478" y="0"/>
                <wp:lineTo x="0" y="0"/>
              </wp:wrapPolygon>
            </wp:wrapTight>
            <wp:docPr id="76802937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02937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3371850" cy="1131570"/>
                    </a:xfrm>
                    <a:prstGeom prst="rect">
                      <a:avLst/>
                    </a:prstGeom>
                  </pic:spPr>
                </pic:pic>
              </a:graphicData>
            </a:graphic>
            <wp14:sizeRelH relativeFrom="margin">
              <wp14:pctWidth>0</wp14:pctWidth>
            </wp14:sizeRelH>
            <wp14:sizeRelV relativeFrom="margin">
              <wp14:pctHeight>0</wp14:pctHeight>
            </wp14:sizeRelV>
          </wp:anchor>
        </w:drawing>
      </w:r>
    </w:p>
    <w:p w14:paraId="1D5CEE0D" w14:textId="36C51D2B" w:rsidR="00F22B32" w:rsidRDefault="00F22B32" w:rsidP="00871985">
      <w:pPr>
        <w:spacing w:after="0" w:line="276" w:lineRule="auto"/>
        <w:jc w:val="both"/>
        <w:rPr>
          <w:rFonts w:ascii="Verdana" w:eastAsia="Calibri" w:hAnsi="Verdana" w:cs="Arial"/>
          <w:color w:val="000000" w:themeColor="text1"/>
          <w:lang w:val="es-ES" w:eastAsia="es-ES"/>
        </w:rPr>
      </w:pPr>
    </w:p>
    <w:p w14:paraId="5AB43FCC" w14:textId="2FC9FEB7" w:rsidR="00F22B32" w:rsidRDefault="00F22B32" w:rsidP="00871985">
      <w:pPr>
        <w:spacing w:after="0" w:line="276" w:lineRule="auto"/>
        <w:jc w:val="both"/>
        <w:rPr>
          <w:rFonts w:ascii="Verdana" w:eastAsia="Calibri" w:hAnsi="Verdana" w:cs="Arial"/>
          <w:color w:val="000000" w:themeColor="text1"/>
          <w:lang w:val="es-ES" w:eastAsia="es-ES"/>
        </w:rPr>
      </w:pPr>
    </w:p>
    <w:p w14:paraId="3942F688" w14:textId="656AC3FD" w:rsidR="00F22B32" w:rsidRDefault="00F22B32" w:rsidP="00871985">
      <w:pPr>
        <w:spacing w:after="0" w:line="276" w:lineRule="auto"/>
        <w:jc w:val="both"/>
        <w:rPr>
          <w:rFonts w:ascii="Verdana" w:eastAsia="Calibri" w:hAnsi="Verdana" w:cs="Arial"/>
          <w:color w:val="000000" w:themeColor="text1"/>
          <w:lang w:val="es-ES" w:eastAsia="es-ES"/>
        </w:rPr>
      </w:pPr>
    </w:p>
    <w:p w14:paraId="61C924C8" w14:textId="77777777" w:rsidR="00F22B32" w:rsidRDefault="00F22B32" w:rsidP="00871985">
      <w:pPr>
        <w:spacing w:after="0" w:line="276" w:lineRule="auto"/>
        <w:jc w:val="both"/>
        <w:rPr>
          <w:rFonts w:ascii="Verdana" w:eastAsia="Calibri" w:hAnsi="Verdana" w:cs="Arial"/>
          <w:color w:val="000000" w:themeColor="text1"/>
          <w:lang w:val="es-ES" w:eastAsia="es-ES"/>
        </w:rPr>
      </w:pPr>
    </w:p>
    <w:p w14:paraId="434F15C8" w14:textId="77777777" w:rsidR="00F22B32" w:rsidRDefault="00F22B32" w:rsidP="00871985">
      <w:pPr>
        <w:spacing w:after="0" w:line="276" w:lineRule="auto"/>
        <w:jc w:val="both"/>
        <w:rPr>
          <w:rFonts w:ascii="Verdana" w:eastAsia="Calibri" w:hAnsi="Verdana" w:cs="Arial"/>
          <w:color w:val="000000" w:themeColor="text1"/>
          <w:lang w:val="es-ES" w:eastAsia="es-ES"/>
        </w:rPr>
      </w:pPr>
    </w:p>
    <w:p w14:paraId="3BE87B82" w14:textId="77777777" w:rsidR="00F22B32" w:rsidRDefault="00F22B32" w:rsidP="00871985">
      <w:pPr>
        <w:spacing w:after="0" w:line="276" w:lineRule="auto"/>
        <w:jc w:val="both"/>
        <w:rPr>
          <w:rFonts w:ascii="Verdana" w:eastAsia="Calibri" w:hAnsi="Verdana" w:cs="Arial"/>
          <w:color w:val="000000" w:themeColor="text1"/>
          <w:lang w:val="es-ES" w:eastAsia="es-ES"/>
        </w:rPr>
      </w:pPr>
    </w:p>
    <w:p w14:paraId="1B9BFAD9" w14:textId="4C037691" w:rsidR="00871985" w:rsidRPr="00115E3D" w:rsidRDefault="00871985" w:rsidP="00871985">
      <w:pPr>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Señor</w:t>
      </w:r>
    </w:p>
    <w:p w14:paraId="49F322CF" w14:textId="0CFD95F3" w:rsidR="00871985" w:rsidRDefault="00871985" w:rsidP="00871985">
      <w:pPr>
        <w:spacing w:after="0" w:line="276" w:lineRule="auto"/>
        <w:rPr>
          <w:rFonts w:ascii="Verdana" w:eastAsia="Calibri" w:hAnsi="Verdana" w:cs="Arial"/>
          <w:b/>
          <w:color w:val="000000" w:themeColor="text1"/>
          <w:lang w:val="es-ES_tradnl" w:eastAsia="es-ES_tradnl"/>
        </w:rPr>
      </w:pPr>
      <w:r>
        <w:rPr>
          <w:rFonts w:ascii="Verdana" w:eastAsia="Calibri" w:hAnsi="Verdana" w:cs="Arial"/>
          <w:b/>
          <w:color w:val="000000" w:themeColor="text1"/>
          <w:lang w:val="es-ES_tradnl" w:eastAsia="es-ES_tradnl"/>
        </w:rPr>
        <w:t>Miguel Alejandro Herrán</w:t>
      </w:r>
    </w:p>
    <w:p w14:paraId="0F8B4016" w14:textId="45415659" w:rsidR="00871985" w:rsidRPr="009B019A" w:rsidRDefault="00871985" w:rsidP="00871985">
      <w:pPr>
        <w:spacing w:after="0" w:line="276" w:lineRule="auto"/>
        <w:rPr>
          <w:rFonts w:ascii="Verdana" w:eastAsia="Calibri" w:hAnsi="Verdana" w:cs="Arial"/>
          <w:b/>
          <w:color w:val="000000" w:themeColor="text1"/>
          <w:lang w:val="es-ES_tradnl" w:eastAsia="es-ES_tradnl"/>
        </w:rPr>
      </w:pPr>
      <w:r w:rsidRPr="009B019A">
        <w:rPr>
          <w:rFonts w:ascii="Verdana" w:eastAsia="Calibri" w:hAnsi="Verdana" w:cs="Arial"/>
          <w:b/>
          <w:color w:val="000000" w:themeColor="text1"/>
          <w:lang w:val="es-ES_tradnl" w:eastAsia="es-ES_tradnl"/>
        </w:rPr>
        <w:t xml:space="preserve">Servicio Nacional de Aprendizaje </w:t>
      </w:r>
    </w:p>
    <w:p w14:paraId="6C263A25" w14:textId="77777777" w:rsidR="00871985" w:rsidRDefault="00871985" w:rsidP="00871985">
      <w:pPr>
        <w:spacing w:after="0" w:line="276" w:lineRule="auto"/>
        <w:rPr>
          <w:rFonts w:ascii="Verdana" w:eastAsia="Times New Roman" w:hAnsi="Verdana" w:cs="Calibri"/>
          <w:color w:val="000000"/>
          <w:lang w:eastAsia="es-CO"/>
        </w:rPr>
      </w:pPr>
      <w:hyperlink r:id="rId9" w:history="1">
        <w:r w:rsidRPr="004C3BDD">
          <w:rPr>
            <w:rStyle w:val="Hipervnculo"/>
            <w:rFonts w:ascii="Verdana" w:eastAsia="Times New Roman" w:hAnsi="Verdana" w:cs="Calibri"/>
            <w:lang w:eastAsia="es-CO"/>
          </w:rPr>
          <w:t>maherran@misena.edu.co</w:t>
        </w:r>
      </w:hyperlink>
    </w:p>
    <w:p w14:paraId="11919973" w14:textId="77777777" w:rsidR="00871985" w:rsidRPr="00CB6292" w:rsidRDefault="00871985" w:rsidP="00871985">
      <w:pPr>
        <w:spacing w:after="0" w:line="276" w:lineRule="auto"/>
        <w:rPr>
          <w:rFonts w:ascii="Verdana" w:eastAsia="Calibri" w:hAnsi="Verdana" w:cs="Arial"/>
          <w:b/>
          <w:bCs/>
          <w:color w:val="000000" w:themeColor="text1"/>
          <w:lang w:eastAsia="es-ES"/>
        </w:rPr>
      </w:pPr>
      <w:r>
        <w:rPr>
          <w:rFonts w:ascii="Verdana" w:eastAsia="Calibri" w:hAnsi="Verdana" w:cs="Arial"/>
          <w:color w:val="000000" w:themeColor="text1"/>
          <w:lang w:eastAsia="es-ES"/>
        </w:rPr>
        <w:t>Ciudad</w:t>
      </w:r>
    </w:p>
    <w:p w14:paraId="19B89BEF" w14:textId="77777777" w:rsidR="00871985" w:rsidRPr="00CB6292" w:rsidRDefault="00871985" w:rsidP="00871985">
      <w:pPr>
        <w:spacing w:after="0" w:line="240" w:lineRule="auto"/>
        <w:rPr>
          <w:rFonts w:ascii="Verdana" w:eastAsia="Calibri" w:hAnsi="Verdana" w:cs="Arial"/>
          <w:b/>
          <w:bCs/>
          <w:color w:val="000000" w:themeColor="text1"/>
          <w:lang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71985" w:rsidRPr="00115E3D" w14:paraId="1DE098F2" w14:textId="77777777" w:rsidTr="00040C77">
        <w:trPr>
          <w:trHeight w:val="1195"/>
        </w:trPr>
        <w:tc>
          <w:tcPr>
            <w:tcW w:w="2689" w:type="dxa"/>
          </w:tcPr>
          <w:p w14:paraId="5A42DA6B" w14:textId="77777777" w:rsidR="00871985" w:rsidRPr="00CB6292" w:rsidRDefault="00871985" w:rsidP="00F625D0">
            <w:pPr>
              <w:jc w:val="both"/>
              <w:rPr>
                <w:rFonts w:ascii="Verdana" w:eastAsia="Calibri" w:hAnsi="Verdana" w:cs="Arial"/>
                <w:b/>
                <w:bCs/>
                <w:color w:val="000000" w:themeColor="text1"/>
                <w:lang w:eastAsia="es-ES_tradnl"/>
              </w:rPr>
            </w:pPr>
          </w:p>
        </w:tc>
        <w:tc>
          <w:tcPr>
            <w:tcW w:w="6100" w:type="dxa"/>
            <w:shd w:val="clear" w:color="auto" w:fill="auto"/>
          </w:tcPr>
          <w:p w14:paraId="51C2165C" w14:textId="77777777" w:rsidR="00871985" w:rsidRPr="00115E3D" w:rsidRDefault="00871985" w:rsidP="00F625D0">
            <w:pPr>
              <w:jc w:val="both"/>
              <w:rPr>
                <w:rFonts w:ascii="Verdana" w:eastAsia="Calibri" w:hAnsi="Verdana" w:cs="Arial"/>
                <w:b/>
                <w:bCs/>
                <w:color w:val="000000" w:themeColor="text1"/>
                <w:lang w:val="es-ES" w:eastAsia="es-ES"/>
              </w:rPr>
            </w:pPr>
            <w:r w:rsidRPr="0016263B">
              <w:rPr>
                <w:rFonts w:ascii="Verdana" w:eastAsia="Calibri" w:hAnsi="Verdana" w:cs="Arial"/>
                <w:b/>
                <w:bCs/>
                <w:color w:val="000000" w:themeColor="text1"/>
                <w:lang w:val="es-ES" w:eastAsia="es-ES"/>
              </w:rPr>
              <w:t>Concepto C- 690 de 2024</w:t>
            </w:r>
          </w:p>
        </w:tc>
      </w:tr>
      <w:tr w:rsidR="00871985" w:rsidRPr="00115E3D" w14:paraId="17BC8984" w14:textId="77777777" w:rsidTr="00F625D0">
        <w:trPr>
          <w:trHeight w:val="884"/>
        </w:trPr>
        <w:tc>
          <w:tcPr>
            <w:tcW w:w="2689" w:type="dxa"/>
          </w:tcPr>
          <w:p w14:paraId="4C58475E" w14:textId="77777777" w:rsidR="00871985" w:rsidRPr="00115E3D" w:rsidRDefault="00871985" w:rsidP="00F625D0">
            <w:pPr>
              <w:spacing w:line="276" w:lineRule="auto"/>
              <w:jc w:val="both"/>
              <w:rPr>
                <w:rFonts w:ascii="Verdana" w:eastAsia="Calibri" w:hAnsi="Verdana" w:cs="Arial"/>
                <w:color w:val="000000" w:themeColor="text1"/>
                <w:lang w:val="es-ES_tradnl" w:eastAsia="es-ES_tradnl"/>
              </w:rPr>
            </w:pPr>
            <w:r w:rsidRPr="00115E3D">
              <w:rPr>
                <w:rFonts w:ascii="Verdana" w:eastAsia="Calibri" w:hAnsi="Verdana" w:cs="Arial"/>
                <w:b/>
                <w:color w:val="000000" w:themeColor="text1"/>
                <w:lang w:val="es-ES_tradnl" w:eastAsia="es-ES_tradnl"/>
              </w:rPr>
              <w:t>Temas:</w:t>
            </w:r>
            <w:r w:rsidRPr="00115E3D">
              <w:rPr>
                <w:rFonts w:ascii="Verdana" w:eastAsia="Calibri" w:hAnsi="Verdana" w:cs="Arial"/>
                <w:color w:val="000000" w:themeColor="text1"/>
                <w:lang w:val="es-ES_tradnl" w:eastAsia="es-ES_tradnl"/>
              </w:rPr>
              <w:t xml:space="preserve">                   </w:t>
            </w:r>
          </w:p>
        </w:tc>
        <w:tc>
          <w:tcPr>
            <w:tcW w:w="6100" w:type="dxa"/>
          </w:tcPr>
          <w:p w14:paraId="71B6B79D" w14:textId="77777777" w:rsidR="00871985" w:rsidRPr="009609A0" w:rsidRDefault="00871985" w:rsidP="00F625D0">
            <w:pPr>
              <w:spacing w:line="276" w:lineRule="auto"/>
              <w:jc w:val="both"/>
              <w:rPr>
                <w:rFonts w:ascii="Verdana" w:eastAsia="Calibri" w:hAnsi="Verdana" w:cs="Arial"/>
                <w:bCs/>
                <w:color w:val="000000" w:themeColor="text1"/>
                <w:lang w:val="es-MX" w:eastAsia="es-ES"/>
              </w:rPr>
            </w:pPr>
            <w:r w:rsidRPr="00882E72">
              <w:rPr>
                <w:rFonts w:ascii="Verdana" w:eastAsia="Calibri" w:hAnsi="Verdana" w:cs="Arial"/>
                <w:bCs/>
                <w:color w:val="000000" w:themeColor="text1"/>
                <w:lang w:val="es-MX" w:eastAsia="es-ES"/>
              </w:rPr>
              <w:t>DEFINICIÓN DE LA SITUACIÓN MILITAR – Verificación / ACREDITACIÓN DE LA SITUACIÓN MILITAR – Exigibilidad – Personas naturales – Personas jurídicas –/ SECOP II – Obligatoriedad</w:t>
            </w:r>
          </w:p>
          <w:p w14:paraId="09AEF368" w14:textId="77777777" w:rsidR="00871985" w:rsidRPr="00115E3D" w:rsidRDefault="00871985" w:rsidP="00F625D0">
            <w:pPr>
              <w:spacing w:line="276" w:lineRule="auto"/>
              <w:jc w:val="both"/>
              <w:rPr>
                <w:rFonts w:ascii="Verdana" w:eastAsia="Calibri" w:hAnsi="Verdana" w:cs="Arial"/>
                <w:color w:val="000000" w:themeColor="text1"/>
                <w:lang w:val="es-ES" w:eastAsia="es-ES"/>
              </w:rPr>
            </w:pPr>
          </w:p>
        </w:tc>
      </w:tr>
      <w:tr w:rsidR="00871985" w:rsidRPr="00115E3D" w14:paraId="6404EB5F" w14:textId="77777777" w:rsidTr="00F625D0">
        <w:tc>
          <w:tcPr>
            <w:tcW w:w="2689" w:type="dxa"/>
          </w:tcPr>
          <w:p w14:paraId="36F4514A" w14:textId="77777777" w:rsidR="00871985" w:rsidRPr="00C4601B" w:rsidRDefault="00871985" w:rsidP="00F625D0">
            <w:pPr>
              <w:spacing w:line="276" w:lineRule="auto"/>
              <w:jc w:val="both"/>
              <w:rPr>
                <w:rFonts w:ascii="Verdana" w:eastAsia="Calibri" w:hAnsi="Verdana" w:cs="Arial"/>
                <w:b/>
                <w:color w:val="000000" w:themeColor="text1"/>
                <w:lang w:val="es-ES_tradnl" w:eastAsia="es-ES_tradnl"/>
              </w:rPr>
            </w:pPr>
            <w:r w:rsidRPr="00C4601B">
              <w:rPr>
                <w:rFonts w:ascii="Verdana" w:eastAsia="Calibri" w:hAnsi="Verdana" w:cs="Arial"/>
                <w:b/>
                <w:color w:val="000000" w:themeColor="text1"/>
                <w:lang w:val="es-ES_tradnl" w:eastAsia="es-ES_tradnl"/>
              </w:rPr>
              <w:t>Radicación:</w:t>
            </w:r>
            <w:r w:rsidRPr="00C4601B">
              <w:rPr>
                <w:rFonts w:ascii="Verdana" w:eastAsia="Calibri" w:hAnsi="Verdana" w:cs="Arial"/>
                <w:color w:val="000000" w:themeColor="text1"/>
                <w:lang w:val="es-ES_tradnl" w:eastAsia="es-ES_tradnl"/>
              </w:rPr>
              <w:t xml:space="preserve">               </w:t>
            </w:r>
          </w:p>
        </w:tc>
        <w:tc>
          <w:tcPr>
            <w:tcW w:w="6100" w:type="dxa"/>
          </w:tcPr>
          <w:p w14:paraId="55DF5089" w14:textId="77777777" w:rsidR="00871985" w:rsidRPr="00C4601B" w:rsidRDefault="00871985" w:rsidP="00F625D0">
            <w:pPr>
              <w:spacing w:line="276" w:lineRule="auto"/>
              <w:jc w:val="both"/>
              <w:rPr>
                <w:rFonts w:ascii="Verdana" w:hAnsi="Verdana" w:cs="Arial"/>
                <w:color w:val="000000"/>
              </w:rPr>
            </w:pPr>
            <w:r w:rsidRPr="00C4601B">
              <w:rPr>
                <w:rFonts w:ascii="Verdana" w:eastAsia="Calibri" w:hAnsi="Verdana" w:cs="Arial"/>
                <w:color w:val="000000" w:themeColor="text1"/>
                <w:lang w:val="es-ES_tradnl" w:eastAsia="es-ES_tradnl"/>
              </w:rPr>
              <w:t xml:space="preserve">Respuesta a consulta con radicado No. </w:t>
            </w:r>
            <w:r w:rsidRPr="00C4601B">
              <w:rPr>
                <w:rFonts w:ascii="Verdana" w:hAnsi="Verdana" w:cs="Arial"/>
                <w:color w:val="000000"/>
              </w:rPr>
              <w:t>P20240930009931</w:t>
            </w:r>
            <w:r>
              <w:rPr>
                <w:rFonts w:ascii="Verdana" w:hAnsi="Verdana" w:cs="Arial"/>
                <w:color w:val="000000"/>
              </w:rPr>
              <w:t xml:space="preserve"> y </w:t>
            </w:r>
            <w:r w:rsidRPr="009B019A">
              <w:rPr>
                <w:rFonts w:ascii="Verdana" w:hAnsi="Verdana" w:cs="Arial"/>
                <w:color w:val="000000"/>
              </w:rPr>
              <w:t>P20240930009938</w:t>
            </w:r>
            <w:r>
              <w:rPr>
                <w:rFonts w:ascii="Verdana" w:hAnsi="Verdana" w:cs="Arial"/>
                <w:color w:val="000000"/>
              </w:rPr>
              <w:t xml:space="preserve"> (acumuladas)</w:t>
            </w:r>
          </w:p>
          <w:p w14:paraId="73216AA3" w14:textId="77777777" w:rsidR="00871985" w:rsidRPr="00C4601B" w:rsidRDefault="00871985" w:rsidP="00F625D0">
            <w:pPr>
              <w:spacing w:line="276" w:lineRule="auto"/>
              <w:jc w:val="both"/>
              <w:rPr>
                <w:rFonts w:ascii="Verdana" w:eastAsia="Calibri" w:hAnsi="Verdana" w:cs="Arial"/>
                <w:color w:val="000000" w:themeColor="text1"/>
                <w:lang w:val="es-ES_tradnl" w:eastAsia="es-ES_tradnl"/>
              </w:rPr>
            </w:pPr>
          </w:p>
        </w:tc>
      </w:tr>
    </w:tbl>
    <w:p w14:paraId="2BC6749A" w14:textId="77777777" w:rsidR="00871985" w:rsidRPr="00115E3D" w:rsidRDefault="00871985" w:rsidP="00871985">
      <w:pPr>
        <w:spacing w:after="0" w:line="240" w:lineRule="auto"/>
        <w:jc w:val="both"/>
        <w:rPr>
          <w:rFonts w:ascii="Verdana" w:eastAsia="Calibri" w:hAnsi="Verdana" w:cs="Arial"/>
          <w:color w:val="000000" w:themeColor="text1"/>
          <w:lang w:val="es-ES_tradnl" w:eastAsia="es-ES_tradnl"/>
        </w:rPr>
      </w:pPr>
    </w:p>
    <w:p w14:paraId="777410A8" w14:textId="77777777" w:rsidR="00871985" w:rsidRPr="00115E3D" w:rsidRDefault="00871985" w:rsidP="00871985">
      <w:pPr>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a</w:t>
      </w:r>
      <w:r w:rsidRPr="00115E3D">
        <w:rPr>
          <w:rFonts w:ascii="Verdana" w:eastAsia="Calibri" w:hAnsi="Verdana" w:cs="Arial"/>
          <w:color w:val="000000" w:themeColor="text1"/>
          <w:lang w:val="es-ES" w:eastAsia="es-ES"/>
        </w:rPr>
        <w:t xml:space="preserve"> señor</w:t>
      </w:r>
      <w:r>
        <w:rPr>
          <w:rFonts w:ascii="Verdana" w:eastAsia="Calibri" w:hAnsi="Verdana" w:cs="Arial"/>
          <w:color w:val="000000" w:themeColor="text1"/>
          <w:lang w:val="es-ES" w:eastAsia="es-ES"/>
        </w:rPr>
        <w:t>a Ávila</w:t>
      </w:r>
      <w:r w:rsidRPr="00115E3D">
        <w:rPr>
          <w:rFonts w:ascii="Verdana" w:eastAsia="Calibri" w:hAnsi="Verdana" w:cs="Arial"/>
          <w:color w:val="000000" w:themeColor="text1"/>
          <w:lang w:val="es-ES" w:eastAsia="es-ES"/>
        </w:rPr>
        <w:t xml:space="preserve">: </w:t>
      </w:r>
      <w:r>
        <w:rPr>
          <w:rFonts w:ascii="Verdana" w:eastAsia="Calibri" w:hAnsi="Verdana" w:cs="Arial"/>
          <w:color w:val="000000" w:themeColor="text1"/>
          <w:lang w:val="es-ES" w:eastAsia="es-ES"/>
        </w:rPr>
        <w:t xml:space="preserve"> </w:t>
      </w:r>
    </w:p>
    <w:p w14:paraId="3AAFFFA2" w14:textId="77777777" w:rsidR="00871985" w:rsidRPr="00115E3D" w:rsidRDefault="00871985" w:rsidP="00871985">
      <w:pPr>
        <w:tabs>
          <w:tab w:val="left" w:pos="3768"/>
        </w:tabs>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ab/>
      </w:r>
    </w:p>
    <w:p w14:paraId="0CEEB469" w14:textId="77777777" w:rsidR="00871985" w:rsidRPr="00EA7A3F" w:rsidRDefault="00871985" w:rsidP="00871985">
      <w:pPr>
        <w:spacing w:after="120" w:line="276" w:lineRule="auto"/>
        <w:jc w:val="both"/>
        <w:rPr>
          <w:rFonts w:ascii="Verdana" w:eastAsia="Century Gothic" w:hAnsi="Verdana" w:cs="Century Gothic"/>
          <w:i/>
          <w:color w:val="000000" w:themeColor="text1"/>
          <w:lang w:val="es-ES"/>
        </w:rPr>
      </w:pPr>
      <w:r w:rsidRPr="00115E3D">
        <w:rPr>
          <w:rFonts w:ascii="Verdana" w:eastAsia="Calibri" w:hAnsi="Verdana" w:cs="Arial"/>
          <w:color w:val="000000" w:themeColor="text1"/>
          <w:lang w:val="es-ES" w:eastAsia="es-ES"/>
        </w:rPr>
        <w:t>En ejercicio de la competencia otorgada por los artículos 3, numeral 5º, y 11, numeral 8º, del Decreto Ley 4170 de 2011,</w:t>
      </w:r>
      <w:r w:rsidRPr="00115E3D">
        <w:rPr>
          <w:rFonts w:ascii="Verdana" w:eastAsia="Arial MT" w:hAnsi="Verdana" w:cs="Arial MT"/>
          <w:color w:val="000000" w:themeColor="text1"/>
          <w:lang w:val="es-ES" w:eastAsia="es-ES"/>
        </w:rPr>
        <w:t xml:space="preserve"> </w:t>
      </w:r>
      <w:r w:rsidRPr="00115E3D">
        <w:rPr>
          <w:rFonts w:ascii="Verdana" w:hAnsi="Verdana" w:cs="Arial"/>
          <w:color w:val="000000" w:themeColor="text1"/>
        </w:rPr>
        <w:t xml:space="preserve">así como lo establecido en el artículo 4 de la Resolución 1707 de 2018 expedida por esta Entidad, </w:t>
      </w:r>
      <w:r w:rsidRPr="00115E3D">
        <w:rPr>
          <w:rFonts w:ascii="Verdana" w:eastAsia="Calibri" w:hAnsi="Verdana" w:cs="Arial"/>
          <w:color w:val="000000" w:themeColor="text1"/>
          <w:lang w:val="es-ES" w:eastAsia="es-ES"/>
        </w:rPr>
        <w:t xml:space="preserve">la Agencia Nacional </w:t>
      </w:r>
      <w:r w:rsidRPr="00115E3D">
        <w:rPr>
          <w:rFonts w:ascii="Verdana" w:eastAsia="Calibri" w:hAnsi="Verdana" w:cs="Arial"/>
          <w:color w:val="000000" w:themeColor="text1"/>
          <w:lang w:val="es-ES" w:eastAsia="es-ES"/>
        </w:rPr>
        <w:lastRenderedPageBreak/>
        <w:t xml:space="preserve">de Contratación Pública – Colombia Compra Eficiente– responde su solicitud de consulta de fecha </w:t>
      </w:r>
      <w:r>
        <w:rPr>
          <w:rFonts w:ascii="Verdana" w:eastAsia="Calibri" w:hAnsi="Verdana" w:cs="Arial"/>
          <w:color w:val="000000" w:themeColor="text1"/>
          <w:lang w:val="es-ES" w:eastAsia="es-ES"/>
        </w:rPr>
        <w:t>30</w:t>
      </w:r>
      <w:r w:rsidRPr="00115E3D">
        <w:rPr>
          <w:rFonts w:ascii="Verdana" w:eastAsia="Calibri" w:hAnsi="Verdana" w:cs="Arial"/>
          <w:color w:val="000000" w:themeColor="text1"/>
          <w:lang w:val="es-ES" w:eastAsia="es-ES"/>
        </w:rPr>
        <w:t xml:space="preserve"> de </w:t>
      </w:r>
      <w:r>
        <w:rPr>
          <w:rFonts w:ascii="Verdana" w:eastAsia="Calibri" w:hAnsi="Verdana" w:cs="Arial"/>
          <w:color w:val="000000" w:themeColor="text1"/>
          <w:lang w:val="es-ES" w:eastAsia="es-ES"/>
        </w:rPr>
        <w:t>septiembre</w:t>
      </w:r>
      <w:r w:rsidRPr="00115E3D">
        <w:rPr>
          <w:rFonts w:ascii="Verdana" w:eastAsia="Calibri" w:hAnsi="Verdana" w:cs="Arial"/>
          <w:color w:val="000000" w:themeColor="text1"/>
          <w:lang w:val="es-ES" w:eastAsia="es-ES"/>
        </w:rPr>
        <w:t xml:space="preserve"> de 20</w:t>
      </w:r>
      <w:r>
        <w:rPr>
          <w:rFonts w:ascii="Verdana" w:eastAsia="Calibri" w:hAnsi="Verdana" w:cs="Arial"/>
          <w:color w:val="000000" w:themeColor="text1"/>
          <w:lang w:val="es-ES" w:eastAsia="es-ES"/>
        </w:rPr>
        <w:t>24</w:t>
      </w:r>
      <w:r w:rsidRPr="00115E3D">
        <w:rPr>
          <w:rFonts w:ascii="Verdana" w:eastAsia="Calibri" w:hAnsi="Verdana" w:cs="Arial"/>
          <w:color w:val="000000" w:themeColor="text1"/>
          <w:lang w:val="es-ES" w:eastAsia="es-ES"/>
        </w:rPr>
        <w:t xml:space="preserve">, en la cual manifiesta lo siguiente: </w:t>
      </w:r>
      <w:r w:rsidRPr="00EA7A3F">
        <w:rPr>
          <w:rFonts w:ascii="Verdana" w:eastAsia="Century Gothic" w:hAnsi="Verdana" w:cs="Century Gothic"/>
          <w:i/>
          <w:iCs/>
          <w:color w:val="000000" w:themeColor="text1"/>
          <w:lang w:val="es-ES"/>
        </w:rPr>
        <w:t>“</w:t>
      </w:r>
      <w:r w:rsidRPr="00EA7A3F">
        <w:rPr>
          <w:rFonts w:ascii="Verdana" w:eastAsia="Century Gothic" w:hAnsi="Verdana" w:cs="Century Gothic"/>
          <w:i/>
          <w:iCs/>
          <w:color w:val="000000" w:themeColor="text1"/>
        </w:rPr>
        <w:t>(...)</w:t>
      </w:r>
      <w:r>
        <w:rPr>
          <w:rFonts w:ascii="Verdana" w:eastAsia="Century Gothic" w:hAnsi="Verdana" w:cs="Century Gothic"/>
          <w:i/>
          <w:color w:val="000000" w:themeColor="text1"/>
        </w:rPr>
        <w:t xml:space="preserve"> </w:t>
      </w:r>
      <w:r w:rsidRPr="00EA7A3F">
        <w:rPr>
          <w:rFonts w:ascii="Verdana" w:eastAsia="Century Gothic" w:hAnsi="Verdana" w:cs="Century Gothic"/>
          <w:i/>
          <w:color w:val="000000" w:themeColor="text1"/>
        </w:rPr>
        <w:t xml:space="preserve">cual es requisito indispensable para que un ciudadano colombiano de género masculino tenga por obligación subir a la plataforma del SECOP 2 la libreta militar para poder acceder a vinculación laboral mediante contrato de prestación de servicios Presuntamente vulnerando su derecho al trabajo ya que por este requisito alguna entidad estatal lo saca del proceso </w:t>
      </w:r>
      <w:r w:rsidRPr="00EA7A3F">
        <w:rPr>
          <w:rFonts w:ascii="Verdana" w:eastAsia="Century Gothic" w:hAnsi="Verdana" w:cs="Century Gothic"/>
          <w:i/>
          <w:iCs/>
          <w:color w:val="000000" w:themeColor="text1"/>
        </w:rPr>
        <w:t>(...)”.</w:t>
      </w:r>
    </w:p>
    <w:p w14:paraId="3C8BC95B" w14:textId="77777777" w:rsidR="00871985" w:rsidRPr="00115E3D" w:rsidRDefault="00871985" w:rsidP="00871985">
      <w:pPr>
        <w:spacing w:after="120" w:line="276" w:lineRule="auto"/>
        <w:ind w:firstLine="709"/>
        <w:jc w:val="both"/>
        <w:rPr>
          <w:rFonts w:ascii="Verdana" w:eastAsia="Calibri" w:hAnsi="Verdana" w:cs="Arial"/>
          <w:color w:val="000000" w:themeColor="text1"/>
          <w:szCs w:val="24"/>
          <w:lang w:val="es-ES_tradnl" w:eastAsia="es-ES_tradnl"/>
        </w:rPr>
      </w:pPr>
      <w:r w:rsidRPr="00115E3D">
        <w:rPr>
          <w:rFonts w:ascii="Verdana" w:eastAsia="Calibri" w:hAnsi="Verdana" w:cs="Arial"/>
          <w:color w:val="000000" w:themeColor="text1"/>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15E3D">
        <w:rPr>
          <w:rFonts w:ascii="Verdana" w:eastAsia="Calibri" w:hAnsi="Verdana" w:cs="Arial"/>
          <w:color w:val="000000" w:themeColor="text1"/>
          <w:szCs w:val="24"/>
          <w:lang w:val="es-ES_tradnl" w:eastAsia="es-ES_tradnl"/>
        </w:rPr>
        <w:tab/>
      </w:r>
    </w:p>
    <w:p w14:paraId="59B87E26" w14:textId="77777777" w:rsidR="00871985" w:rsidRPr="00115E3D" w:rsidRDefault="00871985" w:rsidP="00871985">
      <w:pPr>
        <w:spacing w:after="0" w:line="276" w:lineRule="auto"/>
        <w:ind w:firstLine="709"/>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15CC6CB2" w14:textId="77777777" w:rsidR="00871985" w:rsidRPr="00115E3D" w:rsidRDefault="00871985" w:rsidP="00871985">
      <w:pPr>
        <w:spacing w:after="0" w:line="276" w:lineRule="auto"/>
        <w:ind w:firstLine="709"/>
        <w:jc w:val="both"/>
        <w:rPr>
          <w:rFonts w:ascii="Verdana" w:eastAsia="Calibri" w:hAnsi="Verdana" w:cs="Arial"/>
          <w:color w:val="000000" w:themeColor="text1"/>
          <w:lang w:val="es-ES" w:eastAsia="es-ES"/>
        </w:rPr>
      </w:pPr>
    </w:p>
    <w:p w14:paraId="5E72A9ED" w14:textId="77777777" w:rsidR="00871985" w:rsidRPr="00115E3D" w:rsidRDefault="00871985" w:rsidP="00871985">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Problema planteado:</w:t>
      </w:r>
    </w:p>
    <w:p w14:paraId="6FEDCAF4" w14:textId="77777777" w:rsidR="00871985" w:rsidRPr="00115E3D" w:rsidRDefault="00871985" w:rsidP="00871985">
      <w:pPr>
        <w:tabs>
          <w:tab w:val="left" w:pos="426"/>
        </w:tabs>
        <w:spacing w:after="0" w:line="276" w:lineRule="auto"/>
        <w:jc w:val="both"/>
        <w:rPr>
          <w:rFonts w:ascii="Verdana" w:eastAsia="Century Gothic" w:hAnsi="Verdana" w:cs="Century Gothic"/>
          <w:color w:val="000000" w:themeColor="text1"/>
          <w:lang w:val="es-ES"/>
        </w:rPr>
      </w:pPr>
    </w:p>
    <w:p w14:paraId="108FD506" w14:textId="77777777" w:rsidR="00871985" w:rsidRDefault="00871985" w:rsidP="00871985">
      <w:pPr>
        <w:spacing w:after="0" w:line="276" w:lineRule="auto"/>
        <w:jc w:val="both"/>
        <w:rPr>
          <w:rFonts w:ascii="Verdana" w:eastAsia="Century Gothic" w:hAnsi="Verdana" w:cs="Century Gothic"/>
          <w:color w:val="000000" w:themeColor="text1"/>
        </w:rPr>
      </w:pPr>
      <w:r w:rsidRPr="00115E3D">
        <w:rPr>
          <w:rFonts w:ascii="Verdana" w:eastAsia="Century Gothic" w:hAnsi="Verdana" w:cs="Century Gothic"/>
          <w:color w:val="000000" w:themeColor="text1"/>
        </w:rPr>
        <w:t>De acuerdo con el contenido de su solicitud, esta Agencia resolverá el siguiente problema jurídico:</w:t>
      </w:r>
      <w:r>
        <w:rPr>
          <w:rFonts w:ascii="Verdana" w:eastAsia="Century Gothic" w:hAnsi="Verdana" w:cs="Century Gothic"/>
          <w:color w:val="000000" w:themeColor="text1"/>
        </w:rPr>
        <w:t xml:space="preserve"> ¿Es obligatorio cargar la libreta militar en SECOP II para la celebración de contratos de prestación de servicios?</w:t>
      </w:r>
    </w:p>
    <w:p w14:paraId="78EC0DAF" w14:textId="77777777" w:rsidR="00871985" w:rsidRPr="00115E3D" w:rsidRDefault="00871985" w:rsidP="00871985">
      <w:pPr>
        <w:spacing w:after="0" w:line="276" w:lineRule="auto"/>
        <w:jc w:val="both"/>
        <w:rPr>
          <w:rFonts w:ascii="Verdana" w:eastAsia="Calibri" w:hAnsi="Verdana" w:cs="Arial"/>
          <w:color w:val="000000" w:themeColor="text1"/>
          <w:lang w:val="es-ES"/>
        </w:rPr>
      </w:pPr>
    </w:p>
    <w:p w14:paraId="12D5EFDB" w14:textId="77777777" w:rsidR="00871985" w:rsidRPr="00115E3D" w:rsidRDefault="00871985" w:rsidP="0087198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Respuesta:</w:t>
      </w:r>
    </w:p>
    <w:p w14:paraId="345F7302" w14:textId="77777777" w:rsidR="00871985" w:rsidRPr="00115E3D" w:rsidRDefault="00871985" w:rsidP="00871985">
      <w:pPr>
        <w:tabs>
          <w:tab w:val="left" w:pos="142"/>
          <w:tab w:val="left" w:pos="284"/>
        </w:tabs>
        <w:spacing w:after="0" w:line="276" w:lineRule="auto"/>
        <w:jc w:val="both"/>
        <w:rPr>
          <w:rFonts w:ascii="Verdana" w:eastAsia="Century Gothic" w:hAnsi="Verdana" w:cs="Century Gothic"/>
          <w:b/>
          <w:bCs/>
          <w:color w:val="000000" w:themeColor="text1"/>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71985" w:rsidRPr="00115E3D" w14:paraId="778CC4C5" w14:textId="77777777" w:rsidTr="00F625D0">
        <w:tc>
          <w:tcPr>
            <w:tcW w:w="8828" w:type="dxa"/>
            <w:shd w:val="clear" w:color="auto" w:fill="auto"/>
          </w:tcPr>
          <w:p w14:paraId="4CCBF462" w14:textId="77777777" w:rsidR="00871985" w:rsidRDefault="00871985" w:rsidP="00F625D0">
            <w:pPr>
              <w:spacing w:after="120" w:line="276" w:lineRule="auto"/>
              <w:jc w:val="both"/>
              <w:rPr>
                <w:rFonts w:ascii="Verdana" w:eastAsia="Calibri" w:hAnsi="Verdana" w:cs="Arial"/>
                <w:color w:val="000000" w:themeColor="text1"/>
              </w:rPr>
            </w:pPr>
            <w:r w:rsidRPr="00BF2C6A">
              <w:rPr>
                <w:rFonts w:ascii="Verdana" w:eastAsia="Calibri" w:hAnsi="Verdana" w:cs="Arial"/>
                <w:color w:val="000000" w:themeColor="text1"/>
              </w:rPr>
              <w:t xml:space="preserve">Para celebrar un contrato de prestación de servicios con una entidad estatal en Colombia, es obligatorio que </w:t>
            </w:r>
            <w:r>
              <w:rPr>
                <w:rFonts w:ascii="Verdana" w:eastAsia="Calibri" w:hAnsi="Verdana" w:cs="Arial"/>
                <w:color w:val="000000" w:themeColor="text1"/>
              </w:rPr>
              <w:t>los varones</w:t>
            </w:r>
            <w:r w:rsidRPr="00BF2C6A">
              <w:rPr>
                <w:rFonts w:ascii="Verdana" w:eastAsia="Calibri" w:hAnsi="Verdana" w:cs="Arial"/>
                <w:color w:val="000000" w:themeColor="text1"/>
              </w:rPr>
              <w:t xml:space="preserve"> ciudadano</w:t>
            </w:r>
            <w:r>
              <w:rPr>
                <w:rFonts w:ascii="Verdana" w:eastAsia="Calibri" w:hAnsi="Verdana" w:cs="Arial"/>
                <w:color w:val="000000" w:themeColor="text1"/>
              </w:rPr>
              <w:t xml:space="preserve">s </w:t>
            </w:r>
            <w:r w:rsidRPr="00BF2C6A">
              <w:rPr>
                <w:rFonts w:ascii="Verdana" w:eastAsia="Calibri" w:hAnsi="Verdana" w:cs="Arial"/>
                <w:color w:val="000000" w:themeColor="text1"/>
              </w:rPr>
              <w:t>acredite</w:t>
            </w:r>
            <w:r>
              <w:rPr>
                <w:rFonts w:ascii="Verdana" w:eastAsia="Calibri" w:hAnsi="Verdana" w:cs="Arial"/>
                <w:color w:val="000000" w:themeColor="text1"/>
              </w:rPr>
              <w:t>n</w:t>
            </w:r>
            <w:r w:rsidRPr="00BF2C6A">
              <w:rPr>
                <w:rFonts w:ascii="Verdana" w:eastAsia="Calibri" w:hAnsi="Verdana" w:cs="Arial"/>
                <w:color w:val="000000" w:themeColor="text1"/>
              </w:rPr>
              <w:t xml:space="preserve"> su situación militar, conforme al artículo 42 de la Ley 1861 de 2017. No obstante, quienes </w:t>
            </w:r>
            <w:r w:rsidRPr="00BF2C6A">
              <w:rPr>
                <w:rFonts w:ascii="Verdana" w:eastAsia="Calibri" w:hAnsi="Verdana" w:cs="Arial"/>
                <w:color w:val="000000" w:themeColor="text1"/>
              </w:rPr>
              <w:lastRenderedPageBreak/>
              <w:t xml:space="preserve">sean clasificados como no aptos, exentos, hayan superado la edad máxima de incorporación, o estén exonerados del pago de la cuota de compensación militar pueden celebrar contratos sin la libreta militar, teniendo 18 meses para definir su situación. </w:t>
            </w:r>
          </w:p>
          <w:p w14:paraId="476B3994" w14:textId="77777777" w:rsidR="00871985" w:rsidRPr="00CB1437" w:rsidRDefault="00871985" w:rsidP="00F625D0">
            <w:pPr>
              <w:spacing w:line="276" w:lineRule="auto"/>
              <w:ind w:firstLine="709"/>
              <w:jc w:val="both"/>
              <w:rPr>
                <w:rFonts w:ascii="Verdana" w:eastAsia="Calibri" w:hAnsi="Verdana" w:cs="Arial"/>
                <w:color w:val="000000" w:themeColor="text1"/>
              </w:rPr>
            </w:pPr>
            <w:r>
              <w:rPr>
                <w:rFonts w:ascii="Verdana" w:eastAsia="Calibri" w:hAnsi="Verdana" w:cs="Arial"/>
                <w:color w:val="000000" w:themeColor="text1"/>
              </w:rPr>
              <w:t xml:space="preserve">Dado que el SECOP II es la plataforma transaccional que deben usar las Entidades Estatales para la celebrar sus contratos y garantizar la publicidad de los mismos, en la misma deben reposar todos los Documentos del Proceso. En ese sentido, los varones colombianos obligados a definir su situación militar, que pretendan celebrar contratos de prestación de servicios con Entidades Estatales que usen el SECOP II de manera transaccional, deben cargar en dicha plataforma la libreta militar o el documento con el que acrediten el estado de definición de su situación militar, de acuerdo con lo previsto en el artículo 42 de la Ley 1861 de 2017.    </w:t>
            </w:r>
          </w:p>
        </w:tc>
      </w:tr>
    </w:tbl>
    <w:p w14:paraId="6E65A9E2" w14:textId="77777777" w:rsidR="00871985" w:rsidRPr="00115E3D" w:rsidRDefault="00871985" w:rsidP="00871985">
      <w:pPr>
        <w:tabs>
          <w:tab w:val="left" w:pos="142"/>
          <w:tab w:val="left" w:pos="284"/>
        </w:tabs>
        <w:spacing w:after="0" w:line="276" w:lineRule="auto"/>
        <w:jc w:val="both"/>
        <w:rPr>
          <w:rFonts w:ascii="Verdana" w:eastAsia="Century Gothic" w:hAnsi="Verdana" w:cs="Century Gothic"/>
          <w:b/>
          <w:bCs/>
          <w:color w:val="000000" w:themeColor="text1"/>
          <w:lang w:val="es-ES"/>
        </w:rPr>
      </w:pPr>
    </w:p>
    <w:p w14:paraId="4D3327BB" w14:textId="77777777" w:rsidR="00871985" w:rsidRPr="00115E3D" w:rsidRDefault="00871985" w:rsidP="0087198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Razones de la respuesta:</w:t>
      </w:r>
    </w:p>
    <w:p w14:paraId="3E8808AD" w14:textId="77777777" w:rsidR="00871985" w:rsidRPr="00115E3D" w:rsidRDefault="00871985" w:rsidP="00871985">
      <w:pPr>
        <w:spacing w:after="0" w:line="276" w:lineRule="auto"/>
        <w:jc w:val="both"/>
        <w:rPr>
          <w:rFonts w:ascii="Verdana" w:eastAsia="Calibri" w:hAnsi="Verdana" w:cs="Arial"/>
          <w:color w:val="000000" w:themeColor="text1"/>
          <w:lang w:val="es-ES"/>
        </w:rPr>
      </w:pPr>
    </w:p>
    <w:p w14:paraId="03C1A33A" w14:textId="77777777" w:rsidR="00871985" w:rsidRPr="00115E3D" w:rsidRDefault="00871985" w:rsidP="00871985">
      <w:pPr>
        <w:spacing w:after="0" w:line="276" w:lineRule="auto"/>
        <w:jc w:val="both"/>
        <w:rPr>
          <w:rFonts w:ascii="Verdana" w:eastAsia="Calibri" w:hAnsi="Verdana" w:cs="Arial"/>
          <w:color w:val="000000" w:themeColor="text1"/>
          <w:lang w:val="es-ES"/>
        </w:rPr>
      </w:pPr>
      <w:r w:rsidRPr="00115E3D">
        <w:rPr>
          <w:rFonts w:ascii="Verdana" w:eastAsia="Calibri" w:hAnsi="Verdana" w:cs="Arial"/>
          <w:color w:val="000000" w:themeColor="text1"/>
          <w:lang w:val="es-ES"/>
        </w:rPr>
        <w:t xml:space="preserve">Lo anterior se sustenta en las siguientes consideraciones: </w:t>
      </w:r>
    </w:p>
    <w:p w14:paraId="369F9B66" w14:textId="77777777" w:rsidR="00871985" w:rsidRDefault="00871985" w:rsidP="00871985">
      <w:pPr>
        <w:spacing w:after="0" w:line="276" w:lineRule="auto"/>
        <w:jc w:val="both"/>
        <w:rPr>
          <w:rFonts w:ascii="Verdana" w:eastAsia="Calibri" w:hAnsi="Verdana" w:cs="Arial"/>
          <w:color w:val="000000" w:themeColor="text1"/>
          <w:lang w:val="es-ES"/>
        </w:rPr>
      </w:pPr>
    </w:p>
    <w:p w14:paraId="24195BCB" w14:textId="77777777" w:rsidR="00871985" w:rsidRDefault="00871985" w:rsidP="00871985">
      <w:pPr>
        <w:spacing w:after="120" w:line="276" w:lineRule="auto"/>
        <w:jc w:val="both"/>
        <w:rPr>
          <w:rFonts w:ascii="Verdana" w:eastAsia="Times New Roman" w:hAnsi="Verdana" w:cs="Century Gothic"/>
          <w:lang w:val="es-ES"/>
        </w:rPr>
      </w:pPr>
      <w:r w:rsidRPr="00816DD5">
        <w:rPr>
          <w:rFonts w:ascii="Verdana" w:eastAsia="Times New Roman" w:hAnsi="Verdana" w:cs="Century Gothic"/>
          <w:lang w:val="es-ES"/>
        </w:rPr>
        <w:t>En la actualidad, la Ley 1861 de 2017 estipula, entre otras cosas, los beneficios y exclusiones de la prestación del servicio militar obligatorio, indicando en su artículo 4 que dicha obligación nace al momento en el que los colombianos cumplen su mayoría edad, con el fin de contribuir y alcanzar los fines del Estado encomendados a la Fuerza Pública.</w:t>
      </w:r>
    </w:p>
    <w:p w14:paraId="7BE33603" w14:textId="77777777" w:rsidR="00871985" w:rsidRDefault="00871985" w:rsidP="00871985">
      <w:pPr>
        <w:spacing w:after="120" w:line="276" w:lineRule="auto"/>
        <w:ind w:firstLine="709"/>
        <w:jc w:val="both"/>
        <w:rPr>
          <w:rFonts w:ascii="Verdana" w:eastAsia="Times New Roman" w:hAnsi="Verdana" w:cs="Century Gothic"/>
          <w:lang w:val="es-ES"/>
        </w:rPr>
      </w:pPr>
      <w:r w:rsidRPr="00816DD5">
        <w:rPr>
          <w:rFonts w:ascii="Verdana" w:eastAsia="Times New Roman" w:hAnsi="Verdana" w:cs="Century Gothic"/>
          <w:lang w:val="es-ES"/>
        </w:rPr>
        <w:t xml:space="preserve">No todo colombiano se encuentra obligado a cumplir con esta obligación constitucional, sino tan sólo aquellos que sean declarados aptos de conformidad con los requisitos establecidos en la Ley 1861 de 2017 y que hayan sido seleccionados a través de un sorteo, siempre y cuando este sea procedente, a partir de la mayoría de edad hasta faltando un día para cumplir los veinticuatro (24) años. </w:t>
      </w:r>
      <w:bookmarkStart w:id="0" w:name="_Hlk143791252"/>
    </w:p>
    <w:p w14:paraId="569C04EE" w14:textId="77777777" w:rsidR="00871985" w:rsidRDefault="00871985" w:rsidP="00871985">
      <w:pPr>
        <w:spacing w:after="120" w:line="276" w:lineRule="auto"/>
        <w:ind w:firstLine="709"/>
        <w:jc w:val="both"/>
        <w:rPr>
          <w:rFonts w:ascii="Verdana" w:eastAsia="Times New Roman" w:hAnsi="Verdana" w:cs="Century Gothic"/>
          <w:lang w:val="es-ES"/>
        </w:rPr>
      </w:pPr>
      <w:r w:rsidRPr="00816DD5">
        <w:rPr>
          <w:rFonts w:ascii="Verdana" w:eastAsia="Times New Roman" w:hAnsi="Verdana" w:cs="Century Gothic"/>
          <w:lang w:val="es-ES"/>
        </w:rPr>
        <w:t xml:space="preserve">De igual forma, </w:t>
      </w:r>
      <w:bookmarkStart w:id="1" w:name="_Hlk143964974"/>
      <w:r w:rsidRPr="00816DD5">
        <w:rPr>
          <w:rFonts w:ascii="Verdana" w:eastAsia="Times New Roman" w:hAnsi="Verdana" w:cs="Century Gothic"/>
          <w:lang w:val="es-ES"/>
        </w:rPr>
        <w:t xml:space="preserve">el artículo 12 de la Ley 1861 de 2017 contempló dieciséis (16) causales de exoneración para prestar el servicio militar obligatorio. Ahora bien, pese a que eventualmente existiera una causal de exoneración, de conformidad con el artículo 11 ibidem, todo “varón colombiano” deberá definir su situación militar, a partir de la fecha que cumpla su mayoría de edad y hasta el día en que cumpla 50 años. </w:t>
      </w:r>
      <w:bookmarkEnd w:id="0"/>
      <w:bookmarkEnd w:id="1"/>
    </w:p>
    <w:p w14:paraId="3A75F168" w14:textId="77777777" w:rsidR="00871985" w:rsidRDefault="00871985" w:rsidP="00871985">
      <w:pPr>
        <w:spacing w:after="120" w:line="276" w:lineRule="auto"/>
        <w:ind w:firstLine="709"/>
        <w:jc w:val="both"/>
        <w:rPr>
          <w:rFonts w:ascii="Verdana" w:eastAsia="Times New Roman" w:hAnsi="Verdana" w:cs="Century Gothic"/>
          <w:lang w:val="es-ES"/>
        </w:rPr>
      </w:pPr>
      <w:r w:rsidRPr="00816DD5">
        <w:rPr>
          <w:rFonts w:ascii="Verdana" w:eastAsia="Times New Roman" w:hAnsi="Verdana" w:cs="Century Gothic"/>
          <w:lang w:val="es-ES"/>
        </w:rPr>
        <w:lastRenderedPageBreak/>
        <w:t>El trámite para la definición de la situación militar inicia con la inscripción que realiza la Organización de Reclutamiento y Movilización</w:t>
      </w:r>
      <w:r w:rsidRPr="00816DD5">
        <w:rPr>
          <w:rFonts w:ascii="Verdana" w:eastAsia="Times New Roman" w:hAnsi="Verdana" w:cs="Times New Roman"/>
          <w:lang w:val="es-ES"/>
        </w:rPr>
        <w:footnoteReference w:id="1"/>
      </w:r>
      <w:r w:rsidRPr="00816DD5">
        <w:rPr>
          <w:rFonts w:ascii="Verdana" w:eastAsia="Times New Roman" w:hAnsi="Verdana" w:cs="Century Gothic"/>
          <w:lang w:val="es-ES"/>
        </w:rPr>
        <w:t xml:space="preserve"> y culmina con el pago de la cuota de compensación militar, cuando no se está exonerado de esta</w:t>
      </w:r>
      <w:r w:rsidRPr="00816DD5">
        <w:rPr>
          <w:rFonts w:ascii="Verdana" w:eastAsia="Times New Roman" w:hAnsi="Verdana" w:cs="Times New Roman"/>
          <w:lang w:val="es-ES"/>
        </w:rPr>
        <w:footnoteReference w:id="2"/>
      </w:r>
      <w:r w:rsidRPr="00816DD5">
        <w:rPr>
          <w:rFonts w:ascii="Verdana" w:eastAsia="Times New Roman" w:hAnsi="Verdana" w:cs="Century Gothic"/>
          <w:lang w:val="es-ES"/>
        </w:rPr>
        <w:t xml:space="preserve">. Al respecto, el artículo 2.3.1.4.3.1. del Decreto 1070 de 2015, modificado por el Decreto 977 de 2018, que reglamentó el servicio de reclutamiento, control de reservas y movilizaciones, indica que es la Organización de Reclutamiento y Movilización la responsable de inscribir anualmente a los colombianos que en dicho periodo estén llamados a definir su situación militar, una vez hayan cumplido la mayoría de edad, conforme a lo dispuesto por el parágrafo 2° del artículo 17 de la Ley 1861 de 2017.  </w:t>
      </w:r>
    </w:p>
    <w:p w14:paraId="59BAFF8B" w14:textId="77777777" w:rsidR="00871985" w:rsidRDefault="00871985" w:rsidP="00871985">
      <w:pPr>
        <w:spacing w:after="120" w:line="276" w:lineRule="auto"/>
        <w:ind w:firstLine="709"/>
        <w:jc w:val="both"/>
        <w:rPr>
          <w:rFonts w:ascii="Verdana" w:eastAsia="Times New Roman" w:hAnsi="Verdana" w:cs="Century Gothic"/>
          <w:lang w:val="es-ES"/>
        </w:rPr>
      </w:pPr>
      <w:r w:rsidRPr="00816DD5">
        <w:rPr>
          <w:rFonts w:ascii="Verdana" w:eastAsia="Times New Roman" w:hAnsi="Verdana" w:cs="Century Gothic"/>
          <w:lang w:val="es-ES"/>
        </w:rPr>
        <w:t xml:space="preserve">Posteriormente, dicho registro es complementado por el ciudadano al momento en el que éste inicie la inscripción para definir su situación militar en el portal web dispuesto para tal fin, creando un correo electrónico y adjuntando a la plataforma informática sus datos personales y los soportes documentales que acrediten las causales de exoneración y/o aplazamiento, en el cual el ciudadano podrá obtener un certificado en línea que acredite el inicio del proceso. Nótese que el artículo 2.3.1.4.3.1. del Decreto 1070 de 2015, modificado por el Decreto 977 de 2018, dispone que el ciudadano, al momento de la inscripción para definir su situación militar, debe allegar como mínimo, entre otros documentos descritos en el citado artículo, los soportes documentales que acrediten que se está incurso en alguna de las causales de exoneración, de lo cual se concluye que aun cuando se configure alguna de las circunstancias señaladas en el artículo 12 de la Ley 1861 de 2017 es obligatorio definir la situación militar. </w:t>
      </w:r>
    </w:p>
    <w:p w14:paraId="75EA4C63" w14:textId="77777777" w:rsidR="00871985" w:rsidRDefault="00871985" w:rsidP="00871985">
      <w:pPr>
        <w:spacing w:after="120" w:line="276" w:lineRule="auto"/>
        <w:ind w:firstLine="709"/>
        <w:jc w:val="both"/>
        <w:rPr>
          <w:rFonts w:ascii="Verdana" w:eastAsia="Times New Roman" w:hAnsi="Verdana" w:cs="Century Gothic"/>
          <w:lang w:val="es-ES"/>
        </w:rPr>
      </w:pPr>
      <w:bookmarkStart w:id="2" w:name="_Hlk143965046"/>
      <w:r w:rsidRPr="00816DD5">
        <w:rPr>
          <w:rFonts w:ascii="Verdana" w:eastAsia="Times New Roman" w:hAnsi="Verdana" w:cs="Century Gothic"/>
          <w:lang w:val="es-ES"/>
        </w:rPr>
        <w:t>Por otra parte, el artículo 42 de la Ley 1861 de 2017 dispone en su primer inciso que la situación militar se deberá acreditar en tres eventos: i) para ejercer cargos públicos, ii) trabajar en el sector privado y iii) celebrar contratos de prestación de servicios como persona natural con cualquier entidad de derecho público. De esta manera, se concluye prima facie que, para la celebración de contratos de prestación de servicios con personas naturales, resulta obligatorio que se acredite definida la situación militar mediante los documentos señalados.</w:t>
      </w:r>
      <w:bookmarkEnd w:id="2"/>
    </w:p>
    <w:p w14:paraId="38816A73" w14:textId="77777777" w:rsidR="00871985" w:rsidRDefault="00871985" w:rsidP="00871985">
      <w:pPr>
        <w:spacing w:after="120" w:line="276" w:lineRule="auto"/>
        <w:ind w:firstLine="709"/>
        <w:jc w:val="both"/>
        <w:rPr>
          <w:rFonts w:ascii="Verdana" w:eastAsia="Times New Roman" w:hAnsi="Verdana" w:cs="Century Gothic"/>
          <w:lang w:val="es-ES"/>
        </w:rPr>
      </w:pPr>
      <w:r w:rsidRPr="00816DD5">
        <w:rPr>
          <w:rFonts w:ascii="Verdana" w:eastAsia="Times New Roman" w:hAnsi="Verdana" w:cs="Century Gothic"/>
          <w:lang w:val="es-ES"/>
        </w:rPr>
        <w:t xml:space="preserve">En relación con este punto, la Circular Externa Única expedida por la Agencia Nacional de Contratación Pública – Colombia Compra Eficiente señaló que es deber de las Entidades Públicas verificar que la situación militar del futuro </w:t>
      </w:r>
      <w:r w:rsidRPr="00816DD5">
        <w:rPr>
          <w:rFonts w:ascii="Verdana" w:eastAsia="Times New Roman" w:hAnsi="Verdana" w:cs="Century Gothic"/>
          <w:lang w:val="es-ES"/>
        </w:rPr>
        <w:lastRenderedPageBreak/>
        <w:t>contratista se encuentre definida para efectos de la celebración del contrato de prestación de servicios</w:t>
      </w:r>
      <w:r w:rsidRPr="00816DD5">
        <w:rPr>
          <w:rFonts w:ascii="Verdana" w:eastAsia="Times New Roman" w:hAnsi="Verdana" w:cs="Century Gothic"/>
          <w:vertAlign w:val="superscript"/>
          <w:lang w:val="es-ES"/>
        </w:rPr>
        <w:footnoteReference w:id="3"/>
      </w:r>
      <w:r w:rsidRPr="00816DD5">
        <w:rPr>
          <w:rFonts w:ascii="Verdana" w:eastAsia="Times New Roman" w:hAnsi="Verdana" w:cs="Century Gothic"/>
          <w:lang w:val="es-ES"/>
        </w:rPr>
        <w:t>.</w:t>
      </w:r>
    </w:p>
    <w:p w14:paraId="57DD9A9D" w14:textId="77777777" w:rsidR="00871985" w:rsidRPr="00816DD5" w:rsidRDefault="00871985" w:rsidP="00871985">
      <w:pPr>
        <w:spacing w:after="120" w:line="276" w:lineRule="auto"/>
        <w:ind w:firstLine="709"/>
        <w:jc w:val="both"/>
        <w:rPr>
          <w:rFonts w:ascii="Verdana" w:eastAsia="Times New Roman" w:hAnsi="Verdana" w:cs="Century Gothic"/>
          <w:lang w:val="es-ES"/>
        </w:rPr>
      </w:pPr>
    </w:p>
    <w:p w14:paraId="6B8154E5" w14:textId="77777777" w:rsidR="00871985" w:rsidRDefault="00871985" w:rsidP="00871985">
      <w:pPr>
        <w:spacing w:after="120" w:line="276" w:lineRule="auto"/>
        <w:ind w:firstLine="709"/>
        <w:jc w:val="both"/>
        <w:rPr>
          <w:rFonts w:ascii="Verdana" w:eastAsia="Times New Roman" w:hAnsi="Verdana" w:cs="Century Gothic"/>
          <w:lang w:val="es-ES"/>
        </w:rPr>
      </w:pPr>
      <w:r w:rsidRPr="00816DD5">
        <w:rPr>
          <w:rFonts w:ascii="Verdana" w:eastAsia="Times New Roman" w:hAnsi="Verdana" w:cs="Century Gothic"/>
          <w:lang w:val="es-ES"/>
        </w:rPr>
        <w:t xml:space="preserve">Sin embargo, </w:t>
      </w:r>
      <w:bookmarkStart w:id="3" w:name="_Hlk143965057"/>
      <w:r w:rsidRPr="00816DD5">
        <w:rPr>
          <w:rFonts w:ascii="Verdana" w:eastAsia="Times New Roman" w:hAnsi="Verdana" w:cs="Century Gothic"/>
          <w:lang w:val="es-ES"/>
        </w:rPr>
        <w:t>el inciso segundo del artículo 42 de la Ley 1861 de 2017 permitió el acceso temporal al trabajo a quienes no hayan definido su situación militar, cuando se encuentren clasificadas como no aptas, exentas o hayan superado la edad máxima de incorporación a filas. Adicionalmente, dicho beneficio se extendió a las personas aptas pero exoneradas de pagar la cuota de compensación militar, en virtud de lo resuelto en la sentencia de la Corte Constitucional C- 277 de 2019</w:t>
      </w:r>
      <w:bookmarkEnd w:id="3"/>
      <w:r w:rsidRPr="00EA7A3F">
        <w:rPr>
          <w:rFonts w:ascii="Verdana" w:eastAsia="Times New Roman" w:hAnsi="Verdana" w:cs="Century Gothic"/>
          <w:vertAlign w:val="superscript"/>
          <w:lang w:val="es-ES"/>
        </w:rPr>
        <w:footnoteReference w:id="4"/>
      </w:r>
      <w:r w:rsidRPr="00816DD5">
        <w:rPr>
          <w:rFonts w:ascii="Verdana" w:eastAsia="Times New Roman" w:hAnsi="Verdana" w:cs="Century Gothic"/>
          <w:lang w:val="es-ES"/>
        </w:rPr>
        <w:t>.</w:t>
      </w:r>
    </w:p>
    <w:p w14:paraId="5BA2C98E" w14:textId="77777777" w:rsidR="00871985" w:rsidRDefault="00871985" w:rsidP="00871985">
      <w:pPr>
        <w:spacing w:after="120" w:line="276" w:lineRule="auto"/>
        <w:ind w:firstLine="708"/>
        <w:contextualSpacing/>
        <w:jc w:val="both"/>
        <w:rPr>
          <w:rFonts w:ascii="Verdana" w:eastAsia="Times New Roman" w:hAnsi="Verdana" w:cs="Century Gothic"/>
          <w:lang w:val="es-ES"/>
        </w:rPr>
      </w:pPr>
      <w:r>
        <w:rPr>
          <w:rFonts w:ascii="Verdana" w:eastAsia="Times New Roman" w:hAnsi="Verdana" w:cs="Century Gothic"/>
          <w:lang w:val="es-ES"/>
        </w:rPr>
        <w:t>E</w:t>
      </w:r>
      <w:r w:rsidRPr="00816DD5">
        <w:rPr>
          <w:rFonts w:ascii="Verdana" w:eastAsia="Times New Roman" w:hAnsi="Verdana" w:cs="Century Gothic"/>
          <w:lang w:val="es-ES"/>
        </w:rPr>
        <w:t>l inciso primero del artículo 2.3.1.4.9.2 del Decreto 1070 de 2015, modificado por el Decreto 977 de 2018, dispuso que el anterior beneficio se obtendría automáticamente cuando el ciudadano se vincule laboral o contractualmente a una empresa nacional o extranjera, oficial o particular, y se encuentre clasificado en los términos de la Ley 1861 de 2017 como no apto, exento o si ha superado la edad máxima de incorporación, incluyendo el nuevo grupo poblacional beneficiario en virtud de lo resuelto en la sentencia anteriormente citada. Para tal efecto, el inciso segundo otorgó un plazo máximo de dieciocho (18) meses para definir su situación militar. En lo pertinente, la disposición citada establece:</w:t>
      </w:r>
    </w:p>
    <w:p w14:paraId="0F1B29E0" w14:textId="77777777" w:rsidR="00871985" w:rsidRPr="00816DD5" w:rsidRDefault="00871985" w:rsidP="00871985">
      <w:pPr>
        <w:spacing w:after="120" w:line="276" w:lineRule="auto"/>
        <w:ind w:left="723"/>
        <w:contextualSpacing/>
        <w:jc w:val="both"/>
        <w:rPr>
          <w:rFonts w:ascii="Verdana" w:eastAsia="Times New Roman" w:hAnsi="Verdana" w:cs="Century Gothic"/>
          <w:lang w:val="es-ES"/>
        </w:rPr>
      </w:pPr>
    </w:p>
    <w:p w14:paraId="20222F53" w14:textId="77777777" w:rsidR="00871985" w:rsidRDefault="00871985" w:rsidP="00871985">
      <w:pPr>
        <w:spacing w:after="120" w:line="240" w:lineRule="auto"/>
        <w:ind w:left="709" w:right="709"/>
        <w:contextualSpacing/>
        <w:jc w:val="both"/>
        <w:rPr>
          <w:rFonts w:ascii="Verdana" w:eastAsia="Times New Roman" w:hAnsi="Verdana" w:cs="Century Gothic"/>
          <w:sz w:val="20"/>
          <w:szCs w:val="20"/>
          <w:lang w:val="es-ES"/>
        </w:rPr>
      </w:pPr>
      <w:r w:rsidRPr="00816DD5">
        <w:rPr>
          <w:rFonts w:ascii="Verdana" w:eastAsia="Times New Roman" w:hAnsi="Verdana" w:cs="Century Gothic"/>
          <w:sz w:val="20"/>
          <w:szCs w:val="20"/>
          <w:lang w:val="es-ES"/>
        </w:rPr>
        <w:t>“[…] Sin perjuicio de la obligación anterior, las entidades públicas o privadas no podrán exigir al ciudadano la presentación de la tarjeta militar para ingresar a un empleo. Las personas declaradas no aptas, exentas o que hayan superado la edad máxima de incorporación a filas podrán acceder a un empleo sin haber definido su situación militar. Sin embargo, a partir de la fecha de su vinculación laboral estas personas tendrán un lapso de dieciocho (18) meses para definir su situación militar. En todo caso, no se podrán contabilizar dentro de los dieciocho (18) meses, las demoras que no le sean imputables al trabajador. […]”. [Énfasis fuera de texto]</w:t>
      </w:r>
    </w:p>
    <w:p w14:paraId="5A7E386D" w14:textId="77777777" w:rsidR="00871985" w:rsidRPr="00816DD5" w:rsidRDefault="00871985" w:rsidP="00871985">
      <w:pPr>
        <w:spacing w:after="120" w:line="240" w:lineRule="auto"/>
        <w:ind w:right="709"/>
        <w:contextualSpacing/>
        <w:jc w:val="both"/>
        <w:rPr>
          <w:rFonts w:ascii="Verdana" w:eastAsia="Times New Roman" w:hAnsi="Verdana" w:cs="Century Gothic"/>
          <w:sz w:val="20"/>
          <w:szCs w:val="20"/>
          <w:lang w:val="es-ES"/>
        </w:rPr>
      </w:pPr>
      <w:r>
        <w:rPr>
          <w:rFonts w:ascii="Verdana" w:eastAsia="Times New Roman" w:hAnsi="Verdana" w:cs="Arial"/>
          <w:lang w:val="es-ES"/>
        </w:rPr>
        <w:lastRenderedPageBreak/>
        <w:tab/>
      </w:r>
    </w:p>
    <w:p w14:paraId="37478D0F" w14:textId="77777777" w:rsidR="00871985" w:rsidRPr="00EA7A3F" w:rsidRDefault="00871985" w:rsidP="00871985">
      <w:pPr>
        <w:spacing w:after="120" w:line="276" w:lineRule="auto"/>
        <w:ind w:firstLine="709"/>
        <w:jc w:val="both"/>
        <w:rPr>
          <w:rFonts w:ascii="Verdana" w:eastAsia="Calibri" w:hAnsi="Verdana" w:cs="Arial"/>
          <w:bCs/>
          <w:lang w:val="es-ES_tradnl"/>
        </w:rPr>
      </w:pPr>
      <w:r w:rsidRPr="00EA7A3F">
        <w:rPr>
          <w:rFonts w:ascii="Verdana" w:eastAsia="Calibri" w:hAnsi="Verdana" w:cs="Arial"/>
          <w:bCs/>
        </w:rPr>
        <w:t>Quienes accedan a este beneficio deben gestionar un certificado provisional en línea ante las autoridades de reclutamiento, que acredite el inicio del trámite de definición de su situación militar. Este certificado será válido por dieciocho (18) meses. El objetivo es permitir temporalmente el acceso al trabajo a este grupo de personas, siempre y cuando inicien el proceso para definir su situación militar dentro del plazo establecido por la ley.</w:t>
      </w:r>
    </w:p>
    <w:p w14:paraId="4EFB3BA9" w14:textId="77777777" w:rsidR="00871985" w:rsidRPr="00EA7A3F" w:rsidRDefault="00871985" w:rsidP="00871985">
      <w:pPr>
        <w:spacing w:after="0" w:line="276" w:lineRule="auto"/>
        <w:ind w:firstLine="708"/>
        <w:jc w:val="both"/>
        <w:rPr>
          <w:rFonts w:ascii="Verdana" w:eastAsia="Calibri" w:hAnsi="Verdana" w:cs="Arial"/>
          <w:bCs/>
          <w:lang w:val="es-ES_tradnl"/>
        </w:rPr>
      </w:pPr>
      <w:r>
        <w:rPr>
          <w:rFonts w:ascii="Verdana" w:eastAsia="Calibri" w:hAnsi="Verdana" w:cs="Arial"/>
          <w:bCs/>
          <w:lang w:val="es-ES_tradnl"/>
        </w:rPr>
        <w:t>P</w:t>
      </w:r>
      <w:r w:rsidRPr="00EA7A3F">
        <w:rPr>
          <w:rFonts w:ascii="Verdana" w:eastAsia="Calibri" w:hAnsi="Verdana" w:cs="Arial"/>
          <w:bCs/>
          <w:lang w:val="es-ES_tradnl"/>
        </w:rPr>
        <w:t>or su parte la corte constitucional señalo lo siguiente:</w:t>
      </w:r>
    </w:p>
    <w:p w14:paraId="172C999D" w14:textId="77777777" w:rsidR="00871985" w:rsidRDefault="00871985" w:rsidP="00871985">
      <w:pPr>
        <w:pStyle w:val="Prrafodelista"/>
        <w:spacing w:after="0" w:line="276" w:lineRule="auto"/>
        <w:jc w:val="both"/>
        <w:rPr>
          <w:rFonts w:ascii="Verdana" w:eastAsia="Calibri" w:hAnsi="Verdana" w:cs="Arial"/>
          <w:bCs/>
          <w:lang w:val="es-ES_tradnl"/>
        </w:rPr>
      </w:pPr>
    </w:p>
    <w:p w14:paraId="250DDFFF" w14:textId="77777777" w:rsidR="00871985" w:rsidRPr="00EA7A3F" w:rsidRDefault="00871985" w:rsidP="00871985">
      <w:pPr>
        <w:spacing w:after="0" w:line="240" w:lineRule="auto"/>
        <w:ind w:left="709" w:right="709"/>
        <w:jc w:val="both"/>
        <w:rPr>
          <w:rFonts w:ascii="Verdana" w:eastAsia="Calibri" w:hAnsi="Verdana" w:cs="Arial"/>
          <w:sz w:val="20"/>
          <w:szCs w:val="20"/>
        </w:rPr>
      </w:pPr>
      <w:r w:rsidRPr="00EA7A3F">
        <w:rPr>
          <w:rFonts w:ascii="Verdana" w:eastAsia="Calibri" w:hAnsi="Verdana" w:cs="Arial"/>
          <w:sz w:val="20"/>
          <w:szCs w:val="20"/>
          <w:lang w:val="es-ES"/>
        </w:rPr>
        <w:t>“El artículo 42 de la Ley 1861 de 2017 permite el acceso temporal a un empleo (por 18 meses) a un determinado grupo de personas que no ha culminado el proceso requerido para definir su situación militar, pero que por diversos motivos ha quedado liberado de su deber de prestación física. Según se desprende del Capítulo Segundo, del Título Segundo, de la Ley 1861 de 2017, la definición de la situación militar es un proceso que inicia con la inscripción que realiza la Organización de Reclutamiento y Movilización (art. 17 de la Ley 1861 de 2017) y que culmina con el pago de la cuota de compensación militar, cuando no se está exonerado de esta (arts. 26 a 28 de la Ley 1861 de 2017). Por tal razón, lo que permite el texto demandado es que las personas declaradas no aptas o exentas para prestar el servicio militar, así como las que hubieren superado la edad máxima de incorporación a filas, puedan acceder temporalmente a un trabajo mientras culminan con el referido trámite. De no existir la norma acusada, ni siquiera tales grupos (los no aptos, exentos o que hubieren superado la edad máxima de incorporación a filas) podrían acceder al beneficio de trabajar que regula la disposición, hasta que culminen con el trámite de la definición de su situación militar, toda vez que, en ese contexto hipotético, les aplicaría la restricción general descrita en el resto del artículo 42 en estudio</w:t>
      </w:r>
      <w:r w:rsidRPr="00555252">
        <w:rPr>
          <w:rStyle w:val="Refdenotaalpie"/>
          <w:rFonts w:ascii="Verdana" w:eastAsia="Calibri" w:hAnsi="Verdana" w:cs="Arial"/>
          <w:bCs/>
          <w:sz w:val="20"/>
          <w:szCs w:val="20"/>
          <w:lang w:val="es-ES_tradnl"/>
        </w:rPr>
        <w:footnoteReference w:id="5"/>
      </w:r>
      <w:r w:rsidRPr="00EA7A3F">
        <w:rPr>
          <w:rFonts w:ascii="Verdana" w:eastAsia="Calibri" w:hAnsi="Verdana" w:cs="Arial"/>
          <w:sz w:val="20"/>
          <w:szCs w:val="20"/>
          <w:lang w:val="es-ES"/>
        </w:rPr>
        <w:t>”.</w:t>
      </w:r>
    </w:p>
    <w:p w14:paraId="205709D0" w14:textId="77777777" w:rsidR="00871985" w:rsidRPr="008941A8" w:rsidRDefault="00871985" w:rsidP="00871985">
      <w:pPr>
        <w:pStyle w:val="Prrafodelista"/>
        <w:spacing w:after="0"/>
        <w:rPr>
          <w:rFonts w:ascii="Verdana" w:eastAsia="Calibri" w:hAnsi="Verdana" w:cs="Arial"/>
          <w:bCs/>
          <w:lang w:val="es-ES_tradnl"/>
        </w:rPr>
      </w:pPr>
    </w:p>
    <w:p w14:paraId="462031AD" w14:textId="77777777" w:rsidR="00871985" w:rsidRPr="00EA7A3F" w:rsidRDefault="00871985" w:rsidP="00871985">
      <w:pPr>
        <w:tabs>
          <w:tab w:val="left" w:pos="142"/>
          <w:tab w:val="left" w:pos="284"/>
        </w:tabs>
        <w:spacing w:after="0" w:line="276" w:lineRule="auto"/>
        <w:jc w:val="both"/>
        <w:rPr>
          <w:rFonts w:ascii="Verdana" w:eastAsia="Century Gothic" w:hAnsi="Verdana" w:cs="Century Gothic"/>
          <w:b/>
          <w:bCs/>
        </w:rPr>
      </w:pPr>
      <w:r>
        <w:rPr>
          <w:rFonts w:ascii="Verdana" w:eastAsia="Calibri" w:hAnsi="Verdana" w:cs="Arial"/>
          <w:bCs/>
        </w:rPr>
        <w:tab/>
      </w:r>
      <w:r>
        <w:rPr>
          <w:rFonts w:ascii="Verdana" w:eastAsia="Calibri" w:hAnsi="Verdana" w:cs="Arial"/>
          <w:bCs/>
        </w:rPr>
        <w:tab/>
      </w:r>
      <w:r>
        <w:rPr>
          <w:rFonts w:ascii="Verdana" w:eastAsia="Calibri" w:hAnsi="Verdana" w:cs="Arial"/>
          <w:bCs/>
        </w:rPr>
        <w:tab/>
      </w:r>
      <w:r w:rsidRPr="00EA7A3F">
        <w:rPr>
          <w:rFonts w:ascii="Verdana" w:eastAsia="Calibri" w:hAnsi="Verdana" w:cs="Arial"/>
          <w:bCs/>
        </w:rPr>
        <w:t xml:space="preserve">No cabe duda de que el beneficio contemplado en el artículo anteriormente citado resulta aplicable a los contratos de prestación de servicios que suscriban las entidades públicas con las personas naturales que cumplan con las condiciones establecidas en la norma. Sin embargo, el alcance de esta regla debe interpretarse en armonía con lo dispuesto en el artículo 2.3.1.4.9.3 del Decreto 1070 de 2015, el cual le impone la obligación a quien vaya a realizar la respectiva vinculación de consultar el estado de la definición de la situación militar a través del portal web dispuesto por el Ministerio de Defensa Nacional - Comando de Reclutamiento y Control Reservas del Ejército Nacional. Al respecto, señala que el ciudadano que figure como no apto, exento o que supere la edad </w:t>
      </w:r>
      <w:r w:rsidRPr="00EA7A3F">
        <w:rPr>
          <w:rFonts w:ascii="Verdana" w:eastAsia="Calibri" w:hAnsi="Verdana" w:cs="Arial"/>
          <w:bCs/>
        </w:rPr>
        <w:lastRenderedPageBreak/>
        <w:t xml:space="preserve">máxima de incorporación aparecerá en el Sistema de Información de Reclutamiento como en </w:t>
      </w:r>
      <w:r w:rsidRPr="00EA7A3F">
        <w:rPr>
          <w:rFonts w:ascii="Verdana" w:eastAsia="Calibri" w:hAnsi="Verdana" w:cs="Arial"/>
          <w:bCs/>
          <w:i/>
          <w:iCs/>
        </w:rPr>
        <w:t xml:space="preserve">“liquidación”, </w:t>
      </w:r>
      <w:r w:rsidRPr="00EA7A3F">
        <w:rPr>
          <w:rFonts w:ascii="Verdana" w:eastAsia="Calibri" w:hAnsi="Verdana" w:cs="Arial"/>
          <w:bCs/>
        </w:rPr>
        <w:t xml:space="preserve">por el contrario, indica que si el ciudadano al momento de la consulta no se encuentra inscrito o la leyenda que arroja el portal web indica que su estado es </w:t>
      </w:r>
      <w:r w:rsidRPr="00EA7A3F">
        <w:rPr>
          <w:rFonts w:ascii="Verdana" w:eastAsia="Calibri" w:hAnsi="Verdana" w:cs="Arial"/>
          <w:bCs/>
          <w:i/>
          <w:iCs/>
        </w:rPr>
        <w:t>“citado a primer examen”, “citado a concentración”</w:t>
      </w:r>
      <w:r w:rsidRPr="00EA7A3F">
        <w:rPr>
          <w:rFonts w:ascii="Verdana" w:eastAsia="Calibri" w:hAnsi="Verdana" w:cs="Arial"/>
          <w:bCs/>
        </w:rPr>
        <w:t xml:space="preserve"> o </w:t>
      </w:r>
      <w:r w:rsidRPr="00EA7A3F">
        <w:rPr>
          <w:rFonts w:ascii="Verdana" w:eastAsia="Calibri" w:hAnsi="Verdana" w:cs="Arial"/>
          <w:bCs/>
          <w:i/>
          <w:iCs/>
        </w:rPr>
        <w:t>“remiso”</w:t>
      </w:r>
      <w:r w:rsidRPr="00EA7A3F">
        <w:rPr>
          <w:rFonts w:ascii="Verdana" w:eastAsia="Calibri" w:hAnsi="Verdana" w:cs="Arial"/>
          <w:bCs/>
        </w:rPr>
        <w:t>, no podrá acceder a los beneficios que contempla el artículo 42 de la Ley 1861 de 2017, salvo que dé inicio al proceso de definición del estado de la situación militar y sea clasificado en el sistema dentro de la población beneficiaria de dicha regla excepcional.</w:t>
      </w:r>
    </w:p>
    <w:p w14:paraId="5C1E8DC4" w14:textId="77777777" w:rsidR="00871985" w:rsidRDefault="00871985" w:rsidP="00871985">
      <w:pPr>
        <w:tabs>
          <w:tab w:val="left" w:pos="142"/>
          <w:tab w:val="left" w:pos="284"/>
        </w:tabs>
        <w:spacing w:after="0" w:line="276" w:lineRule="auto"/>
        <w:ind w:left="360"/>
        <w:jc w:val="both"/>
        <w:rPr>
          <w:rFonts w:ascii="Verdana" w:eastAsia="Century Gothic" w:hAnsi="Verdana" w:cs="Century Gothic"/>
          <w:b/>
          <w:bCs/>
          <w:lang w:val="es-ES"/>
        </w:rPr>
      </w:pPr>
    </w:p>
    <w:p w14:paraId="1B3182D4" w14:textId="77777777" w:rsidR="00871985" w:rsidRPr="00EA7A3F" w:rsidRDefault="00871985" w:rsidP="00871985">
      <w:pPr>
        <w:tabs>
          <w:tab w:val="left" w:pos="142"/>
          <w:tab w:val="left" w:pos="284"/>
        </w:tabs>
        <w:spacing w:after="0" w:line="276" w:lineRule="auto"/>
        <w:jc w:val="both"/>
        <w:rPr>
          <w:rFonts w:ascii="Verdana" w:eastAsia="Century Gothic" w:hAnsi="Verdana" w:cs="Century Gothic"/>
        </w:rPr>
      </w:pPr>
      <w:r>
        <w:rPr>
          <w:rFonts w:ascii="Verdana" w:eastAsia="Century Gothic" w:hAnsi="Verdana" w:cs="Century Gothic"/>
        </w:rPr>
        <w:tab/>
      </w:r>
      <w:r>
        <w:rPr>
          <w:rFonts w:ascii="Verdana" w:eastAsia="Century Gothic" w:hAnsi="Verdana" w:cs="Century Gothic"/>
        </w:rPr>
        <w:tab/>
      </w:r>
      <w:r>
        <w:rPr>
          <w:rFonts w:ascii="Verdana" w:eastAsia="Century Gothic" w:hAnsi="Verdana" w:cs="Century Gothic"/>
        </w:rPr>
        <w:tab/>
      </w:r>
      <w:r w:rsidRPr="00EA7A3F">
        <w:rPr>
          <w:rFonts w:ascii="Verdana" w:eastAsia="Century Gothic" w:hAnsi="Verdana" w:cs="Century Gothic"/>
        </w:rPr>
        <w:t>La Corte Constitucional, en sentencia C- 277 de 2019</w:t>
      </w:r>
      <w:r>
        <w:rPr>
          <w:rStyle w:val="Refdenotaalpie"/>
          <w:rFonts w:ascii="Verdana" w:eastAsia="Century Gothic" w:hAnsi="Verdana" w:cs="Century Gothic"/>
          <w:lang w:val="es-ES"/>
        </w:rPr>
        <w:footnoteReference w:id="6"/>
      </w:r>
      <w:r w:rsidRPr="00EA7A3F">
        <w:rPr>
          <w:rFonts w:ascii="Verdana" w:eastAsia="Century Gothic" w:hAnsi="Verdana" w:cs="Century Gothic"/>
        </w:rPr>
        <w:t>, indicó que la finalidad implícita del plazo de dieciocho (18) meses, previsto en el artículo 42 de la Ley 1861 de 2017 para definir su situación militar, obedece a una medida contemplada por el Legislador con el fin de empujar a las personas para que se presenten ante las autoridades militares con el fin de definir su situación militar, lo más rápido posible. Al respecto, indicó que:</w:t>
      </w:r>
    </w:p>
    <w:p w14:paraId="5574C4B3" w14:textId="77777777" w:rsidR="00871985" w:rsidRPr="00AE212E" w:rsidRDefault="00871985" w:rsidP="00871985">
      <w:pPr>
        <w:pStyle w:val="Prrafodelista"/>
        <w:rPr>
          <w:rFonts w:ascii="Verdana" w:eastAsia="Century Gothic" w:hAnsi="Verdana" w:cs="Century Gothic"/>
        </w:rPr>
      </w:pPr>
    </w:p>
    <w:p w14:paraId="7BAADE04" w14:textId="77777777" w:rsidR="00871985" w:rsidRPr="00EA7A3F" w:rsidRDefault="00871985" w:rsidP="00871985">
      <w:pPr>
        <w:tabs>
          <w:tab w:val="left" w:pos="142"/>
          <w:tab w:val="left" w:pos="284"/>
        </w:tabs>
        <w:spacing w:after="0" w:line="240" w:lineRule="auto"/>
        <w:ind w:left="709" w:right="709"/>
        <w:jc w:val="both"/>
        <w:rPr>
          <w:rFonts w:ascii="Verdana" w:eastAsia="Century Gothic" w:hAnsi="Verdana" w:cs="Century Gothic"/>
          <w:sz w:val="20"/>
          <w:szCs w:val="20"/>
        </w:rPr>
      </w:pPr>
      <w:r w:rsidRPr="00EA7A3F">
        <w:rPr>
          <w:rFonts w:ascii="Verdana" w:eastAsia="Century Gothic" w:hAnsi="Verdana" w:cs="Century Gothic"/>
          <w:sz w:val="20"/>
          <w:szCs w:val="20"/>
        </w:rPr>
        <w:t>“La finalidad implícita de la medida [34] es conminar a las personas para que se presenten ante las autoridades militares con el fin de definir su situación militar, lo más pronto posible. Esta finalidad es, en abstracto, constitucionalmente importante, por tres razones: en primer lugar, resulta consecuente con lo previsto en el artículo 216 de la Constitución, según el cual todos los colombianos tienen el deber de tomar las armas cuando las necesidades públicas lo exijan, para defender la independencia nacional y las instituciones públicas; en segundo lugar, el Legislador puede regular supuestos de exoneración del deber de prestar el servicio militar obligatorio y, en tercer lugar, respecto de aquellos que no se encuentran en este último supuesto puede adoptar las medidas idóneas para su cumplimiento coactivo”.</w:t>
      </w:r>
    </w:p>
    <w:p w14:paraId="65143B3C" w14:textId="77777777" w:rsidR="00871985" w:rsidRPr="00AE212E" w:rsidRDefault="00871985" w:rsidP="00871985">
      <w:pPr>
        <w:pStyle w:val="Prrafodelista"/>
        <w:tabs>
          <w:tab w:val="left" w:pos="142"/>
          <w:tab w:val="left" w:pos="284"/>
        </w:tabs>
        <w:spacing w:after="0" w:line="276" w:lineRule="auto"/>
        <w:jc w:val="both"/>
        <w:rPr>
          <w:rFonts w:ascii="Verdana" w:eastAsia="Century Gothic" w:hAnsi="Verdana" w:cs="Century Gothic"/>
        </w:rPr>
      </w:pPr>
    </w:p>
    <w:p w14:paraId="54314955" w14:textId="77777777" w:rsidR="00871985" w:rsidRPr="00EA7A3F" w:rsidRDefault="00871985" w:rsidP="00871985">
      <w:pPr>
        <w:tabs>
          <w:tab w:val="left" w:pos="142"/>
          <w:tab w:val="left" w:pos="284"/>
        </w:tabs>
        <w:spacing w:after="0" w:line="276" w:lineRule="auto"/>
        <w:jc w:val="both"/>
        <w:rPr>
          <w:rFonts w:ascii="Verdana" w:eastAsia="Century Gothic" w:hAnsi="Verdana" w:cs="Century Gothic"/>
        </w:rPr>
      </w:pPr>
      <w:r>
        <w:rPr>
          <w:rFonts w:ascii="Verdana" w:eastAsia="Century Gothic" w:hAnsi="Verdana" w:cs="Century Gothic"/>
        </w:rPr>
        <w:tab/>
      </w:r>
      <w:r>
        <w:rPr>
          <w:rFonts w:ascii="Verdana" w:eastAsia="Century Gothic" w:hAnsi="Verdana" w:cs="Century Gothic"/>
        </w:rPr>
        <w:tab/>
      </w:r>
      <w:r>
        <w:rPr>
          <w:rFonts w:ascii="Verdana" w:eastAsia="Century Gothic" w:hAnsi="Verdana" w:cs="Century Gothic"/>
        </w:rPr>
        <w:tab/>
      </w:r>
      <w:r w:rsidRPr="00EA7A3F">
        <w:rPr>
          <w:rFonts w:ascii="Verdana" w:eastAsia="Century Gothic" w:hAnsi="Verdana" w:cs="Century Gothic"/>
        </w:rPr>
        <w:t xml:space="preserve">De esta manera, el beneficio creado en el artículo 42 de la Ley 1861 de 207 no exoneró a los ciudadanos para definir su situación militar, así como tampoco de mantener el beneficio de manera indefinida en el tiempo, sin embargo, la norma en cita contempló que no se podrá contar en dicho plazo las demoras que no le sean imputables al beneficiario. Frente a ello, el artículo 2.3.1.4.9.5 del Decreto 1070 de 2015, modificado por el Decreto 977 de 2018, indicó que esas demoras se refieren a cualquier dilación o retraso por parte del Comando de Reclutamiento y Control Reservas del Ejército Nacional, durante el </w:t>
      </w:r>
      <w:r w:rsidRPr="00EA7A3F">
        <w:rPr>
          <w:rFonts w:ascii="Verdana" w:eastAsia="Century Gothic" w:hAnsi="Verdana" w:cs="Century Gothic"/>
        </w:rPr>
        <w:lastRenderedPageBreak/>
        <w:t>beneficio de los dieciocho (18) meses para normalizar la situación militar. Sobre este tema, la Corte Constitucional indicó en la referida sentencia que:</w:t>
      </w:r>
    </w:p>
    <w:p w14:paraId="01D7283C" w14:textId="77777777" w:rsidR="00871985" w:rsidRPr="00AE212E" w:rsidRDefault="00871985" w:rsidP="00871985">
      <w:pPr>
        <w:tabs>
          <w:tab w:val="left" w:pos="142"/>
          <w:tab w:val="left" w:pos="284"/>
        </w:tabs>
        <w:spacing w:after="0" w:line="276" w:lineRule="auto"/>
        <w:jc w:val="both"/>
        <w:rPr>
          <w:rFonts w:ascii="Verdana" w:eastAsia="Century Gothic" w:hAnsi="Verdana" w:cs="Century Gothic"/>
          <w:lang w:val="es-ES"/>
        </w:rPr>
      </w:pPr>
    </w:p>
    <w:p w14:paraId="362F3DEB" w14:textId="77777777" w:rsidR="00871985" w:rsidRPr="00EA7A3F" w:rsidRDefault="00871985" w:rsidP="00871985">
      <w:pPr>
        <w:tabs>
          <w:tab w:val="left" w:pos="142"/>
          <w:tab w:val="left" w:pos="284"/>
        </w:tabs>
        <w:spacing w:after="0" w:line="240" w:lineRule="auto"/>
        <w:ind w:left="709" w:right="709"/>
        <w:jc w:val="both"/>
        <w:rPr>
          <w:rFonts w:ascii="Verdana" w:eastAsia="Century Gothic" w:hAnsi="Verdana" w:cs="Century Gothic"/>
          <w:sz w:val="20"/>
          <w:szCs w:val="20"/>
        </w:rPr>
      </w:pPr>
      <w:r w:rsidRPr="00EA7A3F">
        <w:rPr>
          <w:rFonts w:ascii="Verdana" w:eastAsia="Century Gothic" w:hAnsi="Verdana" w:cs="Century Gothic"/>
          <w:sz w:val="20"/>
          <w:szCs w:val="20"/>
        </w:rPr>
        <w:t>“La sanción a la que hace referencia la disposición es la siguiente: “Las entidades nacionales o extranjeras, oficiales y privadas, radicadas en Colombia que vinculen laboralmente a personas mayores de 18 años sin haber solucionado la situación militar de manera definitiva o provisional, tendrán una sanción de cinco (5) salarios mínimos legales mensuales vigentes por cada trabajador en esta condición. Salvo que se trate de lo dispuesto en el artículo 42 de la presente ley”. Esta regla se exceptúa en aquellos supuestos en los que las personas son declaradas no aptas, exentas o han superado la edad máxima de incorporación a filas. Estas pueden ingresar transitoriamente al mercado laboral, mientras definen su situación militar, hasta por un término de 18 meses, y sin que sea procedente computar las demoras imputables a la administración”</w:t>
      </w:r>
    </w:p>
    <w:p w14:paraId="4D673C16" w14:textId="77777777" w:rsidR="00871985" w:rsidRPr="00AE212E" w:rsidRDefault="00871985" w:rsidP="00871985">
      <w:pPr>
        <w:pStyle w:val="Prrafodelista"/>
        <w:tabs>
          <w:tab w:val="left" w:pos="142"/>
          <w:tab w:val="left" w:pos="284"/>
        </w:tabs>
        <w:spacing w:after="0" w:line="276" w:lineRule="auto"/>
        <w:jc w:val="both"/>
        <w:rPr>
          <w:rFonts w:ascii="Verdana" w:eastAsia="Century Gothic" w:hAnsi="Verdana" w:cs="Century Gothic"/>
        </w:rPr>
      </w:pPr>
    </w:p>
    <w:p w14:paraId="0C78EF10" w14:textId="77777777" w:rsidR="00871985" w:rsidRPr="00EA7A3F" w:rsidRDefault="00871985" w:rsidP="00871985">
      <w:pPr>
        <w:tabs>
          <w:tab w:val="left" w:pos="142"/>
          <w:tab w:val="left" w:pos="284"/>
        </w:tabs>
        <w:spacing w:after="0" w:line="276" w:lineRule="auto"/>
        <w:jc w:val="both"/>
        <w:rPr>
          <w:rFonts w:ascii="Verdana" w:eastAsia="Century Gothic" w:hAnsi="Verdana" w:cs="Century Gothic"/>
        </w:rPr>
      </w:pPr>
      <w:r>
        <w:rPr>
          <w:rFonts w:ascii="Verdana" w:eastAsia="Century Gothic" w:hAnsi="Verdana" w:cs="Century Gothic"/>
        </w:rPr>
        <w:tab/>
      </w:r>
      <w:r>
        <w:rPr>
          <w:rFonts w:ascii="Verdana" w:eastAsia="Century Gothic" w:hAnsi="Verdana" w:cs="Century Gothic"/>
        </w:rPr>
        <w:tab/>
      </w:r>
      <w:r>
        <w:rPr>
          <w:rFonts w:ascii="Verdana" w:eastAsia="Century Gothic" w:hAnsi="Verdana" w:cs="Century Gothic"/>
        </w:rPr>
        <w:tab/>
      </w:r>
      <w:r w:rsidRPr="00EA7A3F">
        <w:rPr>
          <w:rFonts w:ascii="Verdana" w:eastAsia="Century Gothic" w:hAnsi="Verdana" w:cs="Century Gothic"/>
        </w:rPr>
        <w:t>De igual forma, la Corte Constitucional en Sentencia T-313 de 2022</w:t>
      </w:r>
      <w:r>
        <w:rPr>
          <w:rStyle w:val="Refdenotaalpie"/>
          <w:rFonts w:ascii="Verdana" w:eastAsia="Century Gothic" w:hAnsi="Verdana" w:cs="Century Gothic"/>
          <w:lang w:val="es-ES"/>
        </w:rPr>
        <w:footnoteReference w:id="7"/>
      </w:r>
      <w:r w:rsidRPr="00EA7A3F">
        <w:rPr>
          <w:rFonts w:ascii="Verdana" w:eastAsia="Century Gothic" w:hAnsi="Verdana" w:cs="Century Gothic"/>
        </w:rPr>
        <w:t>, evaluó los precedentes sobre la afectación del derecho al trabajo, por parte de las entidades públicas contratantes frente a los titulares de contratos de prestación de servicios, y en particular resolvió que:</w:t>
      </w:r>
    </w:p>
    <w:p w14:paraId="1677EED7" w14:textId="77777777" w:rsidR="00871985" w:rsidRPr="00AE212E" w:rsidRDefault="00871985" w:rsidP="00871985">
      <w:pPr>
        <w:pStyle w:val="Prrafodelista"/>
        <w:tabs>
          <w:tab w:val="left" w:pos="142"/>
          <w:tab w:val="left" w:pos="284"/>
        </w:tabs>
        <w:spacing w:after="0" w:line="276" w:lineRule="auto"/>
        <w:jc w:val="both"/>
        <w:rPr>
          <w:rFonts w:ascii="Verdana" w:eastAsia="Century Gothic" w:hAnsi="Verdana" w:cs="Century Gothic"/>
        </w:rPr>
      </w:pPr>
    </w:p>
    <w:p w14:paraId="12126029" w14:textId="77777777" w:rsidR="00871985" w:rsidRPr="00EA7A3F" w:rsidRDefault="00871985" w:rsidP="00871985">
      <w:pPr>
        <w:tabs>
          <w:tab w:val="left" w:pos="142"/>
          <w:tab w:val="left" w:pos="284"/>
        </w:tabs>
        <w:spacing w:after="0" w:line="240" w:lineRule="auto"/>
        <w:ind w:left="709" w:right="709"/>
        <w:jc w:val="both"/>
        <w:rPr>
          <w:rFonts w:ascii="Verdana" w:eastAsia="Century Gothic" w:hAnsi="Verdana" w:cs="Century Gothic"/>
          <w:sz w:val="20"/>
          <w:szCs w:val="20"/>
        </w:rPr>
      </w:pPr>
      <w:r w:rsidRPr="00EA7A3F">
        <w:rPr>
          <w:rFonts w:ascii="Verdana" w:eastAsia="Century Gothic" w:hAnsi="Verdana" w:cs="Century Gothic"/>
          <w:sz w:val="20"/>
          <w:szCs w:val="20"/>
        </w:rPr>
        <w:t>“23. En cuanto a la actuación de la Personería de Bogotá, la Sala observa que esta entidad no aplicó los precedentes de la Corte Constitucional en materia de regularización de la situación militar. En efecto, la entidad se abstuvo de renovar el contrato de prestación de servicios del señor Hernández Lasso porque no regularizó su situación militar en los 18 meses siguientes a su vinculación inicial como contratista. No obstante, de acuerdo con la sentencia C-277 de 2019, lo que dicha personería ha debido hacer era suspender ese término porque la demora no era responsabilidad del accionante. La falta de observar el precedente judicial incidió en el hecho de que el actor por un tiempo, como él indica, no tuviera ingresos y no pudiera asumir gastos de manutención.  Por lo tanto, la Personería de Bogotá debió proceder a firmar un nuevo contrato de prestación de servicio con el señor Hernández Lasso cuando el actor le comunicó el 4 de marzo de 2021 que no tenía regularizada su situación militar por circunstancias ajenas a él.</w:t>
      </w:r>
    </w:p>
    <w:p w14:paraId="65FFC542" w14:textId="77777777" w:rsidR="00871985" w:rsidRPr="00AE212E" w:rsidRDefault="00871985" w:rsidP="00871985">
      <w:pPr>
        <w:pStyle w:val="Prrafodelista"/>
        <w:tabs>
          <w:tab w:val="left" w:pos="142"/>
          <w:tab w:val="left" w:pos="284"/>
        </w:tabs>
        <w:spacing w:after="0" w:line="276" w:lineRule="auto"/>
        <w:ind w:left="709" w:right="709"/>
        <w:jc w:val="both"/>
        <w:rPr>
          <w:rFonts w:ascii="Verdana" w:eastAsia="Century Gothic" w:hAnsi="Verdana" w:cs="Century Gothic"/>
          <w:sz w:val="21"/>
          <w:szCs w:val="21"/>
        </w:rPr>
      </w:pPr>
    </w:p>
    <w:p w14:paraId="203F4FF1" w14:textId="77777777" w:rsidR="00871985" w:rsidRPr="00EA7A3F" w:rsidRDefault="00871985" w:rsidP="00871985">
      <w:pPr>
        <w:tabs>
          <w:tab w:val="left" w:pos="142"/>
          <w:tab w:val="left" w:pos="284"/>
        </w:tabs>
        <w:spacing w:after="0" w:line="240" w:lineRule="auto"/>
        <w:ind w:left="709" w:right="709"/>
        <w:jc w:val="both"/>
        <w:rPr>
          <w:rFonts w:ascii="Verdana" w:eastAsia="Century Gothic" w:hAnsi="Verdana" w:cs="Century Gothic"/>
          <w:sz w:val="21"/>
          <w:szCs w:val="21"/>
        </w:rPr>
      </w:pPr>
      <w:r w:rsidRPr="00EA7A3F">
        <w:rPr>
          <w:rFonts w:ascii="Verdana" w:eastAsia="Century Gothic" w:hAnsi="Verdana" w:cs="Century Gothic"/>
          <w:sz w:val="20"/>
          <w:szCs w:val="20"/>
        </w:rPr>
        <w:t xml:space="preserve">24. Ahora bien, de acuerdo con el artículo 32 de la Ley 80 de 1993 los contratos de prestación de servicios se celebran por un plazo determinado y, por lo tanto, cuando estos terminan es necesario celebrar uno nuevo. En ese sentido, no es posible señalar que hay un derecho adquirido frente a ese posible nuevo contrato, pues primero se debe verificar que el objeto </w:t>
      </w:r>
      <w:r w:rsidRPr="00EA7A3F">
        <w:rPr>
          <w:rFonts w:ascii="Verdana" w:eastAsia="Century Gothic" w:hAnsi="Verdana" w:cs="Century Gothic"/>
          <w:sz w:val="20"/>
          <w:szCs w:val="20"/>
        </w:rPr>
        <w:lastRenderedPageBreak/>
        <w:t>original para el cual este se celebró se mantiene. Sin embargo, esta no es la discusión en este caso, pues aquí se trata de determinar si el señor Hernández Lasso podía ser contratado a pesar de no tener legalizada su situación militar. En este punto la respuesta es clara, el accionante tenía el derecho a no ser excluido del proceso de contratación por la inadecuada aplicación de la ley que hizo la Personería al desconocer el precedente de la Corte Constitucional en la sentencia C-277 de 2019, previamente referenciada”.</w:t>
      </w:r>
    </w:p>
    <w:p w14:paraId="37EA97A9" w14:textId="77777777" w:rsidR="00871985" w:rsidRDefault="00871985" w:rsidP="00871985">
      <w:pPr>
        <w:tabs>
          <w:tab w:val="left" w:pos="142"/>
          <w:tab w:val="left" w:pos="284"/>
        </w:tabs>
        <w:spacing w:after="0" w:line="276" w:lineRule="auto"/>
        <w:jc w:val="both"/>
        <w:rPr>
          <w:rFonts w:ascii="Verdana" w:eastAsia="Century Gothic" w:hAnsi="Verdana" w:cs="Century Gothic"/>
          <w:lang w:val="es-ES"/>
        </w:rPr>
      </w:pPr>
    </w:p>
    <w:p w14:paraId="3DC8F055" w14:textId="77777777" w:rsidR="00871985" w:rsidRPr="00EA7A3F" w:rsidRDefault="00871985" w:rsidP="00871985">
      <w:pPr>
        <w:tabs>
          <w:tab w:val="left" w:pos="142"/>
          <w:tab w:val="left" w:pos="284"/>
        </w:tabs>
        <w:spacing w:after="120" w:line="276" w:lineRule="auto"/>
        <w:jc w:val="both"/>
        <w:rPr>
          <w:rFonts w:ascii="Verdana" w:eastAsia="Century Gothic" w:hAnsi="Verdana" w:cs="Century Gothic"/>
        </w:rPr>
      </w:pPr>
      <w:r>
        <w:rPr>
          <w:rFonts w:ascii="Verdana" w:eastAsia="Century Gothic" w:hAnsi="Verdana" w:cs="Century Gothic"/>
        </w:rPr>
        <w:tab/>
      </w:r>
      <w:r>
        <w:rPr>
          <w:rFonts w:ascii="Verdana" w:eastAsia="Century Gothic" w:hAnsi="Verdana" w:cs="Century Gothic"/>
        </w:rPr>
        <w:tab/>
      </w:r>
      <w:r>
        <w:rPr>
          <w:rFonts w:ascii="Verdana" w:eastAsia="Century Gothic" w:hAnsi="Verdana" w:cs="Century Gothic"/>
        </w:rPr>
        <w:tab/>
      </w:r>
      <w:r w:rsidRPr="00EA7A3F">
        <w:rPr>
          <w:rFonts w:ascii="Verdana" w:eastAsia="Century Gothic" w:hAnsi="Verdana" w:cs="Century Gothic"/>
        </w:rPr>
        <w:t>De acuerdo a sentencia de tutela, el Juez observó que, a pesar de los esfuerzos del actor por definir su situación militar mediante diferentes medios y oportunidades, el Ejército Nacional no resolvió su solicitud más allá de la etapa de “liquidación”. Estas demoras se consideraron injustificadas y una violación de las garantías del debido proceso del ciudadano.</w:t>
      </w:r>
    </w:p>
    <w:p w14:paraId="60B8C0B9" w14:textId="77777777" w:rsidR="00871985" w:rsidRPr="00EA7A3F" w:rsidRDefault="00871985" w:rsidP="00871985">
      <w:pPr>
        <w:tabs>
          <w:tab w:val="left" w:pos="142"/>
          <w:tab w:val="left" w:pos="284"/>
        </w:tabs>
        <w:spacing w:after="120" w:line="276" w:lineRule="auto"/>
        <w:jc w:val="both"/>
        <w:rPr>
          <w:rFonts w:ascii="Verdana" w:eastAsia="Century Gothic" w:hAnsi="Verdana" w:cs="Century Gothic"/>
        </w:rPr>
      </w:pPr>
      <w:r>
        <w:rPr>
          <w:rFonts w:ascii="Verdana" w:eastAsia="Century Gothic" w:hAnsi="Verdana" w:cs="Century Gothic"/>
        </w:rPr>
        <w:tab/>
      </w:r>
      <w:r>
        <w:rPr>
          <w:rFonts w:ascii="Verdana" w:eastAsia="Century Gothic" w:hAnsi="Verdana" w:cs="Century Gothic"/>
        </w:rPr>
        <w:tab/>
      </w:r>
      <w:r>
        <w:rPr>
          <w:rFonts w:ascii="Verdana" w:eastAsia="Century Gothic" w:hAnsi="Verdana" w:cs="Century Gothic"/>
        </w:rPr>
        <w:tab/>
      </w:r>
      <w:r w:rsidRPr="00EA7A3F">
        <w:rPr>
          <w:rFonts w:ascii="Verdana" w:eastAsia="Century Gothic" w:hAnsi="Verdana" w:cs="Century Gothic"/>
        </w:rPr>
        <w:t>En consecuencia, según precedentes judiciales y las normas aplicables, ni entidades públicas ni privadas pueden exigir la presentación de la tarjeta militar para empleo o contratos de prestación de servicios. Además, cuando una persona es beneficiaria automática del artículo 42 de la Ley 1861 de 2017, no se deben contar como parte del plazo legal de dieciocho meses aquellas demoras que no sean imputables al ciudadano debido a dilaciones o retrasos por parte del Comando de Reclutamiento y Control Reservas del Ejército Nacional.</w:t>
      </w:r>
    </w:p>
    <w:p w14:paraId="2AC65CDD" w14:textId="77777777" w:rsidR="00871985" w:rsidRPr="00EA7A3F" w:rsidRDefault="00871985" w:rsidP="00871985">
      <w:pPr>
        <w:tabs>
          <w:tab w:val="left" w:pos="142"/>
          <w:tab w:val="left" w:pos="284"/>
        </w:tabs>
        <w:spacing w:after="120" w:line="276" w:lineRule="auto"/>
        <w:jc w:val="both"/>
        <w:rPr>
          <w:rFonts w:ascii="Verdana" w:eastAsia="Century Gothic" w:hAnsi="Verdana" w:cs="Century Gothic"/>
        </w:rPr>
      </w:pPr>
      <w:r>
        <w:rPr>
          <w:rFonts w:ascii="Verdana" w:eastAsia="Century Gothic" w:hAnsi="Verdana" w:cs="Century Gothic"/>
        </w:rPr>
        <w:tab/>
      </w:r>
      <w:r>
        <w:rPr>
          <w:rFonts w:ascii="Verdana" w:eastAsia="Century Gothic" w:hAnsi="Verdana" w:cs="Century Gothic"/>
        </w:rPr>
        <w:tab/>
      </w:r>
      <w:r>
        <w:rPr>
          <w:rFonts w:ascii="Verdana" w:eastAsia="Century Gothic" w:hAnsi="Verdana" w:cs="Century Gothic"/>
        </w:rPr>
        <w:tab/>
      </w:r>
      <w:r w:rsidRPr="00EA7A3F">
        <w:rPr>
          <w:rFonts w:ascii="Verdana" w:eastAsia="Century Gothic" w:hAnsi="Verdana" w:cs="Century Gothic"/>
        </w:rPr>
        <w:t>En resumen, según lo establecido, las Entidades Estatales pueden solicitar al ciudadano pruebas que demuestren su diligencia en definir su situación militar. Para acceder a la prerrogativa del artículo 42 de la Ley 1861 de 2017, se pueden considerar medios de prueba como declaraciones juramentadas o extra-juicio. Estos documentos deben demostrar que el ciudadano ha cumplido con los requisitos legales, evitando que las demoras imputables al Comando de Reclutamiento y Control Reservas del Ejército Nacional obstaculicen la celebración de contratos de prestación de servicios, protegiendo así su derecho fundamental al trabajo la responsabilidad de evaluar estas pruebas recae en la Entidad Estatal.</w:t>
      </w:r>
    </w:p>
    <w:p w14:paraId="16E55418" w14:textId="77777777" w:rsidR="00871985" w:rsidRPr="00EA7A3F" w:rsidRDefault="00871985" w:rsidP="00871985">
      <w:pPr>
        <w:spacing w:after="120" w:line="276" w:lineRule="auto"/>
        <w:ind w:firstLine="708"/>
        <w:jc w:val="both"/>
        <w:rPr>
          <w:rFonts w:ascii="Verdana" w:hAnsi="Verdana" w:cs="Arial"/>
          <w:bCs/>
          <w:lang w:val="es-MX"/>
        </w:rPr>
      </w:pPr>
      <w:r w:rsidRPr="00EA7A3F">
        <w:rPr>
          <w:rFonts w:ascii="Verdana" w:eastAsia="Century Gothic" w:hAnsi="Verdana" w:cs="Century Gothic"/>
        </w:rPr>
        <w:t xml:space="preserve">Explicado lo anterior, en relación con la publicación en SECOP, es importante acotar que, </w:t>
      </w:r>
      <w:r w:rsidRPr="00EA7A3F">
        <w:rPr>
          <w:rFonts w:ascii="Verdana" w:hAnsi="Verdana" w:cs="Arial"/>
          <w:bCs/>
          <w:lang w:val="es-MX"/>
        </w:rPr>
        <w:t xml:space="preserve">el principio de publicidad impone a las autoridades el deber de dar a conocer sus actos, contratos y decisiones, para que se divulguen y, eventualmente, se controlen dichas actuaciones. En razón a lo anterior, en materia de la contratación estatal, el literal c) del artículo 3 de la Ley 1150 de 2007 establece el Sistema Electrónico para la Contratación Pública –SECOP– como un mecanismo que “contará con la información oficial de la contratación </w:t>
      </w:r>
      <w:r w:rsidRPr="00EA7A3F">
        <w:rPr>
          <w:rFonts w:ascii="Verdana" w:hAnsi="Verdana" w:cs="Arial"/>
          <w:bCs/>
          <w:lang w:val="es-MX"/>
        </w:rPr>
        <w:lastRenderedPageBreak/>
        <w:t>realizada con dineros públicos, para lo cual establecerá los patrones a que haya lugar y se encargará de su difusión a través de canales electrónicos”</w:t>
      </w:r>
      <w:r w:rsidRPr="00082419">
        <w:rPr>
          <w:vertAlign w:val="superscript"/>
        </w:rPr>
        <w:footnoteReference w:id="8"/>
      </w:r>
      <w:r w:rsidRPr="00EA7A3F">
        <w:rPr>
          <w:rFonts w:ascii="Verdana" w:hAnsi="Verdana" w:cs="Arial"/>
          <w:bCs/>
          <w:lang w:val="es-MX"/>
        </w:rPr>
        <w:t xml:space="preserve">. </w:t>
      </w:r>
    </w:p>
    <w:p w14:paraId="76D7CCF8" w14:textId="77777777" w:rsidR="00871985" w:rsidRPr="00EA7A3F" w:rsidRDefault="00871985" w:rsidP="00871985">
      <w:pPr>
        <w:spacing w:after="120" w:line="276" w:lineRule="auto"/>
        <w:ind w:firstLine="708"/>
        <w:jc w:val="both"/>
        <w:rPr>
          <w:rFonts w:ascii="Verdana" w:hAnsi="Verdana" w:cs="Arial"/>
          <w:bCs/>
          <w:lang w:val="es-MX"/>
        </w:rPr>
      </w:pPr>
      <w:r w:rsidRPr="00EA7A3F">
        <w:rPr>
          <w:rFonts w:ascii="Verdana" w:hAnsi="Verdana" w:cs="Arial"/>
          <w:bCs/>
          <w:lang w:val="es-MX"/>
        </w:rPr>
        <w:t>De otra parte, la Ley 1712 de 2014, “</w:t>
      </w:r>
      <w:r w:rsidRPr="00EA7A3F">
        <w:rPr>
          <w:rFonts w:ascii="Verdana" w:hAnsi="Verdana" w:cs="Arial"/>
        </w:rPr>
        <w:t>P</w:t>
      </w:r>
      <w:r w:rsidRPr="00EA7A3F">
        <w:rPr>
          <w:rFonts w:ascii="Verdana" w:hAnsi="Verdana" w:cs="Arial"/>
          <w:lang w:eastAsia="es-CO"/>
        </w:rPr>
        <w:t>or medio de la cual se crea la Ley de Transparencia y del Derecho de Acceso a la Información Pública Nacional y se dictan otras disposiciones</w:t>
      </w:r>
      <w:r w:rsidRPr="00EA7A3F">
        <w:rPr>
          <w:rFonts w:ascii="Verdana" w:hAnsi="Verdana" w:cs="Arial"/>
          <w:bCs/>
          <w:lang w:val="es-MX"/>
        </w:rPr>
        <w:t xml:space="preserve">”, identifica como principios que orientan el derecho de acceso a la información pública, el principio de máxima publicidad, el principio de transparencia en la información y el principio de buena fe. El principio de </w:t>
      </w:r>
      <w:r w:rsidRPr="00EA7A3F">
        <w:rPr>
          <w:rFonts w:ascii="Verdana" w:hAnsi="Verdana" w:cs="Arial"/>
          <w:bCs/>
          <w:i/>
          <w:iCs/>
          <w:lang w:val="es-MX"/>
        </w:rPr>
        <w:t>máxima publicidad</w:t>
      </w:r>
      <w:r w:rsidRPr="00EA7A3F">
        <w:rPr>
          <w:rFonts w:ascii="Verdana" w:hAnsi="Verdana" w:cs="Arial"/>
          <w:bCs/>
          <w:lang w:val="es-MX"/>
        </w:rPr>
        <w:t xml:space="preserve"> establece que “toda información en posesión, bajo control o custodia de un sujeto obligado es pública y no podrá ser reservada o limitada sino por disposición constitucional o legal”</w:t>
      </w:r>
      <w:r w:rsidRPr="00082419">
        <w:rPr>
          <w:bCs/>
          <w:vertAlign w:val="superscript"/>
          <w:lang w:val="es-MX"/>
        </w:rPr>
        <w:footnoteReference w:id="9"/>
      </w:r>
      <w:r w:rsidRPr="00EA7A3F">
        <w:rPr>
          <w:rFonts w:ascii="Verdana" w:hAnsi="Verdana" w:cs="Arial"/>
          <w:bCs/>
          <w:lang w:val="es-MX"/>
        </w:rPr>
        <w:t xml:space="preserve">. El </w:t>
      </w:r>
      <w:r w:rsidRPr="00EA7A3F">
        <w:rPr>
          <w:rFonts w:ascii="Verdana" w:hAnsi="Verdana" w:cs="Arial"/>
          <w:bCs/>
          <w:i/>
          <w:iCs/>
          <w:lang w:val="es-MX"/>
        </w:rPr>
        <w:t>principio de transparencia</w:t>
      </w:r>
      <w:r w:rsidRPr="00EA7A3F">
        <w:rPr>
          <w:rFonts w:ascii="Verdana" w:hAnsi="Verdana" w:cs="Arial"/>
          <w:bCs/>
          <w:lang w:val="es-MX"/>
        </w:rPr>
        <w:t xml:space="preserve"> en la información alude al deber de los sujetos de proporcionar y facilitar el acceso a la misma en los términos más amplios posibles, a través de los medios y procedimientos legales</w:t>
      </w:r>
      <w:r w:rsidRPr="00082419">
        <w:rPr>
          <w:vertAlign w:val="superscript"/>
          <w:lang w:eastAsia="es-CO"/>
        </w:rPr>
        <w:footnoteReference w:id="10"/>
      </w:r>
      <w:r w:rsidRPr="00EA7A3F">
        <w:rPr>
          <w:rFonts w:ascii="Verdana" w:hAnsi="Verdana" w:cs="Arial"/>
          <w:bCs/>
          <w:lang w:val="es-MX"/>
        </w:rPr>
        <w:t xml:space="preserve">. Y el </w:t>
      </w:r>
      <w:r w:rsidRPr="00EA7A3F">
        <w:rPr>
          <w:rFonts w:ascii="Verdana" w:hAnsi="Verdana" w:cs="Arial"/>
          <w:bCs/>
          <w:i/>
          <w:iCs/>
          <w:lang w:val="es-MX"/>
        </w:rPr>
        <w:t>principio de buena fe</w:t>
      </w:r>
      <w:r w:rsidRPr="00EA7A3F">
        <w:rPr>
          <w:rFonts w:ascii="Verdana" w:hAnsi="Verdana" w:cs="Arial"/>
          <w:bCs/>
          <w:lang w:val="es-MX"/>
        </w:rPr>
        <w:t xml:space="preserve"> hace referencia al deber de todo sujeto obligado de cumplir con las obligaciones derivadas del derecho de acceso a la información pública con motivación honesta, leal y desprovista de cualquier intención dolosa o culposa</w:t>
      </w:r>
      <w:r w:rsidRPr="00082419">
        <w:rPr>
          <w:bCs/>
          <w:vertAlign w:val="superscript"/>
          <w:lang w:val="es-MX"/>
        </w:rPr>
        <w:footnoteReference w:id="11"/>
      </w:r>
      <w:r w:rsidRPr="00EA7A3F">
        <w:rPr>
          <w:rFonts w:ascii="Verdana" w:hAnsi="Verdana" w:cs="Arial"/>
          <w:bCs/>
          <w:lang w:val="es-MX"/>
        </w:rPr>
        <w:t xml:space="preserve">. </w:t>
      </w:r>
    </w:p>
    <w:p w14:paraId="4FDF4565" w14:textId="77777777" w:rsidR="00871985" w:rsidRPr="00082419" w:rsidRDefault="00871985" w:rsidP="00871985">
      <w:pPr>
        <w:spacing w:after="120" w:line="276" w:lineRule="auto"/>
        <w:ind w:firstLine="709"/>
        <w:jc w:val="both"/>
        <w:rPr>
          <w:rFonts w:ascii="Verdana" w:hAnsi="Verdana" w:cs="Arial"/>
          <w:lang w:eastAsia="es-CO"/>
        </w:rPr>
      </w:pPr>
      <w:r w:rsidRPr="00082419">
        <w:rPr>
          <w:rFonts w:ascii="Verdana" w:hAnsi="Verdana" w:cs="Arial"/>
          <w:bCs/>
          <w:lang w:val="es-MX"/>
        </w:rPr>
        <w:lastRenderedPageBreak/>
        <w:t xml:space="preserve">La citada Ley establece, </w:t>
      </w:r>
      <w:bookmarkStart w:id="5" w:name="_Hlk112225357"/>
      <w:r w:rsidRPr="00082419">
        <w:rPr>
          <w:rFonts w:ascii="Verdana" w:hAnsi="Verdana" w:cs="Arial"/>
          <w:bCs/>
          <w:lang w:val="es-MX"/>
        </w:rPr>
        <w:t xml:space="preserve">en el literal e) del artículo 9, que los </w:t>
      </w:r>
      <w:r w:rsidRPr="00082419">
        <w:rPr>
          <w:rFonts w:ascii="Verdana" w:hAnsi="Verdana" w:cs="Arial"/>
          <w:bCs/>
          <w:i/>
          <w:iCs/>
          <w:lang w:val="es-MX"/>
        </w:rPr>
        <w:t>sujetos obligados</w:t>
      </w:r>
      <w:r w:rsidRPr="00082419">
        <w:rPr>
          <w:rFonts w:ascii="Verdana" w:hAnsi="Verdana" w:cs="Arial"/>
          <w:bCs/>
          <w:lang w:val="es-MX"/>
        </w:rPr>
        <w:t xml:space="preserve"> deben publicar la información relativa a su contratación</w:t>
      </w:r>
      <w:r w:rsidRPr="00082419">
        <w:rPr>
          <w:rFonts w:ascii="Verdana" w:hAnsi="Verdana" w:cs="Arial"/>
          <w:vertAlign w:val="superscript"/>
          <w:lang w:eastAsia="es-CO"/>
        </w:rPr>
        <w:footnoteReference w:id="12"/>
      </w:r>
      <w:r w:rsidRPr="00082419">
        <w:rPr>
          <w:rFonts w:ascii="Verdana" w:hAnsi="Verdana" w:cs="Arial"/>
          <w:bCs/>
          <w:lang w:val="es-MX"/>
        </w:rPr>
        <w:t xml:space="preserve">. El artículo 5 ibidem, al describir qué se entiende por sujetos obligados, consagra una lista cuyo propósito es incluir a cualquier entidad, órgano, organismo, o persona natural que desempeñe funciones públicas o administre recursos públicos. </w:t>
      </w:r>
      <w:r w:rsidRPr="00082419">
        <w:rPr>
          <w:rFonts w:ascii="Verdana" w:hAnsi="Verdana" w:cs="Arial"/>
          <w:lang w:val="es-ES"/>
        </w:rPr>
        <w:t>Igualmente, establece que son sujetos obligados las empresas públicas, las empresas del Estado y las sociedades en las que el Estado tenga participación, sin que importe su monto</w:t>
      </w:r>
      <w:r w:rsidRPr="00082419">
        <w:rPr>
          <w:rFonts w:ascii="Verdana" w:hAnsi="Verdana" w:cs="Arial"/>
          <w:vertAlign w:val="superscript"/>
          <w:lang w:eastAsia="es-CO"/>
        </w:rPr>
        <w:footnoteReference w:id="13"/>
      </w:r>
      <w:r w:rsidRPr="00082419">
        <w:rPr>
          <w:rFonts w:ascii="Verdana" w:hAnsi="Verdana" w:cs="Arial"/>
          <w:lang w:val="es-ES"/>
        </w:rPr>
        <w:t>.</w:t>
      </w:r>
      <w:r w:rsidRPr="00082419">
        <w:rPr>
          <w:rFonts w:ascii="Verdana" w:hAnsi="Verdana" w:cs="Arial"/>
          <w:lang w:eastAsia="es-CO"/>
        </w:rPr>
        <w:t xml:space="preserve"> </w:t>
      </w:r>
    </w:p>
    <w:p w14:paraId="437624E8" w14:textId="77777777" w:rsidR="00871985" w:rsidRPr="00082419" w:rsidRDefault="00871985" w:rsidP="00871985">
      <w:pPr>
        <w:spacing w:after="120" w:line="276" w:lineRule="auto"/>
        <w:ind w:firstLine="709"/>
        <w:jc w:val="both"/>
        <w:rPr>
          <w:rFonts w:ascii="Verdana" w:hAnsi="Verdana" w:cs="Arial"/>
          <w:lang w:eastAsia="es-CO"/>
        </w:rPr>
      </w:pPr>
      <w:r w:rsidRPr="00082419">
        <w:rPr>
          <w:rFonts w:ascii="Verdana" w:hAnsi="Verdana" w:cs="Arial"/>
          <w:lang w:eastAsia="es-CO"/>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bookmarkEnd w:id="5"/>
    <w:p w14:paraId="2672C3BB" w14:textId="77777777" w:rsidR="00871985" w:rsidRPr="00082419" w:rsidRDefault="00871985" w:rsidP="00871985">
      <w:pPr>
        <w:spacing w:after="120" w:line="276" w:lineRule="auto"/>
        <w:ind w:firstLine="708"/>
        <w:jc w:val="both"/>
        <w:rPr>
          <w:rFonts w:ascii="Verdana" w:hAnsi="Verdana" w:cs="Arial"/>
          <w:bCs/>
          <w:lang w:val="es-MX"/>
        </w:rPr>
      </w:pPr>
      <w:r w:rsidRPr="00082419">
        <w:rPr>
          <w:rFonts w:ascii="Verdana" w:hAnsi="Verdana" w:cs="Arial"/>
          <w:bCs/>
          <w:lang w:val="es-MX"/>
        </w:rPr>
        <w:t xml:space="preserve">Esta obligación fue desarrollada por el </w:t>
      </w:r>
      <w:r w:rsidRPr="00AB2B7F">
        <w:rPr>
          <w:rFonts w:ascii="Verdana" w:hAnsi="Verdana" w:cs="Arial"/>
          <w:bCs/>
          <w:lang w:val="es-MX"/>
        </w:rPr>
        <w:t>Artículo</w:t>
      </w:r>
      <w:r w:rsidRPr="00082419">
        <w:rPr>
          <w:rFonts w:ascii="Verdana" w:hAnsi="Verdana" w:cs="Arial"/>
          <w:bCs/>
          <w:lang w:val="es-MX"/>
        </w:rPr>
        <w:t xml:space="preserve"> 2.1.1.2.1.7. del Decreto Único Reglamentario </w:t>
      </w:r>
      <w:r w:rsidRPr="00AB2B7F">
        <w:rPr>
          <w:rFonts w:ascii="Verdana" w:hAnsi="Verdana" w:cs="Arial"/>
          <w:bCs/>
          <w:lang w:val="es-MX"/>
        </w:rPr>
        <w:t>1082</w:t>
      </w:r>
      <w:r w:rsidRPr="00082419">
        <w:rPr>
          <w:rFonts w:ascii="Verdana" w:hAnsi="Verdana" w:cs="Arial"/>
          <w:bCs/>
          <w:lang w:val="es-MX"/>
        </w:rPr>
        <w:t xml:space="preserve"> de 2015</w:t>
      </w:r>
      <w:r w:rsidRPr="00082419">
        <w:rPr>
          <w:rFonts w:ascii="Verdana" w:hAnsi="Verdana" w:cs="Arial"/>
          <w:bCs/>
          <w:vertAlign w:val="superscript"/>
          <w:lang w:val="es-MX"/>
        </w:rPr>
        <w:footnoteReference w:id="14"/>
      </w:r>
      <w:r w:rsidRPr="00082419">
        <w:rPr>
          <w:rFonts w:ascii="Verdana" w:hAnsi="Verdana" w:cs="Arial"/>
          <w:bCs/>
          <w:lang w:val="es-MX"/>
        </w:rPr>
        <w:t>, el cual dispuso que la publicación de la información contractual de los sujetos obligados, que contratan con cargo a recursos públicos, debe hacerse en el Sistema Electrónico para la Contratación Pública ─</w:t>
      </w:r>
      <w:r w:rsidRPr="00082419">
        <w:rPr>
          <w:rFonts w:ascii="Verdana" w:hAnsi="Verdana" w:cs="Arial"/>
          <w:bCs/>
          <w:lang w:val="es-MX"/>
        </w:rPr>
        <w:softHyphen/>
        <w:t xml:space="preserve"> </w:t>
      </w:r>
      <w:r w:rsidRPr="00082419">
        <w:rPr>
          <w:rFonts w:ascii="Verdana" w:hAnsi="Verdana" w:cs="Arial"/>
          <w:bCs/>
          <w:lang w:val="es-MX"/>
        </w:rPr>
        <w:softHyphen/>
        <w:t>SECOP–.</w:t>
      </w:r>
    </w:p>
    <w:p w14:paraId="1BCBA28B" w14:textId="77777777" w:rsidR="00871985" w:rsidRDefault="00871985" w:rsidP="00871985">
      <w:pPr>
        <w:spacing w:after="120" w:line="276" w:lineRule="auto"/>
        <w:jc w:val="both"/>
        <w:rPr>
          <w:rFonts w:ascii="Verdana" w:eastAsia="Times New Roman" w:hAnsi="Verdana" w:cs="Arial"/>
          <w:lang w:val="es-ES"/>
        </w:rPr>
      </w:pPr>
      <w:r>
        <w:rPr>
          <w:rFonts w:ascii="Verdana" w:eastAsia="Times New Roman" w:hAnsi="Verdana" w:cs="Arial"/>
          <w:lang w:val="es-ES"/>
        </w:rPr>
        <w:tab/>
      </w:r>
      <w:r w:rsidRPr="005E20C0">
        <w:rPr>
          <w:rFonts w:ascii="Verdana" w:eastAsia="Times New Roman" w:hAnsi="Verdana" w:cs="Arial"/>
          <w:lang w:val="es-ES"/>
        </w:rPr>
        <w:t xml:space="preserve">Finalmente, </w:t>
      </w:r>
      <w:r>
        <w:rPr>
          <w:rFonts w:ascii="Verdana" w:eastAsia="Times New Roman" w:hAnsi="Verdana" w:cs="Arial"/>
          <w:lang w:val="es-ES"/>
        </w:rPr>
        <w:t>s</w:t>
      </w:r>
      <w:r w:rsidRPr="005E20C0">
        <w:rPr>
          <w:rFonts w:ascii="Verdana" w:eastAsia="Times New Roman" w:hAnsi="Verdana" w:cs="Arial"/>
          <w:lang w:val="es-ES"/>
        </w:rPr>
        <w:t xml:space="preserve">obre obligación </w:t>
      </w:r>
      <w:r>
        <w:rPr>
          <w:rFonts w:ascii="Verdana" w:eastAsia="Times New Roman" w:hAnsi="Verdana" w:cs="Arial"/>
          <w:lang w:val="es-ES"/>
        </w:rPr>
        <w:t>usar</w:t>
      </w:r>
      <w:r w:rsidRPr="005E20C0">
        <w:rPr>
          <w:rFonts w:ascii="Verdana" w:eastAsia="Times New Roman" w:hAnsi="Verdana" w:cs="Arial"/>
          <w:lang w:val="es-ES"/>
        </w:rPr>
        <w:t xml:space="preserve"> </w:t>
      </w:r>
      <w:r>
        <w:rPr>
          <w:rFonts w:ascii="Verdana" w:eastAsia="Times New Roman" w:hAnsi="Verdana" w:cs="Arial"/>
          <w:lang w:val="es-ES"/>
        </w:rPr>
        <w:t>el</w:t>
      </w:r>
      <w:r w:rsidRPr="005E20C0">
        <w:rPr>
          <w:rFonts w:ascii="Verdana" w:eastAsia="Times New Roman" w:hAnsi="Verdana" w:cs="Arial"/>
          <w:lang w:val="es-ES"/>
        </w:rPr>
        <w:t xml:space="preserve"> SECOP II, de acuerdo con lo manifestado por la Subdirección Información y Desarrollo Tecnológico en el </w:t>
      </w:r>
      <w:r w:rsidRPr="005E20C0">
        <w:rPr>
          <w:rFonts w:ascii="Verdana" w:eastAsia="Times New Roman" w:hAnsi="Verdana" w:cs="Arial"/>
          <w:lang w:val="es-ES"/>
        </w:rPr>
        <w:lastRenderedPageBreak/>
        <w:t>documento anexo del presente oficio, es pertinente indicar que, en lo que se refiere al uso del SECOP II, la Agencia Nacional de Contratación Pública Colombia Compra Eficiente -ANCP-CCE-, de acuerdo con las competencias y funciones establecidas en los numerales 5 y 8 del artículo 3 del Decreto 4170 de 2011, ha emitido siete (7) Circulares Externas, en las cuales se establecen los lineamientos para el uso obligatorio del SECOP II. En ese sentido, las Entidades Estatales sometidas al Estatuto General de Contratación de la Administración Pública que no se encuentran vinculadas en los Anexos de las Circulares Externas, actualmente no están obligadas a utilizar la plataforma SECOP II para gestionar y publicar en línea sus procesos de contratación, por lo tanto, pueden seguir gestionando los procesos de contratación a través del SECOP I.</w:t>
      </w:r>
    </w:p>
    <w:p w14:paraId="6E277E84" w14:textId="77777777" w:rsidR="00871985" w:rsidRPr="0050098F" w:rsidRDefault="00871985" w:rsidP="00871985">
      <w:pPr>
        <w:spacing w:after="0" w:line="276" w:lineRule="auto"/>
        <w:contextualSpacing/>
        <w:jc w:val="both"/>
        <w:rPr>
          <w:rFonts w:ascii="Verdana" w:eastAsia="Calibri" w:hAnsi="Verdana" w:cs="Arial"/>
          <w:color w:val="000000" w:themeColor="text1"/>
          <w:lang w:val="es-ES"/>
        </w:rPr>
      </w:pPr>
      <w:r>
        <w:rPr>
          <w:rFonts w:ascii="Verdana" w:eastAsia="Calibri" w:hAnsi="Verdana" w:cs="Arial"/>
          <w:color w:val="000000" w:themeColor="text1"/>
          <w:lang w:val="es-ES"/>
        </w:rPr>
        <w:tab/>
      </w:r>
      <w:r>
        <w:rPr>
          <w:rFonts w:ascii="Verdana" w:eastAsia="Calibri" w:hAnsi="Verdana" w:cs="Arial"/>
          <w:color w:val="000000" w:themeColor="text1"/>
        </w:rPr>
        <w:t xml:space="preserve">Dado que el SECOP II es la plataforma transaccional que deben usar las Entidades Estatales para la celebrar sus contratos y garantizar la publicidad de los mismos, en la misma deben reposar todos los Documentos del Proceso. En ese sentido, los varones colombianos obligados a definir su situación militar, que pretendan celebrar contratos de prestación de servicios con Entidades Estatales que usen el SECOP II de manera transaccional, deben cargar en dicha plataforma la libreta militar o el documento con el que acrediten el estado de definición de su situación militar, de acuerdo con lo previsto en el artículo 42 de la Ley 1861 de 2017.    </w:t>
      </w:r>
    </w:p>
    <w:p w14:paraId="7C2D8DDA" w14:textId="77777777" w:rsidR="00871985" w:rsidRPr="00115E3D" w:rsidRDefault="00871985" w:rsidP="00871985">
      <w:pPr>
        <w:widowControl w:val="0"/>
        <w:autoSpaceDE w:val="0"/>
        <w:autoSpaceDN w:val="0"/>
        <w:spacing w:after="0" w:line="276" w:lineRule="auto"/>
        <w:jc w:val="both"/>
        <w:rPr>
          <w:rFonts w:ascii="Verdana" w:hAnsi="Verdana" w:cs="Arial"/>
          <w:color w:val="000000" w:themeColor="text1"/>
        </w:rPr>
      </w:pPr>
    </w:p>
    <w:p w14:paraId="7AA7E6CB" w14:textId="77777777" w:rsidR="00871985" w:rsidRPr="00115E3D" w:rsidRDefault="00871985" w:rsidP="0087198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Referencias normativas, jurisprudenciales y otras fuentes:</w:t>
      </w:r>
    </w:p>
    <w:p w14:paraId="164DEAAA" w14:textId="77777777" w:rsidR="00871985" w:rsidRPr="00115E3D" w:rsidRDefault="00871985" w:rsidP="00871985">
      <w:pPr>
        <w:widowControl w:val="0"/>
        <w:autoSpaceDE w:val="0"/>
        <w:autoSpaceDN w:val="0"/>
        <w:spacing w:after="0" w:line="276" w:lineRule="auto"/>
        <w:jc w:val="both"/>
        <w:rPr>
          <w:rFonts w:ascii="Verdana" w:hAnsi="Verdana" w:cs="Arial"/>
          <w:color w:val="000000" w:themeColor="text1"/>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71985" w:rsidRPr="00115E3D" w14:paraId="11730F4D" w14:textId="77777777" w:rsidTr="00F625D0">
        <w:trPr>
          <w:trHeight w:val="870"/>
        </w:trPr>
        <w:tc>
          <w:tcPr>
            <w:tcW w:w="8647" w:type="dxa"/>
          </w:tcPr>
          <w:p w14:paraId="46304B68" w14:textId="77777777" w:rsidR="00871985" w:rsidRPr="00F90D5F" w:rsidRDefault="00871985" w:rsidP="00F625D0">
            <w:pPr>
              <w:rPr>
                <w:rFonts w:ascii="Verdana" w:hAnsi="Verdana" w:cs="Arial"/>
                <w:color w:val="000000" w:themeColor="text1"/>
              </w:rPr>
            </w:pPr>
          </w:p>
          <w:p w14:paraId="45C9B1D8" w14:textId="77777777" w:rsidR="00871985" w:rsidRPr="00CF6B83" w:rsidRDefault="00871985" w:rsidP="00F625D0">
            <w:pPr>
              <w:widowControl w:val="0"/>
              <w:numPr>
                <w:ilvl w:val="0"/>
                <w:numId w:val="2"/>
              </w:numPr>
              <w:autoSpaceDE w:val="0"/>
              <w:autoSpaceDN w:val="0"/>
              <w:spacing w:after="120" w:line="276" w:lineRule="auto"/>
              <w:jc w:val="both"/>
              <w:rPr>
                <w:rFonts w:ascii="Verdana" w:hAnsi="Verdana" w:cs="Arial"/>
                <w:color w:val="000000" w:themeColor="text1"/>
                <w:lang w:val="es-ES"/>
              </w:rPr>
            </w:pPr>
            <w:r w:rsidRPr="00CF6B83">
              <w:rPr>
                <w:rFonts w:ascii="Verdana" w:hAnsi="Verdana" w:cs="Arial"/>
                <w:color w:val="000000" w:themeColor="text1"/>
                <w:lang w:val="es-ES"/>
              </w:rPr>
              <w:t xml:space="preserve">Constitución de 1991, artículo 216. </w:t>
            </w:r>
          </w:p>
          <w:p w14:paraId="65B875DF" w14:textId="77777777" w:rsidR="00871985" w:rsidRPr="00CF6B83" w:rsidRDefault="00871985" w:rsidP="00F625D0">
            <w:pPr>
              <w:widowControl w:val="0"/>
              <w:numPr>
                <w:ilvl w:val="0"/>
                <w:numId w:val="2"/>
              </w:numPr>
              <w:autoSpaceDE w:val="0"/>
              <w:autoSpaceDN w:val="0"/>
              <w:spacing w:after="120" w:line="276" w:lineRule="auto"/>
              <w:jc w:val="both"/>
              <w:rPr>
                <w:rFonts w:ascii="Verdana" w:hAnsi="Verdana" w:cs="Arial"/>
                <w:color w:val="000000" w:themeColor="text1"/>
                <w:lang w:val="es-ES"/>
              </w:rPr>
            </w:pPr>
            <w:r w:rsidRPr="00CF6B83">
              <w:rPr>
                <w:rFonts w:ascii="Verdana" w:hAnsi="Verdana" w:cs="Arial"/>
                <w:color w:val="000000" w:themeColor="text1"/>
              </w:rPr>
              <w:t xml:space="preserve">Ley 1861 de 2017, artículos 4, 11,12, 16 y 42. </w:t>
            </w:r>
          </w:p>
          <w:p w14:paraId="708ED402" w14:textId="77777777" w:rsidR="00871985" w:rsidRPr="00CF6B83" w:rsidRDefault="00871985" w:rsidP="00F625D0">
            <w:pPr>
              <w:widowControl w:val="0"/>
              <w:numPr>
                <w:ilvl w:val="0"/>
                <w:numId w:val="2"/>
              </w:numPr>
              <w:autoSpaceDE w:val="0"/>
              <w:autoSpaceDN w:val="0"/>
              <w:spacing w:after="120" w:line="276" w:lineRule="auto"/>
              <w:jc w:val="both"/>
              <w:rPr>
                <w:rFonts w:ascii="Verdana" w:hAnsi="Verdana" w:cs="Arial"/>
                <w:color w:val="000000" w:themeColor="text1"/>
                <w:lang w:val="es-ES"/>
              </w:rPr>
            </w:pPr>
            <w:r w:rsidRPr="00CF6B83">
              <w:rPr>
                <w:rFonts w:ascii="Verdana" w:hAnsi="Verdana" w:cs="Arial"/>
                <w:color w:val="000000" w:themeColor="text1"/>
                <w:lang w:val="es-ES"/>
              </w:rPr>
              <w:t>Ley 80 de 1993, Artículo 6; Ley 1712 de 2014.</w:t>
            </w:r>
          </w:p>
          <w:p w14:paraId="3268556D" w14:textId="77777777" w:rsidR="00871985" w:rsidRPr="00CF6B83" w:rsidRDefault="00871985" w:rsidP="00F625D0">
            <w:pPr>
              <w:widowControl w:val="0"/>
              <w:numPr>
                <w:ilvl w:val="0"/>
                <w:numId w:val="2"/>
              </w:numPr>
              <w:autoSpaceDE w:val="0"/>
              <w:autoSpaceDN w:val="0"/>
              <w:spacing w:after="120" w:line="276" w:lineRule="auto"/>
              <w:jc w:val="both"/>
              <w:rPr>
                <w:rFonts w:ascii="Verdana" w:hAnsi="Verdana" w:cs="Arial"/>
                <w:color w:val="000000" w:themeColor="text1"/>
                <w:lang w:val="es-ES"/>
              </w:rPr>
            </w:pPr>
            <w:r w:rsidRPr="00CF6B83">
              <w:rPr>
                <w:rFonts w:ascii="Verdana" w:hAnsi="Verdana" w:cs="Arial"/>
                <w:color w:val="000000" w:themeColor="text1"/>
                <w:lang w:val="es-ES"/>
              </w:rPr>
              <w:t>Comunicado del 19 de enero del 2023</w:t>
            </w:r>
            <w:r w:rsidRPr="00CF6B83">
              <w:rPr>
                <w:rFonts w:ascii="Verdana" w:hAnsi="Verdana" w:cs="Arial"/>
                <w:color w:val="000000" w:themeColor="text1"/>
                <w:lang w:val="es-ES_tradnl"/>
              </w:rPr>
              <w:t xml:space="preserve"> Disponible en:  </w:t>
            </w:r>
            <w:hyperlink r:id="rId10" w:history="1">
              <w:r w:rsidRPr="00CF6B83">
                <w:rPr>
                  <w:rStyle w:val="Hipervnculo"/>
                  <w:rFonts w:ascii="Verdana" w:hAnsi="Verdana" w:cs="Arial"/>
                  <w:lang w:val="es-ES_tradnl"/>
                </w:rPr>
                <w:t>https://www.colombiacompra.gov.co/sala-de-prensa/comunicados/comunicado-19-de-enero-de-2023</w:t>
              </w:r>
            </w:hyperlink>
          </w:p>
          <w:p w14:paraId="67A20472" w14:textId="77777777" w:rsidR="00871985" w:rsidRPr="00CF6B83" w:rsidRDefault="00871985" w:rsidP="00F625D0">
            <w:pPr>
              <w:widowControl w:val="0"/>
              <w:numPr>
                <w:ilvl w:val="0"/>
                <w:numId w:val="2"/>
              </w:numPr>
              <w:autoSpaceDE w:val="0"/>
              <w:autoSpaceDN w:val="0"/>
              <w:spacing w:after="120" w:line="276" w:lineRule="auto"/>
              <w:jc w:val="both"/>
              <w:rPr>
                <w:rFonts w:ascii="Verdana" w:hAnsi="Verdana" w:cs="Arial"/>
                <w:color w:val="000000" w:themeColor="text1"/>
                <w:lang w:val="es-ES"/>
              </w:rPr>
            </w:pPr>
            <w:r w:rsidRPr="00CF6B83">
              <w:rPr>
                <w:rFonts w:ascii="Verdana" w:hAnsi="Verdana" w:cs="Arial"/>
                <w:color w:val="000000" w:themeColor="text1"/>
                <w:lang w:val="es-ES_tradnl"/>
              </w:rPr>
              <w:t xml:space="preserve">Circular Externa Nro. 1 del 22 de agosto del 2019: </w:t>
            </w:r>
            <w:hyperlink r:id="rId11" w:history="1">
              <w:r w:rsidRPr="00CF6B83">
                <w:rPr>
                  <w:rStyle w:val="Hipervnculo"/>
                  <w:rFonts w:ascii="Verdana" w:hAnsi="Verdana" w:cs="Arial"/>
                </w:rPr>
                <w:t>https://www.colombiacompra.gov.co/sites/cce_public/files/cce_circulares/circular_externa_no._1_de_2019.pdf</w:t>
              </w:r>
            </w:hyperlink>
            <w:r w:rsidRPr="00CF6B83">
              <w:rPr>
                <w:rFonts w:ascii="Verdana" w:hAnsi="Verdana" w:cs="Arial"/>
                <w:color w:val="000000" w:themeColor="text1"/>
              </w:rPr>
              <w:t xml:space="preserve"> </w:t>
            </w:r>
          </w:p>
          <w:p w14:paraId="4D917F0D" w14:textId="77777777" w:rsidR="00871985" w:rsidRPr="00CF6B83" w:rsidRDefault="00871985" w:rsidP="00F625D0">
            <w:pPr>
              <w:widowControl w:val="0"/>
              <w:numPr>
                <w:ilvl w:val="0"/>
                <w:numId w:val="2"/>
              </w:numPr>
              <w:autoSpaceDE w:val="0"/>
              <w:autoSpaceDN w:val="0"/>
              <w:spacing w:after="120" w:line="276" w:lineRule="auto"/>
              <w:jc w:val="both"/>
              <w:rPr>
                <w:rFonts w:ascii="Verdana" w:hAnsi="Verdana" w:cs="Arial"/>
                <w:color w:val="000000" w:themeColor="text1"/>
                <w:lang w:val="es-ES"/>
              </w:rPr>
            </w:pPr>
            <w:r w:rsidRPr="00CF6B83">
              <w:rPr>
                <w:rFonts w:ascii="Verdana" w:hAnsi="Verdana" w:cs="Arial"/>
                <w:color w:val="000000" w:themeColor="text1"/>
                <w:lang w:val="es-ES"/>
              </w:rPr>
              <w:t xml:space="preserve">Circular Externa Nro. 2 del 23 de diciembre del 2019: </w:t>
            </w:r>
            <w:hyperlink r:id="rId12" w:history="1">
              <w:r w:rsidRPr="00CF6B83">
                <w:rPr>
                  <w:rStyle w:val="Hipervnculo"/>
                  <w:rFonts w:ascii="Verdana" w:hAnsi="Verdana" w:cs="Arial"/>
                </w:rPr>
                <w:t>https://www.colombiacompra.gov.co/sites/cce_public/files/cce_circul</w:t>
              </w:r>
              <w:r w:rsidRPr="00CF6B83">
                <w:rPr>
                  <w:rStyle w:val="Hipervnculo"/>
                  <w:rFonts w:ascii="Verdana" w:hAnsi="Verdana" w:cs="Arial"/>
                </w:rPr>
                <w:lastRenderedPageBreak/>
                <w:t>ares/circular_externa_no.2_de_2019_-_0.pdf</w:t>
              </w:r>
            </w:hyperlink>
            <w:r w:rsidRPr="00CF6B83">
              <w:rPr>
                <w:rFonts w:ascii="Verdana" w:hAnsi="Verdana" w:cs="Arial"/>
                <w:color w:val="000000" w:themeColor="text1"/>
              </w:rPr>
              <w:t xml:space="preserve"> </w:t>
            </w:r>
          </w:p>
          <w:p w14:paraId="61C3F64E" w14:textId="77777777" w:rsidR="00871985" w:rsidRPr="00CF6B83" w:rsidRDefault="00871985" w:rsidP="00F625D0">
            <w:pPr>
              <w:widowControl w:val="0"/>
              <w:numPr>
                <w:ilvl w:val="0"/>
                <w:numId w:val="2"/>
              </w:numPr>
              <w:autoSpaceDE w:val="0"/>
              <w:autoSpaceDN w:val="0"/>
              <w:spacing w:after="120" w:line="276" w:lineRule="auto"/>
              <w:jc w:val="both"/>
              <w:rPr>
                <w:rFonts w:ascii="Verdana" w:hAnsi="Verdana" w:cs="Arial"/>
                <w:color w:val="000000" w:themeColor="text1"/>
                <w:lang w:val="es-ES"/>
              </w:rPr>
            </w:pPr>
            <w:r w:rsidRPr="00CF6B83">
              <w:rPr>
                <w:rFonts w:ascii="Verdana" w:hAnsi="Verdana" w:cs="Arial"/>
                <w:color w:val="000000" w:themeColor="text1"/>
                <w:lang w:val="es-ES"/>
              </w:rPr>
              <w:t xml:space="preserve">Circular Externa Nro. 3 del 31 de marzo del 2020: </w:t>
            </w:r>
            <w:hyperlink r:id="rId13" w:history="1">
              <w:r w:rsidRPr="00CF6B83">
                <w:rPr>
                  <w:rStyle w:val="Hipervnculo"/>
                  <w:rFonts w:ascii="Verdana" w:hAnsi="Verdana" w:cs="Arial"/>
                </w:rPr>
                <w:t>https://www.colombiacompra.gov.co/sites/cce_public/files/cce_documentos/circular_no._3_-_secop_-.pdf</w:t>
              </w:r>
            </w:hyperlink>
            <w:r w:rsidRPr="00CF6B83">
              <w:rPr>
                <w:rFonts w:ascii="Verdana" w:hAnsi="Verdana" w:cs="Arial"/>
                <w:color w:val="000000" w:themeColor="text1"/>
              </w:rPr>
              <w:t xml:space="preserve"> </w:t>
            </w:r>
          </w:p>
          <w:p w14:paraId="35CCED59" w14:textId="77777777" w:rsidR="00871985" w:rsidRPr="00CF6B83" w:rsidRDefault="00871985" w:rsidP="00F625D0">
            <w:pPr>
              <w:widowControl w:val="0"/>
              <w:numPr>
                <w:ilvl w:val="0"/>
                <w:numId w:val="2"/>
              </w:numPr>
              <w:autoSpaceDE w:val="0"/>
              <w:autoSpaceDN w:val="0"/>
              <w:spacing w:after="120" w:line="276" w:lineRule="auto"/>
              <w:jc w:val="both"/>
              <w:rPr>
                <w:rFonts w:ascii="Verdana" w:hAnsi="Verdana" w:cs="Arial"/>
                <w:color w:val="000000" w:themeColor="text1"/>
                <w:lang w:val="es-ES"/>
              </w:rPr>
            </w:pPr>
            <w:r w:rsidRPr="00CF6B83">
              <w:rPr>
                <w:rFonts w:ascii="Verdana" w:hAnsi="Verdana" w:cs="Arial"/>
                <w:color w:val="000000" w:themeColor="text1"/>
                <w:lang w:val="es-ES"/>
              </w:rPr>
              <w:t xml:space="preserve">Circular Externa Nro. 001 de 2021 del 10 de febrero del 2021: </w:t>
            </w:r>
            <w:hyperlink r:id="rId14" w:history="1">
              <w:r w:rsidRPr="00CF6B83">
                <w:rPr>
                  <w:rStyle w:val="Hipervnculo"/>
                  <w:rFonts w:ascii="Verdana" w:hAnsi="Verdana" w:cs="Arial"/>
                </w:rPr>
                <w:t>https://www.colombiacompra.gov.co/sites/cce_public/files/cce_circulares/ciurcular_externa_001_-_2021.pdf</w:t>
              </w:r>
            </w:hyperlink>
            <w:r w:rsidRPr="00CF6B83">
              <w:rPr>
                <w:rFonts w:ascii="Verdana" w:hAnsi="Verdana" w:cs="Arial"/>
                <w:color w:val="000000" w:themeColor="text1"/>
              </w:rPr>
              <w:t xml:space="preserve"> </w:t>
            </w:r>
          </w:p>
          <w:p w14:paraId="11BA2F19" w14:textId="77777777" w:rsidR="00871985" w:rsidRPr="00CF6B83" w:rsidRDefault="00871985" w:rsidP="00F625D0">
            <w:pPr>
              <w:widowControl w:val="0"/>
              <w:numPr>
                <w:ilvl w:val="0"/>
                <w:numId w:val="2"/>
              </w:numPr>
              <w:autoSpaceDE w:val="0"/>
              <w:autoSpaceDN w:val="0"/>
              <w:spacing w:after="120" w:line="276" w:lineRule="auto"/>
              <w:jc w:val="both"/>
              <w:rPr>
                <w:rFonts w:ascii="Verdana" w:hAnsi="Verdana" w:cs="Arial"/>
                <w:color w:val="000000" w:themeColor="text1"/>
                <w:lang w:val="es-ES"/>
              </w:rPr>
            </w:pPr>
            <w:r w:rsidRPr="00CF6B83">
              <w:rPr>
                <w:rFonts w:ascii="Verdana" w:hAnsi="Verdana" w:cs="Arial"/>
                <w:color w:val="000000" w:themeColor="text1"/>
                <w:lang w:val="es-ES"/>
              </w:rPr>
              <w:t xml:space="preserve">Circular Externa Nro. 002 del 2022 del 17 de marzo del 2022: </w:t>
            </w:r>
            <w:hyperlink r:id="rId15" w:history="1">
              <w:r w:rsidRPr="00CF6B83">
                <w:rPr>
                  <w:rStyle w:val="Hipervnculo"/>
                  <w:rFonts w:ascii="Verdana" w:hAnsi="Verdana" w:cs="Arial"/>
                </w:rPr>
                <w:t>https://colombiacompra.gov.co/sites/cce_public/files/cce_circulares/circular_externa_002_2022.pdf</w:t>
              </w:r>
            </w:hyperlink>
            <w:r w:rsidRPr="00CF6B83">
              <w:rPr>
                <w:rFonts w:ascii="Verdana" w:hAnsi="Verdana" w:cs="Arial"/>
                <w:color w:val="000000" w:themeColor="text1"/>
              </w:rPr>
              <w:t xml:space="preserve"> </w:t>
            </w:r>
          </w:p>
          <w:p w14:paraId="2EAD9BAA" w14:textId="77777777" w:rsidR="00871985" w:rsidRPr="00CF6B83" w:rsidRDefault="00871985" w:rsidP="00F625D0">
            <w:pPr>
              <w:widowControl w:val="0"/>
              <w:numPr>
                <w:ilvl w:val="0"/>
                <w:numId w:val="2"/>
              </w:numPr>
              <w:autoSpaceDE w:val="0"/>
              <w:autoSpaceDN w:val="0"/>
              <w:spacing w:after="120" w:line="276" w:lineRule="auto"/>
              <w:jc w:val="both"/>
              <w:rPr>
                <w:rFonts w:ascii="Verdana" w:hAnsi="Verdana" w:cs="Arial"/>
                <w:color w:val="000000" w:themeColor="text1"/>
                <w:lang w:val="es-ES"/>
              </w:rPr>
            </w:pPr>
            <w:r w:rsidRPr="00CF6B83">
              <w:rPr>
                <w:rFonts w:ascii="Verdana" w:hAnsi="Verdana" w:cs="Arial"/>
                <w:color w:val="000000" w:themeColor="text1"/>
                <w:lang w:val="es-ES"/>
              </w:rPr>
              <w:t xml:space="preserve">Circular Externa Nro. 005 de 2022 del 14 de julio del 2022: </w:t>
            </w:r>
            <w:hyperlink r:id="rId16" w:history="1">
              <w:r w:rsidRPr="00CF6B83">
                <w:rPr>
                  <w:rStyle w:val="Hipervnculo"/>
                  <w:rFonts w:ascii="Verdana" w:hAnsi="Verdana" w:cs="Arial"/>
                </w:rPr>
                <w:t>https://www.colombiacompra.gov.co/sites/cce_public/files/cce_circulares/circular_externa_005_de_2022.pdf</w:t>
              </w:r>
            </w:hyperlink>
            <w:r w:rsidRPr="00CF6B83">
              <w:rPr>
                <w:rFonts w:ascii="Verdana" w:hAnsi="Verdana" w:cs="Arial"/>
                <w:color w:val="000000" w:themeColor="text1"/>
              </w:rPr>
              <w:t xml:space="preserve"> </w:t>
            </w:r>
          </w:p>
          <w:p w14:paraId="55398A78" w14:textId="77777777" w:rsidR="00871985" w:rsidRPr="00CF6B83" w:rsidRDefault="00871985" w:rsidP="00F625D0">
            <w:pPr>
              <w:widowControl w:val="0"/>
              <w:numPr>
                <w:ilvl w:val="0"/>
                <w:numId w:val="2"/>
              </w:numPr>
              <w:autoSpaceDE w:val="0"/>
              <w:autoSpaceDN w:val="0"/>
              <w:spacing w:after="120" w:line="276" w:lineRule="auto"/>
              <w:jc w:val="both"/>
              <w:rPr>
                <w:rFonts w:ascii="Verdana" w:hAnsi="Verdana" w:cs="Arial"/>
                <w:color w:val="000000" w:themeColor="text1"/>
                <w:lang w:val="es-ES"/>
              </w:rPr>
            </w:pPr>
            <w:r w:rsidRPr="00CF6B83">
              <w:rPr>
                <w:rFonts w:ascii="Verdana" w:hAnsi="Verdana" w:cs="Arial"/>
                <w:color w:val="000000" w:themeColor="text1"/>
                <w:lang w:val="es-ES"/>
              </w:rPr>
              <w:t xml:space="preserve">Anexo No 1. </w:t>
            </w:r>
            <w:hyperlink r:id="rId17" w:history="1">
              <w:r w:rsidRPr="00CF6B83">
                <w:rPr>
                  <w:rStyle w:val="Hipervnculo"/>
                  <w:rFonts w:ascii="Verdana" w:hAnsi="Verdana" w:cs="Arial"/>
                </w:rPr>
                <w:t>https://www.colombiacompra.gov.co/sites/cce_public/files/cce_circulares/anexo_no._1_circular_externa_005_de_2022.pdf</w:t>
              </w:r>
            </w:hyperlink>
            <w:r w:rsidRPr="00CF6B83">
              <w:rPr>
                <w:rFonts w:ascii="Verdana" w:hAnsi="Verdana" w:cs="Arial"/>
                <w:color w:val="000000" w:themeColor="text1"/>
              </w:rPr>
              <w:t xml:space="preserve"> </w:t>
            </w:r>
          </w:p>
          <w:p w14:paraId="1B8202E6" w14:textId="77777777" w:rsidR="00871985" w:rsidRPr="00CF6B83" w:rsidRDefault="00871985" w:rsidP="00F625D0">
            <w:pPr>
              <w:widowControl w:val="0"/>
              <w:numPr>
                <w:ilvl w:val="0"/>
                <w:numId w:val="2"/>
              </w:numPr>
              <w:autoSpaceDE w:val="0"/>
              <w:autoSpaceDN w:val="0"/>
              <w:spacing w:after="120" w:line="276" w:lineRule="auto"/>
              <w:jc w:val="both"/>
              <w:rPr>
                <w:rFonts w:ascii="Verdana" w:hAnsi="Verdana" w:cs="Arial"/>
                <w:color w:val="000000" w:themeColor="text1"/>
                <w:lang w:val="es-ES"/>
              </w:rPr>
            </w:pPr>
            <w:r w:rsidRPr="00CF6B83">
              <w:rPr>
                <w:rFonts w:ascii="Verdana" w:hAnsi="Verdana" w:cs="Arial"/>
                <w:color w:val="000000" w:themeColor="text1"/>
                <w:lang w:val="es-ES"/>
              </w:rPr>
              <w:t xml:space="preserve">Circular Externa 005 de 2023 del 31 de agosto del 2023: </w:t>
            </w:r>
            <w:hyperlink r:id="rId18" w:history="1">
              <w:r w:rsidRPr="00CF6B83">
                <w:rPr>
                  <w:rStyle w:val="Hipervnculo"/>
                  <w:rFonts w:ascii="Verdana" w:hAnsi="Verdana" w:cs="Arial"/>
                </w:rPr>
                <w:t>https://www.colombiacompra.gov.co/sites/cce_public/files/cce_circulares/proyecto_circular_externa_obligatoriedad_secopii_2023_rev._dg_f.pdf</w:t>
              </w:r>
            </w:hyperlink>
            <w:r w:rsidRPr="00CF6B83">
              <w:rPr>
                <w:rFonts w:ascii="Verdana" w:hAnsi="Verdana" w:cs="Arial"/>
                <w:color w:val="000000" w:themeColor="text1"/>
              </w:rPr>
              <w:t xml:space="preserve"> </w:t>
            </w:r>
          </w:p>
          <w:p w14:paraId="65B5FB35" w14:textId="77777777" w:rsidR="00871985" w:rsidRPr="00CF6B83" w:rsidRDefault="00871985" w:rsidP="00F625D0">
            <w:pPr>
              <w:widowControl w:val="0"/>
              <w:numPr>
                <w:ilvl w:val="0"/>
                <w:numId w:val="2"/>
              </w:numPr>
              <w:autoSpaceDE w:val="0"/>
              <w:autoSpaceDN w:val="0"/>
              <w:spacing w:after="120" w:line="276" w:lineRule="auto"/>
              <w:jc w:val="both"/>
              <w:rPr>
                <w:rFonts w:ascii="Verdana" w:hAnsi="Verdana" w:cs="Arial"/>
                <w:color w:val="000000" w:themeColor="text1"/>
              </w:rPr>
            </w:pPr>
            <w:r w:rsidRPr="00CF6B83">
              <w:rPr>
                <w:rFonts w:ascii="Verdana" w:hAnsi="Verdana" w:cs="Arial"/>
                <w:color w:val="000000" w:themeColor="text1"/>
              </w:rPr>
              <w:t>Corte Constitucional. Sentencia C-277 del 19 de junio de 2019.</w:t>
            </w:r>
          </w:p>
        </w:tc>
      </w:tr>
    </w:tbl>
    <w:p w14:paraId="061EB7CC" w14:textId="77777777" w:rsidR="00871985" w:rsidRPr="00115E3D" w:rsidRDefault="00871985" w:rsidP="00871985">
      <w:pPr>
        <w:widowControl w:val="0"/>
        <w:autoSpaceDE w:val="0"/>
        <w:autoSpaceDN w:val="0"/>
        <w:spacing w:after="0" w:line="276" w:lineRule="auto"/>
        <w:jc w:val="both"/>
        <w:rPr>
          <w:rFonts w:ascii="Verdana" w:hAnsi="Verdana" w:cs="Arial"/>
          <w:color w:val="000000" w:themeColor="text1"/>
        </w:rPr>
      </w:pPr>
    </w:p>
    <w:p w14:paraId="637DB0C6" w14:textId="77777777" w:rsidR="00871985" w:rsidRPr="00115E3D" w:rsidRDefault="00871985" w:rsidP="0087198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Doctrina de la Agencia Nacional de Contratación Pública:</w:t>
      </w:r>
    </w:p>
    <w:p w14:paraId="67F38773" w14:textId="77777777" w:rsidR="00871985" w:rsidRPr="00115E3D" w:rsidRDefault="00871985" w:rsidP="00871985">
      <w:pPr>
        <w:widowControl w:val="0"/>
        <w:autoSpaceDE w:val="0"/>
        <w:autoSpaceDN w:val="0"/>
        <w:spacing w:after="0" w:line="276" w:lineRule="auto"/>
        <w:jc w:val="both"/>
        <w:rPr>
          <w:rFonts w:ascii="Verdana" w:hAnsi="Verdana" w:cs="Arial"/>
          <w:color w:val="000000" w:themeColor="text1"/>
        </w:rPr>
      </w:pPr>
    </w:p>
    <w:p w14:paraId="04A039B9" w14:textId="77777777" w:rsidR="00871985" w:rsidRPr="00E44418" w:rsidRDefault="00871985" w:rsidP="00871985">
      <w:pPr>
        <w:widowControl w:val="0"/>
        <w:autoSpaceDE w:val="0"/>
        <w:autoSpaceDN w:val="0"/>
        <w:spacing w:after="0" w:line="276" w:lineRule="auto"/>
        <w:jc w:val="both"/>
        <w:rPr>
          <w:rFonts w:ascii="Verdana" w:hAnsi="Verdana" w:cs="Arial"/>
          <w:color w:val="000000" w:themeColor="text1"/>
          <w:shd w:val="clear" w:color="auto" w:fill="FFFFFF"/>
          <w:lang w:val="es-ES"/>
        </w:rPr>
      </w:pPr>
      <w:r w:rsidRPr="00E44418">
        <w:rPr>
          <w:rFonts w:ascii="Verdana" w:hAnsi="Verdana" w:cs="Arial"/>
          <w:color w:val="000000" w:themeColor="text1"/>
          <w:shd w:val="clear" w:color="auto" w:fill="FFFFFF"/>
          <w:lang w:val="es-ES"/>
        </w:rPr>
        <w:t xml:space="preserve">Sobre el contenido del artículo 42 de la Ley 1861 de 2017, esta Subdirección, se ha pronunciado en los conceptos Nro. </w:t>
      </w:r>
      <w:r w:rsidRPr="00E44418">
        <w:rPr>
          <w:rFonts w:ascii="Verdana" w:hAnsi="Verdana" w:cs="Arial"/>
          <w:color w:val="000000" w:themeColor="text1"/>
          <w:shd w:val="clear" w:color="auto" w:fill="FFFFFF"/>
        </w:rPr>
        <w:t>C-628 de 29 de septiembre de 2022, C-653 del 11 de octubre de 2022, C-944 del 19 de enero del 2023, C-328 del 25 de agosto de 2023, C-376 del 20 de septiembre del 2023</w:t>
      </w:r>
      <w:r>
        <w:rPr>
          <w:rFonts w:ascii="Verdana" w:hAnsi="Verdana" w:cs="Arial"/>
          <w:color w:val="000000" w:themeColor="text1"/>
          <w:shd w:val="clear" w:color="auto" w:fill="FFFFFF"/>
        </w:rPr>
        <w:t xml:space="preserve">, </w:t>
      </w:r>
      <w:r w:rsidRPr="00E44418">
        <w:rPr>
          <w:rFonts w:ascii="Verdana" w:hAnsi="Verdana" w:cs="Arial"/>
          <w:color w:val="000000" w:themeColor="text1"/>
          <w:shd w:val="clear" w:color="auto" w:fill="FFFFFF"/>
        </w:rPr>
        <w:t>C-417 del 27 de septiembre del 2023</w:t>
      </w:r>
      <w:r>
        <w:rPr>
          <w:rFonts w:ascii="Verdana" w:hAnsi="Verdana" w:cs="Arial"/>
          <w:color w:val="000000" w:themeColor="text1"/>
          <w:shd w:val="clear" w:color="auto" w:fill="FFFFFF"/>
        </w:rPr>
        <w:t xml:space="preserve"> y C-190 de 30 de julio del 2024</w:t>
      </w:r>
      <w:r w:rsidRPr="00E44418">
        <w:rPr>
          <w:rFonts w:ascii="Verdana" w:hAnsi="Verdana" w:cs="Arial"/>
          <w:color w:val="000000" w:themeColor="text1"/>
          <w:shd w:val="clear" w:color="auto" w:fill="FFFFFF"/>
          <w:lang w:val="es-ES"/>
        </w:rPr>
        <w:t>. Es</w:t>
      </w:r>
      <w:r w:rsidRPr="00E44418">
        <w:rPr>
          <w:rFonts w:ascii="Verdana" w:hAnsi="Verdana" w:cs="Arial"/>
          <w:color w:val="000000" w:themeColor="text1"/>
          <w:shd w:val="clear" w:color="auto" w:fill="FFFFFF"/>
        </w:rPr>
        <w:t>tos y otros conceptos se encuentran disponibles para consulta en el Sistema de relatoría de la Agencia, al cual se puede acceder a través del siguiente enlace:</w:t>
      </w:r>
      <w:r w:rsidRPr="00E44418">
        <w:rPr>
          <w:rFonts w:ascii="Verdana" w:hAnsi="Verdana" w:cs="Arial"/>
          <w:color w:val="000000" w:themeColor="text1"/>
          <w:shd w:val="clear" w:color="auto" w:fill="FFFFFF"/>
          <w:lang w:val="es-ES"/>
        </w:rPr>
        <w:t xml:space="preserve"> </w:t>
      </w:r>
      <w:hyperlink r:id="rId19" w:history="1">
        <w:r w:rsidRPr="00E44418">
          <w:rPr>
            <w:rStyle w:val="Hipervnculo"/>
            <w:rFonts w:ascii="Verdana" w:hAnsi="Verdana" w:cs="Arial"/>
            <w:shd w:val="clear" w:color="auto" w:fill="FFFFFF"/>
            <w:lang w:val="es-ES"/>
          </w:rPr>
          <w:t>https://relatoria.colombiacompra.gov.co/busqueda/conceptos</w:t>
        </w:r>
      </w:hyperlink>
      <w:r w:rsidRPr="00E44418">
        <w:rPr>
          <w:rFonts w:ascii="Verdana" w:hAnsi="Verdana" w:cs="Arial"/>
          <w:color w:val="000000" w:themeColor="text1"/>
          <w:shd w:val="clear" w:color="auto" w:fill="FFFFFF"/>
          <w:lang w:val="es-ES"/>
        </w:rPr>
        <w:t xml:space="preserve">. </w:t>
      </w:r>
    </w:p>
    <w:p w14:paraId="11D313C0" w14:textId="77777777" w:rsidR="00871985" w:rsidRPr="00115E3D" w:rsidRDefault="00871985" w:rsidP="00871985">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r w:rsidRPr="00115E3D">
        <w:rPr>
          <w:rStyle w:val="normaltextrun"/>
          <w:rFonts w:ascii="Verdana" w:hAnsi="Verdana" w:cs="Arial"/>
          <w:color w:val="000000" w:themeColor="text1"/>
          <w:shd w:val="clear" w:color="auto" w:fill="FFFFFF"/>
          <w:lang w:val="es-ES"/>
        </w:rPr>
        <w:t xml:space="preserve"> </w:t>
      </w:r>
    </w:p>
    <w:p w14:paraId="69A9604C" w14:textId="77777777" w:rsidR="00871985" w:rsidRDefault="00871985" w:rsidP="00871985">
      <w:pPr>
        <w:widowControl w:val="0"/>
        <w:autoSpaceDE w:val="0"/>
        <w:autoSpaceDN w:val="0"/>
        <w:spacing w:after="0" w:line="276" w:lineRule="auto"/>
        <w:jc w:val="both"/>
        <w:rPr>
          <w:rFonts w:ascii="Verdana" w:hAnsi="Verdana" w:cs="Arial"/>
          <w:color w:val="000000" w:themeColor="text1"/>
        </w:rPr>
      </w:pPr>
      <w:r w:rsidRPr="00C76656">
        <w:rPr>
          <w:rFonts w:ascii="Verdana" w:hAnsi="Verdana" w:cs="Arial"/>
          <w:color w:val="000000" w:themeColor="text1"/>
        </w:rPr>
        <w:t xml:space="preserve">Le informamos que ya se encuentran publicados los borradores de las nuevas versiones de los Documentos Tipo de Interventoría y Consultoría de </w:t>
      </w:r>
      <w:r w:rsidRPr="00C76656">
        <w:rPr>
          <w:rFonts w:ascii="Verdana" w:hAnsi="Verdana" w:cs="Arial"/>
          <w:color w:val="000000" w:themeColor="text1"/>
        </w:rPr>
        <w:lastRenderedPageBreak/>
        <w:t>Infraestructura de Transporte. Conoce todos los detalles y realiza tus comentarios hasta el 10 de noviembre de 2024 en los siguientes enlaces: </w:t>
      </w:r>
      <w:hyperlink r:id="rId20" w:tgtFrame="_blank" w:tooltip="Dirección URL original: https://www.colombiacompra.gov.co/content/borrador-de-documentos-tipo-de-consultoria-de-obra-publica-de-infraestructura-de-transporte. Haga clic o pulse si confía en este vínculo." w:history="1">
        <w:r w:rsidRPr="00C76656">
          <w:rPr>
            <w:rStyle w:val="Hipervnculo"/>
            <w:rFonts w:ascii="Verdana" w:hAnsi="Verdana" w:cs="Arial"/>
          </w:rPr>
          <w:t>https://www.colombiacompra.gov.co/content/borrador-de-documentos-tipo-de-consultoria-de-obra-publica-de-infraestructura-de-transporte</w:t>
        </w:r>
      </w:hyperlink>
      <w:r w:rsidRPr="00C76656">
        <w:rPr>
          <w:rFonts w:ascii="Verdana" w:hAnsi="Verdana" w:cs="Arial"/>
          <w:color w:val="000000" w:themeColor="text1"/>
        </w:rPr>
        <w:t> y </w:t>
      </w:r>
      <w:hyperlink r:id="rId21" w:tgtFrame="_blank" w:tooltip="Dirección URL original: https://www.colombiacompra.gov.co/content/borrador-de-documentos-tipo-de-interventoria-de-obra-publica-de-infraestructura-de. Haga clic o pulse si confía en este vínculo." w:history="1">
        <w:r w:rsidRPr="00C76656">
          <w:rPr>
            <w:rStyle w:val="Hipervnculo"/>
            <w:rFonts w:ascii="Verdana" w:hAnsi="Verdana" w:cs="Arial"/>
          </w:rPr>
          <w:t>https://www.colombiacompra.gov.co/content/borrador-de-documentos-tipo-de-interventoria-de-obra-publica-de-infraestructura-de</w:t>
        </w:r>
      </w:hyperlink>
      <w:r w:rsidRPr="00C76656">
        <w:rPr>
          <w:rFonts w:ascii="Verdana" w:hAnsi="Verdana" w:cs="Arial"/>
          <w:color w:val="000000" w:themeColor="text1"/>
        </w:rPr>
        <w:t> .</w:t>
      </w:r>
    </w:p>
    <w:p w14:paraId="21E0429D" w14:textId="77777777" w:rsidR="00871985" w:rsidRPr="00C76656" w:rsidRDefault="00871985" w:rsidP="00871985">
      <w:pPr>
        <w:widowControl w:val="0"/>
        <w:autoSpaceDE w:val="0"/>
        <w:autoSpaceDN w:val="0"/>
        <w:spacing w:after="0" w:line="276" w:lineRule="auto"/>
        <w:jc w:val="both"/>
        <w:rPr>
          <w:rFonts w:ascii="Verdana" w:hAnsi="Verdana" w:cs="Arial"/>
          <w:color w:val="000000" w:themeColor="text1"/>
        </w:rPr>
      </w:pPr>
    </w:p>
    <w:p w14:paraId="3368564E" w14:textId="77777777" w:rsidR="00871985" w:rsidRDefault="00871985" w:rsidP="00871985">
      <w:pPr>
        <w:widowControl w:val="0"/>
        <w:autoSpaceDE w:val="0"/>
        <w:autoSpaceDN w:val="0"/>
        <w:spacing w:after="0" w:line="276" w:lineRule="auto"/>
        <w:jc w:val="both"/>
        <w:rPr>
          <w:rFonts w:ascii="Verdana" w:hAnsi="Verdana" w:cs="Arial"/>
          <w:color w:val="000000" w:themeColor="text1"/>
        </w:rPr>
      </w:pPr>
      <w:r w:rsidRPr="00C76656">
        <w:rPr>
          <w:rFonts w:ascii="Verdana" w:hAnsi="Verdana" w:cs="Arial"/>
          <w:color w:val="000000" w:themeColor="text1"/>
        </w:rPr>
        <w:t>De otra parte, te contamos que ya publicamos el borrador de la nueva Guía de Contratación Pública Sostenible y Socialmente Responsable. Conoce el documento y realiza tus comentarios hasta el 14 de noviembre de 2024 a través del siguiente enlace: </w:t>
      </w:r>
      <w:hyperlink r:id="rId22" w:tgtFrame="_blank" w:tooltip="Dirección URL original: https://www.sucop.gov.co/entidades/colombiacompra/Normativa?IDNorma=18320. Haga clic o pulse si confía en este vínculo." w:history="1">
        <w:r w:rsidRPr="00C76656">
          <w:rPr>
            <w:rStyle w:val="Hipervnculo"/>
            <w:rFonts w:ascii="Verdana" w:hAnsi="Verdana" w:cs="Arial"/>
          </w:rPr>
          <w:t>https://www.sucop.gov.co/entidades/colombiacompra/Normativa?IDNorma=18320</w:t>
        </w:r>
      </w:hyperlink>
      <w:r w:rsidRPr="00C76656">
        <w:rPr>
          <w:rFonts w:ascii="Verdana" w:hAnsi="Verdana" w:cs="Arial"/>
          <w:color w:val="000000" w:themeColor="text1"/>
        </w:rPr>
        <w:t>  </w:t>
      </w:r>
    </w:p>
    <w:p w14:paraId="44C3BCF0" w14:textId="77777777" w:rsidR="00871985" w:rsidRPr="00C76656" w:rsidRDefault="00871985" w:rsidP="00871985">
      <w:pPr>
        <w:widowControl w:val="0"/>
        <w:autoSpaceDE w:val="0"/>
        <w:autoSpaceDN w:val="0"/>
        <w:spacing w:after="0" w:line="276" w:lineRule="auto"/>
        <w:jc w:val="both"/>
        <w:rPr>
          <w:rFonts w:ascii="Verdana" w:hAnsi="Verdana" w:cs="Arial"/>
          <w:color w:val="000000" w:themeColor="text1"/>
        </w:rPr>
      </w:pPr>
    </w:p>
    <w:p w14:paraId="24340B6C" w14:textId="77777777" w:rsidR="00871985" w:rsidRPr="00C76656" w:rsidRDefault="00871985" w:rsidP="00871985">
      <w:pPr>
        <w:widowControl w:val="0"/>
        <w:autoSpaceDE w:val="0"/>
        <w:autoSpaceDN w:val="0"/>
        <w:spacing w:after="0" w:line="276" w:lineRule="auto"/>
        <w:jc w:val="both"/>
        <w:rPr>
          <w:rFonts w:ascii="Verdana" w:hAnsi="Verdana" w:cs="Arial"/>
          <w:color w:val="000000" w:themeColor="text1"/>
        </w:rPr>
      </w:pPr>
      <w:r w:rsidRPr="00C76656">
        <w:rPr>
          <w:rFonts w:ascii="Verdana" w:hAnsi="Verdana" w:cs="Arial"/>
          <w:color w:val="000000" w:themeColor="text1"/>
        </w:rPr>
        <w:t>También le invitamos a consultar las versiones V y VI de 2024 del Boletín de Relatoría de la Subdirección de Gestión Contractual relacionados con las guías de Plan Anual de Adquisiciones y la odalidad de selección de mínima cuantía , los cuales se pueden descargar en la página web de la Agencia: </w:t>
      </w:r>
      <w:hyperlink r:id="rId23" w:tgtFrame="_blank" w:tooltip="Dirección URL original: https://www.colombiacompra.gov.co/sala-de-prensa/boletin-digital. Haga clic o pulse si confía en este vínculo." w:history="1">
        <w:r w:rsidRPr="00C76656">
          <w:rPr>
            <w:rStyle w:val="Hipervnculo"/>
            <w:rFonts w:ascii="Verdana" w:hAnsi="Verdana" w:cs="Arial"/>
          </w:rPr>
          <w:t>https://www.colombiacompra.gov.co/sala-de-prensa/boletin-digital</w:t>
        </w:r>
      </w:hyperlink>
      <w:r w:rsidRPr="00C76656">
        <w:rPr>
          <w:rFonts w:ascii="Verdana" w:hAnsi="Verdana" w:cs="Arial"/>
          <w:color w:val="000000" w:themeColor="text1"/>
        </w:rPr>
        <w:t> "    </w:t>
      </w:r>
    </w:p>
    <w:p w14:paraId="7BA6E59A" w14:textId="77777777" w:rsidR="00871985" w:rsidRDefault="00871985" w:rsidP="00871985">
      <w:pPr>
        <w:widowControl w:val="0"/>
        <w:autoSpaceDE w:val="0"/>
        <w:autoSpaceDN w:val="0"/>
        <w:spacing w:after="0" w:line="276" w:lineRule="auto"/>
        <w:jc w:val="both"/>
        <w:rPr>
          <w:rFonts w:ascii="Verdana" w:hAnsi="Verdana" w:cs="Arial"/>
          <w:color w:val="000000" w:themeColor="text1"/>
        </w:rPr>
      </w:pPr>
    </w:p>
    <w:p w14:paraId="4CC34E10" w14:textId="77777777" w:rsidR="00871985" w:rsidRPr="00E91F32" w:rsidRDefault="00871985" w:rsidP="00871985">
      <w:pPr>
        <w:widowControl w:val="0"/>
        <w:autoSpaceDE w:val="0"/>
        <w:autoSpaceDN w:val="0"/>
        <w:spacing w:after="0" w:line="276" w:lineRule="auto"/>
        <w:jc w:val="both"/>
        <w:rPr>
          <w:rFonts w:ascii="Verdana" w:hAnsi="Verdana" w:cs="Arial"/>
          <w:color w:val="000000" w:themeColor="text1"/>
        </w:rPr>
      </w:pPr>
      <w:r w:rsidRPr="00E91F32">
        <w:rPr>
          <w:rFonts w:ascii="Verdana" w:hAnsi="Verdana" w:cs="Arial"/>
          <w:color w:val="000000" w:themeColor="text1"/>
        </w:rPr>
        <w:t xml:space="preserve">Por último, lo invitamos a seguirnos en las redes sociales en las cuales se difunde información institucional: </w:t>
      </w:r>
    </w:p>
    <w:p w14:paraId="7B96A53C" w14:textId="77777777" w:rsidR="00871985" w:rsidRPr="00CA17B5" w:rsidRDefault="00871985" w:rsidP="00871985">
      <w:pPr>
        <w:widowControl w:val="0"/>
        <w:autoSpaceDE w:val="0"/>
        <w:autoSpaceDN w:val="0"/>
        <w:spacing w:after="0" w:line="276" w:lineRule="auto"/>
        <w:jc w:val="both"/>
        <w:rPr>
          <w:rFonts w:ascii="Verdana" w:hAnsi="Verdana" w:cs="Arial"/>
          <w:color w:val="000000" w:themeColor="text1"/>
        </w:rPr>
      </w:pPr>
    </w:p>
    <w:p w14:paraId="5D4DDE70" w14:textId="77777777" w:rsidR="00871985" w:rsidRPr="00CA17B5" w:rsidRDefault="00871985" w:rsidP="00871985">
      <w:pPr>
        <w:widowControl w:val="0"/>
        <w:autoSpaceDE w:val="0"/>
        <w:autoSpaceDN w:val="0"/>
        <w:spacing w:after="0" w:line="276" w:lineRule="auto"/>
        <w:jc w:val="both"/>
        <w:rPr>
          <w:rFonts w:ascii="Verdana" w:hAnsi="Verdana" w:cs="Arial"/>
          <w:color w:val="000000" w:themeColor="text1"/>
        </w:rPr>
      </w:pPr>
      <w:r w:rsidRPr="00CA17B5">
        <w:rPr>
          <w:rFonts w:ascii="Verdana" w:hAnsi="Verdana" w:cs="Arial"/>
          <w:color w:val="000000" w:themeColor="text1"/>
        </w:rPr>
        <w:t xml:space="preserve">Twitter: </w:t>
      </w:r>
      <w:r w:rsidRPr="00CA17B5">
        <w:rPr>
          <w:rFonts w:ascii="Verdana" w:hAnsi="Verdana" w:cs="Arial"/>
          <w:color w:val="000000" w:themeColor="text1"/>
          <w:u w:val="single"/>
        </w:rPr>
        <w:t>@colombiacompra</w:t>
      </w:r>
      <w:r w:rsidRPr="00CA17B5">
        <w:rPr>
          <w:rFonts w:ascii="Verdana" w:hAnsi="Verdana" w:cs="Arial"/>
          <w:color w:val="000000" w:themeColor="text1"/>
        </w:rPr>
        <w:t xml:space="preserve"> </w:t>
      </w:r>
    </w:p>
    <w:p w14:paraId="0F5B6168" w14:textId="77777777" w:rsidR="00871985" w:rsidRPr="00CA17B5" w:rsidRDefault="00871985" w:rsidP="00871985">
      <w:pPr>
        <w:widowControl w:val="0"/>
        <w:autoSpaceDE w:val="0"/>
        <w:autoSpaceDN w:val="0"/>
        <w:spacing w:after="0" w:line="276" w:lineRule="auto"/>
        <w:jc w:val="both"/>
        <w:rPr>
          <w:rFonts w:ascii="Verdana" w:hAnsi="Verdana" w:cs="Arial"/>
          <w:color w:val="000000" w:themeColor="text1"/>
        </w:rPr>
      </w:pPr>
      <w:r w:rsidRPr="00CA17B5">
        <w:rPr>
          <w:rFonts w:ascii="Verdana" w:hAnsi="Verdana" w:cs="Arial"/>
          <w:color w:val="000000" w:themeColor="text1"/>
        </w:rPr>
        <w:t xml:space="preserve">Facebook: </w:t>
      </w:r>
      <w:r w:rsidRPr="00CA17B5">
        <w:rPr>
          <w:rFonts w:ascii="Verdana" w:hAnsi="Verdana" w:cs="Arial"/>
          <w:color w:val="000000" w:themeColor="text1"/>
          <w:u w:val="single"/>
        </w:rPr>
        <w:t>ColombiaCompraEficiente</w:t>
      </w:r>
    </w:p>
    <w:p w14:paraId="3FB489C7" w14:textId="77777777" w:rsidR="00871985" w:rsidRPr="00CA17B5" w:rsidRDefault="00871985" w:rsidP="00871985">
      <w:pPr>
        <w:widowControl w:val="0"/>
        <w:autoSpaceDE w:val="0"/>
        <w:autoSpaceDN w:val="0"/>
        <w:spacing w:after="0" w:line="276" w:lineRule="auto"/>
        <w:jc w:val="both"/>
        <w:rPr>
          <w:rFonts w:ascii="Verdana" w:hAnsi="Verdana" w:cs="Arial"/>
          <w:color w:val="000000" w:themeColor="text1"/>
        </w:rPr>
      </w:pPr>
      <w:r w:rsidRPr="00CA17B5">
        <w:rPr>
          <w:rFonts w:ascii="Verdana" w:hAnsi="Verdana" w:cs="Arial"/>
          <w:color w:val="000000" w:themeColor="text1"/>
        </w:rPr>
        <w:t xml:space="preserve">LinkedIn: </w:t>
      </w:r>
      <w:r w:rsidRPr="00CA17B5">
        <w:rPr>
          <w:rFonts w:ascii="Verdana" w:hAnsi="Verdana" w:cs="Arial"/>
          <w:color w:val="000000" w:themeColor="text1"/>
          <w:u w:val="single"/>
        </w:rPr>
        <w:t>Agencia Nacional de Contratación Pública - Colombia Compra Eficiente</w:t>
      </w:r>
      <w:r w:rsidRPr="00CA17B5">
        <w:rPr>
          <w:rFonts w:ascii="Verdana" w:hAnsi="Verdana" w:cs="Arial"/>
          <w:color w:val="000000" w:themeColor="text1"/>
        </w:rPr>
        <w:t xml:space="preserve"> Instagram: </w:t>
      </w:r>
      <w:r w:rsidRPr="00CA17B5">
        <w:rPr>
          <w:rFonts w:ascii="Verdana" w:hAnsi="Verdana" w:cs="Arial"/>
          <w:color w:val="000000" w:themeColor="text1"/>
          <w:u w:val="single"/>
        </w:rPr>
        <w:t>@colombiacompraeficiente_cce</w:t>
      </w:r>
    </w:p>
    <w:p w14:paraId="0C167D93" w14:textId="77777777" w:rsidR="00871985" w:rsidRPr="00CA17B5" w:rsidRDefault="00871985" w:rsidP="00871985">
      <w:pPr>
        <w:widowControl w:val="0"/>
        <w:autoSpaceDE w:val="0"/>
        <w:autoSpaceDN w:val="0"/>
        <w:spacing w:after="0" w:line="276" w:lineRule="auto"/>
        <w:jc w:val="both"/>
        <w:rPr>
          <w:rFonts w:ascii="Verdana" w:hAnsi="Verdana" w:cs="Arial"/>
          <w:color w:val="000000" w:themeColor="text1"/>
        </w:rPr>
      </w:pPr>
    </w:p>
    <w:p w14:paraId="55DC218E" w14:textId="77777777" w:rsidR="00871985" w:rsidRPr="00CA17B5" w:rsidRDefault="00871985" w:rsidP="00871985">
      <w:pPr>
        <w:widowControl w:val="0"/>
        <w:autoSpaceDE w:val="0"/>
        <w:autoSpaceDN w:val="0"/>
        <w:spacing w:after="0" w:line="276" w:lineRule="auto"/>
        <w:jc w:val="both"/>
        <w:rPr>
          <w:rFonts w:ascii="Verdana" w:hAnsi="Verdana" w:cs="Arial"/>
          <w:color w:val="000000" w:themeColor="text1"/>
          <w:lang w:val="es-ES_tradnl"/>
        </w:rPr>
      </w:pPr>
      <w:r w:rsidRPr="00CA17B5">
        <w:rPr>
          <w:rFonts w:ascii="Verdana" w:hAnsi="Verdana" w:cs="Arial"/>
          <w:color w:val="000000" w:themeColor="text1"/>
        </w:rPr>
        <w:t xml:space="preserve">Este concepto tiene el alcance previsto en el artículo 28 del Código de Procedimiento Administrativo y de lo Contencioso Administrativo </w:t>
      </w:r>
      <w:r w:rsidRPr="00CA17B5">
        <w:rPr>
          <w:rFonts w:ascii="Verdana" w:hAnsi="Verdana" w:cs="Arial"/>
          <w:color w:val="000000" w:themeColor="text1"/>
          <w:lang w:val="es-ES_tradnl"/>
        </w:rPr>
        <w:t>y las expresiones aquí utilizadas con mayúscula inicial deben ser entendidas con el significado que les otorga el artículo 2.2.1.1.1.3.1. del Decreto 1082 de 2015.</w:t>
      </w:r>
    </w:p>
    <w:p w14:paraId="7900246B" w14:textId="77777777" w:rsidR="00871985" w:rsidRPr="0056445A" w:rsidRDefault="00871985" w:rsidP="00871985">
      <w:pPr>
        <w:widowControl w:val="0"/>
        <w:autoSpaceDE w:val="0"/>
        <w:autoSpaceDN w:val="0"/>
        <w:spacing w:after="0" w:line="276" w:lineRule="auto"/>
        <w:jc w:val="both"/>
        <w:rPr>
          <w:rFonts w:ascii="Verdana" w:hAnsi="Verdana" w:cs="Arial"/>
          <w:color w:val="000000" w:themeColor="text1"/>
          <w:lang w:val="es-ES_tradnl"/>
        </w:rPr>
      </w:pPr>
    </w:p>
    <w:p w14:paraId="158202ED" w14:textId="77777777" w:rsidR="00871985" w:rsidRPr="00115E3D" w:rsidRDefault="00871985" w:rsidP="00871985">
      <w:pPr>
        <w:spacing w:after="0" w:line="240" w:lineRule="auto"/>
        <w:rPr>
          <w:rFonts w:ascii="Verdana" w:hAnsi="Verdana" w:cs="Arial"/>
          <w:color w:val="000000" w:themeColor="text1"/>
          <w:lang w:eastAsia="es-CO"/>
        </w:rPr>
      </w:pPr>
      <w:r w:rsidRPr="00115E3D">
        <w:rPr>
          <w:rFonts w:ascii="Verdana" w:eastAsia="Times New Roman" w:hAnsi="Verdana" w:cs="Arial"/>
          <w:color w:val="000000" w:themeColor="text1"/>
          <w:lang w:eastAsia="es-CO"/>
        </w:rPr>
        <w:t>Atentamente,</w:t>
      </w:r>
      <w:r w:rsidRPr="00115E3D">
        <w:rPr>
          <w:rFonts w:ascii="Verdana" w:hAnsi="Verdana" w:cs="Arial"/>
          <w:color w:val="000000" w:themeColor="text1"/>
          <w:lang w:eastAsia="es-CO"/>
        </w:rPr>
        <w:t xml:space="preserve"> </w:t>
      </w:r>
    </w:p>
    <w:p w14:paraId="37B700DC" w14:textId="5BC23BCE" w:rsidR="00871985" w:rsidRPr="00115E3D" w:rsidRDefault="00B87453" w:rsidP="00871985">
      <w:pPr>
        <w:spacing w:line="276" w:lineRule="auto"/>
        <w:jc w:val="center"/>
        <w:rPr>
          <w:rFonts w:ascii="Verdana" w:hAnsi="Verdana" w:cs="Arial"/>
          <w:color w:val="000000" w:themeColor="text1"/>
          <w:lang w:val="es-ES_tradnl" w:eastAsia="es-CO"/>
        </w:rPr>
      </w:pPr>
      <w:r>
        <w:rPr>
          <w:noProof/>
          <w14:ligatures w14:val="standardContextual"/>
        </w:rPr>
        <w:lastRenderedPageBreak/>
        <w:drawing>
          <wp:inline distT="0" distB="0" distL="0" distR="0" wp14:anchorId="457D21FB" wp14:editId="6C8D7359">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2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71985" w:rsidRPr="00593A5F" w14:paraId="43ED62FD" w14:textId="77777777" w:rsidTr="00F625D0">
        <w:trPr>
          <w:trHeight w:val="315"/>
        </w:trPr>
        <w:tc>
          <w:tcPr>
            <w:tcW w:w="893" w:type="dxa"/>
            <w:vAlign w:val="center"/>
            <w:hideMark/>
          </w:tcPr>
          <w:p w14:paraId="02A8CBB2" w14:textId="77777777" w:rsidR="00871985" w:rsidRPr="004E6C40" w:rsidRDefault="00871985" w:rsidP="00F625D0">
            <w:pPr>
              <w:contextualSpacing/>
              <w:rPr>
                <w:rFonts w:ascii="Verdana" w:hAnsi="Verdana" w:cs="Arial"/>
                <w:sz w:val="16"/>
                <w:szCs w:val="16"/>
                <w:lang w:val="es-ES" w:eastAsia="es-ES"/>
              </w:rPr>
            </w:pPr>
            <w:r w:rsidRPr="004E6C40">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09B21FD" w14:textId="77777777" w:rsidR="00871985" w:rsidRPr="004E6C40" w:rsidRDefault="00871985" w:rsidP="00F625D0">
            <w:pPr>
              <w:contextualSpacing/>
              <w:rPr>
                <w:rFonts w:ascii="Verdana" w:eastAsia="Arial" w:hAnsi="Verdana" w:cs="Arial"/>
                <w:sz w:val="16"/>
                <w:szCs w:val="16"/>
              </w:rPr>
            </w:pPr>
            <w:r w:rsidRPr="004E6C40">
              <w:rPr>
                <w:rFonts w:ascii="Verdana" w:eastAsia="Arial" w:hAnsi="Verdana" w:cs="Arial"/>
                <w:sz w:val="16"/>
                <w:szCs w:val="16"/>
              </w:rPr>
              <w:t xml:space="preserve">Andreina Cerpa Muñoz </w:t>
            </w:r>
          </w:p>
          <w:p w14:paraId="7A73B4D6" w14:textId="77777777" w:rsidR="00871985" w:rsidRPr="004E6C40" w:rsidRDefault="00871985" w:rsidP="00F625D0">
            <w:pPr>
              <w:contextualSpacing/>
              <w:rPr>
                <w:rFonts w:ascii="Verdana" w:eastAsia="Arial" w:hAnsi="Verdana" w:cs="Arial"/>
                <w:sz w:val="16"/>
                <w:szCs w:val="16"/>
              </w:rPr>
            </w:pPr>
            <w:r w:rsidRPr="004E6C40">
              <w:rPr>
                <w:rStyle w:val="normaltextrun"/>
                <w:rFonts w:ascii="Verdana" w:eastAsia="Arial" w:hAnsi="Verdana" w:cs="Arial"/>
                <w:sz w:val="16"/>
                <w:szCs w:val="16"/>
              </w:rPr>
              <w:t>Analista T2 – 02 de la Subdirección de Gestión Contractual</w:t>
            </w:r>
          </w:p>
        </w:tc>
      </w:tr>
      <w:tr w:rsidR="00871985" w:rsidRPr="00593A5F" w14:paraId="0089BF52" w14:textId="77777777" w:rsidTr="00F625D0">
        <w:trPr>
          <w:trHeight w:val="330"/>
        </w:trPr>
        <w:tc>
          <w:tcPr>
            <w:tcW w:w="893" w:type="dxa"/>
            <w:vAlign w:val="center"/>
            <w:hideMark/>
          </w:tcPr>
          <w:p w14:paraId="04FB5776" w14:textId="77777777" w:rsidR="00871985" w:rsidRPr="004E6C40" w:rsidRDefault="00871985" w:rsidP="00F625D0">
            <w:pPr>
              <w:contextualSpacing/>
              <w:rPr>
                <w:rFonts w:ascii="Verdana" w:hAnsi="Verdana" w:cs="Arial"/>
                <w:sz w:val="16"/>
                <w:szCs w:val="16"/>
                <w:lang w:val="es-ES" w:eastAsia="es-ES"/>
              </w:rPr>
            </w:pPr>
            <w:r w:rsidRPr="004E6C40">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956EB49" w14:textId="77777777" w:rsidR="00871985" w:rsidRPr="004E6C40" w:rsidRDefault="00871985" w:rsidP="00F625D0">
            <w:pPr>
              <w:pStyle w:val="paragraph"/>
              <w:spacing w:before="0" w:beforeAutospacing="0" w:after="0" w:afterAutospacing="0"/>
              <w:contextualSpacing/>
              <w:textAlignment w:val="baseline"/>
              <w:rPr>
                <w:rFonts w:ascii="Verdana" w:hAnsi="Verdana" w:cs="Segoe UI"/>
                <w:sz w:val="16"/>
                <w:szCs w:val="16"/>
              </w:rPr>
            </w:pPr>
            <w:r w:rsidRPr="004E6C40">
              <w:rPr>
                <w:rFonts w:ascii="Verdana" w:hAnsi="Verdana" w:cs="Segoe UI"/>
                <w:sz w:val="16"/>
                <w:szCs w:val="16"/>
              </w:rPr>
              <w:t xml:space="preserve">Alejandro Sarmiento Cantillo </w:t>
            </w:r>
          </w:p>
          <w:p w14:paraId="568D29CF" w14:textId="77777777" w:rsidR="00871985" w:rsidRPr="004E6C40" w:rsidRDefault="00871985" w:rsidP="00F625D0">
            <w:pPr>
              <w:pStyle w:val="paragraph"/>
              <w:spacing w:before="0" w:beforeAutospacing="0" w:after="0" w:afterAutospacing="0"/>
              <w:contextualSpacing/>
              <w:textAlignment w:val="baseline"/>
              <w:rPr>
                <w:rFonts w:ascii="Verdana" w:hAnsi="Verdana" w:cs="Segoe UI"/>
                <w:sz w:val="16"/>
                <w:szCs w:val="16"/>
              </w:rPr>
            </w:pPr>
            <w:r w:rsidRPr="004E6C40">
              <w:rPr>
                <w:rStyle w:val="normaltextrun"/>
                <w:rFonts w:ascii="Verdana" w:hAnsi="Verdana" w:cs="Arial"/>
                <w:sz w:val="16"/>
                <w:szCs w:val="16"/>
                <w:lang w:val="es-ES"/>
              </w:rPr>
              <w:t>Gestor T1 – 15 de la Subdirección de Gestión Contractual</w:t>
            </w:r>
            <w:r w:rsidRPr="004E6C40">
              <w:rPr>
                <w:rStyle w:val="eop"/>
                <w:rFonts w:ascii="Verdana" w:hAnsi="Verdana" w:cs="Arial"/>
                <w:sz w:val="16"/>
                <w:szCs w:val="16"/>
              </w:rPr>
              <w:t> </w:t>
            </w:r>
          </w:p>
        </w:tc>
      </w:tr>
      <w:tr w:rsidR="00871985" w:rsidRPr="00593A5F" w14:paraId="55102CD4" w14:textId="77777777" w:rsidTr="00F625D0">
        <w:trPr>
          <w:trHeight w:val="300"/>
        </w:trPr>
        <w:tc>
          <w:tcPr>
            <w:tcW w:w="893" w:type="dxa"/>
            <w:vAlign w:val="center"/>
          </w:tcPr>
          <w:p w14:paraId="3F7D6D74" w14:textId="77777777" w:rsidR="00871985" w:rsidRPr="004E6C40" w:rsidRDefault="00871985" w:rsidP="00F625D0">
            <w:pPr>
              <w:contextualSpacing/>
              <w:rPr>
                <w:rFonts w:ascii="Verdana" w:hAnsi="Verdana" w:cs="Arial"/>
                <w:sz w:val="16"/>
                <w:szCs w:val="16"/>
                <w:lang w:val="es-ES" w:eastAsia="es-ES"/>
              </w:rPr>
            </w:pPr>
            <w:r w:rsidRPr="004E6C40">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9DCCB9D" w14:textId="77777777" w:rsidR="00871985" w:rsidRPr="004E6C40" w:rsidRDefault="00871985" w:rsidP="00F625D0">
            <w:pPr>
              <w:contextualSpacing/>
              <w:rPr>
                <w:rFonts w:ascii="Verdana" w:eastAsia="Calibri" w:hAnsi="Verdana" w:cs="Arial"/>
                <w:sz w:val="16"/>
                <w:szCs w:val="16"/>
                <w:lang w:val="pt-BR" w:eastAsia="es-ES"/>
              </w:rPr>
            </w:pPr>
            <w:r w:rsidRPr="004E6C40">
              <w:rPr>
                <w:rFonts w:ascii="Verdana" w:eastAsia="Calibri" w:hAnsi="Verdana" w:cs="Arial"/>
                <w:sz w:val="16"/>
                <w:szCs w:val="16"/>
                <w:lang w:val="pt-BR" w:eastAsia="es-ES"/>
              </w:rPr>
              <w:t>Carolina Quintero Gacharná</w:t>
            </w:r>
          </w:p>
          <w:p w14:paraId="367C2E7C" w14:textId="77777777" w:rsidR="00871985" w:rsidRPr="004E6C40" w:rsidRDefault="00871985" w:rsidP="00F625D0">
            <w:pPr>
              <w:contextualSpacing/>
              <w:rPr>
                <w:rFonts w:ascii="Verdana" w:eastAsia="Calibri" w:hAnsi="Verdana" w:cs="Arial"/>
                <w:sz w:val="16"/>
                <w:szCs w:val="16"/>
                <w:lang w:val="pt-BR" w:eastAsia="es-ES"/>
              </w:rPr>
            </w:pPr>
            <w:r w:rsidRPr="004E6C40">
              <w:rPr>
                <w:rFonts w:ascii="Verdana" w:eastAsia="Calibri" w:hAnsi="Verdana" w:cs="Arial"/>
                <w:sz w:val="16"/>
                <w:szCs w:val="16"/>
                <w:lang w:eastAsia="es-ES"/>
              </w:rPr>
              <w:t>Subdirectora</w:t>
            </w:r>
            <w:r w:rsidRPr="004E6C40">
              <w:rPr>
                <w:rFonts w:ascii="Verdana" w:eastAsia="Calibri" w:hAnsi="Verdana" w:cs="Arial"/>
                <w:sz w:val="16"/>
                <w:szCs w:val="16"/>
                <w:lang w:val="pt-BR" w:eastAsia="es-ES"/>
              </w:rPr>
              <w:t xml:space="preserve"> de Gestión Contra</w:t>
            </w:r>
            <w:r>
              <w:rPr>
                <w:rFonts w:ascii="Verdana" w:eastAsia="Calibri" w:hAnsi="Verdana" w:cs="Arial"/>
                <w:sz w:val="16"/>
                <w:szCs w:val="16"/>
                <w:lang w:val="pt-BR" w:eastAsia="es-ES"/>
              </w:rPr>
              <w:t>c</w:t>
            </w:r>
            <w:r w:rsidRPr="004E6C40">
              <w:rPr>
                <w:rFonts w:ascii="Verdana" w:eastAsia="Calibri" w:hAnsi="Verdana" w:cs="Arial"/>
                <w:sz w:val="16"/>
                <w:szCs w:val="16"/>
                <w:lang w:val="pt-BR" w:eastAsia="es-ES"/>
              </w:rPr>
              <w:t>tual ANCP – CCE</w:t>
            </w:r>
          </w:p>
        </w:tc>
      </w:tr>
    </w:tbl>
    <w:p w14:paraId="70AE5969" w14:textId="77777777" w:rsidR="000F5A42" w:rsidRDefault="000F5A42"/>
    <w:sectPr w:rsidR="000F5A42" w:rsidSect="00871985">
      <w:headerReference w:type="default" r:id="rId25"/>
      <w:footerReference w:type="default" r:id="rId2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130DF" w14:textId="77777777" w:rsidR="002B6688" w:rsidRDefault="002B6688" w:rsidP="00871985">
      <w:pPr>
        <w:spacing w:after="0" w:line="240" w:lineRule="auto"/>
      </w:pPr>
      <w:r>
        <w:separator/>
      </w:r>
    </w:p>
  </w:endnote>
  <w:endnote w:type="continuationSeparator" w:id="0">
    <w:p w14:paraId="7741ADF1" w14:textId="77777777" w:rsidR="002B6688" w:rsidRDefault="002B6688" w:rsidP="0087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74972" w14:textId="77777777" w:rsidR="00871985" w:rsidRDefault="00871985">
    <w:pPr>
      <w:pStyle w:val="Piedepgina"/>
    </w:pPr>
  </w:p>
  <w:p w14:paraId="64B94A37" w14:textId="77777777" w:rsidR="00871985" w:rsidRPr="00174B77" w:rsidRDefault="00871985"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33611BD7" w14:textId="77777777" w:rsidR="00871985" w:rsidRDefault="00871985"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2F75C440" w14:textId="77777777" w:rsidR="00871985" w:rsidRPr="00E41027" w:rsidRDefault="00871985" w:rsidP="00D520D8">
    <w:pPr>
      <w:spacing w:after="0"/>
      <w:jc w:val="both"/>
      <w:rPr>
        <w:rFonts w:ascii="Verdana" w:hAnsi="Verdana"/>
        <w:sz w:val="18"/>
        <w:szCs w:val="18"/>
      </w:rPr>
    </w:pPr>
    <w:r w:rsidRPr="00E41027">
      <w:rPr>
        <w:rFonts w:ascii="Verdana" w:hAnsi="Verdana"/>
        <w:sz w:val="18"/>
        <w:szCs w:val="18"/>
      </w:rPr>
      <w:t>Mesa de servicio: (+57) 601 7456788</w:t>
    </w:r>
  </w:p>
  <w:p w14:paraId="53F6871E" w14:textId="77777777" w:rsidR="00871985" w:rsidRDefault="00871985"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A096E" w14:textId="77777777" w:rsidR="002B6688" w:rsidRDefault="002B6688" w:rsidP="00871985">
      <w:pPr>
        <w:spacing w:after="0" w:line="240" w:lineRule="auto"/>
      </w:pPr>
      <w:r>
        <w:separator/>
      </w:r>
    </w:p>
  </w:footnote>
  <w:footnote w:type="continuationSeparator" w:id="0">
    <w:p w14:paraId="5E68CBEC" w14:textId="77777777" w:rsidR="002B6688" w:rsidRDefault="002B6688" w:rsidP="00871985">
      <w:pPr>
        <w:spacing w:after="0" w:line="240" w:lineRule="auto"/>
      </w:pPr>
      <w:r>
        <w:continuationSeparator/>
      </w:r>
    </w:p>
  </w:footnote>
  <w:footnote w:id="1">
    <w:p w14:paraId="25D2EE23" w14:textId="77777777" w:rsidR="00871985" w:rsidRPr="00816DD5" w:rsidRDefault="00871985" w:rsidP="00871985">
      <w:pPr>
        <w:pStyle w:val="Textonotapie"/>
        <w:ind w:firstLine="708"/>
        <w:contextualSpacing/>
        <w:jc w:val="both"/>
        <w:rPr>
          <w:rFonts w:ascii="Verdana" w:hAnsi="Verdana" w:cs="Arial"/>
          <w:color w:val="000000"/>
          <w:sz w:val="16"/>
          <w:szCs w:val="16"/>
        </w:rPr>
      </w:pPr>
      <w:r w:rsidRPr="007D4110">
        <w:rPr>
          <w:rFonts w:ascii="Verdana" w:hAnsi="Verdana"/>
          <w:sz w:val="16"/>
          <w:szCs w:val="16"/>
          <w:vertAlign w:val="superscript"/>
        </w:rPr>
        <w:footnoteRef/>
      </w:r>
      <w:r w:rsidRPr="00816DD5">
        <w:rPr>
          <w:rFonts w:ascii="Verdana" w:hAnsi="Verdana" w:cs="Arial"/>
          <w:color w:val="000000"/>
          <w:sz w:val="16"/>
          <w:szCs w:val="16"/>
        </w:rPr>
        <w:t>Artículo 17 de la Ley 1861 de 2017.</w:t>
      </w:r>
    </w:p>
    <w:p w14:paraId="2806833E" w14:textId="77777777" w:rsidR="00871985" w:rsidRDefault="00871985" w:rsidP="00871985">
      <w:pPr>
        <w:pStyle w:val="Textonotapie"/>
        <w:contextualSpacing/>
        <w:jc w:val="both"/>
      </w:pPr>
    </w:p>
  </w:footnote>
  <w:footnote w:id="2">
    <w:p w14:paraId="1CE5A2CA" w14:textId="77777777" w:rsidR="00871985" w:rsidRDefault="00871985" w:rsidP="00871985">
      <w:pPr>
        <w:pStyle w:val="Textonotapie"/>
        <w:ind w:firstLine="708"/>
        <w:jc w:val="both"/>
      </w:pPr>
      <w:r w:rsidRPr="007D4110">
        <w:rPr>
          <w:rFonts w:ascii="Verdana" w:hAnsi="Verdana"/>
          <w:sz w:val="16"/>
          <w:szCs w:val="16"/>
          <w:vertAlign w:val="superscript"/>
        </w:rPr>
        <w:footnoteRef/>
      </w:r>
      <w:r w:rsidRPr="007D4110">
        <w:rPr>
          <w:rFonts w:ascii="Verdana" w:hAnsi="Verdana"/>
          <w:sz w:val="16"/>
          <w:szCs w:val="16"/>
        </w:rPr>
        <w:t xml:space="preserve"> Artículos 26 a 28, Ibídem.</w:t>
      </w:r>
    </w:p>
  </w:footnote>
  <w:footnote w:id="3">
    <w:p w14:paraId="30A2DAE1" w14:textId="77777777" w:rsidR="00871985" w:rsidRPr="007D4110" w:rsidRDefault="00871985" w:rsidP="00871985">
      <w:pPr>
        <w:ind w:firstLine="709"/>
        <w:contextualSpacing/>
        <w:jc w:val="both"/>
        <w:rPr>
          <w:rFonts w:ascii="Verdana" w:hAnsi="Verdana" w:cs="Arial"/>
          <w:color w:val="000000"/>
          <w:sz w:val="16"/>
          <w:szCs w:val="16"/>
          <w:lang w:val="es-ES"/>
        </w:rPr>
      </w:pPr>
      <w:r w:rsidRPr="007D4110">
        <w:rPr>
          <w:rFonts w:ascii="Verdana" w:hAnsi="Verdana" w:cs="Arial"/>
          <w:sz w:val="16"/>
          <w:szCs w:val="16"/>
          <w:vertAlign w:val="superscript"/>
        </w:rPr>
        <w:footnoteRef/>
      </w:r>
      <w:r w:rsidRPr="007D4110">
        <w:rPr>
          <w:rFonts w:ascii="Verdana" w:hAnsi="Verdana" w:cs="Arial"/>
          <w:sz w:val="16"/>
          <w:szCs w:val="16"/>
        </w:rPr>
        <w:t xml:space="preserve"> </w:t>
      </w:r>
      <w:r w:rsidRPr="007D4110">
        <w:rPr>
          <w:rFonts w:ascii="Verdana" w:hAnsi="Verdana" w:cs="Arial"/>
          <w:color w:val="000000"/>
          <w:sz w:val="16"/>
          <w:szCs w:val="16"/>
          <w:lang w:val="es-ES"/>
        </w:rPr>
        <w:t xml:space="preserve">Las Entidades Estatales, al momento de celebrar un contrato de prestación de servicios con una persona natural, deben verificar que la situación militar del futuro contratista se encuentra definida, a través de la tarjeta de reservista o el certificado digital del que habla el artículo 40 de la Ley 1861 de 2017. Ver Circular Externa Única. Agencia Nacional de Contratación Pública Colombia Compra Eficiente. 2022. Disponible en: </w:t>
      </w:r>
      <w:hyperlink r:id="rId1" w:history="1">
        <w:r w:rsidRPr="00816DD5">
          <w:rPr>
            <w:rStyle w:val="Hipervnculo"/>
            <w:rFonts w:ascii="Verdana" w:hAnsi="Verdana" w:cs="Arial"/>
            <w:color w:val="4472C4"/>
            <w:sz w:val="16"/>
            <w:szCs w:val="16"/>
          </w:rPr>
          <w:t>https://www.colombiacompra.gov.co/sites/cce_public/files/cce_circulares/cce-eicp-ma-06_circular_externa_con_comentarios_de_ciudadanos-_v2f_002.pdf</w:t>
        </w:r>
      </w:hyperlink>
      <w:r w:rsidRPr="00816DD5">
        <w:rPr>
          <w:rFonts w:ascii="Verdana" w:hAnsi="Verdana" w:cs="Arial"/>
          <w:color w:val="4472C4"/>
          <w:sz w:val="16"/>
          <w:szCs w:val="16"/>
          <w:lang w:val="es-ES"/>
        </w:rPr>
        <w:t xml:space="preserve"> </w:t>
      </w:r>
    </w:p>
    <w:p w14:paraId="72B3A5C1" w14:textId="77777777" w:rsidR="00871985" w:rsidRDefault="00871985" w:rsidP="00871985">
      <w:pPr>
        <w:ind w:firstLine="709"/>
        <w:contextualSpacing/>
        <w:jc w:val="both"/>
      </w:pPr>
    </w:p>
  </w:footnote>
  <w:footnote w:id="4">
    <w:p w14:paraId="70EAC9E8" w14:textId="77777777" w:rsidR="00871985" w:rsidRPr="007D4110" w:rsidRDefault="00871985" w:rsidP="00871985">
      <w:pPr>
        <w:pStyle w:val="Textonotapie"/>
        <w:ind w:firstLine="708"/>
        <w:contextualSpacing/>
        <w:jc w:val="both"/>
        <w:rPr>
          <w:rFonts w:ascii="Verdana" w:hAnsi="Verdana" w:cs="Arial"/>
          <w:sz w:val="16"/>
          <w:szCs w:val="16"/>
        </w:rPr>
      </w:pPr>
      <w:r w:rsidRPr="007D4110">
        <w:rPr>
          <w:rFonts w:ascii="Verdana" w:hAnsi="Verdana" w:cs="Arial"/>
          <w:sz w:val="16"/>
          <w:szCs w:val="16"/>
          <w:vertAlign w:val="superscript"/>
        </w:rPr>
        <w:footnoteRef/>
      </w:r>
      <w:r w:rsidRPr="007D4110">
        <w:rPr>
          <w:rFonts w:ascii="Verdana" w:hAnsi="Verdana" w:cs="Arial"/>
          <w:sz w:val="16"/>
          <w:szCs w:val="16"/>
        </w:rPr>
        <w:t xml:space="preserve"> Corte Constitucional. Sentencia C-277 del 19 de junio de 2019. M.P. Carlos Bernal Pulido.</w:t>
      </w:r>
    </w:p>
    <w:p w14:paraId="7A50BF97" w14:textId="77777777" w:rsidR="00871985" w:rsidRDefault="00871985" w:rsidP="00871985">
      <w:pPr>
        <w:pStyle w:val="Textonotapie"/>
        <w:ind w:firstLine="708"/>
        <w:contextualSpacing/>
        <w:jc w:val="both"/>
      </w:pPr>
    </w:p>
  </w:footnote>
  <w:footnote w:id="5">
    <w:p w14:paraId="06D2FCDE" w14:textId="77777777" w:rsidR="00871985" w:rsidRPr="0056067A" w:rsidRDefault="00871985" w:rsidP="00871985">
      <w:pPr>
        <w:pStyle w:val="Textonotapie"/>
        <w:ind w:firstLine="708"/>
        <w:jc w:val="both"/>
        <w:rPr>
          <w:lang w:val="es-CO"/>
        </w:rPr>
      </w:pPr>
      <w:r>
        <w:rPr>
          <w:rStyle w:val="Refdenotaalpie"/>
        </w:rPr>
        <w:footnoteRef/>
      </w:r>
      <w:r>
        <w:t xml:space="preserve"> CORTE CONSTITUCIONAL. sentencia C-277 del 19 de junio de 2019, M.P Carlos Bernal Pulido.</w:t>
      </w:r>
    </w:p>
  </w:footnote>
  <w:footnote w:id="6">
    <w:p w14:paraId="673B919C" w14:textId="77777777" w:rsidR="00871985" w:rsidRPr="00AE212E" w:rsidRDefault="00871985" w:rsidP="00871985">
      <w:pPr>
        <w:pStyle w:val="Textonotapie"/>
        <w:ind w:firstLine="708"/>
        <w:jc w:val="both"/>
        <w:rPr>
          <w:lang w:val="es-CO"/>
        </w:rPr>
      </w:pPr>
      <w:r>
        <w:rPr>
          <w:rStyle w:val="Refdenotaalpie"/>
        </w:rPr>
        <w:footnoteRef/>
      </w:r>
      <w:r>
        <w:t xml:space="preserve"> CORTE CONSTITUCIONAL. Magistrado ponente Carlos Bernal Pulido, Sentencia de constitucionalidad C-277 del 19 de junio de 2019.</w:t>
      </w:r>
    </w:p>
  </w:footnote>
  <w:footnote w:id="7">
    <w:p w14:paraId="734DFA04" w14:textId="77777777" w:rsidR="00871985" w:rsidRPr="00AE212E" w:rsidRDefault="00871985" w:rsidP="00871985">
      <w:pPr>
        <w:pStyle w:val="Textonotapie"/>
        <w:ind w:firstLine="708"/>
        <w:jc w:val="both"/>
        <w:rPr>
          <w:lang w:val="es-CO"/>
        </w:rPr>
      </w:pPr>
      <w:r>
        <w:rPr>
          <w:rStyle w:val="Refdenotaalpie"/>
        </w:rPr>
        <w:footnoteRef/>
      </w:r>
      <w:r>
        <w:t xml:space="preserve"> </w:t>
      </w:r>
      <w:r w:rsidRPr="00AE212E">
        <w:rPr>
          <w:lang w:val="es-CO"/>
        </w:rPr>
        <w:t>CORTE CONSTITUCIONAL. Sala Novena de Revisión de Tutelas, Sentencia T-313 del 5 de septiembre de 2022. M.P. Natalia Ángel Cabo</w:t>
      </w:r>
    </w:p>
  </w:footnote>
  <w:footnote w:id="8">
    <w:p w14:paraId="117D5E52" w14:textId="77777777" w:rsidR="00871985" w:rsidRPr="00901BCF" w:rsidRDefault="00871985" w:rsidP="00871985">
      <w:pPr>
        <w:pStyle w:val="Textonotapie"/>
        <w:ind w:firstLine="709"/>
        <w:contextualSpacing/>
        <w:jc w:val="both"/>
        <w:rPr>
          <w:rFonts w:ascii="Verdana" w:hAnsi="Verdana" w:cs="Arial"/>
          <w:color w:val="000000"/>
          <w:sz w:val="16"/>
          <w:szCs w:val="16"/>
        </w:rPr>
      </w:pPr>
      <w:r w:rsidRPr="00901BCF">
        <w:rPr>
          <w:rFonts w:ascii="Verdana" w:hAnsi="Verdana" w:cs="Arial"/>
          <w:color w:val="000000"/>
          <w:sz w:val="16"/>
          <w:szCs w:val="16"/>
          <w:vertAlign w:val="superscript"/>
        </w:rPr>
        <w:footnoteRef/>
      </w:r>
      <w:r w:rsidRPr="00901BCF">
        <w:rPr>
          <w:rFonts w:ascii="Verdana" w:hAnsi="Verdana" w:cs="Arial"/>
          <w:color w:val="000000"/>
          <w:sz w:val="16"/>
          <w:szCs w:val="16"/>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119834CD" w14:textId="77777777" w:rsidR="00871985" w:rsidRPr="00901BCF" w:rsidRDefault="00871985" w:rsidP="00871985">
      <w:pPr>
        <w:pStyle w:val="Textonotapie"/>
        <w:ind w:firstLine="709"/>
        <w:contextualSpacing/>
        <w:jc w:val="both"/>
        <w:rPr>
          <w:rFonts w:ascii="Verdana" w:hAnsi="Verdana" w:cs="Arial"/>
          <w:color w:val="000000"/>
          <w:sz w:val="16"/>
          <w:szCs w:val="16"/>
        </w:rPr>
      </w:pPr>
    </w:p>
    <w:p w14:paraId="172E5B1E" w14:textId="77777777" w:rsidR="00871985" w:rsidRPr="00901BCF" w:rsidRDefault="00871985" w:rsidP="00871985">
      <w:pPr>
        <w:pStyle w:val="Textonotapie"/>
        <w:ind w:firstLine="709"/>
        <w:contextualSpacing/>
        <w:jc w:val="both"/>
        <w:rPr>
          <w:rFonts w:ascii="Verdana" w:hAnsi="Verdana" w:cs="Arial"/>
          <w:color w:val="000000"/>
          <w:sz w:val="16"/>
          <w:szCs w:val="16"/>
        </w:rPr>
      </w:pPr>
      <w:r w:rsidRPr="00901BCF">
        <w:rPr>
          <w:rFonts w:ascii="Verdana" w:hAnsi="Verdana" w:cs="Arial"/>
          <w:color w:val="000000"/>
          <w:sz w:val="16"/>
          <w:szCs w:val="16"/>
        </w:rPr>
        <w:t>“Lo anterior, sin perjuicio de las publicaciones previstas en el numeral 3 del artículo 30 de la Ley 80 de 1993.</w:t>
      </w:r>
    </w:p>
    <w:p w14:paraId="686A3BAD" w14:textId="77777777" w:rsidR="00871985" w:rsidRPr="00901BCF" w:rsidRDefault="00871985" w:rsidP="00871985">
      <w:pPr>
        <w:pStyle w:val="Textonotapie"/>
        <w:ind w:firstLine="709"/>
        <w:contextualSpacing/>
        <w:jc w:val="both"/>
        <w:rPr>
          <w:rFonts w:ascii="Verdana" w:hAnsi="Verdana" w:cs="Arial"/>
          <w:color w:val="000000"/>
          <w:sz w:val="16"/>
          <w:szCs w:val="16"/>
        </w:rPr>
      </w:pPr>
      <w:r w:rsidRPr="00901BCF">
        <w:rPr>
          <w:rFonts w:ascii="Verdana" w:hAnsi="Verdana" w:cs="Arial"/>
          <w:color w:val="000000"/>
          <w:sz w:val="16"/>
          <w:szCs w:val="16"/>
        </w:rPr>
        <w:t xml:space="preserve">“Con el fin de materializar los objetivos a que se refiere el inciso anterior, el Gobierno Nacional desarrollará el Sistema Electrónico para la Contratación Pública, Secop, el cual: </w:t>
      </w:r>
    </w:p>
    <w:p w14:paraId="4E805B60" w14:textId="77777777" w:rsidR="00871985" w:rsidRPr="00901BCF" w:rsidRDefault="00871985" w:rsidP="00871985">
      <w:pPr>
        <w:pStyle w:val="Textonotapie"/>
        <w:ind w:firstLine="709"/>
        <w:contextualSpacing/>
        <w:jc w:val="both"/>
        <w:rPr>
          <w:rFonts w:ascii="Verdana" w:hAnsi="Verdana" w:cs="Arial"/>
          <w:color w:val="000000"/>
          <w:sz w:val="16"/>
          <w:szCs w:val="16"/>
        </w:rPr>
      </w:pPr>
      <w:r w:rsidRPr="00901BCF">
        <w:rPr>
          <w:rFonts w:ascii="Verdana" w:hAnsi="Verdana" w:cs="Arial"/>
          <w:color w:val="000000"/>
          <w:sz w:val="16"/>
          <w:szCs w:val="16"/>
        </w:rPr>
        <w:t>(…)</w:t>
      </w:r>
    </w:p>
    <w:p w14:paraId="2D3E518F" w14:textId="77777777" w:rsidR="00871985" w:rsidRPr="00901BCF" w:rsidRDefault="00871985" w:rsidP="00871985">
      <w:pPr>
        <w:pStyle w:val="Textonotapie"/>
        <w:ind w:firstLine="709"/>
        <w:contextualSpacing/>
        <w:jc w:val="both"/>
        <w:rPr>
          <w:rFonts w:ascii="Verdana" w:hAnsi="Verdana"/>
          <w:sz w:val="16"/>
          <w:szCs w:val="16"/>
        </w:rPr>
      </w:pPr>
      <w:r w:rsidRPr="00901BCF">
        <w:rPr>
          <w:rFonts w:ascii="Verdana" w:hAnsi="Verdana" w:cs="Arial"/>
          <w:color w:val="000000"/>
          <w:sz w:val="16"/>
          <w:szCs w:val="16"/>
        </w:rPr>
        <w:t xml:space="preserve">“c) Contará con la información oficial de la contratación realizada con dineros públicos, para lo cual establecerá los patrones a que haya lugar y se encargará de su difusión a través de canales electrónico”. </w:t>
      </w:r>
    </w:p>
  </w:footnote>
  <w:footnote w:id="9">
    <w:p w14:paraId="4ACBB311" w14:textId="77777777" w:rsidR="00871985" w:rsidRPr="00901BCF" w:rsidRDefault="00871985" w:rsidP="00871985">
      <w:pPr>
        <w:pStyle w:val="Textonotapie"/>
        <w:ind w:firstLine="709"/>
        <w:contextualSpacing/>
        <w:jc w:val="both"/>
        <w:rPr>
          <w:rFonts w:ascii="Verdana" w:hAnsi="Verdana"/>
          <w:sz w:val="16"/>
          <w:szCs w:val="16"/>
        </w:rPr>
      </w:pPr>
      <w:r w:rsidRPr="00901BCF">
        <w:rPr>
          <w:rFonts w:ascii="Verdana" w:hAnsi="Verdana" w:cs="Arial"/>
          <w:color w:val="000000"/>
          <w:sz w:val="16"/>
          <w:szCs w:val="16"/>
          <w:vertAlign w:val="superscript"/>
        </w:rPr>
        <w:footnoteRef/>
      </w:r>
      <w:r w:rsidRPr="00901BCF">
        <w:rPr>
          <w:rFonts w:ascii="Verdana" w:hAnsi="Verdana" w:cs="Arial"/>
          <w:color w:val="000000"/>
          <w:sz w:val="16"/>
          <w:szCs w:val="16"/>
        </w:rPr>
        <w:t xml:space="preserve"> Ley 1712 de 2014: “Artículo 2. Toda información en posesión, bajo control o custodia de un sujeto obligado es pública y no podrá ser reservada o limitada sino por disposición constitucional o legal, de conformidad con la presente ley”.</w:t>
      </w:r>
    </w:p>
  </w:footnote>
  <w:footnote w:id="10">
    <w:p w14:paraId="03A15E08" w14:textId="77777777" w:rsidR="00871985" w:rsidRPr="00901BCF" w:rsidRDefault="00871985" w:rsidP="00871985">
      <w:pPr>
        <w:pStyle w:val="Textonotapie"/>
        <w:ind w:firstLine="707"/>
        <w:contextualSpacing/>
        <w:jc w:val="both"/>
        <w:rPr>
          <w:rFonts w:ascii="Verdana" w:hAnsi="Verdana" w:cs="Arial"/>
          <w:sz w:val="16"/>
          <w:szCs w:val="16"/>
          <w:lang w:val="es-CO"/>
        </w:rPr>
      </w:pPr>
      <w:r w:rsidRPr="00901BCF">
        <w:rPr>
          <w:rFonts w:ascii="Verdana" w:hAnsi="Verdana" w:cs="Arial"/>
          <w:sz w:val="16"/>
          <w:szCs w:val="16"/>
          <w:vertAlign w:val="superscript"/>
        </w:rPr>
        <w:footnoteRef/>
      </w:r>
      <w:r w:rsidRPr="00901BCF">
        <w:rPr>
          <w:rFonts w:ascii="Verdana" w:hAnsi="Verdana" w:cs="Arial"/>
          <w:sz w:val="16"/>
          <w:szCs w:val="16"/>
          <w:vertAlign w:val="superscript"/>
        </w:rPr>
        <w:t xml:space="preserve"> </w:t>
      </w:r>
      <w:r w:rsidRPr="00901BCF">
        <w:rPr>
          <w:rFonts w:ascii="Verdana" w:hAnsi="Verdana" w:cs="Arial"/>
          <w:sz w:val="16"/>
          <w:szCs w:val="16"/>
        </w:rPr>
        <w:t xml:space="preserve">Ley 1712 de 2014: «Artículo 3. </w:t>
      </w:r>
      <w:bookmarkStart w:id="4" w:name="3"/>
      <w:bookmarkEnd w:id="4"/>
      <w:r w:rsidRPr="00901BCF">
        <w:rPr>
          <w:rFonts w:ascii="Verdana" w:hAnsi="Verdana" w:cs="Arial"/>
          <w:sz w:val="16"/>
          <w:szCs w:val="16"/>
          <w:lang w:val="es-CO"/>
        </w:rPr>
        <w:t>Otros principios de la transparencia y acceso a la información pública. </w:t>
      </w:r>
    </w:p>
    <w:p w14:paraId="60A11DFD" w14:textId="77777777" w:rsidR="00871985" w:rsidRPr="00901BCF" w:rsidRDefault="00871985" w:rsidP="00871985">
      <w:pPr>
        <w:pStyle w:val="Textonotapie"/>
        <w:ind w:firstLine="707"/>
        <w:contextualSpacing/>
        <w:jc w:val="both"/>
        <w:rPr>
          <w:rFonts w:ascii="Verdana" w:hAnsi="Verdana" w:cs="Arial"/>
          <w:sz w:val="16"/>
          <w:szCs w:val="16"/>
          <w:lang w:val="es-CO"/>
        </w:rPr>
      </w:pPr>
      <w:r w:rsidRPr="00901BCF">
        <w:rPr>
          <w:rFonts w:ascii="Verdana" w:hAnsi="Verdana" w:cs="Arial"/>
          <w:sz w:val="16"/>
          <w:szCs w:val="16"/>
          <w:lang w:val="es-CO"/>
        </w:rPr>
        <w:t>(…)</w:t>
      </w:r>
    </w:p>
    <w:p w14:paraId="20085EE2" w14:textId="77777777" w:rsidR="00871985" w:rsidRPr="00901BCF" w:rsidRDefault="00871985" w:rsidP="00871985">
      <w:pPr>
        <w:pStyle w:val="Textonotapie"/>
        <w:ind w:firstLine="707"/>
        <w:contextualSpacing/>
        <w:jc w:val="both"/>
        <w:rPr>
          <w:rFonts w:ascii="Verdana" w:hAnsi="Verdana" w:cs="Arial"/>
          <w:sz w:val="16"/>
          <w:szCs w:val="16"/>
        </w:rPr>
      </w:pPr>
      <w:r w:rsidRPr="00901BCF">
        <w:rPr>
          <w:rStyle w:val="baj"/>
          <w:rFonts w:ascii="Verdana" w:hAnsi="Verdana" w:cs="Arial"/>
          <w:sz w:val="16"/>
          <w:szCs w:val="16"/>
        </w:rPr>
        <w:t>Principio de transparencia</w:t>
      </w:r>
      <w:r w:rsidRPr="00901BCF">
        <w:rPr>
          <w:rFonts w:ascii="Verdana" w:hAnsi="Verdana" w:cs="Arial"/>
          <w:sz w:val="16"/>
          <w:szCs w:val="16"/>
        </w:rPr>
        <w:t>.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footnote>
  <w:footnote w:id="11">
    <w:p w14:paraId="7C2CD41F" w14:textId="77777777" w:rsidR="00871985" w:rsidRPr="00901BCF" w:rsidRDefault="00871985" w:rsidP="00871985">
      <w:pPr>
        <w:pStyle w:val="Textonotapie"/>
        <w:ind w:firstLine="707"/>
        <w:contextualSpacing/>
        <w:jc w:val="both"/>
        <w:rPr>
          <w:rFonts w:ascii="Verdana" w:hAnsi="Verdana" w:cs="Arial"/>
          <w:sz w:val="16"/>
          <w:szCs w:val="16"/>
          <w:lang w:val="es-CO"/>
        </w:rPr>
      </w:pPr>
      <w:r w:rsidRPr="00901BCF">
        <w:rPr>
          <w:rFonts w:ascii="Verdana" w:hAnsi="Verdana" w:cs="Arial"/>
          <w:sz w:val="16"/>
          <w:szCs w:val="16"/>
          <w:vertAlign w:val="superscript"/>
        </w:rPr>
        <w:footnoteRef/>
      </w:r>
      <w:r w:rsidRPr="00901BCF">
        <w:rPr>
          <w:rFonts w:ascii="Verdana" w:hAnsi="Verdana" w:cs="Arial"/>
          <w:sz w:val="16"/>
          <w:szCs w:val="16"/>
          <w:vertAlign w:val="superscript"/>
        </w:rPr>
        <w:t xml:space="preserve"> </w:t>
      </w:r>
      <w:r w:rsidRPr="00901BCF">
        <w:rPr>
          <w:rFonts w:ascii="Verdana" w:hAnsi="Verdana" w:cs="Arial"/>
          <w:sz w:val="16"/>
          <w:szCs w:val="16"/>
        </w:rPr>
        <w:t xml:space="preserve">Ley 1712 de 2014: “Artículo 3. </w:t>
      </w:r>
      <w:r w:rsidRPr="00901BCF">
        <w:rPr>
          <w:rFonts w:ascii="Verdana" w:hAnsi="Verdana" w:cs="Arial"/>
          <w:sz w:val="16"/>
          <w:szCs w:val="16"/>
          <w:lang w:val="es-CO"/>
        </w:rPr>
        <w:t>Otros principios de la transparencia y acceso a la información pública. </w:t>
      </w:r>
    </w:p>
    <w:p w14:paraId="5ED2A92A" w14:textId="77777777" w:rsidR="00871985" w:rsidRPr="00901BCF" w:rsidRDefault="00871985" w:rsidP="00871985">
      <w:pPr>
        <w:pStyle w:val="Textonotapie"/>
        <w:ind w:firstLine="707"/>
        <w:contextualSpacing/>
        <w:jc w:val="both"/>
        <w:rPr>
          <w:rFonts w:ascii="Verdana" w:hAnsi="Verdana" w:cs="Arial"/>
          <w:sz w:val="16"/>
          <w:szCs w:val="16"/>
          <w:lang w:val="es-ES"/>
        </w:rPr>
      </w:pPr>
      <w:r w:rsidRPr="00901BCF">
        <w:rPr>
          <w:rFonts w:ascii="Verdana" w:hAnsi="Verdana" w:cs="Arial"/>
          <w:sz w:val="16"/>
          <w:szCs w:val="16"/>
          <w:lang w:val="es-ES"/>
        </w:rPr>
        <w:t>(…)</w:t>
      </w:r>
    </w:p>
    <w:p w14:paraId="52B08C7E" w14:textId="77777777" w:rsidR="00871985" w:rsidRPr="00901BCF" w:rsidRDefault="00871985" w:rsidP="00871985">
      <w:pPr>
        <w:pStyle w:val="Textonotapie"/>
        <w:ind w:firstLine="707"/>
        <w:contextualSpacing/>
        <w:jc w:val="both"/>
        <w:rPr>
          <w:rFonts w:ascii="Verdana" w:hAnsi="Verdana"/>
          <w:sz w:val="16"/>
          <w:szCs w:val="16"/>
        </w:rPr>
      </w:pPr>
      <w:r w:rsidRPr="00901BCF">
        <w:rPr>
          <w:rStyle w:val="baj"/>
          <w:rFonts w:ascii="Verdana" w:hAnsi="Verdana" w:cs="Arial"/>
          <w:b/>
          <w:bCs/>
          <w:sz w:val="16"/>
          <w:szCs w:val="16"/>
        </w:rPr>
        <w:t>Principio de buena fe</w:t>
      </w:r>
      <w:r w:rsidRPr="00901BCF">
        <w:rPr>
          <w:rFonts w:ascii="Verdana" w:hAnsi="Verdana" w:cs="Arial"/>
          <w:sz w:val="16"/>
          <w:szCs w:val="16"/>
        </w:rPr>
        <w:t>. En virtud del cual todo sujeto obligado, al cumplir con las obligaciones derivadas del derecho de acceso a la información pública, lo hará con motivación honesta, leal y desprovista de cualquier intención dolosa o culposa.</w:t>
      </w:r>
    </w:p>
  </w:footnote>
  <w:footnote w:id="12">
    <w:p w14:paraId="5A0AAE9D" w14:textId="77777777" w:rsidR="00871985" w:rsidRPr="00901BCF" w:rsidRDefault="00871985" w:rsidP="00871985">
      <w:pPr>
        <w:pStyle w:val="Textonotapie"/>
        <w:ind w:firstLine="707"/>
        <w:contextualSpacing/>
        <w:jc w:val="both"/>
        <w:rPr>
          <w:rFonts w:ascii="Verdana" w:hAnsi="Verdana" w:cs="Arial"/>
          <w:sz w:val="16"/>
          <w:szCs w:val="16"/>
          <w:shd w:val="clear" w:color="auto" w:fill="FFFFFF"/>
        </w:rPr>
      </w:pPr>
      <w:r w:rsidRPr="00901BCF">
        <w:rPr>
          <w:rFonts w:ascii="Verdana" w:hAnsi="Verdana" w:cs="Arial"/>
          <w:sz w:val="16"/>
          <w:szCs w:val="16"/>
          <w:vertAlign w:val="superscript"/>
        </w:rPr>
        <w:footnoteRef/>
      </w:r>
      <w:r w:rsidRPr="00901BCF">
        <w:rPr>
          <w:rFonts w:ascii="Verdana" w:hAnsi="Verdana" w:cs="Arial"/>
          <w:sz w:val="16"/>
          <w:szCs w:val="16"/>
        </w:rPr>
        <w:t xml:space="preserve"> Ley 1712 de 2014: “Artículo 9. </w:t>
      </w:r>
      <w:r w:rsidRPr="00901BCF">
        <w:rPr>
          <w:rFonts w:ascii="Verdana" w:hAnsi="Verdana" w:cs="Arial"/>
          <w:sz w:val="16"/>
          <w:szCs w:val="16"/>
          <w:shd w:val="clear" w:color="auto" w:fill="FFFFFF"/>
        </w:rPr>
        <w:t> </w:t>
      </w:r>
      <w:r w:rsidRPr="00901BCF">
        <w:rPr>
          <w:rStyle w:val="nfasis"/>
          <w:rFonts w:ascii="Verdana" w:hAnsi="Verdana" w:cs="Arial"/>
          <w:sz w:val="16"/>
          <w:szCs w:val="16"/>
          <w:shd w:val="clear" w:color="auto" w:fill="FFFFFF"/>
        </w:rPr>
        <w:t>Información mínima obligatoria respecto a la estructura del sujeto obligado. </w:t>
      </w:r>
      <w:r w:rsidRPr="00901BCF">
        <w:rPr>
          <w:rFonts w:ascii="Verdana" w:hAnsi="Verdana" w:cs="Arial"/>
          <w:sz w:val="16"/>
          <w:szCs w:val="16"/>
          <w:shd w:val="clear" w:color="auto" w:fill="FFFFFF"/>
        </w:rPr>
        <w:t>Todo sujeto obligado deberá publicar la siguiente información mínima obligatoria de manera proactiva en los sistemas de información del Estado o herramientas que lo sustituyan:</w:t>
      </w:r>
    </w:p>
    <w:p w14:paraId="66D9AC00" w14:textId="77777777" w:rsidR="00871985" w:rsidRPr="00901BCF" w:rsidRDefault="00871985" w:rsidP="00871985">
      <w:pPr>
        <w:pStyle w:val="Textonotapie"/>
        <w:ind w:firstLine="707"/>
        <w:contextualSpacing/>
        <w:jc w:val="both"/>
        <w:rPr>
          <w:rFonts w:ascii="Verdana" w:hAnsi="Verdana" w:cs="Arial"/>
          <w:sz w:val="16"/>
          <w:szCs w:val="16"/>
          <w:shd w:val="clear" w:color="auto" w:fill="FFFFFF"/>
        </w:rPr>
      </w:pPr>
      <w:r w:rsidRPr="00901BCF">
        <w:rPr>
          <w:rFonts w:ascii="Verdana" w:hAnsi="Verdana" w:cs="Arial"/>
          <w:sz w:val="16"/>
          <w:szCs w:val="16"/>
          <w:shd w:val="clear" w:color="auto" w:fill="FFFFFF"/>
        </w:rPr>
        <w:t>(…)</w:t>
      </w:r>
    </w:p>
    <w:p w14:paraId="47A87C94" w14:textId="77777777" w:rsidR="00871985" w:rsidRPr="00901BCF" w:rsidRDefault="00871985" w:rsidP="00871985">
      <w:pPr>
        <w:pStyle w:val="Textonotapie"/>
        <w:ind w:firstLine="707"/>
        <w:contextualSpacing/>
        <w:jc w:val="both"/>
        <w:rPr>
          <w:rFonts w:ascii="Verdana" w:hAnsi="Verdana"/>
          <w:sz w:val="16"/>
          <w:szCs w:val="16"/>
        </w:rPr>
      </w:pPr>
      <w:r w:rsidRPr="00901BCF">
        <w:rPr>
          <w:rFonts w:ascii="Verdana" w:hAnsi="Verdana" w:cs="Arial"/>
          <w:sz w:val="16"/>
          <w:szCs w:val="16"/>
          <w:shd w:val="clear" w:color="auto" w:fill="FFFFFF"/>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w:t>
      </w:r>
      <w:r w:rsidRPr="00901BCF">
        <w:rPr>
          <w:rFonts w:ascii="Verdana" w:hAnsi="Verdana" w:cs="Arial"/>
          <w:sz w:val="16"/>
          <w:szCs w:val="16"/>
        </w:rPr>
        <w:t xml:space="preserve"> </w:t>
      </w:r>
      <w:r w:rsidRPr="00901BCF">
        <w:rPr>
          <w:rFonts w:ascii="Verdana" w:hAnsi="Verdana" w:cs="Arial"/>
          <w:sz w:val="16"/>
          <w:szCs w:val="16"/>
          <w:shd w:val="clear" w:color="auto" w:fill="FFFFFF"/>
        </w:rPr>
        <w:t>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w:t>
      </w:r>
      <w:r w:rsidRPr="00901BCF">
        <w:rPr>
          <w:rFonts w:ascii="Verdana" w:hAnsi="Verdana" w:cs="Arial"/>
          <w:sz w:val="16"/>
          <w:szCs w:val="16"/>
        </w:rPr>
        <w:t>”.</w:t>
      </w:r>
    </w:p>
  </w:footnote>
  <w:footnote w:id="13">
    <w:p w14:paraId="25C007EB" w14:textId="77777777" w:rsidR="00871985" w:rsidRPr="00901BCF" w:rsidRDefault="00871985" w:rsidP="00871985">
      <w:pPr>
        <w:spacing w:after="0" w:line="240" w:lineRule="auto"/>
        <w:ind w:firstLine="707"/>
        <w:contextualSpacing/>
        <w:jc w:val="both"/>
        <w:rPr>
          <w:rFonts w:ascii="Verdana" w:hAnsi="Verdana" w:cs="Arial"/>
          <w:sz w:val="16"/>
          <w:szCs w:val="16"/>
        </w:rPr>
      </w:pPr>
      <w:r w:rsidRPr="00901BCF">
        <w:rPr>
          <w:rFonts w:ascii="Verdana" w:hAnsi="Verdana" w:cs="Arial"/>
          <w:sz w:val="16"/>
          <w:szCs w:val="16"/>
          <w:vertAlign w:val="superscript"/>
        </w:rPr>
        <w:footnoteRef/>
      </w:r>
      <w:r w:rsidRPr="00901BCF">
        <w:rPr>
          <w:rFonts w:ascii="Verdana" w:hAnsi="Verdana" w:cs="Arial"/>
          <w:sz w:val="16"/>
          <w:szCs w:val="16"/>
        </w:rPr>
        <w:t xml:space="preserve"> Ley 1712 de 2014: “Artículo 5. Ámbito de aplicación. Las disposiciones de esta ley serán aplicables a las siguientes personas en calidad de sujetos obligados:</w:t>
      </w:r>
    </w:p>
    <w:p w14:paraId="52FC8728" w14:textId="77777777" w:rsidR="00871985" w:rsidRPr="00901BCF" w:rsidRDefault="00871985" w:rsidP="00871985">
      <w:pPr>
        <w:spacing w:after="0" w:line="240" w:lineRule="auto"/>
        <w:ind w:firstLine="707"/>
        <w:contextualSpacing/>
        <w:jc w:val="both"/>
        <w:rPr>
          <w:rFonts w:ascii="Verdana" w:hAnsi="Verdana"/>
          <w:sz w:val="16"/>
          <w:szCs w:val="16"/>
        </w:rPr>
      </w:pPr>
      <w:r w:rsidRPr="00901BCF">
        <w:rPr>
          <w:rFonts w:ascii="Verdana" w:hAnsi="Verdana" w:cs="Arial"/>
          <w:sz w:val="16"/>
          <w:szCs w:val="16"/>
        </w:rPr>
        <w:t>“a) Toda entidad pública, incluyendo las pertenecientes a todas las Ramas del Poder Público, en todos los niveles de la estructura estatal, central o descentralizada por servicios o territorialmente, en los órdenes nacional, departamental, municipal y distrital”.</w:t>
      </w:r>
    </w:p>
  </w:footnote>
  <w:footnote w:id="14">
    <w:p w14:paraId="3CD9D9A1" w14:textId="77777777" w:rsidR="00871985" w:rsidRPr="00901BCF" w:rsidRDefault="00871985" w:rsidP="00871985">
      <w:pPr>
        <w:pStyle w:val="Textonotapie"/>
        <w:ind w:firstLine="707"/>
        <w:contextualSpacing/>
        <w:jc w:val="both"/>
        <w:rPr>
          <w:rFonts w:ascii="Verdana" w:hAnsi="Verdana" w:cs="Arial"/>
          <w:color w:val="000000"/>
          <w:sz w:val="16"/>
          <w:szCs w:val="16"/>
        </w:rPr>
      </w:pPr>
      <w:r w:rsidRPr="00901BCF">
        <w:rPr>
          <w:rFonts w:ascii="Verdana" w:hAnsi="Verdana" w:cs="Arial"/>
          <w:color w:val="000000"/>
          <w:sz w:val="16"/>
          <w:szCs w:val="16"/>
          <w:vertAlign w:val="superscript"/>
          <w:lang w:val="es-ES" w:eastAsia="es-ES"/>
        </w:rPr>
        <w:footnoteRef/>
      </w:r>
      <w:r w:rsidRPr="00901BCF">
        <w:rPr>
          <w:rFonts w:ascii="Verdana" w:hAnsi="Verdana" w:cs="Arial"/>
          <w:color w:val="000000"/>
          <w:sz w:val="16"/>
          <w:szCs w:val="16"/>
          <w:vertAlign w:val="superscript"/>
          <w:lang w:val="es-ES" w:eastAsia="es-ES"/>
        </w:rPr>
        <w:t xml:space="preserve"> </w:t>
      </w:r>
      <w:r w:rsidRPr="00901BCF">
        <w:rPr>
          <w:rFonts w:ascii="Verdana" w:hAnsi="Verdana" w:cs="Arial"/>
          <w:color w:val="000000"/>
          <w:sz w:val="16"/>
          <w:szCs w:val="16"/>
          <w:lang w:val="es-ES" w:eastAsia="es-ES"/>
        </w:rPr>
        <w:t>“</w:t>
      </w:r>
      <w:r w:rsidRPr="00901BCF">
        <w:rPr>
          <w:rFonts w:ascii="Verdana" w:hAnsi="Verdana" w:cs="Arial"/>
          <w:color w:val="000000"/>
          <w:sz w:val="16"/>
          <w:szCs w:val="16"/>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0C7ED600" w14:textId="77777777" w:rsidR="00871985" w:rsidRPr="00901BCF" w:rsidRDefault="00871985" w:rsidP="00871985">
      <w:pPr>
        <w:pStyle w:val="Textonotapie"/>
        <w:ind w:firstLine="709"/>
        <w:contextualSpacing/>
        <w:jc w:val="both"/>
        <w:rPr>
          <w:rFonts w:ascii="Verdana" w:hAnsi="Verdana" w:cs="Arial"/>
          <w:color w:val="000000"/>
          <w:sz w:val="16"/>
          <w:szCs w:val="16"/>
          <w:lang w:val="es-ES" w:eastAsia="es-ES"/>
        </w:rPr>
      </w:pPr>
      <w:r w:rsidRPr="00901BCF">
        <w:rPr>
          <w:rFonts w:ascii="Verdana" w:hAnsi="Verdana" w:cs="Arial"/>
          <w:color w:val="000000"/>
          <w:sz w:val="16"/>
          <w:szCs w:val="16"/>
        </w:rPr>
        <w:t>(…).</w:t>
      </w:r>
    </w:p>
    <w:p w14:paraId="78E46FAD" w14:textId="77777777" w:rsidR="00871985" w:rsidRPr="00901BCF" w:rsidRDefault="00871985" w:rsidP="00871985">
      <w:pPr>
        <w:pStyle w:val="Textonotapie"/>
        <w:ind w:firstLine="709"/>
        <w:contextualSpacing/>
        <w:jc w:val="both"/>
        <w:rPr>
          <w:rFonts w:ascii="Verdana" w:hAnsi="Verdana" w:cs="Arial"/>
          <w:color w:val="000000"/>
          <w:sz w:val="16"/>
          <w:szCs w:val="16"/>
          <w:lang w:val="es-ES" w:eastAsia="es-ES"/>
        </w:rPr>
      </w:pPr>
      <w:r w:rsidRPr="00901BCF">
        <w:rPr>
          <w:rFonts w:ascii="Verdana" w:hAnsi="Verdana" w:cs="Arial"/>
          <w:color w:val="000000"/>
          <w:sz w:val="16"/>
          <w:szCs w:val="16"/>
          <w:lang w:val="es-ES" w:eastAsia="es-ES"/>
        </w:rPr>
        <w:t>“Los sujetos obligados que contratan con recursos públicos y recursos privados, deben publicar la información de su gestión contractual con cargo a recursos públicos en el Sistema Electrónico para la Contratación Pública [SECOP]”.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D2A18" w14:textId="77777777" w:rsidR="00871985" w:rsidRDefault="00871985">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2B81B2AB" wp14:editId="29B01BF2">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642CD3E0" wp14:editId="26C924B9">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E64CA70" w14:textId="77777777" w:rsidR="00871985" w:rsidRDefault="00871985">
    <w:pPr>
      <w:pStyle w:val="Encabezado"/>
    </w:pPr>
  </w:p>
  <w:p w14:paraId="1BB6FDEF" w14:textId="77777777" w:rsidR="00871985" w:rsidRDefault="00871985" w:rsidP="004A305D">
    <w:pPr>
      <w:spacing w:after="0"/>
      <w:rPr>
        <w:rFonts w:ascii="Verdana" w:hAnsi="Verdana"/>
        <w:b/>
        <w:bCs/>
      </w:rPr>
    </w:pPr>
  </w:p>
  <w:p w14:paraId="56388C18" w14:textId="77777777" w:rsidR="00871985" w:rsidRPr="004A305D" w:rsidRDefault="00871985" w:rsidP="00B01B1A">
    <w:pPr>
      <w:spacing w:after="0" w:line="120" w:lineRule="auto"/>
      <w:rPr>
        <w:rFonts w:ascii="Century Gothic" w:eastAsia="Geo" w:hAnsi="Century Gothic" w:cs="Geo"/>
        <w:sz w:val="16"/>
        <w:szCs w:val="16"/>
        <w:lang w:eastAsia="es-CO"/>
      </w:rPr>
    </w:pPr>
  </w:p>
  <w:p w14:paraId="52635F7E" w14:textId="77777777" w:rsidR="00871985" w:rsidRDefault="00871985"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679089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85"/>
    <w:rsid w:val="00040C77"/>
    <w:rsid w:val="000F5A42"/>
    <w:rsid w:val="002B6688"/>
    <w:rsid w:val="0042374E"/>
    <w:rsid w:val="004275DC"/>
    <w:rsid w:val="005124F1"/>
    <w:rsid w:val="00871985"/>
    <w:rsid w:val="00A12218"/>
    <w:rsid w:val="00A90678"/>
    <w:rsid w:val="00B1115F"/>
    <w:rsid w:val="00B87453"/>
    <w:rsid w:val="00CD1B4C"/>
    <w:rsid w:val="00D065E8"/>
    <w:rsid w:val="00D70326"/>
    <w:rsid w:val="00F22B32"/>
    <w:rsid w:val="00FF38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8698"/>
  <w15:chartTrackingRefBased/>
  <w15:docId w15:val="{4E4D787F-8C4C-4173-81AF-03554E0F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85"/>
    <w:rPr>
      <w:kern w:val="0"/>
      <w14:ligatures w14:val="none"/>
    </w:rPr>
  </w:style>
  <w:style w:type="paragraph" w:styleId="Ttulo1">
    <w:name w:val="heading 1"/>
    <w:basedOn w:val="Normal"/>
    <w:next w:val="Normal"/>
    <w:link w:val="Ttulo1Car"/>
    <w:uiPriority w:val="9"/>
    <w:qFormat/>
    <w:rsid w:val="008719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719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7198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7198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7198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7198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7198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7198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7198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198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7198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7198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7198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7198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7198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7198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7198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71985"/>
    <w:rPr>
      <w:rFonts w:eastAsiaTheme="majorEastAsia" w:cstheme="majorBidi"/>
      <w:color w:val="272727" w:themeColor="text1" w:themeTint="D8"/>
    </w:rPr>
  </w:style>
  <w:style w:type="paragraph" w:styleId="Ttulo">
    <w:name w:val="Title"/>
    <w:basedOn w:val="Normal"/>
    <w:next w:val="Normal"/>
    <w:link w:val="TtuloCar"/>
    <w:uiPriority w:val="10"/>
    <w:qFormat/>
    <w:rsid w:val="008719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7198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7198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7198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71985"/>
    <w:pPr>
      <w:spacing w:before="160"/>
      <w:jc w:val="center"/>
    </w:pPr>
    <w:rPr>
      <w:i/>
      <w:iCs/>
      <w:color w:val="404040" w:themeColor="text1" w:themeTint="BF"/>
    </w:rPr>
  </w:style>
  <w:style w:type="character" w:customStyle="1" w:styleId="CitaCar">
    <w:name w:val="Cita Car"/>
    <w:basedOn w:val="Fuentedeprrafopredeter"/>
    <w:link w:val="Cita"/>
    <w:uiPriority w:val="29"/>
    <w:rsid w:val="00871985"/>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71985"/>
    <w:pPr>
      <w:ind w:left="720"/>
      <w:contextualSpacing/>
    </w:pPr>
  </w:style>
  <w:style w:type="character" w:styleId="nfasisintenso">
    <w:name w:val="Intense Emphasis"/>
    <w:basedOn w:val="Fuentedeprrafopredeter"/>
    <w:uiPriority w:val="21"/>
    <w:qFormat/>
    <w:rsid w:val="00871985"/>
    <w:rPr>
      <w:i/>
      <w:iCs/>
      <w:color w:val="0F4761" w:themeColor="accent1" w:themeShade="BF"/>
    </w:rPr>
  </w:style>
  <w:style w:type="paragraph" w:styleId="Citadestacada">
    <w:name w:val="Intense Quote"/>
    <w:basedOn w:val="Normal"/>
    <w:next w:val="Normal"/>
    <w:link w:val="CitadestacadaCar"/>
    <w:uiPriority w:val="30"/>
    <w:qFormat/>
    <w:rsid w:val="008719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71985"/>
    <w:rPr>
      <w:i/>
      <w:iCs/>
      <w:color w:val="0F4761" w:themeColor="accent1" w:themeShade="BF"/>
    </w:rPr>
  </w:style>
  <w:style w:type="character" w:styleId="Referenciaintensa">
    <w:name w:val="Intense Reference"/>
    <w:basedOn w:val="Fuentedeprrafopredeter"/>
    <w:uiPriority w:val="32"/>
    <w:qFormat/>
    <w:rsid w:val="00871985"/>
    <w:rPr>
      <w:b/>
      <w:bCs/>
      <w:smallCaps/>
      <w:color w:val="0F4761" w:themeColor="accent1" w:themeShade="BF"/>
      <w:spacing w:val="5"/>
    </w:rPr>
  </w:style>
  <w:style w:type="paragraph" w:styleId="Encabezado">
    <w:name w:val="header"/>
    <w:basedOn w:val="Normal"/>
    <w:link w:val="EncabezadoCar"/>
    <w:uiPriority w:val="99"/>
    <w:unhideWhenUsed/>
    <w:rsid w:val="008719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1985"/>
    <w:rPr>
      <w:kern w:val="0"/>
      <w14:ligatures w14:val="none"/>
    </w:rPr>
  </w:style>
  <w:style w:type="paragraph" w:styleId="Piedepgina">
    <w:name w:val="footer"/>
    <w:basedOn w:val="Normal"/>
    <w:link w:val="PiedepginaCar"/>
    <w:uiPriority w:val="99"/>
    <w:unhideWhenUsed/>
    <w:rsid w:val="008719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1985"/>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7198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871985"/>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871985"/>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871985"/>
    <w:rPr>
      <w:vertAlign w:val="superscript"/>
    </w:rPr>
  </w:style>
  <w:style w:type="character" w:customStyle="1" w:styleId="normaltextrun">
    <w:name w:val="normaltextrun"/>
    <w:basedOn w:val="Fuentedeprrafopredeter"/>
    <w:rsid w:val="00871985"/>
  </w:style>
  <w:style w:type="table" w:styleId="Tablaconcuadrcula">
    <w:name w:val="Table Grid"/>
    <w:basedOn w:val="Tablanormal"/>
    <w:uiPriority w:val="39"/>
    <w:qFormat/>
    <w:rsid w:val="0087198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1985"/>
    <w:rPr>
      <w:color w:val="0000FF"/>
      <w:u w:val="single"/>
    </w:rPr>
  </w:style>
  <w:style w:type="paragraph" w:customStyle="1" w:styleId="paragraph">
    <w:name w:val="paragraph"/>
    <w:basedOn w:val="Normal"/>
    <w:rsid w:val="008719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871985"/>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71985"/>
  </w:style>
  <w:style w:type="paragraph" w:customStyle="1" w:styleId="Appelnotedebasde">
    <w:name w:val="Appel note de bas de..."/>
    <w:basedOn w:val="Normal"/>
    <w:link w:val="Refdenotaalpie"/>
    <w:uiPriority w:val="99"/>
    <w:rsid w:val="00871985"/>
    <w:pPr>
      <w:spacing w:line="240" w:lineRule="exact"/>
    </w:pPr>
    <w:rPr>
      <w:kern w:val="2"/>
      <w:vertAlign w:val="superscript"/>
      <w14:ligatures w14:val="standardContextual"/>
    </w:rPr>
  </w:style>
  <w:style w:type="character" w:styleId="nfasis">
    <w:name w:val="Emphasis"/>
    <w:basedOn w:val="Fuentedeprrafopredeter"/>
    <w:uiPriority w:val="20"/>
    <w:qFormat/>
    <w:rsid w:val="00871985"/>
    <w:rPr>
      <w:i/>
      <w:iCs/>
    </w:rPr>
  </w:style>
  <w:style w:type="character" w:customStyle="1" w:styleId="baj">
    <w:name w:val="b_aj"/>
    <w:basedOn w:val="Fuentedeprrafopredeter"/>
    <w:rsid w:val="008719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olombiacompra.gov.co/sites/cce_public/files/cce_documentos/circular_no._3_-_secop_-.pdf" TargetMode="External"/><Relationship Id="rId18" Type="http://schemas.openxmlformats.org/officeDocument/2006/relationships/hyperlink" Target="https://www.colombiacompra.gov.co/sites/cce_public/files/cce_circulares/proyecto_circular_externa_obligatoriedad_secopii_2023_rev._dg_f.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nam02.safelinks.protection.outlook.com/?url=https%3A%2F%2Fwww.colombiacompra.gov.co%2Fcontent%2Fborrador-de-documentos-tipo-de-interventoria-de-obra-publica-de-infraestructura-de&amp;data=05%7C02%7Candreina.cerpa%40colombiacompra.gov.co%7C096eca3fdcca424ff1c708dcf932f947%7C7b09041e245149d08cb179d5e3d8c1be%7C0%7C0%7C638659244553106601%7CUnknown%7CTWFpbGZsb3d8eyJWIjoiMC4wLjAwMDAiLCJQIjoiV2luMzIiLCJBTiI6Ik1haWwiLCJXVCI6Mn0%3D%7C0%7C%7C%7C&amp;sdata=3bx45dHvyLBsz0xlBnt2sZ7JCsO1WHwvxX5esmdiOnE%3D&amp;reserved=0" TargetMode="External"/><Relationship Id="rId7" Type="http://schemas.openxmlformats.org/officeDocument/2006/relationships/image" Target="media/image1.png"/><Relationship Id="rId12" Type="http://schemas.openxmlformats.org/officeDocument/2006/relationships/hyperlink" Target="https://www.colombiacompra.gov.co/sites/cce_public/files/cce_circulares/circular_externa_no.2_de_2019_-_0.pdf" TargetMode="External"/><Relationship Id="rId17" Type="http://schemas.openxmlformats.org/officeDocument/2006/relationships/hyperlink" Target="https://www.colombiacompra.gov.co/sites/cce_public/files/cce_circulares/anexo_no._1_circular_externa_005_de_2022.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olombiacompra.gov.co/sites/cce_public/files/cce_circulares/circular_externa_005_de_2022.pdf" TargetMode="External"/><Relationship Id="rId20" Type="http://schemas.openxmlformats.org/officeDocument/2006/relationships/hyperlink" Target="https://nam02.safelinks.protection.outlook.com/?url=https%3A%2F%2Fwww.colombiacompra.gov.co%2Fcontent%2Fborrador-de-documentos-tipo-de-consultoria-de-obra-publica-de-infraestructura-de-transporte&amp;data=05%7C02%7Candreina.cerpa%40colombiacompra.gov.co%7C096eca3fdcca424ff1c708dcf932f947%7C7b09041e245149d08cb179d5e3d8c1be%7C0%7C0%7C638659244553089105%7CUnknown%7CTWFpbGZsb3d8eyJWIjoiMC4wLjAwMDAiLCJQIjoiV2luMzIiLCJBTiI6Ik1haWwiLCJXVCI6Mn0%3D%7C0%7C%7C%7C&amp;sdata=sbTbikmBPVtCbo7mXkVZFxvU9C9ryShyBoc6QGPGO1A%3D&amp;reserved=0"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mbiacompra.gov.co/sites/cce_public/files/cce_circulares/circular_externa_no._1_de_2019.pdf"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colombiacompra.gov.co/sites/cce_public/files/cce_circulares/circular_externa_002_2022.pdf" TargetMode="External"/><Relationship Id="rId23" Type="http://schemas.openxmlformats.org/officeDocument/2006/relationships/hyperlink" Target="https://nam02.safelinks.protection.outlook.com/?url=https%3A%2F%2Fwww.colombiacompra.gov.co%2Fsala-de-prensa%2Fboletin-digital&amp;data=05%7C02%7Candreina.cerpa%40colombiacompra.gov.co%7C096eca3fdcca424ff1c708dcf932f947%7C7b09041e245149d08cb179d5e3d8c1be%7C0%7C0%7C638659244553129750%7CUnknown%7CTWFpbGZsb3d8eyJWIjoiMC4wLjAwMDAiLCJQIjoiV2luMzIiLCJBTiI6Ik1haWwiLCJXVCI6Mn0%3D%7C0%7C%7C%7C&amp;sdata=TPSikXYdiaZ7j6%2BW39%2BMNPMouatq7ONRQMFwgX4AQak%3D&amp;reserved=0" TargetMode="External"/><Relationship Id="rId28" Type="http://schemas.openxmlformats.org/officeDocument/2006/relationships/theme" Target="theme/theme1.xml"/><Relationship Id="rId10" Type="http://schemas.openxmlformats.org/officeDocument/2006/relationships/hyperlink" Target="https://www.colombiacompra.gov.co/sala-de-prensa/comunicados/comunicado-19-de-enero-de-2023" TargetMode="External"/><Relationship Id="rId19" Type="http://schemas.openxmlformats.org/officeDocument/2006/relationships/hyperlink" Target="https://relatoria.colombiacompra.gov.co/busqueda/conceptos"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maherran@misena.edu.co" TargetMode="External"/><Relationship Id="rId14" Type="http://schemas.openxmlformats.org/officeDocument/2006/relationships/hyperlink" Target="https://www.colombiacompra.gov.co/sites/cce_public/files/cce_circulares/ciurcular_externa_001_-_2021.pdf" TargetMode="External"/><Relationship Id="rId22" Type="http://schemas.openxmlformats.org/officeDocument/2006/relationships/hyperlink" Target="https://nam02.safelinks.protection.outlook.com/?url=https%3A%2F%2Fwww.sucop.gov.co%2Fentidades%2Fcolombiacompra%2FNormativa%3FIDNorma%3D18320&amp;data=05%7C02%7Candreina.cerpa%40colombiacompra.gov.co%7C096eca3fdcca424ff1c708dcf932f947%7C7b09041e245149d08cb179d5e3d8c1be%7C0%7C0%7C638659244553118377%7CUnknown%7CTWFpbGZsb3d8eyJWIjoiMC4wLjAwMDAiLCJQIjoiV2luMzIiLCJBTiI6Ik1haWwiLCJXVCI6Mn0%3D%7C0%7C%7C%7C&amp;sdata=GLeg7SM%2B%2FRxgqbeVVQ2kAB42HlF%2BLA2V9MH2iP6TELo%3D&amp;reserved=0"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circulares/cce-eicp-ma-06_circular_externa_con_comentarios_de_ciudadanos-_v2f_00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F1B33D-B7BE-4961-9599-479296F56FD6}"/>
</file>

<file path=customXml/itemProps2.xml><?xml version="1.0" encoding="utf-8"?>
<ds:datastoreItem xmlns:ds="http://schemas.openxmlformats.org/officeDocument/2006/customXml" ds:itemID="{B287D89E-9B15-4A5B-8520-B153F8FBF9E6}"/>
</file>

<file path=customXml/itemProps3.xml><?xml version="1.0" encoding="utf-8"?>
<ds:datastoreItem xmlns:ds="http://schemas.openxmlformats.org/officeDocument/2006/customXml" ds:itemID="{08A59A1F-9DAE-48A0-8BD2-F8A2D7142DFB}"/>
</file>

<file path=docProps/app.xml><?xml version="1.0" encoding="utf-8"?>
<Properties xmlns="http://schemas.openxmlformats.org/officeDocument/2006/extended-properties" xmlns:vt="http://schemas.openxmlformats.org/officeDocument/2006/docPropsVTypes">
  <Template>Normal</Template>
  <TotalTime>18</TotalTime>
  <Pages>17</Pages>
  <Words>5845</Words>
  <Characters>32149</Characters>
  <Application>Microsoft Office Word</Application>
  <DocSecurity>0</DocSecurity>
  <Lines>267</Lines>
  <Paragraphs>75</Paragraphs>
  <ScaleCrop>false</ScaleCrop>
  <Company/>
  <LinksUpToDate>false</LinksUpToDate>
  <CharactersWithSpaces>37919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 Cerpa Muñoz</dc:creator>
  <cp:keywords/>
  <dc:description/>
  <cp:lastModifiedBy>Andreina Cerpa Muñoz</cp:lastModifiedBy>
  <cp:revision>14</cp:revision>
  <dcterms:created xsi:type="dcterms:W3CDTF">2024-11-12T19:09:00Z</dcterms:created>
  <dcterms:modified xsi:type="dcterms:W3CDTF">2024-11-18T13:32:00Z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