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8C943" w14:textId="1B8CF98B" w:rsidR="003C75C4" w:rsidRDefault="003C75C4" w:rsidP="00E245AB">
      <w:pPr>
        <w:spacing w:after="0"/>
        <w:rPr>
          <w:rFonts w:ascii="Verdana" w:hAnsi="Verdana"/>
        </w:rPr>
      </w:pPr>
      <w:bookmarkStart w:id="0" w:name="_Hlk143780582"/>
    </w:p>
    <w:p w14:paraId="3793C7F6" w14:textId="77777777" w:rsidR="003C75C4" w:rsidRPr="003C75C4" w:rsidRDefault="003C75C4" w:rsidP="003C75C4">
      <w:pPr>
        <w:spacing w:after="0" w:line="240" w:lineRule="auto"/>
        <w:jc w:val="both"/>
        <w:rPr>
          <w:rFonts w:ascii="Verdana" w:eastAsia="Calibri" w:hAnsi="Verdana" w:cs="Arial"/>
          <w:b/>
          <w:lang w:val="es-ES_tradnl"/>
        </w:rPr>
      </w:pPr>
      <w:r w:rsidRPr="003C75C4">
        <w:rPr>
          <w:rFonts w:ascii="Verdana" w:eastAsia="Calibri" w:hAnsi="Verdana" w:cs="Arial"/>
          <w:b/>
          <w:lang w:val="es-ES_tradnl"/>
        </w:rPr>
        <w:t xml:space="preserve">DOCUMENTOS TIPO – Fundamento normativo </w:t>
      </w:r>
    </w:p>
    <w:p w14:paraId="3B6AED3A" w14:textId="77777777" w:rsidR="003C75C4" w:rsidRPr="003C75C4" w:rsidRDefault="003C75C4" w:rsidP="003C75C4">
      <w:pPr>
        <w:spacing w:after="0" w:line="240" w:lineRule="auto"/>
        <w:jc w:val="both"/>
        <w:rPr>
          <w:rFonts w:ascii="Verdana" w:eastAsia="Calibri" w:hAnsi="Verdana" w:cs="Arial"/>
          <w:b/>
          <w:lang w:val="es-ES_tradnl"/>
        </w:rPr>
      </w:pPr>
    </w:p>
    <w:p w14:paraId="101BA124" w14:textId="77777777" w:rsidR="003C75C4" w:rsidRPr="003C75C4" w:rsidRDefault="003C75C4" w:rsidP="003C75C4">
      <w:pPr>
        <w:spacing w:after="0" w:line="240" w:lineRule="auto"/>
        <w:jc w:val="both"/>
        <w:rPr>
          <w:rFonts w:ascii="Verdana" w:eastAsia="Calibri" w:hAnsi="Verdana" w:cs="Arial"/>
          <w:sz w:val="20"/>
          <w:szCs w:val="20"/>
          <w:lang w:val="es-ES"/>
        </w:rPr>
      </w:pPr>
      <w:r w:rsidRPr="003C75C4">
        <w:rPr>
          <w:rFonts w:ascii="Verdana" w:eastAsia="Calibri" w:hAnsi="Verdana" w:cs="Arial"/>
          <w:sz w:val="20"/>
          <w:szCs w:val="20"/>
          <w:lang w:val="es-ES"/>
        </w:rPr>
        <w:t>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Esta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p>
    <w:p w14:paraId="0F01981B" w14:textId="77777777" w:rsidR="003C75C4" w:rsidRPr="003C75C4" w:rsidRDefault="003C75C4" w:rsidP="003C75C4">
      <w:pPr>
        <w:spacing w:after="0" w:line="240" w:lineRule="auto"/>
        <w:jc w:val="both"/>
        <w:rPr>
          <w:rFonts w:ascii="Verdana" w:eastAsia="Calibri" w:hAnsi="Verdana" w:cs="Arial"/>
          <w:sz w:val="20"/>
          <w:szCs w:val="20"/>
          <w:lang w:val="es-ES_tradnl"/>
        </w:rPr>
      </w:pPr>
    </w:p>
    <w:p w14:paraId="4B34F5DC" w14:textId="77777777" w:rsidR="003C75C4" w:rsidRPr="003C75C4" w:rsidRDefault="003C75C4" w:rsidP="003C75C4">
      <w:pPr>
        <w:spacing w:after="0" w:line="240" w:lineRule="auto"/>
        <w:jc w:val="both"/>
        <w:rPr>
          <w:rFonts w:ascii="Verdana" w:eastAsia="Calibri" w:hAnsi="Verdana" w:cs="Arial"/>
          <w:sz w:val="20"/>
          <w:szCs w:val="20"/>
          <w:lang w:val="es-ES_tradnl"/>
        </w:rPr>
      </w:pPr>
      <w:r w:rsidRPr="003C75C4">
        <w:rPr>
          <w:rFonts w:ascii="Verdana" w:eastAsia="Calibri" w:hAnsi="Verdana" w:cs="Arial"/>
          <w:sz w:val="20"/>
          <w:szCs w:val="20"/>
          <w:lang w:val="es-ES_tradnl"/>
        </w:rPr>
        <w:t xml:space="preserve">Por otra parte, debe tenerse en cuenta que la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49C8DFA6" w14:textId="77777777" w:rsidR="003C75C4" w:rsidRPr="003C75C4" w:rsidRDefault="003C75C4" w:rsidP="003C75C4">
      <w:pPr>
        <w:spacing w:after="0" w:line="240" w:lineRule="auto"/>
        <w:jc w:val="both"/>
        <w:rPr>
          <w:rFonts w:ascii="Verdana" w:eastAsia="Calibri" w:hAnsi="Verdana" w:cs="Arial"/>
          <w:sz w:val="20"/>
          <w:szCs w:val="20"/>
          <w:lang w:val="es-ES_tradnl"/>
        </w:rPr>
      </w:pPr>
    </w:p>
    <w:p w14:paraId="3A38BE45" w14:textId="77777777" w:rsidR="003C75C4" w:rsidRPr="003C75C4" w:rsidRDefault="003C75C4" w:rsidP="003C75C4">
      <w:pPr>
        <w:spacing w:after="0" w:line="240" w:lineRule="auto"/>
        <w:rPr>
          <w:rFonts w:ascii="Verdana" w:eastAsia="Geomanist Light" w:hAnsi="Verdana" w:cs="Arial"/>
          <w:color w:val="000000" w:themeColor="text1"/>
          <w:sz w:val="20"/>
          <w:szCs w:val="20"/>
        </w:rPr>
      </w:pPr>
    </w:p>
    <w:p w14:paraId="2DE8242D" w14:textId="77777777" w:rsidR="003C75C4" w:rsidRPr="003C75C4" w:rsidRDefault="003C75C4" w:rsidP="003C75C4">
      <w:pPr>
        <w:spacing w:after="0" w:line="276" w:lineRule="auto"/>
        <w:jc w:val="both"/>
        <w:rPr>
          <w:rFonts w:ascii="Verdana" w:eastAsia="Calibri" w:hAnsi="Verdana" w:cs="Arial"/>
          <w:b/>
          <w:bCs/>
          <w:sz w:val="20"/>
          <w:szCs w:val="20"/>
          <w:lang w:val="es-ES_tradnl" w:eastAsia="es-ES_tradnl"/>
        </w:rPr>
      </w:pPr>
      <w:r w:rsidRPr="003C75C4">
        <w:rPr>
          <w:rFonts w:ascii="Verdana" w:eastAsia="Calibri" w:hAnsi="Verdana" w:cs="Arial"/>
          <w:b/>
          <w:sz w:val="20"/>
          <w:szCs w:val="20"/>
          <w:lang w:val="es-ES_tradnl" w:eastAsia="es-ES_tradnl"/>
        </w:rPr>
        <w:t xml:space="preserve">CONCURSO DE MÉRITOS </w:t>
      </w:r>
      <w:r w:rsidRPr="003C75C4">
        <w:rPr>
          <w:rFonts w:ascii="Verdana" w:eastAsia="Calibri" w:hAnsi="Verdana" w:cs="Arial"/>
          <w:b/>
          <w:bCs/>
          <w:sz w:val="20"/>
          <w:szCs w:val="20"/>
          <w:lang w:val="es-ES_tradnl" w:eastAsia="es-ES_tradnl"/>
        </w:rPr>
        <w:t>– Calificación de la experiencia – Certificación de la experiencia</w:t>
      </w:r>
    </w:p>
    <w:p w14:paraId="3DC09449" w14:textId="77777777" w:rsidR="003C75C4" w:rsidRPr="003C75C4" w:rsidRDefault="003C75C4" w:rsidP="003C75C4">
      <w:pPr>
        <w:spacing w:after="0" w:line="276" w:lineRule="auto"/>
        <w:jc w:val="both"/>
        <w:rPr>
          <w:rFonts w:ascii="Verdana" w:eastAsia="Calibri" w:hAnsi="Verdana" w:cs="Arial"/>
          <w:b/>
          <w:sz w:val="20"/>
          <w:szCs w:val="20"/>
        </w:rPr>
      </w:pPr>
    </w:p>
    <w:p w14:paraId="2005885E" w14:textId="77777777" w:rsidR="003C75C4" w:rsidRPr="003C75C4" w:rsidRDefault="003C75C4" w:rsidP="003C75C4">
      <w:pPr>
        <w:spacing w:after="0" w:line="240" w:lineRule="auto"/>
        <w:jc w:val="both"/>
        <w:rPr>
          <w:rFonts w:ascii="Verdana" w:eastAsia="Times New Roman" w:hAnsi="Verdana" w:cs="Arial"/>
          <w:sz w:val="20"/>
          <w:szCs w:val="20"/>
          <w:shd w:val="clear" w:color="auto" w:fill="FFFFFF"/>
          <w:lang w:eastAsia="es-ES_tradnl"/>
        </w:rPr>
      </w:pPr>
      <w:r w:rsidRPr="003C75C4">
        <w:rPr>
          <w:rFonts w:ascii="Verdana" w:eastAsia="Times New Roman" w:hAnsi="Verdana" w:cs="Arial"/>
          <w:sz w:val="20"/>
          <w:szCs w:val="20"/>
          <w:shd w:val="clear" w:color="auto" w:fill="FFFFFF"/>
          <w:lang w:eastAsia="es-ES_tradnl"/>
        </w:rPr>
        <w:t xml:space="preserve">La oferta económica en esta modalidad de selección no es un criterio de asignación de puntaje, teniendo en cuenta lo prescrito en el numeral 4 del artículo 5, de la Ley 1150 de 2007. De igual forma, de acuerdo con el numeral 1 del artículo 2.2.1.2.1.3.2 del Decreto 1082 de 2015, la experiencia y la formación académica del equipo de trabajo son criterios de asignación de puntaje. </w:t>
      </w:r>
    </w:p>
    <w:p w14:paraId="0F4D3B71" w14:textId="77777777" w:rsidR="003C75C4" w:rsidRPr="003C75C4" w:rsidRDefault="003C75C4" w:rsidP="003C75C4">
      <w:pPr>
        <w:spacing w:after="0" w:line="240" w:lineRule="auto"/>
        <w:jc w:val="both"/>
        <w:rPr>
          <w:rFonts w:ascii="Verdana" w:eastAsia="Times New Roman" w:hAnsi="Verdana" w:cs="Arial"/>
          <w:sz w:val="20"/>
          <w:szCs w:val="20"/>
          <w:shd w:val="clear" w:color="auto" w:fill="FFFFFF"/>
          <w:lang w:eastAsia="es-ES_tradnl"/>
        </w:rPr>
      </w:pPr>
    </w:p>
    <w:p w14:paraId="20EE27DB" w14:textId="77777777" w:rsidR="003C75C4" w:rsidRPr="003C75C4" w:rsidRDefault="003C75C4" w:rsidP="003C75C4">
      <w:pPr>
        <w:spacing w:after="0" w:line="240" w:lineRule="auto"/>
        <w:jc w:val="both"/>
        <w:rPr>
          <w:rFonts w:ascii="Verdana" w:eastAsia="Times New Roman" w:hAnsi="Verdana" w:cs="Arial"/>
          <w:sz w:val="20"/>
          <w:szCs w:val="20"/>
          <w:shd w:val="clear" w:color="auto" w:fill="FFFFFF"/>
          <w:lang w:eastAsia="es-ES_tradnl"/>
        </w:rPr>
      </w:pPr>
      <w:r w:rsidRPr="003C75C4">
        <w:rPr>
          <w:rFonts w:ascii="Verdana" w:eastAsia="Times New Roman" w:hAnsi="Verdana" w:cs="Arial"/>
          <w:sz w:val="20"/>
          <w:szCs w:val="20"/>
          <w:shd w:val="clear" w:color="auto" w:fill="FFFFFF"/>
          <w:lang w:eastAsia="es-ES_tradnl"/>
        </w:rPr>
        <w:t>Al respecto, es importante señalar que el artículo 12 del Decreto Ley 785 de 2005 dispone lo siguiente: […]</w:t>
      </w:r>
    </w:p>
    <w:p w14:paraId="6B7BD32C" w14:textId="77777777" w:rsidR="003C75C4" w:rsidRPr="003C75C4" w:rsidRDefault="003C75C4" w:rsidP="003C75C4">
      <w:pPr>
        <w:spacing w:after="0" w:line="240" w:lineRule="auto"/>
        <w:jc w:val="both"/>
        <w:rPr>
          <w:rFonts w:ascii="Verdana" w:eastAsia="Times New Roman" w:hAnsi="Verdana" w:cs="Arial"/>
          <w:sz w:val="20"/>
          <w:szCs w:val="20"/>
          <w:shd w:val="clear" w:color="auto" w:fill="FFFFFF"/>
          <w:lang w:eastAsia="es-ES_tradnl"/>
        </w:rPr>
      </w:pPr>
    </w:p>
    <w:p w14:paraId="08613E4B" w14:textId="77777777" w:rsidR="003C75C4" w:rsidRPr="003C75C4" w:rsidRDefault="003C75C4" w:rsidP="003C75C4">
      <w:pPr>
        <w:spacing w:after="0" w:line="240" w:lineRule="auto"/>
        <w:jc w:val="both"/>
        <w:rPr>
          <w:rFonts w:ascii="Verdana" w:eastAsia="Times New Roman" w:hAnsi="Verdana" w:cs="Arial"/>
          <w:sz w:val="20"/>
          <w:szCs w:val="20"/>
          <w:shd w:val="clear" w:color="auto" w:fill="FFFFFF"/>
          <w:lang w:eastAsia="es-ES_tradnl"/>
        </w:rPr>
      </w:pPr>
      <w:r w:rsidRPr="003C75C4">
        <w:rPr>
          <w:rFonts w:ascii="Verdana" w:eastAsia="Times New Roman" w:hAnsi="Verdana" w:cs="Arial"/>
          <w:sz w:val="20"/>
          <w:szCs w:val="20"/>
          <w:shd w:val="clear" w:color="auto" w:fill="FFFFFF"/>
          <w:lang w:eastAsia="es-ES_tradnl"/>
        </w:rPr>
        <w:t xml:space="preserve">Adicionalmente, el Decreto 1083 de 2015 contempla en su artículo 2.2.2.3.8 una regla de acreditación de experiencia similar a la citada con anterioridad, en el sentido de que ello debe realizarse a través de la presentación de constancias expedidas por la autoridad competente de las respectivas instituciones oficiales o privadas. </w:t>
      </w:r>
    </w:p>
    <w:p w14:paraId="159F67BD" w14:textId="77777777" w:rsidR="003C75C4" w:rsidRPr="003C75C4" w:rsidRDefault="003C75C4" w:rsidP="003C75C4">
      <w:pPr>
        <w:spacing w:after="0" w:line="240" w:lineRule="auto"/>
        <w:jc w:val="both"/>
        <w:rPr>
          <w:rFonts w:ascii="Verdana" w:eastAsia="Times New Roman" w:hAnsi="Verdana" w:cs="Arial"/>
          <w:sz w:val="20"/>
          <w:szCs w:val="20"/>
          <w:shd w:val="clear" w:color="auto" w:fill="FFFFFF"/>
          <w:lang w:eastAsia="es-ES_tradnl"/>
        </w:rPr>
      </w:pPr>
    </w:p>
    <w:p w14:paraId="1F5B82BF" w14:textId="77777777" w:rsidR="003C75C4" w:rsidRPr="003C75C4" w:rsidRDefault="003C75C4" w:rsidP="003C75C4">
      <w:pPr>
        <w:spacing w:after="0" w:line="240" w:lineRule="auto"/>
        <w:jc w:val="both"/>
        <w:rPr>
          <w:rFonts w:ascii="Verdana" w:eastAsia="Times New Roman" w:hAnsi="Verdana" w:cs="Arial"/>
          <w:sz w:val="20"/>
          <w:szCs w:val="20"/>
          <w:shd w:val="clear" w:color="auto" w:fill="FFFFFF"/>
          <w:lang w:eastAsia="es-ES_tradnl"/>
        </w:rPr>
      </w:pPr>
      <w:r w:rsidRPr="003C75C4">
        <w:rPr>
          <w:rFonts w:ascii="Verdana" w:eastAsia="Times New Roman" w:hAnsi="Verdana" w:cs="Arial"/>
          <w:sz w:val="20"/>
          <w:szCs w:val="20"/>
          <w:shd w:val="clear" w:color="auto" w:fill="FFFFFF"/>
          <w:lang w:eastAsia="es-ES_tradnl"/>
        </w:rPr>
        <w:t xml:space="preserve">Por lo tanto, para la calificación de la experiencia de un proponente y su equipo de trabajo en desarrollo de un concurso de méritos, es suficiente con la presentación de las respectivas constancias expedidas por las instituciones oficiales o privadas en las cuales </w:t>
      </w:r>
      <w:r w:rsidRPr="003C75C4">
        <w:rPr>
          <w:rFonts w:ascii="Verdana" w:eastAsia="Times New Roman" w:hAnsi="Verdana" w:cs="Arial"/>
          <w:sz w:val="20"/>
          <w:szCs w:val="20"/>
          <w:shd w:val="clear" w:color="auto" w:fill="FFFFFF"/>
          <w:lang w:eastAsia="es-ES_tradnl"/>
        </w:rPr>
        <w:lastRenderedPageBreak/>
        <w:t>hayan prestado sus servicios o desempeñado algún cargo o empleo. Así, es posible prescindir de la historia laboral para la acreditación de la experiencia.</w:t>
      </w:r>
    </w:p>
    <w:p w14:paraId="14B39F00" w14:textId="77777777" w:rsidR="003C75C4" w:rsidRPr="003C75C4" w:rsidRDefault="003C75C4" w:rsidP="003C75C4">
      <w:pPr>
        <w:spacing w:after="0" w:line="240" w:lineRule="auto"/>
        <w:rPr>
          <w:rFonts w:ascii="Verdana" w:eastAsia="Geomanist Light" w:hAnsi="Verdana" w:cs="Arial"/>
          <w:color w:val="000000" w:themeColor="text1"/>
          <w:sz w:val="20"/>
          <w:szCs w:val="20"/>
        </w:rPr>
      </w:pPr>
    </w:p>
    <w:p w14:paraId="49E76CA9" w14:textId="77777777" w:rsidR="003C75C4" w:rsidRPr="003C75C4" w:rsidRDefault="003C75C4" w:rsidP="003C75C4">
      <w:pPr>
        <w:spacing w:after="0"/>
        <w:jc w:val="both"/>
        <w:rPr>
          <w:rFonts w:ascii="Verdana" w:eastAsia="Times New Roman" w:hAnsi="Verdana" w:cs="Arial"/>
          <w:sz w:val="20"/>
          <w:szCs w:val="20"/>
          <w:lang w:val="es-ES"/>
        </w:rPr>
      </w:pPr>
    </w:p>
    <w:p w14:paraId="4E4068EF" w14:textId="77777777" w:rsidR="003C75C4" w:rsidRPr="003C75C4" w:rsidRDefault="003C75C4" w:rsidP="003C75C4">
      <w:pPr>
        <w:spacing w:after="0"/>
        <w:jc w:val="both"/>
        <w:rPr>
          <w:rFonts w:ascii="Verdana" w:eastAsia="Times New Roman" w:hAnsi="Verdana" w:cs="Arial"/>
          <w:b/>
          <w:bCs/>
          <w:sz w:val="20"/>
          <w:szCs w:val="20"/>
          <w:shd w:val="clear" w:color="auto" w:fill="FFFFFF"/>
          <w:lang w:eastAsia="es-ES_tradnl"/>
        </w:rPr>
      </w:pPr>
      <w:r w:rsidRPr="003C75C4">
        <w:rPr>
          <w:rFonts w:ascii="Verdana" w:eastAsia="Times New Roman" w:hAnsi="Verdana" w:cs="Arial"/>
          <w:b/>
          <w:bCs/>
          <w:sz w:val="20"/>
          <w:szCs w:val="20"/>
          <w:shd w:val="clear" w:color="auto" w:fill="FFFFFF"/>
          <w:lang w:eastAsia="es-ES_tradnl"/>
        </w:rPr>
        <w:t xml:space="preserve">EXIGENCIAS MÍNIMAS DE EXPERIENCIA Y FORMACIÓN ACADÉMICA DEL EQUIPO DE TRABAJO (Personal Clave Evaluable)  </w:t>
      </w:r>
    </w:p>
    <w:p w14:paraId="180674FD" w14:textId="77777777" w:rsidR="003C75C4" w:rsidRPr="003C75C4" w:rsidRDefault="003C75C4" w:rsidP="003C75C4">
      <w:pPr>
        <w:spacing w:after="0"/>
        <w:jc w:val="both"/>
        <w:rPr>
          <w:rFonts w:ascii="Verdana" w:eastAsia="Times New Roman" w:hAnsi="Verdana" w:cs="Arial"/>
          <w:sz w:val="20"/>
          <w:szCs w:val="20"/>
          <w:shd w:val="clear" w:color="auto" w:fill="FFFFFF"/>
          <w:lang w:eastAsia="es-ES_tradnl"/>
        </w:rPr>
      </w:pPr>
    </w:p>
    <w:p w14:paraId="4AC2D16C" w14:textId="77777777" w:rsidR="003C75C4" w:rsidRPr="003C75C4" w:rsidRDefault="003C75C4" w:rsidP="003C75C4">
      <w:pPr>
        <w:spacing w:after="0"/>
        <w:jc w:val="both"/>
        <w:rPr>
          <w:rFonts w:ascii="Verdana" w:eastAsia="Times New Roman" w:hAnsi="Verdana" w:cs="Arial"/>
          <w:sz w:val="20"/>
          <w:szCs w:val="20"/>
          <w:shd w:val="clear" w:color="auto" w:fill="FFFFFF"/>
          <w:lang w:eastAsia="es-ES_tradnl"/>
        </w:rPr>
      </w:pPr>
      <w:r w:rsidRPr="003C75C4">
        <w:rPr>
          <w:rFonts w:ascii="Verdana" w:eastAsia="Times New Roman" w:hAnsi="Verdana" w:cs="Arial"/>
          <w:sz w:val="20"/>
          <w:szCs w:val="20"/>
          <w:shd w:val="clear" w:color="auto" w:fill="FFFFFF"/>
          <w:lang w:eastAsia="es-ES_tradnl"/>
        </w:rPr>
        <w:t>De conformidad con el documento base: la Entidad definirá si la verificación de la documentación requerida del Personal Clave Evaluable será un requisito para el proponente adjudicatario previo a la ejecución del contrato o si será solicitada para acreditar durante el proceso de contratación, por lo cual escogerá según corresponde.].  </w:t>
      </w:r>
    </w:p>
    <w:p w14:paraId="2EE8E8F6" w14:textId="77777777" w:rsidR="003C75C4" w:rsidRPr="003C75C4" w:rsidRDefault="003C75C4" w:rsidP="003C75C4">
      <w:pPr>
        <w:spacing w:after="0"/>
        <w:jc w:val="both"/>
        <w:rPr>
          <w:rFonts w:ascii="Verdana" w:eastAsia="Times New Roman" w:hAnsi="Verdana" w:cs="Arial"/>
          <w:sz w:val="20"/>
          <w:szCs w:val="20"/>
          <w:shd w:val="clear" w:color="auto" w:fill="FFFFFF"/>
          <w:lang w:eastAsia="es-ES_tradnl"/>
        </w:rPr>
      </w:pPr>
    </w:p>
    <w:p w14:paraId="383DFF35" w14:textId="77777777" w:rsidR="003C75C4" w:rsidRPr="003C75C4" w:rsidRDefault="003C75C4" w:rsidP="003C75C4">
      <w:pPr>
        <w:spacing w:after="0"/>
        <w:jc w:val="both"/>
        <w:rPr>
          <w:rFonts w:ascii="Verdana" w:eastAsia="Times New Roman" w:hAnsi="Verdana" w:cs="Arial"/>
          <w:sz w:val="20"/>
          <w:szCs w:val="20"/>
          <w:shd w:val="clear" w:color="auto" w:fill="FFFFFF"/>
          <w:lang w:eastAsia="es-ES_tradnl"/>
        </w:rPr>
      </w:pPr>
      <w:r w:rsidRPr="003C75C4">
        <w:rPr>
          <w:rFonts w:ascii="Verdana" w:eastAsia="Times New Roman" w:hAnsi="Verdana" w:cs="Arial"/>
          <w:sz w:val="20"/>
          <w:szCs w:val="20"/>
          <w:shd w:val="clear" w:color="auto" w:fill="FFFFFF"/>
          <w:lang w:eastAsia="es-ES_tradnl"/>
        </w:rPr>
        <w:t xml:space="preserve">Así las cosas, la entidad define las condiciones de formación académica y experiencia de los perfiles del personal integrante del equipo de trabajo denominado Personal Clave Evaluable, dentro del “Anexo 1 – Anexo Técnico” que sean requeridos dentro del proceso de contratación, de acuerdo con las necesidades del proyecto, así mismo definirá, si en la etapa de selección solicitará o no los documentos soporte, hojas de vida, certificaciones de los profesionales y del equipo de trabajo que considerará para el futuro contrato, de acuerdo con las reglas establecidas en el Pliego de Condiciones, particularmente, en el numeral “10.2. Acreditación de experiencia y formación académica del equipo de trabajo y del Personal Clave Evaluable”. </w:t>
      </w:r>
    </w:p>
    <w:p w14:paraId="3D7465ED" w14:textId="77777777" w:rsidR="003C75C4" w:rsidRPr="003C75C4" w:rsidRDefault="003C75C4" w:rsidP="003C75C4">
      <w:pPr>
        <w:spacing w:after="0"/>
        <w:jc w:val="both"/>
        <w:rPr>
          <w:rFonts w:ascii="Verdana" w:eastAsia="Times New Roman" w:hAnsi="Verdana" w:cs="Arial"/>
          <w:sz w:val="20"/>
          <w:szCs w:val="20"/>
          <w:shd w:val="clear" w:color="auto" w:fill="FFFFFF"/>
          <w:lang w:eastAsia="es-ES_tradnl"/>
        </w:rPr>
      </w:pPr>
    </w:p>
    <w:p w14:paraId="35770E7D" w14:textId="77777777" w:rsidR="003C75C4" w:rsidRPr="003C75C4" w:rsidRDefault="003C75C4" w:rsidP="003C75C4">
      <w:pPr>
        <w:spacing w:after="0"/>
        <w:jc w:val="both"/>
        <w:rPr>
          <w:rFonts w:ascii="Verdana" w:eastAsia="Times New Roman" w:hAnsi="Verdana" w:cs="Arial"/>
          <w:sz w:val="20"/>
          <w:szCs w:val="20"/>
          <w:shd w:val="clear" w:color="auto" w:fill="FFFFFF"/>
          <w:lang w:eastAsia="es-ES_tradnl"/>
        </w:rPr>
      </w:pPr>
      <w:r w:rsidRPr="003C75C4">
        <w:rPr>
          <w:rFonts w:ascii="Verdana" w:eastAsia="Times New Roman" w:hAnsi="Verdana" w:cs="Arial"/>
          <w:sz w:val="20"/>
          <w:szCs w:val="20"/>
          <w:shd w:val="clear" w:color="auto" w:fill="FFFFFF"/>
          <w:lang w:eastAsia="es-ES_tradnl"/>
        </w:rPr>
        <w:t xml:space="preserve">En el documento base se establece que en el caso en que la Entidad haya optado por solicitar los soportes del equipo de trabajo denominado Personal Clave Evaluable durante la etapa de evaluación del proceso de contratación, los documentos aportados podrán tenerse en cuenta para demostrar el cumplimiento de los criterios de evaluación y asignación de puntaje, sin perjuicio de las reglas de subsanación dispuestas en el numeral 1.6. del Pliego de Condiciones. </w:t>
      </w:r>
    </w:p>
    <w:p w14:paraId="33739FA3" w14:textId="77777777" w:rsidR="003C75C4" w:rsidRPr="003C75C4" w:rsidRDefault="003C75C4" w:rsidP="003C75C4">
      <w:pPr>
        <w:spacing w:after="0"/>
        <w:jc w:val="both"/>
        <w:rPr>
          <w:rFonts w:ascii="Verdana" w:eastAsia="Times New Roman" w:hAnsi="Verdana" w:cs="Arial"/>
          <w:sz w:val="20"/>
          <w:szCs w:val="20"/>
          <w:shd w:val="clear" w:color="auto" w:fill="FFFFFF"/>
          <w:lang w:eastAsia="es-ES_tradnl"/>
        </w:rPr>
      </w:pPr>
    </w:p>
    <w:p w14:paraId="75BFFBF7" w14:textId="77777777" w:rsidR="003C75C4" w:rsidRPr="003C75C4" w:rsidRDefault="003C75C4" w:rsidP="003C75C4">
      <w:pPr>
        <w:spacing w:after="0" w:line="240" w:lineRule="auto"/>
        <w:rPr>
          <w:rFonts w:ascii="Verdana" w:eastAsia="Geomanist Light" w:hAnsi="Verdana" w:cs="Arial"/>
          <w:color w:val="000000" w:themeColor="text1"/>
        </w:rPr>
      </w:pPr>
    </w:p>
    <w:p w14:paraId="61322512" w14:textId="77777777" w:rsidR="003C75C4" w:rsidRPr="003C75C4" w:rsidRDefault="003C75C4" w:rsidP="003C75C4">
      <w:pPr>
        <w:spacing w:after="0" w:line="240" w:lineRule="auto"/>
        <w:rPr>
          <w:rFonts w:ascii="Verdana" w:eastAsia="Geomanist Light" w:hAnsi="Verdana" w:cs="Arial"/>
          <w:color w:val="000000" w:themeColor="text1"/>
        </w:rPr>
      </w:pPr>
    </w:p>
    <w:p w14:paraId="5BC50492" w14:textId="77777777" w:rsidR="003C75C4" w:rsidRPr="003C75C4" w:rsidRDefault="003C75C4" w:rsidP="003C75C4">
      <w:pPr>
        <w:spacing w:after="0" w:line="240" w:lineRule="auto"/>
        <w:rPr>
          <w:rFonts w:ascii="Verdana" w:eastAsia="Geomanist Light" w:hAnsi="Verdana" w:cs="Arial"/>
          <w:color w:val="000000" w:themeColor="text1"/>
        </w:rPr>
      </w:pPr>
    </w:p>
    <w:p w14:paraId="304D377F" w14:textId="77777777" w:rsidR="003C75C4" w:rsidRPr="003C75C4" w:rsidRDefault="003C75C4" w:rsidP="003C75C4">
      <w:pPr>
        <w:spacing w:after="0" w:line="240" w:lineRule="auto"/>
        <w:rPr>
          <w:rFonts w:ascii="Verdana" w:eastAsia="Geomanist Light" w:hAnsi="Verdana" w:cs="Arial"/>
          <w:color w:val="000000" w:themeColor="text1"/>
        </w:rPr>
      </w:pPr>
    </w:p>
    <w:p w14:paraId="1D56D08A" w14:textId="77777777" w:rsidR="003C75C4" w:rsidRPr="003C75C4" w:rsidRDefault="003C75C4" w:rsidP="003C75C4">
      <w:pPr>
        <w:spacing w:after="0" w:line="240" w:lineRule="auto"/>
        <w:rPr>
          <w:rFonts w:ascii="Verdana" w:eastAsia="Geomanist Light" w:hAnsi="Verdana" w:cs="Arial"/>
          <w:color w:val="000000" w:themeColor="text1"/>
        </w:rPr>
      </w:pPr>
    </w:p>
    <w:p w14:paraId="268B09F6" w14:textId="77777777" w:rsidR="003C75C4" w:rsidRDefault="003C75C4" w:rsidP="003C75C4">
      <w:pPr>
        <w:spacing w:after="0" w:line="240" w:lineRule="auto"/>
        <w:rPr>
          <w:rFonts w:ascii="Verdana" w:eastAsia="Geomanist Light" w:hAnsi="Verdana" w:cs="Arial"/>
          <w:color w:val="000000" w:themeColor="text1"/>
        </w:rPr>
      </w:pPr>
    </w:p>
    <w:p w14:paraId="709AA3D6" w14:textId="77777777" w:rsidR="003C75C4" w:rsidRDefault="003C75C4" w:rsidP="003C75C4">
      <w:pPr>
        <w:spacing w:after="0" w:line="240" w:lineRule="auto"/>
        <w:rPr>
          <w:rFonts w:ascii="Verdana" w:eastAsia="Geomanist Light" w:hAnsi="Verdana" w:cs="Arial"/>
          <w:color w:val="000000" w:themeColor="text1"/>
        </w:rPr>
      </w:pPr>
    </w:p>
    <w:p w14:paraId="5B0B26C4" w14:textId="77777777" w:rsidR="003C75C4" w:rsidRDefault="003C75C4" w:rsidP="003C75C4">
      <w:pPr>
        <w:spacing w:after="0" w:line="240" w:lineRule="auto"/>
        <w:rPr>
          <w:rFonts w:ascii="Verdana" w:eastAsia="Geomanist Light" w:hAnsi="Verdana" w:cs="Arial"/>
          <w:color w:val="000000" w:themeColor="text1"/>
        </w:rPr>
      </w:pPr>
    </w:p>
    <w:p w14:paraId="523659CD" w14:textId="77777777" w:rsidR="003C75C4" w:rsidRDefault="003C75C4" w:rsidP="003C75C4">
      <w:pPr>
        <w:spacing w:after="0" w:line="240" w:lineRule="auto"/>
        <w:rPr>
          <w:rFonts w:ascii="Verdana" w:eastAsia="Geomanist Light" w:hAnsi="Verdana" w:cs="Arial"/>
          <w:color w:val="000000" w:themeColor="text1"/>
        </w:rPr>
      </w:pPr>
    </w:p>
    <w:p w14:paraId="0538F6E5" w14:textId="77777777" w:rsidR="003C75C4" w:rsidRDefault="003C75C4" w:rsidP="003C75C4">
      <w:pPr>
        <w:spacing w:after="0" w:line="240" w:lineRule="auto"/>
        <w:rPr>
          <w:rFonts w:ascii="Verdana" w:eastAsia="Geomanist Light" w:hAnsi="Verdana" w:cs="Arial"/>
          <w:color w:val="000000" w:themeColor="text1"/>
        </w:rPr>
      </w:pPr>
    </w:p>
    <w:p w14:paraId="250224A0" w14:textId="77777777" w:rsidR="003C75C4" w:rsidRDefault="003C75C4" w:rsidP="003C75C4">
      <w:pPr>
        <w:spacing w:after="0" w:line="240" w:lineRule="auto"/>
        <w:rPr>
          <w:rFonts w:ascii="Verdana" w:eastAsia="Geomanist Light" w:hAnsi="Verdana" w:cs="Arial"/>
          <w:color w:val="000000" w:themeColor="text1"/>
        </w:rPr>
      </w:pPr>
    </w:p>
    <w:p w14:paraId="6BF359BF" w14:textId="77777777" w:rsidR="003C75C4" w:rsidRDefault="003C75C4" w:rsidP="003C75C4">
      <w:pPr>
        <w:spacing w:after="0" w:line="240" w:lineRule="auto"/>
        <w:rPr>
          <w:rFonts w:ascii="Verdana" w:eastAsia="Geomanist Light" w:hAnsi="Verdana" w:cs="Arial"/>
          <w:color w:val="000000" w:themeColor="text1"/>
        </w:rPr>
      </w:pPr>
    </w:p>
    <w:p w14:paraId="78E153C1" w14:textId="77777777" w:rsidR="003C75C4" w:rsidRDefault="003C75C4" w:rsidP="003C75C4">
      <w:pPr>
        <w:spacing w:after="0" w:line="240" w:lineRule="auto"/>
        <w:rPr>
          <w:rFonts w:ascii="Verdana" w:eastAsia="Geomanist Light" w:hAnsi="Verdana" w:cs="Arial"/>
          <w:color w:val="000000" w:themeColor="text1"/>
        </w:rPr>
      </w:pPr>
    </w:p>
    <w:p w14:paraId="617328D8" w14:textId="77777777" w:rsidR="003C75C4" w:rsidRDefault="003C75C4" w:rsidP="003C75C4">
      <w:pPr>
        <w:spacing w:after="0" w:line="240" w:lineRule="auto"/>
        <w:rPr>
          <w:rFonts w:ascii="Verdana" w:eastAsia="Geomanist Light" w:hAnsi="Verdana" w:cs="Arial"/>
          <w:color w:val="000000" w:themeColor="text1"/>
        </w:rPr>
      </w:pPr>
    </w:p>
    <w:p w14:paraId="14CD7A13" w14:textId="77777777" w:rsidR="003C75C4" w:rsidRPr="003C75C4" w:rsidRDefault="003C75C4" w:rsidP="003C75C4">
      <w:pPr>
        <w:spacing w:after="0" w:line="240" w:lineRule="auto"/>
        <w:rPr>
          <w:rFonts w:ascii="Verdana" w:eastAsia="Geomanist Light" w:hAnsi="Verdana" w:cs="Arial"/>
          <w:color w:val="000000" w:themeColor="text1"/>
        </w:rPr>
      </w:pPr>
    </w:p>
    <w:p w14:paraId="3F09F550" w14:textId="77777777" w:rsidR="003C75C4" w:rsidRPr="003C75C4" w:rsidRDefault="003C75C4" w:rsidP="003C75C4">
      <w:pPr>
        <w:spacing w:after="0" w:line="240" w:lineRule="auto"/>
        <w:rPr>
          <w:rFonts w:ascii="Verdana" w:eastAsia="Geomanist Light" w:hAnsi="Verdana" w:cs="Arial"/>
          <w:color w:val="000000" w:themeColor="text1"/>
        </w:rPr>
      </w:pPr>
    </w:p>
    <w:p w14:paraId="471BA58C" w14:textId="77777777" w:rsidR="003C75C4" w:rsidRPr="003C75C4" w:rsidRDefault="003C75C4" w:rsidP="003C75C4">
      <w:pPr>
        <w:spacing w:after="0" w:line="240" w:lineRule="auto"/>
        <w:rPr>
          <w:rFonts w:ascii="Verdana" w:eastAsia="Geomanist Light" w:hAnsi="Verdana" w:cs="Arial"/>
          <w:color w:val="000000" w:themeColor="text1"/>
          <w:lang w:val="es-MX"/>
        </w:rPr>
      </w:pPr>
      <w:r w:rsidRPr="003C75C4">
        <w:rPr>
          <w:rFonts w:ascii="Verdana" w:eastAsia="Geomanist Light" w:hAnsi="Verdana" w:cs="Arial"/>
          <w:color w:val="000000" w:themeColor="text1"/>
          <w:lang w:val="es-MX"/>
        </w:rPr>
        <w:lastRenderedPageBreak/>
        <w:t>Bogotá D.C., </w:t>
      </w:r>
      <w:r w:rsidRPr="003C75C4">
        <w:rPr>
          <w:rFonts w:ascii="Verdana" w:eastAsia="Geomanist Light" w:hAnsi="Verdana" w:cs="Arial"/>
          <w:color w:val="201F1E"/>
          <w:lang w:val="es-MX"/>
        </w:rPr>
        <w:t>[Día] de [</w:t>
      </w:r>
      <w:proofErr w:type="spellStart"/>
      <w:r w:rsidRPr="003C75C4">
        <w:rPr>
          <w:rFonts w:ascii="Verdana" w:eastAsia="Geomanist Light" w:hAnsi="Verdana" w:cs="Arial"/>
          <w:color w:val="201F1E"/>
          <w:lang w:val="es-MX"/>
        </w:rPr>
        <w:t>Mes.NombreCapitalizado</w:t>
      </w:r>
      <w:proofErr w:type="spellEnd"/>
      <w:r w:rsidRPr="003C75C4">
        <w:rPr>
          <w:rFonts w:ascii="Verdana" w:eastAsia="Geomanist Light" w:hAnsi="Verdana" w:cs="Arial"/>
          <w:color w:val="201F1E"/>
          <w:lang w:val="es-MX"/>
        </w:rPr>
        <w:t>] de [Año]</w:t>
      </w:r>
    </w:p>
    <w:p w14:paraId="0AAABE0F" w14:textId="77777777" w:rsidR="003C75C4" w:rsidRPr="003C75C4" w:rsidRDefault="003C75C4" w:rsidP="003C75C4">
      <w:pPr>
        <w:spacing w:after="0" w:line="240" w:lineRule="auto"/>
        <w:jc w:val="both"/>
        <w:rPr>
          <w:rFonts w:ascii="Verdana" w:eastAsia="Calibri" w:hAnsi="Verdana" w:cs="Arial"/>
          <w:color w:val="000000"/>
          <w:lang w:val="es-ES"/>
        </w:rPr>
      </w:pPr>
    </w:p>
    <w:p w14:paraId="534A02E4" w14:textId="77777777" w:rsidR="003C75C4" w:rsidRPr="003C75C4" w:rsidRDefault="003C75C4" w:rsidP="003C75C4">
      <w:pPr>
        <w:spacing w:after="0" w:line="240" w:lineRule="auto"/>
        <w:jc w:val="both"/>
        <w:rPr>
          <w:rFonts w:ascii="Verdana" w:eastAsia="Calibri" w:hAnsi="Verdana" w:cs="Arial"/>
          <w:color w:val="000000"/>
          <w:lang w:val="es-ES"/>
        </w:rPr>
      </w:pPr>
    </w:p>
    <w:p w14:paraId="595DBC91" w14:textId="77777777" w:rsidR="003C75C4" w:rsidRPr="003C75C4" w:rsidRDefault="003C75C4" w:rsidP="003C75C4">
      <w:pPr>
        <w:spacing w:after="0" w:line="240" w:lineRule="auto"/>
        <w:jc w:val="both"/>
        <w:rPr>
          <w:rFonts w:ascii="Verdana" w:eastAsia="Calibri" w:hAnsi="Verdana" w:cs="Arial"/>
          <w:color w:val="000000"/>
          <w:lang w:val="es-ES"/>
        </w:rPr>
      </w:pPr>
    </w:p>
    <w:p w14:paraId="7C17FB69" w14:textId="77777777" w:rsidR="003C75C4" w:rsidRPr="003C75C4" w:rsidRDefault="003C75C4" w:rsidP="003C75C4">
      <w:pPr>
        <w:spacing w:after="0" w:line="240" w:lineRule="auto"/>
        <w:jc w:val="both"/>
        <w:rPr>
          <w:rFonts w:ascii="Verdana" w:eastAsia="Calibri" w:hAnsi="Verdana" w:cs="Arial"/>
          <w:color w:val="000000"/>
          <w:lang w:val="es-ES"/>
        </w:rPr>
      </w:pPr>
      <w:r w:rsidRPr="003C75C4">
        <w:rPr>
          <w:rFonts w:ascii="Verdana" w:eastAsia="Calibri" w:hAnsi="Verdana" w:cs="Arial"/>
          <w:color w:val="000000"/>
          <w:lang w:val="es-ES"/>
        </w:rPr>
        <w:t>ANONIMO</w:t>
      </w:r>
    </w:p>
    <w:p w14:paraId="3F14EB33" w14:textId="2FE6F0A3" w:rsidR="003C75C4" w:rsidRPr="003C75C4" w:rsidRDefault="006E1476" w:rsidP="006E1476">
      <w:pPr>
        <w:spacing w:after="0" w:line="240" w:lineRule="auto"/>
        <w:jc w:val="right"/>
        <w:rPr>
          <w:rFonts w:ascii="Verdana" w:eastAsia="Calibri" w:hAnsi="Verdana" w:cs="Arial"/>
          <w:lang w:val="fr-FR" w:eastAsia="es-ES"/>
        </w:rPr>
      </w:pPr>
      <w:r w:rsidRPr="006E1476">
        <w:rPr>
          <w:rFonts w:ascii="Verdana" w:eastAsia="Calibri" w:hAnsi="Verdana" w:cs="Arial"/>
          <w:noProof/>
          <w:lang w:val="fr-FR" w:eastAsia="es-ES"/>
        </w:rPr>
        <w:drawing>
          <wp:inline distT="0" distB="0" distL="0" distR="0" wp14:anchorId="49AA60E0" wp14:editId="28534C0A">
            <wp:extent cx="3305175" cy="971550"/>
            <wp:effectExtent l="0" t="0" r="9525" b="0"/>
            <wp:docPr id="5807074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707496" name=""/>
                    <pic:cNvPicPr/>
                  </pic:nvPicPr>
                  <pic:blipFill>
                    <a:blip r:embed="rId10"/>
                    <a:stretch>
                      <a:fillRect/>
                    </a:stretch>
                  </pic:blipFill>
                  <pic:spPr>
                    <a:xfrm>
                      <a:off x="0" y="0"/>
                      <a:ext cx="3305175" cy="971550"/>
                    </a:xfrm>
                    <a:prstGeom prst="rect">
                      <a:avLst/>
                    </a:prstGeom>
                  </pic:spPr>
                </pic:pic>
              </a:graphicData>
            </a:graphic>
          </wp:inline>
        </w:drawing>
      </w:r>
    </w:p>
    <w:p w14:paraId="208FC757" w14:textId="77777777" w:rsidR="003C75C4" w:rsidRPr="003C75C4" w:rsidRDefault="003C75C4" w:rsidP="003C75C4">
      <w:pPr>
        <w:spacing w:after="0" w:line="240" w:lineRule="auto"/>
        <w:rPr>
          <w:rFonts w:ascii="Verdana" w:eastAsia="Calibri" w:hAnsi="Verdana" w:cs="Arial"/>
          <w:b/>
          <w:bCs/>
          <w:color w:val="000000"/>
          <w:lang w:val="fr-FR" w:eastAsia="es-ES_tradnl"/>
        </w:rPr>
      </w:pPr>
    </w:p>
    <w:tbl>
      <w:tblPr>
        <w:tblStyle w:val="Tablaconcuadrcula"/>
        <w:tblW w:w="9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80"/>
        <w:gridCol w:w="6308"/>
      </w:tblGrid>
      <w:tr w:rsidR="003C75C4" w:rsidRPr="003C75C4" w14:paraId="25E1841B" w14:textId="77777777">
        <w:trPr>
          <w:trHeight w:val="948"/>
        </w:trPr>
        <w:tc>
          <w:tcPr>
            <w:tcW w:w="2780" w:type="dxa"/>
          </w:tcPr>
          <w:p w14:paraId="46DF16D8" w14:textId="77777777" w:rsidR="003C75C4" w:rsidRPr="003C75C4" w:rsidRDefault="003C75C4" w:rsidP="003C75C4">
            <w:pPr>
              <w:jc w:val="both"/>
              <w:rPr>
                <w:rFonts w:ascii="Verdana" w:eastAsia="Calibri" w:hAnsi="Verdana" w:cs="Arial"/>
                <w:b/>
                <w:bCs/>
                <w:color w:val="7030A0"/>
                <w:lang w:val="fr-FR" w:eastAsia="es-ES_tradnl"/>
              </w:rPr>
            </w:pPr>
          </w:p>
        </w:tc>
        <w:tc>
          <w:tcPr>
            <w:tcW w:w="6308" w:type="dxa"/>
          </w:tcPr>
          <w:p w14:paraId="777C25D2" w14:textId="77777777" w:rsidR="003C75C4" w:rsidRPr="003C75C4" w:rsidRDefault="003C75C4" w:rsidP="003C75C4">
            <w:pPr>
              <w:jc w:val="both"/>
              <w:rPr>
                <w:rFonts w:ascii="Verdana" w:eastAsia="Calibri" w:hAnsi="Verdana" w:cs="Arial"/>
                <w:b/>
                <w:bCs/>
                <w:lang w:val="fr-FR" w:eastAsia="es-ES"/>
              </w:rPr>
            </w:pPr>
          </w:p>
          <w:p w14:paraId="70C3E2D2" w14:textId="77777777" w:rsidR="003C75C4" w:rsidRPr="003C75C4" w:rsidRDefault="003C75C4" w:rsidP="003C75C4">
            <w:pPr>
              <w:jc w:val="both"/>
              <w:rPr>
                <w:rFonts w:ascii="Verdana" w:eastAsia="Calibri" w:hAnsi="Verdana" w:cs="Arial"/>
                <w:b/>
                <w:bCs/>
                <w:color w:val="7030A0"/>
                <w:lang w:val="es-ES" w:eastAsia="es-ES"/>
              </w:rPr>
            </w:pPr>
            <w:r w:rsidRPr="003C75C4">
              <w:rPr>
                <w:rFonts w:ascii="Verdana" w:eastAsia="Calibri" w:hAnsi="Verdana" w:cs="Arial"/>
                <w:b/>
                <w:bCs/>
                <w:lang w:val="es-ES" w:eastAsia="es-ES"/>
              </w:rPr>
              <w:t>Concepto C- 692</w:t>
            </w:r>
            <w:r w:rsidRPr="003C75C4">
              <w:rPr>
                <w:rFonts w:ascii="Verdana" w:eastAsia="Calibri" w:hAnsi="Verdana" w:cs="Arial"/>
                <w:b/>
                <w:bCs/>
                <w:color w:val="7030A0"/>
                <w:lang w:val="es-ES" w:eastAsia="es-ES"/>
              </w:rPr>
              <w:t xml:space="preserve"> </w:t>
            </w:r>
            <w:r w:rsidRPr="003C75C4">
              <w:rPr>
                <w:rFonts w:ascii="Verdana" w:eastAsia="Calibri" w:hAnsi="Verdana" w:cs="Arial"/>
                <w:b/>
                <w:bCs/>
                <w:lang w:val="es-ES" w:eastAsia="es-ES"/>
              </w:rPr>
              <w:t>de</w:t>
            </w:r>
            <w:r w:rsidRPr="003C75C4">
              <w:rPr>
                <w:rFonts w:ascii="Verdana" w:eastAsia="Calibri" w:hAnsi="Verdana" w:cs="Arial"/>
                <w:b/>
                <w:bCs/>
                <w:color w:val="7030A0"/>
                <w:lang w:val="es-ES" w:eastAsia="es-ES"/>
              </w:rPr>
              <w:t xml:space="preserve"> </w:t>
            </w:r>
            <w:r w:rsidRPr="003C75C4">
              <w:rPr>
                <w:rFonts w:ascii="Verdana" w:eastAsia="Calibri" w:hAnsi="Verdana" w:cs="Arial"/>
                <w:b/>
                <w:bCs/>
                <w:lang w:val="es-ES" w:eastAsia="es-ES"/>
              </w:rPr>
              <w:t>2024</w:t>
            </w:r>
          </w:p>
        </w:tc>
      </w:tr>
      <w:tr w:rsidR="003C75C4" w:rsidRPr="003C75C4" w14:paraId="6057C4FC" w14:textId="77777777">
        <w:trPr>
          <w:trHeight w:val="948"/>
        </w:trPr>
        <w:tc>
          <w:tcPr>
            <w:tcW w:w="2780" w:type="dxa"/>
          </w:tcPr>
          <w:p w14:paraId="5795D65A" w14:textId="77777777" w:rsidR="003C75C4" w:rsidRPr="003C75C4" w:rsidRDefault="003C75C4" w:rsidP="003C75C4">
            <w:pPr>
              <w:jc w:val="both"/>
              <w:rPr>
                <w:rFonts w:ascii="Verdana" w:eastAsia="Calibri" w:hAnsi="Verdana" w:cs="Arial"/>
                <w:color w:val="000000"/>
                <w:lang w:val="es-ES_tradnl" w:eastAsia="es-ES_tradnl"/>
              </w:rPr>
            </w:pPr>
            <w:r w:rsidRPr="003C75C4">
              <w:rPr>
                <w:rFonts w:ascii="Verdana" w:eastAsia="Calibri" w:hAnsi="Verdana" w:cs="Arial"/>
                <w:b/>
                <w:color w:val="000000"/>
                <w:lang w:val="es-ES_tradnl" w:eastAsia="es-ES_tradnl"/>
              </w:rPr>
              <w:t>Temas:</w:t>
            </w:r>
            <w:r w:rsidRPr="003C75C4">
              <w:rPr>
                <w:rFonts w:ascii="Verdana" w:eastAsia="Calibri" w:hAnsi="Verdana" w:cs="Arial"/>
                <w:color w:val="000000"/>
                <w:lang w:val="es-ES_tradnl" w:eastAsia="es-ES_tradnl"/>
              </w:rPr>
              <w:t xml:space="preserve">                   </w:t>
            </w:r>
          </w:p>
        </w:tc>
        <w:tc>
          <w:tcPr>
            <w:tcW w:w="6308" w:type="dxa"/>
          </w:tcPr>
          <w:p w14:paraId="2A4D0CAB" w14:textId="77777777" w:rsidR="003C75C4" w:rsidRPr="003C75C4" w:rsidRDefault="003C75C4" w:rsidP="003C75C4">
            <w:pPr>
              <w:spacing w:line="276" w:lineRule="auto"/>
              <w:jc w:val="both"/>
              <w:rPr>
                <w:rFonts w:ascii="Verdana" w:eastAsia="Calibri" w:hAnsi="Verdana" w:cs="Arial"/>
                <w:lang w:val="es-ES" w:eastAsia="es-ES"/>
              </w:rPr>
            </w:pPr>
            <w:r w:rsidRPr="003C75C4">
              <w:rPr>
                <w:rFonts w:ascii="Verdana" w:eastAsia="Calibri" w:hAnsi="Verdana" w:cs="Arial"/>
                <w:lang w:val="es-ES" w:eastAsia="es-ES"/>
              </w:rPr>
              <w:t>DOCUMENTOS TIPO – Fundamento normativo – Ley 2022 de 2020 – DOCUMENTO TIPO DE CONSULTORIA – Concurso de méritos – Experiencia del equipo de trabajo y personal clave evaluable – Documentos soporte</w:t>
            </w:r>
          </w:p>
          <w:p w14:paraId="68EBCB05" w14:textId="77777777" w:rsidR="003C75C4" w:rsidRPr="003C75C4" w:rsidRDefault="003C75C4" w:rsidP="003C75C4">
            <w:pPr>
              <w:spacing w:line="276" w:lineRule="auto"/>
              <w:jc w:val="both"/>
              <w:rPr>
                <w:rFonts w:ascii="Verdana" w:eastAsia="Calibri" w:hAnsi="Verdana" w:cs="Arial"/>
                <w:lang w:val="es-ES" w:eastAsia="es-ES"/>
              </w:rPr>
            </w:pPr>
            <w:r w:rsidRPr="003C75C4">
              <w:rPr>
                <w:rFonts w:ascii="Verdana" w:eastAsia="Calibri" w:hAnsi="Verdana" w:cs="Arial"/>
                <w:lang w:val="es-ES" w:eastAsia="es-ES"/>
              </w:rPr>
              <w:t xml:space="preserve"> </w:t>
            </w:r>
          </w:p>
          <w:p w14:paraId="38D862EC" w14:textId="77777777" w:rsidR="003C75C4" w:rsidRPr="003C75C4" w:rsidRDefault="003C75C4" w:rsidP="003C75C4">
            <w:pPr>
              <w:spacing w:line="276" w:lineRule="auto"/>
              <w:jc w:val="both"/>
              <w:rPr>
                <w:rFonts w:ascii="Verdana" w:eastAsia="Calibri" w:hAnsi="Verdana" w:cs="Arial"/>
                <w:lang w:val="es-ES" w:eastAsia="es-ES"/>
              </w:rPr>
            </w:pPr>
          </w:p>
        </w:tc>
      </w:tr>
      <w:tr w:rsidR="003C75C4" w:rsidRPr="003C75C4" w14:paraId="07AB36B9" w14:textId="77777777">
        <w:trPr>
          <w:trHeight w:val="579"/>
        </w:trPr>
        <w:tc>
          <w:tcPr>
            <w:tcW w:w="2780" w:type="dxa"/>
          </w:tcPr>
          <w:p w14:paraId="222CDBCE" w14:textId="77777777" w:rsidR="003C75C4" w:rsidRPr="003C75C4" w:rsidRDefault="003C75C4" w:rsidP="003C75C4">
            <w:pPr>
              <w:jc w:val="both"/>
              <w:rPr>
                <w:rFonts w:ascii="Verdana" w:eastAsia="Calibri" w:hAnsi="Verdana" w:cs="Arial"/>
                <w:b/>
                <w:lang w:val="es-ES_tradnl" w:eastAsia="es-ES_tradnl"/>
              </w:rPr>
            </w:pPr>
            <w:r w:rsidRPr="003C75C4">
              <w:rPr>
                <w:rFonts w:ascii="Verdana" w:eastAsia="Calibri" w:hAnsi="Verdana" w:cs="Arial"/>
                <w:b/>
                <w:lang w:val="es-ES_tradnl" w:eastAsia="es-ES_tradnl"/>
              </w:rPr>
              <w:t xml:space="preserve"> Radicación:</w:t>
            </w:r>
            <w:r w:rsidRPr="003C75C4">
              <w:rPr>
                <w:rFonts w:ascii="Verdana" w:eastAsia="Calibri" w:hAnsi="Verdana" w:cs="Arial"/>
                <w:lang w:val="es-ES_tradnl" w:eastAsia="es-ES_tradnl"/>
              </w:rPr>
              <w:t xml:space="preserve">               </w:t>
            </w:r>
          </w:p>
        </w:tc>
        <w:tc>
          <w:tcPr>
            <w:tcW w:w="6308" w:type="dxa"/>
          </w:tcPr>
          <w:p w14:paraId="2DF922A9" w14:textId="77777777" w:rsidR="003C75C4" w:rsidRPr="003C75C4" w:rsidRDefault="003C75C4" w:rsidP="003C75C4">
            <w:pPr>
              <w:jc w:val="both"/>
              <w:rPr>
                <w:rFonts w:ascii="Verdana" w:eastAsia="Calibri" w:hAnsi="Verdana" w:cs="Arial"/>
                <w:lang w:val="es-ES_tradnl" w:eastAsia="es-ES_tradnl"/>
              </w:rPr>
            </w:pPr>
            <w:r w:rsidRPr="003C75C4">
              <w:rPr>
                <w:rFonts w:ascii="Verdana" w:eastAsia="Calibri" w:hAnsi="Verdana" w:cs="Arial"/>
                <w:lang w:val="es-ES_tradnl" w:eastAsia="es-ES_tradnl"/>
              </w:rPr>
              <w:t>Respuesta a consulta con radicado No. P20241003010109</w:t>
            </w:r>
          </w:p>
          <w:p w14:paraId="49B38968" w14:textId="77777777" w:rsidR="003C75C4" w:rsidRPr="003C75C4" w:rsidRDefault="003C75C4" w:rsidP="003C75C4">
            <w:pPr>
              <w:jc w:val="both"/>
              <w:rPr>
                <w:rFonts w:ascii="Verdana" w:eastAsia="Calibri" w:hAnsi="Verdana" w:cs="Arial"/>
                <w:lang w:val="es-ES_tradnl" w:eastAsia="es-ES_tradnl"/>
              </w:rPr>
            </w:pPr>
          </w:p>
        </w:tc>
      </w:tr>
    </w:tbl>
    <w:p w14:paraId="4E5F05D0" w14:textId="77777777" w:rsidR="003C75C4" w:rsidRPr="003C75C4" w:rsidRDefault="003C75C4" w:rsidP="003C75C4">
      <w:pPr>
        <w:spacing w:after="0" w:line="240" w:lineRule="auto"/>
        <w:jc w:val="both"/>
        <w:rPr>
          <w:rFonts w:ascii="Verdana" w:eastAsia="Calibri" w:hAnsi="Verdana" w:cs="Arial"/>
          <w:color w:val="000000"/>
          <w:lang w:val="es-ES_tradnl" w:eastAsia="es-ES_tradnl"/>
        </w:rPr>
      </w:pPr>
    </w:p>
    <w:p w14:paraId="2E6ED5A7" w14:textId="77777777" w:rsidR="003C75C4" w:rsidRPr="003C75C4" w:rsidRDefault="003C75C4" w:rsidP="003C75C4">
      <w:pPr>
        <w:spacing w:after="0" w:line="276" w:lineRule="auto"/>
        <w:jc w:val="both"/>
        <w:rPr>
          <w:rFonts w:ascii="Verdana" w:eastAsia="Calibri" w:hAnsi="Verdana" w:cs="Arial"/>
          <w:color w:val="000000" w:themeColor="text1"/>
          <w:lang w:val="es-ES" w:eastAsia="es-ES"/>
        </w:rPr>
      </w:pPr>
      <w:r w:rsidRPr="003C75C4">
        <w:rPr>
          <w:rFonts w:ascii="Verdana" w:eastAsia="Calibri" w:hAnsi="Verdana" w:cs="Arial"/>
          <w:color w:val="000000" w:themeColor="text1"/>
          <w:lang w:val="es-ES" w:eastAsia="es-ES"/>
        </w:rPr>
        <w:t>Estimado (a)</w:t>
      </w:r>
      <w:r w:rsidRPr="003C75C4">
        <w:rPr>
          <w:rFonts w:ascii="Verdana" w:eastAsia="Calibri" w:hAnsi="Verdana" w:cs="Arial"/>
          <w:lang w:val="es-ES" w:eastAsia="es-ES"/>
        </w:rPr>
        <w:t xml:space="preserve">: </w:t>
      </w:r>
    </w:p>
    <w:p w14:paraId="6D074061" w14:textId="77777777" w:rsidR="003C75C4" w:rsidRPr="003C75C4" w:rsidRDefault="003C75C4" w:rsidP="003C75C4">
      <w:pPr>
        <w:tabs>
          <w:tab w:val="left" w:pos="3768"/>
        </w:tabs>
        <w:spacing w:after="0" w:line="276" w:lineRule="auto"/>
        <w:jc w:val="both"/>
        <w:rPr>
          <w:rFonts w:ascii="Verdana" w:eastAsia="Calibri" w:hAnsi="Verdana" w:cs="Arial"/>
          <w:color w:val="000000" w:themeColor="text1"/>
          <w:lang w:val="es-ES" w:eastAsia="es-ES"/>
        </w:rPr>
      </w:pPr>
      <w:r w:rsidRPr="003C75C4">
        <w:rPr>
          <w:rFonts w:ascii="Verdana" w:eastAsia="Calibri" w:hAnsi="Verdana" w:cs="Arial"/>
          <w:color w:val="000000" w:themeColor="text1"/>
          <w:lang w:val="es-ES" w:eastAsia="es-ES"/>
        </w:rPr>
        <w:tab/>
      </w:r>
    </w:p>
    <w:p w14:paraId="4A3DCBD7" w14:textId="77777777" w:rsidR="003C75C4" w:rsidRPr="003C75C4" w:rsidRDefault="003C75C4" w:rsidP="003C75C4">
      <w:pPr>
        <w:spacing w:after="0" w:line="276" w:lineRule="auto"/>
        <w:jc w:val="both"/>
        <w:rPr>
          <w:rFonts w:ascii="Verdana" w:eastAsia="Calibri" w:hAnsi="Verdana" w:cs="Arial"/>
          <w:color w:val="7030A0"/>
          <w:lang w:val="es-ES" w:eastAsia="es-ES"/>
        </w:rPr>
      </w:pPr>
      <w:r w:rsidRPr="003C75C4">
        <w:rPr>
          <w:rFonts w:ascii="Verdana" w:eastAsia="Calibri" w:hAnsi="Verdana" w:cs="Arial"/>
          <w:color w:val="000000" w:themeColor="text1"/>
          <w:lang w:val="es-ES" w:eastAsia="es-ES"/>
        </w:rPr>
        <w:t>En ejercicio de la competencia otorgada por los artículos 3, numeral 5º, y 11, numeral 8º, del Decreto Ley 4170 de 2011,</w:t>
      </w:r>
      <w:r w:rsidRPr="003C75C4">
        <w:rPr>
          <w:rFonts w:ascii="Verdana" w:eastAsia="Arial MT" w:hAnsi="Verdana" w:cs="Arial MT"/>
          <w:lang w:val="es-ES" w:eastAsia="es-ES"/>
        </w:rPr>
        <w:t xml:space="preserve"> </w:t>
      </w:r>
      <w:r w:rsidRPr="003C75C4">
        <w:rPr>
          <w:rFonts w:ascii="Verdana" w:hAnsi="Verdana" w:cs="Arial"/>
        </w:rPr>
        <w:t xml:space="preserve">así como lo establecido en el artículo 4 de la Resolución 1707 de 2018 expedida por esta Entidad, </w:t>
      </w:r>
      <w:r w:rsidRPr="003C75C4">
        <w:rPr>
          <w:rFonts w:ascii="Verdana" w:eastAsia="Calibri" w:hAnsi="Verdana" w:cs="Arial"/>
          <w:color w:val="000000" w:themeColor="text1"/>
          <w:lang w:val="es-ES" w:eastAsia="es-ES"/>
        </w:rPr>
        <w:t xml:space="preserve">la Agencia Nacional de Contratación Pública – Colombia Compra Eficiente– responde su solicitud de consulta de </w:t>
      </w:r>
      <w:r w:rsidRPr="003C75C4">
        <w:rPr>
          <w:rFonts w:ascii="Verdana" w:eastAsia="Calibri" w:hAnsi="Verdana" w:cs="Arial"/>
          <w:lang w:val="es-ES" w:eastAsia="es-ES"/>
        </w:rPr>
        <w:t xml:space="preserve">fecha 03 de octubre de 2024 en la cual manifiesta lo siguiente: </w:t>
      </w:r>
    </w:p>
    <w:p w14:paraId="3FC1C1A9" w14:textId="77777777" w:rsidR="003C75C4" w:rsidRPr="003C75C4" w:rsidRDefault="003C75C4" w:rsidP="003C75C4">
      <w:pPr>
        <w:spacing w:after="0" w:line="240" w:lineRule="auto"/>
        <w:ind w:left="709" w:right="709"/>
        <w:jc w:val="both"/>
        <w:rPr>
          <w:rFonts w:ascii="Verdana" w:eastAsia="Century Gothic" w:hAnsi="Verdana" w:cs="Century Gothic"/>
          <w:color w:val="7030A0"/>
          <w:sz w:val="20"/>
          <w:szCs w:val="20"/>
          <w:lang w:val="es-ES"/>
        </w:rPr>
      </w:pPr>
    </w:p>
    <w:p w14:paraId="072F3FF9" w14:textId="6E326AD1" w:rsidR="003C75C4" w:rsidRPr="003C75C4" w:rsidRDefault="003C75C4" w:rsidP="003C75C4">
      <w:pPr>
        <w:autoSpaceDE w:val="0"/>
        <w:autoSpaceDN w:val="0"/>
        <w:adjustRightInd w:val="0"/>
        <w:spacing w:after="0" w:line="240" w:lineRule="auto"/>
        <w:ind w:left="709" w:right="709"/>
        <w:jc w:val="both"/>
        <w:rPr>
          <w:rFonts w:ascii="Verdana" w:hAnsi="Verdana" w:cs="ArialMT"/>
          <w:sz w:val="20"/>
          <w:szCs w:val="20"/>
        </w:rPr>
      </w:pPr>
      <w:r w:rsidRPr="003C75C4">
        <w:rPr>
          <w:rFonts w:ascii="Verdana" w:hAnsi="Verdana" w:cs="ArialMT"/>
          <w:sz w:val="20"/>
          <w:szCs w:val="20"/>
        </w:rPr>
        <w:t>“Dentro de los pliegos tipo para proyectos de infraestructura de Consultoría se establece en el numeral 10.2.1 DISPOSICIONES GENERALES PARA LA VALIDES DE LA EXPERIENCIA DEL EQUIPO DE TRABAJO Y DEL PERSONAL CLAVE EVALUABLE, la entidad tendrá en cuenta los siguientes aspectos para analizar la experiencia acreditada y que la misma sea válida una vez celebrado el contrato de consultoría, en este entendido, ¿es válida para cuantificación de experiencia de los profesionales consideraciones que se dieron circunstancias con posterioridad al cierre del proceso pero antes de la adjudicación?”</w:t>
      </w:r>
    </w:p>
    <w:p w14:paraId="3AB5E330" w14:textId="77777777" w:rsidR="003C75C4" w:rsidRPr="003C75C4" w:rsidRDefault="003C75C4" w:rsidP="003C75C4">
      <w:pPr>
        <w:autoSpaceDE w:val="0"/>
        <w:autoSpaceDN w:val="0"/>
        <w:adjustRightInd w:val="0"/>
        <w:spacing w:after="0" w:line="240" w:lineRule="auto"/>
        <w:ind w:left="709" w:right="709"/>
        <w:jc w:val="both"/>
        <w:rPr>
          <w:rFonts w:ascii="Verdana" w:hAnsi="Verdana" w:cs="ArialMT"/>
          <w:sz w:val="20"/>
          <w:szCs w:val="20"/>
        </w:rPr>
      </w:pPr>
    </w:p>
    <w:p w14:paraId="7E3ACC34" w14:textId="77777777" w:rsidR="003C75C4" w:rsidRPr="003C75C4" w:rsidRDefault="003C75C4" w:rsidP="003C75C4">
      <w:pPr>
        <w:spacing w:after="120" w:line="276" w:lineRule="auto"/>
        <w:ind w:firstLine="709"/>
        <w:jc w:val="both"/>
        <w:rPr>
          <w:rFonts w:ascii="Verdana" w:eastAsia="Calibri" w:hAnsi="Verdana" w:cs="Arial"/>
          <w:color w:val="000000"/>
          <w:szCs w:val="24"/>
          <w:lang w:val="es-ES_tradnl" w:eastAsia="es-ES_tradnl"/>
        </w:rPr>
      </w:pPr>
      <w:r w:rsidRPr="003C75C4">
        <w:rPr>
          <w:rFonts w:ascii="Verdana" w:eastAsia="Calibri" w:hAnsi="Verdana" w:cs="Arial"/>
          <w:color w:val="000000"/>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3C75C4">
        <w:rPr>
          <w:rFonts w:ascii="Verdana" w:eastAsia="Calibri" w:hAnsi="Verdana" w:cs="Arial"/>
          <w:color w:val="000000"/>
          <w:szCs w:val="24"/>
          <w:lang w:val="es-ES_tradnl" w:eastAsia="es-ES_tradnl"/>
        </w:rPr>
        <w:tab/>
      </w:r>
    </w:p>
    <w:p w14:paraId="30B8D03E" w14:textId="77777777" w:rsidR="003C75C4" w:rsidRPr="003C75C4" w:rsidRDefault="003C75C4" w:rsidP="003C75C4">
      <w:pPr>
        <w:spacing w:after="0" w:line="276" w:lineRule="auto"/>
        <w:ind w:firstLine="709"/>
        <w:jc w:val="both"/>
        <w:rPr>
          <w:rFonts w:ascii="Verdana" w:eastAsia="Calibri" w:hAnsi="Verdana" w:cs="Arial"/>
          <w:color w:val="000000"/>
          <w:lang w:val="es-ES" w:eastAsia="es-ES"/>
        </w:rPr>
      </w:pPr>
      <w:r w:rsidRPr="003C75C4">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3C75C4">
        <w:rPr>
          <w:rFonts w:ascii="Verdana" w:eastAsia="Calibri" w:hAnsi="Verdana" w:cs="Arial"/>
          <w:color w:val="7030A0"/>
          <w:lang w:val="es-ES" w:eastAsia="es-ES"/>
        </w:rPr>
        <w:t xml:space="preserve"> </w:t>
      </w:r>
      <w:r w:rsidRPr="003C75C4">
        <w:rPr>
          <w:rFonts w:ascii="Verdana" w:eastAsia="Calibri" w:hAnsi="Verdana" w:cs="Arial"/>
          <w:color w:val="000000"/>
          <w:lang w:val="es-ES" w:eastAsia="es-ES"/>
        </w:rPr>
        <w:t>jurídico</w:t>
      </w:r>
      <w:r w:rsidRPr="003C75C4">
        <w:rPr>
          <w:rFonts w:ascii="Verdana" w:eastAsia="Calibri" w:hAnsi="Verdana" w:cs="Arial"/>
          <w:color w:val="7030A0"/>
          <w:lang w:val="es-ES" w:eastAsia="es-ES"/>
        </w:rPr>
        <w:t xml:space="preserve"> </w:t>
      </w:r>
      <w:r w:rsidRPr="003C75C4">
        <w:rPr>
          <w:rFonts w:ascii="Verdana" w:eastAsia="Calibri" w:hAnsi="Verdana" w:cs="Arial"/>
          <w:color w:val="000000"/>
          <w:lang w:val="es-ES" w:eastAsia="es-ES"/>
        </w:rPr>
        <w:t xml:space="preserve">de su consulta. </w:t>
      </w:r>
    </w:p>
    <w:p w14:paraId="3D199CFC" w14:textId="77777777" w:rsidR="003C75C4" w:rsidRPr="003C75C4" w:rsidRDefault="003C75C4" w:rsidP="003C75C4">
      <w:pPr>
        <w:spacing w:after="0" w:line="276" w:lineRule="auto"/>
        <w:ind w:firstLine="709"/>
        <w:jc w:val="both"/>
        <w:rPr>
          <w:rFonts w:ascii="Verdana" w:eastAsia="Calibri" w:hAnsi="Verdana" w:cs="Arial"/>
          <w:color w:val="000000"/>
          <w:lang w:val="es-ES" w:eastAsia="es-ES"/>
        </w:rPr>
      </w:pPr>
    </w:p>
    <w:p w14:paraId="1AA84DCF" w14:textId="77777777" w:rsidR="003C75C4" w:rsidRPr="003C75C4" w:rsidRDefault="003C75C4" w:rsidP="003C75C4">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3C75C4">
        <w:rPr>
          <w:rFonts w:ascii="Verdana" w:eastAsia="Century Gothic" w:hAnsi="Verdana" w:cs="Century Gothic"/>
          <w:b/>
          <w:bCs/>
          <w:lang w:val="es-ES"/>
        </w:rPr>
        <w:t>Problema planteado:</w:t>
      </w:r>
    </w:p>
    <w:p w14:paraId="45BDC502" w14:textId="77777777" w:rsidR="003C75C4" w:rsidRPr="003C75C4" w:rsidRDefault="003C75C4" w:rsidP="003C75C4">
      <w:pPr>
        <w:tabs>
          <w:tab w:val="left" w:pos="426"/>
        </w:tabs>
        <w:spacing w:after="0" w:line="276" w:lineRule="auto"/>
        <w:jc w:val="both"/>
        <w:rPr>
          <w:rFonts w:ascii="Verdana" w:eastAsia="Century Gothic" w:hAnsi="Verdana" w:cs="Century Gothic"/>
          <w:lang w:val="es-ES"/>
        </w:rPr>
      </w:pPr>
    </w:p>
    <w:p w14:paraId="1C3BAA28" w14:textId="7A00FB0F" w:rsidR="003C75C4" w:rsidRPr="003C75C4" w:rsidRDefault="003C75C4" w:rsidP="003C75C4">
      <w:pPr>
        <w:spacing w:after="0" w:line="276" w:lineRule="auto"/>
        <w:jc w:val="both"/>
        <w:rPr>
          <w:rFonts w:ascii="Verdana" w:eastAsia="Century Gothic" w:hAnsi="Verdana" w:cs="Century Gothic"/>
        </w:rPr>
      </w:pPr>
      <w:r w:rsidRPr="003C75C4">
        <w:rPr>
          <w:rFonts w:ascii="Verdana" w:eastAsia="Century Gothic" w:hAnsi="Verdana" w:cs="Century Gothic"/>
        </w:rPr>
        <w:t>De acuerdo con el contenido de su solicitud, esta Agencia resolverá el siguiente problema jurídico: ¿Es válida la experiencia de los profesionales del personal clave evaluable obtenida después del cierre del proceso</w:t>
      </w:r>
      <w:r w:rsidR="00336850" w:rsidRPr="003C75C4">
        <w:rPr>
          <w:rFonts w:ascii="Verdana" w:eastAsia="Century Gothic" w:hAnsi="Verdana" w:cs="Century Gothic"/>
        </w:rPr>
        <w:t>,</w:t>
      </w:r>
      <w:r w:rsidRPr="003C75C4">
        <w:rPr>
          <w:rFonts w:ascii="Verdana" w:eastAsia="Century Gothic" w:hAnsi="Verdana" w:cs="Century Gothic"/>
        </w:rPr>
        <w:t xml:space="preserve"> pero antes de la adjudicación del contrato?</w:t>
      </w:r>
    </w:p>
    <w:p w14:paraId="6419EC06" w14:textId="77777777" w:rsidR="003C75C4" w:rsidRPr="003C75C4" w:rsidRDefault="003C75C4" w:rsidP="003C75C4">
      <w:pPr>
        <w:spacing w:after="0" w:line="276" w:lineRule="auto"/>
        <w:jc w:val="both"/>
        <w:rPr>
          <w:rFonts w:ascii="Verdana" w:eastAsia="Calibri" w:hAnsi="Verdana" w:cs="Arial"/>
          <w:color w:val="7030A0"/>
          <w:lang w:val="es-ES"/>
        </w:rPr>
      </w:pPr>
    </w:p>
    <w:p w14:paraId="518099FD" w14:textId="77777777" w:rsidR="003C75C4" w:rsidRPr="003C75C4" w:rsidRDefault="003C75C4" w:rsidP="003C75C4">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3C75C4">
        <w:rPr>
          <w:rFonts w:ascii="Verdana" w:eastAsia="Century Gothic" w:hAnsi="Verdana" w:cs="Century Gothic"/>
          <w:b/>
          <w:bCs/>
          <w:lang w:val="es-ES"/>
        </w:rPr>
        <w:t>Respuesta:</w:t>
      </w:r>
    </w:p>
    <w:p w14:paraId="4DA069C2" w14:textId="77777777" w:rsidR="003C75C4" w:rsidRPr="003C75C4" w:rsidRDefault="003C75C4" w:rsidP="003C75C4">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C75C4" w:rsidRPr="003C75C4" w14:paraId="3CEEF629" w14:textId="77777777">
        <w:tc>
          <w:tcPr>
            <w:tcW w:w="8828" w:type="dxa"/>
            <w:shd w:val="clear" w:color="auto" w:fill="auto"/>
          </w:tcPr>
          <w:p w14:paraId="1E061211" w14:textId="5930464B" w:rsidR="003C75C4" w:rsidRPr="003C75C4" w:rsidRDefault="003C75C4" w:rsidP="003C75C4">
            <w:pPr>
              <w:jc w:val="both"/>
              <w:rPr>
                <w:rFonts w:ascii="Verdana" w:eastAsia="Calibri" w:hAnsi="Verdana" w:cs="Arial"/>
                <w:color w:val="000000"/>
                <w:szCs w:val="24"/>
                <w:lang w:val="es-ES" w:eastAsia="es-ES_tradnl"/>
              </w:rPr>
            </w:pPr>
            <w:r w:rsidRPr="003C75C4">
              <w:rPr>
                <w:rFonts w:ascii="Verdana" w:eastAsia="Calibri" w:hAnsi="Verdana" w:cs="Arial"/>
                <w:color w:val="000000"/>
                <w:szCs w:val="24"/>
                <w:lang w:val="es-ES" w:eastAsia="es-ES_tradnl"/>
              </w:rPr>
              <w:t>Los integrantes del equipo de trabajo una vez celebrado el contrato derivado del proceso de contratación, y según la instancia definida por la Entidad para verificar los documentos soporte, deberán acreditar la experiencia que pretendan hacer valer con los siguientes documentos:</w:t>
            </w:r>
          </w:p>
          <w:p w14:paraId="32901561" w14:textId="77777777" w:rsidR="003C75C4" w:rsidRPr="003C75C4" w:rsidRDefault="003C75C4" w:rsidP="003C75C4">
            <w:pPr>
              <w:jc w:val="both"/>
              <w:rPr>
                <w:rFonts w:ascii="Verdana" w:eastAsia="Calibri" w:hAnsi="Verdana" w:cs="Arial"/>
                <w:color w:val="000000"/>
                <w:szCs w:val="24"/>
                <w:lang w:val="es-ES" w:eastAsia="es-ES_tradnl"/>
              </w:rPr>
            </w:pPr>
          </w:p>
          <w:p w14:paraId="5C90FC35" w14:textId="77777777" w:rsidR="003C75C4" w:rsidRPr="003C75C4" w:rsidRDefault="003C75C4" w:rsidP="003C75C4">
            <w:pPr>
              <w:numPr>
                <w:ilvl w:val="0"/>
                <w:numId w:val="18"/>
              </w:numPr>
              <w:contextualSpacing/>
              <w:jc w:val="both"/>
              <w:rPr>
                <w:rFonts w:ascii="Verdana" w:eastAsia="Calibri" w:hAnsi="Verdana" w:cs="Arial"/>
                <w:color w:val="000000"/>
                <w:szCs w:val="24"/>
                <w:lang w:val="es-ES" w:eastAsia="es-ES_tradnl"/>
              </w:rPr>
            </w:pPr>
            <w:r w:rsidRPr="003C75C4">
              <w:rPr>
                <w:rFonts w:ascii="Verdana" w:eastAsia="Calibri" w:hAnsi="Verdana" w:cs="Arial"/>
                <w:color w:val="000000"/>
                <w:szCs w:val="24"/>
                <w:lang w:val="es-ES" w:eastAsia="es-ES_tradnl"/>
              </w:rPr>
              <w:t xml:space="preserve">Certificados laborales o de ejecución de su experiencia profesional. </w:t>
            </w:r>
          </w:p>
          <w:p w14:paraId="41287284" w14:textId="77777777" w:rsidR="003C75C4" w:rsidRPr="003C75C4" w:rsidRDefault="003C75C4" w:rsidP="003C75C4">
            <w:pPr>
              <w:numPr>
                <w:ilvl w:val="0"/>
                <w:numId w:val="18"/>
              </w:numPr>
              <w:contextualSpacing/>
              <w:jc w:val="both"/>
              <w:rPr>
                <w:rFonts w:ascii="Verdana" w:eastAsia="Calibri" w:hAnsi="Verdana" w:cs="Arial"/>
                <w:color w:val="000000"/>
                <w:szCs w:val="24"/>
                <w:lang w:val="es-ES" w:eastAsia="es-ES_tradnl"/>
              </w:rPr>
            </w:pPr>
            <w:r w:rsidRPr="003C75C4">
              <w:rPr>
                <w:rFonts w:ascii="Verdana" w:eastAsia="Calibri" w:hAnsi="Verdana" w:cs="Arial"/>
                <w:color w:val="000000"/>
                <w:szCs w:val="24"/>
                <w:lang w:val="es-ES" w:eastAsia="es-ES_tradnl"/>
              </w:rPr>
              <w:t xml:space="preserve">Actas de liquidación o actas de terminación de los contratos, en caso de aplicar. </w:t>
            </w:r>
          </w:p>
          <w:p w14:paraId="47BE160F" w14:textId="77777777" w:rsidR="003C75C4" w:rsidRPr="003C75C4" w:rsidRDefault="003C75C4" w:rsidP="003C75C4">
            <w:pPr>
              <w:numPr>
                <w:ilvl w:val="0"/>
                <w:numId w:val="18"/>
              </w:numPr>
              <w:contextualSpacing/>
              <w:jc w:val="both"/>
              <w:rPr>
                <w:rFonts w:ascii="Verdana" w:eastAsia="Calibri" w:hAnsi="Verdana" w:cs="Arial"/>
                <w:color w:val="000000"/>
                <w:szCs w:val="24"/>
                <w:lang w:val="es-ES" w:eastAsia="es-ES_tradnl"/>
              </w:rPr>
            </w:pPr>
            <w:r w:rsidRPr="003C75C4">
              <w:rPr>
                <w:rFonts w:ascii="Verdana" w:eastAsia="Calibri" w:hAnsi="Verdana" w:cs="Arial"/>
                <w:color w:val="000000"/>
                <w:szCs w:val="24"/>
                <w:lang w:val="es-ES" w:eastAsia="es-ES_tradnl"/>
              </w:rPr>
              <w:t xml:space="preserve">Copia de los contratos en los cuales laboró o ejerció las actividades respectivas. </w:t>
            </w:r>
          </w:p>
          <w:p w14:paraId="62610AB3" w14:textId="77777777" w:rsidR="003C75C4" w:rsidRPr="003C75C4" w:rsidRDefault="003C75C4" w:rsidP="003C75C4">
            <w:pPr>
              <w:numPr>
                <w:ilvl w:val="0"/>
                <w:numId w:val="18"/>
              </w:numPr>
              <w:contextualSpacing/>
              <w:jc w:val="both"/>
              <w:rPr>
                <w:rFonts w:ascii="Verdana" w:eastAsia="Calibri" w:hAnsi="Verdana" w:cs="Arial"/>
                <w:color w:val="000000"/>
                <w:szCs w:val="24"/>
                <w:lang w:val="es-ES" w:eastAsia="es-ES_tradnl"/>
              </w:rPr>
            </w:pPr>
            <w:r w:rsidRPr="003C75C4">
              <w:rPr>
                <w:rFonts w:ascii="Verdana" w:eastAsia="Calibri" w:hAnsi="Verdana" w:cs="Arial"/>
                <w:color w:val="000000"/>
                <w:szCs w:val="24"/>
                <w:lang w:val="es-ES" w:eastAsia="es-ES_tradnl"/>
              </w:rPr>
              <w:t>Copia de las resoluciones de nombramiento y de posesión para cargos públicos.</w:t>
            </w:r>
          </w:p>
          <w:p w14:paraId="3FE45948" w14:textId="77777777" w:rsidR="003C75C4" w:rsidRPr="003C75C4" w:rsidRDefault="003C75C4" w:rsidP="003C75C4">
            <w:pPr>
              <w:rPr>
                <w:rFonts w:ascii="Verdana" w:eastAsia="Calibri" w:hAnsi="Verdana" w:cs="Arial"/>
                <w:color w:val="000000"/>
                <w:szCs w:val="24"/>
                <w:lang w:val="es-ES" w:eastAsia="es-ES_tradnl"/>
              </w:rPr>
            </w:pPr>
          </w:p>
          <w:p w14:paraId="3641FA58" w14:textId="77777777" w:rsidR="003C75C4" w:rsidRPr="003C75C4" w:rsidRDefault="003C75C4" w:rsidP="003C75C4">
            <w:pPr>
              <w:rPr>
                <w:rFonts w:ascii="Verdana" w:eastAsia="Calibri" w:hAnsi="Verdana" w:cs="Arial"/>
                <w:color w:val="000000"/>
                <w:szCs w:val="24"/>
                <w:lang w:val="es-ES" w:eastAsia="es-ES_tradnl"/>
              </w:rPr>
            </w:pPr>
            <w:r w:rsidRPr="003C75C4">
              <w:rPr>
                <w:rFonts w:ascii="Verdana" w:eastAsia="Calibri" w:hAnsi="Verdana" w:cs="Arial"/>
                <w:color w:val="000000"/>
                <w:szCs w:val="24"/>
                <w:lang w:val="es-ES" w:eastAsia="es-ES_tradnl"/>
              </w:rPr>
              <w:t xml:space="preserve">Mediante los documentos anteriores, se deberá acreditar, como mínimo, la siguiente información: </w:t>
            </w:r>
          </w:p>
          <w:p w14:paraId="1C2DDDFC" w14:textId="77777777" w:rsidR="003C75C4" w:rsidRPr="003C75C4" w:rsidRDefault="003C75C4" w:rsidP="003C75C4">
            <w:pPr>
              <w:rPr>
                <w:rFonts w:ascii="Verdana" w:eastAsia="Calibri" w:hAnsi="Verdana" w:cs="Arial"/>
                <w:color w:val="000000"/>
                <w:szCs w:val="24"/>
                <w:lang w:val="es-ES" w:eastAsia="es-ES_tradnl"/>
              </w:rPr>
            </w:pPr>
          </w:p>
          <w:p w14:paraId="26A9C21F" w14:textId="77777777" w:rsidR="003C75C4" w:rsidRPr="003C75C4" w:rsidRDefault="003C75C4" w:rsidP="003C75C4">
            <w:pPr>
              <w:numPr>
                <w:ilvl w:val="0"/>
                <w:numId w:val="19"/>
              </w:numPr>
              <w:contextualSpacing/>
              <w:jc w:val="both"/>
              <w:rPr>
                <w:rFonts w:ascii="Verdana" w:eastAsia="Calibri" w:hAnsi="Verdana" w:cs="Arial"/>
                <w:color w:val="000000"/>
                <w:szCs w:val="24"/>
                <w:lang w:val="es-ES" w:eastAsia="es-ES_tradnl"/>
              </w:rPr>
            </w:pPr>
            <w:r w:rsidRPr="003C75C4">
              <w:rPr>
                <w:rFonts w:ascii="Verdana" w:eastAsia="Calibri" w:hAnsi="Verdana" w:cs="Arial"/>
                <w:color w:val="000000"/>
                <w:szCs w:val="24"/>
                <w:lang w:val="es-ES" w:eastAsia="es-ES_tradnl"/>
              </w:rPr>
              <w:t>Contratante.</w:t>
            </w:r>
          </w:p>
          <w:p w14:paraId="5988F43B" w14:textId="77777777" w:rsidR="003C75C4" w:rsidRPr="003C75C4" w:rsidRDefault="003C75C4" w:rsidP="003C75C4">
            <w:pPr>
              <w:numPr>
                <w:ilvl w:val="0"/>
                <w:numId w:val="19"/>
              </w:numPr>
              <w:contextualSpacing/>
              <w:jc w:val="both"/>
              <w:rPr>
                <w:rFonts w:ascii="Verdana" w:eastAsia="Calibri" w:hAnsi="Verdana" w:cs="Arial"/>
                <w:color w:val="000000"/>
                <w:szCs w:val="24"/>
                <w:lang w:val="es-ES" w:eastAsia="es-ES_tradnl"/>
              </w:rPr>
            </w:pPr>
            <w:r w:rsidRPr="003C75C4">
              <w:rPr>
                <w:rFonts w:ascii="Verdana" w:eastAsia="Calibri" w:hAnsi="Verdana" w:cs="Arial"/>
                <w:color w:val="000000"/>
                <w:szCs w:val="24"/>
                <w:lang w:val="es-ES" w:eastAsia="es-ES_tradnl"/>
              </w:rPr>
              <w:t>Contratista.</w:t>
            </w:r>
          </w:p>
          <w:p w14:paraId="760E5485" w14:textId="77777777" w:rsidR="003C75C4" w:rsidRPr="003C75C4" w:rsidRDefault="003C75C4" w:rsidP="003C75C4">
            <w:pPr>
              <w:numPr>
                <w:ilvl w:val="0"/>
                <w:numId w:val="19"/>
              </w:numPr>
              <w:contextualSpacing/>
              <w:jc w:val="both"/>
              <w:rPr>
                <w:rFonts w:ascii="Verdana" w:eastAsia="Calibri" w:hAnsi="Verdana" w:cs="Arial"/>
                <w:color w:val="000000"/>
                <w:szCs w:val="24"/>
                <w:lang w:val="es-ES" w:eastAsia="es-ES_tradnl"/>
              </w:rPr>
            </w:pPr>
            <w:r w:rsidRPr="003C75C4">
              <w:rPr>
                <w:rFonts w:ascii="Verdana" w:eastAsia="Calibri" w:hAnsi="Verdana" w:cs="Arial"/>
                <w:color w:val="000000"/>
                <w:szCs w:val="24"/>
                <w:lang w:val="es-ES" w:eastAsia="es-ES_tradnl"/>
              </w:rPr>
              <w:t>Objeto del contrato.</w:t>
            </w:r>
          </w:p>
          <w:p w14:paraId="1ECD7166" w14:textId="77777777" w:rsidR="003C75C4" w:rsidRPr="003C75C4" w:rsidRDefault="003C75C4" w:rsidP="003C75C4">
            <w:pPr>
              <w:numPr>
                <w:ilvl w:val="0"/>
                <w:numId w:val="19"/>
              </w:numPr>
              <w:contextualSpacing/>
              <w:jc w:val="both"/>
              <w:rPr>
                <w:rFonts w:ascii="Verdana" w:eastAsia="Calibri" w:hAnsi="Verdana" w:cs="Arial"/>
                <w:color w:val="000000"/>
                <w:szCs w:val="24"/>
                <w:lang w:val="es-ES" w:eastAsia="es-ES_tradnl"/>
              </w:rPr>
            </w:pPr>
            <w:r w:rsidRPr="003C75C4">
              <w:rPr>
                <w:rFonts w:ascii="Verdana" w:eastAsia="Calibri" w:hAnsi="Verdana" w:cs="Arial"/>
                <w:color w:val="000000"/>
                <w:szCs w:val="24"/>
                <w:lang w:val="es-ES" w:eastAsia="es-ES_tradnl"/>
              </w:rPr>
              <w:t xml:space="preserve">Principales actividades u obligaciones desarrolladas. </w:t>
            </w:r>
          </w:p>
          <w:p w14:paraId="4A840BEE" w14:textId="77777777" w:rsidR="003C75C4" w:rsidRPr="003C75C4" w:rsidRDefault="003C75C4" w:rsidP="003C75C4">
            <w:pPr>
              <w:numPr>
                <w:ilvl w:val="0"/>
                <w:numId w:val="19"/>
              </w:numPr>
              <w:contextualSpacing/>
              <w:jc w:val="both"/>
              <w:rPr>
                <w:rFonts w:ascii="Verdana" w:eastAsia="Calibri" w:hAnsi="Verdana" w:cs="Arial"/>
                <w:color w:val="000000"/>
                <w:szCs w:val="24"/>
                <w:lang w:val="es-ES" w:eastAsia="es-ES_tradnl"/>
              </w:rPr>
            </w:pPr>
            <w:r w:rsidRPr="003C75C4">
              <w:rPr>
                <w:rFonts w:ascii="Verdana" w:eastAsia="Calibri" w:hAnsi="Verdana" w:cs="Arial"/>
                <w:color w:val="000000"/>
                <w:szCs w:val="24"/>
                <w:lang w:val="es-ES" w:eastAsia="es-ES_tradnl"/>
              </w:rPr>
              <w:t xml:space="preserve">La fecha de iniciación de la ejecución del Contrato. </w:t>
            </w:r>
          </w:p>
          <w:p w14:paraId="46CA73F1" w14:textId="77777777" w:rsidR="003C75C4" w:rsidRPr="003C75C4" w:rsidRDefault="003C75C4" w:rsidP="003C75C4">
            <w:pPr>
              <w:numPr>
                <w:ilvl w:val="0"/>
                <w:numId w:val="19"/>
              </w:numPr>
              <w:contextualSpacing/>
              <w:jc w:val="both"/>
              <w:rPr>
                <w:rFonts w:ascii="Verdana" w:eastAsia="Calibri" w:hAnsi="Verdana" w:cs="Arial"/>
                <w:color w:val="000000"/>
                <w:szCs w:val="24"/>
                <w:lang w:val="es-ES" w:eastAsia="es-ES_tradnl"/>
              </w:rPr>
            </w:pPr>
            <w:r w:rsidRPr="003C75C4">
              <w:rPr>
                <w:rFonts w:ascii="Verdana" w:eastAsia="Calibri" w:hAnsi="Verdana" w:cs="Arial"/>
                <w:color w:val="000000"/>
                <w:szCs w:val="24"/>
                <w:lang w:val="es-ES" w:eastAsia="es-ES_tradnl"/>
              </w:rPr>
              <w:t xml:space="preserve">La fecha de terminación de la ejecución del Contrato. </w:t>
            </w:r>
          </w:p>
          <w:p w14:paraId="5FCEAD28" w14:textId="77777777" w:rsidR="003C75C4" w:rsidRPr="003C75C4" w:rsidRDefault="003C75C4" w:rsidP="003C75C4">
            <w:pPr>
              <w:numPr>
                <w:ilvl w:val="0"/>
                <w:numId w:val="19"/>
              </w:numPr>
              <w:contextualSpacing/>
              <w:jc w:val="both"/>
              <w:rPr>
                <w:rFonts w:ascii="Verdana" w:eastAsia="Calibri" w:hAnsi="Verdana" w:cs="Arial"/>
                <w:color w:val="000000"/>
                <w:szCs w:val="24"/>
                <w:lang w:val="es-ES" w:eastAsia="es-ES_tradnl"/>
              </w:rPr>
            </w:pPr>
            <w:r w:rsidRPr="003C75C4">
              <w:rPr>
                <w:rFonts w:ascii="Verdana" w:eastAsia="Calibri" w:hAnsi="Verdana" w:cs="Arial"/>
                <w:color w:val="000000"/>
                <w:szCs w:val="24"/>
                <w:lang w:val="es-ES" w:eastAsia="es-ES_tradnl"/>
              </w:rPr>
              <w:t xml:space="preserve">Nombre y cargo de la persona que expide la certificación. </w:t>
            </w:r>
          </w:p>
          <w:p w14:paraId="16D5B1BF" w14:textId="77777777" w:rsidR="003C75C4" w:rsidRPr="003C75C4" w:rsidRDefault="003C75C4" w:rsidP="003C75C4">
            <w:pPr>
              <w:numPr>
                <w:ilvl w:val="0"/>
                <w:numId w:val="19"/>
              </w:numPr>
              <w:contextualSpacing/>
              <w:jc w:val="both"/>
              <w:rPr>
                <w:rFonts w:ascii="Verdana" w:eastAsia="Calibri" w:hAnsi="Verdana" w:cs="Arial"/>
                <w:color w:val="000000"/>
                <w:szCs w:val="24"/>
                <w:lang w:val="es-ES" w:eastAsia="es-ES_tradnl"/>
              </w:rPr>
            </w:pPr>
            <w:r w:rsidRPr="003C75C4">
              <w:rPr>
                <w:rFonts w:ascii="Verdana" w:eastAsia="Calibri" w:hAnsi="Verdana" w:cs="Arial"/>
                <w:color w:val="000000"/>
                <w:szCs w:val="24"/>
                <w:lang w:val="es-ES" w:eastAsia="es-ES_tradnl"/>
              </w:rPr>
              <w:t>Porcentaje de dedicación para el cargo respectivo. En caso tal de no existir la discriminación del porcentaje de dedicación se tomará como el 100% de dedicación.</w:t>
            </w:r>
          </w:p>
          <w:p w14:paraId="1F10BA8A" w14:textId="77777777" w:rsidR="003C75C4" w:rsidRPr="003C75C4" w:rsidRDefault="003C75C4" w:rsidP="003C75C4">
            <w:pPr>
              <w:rPr>
                <w:rFonts w:ascii="Verdana" w:eastAsia="Calibri" w:hAnsi="Verdana" w:cs="Arial"/>
                <w:color w:val="000000"/>
                <w:szCs w:val="24"/>
                <w:lang w:val="es-ES" w:eastAsia="es-ES_tradnl"/>
              </w:rPr>
            </w:pPr>
          </w:p>
          <w:p w14:paraId="5FD104EA" w14:textId="77777777" w:rsidR="003C75C4" w:rsidRPr="003C75C4" w:rsidRDefault="003C75C4" w:rsidP="003C75C4">
            <w:pPr>
              <w:rPr>
                <w:rFonts w:ascii="Verdana" w:eastAsia="Calibri" w:hAnsi="Verdana" w:cs="Arial"/>
                <w:color w:val="000000"/>
                <w:szCs w:val="24"/>
                <w:lang w:val="es-ES" w:eastAsia="es-ES_tradnl"/>
              </w:rPr>
            </w:pPr>
            <w:r w:rsidRPr="003C75C4">
              <w:rPr>
                <w:rFonts w:ascii="Verdana" w:eastAsia="Calibri" w:hAnsi="Verdana" w:cs="Arial"/>
                <w:color w:val="000000"/>
                <w:szCs w:val="24"/>
                <w:lang w:val="es-ES" w:eastAsia="es-ES_tradnl"/>
              </w:rPr>
              <w:t xml:space="preserve">La contabilización de la experiencia se realizará en años. En caso de que el año no esté completo se realizará la conversión de meses o días a años. </w:t>
            </w:r>
          </w:p>
          <w:p w14:paraId="70B67B77" w14:textId="77777777" w:rsidR="003C75C4" w:rsidRPr="003C75C4" w:rsidRDefault="003C75C4" w:rsidP="003C75C4">
            <w:pPr>
              <w:rPr>
                <w:rFonts w:ascii="Verdana" w:eastAsia="Calibri" w:hAnsi="Verdana" w:cs="Arial"/>
                <w:color w:val="000000"/>
                <w:szCs w:val="24"/>
                <w:lang w:val="es-ES" w:eastAsia="es-ES_tradnl"/>
              </w:rPr>
            </w:pPr>
          </w:p>
          <w:p w14:paraId="4A95F0CE" w14:textId="77777777" w:rsidR="00605E40" w:rsidRDefault="003C75C4" w:rsidP="002C2C18">
            <w:pPr>
              <w:jc w:val="both"/>
              <w:rPr>
                <w:rFonts w:ascii="Verdana" w:eastAsia="Calibri" w:hAnsi="Verdana" w:cs="Arial"/>
                <w:color w:val="000000"/>
                <w:szCs w:val="24"/>
                <w:lang w:val="es-ES" w:eastAsia="es-ES_tradnl"/>
              </w:rPr>
            </w:pPr>
            <w:r w:rsidRPr="003C75C4">
              <w:rPr>
                <w:rFonts w:ascii="Verdana" w:eastAsia="Calibri" w:hAnsi="Verdana" w:cs="Arial"/>
                <w:color w:val="000000"/>
                <w:szCs w:val="24"/>
                <w:lang w:val="es-ES" w:eastAsia="es-ES_tradnl"/>
              </w:rPr>
              <w:t>La experiencia que se aporte debe ser la obtenida con anterioridad al cierre del proceso de contratación</w:t>
            </w:r>
            <w:r w:rsidR="00130907">
              <w:rPr>
                <w:rFonts w:ascii="Verdana" w:eastAsia="Calibri" w:hAnsi="Verdana" w:cs="Arial"/>
                <w:color w:val="000000"/>
                <w:szCs w:val="24"/>
                <w:lang w:val="es-ES" w:eastAsia="es-ES_tradnl"/>
              </w:rPr>
              <w:t>, toda vez que,</w:t>
            </w:r>
            <w:r w:rsidR="007F34BE">
              <w:rPr>
                <w:rFonts w:ascii="Verdana" w:eastAsia="Calibri" w:hAnsi="Verdana" w:cs="Arial"/>
                <w:color w:val="000000"/>
                <w:szCs w:val="24"/>
                <w:lang w:val="es-ES" w:eastAsia="es-ES_tradnl"/>
              </w:rPr>
              <w:t xml:space="preserve"> se sobre entiende que el proponente ya cuenta con el personal que cumple con la experiencia </w:t>
            </w:r>
            <w:r w:rsidR="00D01ACD">
              <w:rPr>
                <w:rFonts w:ascii="Verdana" w:eastAsia="Calibri" w:hAnsi="Verdana" w:cs="Arial"/>
                <w:color w:val="000000"/>
                <w:szCs w:val="24"/>
                <w:lang w:val="es-ES" w:eastAsia="es-ES_tradnl"/>
              </w:rPr>
              <w:t xml:space="preserve">al presentar la propuesta. </w:t>
            </w:r>
          </w:p>
          <w:p w14:paraId="49C92071" w14:textId="77777777" w:rsidR="00605E40" w:rsidRDefault="00605E40" w:rsidP="002C2C18">
            <w:pPr>
              <w:jc w:val="both"/>
              <w:rPr>
                <w:rFonts w:ascii="Verdana" w:eastAsia="Calibri" w:hAnsi="Verdana" w:cs="Arial"/>
                <w:color w:val="000000"/>
                <w:szCs w:val="24"/>
                <w:lang w:val="es-ES" w:eastAsia="es-ES_tradnl"/>
              </w:rPr>
            </w:pPr>
          </w:p>
          <w:p w14:paraId="7D46D752" w14:textId="2E46DF9E" w:rsidR="00897B6D" w:rsidRDefault="002E1108" w:rsidP="002C2C18">
            <w:pPr>
              <w:jc w:val="both"/>
              <w:rPr>
                <w:rFonts w:ascii="Verdana" w:eastAsia="Calibri" w:hAnsi="Verdana" w:cs="Arial"/>
                <w:color w:val="000000"/>
                <w:szCs w:val="24"/>
                <w:lang w:val="es-ES" w:eastAsia="es-ES_tradnl"/>
              </w:rPr>
            </w:pPr>
            <w:r>
              <w:rPr>
                <w:rFonts w:ascii="Verdana" w:eastAsia="Calibri" w:hAnsi="Verdana" w:cs="Arial"/>
                <w:color w:val="000000"/>
                <w:szCs w:val="24"/>
                <w:lang w:val="es-ES" w:eastAsia="es-ES_tradnl"/>
              </w:rPr>
              <w:t xml:space="preserve">La información se verifica </w:t>
            </w:r>
            <w:r w:rsidR="00743CE8">
              <w:rPr>
                <w:rFonts w:ascii="Verdana" w:eastAsia="Calibri" w:hAnsi="Verdana" w:cs="Arial"/>
                <w:color w:val="000000"/>
                <w:szCs w:val="24"/>
                <w:lang w:val="es-ES" w:eastAsia="es-ES_tradnl"/>
              </w:rPr>
              <w:t xml:space="preserve">debido a que el proponente está obligado a diligenciar </w:t>
            </w:r>
            <w:r w:rsidR="00B21882">
              <w:rPr>
                <w:rFonts w:ascii="Verdana" w:eastAsia="Calibri" w:hAnsi="Verdana" w:cs="Arial"/>
                <w:color w:val="000000"/>
                <w:szCs w:val="24"/>
                <w:lang w:val="es-ES" w:eastAsia="es-ES_tradnl"/>
              </w:rPr>
              <w:t>el FORMATO</w:t>
            </w:r>
            <w:r w:rsidR="009B2011">
              <w:rPr>
                <w:rFonts w:ascii="Verdana" w:eastAsia="Calibri" w:hAnsi="Verdana" w:cs="Arial"/>
                <w:color w:val="000000"/>
                <w:szCs w:val="24"/>
                <w:lang w:val="es-ES" w:eastAsia="es-ES_tradnl"/>
              </w:rPr>
              <w:t xml:space="preserve"> 8 – ACEPTACION Y CUMPLIMIENTO DE LA FORMACION Y EXPERIENCIA DEL PERSONAL CLAVE </w:t>
            </w:r>
            <w:r w:rsidR="00897B6D">
              <w:rPr>
                <w:rFonts w:ascii="Verdana" w:eastAsia="Calibri" w:hAnsi="Verdana" w:cs="Arial"/>
                <w:color w:val="000000"/>
                <w:szCs w:val="24"/>
                <w:lang w:val="es-ES" w:eastAsia="es-ES_tradnl"/>
              </w:rPr>
              <w:t>EVALUABLE, y</w:t>
            </w:r>
            <w:r w:rsidR="00A74ADB">
              <w:rPr>
                <w:rFonts w:ascii="Verdana" w:eastAsia="Calibri" w:hAnsi="Verdana" w:cs="Arial"/>
                <w:color w:val="000000"/>
                <w:szCs w:val="24"/>
                <w:lang w:val="es-ES" w:eastAsia="es-ES_tradnl"/>
              </w:rPr>
              <w:t xml:space="preserve"> en este se </w:t>
            </w:r>
            <w:r w:rsidR="00F37E7D">
              <w:rPr>
                <w:rFonts w:ascii="Verdana" w:eastAsia="Calibri" w:hAnsi="Verdana" w:cs="Arial"/>
                <w:color w:val="000000"/>
                <w:szCs w:val="24"/>
                <w:lang w:val="es-ES" w:eastAsia="es-ES_tradnl"/>
              </w:rPr>
              <w:t>encuentra</w:t>
            </w:r>
            <w:r w:rsidR="00A74ADB">
              <w:rPr>
                <w:rFonts w:ascii="Verdana" w:eastAsia="Calibri" w:hAnsi="Verdana" w:cs="Arial"/>
                <w:color w:val="000000"/>
                <w:szCs w:val="24"/>
                <w:lang w:val="es-ES" w:eastAsia="es-ES_tradnl"/>
              </w:rPr>
              <w:t xml:space="preserve"> inmersa la siguiente </w:t>
            </w:r>
            <w:r w:rsidR="00F37E7D">
              <w:rPr>
                <w:rFonts w:ascii="Verdana" w:eastAsia="Calibri" w:hAnsi="Verdana" w:cs="Arial"/>
                <w:color w:val="000000"/>
                <w:szCs w:val="24"/>
                <w:lang w:val="es-ES" w:eastAsia="es-ES_tradnl"/>
              </w:rPr>
              <w:t xml:space="preserve">aseveración la cual debe ser </w:t>
            </w:r>
            <w:r w:rsidR="00897B6D">
              <w:rPr>
                <w:rFonts w:ascii="Verdana" w:eastAsia="Calibri" w:hAnsi="Verdana" w:cs="Arial"/>
                <w:color w:val="000000"/>
                <w:szCs w:val="24"/>
                <w:lang w:val="es-ES" w:eastAsia="es-ES_tradnl"/>
              </w:rPr>
              <w:t>de obligatorio cumplimiento para el proponente.</w:t>
            </w:r>
          </w:p>
          <w:p w14:paraId="44A3CC44" w14:textId="77777777" w:rsidR="00897B6D" w:rsidRDefault="00897B6D" w:rsidP="002C2C18">
            <w:pPr>
              <w:jc w:val="both"/>
              <w:rPr>
                <w:rFonts w:ascii="Verdana" w:eastAsia="Calibri" w:hAnsi="Verdana" w:cs="Arial"/>
                <w:color w:val="000000"/>
                <w:szCs w:val="24"/>
                <w:lang w:val="es-ES" w:eastAsia="es-ES_tradnl"/>
              </w:rPr>
            </w:pPr>
          </w:p>
          <w:p w14:paraId="694C8046" w14:textId="6F92DFEF" w:rsidR="002C2C18" w:rsidRPr="00897B6D" w:rsidRDefault="00F74DEE" w:rsidP="002C2C18">
            <w:pPr>
              <w:jc w:val="both"/>
              <w:rPr>
                <w:rFonts w:ascii="Verdana" w:eastAsia="Calibri" w:hAnsi="Verdana" w:cs="Arial"/>
                <w:color w:val="000000"/>
                <w:szCs w:val="24"/>
                <w:lang w:val="es-ES" w:eastAsia="es-ES_tradnl"/>
              </w:rPr>
            </w:pPr>
            <w:r>
              <w:rPr>
                <w:rFonts w:ascii="Verdana" w:eastAsia="Calibri" w:hAnsi="Verdana" w:cs="Arial"/>
                <w:color w:val="000000"/>
                <w:szCs w:val="24"/>
                <w:lang w:val="es-ES" w:eastAsia="es-ES_tradnl"/>
              </w:rPr>
              <w:t xml:space="preserve"> “</w:t>
            </w:r>
          </w:p>
          <w:p w14:paraId="76217253" w14:textId="77777777" w:rsidR="002C2C18" w:rsidRDefault="002C2C18" w:rsidP="002C2C18">
            <w:pPr>
              <w:pStyle w:val="Prrafodelista"/>
              <w:numPr>
                <w:ilvl w:val="0"/>
                <w:numId w:val="20"/>
              </w:numPr>
              <w:jc w:val="both"/>
              <w:rPr>
                <w:rFonts w:ascii="Verdana" w:eastAsia="Calibri" w:hAnsi="Verdana" w:cs="Arial"/>
                <w:color w:val="000000"/>
                <w:szCs w:val="24"/>
                <w:lang w:eastAsia="es-ES_tradnl"/>
              </w:rPr>
            </w:pPr>
            <w:r w:rsidRPr="002C2C18">
              <w:rPr>
                <w:rFonts w:ascii="Verdana" w:eastAsia="Calibri" w:hAnsi="Verdana" w:cs="Arial"/>
                <w:color w:val="000000"/>
                <w:szCs w:val="24"/>
                <w:lang w:eastAsia="es-ES_tradnl"/>
              </w:rPr>
              <w:t xml:space="preserve">Aceptamos y cumplimos las condiciones de formación académica y experiencia de los perfiles del personal integrante del personal de trabajo en su totalidad que es detallado en los documentos que hacen parte del Proceso de Contratación, particularmente el Personal Clave Evaluable. </w:t>
            </w:r>
          </w:p>
          <w:p w14:paraId="162DE8A4" w14:textId="77777777" w:rsidR="002C2C18" w:rsidRDefault="002C2C18" w:rsidP="002C2C18">
            <w:pPr>
              <w:pStyle w:val="Prrafodelista"/>
              <w:ind w:left="360"/>
              <w:jc w:val="both"/>
              <w:rPr>
                <w:rFonts w:ascii="Verdana" w:eastAsia="Calibri" w:hAnsi="Verdana" w:cs="Arial"/>
                <w:color w:val="000000"/>
                <w:szCs w:val="24"/>
                <w:lang w:eastAsia="es-ES_tradnl"/>
              </w:rPr>
            </w:pPr>
          </w:p>
          <w:p w14:paraId="02370A01" w14:textId="5B86AB08" w:rsidR="003C75C4" w:rsidRDefault="002C2C18" w:rsidP="002C2C18">
            <w:pPr>
              <w:pStyle w:val="Prrafodelista"/>
              <w:numPr>
                <w:ilvl w:val="0"/>
                <w:numId w:val="20"/>
              </w:numPr>
              <w:jc w:val="both"/>
              <w:rPr>
                <w:rFonts w:ascii="Verdana" w:eastAsia="Calibri" w:hAnsi="Verdana" w:cs="Arial"/>
                <w:color w:val="000000"/>
                <w:szCs w:val="24"/>
                <w:lang w:eastAsia="es-ES_tradnl"/>
              </w:rPr>
            </w:pPr>
            <w:r w:rsidRPr="002C2C18">
              <w:rPr>
                <w:rFonts w:ascii="Verdana" w:eastAsia="Calibri" w:hAnsi="Verdana" w:cs="Arial"/>
                <w:color w:val="000000"/>
                <w:szCs w:val="24"/>
                <w:lang w:eastAsia="es-ES_tradnl"/>
              </w:rPr>
              <w:t>De resultar adjudicatarios del Proceso de Contratación, contamos y pondremos a disposición de la Entidad para verificación los documentos de los profesionales propuestos para cada uno de los perfiles requeridos como personal requerido, especialmente el establecido como Personal Clave Evaluable según determine la Entidad para su verificación, en las condiciones señaladas en el Pliego de Condiciones</w:t>
            </w:r>
            <w:r>
              <w:rPr>
                <w:rFonts w:ascii="Verdana" w:eastAsia="Calibri" w:hAnsi="Verdana" w:cs="Arial"/>
                <w:color w:val="000000"/>
                <w:szCs w:val="24"/>
                <w:lang w:eastAsia="es-ES_tradnl"/>
              </w:rPr>
              <w:t>”</w:t>
            </w:r>
            <w:r w:rsidR="00B46A6E">
              <w:rPr>
                <w:rFonts w:ascii="Verdana" w:eastAsia="Calibri" w:hAnsi="Verdana" w:cs="Arial"/>
                <w:color w:val="000000"/>
                <w:szCs w:val="24"/>
                <w:lang w:eastAsia="es-ES_tradnl"/>
              </w:rPr>
              <w:t xml:space="preserve"> (SIC)</w:t>
            </w:r>
            <w:r w:rsidR="00ED24DA">
              <w:rPr>
                <w:rFonts w:ascii="Verdana" w:eastAsia="Calibri" w:hAnsi="Verdana" w:cs="Arial"/>
                <w:color w:val="000000"/>
                <w:szCs w:val="24"/>
                <w:lang w:eastAsia="es-ES_tradnl"/>
              </w:rPr>
              <w:t>.</w:t>
            </w:r>
          </w:p>
          <w:p w14:paraId="14878210" w14:textId="77777777" w:rsidR="00ED24DA" w:rsidRPr="00ED24DA" w:rsidRDefault="00ED24DA" w:rsidP="00ED24DA">
            <w:pPr>
              <w:pStyle w:val="Prrafodelista"/>
              <w:rPr>
                <w:rFonts w:ascii="Verdana" w:eastAsia="Calibri" w:hAnsi="Verdana" w:cs="Arial"/>
                <w:color w:val="000000"/>
                <w:szCs w:val="24"/>
                <w:lang w:eastAsia="es-ES_tradnl"/>
              </w:rPr>
            </w:pPr>
          </w:p>
          <w:p w14:paraId="09026BD1" w14:textId="4DE8AA35" w:rsidR="00ED24DA" w:rsidRPr="00ED24DA" w:rsidRDefault="008E5701" w:rsidP="00ED24DA">
            <w:pPr>
              <w:jc w:val="both"/>
              <w:rPr>
                <w:rFonts w:ascii="Verdana" w:eastAsia="Calibri" w:hAnsi="Verdana" w:cs="Arial"/>
                <w:color w:val="000000"/>
                <w:szCs w:val="24"/>
                <w:lang w:eastAsia="es-ES_tradnl"/>
              </w:rPr>
            </w:pPr>
            <w:r>
              <w:rPr>
                <w:rFonts w:ascii="Verdana" w:eastAsia="Calibri" w:hAnsi="Verdana" w:cs="Arial"/>
                <w:color w:val="000000"/>
                <w:szCs w:val="24"/>
                <w:lang w:eastAsia="es-ES_tradnl"/>
              </w:rPr>
              <w:t xml:space="preserve">Como se pude ver, con el </w:t>
            </w:r>
            <w:r>
              <w:rPr>
                <w:rFonts w:ascii="Verdana" w:eastAsia="Calibri" w:hAnsi="Verdana" w:cs="Arial"/>
                <w:color w:val="000000"/>
                <w:szCs w:val="24"/>
                <w:lang w:val="es-ES" w:eastAsia="es-ES_tradnl"/>
              </w:rPr>
              <w:t xml:space="preserve">FORMATO 8 – ACEPTACION Y CUMPLIMIENTO DE LA FORMACION Y EXPERIENCIA DEL PERSONAL CLAVE EVALUABLE se hacen unas </w:t>
            </w:r>
            <w:r>
              <w:rPr>
                <w:rFonts w:ascii="Verdana" w:eastAsia="Calibri" w:hAnsi="Verdana" w:cs="Arial"/>
                <w:color w:val="000000"/>
                <w:szCs w:val="24"/>
                <w:lang w:val="es-ES" w:eastAsia="es-ES_tradnl"/>
              </w:rPr>
              <w:lastRenderedPageBreak/>
              <w:t xml:space="preserve">aseveraciones en </w:t>
            </w:r>
            <w:r w:rsidR="005F6039">
              <w:rPr>
                <w:rFonts w:ascii="Verdana" w:eastAsia="Calibri" w:hAnsi="Verdana" w:cs="Arial"/>
                <w:color w:val="000000"/>
                <w:szCs w:val="24"/>
                <w:lang w:val="es-ES" w:eastAsia="es-ES_tradnl"/>
              </w:rPr>
              <w:t xml:space="preserve">tiempo presente </w:t>
            </w:r>
            <w:r w:rsidR="00A03CED">
              <w:rPr>
                <w:rFonts w:ascii="Verdana" w:eastAsia="Calibri" w:hAnsi="Verdana" w:cs="Arial"/>
                <w:color w:val="000000"/>
                <w:szCs w:val="24"/>
                <w:lang w:val="es-ES" w:eastAsia="es-ES_tradnl"/>
              </w:rPr>
              <w:t>como lo son aceptar y cumplir con las condiciones de formación académica y de experienci</w:t>
            </w:r>
            <w:r w:rsidR="00726E53">
              <w:rPr>
                <w:rFonts w:ascii="Verdana" w:eastAsia="Calibri" w:hAnsi="Verdana" w:cs="Arial"/>
                <w:color w:val="000000"/>
                <w:szCs w:val="24"/>
                <w:lang w:val="es-ES" w:eastAsia="es-ES_tradnl"/>
              </w:rPr>
              <w:t xml:space="preserve">a de los perfiles del personal integrante del equipo de trabajo, y contar y poner a disposición </w:t>
            </w:r>
            <w:r w:rsidR="006F4ABE">
              <w:rPr>
                <w:rFonts w:ascii="Verdana" w:eastAsia="Calibri" w:hAnsi="Verdana" w:cs="Arial"/>
                <w:color w:val="000000"/>
                <w:szCs w:val="24"/>
                <w:lang w:val="es-ES" w:eastAsia="es-ES_tradnl"/>
              </w:rPr>
              <w:t>de la entidad los documentos de los profesionales, en razón a ello no guarda lógica que a la hora de acreditar el personal, el contratista adjudicatario quiera entregar soportes de experiencia o académicos obtenidos con posterioridad a la fecha de cierre, pues esto entre otras implicaría una contradicción contra el mismo formato que present</w:t>
            </w:r>
            <w:r w:rsidR="00775886">
              <w:rPr>
                <w:rFonts w:ascii="Verdana" w:eastAsia="Calibri" w:hAnsi="Verdana" w:cs="Arial"/>
                <w:color w:val="000000"/>
                <w:szCs w:val="24"/>
                <w:lang w:val="es-ES" w:eastAsia="es-ES_tradnl"/>
              </w:rPr>
              <w:t>ó</w:t>
            </w:r>
            <w:r w:rsidR="006F4ABE">
              <w:rPr>
                <w:rFonts w:ascii="Verdana" w:eastAsia="Calibri" w:hAnsi="Verdana" w:cs="Arial"/>
                <w:color w:val="000000"/>
                <w:szCs w:val="24"/>
                <w:lang w:val="es-ES" w:eastAsia="es-ES_tradnl"/>
              </w:rPr>
              <w:t xml:space="preserve"> en la evaluación.</w:t>
            </w:r>
          </w:p>
        </w:tc>
      </w:tr>
    </w:tbl>
    <w:p w14:paraId="36665671" w14:textId="77777777" w:rsidR="003C75C4" w:rsidRPr="003C75C4" w:rsidRDefault="003C75C4" w:rsidP="003C75C4">
      <w:pPr>
        <w:tabs>
          <w:tab w:val="left" w:pos="142"/>
          <w:tab w:val="left" w:pos="284"/>
        </w:tabs>
        <w:spacing w:after="0" w:line="276" w:lineRule="auto"/>
        <w:jc w:val="both"/>
        <w:rPr>
          <w:rFonts w:ascii="Verdana" w:eastAsia="Century Gothic" w:hAnsi="Verdana" w:cs="Century Gothic"/>
          <w:b/>
          <w:bCs/>
          <w:lang w:val="es-ES"/>
        </w:rPr>
      </w:pPr>
    </w:p>
    <w:p w14:paraId="0F0EF4D6" w14:textId="77777777" w:rsidR="003C75C4" w:rsidRPr="003C75C4" w:rsidRDefault="003C75C4" w:rsidP="003C75C4">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3C75C4">
        <w:rPr>
          <w:rFonts w:ascii="Verdana" w:eastAsia="Century Gothic" w:hAnsi="Verdana" w:cs="Century Gothic"/>
          <w:b/>
          <w:bCs/>
          <w:lang w:val="es-ES"/>
        </w:rPr>
        <w:t>Razones de la respuesta:</w:t>
      </w:r>
    </w:p>
    <w:p w14:paraId="4BD369AB" w14:textId="77777777" w:rsidR="003C75C4" w:rsidRPr="003C75C4" w:rsidRDefault="003C75C4" w:rsidP="003C75C4">
      <w:pPr>
        <w:spacing w:after="0" w:line="276" w:lineRule="auto"/>
        <w:jc w:val="both"/>
        <w:rPr>
          <w:rFonts w:ascii="Verdana" w:eastAsia="Calibri" w:hAnsi="Verdana" w:cs="Arial"/>
          <w:color w:val="7030A0"/>
          <w:lang w:val="es-ES"/>
        </w:rPr>
      </w:pPr>
    </w:p>
    <w:p w14:paraId="08899A3E" w14:textId="77777777" w:rsidR="003C75C4" w:rsidRPr="003C75C4" w:rsidRDefault="003C75C4" w:rsidP="003C75C4">
      <w:pPr>
        <w:spacing w:after="0" w:line="276" w:lineRule="auto"/>
        <w:jc w:val="both"/>
        <w:rPr>
          <w:rFonts w:ascii="Verdana" w:eastAsia="Calibri" w:hAnsi="Verdana" w:cs="Arial"/>
          <w:lang w:val="es-ES"/>
        </w:rPr>
      </w:pPr>
      <w:r w:rsidRPr="003C75C4">
        <w:rPr>
          <w:rFonts w:ascii="Verdana" w:eastAsia="Calibri" w:hAnsi="Verdana" w:cs="Arial"/>
          <w:lang w:val="es-ES"/>
        </w:rPr>
        <w:t>Lo anterior se sustenta en las siguientes consideraciones:</w:t>
      </w:r>
    </w:p>
    <w:p w14:paraId="21EEFD30" w14:textId="77777777" w:rsidR="003C75C4" w:rsidRPr="003C75C4" w:rsidRDefault="003C75C4" w:rsidP="003C75C4">
      <w:pPr>
        <w:spacing w:after="0" w:line="276" w:lineRule="auto"/>
        <w:jc w:val="both"/>
        <w:rPr>
          <w:rFonts w:ascii="Verdana" w:eastAsia="Calibri" w:hAnsi="Verdana" w:cs="Arial"/>
          <w:lang w:val="es-ES"/>
        </w:rPr>
      </w:pPr>
    </w:p>
    <w:p w14:paraId="6873EAE9" w14:textId="77777777" w:rsidR="003C75C4" w:rsidRPr="003C75C4" w:rsidRDefault="003C75C4" w:rsidP="003C75C4">
      <w:pPr>
        <w:spacing w:after="0" w:line="240" w:lineRule="auto"/>
        <w:ind w:left="720"/>
        <w:contextualSpacing/>
        <w:jc w:val="both"/>
        <w:rPr>
          <w:rFonts w:ascii="Verdana" w:hAnsi="Verdana"/>
          <w:lang w:val="es-MX"/>
        </w:rPr>
      </w:pPr>
      <w:r w:rsidRPr="003C75C4">
        <w:rPr>
          <w:rFonts w:ascii="Verdana" w:hAnsi="Verdana"/>
          <w:lang w:val="es-MX"/>
        </w:rPr>
        <w:tab/>
      </w:r>
    </w:p>
    <w:p w14:paraId="4207C9A1" w14:textId="77777777" w:rsidR="003C75C4" w:rsidRPr="003C75C4" w:rsidRDefault="003C75C4" w:rsidP="003C75C4">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3C75C4">
        <w:rPr>
          <w:rFonts w:ascii="Verdana" w:eastAsia="Century Gothic" w:hAnsi="Verdana" w:cs="Century Gothic"/>
          <w:b/>
          <w:bCs/>
          <w:lang w:val="es-ES"/>
        </w:rPr>
        <w:t>Referencias normativas, jurisprudenciales y otras fuentes:</w:t>
      </w:r>
    </w:p>
    <w:p w14:paraId="3FCF0F4A" w14:textId="77777777" w:rsidR="003C75C4" w:rsidRPr="003C75C4" w:rsidRDefault="003C75C4" w:rsidP="003C75C4">
      <w:pPr>
        <w:tabs>
          <w:tab w:val="left" w:pos="142"/>
          <w:tab w:val="left" w:pos="284"/>
        </w:tabs>
        <w:spacing w:after="0" w:line="276" w:lineRule="auto"/>
        <w:jc w:val="both"/>
        <w:rPr>
          <w:rFonts w:ascii="Verdana" w:eastAsia="Century Gothic" w:hAnsi="Verdana" w:cs="Century Gothic"/>
          <w:b/>
          <w:bCs/>
          <w:lang w:val="es-ES"/>
        </w:rPr>
      </w:pPr>
    </w:p>
    <w:p w14:paraId="058A4FA5" w14:textId="77777777" w:rsidR="003C75C4" w:rsidRPr="003C75C4" w:rsidRDefault="003C75C4" w:rsidP="003C75C4">
      <w:pPr>
        <w:tabs>
          <w:tab w:val="left" w:pos="142"/>
          <w:tab w:val="left" w:pos="284"/>
        </w:tabs>
        <w:spacing w:after="0" w:line="276" w:lineRule="auto"/>
        <w:jc w:val="both"/>
        <w:rPr>
          <w:rFonts w:ascii="Verdana" w:eastAsia="Century Gothic" w:hAnsi="Verdana" w:cs="Century Gothic"/>
          <w:b/>
          <w:bCs/>
          <w:lang w:val="es-ES"/>
        </w:rPr>
      </w:pPr>
    </w:p>
    <w:p w14:paraId="261E248A" w14:textId="77777777" w:rsidR="003C75C4" w:rsidRPr="003C75C4" w:rsidRDefault="003C75C4" w:rsidP="003C75C4">
      <w:pPr>
        <w:numPr>
          <w:ilvl w:val="0"/>
          <w:numId w:val="17"/>
        </w:numPr>
        <w:tabs>
          <w:tab w:val="left" w:pos="142"/>
          <w:tab w:val="left" w:pos="284"/>
        </w:tabs>
        <w:spacing w:after="0" w:line="276" w:lineRule="auto"/>
        <w:contextualSpacing/>
        <w:jc w:val="both"/>
        <w:rPr>
          <w:rFonts w:ascii="Verdana" w:eastAsia="Century Gothic" w:hAnsi="Verdana" w:cs="Century Gothic"/>
          <w:b/>
          <w:bCs/>
          <w:lang w:val="es-ES"/>
        </w:rPr>
      </w:pPr>
      <w:r w:rsidRPr="003C75C4">
        <w:rPr>
          <w:rFonts w:ascii="Verdana" w:eastAsia="Calibri" w:hAnsi="Verdana" w:cs="Arial"/>
          <w:bCs/>
          <w:lang w:eastAsia="es-MX"/>
        </w:rPr>
        <w:t>La adopción de los documentos tipo obligatorios en el ordenamiento jurídico colombiano se incluyó por primera vez en el parágrafo 3 del artículo 2 de la Ley 1150 de 2007</w:t>
      </w:r>
      <w:r w:rsidRPr="003C75C4">
        <w:rPr>
          <w:rFonts w:ascii="Century Gothic" w:eastAsia="Calibri" w:hAnsi="Century Gothic" w:cs="Arial"/>
          <w:bCs/>
          <w:vertAlign w:val="superscript"/>
          <w:lang w:eastAsia="es-MX"/>
        </w:rPr>
        <w:footnoteReference w:id="2"/>
      </w:r>
      <w:r w:rsidRPr="003C75C4">
        <w:rPr>
          <w:rFonts w:ascii="Century Gothic" w:eastAsia="Calibri" w:hAnsi="Century Gothic" w:cs="Arial"/>
          <w:bCs/>
          <w:lang w:eastAsia="es-MX"/>
        </w:rPr>
        <w:t xml:space="preserve">, </w:t>
      </w:r>
      <w:r w:rsidRPr="003C75C4">
        <w:rPr>
          <w:rFonts w:ascii="Verdana" w:eastAsia="Calibri" w:hAnsi="Verdana" w:cs="Arial"/>
          <w:bCs/>
          <w:lang w:eastAsia="es-MX"/>
        </w:rPr>
        <w:t>que facultó al gobierno nacional para expedirlos, pero solo cuando se tratara de la adquisición o suministro de bienes y servicios de características técnicas uniformes y de común utilización. Sin embargo, esta facultad no ha sido ejercida hasta la actualidad.</w:t>
      </w:r>
    </w:p>
    <w:p w14:paraId="6D6C936D" w14:textId="77777777" w:rsidR="003C75C4" w:rsidRPr="003C75C4" w:rsidRDefault="003C75C4" w:rsidP="003C75C4">
      <w:pPr>
        <w:tabs>
          <w:tab w:val="left" w:pos="142"/>
          <w:tab w:val="left" w:pos="284"/>
        </w:tabs>
        <w:spacing w:after="0" w:line="276" w:lineRule="auto"/>
        <w:ind w:left="720"/>
        <w:contextualSpacing/>
        <w:jc w:val="both"/>
        <w:rPr>
          <w:rFonts w:ascii="Verdana" w:eastAsia="Century Gothic" w:hAnsi="Verdana" w:cs="Century Gothic"/>
          <w:b/>
          <w:bCs/>
          <w:lang w:val="es-ES"/>
        </w:rPr>
      </w:pPr>
    </w:p>
    <w:p w14:paraId="7960BFDE" w14:textId="77777777" w:rsidR="003C75C4" w:rsidRPr="003C75C4" w:rsidRDefault="003C75C4" w:rsidP="003C75C4">
      <w:pPr>
        <w:numPr>
          <w:ilvl w:val="0"/>
          <w:numId w:val="17"/>
        </w:numPr>
        <w:spacing w:before="120" w:after="120" w:line="276" w:lineRule="auto"/>
        <w:contextualSpacing/>
        <w:jc w:val="both"/>
        <w:rPr>
          <w:rFonts w:ascii="Verdana" w:eastAsia="Calibri" w:hAnsi="Verdana" w:cs="Arial"/>
          <w:bCs/>
          <w:lang w:eastAsia="es-MX"/>
        </w:rPr>
      </w:pPr>
      <w:r w:rsidRPr="003C75C4">
        <w:rPr>
          <w:rFonts w:ascii="Verdana" w:eastAsia="Calibri" w:hAnsi="Verdana" w:cs="Arial"/>
          <w:bCs/>
          <w:lang w:eastAsia="es-MX"/>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0FADB0D8" w14:textId="77777777" w:rsidR="003C75C4" w:rsidRPr="003C75C4" w:rsidRDefault="003C75C4" w:rsidP="003C75C4">
      <w:pPr>
        <w:ind w:left="720"/>
        <w:contextualSpacing/>
        <w:rPr>
          <w:rFonts w:ascii="Century Gothic" w:eastAsia="Calibri" w:hAnsi="Century Gothic" w:cs="Arial"/>
          <w:bCs/>
          <w:lang w:eastAsia="es-MX"/>
        </w:rPr>
      </w:pPr>
    </w:p>
    <w:p w14:paraId="1566186D" w14:textId="77777777" w:rsidR="003C75C4" w:rsidRPr="003C75C4" w:rsidRDefault="003C75C4" w:rsidP="003C75C4">
      <w:pPr>
        <w:spacing w:before="120" w:after="120" w:line="276" w:lineRule="auto"/>
        <w:ind w:left="720"/>
        <w:contextualSpacing/>
        <w:jc w:val="both"/>
        <w:rPr>
          <w:rFonts w:ascii="Century Gothic" w:eastAsia="Calibri" w:hAnsi="Century Gothic" w:cs="Arial"/>
          <w:bCs/>
          <w:lang w:eastAsia="es-MX"/>
        </w:rPr>
      </w:pPr>
    </w:p>
    <w:p w14:paraId="08C3CBCB" w14:textId="77777777" w:rsidR="003C75C4" w:rsidRPr="003C75C4" w:rsidRDefault="003C75C4" w:rsidP="003C75C4">
      <w:pPr>
        <w:numPr>
          <w:ilvl w:val="0"/>
          <w:numId w:val="17"/>
        </w:numPr>
        <w:tabs>
          <w:tab w:val="left" w:pos="142"/>
          <w:tab w:val="left" w:pos="284"/>
        </w:tabs>
        <w:spacing w:after="0" w:line="276" w:lineRule="auto"/>
        <w:contextualSpacing/>
        <w:jc w:val="both"/>
        <w:rPr>
          <w:rFonts w:ascii="Verdana" w:eastAsia="Century Gothic" w:hAnsi="Verdana" w:cs="Century Gothic"/>
          <w:b/>
          <w:bCs/>
          <w:lang w:val="es-ES"/>
        </w:rPr>
      </w:pPr>
      <w:r w:rsidRPr="003C75C4">
        <w:rPr>
          <w:rFonts w:ascii="Verdana" w:eastAsia="Calibri" w:hAnsi="Verdana" w:cs="Arial"/>
          <w:bCs/>
          <w:lang w:eastAsia="es-MX"/>
        </w:rPr>
        <w:lastRenderedPageBreak/>
        <w:t>Por otra parte, debe tenerse en cuenta que la Ley 2022 de 2020 fue sancionada por el presidente de la República el 22 de julio del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3C75C4">
        <w:rPr>
          <w:rFonts w:ascii="Century Gothic" w:eastAsia="Calibri" w:hAnsi="Century Gothic" w:cs="Arial"/>
          <w:bCs/>
          <w:vertAlign w:val="superscript"/>
          <w:lang w:eastAsia="es-MX"/>
        </w:rPr>
        <w:footnoteReference w:id="3"/>
      </w:r>
      <w:r w:rsidRPr="003C75C4">
        <w:rPr>
          <w:rFonts w:ascii="Century Gothic" w:eastAsia="Calibri" w:hAnsi="Century Gothic" w:cs="Arial"/>
          <w:bCs/>
          <w:lang w:eastAsia="es-MX"/>
        </w:rPr>
        <w:t>.</w:t>
      </w:r>
    </w:p>
    <w:p w14:paraId="5A6DD514" w14:textId="77777777" w:rsidR="003C75C4" w:rsidRPr="003C75C4" w:rsidRDefault="003C75C4" w:rsidP="003C75C4">
      <w:pPr>
        <w:tabs>
          <w:tab w:val="left" w:pos="142"/>
          <w:tab w:val="left" w:pos="284"/>
        </w:tabs>
        <w:spacing w:after="0" w:line="276" w:lineRule="auto"/>
        <w:jc w:val="both"/>
        <w:rPr>
          <w:rFonts w:ascii="Verdana" w:eastAsia="Century Gothic" w:hAnsi="Verdana" w:cs="Century Gothic"/>
          <w:b/>
          <w:bCs/>
          <w:lang w:val="es-ES"/>
        </w:rPr>
      </w:pPr>
    </w:p>
    <w:p w14:paraId="42945228" w14:textId="77777777" w:rsidR="003C75C4" w:rsidRPr="003C75C4" w:rsidRDefault="003C75C4" w:rsidP="003C75C4">
      <w:pPr>
        <w:numPr>
          <w:ilvl w:val="0"/>
          <w:numId w:val="17"/>
        </w:numPr>
        <w:spacing w:before="120" w:after="120" w:line="276" w:lineRule="auto"/>
        <w:contextualSpacing/>
        <w:jc w:val="both"/>
        <w:rPr>
          <w:rFonts w:ascii="Verdana" w:eastAsia="Calibri" w:hAnsi="Verdana" w:cs="Arial"/>
          <w:color w:val="000000"/>
          <w:lang w:val="es-ES_tradnl" w:eastAsia="es-ES"/>
        </w:rPr>
      </w:pPr>
      <w:r w:rsidRPr="003C75C4">
        <w:rPr>
          <w:rFonts w:ascii="Verdana" w:eastAsia="Calibri" w:hAnsi="Verdana" w:cs="Arial"/>
          <w:bCs/>
          <w:lang w:eastAsia="es-MX"/>
        </w:rPr>
        <w:t>En este sentido,</w:t>
      </w:r>
      <w:r w:rsidRPr="003C75C4">
        <w:rPr>
          <w:rFonts w:ascii="Verdana" w:eastAsia="Calibri" w:hAnsi="Verdana" w:cs="Arial"/>
          <w:color w:val="000000"/>
          <w:lang w:val="es-ES" w:eastAsia="es-ES"/>
        </w:rPr>
        <w:t xml:space="preserve"> con la finalidad de realizar un desarrollo armónico y ajustado a la ley que otorga esta competencia, esta Agencia expidió la Resolución 160 del 15 de septiembre de 2020 Por la cual se adopta el procedimiento para implementar los documentos tipo y se define el sistema para su revisión. Adicionalmente, en el transcurso del año 2021, esta Agencia expidió la Resolución 193 del 14 de julio de 2021, Por la cual se adoptan los documentos tipo para los procesos de selección de concurso de méritos, para contratar la consultoría de estudios de ingeniería de infraestructura de transporte cuya aplicación inició para convocatorias publicadas a partir del 9 de agosto de 2021. </w:t>
      </w:r>
    </w:p>
    <w:p w14:paraId="4F20A5F7" w14:textId="77777777" w:rsidR="003C75C4" w:rsidRPr="003C75C4" w:rsidRDefault="003C75C4" w:rsidP="003C75C4">
      <w:pPr>
        <w:spacing w:before="120" w:after="120" w:line="276" w:lineRule="auto"/>
        <w:jc w:val="both"/>
        <w:rPr>
          <w:rFonts w:ascii="Verdana" w:eastAsia="Calibri" w:hAnsi="Verdana" w:cs="Arial"/>
          <w:color w:val="000000"/>
          <w:lang w:val="es-ES_tradnl" w:eastAsia="es-ES"/>
        </w:rPr>
      </w:pPr>
    </w:p>
    <w:p w14:paraId="328BE1FA" w14:textId="77777777" w:rsidR="003C75C4" w:rsidRPr="003C75C4" w:rsidRDefault="003C75C4" w:rsidP="003C75C4">
      <w:pPr>
        <w:numPr>
          <w:ilvl w:val="0"/>
          <w:numId w:val="17"/>
        </w:numPr>
        <w:spacing w:after="120" w:line="276" w:lineRule="auto"/>
        <w:contextualSpacing/>
        <w:jc w:val="both"/>
        <w:rPr>
          <w:rFonts w:ascii="Verdana" w:eastAsia="Calibri" w:hAnsi="Verdana" w:cs="Arial"/>
          <w:color w:val="000000"/>
          <w:lang w:val="es-ES_tradnl" w:eastAsia="es-ES"/>
        </w:rPr>
      </w:pPr>
      <w:r w:rsidRPr="003C75C4">
        <w:rPr>
          <w:rFonts w:ascii="Verdana" w:eastAsia="Calibri" w:hAnsi="Verdana" w:cs="Arial"/>
          <w:color w:val="000000"/>
          <w:lang w:val="es-ES_tradnl" w:eastAsia="es-ES"/>
        </w:rPr>
        <w:t xml:space="preserve">La expedición de documentos tipo para procesos de selección de contratos estatales a cargo de la Agencia Nacional de Contratación Pública está precedida de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 </w:t>
      </w:r>
    </w:p>
    <w:p w14:paraId="3B690737" w14:textId="77777777" w:rsidR="003C75C4" w:rsidRPr="003C75C4" w:rsidRDefault="003C75C4" w:rsidP="003C75C4">
      <w:pPr>
        <w:ind w:left="720"/>
        <w:contextualSpacing/>
        <w:rPr>
          <w:rFonts w:ascii="Verdana" w:eastAsia="Calibri" w:hAnsi="Verdana" w:cs="Arial"/>
          <w:color w:val="000000"/>
          <w:lang w:val="es-ES_tradnl" w:eastAsia="es-ES"/>
        </w:rPr>
      </w:pPr>
    </w:p>
    <w:p w14:paraId="4746A930" w14:textId="77777777" w:rsidR="003C75C4" w:rsidRPr="003C75C4" w:rsidRDefault="003C75C4" w:rsidP="003C75C4">
      <w:pPr>
        <w:spacing w:after="120" w:line="276" w:lineRule="auto"/>
        <w:ind w:left="720"/>
        <w:contextualSpacing/>
        <w:jc w:val="both"/>
        <w:rPr>
          <w:rFonts w:ascii="Verdana" w:eastAsia="Calibri" w:hAnsi="Verdana" w:cs="Arial"/>
          <w:color w:val="000000"/>
          <w:lang w:val="es-ES_tradnl" w:eastAsia="es-ES"/>
        </w:rPr>
      </w:pPr>
    </w:p>
    <w:p w14:paraId="7CD578F7" w14:textId="77777777" w:rsidR="003C75C4" w:rsidRPr="003C75C4" w:rsidRDefault="003C75C4" w:rsidP="003C75C4">
      <w:pPr>
        <w:numPr>
          <w:ilvl w:val="0"/>
          <w:numId w:val="17"/>
        </w:numPr>
        <w:spacing w:line="276" w:lineRule="auto"/>
        <w:contextualSpacing/>
        <w:jc w:val="both"/>
        <w:rPr>
          <w:rFonts w:ascii="Verdana" w:eastAsia="Calibri" w:hAnsi="Verdana" w:cs="Arial"/>
          <w:color w:val="000000"/>
          <w:lang w:val="es-ES_tradnl" w:eastAsia="es-ES"/>
        </w:rPr>
      </w:pPr>
      <w:r w:rsidRPr="003C75C4">
        <w:rPr>
          <w:rFonts w:ascii="Verdana" w:eastAsia="Calibri" w:hAnsi="Verdana" w:cs="Arial"/>
          <w:color w:val="000000"/>
          <w:lang w:val="es-ES_tradnl" w:eastAsia="es-ES"/>
        </w:rPr>
        <w:t>Después de que cobra vigencia el acto administrativo que adopta los referidos</w:t>
      </w:r>
      <w:r w:rsidRPr="003C75C4">
        <w:rPr>
          <w:rFonts w:ascii="Verdana" w:eastAsia="Calibri" w:hAnsi="Verdana" w:cs="Arial"/>
          <w:color w:val="000000"/>
          <w:lang w:val="es-ES" w:eastAsia="es-ES"/>
        </w:rPr>
        <w:t xml:space="preserve"> documentos tipo, éstos </w:t>
      </w:r>
      <w:r w:rsidRPr="003C75C4">
        <w:rPr>
          <w:rFonts w:ascii="Verdana" w:eastAsia="Calibri" w:hAnsi="Verdana" w:cs="Arial"/>
          <w:color w:val="000000"/>
          <w:lang w:val="es-ES_tradnl" w:eastAsia="es-ES"/>
        </w:rPr>
        <w:t xml:space="preserve">resultan obligatorios para todas las entidades sometidas al Estatuto General de Contratación de la </w:t>
      </w:r>
      <w:r w:rsidRPr="003C75C4">
        <w:rPr>
          <w:rFonts w:ascii="Verdana" w:eastAsia="Calibri" w:hAnsi="Verdana" w:cs="Arial"/>
          <w:color w:val="000000"/>
          <w:lang w:val="es-ES_tradnl" w:eastAsia="es-ES"/>
        </w:rPr>
        <w:lastRenderedPageBreak/>
        <w:t>Administración Pública, que adelanten procesos de concursos de méritos para contratar la consultoría de cualquiera de los proyectos señalados en la Matriz 1 – Experiencia. Lo anterior se deriva de lo dispuesto en el documento base del documento tipo de consultoría, al prescribir que:</w:t>
      </w:r>
    </w:p>
    <w:p w14:paraId="248E9677" w14:textId="77777777" w:rsidR="003C75C4" w:rsidRPr="003C75C4" w:rsidRDefault="003C75C4" w:rsidP="003C75C4">
      <w:pPr>
        <w:spacing w:line="276" w:lineRule="auto"/>
        <w:ind w:left="720"/>
        <w:contextualSpacing/>
        <w:jc w:val="both"/>
        <w:rPr>
          <w:rFonts w:ascii="Century Gothic" w:eastAsia="Calibri" w:hAnsi="Century Gothic" w:cs="Arial"/>
          <w:color w:val="000000"/>
          <w:lang w:val="es-ES_tradnl" w:eastAsia="es-ES"/>
        </w:rPr>
      </w:pPr>
    </w:p>
    <w:p w14:paraId="0D2F1B17" w14:textId="77777777" w:rsidR="003C75C4" w:rsidRPr="003C75C4" w:rsidRDefault="003C75C4" w:rsidP="003C75C4">
      <w:pPr>
        <w:spacing w:after="120"/>
        <w:ind w:left="1069" w:right="709"/>
        <w:contextualSpacing/>
        <w:jc w:val="both"/>
        <w:rPr>
          <w:rFonts w:ascii="Verdana" w:eastAsia="Calibri" w:hAnsi="Verdana" w:cs="Arial"/>
          <w:color w:val="000000"/>
          <w:sz w:val="20"/>
          <w:szCs w:val="20"/>
          <w:lang w:val="es-ES_tradnl" w:eastAsia="es-ES"/>
        </w:rPr>
      </w:pPr>
      <w:r w:rsidRPr="003C75C4">
        <w:rPr>
          <w:rFonts w:ascii="Verdana" w:eastAsia="Calibri" w:hAnsi="Verdana" w:cs="Arial"/>
          <w:color w:val="000000"/>
          <w:sz w:val="20"/>
          <w:szCs w:val="20"/>
          <w:lang w:val="es-ES_tradnl" w:eastAsia="es-ES"/>
        </w:rPr>
        <w:t xml:space="preserve">Este Documento Tipo aplica a los procesos de consultoría de estudios de ingeniería de infraestructura de transporte celebrados en la modalidad de concurso de méritos abierto, que correspondan con las actividades definidas en la “Matriz 1 – Experiencia”. En los términos del numeral 10.1.1, literal B, también aplica a los componentes de consultorías integrales (predial, ambiental, social y seguridad y salud en el trabajo) que tengan otros componentes aparte del técnico descrito en la mencionada Matriz. Por tanto, no son aplicables en las actividades de consultoría de estudios de ingeniería de infraestructura de transporte no contempladas en la “Matriz 1 – Experiencia”, sin perjuicio de lo previsto en el artículo 4 de la resolución que adopta estos Documentos Tipo.  </w:t>
      </w:r>
    </w:p>
    <w:p w14:paraId="632EFC3F" w14:textId="77777777" w:rsidR="003C75C4" w:rsidRPr="003C75C4" w:rsidRDefault="003C75C4" w:rsidP="003C75C4">
      <w:pPr>
        <w:tabs>
          <w:tab w:val="left" w:pos="142"/>
          <w:tab w:val="left" w:pos="284"/>
        </w:tabs>
        <w:spacing w:after="0" w:line="276" w:lineRule="auto"/>
        <w:ind w:left="720"/>
        <w:contextualSpacing/>
        <w:jc w:val="both"/>
        <w:rPr>
          <w:rFonts w:ascii="Verdana" w:eastAsia="Century Gothic" w:hAnsi="Verdana" w:cs="Century Gothic"/>
          <w:b/>
          <w:bCs/>
          <w:lang w:val="es-ES"/>
        </w:rPr>
      </w:pPr>
    </w:p>
    <w:p w14:paraId="1C8FF440" w14:textId="77777777" w:rsidR="003C75C4" w:rsidRPr="003C75C4" w:rsidRDefault="003C75C4" w:rsidP="003C75C4">
      <w:pPr>
        <w:tabs>
          <w:tab w:val="left" w:pos="142"/>
          <w:tab w:val="left" w:pos="284"/>
        </w:tabs>
        <w:spacing w:after="0" w:line="276" w:lineRule="auto"/>
        <w:ind w:left="720"/>
        <w:contextualSpacing/>
        <w:jc w:val="both"/>
        <w:rPr>
          <w:rFonts w:ascii="Verdana" w:eastAsia="Calibri" w:hAnsi="Verdana" w:cs="Arial"/>
          <w:lang w:val="es-ES"/>
        </w:rPr>
      </w:pPr>
    </w:p>
    <w:p w14:paraId="5999FC49" w14:textId="77777777" w:rsidR="003C75C4" w:rsidRPr="003C75C4" w:rsidRDefault="003C75C4" w:rsidP="003C75C4">
      <w:pPr>
        <w:numPr>
          <w:ilvl w:val="0"/>
          <w:numId w:val="17"/>
        </w:numPr>
        <w:tabs>
          <w:tab w:val="left" w:pos="142"/>
          <w:tab w:val="left" w:pos="284"/>
        </w:tabs>
        <w:spacing w:after="0" w:line="276" w:lineRule="auto"/>
        <w:contextualSpacing/>
        <w:jc w:val="both"/>
        <w:rPr>
          <w:rFonts w:ascii="Verdana" w:eastAsia="Calibri" w:hAnsi="Verdana" w:cs="Arial"/>
          <w:color w:val="000000"/>
          <w:lang w:val="es-ES_tradnl" w:eastAsia="es-ES"/>
        </w:rPr>
      </w:pPr>
      <w:r w:rsidRPr="003C75C4">
        <w:rPr>
          <w:rFonts w:ascii="Verdana" w:eastAsia="Calibri" w:hAnsi="Verdana" w:cs="Arial"/>
          <w:color w:val="000000"/>
          <w:lang w:val="es-ES_tradnl" w:eastAsia="es-ES"/>
        </w:rPr>
        <w:t>El numeral 2 del artículo 32 de la Ley 80 de 1993, define los contratos de consultoría como aquellos que suscriben las entidades públicas que se refieran a los estudios necesarios para la ejecución de proyectos de inversión, estudios de diagnóstico, prefactibilidad o factibilidad para programas o proyectos específicos, así como las asesorías técnicas de coordinación, control y supervisión. Asimismo, son contratos de consultoría los que tienen por objeto la interventoría, asesoría, gerencia de obra o de proyectos, dirección, programación y la ejecución de diseños, planos, anteproyectos y proyectos.</w:t>
      </w:r>
    </w:p>
    <w:p w14:paraId="03706FD7" w14:textId="77777777" w:rsidR="003C75C4" w:rsidRPr="003C75C4" w:rsidRDefault="003C75C4" w:rsidP="003C75C4">
      <w:pPr>
        <w:ind w:left="720"/>
        <w:contextualSpacing/>
        <w:rPr>
          <w:rFonts w:ascii="Verdana" w:eastAsia="Calibri" w:hAnsi="Verdana" w:cs="Arial"/>
          <w:lang w:val="es-ES"/>
        </w:rPr>
      </w:pPr>
    </w:p>
    <w:p w14:paraId="0B7F2D20" w14:textId="77777777" w:rsidR="003C75C4" w:rsidRPr="003C75C4" w:rsidRDefault="003C75C4" w:rsidP="003C75C4">
      <w:pPr>
        <w:numPr>
          <w:ilvl w:val="0"/>
          <w:numId w:val="17"/>
        </w:numPr>
        <w:tabs>
          <w:tab w:val="left" w:pos="142"/>
          <w:tab w:val="left" w:pos="284"/>
        </w:tabs>
        <w:spacing w:after="0" w:line="276" w:lineRule="auto"/>
        <w:contextualSpacing/>
        <w:jc w:val="both"/>
        <w:rPr>
          <w:rFonts w:ascii="Verdana" w:eastAsia="Calibri" w:hAnsi="Verdana" w:cs="Arial"/>
          <w:lang w:val="es-ES"/>
        </w:rPr>
      </w:pPr>
      <w:r w:rsidRPr="003C75C4">
        <w:rPr>
          <w:rFonts w:ascii="Verdana" w:eastAsia="Calibri" w:hAnsi="Verdana" w:cs="Arial"/>
          <w:color w:val="000000"/>
          <w:lang w:val="es-ES_tradnl" w:eastAsia="es-ES"/>
        </w:rPr>
        <w:t>La doctrina expresa que el numeral 2 del artículo 32 ibidem, no establece una definición del contrato de consultoría, sino que, simplemente, enuncia una serie de actividades que pueden hacer parte de este tipo contractual</w:t>
      </w:r>
      <w:r w:rsidRPr="003C75C4">
        <w:rPr>
          <w:rFonts w:ascii="Century Gothic" w:eastAsia="Calibri" w:hAnsi="Century Gothic" w:cs="Arial"/>
          <w:color w:val="000000"/>
          <w:vertAlign w:val="superscript"/>
          <w:lang w:val="es-ES_tradnl" w:eastAsia="es-ES"/>
        </w:rPr>
        <w:footnoteReference w:id="4"/>
      </w:r>
      <w:r w:rsidRPr="003C75C4">
        <w:rPr>
          <w:rFonts w:ascii="Century Gothic" w:eastAsia="Calibri" w:hAnsi="Century Gothic" w:cs="Arial"/>
          <w:color w:val="000000"/>
          <w:lang w:val="es-ES_tradnl" w:eastAsia="es-ES"/>
        </w:rPr>
        <w:t xml:space="preserve">. </w:t>
      </w:r>
      <w:r w:rsidRPr="003C75C4">
        <w:rPr>
          <w:rFonts w:ascii="Verdana" w:eastAsia="Calibri" w:hAnsi="Verdana" w:cs="Arial"/>
          <w:color w:val="000000"/>
          <w:lang w:val="es-ES_tradnl" w:eastAsia="es-ES"/>
        </w:rPr>
        <w:t>Es decir, no hay un concepto propio de consultoría dentro de la Ley 80 de 1993, pero sí establecen elementos o actividades que configuran este tipo de contratos. Al respecto, el Consejo de Estado expresa: “Son de la esencia del contrato de consultoría el que una parte se obligue a prestar un servicio consistente en realizar estudios para la</w:t>
      </w:r>
      <w:r w:rsidRPr="003C75C4">
        <w:rPr>
          <w:rFonts w:ascii="Verdana" w:hAnsi="Verdana" w:cs="Arial"/>
          <w:lang w:val="es-MX" w:eastAsia="x-none"/>
        </w:rPr>
        <w:t xml:space="preserve"> </w:t>
      </w:r>
      <w:r w:rsidRPr="003C75C4">
        <w:rPr>
          <w:rFonts w:ascii="Verdana" w:eastAsia="Calibri" w:hAnsi="Verdana" w:cs="Arial"/>
          <w:color w:val="000000"/>
          <w:lang w:val="es-ES_tradnl" w:eastAsia="es-ES"/>
        </w:rPr>
        <w:t xml:space="preserve">ejecución de proyectos de inversión, estudios de diagnóstico, prefactibilidad o factibilidad para </w:t>
      </w:r>
      <w:r w:rsidRPr="003C75C4">
        <w:rPr>
          <w:rFonts w:ascii="Verdana" w:eastAsia="Calibri" w:hAnsi="Verdana" w:cs="Arial"/>
          <w:color w:val="000000"/>
          <w:lang w:val="es-ES_tradnl" w:eastAsia="es-ES"/>
        </w:rPr>
        <w:lastRenderedPageBreak/>
        <w:t>programas o proyectos determinados, prestar asesoría técnica de coordinación, control y supervisión, realizar actividades de interventoría, asesoría y gerencia de obra o de proyectos, así como la dirección, programación y la ejecución de diseños, planos, anteproyectos y proyectos, y el que la otra se obligue a</w:t>
      </w:r>
      <w:r w:rsidRPr="003C75C4">
        <w:rPr>
          <w:rFonts w:ascii="Century Gothic" w:eastAsia="Calibri" w:hAnsi="Century Gothic" w:cs="Arial"/>
          <w:color w:val="000000"/>
          <w:lang w:val="es-ES_tradnl" w:eastAsia="es-ES"/>
        </w:rPr>
        <w:t xml:space="preserve"> </w:t>
      </w:r>
      <w:r w:rsidRPr="003C75C4">
        <w:rPr>
          <w:rFonts w:ascii="Verdana" w:eastAsia="Calibri" w:hAnsi="Verdana" w:cs="Arial"/>
          <w:color w:val="000000"/>
          <w:lang w:val="es-ES_tradnl" w:eastAsia="es-ES"/>
        </w:rPr>
        <w:t>pagar una determinada remuneración como retribución por el servicio prestado</w:t>
      </w:r>
      <w:r w:rsidRPr="003C75C4">
        <w:rPr>
          <w:rFonts w:ascii="Arial" w:hAnsi="Arial" w:cs="Arial"/>
          <w:vertAlign w:val="superscript"/>
          <w:lang w:val="es-MX" w:eastAsia="x-none"/>
        </w:rPr>
        <w:footnoteReference w:id="5"/>
      </w:r>
      <w:r w:rsidRPr="003C75C4">
        <w:rPr>
          <w:rFonts w:ascii="Arial" w:hAnsi="Arial" w:cs="Arial"/>
          <w:lang w:val="es-MX" w:eastAsia="x-none"/>
        </w:rPr>
        <w:t>.</w:t>
      </w:r>
    </w:p>
    <w:p w14:paraId="28F2E9EF" w14:textId="77777777" w:rsidR="003C75C4" w:rsidRPr="003C75C4" w:rsidRDefault="003C75C4" w:rsidP="003C75C4">
      <w:pPr>
        <w:ind w:left="720"/>
        <w:contextualSpacing/>
        <w:rPr>
          <w:rFonts w:ascii="Verdana" w:eastAsia="Calibri" w:hAnsi="Verdana" w:cs="Arial"/>
          <w:lang w:val="es-ES"/>
        </w:rPr>
      </w:pPr>
    </w:p>
    <w:p w14:paraId="0A055057" w14:textId="77777777" w:rsidR="003C75C4" w:rsidRPr="003C75C4" w:rsidRDefault="003C75C4" w:rsidP="003C75C4">
      <w:pPr>
        <w:numPr>
          <w:ilvl w:val="0"/>
          <w:numId w:val="17"/>
        </w:numPr>
        <w:tabs>
          <w:tab w:val="left" w:pos="142"/>
          <w:tab w:val="left" w:pos="284"/>
        </w:tabs>
        <w:spacing w:after="0" w:line="276" w:lineRule="auto"/>
        <w:contextualSpacing/>
        <w:jc w:val="both"/>
        <w:rPr>
          <w:rFonts w:ascii="Century Gothic" w:eastAsia="Calibri" w:hAnsi="Century Gothic" w:cs="Arial"/>
          <w:color w:val="000000"/>
          <w:lang w:val="es-ES_tradnl" w:eastAsia="es-ES"/>
        </w:rPr>
      </w:pPr>
      <w:r w:rsidRPr="003C75C4">
        <w:rPr>
          <w:rFonts w:ascii="Verdana" w:eastAsia="Calibri" w:hAnsi="Verdana" w:cs="Arial"/>
          <w:color w:val="000000"/>
          <w:lang w:val="es-ES_tradnl" w:eastAsia="es-ES"/>
        </w:rPr>
        <w:t>Bajo este entendimiento, la característica fundamental para identificar los contratos estatales de consultoría es el carácter técnico ampliamente de su contenido, que se diferencia de otros tipos contractuales, como el de prestación de servicios –apoyo a la gestión, servicios profesionales o de ejecución de trabajos artísticos–. A diferencia del contrato de consultoría, el de prestación de servicios supone el desarrollo de actividades de colaboración y apoyo a la gestión de la entidad dirigidas al cumplimiento de las funciones asignadas a esta, de carácter temporal, excepcional u ocasional, siempre que no haya suficiente personal de planta o que, existiendo, está sobrecargado de trabajo, o que sean actividades que requieran conocimientos especializados, según lo prescrito en el numeral 3 del artículo 32 de la Ley 80 de 1993</w:t>
      </w:r>
      <w:r w:rsidRPr="003C75C4">
        <w:rPr>
          <w:rFonts w:ascii="Century Gothic" w:eastAsia="Calibri" w:hAnsi="Century Gothic" w:cs="Arial"/>
          <w:color w:val="000000"/>
          <w:lang w:val="es-ES_tradnl" w:eastAsia="es-ES"/>
        </w:rPr>
        <w:t>.</w:t>
      </w:r>
    </w:p>
    <w:p w14:paraId="08E7DD45" w14:textId="77777777" w:rsidR="003C75C4" w:rsidRPr="003C75C4" w:rsidRDefault="003C75C4" w:rsidP="003C75C4">
      <w:pPr>
        <w:ind w:left="720"/>
        <w:contextualSpacing/>
        <w:rPr>
          <w:rFonts w:ascii="Verdana" w:eastAsia="Calibri" w:hAnsi="Verdana" w:cs="Arial"/>
          <w:lang w:val="es-ES"/>
        </w:rPr>
      </w:pPr>
    </w:p>
    <w:p w14:paraId="4220545E" w14:textId="77777777" w:rsidR="003C75C4" w:rsidRPr="003C75C4" w:rsidRDefault="003C75C4" w:rsidP="003C75C4">
      <w:pPr>
        <w:numPr>
          <w:ilvl w:val="0"/>
          <w:numId w:val="17"/>
        </w:numPr>
        <w:spacing w:after="120" w:line="276" w:lineRule="auto"/>
        <w:jc w:val="both"/>
        <w:rPr>
          <w:rFonts w:ascii="Verdana" w:eastAsia="Calibri" w:hAnsi="Verdana"/>
        </w:rPr>
      </w:pPr>
      <w:r w:rsidRPr="003C75C4">
        <w:rPr>
          <w:rFonts w:ascii="Verdana" w:hAnsi="Verdana"/>
        </w:rPr>
        <w:t xml:space="preserve">El procedimiento de selección de concurso de méritos, aplicable para la escogencia de consultores, está reglamentado por el artículo 2.2.1.2.1.3.2. del Decreto 1082 de 2015, modificado por el Decreto 399 de 2021.  El numeral 1 de dicha norma señala que: 1. La Entidad Estatal en los pliegos de condiciones debe indicar la forma como calificará, entre otros, los siguientes criterios: </w:t>
      </w:r>
      <w:r w:rsidRPr="003C75C4">
        <w:rPr>
          <w:rFonts w:ascii="Verdana" w:hAnsi="Verdana"/>
          <w:i/>
          <w:iCs/>
        </w:rPr>
        <w:t>a) la experiencia del interesado y del equipo de trabajo y b) la formación académica del equipo de trabajo</w:t>
      </w:r>
      <w:r w:rsidRPr="003C75C4">
        <w:rPr>
          <w:rFonts w:ascii="Verdana" w:hAnsi="Verdana"/>
        </w:rPr>
        <w:t xml:space="preserve"> (énfasis fuera de texto). Conforme a esto, los factores ponderables en un proceso de selección de concurso de méritos –esto es, los que determinan la escogencia entre los proponentes habilitados– son, entre otros, los indicados en la norma citada, sin perjuicio de que existan otros establecidos por la ley o por la entidad en los pliegos de condiciones, de </w:t>
      </w:r>
      <w:r w:rsidRPr="003C75C4">
        <w:rPr>
          <w:rFonts w:ascii="Verdana" w:eastAsia="Calibri" w:hAnsi="Verdana"/>
        </w:rPr>
        <w:t xml:space="preserve">manera que de acuerdo con este marco jurídico se definirán los criterios de asignación de puntaje. </w:t>
      </w:r>
    </w:p>
    <w:p w14:paraId="6D516BBE" w14:textId="77777777" w:rsidR="003C75C4" w:rsidRPr="003C75C4" w:rsidRDefault="003C75C4" w:rsidP="003C75C4">
      <w:pPr>
        <w:ind w:left="720"/>
        <w:contextualSpacing/>
        <w:rPr>
          <w:rFonts w:ascii="Century Gothic" w:eastAsia="Calibri" w:hAnsi="Century Gothic"/>
        </w:rPr>
      </w:pPr>
    </w:p>
    <w:p w14:paraId="679F50CE" w14:textId="77777777" w:rsidR="003C75C4" w:rsidRPr="003C75C4" w:rsidRDefault="003C75C4" w:rsidP="003C75C4">
      <w:pPr>
        <w:numPr>
          <w:ilvl w:val="0"/>
          <w:numId w:val="17"/>
        </w:numPr>
        <w:spacing w:after="120" w:line="276" w:lineRule="auto"/>
        <w:jc w:val="both"/>
        <w:rPr>
          <w:rFonts w:ascii="Verdana" w:eastAsia="Calibri" w:hAnsi="Verdana"/>
        </w:rPr>
      </w:pPr>
      <w:r w:rsidRPr="003C75C4">
        <w:rPr>
          <w:rFonts w:ascii="Verdana" w:eastAsia="Calibri" w:hAnsi="Verdana"/>
        </w:rPr>
        <w:lastRenderedPageBreak/>
        <w:t>De conformidad con el documento base, la entidad definirá si la verificación de la documentación requerida del personal clave evaluable será un requisito para el proponente adjudicatario previo a la ejecución del contrato o si será solicitada para acreditar durante el proceso de contratación.  Así las cosas, la entidad define las condiciones de formación académica y experiencia de los perfiles del personal integrante del equipo de trabajo denominado personal clave evaluable, dentro del “ Anexo 1 – Anexo Técnico”  que sean requeridos dentro del proceso de contratación, de acuerdo con las necesidades del proyecto, así mismo definirá, si en la etapa de selección solicitará o no los documentos soporte, hojas de vida, certificaciones de los profesionales y del equipo de trabajo que considerará para el futuro contrato, de acuerdo con las reglas establecidas en el Pliego de Condiciones, particularmente, en el numeral “ 10.2 . acreditación de experiencia   y formación académica del equipo de trabajo y del personal clave evaluable”.</w:t>
      </w:r>
    </w:p>
    <w:p w14:paraId="65EBE78B" w14:textId="77777777" w:rsidR="003C75C4" w:rsidRPr="003C75C4" w:rsidRDefault="003C75C4" w:rsidP="003C75C4">
      <w:pPr>
        <w:numPr>
          <w:ilvl w:val="0"/>
          <w:numId w:val="17"/>
        </w:numPr>
        <w:spacing w:after="120" w:line="276" w:lineRule="auto"/>
        <w:jc w:val="both"/>
        <w:rPr>
          <w:rFonts w:ascii="Verdana" w:eastAsia="Calibri" w:hAnsi="Verdana"/>
        </w:rPr>
      </w:pPr>
      <w:r w:rsidRPr="003C75C4">
        <w:rPr>
          <w:rFonts w:ascii="Verdana" w:eastAsia="Calibri" w:hAnsi="Verdana"/>
        </w:rPr>
        <w:t xml:space="preserve">En el documento base se establece que en el caso en que la entidad haya optado por solicitar los soportes del equipo de trabajo denominado personal clave evaluable durante la etapa de evaluación del proceso de contratación, los documentos aportados podrán tenerse en cuenta para demostrar el cumplimiento de los criterios de evaluación y asignación de puntaje, sin perjuicio de las reglas de subsanación dispuestas en el numeral 1.6 del pliego de condiciones. </w:t>
      </w:r>
    </w:p>
    <w:p w14:paraId="261EB13D" w14:textId="77777777" w:rsidR="003C75C4" w:rsidRPr="003C75C4" w:rsidRDefault="003C75C4" w:rsidP="003C75C4">
      <w:pPr>
        <w:numPr>
          <w:ilvl w:val="0"/>
          <w:numId w:val="17"/>
        </w:numPr>
        <w:contextualSpacing/>
        <w:jc w:val="both"/>
        <w:rPr>
          <w:rFonts w:ascii="Verdana" w:eastAsia="Calibri" w:hAnsi="Verdana" w:cs="Arial"/>
          <w:lang w:val="es-ES"/>
        </w:rPr>
      </w:pPr>
      <w:r w:rsidRPr="003C75C4">
        <w:rPr>
          <w:rFonts w:ascii="Verdana" w:eastAsia="Calibri" w:hAnsi="Verdana" w:cs="Arial"/>
        </w:rPr>
        <w:t xml:space="preserve">De acuerdo con esta normativa, en los documentos </w:t>
      </w:r>
      <w:r w:rsidRPr="003C75C4">
        <w:rPr>
          <w:rFonts w:ascii="Verdana" w:eastAsia="Calibri" w:hAnsi="Verdana" w:cs="Arial"/>
          <w:lang w:val="es-MX"/>
        </w:rPr>
        <w:t xml:space="preserve">tipo de concursos de méritos para la consultoría de estudios de ingeniería de </w:t>
      </w:r>
      <w:r w:rsidRPr="003C75C4">
        <w:rPr>
          <w:rFonts w:ascii="Verdana" w:eastAsia="Calibri" w:hAnsi="Verdana" w:cs="Arial"/>
        </w:rPr>
        <w:t>infraestructura de transporte adoptados por esta Agencia, se consideran la experiencia del proponente y del equipo de trabajo como factores de evaluación. Esto se aprecia en el Capítulo IV del Documento Base, que señala que la entidad calificará las ofertas que hayan</w:t>
      </w:r>
      <w:r w:rsidRPr="003C75C4">
        <w:rPr>
          <w:rFonts w:ascii="Verdana" w:eastAsia="Calibri" w:hAnsi="Verdana" w:cs="Arial"/>
          <w:lang w:val="es-MX"/>
        </w:rPr>
        <w:t xml:space="preserve"> cumplido los requisitos habilitantes con los siguientes criterios de evaluación y puntajes: i) Experiencia del proponente, </w:t>
      </w:r>
      <w:proofErr w:type="spellStart"/>
      <w:r w:rsidRPr="003C75C4">
        <w:rPr>
          <w:rFonts w:ascii="Verdana" w:eastAsia="Calibri" w:hAnsi="Verdana" w:cs="Arial"/>
          <w:lang w:val="es-MX"/>
        </w:rPr>
        <w:t>ii</w:t>
      </w:r>
      <w:proofErr w:type="spellEnd"/>
      <w:r w:rsidRPr="003C75C4">
        <w:rPr>
          <w:rFonts w:ascii="Verdana" w:eastAsia="Calibri" w:hAnsi="Verdana" w:cs="Arial"/>
          <w:lang w:val="es-MX"/>
        </w:rPr>
        <w:t xml:space="preserve">) Equipo de trabajo (personal clave evaluable), </w:t>
      </w:r>
      <w:proofErr w:type="spellStart"/>
      <w:r w:rsidRPr="003C75C4">
        <w:rPr>
          <w:rFonts w:ascii="Verdana" w:eastAsia="Calibri" w:hAnsi="Verdana" w:cs="Arial"/>
          <w:lang w:val="es-MX"/>
        </w:rPr>
        <w:t>iii</w:t>
      </w:r>
      <w:proofErr w:type="spellEnd"/>
      <w:r w:rsidRPr="003C75C4">
        <w:rPr>
          <w:rFonts w:ascii="Verdana" w:eastAsia="Calibri" w:hAnsi="Verdana" w:cs="Arial"/>
          <w:lang w:val="es-MX"/>
        </w:rPr>
        <w:t xml:space="preserve">) Factor de sostenibilidad, </w:t>
      </w:r>
      <w:proofErr w:type="spellStart"/>
      <w:r w:rsidRPr="003C75C4">
        <w:rPr>
          <w:rFonts w:ascii="Verdana" w:eastAsia="Calibri" w:hAnsi="Verdana" w:cs="Arial"/>
          <w:lang w:val="es-MX"/>
        </w:rPr>
        <w:t>iv</w:t>
      </w:r>
      <w:proofErr w:type="spellEnd"/>
      <w:r w:rsidRPr="003C75C4">
        <w:rPr>
          <w:rFonts w:ascii="Verdana" w:eastAsia="Calibri" w:hAnsi="Verdana" w:cs="Arial"/>
          <w:lang w:val="es-MX"/>
        </w:rPr>
        <w:t>) Apoyo a la industria nacional y v) Vinculación de personas con discapacidad.</w:t>
      </w:r>
    </w:p>
    <w:p w14:paraId="028240AA" w14:textId="77777777" w:rsidR="003C75C4" w:rsidRPr="003C75C4" w:rsidRDefault="003C75C4" w:rsidP="003C75C4">
      <w:pPr>
        <w:tabs>
          <w:tab w:val="left" w:pos="142"/>
          <w:tab w:val="left" w:pos="284"/>
        </w:tabs>
        <w:spacing w:after="0" w:line="276" w:lineRule="auto"/>
        <w:ind w:left="720"/>
        <w:contextualSpacing/>
        <w:jc w:val="both"/>
        <w:rPr>
          <w:rFonts w:ascii="Verdana" w:eastAsia="Calibri" w:hAnsi="Verdana" w:cs="Arial"/>
          <w:lang w:val="es-ES"/>
        </w:rPr>
      </w:pPr>
    </w:p>
    <w:p w14:paraId="59F76284" w14:textId="77777777" w:rsidR="003C75C4" w:rsidRPr="003C75C4" w:rsidRDefault="003C75C4" w:rsidP="003C75C4">
      <w:pPr>
        <w:numPr>
          <w:ilvl w:val="0"/>
          <w:numId w:val="17"/>
        </w:numPr>
        <w:spacing w:after="0" w:line="240" w:lineRule="auto"/>
        <w:contextualSpacing/>
        <w:jc w:val="both"/>
        <w:rPr>
          <w:rFonts w:ascii="Verdana" w:eastAsia="Calibri" w:hAnsi="Verdana" w:cs="Arial"/>
        </w:rPr>
      </w:pPr>
      <w:r w:rsidRPr="003C75C4">
        <w:rPr>
          <w:rFonts w:ascii="Verdana" w:eastAsia="Calibri" w:hAnsi="Verdana" w:cs="Arial"/>
        </w:rPr>
        <w:t xml:space="preserve">Ahora bien, se resalta que la oferta económica en esta modalidad de selección no es un criterio de asignación de puntaje, teniendo en cuenta lo prescrito en el numeral 4 del artículo 5, numeral, de la Ley 1150 de 2007. De igual forma, de acuerdo con el numeral 1 del artículo 2.2.1.2.1.3.2 del Decreto 1082 de 2015, la experiencia y la formación académica del equipo de trabajo son criterios de asignación de puntaje. </w:t>
      </w:r>
    </w:p>
    <w:p w14:paraId="028B5AF8" w14:textId="77777777" w:rsidR="003C75C4" w:rsidRPr="003C75C4" w:rsidRDefault="003C75C4" w:rsidP="003C75C4">
      <w:pPr>
        <w:spacing w:after="0" w:line="240" w:lineRule="auto"/>
        <w:ind w:left="720"/>
        <w:contextualSpacing/>
        <w:jc w:val="both"/>
        <w:rPr>
          <w:rFonts w:ascii="Verdana" w:eastAsia="Calibri" w:hAnsi="Verdana" w:cs="Arial"/>
        </w:rPr>
      </w:pPr>
    </w:p>
    <w:p w14:paraId="372D8D9F" w14:textId="77777777" w:rsidR="003C75C4" w:rsidRPr="003C75C4" w:rsidRDefault="003C75C4" w:rsidP="003C75C4">
      <w:pPr>
        <w:spacing w:after="0" w:line="240" w:lineRule="auto"/>
        <w:ind w:left="720"/>
        <w:contextualSpacing/>
        <w:jc w:val="both"/>
        <w:rPr>
          <w:rFonts w:ascii="Verdana" w:eastAsia="Calibri" w:hAnsi="Verdana" w:cs="Arial"/>
        </w:rPr>
      </w:pPr>
      <w:r w:rsidRPr="003C75C4">
        <w:rPr>
          <w:rFonts w:ascii="Verdana" w:eastAsia="Calibri" w:hAnsi="Verdana" w:cs="Arial"/>
        </w:rPr>
        <w:t>Al respecto, es importante señalar que el artículo 12 del Decreto Ley 785 de 2005 dispone lo siguiente: […]</w:t>
      </w:r>
    </w:p>
    <w:p w14:paraId="699EE913" w14:textId="77777777" w:rsidR="003C75C4" w:rsidRPr="003C75C4" w:rsidRDefault="003C75C4" w:rsidP="003C75C4">
      <w:pPr>
        <w:spacing w:after="0" w:line="240" w:lineRule="auto"/>
        <w:ind w:left="720"/>
        <w:contextualSpacing/>
        <w:jc w:val="both"/>
        <w:rPr>
          <w:rFonts w:ascii="Century Gothic" w:eastAsia="Calibri" w:hAnsi="Century Gothic" w:cs="Arial"/>
        </w:rPr>
      </w:pPr>
    </w:p>
    <w:p w14:paraId="1060665B" w14:textId="77777777" w:rsidR="003C75C4" w:rsidRPr="003C75C4" w:rsidRDefault="003C75C4" w:rsidP="003C75C4">
      <w:pPr>
        <w:spacing w:after="0" w:line="240" w:lineRule="auto"/>
        <w:ind w:left="709" w:right="709"/>
        <w:jc w:val="both"/>
        <w:rPr>
          <w:rFonts w:ascii="Verdana" w:eastAsia="Calibri" w:hAnsi="Verdana" w:cs="Arial"/>
          <w:sz w:val="20"/>
          <w:szCs w:val="20"/>
        </w:rPr>
      </w:pPr>
      <w:r w:rsidRPr="003C75C4">
        <w:rPr>
          <w:rFonts w:ascii="Verdana" w:eastAsia="Calibri" w:hAnsi="Verdana" w:cs="Arial"/>
          <w:sz w:val="20"/>
          <w:szCs w:val="20"/>
        </w:rPr>
        <w:t>“Artículo 12. Certificación de la experiencia. La experiencia se acreditará mediante la presentación de constancias escritas, expedidas por la autoridad competente de las respectivas instituciones oficiales o privadas. Cuando el interesado haya ejercido su profesión o actividad en forma independiente, la experiencia se acreditará mediante declaración del mismo” […]</w:t>
      </w:r>
    </w:p>
    <w:p w14:paraId="5D436C7A" w14:textId="77777777" w:rsidR="003C75C4" w:rsidRPr="003C75C4" w:rsidRDefault="003C75C4" w:rsidP="003C75C4">
      <w:pPr>
        <w:spacing w:after="0" w:line="240" w:lineRule="auto"/>
        <w:ind w:left="720"/>
        <w:contextualSpacing/>
        <w:jc w:val="both"/>
        <w:rPr>
          <w:rFonts w:ascii="Arial" w:eastAsia="Times New Roman" w:hAnsi="Arial" w:cs="Arial"/>
          <w:sz w:val="20"/>
          <w:szCs w:val="20"/>
          <w:highlight w:val="yellow"/>
          <w:shd w:val="clear" w:color="auto" w:fill="FFFFFF"/>
          <w:lang w:eastAsia="es-ES_tradnl"/>
        </w:rPr>
      </w:pPr>
    </w:p>
    <w:p w14:paraId="7EA55FBB" w14:textId="77777777" w:rsidR="003C75C4" w:rsidRPr="003C75C4" w:rsidRDefault="003C75C4" w:rsidP="003C75C4">
      <w:pPr>
        <w:spacing w:after="0" w:line="240" w:lineRule="auto"/>
        <w:ind w:left="720"/>
        <w:contextualSpacing/>
        <w:jc w:val="both"/>
        <w:rPr>
          <w:rFonts w:ascii="Arial" w:eastAsia="Times New Roman" w:hAnsi="Arial" w:cs="Arial"/>
          <w:sz w:val="20"/>
          <w:szCs w:val="20"/>
          <w:highlight w:val="yellow"/>
          <w:shd w:val="clear" w:color="auto" w:fill="FFFFFF"/>
          <w:lang w:eastAsia="es-ES_tradnl"/>
        </w:rPr>
      </w:pPr>
    </w:p>
    <w:p w14:paraId="295679DA" w14:textId="77777777" w:rsidR="003C75C4" w:rsidRPr="003C75C4" w:rsidRDefault="003C75C4" w:rsidP="003C75C4">
      <w:pPr>
        <w:numPr>
          <w:ilvl w:val="0"/>
          <w:numId w:val="17"/>
        </w:numPr>
        <w:spacing w:after="0" w:line="240" w:lineRule="auto"/>
        <w:contextualSpacing/>
        <w:jc w:val="both"/>
        <w:rPr>
          <w:rFonts w:ascii="Verdana" w:eastAsia="Calibri" w:hAnsi="Verdana" w:cs="Arial"/>
        </w:rPr>
      </w:pPr>
      <w:r w:rsidRPr="003C75C4">
        <w:rPr>
          <w:rFonts w:ascii="Verdana" w:eastAsia="Calibri" w:hAnsi="Verdana" w:cs="Arial"/>
        </w:rPr>
        <w:t xml:space="preserve">Adicionalmente, el Decreto 1083 de 2015 contempla en su artículo 2.2.2.3.8 una regla de acreditación de experiencia similar a la citada con anterioridad, en el sentido de que ello debe realizarse a través de la presentación de constancias expedidas por la autoridad competente de las respectivas instituciones oficiales o privadas. </w:t>
      </w:r>
    </w:p>
    <w:p w14:paraId="758D6FD7" w14:textId="77777777" w:rsidR="003C75C4" w:rsidRPr="003C75C4" w:rsidRDefault="003C75C4" w:rsidP="003C75C4">
      <w:pPr>
        <w:spacing w:after="0" w:line="240" w:lineRule="auto"/>
        <w:ind w:left="720"/>
        <w:contextualSpacing/>
        <w:jc w:val="both"/>
        <w:rPr>
          <w:rFonts w:ascii="Verdana" w:eastAsia="Calibri" w:hAnsi="Verdana" w:cs="Arial"/>
        </w:rPr>
      </w:pPr>
    </w:p>
    <w:p w14:paraId="4E088E87" w14:textId="77777777" w:rsidR="003C75C4" w:rsidRPr="003C75C4" w:rsidRDefault="003C75C4" w:rsidP="003C75C4">
      <w:pPr>
        <w:numPr>
          <w:ilvl w:val="0"/>
          <w:numId w:val="17"/>
        </w:numPr>
        <w:spacing w:after="0" w:line="240" w:lineRule="auto"/>
        <w:contextualSpacing/>
        <w:jc w:val="both"/>
        <w:rPr>
          <w:rFonts w:ascii="Verdana" w:eastAsia="Calibri" w:hAnsi="Verdana" w:cs="Arial"/>
        </w:rPr>
      </w:pPr>
      <w:r w:rsidRPr="003C75C4">
        <w:rPr>
          <w:rFonts w:ascii="Verdana" w:eastAsia="Calibri" w:hAnsi="Verdana" w:cs="Arial"/>
        </w:rPr>
        <w:t>Por lo tanto, para la calificación de la experiencia de un proponente y su equipo de trabajo en desarrollo de un concurso de méritos, es suficiente con la presentación de las respectivas constancias expedidas por las instituciones oficiales o privadas en las cuales hayan prestado sus servicios o desempeñado algún cargo o empleo. Para el caso concreto objeto de esta consulta, la experiencia aportada debe ser obtenida antes de la fecha de cierre del proceso al cual se está presentando el proponente y/o contratista.</w:t>
      </w:r>
    </w:p>
    <w:p w14:paraId="3950C1F6" w14:textId="77777777" w:rsidR="003C75C4" w:rsidRPr="003C75C4" w:rsidRDefault="003C75C4" w:rsidP="003C75C4">
      <w:pPr>
        <w:tabs>
          <w:tab w:val="left" w:pos="142"/>
          <w:tab w:val="left" w:pos="284"/>
        </w:tabs>
        <w:spacing w:after="0" w:line="276" w:lineRule="auto"/>
        <w:jc w:val="both"/>
        <w:rPr>
          <w:rFonts w:ascii="Verdana" w:eastAsia="Calibri" w:hAnsi="Verdana" w:cs="Arial"/>
          <w:lang w:val="es-ES"/>
        </w:rPr>
      </w:pPr>
    </w:p>
    <w:p w14:paraId="6A2DC9F0" w14:textId="77777777" w:rsidR="003C75C4" w:rsidRPr="003C75C4" w:rsidRDefault="003C75C4" w:rsidP="003C75C4">
      <w:pPr>
        <w:widowControl w:val="0"/>
        <w:autoSpaceDE w:val="0"/>
        <w:autoSpaceDN w:val="0"/>
        <w:spacing w:after="0" w:line="276" w:lineRule="auto"/>
        <w:jc w:val="both"/>
        <w:rPr>
          <w:rFonts w:ascii="Verdana" w:eastAsia="Calibri" w:hAnsi="Verdana" w:cs="Arial"/>
          <w:lang w:val="es-ES"/>
        </w:rPr>
      </w:pPr>
    </w:p>
    <w:tbl>
      <w:tblPr>
        <w:tblStyle w:val="Tablaconcuadrcula"/>
        <w:tblW w:w="873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736"/>
      </w:tblGrid>
      <w:tr w:rsidR="003C75C4" w:rsidRPr="003C75C4" w14:paraId="08A96955" w14:textId="77777777">
        <w:trPr>
          <w:trHeight w:val="1043"/>
        </w:trPr>
        <w:tc>
          <w:tcPr>
            <w:tcW w:w="8736" w:type="dxa"/>
          </w:tcPr>
          <w:p w14:paraId="79A8F8A4" w14:textId="77777777" w:rsidR="003C75C4" w:rsidRPr="003C75C4" w:rsidRDefault="003C75C4" w:rsidP="003C75C4">
            <w:pPr>
              <w:rPr>
                <w:rFonts w:ascii="Verdana" w:hAnsi="Verdana"/>
              </w:rPr>
            </w:pPr>
          </w:p>
          <w:p w14:paraId="6257A077" w14:textId="77777777" w:rsidR="003C75C4" w:rsidRPr="003C75C4" w:rsidRDefault="003C75C4" w:rsidP="003C75C4">
            <w:pPr>
              <w:rPr>
                <w:rFonts w:ascii="Verdana" w:hAnsi="Verdana"/>
              </w:rPr>
            </w:pPr>
            <w:r w:rsidRPr="003C75C4">
              <w:rPr>
                <w:rFonts w:ascii="Verdana" w:hAnsi="Verdana"/>
              </w:rPr>
              <w:t>Ley 1882 de 2018, articulo 4</w:t>
            </w:r>
          </w:p>
          <w:p w14:paraId="56B3DCDB" w14:textId="77777777" w:rsidR="003C75C4" w:rsidRPr="003C75C4" w:rsidRDefault="003C75C4" w:rsidP="003C75C4">
            <w:pPr>
              <w:rPr>
                <w:rFonts w:ascii="Verdana" w:hAnsi="Verdana"/>
              </w:rPr>
            </w:pPr>
          </w:p>
          <w:p w14:paraId="4D2C9F6A" w14:textId="77777777" w:rsidR="003C75C4" w:rsidRPr="003C75C4" w:rsidRDefault="003C75C4" w:rsidP="003C75C4">
            <w:pPr>
              <w:rPr>
                <w:rFonts w:ascii="Verdana" w:hAnsi="Verdana"/>
              </w:rPr>
            </w:pPr>
            <w:r w:rsidRPr="003C75C4">
              <w:rPr>
                <w:rFonts w:ascii="Verdana" w:hAnsi="Verdana"/>
              </w:rPr>
              <w:t>Ley 2022 de 2020</w:t>
            </w:r>
          </w:p>
          <w:p w14:paraId="43EC87E4" w14:textId="77777777" w:rsidR="003C75C4" w:rsidRPr="003C75C4" w:rsidRDefault="003C75C4" w:rsidP="003C75C4">
            <w:pPr>
              <w:rPr>
                <w:rFonts w:ascii="Verdana" w:hAnsi="Verdana"/>
              </w:rPr>
            </w:pPr>
          </w:p>
          <w:p w14:paraId="6425FC42" w14:textId="77777777" w:rsidR="003C75C4" w:rsidRPr="003C75C4" w:rsidRDefault="003C75C4" w:rsidP="003C75C4">
            <w:pPr>
              <w:rPr>
                <w:rFonts w:ascii="Verdana" w:hAnsi="Verdana"/>
              </w:rPr>
            </w:pPr>
            <w:r w:rsidRPr="003C75C4">
              <w:rPr>
                <w:rFonts w:ascii="Verdana" w:hAnsi="Verdana"/>
              </w:rPr>
              <w:t>Ley 1150 de 2007, articulo 5, numeral 4</w:t>
            </w:r>
          </w:p>
          <w:p w14:paraId="204B664A" w14:textId="77777777" w:rsidR="003C75C4" w:rsidRPr="003C75C4" w:rsidRDefault="003C75C4" w:rsidP="003C75C4">
            <w:pPr>
              <w:rPr>
                <w:rFonts w:ascii="Verdana" w:hAnsi="Verdana"/>
              </w:rPr>
            </w:pPr>
          </w:p>
          <w:p w14:paraId="079FF775" w14:textId="77777777" w:rsidR="003C75C4" w:rsidRPr="003C75C4" w:rsidRDefault="003C75C4" w:rsidP="003C75C4">
            <w:pPr>
              <w:rPr>
                <w:rFonts w:ascii="Verdana" w:hAnsi="Verdana"/>
              </w:rPr>
            </w:pPr>
            <w:r w:rsidRPr="003C75C4">
              <w:rPr>
                <w:rFonts w:ascii="Verdana" w:hAnsi="Verdana"/>
              </w:rPr>
              <w:t>Decreto 1082 de 2015, articulo 2.2.1.2.1.3.2</w:t>
            </w:r>
          </w:p>
          <w:p w14:paraId="1EE4FD6D" w14:textId="77777777" w:rsidR="003C75C4" w:rsidRPr="003C75C4" w:rsidRDefault="003C75C4" w:rsidP="003C75C4">
            <w:pPr>
              <w:rPr>
                <w:rFonts w:ascii="Verdana" w:hAnsi="Verdana"/>
              </w:rPr>
            </w:pPr>
          </w:p>
          <w:p w14:paraId="51DB01BC" w14:textId="77777777" w:rsidR="003C75C4" w:rsidRPr="003C75C4" w:rsidRDefault="003C75C4" w:rsidP="003C75C4">
            <w:pPr>
              <w:rPr>
                <w:rFonts w:ascii="Verdana" w:hAnsi="Verdana"/>
              </w:rPr>
            </w:pPr>
            <w:r w:rsidRPr="003C75C4">
              <w:rPr>
                <w:rFonts w:ascii="Verdana" w:hAnsi="Verdana"/>
              </w:rPr>
              <w:t xml:space="preserve">Decreto ley 785 de 2005 </w:t>
            </w:r>
          </w:p>
          <w:p w14:paraId="59DE598B" w14:textId="77777777" w:rsidR="003C75C4" w:rsidRPr="003C75C4" w:rsidRDefault="003C75C4" w:rsidP="003C75C4">
            <w:pPr>
              <w:rPr>
                <w:rFonts w:ascii="Verdana" w:hAnsi="Verdana"/>
              </w:rPr>
            </w:pPr>
          </w:p>
          <w:p w14:paraId="421E17F1" w14:textId="77777777" w:rsidR="003C75C4" w:rsidRPr="003C75C4" w:rsidRDefault="003C75C4" w:rsidP="003C75C4">
            <w:pPr>
              <w:rPr>
                <w:rFonts w:ascii="Verdana" w:hAnsi="Verdana"/>
              </w:rPr>
            </w:pPr>
            <w:r w:rsidRPr="003C75C4">
              <w:rPr>
                <w:rFonts w:ascii="Verdana" w:hAnsi="Verdana"/>
              </w:rPr>
              <w:t>Decreto 1083 de 2015, articulo 2.2.2.3.8</w:t>
            </w:r>
          </w:p>
          <w:p w14:paraId="1789485A" w14:textId="77777777" w:rsidR="003C75C4" w:rsidRPr="003C75C4" w:rsidRDefault="003C75C4" w:rsidP="003C75C4">
            <w:pPr>
              <w:ind w:left="720"/>
              <w:contextualSpacing/>
              <w:rPr>
                <w:rFonts w:ascii="Verdana" w:hAnsi="Verdana" w:cs="Arial"/>
              </w:rPr>
            </w:pPr>
          </w:p>
        </w:tc>
      </w:tr>
    </w:tbl>
    <w:p w14:paraId="663AA40A" w14:textId="77777777" w:rsidR="003C75C4" w:rsidRPr="003C75C4" w:rsidRDefault="003C75C4" w:rsidP="003C75C4">
      <w:pPr>
        <w:widowControl w:val="0"/>
        <w:autoSpaceDE w:val="0"/>
        <w:autoSpaceDN w:val="0"/>
        <w:spacing w:after="0" w:line="276" w:lineRule="auto"/>
        <w:jc w:val="both"/>
        <w:rPr>
          <w:rFonts w:ascii="Verdana" w:hAnsi="Verdana" w:cs="Arial"/>
        </w:rPr>
      </w:pPr>
    </w:p>
    <w:p w14:paraId="72B3FC61" w14:textId="77777777" w:rsidR="003C75C4" w:rsidRPr="003C75C4" w:rsidRDefault="003C75C4" w:rsidP="003C75C4">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3C75C4">
        <w:rPr>
          <w:rFonts w:ascii="Verdana" w:eastAsia="Century Gothic" w:hAnsi="Verdana" w:cs="Century Gothic"/>
          <w:b/>
          <w:bCs/>
          <w:lang w:val="es-ES"/>
        </w:rPr>
        <w:t>Doctrina de la Agencia Nacional de Contratación Pública:</w:t>
      </w:r>
    </w:p>
    <w:p w14:paraId="7DE612E4" w14:textId="77777777" w:rsidR="003C75C4" w:rsidRPr="003C75C4" w:rsidRDefault="003C75C4" w:rsidP="003C75C4">
      <w:pPr>
        <w:tabs>
          <w:tab w:val="left" w:pos="142"/>
          <w:tab w:val="left" w:pos="284"/>
        </w:tabs>
        <w:spacing w:after="0" w:line="276" w:lineRule="auto"/>
        <w:jc w:val="both"/>
        <w:rPr>
          <w:rFonts w:ascii="Verdana" w:eastAsia="Century Gothic" w:hAnsi="Verdana" w:cs="Century Gothic"/>
          <w:b/>
          <w:bCs/>
          <w:lang w:val="es-ES"/>
        </w:rPr>
      </w:pPr>
    </w:p>
    <w:p w14:paraId="7E6FA631" w14:textId="77777777" w:rsidR="003C75C4" w:rsidRPr="003C75C4" w:rsidRDefault="003C75C4" w:rsidP="003C75C4">
      <w:pPr>
        <w:tabs>
          <w:tab w:val="left" w:pos="142"/>
          <w:tab w:val="left" w:pos="284"/>
        </w:tabs>
        <w:spacing w:after="0" w:line="276" w:lineRule="auto"/>
        <w:jc w:val="both"/>
        <w:rPr>
          <w:rFonts w:ascii="Verdana" w:hAnsi="Verdana" w:cs="Arial"/>
        </w:rPr>
      </w:pPr>
      <w:r w:rsidRPr="003C75C4">
        <w:rPr>
          <w:rFonts w:ascii="Verdana" w:hAnsi="Verdana" w:cs="Arial"/>
        </w:rPr>
        <w:lastRenderedPageBreak/>
        <w:t xml:space="preserve">La Agencia Nacional de Contratación Pública – Colombia Compra Eficiente analizó el fundamento normativo de los documentos tipo en la contratación estatal, entre otros, en los siguientes conceptos: C-312 del 29 de junio de 2021, C-344 del 13 de julio de 2021, C-384 del 30 de julio de 2021, C-412 del 17 de agosto de 2021, C-433 del 20 de agosto de 2021, C-471 del 30 de agosto de 2021, C-450 del 31 de agosto de 2021, C-473 del 7 de septiembre de 2021, C-591 del 31 de agosto de 2021, C-493 del 13 de septiembre de 2021, C-569 del 12 de octubre de 2021, C-599 del 26 de octubre de 2021, C-643 del 17 de noviembre de 2021 y C-356 del 6 de julio de 2022, C654 del 7 de octubre de 2022, C-874 del 22 de diciembre de 2022, C-909 del 5 de enero de 2023, C-945 del 17 de febrero de 2023, C-042 del 29 de marzo de 2023, C-051 del 28 de abril de 2023, C-299 del 24 de julio de 2023 y C-290 del 28 de julio de 2023, por otra parte en los siguientes conceptos  se analizó  el documento tipo de consultoría haciendo énfasis en la validez de la experiencia del equipo de trabajo y del personal clave evaluable: </w:t>
      </w:r>
      <w:r w:rsidRPr="003C75C4">
        <w:rPr>
          <w:rFonts w:ascii="Verdana" w:eastAsia="Calibri" w:hAnsi="Verdana" w:cs="Arial"/>
          <w:color w:val="000000"/>
          <w:szCs w:val="24"/>
          <w:lang w:val="es-ES_tradnl" w:eastAsia="es-ES_tradnl"/>
        </w:rPr>
        <w:t>C-124 del 25 de marzo de 2020, C-406 y C-477 del 13 de julio de 2020, C-612 del 2 de octubre de 2020, C-761 del 5 de enero de 2021, C- 297 del 17 de junio de 2021, C-339 del 14 de junio de 2021, C-367 del 26 de julio de 2021, C-408 del 13 de agosto de 2021,C-739 del 2 de febrero de 2022, C – 005 de  21 de febrero  2023 y C- 481  del 09 de octubre de 2024</w:t>
      </w:r>
      <w:r w:rsidRPr="003C75C4">
        <w:rPr>
          <w:rFonts w:ascii="Verdana" w:hAnsi="Verdana" w:cs="Arial"/>
        </w:rPr>
        <w:t>. 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w:t>
      </w:r>
    </w:p>
    <w:p w14:paraId="1C479F43" w14:textId="77777777" w:rsidR="003C75C4" w:rsidRPr="003C75C4" w:rsidRDefault="003C75C4" w:rsidP="003C75C4">
      <w:pPr>
        <w:tabs>
          <w:tab w:val="left" w:pos="142"/>
          <w:tab w:val="left" w:pos="284"/>
        </w:tabs>
        <w:spacing w:after="0" w:line="276" w:lineRule="auto"/>
        <w:jc w:val="both"/>
        <w:rPr>
          <w:rFonts w:ascii="Verdana" w:hAnsi="Verdana" w:cs="Arial"/>
        </w:rPr>
      </w:pPr>
    </w:p>
    <w:p w14:paraId="02B591C1" w14:textId="77777777" w:rsidR="003C75C4" w:rsidRPr="003C75C4" w:rsidRDefault="003C75C4" w:rsidP="003C75C4">
      <w:pPr>
        <w:tabs>
          <w:tab w:val="left" w:pos="142"/>
          <w:tab w:val="left" w:pos="284"/>
        </w:tabs>
        <w:spacing w:after="0" w:line="276" w:lineRule="auto"/>
        <w:jc w:val="both"/>
        <w:rPr>
          <w:rFonts w:ascii="Verdana" w:hAnsi="Verdana" w:cs="Arial"/>
        </w:rPr>
      </w:pPr>
      <w:r w:rsidRPr="003C75C4">
        <w:rPr>
          <w:rFonts w:ascii="Verdana" w:hAnsi="Verdana" w:cs="Arial"/>
        </w:rPr>
        <w:t>De otra parte, te contamos que ya publicamos el borrador de la nueva Guía de Contratación Pública Sostenible y Socialmente Responsable. Conoce el documento y realiza tus comentarios hasta el 14 de noviembre de 2024 a través del siguiente enlace: </w:t>
      </w:r>
      <w:hyperlink r:id="rId11" w:tgtFrame="_blank" w:tooltip="Dirección URL original: https://www.sucop.gov.co/entidades/colombiacompra/Normativa?IDNorma=18320. Haga clic o pulse si confía en este vínculo." w:history="1">
        <w:r w:rsidRPr="003C75C4">
          <w:rPr>
            <w:rFonts w:ascii="Verdana" w:hAnsi="Verdana" w:cs="Arial"/>
            <w:color w:val="0563C1" w:themeColor="hyperlink"/>
            <w:u w:val="single"/>
          </w:rPr>
          <w:t>https://www.sucop.gov.co/entidades/colombiacompra/Normativa?IDNorma=18320</w:t>
        </w:r>
      </w:hyperlink>
      <w:r w:rsidRPr="003C75C4">
        <w:rPr>
          <w:rFonts w:ascii="Verdana" w:hAnsi="Verdana" w:cs="Arial"/>
        </w:rPr>
        <w:t>  </w:t>
      </w:r>
    </w:p>
    <w:p w14:paraId="0AA54660" w14:textId="77777777" w:rsidR="003C75C4" w:rsidRPr="003C75C4" w:rsidRDefault="003C75C4" w:rsidP="003C75C4">
      <w:pPr>
        <w:tabs>
          <w:tab w:val="left" w:pos="142"/>
          <w:tab w:val="left" w:pos="284"/>
        </w:tabs>
        <w:spacing w:after="0" w:line="276" w:lineRule="auto"/>
        <w:jc w:val="both"/>
        <w:rPr>
          <w:rFonts w:ascii="Verdana" w:hAnsi="Verdana" w:cs="Arial"/>
        </w:rPr>
      </w:pPr>
    </w:p>
    <w:p w14:paraId="01897945" w14:textId="77777777" w:rsidR="003C75C4" w:rsidRPr="003C75C4" w:rsidRDefault="003C75C4" w:rsidP="003C75C4">
      <w:pPr>
        <w:tabs>
          <w:tab w:val="left" w:pos="142"/>
          <w:tab w:val="left" w:pos="284"/>
        </w:tabs>
        <w:spacing w:after="0" w:line="276" w:lineRule="auto"/>
        <w:jc w:val="both"/>
        <w:rPr>
          <w:rFonts w:ascii="Verdana" w:hAnsi="Verdana" w:cs="Arial"/>
        </w:rPr>
      </w:pPr>
      <w:r w:rsidRPr="003C75C4">
        <w:rPr>
          <w:rFonts w:ascii="Verdana" w:hAnsi="Verdana" w:cs="Arial"/>
        </w:rPr>
        <w:t>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2" w:tgtFrame="_blank" w:tooltip="Dirección URL original: https://www.colombiacompra.gov.co/sala-de-prensa/boletin-digital. Haga clic o pulse si confía en este vínculo." w:history="1">
        <w:r w:rsidRPr="003C75C4">
          <w:rPr>
            <w:rFonts w:ascii="Verdana" w:hAnsi="Verdana" w:cs="Arial"/>
            <w:color w:val="0563C1" w:themeColor="hyperlink"/>
            <w:u w:val="single"/>
          </w:rPr>
          <w:t>https://www.colombiacompra.gov.co/sala-de-prensa/boletin-digital</w:t>
        </w:r>
      </w:hyperlink>
      <w:r w:rsidRPr="003C75C4">
        <w:rPr>
          <w:rFonts w:ascii="Verdana" w:hAnsi="Verdana" w:cs="Arial"/>
        </w:rPr>
        <w:t> "    </w:t>
      </w:r>
    </w:p>
    <w:p w14:paraId="11FDEC81" w14:textId="77777777" w:rsidR="003C75C4" w:rsidRPr="003C75C4" w:rsidRDefault="003C75C4" w:rsidP="003C75C4">
      <w:pPr>
        <w:tabs>
          <w:tab w:val="left" w:pos="142"/>
          <w:tab w:val="left" w:pos="284"/>
        </w:tabs>
        <w:spacing w:after="0" w:line="276" w:lineRule="auto"/>
        <w:jc w:val="both"/>
        <w:rPr>
          <w:rFonts w:ascii="Verdana" w:hAnsi="Verdana" w:cs="Arial"/>
        </w:rPr>
      </w:pPr>
    </w:p>
    <w:p w14:paraId="5566CE08" w14:textId="77777777" w:rsidR="003C75C4" w:rsidRPr="003C75C4" w:rsidRDefault="003C75C4" w:rsidP="003C75C4">
      <w:pPr>
        <w:widowControl w:val="0"/>
        <w:autoSpaceDE w:val="0"/>
        <w:autoSpaceDN w:val="0"/>
        <w:spacing w:after="0" w:line="276" w:lineRule="auto"/>
        <w:jc w:val="both"/>
        <w:rPr>
          <w:rFonts w:ascii="Verdana" w:hAnsi="Verdana" w:cs="Arial"/>
          <w:color w:val="FF0000"/>
          <w:shd w:val="clear" w:color="auto" w:fill="FFFFFF"/>
          <w:lang w:val="es-ES"/>
        </w:rPr>
      </w:pPr>
      <w:r w:rsidRPr="003C75C4">
        <w:rPr>
          <w:rFonts w:ascii="Verdana" w:hAnsi="Verdana" w:cs="Arial"/>
          <w:color w:val="FF0000"/>
          <w:shd w:val="clear" w:color="auto" w:fill="FFFFFF"/>
          <w:lang w:val="es-ES"/>
        </w:rPr>
        <w:lastRenderedPageBreak/>
        <w:t xml:space="preserve">      </w:t>
      </w:r>
    </w:p>
    <w:p w14:paraId="63FAFE09" w14:textId="77777777" w:rsidR="003C75C4" w:rsidRPr="003C75C4" w:rsidRDefault="003C75C4" w:rsidP="003C75C4">
      <w:pPr>
        <w:spacing w:after="0" w:line="240" w:lineRule="auto"/>
        <w:jc w:val="both"/>
        <w:rPr>
          <w:rFonts w:ascii="Verdana" w:hAnsi="Verdana"/>
        </w:rPr>
      </w:pPr>
      <w:r w:rsidRPr="003C75C4">
        <w:rPr>
          <w:rFonts w:ascii="Verdana" w:hAnsi="Verdana"/>
        </w:rPr>
        <w:t xml:space="preserve">Por último, lo invitamos a seguirnos en las redes sociales en las cuales se difunde información institucional: </w:t>
      </w:r>
    </w:p>
    <w:p w14:paraId="2EF093EF" w14:textId="77777777" w:rsidR="003C75C4" w:rsidRPr="003C75C4" w:rsidRDefault="003C75C4" w:rsidP="003C75C4">
      <w:pPr>
        <w:spacing w:after="0" w:line="240" w:lineRule="auto"/>
        <w:jc w:val="both"/>
        <w:rPr>
          <w:rFonts w:ascii="Verdana" w:hAnsi="Verdana"/>
        </w:rPr>
      </w:pPr>
    </w:p>
    <w:p w14:paraId="5E680A8B" w14:textId="77777777" w:rsidR="003C75C4" w:rsidRPr="003C75C4" w:rsidRDefault="003C75C4" w:rsidP="003C75C4">
      <w:pPr>
        <w:spacing w:after="0" w:line="240" w:lineRule="auto"/>
        <w:jc w:val="both"/>
        <w:rPr>
          <w:rFonts w:ascii="Verdana" w:hAnsi="Verdana"/>
        </w:rPr>
      </w:pPr>
      <w:r w:rsidRPr="003C75C4">
        <w:rPr>
          <w:rFonts w:ascii="Verdana" w:hAnsi="Verdana"/>
        </w:rPr>
        <w:t xml:space="preserve">Twitter: </w:t>
      </w:r>
      <w:r w:rsidRPr="003C75C4">
        <w:rPr>
          <w:rFonts w:ascii="Verdana" w:hAnsi="Verdana"/>
          <w:color w:val="4472C4" w:themeColor="accent1"/>
          <w:u w:val="single"/>
        </w:rPr>
        <w:t>@colombiacompra</w:t>
      </w:r>
      <w:r w:rsidRPr="003C75C4">
        <w:rPr>
          <w:rFonts w:ascii="Verdana" w:hAnsi="Verdana"/>
          <w:color w:val="4472C4" w:themeColor="accent1"/>
        </w:rPr>
        <w:t xml:space="preserve"> </w:t>
      </w:r>
    </w:p>
    <w:p w14:paraId="586964B7" w14:textId="77777777" w:rsidR="003C75C4" w:rsidRPr="003C75C4" w:rsidRDefault="003C75C4" w:rsidP="003C75C4">
      <w:pPr>
        <w:spacing w:after="0" w:line="240" w:lineRule="auto"/>
        <w:jc w:val="both"/>
        <w:rPr>
          <w:rFonts w:ascii="Verdana" w:hAnsi="Verdana"/>
        </w:rPr>
      </w:pPr>
      <w:r w:rsidRPr="003C75C4">
        <w:rPr>
          <w:rFonts w:ascii="Verdana" w:hAnsi="Verdana"/>
        </w:rPr>
        <w:t xml:space="preserve">Facebook: </w:t>
      </w:r>
      <w:proofErr w:type="spellStart"/>
      <w:r w:rsidRPr="003C75C4">
        <w:rPr>
          <w:rFonts w:ascii="Verdana" w:hAnsi="Verdana"/>
          <w:color w:val="4472C4" w:themeColor="accent1"/>
          <w:u w:val="single"/>
        </w:rPr>
        <w:t>ColombiaCompraEficiente</w:t>
      </w:r>
      <w:proofErr w:type="spellEnd"/>
    </w:p>
    <w:p w14:paraId="5E49A1BC" w14:textId="77777777" w:rsidR="003C75C4" w:rsidRPr="003C75C4" w:rsidRDefault="003C75C4" w:rsidP="003C75C4">
      <w:pPr>
        <w:spacing w:after="0" w:line="240" w:lineRule="auto"/>
        <w:jc w:val="both"/>
        <w:rPr>
          <w:rFonts w:ascii="Verdana" w:hAnsi="Verdana"/>
        </w:rPr>
      </w:pPr>
      <w:r w:rsidRPr="003C75C4">
        <w:rPr>
          <w:rFonts w:ascii="Verdana" w:hAnsi="Verdana"/>
        </w:rPr>
        <w:t xml:space="preserve">LinkedIn: </w:t>
      </w:r>
      <w:r w:rsidRPr="003C75C4">
        <w:rPr>
          <w:rFonts w:ascii="Verdana" w:hAnsi="Verdana"/>
          <w:color w:val="4472C4" w:themeColor="accent1"/>
          <w:u w:val="single"/>
        </w:rPr>
        <w:t>Agencia Nacional de Contratación Pública - Colombia Compra Eficiente</w:t>
      </w:r>
      <w:r w:rsidRPr="003C75C4">
        <w:rPr>
          <w:rFonts w:ascii="Verdana" w:hAnsi="Verdana"/>
          <w:color w:val="4472C4" w:themeColor="accent1"/>
        </w:rPr>
        <w:t xml:space="preserve"> </w:t>
      </w:r>
      <w:r w:rsidRPr="003C75C4">
        <w:rPr>
          <w:rFonts w:ascii="Verdana" w:hAnsi="Verdana"/>
        </w:rPr>
        <w:t xml:space="preserve">Instagram: </w:t>
      </w:r>
      <w:r w:rsidRPr="003C75C4">
        <w:rPr>
          <w:rFonts w:ascii="Verdana" w:hAnsi="Verdana"/>
          <w:color w:val="4472C4" w:themeColor="accent1"/>
          <w:u w:val="single"/>
        </w:rPr>
        <w:t>@colombiacompraeficiente_cce</w:t>
      </w:r>
    </w:p>
    <w:p w14:paraId="49CEA0A8" w14:textId="77777777" w:rsidR="003C75C4" w:rsidRPr="003C75C4" w:rsidRDefault="003C75C4" w:rsidP="003C75C4">
      <w:pPr>
        <w:widowControl w:val="0"/>
        <w:autoSpaceDE w:val="0"/>
        <w:autoSpaceDN w:val="0"/>
        <w:spacing w:after="0" w:line="276" w:lineRule="auto"/>
        <w:jc w:val="both"/>
        <w:rPr>
          <w:rFonts w:ascii="Verdana" w:hAnsi="Verdana" w:cs="Arial"/>
        </w:rPr>
      </w:pPr>
    </w:p>
    <w:p w14:paraId="16F6346F" w14:textId="77777777" w:rsidR="003C75C4" w:rsidRPr="003C75C4" w:rsidRDefault="003C75C4" w:rsidP="003C75C4">
      <w:pPr>
        <w:widowControl w:val="0"/>
        <w:autoSpaceDE w:val="0"/>
        <w:autoSpaceDN w:val="0"/>
        <w:spacing w:after="0" w:line="276" w:lineRule="auto"/>
        <w:jc w:val="both"/>
        <w:rPr>
          <w:rFonts w:ascii="Verdana" w:hAnsi="Verdana" w:cs="Arial"/>
          <w:lang w:val="es-ES_tradnl"/>
        </w:rPr>
      </w:pPr>
      <w:r w:rsidRPr="003C75C4">
        <w:rPr>
          <w:rFonts w:ascii="Verdana" w:hAnsi="Verdana" w:cs="Arial"/>
        </w:rPr>
        <w:t xml:space="preserve">Este concepto tiene el alcance previsto en el artículo 28 del Código de Procedimiento Administrativo y de lo Contencioso Administrativo </w:t>
      </w:r>
      <w:r w:rsidRPr="003C75C4">
        <w:rPr>
          <w:rFonts w:ascii="Verdana" w:hAnsi="Verdana" w:cs="Arial"/>
          <w:lang w:val="es-ES_tradnl"/>
        </w:rPr>
        <w:t>y las expresiones aquí utilizadas con mayúscula inicial deben ser entendidas con el significado que les otorga el artículo 2.2.1.1.1.3.1. del Decreto 1082 de 2015.</w:t>
      </w:r>
    </w:p>
    <w:p w14:paraId="7E465346" w14:textId="77777777" w:rsidR="003C75C4" w:rsidRPr="003C75C4" w:rsidRDefault="003C75C4" w:rsidP="003C75C4">
      <w:pPr>
        <w:widowControl w:val="0"/>
        <w:autoSpaceDE w:val="0"/>
        <w:autoSpaceDN w:val="0"/>
        <w:spacing w:after="0" w:line="276" w:lineRule="auto"/>
        <w:jc w:val="both"/>
        <w:rPr>
          <w:rFonts w:ascii="Verdana" w:hAnsi="Verdana" w:cs="Arial"/>
        </w:rPr>
      </w:pPr>
    </w:p>
    <w:p w14:paraId="6AF5932C" w14:textId="77777777" w:rsidR="003C75C4" w:rsidRPr="003C75C4" w:rsidRDefault="003C75C4" w:rsidP="003C75C4">
      <w:pPr>
        <w:spacing w:after="0" w:line="240" w:lineRule="auto"/>
        <w:rPr>
          <w:rFonts w:ascii="Verdana" w:hAnsi="Verdana" w:cs="Arial"/>
          <w:lang w:eastAsia="es-CO"/>
        </w:rPr>
      </w:pPr>
      <w:r w:rsidRPr="003C75C4">
        <w:rPr>
          <w:rFonts w:ascii="Verdana" w:eastAsia="Times New Roman" w:hAnsi="Verdana" w:cs="Arial"/>
          <w:lang w:eastAsia="es-CO"/>
        </w:rPr>
        <w:t>Atentamente,</w:t>
      </w:r>
      <w:r w:rsidRPr="003C75C4">
        <w:rPr>
          <w:rFonts w:ascii="Verdana" w:hAnsi="Verdana" w:cs="Arial"/>
          <w:lang w:eastAsia="es-CO"/>
        </w:rPr>
        <w:t xml:space="preserve"> </w:t>
      </w:r>
    </w:p>
    <w:p w14:paraId="6A1BEACE" w14:textId="77777777" w:rsidR="003C75C4" w:rsidRPr="003C75C4" w:rsidRDefault="003C75C4" w:rsidP="003C75C4">
      <w:pPr>
        <w:spacing w:line="276" w:lineRule="auto"/>
        <w:rPr>
          <w:rFonts w:ascii="Century Gothic" w:hAnsi="Century Gothic"/>
          <w:noProof/>
          <w:color w:val="000000"/>
          <w:lang w:val="es-ES_tradnl" w:eastAsia="es-CO"/>
        </w:rPr>
      </w:pPr>
    </w:p>
    <w:p w14:paraId="4C0BC95C" w14:textId="77777777" w:rsidR="003C75C4" w:rsidRPr="003C75C4" w:rsidRDefault="003C75C4" w:rsidP="003C75C4">
      <w:pPr>
        <w:spacing w:line="276" w:lineRule="auto"/>
        <w:jc w:val="center"/>
        <w:rPr>
          <w:rFonts w:ascii="Century Gothic" w:hAnsi="Century Gothic"/>
          <w:noProof/>
          <w:color w:val="000000"/>
          <w:lang w:val="es-ES_tradnl" w:eastAsia="es-CO"/>
        </w:rPr>
      </w:pPr>
    </w:p>
    <w:p w14:paraId="7B38B72B" w14:textId="205DF420" w:rsidR="003C75C4" w:rsidRPr="003C75C4" w:rsidRDefault="00BF3432" w:rsidP="003C75C4">
      <w:pPr>
        <w:spacing w:line="276" w:lineRule="auto"/>
        <w:jc w:val="center"/>
        <w:rPr>
          <w:rFonts w:ascii="Century Gothic" w:hAnsi="Century Gothic"/>
          <w:noProof/>
          <w:color w:val="000000"/>
          <w:lang w:val="es-ES_tradnl" w:eastAsia="es-CO"/>
        </w:rPr>
      </w:pPr>
      <w:r w:rsidRPr="002C3AD6">
        <w:rPr>
          <w:rFonts w:ascii="Century Gothic" w:hAnsi="Century Gothic"/>
          <w:noProof/>
        </w:rPr>
        <w:drawing>
          <wp:inline distT="0" distB="0" distL="0" distR="0" wp14:anchorId="4F6B2C8B" wp14:editId="5D989DD2">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3"/>
                    <a:stretch>
                      <a:fillRect/>
                    </a:stretch>
                  </pic:blipFill>
                  <pic:spPr>
                    <a:xfrm>
                      <a:off x="0" y="0"/>
                      <a:ext cx="3772426" cy="1400370"/>
                    </a:xfrm>
                    <a:prstGeom prst="rect">
                      <a:avLst/>
                    </a:prstGeom>
                  </pic:spPr>
                </pic:pic>
              </a:graphicData>
            </a:graphic>
          </wp:inline>
        </w:drawing>
      </w:r>
    </w:p>
    <w:p w14:paraId="49D7EA47" w14:textId="77777777" w:rsidR="003C75C4" w:rsidRPr="003C75C4" w:rsidRDefault="003C75C4" w:rsidP="003C75C4">
      <w:pPr>
        <w:spacing w:line="276" w:lineRule="auto"/>
        <w:jc w:val="center"/>
        <w:rPr>
          <w:rFonts w:ascii="Century Gothic" w:hAnsi="Century Gothic"/>
          <w:noProof/>
          <w:color w:val="000000"/>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C75C4" w:rsidRPr="003C75C4" w14:paraId="37B5419E" w14:textId="77777777">
        <w:trPr>
          <w:trHeight w:val="315"/>
        </w:trPr>
        <w:tc>
          <w:tcPr>
            <w:tcW w:w="893" w:type="dxa"/>
            <w:vAlign w:val="center"/>
            <w:hideMark/>
          </w:tcPr>
          <w:p w14:paraId="7B4370CB" w14:textId="77777777" w:rsidR="003C75C4" w:rsidRPr="003C75C4" w:rsidRDefault="003C75C4" w:rsidP="003C75C4">
            <w:pPr>
              <w:contextualSpacing/>
              <w:rPr>
                <w:rFonts w:ascii="Verdana" w:hAnsi="Verdana" w:cs="Arial"/>
                <w:sz w:val="16"/>
                <w:szCs w:val="16"/>
                <w:lang w:val="es-ES" w:eastAsia="es-ES"/>
              </w:rPr>
            </w:pPr>
            <w:r w:rsidRPr="003C75C4">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54B1521" w14:textId="77777777" w:rsidR="003C75C4" w:rsidRPr="003C75C4" w:rsidRDefault="003C75C4" w:rsidP="003C75C4">
            <w:pPr>
              <w:contextualSpacing/>
              <w:rPr>
                <w:rFonts w:ascii="Verdana" w:eastAsia="Arial" w:hAnsi="Verdana" w:cs="Arial"/>
                <w:sz w:val="16"/>
                <w:szCs w:val="16"/>
              </w:rPr>
            </w:pPr>
            <w:r w:rsidRPr="003C75C4">
              <w:rPr>
                <w:rFonts w:ascii="Verdana" w:eastAsia="Arial" w:hAnsi="Verdana" w:cs="Arial"/>
                <w:sz w:val="16"/>
                <w:szCs w:val="16"/>
              </w:rPr>
              <w:t xml:space="preserve">Héctor Luis Quiñones </w:t>
            </w:r>
            <w:proofErr w:type="spellStart"/>
            <w:r w:rsidRPr="003C75C4">
              <w:rPr>
                <w:rFonts w:ascii="Verdana" w:eastAsia="Arial" w:hAnsi="Verdana" w:cs="Arial"/>
                <w:sz w:val="16"/>
                <w:szCs w:val="16"/>
              </w:rPr>
              <w:t>Quiñones</w:t>
            </w:r>
            <w:proofErr w:type="spellEnd"/>
          </w:p>
          <w:p w14:paraId="0C7676B9" w14:textId="77777777" w:rsidR="003C75C4" w:rsidRPr="003C75C4" w:rsidRDefault="003C75C4" w:rsidP="003C75C4">
            <w:pPr>
              <w:contextualSpacing/>
              <w:rPr>
                <w:rFonts w:ascii="Verdana" w:eastAsia="Arial" w:hAnsi="Verdana" w:cs="Arial"/>
                <w:sz w:val="16"/>
                <w:szCs w:val="16"/>
              </w:rPr>
            </w:pPr>
            <w:r w:rsidRPr="003C75C4">
              <w:rPr>
                <w:rFonts w:ascii="Verdana" w:eastAsia="Arial" w:hAnsi="Verdana" w:cs="Arial"/>
                <w:sz w:val="16"/>
                <w:szCs w:val="16"/>
              </w:rPr>
              <w:t>Analista T2 - 02 de la Subdirección de Gestión Contractual</w:t>
            </w:r>
            <w:r w:rsidRPr="003C75C4">
              <w:rPr>
                <w:rFonts w:eastAsia="Arial" w:cs="Arial"/>
                <w:sz w:val="16"/>
                <w:szCs w:val="16"/>
              </w:rPr>
              <w:t xml:space="preserve"> </w:t>
            </w:r>
          </w:p>
        </w:tc>
      </w:tr>
      <w:tr w:rsidR="003C75C4" w:rsidRPr="003C75C4" w14:paraId="7FBCE4FE" w14:textId="77777777">
        <w:trPr>
          <w:trHeight w:val="330"/>
        </w:trPr>
        <w:tc>
          <w:tcPr>
            <w:tcW w:w="893" w:type="dxa"/>
            <w:vAlign w:val="center"/>
            <w:hideMark/>
          </w:tcPr>
          <w:p w14:paraId="3FA31CE5" w14:textId="77777777" w:rsidR="003C75C4" w:rsidRPr="003C75C4" w:rsidRDefault="003C75C4" w:rsidP="003C75C4">
            <w:pPr>
              <w:contextualSpacing/>
              <w:rPr>
                <w:rFonts w:ascii="Verdana" w:hAnsi="Verdana" w:cs="Arial"/>
                <w:sz w:val="16"/>
                <w:szCs w:val="16"/>
                <w:lang w:val="es-ES" w:eastAsia="es-ES"/>
              </w:rPr>
            </w:pPr>
            <w:r w:rsidRPr="003C75C4">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F985681" w14:textId="77777777" w:rsidR="003C75C4" w:rsidRPr="003C75C4" w:rsidRDefault="003C75C4" w:rsidP="003C75C4">
            <w:pPr>
              <w:contextualSpacing/>
              <w:textAlignment w:val="baseline"/>
              <w:rPr>
                <w:rFonts w:ascii="Verdana" w:eastAsia="Times New Roman" w:hAnsi="Verdana" w:cs="Segoe UI"/>
                <w:sz w:val="16"/>
                <w:szCs w:val="16"/>
                <w:lang w:eastAsia="es-ES_tradnl"/>
              </w:rPr>
            </w:pPr>
            <w:r w:rsidRPr="003C75C4">
              <w:rPr>
                <w:rFonts w:ascii="Verdana" w:eastAsia="Times New Roman" w:hAnsi="Verdana" w:cs="Segoe UI"/>
                <w:sz w:val="16"/>
                <w:szCs w:val="16"/>
                <w:lang w:eastAsia="es-ES_tradnl"/>
              </w:rPr>
              <w:t xml:space="preserve">Juan David </w:t>
            </w:r>
            <w:proofErr w:type="spellStart"/>
            <w:r w:rsidRPr="003C75C4">
              <w:rPr>
                <w:rFonts w:ascii="Verdana" w:eastAsia="Times New Roman" w:hAnsi="Verdana" w:cs="Segoe UI"/>
                <w:sz w:val="16"/>
                <w:szCs w:val="16"/>
                <w:lang w:eastAsia="es-ES_tradnl"/>
              </w:rPr>
              <w:t>Cardenas</w:t>
            </w:r>
            <w:proofErr w:type="spellEnd"/>
            <w:r w:rsidRPr="003C75C4">
              <w:rPr>
                <w:rFonts w:ascii="Verdana" w:eastAsia="Times New Roman" w:hAnsi="Verdana" w:cs="Segoe UI"/>
                <w:sz w:val="16"/>
                <w:szCs w:val="16"/>
                <w:lang w:eastAsia="es-ES_tradnl"/>
              </w:rPr>
              <w:t xml:space="preserve"> Cabeza </w:t>
            </w:r>
          </w:p>
          <w:p w14:paraId="423B807C" w14:textId="77777777" w:rsidR="003C75C4" w:rsidRPr="003C75C4" w:rsidRDefault="003C75C4" w:rsidP="003C75C4">
            <w:pPr>
              <w:contextualSpacing/>
              <w:textAlignment w:val="baseline"/>
              <w:rPr>
                <w:rFonts w:ascii="Verdana" w:eastAsia="Times New Roman" w:hAnsi="Verdana" w:cs="Segoe UI"/>
                <w:sz w:val="16"/>
                <w:szCs w:val="16"/>
                <w:lang w:eastAsia="es-ES_tradnl"/>
              </w:rPr>
            </w:pPr>
            <w:r w:rsidRPr="003C75C4">
              <w:rPr>
                <w:rFonts w:ascii="Verdana" w:eastAsia="Times New Roman" w:hAnsi="Verdana" w:cs="Arial"/>
                <w:sz w:val="16"/>
                <w:szCs w:val="16"/>
                <w:lang w:val="es-ES" w:eastAsia="es-ES_tradnl"/>
              </w:rPr>
              <w:t>Contratista de la Subdirección de Gestión Contractual</w:t>
            </w:r>
            <w:r w:rsidRPr="003C75C4">
              <w:rPr>
                <w:rFonts w:ascii="Verdana" w:eastAsia="Times New Roman" w:hAnsi="Verdana" w:cs="Arial"/>
                <w:sz w:val="16"/>
                <w:szCs w:val="16"/>
                <w:lang w:eastAsia="es-ES_tradnl"/>
              </w:rPr>
              <w:t> </w:t>
            </w:r>
          </w:p>
        </w:tc>
      </w:tr>
      <w:tr w:rsidR="003C75C4" w:rsidRPr="003C75C4" w14:paraId="752E723E" w14:textId="77777777">
        <w:trPr>
          <w:trHeight w:val="300"/>
        </w:trPr>
        <w:tc>
          <w:tcPr>
            <w:tcW w:w="893" w:type="dxa"/>
            <w:vAlign w:val="center"/>
          </w:tcPr>
          <w:p w14:paraId="0CA9DD36" w14:textId="77777777" w:rsidR="003C75C4" w:rsidRPr="003C75C4" w:rsidRDefault="003C75C4" w:rsidP="003C75C4">
            <w:pPr>
              <w:contextualSpacing/>
              <w:rPr>
                <w:rFonts w:ascii="Verdana" w:hAnsi="Verdana" w:cs="Arial"/>
                <w:sz w:val="16"/>
                <w:szCs w:val="16"/>
                <w:lang w:val="es-ES" w:eastAsia="es-ES"/>
              </w:rPr>
            </w:pPr>
            <w:r w:rsidRPr="003C75C4">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B981AAF" w14:textId="77777777" w:rsidR="003C75C4" w:rsidRPr="003C75C4" w:rsidRDefault="003C75C4" w:rsidP="003C75C4">
            <w:pPr>
              <w:contextualSpacing/>
              <w:rPr>
                <w:rFonts w:ascii="Verdana" w:eastAsia="Calibri" w:hAnsi="Verdana" w:cs="Arial"/>
                <w:sz w:val="16"/>
                <w:szCs w:val="16"/>
                <w:lang w:val="pt-BR" w:eastAsia="es-ES"/>
              </w:rPr>
            </w:pPr>
            <w:r w:rsidRPr="003C75C4">
              <w:rPr>
                <w:rFonts w:ascii="Verdana" w:eastAsia="Calibri" w:hAnsi="Verdana" w:cs="Arial"/>
                <w:sz w:val="16"/>
                <w:szCs w:val="16"/>
                <w:lang w:val="pt-BR" w:eastAsia="es-ES"/>
              </w:rPr>
              <w:t xml:space="preserve">Carolina Quintero </w:t>
            </w:r>
            <w:proofErr w:type="spellStart"/>
            <w:r w:rsidRPr="003C75C4">
              <w:rPr>
                <w:rFonts w:ascii="Verdana" w:eastAsia="Calibri" w:hAnsi="Verdana" w:cs="Arial"/>
                <w:sz w:val="16"/>
                <w:szCs w:val="16"/>
                <w:lang w:val="pt-BR" w:eastAsia="es-ES"/>
              </w:rPr>
              <w:t>Gacharná</w:t>
            </w:r>
            <w:proofErr w:type="spellEnd"/>
          </w:p>
          <w:p w14:paraId="4544A303" w14:textId="77777777" w:rsidR="003C75C4" w:rsidRPr="003C75C4" w:rsidRDefault="003C75C4" w:rsidP="003C75C4">
            <w:pPr>
              <w:contextualSpacing/>
              <w:rPr>
                <w:rFonts w:ascii="Verdana" w:eastAsia="Calibri" w:hAnsi="Verdana" w:cs="Arial"/>
                <w:sz w:val="16"/>
                <w:szCs w:val="16"/>
                <w:lang w:val="pt-BR" w:eastAsia="es-ES"/>
              </w:rPr>
            </w:pPr>
            <w:r w:rsidRPr="003C75C4">
              <w:rPr>
                <w:rFonts w:ascii="Verdana" w:eastAsia="Calibri" w:hAnsi="Verdana" w:cs="Arial"/>
                <w:sz w:val="16"/>
                <w:szCs w:val="16"/>
                <w:lang w:eastAsia="es-ES"/>
              </w:rPr>
              <w:t>Subdirectora</w:t>
            </w:r>
            <w:r w:rsidRPr="003C75C4">
              <w:rPr>
                <w:rFonts w:ascii="Verdana" w:eastAsia="Calibri" w:hAnsi="Verdana" w:cs="Arial"/>
                <w:sz w:val="16"/>
                <w:szCs w:val="16"/>
                <w:lang w:val="pt-BR" w:eastAsia="es-ES"/>
              </w:rPr>
              <w:t xml:space="preserve"> de Gestión </w:t>
            </w:r>
            <w:proofErr w:type="spellStart"/>
            <w:r w:rsidRPr="003C75C4">
              <w:rPr>
                <w:rFonts w:ascii="Verdana" w:eastAsia="Calibri" w:hAnsi="Verdana" w:cs="Arial"/>
                <w:sz w:val="16"/>
                <w:szCs w:val="16"/>
                <w:lang w:val="pt-BR" w:eastAsia="es-ES"/>
              </w:rPr>
              <w:t>Contractual</w:t>
            </w:r>
            <w:proofErr w:type="spellEnd"/>
            <w:r w:rsidRPr="003C75C4">
              <w:rPr>
                <w:rFonts w:ascii="Verdana" w:eastAsia="Calibri" w:hAnsi="Verdana" w:cs="Arial"/>
                <w:sz w:val="16"/>
                <w:szCs w:val="16"/>
                <w:lang w:val="pt-BR" w:eastAsia="es-ES"/>
              </w:rPr>
              <w:t xml:space="preserve"> ANCP – CCE</w:t>
            </w:r>
          </w:p>
        </w:tc>
      </w:tr>
    </w:tbl>
    <w:p w14:paraId="11E1B1A8" w14:textId="77777777" w:rsidR="003C75C4" w:rsidRPr="003C75C4" w:rsidRDefault="003C75C4" w:rsidP="003C75C4">
      <w:pPr>
        <w:spacing w:after="0" w:line="240" w:lineRule="auto"/>
        <w:rPr>
          <w:rFonts w:ascii="Verdana" w:eastAsia="Times New Roman" w:hAnsi="Verdana" w:cs="Arial"/>
          <w:sz w:val="24"/>
          <w:szCs w:val="24"/>
          <w:lang w:eastAsia="es-ES"/>
        </w:rPr>
      </w:pPr>
    </w:p>
    <w:p w14:paraId="1A693AB2" w14:textId="77777777" w:rsidR="003C75C4" w:rsidRPr="003C75C4" w:rsidRDefault="003C75C4" w:rsidP="003C75C4"/>
    <w:bookmarkEnd w:id="0"/>
    <w:p w14:paraId="0463F159" w14:textId="77777777" w:rsidR="003C75C4" w:rsidRPr="0044528D" w:rsidRDefault="003C75C4" w:rsidP="00E245AB">
      <w:pPr>
        <w:spacing w:after="0"/>
        <w:rPr>
          <w:rFonts w:ascii="Verdana" w:hAnsi="Verdana"/>
        </w:rPr>
      </w:pPr>
    </w:p>
    <w:sectPr w:rsidR="003C75C4" w:rsidRPr="0044528D"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A2FD9" w14:textId="77777777" w:rsidR="00D90DA4" w:rsidRDefault="00D90DA4" w:rsidP="004A1847">
      <w:pPr>
        <w:spacing w:after="0" w:line="240" w:lineRule="auto"/>
      </w:pPr>
      <w:r>
        <w:separator/>
      </w:r>
    </w:p>
  </w:endnote>
  <w:endnote w:type="continuationSeparator" w:id="0">
    <w:p w14:paraId="6A281D48" w14:textId="77777777" w:rsidR="00D90DA4" w:rsidRDefault="00D90DA4" w:rsidP="004A1847">
      <w:pPr>
        <w:spacing w:after="0" w:line="240" w:lineRule="auto"/>
      </w:pPr>
      <w:r>
        <w:continuationSeparator/>
      </w:r>
    </w:p>
  </w:endnote>
  <w:endnote w:type="continuationNotice" w:id="1">
    <w:p w14:paraId="1263DBF6" w14:textId="77777777" w:rsidR="00D90DA4" w:rsidRDefault="00D90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MT">
    <w:altName w:val="Klee One"/>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2C2F9" w14:textId="77777777" w:rsidR="00D90DA4" w:rsidRDefault="00D90DA4" w:rsidP="004A1847">
      <w:pPr>
        <w:spacing w:after="0" w:line="240" w:lineRule="auto"/>
      </w:pPr>
      <w:r>
        <w:separator/>
      </w:r>
    </w:p>
  </w:footnote>
  <w:footnote w:type="continuationSeparator" w:id="0">
    <w:p w14:paraId="3679E65D" w14:textId="77777777" w:rsidR="00D90DA4" w:rsidRDefault="00D90DA4" w:rsidP="004A1847">
      <w:pPr>
        <w:spacing w:after="0" w:line="240" w:lineRule="auto"/>
      </w:pPr>
      <w:r>
        <w:continuationSeparator/>
      </w:r>
    </w:p>
  </w:footnote>
  <w:footnote w:type="continuationNotice" w:id="1">
    <w:p w14:paraId="4C2267D5" w14:textId="77777777" w:rsidR="00D90DA4" w:rsidRDefault="00D90DA4">
      <w:pPr>
        <w:spacing w:after="0" w:line="240" w:lineRule="auto"/>
      </w:pPr>
    </w:p>
  </w:footnote>
  <w:footnote w:id="2">
    <w:p w14:paraId="6465D2D3" w14:textId="77777777" w:rsidR="003C75C4" w:rsidRPr="00F65E69" w:rsidRDefault="003C75C4" w:rsidP="003C75C4">
      <w:pPr>
        <w:pStyle w:val="Textonotapie"/>
        <w:ind w:firstLine="709"/>
        <w:jc w:val="both"/>
        <w:rPr>
          <w:rFonts w:ascii="Verdana" w:hAnsi="Verdana" w:cs="Arial"/>
          <w:color w:val="000000"/>
          <w:sz w:val="14"/>
          <w:szCs w:val="14"/>
        </w:rPr>
      </w:pPr>
      <w:r w:rsidRPr="00F65E69">
        <w:rPr>
          <w:rStyle w:val="Refdenotaalpie"/>
          <w:rFonts w:ascii="Verdana" w:hAnsi="Verdana"/>
          <w:sz w:val="14"/>
          <w:szCs w:val="14"/>
        </w:rPr>
        <w:footnoteRef/>
      </w:r>
      <w:r w:rsidRPr="00F65E69">
        <w:rPr>
          <w:rFonts w:ascii="Verdana" w:hAnsi="Verdana"/>
          <w:sz w:val="14"/>
          <w:szCs w:val="14"/>
        </w:rPr>
        <w:t xml:space="preserve"> </w:t>
      </w:r>
      <w:r w:rsidRPr="00F65E69">
        <w:rPr>
          <w:rFonts w:ascii="Verdana" w:hAnsi="Verdana" w:cs="Arial"/>
          <w:color w:val="000000"/>
          <w:sz w:val="14"/>
          <w:szCs w:val="14"/>
        </w:rPr>
        <w:t>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3155D4C6" w14:textId="77777777" w:rsidR="003C75C4" w:rsidRPr="00F65E69" w:rsidRDefault="003C75C4" w:rsidP="003C75C4">
      <w:pPr>
        <w:pStyle w:val="Textonotapie"/>
        <w:rPr>
          <w:rFonts w:ascii="Verdana" w:hAnsi="Verdana"/>
          <w:sz w:val="14"/>
          <w:szCs w:val="14"/>
        </w:rPr>
      </w:pPr>
    </w:p>
  </w:footnote>
  <w:footnote w:id="3">
    <w:p w14:paraId="44D08DE4" w14:textId="77777777" w:rsidR="003C75C4" w:rsidRPr="00F65E69" w:rsidRDefault="003C75C4" w:rsidP="003C75C4">
      <w:pPr>
        <w:pStyle w:val="Textonotapie"/>
        <w:ind w:firstLine="708"/>
        <w:jc w:val="both"/>
        <w:rPr>
          <w:rFonts w:ascii="Verdana" w:hAnsi="Verdana" w:cs="Arial"/>
          <w:color w:val="000000"/>
          <w:sz w:val="14"/>
          <w:szCs w:val="14"/>
        </w:rPr>
      </w:pPr>
      <w:r w:rsidRPr="00F65E69">
        <w:rPr>
          <w:rStyle w:val="Refdenotaalpie"/>
          <w:rFonts w:ascii="Verdana" w:hAnsi="Verdana"/>
          <w:sz w:val="14"/>
          <w:szCs w:val="14"/>
        </w:rPr>
        <w:footnoteRef/>
      </w:r>
      <w:r w:rsidRPr="00F65E69">
        <w:rPr>
          <w:rFonts w:ascii="Verdana" w:hAnsi="Verdana"/>
          <w:sz w:val="14"/>
          <w:szCs w:val="14"/>
        </w:rPr>
        <w:t xml:space="preserve"> </w:t>
      </w:r>
      <w:r w:rsidRPr="00F65E69">
        <w:rPr>
          <w:rFonts w:ascii="Verdana" w:hAnsi="Verdana" w:cs="Arial"/>
          <w:color w:val="000000"/>
          <w:sz w:val="14"/>
          <w:szCs w:val="14"/>
        </w:rPr>
        <w:t>ARTÍCULO 1o. Modifíquese el artículo 4o de la Ley 1882 de 2018, el cual quedará así:</w:t>
      </w:r>
    </w:p>
    <w:p w14:paraId="0FE03521" w14:textId="77777777" w:rsidR="003C75C4" w:rsidRPr="00F65E69" w:rsidRDefault="003C75C4" w:rsidP="003C75C4">
      <w:pPr>
        <w:pStyle w:val="Textonotapie"/>
        <w:ind w:firstLine="708"/>
        <w:jc w:val="both"/>
        <w:rPr>
          <w:rFonts w:ascii="Verdana" w:hAnsi="Verdana" w:cs="Arial"/>
          <w:color w:val="000000"/>
          <w:sz w:val="14"/>
          <w:szCs w:val="14"/>
        </w:rPr>
      </w:pPr>
      <w:r w:rsidRPr="00F65E69">
        <w:rPr>
          <w:rFonts w:ascii="Verdana" w:hAnsi="Verdana" w:cs="Arial"/>
          <w:color w:val="000000"/>
          <w:sz w:val="14"/>
          <w:szCs w:val="14"/>
        </w:rPr>
        <w:t>Artículo 4o. Adiciónese el siguiente parágrafo al artículo 2o de la Ley 1150 de 2007.</w:t>
      </w:r>
    </w:p>
    <w:p w14:paraId="2762E98A" w14:textId="77777777" w:rsidR="003C75C4" w:rsidRPr="00F65E69" w:rsidRDefault="003C75C4" w:rsidP="003C75C4">
      <w:pPr>
        <w:pStyle w:val="Textonotapie"/>
        <w:ind w:firstLine="708"/>
        <w:jc w:val="both"/>
        <w:rPr>
          <w:rFonts w:ascii="Verdana" w:hAnsi="Verdana" w:cs="Arial"/>
          <w:color w:val="000000"/>
          <w:sz w:val="14"/>
          <w:szCs w:val="14"/>
        </w:rPr>
      </w:pPr>
      <w:r w:rsidRPr="00F65E69">
        <w:rPr>
          <w:rFonts w:ascii="Verdana" w:hAnsi="Verdana" w:cs="Arial"/>
          <w:color w:val="000000"/>
          <w:sz w:val="14"/>
          <w:szCs w:val="14"/>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18A60F9A" w14:textId="77777777" w:rsidR="003C75C4" w:rsidRPr="00F65E69" w:rsidRDefault="003C75C4" w:rsidP="003C75C4">
      <w:pPr>
        <w:pStyle w:val="Textonotapie"/>
        <w:jc w:val="both"/>
        <w:rPr>
          <w:rFonts w:ascii="Verdana" w:hAnsi="Verdana" w:cs="Arial"/>
          <w:color w:val="000000"/>
          <w:sz w:val="14"/>
          <w:szCs w:val="14"/>
        </w:rPr>
      </w:pPr>
      <w:r w:rsidRPr="00F65E69">
        <w:rPr>
          <w:rFonts w:ascii="Verdana" w:hAnsi="Verdana" w:cs="Arial"/>
          <w:color w:val="000000"/>
          <w:sz w:val="14"/>
          <w:szCs w:val="14"/>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35B150D3" w14:textId="77777777" w:rsidR="003C75C4" w:rsidRPr="00F65E69" w:rsidRDefault="003C75C4" w:rsidP="003C75C4">
      <w:pPr>
        <w:pStyle w:val="Textonotapie"/>
        <w:jc w:val="both"/>
        <w:rPr>
          <w:rFonts w:ascii="Verdana" w:hAnsi="Verdana" w:cs="Arial"/>
          <w:color w:val="000000"/>
          <w:sz w:val="14"/>
          <w:szCs w:val="14"/>
        </w:rPr>
      </w:pPr>
      <w:r w:rsidRPr="00F65E69">
        <w:rPr>
          <w:rFonts w:ascii="Verdana" w:hAnsi="Verdana" w:cs="Arial"/>
          <w:color w:val="000000"/>
          <w:sz w:val="14"/>
          <w:szCs w:val="14"/>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6E768C3C" w14:textId="77777777" w:rsidR="003C75C4" w:rsidRPr="00F65E69" w:rsidRDefault="003C75C4" w:rsidP="003C75C4">
      <w:pPr>
        <w:pStyle w:val="Textonotapie"/>
        <w:rPr>
          <w:rFonts w:ascii="Verdana" w:hAnsi="Verdana"/>
          <w:sz w:val="14"/>
          <w:szCs w:val="14"/>
        </w:rPr>
      </w:pPr>
    </w:p>
  </w:footnote>
  <w:footnote w:id="4">
    <w:p w14:paraId="54EED4FA" w14:textId="77777777" w:rsidR="003C75C4" w:rsidRPr="00F65E69" w:rsidRDefault="003C75C4" w:rsidP="003C75C4">
      <w:pPr>
        <w:pStyle w:val="Textonotapie"/>
        <w:rPr>
          <w:rFonts w:ascii="Verdana" w:hAnsi="Verdana"/>
          <w:sz w:val="14"/>
          <w:szCs w:val="14"/>
          <w:lang w:val="es-CO"/>
        </w:rPr>
      </w:pPr>
      <w:r w:rsidRPr="00F65E69">
        <w:rPr>
          <w:rStyle w:val="Refdenotaalpie"/>
          <w:rFonts w:ascii="Verdana" w:hAnsi="Verdana"/>
          <w:sz w:val="14"/>
          <w:szCs w:val="14"/>
        </w:rPr>
        <w:footnoteRef/>
      </w:r>
      <w:r w:rsidRPr="00F65E69">
        <w:rPr>
          <w:rFonts w:ascii="Verdana" w:hAnsi="Verdana"/>
          <w:sz w:val="14"/>
          <w:szCs w:val="14"/>
        </w:rPr>
        <w:t xml:space="preserve"> </w:t>
      </w:r>
      <w:r w:rsidRPr="00F65E69">
        <w:rPr>
          <w:rFonts w:ascii="Verdana" w:hAnsi="Verdana" w:cs="Arial"/>
          <w:sz w:val="14"/>
          <w:szCs w:val="14"/>
        </w:rPr>
        <w:t>DÁVILA VINUEZA, Guillermo. Régimen jurídico de la contratación estatal. Bogotá: Legis, 2016. p. 849</w:t>
      </w:r>
    </w:p>
    <w:p w14:paraId="696D6C56" w14:textId="77777777" w:rsidR="003C75C4" w:rsidRPr="00F65E69" w:rsidRDefault="003C75C4" w:rsidP="003C75C4">
      <w:pPr>
        <w:pStyle w:val="Textonotapie"/>
        <w:rPr>
          <w:rFonts w:ascii="Verdana" w:hAnsi="Verdana"/>
          <w:sz w:val="14"/>
          <w:szCs w:val="14"/>
          <w:lang w:val="es-CO"/>
        </w:rPr>
      </w:pPr>
    </w:p>
  </w:footnote>
  <w:footnote w:id="5">
    <w:p w14:paraId="25E20034" w14:textId="77777777" w:rsidR="003C75C4" w:rsidRPr="00F65E69" w:rsidRDefault="003C75C4" w:rsidP="003C75C4">
      <w:pPr>
        <w:pStyle w:val="Textonotapie"/>
        <w:ind w:firstLine="708"/>
        <w:jc w:val="both"/>
        <w:rPr>
          <w:rFonts w:ascii="Verdana" w:hAnsi="Verdana" w:cs="Arial"/>
          <w:sz w:val="14"/>
          <w:szCs w:val="14"/>
          <w:lang w:val="es-CO"/>
        </w:rPr>
      </w:pPr>
      <w:r w:rsidRPr="00F65E69">
        <w:rPr>
          <w:rStyle w:val="Refdenotaalpie"/>
          <w:rFonts w:ascii="Verdana" w:hAnsi="Verdana"/>
          <w:sz w:val="14"/>
          <w:szCs w:val="14"/>
        </w:rPr>
        <w:footnoteRef/>
      </w:r>
      <w:r w:rsidRPr="00F65E69">
        <w:rPr>
          <w:rFonts w:ascii="Verdana" w:hAnsi="Verdana"/>
          <w:sz w:val="14"/>
          <w:szCs w:val="14"/>
        </w:rPr>
        <w:t xml:space="preserve"> </w:t>
      </w:r>
      <w:r w:rsidRPr="00F65E69">
        <w:rPr>
          <w:rFonts w:ascii="Verdana" w:hAnsi="Verdana" w:cs="Arial"/>
          <w:sz w:val="14"/>
          <w:szCs w:val="14"/>
        </w:rPr>
        <w:t>CONSEJO DE ESTADO. Sección Tercera. Subsección C. Sentencia del 25 de abril del 2012. Radicado. 52001-23-31-000-2000-00173-01(22167). Magistrado Ponente: Jaime Orlando Santofimio Gamboa</w:t>
      </w:r>
    </w:p>
    <w:p w14:paraId="6A2E8003" w14:textId="77777777" w:rsidR="003C75C4" w:rsidRPr="00F65E69" w:rsidRDefault="003C75C4" w:rsidP="003C75C4">
      <w:pPr>
        <w:pStyle w:val="Textonotapie"/>
        <w:rPr>
          <w:rFonts w:ascii="Verdana" w:hAnsi="Verdana"/>
          <w:sz w:val="14"/>
          <w:szCs w:val="14"/>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C85C4D"/>
    <w:multiLevelType w:val="hybridMultilevel"/>
    <w:tmpl w:val="85B8591C"/>
    <w:lvl w:ilvl="0" w:tplc="3C281F2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A74970"/>
    <w:multiLevelType w:val="hybridMultilevel"/>
    <w:tmpl w:val="0E9A6D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D2C66E7"/>
    <w:multiLevelType w:val="hybridMultilevel"/>
    <w:tmpl w:val="1556E5E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62902FB"/>
    <w:multiLevelType w:val="hybridMultilevel"/>
    <w:tmpl w:val="A2DEB3AC"/>
    <w:lvl w:ilvl="0" w:tplc="97A661EA">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6"/>
  </w:num>
  <w:num w:numId="8" w16cid:durableId="152644682">
    <w:abstractNumId w:val="15"/>
  </w:num>
  <w:num w:numId="9" w16cid:durableId="1317221377">
    <w:abstractNumId w:val="8"/>
  </w:num>
  <w:num w:numId="10" w16cid:durableId="1471245386">
    <w:abstractNumId w:val="14"/>
  </w:num>
  <w:num w:numId="11" w16cid:durableId="289172385">
    <w:abstractNumId w:val="9"/>
  </w:num>
  <w:num w:numId="12" w16cid:durableId="1470781324">
    <w:abstractNumId w:val="1"/>
  </w:num>
  <w:num w:numId="13" w16cid:durableId="1512908409">
    <w:abstractNumId w:val="4"/>
  </w:num>
  <w:num w:numId="14" w16cid:durableId="895897244">
    <w:abstractNumId w:val="17"/>
  </w:num>
  <w:num w:numId="15" w16cid:durableId="390349800">
    <w:abstractNumId w:val="12"/>
  </w:num>
  <w:num w:numId="16" w16cid:durableId="341274352">
    <w:abstractNumId w:val="0"/>
  </w:num>
  <w:num w:numId="17" w16cid:durableId="395011267">
    <w:abstractNumId w:val="13"/>
  </w:num>
  <w:num w:numId="18" w16cid:durableId="1173689156">
    <w:abstractNumId w:val="10"/>
  </w:num>
  <w:num w:numId="19" w16cid:durableId="167134097">
    <w:abstractNumId w:val="11"/>
  </w:num>
  <w:num w:numId="20" w16cid:durableId="1607931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64B13"/>
    <w:rsid w:val="00073F18"/>
    <w:rsid w:val="00082362"/>
    <w:rsid w:val="00095E6B"/>
    <w:rsid w:val="000A683E"/>
    <w:rsid w:val="000B19B9"/>
    <w:rsid w:val="000D0334"/>
    <w:rsid w:val="000E11CC"/>
    <w:rsid w:val="000E209E"/>
    <w:rsid w:val="000F6486"/>
    <w:rsid w:val="001003F7"/>
    <w:rsid w:val="0010376F"/>
    <w:rsid w:val="00125105"/>
    <w:rsid w:val="00127233"/>
    <w:rsid w:val="00130907"/>
    <w:rsid w:val="001530E7"/>
    <w:rsid w:val="00194FE4"/>
    <w:rsid w:val="001A485F"/>
    <w:rsid w:val="001E4177"/>
    <w:rsid w:val="001F7DC6"/>
    <w:rsid w:val="00227E4F"/>
    <w:rsid w:val="00240DD4"/>
    <w:rsid w:val="002421BB"/>
    <w:rsid w:val="0025796E"/>
    <w:rsid w:val="002707A2"/>
    <w:rsid w:val="00274945"/>
    <w:rsid w:val="002951A0"/>
    <w:rsid w:val="002962BC"/>
    <w:rsid w:val="002A093D"/>
    <w:rsid w:val="002A0DD0"/>
    <w:rsid w:val="002A49AC"/>
    <w:rsid w:val="002A64FD"/>
    <w:rsid w:val="002C2C18"/>
    <w:rsid w:val="002C7A84"/>
    <w:rsid w:val="002D053C"/>
    <w:rsid w:val="002E1108"/>
    <w:rsid w:val="002E4FD9"/>
    <w:rsid w:val="002F1238"/>
    <w:rsid w:val="002F5F7B"/>
    <w:rsid w:val="003044F8"/>
    <w:rsid w:val="00311808"/>
    <w:rsid w:val="00322A85"/>
    <w:rsid w:val="00324168"/>
    <w:rsid w:val="00325154"/>
    <w:rsid w:val="00336850"/>
    <w:rsid w:val="003448F4"/>
    <w:rsid w:val="00367FE3"/>
    <w:rsid w:val="00374F5E"/>
    <w:rsid w:val="00377E3E"/>
    <w:rsid w:val="003A26D1"/>
    <w:rsid w:val="003A779E"/>
    <w:rsid w:val="003C0E48"/>
    <w:rsid w:val="003C75C4"/>
    <w:rsid w:val="003D0F4D"/>
    <w:rsid w:val="003D5B0D"/>
    <w:rsid w:val="003E0499"/>
    <w:rsid w:val="003F3941"/>
    <w:rsid w:val="00406575"/>
    <w:rsid w:val="0042722E"/>
    <w:rsid w:val="0044528D"/>
    <w:rsid w:val="004A1847"/>
    <w:rsid w:val="004A305D"/>
    <w:rsid w:val="004F21C4"/>
    <w:rsid w:val="004F685F"/>
    <w:rsid w:val="005566E8"/>
    <w:rsid w:val="00574867"/>
    <w:rsid w:val="00591460"/>
    <w:rsid w:val="00592628"/>
    <w:rsid w:val="005A5FF2"/>
    <w:rsid w:val="005B2ED1"/>
    <w:rsid w:val="005C3777"/>
    <w:rsid w:val="005C5CDC"/>
    <w:rsid w:val="005D476C"/>
    <w:rsid w:val="005E6953"/>
    <w:rsid w:val="005F6039"/>
    <w:rsid w:val="00605E40"/>
    <w:rsid w:val="00610812"/>
    <w:rsid w:val="006219F8"/>
    <w:rsid w:val="00650FF7"/>
    <w:rsid w:val="00665D70"/>
    <w:rsid w:val="00671DAC"/>
    <w:rsid w:val="006900D9"/>
    <w:rsid w:val="006D12F8"/>
    <w:rsid w:val="006E1476"/>
    <w:rsid w:val="006F4ABE"/>
    <w:rsid w:val="00706C16"/>
    <w:rsid w:val="007168A5"/>
    <w:rsid w:val="0072589E"/>
    <w:rsid w:val="00726E53"/>
    <w:rsid w:val="00743CE8"/>
    <w:rsid w:val="00756841"/>
    <w:rsid w:val="00756BF1"/>
    <w:rsid w:val="007649AB"/>
    <w:rsid w:val="00771D0C"/>
    <w:rsid w:val="00775886"/>
    <w:rsid w:val="007833AC"/>
    <w:rsid w:val="007B268C"/>
    <w:rsid w:val="007B7171"/>
    <w:rsid w:val="007C0C0F"/>
    <w:rsid w:val="007C3DC2"/>
    <w:rsid w:val="007E5497"/>
    <w:rsid w:val="007F34BE"/>
    <w:rsid w:val="007F5952"/>
    <w:rsid w:val="00806F5F"/>
    <w:rsid w:val="00820278"/>
    <w:rsid w:val="00834693"/>
    <w:rsid w:val="00851D9A"/>
    <w:rsid w:val="00884034"/>
    <w:rsid w:val="008843B6"/>
    <w:rsid w:val="00891928"/>
    <w:rsid w:val="00897B6D"/>
    <w:rsid w:val="008A446D"/>
    <w:rsid w:val="008D180B"/>
    <w:rsid w:val="008E5701"/>
    <w:rsid w:val="008F0EA7"/>
    <w:rsid w:val="00923EEF"/>
    <w:rsid w:val="009419F9"/>
    <w:rsid w:val="0095462D"/>
    <w:rsid w:val="0095685E"/>
    <w:rsid w:val="00961B09"/>
    <w:rsid w:val="00965334"/>
    <w:rsid w:val="0097093E"/>
    <w:rsid w:val="009734A7"/>
    <w:rsid w:val="00975AC3"/>
    <w:rsid w:val="009765AE"/>
    <w:rsid w:val="009A0DFA"/>
    <w:rsid w:val="009B2011"/>
    <w:rsid w:val="009B2D26"/>
    <w:rsid w:val="009C71FA"/>
    <w:rsid w:val="009C72E7"/>
    <w:rsid w:val="009C7A23"/>
    <w:rsid w:val="009D3058"/>
    <w:rsid w:val="009E630F"/>
    <w:rsid w:val="009F3A13"/>
    <w:rsid w:val="00A03CED"/>
    <w:rsid w:val="00A122D3"/>
    <w:rsid w:val="00A17F13"/>
    <w:rsid w:val="00A20739"/>
    <w:rsid w:val="00A33C78"/>
    <w:rsid w:val="00A57FE7"/>
    <w:rsid w:val="00A74ADB"/>
    <w:rsid w:val="00A75F38"/>
    <w:rsid w:val="00AA550F"/>
    <w:rsid w:val="00AB0ADB"/>
    <w:rsid w:val="00AB1B9A"/>
    <w:rsid w:val="00AC7216"/>
    <w:rsid w:val="00AE7D78"/>
    <w:rsid w:val="00B01B1A"/>
    <w:rsid w:val="00B21882"/>
    <w:rsid w:val="00B458A2"/>
    <w:rsid w:val="00B46A6E"/>
    <w:rsid w:val="00B72CD3"/>
    <w:rsid w:val="00B72FFF"/>
    <w:rsid w:val="00B9322E"/>
    <w:rsid w:val="00BC3D36"/>
    <w:rsid w:val="00BD7F72"/>
    <w:rsid w:val="00BF3432"/>
    <w:rsid w:val="00C04FB3"/>
    <w:rsid w:val="00C330EB"/>
    <w:rsid w:val="00C3420A"/>
    <w:rsid w:val="00C754BE"/>
    <w:rsid w:val="00C76B1C"/>
    <w:rsid w:val="00CB6357"/>
    <w:rsid w:val="00CC1B26"/>
    <w:rsid w:val="00CD4780"/>
    <w:rsid w:val="00D01ACD"/>
    <w:rsid w:val="00D07DAA"/>
    <w:rsid w:val="00D423A2"/>
    <w:rsid w:val="00D46BF3"/>
    <w:rsid w:val="00D520D8"/>
    <w:rsid w:val="00D63AC2"/>
    <w:rsid w:val="00D7383B"/>
    <w:rsid w:val="00D90DA4"/>
    <w:rsid w:val="00DA231B"/>
    <w:rsid w:val="00DA23A0"/>
    <w:rsid w:val="00DB28F3"/>
    <w:rsid w:val="00DC39FC"/>
    <w:rsid w:val="00DE7D7D"/>
    <w:rsid w:val="00DF5254"/>
    <w:rsid w:val="00E03125"/>
    <w:rsid w:val="00E04856"/>
    <w:rsid w:val="00E16408"/>
    <w:rsid w:val="00E20894"/>
    <w:rsid w:val="00E245AB"/>
    <w:rsid w:val="00E2764C"/>
    <w:rsid w:val="00E27F2E"/>
    <w:rsid w:val="00E413EA"/>
    <w:rsid w:val="00E50AFE"/>
    <w:rsid w:val="00E75C92"/>
    <w:rsid w:val="00E76299"/>
    <w:rsid w:val="00E771DC"/>
    <w:rsid w:val="00E8772A"/>
    <w:rsid w:val="00E90F6B"/>
    <w:rsid w:val="00E92C27"/>
    <w:rsid w:val="00EA0E3D"/>
    <w:rsid w:val="00EA23D8"/>
    <w:rsid w:val="00EA5D22"/>
    <w:rsid w:val="00EC38A7"/>
    <w:rsid w:val="00ED24DA"/>
    <w:rsid w:val="00EE1AA8"/>
    <w:rsid w:val="00F31EDC"/>
    <w:rsid w:val="00F37E7D"/>
    <w:rsid w:val="00F462B3"/>
    <w:rsid w:val="00F5664F"/>
    <w:rsid w:val="00F65E69"/>
    <w:rsid w:val="00F666C4"/>
    <w:rsid w:val="00F74DEE"/>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EC95159A-E114-4D8F-B86F-45A5C46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3C75C4"/>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sala-de-prensa%2Fboletin-digital&amp;data=05%7C02%7Chector.quinones%40colombiacompra.gov.co%7C096eca3fdcca424ff1c708dcf932f947%7C7b09041e245149d08cb179d5e3d8c1be%7C0%7C0%7C638659244554802639%7CUnknown%7CTWFpbGZsb3d8eyJWIjoiMC4wLjAwMDAiLCJQIjoiV2luMzIiLCJBTiI6Ik1haWwiLCJXVCI6Mn0%3D%7C0%7C%7C%7C&amp;sdata=P2pc0Aur8caHp0nMKSgb1ZkIi3TDdEAFgd4fFLrq6WA%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www.sucop.gov.co%2Fentidades%2Fcolombiacompra%2FNormativa%3FIDNorma%3D18320&amp;data=05%7C02%7Chector.quinones%40colombiacompra.gov.co%7C096eca3fdcca424ff1c708dcf932f947%7C7b09041e245149d08cb179d5e3d8c1be%7C0%7C0%7C638659244554784298%7CUnknown%7CTWFpbGZsb3d8eyJWIjoiMC4wLjAwMDAiLCJQIjoiV2luMzIiLCJBTiI6Ik1haWwiLCJXVCI6Mn0%3D%7C0%7C%7C%7C&amp;sdata=bWkm%2BjrP8Ysa8n2J4ZTfP1sPtMlX%2BHYh776y14uCsY0%3D&amp;reserved=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a6cb9e4b-f1d1-4245-83ec-6cad768d538a"/>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CFABB4B1-77A0-48A7-9ED7-C0271C166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4194</Words>
  <Characters>23072</Characters>
  <Application>Microsoft Office Word</Application>
  <DocSecurity>0</DocSecurity>
  <Lines>192</Lines>
  <Paragraphs>54</Paragraphs>
  <ScaleCrop>false</ScaleCrop>
  <Company/>
  <LinksUpToDate>false</LinksUpToDate>
  <CharactersWithSpaces>27212</CharactersWithSpaces>
  <SharedDoc>false</SharedDoc>
  <HLinks>
    <vt:vector size="12" baseType="variant">
      <vt:variant>
        <vt:i4>6291570</vt:i4>
      </vt:variant>
      <vt:variant>
        <vt:i4>3</vt:i4>
      </vt:variant>
      <vt:variant>
        <vt:i4>0</vt:i4>
      </vt:variant>
      <vt:variant>
        <vt:i4>5</vt:i4>
      </vt:variant>
      <vt:variant>
        <vt:lpwstr>https://nam02.safelinks.protection.outlook.com/?url=https%3A%2F%2Fwww.colombiacompra.gov.co%2Fsala-de-prensa%2Fboletin-digital&amp;data=05%7C02%7Chector.quinones%40colombiacompra.gov.co%7C096eca3fdcca424ff1c708dcf932f947%7C7b09041e245149d08cb179d5e3d8c1be%7C0%7C0%7C638659244554802639%7CUnknown%7CTWFpbGZsb3d8eyJWIjoiMC4wLjAwMDAiLCJQIjoiV2luMzIiLCJBTiI6Ik1haWwiLCJXVCI6Mn0%3D%7C0%7C%7C%7C&amp;sdata=P2pc0Aur8caHp0nMKSgb1ZkIi3TDdEAFgd4fFLrq6WA%3D&amp;reserved=0</vt:lpwstr>
      </vt:variant>
      <vt:variant>
        <vt:lpwstr/>
      </vt:variant>
      <vt:variant>
        <vt:i4>7798886</vt:i4>
      </vt:variant>
      <vt:variant>
        <vt:i4>0</vt:i4>
      </vt:variant>
      <vt:variant>
        <vt:i4>0</vt:i4>
      </vt:variant>
      <vt:variant>
        <vt:i4>5</vt:i4>
      </vt:variant>
      <vt:variant>
        <vt:lpwstr>https://nam02.safelinks.protection.outlook.com/?url=https%3A%2F%2Fwww.sucop.gov.co%2Fentidades%2Fcolombiacompra%2FNormativa%3FIDNorma%3D18320&amp;data=05%7C02%7Chector.quinones%40colombiacompra.gov.co%7C096eca3fdcca424ff1c708dcf932f947%7C7b09041e245149d08cb179d5e3d8c1be%7C0%7C0%7C638659244554784298%7CUnknown%7CTWFpbGZsb3d8eyJWIjoiMC4wLjAwMDAiLCJQIjoiV2luMzIiLCJBTiI6Ik1haWwiLCJXVCI6Mn0%3D%7C0%7C%7C%7C&amp;sdata=bWkm%2BjrP8Ysa8n2J4ZTfP1sPtMlX%2BHYh776y14uCsY0%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Betty helena Diaz</cp:lastModifiedBy>
  <cp:revision>2</cp:revision>
  <cp:lastPrinted>2023-01-10T21:18:00Z</cp:lastPrinted>
  <dcterms:created xsi:type="dcterms:W3CDTF">2024-11-22T14:11:00Z</dcterms:created>
  <dcterms:modified xsi:type="dcterms:W3CDTF">2024-11-22T14:11:00Z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