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99C7B" w14:textId="77777777" w:rsidR="0010662B" w:rsidRPr="00EC1A0C" w:rsidRDefault="0010662B" w:rsidP="0010662B">
      <w:pPr>
        <w:pStyle w:val="Sinespaciado"/>
        <w:jc w:val="both"/>
        <w:rPr>
          <w:rFonts w:ascii="Verdana" w:hAnsi="Verdana" w:cs="Arial"/>
          <w:b/>
          <w:bCs/>
          <w:sz w:val="22"/>
          <w:lang w:val="es-ES"/>
        </w:rPr>
      </w:pPr>
      <w:r w:rsidRPr="00EC1A0C">
        <w:rPr>
          <w:rFonts w:ascii="Verdana" w:hAnsi="Verdana" w:cs="Arial"/>
          <w:b/>
          <w:bCs/>
          <w:sz w:val="22"/>
          <w:lang w:val="es-ES"/>
        </w:rPr>
        <w:t>INHABILIDADES – Definición – Finalidad – Limitación capacidad</w:t>
      </w:r>
    </w:p>
    <w:p w14:paraId="7DB4DB00" w14:textId="77777777" w:rsidR="0010662B" w:rsidRPr="00EC1A0C" w:rsidRDefault="0010662B" w:rsidP="0010662B">
      <w:pPr>
        <w:pStyle w:val="Sinespaciado"/>
        <w:jc w:val="both"/>
        <w:rPr>
          <w:rFonts w:ascii="Verdana" w:hAnsi="Verdana" w:cs="Arial"/>
          <w:sz w:val="20"/>
          <w:szCs w:val="20"/>
          <w:lang w:val="es-ES"/>
        </w:rPr>
      </w:pPr>
    </w:p>
    <w:p w14:paraId="1E42816B" w14:textId="77777777" w:rsidR="0010662B" w:rsidRPr="00EC1A0C" w:rsidRDefault="0010662B" w:rsidP="0010662B">
      <w:pPr>
        <w:pStyle w:val="Sinespaciado"/>
        <w:jc w:val="both"/>
        <w:rPr>
          <w:rFonts w:ascii="Verdana" w:hAnsi="Verdana" w:cs="Arial"/>
          <w:sz w:val="20"/>
          <w:szCs w:val="20"/>
          <w:lang w:val="es-ES"/>
        </w:rPr>
      </w:pPr>
      <w:r w:rsidRPr="00EC1A0C">
        <w:rPr>
          <w:rFonts w:ascii="Verdana" w:hAnsi="Verdana" w:cs="Arial"/>
          <w:sz w:val="20"/>
          <w:szCs w:val="20"/>
          <w:lang w:val="es-ES"/>
        </w:rPr>
        <w:t xml:space="preserve">Las inhabilidades son circunstancias establecidas por la Constitución o la ley que impiden que personas naturales o jurídicas sean elegidas o designadas en un cargo público o celebren contratos con el Estado, con el objetivo de garantizar la idoneidad, imparcialidad, probidad, transparencia y moralidad de la función pública, garantizando el interés general.  </w:t>
      </w:r>
    </w:p>
    <w:p w14:paraId="786BA76E" w14:textId="77777777" w:rsidR="0010662B" w:rsidRPr="00EC1A0C" w:rsidRDefault="0010662B" w:rsidP="0010662B">
      <w:pPr>
        <w:pStyle w:val="Sinespaciado"/>
        <w:jc w:val="both"/>
        <w:rPr>
          <w:rFonts w:ascii="Verdana" w:hAnsi="Verdana" w:cs="Arial"/>
          <w:sz w:val="20"/>
          <w:szCs w:val="20"/>
          <w:lang w:val="es-ES"/>
        </w:rPr>
      </w:pPr>
    </w:p>
    <w:p w14:paraId="550324B1" w14:textId="77777777" w:rsidR="0010662B" w:rsidRPr="00EC1A0C" w:rsidRDefault="0010662B" w:rsidP="0010662B">
      <w:pPr>
        <w:pStyle w:val="Sinespaciado"/>
        <w:jc w:val="both"/>
        <w:rPr>
          <w:rFonts w:ascii="Verdana" w:hAnsi="Verdana" w:cs="Arial"/>
          <w:sz w:val="20"/>
          <w:szCs w:val="20"/>
          <w:lang w:val="es-ES"/>
        </w:rPr>
      </w:pPr>
      <w:r w:rsidRPr="00EC1A0C">
        <w:rPr>
          <w:rFonts w:ascii="Verdana" w:hAnsi="Verdana" w:cs="Arial"/>
          <w:sz w:val="20"/>
          <w:szCs w:val="20"/>
          <w:lang w:val="es-ES"/>
        </w:rPr>
        <w:t>El régimen de inhabilidades para contratar con el Estado es un conjunto de restricciones establecidas por el constituyente o por el legislador que afectan directamente la capacidad de las personas para establecer relaciones contractuales con el Estado, que pueden resultar de condenas, sanciones o situaciones previamente establecidas por el ordenamiento jurídico. En esta medida, la Corte Constitucional explica que «las inhabilidades representan una limitación a la capacidad para contratar con las entidades del Estado y obedecen a la falta de aptitud o a la carencia de una cualidad, calidad o requisito en el sujeto incapacitado quien por esta razón no podrá hacer parte de una relación contractual».</w:t>
      </w:r>
    </w:p>
    <w:p w14:paraId="74A36C58" w14:textId="77777777" w:rsidR="0010662B" w:rsidRPr="00EC1A0C" w:rsidRDefault="0010662B" w:rsidP="0010662B">
      <w:pPr>
        <w:pStyle w:val="Sinespaciado"/>
        <w:jc w:val="both"/>
        <w:rPr>
          <w:rFonts w:ascii="Verdana" w:hAnsi="Verdana" w:cs="Arial"/>
          <w:sz w:val="20"/>
          <w:szCs w:val="20"/>
          <w:lang w:val="es-ES"/>
        </w:rPr>
      </w:pPr>
    </w:p>
    <w:p w14:paraId="3C806833" w14:textId="77777777" w:rsidR="0010662B" w:rsidRPr="00EC1A0C" w:rsidRDefault="0010662B" w:rsidP="0010662B">
      <w:pPr>
        <w:pStyle w:val="Sinespaciado"/>
        <w:jc w:val="both"/>
        <w:rPr>
          <w:rFonts w:ascii="Verdana" w:hAnsi="Verdana" w:cs="Arial"/>
          <w:sz w:val="21"/>
          <w:szCs w:val="21"/>
          <w:lang w:val="es-ES"/>
        </w:rPr>
      </w:pPr>
      <w:r w:rsidRPr="00EC1A0C">
        <w:rPr>
          <w:rFonts w:ascii="Verdana" w:hAnsi="Verdana" w:cs="Arial"/>
          <w:b/>
          <w:bCs/>
          <w:sz w:val="22"/>
          <w:lang w:val="es-ES"/>
        </w:rPr>
        <w:t>INHABILIDADES – Clasificación – Sanción – Proceso sancionatorio – Requisito – Condiciones personales</w:t>
      </w:r>
    </w:p>
    <w:p w14:paraId="252A4CAA" w14:textId="77777777" w:rsidR="0010662B" w:rsidRPr="00EC1A0C" w:rsidRDefault="0010662B" w:rsidP="0010662B">
      <w:pPr>
        <w:spacing w:after="0" w:line="240" w:lineRule="auto"/>
        <w:jc w:val="both"/>
        <w:rPr>
          <w:rFonts w:ascii="Verdana" w:hAnsi="Verdana" w:cs="Arial"/>
          <w:sz w:val="20"/>
          <w:szCs w:val="20"/>
          <w:lang w:val="es-ES"/>
        </w:rPr>
      </w:pPr>
    </w:p>
    <w:p w14:paraId="62CBCAF5" w14:textId="77777777" w:rsidR="0010662B" w:rsidRDefault="0010662B" w:rsidP="0010662B">
      <w:pPr>
        <w:spacing w:after="0" w:line="240" w:lineRule="auto"/>
        <w:jc w:val="both"/>
        <w:rPr>
          <w:rFonts w:ascii="Verdana" w:hAnsi="Verdana" w:cs="Arial"/>
          <w:sz w:val="20"/>
          <w:szCs w:val="20"/>
          <w:lang w:val="es-ES"/>
        </w:rPr>
      </w:pPr>
      <w:r w:rsidRPr="00EC1A0C">
        <w:rPr>
          <w:rFonts w:ascii="Verdana" w:hAnsi="Verdana" w:cs="Arial"/>
          <w:sz w:val="20"/>
          <w:szCs w:val="20"/>
          <w:lang w:val="es-ES"/>
        </w:rPr>
        <w:t>Conviene también distinguir las fuentes de las inhabilidades, las cuales han sido clasificadas en dos (2) grupos: i) inhabilidades-sanción y ii) inhabilidades-requisito. En el primer grupo se encuentran las inhabilidades que surgen como consecuencia de un proceso sancionatorio, en los ámbitos penal, disciplinario, contravencional o de pérdida de investidura. En el segundo grupo están aquellas que no devienen de un proceso sancionatorio, sino de condiciones propias de la persona y garantizan la moralidad, la imparcialidad, la eficacia y la transparencia.</w:t>
      </w:r>
    </w:p>
    <w:p w14:paraId="3F35F17F" w14:textId="77777777" w:rsidR="0010662B" w:rsidRPr="00EC1A0C" w:rsidRDefault="0010662B" w:rsidP="0010662B">
      <w:pPr>
        <w:spacing w:after="0" w:line="240" w:lineRule="auto"/>
        <w:jc w:val="both"/>
        <w:rPr>
          <w:rFonts w:ascii="Verdana" w:hAnsi="Verdana" w:cs="Arial"/>
          <w:sz w:val="20"/>
          <w:szCs w:val="20"/>
          <w:lang w:val="es-ES"/>
        </w:rPr>
      </w:pPr>
    </w:p>
    <w:p w14:paraId="137E5C79" w14:textId="77777777" w:rsidR="0010662B" w:rsidRPr="00EC1A0C" w:rsidRDefault="0010662B" w:rsidP="0010662B">
      <w:pPr>
        <w:spacing w:after="0" w:line="240" w:lineRule="auto"/>
        <w:jc w:val="both"/>
        <w:rPr>
          <w:rFonts w:ascii="Verdana" w:hAnsi="Verdana" w:cs="Arial"/>
          <w:sz w:val="20"/>
          <w:szCs w:val="20"/>
          <w:lang w:val="es-ES"/>
        </w:rPr>
      </w:pPr>
      <w:r w:rsidRPr="00EC1A0C">
        <w:rPr>
          <w:rFonts w:ascii="Verdana" w:hAnsi="Verdana" w:cs="Arial"/>
          <w:sz w:val="20"/>
          <w:szCs w:val="20"/>
          <w:lang w:val="es-ES"/>
        </w:rPr>
        <w:t>[…]</w:t>
      </w:r>
    </w:p>
    <w:p w14:paraId="71AE3E6F" w14:textId="77777777" w:rsidR="0010662B" w:rsidRPr="00EC1A0C" w:rsidRDefault="0010662B" w:rsidP="0010662B">
      <w:pPr>
        <w:spacing w:after="0" w:line="240" w:lineRule="auto"/>
        <w:jc w:val="both"/>
        <w:rPr>
          <w:rFonts w:ascii="Verdana" w:hAnsi="Verdana" w:cs="Arial"/>
          <w:sz w:val="20"/>
          <w:szCs w:val="20"/>
          <w:lang w:val="es-ES"/>
        </w:rPr>
      </w:pPr>
    </w:p>
    <w:p w14:paraId="449E162B" w14:textId="77777777" w:rsidR="0010662B" w:rsidRDefault="0010662B" w:rsidP="0010662B">
      <w:pPr>
        <w:spacing w:after="0" w:line="240" w:lineRule="auto"/>
        <w:jc w:val="both"/>
        <w:rPr>
          <w:rFonts w:ascii="Verdana" w:hAnsi="Verdana" w:cs="Arial"/>
          <w:sz w:val="20"/>
          <w:szCs w:val="20"/>
          <w:lang w:val="es-ES"/>
        </w:rPr>
      </w:pPr>
      <w:r w:rsidRPr="00EC1A0C">
        <w:rPr>
          <w:rFonts w:ascii="Verdana" w:hAnsi="Verdana" w:cs="Arial"/>
          <w:sz w:val="20"/>
          <w:szCs w:val="20"/>
          <w:lang w:val="es-ES"/>
        </w:rPr>
        <w:t>En ambos eventos, la inhabilidad tiene como fuente una situación o un hecho propio del proponente –una conducta o una condición– ajena a la oferta. La inhabilidad surge, entre otros, por su grado de parentesco o afinidad, por su condición de servidor público o por una declaratoria de responsabilidad penal, disciplinaria o sancionatoria contractual sobre él.</w:t>
      </w:r>
    </w:p>
    <w:p w14:paraId="7FC5548C" w14:textId="77777777" w:rsidR="0010662B" w:rsidRPr="00EC1A0C" w:rsidRDefault="0010662B" w:rsidP="0010662B">
      <w:pPr>
        <w:spacing w:after="0" w:line="240" w:lineRule="auto"/>
        <w:jc w:val="both"/>
        <w:rPr>
          <w:rFonts w:ascii="Verdana" w:eastAsia="Calibri" w:hAnsi="Verdana" w:cs="Arial"/>
          <w:sz w:val="20"/>
          <w:szCs w:val="20"/>
          <w:lang w:val="es-ES"/>
        </w:rPr>
      </w:pPr>
    </w:p>
    <w:p w14:paraId="50497266" w14:textId="77777777" w:rsidR="0010662B" w:rsidRPr="00EC1A0C" w:rsidRDefault="0010662B" w:rsidP="0010662B">
      <w:pPr>
        <w:spacing w:after="0" w:line="240" w:lineRule="auto"/>
        <w:jc w:val="both"/>
        <w:rPr>
          <w:rFonts w:ascii="Verdana" w:eastAsia="Calibri" w:hAnsi="Verdana" w:cs="Arial"/>
          <w:b/>
          <w:bCs/>
          <w:lang w:val="es-ES"/>
        </w:rPr>
      </w:pPr>
      <w:r w:rsidRPr="00EC1A0C">
        <w:rPr>
          <w:rFonts w:ascii="Verdana" w:eastAsia="Calibri" w:hAnsi="Verdana" w:cs="Arial"/>
          <w:b/>
          <w:bCs/>
          <w:lang w:val="es-ES"/>
        </w:rPr>
        <w:t>INHABILIDADES – Taxatividad – Principio de legalidad – Interpretación restrictiva</w:t>
      </w:r>
    </w:p>
    <w:p w14:paraId="2CB6907E" w14:textId="77777777" w:rsidR="0010662B" w:rsidRPr="00EC1A0C" w:rsidRDefault="0010662B" w:rsidP="0010662B">
      <w:pPr>
        <w:spacing w:after="0" w:line="240" w:lineRule="auto"/>
        <w:jc w:val="both"/>
        <w:rPr>
          <w:rFonts w:ascii="Verdana" w:eastAsia="Calibri" w:hAnsi="Verdana" w:cs="Arial"/>
          <w:sz w:val="20"/>
          <w:szCs w:val="20"/>
          <w:lang w:val="es-ES"/>
        </w:rPr>
      </w:pPr>
    </w:p>
    <w:p w14:paraId="72D1F8A7" w14:textId="77777777" w:rsidR="0010662B" w:rsidRDefault="0010662B" w:rsidP="0010662B">
      <w:pPr>
        <w:spacing w:after="0" w:line="240" w:lineRule="auto"/>
        <w:jc w:val="both"/>
        <w:rPr>
          <w:rFonts w:ascii="Verdana" w:eastAsia="Calibri" w:hAnsi="Verdana" w:cs="Arial"/>
          <w:sz w:val="20"/>
          <w:szCs w:val="20"/>
          <w:lang w:val="es-ES"/>
        </w:rPr>
      </w:pPr>
      <w:r w:rsidRPr="00EC1A0C">
        <w:rPr>
          <w:rFonts w:ascii="Verdana" w:eastAsia="Calibri" w:hAnsi="Verdana" w:cs="Arial"/>
          <w:sz w:val="20"/>
          <w:szCs w:val="20"/>
          <w:lang w:val="es-ES"/>
        </w:rPr>
        <w:t xml:space="preserve">Ahora bien, las inhabilidades e incompatibilidades al ser restricciones o límites especiales a la capacidad para presentar ofertas y celebrar contratos estatales, solo pueden tipificarse en la ley –o sea, deben satisfacer el principio de legalidad– y su interpretación debe ser restrictiva , pues si se admitiera una interpretación amplia, extensiva o finalista de las mismas, tales enunciados normativos contemplarían múltiples supuestos indeterminados, según el parecer o el sentido común de los operadores jurídicos, poniendo en riesgo principios como la igualdad, el debido proceso, la libre concurrencia </w:t>
      </w:r>
      <w:r w:rsidRPr="00EC1A0C">
        <w:rPr>
          <w:rFonts w:ascii="Verdana" w:eastAsia="Calibri" w:hAnsi="Verdana" w:cs="Arial"/>
          <w:sz w:val="20"/>
          <w:szCs w:val="20"/>
          <w:lang w:val="es-ES"/>
        </w:rPr>
        <w:lastRenderedPageBreak/>
        <w:t>y el ejercicio de la profesión u oficio. Tal ha sido la postura de la jurisprudencia, tanto de la Corte Constitucional como de la Sección Tercera del Consejo de Estado.</w:t>
      </w:r>
    </w:p>
    <w:p w14:paraId="7C3D186C" w14:textId="77777777" w:rsidR="0010662B" w:rsidRDefault="0010662B" w:rsidP="0010662B">
      <w:pPr>
        <w:spacing w:after="0" w:line="240" w:lineRule="auto"/>
        <w:jc w:val="both"/>
        <w:rPr>
          <w:rFonts w:ascii="Verdana" w:eastAsia="Calibri" w:hAnsi="Verdana" w:cs="Arial"/>
          <w:sz w:val="20"/>
          <w:szCs w:val="20"/>
          <w:lang w:val="es-ES"/>
        </w:rPr>
      </w:pPr>
    </w:p>
    <w:p w14:paraId="4EDEEDE1" w14:textId="77777777" w:rsidR="0010662B" w:rsidRDefault="0010662B" w:rsidP="0010662B">
      <w:pPr>
        <w:spacing w:after="0"/>
        <w:jc w:val="both"/>
        <w:rPr>
          <w:rFonts w:ascii="Verdana" w:eastAsia="Calibri" w:hAnsi="Verdana" w:cs="Arial"/>
          <w:b/>
          <w:bCs/>
          <w:lang w:val="es-ES"/>
        </w:rPr>
      </w:pPr>
      <w:r w:rsidRPr="00BE228C">
        <w:rPr>
          <w:rFonts w:ascii="Verdana" w:eastAsia="Calibri" w:hAnsi="Verdana" w:cs="Arial"/>
          <w:b/>
          <w:bCs/>
          <w:lang w:val="es-ES"/>
        </w:rPr>
        <w:t xml:space="preserve">INHABILIDADES – </w:t>
      </w:r>
      <w:r>
        <w:rPr>
          <w:rFonts w:ascii="Verdana" w:eastAsia="Calibri" w:hAnsi="Verdana" w:cs="Arial"/>
          <w:b/>
          <w:bCs/>
          <w:lang w:val="es-ES"/>
        </w:rPr>
        <w:t xml:space="preserve">Personas naturales </w:t>
      </w:r>
      <w:r w:rsidRPr="00BE228C">
        <w:rPr>
          <w:rFonts w:ascii="Verdana" w:eastAsia="Calibri" w:hAnsi="Verdana" w:cs="Arial"/>
          <w:b/>
          <w:bCs/>
          <w:lang w:val="es-ES"/>
        </w:rPr>
        <w:t xml:space="preserve">– Personas jurídicas – </w:t>
      </w:r>
      <w:r>
        <w:rPr>
          <w:rFonts w:ascii="Verdana" w:eastAsia="Calibri" w:hAnsi="Verdana" w:cs="Arial"/>
          <w:b/>
          <w:bCs/>
          <w:lang w:val="es-ES"/>
        </w:rPr>
        <w:t xml:space="preserve">Extensibles a sociedades </w:t>
      </w:r>
      <w:r w:rsidRPr="00BE228C">
        <w:rPr>
          <w:rFonts w:ascii="Verdana" w:eastAsia="Calibri" w:hAnsi="Verdana" w:cs="Arial"/>
          <w:b/>
          <w:bCs/>
          <w:lang w:val="es-ES"/>
        </w:rPr>
        <w:t xml:space="preserve">– </w:t>
      </w:r>
      <w:r w:rsidRPr="0009222D">
        <w:rPr>
          <w:rFonts w:ascii="Verdana" w:eastAsia="Calibri" w:hAnsi="Verdana" w:cs="Arial"/>
          <w:b/>
          <w:bCs/>
          <w:lang w:val="es-ES"/>
        </w:rPr>
        <w:t>Artículo 8 numeral 1 literal j)</w:t>
      </w:r>
    </w:p>
    <w:p w14:paraId="5958BA50" w14:textId="77777777" w:rsidR="0010662B" w:rsidRDefault="0010662B" w:rsidP="0010662B">
      <w:pPr>
        <w:spacing w:after="0"/>
        <w:jc w:val="both"/>
        <w:rPr>
          <w:rFonts w:ascii="Verdana" w:eastAsia="Calibri" w:hAnsi="Verdana" w:cs="Arial"/>
          <w:b/>
          <w:bCs/>
          <w:lang w:val="es-ES"/>
        </w:rPr>
      </w:pPr>
    </w:p>
    <w:p w14:paraId="3BF06648" w14:textId="77777777" w:rsidR="0010662B" w:rsidRPr="00BE228C" w:rsidRDefault="0010662B" w:rsidP="0010662B">
      <w:pPr>
        <w:spacing w:after="0"/>
        <w:jc w:val="both"/>
        <w:rPr>
          <w:rFonts w:ascii="Verdana" w:eastAsia="Calibri" w:hAnsi="Verdana" w:cs="Arial"/>
          <w:sz w:val="20"/>
          <w:szCs w:val="20"/>
          <w:lang w:val="es-ES"/>
        </w:rPr>
      </w:pPr>
      <w:r w:rsidRPr="00A45BD5">
        <w:rPr>
          <w:rFonts w:ascii="Verdana" w:eastAsia="Calibri" w:hAnsi="Verdana" w:cs="Arial"/>
          <w:sz w:val="20"/>
          <w:szCs w:val="20"/>
          <w:lang w:val="es-ES"/>
        </w:rPr>
        <w:t>De manera que, en el evento en que un socio controlante de la sociedad interesada en participar en una convocatoria pública de selección de contratistas o que pretenda suscribir contratos con el Estado, sea objeto de alguna de las inhabilidades enlistadas, dicha inhabilidad extiende sus efectos a la sociedad, con excepción de las sociedades anónimas abiertas.</w:t>
      </w:r>
      <w:r w:rsidRPr="00BE228C">
        <w:rPr>
          <w:rFonts w:ascii="Verdana" w:eastAsia="Calibri" w:hAnsi="Verdana" w:cs="Arial"/>
          <w:sz w:val="20"/>
          <w:szCs w:val="20"/>
          <w:lang w:val="es-ES"/>
        </w:rPr>
        <w:t xml:space="preserve">  </w:t>
      </w:r>
    </w:p>
    <w:p w14:paraId="10909C1F" w14:textId="77777777" w:rsidR="0010662B" w:rsidRDefault="0010662B" w:rsidP="0010662B">
      <w:pPr>
        <w:spacing w:after="0"/>
        <w:jc w:val="both"/>
        <w:rPr>
          <w:rFonts w:ascii="Verdana" w:eastAsia="Calibri" w:hAnsi="Verdana" w:cs="Arial"/>
          <w:sz w:val="20"/>
          <w:szCs w:val="20"/>
          <w:lang w:val="es-ES"/>
        </w:rPr>
      </w:pPr>
    </w:p>
    <w:p w14:paraId="16C1FB13" w14:textId="77777777" w:rsidR="0010662B" w:rsidRDefault="0010662B" w:rsidP="0010662B">
      <w:pPr>
        <w:spacing w:after="0"/>
        <w:jc w:val="both"/>
        <w:rPr>
          <w:rFonts w:ascii="Verdana" w:eastAsia="Calibri" w:hAnsi="Verdana" w:cs="Arial"/>
          <w:sz w:val="20"/>
          <w:szCs w:val="20"/>
          <w:lang w:val="es-ES"/>
        </w:rPr>
      </w:pPr>
      <w:r>
        <w:rPr>
          <w:rFonts w:ascii="Verdana" w:eastAsia="Calibri" w:hAnsi="Verdana" w:cs="Arial"/>
          <w:sz w:val="20"/>
          <w:szCs w:val="20"/>
          <w:lang w:val="es-ES"/>
        </w:rPr>
        <w:t>[…]</w:t>
      </w:r>
    </w:p>
    <w:p w14:paraId="2AC9C904" w14:textId="77777777" w:rsidR="0010662B" w:rsidRPr="00BE228C" w:rsidRDefault="0010662B" w:rsidP="0010662B">
      <w:pPr>
        <w:spacing w:after="0"/>
        <w:jc w:val="both"/>
        <w:rPr>
          <w:rFonts w:ascii="Verdana" w:eastAsia="Calibri" w:hAnsi="Verdana" w:cs="Arial"/>
          <w:sz w:val="20"/>
          <w:szCs w:val="20"/>
          <w:lang w:val="es-ES"/>
        </w:rPr>
      </w:pPr>
    </w:p>
    <w:p w14:paraId="1A317260" w14:textId="77777777" w:rsidR="0010662B" w:rsidRPr="00EC1A0C" w:rsidRDefault="0010662B" w:rsidP="0010662B">
      <w:pPr>
        <w:spacing w:after="0" w:line="240" w:lineRule="auto"/>
        <w:jc w:val="both"/>
        <w:rPr>
          <w:rFonts w:ascii="Verdana" w:eastAsia="Arial" w:hAnsi="Verdana" w:cs="Arial"/>
          <w:sz w:val="20"/>
          <w:szCs w:val="20"/>
        </w:rPr>
      </w:pPr>
      <w:r w:rsidRPr="00A26E15">
        <w:rPr>
          <w:rFonts w:ascii="Verdana" w:eastAsia="Calibri" w:hAnsi="Verdana" w:cs="Arial"/>
          <w:sz w:val="20"/>
          <w:szCs w:val="20"/>
          <w:lang w:val="es-ES"/>
        </w:rPr>
        <w:t>En ese orden, si un socio controlante (que en este caso se trataría de un socio persona jurídica) de la sociedad interesada en participar en una convocatoria pública de selección de contratistas o que pretenda suscribir contratos con el Estado, es objeto de alguna de las inhabilidades enlistadas, dicha inhabilidad extiende sus efectos a la sociedad, con excepción de las sociedades anónimas abiertas.</w:t>
      </w:r>
    </w:p>
    <w:p w14:paraId="75FD9122" w14:textId="77777777" w:rsidR="0010662B" w:rsidRPr="00EC1A0C" w:rsidRDefault="0010662B" w:rsidP="0010662B">
      <w:pPr>
        <w:spacing w:after="0" w:line="240" w:lineRule="auto"/>
        <w:rPr>
          <w:rFonts w:ascii="Verdana" w:eastAsia="Times New Roman" w:hAnsi="Verdana" w:cs="Arial"/>
          <w:lang w:eastAsia="es-ES_tradnl"/>
        </w:rPr>
      </w:pPr>
    </w:p>
    <w:p w14:paraId="1BB5B167" w14:textId="77777777" w:rsidR="0010662B" w:rsidRDefault="0010662B" w:rsidP="0010662B">
      <w:pPr>
        <w:spacing w:after="0" w:line="240" w:lineRule="auto"/>
        <w:rPr>
          <w:rFonts w:ascii="Verdana" w:eastAsia="Times New Roman" w:hAnsi="Verdana" w:cs="Arial"/>
          <w:lang w:eastAsia="es-ES_tradnl"/>
        </w:rPr>
      </w:pPr>
    </w:p>
    <w:p w14:paraId="24636D33" w14:textId="77777777" w:rsidR="0010662B" w:rsidRDefault="0010662B" w:rsidP="0010662B">
      <w:pPr>
        <w:spacing w:after="0" w:line="240" w:lineRule="auto"/>
        <w:rPr>
          <w:rFonts w:ascii="Verdana" w:eastAsia="Times New Roman" w:hAnsi="Verdana" w:cs="Arial"/>
          <w:lang w:eastAsia="es-ES_tradnl"/>
        </w:rPr>
      </w:pPr>
    </w:p>
    <w:p w14:paraId="1560FA86" w14:textId="77777777" w:rsidR="0010662B" w:rsidRDefault="0010662B" w:rsidP="0010662B">
      <w:pPr>
        <w:spacing w:after="0" w:line="240" w:lineRule="auto"/>
        <w:rPr>
          <w:rFonts w:ascii="Verdana" w:eastAsia="Times New Roman" w:hAnsi="Verdana" w:cs="Arial"/>
          <w:lang w:eastAsia="es-ES_tradnl"/>
        </w:rPr>
      </w:pPr>
    </w:p>
    <w:p w14:paraId="4477949C" w14:textId="77777777" w:rsidR="0010662B" w:rsidRDefault="0010662B" w:rsidP="0010662B">
      <w:pPr>
        <w:spacing w:after="0" w:line="240" w:lineRule="auto"/>
        <w:rPr>
          <w:rFonts w:ascii="Verdana" w:eastAsia="Times New Roman" w:hAnsi="Verdana" w:cs="Arial"/>
          <w:lang w:eastAsia="es-ES_tradnl"/>
        </w:rPr>
      </w:pPr>
    </w:p>
    <w:p w14:paraId="3A8D0BC6" w14:textId="77777777" w:rsidR="0010662B" w:rsidRDefault="0010662B" w:rsidP="0010662B">
      <w:pPr>
        <w:spacing w:after="0" w:line="240" w:lineRule="auto"/>
        <w:rPr>
          <w:rFonts w:ascii="Verdana" w:eastAsia="Times New Roman" w:hAnsi="Verdana" w:cs="Arial"/>
          <w:lang w:eastAsia="es-ES_tradnl"/>
        </w:rPr>
      </w:pPr>
    </w:p>
    <w:p w14:paraId="5009825F" w14:textId="77777777" w:rsidR="0010662B" w:rsidRDefault="0010662B" w:rsidP="0010662B">
      <w:pPr>
        <w:spacing w:after="0" w:line="240" w:lineRule="auto"/>
        <w:rPr>
          <w:rFonts w:ascii="Verdana" w:eastAsia="Times New Roman" w:hAnsi="Verdana" w:cs="Arial"/>
          <w:lang w:eastAsia="es-ES_tradnl"/>
        </w:rPr>
      </w:pPr>
    </w:p>
    <w:p w14:paraId="17DB4F61" w14:textId="77777777" w:rsidR="0010662B" w:rsidRDefault="0010662B" w:rsidP="0010662B">
      <w:pPr>
        <w:spacing w:after="0" w:line="240" w:lineRule="auto"/>
        <w:rPr>
          <w:rFonts w:ascii="Verdana" w:eastAsia="Times New Roman" w:hAnsi="Verdana" w:cs="Arial"/>
          <w:lang w:eastAsia="es-ES_tradnl"/>
        </w:rPr>
      </w:pPr>
    </w:p>
    <w:p w14:paraId="5381000C" w14:textId="77777777" w:rsidR="0010662B" w:rsidRDefault="0010662B" w:rsidP="0010662B">
      <w:pPr>
        <w:spacing w:after="0" w:line="240" w:lineRule="auto"/>
        <w:rPr>
          <w:rFonts w:ascii="Verdana" w:eastAsia="Times New Roman" w:hAnsi="Verdana" w:cs="Arial"/>
          <w:lang w:eastAsia="es-ES_tradnl"/>
        </w:rPr>
      </w:pPr>
    </w:p>
    <w:p w14:paraId="16EBB4F6" w14:textId="77777777" w:rsidR="0010662B" w:rsidRDefault="0010662B" w:rsidP="0010662B">
      <w:pPr>
        <w:spacing w:after="0" w:line="240" w:lineRule="auto"/>
        <w:rPr>
          <w:rFonts w:ascii="Verdana" w:eastAsia="Times New Roman" w:hAnsi="Verdana" w:cs="Arial"/>
          <w:lang w:eastAsia="es-ES_tradnl"/>
        </w:rPr>
      </w:pPr>
    </w:p>
    <w:p w14:paraId="6B8A0AB8" w14:textId="77777777" w:rsidR="0010662B" w:rsidRDefault="0010662B" w:rsidP="0010662B">
      <w:pPr>
        <w:spacing w:after="0" w:line="240" w:lineRule="auto"/>
        <w:rPr>
          <w:rFonts w:ascii="Verdana" w:eastAsia="Times New Roman" w:hAnsi="Verdana" w:cs="Arial"/>
          <w:lang w:eastAsia="es-ES_tradnl"/>
        </w:rPr>
      </w:pPr>
    </w:p>
    <w:p w14:paraId="29CA2E61" w14:textId="77777777" w:rsidR="0010662B" w:rsidRDefault="0010662B" w:rsidP="0010662B">
      <w:pPr>
        <w:spacing w:after="0" w:line="240" w:lineRule="auto"/>
        <w:rPr>
          <w:rFonts w:ascii="Verdana" w:eastAsia="Times New Roman" w:hAnsi="Verdana" w:cs="Arial"/>
          <w:lang w:eastAsia="es-ES_tradnl"/>
        </w:rPr>
      </w:pPr>
    </w:p>
    <w:p w14:paraId="4C620AB1" w14:textId="77777777" w:rsidR="0010662B" w:rsidRDefault="0010662B" w:rsidP="0010662B">
      <w:pPr>
        <w:spacing w:after="0" w:line="240" w:lineRule="auto"/>
        <w:rPr>
          <w:rFonts w:ascii="Verdana" w:eastAsia="Times New Roman" w:hAnsi="Verdana" w:cs="Arial"/>
          <w:lang w:eastAsia="es-ES_tradnl"/>
        </w:rPr>
      </w:pPr>
    </w:p>
    <w:p w14:paraId="6840FEC4" w14:textId="77777777" w:rsidR="0010662B" w:rsidRDefault="0010662B" w:rsidP="0010662B">
      <w:pPr>
        <w:spacing w:after="0" w:line="240" w:lineRule="auto"/>
        <w:rPr>
          <w:rFonts w:ascii="Verdana" w:eastAsia="Times New Roman" w:hAnsi="Verdana" w:cs="Arial"/>
          <w:lang w:eastAsia="es-ES_tradnl"/>
        </w:rPr>
      </w:pPr>
    </w:p>
    <w:p w14:paraId="207A9692" w14:textId="77777777" w:rsidR="0010662B" w:rsidRDefault="0010662B" w:rsidP="0010662B">
      <w:pPr>
        <w:spacing w:after="0" w:line="240" w:lineRule="auto"/>
        <w:rPr>
          <w:rFonts w:ascii="Verdana" w:eastAsia="Times New Roman" w:hAnsi="Verdana" w:cs="Arial"/>
          <w:lang w:eastAsia="es-ES_tradnl"/>
        </w:rPr>
      </w:pPr>
    </w:p>
    <w:p w14:paraId="19EF3210" w14:textId="77777777" w:rsidR="0010662B" w:rsidRDefault="0010662B" w:rsidP="0010662B">
      <w:pPr>
        <w:spacing w:after="0" w:line="240" w:lineRule="auto"/>
        <w:rPr>
          <w:rFonts w:ascii="Verdana" w:eastAsia="Times New Roman" w:hAnsi="Verdana" w:cs="Arial"/>
          <w:lang w:eastAsia="es-ES_tradnl"/>
        </w:rPr>
      </w:pPr>
    </w:p>
    <w:p w14:paraId="08604D2F" w14:textId="77777777" w:rsidR="0010662B" w:rsidRDefault="0010662B" w:rsidP="0010662B">
      <w:pPr>
        <w:spacing w:after="0" w:line="240" w:lineRule="auto"/>
        <w:rPr>
          <w:rFonts w:ascii="Verdana" w:eastAsia="Times New Roman" w:hAnsi="Verdana" w:cs="Arial"/>
          <w:lang w:eastAsia="es-ES_tradnl"/>
        </w:rPr>
      </w:pPr>
    </w:p>
    <w:p w14:paraId="717DAE7B" w14:textId="77777777" w:rsidR="0010662B" w:rsidRDefault="0010662B" w:rsidP="0010662B">
      <w:pPr>
        <w:spacing w:after="0" w:line="240" w:lineRule="auto"/>
        <w:rPr>
          <w:rFonts w:ascii="Verdana" w:eastAsia="Times New Roman" w:hAnsi="Verdana" w:cs="Arial"/>
          <w:lang w:eastAsia="es-ES_tradnl"/>
        </w:rPr>
      </w:pPr>
    </w:p>
    <w:p w14:paraId="7D9B9D8A" w14:textId="77777777" w:rsidR="0010662B" w:rsidRDefault="0010662B" w:rsidP="0010662B">
      <w:pPr>
        <w:spacing w:after="0" w:line="240" w:lineRule="auto"/>
        <w:rPr>
          <w:rFonts w:ascii="Verdana" w:eastAsia="Times New Roman" w:hAnsi="Verdana" w:cs="Arial"/>
          <w:lang w:eastAsia="es-ES_tradnl"/>
        </w:rPr>
      </w:pPr>
    </w:p>
    <w:p w14:paraId="55F7B6E2" w14:textId="77777777" w:rsidR="0010662B" w:rsidRDefault="0010662B" w:rsidP="0010662B">
      <w:pPr>
        <w:spacing w:after="0" w:line="240" w:lineRule="auto"/>
        <w:rPr>
          <w:rFonts w:ascii="Verdana" w:eastAsia="Times New Roman" w:hAnsi="Verdana" w:cs="Arial"/>
          <w:lang w:eastAsia="es-ES_tradnl"/>
        </w:rPr>
      </w:pPr>
    </w:p>
    <w:p w14:paraId="1B2FF0C4" w14:textId="77777777" w:rsidR="0010662B" w:rsidRDefault="0010662B" w:rsidP="0010662B">
      <w:pPr>
        <w:spacing w:after="0" w:line="240" w:lineRule="auto"/>
        <w:rPr>
          <w:rFonts w:ascii="Verdana" w:eastAsia="Times New Roman" w:hAnsi="Verdana" w:cs="Arial"/>
          <w:lang w:eastAsia="es-ES_tradnl"/>
        </w:rPr>
      </w:pPr>
    </w:p>
    <w:p w14:paraId="193461ED" w14:textId="77777777" w:rsidR="0010662B" w:rsidRDefault="0010662B" w:rsidP="0010662B">
      <w:pPr>
        <w:spacing w:after="0" w:line="240" w:lineRule="auto"/>
        <w:rPr>
          <w:rFonts w:ascii="Verdana" w:eastAsia="Times New Roman" w:hAnsi="Verdana" w:cs="Arial"/>
          <w:lang w:eastAsia="es-ES_tradnl"/>
        </w:rPr>
      </w:pPr>
    </w:p>
    <w:p w14:paraId="099D88F5" w14:textId="77777777" w:rsidR="0010662B" w:rsidRDefault="0010662B" w:rsidP="0010662B">
      <w:pPr>
        <w:spacing w:after="0" w:line="240" w:lineRule="auto"/>
        <w:rPr>
          <w:rFonts w:ascii="Verdana" w:eastAsia="Times New Roman" w:hAnsi="Verdana" w:cs="Arial"/>
          <w:lang w:eastAsia="es-ES_tradnl"/>
        </w:rPr>
      </w:pPr>
    </w:p>
    <w:p w14:paraId="7B9BD9E5" w14:textId="77777777" w:rsidR="0010662B" w:rsidRDefault="0010662B" w:rsidP="0010662B">
      <w:pPr>
        <w:spacing w:after="0" w:line="240" w:lineRule="auto"/>
        <w:rPr>
          <w:rFonts w:ascii="Verdana" w:eastAsia="Times New Roman" w:hAnsi="Verdana" w:cs="Arial"/>
          <w:lang w:eastAsia="es-ES_tradnl"/>
        </w:rPr>
      </w:pPr>
    </w:p>
    <w:p w14:paraId="25031D8E" w14:textId="77777777" w:rsidR="0010662B" w:rsidRDefault="0010662B" w:rsidP="0010662B">
      <w:pPr>
        <w:spacing w:after="0" w:line="240" w:lineRule="auto"/>
        <w:rPr>
          <w:rFonts w:ascii="Verdana" w:eastAsia="Times New Roman" w:hAnsi="Verdana" w:cs="Arial"/>
          <w:lang w:eastAsia="es-ES_tradnl"/>
        </w:rPr>
      </w:pPr>
    </w:p>
    <w:p w14:paraId="039191B4" w14:textId="77777777" w:rsidR="0010662B" w:rsidRDefault="0010662B" w:rsidP="0010662B">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[Mes.NombreCapitalizado] de [Año] </w:t>
      </w:r>
    </w:p>
    <w:p w14:paraId="028F53F3" w14:textId="77777777" w:rsidR="0010662B" w:rsidRDefault="0010662B" w:rsidP="0010662B">
      <w:pPr>
        <w:spacing w:after="0" w:line="240" w:lineRule="auto"/>
        <w:jc w:val="right"/>
        <w:rPr>
          <w:rFonts w:ascii="Verdana" w:eastAsia="Times New Roman" w:hAnsi="Verdana" w:cs="Arial"/>
          <w:lang w:eastAsia="es-ES_tradnl"/>
        </w:rPr>
      </w:pPr>
    </w:p>
    <w:p w14:paraId="4F945589" w14:textId="616DD1AA" w:rsidR="0010662B" w:rsidRPr="00BE151B" w:rsidRDefault="003E2F45" w:rsidP="0010662B">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4D1161A4" wp14:editId="74F73FA0">
            <wp:extent cx="3041630" cy="919424"/>
            <wp:effectExtent l="0" t="0" r="6985" b="0"/>
            <wp:docPr id="1785351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51398" name=""/>
                    <pic:cNvPicPr/>
                  </pic:nvPicPr>
                  <pic:blipFill rotWithShape="1">
                    <a:blip r:embed="rId7"/>
                    <a:srcRect l="11913" t="32375" r="51646" b="30397"/>
                    <a:stretch/>
                  </pic:blipFill>
                  <pic:spPr bwMode="auto">
                    <a:xfrm>
                      <a:off x="0" y="0"/>
                      <a:ext cx="3059327" cy="924773"/>
                    </a:xfrm>
                    <a:prstGeom prst="rect">
                      <a:avLst/>
                    </a:prstGeom>
                    <a:ln>
                      <a:noFill/>
                    </a:ln>
                    <a:extLst>
                      <a:ext uri="{53640926-AAD7-44D8-BBD7-CCE9431645EC}">
                        <a14:shadowObscured xmlns:a14="http://schemas.microsoft.com/office/drawing/2010/main"/>
                      </a:ext>
                    </a:extLst>
                  </pic:spPr>
                </pic:pic>
              </a:graphicData>
            </a:graphic>
          </wp:inline>
        </w:drawing>
      </w:r>
    </w:p>
    <w:p w14:paraId="08A254D2" w14:textId="77777777" w:rsidR="0010662B" w:rsidRPr="00EC7CCB" w:rsidRDefault="0010662B" w:rsidP="0010662B">
      <w:pPr>
        <w:spacing w:after="0" w:line="240" w:lineRule="auto"/>
        <w:jc w:val="both"/>
        <w:rPr>
          <w:rFonts w:ascii="Verdana" w:eastAsia="Calibri" w:hAnsi="Verdana" w:cs="Arial"/>
          <w:lang w:eastAsia="es-ES_tradnl"/>
        </w:rPr>
      </w:pPr>
      <w:r w:rsidRPr="00EC7CCB">
        <w:rPr>
          <w:rFonts w:ascii="Verdana" w:eastAsia="Calibri" w:hAnsi="Verdana" w:cs="Arial"/>
          <w:lang w:eastAsia="es-ES_tradnl"/>
        </w:rPr>
        <w:t>Señor</w:t>
      </w:r>
    </w:p>
    <w:p w14:paraId="569CC3EB" w14:textId="77777777" w:rsidR="0010662B" w:rsidRPr="00EC7CCB" w:rsidRDefault="0010662B" w:rsidP="0010662B">
      <w:pPr>
        <w:spacing w:after="0" w:line="240" w:lineRule="auto"/>
        <w:rPr>
          <w:rFonts w:ascii="Verdana" w:eastAsia="Calibri" w:hAnsi="Verdana" w:cs="Arial"/>
          <w:b/>
          <w:lang w:eastAsia="es-ES_tradnl"/>
        </w:rPr>
      </w:pPr>
      <w:r w:rsidRPr="00EC7CCB">
        <w:rPr>
          <w:rFonts w:ascii="Verdana" w:eastAsia="Calibri" w:hAnsi="Verdana" w:cs="Arial"/>
          <w:b/>
          <w:lang w:eastAsia="es-ES_tradnl"/>
        </w:rPr>
        <w:t>Gustavo Adolfo Patarroyo Cubides</w:t>
      </w:r>
    </w:p>
    <w:p w14:paraId="57150116" w14:textId="77777777" w:rsidR="0010662B" w:rsidRPr="00EC7CCB" w:rsidRDefault="0010662B" w:rsidP="0010662B">
      <w:pPr>
        <w:spacing w:after="0" w:line="240" w:lineRule="auto"/>
        <w:rPr>
          <w:rFonts w:ascii="Verdana" w:eastAsia="Calibri" w:hAnsi="Verdana" w:cs="Arial"/>
          <w:lang w:eastAsia="es-ES_tradnl"/>
        </w:rPr>
      </w:pPr>
      <w:hyperlink r:id="rId8" w:history="1">
        <w:r w:rsidRPr="00EC7CCB">
          <w:rPr>
            <w:rStyle w:val="Hipervnculo"/>
            <w:rFonts w:ascii="Verdana" w:eastAsia="Calibri" w:hAnsi="Verdana" w:cs="Arial"/>
            <w:lang w:eastAsia="es-ES_tradnl"/>
          </w:rPr>
          <w:t>gustavopatarroyo@hotmail.com</w:t>
        </w:r>
      </w:hyperlink>
      <w:r w:rsidRPr="00EC7CCB">
        <w:rPr>
          <w:rFonts w:ascii="Verdana" w:eastAsia="Calibri" w:hAnsi="Verdana" w:cs="Arial"/>
          <w:lang w:eastAsia="es-ES_tradnl"/>
        </w:rPr>
        <w:t xml:space="preserve"> </w:t>
      </w:r>
    </w:p>
    <w:p w14:paraId="5BD7865A" w14:textId="77777777" w:rsidR="0010662B" w:rsidRPr="008C29AA" w:rsidRDefault="0010662B" w:rsidP="0010662B">
      <w:pPr>
        <w:spacing w:after="0" w:line="240" w:lineRule="auto"/>
        <w:rPr>
          <w:rFonts w:ascii="Verdana" w:eastAsia="Calibri" w:hAnsi="Verdana" w:cs="Arial"/>
          <w:lang w:val="pt-BR" w:eastAsia="es-ES_tradnl"/>
        </w:rPr>
      </w:pPr>
      <w:r>
        <w:rPr>
          <w:rFonts w:ascii="Verdana" w:eastAsia="Calibri" w:hAnsi="Verdana" w:cs="Arial"/>
          <w:bCs/>
          <w:lang w:val="pt-BR" w:eastAsia="es-ES_tradnl"/>
        </w:rPr>
        <w:t>Ibagué, Tolima</w:t>
      </w:r>
    </w:p>
    <w:p w14:paraId="764A10F8" w14:textId="77777777" w:rsidR="0010662B" w:rsidRPr="008C29AA" w:rsidRDefault="0010662B" w:rsidP="0010662B">
      <w:pPr>
        <w:spacing w:after="0" w:line="240" w:lineRule="auto"/>
        <w:rPr>
          <w:rFonts w:ascii="Verdana" w:eastAsia="Calibri" w:hAnsi="Verdana" w:cs="Arial"/>
          <w:lang w:val="pt-BR" w:eastAsia="es-ES_tradnl"/>
        </w:rPr>
      </w:pPr>
    </w:p>
    <w:p w14:paraId="1279F7FA" w14:textId="77777777" w:rsidR="0010662B" w:rsidRPr="00BE151B" w:rsidRDefault="0010662B" w:rsidP="0010662B">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693</w:t>
      </w:r>
      <w:r w:rsidRPr="00BE151B">
        <w:rPr>
          <w:rFonts w:ascii="Verdana" w:eastAsia="Calibri" w:hAnsi="Verdana" w:cs="Arial"/>
          <w:b/>
          <w:bCs/>
          <w:lang w:eastAsia="es-ES_tradnl"/>
        </w:rPr>
        <w:t xml:space="preserve"> de 2024</w:t>
      </w:r>
    </w:p>
    <w:p w14:paraId="6C2AEB4A" w14:textId="77777777" w:rsidR="0010662B" w:rsidRPr="00BE151B" w:rsidRDefault="0010662B" w:rsidP="0010662B">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10662B" w:rsidRPr="00BE151B" w14:paraId="0BA9E60D" w14:textId="77777777" w:rsidTr="003640D3">
        <w:trPr>
          <w:jc w:val="right"/>
        </w:trPr>
        <w:tc>
          <w:tcPr>
            <w:tcW w:w="1838" w:type="dxa"/>
          </w:tcPr>
          <w:p w14:paraId="45915BEF" w14:textId="77777777" w:rsidR="0010662B" w:rsidRPr="00BE151B" w:rsidRDefault="0010662B" w:rsidP="003640D3">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7480C8F2" w14:textId="77777777" w:rsidR="0010662B" w:rsidRPr="0051527E" w:rsidRDefault="0010662B" w:rsidP="003640D3">
            <w:pPr>
              <w:spacing w:line="276" w:lineRule="auto"/>
              <w:jc w:val="both"/>
              <w:textAlignment w:val="baseline"/>
              <w:rPr>
                <w:rFonts w:ascii="Verdana" w:eastAsia="Times New Roman" w:hAnsi="Verdana" w:cs="Arial"/>
                <w:lang w:val="es-ES" w:eastAsia="es-ES_tradnl"/>
              </w:rPr>
            </w:pPr>
            <w:r w:rsidRPr="0051527E">
              <w:rPr>
                <w:rFonts w:ascii="Verdana" w:eastAsia="Calibri" w:hAnsi="Verdana" w:cs="Arial"/>
                <w:bCs/>
                <w:lang w:val="es-ES_tradnl"/>
              </w:rPr>
              <w:t xml:space="preserve">INHABILIDADES – Definición – Finalidad – Limitación capacidad / INHABILIDADES – Clasificación – Sanción – Proceso sancionatorio – Requisito – Condiciones personales / INHABILIDADES – Taxatividad – Principio de legalidad – Interpretación restrictiva / </w:t>
            </w:r>
            <w:r w:rsidRPr="00E17621">
              <w:rPr>
                <w:rFonts w:ascii="Verdana" w:eastAsia="Calibri" w:hAnsi="Verdana" w:cs="Arial"/>
                <w:bCs/>
                <w:lang w:val="es-ES_tradnl"/>
              </w:rPr>
              <w:t>INHABILIDADES – Personas naturales – Personas jurídicas – Extensibles a sociedades – Artículo 8 numeral 1 literal j)</w:t>
            </w:r>
          </w:p>
        </w:tc>
      </w:tr>
      <w:tr w:rsidR="0010662B" w:rsidRPr="00BE151B" w14:paraId="2717BB8C" w14:textId="77777777" w:rsidTr="003640D3">
        <w:trPr>
          <w:jc w:val="right"/>
        </w:trPr>
        <w:tc>
          <w:tcPr>
            <w:tcW w:w="1838" w:type="dxa"/>
          </w:tcPr>
          <w:p w14:paraId="0FEB3733" w14:textId="77777777" w:rsidR="0010662B" w:rsidRPr="00BE151B" w:rsidRDefault="0010662B" w:rsidP="003640D3">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4DB15507" w14:textId="77777777" w:rsidR="0010662B" w:rsidRPr="00BE151B" w:rsidRDefault="0010662B" w:rsidP="003640D3">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8C29AA">
              <w:rPr>
                <w:rFonts w:ascii="Verdana" w:eastAsia="Times New Roman" w:hAnsi="Verdana" w:cs="Arial"/>
                <w:lang w:eastAsia="es-ES_tradnl"/>
              </w:rPr>
              <w:t>P20241003010114</w:t>
            </w:r>
          </w:p>
        </w:tc>
      </w:tr>
    </w:tbl>
    <w:p w14:paraId="5482A0B5" w14:textId="77777777" w:rsidR="0010662B" w:rsidRPr="00BE151B" w:rsidRDefault="0010662B" w:rsidP="0010662B">
      <w:pPr>
        <w:spacing w:after="0" w:line="240" w:lineRule="auto"/>
        <w:jc w:val="both"/>
        <w:rPr>
          <w:rFonts w:ascii="Verdana" w:eastAsia="Calibri" w:hAnsi="Verdana" w:cs="Arial"/>
          <w:lang w:eastAsia="es-ES_tradnl"/>
        </w:rPr>
      </w:pPr>
    </w:p>
    <w:p w14:paraId="325C1818" w14:textId="77777777" w:rsidR="0010662B" w:rsidRPr="00BE151B" w:rsidRDefault="0010662B" w:rsidP="0010662B">
      <w:pPr>
        <w:spacing w:after="0" w:line="240" w:lineRule="auto"/>
        <w:jc w:val="both"/>
        <w:rPr>
          <w:rFonts w:ascii="Verdana" w:eastAsia="Calibri" w:hAnsi="Verdana" w:cs="Arial"/>
          <w:lang w:eastAsia="es-ES_tradnl"/>
        </w:rPr>
      </w:pPr>
    </w:p>
    <w:p w14:paraId="1215307B" w14:textId="77777777" w:rsidR="0010662B" w:rsidRPr="00BE151B" w:rsidRDefault="0010662B" w:rsidP="0010662B">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Estimad</w:t>
      </w:r>
      <w:r>
        <w:rPr>
          <w:rFonts w:ascii="Verdana" w:eastAsia="Calibri" w:hAnsi="Verdana" w:cs="Arial"/>
          <w:lang w:eastAsia="es-ES_tradnl"/>
        </w:rPr>
        <w:t>o</w:t>
      </w:r>
      <w:r w:rsidRPr="00BE151B">
        <w:rPr>
          <w:rFonts w:ascii="Verdana" w:eastAsia="Calibri" w:hAnsi="Verdana" w:cs="Arial"/>
          <w:lang w:eastAsia="es-ES_tradnl"/>
        </w:rPr>
        <w:t xml:space="preserve"> </w:t>
      </w:r>
      <w:r>
        <w:rPr>
          <w:rFonts w:ascii="Verdana" w:eastAsia="Calibri" w:hAnsi="Verdana" w:cs="Arial"/>
          <w:lang w:eastAsia="es-ES_tradnl"/>
        </w:rPr>
        <w:t xml:space="preserve">señor, </w:t>
      </w:r>
      <w:r w:rsidRPr="0043036E">
        <w:rPr>
          <w:rFonts w:ascii="Verdana" w:eastAsia="Calibri" w:hAnsi="Verdana" w:cs="Arial"/>
          <w:lang w:eastAsia="es-ES_tradnl"/>
        </w:rPr>
        <w:t>Patarroyo Cubides</w:t>
      </w:r>
      <w:r w:rsidRPr="00BE151B">
        <w:rPr>
          <w:rFonts w:ascii="Verdana" w:eastAsia="Calibri" w:hAnsi="Verdana" w:cs="Arial"/>
          <w:bCs/>
          <w:lang w:eastAsia="es-ES_tradnl"/>
        </w:rPr>
        <w:t>:</w:t>
      </w:r>
    </w:p>
    <w:p w14:paraId="51F19767" w14:textId="77777777" w:rsidR="0010662B" w:rsidRPr="00BE151B" w:rsidRDefault="0010662B" w:rsidP="0010662B">
      <w:pPr>
        <w:spacing w:after="0" w:line="276" w:lineRule="auto"/>
        <w:contextualSpacing/>
        <w:jc w:val="both"/>
        <w:rPr>
          <w:rFonts w:ascii="Verdana" w:eastAsia="Calibri" w:hAnsi="Verdana" w:cs="Arial"/>
          <w:lang w:eastAsia="es-ES_tradnl"/>
        </w:rPr>
      </w:pPr>
    </w:p>
    <w:p w14:paraId="3C4A3784" w14:textId="77777777" w:rsidR="0010662B" w:rsidRPr="00BE151B" w:rsidRDefault="0010662B" w:rsidP="0010662B">
      <w:pPr>
        <w:spacing w:after="12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03</w:t>
      </w:r>
      <w:r w:rsidRPr="00BE151B">
        <w:rPr>
          <w:rFonts w:ascii="Verdana" w:eastAsia="Calibri" w:hAnsi="Verdana" w:cs="Arial"/>
          <w:lang w:eastAsia="es-ES_tradnl"/>
        </w:rPr>
        <w:t xml:space="preserve"> de </w:t>
      </w:r>
      <w:r>
        <w:rPr>
          <w:rFonts w:ascii="Verdana" w:eastAsia="Calibri" w:hAnsi="Verdana" w:cs="Arial"/>
          <w:lang w:eastAsia="es-ES_tradnl"/>
        </w:rPr>
        <w:t>octubre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0640886A" w14:textId="77777777" w:rsidR="0010662B" w:rsidRDefault="0010662B" w:rsidP="0010662B">
      <w:pPr>
        <w:spacing w:after="120" w:line="240" w:lineRule="auto"/>
        <w:ind w:left="709" w:right="709"/>
        <w:jc w:val="both"/>
        <w:rPr>
          <w:rFonts w:ascii="Verdana" w:eastAsia="Times New Roman" w:hAnsi="Verdana" w:cs="Arial"/>
          <w:i/>
          <w:sz w:val="20"/>
          <w:szCs w:val="20"/>
          <w:lang w:eastAsia="es-ES_tradnl"/>
        </w:rPr>
      </w:pPr>
    </w:p>
    <w:p w14:paraId="74BE0C97" w14:textId="77777777" w:rsidR="0010662B" w:rsidRDefault="0010662B" w:rsidP="0010662B">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t>“</w:t>
      </w:r>
      <w:r w:rsidRPr="00DC2ABB">
        <w:rPr>
          <w:rFonts w:ascii="Verdana" w:eastAsia="Times New Roman" w:hAnsi="Verdana" w:cs="Arial"/>
          <w:iCs/>
          <w:sz w:val="20"/>
          <w:szCs w:val="20"/>
          <w:lang w:eastAsia="es-ES_tradnl"/>
        </w:rPr>
        <w:t>[…]</w:t>
      </w:r>
      <w:r>
        <w:rPr>
          <w:rFonts w:ascii="Verdana" w:eastAsia="Times New Roman" w:hAnsi="Verdana" w:cs="Arial"/>
          <w:i/>
          <w:sz w:val="20"/>
          <w:szCs w:val="20"/>
          <w:lang w:eastAsia="es-ES_tradnl"/>
        </w:rPr>
        <w:t xml:space="preserve"> </w:t>
      </w:r>
    </w:p>
    <w:p w14:paraId="39F60500" w14:textId="77777777" w:rsidR="0010662B" w:rsidRDefault="0010662B" w:rsidP="0010662B">
      <w:pPr>
        <w:spacing w:after="120" w:line="240" w:lineRule="auto"/>
        <w:ind w:left="709" w:right="709"/>
        <w:jc w:val="both"/>
        <w:rPr>
          <w:rFonts w:ascii="Verdana" w:eastAsia="Times New Roman" w:hAnsi="Verdana" w:cs="Arial"/>
          <w:sz w:val="20"/>
          <w:szCs w:val="20"/>
          <w:lang w:eastAsia="es-ES_tradnl"/>
        </w:rPr>
      </w:pPr>
      <w:r w:rsidRPr="00D4573A">
        <w:rPr>
          <w:rFonts w:ascii="Verdana" w:eastAsia="Times New Roman" w:hAnsi="Verdana" w:cs="Arial"/>
          <w:i/>
          <w:sz w:val="20"/>
          <w:szCs w:val="20"/>
          <w:lang w:eastAsia="es-ES_tradnl"/>
        </w:rPr>
        <w:t>Un socio de una persona jurídica (y no es el representante legal) dentro la misma y esta reportado como inhabilitado en la Contraloría General de la Republica y Procuraduría General de la República, inhabilita a la Persona Jurídica para participar en procesos de Convocatoria Pública o celebrar contratos regidos por el -EGCAP</w:t>
      </w:r>
      <w:r>
        <w:rPr>
          <w:rFonts w:ascii="Verdana" w:eastAsia="Times New Roman" w:hAnsi="Verdana" w:cs="Arial"/>
          <w:i/>
          <w:sz w:val="20"/>
          <w:szCs w:val="20"/>
          <w:lang w:eastAsia="es-ES_tradnl"/>
        </w:rPr>
        <w:t>.</w:t>
      </w:r>
      <w:r w:rsidRPr="00472C94">
        <w:rPr>
          <w:rFonts w:ascii="Verdana" w:eastAsia="Times New Roman" w:hAnsi="Verdana" w:cs="Arial"/>
          <w:i/>
          <w:sz w:val="20"/>
          <w:szCs w:val="20"/>
          <w:lang w:eastAsia="es-ES_tradnl"/>
        </w:rPr>
        <w:t>”</w:t>
      </w:r>
      <w:r w:rsidRPr="00472C94">
        <w:rPr>
          <w:rFonts w:ascii="Verdana" w:eastAsia="Times New Roman" w:hAnsi="Verdana" w:cs="Arial"/>
          <w:sz w:val="20"/>
          <w:szCs w:val="20"/>
          <w:lang w:eastAsia="es-ES_tradnl"/>
        </w:rPr>
        <w:t xml:space="preserve"> </w:t>
      </w:r>
    </w:p>
    <w:p w14:paraId="2E2AAC7D" w14:textId="77777777" w:rsidR="0010662B" w:rsidRPr="00472C94" w:rsidRDefault="0010662B" w:rsidP="0010662B">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sz w:val="20"/>
          <w:szCs w:val="20"/>
          <w:lang w:eastAsia="es-ES_tradnl"/>
        </w:rPr>
        <w:t>[SIC]</w:t>
      </w:r>
      <w:r w:rsidRPr="00472C94">
        <w:rPr>
          <w:rFonts w:ascii="Verdana" w:eastAsia="Times New Roman" w:hAnsi="Verdana" w:cs="Arial"/>
          <w:i/>
          <w:sz w:val="20"/>
          <w:szCs w:val="20"/>
          <w:lang w:eastAsia="es-ES_tradnl"/>
        </w:rPr>
        <w:t>.</w:t>
      </w:r>
    </w:p>
    <w:p w14:paraId="362808EF" w14:textId="77777777" w:rsidR="0010662B" w:rsidRPr="00BE151B" w:rsidRDefault="0010662B" w:rsidP="0010662B">
      <w:pPr>
        <w:spacing w:after="120" w:line="240" w:lineRule="auto"/>
        <w:ind w:left="709" w:right="709"/>
        <w:jc w:val="both"/>
        <w:rPr>
          <w:rFonts w:ascii="Verdana" w:eastAsia="Times New Roman" w:hAnsi="Verdana" w:cs="Arial"/>
          <w:i/>
          <w:lang w:eastAsia="es-ES_tradnl"/>
        </w:rPr>
      </w:pPr>
    </w:p>
    <w:p w14:paraId="38EB8447" w14:textId="77777777" w:rsidR="0010662B" w:rsidRPr="00BE151B" w:rsidRDefault="0010662B" w:rsidP="0010662B">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3E3E6E43" w14:textId="77777777" w:rsidR="0010662B" w:rsidRPr="00BE151B" w:rsidRDefault="0010662B" w:rsidP="0010662B">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Pr>
          <w:rFonts w:ascii="Verdana" w:eastAsia="Calibri" w:hAnsi="Verdana" w:cs="Arial"/>
          <w:lang w:eastAsia="es-ES"/>
        </w:rPr>
        <w:t xml:space="preserve">esto es, </w:t>
      </w:r>
      <w:r w:rsidRPr="00BE151B">
        <w:rPr>
          <w:rFonts w:ascii="Verdana" w:eastAsia="Calibri" w:hAnsi="Verdana" w:cs="Arial"/>
          <w:lang w:eastAsia="es-ES"/>
        </w:rPr>
        <w:t xml:space="preserve">haciendo abstracción de las circunstancias particulares y concretas, pero haciendo unas consideraciones sobre las normas generales relacionadas con los problemas jurídicos de su consulta. </w:t>
      </w:r>
    </w:p>
    <w:p w14:paraId="7C18CB57" w14:textId="77777777" w:rsidR="0010662B" w:rsidRPr="00BE151B" w:rsidRDefault="0010662B" w:rsidP="0010662B">
      <w:pPr>
        <w:spacing w:after="0" w:line="276" w:lineRule="auto"/>
        <w:contextualSpacing/>
        <w:jc w:val="both"/>
        <w:rPr>
          <w:rFonts w:ascii="Verdana" w:eastAsia="Times New Roman" w:hAnsi="Verdana" w:cs="Arial"/>
          <w:szCs w:val="24"/>
          <w:lang w:eastAsia="es-ES_tradnl"/>
        </w:rPr>
      </w:pPr>
    </w:p>
    <w:p w14:paraId="5E3DC1FD" w14:textId="77777777" w:rsidR="0010662B" w:rsidRPr="00BE151B" w:rsidRDefault="0010662B" w:rsidP="0010662B">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0247EAA5" w14:textId="77777777" w:rsidR="0010662B" w:rsidRPr="00BE151B" w:rsidRDefault="0010662B" w:rsidP="0010662B">
      <w:pPr>
        <w:tabs>
          <w:tab w:val="left" w:pos="0"/>
          <w:tab w:val="left" w:pos="284"/>
        </w:tabs>
        <w:spacing w:after="0" w:line="276" w:lineRule="auto"/>
        <w:contextualSpacing/>
        <w:jc w:val="both"/>
        <w:rPr>
          <w:rFonts w:ascii="Verdana" w:eastAsia="Calibri" w:hAnsi="Verdana" w:cs="Arial"/>
          <w:b/>
        </w:rPr>
      </w:pPr>
    </w:p>
    <w:p w14:paraId="1C01665A" w14:textId="77777777" w:rsidR="0010662B" w:rsidRDefault="0010662B" w:rsidP="0010662B">
      <w:pPr>
        <w:spacing w:after="0" w:line="276" w:lineRule="auto"/>
        <w:jc w:val="both"/>
        <w:rPr>
          <w:rFonts w:ascii="Verdana" w:eastAsia="Calibri" w:hAnsi="Verdana" w:cs="Arial"/>
          <w:lang w:eastAsia="es-ES"/>
        </w:rPr>
      </w:pPr>
      <w:r>
        <w:rPr>
          <w:rFonts w:ascii="Verdana" w:eastAsia="Calibri" w:hAnsi="Verdana" w:cs="Arial"/>
          <w:lang w:eastAsia="es-ES"/>
        </w:rPr>
        <w:t xml:space="preserve">De conformidad con el </w:t>
      </w:r>
      <w:r w:rsidRPr="001A5FEC">
        <w:rPr>
          <w:rFonts w:ascii="Verdana" w:eastAsia="Calibri" w:hAnsi="Verdana" w:cs="Arial"/>
          <w:lang w:eastAsia="es-ES"/>
        </w:rPr>
        <w:t>régimen de inhabilidades e incompatibilidades previsto en la Ley 80</w:t>
      </w:r>
      <w:r>
        <w:rPr>
          <w:rFonts w:ascii="Verdana" w:eastAsia="Calibri" w:hAnsi="Verdana" w:cs="Arial"/>
          <w:lang w:eastAsia="es-ES"/>
        </w:rPr>
        <w:t xml:space="preserve"> </w:t>
      </w:r>
      <w:r w:rsidRPr="001A5FEC">
        <w:rPr>
          <w:rFonts w:ascii="Verdana" w:eastAsia="Calibri" w:hAnsi="Verdana" w:cs="Arial"/>
          <w:lang w:eastAsia="es-ES"/>
        </w:rPr>
        <w:t>de 1993 y en las normas que la modifiquen o adicionen</w:t>
      </w:r>
      <w:r>
        <w:rPr>
          <w:rFonts w:ascii="Verdana" w:eastAsia="Calibri" w:hAnsi="Verdana" w:cs="Arial"/>
          <w:lang w:eastAsia="es-ES"/>
        </w:rPr>
        <w:t>, ¿existe alguna inhabilidad o incompatibilidad aplicable a las personas jurídicas que tengan como socios a personas declaradas inhábiles, en el marco de procesos sancionatorios de orden fiscal o disciplinario, que afecten la capacidad jurídica de dicha sociedad para participar en procesos de contratación estatal y celebrar contratos, aun cuando dichos socios no tengan la calidad de representante legal?</w:t>
      </w:r>
    </w:p>
    <w:p w14:paraId="7CC05D31" w14:textId="77777777" w:rsidR="0010662B" w:rsidRDefault="0010662B" w:rsidP="0010662B">
      <w:pPr>
        <w:spacing w:after="0" w:line="276" w:lineRule="auto"/>
        <w:jc w:val="both"/>
        <w:rPr>
          <w:rFonts w:ascii="Verdana" w:eastAsia="Calibri" w:hAnsi="Verdana" w:cs="Arial"/>
          <w:lang w:eastAsia="es-ES"/>
        </w:rPr>
      </w:pPr>
    </w:p>
    <w:p w14:paraId="7AC4111D" w14:textId="77777777" w:rsidR="0010662B" w:rsidRPr="00BE151B" w:rsidRDefault="0010662B" w:rsidP="0010662B">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2. Respuesta:</w:t>
      </w:r>
    </w:p>
    <w:p w14:paraId="4ED19087" w14:textId="77777777" w:rsidR="0010662B" w:rsidRPr="00BE151B" w:rsidRDefault="0010662B" w:rsidP="0010662B">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10662B" w:rsidRPr="00BE151B" w14:paraId="48774038" w14:textId="77777777" w:rsidTr="003640D3">
        <w:tc>
          <w:tcPr>
            <w:tcW w:w="8828" w:type="dxa"/>
            <w:tcBorders>
              <w:bottom w:val="single" w:sz="4" w:space="0" w:color="auto"/>
            </w:tcBorders>
            <w:shd w:val="clear" w:color="auto" w:fill="auto"/>
          </w:tcPr>
          <w:p w14:paraId="58A262C8" w14:textId="77777777" w:rsidR="0010662B" w:rsidRDefault="0010662B" w:rsidP="003640D3">
            <w:pPr>
              <w:spacing w:line="276" w:lineRule="auto"/>
              <w:jc w:val="both"/>
              <w:rPr>
                <w:rFonts w:ascii="Verdana" w:hAnsi="Verdana" w:cs="Arial"/>
                <w:color w:val="000000"/>
              </w:rPr>
            </w:pPr>
            <w:r>
              <w:rPr>
                <w:rFonts w:ascii="Verdana" w:hAnsi="Verdana" w:cs="Arial"/>
                <w:color w:val="000000"/>
              </w:rPr>
              <w:t>E</w:t>
            </w:r>
            <w:r w:rsidRPr="00233FFC">
              <w:rPr>
                <w:rFonts w:ascii="Verdana" w:hAnsi="Verdana" w:cs="Arial"/>
                <w:color w:val="000000"/>
              </w:rPr>
              <w:t xml:space="preserve">l literal j) del numeral 1 del artículo 8 </w:t>
            </w:r>
            <w:r>
              <w:rPr>
                <w:rFonts w:ascii="Verdana" w:hAnsi="Verdana" w:cs="Arial"/>
                <w:color w:val="000000"/>
              </w:rPr>
              <w:t>de la Ley 80 de 1993</w:t>
            </w:r>
            <w:r w:rsidRPr="00233FFC">
              <w:rPr>
                <w:rFonts w:ascii="Verdana" w:hAnsi="Verdana" w:cs="Arial"/>
                <w:color w:val="000000"/>
              </w:rPr>
              <w:t xml:space="preserve"> establece </w:t>
            </w:r>
            <w:r>
              <w:rPr>
                <w:rFonts w:ascii="Verdana" w:hAnsi="Verdana" w:cs="Arial"/>
                <w:color w:val="000000"/>
              </w:rPr>
              <w:t xml:space="preserve">una inhabilidad que, en principio, afecta la capacidad jurídica tanto de personas naturales como de personas jurídicas, pero que, por virtud de los incisos 3 y 5 de la norma en cita, sus efectos se extienden a las sociedades de las que hagan parte dichas personas inhabilitadas solo en la medida en que detenten las calidades, no solo de representantes legales, sino de todas aquellas que </w:t>
            </w:r>
            <w:r>
              <w:rPr>
                <w:rFonts w:ascii="Verdana" w:hAnsi="Verdana" w:cs="Arial"/>
                <w:color w:val="000000"/>
              </w:rPr>
              <w:lastRenderedPageBreak/>
              <w:t>señala la norma. En ese orden, resulta pertinente enlistar los sujetos a quienes aplica la inhabilidad contemplada en el literal j):</w:t>
            </w:r>
          </w:p>
          <w:p w14:paraId="68B48764" w14:textId="77777777" w:rsidR="0010662B" w:rsidRDefault="0010662B" w:rsidP="003640D3">
            <w:pPr>
              <w:spacing w:line="276" w:lineRule="auto"/>
              <w:jc w:val="both"/>
              <w:rPr>
                <w:rFonts w:ascii="Verdana" w:hAnsi="Verdana" w:cs="Arial"/>
                <w:color w:val="000000"/>
              </w:rPr>
            </w:pPr>
          </w:p>
          <w:p w14:paraId="70BB0761" w14:textId="77777777" w:rsidR="0010662B" w:rsidRDefault="0010662B" w:rsidP="003640D3">
            <w:pPr>
              <w:spacing w:line="276" w:lineRule="auto"/>
              <w:jc w:val="both"/>
              <w:rPr>
                <w:rFonts w:ascii="Verdana" w:hAnsi="Verdana" w:cs="Arial"/>
                <w:color w:val="000000"/>
              </w:rPr>
            </w:pPr>
            <w:r>
              <w:rPr>
                <w:rFonts w:ascii="Verdana" w:hAnsi="Verdana" w:cs="Arial"/>
                <w:color w:val="000000"/>
              </w:rPr>
              <w:t>Para</w:t>
            </w:r>
            <w:r w:rsidRPr="007B17A8">
              <w:rPr>
                <w:rFonts w:ascii="Verdana" w:hAnsi="Verdana" w:cs="Arial"/>
                <w:color w:val="000000"/>
              </w:rPr>
              <w:t xml:space="preserve"> las </w:t>
            </w:r>
            <w:r w:rsidRPr="00E70B45">
              <w:rPr>
                <w:rFonts w:ascii="Verdana" w:hAnsi="Verdana" w:cs="Arial"/>
                <w:b/>
                <w:bCs/>
                <w:color w:val="000000"/>
                <w:u w:val="single"/>
              </w:rPr>
              <w:t>personas naturales</w:t>
            </w:r>
            <w:r w:rsidRPr="00154B35">
              <w:rPr>
                <w:rFonts w:ascii="Verdana" w:hAnsi="Verdana" w:cs="Arial"/>
                <w:color w:val="000000"/>
              </w:rPr>
              <w:t xml:space="preserve"> cuando:</w:t>
            </w:r>
          </w:p>
          <w:p w14:paraId="5216FE56" w14:textId="77777777" w:rsidR="0010662B" w:rsidRPr="007B17A8" w:rsidRDefault="0010662B" w:rsidP="003640D3">
            <w:pPr>
              <w:spacing w:line="276" w:lineRule="auto"/>
              <w:jc w:val="both"/>
              <w:rPr>
                <w:rFonts w:ascii="Verdana" w:hAnsi="Verdana" w:cs="Arial"/>
                <w:color w:val="000000"/>
              </w:rPr>
            </w:pPr>
          </w:p>
          <w:p w14:paraId="57280ADF" w14:textId="77777777" w:rsidR="0010662B" w:rsidRPr="002420E3" w:rsidRDefault="0010662B" w:rsidP="0010662B">
            <w:pPr>
              <w:pStyle w:val="Prrafodelista"/>
              <w:numPr>
                <w:ilvl w:val="0"/>
                <w:numId w:val="2"/>
              </w:numPr>
              <w:spacing w:line="276" w:lineRule="auto"/>
              <w:jc w:val="both"/>
              <w:rPr>
                <w:rFonts w:ascii="Verdana" w:hAnsi="Verdana" w:cs="Arial"/>
                <w:color w:val="000000"/>
              </w:rPr>
            </w:pPr>
            <w:r>
              <w:rPr>
                <w:rFonts w:ascii="Verdana" w:hAnsi="Verdana" w:cs="Arial"/>
                <w:color w:val="000000"/>
              </w:rPr>
              <w:t xml:space="preserve">Aquellas hayan sido </w:t>
            </w:r>
            <w:r w:rsidRPr="002420E3">
              <w:rPr>
                <w:rFonts w:ascii="Verdana" w:hAnsi="Verdana" w:cs="Arial"/>
                <w:color w:val="000000"/>
              </w:rPr>
              <w:t>declaradas responsables judicialmente por la comisión de delitos contra la Administración pública</w:t>
            </w:r>
          </w:p>
          <w:p w14:paraId="363600DA" w14:textId="77777777" w:rsidR="0010662B" w:rsidRPr="00261077" w:rsidRDefault="0010662B" w:rsidP="0010662B">
            <w:pPr>
              <w:pStyle w:val="Prrafodelista"/>
              <w:numPr>
                <w:ilvl w:val="0"/>
                <w:numId w:val="2"/>
              </w:numPr>
              <w:spacing w:line="276" w:lineRule="auto"/>
              <w:jc w:val="both"/>
              <w:rPr>
                <w:rFonts w:ascii="Verdana" w:hAnsi="Verdana" w:cs="Arial"/>
                <w:color w:val="000000"/>
              </w:rPr>
            </w:pPr>
            <w:r>
              <w:rPr>
                <w:rFonts w:ascii="Verdana" w:hAnsi="Verdana" w:cs="Arial"/>
                <w:color w:val="000000"/>
              </w:rPr>
              <w:t xml:space="preserve">Aquellas hayan sido </w:t>
            </w:r>
            <w:r w:rsidRPr="002420E3">
              <w:rPr>
                <w:rFonts w:ascii="Verdana" w:hAnsi="Verdana" w:cs="Arial"/>
                <w:color w:val="000000"/>
              </w:rPr>
              <w:t>declaradas responsables judicialmente por la comisión de</w:t>
            </w:r>
            <w:r w:rsidRPr="00261077">
              <w:rPr>
                <w:rFonts w:ascii="Arial" w:hAnsi="Arial" w:cs="Arial"/>
                <w:color w:val="000000"/>
                <w:sz w:val="21"/>
                <w:szCs w:val="21"/>
              </w:rPr>
              <w:t xml:space="preserve"> </w:t>
            </w:r>
            <w:r w:rsidRPr="00261077">
              <w:rPr>
                <w:rFonts w:ascii="Verdana" w:hAnsi="Verdana" w:cs="Arial"/>
                <w:color w:val="000000"/>
              </w:rPr>
              <w:t>cualquiera de los delitos o faltas contempladas por la Ley 1474 de 2011 y sus normas modificatorias</w:t>
            </w:r>
          </w:p>
          <w:p w14:paraId="50CB7DFE" w14:textId="77777777" w:rsidR="0010662B" w:rsidRPr="00190D22" w:rsidRDefault="0010662B" w:rsidP="0010662B">
            <w:pPr>
              <w:pStyle w:val="Prrafodelista"/>
              <w:numPr>
                <w:ilvl w:val="0"/>
                <w:numId w:val="2"/>
              </w:numPr>
              <w:spacing w:line="276" w:lineRule="auto"/>
              <w:jc w:val="both"/>
              <w:rPr>
                <w:rFonts w:ascii="Verdana" w:hAnsi="Verdana" w:cs="Arial"/>
                <w:color w:val="000000"/>
              </w:rPr>
            </w:pPr>
            <w:r>
              <w:rPr>
                <w:rFonts w:ascii="Verdana" w:hAnsi="Verdana" w:cs="Arial"/>
                <w:color w:val="000000"/>
              </w:rPr>
              <w:t xml:space="preserve">Aquellas hayan sido </w:t>
            </w:r>
            <w:r w:rsidRPr="002420E3">
              <w:rPr>
                <w:rFonts w:ascii="Verdana" w:hAnsi="Verdana" w:cs="Arial"/>
                <w:color w:val="000000"/>
              </w:rPr>
              <w:t>declaradas responsables judicialmente por la comisión de</w:t>
            </w:r>
            <w:r>
              <w:rPr>
                <w:rFonts w:ascii="Verdana" w:hAnsi="Verdana" w:cs="Arial"/>
                <w:color w:val="000000"/>
              </w:rPr>
              <w:t xml:space="preserve"> </w:t>
            </w:r>
            <w:r w:rsidRPr="00190D22">
              <w:rPr>
                <w:rFonts w:ascii="Verdana" w:hAnsi="Verdana" w:cs="Arial"/>
                <w:color w:val="000000"/>
              </w:rPr>
              <w:t>cualquiera de las conductas delictivas contempladas por las convenciones o tratados de lucha contra la corrupción suscritos y ratificados por Colombia</w:t>
            </w:r>
          </w:p>
          <w:p w14:paraId="29AD481A" w14:textId="77777777" w:rsidR="0010662B" w:rsidRDefault="0010662B" w:rsidP="003640D3">
            <w:pPr>
              <w:spacing w:line="276" w:lineRule="auto"/>
              <w:jc w:val="both"/>
              <w:rPr>
                <w:rFonts w:ascii="Verdana" w:hAnsi="Verdana" w:cs="Arial"/>
                <w:color w:val="000000"/>
              </w:rPr>
            </w:pPr>
          </w:p>
          <w:p w14:paraId="77B3C437" w14:textId="77777777" w:rsidR="0010662B" w:rsidRDefault="0010662B" w:rsidP="003640D3">
            <w:pPr>
              <w:spacing w:line="276" w:lineRule="auto"/>
              <w:jc w:val="both"/>
              <w:rPr>
                <w:rFonts w:ascii="Verdana" w:hAnsi="Verdana" w:cs="Arial"/>
                <w:color w:val="000000"/>
              </w:rPr>
            </w:pPr>
            <w:r>
              <w:rPr>
                <w:rFonts w:ascii="Verdana" w:hAnsi="Verdana" w:cs="Arial"/>
                <w:color w:val="000000"/>
              </w:rPr>
              <w:t>Para</w:t>
            </w:r>
            <w:r w:rsidRPr="007B17A8">
              <w:rPr>
                <w:rFonts w:ascii="Verdana" w:hAnsi="Verdana" w:cs="Arial"/>
                <w:color w:val="000000"/>
              </w:rPr>
              <w:t xml:space="preserve"> las </w:t>
            </w:r>
            <w:r w:rsidRPr="00E70B45">
              <w:rPr>
                <w:rFonts w:ascii="Verdana" w:hAnsi="Verdana" w:cs="Arial"/>
                <w:b/>
                <w:bCs/>
                <w:color w:val="000000"/>
                <w:u w:val="single"/>
              </w:rPr>
              <w:t>personas jurídicas</w:t>
            </w:r>
            <w:r w:rsidRPr="00154B35">
              <w:rPr>
                <w:rFonts w:ascii="Verdana" w:hAnsi="Verdana" w:cs="Arial"/>
                <w:color w:val="000000"/>
              </w:rPr>
              <w:t xml:space="preserve"> cuando:</w:t>
            </w:r>
          </w:p>
          <w:p w14:paraId="467B69B7" w14:textId="77777777" w:rsidR="0010662B" w:rsidRDefault="0010662B" w:rsidP="003640D3">
            <w:pPr>
              <w:spacing w:line="276" w:lineRule="auto"/>
              <w:jc w:val="both"/>
              <w:rPr>
                <w:rFonts w:ascii="Verdana" w:hAnsi="Verdana" w:cs="Arial"/>
                <w:color w:val="000000"/>
              </w:rPr>
            </w:pPr>
          </w:p>
          <w:p w14:paraId="07937583" w14:textId="77777777" w:rsidR="0010662B" w:rsidRPr="00BA690F" w:rsidRDefault="0010662B" w:rsidP="0010662B">
            <w:pPr>
              <w:pStyle w:val="Prrafodelista"/>
              <w:numPr>
                <w:ilvl w:val="0"/>
                <w:numId w:val="3"/>
              </w:numPr>
              <w:spacing w:line="276" w:lineRule="auto"/>
              <w:jc w:val="both"/>
              <w:rPr>
                <w:rFonts w:ascii="Verdana" w:hAnsi="Verdana" w:cs="Arial"/>
                <w:color w:val="000000"/>
              </w:rPr>
            </w:pPr>
            <w:r>
              <w:rPr>
                <w:rFonts w:ascii="Verdana" w:hAnsi="Verdana" w:cs="Arial"/>
                <w:color w:val="000000"/>
              </w:rPr>
              <w:t xml:space="preserve">Aquellas </w:t>
            </w:r>
            <w:r w:rsidRPr="00B762F7">
              <w:rPr>
                <w:rFonts w:ascii="Verdana" w:hAnsi="Verdana" w:cs="Arial"/>
                <w:color w:val="000000"/>
              </w:rPr>
              <w:t>hayan sido declaradas responsables administrativamente por la conducta de soborno transnacional</w:t>
            </w:r>
          </w:p>
          <w:p w14:paraId="3F0FE8DF" w14:textId="77777777" w:rsidR="0010662B" w:rsidRPr="0058149C" w:rsidRDefault="0010662B" w:rsidP="0010662B">
            <w:pPr>
              <w:pStyle w:val="Prrafodelista"/>
              <w:numPr>
                <w:ilvl w:val="0"/>
                <w:numId w:val="3"/>
              </w:numPr>
              <w:spacing w:line="276" w:lineRule="auto"/>
              <w:jc w:val="both"/>
              <w:rPr>
                <w:rFonts w:ascii="Verdana" w:hAnsi="Verdana" w:cs="Arial"/>
                <w:color w:val="000000"/>
              </w:rPr>
            </w:pPr>
            <w:r>
              <w:rPr>
                <w:rFonts w:ascii="Verdana" w:hAnsi="Verdana" w:cs="Arial"/>
                <w:color w:val="000000"/>
              </w:rPr>
              <w:t xml:space="preserve">Se les </w:t>
            </w:r>
            <w:r w:rsidRPr="00F22252">
              <w:rPr>
                <w:rFonts w:ascii="Verdana" w:hAnsi="Verdana" w:cs="Arial"/>
                <w:color w:val="000000"/>
              </w:rPr>
              <w:t>haya ordenado la suspensión de la perso</w:t>
            </w:r>
            <w:r w:rsidRPr="00F22252">
              <w:rPr>
                <w:rFonts w:ascii="Verdana" w:hAnsi="Verdana" w:cs="Arial"/>
                <w:color w:val="000000"/>
              </w:rPr>
              <w:softHyphen/>
              <w:t>nería jurídica en los términos de ley</w:t>
            </w:r>
          </w:p>
          <w:p w14:paraId="60659B63" w14:textId="77777777" w:rsidR="0010662B" w:rsidRPr="003F2B10" w:rsidRDefault="0010662B" w:rsidP="0010662B">
            <w:pPr>
              <w:pStyle w:val="Prrafodelista"/>
              <w:numPr>
                <w:ilvl w:val="0"/>
                <w:numId w:val="3"/>
              </w:numPr>
              <w:spacing w:line="276" w:lineRule="auto"/>
              <w:jc w:val="both"/>
              <w:rPr>
                <w:rFonts w:ascii="Verdana" w:hAnsi="Verdana" w:cs="Arial"/>
                <w:color w:val="000000"/>
              </w:rPr>
            </w:pPr>
            <w:r>
              <w:rPr>
                <w:rFonts w:ascii="Verdana" w:hAnsi="Verdana" w:cs="Arial"/>
                <w:color w:val="000000"/>
              </w:rPr>
              <w:t xml:space="preserve">Sus </w:t>
            </w:r>
            <w:r w:rsidRPr="00424AF2">
              <w:rPr>
                <w:rFonts w:ascii="Verdana" w:hAnsi="Verdana" w:cs="Arial"/>
                <w:color w:val="000000"/>
              </w:rPr>
              <w:t>representantes legales, ad</w:t>
            </w:r>
            <w:r w:rsidRPr="00424AF2">
              <w:rPr>
                <w:rFonts w:ascii="Verdana" w:hAnsi="Verdana" w:cs="Arial"/>
                <w:color w:val="000000"/>
              </w:rPr>
              <w:softHyphen/>
              <w:t xml:space="preserve">ministradores de hecho o de derecho, miembros de junta directiva o </w:t>
            </w:r>
            <w:r w:rsidRPr="00FA11AD">
              <w:rPr>
                <w:rFonts w:ascii="Verdana" w:hAnsi="Verdana" w:cs="Arial"/>
                <w:color w:val="000000"/>
                <w:u w:val="single"/>
              </w:rPr>
              <w:t>sus socios controlantes, sus matrices, subordinadas</w:t>
            </w:r>
            <w:r w:rsidRPr="00424AF2">
              <w:rPr>
                <w:rFonts w:ascii="Verdana" w:hAnsi="Verdana" w:cs="Arial"/>
                <w:color w:val="000000"/>
              </w:rPr>
              <w:t xml:space="preserve"> y/o las sucursales de sociedades extranjeras, hayan sido beneficiados con la aplicación de un principio de oportunidad por cualquier delito contra la Administración pública o el patrimonio del Estado</w:t>
            </w:r>
          </w:p>
          <w:p w14:paraId="3506FFC7" w14:textId="77777777" w:rsidR="0010662B" w:rsidRDefault="0010662B" w:rsidP="003640D3">
            <w:pPr>
              <w:spacing w:line="276" w:lineRule="auto"/>
              <w:jc w:val="both"/>
              <w:rPr>
                <w:rFonts w:ascii="Verdana" w:hAnsi="Verdana" w:cs="Arial"/>
                <w:color w:val="000000"/>
              </w:rPr>
            </w:pPr>
          </w:p>
          <w:p w14:paraId="688F54D3" w14:textId="77777777" w:rsidR="0010662B" w:rsidRDefault="0010662B" w:rsidP="003640D3">
            <w:pPr>
              <w:spacing w:line="276" w:lineRule="auto"/>
              <w:jc w:val="both"/>
              <w:rPr>
                <w:rFonts w:ascii="Verdana" w:hAnsi="Verdana" w:cs="Arial"/>
                <w:color w:val="000000"/>
              </w:rPr>
            </w:pPr>
            <w:r>
              <w:rPr>
                <w:rFonts w:ascii="Verdana" w:hAnsi="Verdana" w:cs="Arial"/>
                <w:color w:val="000000"/>
              </w:rPr>
              <w:t xml:space="preserve">Visto lo anterior, es posible afirmar que para el caso de para las </w:t>
            </w:r>
            <w:r w:rsidRPr="00E70B45">
              <w:rPr>
                <w:rFonts w:ascii="Verdana" w:hAnsi="Verdana" w:cs="Arial"/>
                <w:b/>
                <w:bCs/>
                <w:color w:val="000000"/>
              </w:rPr>
              <w:t>personas naturales</w:t>
            </w:r>
            <w:r>
              <w:rPr>
                <w:rFonts w:ascii="Verdana" w:hAnsi="Verdana" w:cs="Arial"/>
                <w:b/>
                <w:bCs/>
                <w:color w:val="000000"/>
              </w:rPr>
              <w:t xml:space="preserve"> y jurídicas</w:t>
            </w:r>
            <w:r>
              <w:rPr>
                <w:rFonts w:ascii="Verdana" w:hAnsi="Verdana" w:cs="Arial"/>
                <w:color w:val="000000"/>
              </w:rPr>
              <w:t xml:space="preserve">, </w:t>
            </w:r>
            <w:r w:rsidRPr="00CF61A9">
              <w:rPr>
                <w:rFonts w:ascii="Verdana" w:hAnsi="Verdana" w:cs="Arial"/>
                <w:color w:val="000000"/>
                <w:u w:val="single"/>
              </w:rPr>
              <w:t>sus efectos se extienden a las sociedades de las que hagan parte dichas personas</w:t>
            </w:r>
            <w:r w:rsidRPr="00582259">
              <w:rPr>
                <w:rFonts w:ascii="Verdana" w:hAnsi="Verdana" w:cs="Arial"/>
                <w:color w:val="000000"/>
              </w:rPr>
              <w:t xml:space="preserve"> en </w:t>
            </w:r>
            <w:r>
              <w:rPr>
                <w:rFonts w:ascii="Verdana" w:hAnsi="Verdana" w:cs="Arial"/>
                <w:color w:val="000000"/>
              </w:rPr>
              <w:t>las siguientes calidades:</w:t>
            </w:r>
          </w:p>
          <w:p w14:paraId="5DB61331" w14:textId="77777777" w:rsidR="0010662B" w:rsidRDefault="0010662B" w:rsidP="003640D3">
            <w:pPr>
              <w:spacing w:line="276" w:lineRule="auto"/>
              <w:jc w:val="both"/>
              <w:rPr>
                <w:rFonts w:ascii="Verdana" w:hAnsi="Verdana" w:cs="Arial"/>
                <w:color w:val="000000"/>
              </w:rPr>
            </w:pPr>
          </w:p>
          <w:p w14:paraId="2D0B3843"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 xml:space="preserve">administradores, </w:t>
            </w:r>
          </w:p>
          <w:p w14:paraId="227A26AD"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represen</w:t>
            </w:r>
            <w:r w:rsidRPr="00034E0E">
              <w:rPr>
                <w:rFonts w:ascii="Verdana" w:hAnsi="Verdana" w:cs="Arial"/>
                <w:color w:val="000000"/>
              </w:rPr>
              <w:softHyphen/>
              <w:t xml:space="preserve">tantes legales, </w:t>
            </w:r>
          </w:p>
          <w:p w14:paraId="432A8780"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 xml:space="preserve">miembros de junta directiva </w:t>
            </w:r>
          </w:p>
          <w:p w14:paraId="519D0C5F" w14:textId="77777777" w:rsidR="0010662B" w:rsidRDefault="0010662B" w:rsidP="0010662B">
            <w:pPr>
              <w:pStyle w:val="Prrafodelista"/>
              <w:numPr>
                <w:ilvl w:val="0"/>
                <w:numId w:val="4"/>
              </w:numPr>
              <w:spacing w:line="276" w:lineRule="auto"/>
              <w:jc w:val="both"/>
              <w:rPr>
                <w:rFonts w:ascii="Verdana" w:hAnsi="Verdana" w:cs="Arial"/>
                <w:color w:val="000000"/>
              </w:rPr>
            </w:pPr>
            <w:r w:rsidRPr="00693AC4">
              <w:rPr>
                <w:rFonts w:ascii="Verdana" w:hAnsi="Verdana" w:cs="Arial"/>
                <w:color w:val="000000"/>
                <w:u w:val="single"/>
              </w:rPr>
              <w:t>socios controlantes</w:t>
            </w:r>
            <w:r w:rsidRPr="00122B2A">
              <w:rPr>
                <w:rFonts w:ascii="Verdana" w:hAnsi="Verdana" w:cs="Arial"/>
                <w:color w:val="000000"/>
                <w:u w:val="single"/>
              </w:rPr>
              <w:t xml:space="preserve">, </w:t>
            </w:r>
            <w:r w:rsidRPr="00E731A1">
              <w:rPr>
                <w:rFonts w:ascii="Verdana" w:hAnsi="Verdana" w:cs="Arial"/>
                <w:color w:val="000000"/>
              </w:rPr>
              <w:t xml:space="preserve">a sus matrices, a sus subordinadas, a los grupos empresariales a los que estas pertenezcan cuando la conducta delictiva haya sido parte de una política del grupo y a las sucursales de </w:t>
            </w:r>
            <w:r w:rsidRPr="00E731A1">
              <w:rPr>
                <w:rFonts w:ascii="Verdana" w:hAnsi="Verdana" w:cs="Arial"/>
                <w:color w:val="000000"/>
              </w:rPr>
              <w:lastRenderedPageBreak/>
              <w:t xml:space="preserve">sociedades extranjeras, </w:t>
            </w:r>
            <w:r w:rsidRPr="00E773BA">
              <w:rPr>
                <w:rFonts w:ascii="Verdana" w:hAnsi="Verdana" w:cs="Arial"/>
                <w:color w:val="000000"/>
                <w:u w:val="single"/>
              </w:rPr>
              <w:t xml:space="preserve">con excepción de las sociedades anónimas abiertas. </w:t>
            </w:r>
          </w:p>
          <w:p w14:paraId="10F06E4F" w14:textId="77777777" w:rsidR="0010662B" w:rsidRDefault="0010662B" w:rsidP="003640D3">
            <w:pPr>
              <w:spacing w:line="276" w:lineRule="auto"/>
              <w:jc w:val="both"/>
              <w:rPr>
                <w:rFonts w:ascii="Verdana" w:hAnsi="Verdana" w:cs="Arial"/>
                <w:color w:val="000000"/>
              </w:rPr>
            </w:pPr>
          </w:p>
          <w:p w14:paraId="72C47F59" w14:textId="77777777" w:rsidR="0010662B" w:rsidRDefault="0010662B" w:rsidP="003640D3">
            <w:pPr>
              <w:spacing w:line="276" w:lineRule="auto"/>
              <w:jc w:val="both"/>
              <w:rPr>
                <w:rFonts w:ascii="Verdana" w:hAnsi="Verdana" w:cs="Arial"/>
                <w:color w:val="000000"/>
              </w:rPr>
            </w:pPr>
            <w:r>
              <w:rPr>
                <w:rFonts w:ascii="Verdana" w:hAnsi="Verdana" w:cs="Arial"/>
                <w:color w:val="000000"/>
              </w:rPr>
              <w:t xml:space="preserve">En conclusión, en el evento en que un socio controlante, persona natural, de la sociedad interesada en participar en una convocatoria pública de selección de contratistas o que pretenda suscribir contratos con el Estado, sea objeto de alguna de las inhabilidades enlistadas, dicha inhabilidad extiende sus efectos a la sociedad, </w:t>
            </w:r>
            <w:r w:rsidRPr="00E70B45">
              <w:rPr>
                <w:rFonts w:ascii="Verdana" w:hAnsi="Verdana" w:cs="Arial"/>
                <w:color w:val="000000"/>
              </w:rPr>
              <w:t>con ex</w:t>
            </w:r>
            <w:r w:rsidRPr="00E70B45">
              <w:rPr>
                <w:rFonts w:ascii="Verdana" w:hAnsi="Verdana" w:cs="Arial"/>
                <w:color w:val="000000"/>
              </w:rPr>
              <w:softHyphen/>
              <w:t>cepción de las sociedades anónimas abiertas.</w:t>
            </w:r>
          </w:p>
          <w:p w14:paraId="77567170" w14:textId="77777777" w:rsidR="0010662B" w:rsidRDefault="0010662B" w:rsidP="003640D3">
            <w:pPr>
              <w:spacing w:line="276" w:lineRule="auto"/>
              <w:jc w:val="both"/>
              <w:rPr>
                <w:rFonts w:ascii="Verdana" w:hAnsi="Verdana" w:cs="Arial"/>
                <w:color w:val="000000"/>
              </w:rPr>
            </w:pPr>
          </w:p>
          <w:p w14:paraId="4A4ADC7C" w14:textId="77777777" w:rsidR="0010662B" w:rsidRDefault="0010662B" w:rsidP="003640D3">
            <w:pPr>
              <w:spacing w:line="276" w:lineRule="auto"/>
              <w:jc w:val="both"/>
              <w:rPr>
                <w:rFonts w:ascii="Verdana" w:hAnsi="Verdana" w:cs="Arial"/>
                <w:color w:val="000000"/>
              </w:rPr>
            </w:pPr>
            <w:r>
              <w:rPr>
                <w:rFonts w:ascii="Verdana" w:hAnsi="Verdana" w:cs="Arial"/>
                <w:color w:val="000000"/>
              </w:rPr>
              <w:t xml:space="preserve">Por otra parte, si un socio controlante (que en este caso se trataría de un socio persona jurídica) de la sociedad interesada en participar en una convocatoria pública de selección de contratistas o que pretenda suscribir contratos con el Estado, es objeto de alguna de las inhabilidades enlistadas, dicha inhabilidad extiende sus efectos a la sociedad de forma permanente, </w:t>
            </w:r>
            <w:r w:rsidRPr="00E70B45">
              <w:rPr>
                <w:rFonts w:ascii="Verdana" w:hAnsi="Verdana" w:cs="Arial"/>
                <w:color w:val="000000"/>
              </w:rPr>
              <w:t>con ex</w:t>
            </w:r>
            <w:r w:rsidRPr="00E70B45">
              <w:rPr>
                <w:rFonts w:ascii="Verdana" w:hAnsi="Verdana" w:cs="Arial"/>
                <w:color w:val="000000"/>
              </w:rPr>
              <w:softHyphen/>
              <w:t>cepción de las sociedades anónimas abiertas.</w:t>
            </w:r>
          </w:p>
          <w:p w14:paraId="34F95232" w14:textId="77777777" w:rsidR="0010662B" w:rsidRDefault="0010662B" w:rsidP="003640D3">
            <w:pPr>
              <w:spacing w:line="276" w:lineRule="auto"/>
              <w:jc w:val="both"/>
              <w:rPr>
                <w:rFonts w:ascii="Verdana" w:hAnsi="Verdana" w:cs="Arial"/>
                <w:color w:val="000000"/>
              </w:rPr>
            </w:pPr>
          </w:p>
          <w:p w14:paraId="5BD31723" w14:textId="77777777" w:rsidR="0010662B" w:rsidRDefault="0010662B" w:rsidP="003640D3">
            <w:pPr>
              <w:spacing w:line="276" w:lineRule="auto"/>
              <w:jc w:val="both"/>
              <w:rPr>
                <w:rFonts w:ascii="Verdana" w:hAnsi="Verdana" w:cs="Arial"/>
                <w:color w:val="000000"/>
              </w:rPr>
            </w:pPr>
            <w:r>
              <w:rPr>
                <w:rFonts w:ascii="Verdana" w:hAnsi="Verdana" w:cs="Arial"/>
                <w:color w:val="000000"/>
              </w:rPr>
              <w:t>No obstante, se advierte que</w:t>
            </w:r>
            <w:r w:rsidRPr="007878A9">
              <w:rPr>
                <w:rFonts w:ascii="Verdana" w:hAnsi="Verdana" w:cs="Arial"/>
                <w:color w:val="000000"/>
              </w:rPr>
              <w:t xml:space="preserve"> el régimen de inhabilidades corresponde a un conjunto de restricciones que afectan la capacidad para contratar con el Estado</w:t>
            </w:r>
            <w:r>
              <w:rPr>
                <w:rFonts w:ascii="Verdana" w:hAnsi="Verdana" w:cs="Arial"/>
                <w:color w:val="000000"/>
              </w:rPr>
              <w:t xml:space="preserve">. En ese sentido, dichas causales están sometidas </w:t>
            </w:r>
            <w:r w:rsidRPr="00644B07">
              <w:rPr>
                <w:rFonts w:ascii="Verdana" w:hAnsi="Verdana" w:cs="Arial"/>
                <w:color w:val="000000"/>
              </w:rPr>
              <w:t>a</w:t>
            </w:r>
            <w:r>
              <w:rPr>
                <w:rFonts w:ascii="Verdana" w:hAnsi="Verdana" w:cs="Arial"/>
                <w:color w:val="000000"/>
              </w:rPr>
              <w:t xml:space="preserve"> una</w:t>
            </w:r>
            <w:r w:rsidRPr="00644B07">
              <w:rPr>
                <w:rFonts w:ascii="Verdana" w:hAnsi="Verdana" w:cs="Arial"/>
                <w:color w:val="000000"/>
              </w:rPr>
              <w:t xml:space="preserve"> interpretación y aplicación restrictiva, </w:t>
            </w:r>
            <w:r>
              <w:rPr>
                <w:rFonts w:ascii="Verdana" w:hAnsi="Verdana" w:cs="Arial"/>
                <w:color w:val="000000"/>
              </w:rPr>
              <w:t>por lo que cada entidad contratante deberá</w:t>
            </w:r>
            <w:r w:rsidRPr="00644B07">
              <w:rPr>
                <w:rFonts w:ascii="Verdana" w:hAnsi="Verdana" w:cs="Arial"/>
                <w:color w:val="000000"/>
              </w:rPr>
              <w:t xml:space="preserve"> analizar en </w:t>
            </w:r>
            <w:r>
              <w:rPr>
                <w:rFonts w:ascii="Verdana" w:hAnsi="Verdana" w:cs="Arial"/>
                <w:color w:val="000000"/>
              </w:rPr>
              <w:t>cada</w:t>
            </w:r>
            <w:r w:rsidRPr="00644B07">
              <w:rPr>
                <w:rFonts w:ascii="Verdana" w:hAnsi="Verdana" w:cs="Arial"/>
                <w:color w:val="000000"/>
              </w:rPr>
              <w:t xml:space="preserve"> caso concreto si efectivamente la respectiva persona se encuentra incursa en el supuesto de hecho que da lugar a la configuración de la inhabilidad o incompatibilidad, en virtud de la que opera la restricción a la capacidad para contratar.</w:t>
            </w:r>
          </w:p>
          <w:p w14:paraId="4C2B84C9" w14:textId="77777777" w:rsidR="0010662B" w:rsidRDefault="0010662B" w:rsidP="003640D3">
            <w:pPr>
              <w:spacing w:line="276" w:lineRule="auto"/>
              <w:jc w:val="both"/>
              <w:rPr>
                <w:rFonts w:ascii="Verdana" w:hAnsi="Verdana" w:cs="Arial"/>
                <w:color w:val="000000"/>
              </w:rPr>
            </w:pPr>
          </w:p>
          <w:p w14:paraId="3C920283" w14:textId="77777777" w:rsidR="0010662B" w:rsidRPr="008C268B" w:rsidRDefault="0010662B" w:rsidP="003640D3">
            <w:pPr>
              <w:spacing w:line="276" w:lineRule="auto"/>
              <w:jc w:val="both"/>
              <w:rPr>
                <w:rFonts w:ascii="Verdana" w:hAnsi="Verdana" w:cs="Arial"/>
                <w:color w:val="000000"/>
              </w:rPr>
            </w:pPr>
            <w:r>
              <w:rPr>
                <w:rFonts w:ascii="Verdana" w:hAnsi="Verdana" w:cs="Arial"/>
                <w:color w:val="000000"/>
              </w:rPr>
              <w:t>Por último, se itera que esta</w:t>
            </w:r>
            <w:r w:rsidRPr="00293035">
              <w:rPr>
                <w:rFonts w:ascii="Verdana" w:hAnsi="Verdana" w:cs="Arial"/>
                <w:color w:val="000000"/>
              </w:rPr>
              <w:t xml:space="preserve"> Agencia no tiene competencia para resolver problemas jurídicos específicos que no surjan de la aplicación de alguna norma contractual, o para resolver casos concretos.</w:t>
            </w:r>
            <w:r>
              <w:rPr>
                <w:rFonts w:ascii="Verdana" w:hAnsi="Verdana" w:cs="Arial"/>
                <w:color w:val="000000"/>
              </w:rPr>
              <w:t xml:space="preserve"> </w:t>
            </w:r>
            <w:r w:rsidRPr="00C30FF7">
              <w:rPr>
                <w:rFonts w:ascii="Verdana" w:hAnsi="Verdana" w:cs="Arial"/>
                <w:color w:val="000000"/>
              </w:rPr>
              <w:t xml:space="preserve">Por lo anterior, el presente concepto se limitará a responder </w:t>
            </w:r>
            <w:r>
              <w:rPr>
                <w:rFonts w:ascii="Verdana" w:hAnsi="Verdana" w:cs="Arial"/>
                <w:color w:val="000000"/>
              </w:rPr>
              <w:t>el interrogante</w:t>
            </w:r>
            <w:r w:rsidRPr="00C30FF7">
              <w:rPr>
                <w:rFonts w:ascii="Verdana" w:hAnsi="Verdana" w:cs="Arial"/>
                <w:color w:val="000000"/>
              </w:rPr>
              <w:t>, haciendo un análisis de las normas que resultan relevantes para su solicitud, con el alcance establecido en el artículo 28 del Código de Procedimiento Administrativo y de lo Contencioso Administrativo.</w:t>
            </w:r>
          </w:p>
        </w:tc>
      </w:tr>
    </w:tbl>
    <w:p w14:paraId="21E77C03" w14:textId="77777777" w:rsidR="0010662B" w:rsidRPr="00BE151B" w:rsidRDefault="0010662B" w:rsidP="0010662B">
      <w:pPr>
        <w:spacing w:after="0" w:line="276" w:lineRule="auto"/>
        <w:contextualSpacing/>
        <w:jc w:val="both"/>
        <w:rPr>
          <w:rFonts w:ascii="Verdana" w:eastAsia="Times New Roman" w:hAnsi="Verdana" w:cs="Arial"/>
          <w:lang w:eastAsia="es-ES_tradnl"/>
        </w:rPr>
      </w:pPr>
    </w:p>
    <w:p w14:paraId="488D467F" w14:textId="77777777" w:rsidR="0010662B" w:rsidRPr="00BE151B" w:rsidRDefault="0010662B" w:rsidP="0010662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6ED653F2" w14:textId="77777777" w:rsidR="0010662B" w:rsidRPr="00BE151B" w:rsidRDefault="0010662B" w:rsidP="0010662B">
      <w:pPr>
        <w:spacing w:after="0" w:line="276" w:lineRule="auto"/>
        <w:jc w:val="both"/>
        <w:rPr>
          <w:rFonts w:ascii="Verdana" w:eastAsia="Calibri" w:hAnsi="Verdana" w:cs="Arial"/>
          <w:color w:val="7030A0"/>
        </w:rPr>
      </w:pPr>
    </w:p>
    <w:p w14:paraId="2F5F54A4" w14:textId="77777777" w:rsidR="0010662B" w:rsidRPr="00BE151B" w:rsidRDefault="0010662B" w:rsidP="0010662B">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773ED671" w14:textId="77777777" w:rsidR="0010662B" w:rsidRPr="00BE151B" w:rsidRDefault="0010662B" w:rsidP="0010662B">
      <w:pPr>
        <w:spacing w:after="0" w:line="276" w:lineRule="auto"/>
        <w:jc w:val="both"/>
        <w:rPr>
          <w:rFonts w:ascii="Verdana" w:eastAsia="Calibri" w:hAnsi="Verdana" w:cs="Arial"/>
        </w:rPr>
      </w:pPr>
    </w:p>
    <w:p w14:paraId="40B5961A" w14:textId="77777777" w:rsidR="0010662B" w:rsidRPr="00857661" w:rsidRDefault="0010662B" w:rsidP="0010662B">
      <w:pPr>
        <w:pStyle w:val="Sinespaciado"/>
        <w:spacing w:after="120" w:line="276" w:lineRule="auto"/>
        <w:jc w:val="both"/>
        <w:rPr>
          <w:rFonts w:ascii="Verdana" w:hAnsi="Verdana" w:cs="Arial"/>
          <w:sz w:val="22"/>
          <w:lang w:val="es-ES"/>
        </w:rPr>
      </w:pPr>
      <w:r w:rsidRPr="00857661">
        <w:rPr>
          <w:rFonts w:ascii="Verdana" w:hAnsi="Verdana" w:cs="Arial"/>
          <w:sz w:val="22"/>
          <w:lang w:val="es-ES"/>
        </w:rPr>
        <w:lastRenderedPageBreak/>
        <w:t xml:space="preserve">Las inhabilidades son circunstancias establecidas por la Constitución o la ley que impiden que personas naturales o jurídicas sean elegidas o designadas en un cargo público o celebren contratos con el Estado, con el objetivo de garantizar la idoneidad, imparcialidad, probidad, transparencia y moralidad de la función pública, garantizando el interés general.  </w:t>
      </w:r>
    </w:p>
    <w:p w14:paraId="114C3066" w14:textId="77777777" w:rsidR="0010662B" w:rsidRPr="00857661" w:rsidRDefault="0010662B" w:rsidP="0010662B">
      <w:pPr>
        <w:pStyle w:val="Sinespaciado"/>
        <w:spacing w:before="120" w:after="120" w:line="276" w:lineRule="auto"/>
        <w:ind w:firstLine="708"/>
        <w:jc w:val="both"/>
        <w:rPr>
          <w:rFonts w:ascii="Verdana" w:hAnsi="Verdana" w:cs="Arial"/>
          <w:sz w:val="22"/>
          <w:lang w:val="es-ES"/>
        </w:rPr>
      </w:pPr>
      <w:r w:rsidRPr="00857661">
        <w:rPr>
          <w:rFonts w:ascii="Verdana" w:hAnsi="Verdana" w:cs="Arial"/>
          <w:sz w:val="22"/>
          <w:lang w:val="es-ES"/>
        </w:rPr>
        <w:t xml:space="preserve">El régimen de inhabilidades para contratar con el Estado es un conjunto de restricciones establecidas por el constituyente o por el legislador que afectan directamente la capacidad de las personas para establecer relaciones contractuales con el Estado, que pueden resultar de condenas, sanciones o situaciones previamente establecidas por el ordenamiento jurídico. En esta medida, la Corte Constitucional explica que </w:t>
      </w:r>
      <w:r>
        <w:rPr>
          <w:rFonts w:ascii="Verdana" w:hAnsi="Verdana" w:cs="Arial"/>
          <w:sz w:val="22"/>
          <w:lang w:val="es-ES"/>
        </w:rPr>
        <w:t>“</w:t>
      </w:r>
      <w:r w:rsidRPr="00857661">
        <w:rPr>
          <w:rFonts w:ascii="Verdana" w:hAnsi="Verdana" w:cs="Arial"/>
          <w:sz w:val="22"/>
          <w:lang w:val="es-ES"/>
        </w:rPr>
        <w:t>las inhabilidades representan una limitación a la capacidad para contratar con las entidades del Estado y obedecen a la falta de aptitud o a la carencia de una cualidad, calidad o requisito en el sujeto incapacitado quien por esta razón no podrá hacer parte de una relación contractual</w:t>
      </w:r>
      <w:r>
        <w:rPr>
          <w:rFonts w:ascii="Verdana" w:hAnsi="Verdana" w:cs="Arial"/>
          <w:sz w:val="22"/>
          <w:lang w:val="es-ES"/>
        </w:rPr>
        <w:t>”</w:t>
      </w:r>
      <w:r w:rsidRPr="00857661">
        <w:rPr>
          <w:rFonts w:ascii="Verdana" w:hAnsi="Verdana" w:cs="Arial"/>
          <w:sz w:val="22"/>
          <w:vertAlign w:val="superscript"/>
          <w:lang w:val="es-ES"/>
        </w:rPr>
        <w:footnoteReference w:id="1"/>
      </w:r>
      <w:r w:rsidRPr="00857661">
        <w:rPr>
          <w:rFonts w:ascii="Verdana" w:hAnsi="Verdana" w:cs="Arial"/>
          <w:sz w:val="22"/>
          <w:lang w:val="es-ES"/>
        </w:rPr>
        <w:t xml:space="preserve">. </w:t>
      </w:r>
    </w:p>
    <w:p w14:paraId="32E98170" w14:textId="77777777" w:rsidR="0010662B" w:rsidRPr="00857661" w:rsidRDefault="0010662B" w:rsidP="0010662B">
      <w:pPr>
        <w:pStyle w:val="Sinespaciado"/>
        <w:spacing w:before="120" w:line="276" w:lineRule="auto"/>
        <w:ind w:firstLine="709"/>
        <w:jc w:val="both"/>
        <w:rPr>
          <w:rFonts w:ascii="Verdana" w:hAnsi="Verdana" w:cs="Arial"/>
          <w:sz w:val="22"/>
          <w:lang w:val="es-ES"/>
        </w:rPr>
      </w:pPr>
      <w:r w:rsidRPr="00857661">
        <w:rPr>
          <w:rFonts w:ascii="Verdana" w:hAnsi="Verdana" w:cs="Arial"/>
          <w:sz w:val="22"/>
          <w:lang w:val="es-ES"/>
        </w:rPr>
        <w:t xml:space="preserve">Las limitaciones que afectan la capacidad jurídica para contratar desarrollan los principios de la función administrativa consagrados en el artículo 209 de la Constitución Política, con especial énfasis la moralidad administrativa. Así lo ha entendido el Consejo de Estado, quien se ha pronunciado al respecto en los siguientes términos: </w:t>
      </w:r>
    </w:p>
    <w:p w14:paraId="43176AFF" w14:textId="77777777" w:rsidR="0010662B" w:rsidRPr="00857661" w:rsidRDefault="0010662B" w:rsidP="0010662B">
      <w:pPr>
        <w:pStyle w:val="Sinespaciado"/>
        <w:spacing w:line="276" w:lineRule="auto"/>
        <w:jc w:val="both"/>
        <w:rPr>
          <w:rFonts w:ascii="Verdana" w:hAnsi="Verdana" w:cs="Arial"/>
          <w:sz w:val="22"/>
          <w:lang w:val="es-ES"/>
        </w:rPr>
      </w:pPr>
    </w:p>
    <w:p w14:paraId="74709326" w14:textId="77777777" w:rsidR="0010662B" w:rsidRPr="00857661" w:rsidRDefault="0010662B" w:rsidP="0010662B">
      <w:pPr>
        <w:pStyle w:val="NormalWeb"/>
        <w:shd w:val="clear" w:color="auto" w:fill="FFFFFF"/>
        <w:spacing w:before="0" w:beforeAutospacing="0" w:after="120" w:afterAutospacing="0"/>
        <w:ind w:left="709" w:right="709"/>
        <w:jc w:val="both"/>
        <w:rPr>
          <w:rFonts w:ascii="Verdana" w:eastAsiaTheme="minorHAnsi" w:hAnsi="Verdana" w:cs="Arial"/>
          <w:sz w:val="21"/>
          <w:szCs w:val="21"/>
          <w:lang w:val="es-ES" w:eastAsia="en-US"/>
        </w:rPr>
      </w:pPr>
      <w:r w:rsidRPr="00857661">
        <w:rPr>
          <w:rFonts w:ascii="Verdana" w:eastAsiaTheme="minorHAnsi" w:hAnsi="Verdana" w:cs="Arial"/>
          <w:sz w:val="21"/>
          <w:szCs w:val="21"/>
          <w:lang w:val="es-ES" w:eastAsia="en-US"/>
        </w:rPr>
        <w:t>De manera primordial en esta reflexión debe advertirse que la consagración legal de las incompatibilidades e inhabilidades en materia contractual, no es sino desarrollo del Principio de Moralidad que la Constitución Política consagra como uno de los rectores de la Función Administrativa, instituido en el artículo 209 de la Carta, toda vez que este Principio –en su carácter jurídico, ordenador y orientador del derecho– constituye la Finalidad, el Deber Ser, la Razón de Primer Orden en la cual se inspira, justifica y legitima la existencia de las normas que definen y regulan las inhabilidades e incompatibilidades.</w:t>
      </w:r>
    </w:p>
    <w:p w14:paraId="1DCA02D5" w14:textId="77777777" w:rsidR="0010662B" w:rsidRPr="00857661" w:rsidRDefault="0010662B" w:rsidP="0010662B">
      <w:pPr>
        <w:pStyle w:val="NormalWeb"/>
        <w:shd w:val="clear" w:color="auto" w:fill="FFFFFF"/>
        <w:spacing w:before="0" w:beforeAutospacing="0" w:after="0" w:afterAutospacing="0"/>
        <w:ind w:left="709" w:right="709"/>
        <w:jc w:val="both"/>
        <w:rPr>
          <w:rFonts w:ascii="Verdana" w:eastAsiaTheme="minorHAnsi" w:hAnsi="Verdana" w:cs="Arial"/>
          <w:sz w:val="21"/>
          <w:szCs w:val="21"/>
          <w:lang w:val="es-ES" w:eastAsia="en-US"/>
        </w:rPr>
      </w:pPr>
      <w:r w:rsidRPr="00857661">
        <w:rPr>
          <w:rFonts w:ascii="Verdana" w:eastAsiaTheme="minorHAnsi" w:hAnsi="Verdana" w:cs="Arial"/>
          <w:sz w:val="21"/>
          <w:szCs w:val="21"/>
          <w:lang w:val="es-ES" w:eastAsia="en-US"/>
        </w:rPr>
        <w:t xml:space="preserve">Adicionalmente, toda vez que la Jurisprudencia Constitucional se ha referido a la protección del Interés General como causa que legitima la estructuración legal de las incompatibilidades e inhabilidades, se puede precisar que la regulación de sus causales para contratar con el Estado debe orientarse por el Principio de Moralidad que obviamente –como es propio de todos los Principios de la Función Administrativa– se despliega ordenado con base en la protección prevalente del interés general y, por ello, se entiende que la potestad de configuración </w:t>
      </w:r>
      <w:r w:rsidRPr="00857661">
        <w:rPr>
          <w:rFonts w:ascii="Verdana" w:eastAsiaTheme="minorHAnsi" w:hAnsi="Verdana" w:cs="Arial"/>
          <w:sz w:val="21"/>
          <w:szCs w:val="21"/>
          <w:lang w:val="es-ES" w:eastAsia="en-US"/>
        </w:rPr>
        <w:lastRenderedPageBreak/>
        <w:t>legislativa en materia de incompatibilidades e inhabilidades para contratar con el Estado puede concretarse a través de una regla de carácter excluyente para determinados potenciales contratistas, la cual se impone entonces por razón de ese fin de interés general como regla legal prevalente, esto es que puede ser impuesta sobre el derecho individual a contratar con el Estado</w:t>
      </w:r>
      <w:r w:rsidRPr="00857661">
        <w:rPr>
          <w:rStyle w:val="Refdenotaalpie"/>
          <w:rFonts w:ascii="Verdana" w:eastAsiaTheme="minorHAnsi" w:hAnsi="Verdana" w:cs="Arial"/>
          <w:sz w:val="21"/>
          <w:szCs w:val="21"/>
          <w:lang w:val="es-ES" w:eastAsia="en-US"/>
        </w:rPr>
        <w:footnoteReference w:id="2"/>
      </w:r>
      <w:r w:rsidRPr="00857661">
        <w:rPr>
          <w:rFonts w:ascii="Verdana" w:eastAsiaTheme="minorHAnsi" w:hAnsi="Verdana" w:cs="Arial"/>
          <w:sz w:val="21"/>
          <w:szCs w:val="21"/>
          <w:lang w:val="es-ES" w:eastAsia="en-US"/>
        </w:rPr>
        <w:t xml:space="preserve">. </w:t>
      </w:r>
    </w:p>
    <w:p w14:paraId="69DB59C0" w14:textId="77777777" w:rsidR="0010662B" w:rsidRPr="00857661" w:rsidRDefault="0010662B" w:rsidP="0010662B">
      <w:pPr>
        <w:pStyle w:val="Sinespaciado"/>
        <w:spacing w:line="276" w:lineRule="auto"/>
        <w:jc w:val="both"/>
        <w:rPr>
          <w:rFonts w:ascii="Verdana" w:hAnsi="Verdana" w:cs="Arial"/>
          <w:sz w:val="22"/>
          <w:lang w:val="es-ES"/>
        </w:rPr>
      </w:pPr>
    </w:p>
    <w:p w14:paraId="1F0F19AE" w14:textId="77777777" w:rsidR="0010662B" w:rsidRPr="00857661" w:rsidRDefault="0010662B" w:rsidP="0010662B">
      <w:pPr>
        <w:pStyle w:val="Sinespaciado"/>
        <w:spacing w:line="276" w:lineRule="auto"/>
        <w:ind w:firstLine="709"/>
        <w:jc w:val="both"/>
        <w:rPr>
          <w:rFonts w:ascii="Verdana" w:hAnsi="Verdana" w:cs="Arial"/>
          <w:sz w:val="22"/>
          <w:lang w:val="es-ES"/>
        </w:rPr>
      </w:pPr>
      <w:r w:rsidRPr="00857661">
        <w:rPr>
          <w:rFonts w:ascii="Verdana" w:hAnsi="Verdana" w:cs="Arial"/>
          <w:sz w:val="22"/>
          <w:lang w:val="es-ES"/>
        </w:rPr>
        <w:t xml:space="preserve">Se puede afirmar que las inhabilidades son medios que garantizan la transparencia y eficiencia en la actividad contractual del Estado, imponiendo restricciones en la personalidad jurídica, la igualdad, la libre empresa y, particularmente, en el derecho a participar en procesos de selección y celebrar contratos con el Estado. La Corte Constitucional ha reconocido que estas limitaciones deben estar justificadas en la salvaguarda del interés general y que su lectura e interpretación es taxativa y restrictiva: </w:t>
      </w:r>
    </w:p>
    <w:p w14:paraId="2158F683" w14:textId="77777777" w:rsidR="0010662B" w:rsidRPr="00857661" w:rsidRDefault="0010662B" w:rsidP="0010662B">
      <w:pPr>
        <w:spacing w:after="0"/>
        <w:rPr>
          <w:rFonts w:ascii="Verdana" w:eastAsia="Times New Roman" w:hAnsi="Verdana" w:cs="Arial"/>
          <w:shd w:val="clear" w:color="auto" w:fill="FFFFFF"/>
          <w:lang w:val="es-ES" w:eastAsia="es-ES_tradnl"/>
        </w:rPr>
      </w:pPr>
    </w:p>
    <w:p w14:paraId="6CF5D24F" w14:textId="77777777" w:rsidR="0010662B" w:rsidRPr="00857661" w:rsidRDefault="0010662B" w:rsidP="0010662B">
      <w:pPr>
        <w:spacing w:after="120"/>
        <w:ind w:left="709" w:right="709"/>
        <w:jc w:val="both"/>
        <w:rPr>
          <w:rFonts w:ascii="Verdana" w:hAnsi="Verdana" w:cs="Arial"/>
          <w:sz w:val="21"/>
          <w:szCs w:val="21"/>
          <w:lang w:val="es-ES"/>
        </w:rPr>
      </w:pPr>
      <w:r w:rsidRPr="00857661">
        <w:rPr>
          <w:rFonts w:ascii="Verdana" w:hAnsi="Verdana" w:cs="Arial"/>
          <w:sz w:val="21"/>
          <w:szCs w:val="21"/>
          <w:lang w:val="es-ES"/>
        </w:rPr>
        <w:t>Todo régimen de inhabilidades e incompatibilidades de suyo excluye a ciertas categorías de personas del proceso de contratación, generando incapacidades especiales, impedimentos y prohibiciones de variada naturaleza, que en cierta medida afectan el derecho a la personalidad jurídica traducido, a su turno, en el principio general de capacidad legal [CC arts. 1502 y 1503; ley 80 de 1993, art. 6]. De ordinario, como ocurre en la contratación estatal, la inobservancia del régimen de inhabilidades e incompatibilidades, se erige en causal de nulidad del contrato celebrado en esas condiciones (ley 80 de 1993, art. 44).</w:t>
      </w:r>
    </w:p>
    <w:p w14:paraId="2D920EEC" w14:textId="77777777" w:rsidR="0010662B" w:rsidRPr="00857661" w:rsidRDefault="0010662B" w:rsidP="0010662B">
      <w:pPr>
        <w:ind w:left="709" w:right="709"/>
        <w:jc w:val="both"/>
        <w:rPr>
          <w:rFonts w:ascii="Verdana" w:hAnsi="Verdana" w:cs="Arial"/>
          <w:sz w:val="21"/>
          <w:szCs w:val="21"/>
          <w:lang w:val="es-ES"/>
        </w:rPr>
      </w:pPr>
      <w:r w:rsidRPr="00857661">
        <w:rPr>
          <w:rFonts w:ascii="Verdana" w:hAnsi="Verdana" w:cs="Arial"/>
          <w:sz w:val="21"/>
          <w:szCs w:val="21"/>
          <w:lang w:val="es-ES"/>
        </w:rPr>
        <w:t>El carácter reconocidamente taxativo y restrictivo de este régimen y el de las correlativas nulidades, obedece a la necesidad de salvaguardar el interés general ínsito en la contratación pública de manera que implique el menor sacrificio posible al derecho de igualdad y de reconocimiento de la personalidad jurídica de quienes aspiran a contratar con el Estado. Es evidente que si la restricción legal [incompatibilidad o inhabilidad] no se sustenta en ninguna necesidad de protección del interés general o ésta es irrazonable o desproporcionada, en esa misma medida pierde justificación constitucional como medio legítimo para restringir, en ese caso, el derecho a la igualdad y el reconocimiento de la personalidad jurídica de las personas que resultan rechazadas del ámbito contractual del Estado</w:t>
      </w:r>
      <w:r w:rsidRPr="00857661">
        <w:rPr>
          <w:rStyle w:val="Refdenotaalpie"/>
          <w:rFonts w:ascii="Verdana" w:hAnsi="Verdana" w:cs="Arial"/>
          <w:sz w:val="21"/>
          <w:szCs w:val="21"/>
          <w:lang w:val="es-ES"/>
        </w:rPr>
        <w:footnoteReference w:id="3"/>
      </w:r>
      <w:r w:rsidRPr="00857661">
        <w:rPr>
          <w:rFonts w:ascii="Verdana" w:hAnsi="Verdana" w:cs="Arial"/>
          <w:sz w:val="21"/>
          <w:szCs w:val="21"/>
          <w:lang w:val="es-ES"/>
        </w:rPr>
        <w:t>.</w:t>
      </w:r>
    </w:p>
    <w:p w14:paraId="57532EB4" w14:textId="77777777" w:rsidR="0010662B" w:rsidRPr="00857661" w:rsidRDefault="0010662B" w:rsidP="0010662B">
      <w:pPr>
        <w:spacing w:line="276" w:lineRule="auto"/>
        <w:ind w:left="709" w:right="709"/>
        <w:rPr>
          <w:rFonts w:ascii="Verdana" w:eastAsia="Times New Roman" w:hAnsi="Verdana" w:cs="Arial"/>
          <w:shd w:val="clear" w:color="auto" w:fill="FFFFFF"/>
          <w:lang w:val="es-ES" w:eastAsia="es-ES_tradnl"/>
        </w:rPr>
      </w:pPr>
    </w:p>
    <w:p w14:paraId="2D33875C" w14:textId="77777777" w:rsidR="0010662B" w:rsidRPr="00857661" w:rsidRDefault="0010662B" w:rsidP="0010662B">
      <w:pPr>
        <w:spacing w:after="0" w:line="276" w:lineRule="auto"/>
        <w:ind w:firstLine="709"/>
        <w:jc w:val="both"/>
        <w:rPr>
          <w:rFonts w:ascii="Verdana" w:hAnsi="Verdana" w:cs="Arial"/>
          <w:lang w:val="es-ES"/>
        </w:rPr>
      </w:pPr>
      <w:r w:rsidRPr="00857661">
        <w:rPr>
          <w:rFonts w:ascii="Verdana" w:hAnsi="Verdana" w:cs="Arial"/>
          <w:lang w:val="es-ES"/>
        </w:rPr>
        <w:t>Además, la Corte Constitucional ha explicado que el legislador tiene la competencia para determinar qué hechos o situaciones generan inhabilidad para contratar, pues este régimen es un aspecto propio del Estatuto General de Contratación de la Administración Pública, cuya expedición compete al Congreso de la República de conformidad con el artículo 150 de la Constitución Política, y que en esta materia rige el principio de legalidad:</w:t>
      </w:r>
    </w:p>
    <w:p w14:paraId="2CDC9157" w14:textId="77777777" w:rsidR="0010662B" w:rsidRPr="00857661" w:rsidRDefault="0010662B" w:rsidP="0010662B">
      <w:pPr>
        <w:pStyle w:val="Sinespaciado"/>
        <w:tabs>
          <w:tab w:val="left" w:pos="1532"/>
        </w:tabs>
        <w:spacing w:line="276" w:lineRule="auto"/>
        <w:jc w:val="both"/>
        <w:rPr>
          <w:rFonts w:ascii="Verdana" w:hAnsi="Verdana" w:cs="Arial"/>
          <w:sz w:val="22"/>
          <w:lang w:val="es-ES"/>
        </w:rPr>
      </w:pPr>
    </w:p>
    <w:p w14:paraId="24C083EF" w14:textId="77777777" w:rsidR="0010662B" w:rsidRPr="00857661" w:rsidRDefault="0010662B" w:rsidP="0010662B">
      <w:pPr>
        <w:spacing w:after="120"/>
        <w:ind w:left="709" w:right="709"/>
        <w:jc w:val="both"/>
        <w:rPr>
          <w:rFonts w:ascii="Verdana" w:hAnsi="Verdana" w:cs="Arial"/>
          <w:sz w:val="21"/>
          <w:szCs w:val="21"/>
          <w:lang w:val="es-ES"/>
        </w:rPr>
      </w:pPr>
      <w:r w:rsidRPr="00857661">
        <w:rPr>
          <w:rFonts w:ascii="Verdana" w:hAnsi="Verdana" w:cs="Arial"/>
          <w:sz w:val="21"/>
          <w:szCs w:val="21"/>
          <w:lang w:val="es-ES"/>
        </w:rPr>
        <w:t xml:space="preserve">Las limitaciones y restricciones que se contienen en el citado estatuto, predicables de la relación Estado-particulares y que afectan los diversos momentos de formación, celebración y ejecución de los contratos estatales, se refieren a una faceta de la actividad del Estado y en la que se contempla, en los términos de la ley, una especial modalidad de participación o colaboración de los particulares en su papel de contratistas. La ley demandada recae sobre una materia que pertenece al dominio de la esfera estatal y pública, dentro de la cual no rige el principio pro libertate, sino el de legalidad, el que ordena que la función pública debe someterse estrictamente a lo que disponga la Constitución y la ley (CP art. 6). </w:t>
      </w:r>
    </w:p>
    <w:p w14:paraId="08922CB0" w14:textId="77777777" w:rsidR="0010662B" w:rsidRPr="00857661" w:rsidRDefault="0010662B" w:rsidP="0010662B">
      <w:pPr>
        <w:spacing w:after="120"/>
        <w:ind w:left="709" w:right="709"/>
        <w:jc w:val="both"/>
        <w:rPr>
          <w:rFonts w:ascii="Verdana" w:hAnsi="Verdana" w:cs="Arial"/>
          <w:sz w:val="21"/>
          <w:szCs w:val="21"/>
          <w:lang w:val="es-ES"/>
        </w:rPr>
      </w:pPr>
      <w:r w:rsidRPr="00857661">
        <w:rPr>
          <w:rFonts w:ascii="Verdana" w:hAnsi="Verdana" w:cs="Arial"/>
          <w:sz w:val="21"/>
          <w:szCs w:val="21"/>
          <w:lang w:val="es-ES"/>
        </w:rPr>
        <w:t xml:space="preserve">[…] </w:t>
      </w:r>
    </w:p>
    <w:p w14:paraId="6AC90CA3" w14:textId="77777777" w:rsidR="0010662B" w:rsidRPr="00857661" w:rsidRDefault="0010662B" w:rsidP="0010662B">
      <w:pPr>
        <w:spacing w:after="0"/>
        <w:ind w:left="709" w:right="709"/>
        <w:jc w:val="both"/>
        <w:rPr>
          <w:rFonts w:ascii="Verdana" w:hAnsi="Verdana" w:cs="Arial"/>
          <w:sz w:val="21"/>
          <w:szCs w:val="21"/>
          <w:lang w:val="es-ES"/>
        </w:rPr>
      </w:pPr>
      <w:r w:rsidRPr="00857661">
        <w:rPr>
          <w:rFonts w:ascii="Verdana" w:hAnsi="Verdana" w:cs="Arial"/>
          <w:sz w:val="21"/>
          <w:szCs w:val="21"/>
          <w:lang w:val="es-ES"/>
        </w:rPr>
        <w:t>Se comprende con facilidad que el régimen de inhabilidades e incompatibilidades, corresponde a una materia de normal y obligada inclusión en un estatuto contractual. El legislador, a quien se ha confiado expedir el indicado estatuto, tiene, pues, competencia para establecerlo (CP art. 150)</w:t>
      </w:r>
      <w:r w:rsidRPr="00857661">
        <w:rPr>
          <w:rStyle w:val="Refdenotaalpie"/>
          <w:rFonts w:ascii="Verdana" w:hAnsi="Verdana" w:cs="Arial"/>
          <w:sz w:val="21"/>
          <w:szCs w:val="21"/>
          <w:lang w:val="es-ES"/>
        </w:rPr>
        <w:footnoteReference w:id="4"/>
      </w:r>
      <w:r w:rsidRPr="00857661">
        <w:rPr>
          <w:rFonts w:ascii="Verdana" w:hAnsi="Verdana" w:cs="Arial"/>
          <w:sz w:val="21"/>
          <w:szCs w:val="21"/>
          <w:lang w:val="es-ES"/>
        </w:rPr>
        <w:t>.</w:t>
      </w:r>
    </w:p>
    <w:p w14:paraId="3DF6CBF7" w14:textId="77777777" w:rsidR="0010662B" w:rsidRPr="00857661" w:rsidRDefault="0010662B" w:rsidP="0010662B">
      <w:pPr>
        <w:spacing w:after="0"/>
        <w:ind w:left="709" w:right="709"/>
        <w:rPr>
          <w:rFonts w:ascii="Verdana" w:eastAsia="Times New Roman" w:hAnsi="Verdana" w:cs="Arial"/>
          <w:shd w:val="clear" w:color="auto" w:fill="FFFFFF"/>
          <w:lang w:val="es-ES" w:eastAsia="es-ES_tradnl"/>
        </w:rPr>
      </w:pPr>
    </w:p>
    <w:p w14:paraId="3FFB9B39" w14:textId="77777777" w:rsidR="0010662B" w:rsidRPr="00857661" w:rsidRDefault="0010662B" w:rsidP="0010662B">
      <w:pPr>
        <w:spacing w:after="120" w:line="276" w:lineRule="auto"/>
        <w:ind w:firstLine="709"/>
        <w:jc w:val="both"/>
        <w:rPr>
          <w:rFonts w:ascii="Verdana" w:hAnsi="Verdana" w:cs="Arial"/>
          <w:lang w:val="es-ES"/>
        </w:rPr>
      </w:pPr>
      <w:r w:rsidRPr="00857661">
        <w:rPr>
          <w:rFonts w:ascii="Verdana" w:hAnsi="Verdana" w:cs="Arial"/>
          <w:lang w:val="es-ES"/>
        </w:rPr>
        <w:t xml:space="preserve">Conviene también distinguir las fuentes de las inhabilidades, las cuales han sido clasificadas en dos (2) grupos: i) inhabilidades-sanción </w:t>
      </w:r>
      <w:r>
        <w:rPr>
          <w:rFonts w:ascii="Verdana" w:hAnsi="Verdana" w:cs="Arial"/>
          <w:lang w:val="es-ES"/>
        </w:rPr>
        <w:t>e</w:t>
      </w:r>
      <w:r w:rsidRPr="00857661">
        <w:rPr>
          <w:rFonts w:ascii="Verdana" w:hAnsi="Verdana" w:cs="Arial"/>
          <w:lang w:val="es-ES"/>
        </w:rPr>
        <w:t xml:space="preserve"> ii) inhabilidades-requisito. En el primer grupo se encuentran las inhabilidades que surgen como consecuencia de un proceso sancionatorio, en los ámbitos penal, disciplinario, contravencional o de pérdida de investidura. En el segundo grupo están aquellas que no devienen de un proceso sancionatorio, sino de condiciones propias de la persona y garantizan la moralidad, la imparcialidad, la eficacia y la transparencia</w:t>
      </w:r>
      <w:r w:rsidRPr="00857661">
        <w:rPr>
          <w:rStyle w:val="Refdenotaalpie"/>
          <w:rFonts w:ascii="Verdana" w:hAnsi="Verdana" w:cs="Arial"/>
          <w:lang w:val="es-ES"/>
        </w:rPr>
        <w:footnoteReference w:id="5"/>
      </w:r>
      <w:r w:rsidRPr="00857661">
        <w:rPr>
          <w:rFonts w:ascii="Verdana" w:hAnsi="Verdana" w:cs="Arial"/>
          <w:lang w:val="es-ES"/>
        </w:rPr>
        <w:t xml:space="preserve">. </w:t>
      </w:r>
    </w:p>
    <w:p w14:paraId="327EA10A" w14:textId="77777777" w:rsidR="0010662B" w:rsidRPr="00857661" w:rsidRDefault="0010662B" w:rsidP="0010662B">
      <w:pPr>
        <w:spacing w:before="120" w:after="120" w:line="276" w:lineRule="auto"/>
        <w:ind w:firstLine="708"/>
        <w:jc w:val="both"/>
        <w:rPr>
          <w:rFonts w:ascii="Verdana" w:hAnsi="Verdana" w:cs="Arial"/>
          <w:lang w:val="es-ES"/>
        </w:rPr>
      </w:pPr>
      <w:r w:rsidRPr="00857661">
        <w:rPr>
          <w:rFonts w:ascii="Verdana" w:hAnsi="Verdana" w:cs="Arial"/>
          <w:lang w:val="es-ES"/>
        </w:rPr>
        <w:lastRenderedPageBreak/>
        <w:t>A manera de ejemplo, en materia contractual, los literales c), d) y j) del numeral 1 del artículo 8 de la Ley 80 de 1993</w:t>
      </w:r>
      <w:r w:rsidRPr="00857661">
        <w:rPr>
          <w:rFonts w:ascii="Verdana" w:hAnsi="Verdana" w:cs="Arial"/>
          <w:vertAlign w:val="superscript"/>
          <w:lang w:val="es-ES"/>
        </w:rPr>
        <w:footnoteReference w:id="6"/>
      </w:r>
      <w:r w:rsidRPr="00857661">
        <w:rPr>
          <w:rFonts w:ascii="Verdana" w:hAnsi="Verdana" w:cs="Arial"/>
          <w:lang w:val="es-ES"/>
        </w:rPr>
        <w:t xml:space="preserve"> establecen inhabilidades-sanción, porque la prohibición para contratar con el Estado en esos eventos es una consecuencia de una declaratoria de responsabilidad que surge luego de un proceso sancionatorio –administrativo, disciplinario o penal–; mientras que las inhabilidades de los literales f), g) y h) del literal 1 de la norma citada establecen inhabilidades–requisito, pues no se configuran por la comisión previa de una falta o un delito que dio lugar a una declaratoria por parte de la Administración o el juez, sino de aspectos propios de la persona, derivados, por ejemplo, del parentesco o la afinidad o de la condición de servidor público. </w:t>
      </w:r>
    </w:p>
    <w:p w14:paraId="3EF4D37A" w14:textId="77777777" w:rsidR="0010662B" w:rsidRDefault="0010662B" w:rsidP="0010662B">
      <w:pPr>
        <w:spacing w:before="120" w:line="276" w:lineRule="auto"/>
        <w:ind w:firstLine="709"/>
        <w:jc w:val="both"/>
        <w:rPr>
          <w:rFonts w:ascii="Verdana" w:hAnsi="Verdana" w:cs="Arial"/>
          <w:lang w:val="es-ES"/>
        </w:rPr>
      </w:pPr>
      <w:bookmarkStart w:id="0" w:name="_Hlk40976328"/>
      <w:r w:rsidRPr="00857661">
        <w:rPr>
          <w:rFonts w:ascii="Verdana" w:hAnsi="Verdana" w:cs="Arial"/>
          <w:lang w:val="es-ES"/>
        </w:rPr>
        <w:t xml:space="preserve">En ambos eventos, la inhabilidad tiene como fuente una situación o un hecho propio del proponente –una conducta o una condición– ajena a la oferta. La inhabilidad surge, entre otros, por su grado de parentesco o afinidad, por su condición de servidor público o por una declaratoria de responsabilidad penal, disciplinaria o sancionatoria contractual sobre él. </w:t>
      </w:r>
    </w:p>
    <w:p w14:paraId="5161B6CD" w14:textId="77777777" w:rsidR="0010662B" w:rsidRPr="0028089C" w:rsidRDefault="0010662B" w:rsidP="0010662B">
      <w:pPr>
        <w:spacing w:line="276" w:lineRule="auto"/>
        <w:ind w:firstLine="708"/>
        <w:jc w:val="both"/>
        <w:rPr>
          <w:rFonts w:ascii="Verdana" w:eastAsia="Calibri" w:hAnsi="Verdana" w:cs="Arial"/>
          <w:lang w:val="es-ES"/>
        </w:rPr>
      </w:pPr>
      <w:r>
        <w:rPr>
          <w:rFonts w:ascii="Verdana" w:eastAsia="Calibri" w:hAnsi="Verdana" w:cs="Arial"/>
          <w:lang w:val="es-ES"/>
        </w:rPr>
        <w:lastRenderedPageBreak/>
        <w:t>De otro lado, e</w:t>
      </w:r>
      <w:r w:rsidRPr="0028089C">
        <w:rPr>
          <w:rFonts w:ascii="Verdana" w:eastAsia="Calibri" w:hAnsi="Verdana" w:cs="Arial"/>
          <w:lang w:val="es-ES"/>
        </w:rPr>
        <w:t>l régimen de inhabilidades e incompatibilidades en la contratación pública responde a la tendencia, vigente desde hace varias décadas en nuestro país, pero que se ha reforzado en los últimos años, de asegurar que la actividad de provisión de los bienes y servicios por parte de las entidades estatales se efectúe cumpliendo con los principios de la función administrativa y de la gestión fiscal, especialmente con probidad y transparencia. Si bien no todas las causales de inhabilidad y de incompatibilidad son consecuencia de una medida de reproche ni de una sanción previa, como ya se explicó, es indiscutible que en los años más recientes los lamentables hechos de corrupción han generado, como respuesta del legislador, un incremento de las restricciones a la capacidad contractual, dirigidas a prevenir este tipo de situaciones o a sancionar tales conductas.</w:t>
      </w:r>
    </w:p>
    <w:p w14:paraId="2CAEBB41" w14:textId="77777777" w:rsidR="0010662B" w:rsidRPr="0028089C" w:rsidRDefault="0010662B" w:rsidP="0010662B">
      <w:pPr>
        <w:spacing w:before="120" w:after="120" w:line="276" w:lineRule="auto"/>
        <w:ind w:firstLine="709"/>
        <w:jc w:val="both"/>
        <w:rPr>
          <w:rFonts w:ascii="Verdana" w:eastAsia="Calibri" w:hAnsi="Verdana" w:cs="Arial"/>
          <w:lang w:val="es-ES"/>
        </w:rPr>
      </w:pPr>
      <w:r w:rsidRPr="0028089C">
        <w:rPr>
          <w:rFonts w:ascii="Verdana" w:eastAsia="Calibri" w:hAnsi="Verdana" w:cs="Arial"/>
          <w:lang w:val="es-ES"/>
        </w:rPr>
        <w:t xml:space="preserve">Ahora bien, las inhabilidades e incompatibilidades al ser restricciones o límites especiales a la capacidad para presentar ofertas y celebrar contratos estatales, solo pueden tipificarse en la ley –o sea, deben satisfacer el principio de legalidad– y su interpretación debe ser </w:t>
      </w:r>
      <w:r w:rsidRPr="0028089C">
        <w:rPr>
          <w:rFonts w:ascii="Verdana" w:eastAsia="Calibri" w:hAnsi="Verdana" w:cs="Arial"/>
          <w:i/>
          <w:iCs/>
          <w:lang w:val="es-ES"/>
        </w:rPr>
        <w:t>restrictiva</w:t>
      </w:r>
      <w:r w:rsidRPr="0028089C">
        <w:rPr>
          <w:rFonts w:ascii="Verdana" w:eastAsia="Calibri" w:hAnsi="Verdana" w:cs="Arial"/>
          <w:vertAlign w:val="superscript"/>
          <w:lang w:val="es-ES"/>
        </w:rPr>
        <w:footnoteReference w:id="7"/>
      </w:r>
      <w:r w:rsidRPr="0028089C">
        <w:rPr>
          <w:rFonts w:ascii="Verdana" w:eastAsia="Calibri" w:hAnsi="Verdana" w:cs="Arial"/>
          <w:lang w:val="es-ES"/>
        </w:rPr>
        <w:t xml:space="preserve">, pues si se admitiera una interpretación amplia, extensiva o finalista de las mismas, tales enunciados normativos contemplarían múltiples supuestos indeterminados, según el parecer o el sentido común de los operadores jurídicos, poniendo en riesgo principios como la igualdad, el debido proceso, la libre concurrencia y el ejercicio de la profesión u oficio. Tal ha sido la postura de la jurisprudencia, tanto de la Corte Constitucional como de la Sección Tercera del Consejo de Estado. </w:t>
      </w:r>
    </w:p>
    <w:p w14:paraId="46526BDA" w14:textId="77777777" w:rsidR="0010662B" w:rsidRPr="0028089C" w:rsidRDefault="0010662B" w:rsidP="0010662B">
      <w:pPr>
        <w:spacing w:after="0" w:line="276" w:lineRule="auto"/>
        <w:ind w:firstLine="709"/>
        <w:jc w:val="both"/>
        <w:rPr>
          <w:rFonts w:ascii="Verdana" w:eastAsia="Calibri" w:hAnsi="Verdana" w:cs="Arial"/>
          <w:lang w:val="es-ES"/>
        </w:rPr>
      </w:pPr>
      <w:r w:rsidRPr="0028089C">
        <w:rPr>
          <w:rFonts w:ascii="Verdana" w:eastAsia="Calibri" w:hAnsi="Verdana" w:cs="Arial"/>
          <w:lang w:val="es-ES"/>
        </w:rPr>
        <w:t xml:space="preserve">En efecto, el máximo tribunal constitucional ha indicado que, al tratar de precisar el sentido de este tipo de normas, </w:t>
      </w:r>
      <w:r>
        <w:rPr>
          <w:rFonts w:ascii="Verdana" w:eastAsia="Calibri" w:hAnsi="Verdana" w:cs="Arial"/>
          <w:lang w:val="es-ES"/>
        </w:rPr>
        <w:t>“</w:t>
      </w:r>
      <w:r w:rsidRPr="0028089C">
        <w:rPr>
          <w:rFonts w:ascii="Verdana" w:eastAsia="Calibri" w:hAnsi="Verdana" w:cs="Arial"/>
          <w:lang w:val="es-ES"/>
        </w:rPr>
        <w:t>[…] el intérprete de las disposiciones legislativas en la materia ha de ceñirse en la mayor medida posible al tenor literal y gramatical de los enunciados normativos, sin que pueda acudir prima facie a criterios interpretativos tales como la analogía, la interpretación extensiva para ampliar el alcance de las causales legalmente fijadas</w:t>
      </w:r>
      <w:r>
        <w:rPr>
          <w:rFonts w:ascii="Verdana" w:eastAsia="Calibri" w:hAnsi="Verdana" w:cs="Arial"/>
          <w:lang w:val="es-ES"/>
        </w:rPr>
        <w:t>”</w:t>
      </w:r>
      <w:r w:rsidRPr="0028089C">
        <w:rPr>
          <w:rFonts w:ascii="Verdana" w:eastAsia="Calibri" w:hAnsi="Verdana" w:cs="Arial"/>
          <w:vertAlign w:val="superscript"/>
          <w:lang w:val="es-ES"/>
        </w:rPr>
        <w:footnoteReference w:id="8"/>
      </w:r>
      <w:r w:rsidRPr="0028089C">
        <w:rPr>
          <w:rFonts w:ascii="Verdana" w:eastAsia="Calibri" w:hAnsi="Verdana" w:cs="Arial"/>
          <w:lang w:val="es-ES"/>
        </w:rPr>
        <w:t xml:space="preserve">. Por su parte, el Consejo de Estado ha acogido también este criterio, considerando –como expresa la Sala de Consulta y Servicio Civil–, que </w:t>
      </w:r>
      <w:r>
        <w:rPr>
          <w:rFonts w:ascii="Verdana" w:eastAsia="Calibri" w:hAnsi="Verdana" w:cs="Arial"/>
          <w:lang w:val="es-ES"/>
        </w:rPr>
        <w:t>“</w:t>
      </w:r>
      <w:r w:rsidRPr="0028089C">
        <w:rPr>
          <w:rFonts w:ascii="Verdana" w:eastAsia="Calibri" w:hAnsi="Verdana" w:cs="Arial"/>
          <w:lang w:val="es-ES"/>
        </w:rPr>
        <w:t xml:space="preserve">La interpretación restrictiva de las normas que establecen inhabilidades constituye una aplicación del principio del Estado de Derecho previsto en el artículo 6º de la Constitución, según el cual “Los particulares sólo son responsables ante las autoridades por infringir la Constitución y las leyes” lo que se traduce en que pueden hacer todo </w:t>
      </w:r>
      <w:r w:rsidRPr="0028089C">
        <w:rPr>
          <w:rFonts w:ascii="Verdana" w:eastAsia="Calibri" w:hAnsi="Verdana" w:cs="Arial"/>
          <w:lang w:val="es-ES"/>
        </w:rPr>
        <w:lastRenderedPageBreak/>
        <w:t>aquello que no les esté expresamente prohibido</w:t>
      </w:r>
      <w:r>
        <w:rPr>
          <w:rFonts w:ascii="Verdana" w:eastAsia="Calibri" w:hAnsi="Verdana" w:cs="Arial"/>
          <w:lang w:val="es-ES"/>
        </w:rPr>
        <w:t>”</w:t>
      </w:r>
      <w:r w:rsidRPr="0028089C">
        <w:rPr>
          <w:rFonts w:ascii="Verdana" w:eastAsia="Calibri" w:hAnsi="Verdana" w:cs="Arial"/>
          <w:vertAlign w:val="superscript"/>
          <w:lang w:val="es-ES"/>
        </w:rPr>
        <w:footnoteReference w:id="9"/>
      </w:r>
      <w:r w:rsidRPr="0028089C">
        <w:rPr>
          <w:rFonts w:ascii="Verdana" w:eastAsia="Calibri" w:hAnsi="Verdana" w:cs="Arial"/>
          <w:lang w:val="es-ES"/>
        </w:rPr>
        <w:t>. En tal sentido, la Sección Tercera ha señalado que:</w:t>
      </w:r>
    </w:p>
    <w:p w14:paraId="63006FB9" w14:textId="77777777" w:rsidR="0010662B" w:rsidRPr="0028089C" w:rsidRDefault="0010662B" w:rsidP="0010662B">
      <w:pPr>
        <w:spacing w:after="0" w:line="276" w:lineRule="auto"/>
        <w:ind w:firstLine="709"/>
        <w:jc w:val="both"/>
        <w:rPr>
          <w:rFonts w:ascii="Verdana" w:eastAsia="Calibri" w:hAnsi="Verdana" w:cs="Arial"/>
          <w:lang w:val="es-ES"/>
        </w:rPr>
      </w:pPr>
    </w:p>
    <w:p w14:paraId="22CAEAC5" w14:textId="77777777" w:rsidR="0010662B" w:rsidRPr="0028089C" w:rsidRDefault="0010662B" w:rsidP="0010662B">
      <w:pPr>
        <w:ind w:left="709" w:right="709"/>
        <w:jc w:val="both"/>
        <w:rPr>
          <w:rFonts w:ascii="Verdana" w:eastAsia="Calibri" w:hAnsi="Verdana" w:cs="Arial"/>
          <w:lang w:val="es-ES"/>
        </w:rPr>
      </w:pPr>
      <w:r w:rsidRPr="0028089C">
        <w:rPr>
          <w:rFonts w:ascii="Verdana" w:hAnsi="Verdana" w:cs="Arial"/>
          <w:sz w:val="21"/>
          <w:szCs w:val="21"/>
          <w:lang w:val="es-ES"/>
        </w:rPr>
        <w:t>[…] de conformidad con la jurisprudencia uniforme y reiterada de esta Corporación, la aplicación de las normas que contemplan inhabilidades e incompatibilidades, como en general de todas aquellas que comportan prohibiciones o limitaciones, deben responder a una interpretación restrictiva que no permite su extensión, por vía de la figura de la analogía, a supuestos no contemplados por el ordenamiento</w:t>
      </w:r>
      <w:r w:rsidRPr="0028089C">
        <w:rPr>
          <w:rFonts w:ascii="Verdana" w:hAnsi="Verdana" w:cs="Arial"/>
          <w:sz w:val="21"/>
          <w:szCs w:val="21"/>
          <w:vertAlign w:val="superscript"/>
          <w:lang w:val="es-ES"/>
        </w:rPr>
        <w:footnoteReference w:id="10"/>
      </w:r>
      <w:r w:rsidRPr="0028089C">
        <w:rPr>
          <w:rFonts w:ascii="Verdana" w:hAnsi="Verdana" w:cs="Arial"/>
          <w:sz w:val="21"/>
          <w:szCs w:val="21"/>
          <w:lang w:val="es-ES"/>
        </w:rPr>
        <w:t>.</w:t>
      </w:r>
    </w:p>
    <w:p w14:paraId="5D9D43E2" w14:textId="77777777" w:rsidR="0010662B" w:rsidRPr="0028089C" w:rsidRDefault="0010662B" w:rsidP="0010662B">
      <w:pPr>
        <w:ind w:firstLine="709"/>
        <w:jc w:val="both"/>
        <w:rPr>
          <w:rFonts w:ascii="Verdana" w:eastAsia="Calibri" w:hAnsi="Verdana" w:cs="Arial"/>
          <w:lang w:val="es-ES"/>
        </w:rPr>
      </w:pPr>
      <w:r w:rsidRPr="0028089C">
        <w:rPr>
          <w:rFonts w:ascii="Verdana" w:eastAsia="Calibri" w:hAnsi="Verdana" w:cs="Arial"/>
          <w:lang w:val="es-ES"/>
        </w:rPr>
        <w:t>También ha dicho que:</w:t>
      </w:r>
    </w:p>
    <w:p w14:paraId="75421768" w14:textId="77777777" w:rsidR="0010662B" w:rsidRPr="0028089C" w:rsidRDefault="0010662B" w:rsidP="0010662B">
      <w:pPr>
        <w:spacing w:after="0"/>
        <w:ind w:left="709" w:right="709"/>
        <w:jc w:val="both"/>
        <w:rPr>
          <w:rFonts w:ascii="Verdana" w:hAnsi="Verdana" w:cs="Arial"/>
          <w:sz w:val="21"/>
          <w:szCs w:val="21"/>
          <w:lang w:val="es-ES"/>
        </w:rPr>
      </w:pPr>
      <w:r w:rsidRPr="0028089C">
        <w:rPr>
          <w:rFonts w:ascii="Verdana" w:hAnsi="Verdana" w:cs="Arial"/>
          <w:sz w:val="21"/>
          <w:szCs w:val="21"/>
          <w:lang w:val="es-ES"/>
        </w:rPr>
        <w:t xml:space="preserve">[…] la aplicación de estos preceptos exige una interpretación restrictiva, dado que según el principio hermenéutico </w:t>
      </w:r>
      <w:r w:rsidRPr="0028089C">
        <w:rPr>
          <w:rFonts w:ascii="Verdana" w:hAnsi="Verdana" w:cs="Arial"/>
          <w:i/>
          <w:iCs/>
          <w:sz w:val="21"/>
          <w:szCs w:val="21"/>
          <w:lang w:val="es-ES"/>
        </w:rPr>
        <w:t>pro libertate</w:t>
      </w:r>
      <w:r w:rsidRPr="0028089C">
        <w:rPr>
          <w:rFonts w:ascii="Verdana" w:hAnsi="Verdana" w:cs="Arial"/>
          <w:sz w:val="21"/>
          <w:szCs w:val="21"/>
          <w:lang w:val="es-ES"/>
        </w:rPr>
        <w:t>, entre varias interpretaciones posibles de una norma que regula una inhabilidad, debe preferirse aquella que menos limita el derecho de las personas; en otros términos, se encuentra prohibida constitucionalmente la interpretación extensiva de las causales de inhabilidad, toda vez que las palabras de la ley son la frontera que no se puede traspasar en el ejercicio hermenéutico de las mismas, pues de hacerlo se vulnerarían los derechos fundamentales al debido proceso (art. 29 CN) y a la igualdad (art. 13 Ibid.); […]</w:t>
      </w:r>
      <w:r w:rsidRPr="0028089C">
        <w:rPr>
          <w:rFonts w:ascii="Verdana" w:hAnsi="Verdana" w:cs="Arial"/>
          <w:sz w:val="21"/>
          <w:szCs w:val="21"/>
          <w:vertAlign w:val="superscript"/>
          <w:lang w:val="es-ES"/>
        </w:rPr>
        <w:footnoteReference w:id="11"/>
      </w:r>
      <w:r w:rsidRPr="0028089C">
        <w:rPr>
          <w:rFonts w:ascii="Verdana" w:hAnsi="Verdana" w:cs="Arial"/>
          <w:sz w:val="21"/>
          <w:szCs w:val="21"/>
          <w:lang w:val="es-ES"/>
        </w:rPr>
        <w:t>.</w:t>
      </w:r>
    </w:p>
    <w:p w14:paraId="0388D69D" w14:textId="77777777" w:rsidR="0010662B" w:rsidRPr="0028089C" w:rsidRDefault="0010662B" w:rsidP="0010662B">
      <w:pPr>
        <w:spacing w:after="0"/>
        <w:ind w:left="709" w:right="709"/>
        <w:jc w:val="both"/>
        <w:rPr>
          <w:rFonts w:ascii="Verdana" w:eastAsia="Calibri" w:hAnsi="Verdana" w:cs="Arial"/>
          <w:lang w:val="es-ES"/>
        </w:rPr>
      </w:pPr>
    </w:p>
    <w:p w14:paraId="339DF2D1" w14:textId="77777777" w:rsidR="0010662B" w:rsidRDefault="0010662B" w:rsidP="0010662B">
      <w:pPr>
        <w:spacing w:line="276" w:lineRule="auto"/>
        <w:ind w:firstLine="708"/>
        <w:jc w:val="both"/>
        <w:rPr>
          <w:rFonts w:ascii="Verdana" w:eastAsia="Calibri" w:hAnsi="Verdana" w:cs="Arial"/>
          <w:lang w:val="es-ES"/>
        </w:rPr>
      </w:pPr>
      <w:r w:rsidRPr="0028089C">
        <w:rPr>
          <w:rFonts w:ascii="Verdana" w:eastAsia="Calibri" w:hAnsi="Verdana" w:cs="Arial"/>
          <w:lang w:val="es-ES"/>
        </w:rPr>
        <w:t xml:space="preserve">Como se aprecia, el principio </w:t>
      </w:r>
      <w:r w:rsidRPr="0028089C">
        <w:rPr>
          <w:rFonts w:ascii="Verdana" w:eastAsia="Calibri" w:hAnsi="Verdana" w:cs="Arial"/>
          <w:i/>
          <w:iCs/>
          <w:lang w:val="es-ES"/>
        </w:rPr>
        <w:t>pro libertate</w:t>
      </w:r>
      <w:r w:rsidRPr="0028089C">
        <w:rPr>
          <w:rFonts w:ascii="Verdana" w:eastAsia="Calibri" w:hAnsi="Verdana" w:cs="Arial"/>
          <w:lang w:val="es-ES"/>
        </w:rPr>
        <w:t xml:space="preserve"> dirige la interpretación de las disposiciones que consagran restricciones de derechos, como sucede con las causales de inhabilidad e incompatibilidad en la contratación estatal.</w:t>
      </w:r>
    </w:p>
    <w:p w14:paraId="4D791517" w14:textId="77777777" w:rsidR="0010662B" w:rsidRDefault="0010662B" w:rsidP="0010662B">
      <w:pPr>
        <w:spacing w:line="276" w:lineRule="auto"/>
        <w:jc w:val="both"/>
        <w:rPr>
          <w:rFonts w:ascii="Verdana" w:hAnsi="Verdana" w:cs="Arial"/>
          <w:color w:val="000000"/>
        </w:rPr>
      </w:pPr>
      <w:r>
        <w:rPr>
          <w:rFonts w:ascii="Verdana" w:eastAsia="Calibri" w:hAnsi="Verdana" w:cs="Arial"/>
          <w:lang w:val="es-ES"/>
        </w:rPr>
        <w:tab/>
        <w:t xml:space="preserve">Ahora bien, con el propósito de resolver el interrogante planteado, resulta importante revisar lo consagrado en el </w:t>
      </w:r>
      <w:bookmarkEnd w:id="0"/>
      <w:r w:rsidRPr="00233FFC">
        <w:rPr>
          <w:rFonts w:ascii="Verdana" w:hAnsi="Verdana" w:cs="Arial"/>
          <w:color w:val="000000"/>
        </w:rPr>
        <w:t xml:space="preserve">literal j) del numeral 1 del artículo 8 </w:t>
      </w:r>
      <w:r>
        <w:rPr>
          <w:rFonts w:ascii="Verdana" w:hAnsi="Verdana" w:cs="Arial"/>
          <w:color w:val="000000"/>
        </w:rPr>
        <w:t>de la Ley 80 de 1993</w:t>
      </w:r>
      <w:r w:rsidRPr="00233FFC">
        <w:rPr>
          <w:rFonts w:ascii="Verdana" w:hAnsi="Verdana" w:cs="Arial"/>
          <w:color w:val="000000"/>
        </w:rPr>
        <w:t xml:space="preserve"> </w:t>
      </w:r>
      <w:r>
        <w:rPr>
          <w:rFonts w:ascii="Verdana" w:hAnsi="Verdana" w:cs="Arial"/>
          <w:color w:val="000000"/>
        </w:rPr>
        <w:t xml:space="preserve">donde el legislador </w:t>
      </w:r>
      <w:r w:rsidRPr="00233FFC">
        <w:rPr>
          <w:rFonts w:ascii="Verdana" w:hAnsi="Verdana" w:cs="Arial"/>
          <w:color w:val="000000"/>
        </w:rPr>
        <w:t xml:space="preserve">establece </w:t>
      </w:r>
      <w:r>
        <w:rPr>
          <w:rFonts w:ascii="Verdana" w:hAnsi="Verdana" w:cs="Arial"/>
          <w:color w:val="000000"/>
        </w:rPr>
        <w:t>una inhabilidad que, en principio, afecta la capacidad jurídica tanto de personas naturales como de personas jurídicas, pero que, por virtud de los incisos 3 y 5 de la norma en cita, sus efectos se extienden a las sociedades de las que hagan parte dichas personas inhabilitadas solo en la medida en que detenten las calidades, no solo de representantes legales, sino de todas aquellas que señala la norma. En ese orden, resulta pertinente enlistar los sujetos a quienes aplica la inhabilidad contemplada en el literal j), así:</w:t>
      </w:r>
    </w:p>
    <w:p w14:paraId="392AF30A" w14:textId="77777777" w:rsidR="0010662B" w:rsidRDefault="0010662B" w:rsidP="0010662B">
      <w:pPr>
        <w:spacing w:line="276" w:lineRule="auto"/>
        <w:jc w:val="both"/>
        <w:rPr>
          <w:rFonts w:ascii="Verdana" w:hAnsi="Verdana" w:cs="Arial"/>
          <w:color w:val="000000"/>
        </w:rPr>
      </w:pPr>
      <w:r>
        <w:rPr>
          <w:rFonts w:ascii="Verdana" w:hAnsi="Verdana" w:cs="Arial"/>
          <w:color w:val="000000"/>
        </w:rPr>
        <w:lastRenderedPageBreak/>
        <w:t>Inhabilidades aplicables cuando</w:t>
      </w:r>
      <w:r w:rsidRPr="007B17A8">
        <w:rPr>
          <w:rFonts w:ascii="Verdana" w:hAnsi="Verdana" w:cs="Arial"/>
          <w:color w:val="000000"/>
        </w:rPr>
        <w:t xml:space="preserve"> las </w:t>
      </w:r>
      <w:r w:rsidRPr="00E70B45">
        <w:rPr>
          <w:rFonts w:ascii="Verdana" w:hAnsi="Verdana" w:cs="Arial"/>
          <w:b/>
          <w:bCs/>
          <w:color w:val="000000"/>
          <w:u w:val="single"/>
        </w:rPr>
        <w:t>personas naturales</w:t>
      </w:r>
      <w:r w:rsidRPr="00154B35">
        <w:rPr>
          <w:rFonts w:ascii="Verdana" w:hAnsi="Verdana" w:cs="Arial"/>
          <w:color w:val="000000"/>
        </w:rPr>
        <w:t>:</w:t>
      </w:r>
    </w:p>
    <w:p w14:paraId="3FBA9EC0" w14:textId="77777777" w:rsidR="0010662B" w:rsidRPr="002420E3" w:rsidRDefault="0010662B" w:rsidP="0010662B">
      <w:pPr>
        <w:pStyle w:val="Prrafodelista"/>
        <w:numPr>
          <w:ilvl w:val="0"/>
          <w:numId w:val="2"/>
        </w:numPr>
        <w:spacing w:line="276" w:lineRule="auto"/>
        <w:jc w:val="both"/>
        <w:rPr>
          <w:rFonts w:ascii="Verdana" w:hAnsi="Verdana" w:cs="Arial"/>
          <w:color w:val="000000"/>
        </w:rPr>
      </w:pPr>
      <w:r>
        <w:rPr>
          <w:rFonts w:ascii="Verdana" w:hAnsi="Verdana" w:cs="Arial"/>
          <w:color w:val="000000"/>
        </w:rPr>
        <w:t xml:space="preserve">Hayan sido </w:t>
      </w:r>
      <w:r w:rsidRPr="002420E3">
        <w:rPr>
          <w:rFonts w:ascii="Verdana" w:hAnsi="Verdana" w:cs="Arial"/>
          <w:color w:val="000000"/>
        </w:rPr>
        <w:t>declaradas responsables judicialmente por la comisión de delitos contra la Administración pública</w:t>
      </w:r>
    </w:p>
    <w:p w14:paraId="7568F69A" w14:textId="77777777" w:rsidR="0010662B" w:rsidRPr="00261077" w:rsidRDefault="0010662B" w:rsidP="0010662B">
      <w:pPr>
        <w:pStyle w:val="Prrafodelista"/>
        <w:numPr>
          <w:ilvl w:val="0"/>
          <w:numId w:val="2"/>
        </w:numPr>
        <w:spacing w:line="276" w:lineRule="auto"/>
        <w:jc w:val="both"/>
        <w:rPr>
          <w:rFonts w:ascii="Verdana" w:hAnsi="Verdana" w:cs="Arial"/>
          <w:color w:val="000000"/>
        </w:rPr>
      </w:pPr>
      <w:r>
        <w:rPr>
          <w:rFonts w:ascii="Verdana" w:hAnsi="Verdana" w:cs="Arial"/>
          <w:color w:val="000000"/>
        </w:rPr>
        <w:t xml:space="preserve">Hayan sido </w:t>
      </w:r>
      <w:r w:rsidRPr="002420E3">
        <w:rPr>
          <w:rFonts w:ascii="Verdana" w:hAnsi="Verdana" w:cs="Arial"/>
          <w:color w:val="000000"/>
        </w:rPr>
        <w:t>declaradas responsables judicialmente por la comisión de</w:t>
      </w:r>
      <w:r w:rsidRPr="00261077">
        <w:rPr>
          <w:rFonts w:ascii="Arial" w:hAnsi="Arial" w:cs="Arial"/>
          <w:color w:val="000000"/>
          <w:sz w:val="21"/>
          <w:szCs w:val="21"/>
        </w:rPr>
        <w:t xml:space="preserve"> </w:t>
      </w:r>
      <w:r w:rsidRPr="00261077">
        <w:rPr>
          <w:rFonts w:ascii="Verdana" w:hAnsi="Verdana" w:cs="Arial"/>
          <w:color w:val="000000"/>
        </w:rPr>
        <w:t>cualquiera de los delitos o faltas contempladas por la Ley 1474 de 2011 y sus normas modificatorias</w:t>
      </w:r>
    </w:p>
    <w:p w14:paraId="56C95D64" w14:textId="77777777" w:rsidR="0010662B" w:rsidRPr="00190D22" w:rsidRDefault="0010662B" w:rsidP="0010662B">
      <w:pPr>
        <w:pStyle w:val="Prrafodelista"/>
        <w:numPr>
          <w:ilvl w:val="0"/>
          <w:numId w:val="2"/>
        </w:numPr>
        <w:spacing w:line="276" w:lineRule="auto"/>
        <w:jc w:val="both"/>
        <w:rPr>
          <w:rFonts w:ascii="Verdana" w:hAnsi="Verdana" w:cs="Arial"/>
          <w:color w:val="000000"/>
        </w:rPr>
      </w:pPr>
      <w:r>
        <w:rPr>
          <w:rFonts w:ascii="Verdana" w:hAnsi="Verdana" w:cs="Arial"/>
          <w:color w:val="000000"/>
        </w:rPr>
        <w:t xml:space="preserve">Hayan sido </w:t>
      </w:r>
      <w:r w:rsidRPr="002420E3">
        <w:rPr>
          <w:rFonts w:ascii="Verdana" w:hAnsi="Verdana" w:cs="Arial"/>
          <w:color w:val="000000"/>
        </w:rPr>
        <w:t>declaradas responsables judicialmente por la comisión de</w:t>
      </w:r>
      <w:r>
        <w:rPr>
          <w:rFonts w:ascii="Verdana" w:hAnsi="Verdana" w:cs="Arial"/>
          <w:color w:val="000000"/>
        </w:rPr>
        <w:t xml:space="preserve"> </w:t>
      </w:r>
      <w:r w:rsidRPr="00190D22">
        <w:rPr>
          <w:rFonts w:ascii="Verdana" w:hAnsi="Verdana" w:cs="Arial"/>
          <w:color w:val="000000"/>
        </w:rPr>
        <w:t>cualquiera de las conductas delictivas contempladas por las convenciones o tratados de lucha contra la corrupción suscritos y ratificados por Colombia</w:t>
      </w:r>
    </w:p>
    <w:p w14:paraId="0610B174" w14:textId="77777777" w:rsidR="0010662B" w:rsidRDefault="0010662B" w:rsidP="0010662B">
      <w:pPr>
        <w:spacing w:line="276" w:lineRule="auto"/>
        <w:ind w:firstLine="360"/>
        <w:jc w:val="both"/>
        <w:rPr>
          <w:rFonts w:ascii="Verdana" w:hAnsi="Verdana" w:cs="Arial"/>
          <w:color w:val="000000"/>
        </w:rPr>
      </w:pPr>
      <w:r>
        <w:rPr>
          <w:rFonts w:ascii="Verdana" w:hAnsi="Verdana" w:cs="Arial"/>
          <w:color w:val="000000"/>
        </w:rPr>
        <w:t>Inhabilidades aplicables cuando las</w:t>
      </w:r>
      <w:r w:rsidRPr="007B17A8">
        <w:rPr>
          <w:rFonts w:ascii="Verdana" w:hAnsi="Verdana" w:cs="Arial"/>
          <w:color w:val="000000"/>
        </w:rPr>
        <w:t xml:space="preserve"> </w:t>
      </w:r>
      <w:r w:rsidRPr="00E70B45">
        <w:rPr>
          <w:rFonts w:ascii="Verdana" w:hAnsi="Verdana" w:cs="Arial"/>
          <w:b/>
          <w:bCs/>
          <w:color w:val="000000"/>
          <w:u w:val="single"/>
        </w:rPr>
        <w:t>personas jurídicas</w:t>
      </w:r>
      <w:r w:rsidRPr="00154B35">
        <w:rPr>
          <w:rFonts w:ascii="Verdana" w:hAnsi="Verdana" w:cs="Arial"/>
          <w:color w:val="000000"/>
        </w:rPr>
        <w:t>:</w:t>
      </w:r>
    </w:p>
    <w:p w14:paraId="497466BD" w14:textId="77777777" w:rsidR="0010662B" w:rsidRPr="00BA690F" w:rsidRDefault="0010662B" w:rsidP="0010662B">
      <w:pPr>
        <w:pStyle w:val="Prrafodelista"/>
        <w:numPr>
          <w:ilvl w:val="0"/>
          <w:numId w:val="3"/>
        </w:numPr>
        <w:spacing w:line="276" w:lineRule="auto"/>
        <w:jc w:val="both"/>
        <w:rPr>
          <w:rFonts w:ascii="Verdana" w:hAnsi="Verdana" w:cs="Arial"/>
          <w:color w:val="000000"/>
        </w:rPr>
      </w:pPr>
      <w:r>
        <w:rPr>
          <w:rFonts w:ascii="Verdana" w:hAnsi="Verdana" w:cs="Arial"/>
          <w:color w:val="000000"/>
        </w:rPr>
        <w:t>H</w:t>
      </w:r>
      <w:r w:rsidRPr="00B762F7">
        <w:rPr>
          <w:rFonts w:ascii="Verdana" w:hAnsi="Verdana" w:cs="Arial"/>
          <w:color w:val="000000"/>
        </w:rPr>
        <w:t>ayan sido declaradas responsables administrativamente por la conducta de soborno transnacional</w:t>
      </w:r>
    </w:p>
    <w:p w14:paraId="119631F6" w14:textId="77777777" w:rsidR="0010662B" w:rsidRPr="0058149C" w:rsidRDefault="0010662B" w:rsidP="0010662B">
      <w:pPr>
        <w:pStyle w:val="Prrafodelista"/>
        <w:numPr>
          <w:ilvl w:val="0"/>
          <w:numId w:val="3"/>
        </w:numPr>
        <w:spacing w:line="276" w:lineRule="auto"/>
        <w:jc w:val="both"/>
        <w:rPr>
          <w:rFonts w:ascii="Verdana" w:hAnsi="Verdana" w:cs="Arial"/>
          <w:color w:val="000000"/>
        </w:rPr>
      </w:pPr>
      <w:r>
        <w:rPr>
          <w:rFonts w:ascii="Verdana" w:hAnsi="Verdana" w:cs="Arial"/>
          <w:color w:val="000000"/>
        </w:rPr>
        <w:t xml:space="preserve">O, se les </w:t>
      </w:r>
      <w:r w:rsidRPr="00F22252">
        <w:rPr>
          <w:rFonts w:ascii="Verdana" w:hAnsi="Verdana" w:cs="Arial"/>
          <w:color w:val="000000"/>
        </w:rPr>
        <w:t>haya ordenado la suspensión de la perso</w:t>
      </w:r>
      <w:r w:rsidRPr="00F22252">
        <w:rPr>
          <w:rFonts w:ascii="Verdana" w:hAnsi="Verdana" w:cs="Arial"/>
          <w:color w:val="000000"/>
        </w:rPr>
        <w:softHyphen/>
        <w:t>nería jurídica en los términos de ley</w:t>
      </w:r>
    </w:p>
    <w:p w14:paraId="4A0760EA" w14:textId="77777777" w:rsidR="0010662B" w:rsidRPr="00E94A09" w:rsidRDefault="0010662B" w:rsidP="0010662B">
      <w:pPr>
        <w:pStyle w:val="Prrafodelista"/>
        <w:numPr>
          <w:ilvl w:val="0"/>
          <w:numId w:val="3"/>
        </w:numPr>
        <w:spacing w:line="276" w:lineRule="auto"/>
        <w:jc w:val="both"/>
        <w:rPr>
          <w:rFonts w:ascii="Verdana" w:hAnsi="Verdana" w:cs="Arial"/>
          <w:color w:val="000000"/>
        </w:rPr>
      </w:pPr>
      <w:r w:rsidRPr="00E94A09">
        <w:rPr>
          <w:rFonts w:ascii="Verdana" w:hAnsi="Verdana" w:cs="Arial"/>
          <w:color w:val="000000"/>
        </w:rPr>
        <w:t>O, sus representantes legales, ad</w:t>
      </w:r>
      <w:r w:rsidRPr="00E94A09">
        <w:rPr>
          <w:rFonts w:ascii="Verdana" w:hAnsi="Verdana" w:cs="Arial"/>
          <w:color w:val="000000"/>
        </w:rPr>
        <w:softHyphen/>
        <w:t xml:space="preserve">ministradores de hecho o de derecho, miembros de junta directiva o </w:t>
      </w:r>
      <w:r w:rsidRPr="00E94A09">
        <w:rPr>
          <w:rFonts w:ascii="Verdana" w:hAnsi="Verdana" w:cs="Arial"/>
          <w:color w:val="000000"/>
          <w:u w:val="single"/>
        </w:rPr>
        <w:t>sus socios controlantes, sus matrices, subordinadas</w:t>
      </w:r>
      <w:r w:rsidRPr="00E94A09">
        <w:rPr>
          <w:rFonts w:ascii="Verdana" w:hAnsi="Verdana" w:cs="Arial"/>
          <w:color w:val="000000"/>
        </w:rPr>
        <w:t xml:space="preserve"> y/o las sucursales de sociedades extranjeras, hayan sido beneficiados con la aplicación de un principio de oportunidad por cualquier delito contra la Administración pública o el patrimonio del Estado</w:t>
      </w:r>
    </w:p>
    <w:p w14:paraId="181DD3D7" w14:textId="77777777" w:rsidR="0010662B" w:rsidRDefault="0010662B" w:rsidP="0010662B">
      <w:pPr>
        <w:spacing w:line="276" w:lineRule="auto"/>
        <w:ind w:firstLine="708"/>
        <w:jc w:val="both"/>
        <w:rPr>
          <w:rFonts w:ascii="Verdana" w:hAnsi="Verdana" w:cs="Arial"/>
          <w:color w:val="000000"/>
        </w:rPr>
      </w:pPr>
      <w:r>
        <w:rPr>
          <w:rFonts w:ascii="Verdana" w:hAnsi="Verdana" w:cs="Arial"/>
          <w:color w:val="000000"/>
        </w:rPr>
        <w:t xml:space="preserve">Visto lo anterior, es posible afirmar dos cosas: En primer lugar, para el caso de las inhabilidades dirigidas, en principio, para las </w:t>
      </w:r>
      <w:r w:rsidRPr="00E70B45">
        <w:rPr>
          <w:rFonts w:ascii="Verdana" w:hAnsi="Verdana" w:cs="Arial"/>
          <w:b/>
          <w:bCs/>
          <w:color w:val="000000"/>
        </w:rPr>
        <w:t>personas naturales</w:t>
      </w:r>
      <w:r>
        <w:rPr>
          <w:rFonts w:ascii="Verdana" w:hAnsi="Verdana" w:cs="Arial"/>
          <w:color w:val="000000"/>
        </w:rPr>
        <w:t>, que se configuran como consecuencia del resultado de procesos judiciales de responsabilidad penal, disciplinaria y/o fiscal, y las cuales proceden preventivamente</w:t>
      </w:r>
      <w:r w:rsidRPr="001B5BAE">
        <w:rPr>
          <w:rFonts w:ascii="Arial" w:hAnsi="Arial" w:cs="Arial"/>
          <w:color w:val="000000"/>
          <w:sz w:val="21"/>
          <w:szCs w:val="21"/>
        </w:rPr>
        <w:t xml:space="preserve"> </w:t>
      </w:r>
      <w:r w:rsidRPr="001B5BAE">
        <w:rPr>
          <w:rFonts w:ascii="Verdana" w:hAnsi="Verdana" w:cs="Arial"/>
          <w:color w:val="000000"/>
        </w:rPr>
        <w:t>aún en los casos en los que esté pendiente la decisión sobre la impugnación de la sentencia condenatoria</w:t>
      </w:r>
      <w:r>
        <w:rPr>
          <w:rFonts w:ascii="Verdana" w:hAnsi="Verdana" w:cs="Arial"/>
          <w:color w:val="000000"/>
        </w:rPr>
        <w:t xml:space="preserve">, </w:t>
      </w:r>
      <w:r w:rsidRPr="00CF61A9">
        <w:rPr>
          <w:rFonts w:ascii="Verdana" w:hAnsi="Verdana" w:cs="Arial"/>
          <w:color w:val="000000"/>
          <w:u w:val="single"/>
        </w:rPr>
        <w:t>sus efectos se extienden a las sociedades de las que hagan parte dichas personas</w:t>
      </w:r>
      <w:r w:rsidRPr="00582259">
        <w:rPr>
          <w:rFonts w:ascii="Verdana" w:hAnsi="Verdana" w:cs="Arial"/>
          <w:color w:val="000000"/>
        </w:rPr>
        <w:t xml:space="preserve"> en </w:t>
      </w:r>
      <w:r>
        <w:rPr>
          <w:rFonts w:ascii="Verdana" w:hAnsi="Verdana" w:cs="Arial"/>
          <w:color w:val="000000"/>
        </w:rPr>
        <w:t>las siguientes calidades:</w:t>
      </w:r>
    </w:p>
    <w:p w14:paraId="4B54A8FC"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 xml:space="preserve">administradores, </w:t>
      </w:r>
    </w:p>
    <w:p w14:paraId="09E3A923"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represen</w:t>
      </w:r>
      <w:r w:rsidRPr="00034E0E">
        <w:rPr>
          <w:rFonts w:ascii="Verdana" w:hAnsi="Verdana" w:cs="Arial"/>
          <w:color w:val="000000"/>
        </w:rPr>
        <w:softHyphen/>
        <w:t xml:space="preserve">tantes legales, </w:t>
      </w:r>
    </w:p>
    <w:p w14:paraId="7DDC522B"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 xml:space="preserve">miembros de junta directiva </w:t>
      </w:r>
    </w:p>
    <w:p w14:paraId="08492D24" w14:textId="77777777" w:rsidR="0010662B" w:rsidRPr="00E478C3" w:rsidRDefault="0010662B" w:rsidP="0010662B">
      <w:pPr>
        <w:pStyle w:val="Prrafodelista"/>
        <w:numPr>
          <w:ilvl w:val="0"/>
          <w:numId w:val="4"/>
        </w:numPr>
        <w:spacing w:line="276" w:lineRule="auto"/>
        <w:jc w:val="both"/>
        <w:rPr>
          <w:rFonts w:ascii="Verdana" w:hAnsi="Verdana" w:cs="Arial"/>
          <w:color w:val="000000"/>
        </w:rPr>
      </w:pPr>
      <w:r w:rsidRPr="00E478C3">
        <w:rPr>
          <w:rFonts w:ascii="Verdana" w:hAnsi="Verdana" w:cs="Arial"/>
          <w:color w:val="000000"/>
          <w:u w:val="single"/>
        </w:rPr>
        <w:t>socios controlantes</w:t>
      </w:r>
      <w:r w:rsidRPr="00FE30EC">
        <w:rPr>
          <w:rFonts w:ascii="Verdana" w:hAnsi="Verdana" w:cs="Arial"/>
          <w:color w:val="000000"/>
        </w:rPr>
        <w:t xml:space="preserve">, </w:t>
      </w:r>
      <w:r w:rsidRPr="00E478C3">
        <w:rPr>
          <w:rFonts w:ascii="Verdana" w:hAnsi="Verdana" w:cs="Arial"/>
          <w:color w:val="000000"/>
        </w:rPr>
        <w:t>a sus matrices, a sus subordinadas, a los grupos empresariales a los que estas pertenezcan cuando la conducta delictiva haya sido parte de una política del grupo y a las sucursales de sociedades extranjeras, con ex</w:t>
      </w:r>
      <w:r w:rsidRPr="00E478C3">
        <w:rPr>
          <w:rFonts w:ascii="Verdana" w:hAnsi="Verdana" w:cs="Arial"/>
          <w:color w:val="000000"/>
        </w:rPr>
        <w:softHyphen/>
        <w:t xml:space="preserve">cepción de las sociedades anónimas abiertas. </w:t>
      </w:r>
    </w:p>
    <w:p w14:paraId="7A5578BE" w14:textId="77777777" w:rsidR="0010662B" w:rsidRDefault="0010662B" w:rsidP="0010662B">
      <w:pPr>
        <w:spacing w:line="276" w:lineRule="auto"/>
        <w:ind w:firstLine="708"/>
        <w:jc w:val="both"/>
        <w:rPr>
          <w:rFonts w:ascii="Verdana" w:hAnsi="Verdana" w:cs="Arial"/>
          <w:color w:val="000000"/>
        </w:rPr>
      </w:pPr>
      <w:r>
        <w:rPr>
          <w:rFonts w:ascii="Verdana" w:hAnsi="Verdana" w:cs="Arial"/>
          <w:color w:val="000000"/>
        </w:rPr>
        <w:lastRenderedPageBreak/>
        <w:t xml:space="preserve">De manera que, en el evento en que un socio controlante de la sociedad interesada en participar en una convocatoria pública de selección de contratistas o que pretenda suscribir contratos con el Estado, sea objeto de alguna de las inhabilidades enlistadas, dicha inhabilidad extiende sus efectos a la sociedad, </w:t>
      </w:r>
      <w:r w:rsidRPr="00E70B45">
        <w:rPr>
          <w:rFonts w:ascii="Verdana" w:hAnsi="Verdana" w:cs="Arial"/>
          <w:color w:val="000000"/>
        </w:rPr>
        <w:t>con ex</w:t>
      </w:r>
      <w:r w:rsidRPr="00E70B45">
        <w:rPr>
          <w:rFonts w:ascii="Verdana" w:hAnsi="Verdana" w:cs="Arial"/>
          <w:color w:val="000000"/>
        </w:rPr>
        <w:softHyphen/>
        <w:t>cepción de las sociedades anónimas abiertas.</w:t>
      </w:r>
    </w:p>
    <w:p w14:paraId="3C0619D8" w14:textId="77777777" w:rsidR="0010662B" w:rsidRDefault="0010662B" w:rsidP="0010662B">
      <w:pPr>
        <w:spacing w:line="276" w:lineRule="auto"/>
        <w:ind w:firstLine="708"/>
        <w:jc w:val="both"/>
        <w:rPr>
          <w:rFonts w:ascii="Verdana" w:hAnsi="Verdana" w:cs="Arial"/>
          <w:color w:val="000000"/>
        </w:rPr>
      </w:pPr>
      <w:r>
        <w:rPr>
          <w:rFonts w:ascii="Verdana" w:hAnsi="Verdana" w:cs="Arial"/>
          <w:color w:val="000000"/>
        </w:rPr>
        <w:t xml:space="preserve">En segundo lugar, para el caso de las inhabilidades dirigidas, en principio, para las personas jurídicas, que también tienen origen por procesos judiciales donde se hallen responsables penal, disciplinaria y/o fiscalmente, o procesos de naturaleza administrativa adelantados por la autoridad competente, como es el caso de la suspensión de la personería jurídica, </w:t>
      </w:r>
      <w:r w:rsidRPr="00CF61A9">
        <w:rPr>
          <w:rFonts w:ascii="Verdana" w:hAnsi="Verdana" w:cs="Arial"/>
          <w:color w:val="000000"/>
          <w:u w:val="single"/>
        </w:rPr>
        <w:t>sus efectos se extienden</w:t>
      </w:r>
      <w:r>
        <w:rPr>
          <w:rFonts w:ascii="Verdana" w:hAnsi="Verdana" w:cs="Arial"/>
          <w:color w:val="000000"/>
          <w:u w:val="single"/>
        </w:rPr>
        <w:t xml:space="preserve"> de forma permanente</w:t>
      </w:r>
      <w:r w:rsidRPr="00CF61A9">
        <w:rPr>
          <w:rFonts w:ascii="Verdana" w:hAnsi="Verdana" w:cs="Arial"/>
          <w:color w:val="000000"/>
          <w:u w:val="single"/>
        </w:rPr>
        <w:t xml:space="preserve"> a las sociedades de las que hagan parte dichas personas</w:t>
      </w:r>
      <w:r w:rsidRPr="00582259">
        <w:rPr>
          <w:rFonts w:ascii="Verdana" w:hAnsi="Verdana" w:cs="Arial"/>
          <w:color w:val="000000"/>
        </w:rPr>
        <w:t xml:space="preserve"> </w:t>
      </w:r>
      <w:r>
        <w:rPr>
          <w:rFonts w:ascii="Verdana" w:hAnsi="Verdana" w:cs="Arial"/>
          <w:color w:val="000000"/>
        </w:rPr>
        <w:t>que tengan las siguientes calidades:</w:t>
      </w:r>
    </w:p>
    <w:p w14:paraId="511A4105"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 xml:space="preserve">administradores, </w:t>
      </w:r>
    </w:p>
    <w:p w14:paraId="773D3694"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represen</w:t>
      </w:r>
      <w:r w:rsidRPr="00034E0E">
        <w:rPr>
          <w:rFonts w:ascii="Verdana" w:hAnsi="Verdana" w:cs="Arial"/>
          <w:color w:val="000000"/>
        </w:rPr>
        <w:softHyphen/>
        <w:t xml:space="preserve">tantes legales, </w:t>
      </w:r>
    </w:p>
    <w:p w14:paraId="0263BCD6" w14:textId="77777777" w:rsidR="0010662B" w:rsidRDefault="0010662B" w:rsidP="0010662B">
      <w:pPr>
        <w:pStyle w:val="Prrafodelista"/>
        <w:numPr>
          <w:ilvl w:val="0"/>
          <w:numId w:val="4"/>
        </w:numPr>
        <w:spacing w:line="276" w:lineRule="auto"/>
        <w:jc w:val="both"/>
        <w:rPr>
          <w:rFonts w:ascii="Verdana" w:hAnsi="Verdana" w:cs="Arial"/>
          <w:color w:val="000000"/>
        </w:rPr>
      </w:pPr>
      <w:r w:rsidRPr="00034E0E">
        <w:rPr>
          <w:rFonts w:ascii="Verdana" w:hAnsi="Verdana" w:cs="Arial"/>
          <w:color w:val="000000"/>
        </w:rPr>
        <w:t xml:space="preserve">miembros de junta directiva </w:t>
      </w:r>
    </w:p>
    <w:p w14:paraId="475014F7" w14:textId="77777777" w:rsidR="0010662B" w:rsidRPr="0009222D" w:rsidRDefault="0010662B" w:rsidP="0010662B">
      <w:pPr>
        <w:pStyle w:val="Prrafodelista"/>
        <w:numPr>
          <w:ilvl w:val="0"/>
          <w:numId w:val="4"/>
        </w:numPr>
        <w:spacing w:line="276" w:lineRule="auto"/>
        <w:jc w:val="both"/>
        <w:rPr>
          <w:rFonts w:ascii="Verdana" w:hAnsi="Verdana" w:cs="Arial"/>
          <w:color w:val="000000"/>
        </w:rPr>
      </w:pPr>
      <w:r w:rsidRPr="0009222D">
        <w:rPr>
          <w:rFonts w:ascii="Verdana" w:hAnsi="Verdana" w:cs="Arial"/>
          <w:color w:val="000000"/>
          <w:u w:val="single"/>
        </w:rPr>
        <w:t>socios controlantes</w:t>
      </w:r>
      <w:r w:rsidRPr="0009222D">
        <w:rPr>
          <w:rFonts w:ascii="Verdana" w:hAnsi="Verdana" w:cs="Arial"/>
          <w:color w:val="000000"/>
        </w:rPr>
        <w:t>, a sus matrices, a sus subordinadas, a los grupos empresariales a los que estas pertenezcan cuando la conducta delictiva haya sido parte de una política del grupo y a las sucursales de sociedades extranjeras, con ex</w:t>
      </w:r>
      <w:r w:rsidRPr="0009222D">
        <w:rPr>
          <w:rFonts w:ascii="Verdana" w:hAnsi="Verdana" w:cs="Arial"/>
          <w:color w:val="000000"/>
        </w:rPr>
        <w:softHyphen/>
        <w:t xml:space="preserve">cepción de las sociedades anónimas abiertas. </w:t>
      </w:r>
    </w:p>
    <w:p w14:paraId="66411C8D" w14:textId="77777777" w:rsidR="0010662B" w:rsidRDefault="0010662B" w:rsidP="0010662B">
      <w:pPr>
        <w:spacing w:line="276" w:lineRule="auto"/>
        <w:ind w:firstLine="708"/>
        <w:jc w:val="both"/>
        <w:rPr>
          <w:rFonts w:ascii="Verdana" w:hAnsi="Verdana" w:cs="Arial"/>
          <w:color w:val="000000"/>
        </w:rPr>
      </w:pPr>
      <w:r>
        <w:rPr>
          <w:rFonts w:ascii="Verdana" w:hAnsi="Verdana" w:cs="Arial"/>
          <w:color w:val="000000"/>
        </w:rPr>
        <w:t xml:space="preserve">En ese orden, si un socio controlante (que en este caso se trataría de un socio persona jurídica) de la sociedad interesada en participar en una convocatoria pública de selección de contratistas o que pretenda suscribir contratos con el Estado, es objeto de alguna de las inhabilidades enlistadas, dicha inhabilidad extiende sus efectos de forma permanente a la sociedad, </w:t>
      </w:r>
      <w:r w:rsidRPr="00E70B45">
        <w:rPr>
          <w:rFonts w:ascii="Verdana" w:hAnsi="Verdana" w:cs="Arial"/>
          <w:color w:val="000000"/>
        </w:rPr>
        <w:t>con ex</w:t>
      </w:r>
      <w:r w:rsidRPr="00E70B45">
        <w:rPr>
          <w:rFonts w:ascii="Verdana" w:hAnsi="Verdana" w:cs="Arial"/>
          <w:color w:val="000000"/>
        </w:rPr>
        <w:softHyphen/>
        <w:t>cepción de las sociedades anónimas abiertas.</w:t>
      </w:r>
    </w:p>
    <w:p w14:paraId="6AF12F60" w14:textId="77777777" w:rsidR="0010662B" w:rsidRDefault="0010662B" w:rsidP="0010662B">
      <w:pPr>
        <w:spacing w:after="0" w:line="276" w:lineRule="auto"/>
        <w:ind w:firstLine="708"/>
        <w:jc w:val="both"/>
        <w:rPr>
          <w:rFonts w:ascii="Verdana" w:eastAsia="Arial" w:hAnsi="Verdana" w:cs="Arial"/>
          <w:color w:val="000000"/>
        </w:rPr>
      </w:pPr>
      <w:r>
        <w:rPr>
          <w:rFonts w:ascii="Verdana" w:hAnsi="Verdana" w:cs="Arial"/>
          <w:color w:val="000000"/>
        </w:rPr>
        <w:t>Finalmente, se destaca que</w:t>
      </w:r>
      <w:r w:rsidRPr="007878A9">
        <w:rPr>
          <w:rFonts w:ascii="Verdana" w:hAnsi="Verdana" w:cs="Arial"/>
          <w:color w:val="000000"/>
        </w:rPr>
        <w:t xml:space="preserve"> el régimen de inhabilidades corresponde a un conjunto de restricciones que afectan la capacidad para contratar con el Estado</w:t>
      </w:r>
      <w:r>
        <w:rPr>
          <w:rFonts w:ascii="Verdana" w:hAnsi="Verdana" w:cs="Arial"/>
          <w:color w:val="000000"/>
        </w:rPr>
        <w:t xml:space="preserve">. En consecuencia, los operadores jurídicos están sometidos </w:t>
      </w:r>
      <w:r w:rsidRPr="00644B07">
        <w:rPr>
          <w:rFonts w:ascii="Verdana" w:hAnsi="Verdana" w:cs="Arial"/>
          <w:color w:val="000000"/>
        </w:rPr>
        <w:t>a</w:t>
      </w:r>
      <w:r>
        <w:rPr>
          <w:rFonts w:ascii="Verdana" w:hAnsi="Verdana" w:cs="Arial"/>
          <w:color w:val="000000"/>
        </w:rPr>
        <w:t xml:space="preserve"> la</w:t>
      </w:r>
      <w:r w:rsidRPr="00644B07">
        <w:rPr>
          <w:rFonts w:ascii="Verdana" w:hAnsi="Verdana" w:cs="Arial"/>
          <w:color w:val="000000"/>
        </w:rPr>
        <w:t xml:space="preserve"> interpretación y aplicación restrictiva, </w:t>
      </w:r>
      <w:r>
        <w:rPr>
          <w:rFonts w:ascii="Verdana" w:hAnsi="Verdana" w:cs="Arial"/>
          <w:color w:val="000000"/>
        </w:rPr>
        <w:t>por lo que cada entidad contratante deberá</w:t>
      </w:r>
      <w:r w:rsidRPr="00644B07">
        <w:rPr>
          <w:rFonts w:ascii="Verdana" w:hAnsi="Verdana" w:cs="Arial"/>
          <w:color w:val="000000"/>
        </w:rPr>
        <w:t xml:space="preserve"> analizar en </w:t>
      </w:r>
      <w:r>
        <w:rPr>
          <w:rFonts w:ascii="Verdana" w:hAnsi="Verdana" w:cs="Arial"/>
          <w:color w:val="000000"/>
        </w:rPr>
        <w:t>cada</w:t>
      </w:r>
      <w:r w:rsidRPr="00644B07">
        <w:rPr>
          <w:rFonts w:ascii="Verdana" w:hAnsi="Verdana" w:cs="Arial"/>
          <w:color w:val="000000"/>
        </w:rPr>
        <w:t xml:space="preserve"> caso concreto si efectivamente la respectiva persona se encuentra incursa en el supuesto de hecho que da lugar a la configuración de la inhabilidad o incompatibilidad</w:t>
      </w:r>
      <w:r>
        <w:rPr>
          <w:rFonts w:ascii="Verdana" w:hAnsi="Verdana" w:cs="Arial"/>
          <w:color w:val="000000"/>
        </w:rPr>
        <w:t xml:space="preserve"> </w:t>
      </w:r>
      <w:r w:rsidRPr="00644B07">
        <w:rPr>
          <w:rFonts w:ascii="Verdana" w:hAnsi="Verdana" w:cs="Arial"/>
          <w:color w:val="000000"/>
        </w:rPr>
        <w:t xml:space="preserve">que opera </w:t>
      </w:r>
      <w:r>
        <w:rPr>
          <w:rFonts w:ascii="Verdana" w:hAnsi="Verdana" w:cs="Arial"/>
          <w:color w:val="000000"/>
        </w:rPr>
        <w:t>frente a la</w:t>
      </w:r>
      <w:r w:rsidRPr="00644B07">
        <w:rPr>
          <w:rFonts w:ascii="Verdana" w:hAnsi="Verdana" w:cs="Arial"/>
          <w:color w:val="000000"/>
        </w:rPr>
        <w:t xml:space="preserve"> restricción </w:t>
      </w:r>
      <w:r>
        <w:rPr>
          <w:rFonts w:ascii="Verdana" w:hAnsi="Verdana" w:cs="Arial"/>
          <w:color w:val="000000"/>
        </w:rPr>
        <w:t>de</w:t>
      </w:r>
      <w:r w:rsidRPr="00644B07">
        <w:rPr>
          <w:rFonts w:ascii="Verdana" w:hAnsi="Verdana" w:cs="Arial"/>
          <w:color w:val="000000"/>
        </w:rPr>
        <w:t xml:space="preserve"> la capacidad para contratar.</w:t>
      </w:r>
    </w:p>
    <w:p w14:paraId="41B37421" w14:textId="77777777" w:rsidR="0010662B" w:rsidRPr="00BE151B" w:rsidRDefault="0010662B" w:rsidP="0010662B">
      <w:pPr>
        <w:spacing w:after="0" w:line="276" w:lineRule="auto"/>
        <w:ind w:firstLine="709"/>
        <w:jc w:val="both"/>
        <w:rPr>
          <w:rFonts w:ascii="Verdana" w:eastAsia="Calibri" w:hAnsi="Verdana" w:cs="Arial"/>
          <w:sz w:val="21"/>
          <w:szCs w:val="21"/>
        </w:rPr>
      </w:pPr>
    </w:p>
    <w:p w14:paraId="1C7AF261" w14:textId="77777777" w:rsidR="0010662B" w:rsidRDefault="0010662B" w:rsidP="0010662B">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33B1254B" w14:textId="77777777" w:rsidR="0010662B" w:rsidRPr="00BE151B" w:rsidRDefault="0010662B" w:rsidP="0010662B">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10662B" w:rsidRPr="001D185F" w14:paraId="67002035" w14:textId="77777777" w:rsidTr="003640D3">
        <w:trPr>
          <w:trHeight w:val="870"/>
        </w:trPr>
        <w:tc>
          <w:tcPr>
            <w:tcW w:w="8647" w:type="dxa"/>
          </w:tcPr>
          <w:p w14:paraId="2DF06E9C" w14:textId="77777777" w:rsidR="0010662B" w:rsidRPr="001E4837"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3B7EF6">
              <w:rPr>
                <w:rFonts w:ascii="Verdana" w:hAnsi="Verdana" w:cs="Arial"/>
              </w:rPr>
              <w:lastRenderedPageBreak/>
              <w:t>Constitución Política</w:t>
            </w:r>
            <w:r>
              <w:rPr>
                <w:rFonts w:ascii="Verdana" w:hAnsi="Verdana" w:cs="Arial"/>
              </w:rPr>
              <w:t>, artículo 150</w:t>
            </w:r>
          </w:p>
          <w:p w14:paraId="7BD031A2" w14:textId="77777777" w:rsidR="0010662B"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C56B10">
              <w:rPr>
                <w:rFonts w:ascii="Verdana" w:hAnsi="Verdana" w:cs="Arial"/>
              </w:rPr>
              <w:t>Ley 80 de 1993</w:t>
            </w:r>
            <w:r>
              <w:rPr>
                <w:rFonts w:ascii="Verdana" w:hAnsi="Verdana" w:cs="Arial"/>
              </w:rPr>
              <w:t>, artículo 8, literal j)</w:t>
            </w:r>
          </w:p>
          <w:p w14:paraId="7D0D0152" w14:textId="77777777" w:rsidR="0010662B"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F74A2D">
              <w:rPr>
                <w:rFonts w:ascii="Verdana" w:hAnsi="Verdana" w:cs="Arial"/>
                <w:lang w:val="pt-BR"/>
              </w:rPr>
              <w:t>CORTE CONSTITUCIONAL. Sentencia C-1016 de 2012. M.P. Jorge Iván Palacio</w:t>
            </w:r>
          </w:p>
          <w:p w14:paraId="76F88F29" w14:textId="77777777" w:rsidR="0010662B"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9B34D7">
              <w:rPr>
                <w:rFonts w:ascii="Verdana" w:hAnsi="Verdana" w:cs="Arial"/>
                <w:lang w:val="pt-BR"/>
              </w:rPr>
              <w:t>CORTE CONSTITUCIONAL. Sentencia C-415 de 1994. M.P. Eduardo Cifuentes Muñoz</w:t>
            </w:r>
          </w:p>
          <w:p w14:paraId="38991926" w14:textId="77777777" w:rsidR="0010662B"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lang w:val="en-US"/>
              </w:rPr>
            </w:pPr>
            <w:r w:rsidRPr="00982983">
              <w:rPr>
                <w:rFonts w:ascii="Verdana" w:hAnsi="Verdana" w:cs="Arial"/>
                <w:lang w:val="pt-BR"/>
              </w:rPr>
              <w:t xml:space="preserve">CORTE CONSTITUCIONAL. Sentencia C-780 de 2001. </w:t>
            </w:r>
            <w:r w:rsidRPr="00982983">
              <w:rPr>
                <w:rFonts w:ascii="Verdana" w:hAnsi="Verdana" w:cs="Arial"/>
                <w:lang w:val="en-US"/>
              </w:rPr>
              <w:t>M.P. Jaime Córdoba Triviño</w:t>
            </w:r>
          </w:p>
          <w:p w14:paraId="64668704" w14:textId="77777777" w:rsidR="0010662B"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1D185F">
              <w:rPr>
                <w:rFonts w:ascii="Verdana" w:hAnsi="Verdana" w:cs="Arial"/>
                <w:lang w:val="pt-BR"/>
              </w:rPr>
              <w:t xml:space="preserve">CORTE CONSTITUCIONAL. Sentencia T-1039 de 2006. </w:t>
            </w:r>
            <w:r w:rsidRPr="001D185F">
              <w:rPr>
                <w:rFonts w:ascii="Verdana" w:hAnsi="Verdana" w:cs="Arial"/>
              </w:rPr>
              <w:t>M.P. Humberto Sierra Porto. La Corte Constitucional ha mantenido este criterio en las sentencias: C-903 de 2008. M.P. Jaime Araujo Rentería; C-101 de 2018. M.P. Gloria Stella Ortiz Delgado; entre otras.</w:t>
            </w:r>
          </w:p>
          <w:p w14:paraId="4C5697D8" w14:textId="77777777" w:rsidR="0010662B"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AC0F06">
              <w:rPr>
                <w:rFonts w:ascii="Verdana" w:hAnsi="Verdana" w:cs="Arial"/>
              </w:rPr>
              <w:t xml:space="preserve">CONSEJO DE ESTADO. Sección Tercera. Subsección A. Sentencia del 13 de noviembre de 2013. Rad. 25.646. C.P. Mauricio Fajardo Gómez.  </w:t>
            </w:r>
          </w:p>
          <w:p w14:paraId="310C08D2" w14:textId="77777777" w:rsidR="0010662B"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744BDD">
              <w:rPr>
                <w:rFonts w:ascii="Verdana" w:hAnsi="Verdana" w:cs="Arial"/>
              </w:rPr>
              <w:t>CONSEJO DE ESTADO. Sala de Consulta y Servicio Civil. Concepto del 30 de abril de 2015. Exp. 2251. Consejero Ponente: Álvaro Namén Vargas.</w:t>
            </w:r>
          </w:p>
          <w:p w14:paraId="35BB217A" w14:textId="77777777" w:rsidR="0010662B" w:rsidRPr="001D185F" w:rsidRDefault="0010662B" w:rsidP="0010662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C613F">
              <w:rPr>
                <w:rFonts w:ascii="Verdana" w:hAnsi="Verdana" w:cs="Arial"/>
              </w:rPr>
              <w:t>CONSEJO DE ESTADO. Sección Tercera. Subsección A. Sentencia del 24 de junio de 2015. Rad. 40.635. Consejero Ponente: Hernán Andrade Rincón (E).</w:t>
            </w:r>
          </w:p>
        </w:tc>
      </w:tr>
    </w:tbl>
    <w:p w14:paraId="0AE077C2" w14:textId="77777777" w:rsidR="0010662B" w:rsidRPr="001D185F" w:rsidRDefault="0010662B" w:rsidP="0010662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605F1388" w14:textId="77777777" w:rsidR="0010662B" w:rsidRPr="00BE151B" w:rsidRDefault="0010662B" w:rsidP="0010662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3A7D423E" w14:textId="77777777" w:rsidR="0010662B" w:rsidRPr="00BE151B" w:rsidRDefault="0010662B" w:rsidP="0010662B">
      <w:pPr>
        <w:spacing w:after="0" w:line="276" w:lineRule="auto"/>
        <w:ind w:firstLine="709"/>
        <w:jc w:val="both"/>
        <w:rPr>
          <w:rFonts w:ascii="Verdana" w:eastAsia="Times New Roman" w:hAnsi="Verdana" w:cs="Arial"/>
          <w:szCs w:val="24"/>
          <w:lang w:eastAsia="es-ES_tradnl"/>
        </w:rPr>
      </w:pPr>
    </w:p>
    <w:p w14:paraId="72630555" w14:textId="77777777" w:rsidR="0010662B" w:rsidRDefault="0010662B" w:rsidP="0010662B">
      <w:pPr>
        <w:widowControl w:val="0"/>
        <w:autoSpaceDE w:val="0"/>
        <w:autoSpaceDN w:val="0"/>
        <w:spacing w:after="0" w:line="276" w:lineRule="auto"/>
        <w:jc w:val="both"/>
        <w:rPr>
          <w:rStyle w:val="normaltextrun"/>
          <w:rFonts w:ascii="Verdana" w:hAnsi="Verdana" w:cs="Arial"/>
          <w:shd w:val="clear" w:color="auto" w:fill="FFFFFF"/>
          <w:lang w:val="es-ES"/>
        </w:rPr>
      </w:pPr>
      <w:r w:rsidRPr="00DD781E">
        <w:rPr>
          <w:rStyle w:val="normaltextrun"/>
          <w:rFonts w:ascii="Verdana" w:hAnsi="Verdana" w:cs="Arial"/>
          <w:shd w:val="clear" w:color="auto" w:fill="FFFFFF"/>
          <w:lang w:val="es-ES"/>
        </w:rPr>
        <w:t xml:space="preserve">Esta Subdirección se ha pronunciado sobre </w:t>
      </w:r>
      <w:r>
        <w:rPr>
          <w:rStyle w:val="normaltextrun"/>
          <w:rFonts w:ascii="Verdana" w:hAnsi="Verdana" w:cs="Arial"/>
          <w:shd w:val="clear" w:color="auto" w:fill="FFFFFF"/>
          <w:lang w:val="es-ES"/>
        </w:rPr>
        <w:t>el régimen de inhabilidades</w:t>
      </w:r>
      <w:r w:rsidRPr="00916093">
        <w:rPr>
          <w:rStyle w:val="normaltextrun"/>
          <w:rFonts w:ascii="Verdana" w:hAnsi="Verdana" w:cs="Arial"/>
          <w:shd w:val="clear" w:color="auto" w:fill="FFFFFF"/>
          <w:lang w:val="es-ES"/>
        </w:rPr>
        <w:t xml:space="preserve"> en los </w:t>
      </w:r>
      <w:r>
        <w:rPr>
          <w:rStyle w:val="normaltextrun"/>
          <w:rFonts w:ascii="Verdana" w:hAnsi="Verdana" w:cs="Arial"/>
          <w:shd w:val="clear" w:color="auto" w:fill="FFFFFF"/>
          <w:lang w:val="es-ES"/>
        </w:rPr>
        <w:t>C</w:t>
      </w:r>
      <w:r w:rsidRPr="00916093">
        <w:rPr>
          <w:rStyle w:val="normaltextrun"/>
          <w:rFonts w:ascii="Verdana" w:hAnsi="Verdana" w:cs="Arial"/>
          <w:shd w:val="clear" w:color="auto" w:fill="FFFFFF"/>
          <w:lang w:val="es-ES"/>
        </w:rPr>
        <w:t>onceptos</w:t>
      </w:r>
      <w:r>
        <w:rPr>
          <w:rStyle w:val="normaltextrun"/>
          <w:rFonts w:ascii="Verdana" w:hAnsi="Verdana" w:cs="Arial"/>
          <w:shd w:val="clear" w:color="auto" w:fill="FFFFFF"/>
          <w:lang w:val="es-ES"/>
        </w:rPr>
        <w:t xml:space="preserve"> </w:t>
      </w:r>
      <w:r w:rsidRPr="005E688A">
        <w:rPr>
          <w:rStyle w:val="normaltextrun"/>
          <w:rFonts w:ascii="Verdana" w:hAnsi="Verdana" w:cs="Arial"/>
          <w:shd w:val="clear" w:color="auto" w:fill="FFFFFF"/>
          <w:lang w:val="es-ES"/>
        </w:rPr>
        <w:t xml:space="preserve">4201912000004765 de 29 de agosto de 2019, 4201913000005694 del 3 de octubre de 2019, 4201912000006288 del 7 de septiembre de 2019, 4201912000006259 del 13 de noviembre de 2019, 4201913000006917 del 21 de noviembre de 2019, 4201912000006978 del 25 de noviembre de 2019, 4201912000007291 del 3 de diciembre de 2019, 4201912000007281 del 5 de diciembre de 2019, 4201912000007060 del 11 de diciembre de 2019, 4201912000007512 del 16  diciembre de 2019, 4201912000008460 del 14 de febrero de 2020, C-032 del 19 de febrero de 2020, C-090 del 24 de febrero de 2020, C-125 del 3 de marzo de 2020, C-157 del 17 de marzo de 2020, C-273 del 21 de mayo de 2020, C-386 del 24 de julio de 2020, C-580 del 21 de septiembre de 2020, C-639 del 27 de octubre del 2020, C-650 del 10 de noviembre de 2020, C-684 del 24 de noviembre de 2020 C-004 del 12 de febrero de 2021, C-815 del 18 de febrero de 2021, C-210 del 12 de mayo de 2021, C-275 del 11 de junio de 2021, C-321 del 2 de julio de 2021, C-410 del 7 de julio </w:t>
      </w:r>
      <w:r w:rsidRPr="005E688A">
        <w:rPr>
          <w:rStyle w:val="normaltextrun"/>
          <w:rFonts w:ascii="Verdana" w:hAnsi="Verdana" w:cs="Arial"/>
          <w:shd w:val="clear" w:color="auto" w:fill="FFFFFF"/>
          <w:lang w:val="es-ES"/>
        </w:rPr>
        <w:lastRenderedPageBreak/>
        <w:t>del 2021, C-491 del 14 de septiembre de 2021, C-028 del 28 de febrero de 2022, C-318 del 18 de mayo de 2022, C-252 del 30 de mayo de 2022</w:t>
      </w:r>
      <w:r>
        <w:rPr>
          <w:rStyle w:val="normaltextrun"/>
          <w:rFonts w:ascii="Verdana" w:hAnsi="Verdana" w:cs="Arial"/>
          <w:shd w:val="clear" w:color="auto" w:fill="FFFFFF"/>
          <w:lang w:val="es-ES"/>
        </w:rPr>
        <w:t>,</w:t>
      </w:r>
      <w:r w:rsidRPr="005E688A">
        <w:rPr>
          <w:rStyle w:val="normaltextrun"/>
          <w:rFonts w:ascii="Verdana" w:hAnsi="Verdana" w:cs="Arial"/>
          <w:shd w:val="clear" w:color="auto" w:fill="FFFFFF"/>
          <w:lang w:val="es-ES"/>
        </w:rPr>
        <w:t xml:space="preserve"> C-175 del 4 de mayo de 2023</w:t>
      </w:r>
      <w:r>
        <w:rPr>
          <w:rStyle w:val="normaltextrun"/>
          <w:rFonts w:ascii="Verdana" w:hAnsi="Verdana" w:cs="Arial"/>
          <w:shd w:val="clear" w:color="auto" w:fill="FFFFFF"/>
          <w:lang w:val="es-ES"/>
        </w:rPr>
        <w:t>, C-234 del 5 de julio de 2023, C-108 del 6 de agosto de 2024, C-136 del 6 de agosto de 2024, C-205 del 12 de septiembre de 2024, C-408 del 21 de agosto de 2024 y C-466 del 23 de septiembre de 2024.</w:t>
      </w:r>
    </w:p>
    <w:p w14:paraId="5BD092A7" w14:textId="77777777" w:rsidR="0010662B" w:rsidRDefault="0010662B" w:rsidP="0010662B">
      <w:pPr>
        <w:widowControl w:val="0"/>
        <w:autoSpaceDE w:val="0"/>
        <w:autoSpaceDN w:val="0"/>
        <w:spacing w:after="0" w:line="276" w:lineRule="auto"/>
        <w:jc w:val="both"/>
        <w:rPr>
          <w:rStyle w:val="normaltextrun"/>
          <w:rFonts w:ascii="Verdana" w:hAnsi="Verdana" w:cs="Arial"/>
          <w:shd w:val="clear" w:color="auto" w:fill="FFFFFF"/>
          <w:lang w:val="es-ES"/>
        </w:rPr>
      </w:pPr>
    </w:p>
    <w:p w14:paraId="6B96E569" w14:textId="77777777" w:rsidR="0010662B" w:rsidRDefault="0010662B" w:rsidP="0010662B">
      <w:pPr>
        <w:widowControl w:val="0"/>
        <w:autoSpaceDE w:val="0"/>
        <w:autoSpaceDN w:val="0"/>
        <w:spacing w:after="0" w:line="276" w:lineRule="auto"/>
        <w:jc w:val="both"/>
        <w:rPr>
          <w:rStyle w:val="normaltextrun"/>
          <w:rFonts w:ascii="Verdana" w:hAnsi="Verdana" w:cs="Arial"/>
          <w:color w:val="FF0000"/>
          <w:shd w:val="clear" w:color="auto" w:fill="FFFFFF"/>
          <w:lang w:val="es-ES"/>
        </w:rPr>
      </w:pPr>
      <w:r w:rsidRPr="008E269E">
        <w:rPr>
          <w:rFonts w:ascii="Verdana" w:hAnsi="Verdana" w:cs="Arial"/>
          <w:shd w:val="clear" w:color="auto" w:fill="FFFFFF"/>
        </w:rPr>
        <w:t>Estos y otros conceptos se encuentran disponibles para consulta gratuita en nuestro Sistema de Relatoría en el cual también podrá encontrar jurisprudencia del Consejo de Estado, laudos arbitrales y la normativa de la contratación pública concordada con la doctrina de la Agencia.  Accede al sistema a través del siguiente enlace: </w:t>
      </w:r>
    </w:p>
    <w:p w14:paraId="16EBD7B2" w14:textId="77777777" w:rsidR="0010662B" w:rsidRPr="000B4C97" w:rsidRDefault="0010662B" w:rsidP="0010662B">
      <w:pPr>
        <w:widowControl w:val="0"/>
        <w:autoSpaceDE w:val="0"/>
        <w:autoSpaceDN w:val="0"/>
        <w:spacing w:after="0" w:line="276" w:lineRule="auto"/>
        <w:jc w:val="both"/>
        <w:rPr>
          <w:rFonts w:ascii="Verdana" w:eastAsia="Calibri" w:hAnsi="Verdana" w:cs="Arial"/>
          <w:lang w:val="es-ES" w:eastAsia="es-ES_tradnl"/>
        </w:rPr>
      </w:pPr>
    </w:p>
    <w:p w14:paraId="70BE8687" w14:textId="77777777" w:rsidR="0010662B" w:rsidRDefault="0010662B" w:rsidP="0010662B">
      <w:pPr>
        <w:widowControl w:val="0"/>
        <w:autoSpaceDE w:val="0"/>
        <w:autoSpaceDN w:val="0"/>
        <w:spacing w:after="0" w:line="276" w:lineRule="auto"/>
        <w:jc w:val="both"/>
        <w:rPr>
          <w:rFonts w:ascii="Verdana" w:eastAsia="Calibri" w:hAnsi="Verdana" w:cs="Arial"/>
          <w:lang w:eastAsia="es-ES_tradnl"/>
        </w:rPr>
      </w:pPr>
      <w:hyperlink r:id="rId9" w:history="1">
        <w:r w:rsidRPr="00412C52">
          <w:rPr>
            <w:rStyle w:val="Hipervnculo"/>
            <w:rFonts w:ascii="Verdana" w:eastAsia="Calibri" w:hAnsi="Verdana" w:cs="Arial"/>
            <w:lang w:eastAsia="es-ES_tradnl"/>
          </w:rPr>
          <w:t>https://relatoria.colombiacompra.gov.co/</w:t>
        </w:r>
      </w:hyperlink>
      <w:r>
        <w:rPr>
          <w:rFonts w:ascii="Verdana" w:eastAsia="Calibri" w:hAnsi="Verdana" w:cs="Arial"/>
          <w:lang w:eastAsia="es-ES_tradnl"/>
        </w:rPr>
        <w:t xml:space="preserve"> </w:t>
      </w:r>
    </w:p>
    <w:p w14:paraId="583BD217" w14:textId="77777777" w:rsidR="0010662B" w:rsidRDefault="0010662B" w:rsidP="0010662B">
      <w:pPr>
        <w:widowControl w:val="0"/>
        <w:autoSpaceDE w:val="0"/>
        <w:autoSpaceDN w:val="0"/>
        <w:spacing w:after="0" w:line="276" w:lineRule="auto"/>
        <w:jc w:val="both"/>
        <w:rPr>
          <w:rFonts w:ascii="Verdana" w:eastAsia="Calibri" w:hAnsi="Verdana" w:cs="Arial"/>
          <w:lang w:eastAsia="es-ES_tradnl"/>
        </w:rPr>
      </w:pPr>
    </w:p>
    <w:p w14:paraId="09F7AFAC" w14:textId="77777777" w:rsidR="0010662B" w:rsidRDefault="0010662B" w:rsidP="0010662B">
      <w:pPr>
        <w:spacing w:after="0" w:line="240" w:lineRule="auto"/>
        <w:jc w:val="both"/>
        <w:rPr>
          <w:rFonts w:ascii="Verdana" w:hAnsi="Verdana" w:cs="Arial"/>
          <w:color w:val="000000" w:themeColor="text1"/>
          <w:shd w:val="clear" w:color="auto" w:fill="FFFFFF"/>
        </w:rPr>
      </w:pPr>
      <w:r w:rsidRPr="00B47C95">
        <w:rPr>
          <w:rFonts w:ascii="Verdana" w:hAnsi="Verdana" w:cs="Arial"/>
          <w:color w:val="000000" w:themeColor="text1"/>
          <w:shd w:val="clear" w:color="auto" w:fill="FFFFFF"/>
        </w:rPr>
        <w:t>También le invitamos a consultar las versiones V y VI de 2024 del Boletín de Relatoría de la Subdirección de Gestión Contractual relacionados con las guías de Plan Anual de Adquisiciones y la odalidad de selección de mínima cuantía , los cuales se pueden descargar en la página web de la Agencia:</w:t>
      </w:r>
    </w:p>
    <w:p w14:paraId="7E1B21DD" w14:textId="77777777" w:rsidR="0010662B" w:rsidRDefault="0010662B" w:rsidP="0010662B">
      <w:pPr>
        <w:spacing w:after="0" w:line="240" w:lineRule="auto"/>
        <w:jc w:val="both"/>
        <w:rPr>
          <w:rFonts w:ascii="Verdana" w:hAnsi="Verdana" w:cs="Arial"/>
          <w:color w:val="000000" w:themeColor="text1"/>
          <w:shd w:val="clear" w:color="auto" w:fill="FFFFFF"/>
        </w:rPr>
      </w:pPr>
    </w:p>
    <w:p w14:paraId="71EF06F4" w14:textId="77777777" w:rsidR="0010662B" w:rsidRDefault="0010662B" w:rsidP="0010662B">
      <w:pPr>
        <w:spacing w:after="0" w:line="240" w:lineRule="auto"/>
        <w:jc w:val="both"/>
        <w:rPr>
          <w:rFonts w:ascii="Verdana" w:hAnsi="Verdana" w:cs="Arial"/>
          <w:color w:val="000000" w:themeColor="text1"/>
          <w:shd w:val="clear" w:color="auto" w:fill="FFFFFF"/>
        </w:rPr>
      </w:pPr>
      <w:hyperlink r:id="rId10" w:tgtFrame="_blank" w:tooltip="Dirección URL original: https://www.colombiacompra.gov.co/sala-de-prensa/boletin-digital. Haga clic o pulse si confía en este vínculo." w:history="1">
        <w:r w:rsidRPr="00B47C95">
          <w:rPr>
            <w:rStyle w:val="Hipervnculo"/>
            <w:rFonts w:ascii="Verdana" w:hAnsi="Verdana" w:cs="Arial"/>
            <w:shd w:val="clear" w:color="auto" w:fill="FFFFFF"/>
          </w:rPr>
          <w:t>https://www.colombiacompra.gov.co/sala-de-prensa/boletin-digital</w:t>
        </w:r>
      </w:hyperlink>
    </w:p>
    <w:p w14:paraId="79EABF97" w14:textId="77777777" w:rsidR="0010662B" w:rsidRPr="00BE151B" w:rsidRDefault="0010662B" w:rsidP="0010662B">
      <w:pPr>
        <w:spacing w:after="0" w:line="240" w:lineRule="auto"/>
        <w:jc w:val="both"/>
        <w:rPr>
          <w:rFonts w:ascii="Verdana" w:hAnsi="Verdana"/>
        </w:rPr>
      </w:pPr>
    </w:p>
    <w:p w14:paraId="3DC4F4EC" w14:textId="77777777" w:rsidR="0010662B" w:rsidRPr="00BE151B" w:rsidRDefault="0010662B" w:rsidP="0010662B">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47F4DF52" w14:textId="77777777" w:rsidR="0010662B" w:rsidRPr="00BE151B" w:rsidRDefault="0010662B" w:rsidP="0010662B">
      <w:pPr>
        <w:spacing w:after="0" w:line="240" w:lineRule="auto"/>
        <w:jc w:val="both"/>
        <w:rPr>
          <w:rFonts w:ascii="Verdana" w:hAnsi="Verdana"/>
        </w:rPr>
      </w:pPr>
    </w:p>
    <w:p w14:paraId="1828219C" w14:textId="77777777" w:rsidR="0010662B" w:rsidRPr="00BE151B" w:rsidRDefault="0010662B" w:rsidP="0010662B">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569E28D3" w14:textId="77777777" w:rsidR="0010662B" w:rsidRPr="00BE151B" w:rsidRDefault="0010662B" w:rsidP="0010662B">
      <w:pPr>
        <w:spacing w:after="0" w:line="240" w:lineRule="auto"/>
        <w:jc w:val="both"/>
        <w:rPr>
          <w:rFonts w:ascii="Verdana" w:hAnsi="Verdana"/>
        </w:rPr>
      </w:pPr>
      <w:r w:rsidRPr="00BE151B">
        <w:rPr>
          <w:rFonts w:ascii="Verdana" w:hAnsi="Verdana"/>
        </w:rPr>
        <w:t xml:space="preserve">Facebook: </w:t>
      </w:r>
      <w:r w:rsidRPr="00BE151B">
        <w:rPr>
          <w:rStyle w:val="Hipervnculo"/>
          <w:rFonts w:ascii="Verdana" w:hAnsi="Verdana"/>
          <w:color w:val="4472C4" w:themeColor="accent1"/>
        </w:rPr>
        <w:t>ColombiaCompraEficiente</w:t>
      </w:r>
    </w:p>
    <w:p w14:paraId="0C91079D" w14:textId="77777777" w:rsidR="0010662B" w:rsidRPr="00BE151B" w:rsidRDefault="0010662B" w:rsidP="0010662B">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32DDC729" w14:textId="77777777" w:rsidR="0010662B" w:rsidRPr="00BE151B" w:rsidRDefault="0010662B" w:rsidP="0010662B">
      <w:pPr>
        <w:widowControl w:val="0"/>
        <w:autoSpaceDE w:val="0"/>
        <w:autoSpaceDN w:val="0"/>
        <w:spacing w:after="0" w:line="276" w:lineRule="auto"/>
        <w:jc w:val="both"/>
        <w:rPr>
          <w:rFonts w:ascii="Verdana" w:hAnsi="Verdana"/>
        </w:rPr>
      </w:pPr>
    </w:p>
    <w:p w14:paraId="012E416C" w14:textId="77777777" w:rsidR="0010662B" w:rsidRPr="00BE151B" w:rsidRDefault="0010662B" w:rsidP="0010662B">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66907152" w14:textId="77777777" w:rsidR="0010662B" w:rsidRPr="00BE151B" w:rsidRDefault="0010662B" w:rsidP="0010662B">
      <w:pPr>
        <w:spacing w:after="0" w:line="276" w:lineRule="auto"/>
        <w:ind w:firstLine="709"/>
        <w:jc w:val="both"/>
        <w:rPr>
          <w:rFonts w:ascii="Verdana" w:eastAsia="Times New Roman" w:hAnsi="Verdana" w:cs="Arial"/>
          <w:szCs w:val="24"/>
          <w:lang w:eastAsia="es-ES_tradnl"/>
        </w:rPr>
      </w:pPr>
    </w:p>
    <w:p w14:paraId="4E58539F" w14:textId="77777777" w:rsidR="0010662B" w:rsidRPr="00BE151B" w:rsidRDefault="0010662B" w:rsidP="0010662B">
      <w:pPr>
        <w:spacing w:after="0" w:line="276" w:lineRule="auto"/>
        <w:jc w:val="both"/>
        <w:rPr>
          <w:rFonts w:ascii="Verdana" w:eastAsia="Times New Roman" w:hAnsi="Verdana" w:cs="Arial"/>
          <w:lang w:eastAsia="es-CO"/>
        </w:rPr>
      </w:pPr>
      <w:bookmarkStart w:id="1" w:name="_Hlk117695077"/>
      <w:r w:rsidRPr="00BE151B">
        <w:rPr>
          <w:rFonts w:ascii="Verdana" w:eastAsia="Times New Roman" w:hAnsi="Verdana" w:cs="Arial"/>
          <w:lang w:eastAsia="es-CO"/>
        </w:rPr>
        <w:t>Atentamente,</w:t>
      </w:r>
    </w:p>
    <w:bookmarkEnd w:id="1"/>
    <w:p w14:paraId="2D8CD13B" w14:textId="7E422FA3" w:rsidR="0010662B" w:rsidRPr="00BE151B" w:rsidRDefault="003E2F45" w:rsidP="0010662B">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lastRenderedPageBreak/>
        <w:drawing>
          <wp:inline distT="0" distB="0" distL="0" distR="0" wp14:anchorId="4C2A7600" wp14:editId="13FDCC86">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1"/>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10662B" w:rsidRPr="00BE151B" w14:paraId="1FD1FAD2" w14:textId="77777777" w:rsidTr="003640D3">
        <w:trPr>
          <w:trHeight w:val="286"/>
        </w:trPr>
        <w:tc>
          <w:tcPr>
            <w:tcW w:w="893" w:type="dxa"/>
            <w:vAlign w:val="center"/>
            <w:hideMark/>
          </w:tcPr>
          <w:p w14:paraId="0E438F71" w14:textId="77777777" w:rsidR="0010662B" w:rsidRPr="00BE151B" w:rsidRDefault="0010662B"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Elaboró:</w:t>
            </w:r>
          </w:p>
        </w:tc>
        <w:tc>
          <w:tcPr>
            <w:tcW w:w="4777" w:type="dxa"/>
            <w:tcBorders>
              <w:top w:val="nil"/>
              <w:left w:val="nil"/>
              <w:bottom w:val="dotted" w:sz="4" w:space="0" w:color="7F7F7F" w:themeColor="text1" w:themeTint="80"/>
              <w:right w:val="nil"/>
            </w:tcBorders>
            <w:vAlign w:val="center"/>
            <w:hideMark/>
          </w:tcPr>
          <w:p w14:paraId="50E28EB5" w14:textId="77777777" w:rsidR="0010662B" w:rsidRPr="00BE151B" w:rsidRDefault="0010662B" w:rsidP="003640D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1E89997C" w14:textId="77777777" w:rsidR="0010662B" w:rsidRPr="00BE151B" w:rsidRDefault="0010662B"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10662B" w:rsidRPr="00BE151B" w14:paraId="2E340460" w14:textId="77777777" w:rsidTr="003640D3">
        <w:trPr>
          <w:trHeight w:val="299"/>
        </w:trPr>
        <w:tc>
          <w:tcPr>
            <w:tcW w:w="893" w:type="dxa"/>
            <w:vAlign w:val="center"/>
            <w:hideMark/>
          </w:tcPr>
          <w:p w14:paraId="55901CC9" w14:textId="77777777" w:rsidR="0010662B" w:rsidRPr="00BE151B" w:rsidRDefault="0010662B"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14AD2456" w14:textId="77777777" w:rsidR="0010662B" w:rsidRPr="00BE151B" w:rsidRDefault="0010662B" w:rsidP="003640D3">
            <w:pPr>
              <w:rPr>
                <w:rFonts w:ascii="Verdana" w:eastAsia="Times New Roman" w:hAnsi="Verdana" w:cs="Arial"/>
                <w:sz w:val="16"/>
                <w:szCs w:val="16"/>
                <w:lang w:eastAsia="es-ES"/>
              </w:rPr>
            </w:pPr>
            <w:r>
              <w:rPr>
                <w:rFonts w:ascii="Verdana" w:eastAsia="Times New Roman" w:hAnsi="Verdana" w:cs="Arial"/>
                <w:sz w:val="16"/>
                <w:szCs w:val="16"/>
                <w:lang w:eastAsia="es-ES"/>
              </w:rPr>
              <w:t>X</w:t>
            </w:r>
            <w:r w:rsidRPr="00E104D7">
              <w:rPr>
                <w:rFonts w:ascii="Verdana" w:eastAsia="Times New Roman" w:hAnsi="Verdana" w:cs="Arial"/>
                <w:sz w:val="16"/>
                <w:szCs w:val="16"/>
                <w:lang w:eastAsia="es-ES"/>
              </w:rPr>
              <w:t>imena Ríos López</w:t>
            </w:r>
          </w:p>
          <w:p w14:paraId="5157BE80" w14:textId="77777777" w:rsidR="0010662B" w:rsidRPr="00BE151B" w:rsidRDefault="0010662B" w:rsidP="003640D3">
            <w:pPr>
              <w:rPr>
                <w:rFonts w:ascii="Verdana" w:eastAsia="Times New Roman" w:hAnsi="Verdana" w:cs="Arial"/>
                <w:sz w:val="14"/>
                <w:szCs w:val="14"/>
                <w:lang w:eastAsia="es-ES"/>
              </w:rPr>
            </w:pPr>
            <w:r w:rsidRPr="5460DB6F">
              <w:rPr>
                <w:rFonts w:ascii="Verdana" w:eastAsia="Times New Roman" w:hAnsi="Verdana" w:cs="Arial"/>
                <w:sz w:val="16"/>
                <w:szCs w:val="16"/>
                <w:lang w:eastAsia="es-ES"/>
              </w:rPr>
              <w:t>Gestor T1-11</w:t>
            </w:r>
            <w:r w:rsidRPr="00BE151B">
              <w:rPr>
                <w:rFonts w:ascii="Verdana" w:eastAsia="Times New Roman" w:hAnsi="Verdana" w:cs="Arial"/>
                <w:sz w:val="16"/>
                <w:szCs w:val="16"/>
                <w:lang w:eastAsia="es-ES"/>
              </w:rPr>
              <w:t xml:space="preserve"> de la Subdirección de Gestión Contractual</w:t>
            </w:r>
          </w:p>
        </w:tc>
      </w:tr>
      <w:tr w:rsidR="0010662B" w:rsidRPr="00BE151B" w14:paraId="776920A5" w14:textId="77777777" w:rsidTr="003640D3">
        <w:trPr>
          <w:trHeight w:val="272"/>
        </w:trPr>
        <w:tc>
          <w:tcPr>
            <w:tcW w:w="893" w:type="dxa"/>
            <w:vAlign w:val="center"/>
            <w:hideMark/>
          </w:tcPr>
          <w:p w14:paraId="1C98A27B" w14:textId="77777777" w:rsidR="0010662B" w:rsidRPr="00BE151B" w:rsidRDefault="0010662B"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269E06BA" w14:textId="77777777" w:rsidR="0010662B" w:rsidRPr="00BE151B" w:rsidRDefault="0010662B" w:rsidP="003640D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1774D056" w14:textId="77777777" w:rsidR="0010662B" w:rsidRPr="00BE151B" w:rsidRDefault="0010662B"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17165CFE" w14:textId="77777777" w:rsidR="0010662B" w:rsidRPr="00BE151B" w:rsidRDefault="0010662B" w:rsidP="0010662B">
      <w:pPr>
        <w:spacing w:after="0" w:line="276" w:lineRule="auto"/>
        <w:jc w:val="both"/>
        <w:rPr>
          <w:rFonts w:ascii="Verdana" w:eastAsia="Times New Roman" w:hAnsi="Verdana" w:cs="Arial"/>
        </w:rPr>
      </w:pPr>
    </w:p>
    <w:p w14:paraId="4FFA4A46" w14:textId="77777777" w:rsidR="0010662B" w:rsidRPr="00BE151B" w:rsidRDefault="0010662B" w:rsidP="0010662B">
      <w:pPr>
        <w:spacing w:after="0" w:line="240" w:lineRule="auto"/>
        <w:rPr>
          <w:rFonts w:ascii="Verdana" w:eastAsia="Times New Roman" w:hAnsi="Verdana" w:cs="Arial"/>
          <w:sz w:val="24"/>
          <w:szCs w:val="24"/>
          <w:lang w:eastAsia="es-ES_tradnl"/>
        </w:rPr>
      </w:pPr>
    </w:p>
    <w:sectPr w:rsidR="0010662B" w:rsidRPr="00BE151B" w:rsidSect="0010662B">
      <w:headerReference w:type="default" r:id="rId12"/>
      <w:footerReference w:type="default" r:id="rId13"/>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DD6D8" w14:textId="77777777" w:rsidR="00743CCC" w:rsidRDefault="00743CCC" w:rsidP="0010662B">
      <w:pPr>
        <w:spacing w:after="0" w:line="240" w:lineRule="auto"/>
      </w:pPr>
      <w:r>
        <w:separator/>
      </w:r>
    </w:p>
  </w:endnote>
  <w:endnote w:type="continuationSeparator" w:id="0">
    <w:p w14:paraId="5A685634" w14:textId="77777777" w:rsidR="00743CCC" w:rsidRDefault="00743CCC" w:rsidP="00106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8D9E1" w14:textId="77777777" w:rsidR="00823324" w:rsidRDefault="00823324">
    <w:pPr>
      <w:pStyle w:val="Piedepgina"/>
    </w:pPr>
  </w:p>
  <w:p w14:paraId="378B8932" w14:textId="77777777" w:rsidR="00823324"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7F1B11C3" w14:textId="77777777" w:rsidR="00823324"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4C85546F" w14:textId="77777777" w:rsidR="00823324"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32050410" w14:textId="77777777" w:rsidR="00823324"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4A55C" w14:textId="77777777" w:rsidR="00743CCC" w:rsidRDefault="00743CCC" w:rsidP="0010662B">
      <w:pPr>
        <w:spacing w:after="0" w:line="240" w:lineRule="auto"/>
      </w:pPr>
      <w:r>
        <w:separator/>
      </w:r>
    </w:p>
  </w:footnote>
  <w:footnote w:type="continuationSeparator" w:id="0">
    <w:p w14:paraId="757D5E9A" w14:textId="77777777" w:rsidR="00743CCC" w:rsidRDefault="00743CCC" w:rsidP="0010662B">
      <w:pPr>
        <w:spacing w:after="0" w:line="240" w:lineRule="auto"/>
      </w:pPr>
      <w:r>
        <w:continuationSeparator/>
      </w:r>
    </w:p>
  </w:footnote>
  <w:footnote w:id="1">
    <w:p w14:paraId="09DF7703" w14:textId="77777777" w:rsidR="0010662B" w:rsidRPr="00DE59D0" w:rsidRDefault="0010662B" w:rsidP="0010662B">
      <w:pPr>
        <w:pStyle w:val="Textonotapie"/>
        <w:ind w:firstLine="709"/>
        <w:jc w:val="both"/>
        <w:rPr>
          <w:rFonts w:ascii="Verdana" w:hAnsi="Verdana" w:cs="Arial"/>
          <w:sz w:val="10"/>
          <w:szCs w:val="10"/>
          <w:lang w:val="pt-BR"/>
        </w:rPr>
      </w:pPr>
      <w:r w:rsidRPr="00DE59D0">
        <w:rPr>
          <w:rStyle w:val="Refdenotaalpie"/>
          <w:rFonts w:ascii="Verdana" w:hAnsi="Verdana" w:cs="Arial"/>
          <w:sz w:val="10"/>
          <w:szCs w:val="10"/>
        </w:rPr>
        <w:footnoteRef/>
      </w:r>
      <w:r w:rsidRPr="00DE59D0">
        <w:rPr>
          <w:rFonts w:ascii="Verdana" w:hAnsi="Verdana" w:cs="Arial"/>
          <w:sz w:val="10"/>
          <w:szCs w:val="10"/>
          <w:lang w:val="pt-BR"/>
        </w:rPr>
        <w:t xml:space="preserve"> CORTE CONSTITUCIONAL. Sentencia C-1016 de 2012. M.P. Jorge Iván Palacio. </w:t>
      </w:r>
    </w:p>
    <w:p w14:paraId="5CE5707A" w14:textId="77777777" w:rsidR="0010662B" w:rsidRPr="00DE59D0" w:rsidRDefault="0010662B" w:rsidP="0010662B">
      <w:pPr>
        <w:pStyle w:val="Textonotapie"/>
        <w:ind w:firstLine="709"/>
        <w:jc w:val="both"/>
        <w:rPr>
          <w:rFonts w:ascii="Verdana" w:hAnsi="Verdana" w:cs="Arial"/>
          <w:sz w:val="10"/>
          <w:szCs w:val="10"/>
          <w:lang w:val="pt-BR"/>
        </w:rPr>
      </w:pPr>
    </w:p>
  </w:footnote>
  <w:footnote w:id="2">
    <w:p w14:paraId="6918CF9C" w14:textId="77777777" w:rsidR="0010662B" w:rsidRPr="00DE59D0" w:rsidRDefault="0010662B" w:rsidP="0010662B">
      <w:pPr>
        <w:pStyle w:val="Textonotapie"/>
        <w:ind w:firstLine="709"/>
        <w:jc w:val="both"/>
        <w:rPr>
          <w:rFonts w:ascii="Verdana" w:hAnsi="Verdana" w:cs="Arial"/>
          <w:sz w:val="10"/>
          <w:szCs w:val="10"/>
          <w:lang w:val="pt-BR"/>
        </w:rPr>
      </w:pPr>
      <w:r w:rsidRPr="00DE59D0">
        <w:rPr>
          <w:rStyle w:val="Refdenotaalpie"/>
          <w:rFonts w:ascii="Verdana" w:hAnsi="Verdana" w:cs="Arial"/>
          <w:sz w:val="10"/>
          <w:szCs w:val="10"/>
        </w:rPr>
        <w:footnoteRef/>
      </w:r>
      <w:r w:rsidRPr="00DE59D0">
        <w:rPr>
          <w:rFonts w:ascii="Verdana" w:hAnsi="Verdana" w:cs="Arial"/>
          <w:sz w:val="10"/>
          <w:szCs w:val="10"/>
        </w:rPr>
        <w:t xml:space="preserve"> CONSEJO DE ESTADO. Sección Tercera. Subsección A. Sentencia del 13 de noviembre de 2013. </w:t>
      </w:r>
      <w:r w:rsidRPr="00DE59D0">
        <w:rPr>
          <w:rFonts w:ascii="Verdana" w:hAnsi="Verdana" w:cs="Arial"/>
          <w:sz w:val="10"/>
          <w:szCs w:val="10"/>
          <w:lang w:val="pt-BR"/>
        </w:rPr>
        <w:t xml:space="preserve">Rad. 25.646. C.P. Mauricio Fajardo Gómez.  </w:t>
      </w:r>
    </w:p>
    <w:p w14:paraId="77E184F6" w14:textId="77777777" w:rsidR="0010662B" w:rsidRPr="00DE59D0" w:rsidRDefault="0010662B" w:rsidP="0010662B">
      <w:pPr>
        <w:pStyle w:val="Textonotapie"/>
        <w:ind w:firstLine="709"/>
        <w:jc w:val="both"/>
        <w:rPr>
          <w:rFonts w:ascii="Verdana" w:hAnsi="Verdana" w:cs="Arial"/>
          <w:sz w:val="10"/>
          <w:szCs w:val="10"/>
          <w:lang w:val="pt-BR"/>
        </w:rPr>
      </w:pPr>
    </w:p>
  </w:footnote>
  <w:footnote w:id="3">
    <w:p w14:paraId="21B6C3C9" w14:textId="77777777" w:rsidR="0010662B" w:rsidRPr="00DE59D0" w:rsidRDefault="0010662B" w:rsidP="0010662B">
      <w:pPr>
        <w:pStyle w:val="Textonotapie"/>
        <w:ind w:firstLine="709"/>
        <w:jc w:val="both"/>
        <w:rPr>
          <w:rFonts w:ascii="Verdana" w:hAnsi="Verdana" w:cs="Arial"/>
          <w:sz w:val="10"/>
          <w:szCs w:val="10"/>
          <w:lang w:val="pt-BR"/>
        </w:rPr>
      </w:pPr>
      <w:r w:rsidRPr="00DE59D0">
        <w:rPr>
          <w:rFonts w:ascii="Verdana" w:hAnsi="Verdana" w:cs="Arial"/>
          <w:sz w:val="10"/>
          <w:szCs w:val="10"/>
          <w:vertAlign w:val="superscript"/>
        </w:rPr>
        <w:footnoteRef/>
      </w:r>
      <w:r w:rsidRPr="00DE59D0">
        <w:rPr>
          <w:rFonts w:ascii="Verdana" w:hAnsi="Verdana" w:cs="Arial"/>
          <w:sz w:val="10"/>
          <w:szCs w:val="10"/>
          <w:lang w:val="pt-BR"/>
        </w:rPr>
        <w:t xml:space="preserve"> CORTE CONSTITUCIONAL. Sentencia C-415 de 1994. M.P. Eduardo Cifuentes Muñoz. </w:t>
      </w:r>
    </w:p>
    <w:p w14:paraId="7B81B794" w14:textId="77777777" w:rsidR="0010662B" w:rsidRPr="00DE59D0" w:rsidRDefault="0010662B" w:rsidP="0010662B">
      <w:pPr>
        <w:pStyle w:val="Textonotapie"/>
        <w:ind w:firstLine="709"/>
        <w:jc w:val="both"/>
        <w:rPr>
          <w:rFonts w:ascii="Verdana" w:hAnsi="Verdana" w:cs="Arial"/>
          <w:sz w:val="10"/>
          <w:szCs w:val="10"/>
          <w:lang w:val="pt-BR"/>
        </w:rPr>
      </w:pPr>
    </w:p>
  </w:footnote>
  <w:footnote w:id="4">
    <w:p w14:paraId="3A6CA67F" w14:textId="77777777" w:rsidR="0010662B" w:rsidRPr="00DE59D0" w:rsidRDefault="0010662B" w:rsidP="0010662B">
      <w:pPr>
        <w:pStyle w:val="Textonotapie"/>
        <w:ind w:firstLine="709"/>
        <w:jc w:val="both"/>
        <w:rPr>
          <w:rFonts w:ascii="Verdana" w:hAnsi="Verdana" w:cs="Arial"/>
          <w:sz w:val="10"/>
          <w:szCs w:val="10"/>
          <w:lang w:val="pt-BR"/>
        </w:rPr>
      </w:pPr>
      <w:r w:rsidRPr="00DE59D0">
        <w:rPr>
          <w:rStyle w:val="Refdenotaalpie"/>
          <w:rFonts w:ascii="Verdana" w:hAnsi="Verdana" w:cs="Arial"/>
          <w:sz w:val="10"/>
          <w:szCs w:val="10"/>
        </w:rPr>
        <w:footnoteRef/>
      </w:r>
      <w:r w:rsidRPr="00DE59D0">
        <w:rPr>
          <w:rFonts w:ascii="Verdana" w:hAnsi="Verdana" w:cs="Arial"/>
          <w:sz w:val="10"/>
          <w:szCs w:val="10"/>
          <w:lang w:val="pt-BR"/>
        </w:rPr>
        <w:t xml:space="preserve"> Ibídem. </w:t>
      </w:r>
    </w:p>
    <w:p w14:paraId="753C282E" w14:textId="77777777" w:rsidR="0010662B" w:rsidRPr="00DE59D0" w:rsidRDefault="0010662B" w:rsidP="0010662B">
      <w:pPr>
        <w:pStyle w:val="Textonotapie"/>
        <w:ind w:firstLine="709"/>
        <w:jc w:val="both"/>
        <w:rPr>
          <w:rFonts w:ascii="Verdana" w:hAnsi="Verdana" w:cs="Arial"/>
          <w:sz w:val="10"/>
          <w:szCs w:val="10"/>
          <w:lang w:val="pt-BR"/>
        </w:rPr>
      </w:pPr>
    </w:p>
  </w:footnote>
  <w:footnote w:id="5">
    <w:p w14:paraId="1FDE68F2" w14:textId="77777777" w:rsidR="0010662B" w:rsidRPr="00DE59D0" w:rsidRDefault="0010662B" w:rsidP="0010662B">
      <w:pPr>
        <w:pStyle w:val="Textonotapie"/>
        <w:ind w:firstLine="709"/>
        <w:jc w:val="both"/>
        <w:rPr>
          <w:rFonts w:ascii="Verdana" w:hAnsi="Verdana" w:cs="Arial"/>
          <w:sz w:val="10"/>
          <w:szCs w:val="10"/>
        </w:rPr>
      </w:pPr>
      <w:r w:rsidRPr="00DE59D0">
        <w:rPr>
          <w:rStyle w:val="Refdenotaalpie"/>
          <w:rFonts w:ascii="Verdana" w:hAnsi="Verdana" w:cs="Arial"/>
          <w:sz w:val="10"/>
          <w:szCs w:val="10"/>
        </w:rPr>
        <w:footnoteRef/>
      </w:r>
      <w:r w:rsidRPr="00DE59D0">
        <w:rPr>
          <w:rFonts w:ascii="Verdana" w:hAnsi="Verdana" w:cs="Arial"/>
          <w:sz w:val="10"/>
          <w:szCs w:val="10"/>
          <w:lang w:val="pt-BR"/>
        </w:rPr>
        <w:t xml:space="preserve"> CORTE CONSTITUCIONAL. </w:t>
      </w:r>
      <w:r w:rsidRPr="00DE59D0">
        <w:rPr>
          <w:rFonts w:ascii="Verdana" w:hAnsi="Verdana" w:cs="Arial"/>
          <w:sz w:val="10"/>
          <w:szCs w:val="10"/>
        </w:rPr>
        <w:t xml:space="preserve">Sentencia C-780 de 2001. M.P. Jaime Córdoba Triviño. </w:t>
      </w:r>
    </w:p>
    <w:p w14:paraId="326CC5AF" w14:textId="77777777" w:rsidR="0010662B" w:rsidRPr="00DE59D0" w:rsidRDefault="0010662B" w:rsidP="0010662B">
      <w:pPr>
        <w:pStyle w:val="Textonotapie"/>
        <w:ind w:firstLine="709"/>
        <w:jc w:val="both"/>
        <w:rPr>
          <w:rFonts w:ascii="Verdana" w:hAnsi="Verdana" w:cs="Arial"/>
          <w:sz w:val="10"/>
          <w:szCs w:val="10"/>
        </w:rPr>
      </w:pPr>
    </w:p>
  </w:footnote>
  <w:footnote w:id="6">
    <w:p w14:paraId="11E8A624"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Style w:val="Refdenotaalpie"/>
          <w:rFonts w:ascii="Verdana" w:eastAsiaTheme="majorEastAsia" w:hAnsi="Verdana" w:cs="Arial"/>
          <w:sz w:val="10"/>
          <w:szCs w:val="10"/>
        </w:rPr>
        <w:footnoteRef/>
      </w:r>
      <w:r w:rsidRPr="00DE59D0">
        <w:rPr>
          <w:rFonts w:ascii="Verdana" w:hAnsi="Verdana" w:cs="Arial"/>
          <w:sz w:val="10"/>
          <w:szCs w:val="10"/>
        </w:rPr>
        <w:t xml:space="preserve"> </w:t>
      </w:r>
      <w:r w:rsidRPr="00DE59D0">
        <w:rPr>
          <w:rFonts w:ascii="Verdana" w:eastAsiaTheme="minorHAnsi" w:hAnsi="Verdana" w:cs="Arial"/>
          <w:sz w:val="10"/>
          <w:szCs w:val="10"/>
          <w:lang w:val="es-ES" w:eastAsia="en-US"/>
        </w:rPr>
        <w:t>Ley 80 de 1993: “Artículo 8: 1o. Son inhábiles para participar en licitaciones o concursos y para celebrar contratos con las entidades estatales: </w:t>
      </w:r>
    </w:p>
    <w:p w14:paraId="253A6535"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a) Las personas que se hallen inhabilitadas para contratar por la Constitución y las leyes. </w:t>
      </w:r>
    </w:p>
    <w:p w14:paraId="4C496996"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b) Quienes participaron en las licitaciones o concursos o celebraron los contratos de que trata el literal anterior estando inhabilitados. </w:t>
      </w:r>
    </w:p>
    <w:p w14:paraId="37647656"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c) Quienes dieron lugar a la declaratoria de caducidad. </w:t>
      </w:r>
    </w:p>
    <w:p w14:paraId="241C88BA"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d) Quienes en sentencia judicial hayan sido condenados a la pena accesoria de interdicción de derechos y funciones públicas y quienes hayan sido sancionados disciplinariamente con destitución. </w:t>
      </w:r>
    </w:p>
    <w:p w14:paraId="75B605FC"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e) Quienes sin justa causa se abstengan de suscribir el contrato estatal adjudicado. </w:t>
      </w:r>
    </w:p>
    <w:p w14:paraId="63107A26"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f) Los servidores públicos. </w:t>
      </w:r>
    </w:p>
    <w:p w14:paraId="0A2AE956"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g) Quienes sean cónyuges o compañeros permanentes y quienes se encuentren dentro del segundo grado de consanguinidad o segundo de afinidad con cualquier otra persona que formalmente haya presentado propuesta para una misma licitación o concurso. </w:t>
      </w:r>
    </w:p>
    <w:p w14:paraId="2B464071"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h) Las sociedades distintas de las anónimas abiertas, en las cuales el representante legal o cualquiera de sus socios tenga parentesco en segundo grado de consanguinidad o segundo de afinidad con el representante legal o con cualquiera de los socios de una sociedad que formalmente haya presentado propuesta, para una misma licitación o concurso. </w:t>
      </w:r>
    </w:p>
    <w:p w14:paraId="4122EB5E"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i) Los socios de sociedades de personas a las cuales se haya declarado la caducidad, así como las sociedades de personas de las que aquellos formen parte con posterioridad a dicha declaratoria. </w:t>
      </w:r>
    </w:p>
    <w:p w14:paraId="73AC5774"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Las inhabilidades a que se refieren los literales c), d) e i) se extenderán por un término de cinco (5) años contado a partir de la fecha de ejecutoria del acto que declaró la caducidad, o de la sentencia que impuso la pena, o del acto que dispuso la destitución; las previstas en los literales b) y e), se extenderán por un término de cinco (5) años contado a partir de la fecha de ocurrencia del hecho de la participación en la licitación o concurso, o de la de celebración del contrato, o de la de expiración del plazo para su firma. </w:t>
      </w:r>
    </w:p>
    <w:p w14:paraId="35A3E2F8"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j) Las personas naturales que hayan sido declaradas responsables judicialmente por la comisión de delitos contra la Administración pública, o de cualquiera de los delitos o faltas contempladas por la Ley 1474 de 2011 y sus normas modificatorias o de cualquiera de las conductas delictivas contempladas por las convenciones o tratados de lucha contra la corrupción suscritos y ratificados por Colombia, así como las personas jurídicas que hayan sido declaradas responsables administrativamente por la conducta de soborno transnacional.  </w:t>
      </w:r>
    </w:p>
    <w:p w14:paraId="6B47183C"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Esta inhabilidad procederá preventivamente aún en los casos en los que esté pendiente la decisión sobre la impugnación de la sentencia condenatoria. Asimismo, la inhabilidad se extenderá a las sociedades de las que hagan parte dichas personas en calidad de administradores, represen</w:t>
      </w:r>
      <w:r w:rsidRPr="00DE59D0">
        <w:rPr>
          <w:rFonts w:ascii="Verdana" w:eastAsiaTheme="minorHAnsi" w:hAnsi="Verdana" w:cs="Arial"/>
          <w:sz w:val="10"/>
          <w:szCs w:val="10"/>
          <w:lang w:val="es-ES" w:eastAsia="en-US"/>
        </w:rPr>
        <w:softHyphen/>
        <w:t>tantes legales, miembros de junta directiva o de socios controlantes, a sus matrices y a sus subordinadas, a los grupos empresariales a los que estas pertenezcan cuando la conducta delictiva haya sido parte de una política del grupo y a las sucursales de sociedades extranjeras, con ex</w:t>
      </w:r>
      <w:r w:rsidRPr="00DE59D0">
        <w:rPr>
          <w:rFonts w:ascii="Verdana" w:eastAsiaTheme="minorHAnsi" w:hAnsi="Verdana" w:cs="Arial"/>
          <w:sz w:val="10"/>
          <w:szCs w:val="10"/>
          <w:lang w:val="es-ES" w:eastAsia="en-US"/>
        </w:rPr>
        <w:softHyphen/>
        <w:t>cepción de las sociedades anónimas abiertas. También se considerarán inhabilitadas para contratar, las personas jurídicas sobre las cuales se haya ordenado la suspensión de la perso</w:t>
      </w:r>
      <w:r w:rsidRPr="00DE59D0">
        <w:rPr>
          <w:rFonts w:ascii="Verdana" w:eastAsiaTheme="minorHAnsi" w:hAnsi="Verdana" w:cs="Arial"/>
          <w:sz w:val="10"/>
          <w:szCs w:val="10"/>
          <w:lang w:val="es-ES" w:eastAsia="en-US"/>
        </w:rPr>
        <w:softHyphen/>
        <w:t>nería jurídica en los términos de ley, o cuyos representantes legales, ad</w:t>
      </w:r>
      <w:r w:rsidRPr="00DE59D0">
        <w:rPr>
          <w:rFonts w:ascii="Verdana" w:eastAsiaTheme="minorHAnsi" w:hAnsi="Verdana" w:cs="Arial"/>
          <w:sz w:val="10"/>
          <w:szCs w:val="10"/>
          <w:lang w:val="es-ES" w:eastAsia="en-US"/>
        </w:rPr>
        <w:softHyphen/>
        <w:t>ministradores de hecho o de derecho, miembros de junta directiva o sus socios controlantes, sus matrices, subordinadas y/o las sucursales de sociedades extranjeras, hayan sido beneficiados con la aplicación de un principio de oportunidad por cualquier delito contra la Administración pública o el patrimonio del Estado.  La inhabilidad prevista en este literal se extenderá de forma perma</w:t>
      </w:r>
      <w:r w:rsidRPr="00DE59D0">
        <w:rPr>
          <w:rFonts w:ascii="Verdana" w:eastAsiaTheme="minorHAnsi" w:hAnsi="Verdana" w:cs="Arial"/>
          <w:sz w:val="10"/>
          <w:szCs w:val="10"/>
          <w:lang w:val="es-ES" w:eastAsia="en-US"/>
        </w:rPr>
        <w:softHyphen/>
        <w:t>nente a las sociedades de las que hagan parte dichas personas en las calidades presentadas en los incisos anteriores, y se aplicará de igual forma a las personas naturales que hayan sido declaradas responsables judicialmente por la comisión de delitos mencionados en este literal. </w:t>
      </w:r>
    </w:p>
    <w:p w14:paraId="2179B554"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w:t>
      </w:r>
    </w:p>
    <w:p w14:paraId="552E10FC"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2o. Tampoco podrán participar en licitaciones o concursos ni celebrar contratos estatales con la entidad respectiva: </w:t>
      </w:r>
    </w:p>
    <w:p w14:paraId="634E7999"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a) Quienes fueron miembros de la junta o consejo directivo o servidores públicos de la entidad contratante. Esta incompatibilidad solo comprende a quienes desempeñaron funciones en los niveles directivo, asesor o ejecutivo y se extiende por el término de un (1) año, contado a partir de la fecha del retiro. </w:t>
      </w:r>
    </w:p>
    <w:p w14:paraId="549BCB8E"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b) Las personas que tengan vínculos de parentesco, hasta el segundo grado de consanguinidad, segundo de afinidad o primero civil con los servidores públicos de los niveles directivo, asesor, ejecutivo o con los miembros de la junta o consejo directivo, o con las personas que ejerzan el control interno o fiscal de la entidad contratante. </w:t>
      </w:r>
    </w:p>
    <w:p w14:paraId="77DCF2C8"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c) El cónyuge, compañero o compañera permanente del servidor público en los niveles directivo, asesor, ejecutivo, o de un miembro de la junta o consejo directivo, o de quien ejerza funciones de control interno o de control fiscal. </w:t>
      </w:r>
    </w:p>
    <w:p w14:paraId="725AC795"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d) Las corporaciones, asociaciones, fundaciones y las sociedades anónimas que no tengan el carácter de abiertas, así como las sociedades de responsabilidad limitada y las demás sociedades de personas en las que el servidor público en los niveles directivo, asesor o ejecutivo, o el miembro de la junta o consejo directivo, o el cónyuge, compañero o compañera permanente o los parientes hasta el segundo grado de consanguinidad, afinidad o civil de cualquiera de ellos, tenga participación o desempeñe cargos de dirección o manejo. </w:t>
      </w:r>
    </w:p>
    <w:p w14:paraId="1FA792BF"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e) Los miembros de las juntas o consejos directivos. Esta incompatibilidad sólo se predica respecto de la entidad a la cual prestan sus servicios y de las del sector administrativo al que la misma esté adscrita o vinculada. </w:t>
      </w:r>
    </w:p>
    <w:p w14:paraId="7AB56759"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 xml:space="preserve">f) Directa o indirectamente las personas que hayan ejercido cargos en el nivel directivo en entidades del Estado y las sociedades en las cuales estos hagan parte o estén vinculados a cualquier título, durante los dos (2) años siguientes al retiro del ejercicio del cargo público, cuando el objeto que desarrollen tenga relación con el sector al cual prestaron sus servicios. Esta incompatibilidad también operará para las personas que se encuentren dentro del primer grado de consanguinidad, primero de afinidad, o primero civil del ex empleado público. </w:t>
      </w:r>
    </w:p>
    <w:p w14:paraId="1C4AC9DB" w14:textId="77777777" w:rsidR="0010662B" w:rsidRPr="00DE59D0" w:rsidRDefault="0010662B" w:rsidP="0010662B">
      <w:pPr>
        <w:pStyle w:val="NormalWeb"/>
        <w:spacing w:before="0" w:beforeAutospacing="0" w:after="0" w:afterAutospacing="0"/>
        <w:ind w:firstLine="709"/>
        <w:jc w:val="both"/>
        <w:rPr>
          <w:rFonts w:ascii="Verdana" w:eastAsiaTheme="minorHAnsi" w:hAnsi="Verdana" w:cs="Arial"/>
          <w:sz w:val="10"/>
          <w:szCs w:val="10"/>
          <w:lang w:val="es-ES" w:eastAsia="en-US"/>
        </w:rPr>
      </w:pPr>
      <w:r w:rsidRPr="00DE59D0">
        <w:rPr>
          <w:rFonts w:ascii="Verdana" w:eastAsiaTheme="minorHAnsi" w:hAnsi="Verdana" w:cs="Arial"/>
          <w:sz w:val="10"/>
          <w:szCs w:val="10"/>
          <w:lang w:val="es-ES" w:eastAsia="en-US"/>
        </w:rPr>
        <w:t xml:space="preserve">[…]”. </w:t>
      </w:r>
    </w:p>
  </w:footnote>
  <w:footnote w:id="7">
    <w:p w14:paraId="7C2E883C" w14:textId="77777777" w:rsidR="0010662B" w:rsidRDefault="0010662B" w:rsidP="0010662B">
      <w:pPr>
        <w:pStyle w:val="Textonotapie"/>
        <w:ind w:firstLine="709"/>
        <w:jc w:val="both"/>
        <w:rPr>
          <w:rFonts w:ascii="Verdana" w:hAnsi="Verdana" w:cs="Arial"/>
          <w:sz w:val="10"/>
          <w:szCs w:val="10"/>
          <w:lang w:val="es-ES"/>
        </w:rPr>
      </w:pPr>
      <w:r w:rsidRPr="00DE59D0">
        <w:rPr>
          <w:rStyle w:val="Refdenotaalpie"/>
          <w:rFonts w:ascii="Verdana" w:hAnsi="Verdana" w:cs="Arial"/>
          <w:sz w:val="10"/>
          <w:szCs w:val="10"/>
        </w:rPr>
        <w:footnoteRef/>
      </w:r>
      <w:r w:rsidRPr="00DE59D0">
        <w:rPr>
          <w:rFonts w:ascii="Verdana" w:hAnsi="Verdana" w:cs="Arial"/>
          <w:sz w:val="10"/>
          <w:szCs w:val="10"/>
        </w:rPr>
        <w:t xml:space="preserve"> DÁVILA VINUEZA, Luis Guillermo. </w:t>
      </w:r>
      <w:r w:rsidRPr="00DE59D0">
        <w:rPr>
          <w:rFonts w:ascii="Verdana" w:hAnsi="Verdana" w:cs="Arial"/>
          <w:sz w:val="10"/>
          <w:szCs w:val="10"/>
          <w:lang w:val="es-ES"/>
        </w:rPr>
        <w:t xml:space="preserve">Régimen Jurídico De La Contratación Estatal. Recuperado de https://xperta.legis.co, Capítulo VI Inhabilidades e Incompatibilidades, Sección 2 Interpretación Restrictiva. </w:t>
      </w:r>
    </w:p>
    <w:p w14:paraId="202D500C" w14:textId="77777777" w:rsidR="0010662B" w:rsidRPr="00DE59D0" w:rsidRDefault="0010662B" w:rsidP="0010662B">
      <w:pPr>
        <w:pStyle w:val="Textonotapie"/>
        <w:ind w:firstLine="709"/>
        <w:jc w:val="both"/>
        <w:rPr>
          <w:rFonts w:ascii="Verdana" w:hAnsi="Verdana" w:cs="Arial"/>
          <w:sz w:val="10"/>
          <w:szCs w:val="10"/>
          <w:lang w:val="es-ES"/>
        </w:rPr>
      </w:pPr>
    </w:p>
  </w:footnote>
  <w:footnote w:id="8">
    <w:p w14:paraId="0564A5B8" w14:textId="77777777" w:rsidR="0010662B" w:rsidRPr="00DE59D0" w:rsidRDefault="0010662B" w:rsidP="0010662B">
      <w:pPr>
        <w:pStyle w:val="Textonotapie"/>
        <w:ind w:firstLine="709"/>
        <w:jc w:val="both"/>
        <w:rPr>
          <w:rFonts w:ascii="Verdana" w:hAnsi="Verdana" w:cs="Arial"/>
          <w:sz w:val="10"/>
          <w:szCs w:val="10"/>
          <w:lang w:val="es-ES"/>
        </w:rPr>
      </w:pPr>
      <w:r w:rsidRPr="00DE59D0">
        <w:rPr>
          <w:rStyle w:val="Refdenotaalpie"/>
          <w:rFonts w:ascii="Verdana" w:hAnsi="Verdana" w:cs="Arial"/>
          <w:sz w:val="10"/>
          <w:szCs w:val="10"/>
        </w:rPr>
        <w:footnoteRef/>
      </w:r>
      <w:r w:rsidRPr="00DE59D0">
        <w:rPr>
          <w:rFonts w:ascii="Verdana" w:hAnsi="Verdana" w:cs="Arial"/>
          <w:sz w:val="10"/>
          <w:szCs w:val="10"/>
        </w:rPr>
        <w:t xml:space="preserve"> </w:t>
      </w:r>
      <w:r w:rsidRPr="00DE59D0">
        <w:rPr>
          <w:rFonts w:ascii="Verdana" w:hAnsi="Verdana" w:cs="Arial"/>
          <w:sz w:val="10"/>
          <w:szCs w:val="10"/>
          <w:lang w:val="es-ES"/>
        </w:rPr>
        <w:t xml:space="preserve">CORTE CONSTITUCIONAL. Sentencia T-1039 de 2006. M.P. Humberto Sierra Porto. La Corte Constitucional ha mantenido este criterio en las sentencias: C-903 de 2008. M.P. Jaime Araujo Rentería; C-101 de 2018. M.P. Gloria Stella Ortiz Delgado; entre otras. </w:t>
      </w:r>
    </w:p>
    <w:p w14:paraId="013630A8" w14:textId="77777777" w:rsidR="0010662B" w:rsidRPr="00DE59D0" w:rsidRDefault="0010662B" w:rsidP="0010662B">
      <w:pPr>
        <w:pStyle w:val="Textonotapie"/>
        <w:ind w:firstLine="709"/>
        <w:jc w:val="both"/>
        <w:rPr>
          <w:rFonts w:ascii="Verdana" w:hAnsi="Verdana" w:cs="Arial"/>
          <w:sz w:val="10"/>
          <w:szCs w:val="10"/>
          <w:lang w:val="es-ES"/>
        </w:rPr>
      </w:pPr>
    </w:p>
  </w:footnote>
  <w:footnote w:id="9">
    <w:p w14:paraId="16F541F9" w14:textId="77777777" w:rsidR="0010662B" w:rsidRPr="00DE59D0" w:rsidRDefault="0010662B" w:rsidP="0010662B">
      <w:pPr>
        <w:pStyle w:val="Textonotapie"/>
        <w:ind w:firstLine="709"/>
        <w:jc w:val="both"/>
        <w:rPr>
          <w:rFonts w:ascii="Verdana" w:hAnsi="Verdana" w:cs="Arial"/>
          <w:sz w:val="10"/>
          <w:szCs w:val="10"/>
          <w:lang w:val="es-ES"/>
        </w:rPr>
      </w:pPr>
      <w:r w:rsidRPr="00DE59D0">
        <w:rPr>
          <w:rStyle w:val="Refdenotaalpie"/>
          <w:rFonts w:ascii="Verdana" w:hAnsi="Verdana" w:cs="Arial"/>
          <w:sz w:val="10"/>
          <w:szCs w:val="10"/>
        </w:rPr>
        <w:footnoteRef/>
      </w:r>
      <w:r w:rsidRPr="00DE59D0">
        <w:rPr>
          <w:rFonts w:ascii="Verdana" w:hAnsi="Verdana" w:cs="Arial"/>
          <w:sz w:val="10"/>
          <w:szCs w:val="10"/>
        </w:rPr>
        <w:t xml:space="preserve"> </w:t>
      </w:r>
      <w:r w:rsidRPr="00DE59D0">
        <w:rPr>
          <w:rFonts w:ascii="Verdana" w:hAnsi="Verdana" w:cs="Arial"/>
          <w:sz w:val="10"/>
          <w:szCs w:val="10"/>
          <w:lang w:val="es-ES"/>
        </w:rPr>
        <w:t>CONSEJO DE ESTADO. Sala de Consulta y Servicio Civil. Concepto del 30 de abril de 2015. Exp. 2251. Consejero Ponente: Álvaro Namén Vargas.</w:t>
      </w:r>
    </w:p>
    <w:p w14:paraId="59F0B5FD" w14:textId="77777777" w:rsidR="0010662B" w:rsidRPr="00DE59D0" w:rsidRDefault="0010662B" w:rsidP="0010662B">
      <w:pPr>
        <w:pStyle w:val="Textonotapie"/>
        <w:ind w:firstLine="709"/>
        <w:jc w:val="both"/>
        <w:rPr>
          <w:rFonts w:ascii="Verdana" w:hAnsi="Verdana" w:cs="Arial"/>
          <w:sz w:val="10"/>
          <w:szCs w:val="10"/>
          <w:lang w:val="es-ES"/>
        </w:rPr>
      </w:pPr>
    </w:p>
  </w:footnote>
  <w:footnote w:id="10">
    <w:p w14:paraId="028289A9" w14:textId="77777777" w:rsidR="0010662B" w:rsidRPr="00DE59D0" w:rsidRDefault="0010662B" w:rsidP="0010662B">
      <w:pPr>
        <w:pStyle w:val="Textonotapie"/>
        <w:ind w:firstLine="709"/>
        <w:jc w:val="both"/>
        <w:rPr>
          <w:rFonts w:ascii="Verdana" w:hAnsi="Verdana" w:cs="Arial"/>
          <w:sz w:val="10"/>
          <w:szCs w:val="10"/>
        </w:rPr>
      </w:pPr>
      <w:r w:rsidRPr="00DE59D0">
        <w:rPr>
          <w:rStyle w:val="Refdenotaalpie"/>
          <w:rFonts w:ascii="Verdana" w:hAnsi="Verdana" w:cs="Arial"/>
          <w:sz w:val="10"/>
          <w:szCs w:val="10"/>
        </w:rPr>
        <w:footnoteRef/>
      </w:r>
      <w:r w:rsidRPr="00DE59D0">
        <w:rPr>
          <w:rFonts w:ascii="Verdana" w:hAnsi="Verdana" w:cs="Arial"/>
          <w:sz w:val="10"/>
          <w:szCs w:val="10"/>
        </w:rPr>
        <w:t xml:space="preserve"> CONSEJO DE ESTADO. Sección Tercera. Subsección A. Sentencia del 24 de junio de 2015. Rad. 40.635. Consejero Ponente: Hernán Andrade Rincón (E).</w:t>
      </w:r>
    </w:p>
    <w:p w14:paraId="64E7D2FD" w14:textId="77777777" w:rsidR="0010662B" w:rsidRPr="00DE59D0" w:rsidRDefault="0010662B" w:rsidP="0010662B">
      <w:pPr>
        <w:pStyle w:val="Textonotapie"/>
        <w:ind w:firstLine="709"/>
        <w:jc w:val="both"/>
        <w:rPr>
          <w:rFonts w:ascii="Verdana" w:hAnsi="Verdana" w:cs="Arial"/>
          <w:sz w:val="10"/>
          <w:szCs w:val="10"/>
        </w:rPr>
      </w:pPr>
    </w:p>
  </w:footnote>
  <w:footnote w:id="11">
    <w:p w14:paraId="2C960F67" w14:textId="77777777" w:rsidR="0010662B" w:rsidRPr="00DE59D0" w:rsidRDefault="0010662B" w:rsidP="0010662B">
      <w:pPr>
        <w:pStyle w:val="Textonotapie"/>
        <w:ind w:firstLine="709"/>
        <w:jc w:val="both"/>
        <w:rPr>
          <w:rFonts w:ascii="Verdana" w:hAnsi="Verdana" w:cs="Arial"/>
          <w:sz w:val="10"/>
          <w:szCs w:val="10"/>
        </w:rPr>
      </w:pPr>
      <w:r w:rsidRPr="00DE59D0">
        <w:rPr>
          <w:rStyle w:val="Refdenotaalpie"/>
          <w:rFonts w:ascii="Verdana" w:hAnsi="Verdana" w:cs="Arial"/>
          <w:sz w:val="10"/>
          <w:szCs w:val="10"/>
        </w:rPr>
        <w:footnoteRef/>
      </w:r>
      <w:r w:rsidRPr="00DE59D0">
        <w:rPr>
          <w:rFonts w:ascii="Verdana" w:hAnsi="Verdana" w:cs="Arial"/>
          <w:sz w:val="10"/>
          <w:szCs w:val="10"/>
        </w:rPr>
        <w:t xml:space="preserve"> CONSEJO DE ESTADO. Sección Tercera. Subsección C. Sentencia del 22 de mayo de 2013. Rad. 24.057. Consejera Ponente: Olga Melida Valle De De La Hoz.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A495" w14:textId="77777777" w:rsidR="00823324"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2484322B" wp14:editId="7E8556F6">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5C66162C" wp14:editId="536D8B19">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1F8BAA85" w14:textId="77777777" w:rsidR="00823324" w:rsidRDefault="00823324">
    <w:pPr>
      <w:pStyle w:val="Encabezado"/>
    </w:pPr>
  </w:p>
  <w:p w14:paraId="4C19613F" w14:textId="77777777" w:rsidR="00823324" w:rsidRDefault="00823324" w:rsidP="004A305D">
    <w:pPr>
      <w:spacing w:after="0"/>
      <w:rPr>
        <w:rFonts w:ascii="Verdana" w:hAnsi="Verdana"/>
        <w:b/>
        <w:bCs/>
      </w:rPr>
    </w:pPr>
  </w:p>
  <w:p w14:paraId="04B478D2" w14:textId="77777777" w:rsidR="00823324" w:rsidRPr="004A305D" w:rsidRDefault="00823324" w:rsidP="00B01B1A">
    <w:pPr>
      <w:spacing w:after="0" w:line="120" w:lineRule="auto"/>
      <w:rPr>
        <w:rFonts w:ascii="Century Gothic" w:eastAsia="Geo" w:hAnsi="Century Gothic" w:cs="Geo"/>
        <w:sz w:val="16"/>
        <w:szCs w:val="16"/>
        <w:lang w:eastAsia="es-CO"/>
      </w:rPr>
    </w:pPr>
  </w:p>
  <w:p w14:paraId="1A8BB5FB" w14:textId="77777777" w:rsidR="00823324" w:rsidRDefault="00823324"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A66549"/>
    <w:multiLevelType w:val="hybridMultilevel"/>
    <w:tmpl w:val="E5F20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3917235"/>
    <w:multiLevelType w:val="hybridMultilevel"/>
    <w:tmpl w:val="77BCC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482E5D0B"/>
    <w:multiLevelType w:val="hybridMultilevel"/>
    <w:tmpl w:val="69CE7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9089576">
    <w:abstractNumId w:val="2"/>
  </w:num>
  <w:num w:numId="2" w16cid:durableId="803348058">
    <w:abstractNumId w:val="0"/>
  </w:num>
  <w:num w:numId="3" w16cid:durableId="585380331">
    <w:abstractNumId w:val="1"/>
  </w:num>
  <w:num w:numId="4" w16cid:durableId="1845976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62B"/>
    <w:rsid w:val="0010662B"/>
    <w:rsid w:val="001E4077"/>
    <w:rsid w:val="00280569"/>
    <w:rsid w:val="003E2F45"/>
    <w:rsid w:val="00474DF4"/>
    <w:rsid w:val="004F471F"/>
    <w:rsid w:val="00743CCC"/>
    <w:rsid w:val="00823324"/>
    <w:rsid w:val="00C24FFE"/>
    <w:rsid w:val="00DA0C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B6DB9"/>
  <w15:chartTrackingRefBased/>
  <w15:docId w15:val="{6C0E470B-7504-4D40-BBD3-E21ED057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62B"/>
    <w:rPr>
      <w:kern w:val="0"/>
      <w14:ligatures w14:val="none"/>
    </w:rPr>
  </w:style>
  <w:style w:type="paragraph" w:styleId="Ttulo1">
    <w:name w:val="heading 1"/>
    <w:basedOn w:val="Normal"/>
    <w:next w:val="Normal"/>
    <w:link w:val="Ttulo1Car"/>
    <w:uiPriority w:val="9"/>
    <w:qFormat/>
    <w:rsid w:val="001066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1066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0662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0662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0662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0662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0662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0662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0662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662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066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0662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0662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0662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0662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0662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0662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0662B"/>
    <w:rPr>
      <w:rFonts w:eastAsiaTheme="majorEastAsia" w:cstheme="majorBidi"/>
      <w:color w:val="272727" w:themeColor="text1" w:themeTint="D8"/>
    </w:rPr>
  </w:style>
  <w:style w:type="paragraph" w:styleId="Ttulo">
    <w:name w:val="Title"/>
    <w:basedOn w:val="Normal"/>
    <w:next w:val="Normal"/>
    <w:link w:val="TtuloCar"/>
    <w:uiPriority w:val="10"/>
    <w:qFormat/>
    <w:rsid w:val="001066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0662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0662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0662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0662B"/>
    <w:pPr>
      <w:spacing w:before="160"/>
      <w:jc w:val="center"/>
    </w:pPr>
    <w:rPr>
      <w:i/>
      <w:iCs/>
      <w:color w:val="404040" w:themeColor="text1" w:themeTint="BF"/>
    </w:rPr>
  </w:style>
  <w:style w:type="character" w:customStyle="1" w:styleId="CitaCar">
    <w:name w:val="Cita Car"/>
    <w:basedOn w:val="Fuentedeprrafopredeter"/>
    <w:link w:val="Cita"/>
    <w:uiPriority w:val="29"/>
    <w:rsid w:val="0010662B"/>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10662B"/>
    <w:pPr>
      <w:ind w:left="720"/>
      <w:contextualSpacing/>
    </w:pPr>
  </w:style>
  <w:style w:type="character" w:styleId="nfasisintenso">
    <w:name w:val="Intense Emphasis"/>
    <w:basedOn w:val="Fuentedeprrafopredeter"/>
    <w:uiPriority w:val="21"/>
    <w:qFormat/>
    <w:rsid w:val="0010662B"/>
    <w:rPr>
      <w:i/>
      <w:iCs/>
      <w:color w:val="2F5496" w:themeColor="accent1" w:themeShade="BF"/>
    </w:rPr>
  </w:style>
  <w:style w:type="paragraph" w:styleId="Citadestacada">
    <w:name w:val="Intense Quote"/>
    <w:basedOn w:val="Normal"/>
    <w:next w:val="Normal"/>
    <w:link w:val="CitadestacadaCar"/>
    <w:uiPriority w:val="30"/>
    <w:qFormat/>
    <w:rsid w:val="001066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0662B"/>
    <w:rPr>
      <w:i/>
      <w:iCs/>
      <w:color w:val="2F5496" w:themeColor="accent1" w:themeShade="BF"/>
    </w:rPr>
  </w:style>
  <w:style w:type="character" w:styleId="Referenciaintensa">
    <w:name w:val="Intense Reference"/>
    <w:basedOn w:val="Fuentedeprrafopredeter"/>
    <w:uiPriority w:val="32"/>
    <w:qFormat/>
    <w:rsid w:val="0010662B"/>
    <w:rPr>
      <w:b/>
      <w:bCs/>
      <w:smallCaps/>
      <w:color w:val="2F5496" w:themeColor="accent1" w:themeShade="BF"/>
      <w:spacing w:val="5"/>
    </w:rPr>
  </w:style>
  <w:style w:type="paragraph" w:styleId="Encabezado">
    <w:name w:val="header"/>
    <w:basedOn w:val="Normal"/>
    <w:link w:val="EncabezadoCar"/>
    <w:uiPriority w:val="99"/>
    <w:unhideWhenUsed/>
    <w:rsid w:val="001066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662B"/>
    <w:rPr>
      <w:kern w:val="0"/>
      <w14:ligatures w14:val="none"/>
    </w:rPr>
  </w:style>
  <w:style w:type="paragraph" w:styleId="Piedepgina">
    <w:name w:val="footer"/>
    <w:basedOn w:val="Normal"/>
    <w:link w:val="PiedepginaCar"/>
    <w:uiPriority w:val="99"/>
    <w:unhideWhenUsed/>
    <w:rsid w:val="001066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662B"/>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10662B"/>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10662B"/>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10662B"/>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10662B"/>
    <w:rPr>
      <w:vertAlign w:val="superscript"/>
    </w:rPr>
  </w:style>
  <w:style w:type="character" w:customStyle="1" w:styleId="normaltextrun">
    <w:name w:val="normaltextrun"/>
    <w:basedOn w:val="Fuentedeprrafopredeter"/>
    <w:rsid w:val="0010662B"/>
  </w:style>
  <w:style w:type="table" w:styleId="Tablaconcuadrcula">
    <w:name w:val="Table Grid"/>
    <w:basedOn w:val="Tablanormal"/>
    <w:uiPriority w:val="39"/>
    <w:qFormat/>
    <w:rsid w:val="001066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0662B"/>
    <w:rPr>
      <w:color w:val="0000FF"/>
      <w:u w:val="single"/>
    </w:rPr>
  </w:style>
  <w:style w:type="paragraph" w:styleId="NormalWeb">
    <w:name w:val="Normal (Web)"/>
    <w:basedOn w:val="Normal"/>
    <w:uiPriority w:val="99"/>
    <w:unhideWhenUsed/>
    <w:rsid w:val="0010662B"/>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10662B"/>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10662B"/>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10662B"/>
  </w:style>
  <w:style w:type="paragraph" w:styleId="Sinespaciado">
    <w:name w:val="No Spacing"/>
    <w:aliases w:val="No Indent"/>
    <w:uiPriority w:val="3"/>
    <w:qFormat/>
    <w:rsid w:val="0010662B"/>
    <w:pPr>
      <w:spacing w:after="0" w:line="240" w:lineRule="auto"/>
    </w:pPr>
    <w:rPr>
      <w:kern w:val="0"/>
      <w:sz w:val="24"/>
      <w:lang w:val="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stavopatarroyo@hotmail.com"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am02.safelinks.protection.outlook.com/?url=https%3A%2F%2Fwww.colombiacompra.gov.co%2Fsala-de-prensa%2Fboletin-digital&amp;data=05%7C02%7Csergio.caballero%40colombiacompra.gov.co%7C096eca3fdcca424ff1c708dcf932f947%7C7b09041e245149d08cb179d5e3d8c1be%7C0%7C0%7C638659244551705873%7CUnknown%7CTWFpbGZsb3d8eyJWIjoiMC4wLjAwMDAiLCJQIjoiV2luMzIiLCJBTiI6Ik1haWwiLCJXVCI6Mn0%3D%7C0%7C%7C%7C&amp;sdata=cyQ7xR9K7bpbeICUhmOYSIWRL%2BWLAHN8bOjZ2NaPqPk%3D&amp;reserved=0" TargetMode="External"/><Relationship Id="rId4" Type="http://schemas.openxmlformats.org/officeDocument/2006/relationships/webSettings" Target="webSettings.xml"/><Relationship Id="rId9" Type="http://schemas.openxmlformats.org/officeDocument/2006/relationships/hyperlink" Target="https://relatoria.colombiacompra.gov.c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253A11-BC68-4F05-AA4C-913FD67E28DE}"/>
</file>

<file path=customXml/itemProps2.xml><?xml version="1.0" encoding="utf-8"?>
<ds:datastoreItem xmlns:ds="http://schemas.openxmlformats.org/officeDocument/2006/customXml" ds:itemID="{8937006C-D9AC-4398-AA56-26F38C4F58E8}"/>
</file>

<file path=customXml/itemProps3.xml><?xml version="1.0" encoding="utf-8"?>
<ds:datastoreItem xmlns:ds="http://schemas.openxmlformats.org/officeDocument/2006/customXml" ds:itemID="{BDE3C505-0379-4261-9233-90822B7A0E51}"/>
</file>

<file path=docProps/app.xml><?xml version="1.0" encoding="utf-8"?>
<Properties xmlns="http://schemas.openxmlformats.org/officeDocument/2006/extended-properties" xmlns:vt="http://schemas.openxmlformats.org/officeDocument/2006/docPropsVTypes">
  <Template>Normal</Template>
  <TotalTime>2</TotalTime>
  <Pages>17</Pages>
  <Words>5130</Words>
  <Characters>28217</Characters>
  <Application>Microsoft Office Word</Application>
  <DocSecurity>0</DocSecurity>
  <Lines>235</Lines>
  <Paragraphs>66</Paragraphs>
  <ScaleCrop>false</ScaleCrop>
  <Company/>
  <LinksUpToDate>false</LinksUpToDate>
  <CharactersWithSpaces>33281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2024-11-19T23:52:00Z</dcterms:created>
  <dcterms:modified xsi:type="dcterms:W3CDTF">2024-11-21T16:23:00Z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