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12DDF51" w14:textId="77777777" w:rsidR="008253A0" w:rsidRPr="00DF7E02" w:rsidRDefault="008253A0" w:rsidP="008253A0">
      <w:pPr>
        <w:spacing w:before="120" w:after="120" w:line="276" w:lineRule="auto"/>
        <w:jc w:val="both"/>
        <w:rPr>
          <w:rFonts w:ascii="Verdana" w:eastAsia="Calibri" w:hAnsi="Verdana" w:cs="Arial"/>
          <w:b/>
          <w:color w:val="000000" w:themeColor="text1"/>
          <w:lang w:val="es-ES_tradnl"/>
        </w:rPr>
      </w:pPr>
      <w:r w:rsidRPr="00DF7E02">
        <w:rPr>
          <w:rFonts w:ascii="Verdana" w:eastAsia="Calibri" w:hAnsi="Verdana" w:cs="Arial"/>
          <w:b/>
          <w:color w:val="000000" w:themeColor="text1"/>
          <w:lang w:val="es-ES_tradnl"/>
        </w:rPr>
        <w:t xml:space="preserve">LEY DE EMPRENDIMIENTO – Ley 2069 de 2020– Finalidad </w:t>
      </w:r>
    </w:p>
    <w:p w14:paraId="17DCF8A0" w14:textId="77777777" w:rsidR="008253A0" w:rsidRPr="00DF7E02" w:rsidRDefault="008253A0" w:rsidP="008253A0">
      <w:pPr>
        <w:spacing w:line="276" w:lineRule="auto"/>
        <w:jc w:val="both"/>
        <w:rPr>
          <w:rFonts w:ascii="Verdana" w:hAnsi="Verdana"/>
          <w:lang w:val="es-ES_tradnl"/>
        </w:rPr>
      </w:pPr>
    </w:p>
    <w:p w14:paraId="133ACF92" w14:textId="77777777" w:rsidR="008253A0" w:rsidRPr="00DF7E02" w:rsidRDefault="008253A0" w:rsidP="008253A0">
      <w:pPr>
        <w:spacing w:after="0" w:line="240" w:lineRule="auto"/>
        <w:jc w:val="both"/>
        <w:rPr>
          <w:rFonts w:ascii="Verdana" w:eastAsia="Calibri" w:hAnsi="Verdana" w:cs="Arial"/>
          <w:sz w:val="20"/>
          <w:szCs w:val="20"/>
          <w:lang w:val="es-ES"/>
        </w:rPr>
      </w:pPr>
      <w:r w:rsidRPr="00DF7E02">
        <w:rPr>
          <w:rFonts w:ascii="Verdana" w:eastAsia="Calibri" w:hAnsi="Verdana" w:cs="Arial"/>
          <w:sz w:val="20"/>
          <w:szCs w:val="20"/>
          <w:lang w:val="es-ES"/>
        </w:rPr>
        <w:t>El 31 de diciembre de 2020 se promulgó la Ley 2069, “Por medio de la cual se impulsa el emprendimiento en Colombia”. De acuerdo con el artículo 84, “La presente Ley rige a partir del momento de su promulgación […]”, lo que significa que es obligatoria para sus destinatarios desde esa fecha. Lo anterior, sin perjuicio de la posibilidad de que el gobierno nacional, en ejercicio de la potestad reglamentaria que le confiere el artículo 189, numeral 11, de la Constitución Política, expida los decretos correspondientes que permitan la cumplida ejecución de esta Ley. En cuanto a su contenido, es importante señalar que, como dispone el artículo 1, aquella “tiene por objeto establecer un marco regulatorio que propicie el emprendimiento y el crecimiento, consolidación y sostenibilidad de las empresas, con el fin de aumentar el bienestar social y generar equidad”. Esto, a partir de “[…] un enfoque regionalizado de acuerdo con las realidades socioeconómicas de cada región”.</w:t>
      </w:r>
    </w:p>
    <w:p w14:paraId="5239C56B" w14:textId="77777777" w:rsidR="008253A0" w:rsidRPr="00DF7E02" w:rsidRDefault="008253A0" w:rsidP="008253A0">
      <w:pPr>
        <w:spacing w:line="276" w:lineRule="auto"/>
        <w:jc w:val="both"/>
        <w:rPr>
          <w:rFonts w:ascii="Verdana" w:eastAsia="Calibri" w:hAnsi="Verdana" w:cs="Arial"/>
          <w:sz w:val="20"/>
          <w:szCs w:val="20"/>
          <w:lang w:val="es-ES"/>
        </w:rPr>
      </w:pPr>
    </w:p>
    <w:p w14:paraId="0D576840" w14:textId="77777777" w:rsidR="008253A0" w:rsidRPr="00E13808" w:rsidRDefault="008253A0" w:rsidP="008253A0">
      <w:pPr>
        <w:spacing w:before="120" w:after="120" w:line="276" w:lineRule="auto"/>
        <w:jc w:val="both"/>
        <w:rPr>
          <w:rFonts w:ascii="Verdana" w:eastAsia="Calibri" w:hAnsi="Verdana" w:cs="Arial"/>
          <w:b/>
          <w:color w:val="000000" w:themeColor="text1"/>
          <w:lang w:val="es-ES_tradnl"/>
        </w:rPr>
      </w:pPr>
      <w:r w:rsidRPr="00DF7E02">
        <w:rPr>
          <w:rFonts w:ascii="Verdana" w:eastAsia="Calibri" w:hAnsi="Verdana" w:cs="Arial"/>
          <w:b/>
          <w:color w:val="000000" w:themeColor="text1"/>
          <w:lang w:val="es-ES_tradnl"/>
        </w:rPr>
        <w:t>LEY DE EMPRENDIMIENTO – Ley 2069 de 2020 – Artículo 32 – Criterios diferenciales – Emprendimientos de mujeres – Empresas de mujeres – Necesidad de reglamentación – Decreto 1860 de 2021</w:t>
      </w:r>
    </w:p>
    <w:p w14:paraId="6D471293" w14:textId="77777777" w:rsidR="008253A0" w:rsidRDefault="008253A0" w:rsidP="008253A0">
      <w:pPr>
        <w:spacing w:after="0" w:line="240" w:lineRule="auto"/>
        <w:jc w:val="both"/>
        <w:rPr>
          <w:rFonts w:ascii="Verdana" w:eastAsia="Calibri" w:hAnsi="Verdana" w:cs="Arial"/>
          <w:sz w:val="20"/>
          <w:szCs w:val="20"/>
          <w:lang w:val="es-ES"/>
        </w:rPr>
      </w:pPr>
      <w:r w:rsidRPr="00DF7E02">
        <w:rPr>
          <w:rFonts w:ascii="Verdana" w:eastAsia="Calibri" w:hAnsi="Verdana" w:cs="Arial"/>
          <w:sz w:val="20"/>
          <w:szCs w:val="20"/>
          <w:lang w:val="es-ES"/>
        </w:rPr>
        <w:t xml:space="preserve">Conforme se viene explicando, el artículo 32 de la Ley 2069 de 2021 introduce el deber de las Entidades Estatales de incluir en los procesos de licitación pública, selección abreviada de menor cuantía y concurso de méritos, así como en los procesos competitivos que adelanten las entidades estatales exceptuadas de aplicar el Estatuto General de Contratación de la Administración Pública, requisitos diferenciales y puntajes adicionales para emprendimientos y empresas de mujeres. Esto a título de medidas de acción afirmativa para incentivar la participación de emprendimientos y empresas de mujeres en el sistema de compras públicas, sin perjuicio de los compromisos adquiridos por Colombia en los acuerdos comerciales en vigor. </w:t>
      </w:r>
    </w:p>
    <w:p w14:paraId="5AA07B80" w14:textId="77777777" w:rsidR="008253A0" w:rsidRPr="00DF7E02" w:rsidRDefault="008253A0" w:rsidP="008253A0">
      <w:pPr>
        <w:spacing w:after="0" w:line="240" w:lineRule="auto"/>
        <w:jc w:val="both"/>
        <w:rPr>
          <w:rFonts w:ascii="Verdana" w:eastAsia="Calibri" w:hAnsi="Verdana" w:cs="Arial"/>
          <w:sz w:val="20"/>
          <w:szCs w:val="20"/>
          <w:lang w:val="es-ES"/>
        </w:rPr>
      </w:pPr>
    </w:p>
    <w:p w14:paraId="59AEBF21" w14:textId="77777777" w:rsidR="008253A0" w:rsidRPr="00DF7E02" w:rsidRDefault="008253A0" w:rsidP="008253A0">
      <w:pPr>
        <w:spacing w:after="0" w:line="240" w:lineRule="auto"/>
        <w:jc w:val="both"/>
        <w:rPr>
          <w:rFonts w:ascii="Verdana" w:eastAsia="Calibri" w:hAnsi="Verdana" w:cs="Arial"/>
          <w:sz w:val="20"/>
          <w:szCs w:val="20"/>
          <w:lang w:val="es-ES"/>
        </w:rPr>
      </w:pPr>
      <w:r w:rsidRPr="00DF7E02">
        <w:rPr>
          <w:rFonts w:ascii="Verdana" w:eastAsia="Calibri" w:hAnsi="Verdana" w:cs="Arial"/>
          <w:sz w:val="20"/>
          <w:szCs w:val="20"/>
          <w:lang w:val="es-ES"/>
        </w:rPr>
        <w:t>En desarrollo de lo dispuesto en el parágrafo del artículo 32 de la Ley 2069 de 2020, el Decreto 1860 de 2021 adicionó el artículo 2.2.1.2.4.2.14 al Decreto 1082 de 2015. Esta norma establece las condiciones y requisitos en atención a los cuales se definen los requisitos de las empresas y emprendimientos de mujeres, a las que les aplican los criterios diferenciales. Para estos efectos, cada uno de los cuatro numerales de la norma establecen unas condiciones alternativas que definen los emprendimientos y empresas de mujeres, a efectos de aplicar los criterios diferenciales, siendo relevante para la consulta el segundo de dichos numerales.</w:t>
      </w:r>
    </w:p>
    <w:p w14:paraId="1FE748D4" w14:textId="77777777" w:rsidR="008253A0" w:rsidRPr="00DF7E02" w:rsidRDefault="008253A0" w:rsidP="008253A0">
      <w:pPr>
        <w:spacing w:line="276" w:lineRule="auto"/>
        <w:jc w:val="both"/>
        <w:rPr>
          <w:rFonts w:ascii="Verdana" w:eastAsia="Calibri" w:hAnsi="Verdana" w:cs="Arial"/>
          <w:bCs/>
          <w:color w:val="000000"/>
          <w:sz w:val="20"/>
          <w:szCs w:val="20"/>
          <w:lang w:val="es-ES_tradnl"/>
        </w:rPr>
      </w:pPr>
    </w:p>
    <w:p w14:paraId="06E1BFD1" w14:textId="77777777" w:rsidR="008253A0" w:rsidRPr="00311F76" w:rsidRDefault="008253A0" w:rsidP="008253A0">
      <w:pPr>
        <w:spacing w:after="0" w:line="240" w:lineRule="auto"/>
        <w:jc w:val="both"/>
        <w:rPr>
          <w:rFonts w:ascii="Verdana" w:eastAsia="Geomanist Light" w:hAnsi="Verdana" w:cs="Arial"/>
          <w:color w:val="000000" w:themeColor="text1"/>
          <w:sz w:val="20"/>
          <w:szCs w:val="20"/>
        </w:rPr>
      </w:pPr>
      <w:r w:rsidRPr="00311F76">
        <w:rPr>
          <w:rFonts w:ascii="Verdana" w:eastAsia="Geomanist Light" w:hAnsi="Verdana" w:cs="Arial"/>
          <w:b/>
          <w:bCs/>
          <w:color w:val="000000" w:themeColor="text1"/>
          <w:sz w:val="20"/>
          <w:szCs w:val="20"/>
        </w:rPr>
        <w:t>DECRETO 1860 DE 2021 – Artículo 2.2.1.2.4.2.14 – Numeral 1 – </w:t>
      </w:r>
      <w:r>
        <w:rPr>
          <w:rFonts w:ascii="Verdana" w:eastAsia="Geomanist Light" w:hAnsi="Verdana" w:cs="Arial"/>
          <w:b/>
          <w:bCs/>
          <w:color w:val="000000" w:themeColor="text1"/>
          <w:sz w:val="20"/>
          <w:szCs w:val="20"/>
        </w:rPr>
        <w:t>Puntaje adicional</w:t>
      </w:r>
    </w:p>
    <w:p w14:paraId="1D885D64" w14:textId="77777777" w:rsidR="008253A0" w:rsidRPr="00311F76" w:rsidRDefault="008253A0" w:rsidP="008253A0">
      <w:pPr>
        <w:spacing w:after="0" w:line="240" w:lineRule="auto"/>
        <w:jc w:val="both"/>
        <w:rPr>
          <w:rFonts w:ascii="Verdana" w:eastAsia="Geomanist Light" w:hAnsi="Verdana" w:cs="Arial"/>
          <w:color w:val="000000" w:themeColor="text1"/>
          <w:sz w:val="20"/>
          <w:szCs w:val="20"/>
        </w:rPr>
      </w:pPr>
    </w:p>
    <w:p w14:paraId="13737C1B" w14:textId="77777777" w:rsidR="008253A0" w:rsidRDefault="008253A0" w:rsidP="008253A0">
      <w:pPr>
        <w:spacing w:after="0" w:line="240" w:lineRule="auto"/>
        <w:jc w:val="both"/>
        <w:rPr>
          <w:rFonts w:ascii="Verdana" w:eastAsia="Geomanist Light" w:hAnsi="Verdana" w:cs="Arial"/>
          <w:color w:val="000000" w:themeColor="text1"/>
          <w:sz w:val="20"/>
          <w:szCs w:val="20"/>
        </w:rPr>
      </w:pPr>
      <w:r w:rsidRPr="00311F76">
        <w:rPr>
          <w:rFonts w:ascii="Verdana" w:eastAsia="Geomanist Light" w:hAnsi="Verdana" w:cs="Arial"/>
          <w:color w:val="000000" w:themeColor="text1"/>
          <w:sz w:val="20"/>
          <w:szCs w:val="20"/>
        </w:rPr>
        <w:lastRenderedPageBreak/>
        <w:t>El numeral primero establece que una sociedad podrá ser considerada como un emprendimiento o empresa de mujeres cuando más del cincuenta por ciento (50%) de sus acciones, partes de interés o cuotas de participación, pertenezcan a mujeres. Sin embargo, el supuesto de hecho de la norma transcrita, adicionalmente, exige que la titularidad de tal participación haya pertenecido a mujeres, por lo menos, durante el año anterior a la fecha de cierre del proceso de selección.</w:t>
      </w:r>
    </w:p>
    <w:p w14:paraId="506CC2D1" w14:textId="77777777" w:rsidR="008253A0" w:rsidRPr="00311F76" w:rsidRDefault="008253A0" w:rsidP="008253A0">
      <w:pPr>
        <w:spacing w:after="0" w:line="240" w:lineRule="auto"/>
        <w:jc w:val="both"/>
        <w:rPr>
          <w:rFonts w:ascii="Verdana" w:eastAsia="Geomanist Light" w:hAnsi="Verdana" w:cs="Arial"/>
          <w:color w:val="000000" w:themeColor="text1"/>
          <w:sz w:val="20"/>
          <w:szCs w:val="20"/>
        </w:rPr>
      </w:pPr>
    </w:p>
    <w:p w14:paraId="777AAFCD" w14:textId="77777777" w:rsidR="008253A0" w:rsidRDefault="008253A0" w:rsidP="008253A0">
      <w:pPr>
        <w:spacing w:after="0" w:line="240" w:lineRule="auto"/>
        <w:jc w:val="both"/>
        <w:rPr>
          <w:rFonts w:ascii="Verdana" w:eastAsia="Geomanist Light" w:hAnsi="Verdana" w:cs="Arial"/>
          <w:color w:val="000000" w:themeColor="text1"/>
          <w:sz w:val="20"/>
          <w:szCs w:val="20"/>
        </w:rPr>
      </w:pPr>
      <w:r w:rsidRPr="00311F76">
        <w:rPr>
          <w:rFonts w:ascii="Verdana" w:eastAsia="Geomanist Light" w:hAnsi="Verdana" w:cs="Arial"/>
          <w:color w:val="000000" w:themeColor="text1"/>
          <w:sz w:val="20"/>
          <w:szCs w:val="20"/>
        </w:rPr>
        <w:t>Esto quiere decir que, no basta con que la participación en una sociedad sea mayoritariamente de mujeres para que sea considerada como un emprendimiento o empresa a los que se refiere la norma, sino que además es necesario que dicha participación mayoritaria se haya mantenido como mínimo durante el periodo de un (1) año, contado a partir de la fecha de cierre del proceso de selección. De esta manera, el primer criterio establecido en la norma para definir los emprendimientos y empresas de mujeres deja por fuera de dicha categoría a aquellas sociedades que, a pesar de contar con la participación mayoritaria de mujeres, no cuenten con el requerimiento del tiempo mínimo de un (1) año.</w:t>
      </w:r>
    </w:p>
    <w:p w14:paraId="38B7508C" w14:textId="77777777" w:rsidR="008253A0" w:rsidRDefault="008253A0" w:rsidP="008253A0">
      <w:pPr>
        <w:spacing w:after="311" w:line="271" w:lineRule="auto"/>
        <w:ind w:right="63"/>
        <w:jc w:val="both"/>
        <w:rPr>
          <w:rFonts w:ascii="Verdana" w:eastAsia="Geomanist Light" w:hAnsi="Verdana" w:cs="Arial"/>
          <w:color w:val="000000" w:themeColor="text1"/>
          <w:sz w:val="20"/>
          <w:szCs w:val="20"/>
        </w:rPr>
      </w:pPr>
    </w:p>
    <w:p w14:paraId="6B99D51C" w14:textId="77777777" w:rsidR="008253A0" w:rsidRPr="00E13808" w:rsidRDefault="008253A0" w:rsidP="008253A0">
      <w:pPr>
        <w:spacing w:line="276" w:lineRule="auto"/>
        <w:ind w:right="78"/>
        <w:jc w:val="both"/>
        <w:rPr>
          <w:rFonts w:ascii="Verdana" w:hAnsi="Verdana"/>
          <w:b/>
          <w:bCs/>
        </w:rPr>
      </w:pPr>
      <w:r w:rsidRPr="00E13808">
        <w:rPr>
          <w:rFonts w:ascii="Verdana" w:hAnsi="Verdana"/>
          <w:b/>
          <w:bCs/>
        </w:rPr>
        <w:t>DECRETO 1082 DE 2015 – Articulo 2.2.1.2.4.2.14 - Acreditación – Emprendimientos y empresas de mujeres</w:t>
      </w:r>
    </w:p>
    <w:p w14:paraId="0791939A" w14:textId="77777777" w:rsidR="008253A0" w:rsidRPr="00E13808" w:rsidRDefault="008253A0" w:rsidP="008253A0">
      <w:pPr>
        <w:spacing w:after="311" w:line="271" w:lineRule="auto"/>
        <w:ind w:right="63"/>
        <w:jc w:val="both"/>
        <w:rPr>
          <w:rFonts w:ascii="Verdana" w:hAnsi="Verdana"/>
        </w:rPr>
      </w:pPr>
      <w:r w:rsidRPr="00E13808">
        <w:rPr>
          <w:rFonts w:ascii="Verdana" w:hAnsi="Verdana"/>
        </w:rPr>
        <w:t>El artículo 2.2.1.2.4.2.14 del Decreto 1082 de 2015 establece las condiciones y requisitos en atención a los cuales se definen los emprendimientos y empresas de mujeres, a las que les aplican los criterios diferenciales. Para estos efectos, cada uno de los cuatro numerales de la norma establecen unas condiciones alternativas que definen los emprendimientos y empresas de mujeres, a efectos de aplicar los criterios diferenciales.</w:t>
      </w:r>
    </w:p>
    <w:p w14:paraId="74C9518E" w14:textId="5EF54408" w:rsidR="00647741" w:rsidRDefault="00647741" w:rsidP="006149D3">
      <w:pPr>
        <w:spacing w:after="0" w:line="240" w:lineRule="auto"/>
        <w:rPr>
          <w:rFonts w:ascii="Verdana" w:eastAsia="Geomanist Light" w:hAnsi="Verdana" w:cs="Arial"/>
          <w:color w:val="000000" w:themeColor="text1"/>
        </w:rPr>
      </w:pPr>
    </w:p>
    <w:p w14:paraId="63BDE674" w14:textId="77777777" w:rsidR="008253A0" w:rsidRDefault="008253A0" w:rsidP="006149D3">
      <w:pPr>
        <w:spacing w:after="0" w:line="240" w:lineRule="auto"/>
        <w:rPr>
          <w:rFonts w:ascii="Verdana" w:eastAsia="Geomanist Light" w:hAnsi="Verdana" w:cs="Arial"/>
          <w:color w:val="000000" w:themeColor="text1"/>
        </w:rPr>
      </w:pPr>
    </w:p>
    <w:p w14:paraId="0FDFFEF7" w14:textId="77777777" w:rsidR="008253A0" w:rsidRDefault="008253A0" w:rsidP="006149D3">
      <w:pPr>
        <w:spacing w:after="0" w:line="240" w:lineRule="auto"/>
        <w:rPr>
          <w:rFonts w:ascii="Verdana" w:eastAsia="Geomanist Light" w:hAnsi="Verdana" w:cs="Arial"/>
          <w:color w:val="000000" w:themeColor="text1"/>
        </w:rPr>
      </w:pPr>
    </w:p>
    <w:p w14:paraId="33F21497" w14:textId="77777777" w:rsidR="008253A0" w:rsidRDefault="008253A0" w:rsidP="006149D3">
      <w:pPr>
        <w:spacing w:after="0" w:line="240" w:lineRule="auto"/>
        <w:rPr>
          <w:rFonts w:ascii="Verdana" w:eastAsia="Geomanist Light" w:hAnsi="Verdana" w:cs="Arial"/>
          <w:color w:val="000000" w:themeColor="text1"/>
        </w:rPr>
      </w:pPr>
    </w:p>
    <w:p w14:paraId="2A0D980D" w14:textId="77777777" w:rsidR="008253A0" w:rsidRDefault="008253A0" w:rsidP="006149D3">
      <w:pPr>
        <w:spacing w:after="0" w:line="240" w:lineRule="auto"/>
        <w:rPr>
          <w:rFonts w:ascii="Verdana" w:eastAsia="Geomanist Light" w:hAnsi="Verdana" w:cs="Arial"/>
          <w:color w:val="000000" w:themeColor="text1"/>
        </w:rPr>
      </w:pPr>
    </w:p>
    <w:p w14:paraId="166FC858" w14:textId="77777777" w:rsidR="008253A0" w:rsidRDefault="008253A0" w:rsidP="006149D3">
      <w:pPr>
        <w:spacing w:after="0" w:line="240" w:lineRule="auto"/>
        <w:rPr>
          <w:rFonts w:ascii="Verdana" w:eastAsia="Geomanist Light" w:hAnsi="Verdana" w:cs="Arial"/>
          <w:color w:val="000000" w:themeColor="text1"/>
        </w:rPr>
      </w:pPr>
    </w:p>
    <w:p w14:paraId="27220BE8" w14:textId="77777777" w:rsidR="008253A0" w:rsidRDefault="008253A0" w:rsidP="006149D3">
      <w:pPr>
        <w:spacing w:after="0" w:line="240" w:lineRule="auto"/>
        <w:rPr>
          <w:rFonts w:ascii="Verdana" w:eastAsia="Geomanist Light" w:hAnsi="Verdana" w:cs="Arial"/>
          <w:color w:val="000000" w:themeColor="text1"/>
        </w:rPr>
      </w:pPr>
    </w:p>
    <w:p w14:paraId="1CA5EBB4" w14:textId="77777777" w:rsidR="008253A0" w:rsidRDefault="008253A0" w:rsidP="006149D3">
      <w:pPr>
        <w:spacing w:after="0" w:line="240" w:lineRule="auto"/>
        <w:rPr>
          <w:rFonts w:ascii="Verdana" w:eastAsia="Geomanist Light" w:hAnsi="Verdana" w:cs="Arial"/>
          <w:color w:val="000000" w:themeColor="text1"/>
        </w:rPr>
      </w:pPr>
    </w:p>
    <w:p w14:paraId="324802C1" w14:textId="77777777" w:rsidR="008253A0" w:rsidRDefault="008253A0" w:rsidP="006149D3">
      <w:pPr>
        <w:spacing w:after="0" w:line="240" w:lineRule="auto"/>
        <w:rPr>
          <w:rFonts w:ascii="Verdana" w:eastAsia="Geomanist Light" w:hAnsi="Verdana" w:cs="Arial"/>
          <w:color w:val="000000" w:themeColor="text1"/>
        </w:rPr>
      </w:pPr>
    </w:p>
    <w:p w14:paraId="4E8B6638" w14:textId="77777777" w:rsidR="008253A0" w:rsidRDefault="008253A0" w:rsidP="006149D3">
      <w:pPr>
        <w:spacing w:after="0" w:line="240" w:lineRule="auto"/>
        <w:rPr>
          <w:rFonts w:ascii="Verdana" w:eastAsia="Geomanist Light" w:hAnsi="Verdana" w:cs="Arial"/>
          <w:color w:val="000000" w:themeColor="text1"/>
        </w:rPr>
      </w:pPr>
    </w:p>
    <w:p w14:paraId="474229F2" w14:textId="77777777" w:rsidR="008253A0" w:rsidRPr="008253A0" w:rsidRDefault="008253A0" w:rsidP="006149D3">
      <w:pPr>
        <w:spacing w:after="0" w:line="240" w:lineRule="auto"/>
        <w:rPr>
          <w:rFonts w:ascii="Verdana" w:eastAsia="Geomanist Light" w:hAnsi="Verdana" w:cs="Arial"/>
          <w:color w:val="000000" w:themeColor="text1"/>
        </w:rPr>
      </w:pPr>
    </w:p>
    <w:p w14:paraId="4B85A37B" w14:textId="77777777" w:rsidR="00647741" w:rsidRDefault="00647741" w:rsidP="006149D3">
      <w:pPr>
        <w:spacing w:after="0" w:line="240" w:lineRule="auto"/>
        <w:rPr>
          <w:rFonts w:ascii="Verdana" w:eastAsia="Geomanist Light" w:hAnsi="Verdana" w:cs="Arial"/>
          <w:color w:val="000000" w:themeColor="text1"/>
          <w:lang w:val="es-ES"/>
        </w:rPr>
      </w:pPr>
    </w:p>
    <w:p w14:paraId="2AA33E2D" w14:textId="77777777" w:rsidR="00647741" w:rsidRDefault="00647741" w:rsidP="006149D3">
      <w:pPr>
        <w:spacing w:after="0" w:line="240" w:lineRule="auto"/>
        <w:rPr>
          <w:rFonts w:ascii="Verdana" w:eastAsia="Geomanist Light" w:hAnsi="Verdana" w:cs="Arial"/>
          <w:color w:val="000000" w:themeColor="text1"/>
          <w:lang w:val="es-ES"/>
        </w:rPr>
      </w:pPr>
    </w:p>
    <w:p w14:paraId="540F2897" w14:textId="294FF3A7" w:rsidR="006149D3" w:rsidRPr="00115E3D" w:rsidRDefault="006149D3" w:rsidP="006149D3">
      <w:pPr>
        <w:spacing w:after="0" w:line="240" w:lineRule="auto"/>
        <w:rPr>
          <w:rFonts w:ascii="Verdana" w:eastAsia="Geomanist Light" w:hAnsi="Verdana" w:cs="Arial"/>
          <w:color w:val="000000" w:themeColor="text1"/>
          <w:lang w:val="es-MX"/>
        </w:rPr>
      </w:pPr>
      <w:r w:rsidRPr="00115E3D">
        <w:rPr>
          <w:rFonts w:ascii="Verdana" w:eastAsia="Geomanist Light" w:hAnsi="Verdana" w:cs="Arial"/>
          <w:color w:val="000000" w:themeColor="text1"/>
          <w:lang w:val="es-MX"/>
        </w:rPr>
        <w:lastRenderedPageBreak/>
        <w:t>Bogotá D.C., </w:t>
      </w:r>
      <w:r w:rsidR="00C91E31" w:rsidRPr="00C91E31">
        <w:rPr>
          <w:rFonts w:ascii="Verdana" w:eastAsia="Geomanist Light" w:hAnsi="Verdana" w:cs="Arial"/>
          <w:color w:val="000000" w:themeColor="text1"/>
        </w:rPr>
        <w:t>19 de Noviembre de 2024</w:t>
      </w:r>
    </w:p>
    <w:p w14:paraId="64951DF7" w14:textId="317B6CD5" w:rsidR="006149D3" w:rsidRDefault="006149D3" w:rsidP="006149D3">
      <w:pPr>
        <w:spacing w:after="0" w:line="240" w:lineRule="auto"/>
        <w:jc w:val="both"/>
        <w:rPr>
          <w:rFonts w:ascii="Verdana" w:eastAsia="Calibri" w:hAnsi="Verdana" w:cs="Arial"/>
          <w:color w:val="000000" w:themeColor="text1"/>
          <w:lang w:val="es-ES"/>
        </w:rPr>
      </w:pPr>
    </w:p>
    <w:p w14:paraId="47AB8943" w14:textId="77777777" w:rsidR="006149D3" w:rsidRDefault="006149D3" w:rsidP="006149D3">
      <w:pPr>
        <w:spacing w:after="0" w:line="240" w:lineRule="auto"/>
        <w:jc w:val="both"/>
        <w:rPr>
          <w:rFonts w:ascii="Verdana" w:eastAsia="Calibri" w:hAnsi="Verdana" w:cs="Arial"/>
          <w:color w:val="000000" w:themeColor="text1"/>
          <w:lang w:val="es-ES"/>
        </w:rPr>
      </w:pPr>
    </w:p>
    <w:p w14:paraId="508F03CC" w14:textId="77777777" w:rsidR="006149D3" w:rsidRDefault="006149D3" w:rsidP="006149D3">
      <w:pPr>
        <w:spacing w:after="0" w:line="240" w:lineRule="auto"/>
        <w:jc w:val="both"/>
        <w:rPr>
          <w:rFonts w:ascii="Verdana" w:eastAsia="Calibri" w:hAnsi="Verdana" w:cs="Arial"/>
          <w:color w:val="000000" w:themeColor="text1"/>
          <w:lang w:val="es-ES"/>
        </w:rPr>
      </w:pPr>
    </w:p>
    <w:p w14:paraId="19917DC8" w14:textId="77777777" w:rsidR="006149D3" w:rsidRPr="00115E3D" w:rsidRDefault="006149D3" w:rsidP="006149D3">
      <w:pPr>
        <w:spacing w:after="0" w:line="240" w:lineRule="auto"/>
        <w:jc w:val="both"/>
        <w:rPr>
          <w:rFonts w:ascii="Verdana" w:eastAsia="Calibri" w:hAnsi="Verdana" w:cs="Arial"/>
          <w:color w:val="000000" w:themeColor="text1"/>
          <w:lang w:val="es-ES"/>
        </w:rPr>
      </w:pPr>
    </w:p>
    <w:p w14:paraId="7D931EDF" w14:textId="4AADD4D5" w:rsidR="006149D3" w:rsidRPr="00115E3D" w:rsidRDefault="008C3B92" w:rsidP="006149D3">
      <w:pPr>
        <w:spacing w:after="0" w:line="240" w:lineRule="auto"/>
        <w:jc w:val="both"/>
        <w:rPr>
          <w:rFonts w:ascii="Verdana" w:eastAsia="Calibri" w:hAnsi="Verdana" w:cs="Arial"/>
          <w:color w:val="000000" w:themeColor="text1"/>
          <w:lang w:val="es-ES" w:eastAsia="es-ES"/>
        </w:rPr>
      </w:pPr>
      <w:r w:rsidRPr="008C3B92">
        <w:rPr>
          <w:rFonts w:ascii="Verdana" w:eastAsia="Calibri" w:hAnsi="Verdana" w:cs="Arial"/>
          <w:noProof/>
          <w:color w:val="000000"/>
          <w:sz w:val="24"/>
          <w:szCs w:val="24"/>
          <w:lang w:val="es-ES" w:eastAsia="es-ES"/>
        </w:rPr>
        <w:drawing>
          <wp:anchor distT="0" distB="0" distL="114300" distR="114300" simplePos="0" relativeHeight="251658240" behindDoc="1" locked="0" layoutInCell="1" allowOverlap="1" wp14:anchorId="37CEF6D0" wp14:editId="5242EEE9">
            <wp:simplePos x="0" y="0"/>
            <wp:positionH relativeFrom="column">
              <wp:posOffset>3036921</wp:posOffset>
            </wp:positionH>
            <wp:positionV relativeFrom="paragraph">
              <wp:posOffset>4060</wp:posOffset>
            </wp:positionV>
            <wp:extent cx="3152775" cy="876300"/>
            <wp:effectExtent l="0" t="0" r="9525" b="0"/>
            <wp:wrapNone/>
            <wp:docPr id="1829469660"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9469660" name="Imagen 1" descr="Texto&#10;&#10;Descripción generada automáticamente"/>
                    <pic:cNvPicPr/>
                  </pic:nvPicPr>
                  <pic:blipFill>
                    <a:blip r:embed="rId11">
                      <a:extLst>
                        <a:ext uri="{28A0092B-C50C-407E-A947-70E740481C1C}">
                          <a14:useLocalDpi xmlns:a14="http://schemas.microsoft.com/office/drawing/2010/main" val="0"/>
                        </a:ext>
                      </a:extLst>
                    </a:blip>
                    <a:stretch>
                      <a:fillRect/>
                    </a:stretch>
                  </pic:blipFill>
                  <pic:spPr>
                    <a:xfrm>
                      <a:off x="0" y="0"/>
                      <a:ext cx="3152775" cy="876300"/>
                    </a:xfrm>
                    <a:prstGeom prst="rect">
                      <a:avLst/>
                    </a:prstGeom>
                  </pic:spPr>
                </pic:pic>
              </a:graphicData>
            </a:graphic>
          </wp:anchor>
        </w:drawing>
      </w:r>
      <w:r w:rsidR="006149D3" w:rsidRPr="00115E3D">
        <w:rPr>
          <w:rFonts w:ascii="Verdana" w:eastAsia="Calibri" w:hAnsi="Verdana" w:cs="Arial"/>
          <w:color w:val="000000" w:themeColor="text1"/>
          <w:lang w:val="es-ES" w:eastAsia="es-ES"/>
        </w:rPr>
        <w:t>Señor</w:t>
      </w:r>
    </w:p>
    <w:p w14:paraId="37CA7368" w14:textId="217DE819" w:rsidR="00CA6E07" w:rsidRPr="00CA6E07" w:rsidRDefault="00CA6E07" w:rsidP="00CA6E07">
      <w:pPr>
        <w:spacing w:after="0" w:line="276" w:lineRule="auto"/>
        <w:rPr>
          <w:rFonts w:ascii="Verdana" w:eastAsia="Calibri" w:hAnsi="Verdana" w:cs="Arial"/>
          <w:b/>
          <w:color w:val="000000"/>
          <w:sz w:val="24"/>
          <w:szCs w:val="24"/>
          <w:lang w:val="es-ES_tradnl" w:eastAsia="es-ES_tradnl"/>
        </w:rPr>
      </w:pPr>
      <w:r w:rsidRPr="00CA6E07">
        <w:rPr>
          <w:rFonts w:ascii="Verdana" w:eastAsia="Calibri" w:hAnsi="Verdana" w:cs="Arial"/>
          <w:b/>
          <w:color w:val="000000"/>
          <w:sz w:val="24"/>
          <w:szCs w:val="24"/>
          <w:lang w:val="es-ES" w:eastAsia="es-ES_tradnl"/>
        </w:rPr>
        <w:t>Luis Alexis Correa Salazar</w:t>
      </w:r>
    </w:p>
    <w:p w14:paraId="6CBA3AF7" w14:textId="66DABEF1" w:rsidR="00CA6E07" w:rsidRPr="00CA6E07" w:rsidRDefault="003249B8" w:rsidP="00CA6E07">
      <w:pPr>
        <w:spacing w:after="0" w:line="276" w:lineRule="auto"/>
        <w:rPr>
          <w:rFonts w:ascii="Verdana" w:eastAsia="Calibri" w:hAnsi="Verdana" w:cs="Arial"/>
          <w:color w:val="000000"/>
          <w:sz w:val="24"/>
          <w:szCs w:val="24"/>
          <w:u w:val="single"/>
          <w:lang w:val="es-ES" w:eastAsia="es-ES"/>
        </w:rPr>
      </w:pPr>
      <w:hyperlink r:id="rId12" w:history="1">
        <w:r w:rsidR="00CA6E07" w:rsidRPr="00CA6E07">
          <w:rPr>
            <w:rFonts w:ascii="Verdana" w:eastAsia="Calibri" w:hAnsi="Verdana" w:cs="Arial"/>
            <w:color w:val="0000FF"/>
            <w:sz w:val="24"/>
            <w:szCs w:val="24"/>
            <w:u w:val="single"/>
            <w:lang w:val="es-ES" w:eastAsia="es-ES"/>
          </w:rPr>
          <w:t>luiscorreasalazar@hotmail.com</w:t>
        </w:r>
      </w:hyperlink>
    </w:p>
    <w:p w14:paraId="3F74FBEF" w14:textId="636C3EB0" w:rsidR="00CA6E07" w:rsidRPr="00CA6E07" w:rsidRDefault="00CA6E07" w:rsidP="00CA6E07">
      <w:pPr>
        <w:spacing w:after="0" w:line="276" w:lineRule="auto"/>
        <w:rPr>
          <w:rFonts w:ascii="Verdana" w:eastAsia="Calibri" w:hAnsi="Verdana" w:cs="Arial"/>
          <w:b/>
          <w:bCs/>
          <w:color w:val="000000"/>
          <w:sz w:val="24"/>
          <w:szCs w:val="24"/>
          <w:lang w:val="es-ES" w:eastAsia="es-ES"/>
        </w:rPr>
      </w:pPr>
      <w:r w:rsidRPr="00CA6E07">
        <w:rPr>
          <w:rFonts w:ascii="Verdana" w:eastAsia="Calibri" w:hAnsi="Verdana" w:cs="Arial"/>
          <w:color w:val="000000"/>
          <w:sz w:val="24"/>
          <w:szCs w:val="24"/>
          <w:lang w:val="es-ES" w:eastAsia="es-ES"/>
        </w:rPr>
        <w:t>Piedecuesta</w:t>
      </w:r>
      <w:r w:rsidR="00AC44A5">
        <w:rPr>
          <w:rFonts w:ascii="Verdana" w:eastAsia="Calibri" w:hAnsi="Verdana" w:cs="Arial"/>
          <w:color w:val="000000"/>
          <w:sz w:val="24"/>
          <w:szCs w:val="24"/>
          <w:lang w:val="es-ES" w:eastAsia="es-ES"/>
        </w:rPr>
        <w:t>,</w:t>
      </w:r>
      <w:r w:rsidR="00681182">
        <w:rPr>
          <w:rFonts w:ascii="Verdana" w:eastAsia="Calibri" w:hAnsi="Verdana" w:cs="Arial"/>
          <w:color w:val="000000"/>
          <w:sz w:val="24"/>
          <w:szCs w:val="24"/>
          <w:lang w:val="es-ES" w:eastAsia="es-ES"/>
        </w:rPr>
        <w:t xml:space="preserve"> </w:t>
      </w:r>
      <w:r w:rsidRPr="00CA6E07">
        <w:rPr>
          <w:rFonts w:ascii="Verdana" w:eastAsia="Calibri" w:hAnsi="Verdana" w:cs="Arial"/>
          <w:color w:val="000000"/>
          <w:sz w:val="24"/>
          <w:szCs w:val="24"/>
          <w:lang w:val="es-ES" w:eastAsia="es-ES"/>
        </w:rPr>
        <w:t>Santander</w:t>
      </w:r>
      <w:r w:rsidR="008C3B92" w:rsidRPr="008C3B92">
        <w:rPr>
          <w:noProof/>
          <w14:ligatures w14:val="standardContextual"/>
        </w:rPr>
        <w:t xml:space="preserve"> </w:t>
      </w:r>
    </w:p>
    <w:p w14:paraId="651B370F" w14:textId="77777777" w:rsidR="006149D3" w:rsidRPr="007F31E1" w:rsidRDefault="006149D3" w:rsidP="006149D3">
      <w:pPr>
        <w:spacing w:after="0" w:line="240" w:lineRule="auto"/>
        <w:rPr>
          <w:rFonts w:ascii="Verdana" w:eastAsia="Calibri" w:hAnsi="Verdana" w:cs="Arial"/>
          <w:b/>
          <w:bCs/>
          <w:color w:val="000000" w:themeColor="text1"/>
          <w:lang w:eastAsia="es-ES_tradnl"/>
        </w:rPr>
      </w:pPr>
    </w:p>
    <w:p w14:paraId="601C206D" w14:textId="77777777" w:rsidR="006149D3" w:rsidRPr="007F31E1" w:rsidRDefault="006149D3" w:rsidP="006149D3">
      <w:pPr>
        <w:spacing w:after="0" w:line="240" w:lineRule="auto"/>
        <w:rPr>
          <w:rFonts w:ascii="Verdana" w:eastAsia="Calibri" w:hAnsi="Verdana" w:cs="Arial"/>
          <w:b/>
          <w:bCs/>
          <w:color w:val="000000" w:themeColor="text1"/>
          <w:lang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6149D3" w:rsidRPr="00115E3D" w14:paraId="6DDC31E4" w14:textId="77777777" w:rsidTr="00F627CD">
        <w:trPr>
          <w:trHeight w:val="884"/>
        </w:trPr>
        <w:tc>
          <w:tcPr>
            <w:tcW w:w="2689" w:type="dxa"/>
          </w:tcPr>
          <w:p w14:paraId="3214D79B" w14:textId="77777777" w:rsidR="006149D3" w:rsidRPr="007F31E1" w:rsidRDefault="006149D3" w:rsidP="00F627CD">
            <w:pPr>
              <w:jc w:val="both"/>
              <w:rPr>
                <w:rFonts w:ascii="Verdana" w:eastAsia="Calibri" w:hAnsi="Verdana" w:cs="Arial"/>
                <w:b/>
                <w:bCs/>
                <w:color w:val="000000" w:themeColor="text1"/>
                <w:lang w:eastAsia="es-ES_tradnl"/>
              </w:rPr>
            </w:pPr>
          </w:p>
        </w:tc>
        <w:tc>
          <w:tcPr>
            <w:tcW w:w="6100" w:type="dxa"/>
          </w:tcPr>
          <w:p w14:paraId="64A01F43" w14:textId="6CCC97D0" w:rsidR="006149D3" w:rsidRPr="00115E3D" w:rsidRDefault="006149D3" w:rsidP="00F627CD">
            <w:pPr>
              <w:jc w:val="both"/>
              <w:rPr>
                <w:rFonts w:ascii="Verdana" w:eastAsia="Calibri" w:hAnsi="Verdana" w:cs="Arial"/>
                <w:b/>
                <w:bCs/>
                <w:color w:val="000000" w:themeColor="text1"/>
                <w:lang w:val="es-ES" w:eastAsia="es-ES"/>
              </w:rPr>
            </w:pPr>
            <w:r w:rsidRPr="00115E3D">
              <w:rPr>
                <w:rFonts w:ascii="Verdana" w:eastAsia="Calibri" w:hAnsi="Verdana" w:cs="Arial"/>
                <w:b/>
                <w:bCs/>
                <w:color w:val="000000" w:themeColor="text1"/>
                <w:lang w:val="es-ES" w:eastAsia="es-ES"/>
              </w:rPr>
              <w:t xml:space="preserve">Concepto C- </w:t>
            </w:r>
            <w:r w:rsidR="003969C9">
              <w:rPr>
                <w:rFonts w:ascii="Verdana" w:eastAsia="Calibri" w:hAnsi="Verdana" w:cs="Arial"/>
                <w:b/>
                <w:bCs/>
                <w:color w:val="000000" w:themeColor="text1"/>
                <w:lang w:val="es-ES" w:eastAsia="es-ES"/>
              </w:rPr>
              <w:t>695</w:t>
            </w:r>
            <w:r w:rsidRPr="00115E3D">
              <w:rPr>
                <w:rFonts w:ascii="Verdana" w:eastAsia="Calibri" w:hAnsi="Verdana" w:cs="Arial"/>
                <w:b/>
                <w:bCs/>
                <w:color w:val="000000" w:themeColor="text1"/>
                <w:lang w:val="es-ES" w:eastAsia="es-ES"/>
              </w:rPr>
              <w:t xml:space="preserve"> de 2024</w:t>
            </w:r>
          </w:p>
        </w:tc>
      </w:tr>
      <w:tr w:rsidR="006149D3" w:rsidRPr="00722635" w14:paraId="53B284E9" w14:textId="77777777" w:rsidTr="00F627CD">
        <w:trPr>
          <w:trHeight w:val="884"/>
        </w:trPr>
        <w:tc>
          <w:tcPr>
            <w:tcW w:w="2689" w:type="dxa"/>
          </w:tcPr>
          <w:p w14:paraId="3372EEE4" w14:textId="77777777" w:rsidR="006149D3" w:rsidRPr="00115E3D" w:rsidRDefault="006149D3" w:rsidP="00F627CD">
            <w:pPr>
              <w:jc w:val="both"/>
              <w:rPr>
                <w:rFonts w:ascii="Verdana" w:eastAsia="Calibri" w:hAnsi="Verdana" w:cs="Arial"/>
                <w:color w:val="000000" w:themeColor="text1"/>
                <w:lang w:val="es-ES_tradnl" w:eastAsia="es-ES_tradnl"/>
              </w:rPr>
            </w:pPr>
            <w:r w:rsidRPr="00115E3D">
              <w:rPr>
                <w:rFonts w:ascii="Verdana" w:eastAsia="Calibri" w:hAnsi="Verdana" w:cs="Arial"/>
                <w:b/>
                <w:color w:val="000000" w:themeColor="text1"/>
                <w:lang w:val="es-ES_tradnl" w:eastAsia="es-ES_tradnl"/>
              </w:rPr>
              <w:t>Temas:</w:t>
            </w:r>
            <w:r w:rsidRPr="00115E3D">
              <w:rPr>
                <w:rFonts w:ascii="Verdana" w:eastAsia="Calibri" w:hAnsi="Verdana" w:cs="Arial"/>
                <w:color w:val="000000" w:themeColor="text1"/>
                <w:lang w:val="es-ES_tradnl" w:eastAsia="es-ES_tradnl"/>
              </w:rPr>
              <w:t xml:space="preserve">                   </w:t>
            </w:r>
          </w:p>
        </w:tc>
        <w:tc>
          <w:tcPr>
            <w:tcW w:w="6100" w:type="dxa"/>
          </w:tcPr>
          <w:p w14:paraId="357D6595" w14:textId="3C2AFE1F" w:rsidR="00681182" w:rsidRPr="00681182" w:rsidRDefault="006149D3" w:rsidP="006B5AC8">
            <w:pPr>
              <w:jc w:val="both"/>
              <w:rPr>
                <w:rFonts w:ascii="Times New Roman" w:eastAsia="Times New Roman" w:hAnsi="Times New Roman" w:cs="Times New Roman"/>
                <w:sz w:val="24"/>
                <w:szCs w:val="24"/>
                <w:lang w:eastAsia="es-CO"/>
                <w14:ligatures w14:val="standardContextual"/>
              </w:rPr>
            </w:pPr>
            <w:r w:rsidRPr="00676B96">
              <w:rPr>
                <w:rFonts w:ascii="Verdana" w:hAnsi="Verdana" w:cs="Arial"/>
                <w:lang w:eastAsia="es-ES_tradnl"/>
              </w:rPr>
              <w:t>LEY DE EMPRENDIMIENTO –</w:t>
            </w:r>
            <w:r w:rsidRPr="002A6D21">
              <w:rPr>
                <w:rFonts w:ascii="Verdana" w:eastAsia="Times New Roman" w:hAnsi="Verdana" w:cs="Arial"/>
                <w:lang w:eastAsia="es-ES_tradnl"/>
              </w:rPr>
              <w:t xml:space="preserve"> </w:t>
            </w:r>
            <w:r w:rsidRPr="002A6D21">
              <w:rPr>
                <w:rFonts w:ascii="Verdana" w:hAnsi="Verdana" w:cs="Arial"/>
                <w:lang w:eastAsia="es-ES_tradnl"/>
              </w:rPr>
              <w:t xml:space="preserve">Ley 2069 de 2020 – Artículo 32 – </w:t>
            </w:r>
            <w:r>
              <w:rPr>
                <w:rFonts w:ascii="Verdana" w:hAnsi="Verdana" w:cs="Arial"/>
                <w:lang w:eastAsia="es-ES_tradnl"/>
              </w:rPr>
              <w:t xml:space="preserve">Normativa </w:t>
            </w:r>
            <w:r w:rsidRPr="00676B96">
              <w:rPr>
                <w:rFonts w:ascii="Verdana" w:hAnsi="Verdana" w:cs="Arial"/>
                <w:lang w:eastAsia="es-ES_tradnl"/>
              </w:rPr>
              <w:t>–</w:t>
            </w:r>
            <w:r>
              <w:rPr>
                <w:rFonts w:ascii="Verdana" w:hAnsi="Verdana" w:cs="Arial"/>
                <w:lang w:eastAsia="es-ES_tradnl"/>
              </w:rPr>
              <w:t xml:space="preserve"> DECRETO 1082 DE 2015 – </w:t>
            </w:r>
            <w:r w:rsidRPr="00676B96">
              <w:rPr>
                <w:rFonts w:ascii="Verdana" w:hAnsi="Verdana" w:cs="Arial"/>
                <w:lang w:eastAsia="es-ES_tradnl"/>
              </w:rPr>
              <w:t xml:space="preserve">Artículo 2.2.1.2.4.2.14 – </w:t>
            </w:r>
            <w:r w:rsidR="000552BC">
              <w:rPr>
                <w:rFonts w:ascii="Verdana" w:hAnsi="Verdana" w:cs="Arial"/>
                <w:lang w:eastAsia="es-ES_tradnl"/>
              </w:rPr>
              <w:t>Criterios diferenciales</w:t>
            </w:r>
            <w:r w:rsidR="00681182">
              <w:rPr>
                <w:rFonts w:ascii="Verdana" w:hAnsi="Verdana" w:cs="Arial"/>
                <w:lang w:eastAsia="es-ES_tradnl"/>
              </w:rPr>
              <w:t xml:space="preserve"> –C</w:t>
            </w:r>
            <w:r w:rsidR="00681182" w:rsidRPr="00681182">
              <w:rPr>
                <w:rFonts w:ascii="Verdana" w:eastAsia="Times New Roman" w:hAnsi="Verdana" w:cs="Times New Roman"/>
                <w:color w:val="000000"/>
                <w:sz w:val="24"/>
                <w:szCs w:val="24"/>
                <w:lang w:eastAsia="es-CO"/>
                <w14:ligatures w14:val="standardContextual"/>
              </w:rPr>
              <w:t>ondiciones habilitantes requeridas</w:t>
            </w:r>
          </w:p>
          <w:p w14:paraId="5B436C6E" w14:textId="26AED78D" w:rsidR="006149D3" w:rsidRPr="00681182" w:rsidRDefault="006149D3" w:rsidP="00F627CD">
            <w:pPr>
              <w:jc w:val="both"/>
              <w:rPr>
                <w:rFonts w:ascii="Verdana" w:hAnsi="Verdana" w:cs="Arial"/>
                <w:lang w:eastAsia="es-ES_tradnl"/>
              </w:rPr>
            </w:pPr>
          </w:p>
          <w:p w14:paraId="44A39C5D" w14:textId="77777777" w:rsidR="006149D3" w:rsidRPr="009514AE" w:rsidRDefault="006149D3" w:rsidP="00F627CD">
            <w:pPr>
              <w:spacing w:line="276" w:lineRule="auto"/>
              <w:jc w:val="both"/>
              <w:rPr>
                <w:rFonts w:ascii="Verdana" w:eastAsia="Calibri" w:hAnsi="Verdana" w:cs="Arial"/>
                <w:color w:val="000000" w:themeColor="text1"/>
                <w:lang w:val="es-ES_tradnl" w:eastAsia="es-ES"/>
              </w:rPr>
            </w:pPr>
          </w:p>
        </w:tc>
      </w:tr>
      <w:tr w:rsidR="006149D3" w:rsidRPr="00115E3D" w14:paraId="0E856C9B" w14:textId="77777777" w:rsidTr="00F627CD">
        <w:tc>
          <w:tcPr>
            <w:tcW w:w="2689" w:type="dxa"/>
          </w:tcPr>
          <w:p w14:paraId="02A1B26B" w14:textId="77777777" w:rsidR="006149D3" w:rsidRPr="00115E3D" w:rsidRDefault="006149D3" w:rsidP="00F627CD">
            <w:pPr>
              <w:jc w:val="both"/>
              <w:rPr>
                <w:rFonts w:ascii="Verdana" w:eastAsia="Calibri" w:hAnsi="Verdana" w:cs="Arial"/>
                <w:b/>
                <w:color w:val="000000" w:themeColor="text1"/>
                <w:lang w:val="es-ES_tradnl" w:eastAsia="es-ES_tradnl"/>
              </w:rPr>
            </w:pPr>
            <w:r w:rsidRPr="00115E3D">
              <w:rPr>
                <w:rFonts w:ascii="Verdana" w:eastAsia="Calibri" w:hAnsi="Verdana" w:cs="Arial"/>
                <w:b/>
                <w:color w:val="000000" w:themeColor="text1"/>
                <w:lang w:val="es-ES_tradnl" w:eastAsia="es-ES_tradnl"/>
              </w:rPr>
              <w:t>Radicación:</w:t>
            </w:r>
            <w:r w:rsidRPr="00115E3D">
              <w:rPr>
                <w:rFonts w:ascii="Verdana" w:eastAsia="Calibri" w:hAnsi="Verdana" w:cs="Arial"/>
                <w:color w:val="000000" w:themeColor="text1"/>
                <w:lang w:val="es-ES_tradnl" w:eastAsia="es-ES_tradnl"/>
              </w:rPr>
              <w:t xml:space="preserve">               </w:t>
            </w:r>
          </w:p>
        </w:tc>
        <w:tc>
          <w:tcPr>
            <w:tcW w:w="6100" w:type="dxa"/>
          </w:tcPr>
          <w:p w14:paraId="10466933" w14:textId="77777777" w:rsidR="006149D3" w:rsidRPr="00115E3D" w:rsidRDefault="006149D3" w:rsidP="00F627CD">
            <w:pPr>
              <w:jc w:val="both"/>
              <w:rPr>
                <w:rFonts w:ascii="Verdana" w:eastAsia="Calibri" w:hAnsi="Verdana" w:cs="Arial"/>
                <w:color w:val="000000" w:themeColor="text1"/>
                <w:lang w:val="es-ES_tradnl" w:eastAsia="es-ES_tradnl"/>
              </w:rPr>
            </w:pPr>
            <w:r w:rsidRPr="00115E3D">
              <w:rPr>
                <w:rFonts w:ascii="Verdana" w:eastAsia="Calibri" w:hAnsi="Verdana" w:cs="Arial"/>
                <w:color w:val="000000" w:themeColor="text1"/>
                <w:lang w:val="es-ES_tradnl" w:eastAsia="es-ES_tradnl"/>
              </w:rPr>
              <w:t>Respuesta a consulta con radicado No.</w:t>
            </w:r>
          </w:p>
          <w:p w14:paraId="783E7117" w14:textId="46CF2310" w:rsidR="006149D3" w:rsidRPr="007F31E1" w:rsidRDefault="00AC44A5" w:rsidP="00F627CD">
            <w:pPr>
              <w:jc w:val="both"/>
              <w:rPr>
                <w:rFonts w:ascii="Verdana" w:hAnsi="Verdana" w:cs="Calibri"/>
                <w:color w:val="000000"/>
              </w:rPr>
            </w:pPr>
            <w:r>
              <w:rPr>
                <w:rFonts w:ascii="Verdana" w:hAnsi="Verdana" w:cs="Calibri"/>
                <w:color w:val="000000"/>
              </w:rPr>
              <w:t>P20241003010119</w:t>
            </w:r>
          </w:p>
        </w:tc>
      </w:tr>
    </w:tbl>
    <w:p w14:paraId="2FA4237E" w14:textId="77777777" w:rsidR="006149D3" w:rsidRPr="00115E3D" w:rsidRDefault="006149D3" w:rsidP="006149D3">
      <w:pPr>
        <w:spacing w:after="0" w:line="240" w:lineRule="auto"/>
        <w:jc w:val="both"/>
        <w:rPr>
          <w:rFonts w:ascii="Verdana" w:eastAsia="Calibri" w:hAnsi="Verdana" w:cs="Arial"/>
          <w:color w:val="000000" w:themeColor="text1"/>
          <w:lang w:val="es-ES_tradnl" w:eastAsia="es-ES_tradnl"/>
        </w:rPr>
      </w:pPr>
    </w:p>
    <w:p w14:paraId="46F2608E" w14:textId="77777777" w:rsidR="006149D3" w:rsidRPr="00115E3D" w:rsidRDefault="006149D3" w:rsidP="006149D3">
      <w:pPr>
        <w:spacing w:after="0" w:line="240" w:lineRule="auto"/>
        <w:jc w:val="both"/>
        <w:rPr>
          <w:rFonts w:ascii="Verdana" w:eastAsia="Calibri" w:hAnsi="Verdana" w:cs="Arial"/>
          <w:color w:val="000000" w:themeColor="text1"/>
          <w:lang w:val="es-ES_tradnl" w:eastAsia="es-ES_tradnl"/>
        </w:rPr>
      </w:pPr>
    </w:p>
    <w:p w14:paraId="5B6F01E0" w14:textId="77DC1B01" w:rsidR="006149D3" w:rsidRPr="00115E3D" w:rsidRDefault="006149D3" w:rsidP="006149D3">
      <w:pPr>
        <w:spacing w:after="0" w:line="276" w:lineRule="auto"/>
        <w:jc w:val="both"/>
        <w:rPr>
          <w:rFonts w:ascii="Verdana" w:eastAsia="Calibri" w:hAnsi="Verdana" w:cs="Arial"/>
          <w:color w:val="000000" w:themeColor="text1"/>
          <w:lang w:val="es-ES" w:eastAsia="es-ES"/>
        </w:rPr>
      </w:pPr>
      <w:r w:rsidRPr="00115E3D">
        <w:rPr>
          <w:rFonts w:ascii="Verdana" w:eastAsia="Calibri" w:hAnsi="Verdana" w:cs="Arial"/>
          <w:color w:val="000000" w:themeColor="text1"/>
          <w:lang w:val="es-ES" w:eastAsia="es-ES"/>
        </w:rPr>
        <w:t>Estimado señor</w:t>
      </w:r>
      <w:r>
        <w:rPr>
          <w:rFonts w:ascii="Verdana" w:eastAsia="Calibri" w:hAnsi="Verdana" w:cs="Arial"/>
          <w:color w:val="000000" w:themeColor="text1"/>
          <w:lang w:val="es-ES" w:eastAsia="es-ES"/>
        </w:rPr>
        <w:t xml:space="preserve"> </w:t>
      </w:r>
      <w:r w:rsidR="00AC44A5">
        <w:rPr>
          <w:rFonts w:ascii="Verdana" w:eastAsia="Calibri" w:hAnsi="Verdana" w:cs="Arial"/>
          <w:color w:val="000000" w:themeColor="text1"/>
          <w:lang w:val="es-ES" w:eastAsia="es-ES"/>
        </w:rPr>
        <w:t>Correa</w:t>
      </w:r>
      <w:r w:rsidRPr="00115E3D">
        <w:rPr>
          <w:rFonts w:ascii="Verdana" w:eastAsia="Calibri" w:hAnsi="Verdana" w:cs="Arial"/>
          <w:color w:val="000000" w:themeColor="text1"/>
          <w:lang w:val="es-ES" w:eastAsia="es-ES"/>
        </w:rPr>
        <w:t xml:space="preserve">: </w:t>
      </w:r>
    </w:p>
    <w:p w14:paraId="4CA7C37E" w14:textId="77777777" w:rsidR="006149D3" w:rsidRPr="00115E3D" w:rsidRDefault="006149D3" w:rsidP="006149D3">
      <w:pPr>
        <w:tabs>
          <w:tab w:val="left" w:pos="3768"/>
        </w:tabs>
        <w:spacing w:after="0" w:line="276" w:lineRule="auto"/>
        <w:jc w:val="both"/>
        <w:rPr>
          <w:rFonts w:ascii="Verdana" w:eastAsia="Calibri" w:hAnsi="Verdana" w:cs="Arial"/>
          <w:color w:val="000000" w:themeColor="text1"/>
          <w:lang w:val="es-ES" w:eastAsia="es-ES"/>
        </w:rPr>
      </w:pPr>
      <w:r w:rsidRPr="00115E3D">
        <w:rPr>
          <w:rFonts w:ascii="Verdana" w:eastAsia="Calibri" w:hAnsi="Verdana" w:cs="Arial"/>
          <w:color w:val="000000" w:themeColor="text1"/>
          <w:lang w:val="es-ES" w:eastAsia="es-ES"/>
        </w:rPr>
        <w:tab/>
      </w:r>
    </w:p>
    <w:p w14:paraId="5B039FCC" w14:textId="6A9AE498" w:rsidR="006149D3" w:rsidRPr="00115E3D" w:rsidRDefault="006149D3" w:rsidP="006149D3">
      <w:pPr>
        <w:spacing w:after="0" w:line="276" w:lineRule="auto"/>
        <w:jc w:val="both"/>
        <w:rPr>
          <w:rFonts w:ascii="Verdana" w:eastAsia="Calibri" w:hAnsi="Verdana" w:cs="Arial"/>
          <w:color w:val="000000" w:themeColor="text1"/>
          <w:lang w:val="es-ES" w:eastAsia="es-ES"/>
        </w:rPr>
      </w:pPr>
      <w:r w:rsidRPr="00115E3D">
        <w:rPr>
          <w:rFonts w:ascii="Verdana" w:eastAsia="Calibri" w:hAnsi="Verdana" w:cs="Arial"/>
          <w:color w:val="000000" w:themeColor="text1"/>
          <w:lang w:val="es-ES" w:eastAsia="es-ES"/>
        </w:rPr>
        <w:t>En ejercicio de la competencia otorgada por los artículos 3, numeral 5º, y 11, numeral 8º, del Decreto Ley 4170 de 2011,</w:t>
      </w:r>
      <w:r w:rsidRPr="00115E3D">
        <w:rPr>
          <w:rFonts w:ascii="Verdana" w:eastAsia="Arial MT" w:hAnsi="Verdana" w:cs="Arial MT"/>
          <w:color w:val="000000" w:themeColor="text1"/>
          <w:lang w:val="es-ES" w:eastAsia="es-ES"/>
        </w:rPr>
        <w:t xml:space="preserve"> </w:t>
      </w:r>
      <w:r w:rsidRPr="00115E3D">
        <w:rPr>
          <w:rFonts w:ascii="Verdana" w:hAnsi="Verdana" w:cs="Arial"/>
          <w:color w:val="000000" w:themeColor="text1"/>
        </w:rPr>
        <w:t xml:space="preserve">así como lo establecido en el artículo 4 de la Resolución 1707 de 2018 expedida por esta Entidad, </w:t>
      </w:r>
      <w:r w:rsidRPr="00115E3D">
        <w:rPr>
          <w:rFonts w:ascii="Verdana" w:eastAsia="Calibri" w:hAnsi="Verdana" w:cs="Arial"/>
          <w:color w:val="000000" w:themeColor="text1"/>
          <w:lang w:val="es-ES" w:eastAsia="es-ES"/>
        </w:rPr>
        <w:t xml:space="preserve">la Agencia Nacional de Contratación Pública – Colombia Compra Eficiente– responde su solicitud de consulta de fecha </w:t>
      </w:r>
      <w:r w:rsidR="00AC44A5">
        <w:rPr>
          <w:rFonts w:ascii="Verdana" w:eastAsia="Calibri" w:hAnsi="Verdana" w:cs="Arial"/>
          <w:color w:val="000000" w:themeColor="text1"/>
          <w:lang w:val="es-ES" w:eastAsia="es-ES"/>
        </w:rPr>
        <w:t>03</w:t>
      </w:r>
      <w:r w:rsidRPr="00115E3D">
        <w:rPr>
          <w:rFonts w:ascii="Verdana" w:eastAsia="Calibri" w:hAnsi="Verdana" w:cs="Arial"/>
          <w:color w:val="000000" w:themeColor="text1"/>
          <w:lang w:val="es-ES" w:eastAsia="es-ES"/>
        </w:rPr>
        <w:t xml:space="preserve"> de </w:t>
      </w:r>
      <w:r w:rsidR="00AC44A5">
        <w:rPr>
          <w:rFonts w:ascii="Verdana" w:eastAsia="Calibri" w:hAnsi="Verdana" w:cs="Arial"/>
          <w:color w:val="000000" w:themeColor="text1"/>
          <w:lang w:val="es-ES" w:eastAsia="es-ES"/>
        </w:rPr>
        <w:t>octubre</w:t>
      </w:r>
      <w:r w:rsidRPr="00115E3D">
        <w:rPr>
          <w:rFonts w:ascii="Verdana" w:eastAsia="Calibri" w:hAnsi="Verdana" w:cs="Arial"/>
          <w:color w:val="000000" w:themeColor="text1"/>
          <w:lang w:val="es-ES" w:eastAsia="es-ES"/>
        </w:rPr>
        <w:t xml:space="preserve"> de 20</w:t>
      </w:r>
      <w:r>
        <w:rPr>
          <w:rFonts w:ascii="Verdana" w:eastAsia="Calibri" w:hAnsi="Verdana" w:cs="Arial"/>
          <w:color w:val="000000" w:themeColor="text1"/>
          <w:lang w:val="es-ES" w:eastAsia="es-ES"/>
        </w:rPr>
        <w:t>24</w:t>
      </w:r>
      <w:r w:rsidRPr="00115E3D">
        <w:rPr>
          <w:rFonts w:ascii="Verdana" w:eastAsia="Calibri" w:hAnsi="Verdana" w:cs="Arial"/>
          <w:color w:val="000000" w:themeColor="text1"/>
          <w:lang w:val="es-ES" w:eastAsia="es-ES"/>
        </w:rPr>
        <w:t xml:space="preserve">, en la cual manifiesta lo siguiente: </w:t>
      </w:r>
    </w:p>
    <w:p w14:paraId="35164BF2" w14:textId="77777777" w:rsidR="006149D3" w:rsidRPr="00115E3D" w:rsidRDefault="006149D3" w:rsidP="006149D3">
      <w:pPr>
        <w:pStyle w:val="Prrafodelista"/>
        <w:tabs>
          <w:tab w:val="left" w:pos="142"/>
          <w:tab w:val="left" w:pos="284"/>
        </w:tabs>
        <w:spacing w:line="276" w:lineRule="auto"/>
        <w:ind w:left="0"/>
        <w:jc w:val="both"/>
        <w:rPr>
          <w:rFonts w:ascii="Verdana" w:eastAsia="Century Gothic" w:hAnsi="Verdana" w:cs="Century Gothic"/>
          <w:b/>
          <w:bCs/>
          <w:color w:val="000000" w:themeColor="text1"/>
          <w:lang w:val="es-ES"/>
        </w:rPr>
      </w:pPr>
    </w:p>
    <w:p w14:paraId="6B630ABE" w14:textId="7A7E5930" w:rsidR="006149D3" w:rsidRPr="006149D3" w:rsidRDefault="006149D3" w:rsidP="006149D3">
      <w:pPr>
        <w:spacing w:after="0" w:line="240" w:lineRule="auto"/>
        <w:ind w:left="709" w:right="709"/>
        <w:jc w:val="both"/>
        <w:rPr>
          <w:rFonts w:ascii="Verdana" w:eastAsia="Century Gothic" w:hAnsi="Verdana" w:cs="Century Gothic"/>
          <w:i/>
          <w:iCs/>
          <w:color w:val="000000" w:themeColor="text1"/>
          <w:sz w:val="20"/>
          <w:szCs w:val="20"/>
        </w:rPr>
      </w:pPr>
      <w:bookmarkStart w:id="0" w:name="_Hlk95313578"/>
      <w:r w:rsidRPr="007139C4">
        <w:rPr>
          <w:rFonts w:ascii="Verdana" w:eastAsia="Century Gothic" w:hAnsi="Verdana" w:cs="Century Gothic"/>
          <w:i/>
          <w:iCs/>
          <w:color w:val="000000" w:themeColor="text1"/>
          <w:sz w:val="20"/>
          <w:szCs w:val="20"/>
          <w:lang w:val="es-ES"/>
        </w:rPr>
        <w:t>“</w:t>
      </w:r>
      <w:bookmarkEnd w:id="0"/>
      <w:r w:rsidRPr="006149D3">
        <w:rPr>
          <w:rFonts w:ascii="Verdana" w:eastAsia="Century Gothic" w:hAnsi="Verdana" w:cs="Century Gothic"/>
          <w:i/>
          <w:iCs/>
          <w:color w:val="000000" w:themeColor="text1"/>
          <w:sz w:val="20"/>
          <w:szCs w:val="20"/>
        </w:rPr>
        <w:t>El factor diferencial para MyPimes y Emprendimiento y empresa de mujeres seaplica para cumplir experiencia con contratos adicionales a los requeridos en pliegos,</w:t>
      </w:r>
      <w:r>
        <w:rPr>
          <w:rFonts w:ascii="Verdana" w:eastAsia="Century Gothic" w:hAnsi="Verdana" w:cs="Century Gothic"/>
          <w:i/>
          <w:iCs/>
          <w:color w:val="000000" w:themeColor="text1"/>
          <w:sz w:val="20"/>
          <w:szCs w:val="20"/>
        </w:rPr>
        <w:t xml:space="preserve"> </w:t>
      </w:r>
      <w:r w:rsidRPr="006149D3">
        <w:rPr>
          <w:rFonts w:ascii="Verdana" w:eastAsia="Century Gothic" w:hAnsi="Verdana" w:cs="Century Gothic"/>
          <w:i/>
          <w:iCs/>
          <w:color w:val="000000" w:themeColor="text1"/>
          <w:sz w:val="20"/>
          <w:szCs w:val="20"/>
        </w:rPr>
        <w:t>luego surge esta pregunta</w:t>
      </w:r>
    </w:p>
    <w:p w14:paraId="336C5FE7" w14:textId="210C2714" w:rsidR="006149D3" w:rsidRPr="007139C4" w:rsidRDefault="006149D3" w:rsidP="006149D3">
      <w:pPr>
        <w:spacing w:after="0" w:line="240" w:lineRule="auto"/>
        <w:ind w:left="709" w:right="709"/>
        <w:jc w:val="both"/>
        <w:rPr>
          <w:rFonts w:ascii="Verdana" w:eastAsia="Century Gothic" w:hAnsi="Verdana" w:cs="Century Gothic"/>
          <w:i/>
          <w:iCs/>
          <w:color w:val="000000" w:themeColor="text1"/>
          <w:sz w:val="20"/>
          <w:szCs w:val="20"/>
        </w:rPr>
      </w:pPr>
      <w:r w:rsidRPr="006149D3">
        <w:rPr>
          <w:rFonts w:ascii="Verdana" w:eastAsia="Century Gothic" w:hAnsi="Verdana" w:cs="Century Gothic"/>
          <w:i/>
          <w:iCs/>
          <w:color w:val="000000" w:themeColor="text1"/>
          <w:sz w:val="20"/>
          <w:szCs w:val="20"/>
        </w:rPr>
        <w:t>Tambien aplicaria para cumplir experiencia con menos contratos solicitados en</w:t>
      </w:r>
      <w:r>
        <w:rPr>
          <w:rFonts w:ascii="Verdana" w:eastAsia="Century Gothic" w:hAnsi="Verdana" w:cs="Century Gothic"/>
          <w:i/>
          <w:iCs/>
          <w:color w:val="000000" w:themeColor="text1"/>
          <w:sz w:val="20"/>
          <w:szCs w:val="20"/>
        </w:rPr>
        <w:t xml:space="preserve"> </w:t>
      </w:r>
      <w:r w:rsidRPr="006149D3">
        <w:rPr>
          <w:rFonts w:ascii="Verdana" w:eastAsia="Century Gothic" w:hAnsi="Verdana" w:cs="Century Gothic"/>
          <w:i/>
          <w:iCs/>
          <w:color w:val="000000" w:themeColor="text1"/>
          <w:sz w:val="20"/>
          <w:szCs w:val="20"/>
        </w:rPr>
        <w:t>pliegos? ejemplo, si la entidad estatal solicita dos contratos como condici</w:t>
      </w:r>
      <w:r w:rsidRPr="006149D3">
        <w:rPr>
          <w:rFonts w:ascii="Verdana" w:eastAsia="Century Gothic" w:hAnsi="Verdana" w:cs="Century Gothic" w:hint="eastAsia"/>
          <w:i/>
          <w:iCs/>
          <w:color w:val="000000" w:themeColor="text1"/>
          <w:sz w:val="20"/>
          <w:szCs w:val="20"/>
        </w:rPr>
        <w:t>ó</w:t>
      </w:r>
      <w:r w:rsidRPr="006149D3">
        <w:rPr>
          <w:rFonts w:ascii="Verdana" w:eastAsia="Century Gothic" w:hAnsi="Verdana" w:cs="Century Gothic"/>
          <w:i/>
          <w:iCs/>
          <w:color w:val="000000" w:themeColor="text1"/>
          <w:sz w:val="20"/>
          <w:szCs w:val="20"/>
        </w:rPr>
        <w:t>n para</w:t>
      </w:r>
      <w:r>
        <w:rPr>
          <w:rFonts w:ascii="Verdana" w:eastAsia="Century Gothic" w:hAnsi="Verdana" w:cs="Century Gothic"/>
          <w:i/>
          <w:iCs/>
          <w:color w:val="000000" w:themeColor="text1"/>
          <w:sz w:val="20"/>
          <w:szCs w:val="20"/>
        </w:rPr>
        <w:t xml:space="preserve"> </w:t>
      </w:r>
      <w:r w:rsidRPr="006149D3">
        <w:rPr>
          <w:rFonts w:ascii="Verdana" w:eastAsia="Century Gothic" w:hAnsi="Verdana" w:cs="Century Gothic"/>
          <w:i/>
          <w:iCs/>
          <w:color w:val="000000" w:themeColor="text1"/>
          <w:sz w:val="20"/>
          <w:szCs w:val="20"/>
        </w:rPr>
        <w:t xml:space="preserve">cumplir la experiencia, general o especifica, este </w:t>
      </w:r>
      <w:r w:rsidRPr="006149D3">
        <w:rPr>
          <w:rFonts w:ascii="Verdana" w:eastAsia="Century Gothic" w:hAnsi="Verdana" w:cs="Century Gothic"/>
          <w:i/>
          <w:iCs/>
          <w:color w:val="000000" w:themeColor="text1"/>
          <w:sz w:val="20"/>
          <w:szCs w:val="20"/>
        </w:rPr>
        <w:lastRenderedPageBreak/>
        <w:t>factor diferencial habilita a la</w:t>
      </w:r>
      <w:r>
        <w:rPr>
          <w:rFonts w:ascii="Verdana" w:eastAsia="Century Gothic" w:hAnsi="Verdana" w:cs="Century Gothic"/>
          <w:i/>
          <w:iCs/>
          <w:color w:val="000000" w:themeColor="text1"/>
          <w:sz w:val="20"/>
          <w:szCs w:val="20"/>
        </w:rPr>
        <w:t xml:space="preserve"> </w:t>
      </w:r>
      <w:r w:rsidRPr="006149D3">
        <w:rPr>
          <w:rFonts w:ascii="Verdana" w:eastAsia="Century Gothic" w:hAnsi="Verdana" w:cs="Century Gothic"/>
          <w:i/>
          <w:iCs/>
          <w:color w:val="000000" w:themeColor="text1"/>
          <w:sz w:val="20"/>
          <w:szCs w:val="20"/>
        </w:rPr>
        <w:t>MyPimes o Emprendimiento y empresa de mujeres para cumplir con un solo</w:t>
      </w:r>
      <w:r>
        <w:rPr>
          <w:rFonts w:ascii="Verdana" w:eastAsia="Century Gothic" w:hAnsi="Verdana" w:cs="Century Gothic"/>
          <w:i/>
          <w:iCs/>
          <w:color w:val="000000" w:themeColor="text1"/>
          <w:sz w:val="20"/>
          <w:szCs w:val="20"/>
        </w:rPr>
        <w:t xml:space="preserve"> </w:t>
      </w:r>
      <w:r w:rsidR="00A04BCB" w:rsidRPr="006149D3">
        <w:rPr>
          <w:rFonts w:ascii="Verdana" w:eastAsia="Century Gothic" w:hAnsi="Verdana" w:cs="Century Gothic"/>
          <w:i/>
          <w:iCs/>
          <w:color w:val="000000" w:themeColor="text1"/>
          <w:sz w:val="20"/>
          <w:szCs w:val="20"/>
        </w:rPr>
        <w:t>contrato?</w:t>
      </w:r>
      <w:r w:rsidR="00A04BCB">
        <w:rPr>
          <w:rFonts w:ascii="Verdana" w:eastAsia="Century Gothic" w:hAnsi="Verdana" w:cs="Century Gothic"/>
          <w:i/>
          <w:iCs/>
          <w:color w:val="000000" w:themeColor="text1"/>
          <w:sz w:val="20"/>
          <w:szCs w:val="20"/>
        </w:rPr>
        <w:t>” (</w:t>
      </w:r>
      <w:r>
        <w:rPr>
          <w:rFonts w:ascii="Verdana" w:eastAsia="Century Gothic" w:hAnsi="Verdana" w:cs="Century Gothic"/>
          <w:i/>
          <w:iCs/>
          <w:color w:val="000000" w:themeColor="text1"/>
          <w:sz w:val="20"/>
          <w:szCs w:val="20"/>
        </w:rPr>
        <w:t>SIC)</w:t>
      </w:r>
    </w:p>
    <w:p w14:paraId="1C85B716" w14:textId="77777777" w:rsidR="006149D3" w:rsidRPr="00115E3D" w:rsidRDefault="006149D3" w:rsidP="006149D3">
      <w:pPr>
        <w:pStyle w:val="Prrafodelista"/>
        <w:tabs>
          <w:tab w:val="left" w:pos="142"/>
          <w:tab w:val="left" w:pos="284"/>
        </w:tabs>
        <w:spacing w:line="276" w:lineRule="auto"/>
        <w:ind w:left="0"/>
        <w:jc w:val="both"/>
        <w:rPr>
          <w:rFonts w:ascii="Verdana" w:eastAsia="Century Gothic" w:hAnsi="Verdana" w:cs="Century Gothic"/>
          <w:b/>
          <w:bCs/>
          <w:color w:val="000000" w:themeColor="text1"/>
          <w:lang w:val="es-ES"/>
        </w:rPr>
      </w:pPr>
    </w:p>
    <w:p w14:paraId="50CD852F" w14:textId="77777777" w:rsidR="006149D3" w:rsidRPr="00115E3D" w:rsidRDefault="006149D3" w:rsidP="006149D3">
      <w:pPr>
        <w:spacing w:after="120" w:line="276" w:lineRule="auto"/>
        <w:ind w:firstLine="709"/>
        <w:jc w:val="both"/>
        <w:rPr>
          <w:rFonts w:ascii="Verdana" w:eastAsia="Calibri" w:hAnsi="Verdana" w:cs="Arial"/>
          <w:color w:val="000000" w:themeColor="text1"/>
          <w:szCs w:val="24"/>
          <w:lang w:val="es-ES_tradnl" w:eastAsia="es-ES_tradnl"/>
        </w:rPr>
      </w:pPr>
      <w:r w:rsidRPr="00115E3D">
        <w:rPr>
          <w:rFonts w:ascii="Verdana" w:eastAsia="Calibri" w:hAnsi="Verdana" w:cs="Arial"/>
          <w:color w:val="000000" w:themeColor="text1"/>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115E3D">
        <w:rPr>
          <w:rFonts w:ascii="Verdana" w:eastAsia="Calibri" w:hAnsi="Verdana" w:cs="Arial"/>
          <w:color w:val="000000" w:themeColor="text1"/>
          <w:szCs w:val="24"/>
          <w:lang w:val="es-ES_tradnl" w:eastAsia="es-ES_tradnl"/>
        </w:rPr>
        <w:tab/>
      </w:r>
    </w:p>
    <w:p w14:paraId="777B2CC5" w14:textId="77777777" w:rsidR="006149D3" w:rsidRPr="00115E3D" w:rsidRDefault="006149D3" w:rsidP="006149D3">
      <w:pPr>
        <w:spacing w:after="0" w:line="276" w:lineRule="auto"/>
        <w:ind w:firstLine="709"/>
        <w:jc w:val="both"/>
        <w:rPr>
          <w:rFonts w:ascii="Verdana" w:eastAsia="Calibri" w:hAnsi="Verdana" w:cs="Arial"/>
          <w:color w:val="000000" w:themeColor="text1"/>
          <w:lang w:val="es-ES" w:eastAsia="es-ES"/>
        </w:rPr>
      </w:pPr>
      <w:r w:rsidRPr="00115E3D">
        <w:rPr>
          <w:rFonts w:ascii="Verdana" w:eastAsia="Calibri" w:hAnsi="Verdana" w:cs="Arial"/>
          <w:color w:val="000000" w:themeColor="text1"/>
          <w:lang w:val="es-ES" w:eastAsia="es-ES"/>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w:t>
      </w:r>
      <w:r>
        <w:rPr>
          <w:rFonts w:ascii="Verdana" w:eastAsia="Calibri" w:hAnsi="Verdana" w:cs="Arial"/>
          <w:color w:val="000000" w:themeColor="text1"/>
          <w:lang w:val="es-ES" w:eastAsia="es-ES"/>
        </w:rPr>
        <w:t>el problema jurídico</w:t>
      </w:r>
      <w:r w:rsidRPr="00115E3D">
        <w:rPr>
          <w:rFonts w:ascii="Verdana" w:eastAsia="Calibri" w:hAnsi="Verdana" w:cs="Arial"/>
          <w:color w:val="000000" w:themeColor="text1"/>
          <w:lang w:val="es-ES" w:eastAsia="es-ES"/>
        </w:rPr>
        <w:t xml:space="preserve"> de su consulta. </w:t>
      </w:r>
    </w:p>
    <w:p w14:paraId="4B717375" w14:textId="77777777" w:rsidR="006149D3" w:rsidRPr="00115E3D" w:rsidRDefault="006149D3" w:rsidP="006149D3">
      <w:pPr>
        <w:spacing w:after="0" w:line="276" w:lineRule="auto"/>
        <w:ind w:firstLine="709"/>
        <w:jc w:val="both"/>
        <w:rPr>
          <w:rFonts w:ascii="Verdana" w:eastAsia="Calibri" w:hAnsi="Verdana" w:cs="Arial"/>
          <w:color w:val="000000" w:themeColor="text1"/>
          <w:lang w:val="es-ES" w:eastAsia="es-ES"/>
        </w:rPr>
      </w:pPr>
    </w:p>
    <w:p w14:paraId="5A672CF0" w14:textId="77777777" w:rsidR="006149D3" w:rsidRPr="00115E3D" w:rsidRDefault="006149D3" w:rsidP="006149D3">
      <w:pPr>
        <w:pStyle w:val="Prrafodelista"/>
        <w:numPr>
          <w:ilvl w:val="0"/>
          <w:numId w:val="1"/>
        </w:numPr>
        <w:tabs>
          <w:tab w:val="left" w:pos="142"/>
          <w:tab w:val="left" w:pos="284"/>
        </w:tabs>
        <w:spacing w:after="0" w:line="276" w:lineRule="auto"/>
        <w:ind w:left="0" w:firstLine="0"/>
        <w:jc w:val="both"/>
        <w:rPr>
          <w:rFonts w:ascii="Verdana" w:eastAsia="Century Gothic" w:hAnsi="Verdana" w:cs="Century Gothic"/>
          <w:b/>
          <w:bCs/>
          <w:color w:val="000000" w:themeColor="text1"/>
          <w:lang w:val="es-ES"/>
        </w:rPr>
      </w:pPr>
      <w:r w:rsidRPr="00115E3D">
        <w:rPr>
          <w:rFonts w:ascii="Verdana" w:eastAsia="Century Gothic" w:hAnsi="Verdana" w:cs="Century Gothic"/>
          <w:b/>
          <w:bCs/>
          <w:color w:val="000000" w:themeColor="text1"/>
          <w:lang w:val="es-ES"/>
        </w:rPr>
        <w:t>Problema planteado:</w:t>
      </w:r>
    </w:p>
    <w:p w14:paraId="4333E06F" w14:textId="77777777" w:rsidR="006149D3" w:rsidRPr="00115E3D" w:rsidRDefault="006149D3" w:rsidP="006149D3">
      <w:pPr>
        <w:tabs>
          <w:tab w:val="left" w:pos="426"/>
        </w:tabs>
        <w:spacing w:after="0" w:line="276" w:lineRule="auto"/>
        <w:jc w:val="both"/>
        <w:rPr>
          <w:rFonts w:ascii="Verdana" w:eastAsia="Century Gothic" w:hAnsi="Verdana" w:cs="Century Gothic"/>
          <w:color w:val="000000" w:themeColor="text1"/>
          <w:lang w:val="es-ES"/>
        </w:rPr>
      </w:pPr>
    </w:p>
    <w:p w14:paraId="31DE1625" w14:textId="77777777" w:rsidR="00A04BCB" w:rsidRDefault="006149D3" w:rsidP="006149D3">
      <w:pPr>
        <w:jc w:val="both"/>
        <w:rPr>
          <w:rFonts w:ascii="Verdana" w:eastAsia="Century Gothic" w:hAnsi="Verdana" w:cs="Century Gothic"/>
          <w:color w:val="000000" w:themeColor="text1"/>
        </w:rPr>
      </w:pPr>
      <w:r w:rsidRPr="00115E3D">
        <w:rPr>
          <w:rFonts w:ascii="Verdana" w:eastAsia="Century Gothic" w:hAnsi="Verdana" w:cs="Century Gothic"/>
          <w:color w:val="000000" w:themeColor="text1"/>
        </w:rPr>
        <w:t xml:space="preserve">De acuerdo con el contenido de su solicitud, esta Agencia resolverá </w:t>
      </w:r>
      <w:r>
        <w:rPr>
          <w:rFonts w:ascii="Verdana" w:eastAsia="Century Gothic" w:hAnsi="Verdana" w:cs="Century Gothic"/>
          <w:color w:val="000000" w:themeColor="text1"/>
        </w:rPr>
        <w:t>los</w:t>
      </w:r>
      <w:r w:rsidRPr="00115E3D">
        <w:rPr>
          <w:rFonts w:ascii="Verdana" w:eastAsia="Century Gothic" w:hAnsi="Verdana" w:cs="Century Gothic"/>
          <w:color w:val="000000" w:themeColor="text1"/>
        </w:rPr>
        <w:t xml:space="preserve"> siguiente</w:t>
      </w:r>
      <w:r>
        <w:rPr>
          <w:rFonts w:ascii="Verdana" w:eastAsia="Century Gothic" w:hAnsi="Verdana" w:cs="Century Gothic"/>
          <w:color w:val="000000" w:themeColor="text1"/>
        </w:rPr>
        <w:t xml:space="preserve">s </w:t>
      </w:r>
      <w:r w:rsidRPr="00077175">
        <w:rPr>
          <w:rFonts w:ascii="Verdana" w:eastAsia="Century Gothic" w:hAnsi="Verdana" w:cs="Century Gothic"/>
          <w:color w:val="000000" w:themeColor="text1"/>
        </w:rPr>
        <w:t>problema</w:t>
      </w:r>
      <w:r>
        <w:rPr>
          <w:rFonts w:ascii="Verdana" w:eastAsia="Century Gothic" w:hAnsi="Verdana" w:cs="Century Gothic"/>
          <w:color w:val="000000" w:themeColor="text1"/>
        </w:rPr>
        <w:t>s</w:t>
      </w:r>
      <w:r w:rsidRPr="00077175">
        <w:rPr>
          <w:rFonts w:ascii="Verdana" w:eastAsia="Century Gothic" w:hAnsi="Verdana" w:cs="Century Gothic"/>
          <w:color w:val="000000" w:themeColor="text1"/>
        </w:rPr>
        <w:t xml:space="preserve"> jurídico</w:t>
      </w:r>
      <w:r>
        <w:rPr>
          <w:rFonts w:ascii="Verdana" w:eastAsia="Century Gothic" w:hAnsi="Verdana" w:cs="Century Gothic"/>
          <w:color w:val="000000" w:themeColor="text1"/>
        </w:rPr>
        <w:t>s</w:t>
      </w:r>
      <w:r w:rsidRPr="00077175">
        <w:rPr>
          <w:rFonts w:ascii="Verdana" w:eastAsia="Century Gothic" w:hAnsi="Verdana" w:cs="Century Gothic"/>
          <w:color w:val="000000" w:themeColor="text1"/>
        </w:rPr>
        <w:t>:</w:t>
      </w:r>
      <w:r>
        <w:rPr>
          <w:rFonts w:ascii="Verdana" w:eastAsia="Century Gothic" w:hAnsi="Verdana" w:cs="Century Gothic"/>
          <w:color w:val="000000" w:themeColor="text1"/>
        </w:rPr>
        <w:t xml:space="preserve"> </w:t>
      </w:r>
      <w:r w:rsidRPr="00077175">
        <w:rPr>
          <w:rFonts w:ascii="Verdana" w:eastAsia="Century Gothic" w:hAnsi="Verdana" w:cs="Century Gothic"/>
          <w:color w:val="000000" w:themeColor="text1"/>
        </w:rPr>
        <w:t xml:space="preserve"> </w:t>
      </w:r>
    </w:p>
    <w:p w14:paraId="2E382223" w14:textId="5FA67001" w:rsidR="00A04BCB" w:rsidRPr="00825666" w:rsidRDefault="00825666" w:rsidP="00825666">
      <w:pPr>
        <w:pStyle w:val="Prrafodelista"/>
        <w:numPr>
          <w:ilvl w:val="0"/>
          <w:numId w:val="3"/>
        </w:numPr>
        <w:jc w:val="both"/>
        <w:rPr>
          <w:rFonts w:ascii="Verdana" w:hAnsi="Verdana"/>
        </w:rPr>
      </w:pPr>
      <w:r w:rsidRPr="00825666">
        <w:rPr>
          <w:rFonts w:ascii="Verdana" w:hAnsi="Verdana"/>
        </w:rPr>
        <w:t>¿</w:t>
      </w:r>
      <w:r w:rsidRPr="00825666">
        <w:rPr>
          <w:rFonts w:ascii="Verdana" w:eastAsia="Times New Roman" w:hAnsi="Verdana" w:cs="Times New Roman"/>
          <w:sz w:val="24"/>
          <w:szCs w:val="24"/>
          <w:lang w:eastAsia="es-CO"/>
        </w:rPr>
        <w:t>Cuáles</w:t>
      </w:r>
      <w:r w:rsidRPr="00825666">
        <w:rPr>
          <w:rFonts w:ascii="Verdana" w:hAnsi="Verdana"/>
        </w:rPr>
        <w:t xml:space="preserve"> son los </w:t>
      </w:r>
      <w:r>
        <w:rPr>
          <w:rFonts w:ascii="Verdana" w:hAnsi="Verdana"/>
        </w:rPr>
        <w:t xml:space="preserve">criterios </w:t>
      </w:r>
      <w:r w:rsidRPr="00825666">
        <w:rPr>
          <w:rFonts w:ascii="Verdana" w:hAnsi="Verdana"/>
        </w:rPr>
        <w:t xml:space="preserve">diferenciales </w:t>
      </w:r>
      <w:r w:rsidR="003A6D57">
        <w:rPr>
          <w:rFonts w:ascii="Verdana" w:hAnsi="Verdana"/>
        </w:rPr>
        <w:t>para emprendimientos y empresas de mujeres en el sistema de compras públicas?</w:t>
      </w:r>
    </w:p>
    <w:p w14:paraId="4557D941" w14:textId="77777777" w:rsidR="006149D3" w:rsidRDefault="006149D3" w:rsidP="006149D3">
      <w:pPr>
        <w:spacing w:after="0" w:line="276" w:lineRule="auto"/>
        <w:jc w:val="both"/>
        <w:rPr>
          <w:rFonts w:ascii="Verdana" w:eastAsia="Calibri" w:hAnsi="Verdana" w:cs="Arial"/>
          <w:color w:val="000000" w:themeColor="text1"/>
          <w:lang w:val="es-ES"/>
        </w:rPr>
      </w:pPr>
    </w:p>
    <w:p w14:paraId="563666FB" w14:textId="77777777" w:rsidR="006149D3" w:rsidRPr="00115E3D" w:rsidRDefault="006149D3" w:rsidP="006149D3">
      <w:pPr>
        <w:spacing w:after="0" w:line="276" w:lineRule="auto"/>
        <w:jc w:val="both"/>
        <w:rPr>
          <w:rFonts w:ascii="Verdana" w:eastAsia="Calibri" w:hAnsi="Verdana" w:cs="Arial"/>
          <w:color w:val="000000" w:themeColor="text1"/>
          <w:lang w:val="es-ES"/>
        </w:rPr>
      </w:pPr>
    </w:p>
    <w:p w14:paraId="00199942" w14:textId="77777777" w:rsidR="006149D3" w:rsidRPr="00115E3D" w:rsidRDefault="006149D3" w:rsidP="006149D3">
      <w:pPr>
        <w:pStyle w:val="Prrafodelista"/>
        <w:numPr>
          <w:ilvl w:val="0"/>
          <w:numId w:val="1"/>
        </w:numPr>
        <w:tabs>
          <w:tab w:val="left" w:pos="142"/>
          <w:tab w:val="left" w:pos="284"/>
        </w:tabs>
        <w:spacing w:after="0" w:line="276" w:lineRule="auto"/>
        <w:ind w:left="0" w:firstLine="0"/>
        <w:contextualSpacing w:val="0"/>
        <w:jc w:val="both"/>
        <w:rPr>
          <w:rFonts w:ascii="Verdana" w:eastAsia="Century Gothic" w:hAnsi="Verdana" w:cs="Century Gothic"/>
          <w:b/>
          <w:bCs/>
          <w:color w:val="000000" w:themeColor="text1"/>
          <w:lang w:val="es-ES"/>
        </w:rPr>
      </w:pPr>
      <w:r w:rsidRPr="00115E3D">
        <w:rPr>
          <w:rFonts w:ascii="Verdana" w:eastAsia="Century Gothic" w:hAnsi="Verdana" w:cs="Century Gothic"/>
          <w:b/>
          <w:bCs/>
          <w:color w:val="000000" w:themeColor="text1"/>
          <w:lang w:val="es-ES"/>
        </w:rPr>
        <w:t>Respuesta:</w:t>
      </w:r>
    </w:p>
    <w:p w14:paraId="711925EE" w14:textId="77777777" w:rsidR="006149D3" w:rsidRPr="00AD03BD" w:rsidRDefault="006149D3" w:rsidP="006149D3">
      <w:pPr>
        <w:tabs>
          <w:tab w:val="left" w:pos="142"/>
          <w:tab w:val="left" w:pos="284"/>
        </w:tabs>
        <w:spacing w:after="0" w:line="276" w:lineRule="auto"/>
        <w:jc w:val="both"/>
        <w:rPr>
          <w:rFonts w:ascii="Verdana" w:eastAsia="Century Gothic" w:hAnsi="Verdana" w:cs="Century Gothic"/>
          <w:color w:val="000000" w:themeColor="text1"/>
          <w:lang w:val="es-E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6149D3" w:rsidRPr="00AD03BD" w14:paraId="2D2080A3" w14:textId="77777777" w:rsidTr="00F627CD">
        <w:tc>
          <w:tcPr>
            <w:tcW w:w="8828" w:type="dxa"/>
            <w:shd w:val="clear" w:color="auto" w:fill="auto"/>
          </w:tcPr>
          <w:p w14:paraId="389EF653" w14:textId="77777777" w:rsidR="003A6D57" w:rsidRPr="003A6D57" w:rsidRDefault="003A6D57" w:rsidP="00EA120C">
            <w:pPr>
              <w:spacing w:after="120" w:line="276" w:lineRule="auto"/>
              <w:jc w:val="both"/>
              <w:rPr>
                <w:rFonts w:ascii="Verdana" w:hAnsi="Verdana"/>
              </w:rPr>
            </w:pPr>
            <w:r w:rsidRPr="003A6D57">
              <w:rPr>
                <w:rFonts w:ascii="Verdana" w:hAnsi="Verdana"/>
              </w:rPr>
              <w:t xml:space="preserve">Frente al interrogante planteado, es menester señalar que conforme al artículo 32 de la Ley 2069 de 2020 de acuerdo con el resultado del análisis del sector, las entidades estatales incluirán requisitos diferenciales y puntajes adicionales </w:t>
            </w:r>
            <w:r w:rsidRPr="003A6D57">
              <w:rPr>
                <w:rFonts w:ascii="Verdana" w:hAnsi="Verdana"/>
              </w:rPr>
              <w:lastRenderedPageBreak/>
              <w:t xml:space="preserve">en los procesos de licitación pública, selección abreviada de menor cuantía y concurso de méritos, así como en los procesos competitivos que adelanten las entidades estatales que no apliquen en su gestión contractual el Estatuto General de Contratación Administrativa. Lo anterior, como medida de acción afirmativa, para incentivar emprendimientos y empresas de mujeres en el sistema de compras públicas. </w:t>
            </w:r>
          </w:p>
          <w:p w14:paraId="39467326" w14:textId="77777777" w:rsidR="003A6D57" w:rsidRPr="003A6D57" w:rsidRDefault="003A6D57" w:rsidP="003A6D57">
            <w:pPr>
              <w:spacing w:after="120" w:line="276" w:lineRule="auto"/>
              <w:jc w:val="both"/>
              <w:rPr>
                <w:rFonts w:ascii="Verdana" w:hAnsi="Verdana"/>
              </w:rPr>
            </w:pPr>
            <w:r w:rsidRPr="003A6D57">
              <w:rPr>
                <w:rFonts w:ascii="Verdana" w:hAnsi="Verdana"/>
              </w:rPr>
              <w:t xml:space="preserve">Ahora bien, el artículo 2.2.1.2.4.2.14 del Decreto 1082 de 2015, establece la s condiciones y requisitos en atención a los cuales se definen los emprendimientos y empresas de mujeres, a las que les aplican los criterios diferenciales. Para estos efectos, cada uno de los cuatro (4) numerales de la norma establecen unas condiciones alternativas que definen los emprendimientos y empresas de mujeres. </w:t>
            </w:r>
          </w:p>
          <w:p w14:paraId="78D28016" w14:textId="77777777" w:rsidR="003A6D57" w:rsidRPr="003A6D57" w:rsidRDefault="003A6D57" w:rsidP="003A6D57">
            <w:pPr>
              <w:spacing w:after="120" w:line="276" w:lineRule="auto"/>
              <w:jc w:val="both"/>
              <w:rPr>
                <w:rFonts w:ascii="Verdana" w:hAnsi="Verdana"/>
              </w:rPr>
            </w:pPr>
            <w:r w:rsidRPr="003A6D57">
              <w:rPr>
                <w:rFonts w:ascii="Verdana" w:hAnsi="Verdana"/>
              </w:rPr>
              <w:t xml:space="preserve">Así mismo, el artículo 2.2.1.2.4.2.15 de la norma ibidem señala para tal el efecto, que los documentos del Proceso de contratación deberán incorporar requisitos habilitantes diferenciales relacionados con alguno o algunos de los siguientes aspectos: </w:t>
            </w:r>
          </w:p>
          <w:p w14:paraId="1F456067" w14:textId="77777777" w:rsidR="003A6D57" w:rsidRPr="003A6D57" w:rsidRDefault="003A6D57" w:rsidP="003A6D57">
            <w:pPr>
              <w:spacing w:after="120" w:line="276" w:lineRule="auto"/>
              <w:jc w:val="both"/>
              <w:rPr>
                <w:rFonts w:ascii="Verdana" w:hAnsi="Verdana"/>
              </w:rPr>
            </w:pPr>
            <w:r w:rsidRPr="003A6D57">
              <w:rPr>
                <w:rFonts w:ascii="Verdana" w:hAnsi="Verdana"/>
              </w:rPr>
              <w:t xml:space="preserve">1. Tiempo de experiencia. </w:t>
            </w:r>
          </w:p>
          <w:p w14:paraId="07307857" w14:textId="77777777" w:rsidR="003A6D57" w:rsidRPr="003A6D57" w:rsidRDefault="003A6D57" w:rsidP="003A6D57">
            <w:pPr>
              <w:spacing w:after="120" w:line="276" w:lineRule="auto"/>
              <w:jc w:val="both"/>
              <w:rPr>
                <w:rFonts w:ascii="Verdana" w:hAnsi="Verdana"/>
              </w:rPr>
            </w:pPr>
            <w:r w:rsidRPr="003A6D57">
              <w:rPr>
                <w:rFonts w:ascii="Verdana" w:hAnsi="Verdana"/>
              </w:rPr>
              <w:t xml:space="preserve">2. Número de contratos para la acreditación de la experiencia. </w:t>
            </w:r>
          </w:p>
          <w:p w14:paraId="3C6E292C" w14:textId="77777777" w:rsidR="003A6D57" w:rsidRPr="003A6D57" w:rsidRDefault="003A6D57" w:rsidP="003A6D57">
            <w:pPr>
              <w:spacing w:after="120" w:line="276" w:lineRule="auto"/>
              <w:jc w:val="both"/>
              <w:rPr>
                <w:rFonts w:ascii="Verdana" w:hAnsi="Verdana"/>
              </w:rPr>
            </w:pPr>
            <w:r w:rsidRPr="003A6D57">
              <w:rPr>
                <w:rFonts w:ascii="Verdana" w:hAnsi="Verdana"/>
              </w:rPr>
              <w:t xml:space="preserve">3. Índices de capacidad financiera. </w:t>
            </w:r>
          </w:p>
          <w:p w14:paraId="2E6FF4BC" w14:textId="77777777" w:rsidR="003A6D57" w:rsidRPr="003A6D57" w:rsidRDefault="003A6D57" w:rsidP="003A6D57">
            <w:pPr>
              <w:spacing w:after="120" w:line="276" w:lineRule="auto"/>
              <w:jc w:val="both"/>
              <w:rPr>
                <w:rFonts w:ascii="Verdana" w:hAnsi="Verdana"/>
              </w:rPr>
            </w:pPr>
            <w:r w:rsidRPr="003A6D57">
              <w:rPr>
                <w:rFonts w:ascii="Verdana" w:hAnsi="Verdana"/>
              </w:rPr>
              <w:t xml:space="preserve">4. Índices de capacidad organizacional. </w:t>
            </w:r>
          </w:p>
          <w:p w14:paraId="0ED0AB02" w14:textId="180CA605" w:rsidR="003A6D57" w:rsidRPr="003A6D57" w:rsidRDefault="003A6D57" w:rsidP="003A6D57">
            <w:pPr>
              <w:spacing w:after="120" w:line="276" w:lineRule="auto"/>
              <w:jc w:val="both"/>
              <w:rPr>
                <w:rFonts w:ascii="Verdana" w:hAnsi="Verdana"/>
              </w:rPr>
            </w:pPr>
            <w:r w:rsidRPr="003A6D57">
              <w:rPr>
                <w:rFonts w:ascii="Verdana" w:hAnsi="Verdana"/>
              </w:rPr>
              <w:t>5. Valor de la garantía de seriedad de la oferta</w:t>
            </w:r>
          </w:p>
          <w:p w14:paraId="09D910BF" w14:textId="77777777" w:rsidR="00EA120C" w:rsidRDefault="003A6D57" w:rsidP="003A6D57">
            <w:pPr>
              <w:spacing w:after="120" w:line="276" w:lineRule="auto"/>
              <w:jc w:val="both"/>
              <w:rPr>
                <w:rFonts w:ascii="Verdana" w:hAnsi="Verdana"/>
              </w:rPr>
            </w:pPr>
            <w:r w:rsidRPr="003A6D57">
              <w:rPr>
                <w:rFonts w:ascii="Verdana" w:hAnsi="Verdana"/>
              </w:rPr>
              <w:t xml:space="preserve">Los cuales deberán fijarse respetando las condiciones habilitantes requeridas para el cumplimiento adecuado del contrato, teniendo en cuenta el alcance de las obligaciones. </w:t>
            </w:r>
          </w:p>
          <w:p w14:paraId="3849B980" w14:textId="5640AA7B" w:rsidR="003A6D57" w:rsidRPr="003A6D57" w:rsidRDefault="003A6D57" w:rsidP="003A6D57">
            <w:pPr>
              <w:spacing w:after="120" w:line="276" w:lineRule="auto"/>
              <w:jc w:val="both"/>
              <w:rPr>
                <w:rFonts w:ascii="Verdana" w:hAnsi="Verdana"/>
              </w:rPr>
            </w:pPr>
            <w:r w:rsidRPr="003A6D57">
              <w:rPr>
                <w:rFonts w:ascii="Verdana" w:hAnsi="Verdana"/>
              </w:rPr>
              <w:t>Por otro lado, frente al puntaje adicional, el inciso tercero de la norma ibidem, establece que las Entidades Públicas también otorgarán un puntaje adicional de hasta el cero punto veinticinco por ciento (0.25%) del valor total de los puntos establecidos en los pliegos de condiciones o documentos equivalentes, a los proponentes que acrediten alguno de los supuestos del artículo 2.2.1.2.4.2.14 del Decreto 1082 de 2015.</w:t>
            </w:r>
          </w:p>
          <w:p w14:paraId="2D08292D" w14:textId="0282A2FD" w:rsidR="006149D3" w:rsidRPr="003A6D57" w:rsidRDefault="003A6D57" w:rsidP="003A6D57">
            <w:pPr>
              <w:spacing w:after="120" w:line="276" w:lineRule="auto"/>
              <w:jc w:val="both"/>
            </w:pPr>
            <w:r w:rsidRPr="003A6D57">
              <w:rPr>
                <w:rFonts w:ascii="Verdana" w:hAnsi="Verdana"/>
              </w:rPr>
              <w:t xml:space="preserve">Finalmente, independientemente de que se trate de Mipymes o empresas de mujeres, todas deberán cumplir con los requisitos habilitantes mínimos </w:t>
            </w:r>
            <w:r w:rsidRPr="003A6D57">
              <w:rPr>
                <w:rFonts w:ascii="Verdana" w:hAnsi="Verdana"/>
              </w:rPr>
              <w:lastRenderedPageBreak/>
              <w:t>exigidos en el pliego de condiciones para garantizar la correcta ejecución del contrato. La norma no exime a estos actores de cumplir con los requisitos esenciales, sino que lo que permite es incentivar su participación en los procesos de contratación pública mediante la aplicación de criterios diferenciales, siempre que se cumpla alguna de las causales establecidas en los artículos 2.2.1.2.4.2.2 o 2.2.1.2.4.2.14 del Decreto 1082 de 2015. Estos criterios buscan facilitar su acceso al sistema de compras públicas sin comprometer los estándares necesarios para el cumplimiento adecuado de las</w:t>
            </w:r>
            <w:r w:rsidRPr="003A6D57">
              <w:rPr>
                <w:rFonts w:ascii="Verdana" w:hAnsi="Verdana"/>
              </w:rPr>
              <w:t xml:space="preserve"> </w:t>
            </w:r>
            <w:r w:rsidRPr="003A6D57">
              <w:rPr>
                <w:rFonts w:ascii="Verdana" w:hAnsi="Verdana"/>
              </w:rPr>
              <w:t>obligaciones contractuales.</w:t>
            </w:r>
          </w:p>
        </w:tc>
      </w:tr>
    </w:tbl>
    <w:p w14:paraId="52F3A629" w14:textId="77777777" w:rsidR="006149D3" w:rsidRPr="00115E3D" w:rsidRDefault="006149D3" w:rsidP="006149D3">
      <w:pPr>
        <w:tabs>
          <w:tab w:val="left" w:pos="142"/>
          <w:tab w:val="left" w:pos="284"/>
        </w:tabs>
        <w:spacing w:after="0" w:line="276" w:lineRule="auto"/>
        <w:jc w:val="both"/>
        <w:rPr>
          <w:rFonts w:ascii="Verdana" w:eastAsia="Century Gothic" w:hAnsi="Verdana" w:cs="Century Gothic"/>
          <w:b/>
          <w:bCs/>
          <w:color w:val="000000" w:themeColor="text1"/>
          <w:lang w:val="es-ES"/>
        </w:rPr>
      </w:pPr>
    </w:p>
    <w:p w14:paraId="683A4E88" w14:textId="77777777" w:rsidR="006149D3" w:rsidRPr="00115E3D" w:rsidRDefault="006149D3" w:rsidP="006149D3">
      <w:pPr>
        <w:pStyle w:val="Prrafodelista"/>
        <w:numPr>
          <w:ilvl w:val="0"/>
          <w:numId w:val="1"/>
        </w:numPr>
        <w:tabs>
          <w:tab w:val="left" w:pos="142"/>
          <w:tab w:val="left" w:pos="284"/>
        </w:tabs>
        <w:spacing w:after="0" w:line="276" w:lineRule="auto"/>
        <w:ind w:left="0" w:firstLine="0"/>
        <w:contextualSpacing w:val="0"/>
        <w:jc w:val="both"/>
        <w:rPr>
          <w:rFonts w:ascii="Verdana" w:eastAsia="Century Gothic" w:hAnsi="Verdana" w:cs="Century Gothic"/>
          <w:b/>
          <w:bCs/>
          <w:color w:val="000000" w:themeColor="text1"/>
          <w:lang w:val="es-ES"/>
        </w:rPr>
      </w:pPr>
      <w:r w:rsidRPr="00115E3D">
        <w:rPr>
          <w:rFonts w:ascii="Verdana" w:eastAsia="Century Gothic" w:hAnsi="Verdana" w:cs="Century Gothic"/>
          <w:b/>
          <w:bCs/>
          <w:color w:val="000000" w:themeColor="text1"/>
          <w:lang w:val="es-ES"/>
        </w:rPr>
        <w:t>Razones de la respuesta:</w:t>
      </w:r>
    </w:p>
    <w:p w14:paraId="1FE396DE" w14:textId="77777777" w:rsidR="006149D3" w:rsidRPr="00115E3D" w:rsidRDefault="006149D3" w:rsidP="006149D3">
      <w:pPr>
        <w:spacing w:after="0" w:line="276" w:lineRule="auto"/>
        <w:jc w:val="both"/>
        <w:rPr>
          <w:rFonts w:ascii="Verdana" w:eastAsia="Calibri" w:hAnsi="Verdana" w:cs="Arial"/>
          <w:color w:val="000000" w:themeColor="text1"/>
          <w:lang w:val="es-ES"/>
        </w:rPr>
      </w:pPr>
    </w:p>
    <w:p w14:paraId="791F85DB" w14:textId="77777777" w:rsidR="006149D3" w:rsidRPr="00115E3D" w:rsidRDefault="006149D3" w:rsidP="006149D3">
      <w:pPr>
        <w:spacing w:after="0" w:line="276" w:lineRule="auto"/>
        <w:jc w:val="both"/>
        <w:rPr>
          <w:rFonts w:ascii="Verdana" w:eastAsia="Calibri" w:hAnsi="Verdana" w:cs="Arial"/>
          <w:color w:val="000000" w:themeColor="text1"/>
          <w:lang w:val="es-ES"/>
        </w:rPr>
      </w:pPr>
      <w:r w:rsidRPr="00115E3D">
        <w:rPr>
          <w:rFonts w:ascii="Verdana" w:eastAsia="Calibri" w:hAnsi="Verdana" w:cs="Arial"/>
          <w:color w:val="000000" w:themeColor="text1"/>
          <w:lang w:val="es-ES"/>
        </w:rPr>
        <w:t xml:space="preserve">Lo anterior se sustenta en las siguientes consideraciones: </w:t>
      </w:r>
    </w:p>
    <w:p w14:paraId="495F2023" w14:textId="77777777" w:rsidR="006149D3" w:rsidRDefault="006149D3" w:rsidP="006149D3">
      <w:pPr>
        <w:widowControl w:val="0"/>
        <w:autoSpaceDE w:val="0"/>
        <w:autoSpaceDN w:val="0"/>
        <w:spacing w:after="0" w:line="276" w:lineRule="auto"/>
        <w:jc w:val="both"/>
        <w:rPr>
          <w:rFonts w:ascii="Verdana" w:eastAsia="Calibri" w:hAnsi="Verdana" w:cs="Arial"/>
          <w:color w:val="000000" w:themeColor="text1"/>
          <w:lang w:val="es-ES"/>
        </w:rPr>
      </w:pPr>
    </w:p>
    <w:p w14:paraId="6160C909" w14:textId="638B36C3" w:rsidR="006149D3" w:rsidRPr="006866A8" w:rsidRDefault="006149D3" w:rsidP="006149D3">
      <w:pPr>
        <w:spacing w:after="120" w:line="276" w:lineRule="auto"/>
        <w:jc w:val="both"/>
        <w:rPr>
          <w:rFonts w:ascii="Verdana" w:eastAsia="Times New Roman" w:hAnsi="Verdana" w:cs="Arial"/>
          <w:lang w:val="es-ES_tradnl" w:eastAsia="es-ES_tradnl"/>
        </w:rPr>
      </w:pPr>
      <w:r w:rsidRPr="006866A8">
        <w:rPr>
          <w:rFonts w:ascii="Verdana" w:eastAsia="Times New Roman" w:hAnsi="Verdana" w:cs="Arial"/>
        </w:rPr>
        <w:t xml:space="preserve">En primer lugar, respecto del objeto de su consulta debe advertirse que, </w:t>
      </w:r>
      <w:r w:rsidRPr="006866A8">
        <w:rPr>
          <w:rFonts w:ascii="Verdana" w:eastAsia="Times New Roman" w:hAnsi="Verdana" w:cs="Arial"/>
          <w:lang w:val="es-ES_tradnl" w:eastAsia="es-ES_tradnl"/>
        </w:rPr>
        <w:t xml:space="preserve">la Ley 2069, dispone </w:t>
      </w:r>
      <w:r w:rsidR="003A6D57">
        <w:rPr>
          <w:rFonts w:ascii="Verdana" w:eastAsia="Times New Roman" w:hAnsi="Verdana" w:cs="Arial"/>
          <w:lang w:val="es-ES_tradnl" w:eastAsia="es-ES_tradnl"/>
        </w:rPr>
        <w:t xml:space="preserve">en </w:t>
      </w:r>
      <w:r w:rsidR="003A6D57" w:rsidRPr="003A6D57">
        <w:rPr>
          <w:rFonts w:ascii="Verdana" w:eastAsia="Times New Roman" w:hAnsi="Verdana" w:cs="Arial"/>
          <w:lang w:val="es-ES_tradnl" w:eastAsia="es-ES_tradnl"/>
        </w:rPr>
        <w:t>su</w:t>
      </w:r>
      <w:r w:rsidRPr="003A6D57">
        <w:rPr>
          <w:rFonts w:ascii="Verdana" w:eastAsia="Times New Roman" w:hAnsi="Verdana" w:cs="Arial"/>
          <w:lang w:val="es-ES_tradnl" w:eastAsia="es-ES_tradnl"/>
        </w:rPr>
        <w:t xml:space="preserve"> artículo 1°</w:t>
      </w:r>
      <w:r w:rsidR="003A6D57" w:rsidRPr="003A6D57">
        <w:rPr>
          <w:rFonts w:ascii="Verdana" w:eastAsia="Times New Roman" w:hAnsi="Verdana" w:cs="Arial"/>
          <w:lang w:val="es-ES_tradnl" w:eastAsia="es-ES_tradnl"/>
        </w:rPr>
        <w:t xml:space="preserve"> </w:t>
      </w:r>
      <w:r w:rsidR="003A6D57" w:rsidRPr="003A6D57">
        <w:rPr>
          <w:rFonts w:ascii="Verdana" w:hAnsi="Verdana"/>
        </w:rPr>
        <w:t>un marco regulatorio que propicia el emprendimiento, el crecimiento, consolidación y sostenibilidad de las empresas, con el fin de aumentar el bienestar social y generar equidad”</w:t>
      </w:r>
      <w:r w:rsidR="003A6D57">
        <w:rPr>
          <w:rStyle w:val="Refdenotaalpie"/>
          <w:rFonts w:ascii="Verdana" w:hAnsi="Verdana"/>
        </w:rPr>
        <w:footnoteReference w:id="2"/>
      </w:r>
    </w:p>
    <w:p w14:paraId="590D54CE" w14:textId="77777777" w:rsidR="006149D3" w:rsidRPr="006866A8" w:rsidRDefault="006149D3" w:rsidP="006149D3">
      <w:pPr>
        <w:spacing w:after="120" w:line="276" w:lineRule="auto"/>
        <w:ind w:firstLine="708"/>
        <w:jc w:val="both"/>
        <w:rPr>
          <w:rFonts w:ascii="Verdana" w:eastAsia="Times New Roman" w:hAnsi="Verdana" w:cs="Arial"/>
          <w:lang w:val="es-ES_tradnl" w:eastAsia="es-ES_tradnl"/>
        </w:rPr>
      </w:pPr>
      <w:r w:rsidRPr="006866A8">
        <w:rPr>
          <w:rFonts w:ascii="Verdana" w:eastAsia="Times New Roman" w:hAnsi="Verdana" w:cs="Arial"/>
          <w:lang w:val="es-ES_tradnl" w:eastAsia="es-ES_tradnl"/>
        </w:rPr>
        <w:t>En desarrollo de esta finalidad, se establecen medidas de apoyo para las micro, pequeñas y medianas empresas –Mipymes–, mediante la racionalización y simplificación de los trámites y tarifas</w:t>
      </w:r>
      <w:r w:rsidRPr="006866A8">
        <w:rPr>
          <w:rFonts w:ascii="Calibri" w:eastAsia="Times New Roman" w:hAnsi="Calibri" w:cs="Times New Roman"/>
          <w:vertAlign w:val="superscript"/>
          <w:lang w:eastAsia="es-ES_tradnl"/>
        </w:rPr>
        <w:footnoteReference w:id="3"/>
      </w:r>
      <w:r w:rsidRPr="006866A8">
        <w:rPr>
          <w:rFonts w:ascii="Verdana" w:eastAsia="Times New Roman" w:hAnsi="Verdana" w:cs="Arial"/>
          <w:lang w:val="es-ES_tradnl" w:eastAsia="es-ES_tradnl"/>
        </w:rPr>
        <w:t>, así como incentivos a favor de aquellas dentro del sistema de compras y contratación pública</w:t>
      </w:r>
      <w:r w:rsidRPr="006866A8">
        <w:rPr>
          <w:rFonts w:ascii="Calibri" w:eastAsia="Times New Roman" w:hAnsi="Calibri" w:cs="Times New Roman"/>
          <w:vertAlign w:val="superscript"/>
          <w:lang w:eastAsia="es-ES_tradnl"/>
        </w:rPr>
        <w:footnoteReference w:id="4"/>
      </w:r>
      <w:r w:rsidRPr="006866A8">
        <w:rPr>
          <w:rFonts w:ascii="Verdana" w:eastAsia="Times New Roman" w:hAnsi="Verdana" w:cs="Arial"/>
          <w:lang w:val="es-ES_tradnl" w:eastAsia="es-ES_tradnl"/>
        </w:rPr>
        <w:t>. También se consagran mecanismos de acceso al financiamiento</w:t>
      </w:r>
      <w:r w:rsidRPr="006866A8">
        <w:rPr>
          <w:rFonts w:ascii="Calibri" w:eastAsia="Times New Roman" w:hAnsi="Calibri" w:cs="Times New Roman"/>
          <w:vertAlign w:val="superscript"/>
          <w:lang w:eastAsia="es-ES_tradnl"/>
        </w:rPr>
        <w:footnoteReference w:id="5"/>
      </w:r>
      <w:r w:rsidRPr="006866A8">
        <w:rPr>
          <w:rFonts w:ascii="Verdana" w:eastAsia="Times New Roman" w:hAnsi="Verdana" w:cs="Arial"/>
          <w:lang w:val="es-ES_tradnl" w:eastAsia="es-ES_tradnl"/>
        </w:rPr>
        <w:t>, se unifican las fuentes de emprendimiento y de desarrollo empresarial, para fortalecer y promover los distintos sectores de la economía</w:t>
      </w:r>
      <w:r w:rsidRPr="006866A8">
        <w:rPr>
          <w:rFonts w:ascii="Calibri" w:eastAsia="Times New Roman" w:hAnsi="Calibri" w:cs="Times New Roman"/>
          <w:vertAlign w:val="superscript"/>
          <w:lang w:eastAsia="es-ES_tradnl"/>
        </w:rPr>
        <w:footnoteReference w:id="6"/>
      </w:r>
      <w:r w:rsidRPr="006866A8">
        <w:rPr>
          <w:rFonts w:ascii="Verdana" w:eastAsia="Times New Roman" w:hAnsi="Verdana" w:cs="Arial"/>
          <w:lang w:val="es-ES_tradnl" w:eastAsia="es-ES_tradnl"/>
        </w:rPr>
        <w:t xml:space="preserve"> y se prevén medidas de educación para el emprendimiento y la innovación</w:t>
      </w:r>
      <w:r w:rsidRPr="006866A8">
        <w:rPr>
          <w:rFonts w:ascii="Calibri" w:eastAsia="Times New Roman" w:hAnsi="Calibri" w:cs="Times New Roman"/>
          <w:vertAlign w:val="superscript"/>
          <w:lang w:eastAsia="es-ES_tradnl"/>
        </w:rPr>
        <w:footnoteReference w:id="7"/>
      </w:r>
      <w:r w:rsidRPr="006866A8">
        <w:rPr>
          <w:rFonts w:ascii="Verdana" w:eastAsia="Times New Roman" w:hAnsi="Verdana" w:cs="Arial"/>
          <w:lang w:val="es-ES_tradnl" w:eastAsia="es-ES_tradnl"/>
        </w:rPr>
        <w:t>.</w:t>
      </w:r>
    </w:p>
    <w:p w14:paraId="6F7B4A4F" w14:textId="77777777" w:rsidR="006149D3" w:rsidRPr="006866A8" w:rsidRDefault="006149D3" w:rsidP="006149D3">
      <w:pPr>
        <w:spacing w:after="0" w:line="276" w:lineRule="auto"/>
        <w:ind w:firstLine="708"/>
        <w:jc w:val="both"/>
        <w:rPr>
          <w:rFonts w:ascii="Verdana" w:eastAsia="Times New Roman" w:hAnsi="Verdana" w:cs="Arial"/>
          <w:lang w:val="es-ES_tradnl" w:eastAsia="es-ES_tradnl"/>
        </w:rPr>
      </w:pPr>
      <w:r w:rsidRPr="006866A8">
        <w:rPr>
          <w:rFonts w:ascii="Verdana" w:eastAsia="Times New Roman" w:hAnsi="Verdana" w:cs="Arial"/>
          <w:lang w:val="es-ES_tradnl" w:eastAsia="es-ES_tradnl"/>
        </w:rPr>
        <w:lastRenderedPageBreak/>
        <w:t xml:space="preserve">Como se indicó, parte de la </w:t>
      </w:r>
      <w:bookmarkStart w:id="1" w:name="_Hlk175579524"/>
      <w:r w:rsidRPr="006866A8">
        <w:rPr>
          <w:rFonts w:ascii="Verdana" w:eastAsia="Times New Roman" w:hAnsi="Verdana" w:cs="Arial"/>
          <w:lang w:val="es-ES_tradnl" w:eastAsia="es-ES_tradnl"/>
        </w:rPr>
        <w:t xml:space="preserve">Ley 2069 </w:t>
      </w:r>
      <w:bookmarkEnd w:id="1"/>
      <w:r w:rsidRPr="006866A8">
        <w:rPr>
          <w:rFonts w:ascii="Verdana" w:eastAsia="Times New Roman" w:hAnsi="Verdana" w:cs="Arial"/>
          <w:lang w:val="es-ES_tradnl" w:eastAsia="es-ES_tradnl"/>
        </w:rPr>
        <w:t xml:space="preserve">contiene normas que modifican algunos aspectos de la contratación estatal para promover el emprendimiento. </w:t>
      </w:r>
      <w:r w:rsidRPr="006866A8">
        <w:rPr>
          <w:rFonts w:ascii="Verdana" w:eastAsia="Times New Roman" w:hAnsi="Verdana" w:cs="Arial"/>
          <w:lang w:eastAsia="es-ES_tradnl"/>
        </w:rPr>
        <w:t xml:space="preserve">Particularmente, el </w:t>
      </w:r>
      <w:bookmarkStart w:id="2" w:name="_Hlk175579539"/>
      <w:r w:rsidRPr="006866A8">
        <w:rPr>
          <w:rFonts w:ascii="Verdana" w:eastAsia="Times New Roman" w:hAnsi="Verdana" w:cs="Arial"/>
          <w:lang w:eastAsia="es-ES_tradnl"/>
        </w:rPr>
        <w:t xml:space="preserve">artículo 32 </w:t>
      </w:r>
      <w:bookmarkEnd w:id="2"/>
      <w:r w:rsidRPr="006866A8">
        <w:rPr>
          <w:rFonts w:ascii="Verdana" w:eastAsia="Times New Roman" w:hAnsi="Verdana" w:cs="Arial"/>
          <w:i/>
          <w:lang w:eastAsia="es-ES_tradnl"/>
        </w:rPr>
        <w:t>ibidem</w:t>
      </w:r>
      <w:r w:rsidRPr="006866A8">
        <w:rPr>
          <w:rFonts w:ascii="Calibri" w:eastAsia="Times New Roman" w:hAnsi="Calibri" w:cs="Times New Roman"/>
          <w:vertAlign w:val="superscript"/>
          <w:lang w:eastAsia="es-ES_tradnl"/>
        </w:rPr>
        <w:footnoteReference w:id="8"/>
      </w:r>
      <w:r w:rsidRPr="006866A8">
        <w:rPr>
          <w:rFonts w:ascii="Verdana" w:eastAsia="Times New Roman" w:hAnsi="Verdana" w:cs="Arial"/>
          <w:lang w:eastAsia="es-ES_tradnl"/>
        </w:rPr>
        <w:t xml:space="preserve"> regula criterios diferenciales y puntajes adicionales para los “emprendimientos y empresas de mujeres” en el sistema de compras y contratación pública. En relación con este aspecto, el inciso primero de la norma citada prescribe: </w:t>
      </w:r>
    </w:p>
    <w:p w14:paraId="67DEB2FB" w14:textId="77777777" w:rsidR="006149D3" w:rsidRPr="006866A8" w:rsidRDefault="006149D3" w:rsidP="006149D3">
      <w:pPr>
        <w:tabs>
          <w:tab w:val="left" w:pos="709"/>
        </w:tabs>
        <w:spacing w:after="0" w:line="276" w:lineRule="auto"/>
        <w:ind w:left="709" w:right="709"/>
        <w:jc w:val="both"/>
        <w:rPr>
          <w:rFonts w:ascii="Verdana" w:eastAsia="Times New Roman" w:hAnsi="Verdana" w:cs="Arial"/>
          <w:bCs/>
          <w:lang w:eastAsia="es-ES_tradnl"/>
        </w:rPr>
      </w:pPr>
    </w:p>
    <w:p w14:paraId="658531CE" w14:textId="77777777" w:rsidR="006149D3" w:rsidRPr="006866A8" w:rsidRDefault="006149D3" w:rsidP="006149D3">
      <w:pPr>
        <w:tabs>
          <w:tab w:val="left" w:pos="709"/>
        </w:tabs>
        <w:spacing w:after="0" w:line="240" w:lineRule="auto"/>
        <w:ind w:left="709" w:right="709"/>
        <w:contextualSpacing/>
        <w:jc w:val="both"/>
        <w:rPr>
          <w:rFonts w:ascii="Verdana" w:eastAsia="Times New Roman" w:hAnsi="Verdana" w:cs="Arial"/>
          <w:bCs/>
          <w:sz w:val="20"/>
          <w:szCs w:val="20"/>
          <w:lang w:eastAsia="es-ES_tradnl"/>
        </w:rPr>
      </w:pPr>
      <w:r w:rsidRPr="006866A8">
        <w:rPr>
          <w:rFonts w:ascii="Verdana" w:eastAsia="Times New Roman" w:hAnsi="Verdana" w:cs="Arial"/>
          <w:bCs/>
          <w:sz w:val="20"/>
          <w:szCs w:val="20"/>
          <w:lang w:eastAsia="es-ES_tradnl"/>
        </w:rPr>
        <w:t xml:space="preserve">De acuerdo con el resultado del análisis del sector, las entidades estatales incluirán requisitos diferenciales y puntajes adicionales en los procesos de </w:t>
      </w:r>
      <w:bookmarkStart w:id="3" w:name="_Hlk63770487"/>
      <w:r w:rsidRPr="006866A8">
        <w:rPr>
          <w:rFonts w:ascii="Verdana" w:eastAsia="Times New Roman" w:hAnsi="Verdana" w:cs="Arial"/>
          <w:bCs/>
          <w:sz w:val="20"/>
          <w:szCs w:val="20"/>
          <w:lang w:eastAsia="es-ES_tradnl"/>
        </w:rPr>
        <w:t>licitación pública, selección abreviada de menor cuantía y concurso de méritos</w:t>
      </w:r>
      <w:bookmarkEnd w:id="3"/>
      <w:r w:rsidRPr="006866A8">
        <w:rPr>
          <w:rFonts w:ascii="Verdana" w:eastAsia="Times New Roman" w:hAnsi="Verdana" w:cs="Arial"/>
          <w:bCs/>
          <w:sz w:val="20"/>
          <w:szCs w:val="20"/>
          <w:lang w:eastAsia="es-ES_tradnl"/>
        </w:rPr>
        <w:t>, así como en los procesos competitivos que adelanten las entidades estatales que no apliquen en su gestión contractual el Estatuto General de Contratación Administrativa, como medidas de acción afirmativa, para incentivar emprendimientos y empresas de mujeres en el sistema de compras públicas, sin perjuicio de los compromisos adquiridos por Colombia en los acuerdos comerciales en vigor.</w:t>
      </w:r>
    </w:p>
    <w:p w14:paraId="41D497E2" w14:textId="77777777" w:rsidR="006149D3" w:rsidRPr="006866A8" w:rsidRDefault="006149D3" w:rsidP="006149D3">
      <w:pPr>
        <w:tabs>
          <w:tab w:val="left" w:pos="709"/>
        </w:tabs>
        <w:spacing w:after="0" w:line="276" w:lineRule="auto"/>
        <w:ind w:left="709" w:right="709"/>
        <w:jc w:val="both"/>
        <w:rPr>
          <w:rFonts w:ascii="Verdana" w:eastAsia="Times New Roman" w:hAnsi="Verdana" w:cs="Arial"/>
          <w:bCs/>
          <w:lang w:eastAsia="es-ES_tradnl"/>
        </w:rPr>
      </w:pPr>
    </w:p>
    <w:p w14:paraId="13D39019" w14:textId="7F9BC7FA" w:rsidR="006149D3" w:rsidRDefault="006149D3" w:rsidP="006149D3">
      <w:pPr>
        <w:spacing w:after="120" w:line="276" w:lineRule="auto"/>
        <w:ind w:firstLine="708"/>
        <w:jc w:val="both"/>
        <w:rPr>
          <w:rFonts w:ascii="Verdana" w:eastAsia="Times New Roman" w:hAnsi="Verdana" w:cs="Arial"/>
          <w:lang w:val="es-ES_tradnl" w:eastAsia="es-ES_tradnl"/>
        </w:rPr>
      </w:pPr>
      <w:r w:rsidRPr="006866A8">
        <w:rPr>
          <w:rFonts w:ascii="Verdana" w:eastAsia="Times New Roman" w:hAnsi="Verdana" w:cs="Arial"/>
          <w:lang w:val="es-ES_tradnl" w:eastAsia="es-ES_tradnl"/>
        </w:rPr>
        <w:t xml:space="preserve">De esta manera, los denominados “criterios diferenciales” del artículo señalado –que incluyen tanto los “requisitos diferenciales” como los “puntajes adicionales”– aplican a “[…] los procesos de licitación pública, selección abreviada de menor cuantía y concurso de méritos […]”, excluyendo las demás modalidades de selección del artículo 2 de la Ley 1150 de 2007. Así mismo, sin distinciones ulteriores, la norma en comento también se extiende a todos los procedimientos que realicen las Entidades Estatales excluidas de la Ley 80 de 1993.     </w:t>
      </w:r>
    </w:p>
    <w:p w14:paraId="1653B0DE" w14:textId="3E19757C" w:rsidR="003A6D57" w:rsidRDefault="003A6D57" w:rsidP="006149D3">
      <w:pPr>
        <w:spacing w:after="120" w:line="276" w:lineRule="auto"/>
        <w:ind w:firstLine="708"/>
        <w:jc w:val="both"/>
        <w:rPr>
          <w:rFonts w:ascii="Verdana" w:hAnsi="Verdana"/>
        </w:rPr>
      </w:pPr>
      <w:r w:rsidRPr="003A6D57">
        <w:rPr>
          <w:rFonts w:ascii="Verdana" w:hAnsi="Verdana"/>
        </w:rPr>
        <w:t>Ahora bien, el artículo 2.2.1.2.4.2.14 del Decreto 1860 de 2021 -que adicionó el artículo 2.2.1.2.4.2.14 al Decreto 1082 de 2015- dispone unas condiciones y requisitos en atención a los cuales se definen los emprendimientos y empresas de mujeres a las que les aplican los criterios diferenciales. Para estos efectos, cada uno de los cuatro numerales de la norma establecen unas condiciones alternativas que definen los emprendimientos y empresas de mujeres, en los siguientes términos:</w:t>
      </w:r>
    </w:p>
    <w:p w14:paraId="09A33CC4" w14:textId="77777777" w:rsidR="003A6D57" w:rsidRPr="003A6D57" w:rsidRDefault="003A6D57" w:rsidP="003A6D57">
      <w:pPr>
        <w:spacing w:after="120" w:line="276" w:lineRule="auto"/>
        <w:ind w:left="709" w:right="616" w:hanging="1"/>
        <w:jc w:val="both"/>
        <w:rPr>
          <w:rFonts w:ascii="Verdana" w:hAnsi="Verdana"/>
          <w:sz w:val="20"/>
          <w:szCs w:val="20"/>
        </w:rPr>
      </w:pPr>
      <w:r w:rsidRPr="003A6D57">
        <w:rPr>
          <w:rFonts w:ascii="Verdana" w:hAnsi="Verdana"/>
          <w:sz w:val="20"/>
          <w:szCs w:val="20"/>
        </w:rPr>
        <w:lastRenderedPageBreak/>
        <w:t>“Artículo 2.2.1.2.4.2.14. Definición de emprendimientos y empresas de mujeres. Con el propósito de adoptar medidas afirmativas que incentiven la participación de las mujeres en el sistema de compras públicas, se entenderán como emprendimientos y empresas de mujeres aquellas que cumplan con alguna de las siguientes condiciones:</w:t>
      </w:r>
    </w:p>
    <w:p w14:paraId="0E61041B" w14:textId="77777777" w:rsidR="003A6D57" w:rsidRPr="003A6D57" w:rsidRDefault="003A6D57" w:rsidP="003A6D57">
      <w:pPr>
        <w:spacing w:after="120" w:line="276" w:lineRule="auto"/>
        <w:ind w:left="709" w:right="616" w:hanging="1"/>
        <w:jc w:val="both"/>
        <w:rPr>
          <w:rFonts w:ascii="Verdana" w:hAnsi="Verdana"/>
          <w:sz w:val="20"/>
          <w:szCs w:val="20"/>
        </w:rPr>
      </w:pPr>
      <w:r w:rsidRPr="003A6D57">
        <w:rPr>
          <w:rFonts w:ascii="Verdana" w:hAnsi="Verdana"/>
          <w:sz w:val="20"/>
          <w:szCs w:val="20"/>
        </w:rPr>
        <w:t xml:space="preserve"> 1. Cuando más del cincuenta por ciento (50%) de las acciones, partes de interés o cuotas de participación de la persona jurídica pertenezcan a mujeres y los derechos de propiedad hayan pertenecido a estas durante al menos el último año anterior a la fecha de cierre del Proceso de Selección. Esta circunstancia se acreditará mediante certificación expedida por el representante legal y el revisor fiscal, cuando exista de acuerdo con los requerimientos de ley, o el contador, donde conste la distribución de los derechos en la sociedad y el tiempo en el que las mujeres han mantenido su participación. </w:t>
      </w:r>
    </w:p>
    <w:p w14:paraId="52486D75" w14:textId="77777777" w:rsidR="003A6D57" w:rsidRPr="003A6D57" w:rsidRDefault="003A6D57" w:rsidP="003A6D57">
      <w:pPr>
        <w:spacing w:after="120" w:line="276" w:lineRule="auto"/>
        <w:ind w:left="709" w:right="616" w:hanging="1"/>
        <w:jc w:val="both"/>
        <w:rPr>
          <w:rFonts w:ascii="Verdana" w:hAnsi="Verdana"/>
          <w:sz w:val="20"/>
          <w:szCs w:val="20"/>
        </w:rPr>
      </w:pPr>
      <w:r w:rsidRPr="003A6D57">
        <w:rPr>
          <w:rFonts w:ascii="Verdana" w:hAnsi="Verdana"/>
          <w:sz w:val="20"/>
          <w:szCs w:val="20"/>
        </w:rPr>
        <w:t xml:space="preserve">2. Cuando por lo menos el cincuenta por ciento (50%) de los empleos del nivel directivo de la persona jurídica sean ejercidos por mujeres y éstas hayan estado vinculadas laboralmente a la empresa durante al menos el último año anterior a la fecha de cierre del Proceso de Selección en el mismo cargo u otro del mismo nivel. </w:t>
      </w:r>
    </w:p>
    <w:p w14:paraId="52AC7811" w14:textId="77777777" w:rsidR="003A6D57" w:rsidRDefault="003A6D57" w:rsidP="003A6D57">
      <w:pPr>
        <w:spacing w:after="120" w:line="276" w:lineRule="auto"/>
        <w:ind w:left="709" w:right="616" w:hanging="1"/>
        <w:jc w:val="both"/>
        <w:rPr>
          <w:rFonts w:ascii="Verdana" w:hAnsi="Verdana"/>
          <w:sz w:val="20"/>
          <w:szCs w:val="20"/>
        </w:rPr>
      </w:pPr>
      <w:r w:rsidRPr="003A6D57">
        <w:rPr>
          <w:rFonts w:ascii="Verdana" w:hAnsi="Verdana"/>
          <w:sz w:val="20"/>
          <w:szCs w:val="20"/>
        </w:rPr>
        <w:t>Se entenderá como empleos del nivel directivo aquellos cuyas funciones están relacionadas con la dirección de áreas misionales de la empresa y la toma de decisiones a nivel estratégico. En este sentido, serán cargos de nivel directivo los que dentro de la organización de la empresa se encuentran ubicados en un nivel de mando o los que por su jerarquía</w:t>
      </w:r>
      <w:r w:rsidRPr="003A6D57">
        <w:rPr>
          <w:rFonts w:ascii="Verdana" w:hAnsi="Verdana"/>
          <w:sz w:val="20"/>
          <w:szCs w:val="20"/>
        </w:rPr>
        <w:t xml:space="preserve"> </w:t>
      </w:r>
      <w:r w:rsidRPr="003A6D57">
        <w:rPr>
          <w:rFonts w:ascii="Verdana" w:hAnsi="Verdana"/>
          <w:sz w:val="20"/>
          <w:szCs w:val="20"/>
        </w:rPr>
        <w:t xml:space="preserve">desempeñan cargos encaminados al cumplimiento de funciones orientadas a representar al empleador. </w:t>
      </w:r>
    </w:p>
    <w:p w14:paraId="00164242" w14:textId="77777777" w:rsidR="003A6D57" w:rsidRDefault="003A6D57" w:rsidP="003A6D57">
      <w:pPr>
        <w:spacing w:after="120" w:line="276" w:lineRule="auto"/>
        <w:ind w:left="709" w:right="616" w:hanging="1"/>
        <w:jc w:val="both"/>
        <w:rPr>
          <w:rFonts w:ascii="Verdana" w:hAnsi="Verdana"/>
          <w:sz w:val="20"/>
          <w:szCs w:val="20"/>
        </w:rPr>
      </w:pPr>
      <w:r w:rsidRPr="003A6D57">
        <w:rPr>
          <w:rFonts w:ascii="Verdana" w:hAnsi="Verdana"/>
          <w:sz w:val="20"/>
          <w:szCs w:val="20"/>
        </w:rPr>
        <w:t>Esta circunstancia se acreditará mediante certificación expedida por el representante legal y el revisor fiscal, cuando exista de acuerdo con los requerimientos de ley, o el contador, donde se señale de manera detallada todas las personas que conforman los cargos de nivel directivo del proponente, el número de mujeres y el tiempo de vinculación.</w:t>
      </w:r>
    </w:p>
    <w:p w14:paraId="487E191C" w14:textId="77777777" w:rsidR="003A6D57" w:rsidRDefault="003A6D57" w:rsidP="003A6D57">
      <w:pPr>
        <w:spacing w:after="120" w:line="276" w:lineRule="auto"/>
        <w:ind w:left="709" w:right="616" w:hanging="1"/>
        <w:jc w:val="both"/>
        <w:rPr>
          <w:rFonts w:ascii="Verdana" w:hAnsi="Verdana"/>
          <w:sz w:val="20"/>
          <w:szCs w:val="20"/>
        </w:rPr>
      </w:pPr>
      <w:r w:rsidRPr="003A6D57">
        <w:rPr>
          <w:rFonts w:ascii="Verdana" w:hAnsi="Verdana"/>
          <w:sz w:val="20"/>
          <w:szCs w:val="20"/>
        </w:rPr>
        <w:t xml:space="preserve">La certificación deberá relacionar el nombre completo y el número de documento de identidad de cada una de las personas que conforman el nivel directivo del proponente. Como soporte, se anexará copia de los respectivos documentos de identidad, copia de los contratos de trabajo o certificación laboral con las funciones, así como el certificado de aportes a </w:t>
      </w:r>
      <w:r w:rsidRPr="003A6D57">
        <w:rPr>
          <w:rFonts w:ascii="Verdana" w:hAnsi="Verdana"/>
          <w:sz w:val="20"/>
          <w:szCs w:val="20"/>
        </w:rPr>
        <w:lastRenderedPageBreak/>
        <w:t xml:space="preserve">seguridad social del último año en el que se demuestren los pagos realizados por el empleador. </w:t>
      </w:r>
    </w:p>
    <w:p w14:paraId="23211A64" w14:textId="77777777" w:rsidR="003A6D57" w:rsidRDefault="003A6D57" w:rsidP="003A6D57">
      <w:pPr>
        <w:spacing w:after="120" w:line="276" w:lineRule="auto"/>
        <w:ind w:left="709" w:right="616" w:hanging="1"/>
        <w:jc w:val="both"/>
        <w:rPr>
          <w:rFonts w:ascii="Verdana" w:hAnsi="Verdana"/>
          <w:sz w:val="20"/>
          <w:szCs w:val="20"/>
        </w:rPr>
      </w:pPr>
      <w:r w:rsidRPr="003A6D57">
        <w:rPr>
          <w:rFonts w:ascii="Verdana" w:hAnsi="Verdana"/>
          <w:sz w:val="20"/>
          <w:szCs w:val="20"/>
        </w:rPr>
        <w:t xml:space="preserve">3. Cuando la persona natural sea una mujer y haya ejercido actividades comerciales a través de un establecimiento de comercio durante al menos el último año anterior a la fecha de cierre del proceso de selección. Esta circunstancia se acreditará mediante la copia de cédula de ciudadanía, la cédula de extranjería o el pasaporte, así como la copia del registro mercantil. </w:t>
      </w:r>
    </w:p>
    <w:p w14:paraId="005D1438" w14:textId="77777777" w:rsidR="003A6D57" w:rsidRDefault="003A6D57" w:rsidP="003A6D57">
      <w:pPr>
        <w:spacing w:after="120" w:line="276" w:lineRule="auto"/>
        <w:ind w:left="709" w:right="616" w:hanging="1"/>
        <w:jc w:val="both"/>
        <w:rPr>
          <w:rFonts w:ascii="Verdana" w:hAnsi="Verdana"/>
          <w:sz w:val="20"/>
          <w:szCs w:val="20"/>
        </w:rPr>
      </w:pPr>
      <w:r w:rsidRPr="003A6D57">
        <w:rPr>
          <w:rFonts w:ascii="Verdana" w:hAnsi="Verdana"/>
          <w:sz w:val="20"/>
          <w:szCs w:val="20"/>
        </w:rPr>
        <w:t xml:space="preserve">4. Para las asociaciones y cooperativas, cuando más del cincuenta por ciento (50%) de los asociados sean mujeres y la participación haya correspondido a estas durante al menos el último año anterior a la fecha de cierre del Proceso de Selección. Esta circunstancia se acreditará mediante certificación expedida por el representante legal. </w:t>
      </w:r>
    </w:p>
    <w:p w14:paraId="71BCEA30" w14:textId="47FE42FF" w:rsidR="003A6D57" w:rsidRPr="003A6D57" w:rsidRDefault="003A6D57" w:rsidP="003A6D57">
      <w:pPr>
        <w:spacing w:after="120" w:line="276" w:lineRule="auto"/>
        <w:ind w:left="709" w:right="616" w:hanging="1"/>
        <w:jc w:val="both"/>
        <w:rPr>
          <w:rFonts w:ascii="Verdana" w:eastAsia="Times New Roman" w:hAnsi="Verdana" w:cs="Arial"/>
          <w:sz w:val="20"/>
          <w:szCs w:val="20"/>
          <w:lang w:val="es-ES_tradnl" w:eastAsia="es-ES_tradnl"/>
        </w:rPr>
      </w:pPr>
      <w:r w:rsidRPr="003A6D57">
        <w:rPr>
          <w:rFonts w:ascii="Verdana" w:hAnsi="Verdana"/>
          <w:sz w:val="20"/>
          <w:szCs w:val="20"/>
        </w:rPr>
        <w:t>Parágrafo. Respecto a los incentivos contractuales para los emprendimientos y empresas de mujeres, las certificaciones de trata el presente artículo deben expedirse bajo la gravedad de juramento con una fecha de máximo treinta (30) días calendario anteriores a la prevista para el cierre del procedimiento de selección” [Énfasis fuera de texto].</w:t>
      </w:r>
    </w:p>
    <w:p w14:paraId="501E874D" w14:textId="77777777" w:rsidR="003A6D57" w:rsidRPr="00EA120C" w:rsidRDefault="003A6D57" w:rsidP="003A6D57">
      <w:pPr>
        <w:spacing w:after="120" w:line="276" w:lineRule="auto"/>
        <w:jc w:val="both"/>
        <w:rPr>
          <w:rFonts w:ascii="Verdana" w:hAnsi="Verdana"/>
        </w:rPr>
      </w:pPr>
      <w:r w:rsidRPr="00EA120C">
        <w:rPr>
          <w:rFonts w:ascii="Verdana" w:hAnsi="Verdana"/>
        </w:rPr>
        <w:t xml:space="preserve">En ese sentido, los criterios diferenciales que deben incorporarse en los Documentos del Proceso para emprendimientos y empresas de mujeres incluyen ajustes en los siguientes aspectos: tiempo de experiencia, permitiendo que estas empresas acrediten su idoneidad con menor antigüedad; número de contratos para la acreditación de experiencia, reduciendo la cantidad exigida para probar experiencia general o específica; índices de capacidad financiera, flexibilizando parámetros como liquidez o endeudamiento; índices de capacidad organizacional, adaptando los requerimientos relacionados con estructura, personal técnico o recursos disponibles; y el valor de la garantía de seriedad de la oferta, disminuyéndolo para reducir las barreras económicas al participar en los procesos de contratación pública. Estos criterios buscan promover una participación equitativa en el sistema de compras estatales. </w:t>
      </w:r>
    </w:p>
    <w:p w14:paraId="3CCFEE10" w14:textId="77777777" w:rsidR="003A6D57" w:rsidRPr="00EA120C" w:rsidRDefault="003A6D57" w:rsidP="003A6D57">
      <w:pPr>
        <w:spacing w:after="120" w:line="276" w:lineRule="auto"/>
        <w:jc w:val="both"/>
        <w:rPr>
          <w:rFonts w:ascii="Verdana" w:hAnsi="Verdana"/>
        </w:rPr>
      </w:pPr>
      <w:r w:rsidRPr="00EA120C">
        <w:rPr>
          <w:rFonts w:ascii="Verdana" w:hAnsi="Verdana"/>
        </w:rPr>
        <w:t>Lo anterior de conformidad con el artículo 2.2.1.2.4.2.15. del Decreto 1082 de 2015, el cual señala que las Entidades Públicas en los documentos del Proceso deberán incorporar requisitos habilitantes diferenciales relacionados con alguno o algunos de los siguientes aspectos:</w:t>
      </w:r>
    </w:p>
    <w:p w14:paraId="3835FB66" w14:textId="77777777" w:rsidR="00EA120C" w:rsidRPr="00EA120C" w:rsidRDefault="003A6D57" w:rsidP="003A6D57">
      <w:pPr>
        <w:spacing w:after="120" w:line="276" w:lineRule="auto"/>
        <w:jc w:val="both"/>
        <w:rPr>
          <w:rFonts w:ascii="Verdana" w:hAnsi="Verdana"/>
        </w:rPr>
      </w:pPr>
      <w:r w:rsidRPr="00EA120C">
        <w:rPr>
          <w:rFonts w:ascii="Verdana" w:hAnsi="Verdana"/>
        </w:rPr>
        <w:t xml:space="preserve"> 1. Tiempo de experiencia.</w:t>
      </w:r>
    </w:p>
    <w:p w14:paraId="62EB1273" w14:textId="77777777" w:rsidR="00EA120C" w:rsidRPr="00EA120C" w:rsidRDefault="003A6D57" w:rsidP="003A6D57">
      <w:pPr>
        <w:spacing w:after="120" w:line="276" w:lineRule="auto"/>
        <w:jc w:val="both"/>
        <w:rPr>
          <w:rFonts w:ascii="Verdana" w:hAnsi="Verdana"/>
        </w:rPr>
      </w:pPr>
      <w:r w:rsidRPr="00EA120C">
        <w:rPr>
          <w:rFonts w:ascii="Verdana" w:hAnsi="Verdana"/>
        </w:rPr>
        <w:lastRenderedPageBreak/>
        <w:t xml:space="preserve"> 2. Número de contratos para la acreditación de la experiencia.</w:t>
      </w:r>
    </w:p>
    <w:p w14:paraId="66B63DFD" w14:textId="77777777" w:rsidR="00EA120C" w:rsidRPr="00EA120C" w:rsidRDefault="003A6D57" w:rsidP="00EA120C">
      <w:pPr>
        <w:spacing w:after="120" w:line="276" w:lineRule="auto"/>
        <w:jc w:val="both"/>
        <w:rPr>
          <w:rFonts w:ascii="Verdana" w:eastAsia="Times New Roman" w:hAnsi="Verdana" w:cs="Arial"/>
          <w:lang w:val="es-ES_tradnl" w:eastAsia="es-ES_tradnl"/>
        </w:rPr>
      </w:pPr>
      <w:r w:rsidRPr="00EA120C">
        <w:rPr>
          <w:rFonts w:ascii="Verdana" w:hAnsi="Verdana"/>
        </w:rPr>
        <w:t xml:space="preserve"> 3. Índices de capacidad financiera.</w:t>
      </w:r>
    </w:p>
    <w:p w14:paraId="3A4F178B" w14:textId="77777777" w:rsidR="00EA120C" w:rsidRPr="00EA120C" w:rsidRDefault="00EA120C" w:rsidP="00EA120C">
      <w:pPr>
        <w:spacing w:after="120" w:line="276" w:lineRule="auto"/>
        <w:jc w:val="both"/>
        <w:rPr>
          <w:rFonts w:ascii="Verdana" w:hAnsi="Verdana"/>
        </w:rPr>
      </w:pPr>
      <w:r w:rsidRPr="00EA120C">
        <w:rPr>
          <w:rFonts w:ascii="Verdana" w:hAnsi="Verdana"/>
        </w:rPr>
        <w:t xml:space="preserve">4. Índices de capacidad organizacional. </w:t>
      </w:r>
    </w:p>
    <w:p w14:paraId="4BA57542" w14:textId="77777777" w:rsidR="00EA120C" w:rsidRPr="00EA120C" w:rsidRDefault="00EA120C" w:rsidP="00EA120C">
      <w:pPr>
        <w:spacing w:after="120" w:line="276" w:lineRule="auto"/>
        <w:jc w:val="both"/>
        <w:rPr>
          <w:rFonts w:ascii="Verdana" w:hAnsi="Verdana"/>
        </w:rPr>
      </w:pPr>
      <w:r w:rsidRPr="00EA120C">
        <w:rPr>
          <w:rFonts w:ascii="Verdana" w:hAnsi="Verdana"/>
        </w:rPr>
        <w:t xml:space="preserve">5. Valor de la garantía de seriedad de la oferta. </w:t>
      </w:r>
    </w:p>
    <w:p w14:paraId="2A78E195" w14:textId="77777777" w:rsidR="00EA120C" w:rsidRPr="00EA120C" w:rsidRDefault="00EA120C" w:rsidP="00EA120C">
      <w:pPr>
        <w:spacing w:after="120" w:line="276" w:lineRule="auto"/>
        <w:jc w:val="both"/>
        <w:rPr>
          <w:rFonts w:ascii="Verdana" w:hAnsi="Verdana"/>
        </w:rPr>
      </w:pPr>
      <w:r w:rsidRPr="00EA120C">
        <w:rPr>
          <w:rFonts w:ascii="Verdana" w:hAnsi="Verdana"/>
        </w:rPr>
        <w:t xml:space="preserve">En todo caso, los requisitos habilitantes diferenciales del artículo 2.2.1.2.4.2.15 ibidem deberán fijarse respetando las condiciones habilitantes requeridas para el cumplimiento adecuado del contrato, teniendo en cuenta el alcance de las obligaciones. </w:t>
      </w:r>
    </w:p>
    <w:p w14:paraId="2E1BF8F4" w14:textId="25904377" w:rsidR="00EA120C" w:rsidRPr="00EA120C" w:rsidRDefault="00EA120C" w:rsidP="00EA120C">
      <w:pPr>
        <w:spacing w:after="120" w:line="276" w:lineRule="auto"/>
        <w:jc w:val="both"/>
        <w:rPr>
          <w:rFonts w:ascii="Verdana" w:eastAsia="Times New Roman" w:hAnsi="Verdana" w:cs="Arial"/>
          <w:lang w:val="es-ES_tradnl" w:eastAsia="es-ES_tradnl"/>
        </w:rPr>
      </w:pPr>
      <w:r w:rsidRPr="00EA120C">
        <w:rPr>
          <w:rFonts w:ascii="Verdana" w:hAnsi="Verdana"/>
        </w:rPr>
        <w:t>Por otro lado, frente al puntaje adicional, el inciso tercero de la norma ibidem , establece que las Entidades Públocas también otorgarán un puntaje adicional de hasta el cero punto veinticinco por ciento (0.25%) del valor total de los puntos establecidos en los pliegos de condiciones o documentos equivalentes, a los proponentes que acrediten alguno de los supuestos del artículo 2.2.1.2.4.2.14 del Decreto 1082 de 2015.</w:t>
      </w:r>
    </w:p>
    <w:p w14:paraId="56553C8C" w14:textId="77777777" w:rsidR="00EA120C" w:rsidRPr="00EA120C" w:rsidRDefault="00EA120C" w:rsidP="00EA120C">
      <w:pPr>
        <w:spacing w:after="120" w:line="276" w:lineRule="auto"/>
        <w:jc w:val="both"/>
        <w:rPr>
          <w:rFonts w:ascii="Verdana" w:hAnsi="Verdana"/>
        </w:rPr>
      </w:pPr>
      <w:r w:rsidRPr="00EA120C">
        <w:rPr>
          <w:rFonts w:ascii="Verdana" w:hAnsi="Verdana"/>
        </w:rPr>
        <w:t>Conforme se viene explicando, los artículos 31 y 32 de la Ley 2069 de 2021 introducen la posibilidad en cabeza de las entidades estatales de incluir requisitos diferenciales y puntajes adicionales para MiPymes y para «emprendimientos y empresas de mujeres». Lo anterior, tanto en procesos de licitación pública, como de selección abreviada de menor cuantía, concurso de méritos y procesos competitivos que adelanten las entidades estatales exceptuadas de aplicar el Estatuto General de Contratación de la Administración Pública. Ello constituye una medida afirmativa que pretende incentivar la participación de estos sujetos en el sistema de compras públicas, sin perjuicio de los compromisos adquiridos por Colombia en los acuerdos comerciales en vigor.</w:t>
      </w:r>
    </w:p>
    <w:p w14:paraId="137BF644" w14:textId="1F8898A9" w:rsidR="00EA120C" w:rsidRPr="00EA120C" w:rsidRDefault="00EA120C" w:rsidP="00EA120C">
      <w:pPr>
        <w:spacing w:after="120" w:line="276" w:lineRule="auto"/>
        <w:jc w:val="both"/>
        <w:rPr>
          <w:rFonts w:ascii="Verdana" w:eastAsia="Times New Roman" w:hAnsi="Verdana" w:cs="Arial"/>
          <w:lang w:val="es-ES_tradnl" w:eastAsia="es-ES_tradnl"/>
        </w:rPr>
      </w:pPr>
      <w:r w:rsidRPr="00EA120C">
        <w:rPr>
          <w:rFonts w:ascii="Verdana" w:hAnsi="Verdana"/>
        </w:rPr>
        <w:t xml:space="preserve"> En razón de lo anterior, pese a que la selección objetiva -que es uno de los deberes medulares de la contratación estatal- implica que la selección del contratista no atienda a razones subjetivas, nuestro ordenamiento jurídico permite que la selección del contratista se realice acudiendo a factores habilitantes y de calificación diferenciales de los participantes fijados en los pliegos de condiciones. Esto permite fomentar o facilitar el acceso a las compras públicas de sujetos de menor capacidad en el mercado, como es el caso de los «emprendimientos y empresas de mujeres», y de las MiPymes. Lo anterior, </w:t>
      </w:r>
      <w:r w:rsidRPr="00EA120C">
        <w:rPr>
          <w:rFonts w:ascii="Verdana" w:hAnsi="Verdana"/>
        </w:rPr>
        <w:lastRenderedPageBreak/>
        <w:t>siempre y cuando el uso de estas medidas afirmativas resulte justificado y no ponga en riesgo el adecuado cumplimiento del contrato, según el análisis del sector y los estudios previos que soporten el proceso contractual.</w:t>
      </w:r>
    </w:p>
    <w:p w14:paraId="07D43A2B" w14:textId="77777777" w:rsidR="00EA120C" w:rsidRPr="00EA120C" w:rsidRDefault="00EA120C" w:rsidP="006149D3">
      <w:pPr>
        <w:spacing w:after="120" w:line="276" w:lineRule="auto"/>
        <w:ind w:firstLine="709"/>
        <w:jc w:val="both"/>
        <w:rPr>
          <w:rFonts w:ascii="Verdana" w:hAnsi="Verdana"/>
        </w:rPr>
      </w:pPr>
      <w:r w:rsidRPr="00EA120C">
        <w:rPr>
          <w:rFonts w:ascii="Verdana" w:hAnsi="Verdana"/>
        </w:rPr>
        <w:t xml:space="preserve">Desde otro enfoque, en relación con los requisitos habilitantes, estos constituyen los requerimientos mínimos con los que deben cumplir los proponentes para poder participar en el procedimiento de selección, razón por la cual los mismos no se valoran con un puntaje tendiente a determinar el orden de escogencia, sino que se analizan como criterios previos a la evaluación en sentido estricto. Quienes no los reúnan no pueden continuar en el procedimiento de selección y, por ende, incurren en causal de rechazo. Esto sin perjuicio del derecho que tienen los oferentes de subsanar los defectos que se presenten en la prueba de tales requisitos, de conformidad con el artículo 5, parágrafos 1º al 4º, de la Ley 1150 de 2007. </w:t>
      </w:r>
    </w:p>
    <w:p w14:paraId="3434449D" w14:textId="3EAA06C3" w:rsidR="00EA120C" w:rsidRDefault="00EA120C" w:rsidP="006149D3">
      <w:pPr>
        <w:spacing w:after="120" w:line="276" w:lineRule="auto"/>
        <w:ind w:firstLine="709"/>
        <w:jc w:val="both"/>
        <w:rPr>
          <w:rFonts w:ascii="Verdana" w:hAnsi="Verdana"/>
        </w:rPr>
      </w:pPr>
      <w:r w:rsidRPr="00EA120C">
        <w:rPr>
          <w:rFonts w:ascii="Verdana" w:hAnsi="Verdana"/>
        </w:rPr>
        <w:t>Por su parte, el Decreto 1082 de 2015 en su artículo 2.2.1.1.1.6.2 reglamenta los requisitos habilitantes, estableciendo que estos deben ser señalados en los pliegos de condiciones o en la invitación</w:t>
      </w:r>
      <w:r>
        <w:rPr>
          <w:rStyle w:val="Refdenotaalpie"/>
          <w:rFonts w:ascii="Verdana" w:hAnsi="Verdana"/>
        </w:rPr>
        <w:footnoteReference w:id="9"/>
      </w:r>
      <w:r w:rsidRPr="00EA120C">
        <w:rPr>
          <w:rFonts w:ascii="Verdana" w:hAnsi="Verdana"/>
        </w:rPr>
        <w:t>, y que la determinación de estos debe ser realizada en función de criterios como el riesgo del Proceso de Contratación, el valor del contrato, el análisis del sector económico respectivo y el conocimiento de fondo de los posibles oferentes desde la perspectiva comercial. En ese sentido, las entidades estatales son autónomas para definir los requisitos habilitantes, pero tal facultad debe ser ejercida procurando diseñar condiciones habilitantes de manera objetiva, de suerte que estas sirvan para determinar si los participantes del Proceso de Contratación cuentan con las capacidades que los hacen aptos para ejecutar el objeto contractual.</w:t>
      </w:r>
    </w:p>
    <w:p w14:paraId="5A867528" w14:textId="4F4CF430" w:rsidR="00ED585A" w:rsidRPr="00EA120C" w:rsidRDefault="00EA120C" w:rsidP="00EA120C">
      <w:pPr>
        <w:spacing w:after="120" w:line="276" w:lineRule="auto"/>
        <w:ind w:firstLine="709"/>
        <w:jc w:val="both"/>
        <w:rPr>
          <w:rFonts w:ascii="Verdana" w:eastAsia="Times New Roman" w:hAnsi="Verdana" w:cs="Arial"/>
          <w:lang w:val="es-ES_tradnl" w:eastAsia="es-ES_tradnl"/>
        </w:rPr>
      </w:pPr>
      <w:r w:rsidRPr="00EA120C">
        <w:rPr>
          <w:rFonts w:ascii="Verdana" w:hAnsi="Verdana"/>
        </w:rPr>
        <w:t xml:space="preserve">En conclusión con el planteamiento de la pregunta, las Entidades Estatales tendrán la obligación de incluir criterios diferenciales de conformidad al artículo 32 de la Ley 2069 del 2020 y del artículo 2.2.1.2.4.2.15 del Decreto 1082 de 2015 que establece la inclusión de requisitos diferenciales y puntaje adicionales de hasta el cero punto veinticinco por ciento (0.25%) del valor total de los puntos establecidos en los pliegos de condiciones o documentos equivalentes, de </w:t>
      </w:r>
      <w:r w:rsidRPr="00EA120C">
        <w:rPr>
          <w:rFonts w:ascii="Verdana" w:hAnsi="Verdana"/>
        </w:rPr>
        <w:lastRenderedPageBreak/>
        <w:t>acuerdo con los resultados del análisis del sector y desde las perspectivas del estudio de la oferta de las obras, bienes o servicios que requieran.</w:t>
      </w:r>
    </w:p>
    <w:p w14:paraId="0A5A84AF" w14:textId="77777777" w:rsidR="006149D3" w:rsidRPr="00115E3D" w:rsidRDefault="006149D3" w:rsidP="006149D3">
      <w:pPr>
        <w:widowControl w:val="0"/>
        <w:autoSpaceDE w:val="0"/>
        <w:autoSpaceDN w:val="0"/>
        <w:spacing w:after="0" w:line="276" w:lineRule="auto"/>
        <w:jc w:val="both"/>
        <w:rPr>
          <w:rFonts w:ascii="Verdana" w:hAnsi="Verdana" w:cs="Arial"/>
          <w:color w:val="000000" w:themeColor="text1"/>
        </w:rPr>
      </w:pPr>
    </w:p>
    <w:p w14:paraId="4DA0E193" w14:textId="77777777" w:rsidR="006149D3" w:rsidRPr="00115E3D" w:rsidRDefault="006149D3" w:rsidP="006149D3">
      <w:pPr>
        <w:pStyle w:val="Prrafodelista"/>
        <w:numPr>
          <w:ilvl w:val="0"/>
          <w:numId w:val="1"/>
        </w:numPr>
        <w:tabs>
          <w:tab w:val="left" w:pos="142"/>
          <w:tab w:val="left" w:pos="284"/>
        </w:tabs>
        <w:spacing w:after="0" w:line="276" w:lineRule="auto"/>
        <w:ind w:left="0" w:firstLine="0"/>
        <w:contextualSpacing w:val="0"/>
        <w:jc w:val="both"/>
        <w:rPr>
          <w:rFonts w:ascii="Verdana" w:eastAsia="Century Gothic" w:hAnsi="Verdana" w:cs="Century Gothic"/>
          <w:b/>
          <w:bCs/>
          <w:color w:val="000000" w:themeColor="text1"/>
          <w:lang w:val="es-ES"/>
        </w:rPr>
      </w:pPr>
      <w:r w:rsidRPr="00115E3D">
        <w:rPr>
          <w:rFonts w:ascii="Verdana" w:eastAsia="Century Gothic" w:hAnsi="Verdana" w:cs="Century Gothic"/>
          <w:b/>
          <w:bCs/>
          <w:color w:val="000000" w:themeColor="text1"/>
          <w:lang w:val="es-ES"/>
        </w:rPr>
        <w:t>Referencias normativas, jurisprudenciales y otras fuentes:</w:t>
      </w:r>
    </w:p>
    <w:p w14:paraId="2FFAA07E" w14:textId="77777777" w:rsidR="006149D3" w:rsidRPr="00115E3D" w:rsidRDefault="006149D3" w:rsidP="006149D3">
      <w:pPr>
        <w:widowControl w:val="0"/>
        <w:autoSpaceDE w:val="0"/>
        <w:autoSpaceDN w:val="0"/>
        <w:spacing w:after="0" w:line="276" w:lineRule="auto"/>
        <w:jc w:val="both"/>
        <w:rPr>
          <w:rFonts w:ascii="Verdana" w:hAnsi="Verdana" w:cs="Arial"/>
          <w:color w:val="000000" w:themeColor="text1"/>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6149D3" w:rsidRPr="00115E3D" w14:paraId="792A8E2F" w14:textId="77777777" w:rsidTr="00F627CD">
        <w:trPr>
          <w:trHeight w:val="870"/>
        </w:trPr>
        <w:tc>
          <w:tcPr>
            <w:tcW w:w="8647" w:type="dxa"/>
          </w:tcPr>
          <w:p w14:paraId="3CEBBE51" w14:textId="77777777" w:rsidR="006149D3" w:rsidRDefault="006149D3" w:rsidP="00F627CD">
            <w:pPr>
              <w:numPr>
                <w:ilvl w:val="0"/>
                <w:numId w:val="2"/>
              </w:numPr>
              <w:contextualSpacing/>
              <w:jc w:val="both"/>
              <w:rPr>
                <w:rFonts w:ascii="Verdana" w:eastAsia="Times New Roman" w:hAnsi="Verdana" w:cs="Arial"/>
                <w:bCs/>
                <w:lang w:val="es-ES" w:eastAsia="es-ES_tradnl"/>
              </w:rPr>
            </w:pPr>
            <w:r w:rsidRPr="009514AE">
              <w:rPr>
                <w:rFonts w:ascii="Verdana" w:eastAsia="Times New Roman" w:hAnsi="Verdana" w:cs="Arial"/>
                <w:lang w:val="es-ES_tradnl" w:eastAsia="es-ES_tradnl"/>
              </w:rPr>
              <w:t xml:space="preserve">Ley 2069 de 2020: </w:t>
            </w:r>
            <w:r w:rsidRPr="009514AE">
              <w:rPr>
                <w:rFonts w:ascii="Verdana" w:eastAsia="Times New Roman" w:hAnsi="Verdana" w:cs="Arial"/>
                <w:bCs/>
                <w:lang w:val="es-ES" w:eastAsia="es-ES_tradnl"/>
              </w:rPr>
              <w:t xml:space="preserve">Artículo 32. </w:t>
            </w:r>
          </w:p>
          <w:p w14:paraId="3AF0FA46" w14:textId="77777777" w:rsidR="006149D3" w:rsidRDefault="006149D3" w:rsidP="00F627CD">
            <w:pPr>
              <w:ind w:left="360"/>
              <w:contextualSpacing/>
              <w:jc w:val="both"/>
              <w:rPr>
                <w:rFonts w:ascii="Verdana" w:eastAsia="Times New Roman" w:hAnsi="Verdana" w:cs="Arial"/>
                <w:bCs/>
                <w:lang w:val="es-ES" w:eastAsia="es-ES_tradnl"/>
              </w:rPr>
            </w:pPr>
          </w:p>
          <w:p w14:paraId="49BE28E5" w14:textId="77777777" w:rsidR="006149D3" w:rsidRPr="009514AE" w:rsidRDefault="006149D3" w:rsidP="00F627CD">
            <w:pPr>
              <w:numPr>
                <w:ilvl w:val="0"/>
                <w:numId w:val="2"/>
              </w:numPr>
              <w:contextualSpacing/>
              <w:jc w:val="both"/>
              <w:rPr>
                <w:rFonts w:ascii="Verdana" w:eastAsia="Times New Roman" w:hAnsi="Verdana" w:cs="Arial"/>
                <w:bCs/>
                <w:lang w:val="es-ES" w:eastAsia="es-ES_tradnl"/>
              </w:rPr>
            </w:pPr>
            <w:r>
              <w:rPr>
                <w:rFonts w:ascii="Verdana" w:eastAsia="Times New Roman" w:hAnsi="Verdana" w:cs="Arial"/>
                <w:lang w:val="es-ES_tradnl" w:eastAsia="es-ES_tradnl"/>
              </w:rPr>
              <w:t>Ley 1150 de 2007: A</w:t>
            </w:r>
            <w:r w:rsidRPr="006866A8">
              <w:rPr>
                <w:rFonts w:ascii="Verdana" w:eastAsia="Times New Roman" w:hAnsi="Verdana" w:cs="Arial"/>
                <w:lang w:val="es-ES_tradnl" w:eastAsia="es-ES_tradnl"/>
              </w:rPr>
              <w:t>rtículo 2</w:t>
            </w:r>
            <w:r>
              <w:rPr>
                <w:rFonts w:ascii="Verdana" w:eastAsia="Times New Roman" w:hAnsi="Verdana" w:cs="Arial"/>
                <w:lang w:val="es-ES_tradnl" w:eastAsia="es-ES_tradnl"/>
              </w:rPr>
              <w:t>.</w:t>
            </w:r>
          </w:p>
          <w:p w14:paraId="1F33AE63" w14:textId="77777777" w:rsidR="006149D3" w:rsidRPr="009514AE" w:rsidRDefault="006149D3" w:rsidP="00F627CD">
            <w:pPr>
              <w:ind w:left="360"/>
              <w:contextualSpacing/>
              <w:jc w:val="both"/>
              <w:rPr>
                <w:rFonts w:ascii="Verdana" w:eastAsia="Times New Roman" w:hAnsi="Verdana" w:cs="Arial"/>
                <w:bCs/>
                <w:lang w:val="es-ES" w:eastAsia="es-ES_tradnl"/>
              </w:rPr>
            </w:pPr>
          </w:p>
          <w:p w14:paraId="1CB5D399" w14:textId="21B2425F" w:rsidR="006149D3" w:rsidRDefault="006149D3" w:rsidP="00F627CD">
            <w:pPr>
              <w:numPr>
                <w:ilvl w:val="0"/>
                <w:numId w:val="2"/>
              </w:numPr>
              <w:contextualSpacing/>
              <w:jc w:val="both"/>
              <w:rPr>
                <w:rFonts w:ascii="Verdana" w:eastAsia="Times New Roman" w:hAnsi="Verdana" w:cs="Arial"/>
                <w:lang w:val="es-ES_tradnl" w:eastAsia="es-ES_tradnl"/>
              </w:rPr>
            </w:pPr>
            <w:r w:rsidRPr="009514AE">
              <w:rPr>
                <w:rFonts w:ascii="Verdana" w:eastAsia="Times New Roman" w:hAnsi="Verdana" w:cs="Arial"/>
                <w:lang w:val="es-ES_tradnl" w:eastAsia="es-ES_tradnl"/>
              </w:rPr>
              <w:t xml:space="preserve">Decreto 1082 de 2015: </w:t>
            </w:r>
            <w:r>
              <w:rPr>
                <w:rFonts w:ascii="Verdana" w:eastAsia="Times New Roman" w:hAnsi="Verdana" w:cs="Arial"/>
                <w:lang w:val="es-ES_tradnl" w:eastAsia="es-ES_tradnl"/>
              </w:rPr>
              <w:t xml:space="preserve"> </w:t>
            </w:r>
            <w:r w:rsidR="00681182" w:rsidRPr="009514AE">
              <w:rPr>
                <w:rFonts w:ascii="Verdana" w:eastAsia="Times New Roman" w:hAnsi="Verdana" w:cs="Arial"/>
                <w:lang w:val="es-ES_tradnl" w:eastAsia="es-ES_tradnl"/>
              </w:rPr>
              <w:t>Artículo</w:t>
            </w:r>
            <w:r w:rsidR="00681182">
              <w:rPr>
                <w:rFonts w:ascii="Verdana" w:eastAsia="Times New Roman" w:hAnsi="Verdana" w:cs="Arial"/>
                <w:lang w:val="es-ES_tradnl" w:eastAsia="es-ES_tradnl"/>
              </w:rPr>
              <w:t>s 2.2.1.2.4.2.2</w:t>
            </w:r>
            <w:r w:rsidR="00681182" w:rsidRPr="00CF7E4B">
              <w:rPr>
                <w:rFonts w:ascii="Verdana" w:hAnsi="Verdana"/>
              </w:rPr>
              <w:t xml:space="preserve"> y 2.2.1.2.4.2.14</w:t>
            </w:r>
            <w:r w:rsidR="00681182">
              <w:rPr>
                <w:rFonts w:ascii="Verdana" w:hAnsi="Verdana"/>
              </w:rPr>
              <w:t xml:space="preserve"> .</w:t>
            </w:r>
          </w:p>
          <w:p w14:paraId="0E48996E" w14:textId="77777777" w:rsidR="00A31850" w:rsidRDefault="00A31850" w:rsidP="00A31850">
            <w:pPr>
              <w:pStyle w:val="Prrafodelista"/>
              <w:rPr>
                <w:rFonts w:ascii="Verdana" w:eastAsia="Times New Roman" w:hAnsi="Verdana" w:cs="Arial"/>
                <w:lang w:val="es-ES_tradnl" w:eastAsia="es-ES_tradnl"/>
              </w:rPr>
            </w:pPr>
          </w:p>
          <w:p w14:paraId="7B15CC39" w14:textId="3766E7E9" w:rsidR="00A31850" w:rsidRPr="000552BC" w:rsidRDefault="000552BC" w:rsidP="000552BC">
            <w:pPr>
              <w:pStyle w:val="Prrafodelista"/>
              <w:rPr>
                <w:rFonts w:ascii="Verdana" w:eastAsia="Times New Roman" w:hAnsi="Verdana" w:cs="Arial"/>
                <w:lang w:eastAsia="es-ES_tradnl"/>
              </w:rPr>
            </w:pPr>
            <w:r w:rsidRPr="000552BC">
              <w:rPr>
                <w:rFonts w:ascii="Verdana" w:eastAsia="Times New Roman" w:hAnsi="Verdana" w:cs="Arial"/>
                <w:lang w:eastAsia="es-ES_tradnl"/>
              </w:rPr>
              <w:t>Guía Para Promover La Participación De Las Mipymes En Los Procesos De Compra Pública</w:t>
            </w:r>
            <w:r>
              <w:rPr>
                <w:rFonts w:ascii="Verdana" w:eastAsia="Times New Roman" w:hAnsi="Verdana" w:cs="Arial"/>
                <w:lang w:eastAsia="es-ES_tradnl"/>
              </w:rPr>
              <w:t xml:space="preserve">: </w:t>
            </w:r>
            <w:hyperlink r:id="rId13" w:history="1">
              <w:r w:rsidR="00A31850" w:rsidRPr="00A31850">
                <w:rPr>
                  <w:rStyle w:val="Hipervnculo"/>
                  <w:rFonts w:ascii="Verdana" w:eastAsia="Times New Roman" w:hAnsi="Verdana" w:cs="Arial"/>
                  <w:lang w:eastAsia="es-ES_tradnl"/>
                </w:rPr>
                <w:t>guia_para_promover_la_participacion_de_las_mipymes_en_los_procesos_de_compra_publica_cce-gad-gi-26_1.pdf</w:t>
              </w:r>
            </w:hyperlink>
          </w:p>
          <w:p w14:paraId="420ECD64" w14:textId="77777777" w:rsidR="00A31850" w:rsidRDefault="00A31850" w:rsidP="00A31850">
            <w:pPr>
              <w:pStyle w:val="Prrafodelista"/>
              <w:rPr>
                <w:rFonts w:ascii="Verdana" w:eastAsia="Times New Roman" w:hAnsi="Verdana" w:cs="Arial"/>
                <w:lang w:val="es-ES_tradnl" w:eastAsia="es-ES_tradnl"/>
              </w:rPr>
            </w:pPr>
          </w:p>
          <w:p w14:paraId="1BAC74F0" w14:textId="77777777" w:rsidR="00A31850" w:rsidRPr="00A578C5" w:rsidRDefault="00A31850" w:rsidP="00A31850">
            <w:pPr>
              <w:ind w:left="720"/>
              <w:contextualSpacing/>
              <w:jc w:val="both"/>
              <w:rPr>
                <w:rFonts w:ascii="Verdana" w:eastAsia="Times New Roman" w:hAnsi="Verdana" w:cs="Arial"/>
                <w:lang w:val="es-ES_tradnl" w:eastAsia="es-ES_tradnl"/>
              </w:rPr>
            </w:pPr>
          </w:p>
          <w:p w14:paraId="068360F0" w14:textId="77777777" w:rsidR="006149D3" w:rsidRPr="00A578C5" w:rsidRDefault="006149D3" w:rsidP="00F627CD">
            <w:pPr>
              <w:ind w:left="720"/>
              <w:contextualSpacing/>
              <w:jc w:val="both"/>
              <w:rPr>
                <w:rFonts w:eastAsia="Times New Roman" w:cs="Times New Roman"/>
                <w:lang w:val="es-ES"/>
              </w:rPr>
            </w:pPr>
            <w:r w:rsidRPr="009514AE">
              <w:rPr>
                <w:rFonts w:ascii="Verdana" w:eastAsia="Times New Roman" w:hAnsi="Verdana" w:cs="Arial"/>
                <w:color w:val="000000" w:themeColor="text1"/>
                <w:lang w:val="es-ES"/>
              </w:rPr>
              <w:t xml:space="preserve"> </w:t>
            </w:r>
          </w:p>
        </w:tc>
      </w:tr>
    </w:tbl>
    <w:p w14:paraId="709D8759" w14:textId="77777777" w:rsidR="006149D3" w:rsidRPr="00115E3D" w:rsidRDefault="006149D3" w:rsidP="006149D3">
      <w:pPr>
        <w:widowControl w:val="0"/>
        <w:autoSpaceDE w:val="0"/>
        <w:autoSpaceDN w:val="0"/>
        <w:spacing w:after="0" w:line="276" w:lineRule="auto"/>
        <w:jc w:val="both"/>
        <w:rPr>
          <w:rFonts w:ascii="Verdana" w:hAnsi="Verdana" w:cs="Arial"/>
          <w:color w:val="000000" w:themeColor="text1"/>
        </w:rPr>
      </w:pPr>
    </w:p>
    <w:p w14:paraId="665E5F49" w14:textId="77777777" w:rsidR="006149D3" w:rsidRPr="00115E3D" w:rsidRDefault="006149D3" w:rsidP="006149D3">
      <w:pPr>
        <w:pStyle w:val="Prrafodelista"/>
        <w:numPr>
          <w:ilvl w:val="0"/>
          <w:numId w:val="1"/>
        </w:numPr>
        <w:tabs>
          <w:tab w:val="left" w:pos="142"/>
          <w:tab w:val="left" w:pos="284"/>
        </w:tabs>
        <w:spacing w:after="0" w:line="276" w:lineRule="auto"/>
        <w:ind w:left="0" w:firstLine="0"/>
        <w:contextualSpacing w:val="0"/>
        <w:jc w:val="both"/>
        <w:rPr>
          <w:rFonts w:ascii="Verdana" w:eastAsia="Century Gothic" w:hAnsi="Verdana" w:cs="Century Gothic"/>
          <w:b/>
          <w:bCs/>
          <w:color w:val="000000" w:themeColor="text1"/>
          <w:lang w:val="es-ES"/>
        </w:rPr>
      </w:pPr>
      <w:r w:rsidRPr="00115E3D">
        <w:rPr>
          <w:rFonts w:ascii="Verdana" w:eastAsia="Century Gothic" w:hAnsi="Verdana" w:cs="Century Gothic"/>
          <w:b/>
          <w:bCs/>
          <w:color w:val="000000" w:themeColor="text1"/>
          <w:lang w:val="es-ES"/>
        </w:rPr>
        <w:t>Doctrina de la Agencia Nacional de Contratación Pública:</w:t>
      </w:r>
    </w:p>
    <w:p w14:paraId="4D7A5A65" w14:textId="77777777" w:rsidR="006149D3" w:rsidRPr="00115E3D" w:rsidRDefault="006149D3" w:rsidP="006149D3">
      <w:pPr>
        <w:widowControl w:val="0"/>
        <w:autoSpaceDE w:val="0"/>
        <w:autoSpaceDN w:val="0"/>
        <w:spacing w:after="0" w:line="276" w:lineRule="auto"/>
        <w:jc w:val="both"/>
        <w:rPr>
          <w:rFonts w:ascii="Verdana" w:hAnsi="Verdana" w:cs="Arial"/>
          <w:color w:val="000000" w:themeColor="text1"/>
        </w:rPr>
      </w:pPr>
    </w:p>
    <w:p w14:paraId="69EABD97" w14:textId="77777777" w:rsidR="006149D3" w:rsidRPr="009514AE" w:rsidRDefault="006149D3" w:rsidP="006149D3">
      <w:pPr>
        <w:widowControl w:val="0"/>
        <w:autoSpaceDE w:val="0"/>
        <w:autoSpaceDN w:val="0"/>
        <w:spacing w:after="0" w:line="276" w:lineRule="auto"/>
        <w:jc w:val="both"/>
        <w:rPr>
          <w:rFonts w:ascii="Verdana" w:eastAsia="Times New Roman" w:hAnsi="Verdana" w:cs="Arial"/>
          <w:shd w:val="clear" w:color="auto" w:fill="FFFFFF"/>
        </w:rPr>
      </w:pPr>
      <w:r w:rsidRPr="009514AE">
        <w:rPr>
          <w:rFonts w:ascii="Verdana" w:eastAsia="Times New Roman" w:hAnsi="Verdana" w:cs="Arial"/>
          <w:shd w:val="clear" w:color="auto" w:fill="FFFFFF"/>
          <w:lang w:val="es-ES"/>
        </w:rPr>
        <w:t xml:space="preserve">Sobre </w:t>
      </w:r>
      <w:r w:rsidRPr="009514AE">
        <w:rPr>
          <w:rFonts w:ascii="Verdana" w:eastAsia="Times New Roman" w:hAnsi="Verdana" w:cs="Arial"/>
          <w:lang w:val="es-ES" w:eastAsia="es-ES"/>
        </w:rPr>
        <w:t xml:space="preserve">la </w:t>
      </w:r>
      <w:r w:rsidRPr="009514AE">
        <w:rPr>
          <w:rFonts w:ascii="Verdana" w:eastAsia="Times New Roman" w:hAnsi="Verdana" w:cs="Arial"/>
          <w:lang w:val="es-ES" w:eastAsia="es-ES_tradnl"/>
        </w:rPr>
        <w:t>definición de emprendimientos y empresas de mujeres en el Decreto 1860 de 2021</w:t>
      </w:r>
      <w:r w:rsidRPr="009514AE">
        <w:rPr>
          <w:rFonts w:ascii="Verdana" w:eastAsia="Times New Roman" w:hAnsi="Verdana" w:cs="Arial"/>
          <w:lang w:val="es-ES" w:eastAsia="es-ES"/>
        </w:rPr>
        <w:t>, esta Subdirección se ha pronunciado en los conceptos</w:t>
      </w:r>
      <w:r w:rsidRPr="009514AE">
        <w:rPr>
          <w:rFonts w:ascii="Verdana" w:eastAsia="Times New Roman" w:hAnsi="Verdana" w:cs="Arial"/>
        </w:rPr>
        <w:t xml:space="preserve"> </w:t>
      </w:r>
      <w:r w:rsidRPr="009514AE">
        <w:rPr>
          <w:rFonts w:ascii="Verdana" w:eastAsia="Times New Roman" w:hAnsi="Verdana" w:cs="Arial"/>
          <w:shd w:val="clear" w:color="auto" w:fill="FFFFFF"/>
          <w:lang w:eastAsia="es-ES_tradnl"/>
        </w:rPr>
        <w:t>C-029 de 21 de febrero de 2021, C-037 del 26 de febrero de 2021, C-141 del 8 de abril de 2021, C-114 del 13 de abril de 2021 y C-031 del 1 de marzo de 2022, C-213 del 21 de abril de 2022, C-217 del 21 de abril de 2022, C-281 del 12 de mayo de 2022, C-322 del 20 de mayo de 2022, C-323 del 17 de junio de 2022, C-326 del 18 de mayo de 2022, C-398 del 15 de junio de 2022, C-399 del 21 de junio de 2022, C-421 del 6 de julio de 2022, C-429 del 18 de julio de 2022, C-438 del 11 de julio de 2022, C-454 del 13 de julio de 2022, C-476 del 21 de junio de 2022, C-479 del 26 de julio de 2022, C-504 del 8 de agosto de 2022, C-522 del 16 de agosto de 2022, C-642 del 11 de octubre de 2022, C-696 de 26 de octubre de 2022 y C-781 de 25 de noviembre de 2022,</w:t>
      </w:r>
      <w:r>
        <w:rPr>
          <w:rFonts w:ascii="Verdana" w:eastAsia="Times New Roman" w:hAnsi="Verdana" w:cs="Arial"/>
          <w:shd w:val="clear" w:color="auto" w:fill="FFFFFF"/>
          <w:lang w:eastAsia="es-ES_tradnl"/>
        </w:rPr>
        <w:t xml:space="preserve"> C-201 del 26 de octubre de 2024, C-328 del 26 de agosto de 2024, C-479 del 24 de septiembre de 2024, </w:t>
      </w:r>
      <w:r w:rsidRPr="009514AE">
        <w:rPr>
          <w:rFonts w:ascii="Verdana" w:eastAsia="Times New Roman" w:hAnsi="Verdana" w:cs="Arial"/>
          <w:shd w:val="clear" w:color="auto" w:fill="FFFFFF"/>
          <w:lang w:eastAsia="es-ES_tradnl"/>
        </w:rPr>
        <w:t>entre otros</w:t>
      </w:r>
      <w:r w:rsidRPr="009514AE">
        <w:rPr>
          <w:rFonts w:ascii="Verdana" w:eastAsia="Times New Roman" w:hAnsi="Verdana" w:cs="Arial"/>
          <w:color w:val="7030A0"/>
          <w:shd w:val="clear" w:color="auto" w:fill="FFFFFF"/>
          <w:lang w:val="es-ES"/>
        </w:rPr>
        <w:t xml:space="preserve">. </w:t>
      </w:r>
      <w:r w:rsidRPr="009514AE">
        <w:rPr>
          <w:rFonts w:ascii="Verdana" w:eastAsia="Times New Roman" w:hAnsi="Verdana" w:cs="Arial"/>
          <w:shd w:val="clear" w:color="auto" w:fill="FFFFFF"/>
        </w:rPr>
        <w:t xml:space="preserve">Estos y otros conceptos se encuentran disponibles para consulta en el Sistema de Relatoría de la Agencia, en el cual también podrás encontrar jurisprudencia del Consejo de Estado, laudos arbitrales y la normativa de la </w:t>
      </w:r>
      <w:r w:rsidRPr="009514AE">
        <w:rPr>
          <w:rFonts w:ascii="Verdana" w:eastAsia="Times New Roman" w:hAnsi="Verdana" w:cs="Arial"/>
          <w:shd w:val="clear" w:color="auto" w:fill="FFFFFF"/>
        </w:rPr>
        <w:lastRenderedPageBreak/>
        <w:t xml:space="preserve">contratación concordada con la doctrina de la Subdirección de Gestión Contractual. Accede a través del siguiente enlace: </w:t>
      </w:r>
      <w:hyperlink r:id="rId14" w:tooltip="Dirección URL original: https://relatoria.colombiacompra.gov.co/. Haga clic o pulse si confía en este vínculo." w:history="1">
        <w:r w:rsidRPr="009514AE">
          <w:rPr>
            <w:rFonts w:ascii="Verdana" w:eastAsia="Times New Roman" w:hAnsi="Verdana" w:cs="Arial"/>
            <w:color w:val="0000FF"/>
            <w:u w:val="single"/>
            <w:shd w:val="clear" w:color="auto" w:fill="FFFFFF"/>
          </w:rPr>
          <w:t>https://relatoria.colombiacompra.gov.co/</w:t>
        </w:r>
      </w:hyperlink>
      <w:r w:rsidRPr="009514AE">
        <w:rPr>
          <w:rFonts w:ascii="Verdana" w:eastAsia="Times New Roman" w:hAnsi="Verdana" w:cs="Arial"/>
          <w:shd w:val="clear" w:color="auto" w:fill="FFFFFF"/>
        </w:rPr>
        <w:t xml:space="preserve">  </w:t>
      </w:r>
    </w:p>
    <w:p w14:paraId="6D782F15" w14:textId="77777777" w:rsidR="006149D3" w:rsidRDefault="006149D3" w:rsidP="006149D3">
      <w:pPr>
        <w:spacing w:after="0" w:line="240" w:lineRule="auto"/>
        <w:jc w:val="both"/>
        <w:rPr>
          <w:rFonts w:cs="Arial"/>
          <w:shd w:val="clear" w:color="auto" w:fill="FFFFFF"/>
        </w:rPr>
      </w:pPr>
    </w:p>
    <w:p w14:paraId="3E8DFD5F" w14:textId="6EB05871" w:rsidR="00681182" w:rsidRPr="00C76656" w:rsidRDefault="00EA120C" w:rsidP="00681182">
      <w:pPr>
        <w:widowControl w:val="0"/>
        <w:autoSpaceDE w:val="0"/>
        <w:autoSpaceDN w:val="0"/>
        <w:spacing w:after="0" w:line="276" w:lineRule="auto"/>
        <w:jc w:val="both"/>
        <w:rPr>
          <w:rFonts w:ascii="Verdana" w:hAnsi="Verdana" w:cs="Arial"/>
          <w:color w:val="000000" w:themeColor="text1"/>
        </w:rPr>
      </w:pPr>
      <w:r w:rsidRPr="00EA120C">
        <w:rPr>
          <w:rFonts w:ascii="Verdana" w:hAnsi="Verdana"/>
        </w:rPr>
        <w:t xml:space="preserve">De otra parte, </w:t>
      </w:r>
      <w:r w:rsidR="00681182" w:rsidRPr="00C76656">
        <w:rPr>
          <w:rFonts w:ascii="Verdana" w:hAnsi="Verdana" w:cs="Arial"/>
          <w:color w:val="000000" w:themeColor="text1"/>
        </w:rPr>
        <w:t>le invitamos a consultar las versiones V y VI de 2024 del Boletín de Relatoría de la Subdirección de Gestión Contractual relacionados con las guías de Plan Anual de Adquisiciones y la odalidad de selección de mínima cuantía , los cuales se pueden descargar en la página web de la Agencia: </w:t>
      </w:r>
      <w:hyperlink r:id="rId15" w:tgtFrame="_blank" w:tooltip="Dirección URL original: https://www.colombiacompra.gov.co/sala-de-prensa/boletin-digital. Haga clic o pulse si confía en este vínculo." w:history="1">
        <w:r w:rsidR="00681182" w:rsidRPr="00C76656">
          <w:rPr>
            <w:rStyle w:val="Hipervnculo"/>
            <w:rFonts w:ascii="Verdana" w:hAnsi="Verdana" w:cs="Arial"/>
          </w:rPr>
          <w:t>https://www.colombiacompra.gov.co/sala-de-prensa/boletin-digital</w:t>
        </w:r>
      </w:hyperlink>
      <w:r w:rsidR="00681182" w:rsidRPr="00C76656">
        <w:rPr>
          <w:rFonts w:ascii="Verdana" w:hAnsi="Verdana" w:cs="Arial"/>
          <w:color w:val="000000" w:themeColor="text1"/>
        </w:rPr>
        <w:t> "    </w:t>
      </w:r>
    </w:p>
    <w:p w14:paraId="683DF6CF" w14:textId="77777777" w:rsidR="00681182" w:rsidRDefault="00681182" w:rsidP="00681182">
      <w:pPr>
        <w:widowControl w:val="0"/>
        <w:autoSpaceDE w:val="0"/>
        <w:autoSpaceDN w:val="0"/>
        <w:spacing w:after="0" w:line="276" w:lineRule="auto"/>
        <w:jc w:val="both"/>
        <w:rPr>
          <w:rFonts w:ascii="Verdana" w:hAnsi="Verdana" w:cs="Arial"/>
          <w:color w:val="000000" w:themeColor="text1"/>
        </w:rPr>
      </w:pPr>
    </w:p>
    <w:p w14:paraId="2C32401D" w14:textId="77777777" w:rsidR="00681182" w:rsidRPr="00E91F32" w:rsidRDefault="00681182" w:rsidP="00681182">
      <w:pPr>
        <w:widowControl w:val="0"/>
        <w:autoSpaceDE w:val="0"/>
        <w:autoSpaceDN w:val="0"/>
        <w:spacing w:after="0" w:line="276" w:lineRule="auto"/>
        <w:jc w:val="both"/>
        <w:rPr>
          <w:rFonts w:ascii="Verdana" w:hAnsi="Verdana" w:cs="Arial"/>
          <w:color w:val="000000" w:themeColor="text1"/>
        </w:rPr>
      </w:pPr>
      <w:r w:rsidRPr="00E91F32">
        <w:rPr>
          <w:rFonts w:ascii="Verdana" w:hAnsi="Verdana" w:cs="Arial"/>
          <w:color w:val="000000" w:themeColor="text1"/>
        </w:rPr>
        <w:t xml:space="preserve">Por último, lo invitamos a seguirnos en las redes sociales en las cuales se difunde información institucional: </w:t>
      </w:r>
    </w:p>
    <w:p w14:paraId="1ED25501" w14:textId="77777777" w:rsidR="00681182" w:rsidRPr="00CA17B5" w:rsidRDefault="00681182" w:rsidP="00681182">
      <w:pPr>
        <w:widowControl w:val="0"/>
        <w:autoSpaceDE w:val="0"/>
        <w:autoSpaceDN w:val="0"/>
        <w:spacing w:after="0" w:line="276" w:lineRule="auto"/>
        <w:jc w:val="both"/>
        <w:rPr>
          <w:rFonts w:ascii="Verdana" w:hAnsi="Verdana" w:cs="Arial"/>
          <w:color w:val="000000" w:themeColor="text1"/>
        </w:rPr>
      </w:pPr>
    </w:p>
    <w:p w14:paraId="0613D13F" w14:textId="77777777" w:rsidR="00681182" w:rsidRPr="00CA17B5" w:rsidRDefault="00681182" w:rsidP="00681182">
      <w:pPr>
        <w:widowControl w:val="0"/>
        <w:autoSpaceDE w:val="0"/>
        <w:autoSpaceDN w:val="0"/>
        <w:spacing w:after="0" w:line="276" w:lineRule="auto"/>
        <w:jc w:val="both"/>
        <w:rPr>
          <w:rFonts w:ascii="Verdana" w:hAnsi="Verdana" w:cs="Arial"/>
          <w:color w:val="000000" w:themeColor="text1"/>
        </w:rPr>
      </w:pPr>
      <w:r w:rsidRPr="00CA17B5">
        <w:rPr>
          <w:rFonts w:ascii="Verdana" w:hAnsi="Verdana" w:cs="Arial"/>
          <w:color w:val="000000" w:themeColor="text1"/>
        </w:rPr>
        <w:t xml:space="preserve">Twitter: </w:t>
      </w:r>
      <w:r w:rsidRPr="00CA17B5">
        <w:rPr>
          <w:rFonts w:ascii="Verdana" w:hAnsi="Verdana" w:cs="Arial"/>
          <w:color w:val="000000" w:themeColor="text1"/>
          <w:u w:val="single"/>
        </w:rPr>
        <w:t>@colombiacompra</w:t>
      </w:r>
      <w:r w:rsidRPr="00CA17B5">
        <w:rPr>
          <w:rFonts w:ascii="Verdana" w:hAnsi="Verdana" w:cs="Arial"/>
          <w:color w:val="000000" w:themeColor="text1"/>
        </w:rPr>
        <w:t xml:space="preserve"> </w:t>
      </w:r>
    </w:p>
    <w:p w14:paraId="414F151C" w14:textId="77777777" w:rsidR="00681182" w:rsidRPr="00CA17B5" w:rsidRDefault="00681182" w:rsidP="00681182">
      <w:pPr>
        <w:widowControl w:val="0"/>
        <w:autoSpaceDE w:val="0"/>
        <w:autoSpaceDN w:val="0"/>
        <w:spacing w:after="0" w:line="276" w:lineRule="auto"/>
        <w:jc w:val="both"/>
        <w:rPr>
          <w:rFonts w:ascii="Verdana" w:hAnsi="Verdana" w:cs="Arial"/>
          <w:color w:val="000000" w:themeColor="text1"/>
        </w:rPr>
      </w:pPr>
      <w:r w:rsidRPr="00CA17B5">
        <w:rPr>
          <w:rFonts w:ascii="Verdana" w:hAnsi="Verdana" w:cs="Arial"/>
          <w:color w:val="000000" w:themeColor="text1"/>
        </w:rPr>
        <w:t xml:space="preserve">Facebook: </w:t>
      </w:r>
      <w:r w:rsidRPr="00CA17B5">
        <w:rPr>
          <w:rFonts w:ascii="Verdana" w:hAnsi="Verdana" w:cs="Arial"/>
          <w:color w:val="000000" w:themeColor="text1"/>
          <w:u w:val="single"/>
        </w:rPr>
        <w:t>ColombiaCompraEficiente</w:t>
      </w:r>
    </w:p>
    <w:p w14:paraId="11E9A7FE" w14:textId="77777777" w:rsidR="00681182" w:rsidRPr="00CA17B5" w:rsidRDefault="00681182" w:rsidP="00681182">
      <w:pPr>
        <w:widowControl w:val="0"/>
        <w:autoSpaceDE w:val="0"/>
        <w:autoSpaceDN w:val="0"/>
        <w:spacing w:after="0" w:line="276" w:lineRule="auto"/>
        <w:jc w:val="both"/>
        <w:rPr>
          <w:rFonts w:ascii="Verdana" w:hAnsi="Verdana" w:cs="Arial"/>
          <w:color w:val="000000" w:themeColor="text1"/>
        </w:rPr>
      </w:pPr>
      <w:r w:rsidRPr="00CA17B5">
        <w:rPr>
          <w:rFonts w:ascii="Verdana" w:hAnsi="Verdana" w:cs="Arial"/>
          <w:color w:val="000000" w:themeColor="text1"/>
        </w:rPr>
        <w:t xml:space="preserve">LinkedIn: </w:t>
      </w:r>
      <w:r w:rsidRPr="00CA17B5">
        <w:rPr>
          <w:rFonts w:ascii="Verdana" w:hAnsi="Verdana" w:cs="Arial"/>
          <w:color w:val="000000" w:themeColor="text1"/>
          <w:u w:val="single"/>
        </w:rPr>
        <w:t>Agencia Nacional de Contratación Pública - Colombia Compra Eficiente</w:t>
      </w:r>
      <w:r w:rsidRPr="00CA17B5">
        <w:rPr>
          <w:rFonts w:ascii="Verdana" w:hAnsi="Verdana" w:cs="Arial"/>
          <w:color w:val="000000" w:themeColor="text1"/>
        </w:rPr>
        <w:t xml:space="preserve"> Instagram: </w:t>
      </w:r>
      <w:r w:rsidRPr="00CA17B5">
        <w:rPr>
          <w:rFonts w:ascii="Verdana" w:hAnsi="Verdana" w:cs="Arial"/>
          <w:color w:val="000000" w:themeColor="text1"/>
          <w:u w:val="single"/>
        </w:rPr>
        <w:t>@colombiacompraeficiente_cce</w:t>
      </w:r>
    </w:p>
    <w:p w14:paraId="4BDE866D" w14:textId="77777777" w:rsidR="00681182" w:rsidRPr="00CA17B5" w:rsidRDefault="00681182" w:rsidP="00681182">
      <w:pPr>
        <w:widowControl w:val="0"/>
        <w:autoSpaceDE w:val="0"/>
        <w:autoSpaceDN w:val="0"/>
        <w:spacing w:after="0" w:line="276" w:lineRule="auto"/>
        <w:jc w:val="both"/>
        <w:rPr>
          <w:rFonts w:ascii="Verdana" w:hAnsi="Verdana" w:cs="Arial"/>
          <w:color w:val="000000" w:themeColor="text1"/>
        </w:rPr>
      </w:pPr>
    </w:p>
    <w:p w14:paraId="32D7E48E" w14:textId="77777777" w:rsidR="00681182" w:rsidRPr="00CA17B5" w:rsidRDefault="00681182" w:rsidP="00681182">
      <w:pPr>
        <w:widowControl w:val="0"/>
        <w:autoSpaceDE w:val="0"/>
        <w:autoSpaceDN w:val="0"/>
        <w:spacing w:after="0" w:line="276" w:lineRule="auto"/>
        <w:jc w:val="both"/>
        <w:rPr>
          <w:rFonts w:ascii="Verdana" w:hAnsi="Verdana" w:cs="Arial"/>
          <w:color w:val="000000" w:themeColor="text1"/>
          <w:lang w:val="es-ES_tradnl"/>
        </w:rPr>
      </w:pPr>
      <w:r w:rsidRPr="00CA17B5">
        <w:rPr>
          <w:rFonts w:ascii="Verdana" w:hAnsi="Verdana" w:cs="Arial"/>
          <w:color w:val="000000" w:themeColor="text1"/>
        </w:rPr>
        <w:t xml:space="preserve">Este concepto tiene el alcance previsto en el artículo 28 del Código de Procedimiento Administrativo y de lo Contencioso Administrativo </w:t>
      </w:r>
      <w:r w:rsidRPr="00CA17B5">
        <w:rPr>
          <w:rFonts w:ascii="Verdana" w:hAnsi="Verdana" w:cs="Arial"/>
          <w:color w:val="000000" w:themeColor="text1"/>
          <w:lang w:val="es-ES_tradnl"/>
        </w:rPr>
        <w:t>y las expresiones aquí utilizadas con mayúscula inicial deben ser entendidas con el significado que les otorga el artículo 2.2.1.1.1.3.1. del Decreto 1082 de 2015.</w:t>
      </w:r>
    </w:p>
    <w:p w14:paraId="64EA3B21" w14:textId="082AC939" w:rsidR="006149D3" w:rsidRPr="00681182" w:rsidRDefault="006149D3" w:rsidP="00681182">
      <w:pPr>
        <w:spacing w:after="0" w:line="240" w:lineRule="auto"/>
        <w:jc w:val="both"/>
        <w:rPr>
          <w:rFonts w:ascii="Verdana" w:hAnsi="Verdana"/>
          <w:lang w:val="es-ES_tradnl"/>
        </w:rPr>
      </w:pPr>
    </w:p>
    <w:p w14:paraId="103F5D28" w14:textId="77777777" w:rsidR="006149D3" w:rsidRPr="00855351" w:rsidRDefault="006149D3" w:rsidP="006149D3">
      <w:pPr>
        <w:widowControl w:val="0"/>
        <w:autoSpaceDE w:val="0"/>
        <w:autoSpaceDN w:val="0"/>
        <w:spacing w:after="0" w:line="276" w:lineRule="auto"/>
        <w:jc w:val="both"/>
        <w:rPr>
          <w:rFonts w:ascii="Verdana" w:hAnsi="Verdana" w:cs="Arial"/>
          <w:color w:val="000000" w:themeColor="text1"/>
          <w:lang w:val="es-ES_tradnl"/>
        </w:rPr>
      </w:pPr>
    </w:p>
    <w:p w14:paraId="5BA4E78C" w14:textId="77777777" w:rsidR="00681182" w:rsidRPr="00132167" w:rsidRDefault="00681182" w:rsidP="00681182">
      <w:pPr>
        <w:spacing w:line="276" w:lineRule="auto"/>
        <w:rPr>
          <w:rFonts w:ascii="Verdana" w:hAnsi="Verdana" w:cs="Arial"/>
          <w:color w:val="000000" w:themeColor="text1"/>
          <w:lang w:eastAsia="es-CO"/>
        </w:rPr>
      </w:pPr>
      <w:r w:rsidRPr="00132167">
        <w:rPr>
          <w:rFonts w:ascii="Verdana" w:hAnsi="Verdana" w:cs="Arial"/>
          <w:color w:val="000000" w:themeColor="text1"/>
          <w:lang w:eastAsia="es-CO"/>
        </w:rPr>
        <w:t xml:space="preserve">Atentamente, </w:t>
      </w:r>
    </w:p>
    <w:p w14:paraId="3A8DF25D" w14:textId="2F1D0822" w:rsidR="008C3B92" w:rsidRPr="008C3B92" w:rsidRDefault="008C3B92" w:rsidP="008C3B92">
      <w:pPr>
        <w:spacing w:line="276" w:lineRule="auto"/>
        <w:jc w:val="center"/>
        <w:rPr>
          <w:rFonts w:ascii="Verdana" w:hAnsi="Verdana" w:cs="Arial"/>
          <w:color w:val="000000" w:themeColor="text1"/>
          <w:lang w:val="es-MX" w:eastAsia="es-CO"/>
        </w:rPr>
      </w:pPr>
      <w:r w:rsidRPr="008C3B92">
        <w:rPr>
          <w:rFonts w:ascii="Verdana" w:hAnsi="Verdana" w:cs="Arial"/>
          <w:noProof/>
          <w:color w:val="000000" w:themeColor="text1"/>
          <w:lang w:val="es-MX" w:eastAsia="es-CO"/>
        </w:rPr>
        <w:drawing>
          <wp:inline distT="0" distB="0" distL="0" distR="0" wp14:anchorId="5D770880" wp14:editId="08ACF8D0">
            <wp:extent cx="3771900" cy="1400175"/>
            <wp:effectExtent l="0" t="0" r="0" b="9525"/>
            <wp:docPr id="1300884224" name="Imagen 2"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0884224" name="Imagen 2" descr="Texto&#10;&#10;Descripción generada automáticamente"/>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3771900" cy="1400175"/>
                    </a:xfrm>
                    <a:prstGeom prst="rect">
                      <a:avLst/>
                    </a:prstGeom>
                    <a:noFill/>
                    <a:ln>
                      <a:noFill/>
                    </a:ln>
                  </pic:spPr>
                </pic:pic>
              </a:graphicData>
            </a:graphic>
          </wp:inline>
        </w:drawing>
      </w:r>
    </w:p>
    <w:p w14:paraId="6053D307" w14:textId="09CAC2A1" w:rsidR="00681182" w:rsidRPr="00132167" w:rsidRDefault="00681182" w:rsidP="00681182">
      <w:pPr>
        <w:spacing w:line="276" w:lineRule="auto"/>
        <w:jc w:val="center"/>
        <w:rPr>
          <w:rFonts w:ascii="Verdana" w:hAnsi="Verdana" w:cs="Arial"/>
          <w:color w:val="000000" w:themeColor="text1"/>
          <w:lang w:val="es-ES_tradnl" w:eastAsia="es-CO"/>
        </w:rPr>
      </w:pP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681182" w:rsidRPr="009F0774" w14:paraId="3CCDE230" w14:textId="77777777" w:rsidTr="00F627CD">
        <w:trPr>
          <w:trHeight w:val="315"/>
        </w:trPr>
        <w:tc>
          <w:tcPr>
            <w:tcW w:w="893" w:type="dxa"/>
            <w:vAlign w:val="center"/>
            <w:hideMark/>
          </w:tcPr>
          <w:p w14:paraId="0AD3A656" w14:textId="77777777" w:rsidR="00681182" w:rsidRPr="00132167" w:rsidRDefault="00681182" w:rsidP="00F627CD">
            <w:pPr>
              <w:contextualSpacing/>
              <w:rPr>
                <w:rFonts w:ascii="Verdana" w:hAnsi="Verdana" w:cs="Arial"/>
                <w:color w:val="000000" w:themeColor="text1"/>
                <w:sz w:val="16"/>
                <w:szCs w:val="16"/>
                <w:lang w:eastAsia="es-ES"/>
              </w:rPr>
            </w:pPr>
            <w:r w:rsidRPr="00132167">
              <w:rPr>
                <w:rFonts w:ascii="Verdana" w:hAnsi="Verdana" w:cs="Arial"/>
                <w:color w:val="000000" w:themeColor="text1"/>
                <w:sz w:val="16"/>
                <w:szCs w:val="16"/>
                <w:lang w:eastAsia="es-ES"/>
              </w:rPr>
              <w:lastRenderedPageBreak/>
              <w:t>Elaboró:</w:t>
            </w:r>
          </w:p>
        </w:tc>
        <w:tc>
          <w:tcPr>
            <w:tcW w:w="5628" w:type="dxa"/>
            <w:tcBorders>
              <w:top w:val="nil"/>
              <w:left w:val="nil"/>
              <w:bottom w:val="dotted" w:sz="4" w:space="0" w:color="7F7F7F" w:themeColor="text1" w:themeTint="80"/>
              <w:right w:val="nil"/>
            </w:tcBorders>
            <w:vAlign w:val="center"/>
            <w:hideMark/>
          </w:tcPr>
          <w:p w14:paraId="74A0EF34" w14:textId="77777777" w:rsidR="00681182" w:rsidRPr="00132167" w:rsidRDefault="00681182" w:rsidP="00F627CD">
            <w:pPr>
              <w:contextualSpacing/>
              <w:rPr>
                <w:rStyle w:val="normaltextrun"/>
                <w:rFonts w:ascii="Verdana" w:hAnsi="Verdana"/>
                <w:color w:val="000000" w:themeColor="text1"/>
                <w:sz w:val="16"/>
                <w:szCs w:val="16"/>
              </w:rPr>
            </w:pPr>
            <w:r w:rsidRPr="00132167">
              <w:rPr>
                <w:rStyle w:val="normaltextrun"/>
                <w:rFonts w:ascii="Verdana" w:hAnsi="Verdana"/>
                <w:color w:val="000000" w:themeColor="text1"/>
                <w:sz w:val="16"/>
                <w:szCs w:val="16"/>
              </w:rPr>
              <w:t>Gloria Ximena Moreno Guio</w:t>
            </w:r>
          </w:p>
          <w:p w14:paraId="5D05A669" w14:textId="77777777" w:rsidR="00681182" w:rsidRPr="00132167" w:rsidRDefault="00681182" w:rsidP="00F627CD">
            <w:pPr>
              <w:contextualSpacing/>
              <w:rPr>
                <w:rFonts w:ascii="Verdana" w:eastAsia="Arial" w:hAnsi="Verdana" w:cs="Arial"/>
                <w:color w:val="000000" w:themeColor="text1"/>
                <w:sz w:val="16"/>
                <w:szCs w:val="16"/>
              </w:rPr>
            </w:pPr>
            <w:r w:rsidRPr="00132167">
              <w:rPr>
                <w:rStyle w:val="normaltextrun"/>
                <w:rFonts w:ascii="Verdana" w:hAnsi="Verdana"/>
                <w:color w:val="000000" w:themeColor="text1"/>
                <w:sz w:val="16"/>
                <w:szCs w:val="16"/>
              </w:rPr>
              <w:t xml:space="preserve">Contratista </w:t>
            </w:r>
            <w:r w:rsidRPr="00132167">
              <w:rPr>
                <w:rStyle w:val="normaltextrun"/>
                <w:rFonts w:ascii="Verdana" w:eastAsia="Arial" w:hAnsi="Verdana" w:cs="Arial"/>
                <w:color w:val="000000" w:themeColor="text1"/>
                <w:sz w:val="16"/>
                <w:szCs w:val="16"/>
              </w:rPr>
              <w:t>de la Subdirección de Gestión Contractual</w:t>
            </w:r>
          </w:p>
        </w:tc>
      </w:tr>
      <w:tr w:rsidR="00681182" w:rsidRPr="009F0774" w14:paraId="1991A294" w14:textId="77777777" w:rsidTr="00F627CD">
        <w:trPr>
          <w:trHeight w:val="330"/>
        </w:trPr>
        <w:tc>
          <w:tcPr>
            <w:tcW w:w="893" w:type="dxa"/>
            <w:vAlign w:val="center"/>
            <w:hideMark/>
          </w:tcPr>
          <w:p w14:paraId="416B0F53" w14:textId="77777777" w:rsidR="00681182" w:rsidRPr="00132167" w:rsidRDefault="00681182" w:rsidP="00F627CD">
            <w:pPr>
              <w:contextualSpacing/>
              <w:rPr>
                <w:rFonts w:ascii="Verdana" w:hAnsi="Verdana" w:cs="Arial"/>
                <w:color w:val="000000" w:themeColor="text1"/>
                <w:sz w:val="16"/>
                <w:szCs w:val="16"/>
                <w:lang w:eastAsia="es-ES"/>
              </w:rPr>
            </w:pPr>
            <w:r w:rsidRPr="00132167">
              <w:rPr>
                <w:rFonts w:ascii="Verdana" w:hAnsi="Verdana" w:cs="Arial"/>
                <w:color w:val="000000" w:themeColor="text1"/>
                <w:sz w:val="16"/>
                <w:szCs w:val="16"/>
                <w:lang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4337AC5B" w14:textId="77777777" w:rsidR="00681182" w:rsidRPr="00132167" w:rsidRDefault="00681182" w:rsidP="00F627CD">
            <w:pPr>
              <w:pStyle w:val="paragraph"/>
              <w:spacing w:before="0" w:beforeAutospacing="0" w:after="0" w:afterAutospacing="0"/>
              <w:contextualSpacing/>
              <w:textAlignment w:val="baseline"/>
              <w:rPr>
                <w:rStyle w:val="normaltextrun"/>
                <w:rFonts w:ascii="Verdana" w:hAnsi="Verdana" w:cs="Arial"/>
                <w:color w:val="000000" w:themeColor="text1"/>
                <w:sz w:val="16"/>
                <w:szCs w:val="16"/>
              </w:rPr>
            </w:pPr>
            <w:r w:rsidRPr="00132167">
              <w:rPr>
                <w:rStyle w:val="normaltextrun"/>
                <w:rFonts w:ascii="Verdana" w:hAnsi="Verdana" w:cs="Arial"/>
                <w:color w:val="000000" w:themeColor="text1"/>
                <w:sz w:val="16"/>
                <w:szCs w:val="16"/>
              </w:rPr>
              <w:t>Cielo Victoria González Meza</w:t>
            </w:r>
          </w:p>
          <w:p w14:paraId="49DC0AA8" w14:textId="77777777" w:rsidR="00681182" w:rsidRPr="00132167" w:rsidRDefault="00681182" w:rsidP="00F627CD">
            <w:pPr>
              <w:pStyle w:val="paragraph"/>
              <w:spacing w:before="0" w:beforeAutospacing="0" w:after="0" w:afterAutospacing="0"/>
              <w:contextualSpacing/>
              <w:textAlignment w:val="baseline"/>
              <w:rPr>
                <w:rFonts w:ascii="Verdana" w:hAnsi="Verdana" w:cs="Segoe UI"/>
                <w:color w:val="000000" w:themeColor="text1"/>
                <w:sz w:val="16"/>
                <w:szCs w:val="16"/>
              </w:rPr>
            </w:pPr>
            <w:r w:rsidRPr="00132167">
              <w:rPr>
                <w:rStyle w:val="normaltextrun"/>
                <w:rFonts w:ascii="Verdana" w:hAnsi="Verdana" w:cs="Arial"/>
                <w:color w:val="000000" w:themeColor="text1"/>
                <w:sz w:val="16"/>
                <w:szCs w:val="16"/>
              </w:rPr>
              <w:t>Contratista de la Subdirección de Gestión Contractual</w:t>
            </w:r>
            <w:r w:rsidRPr="00132167">
              <w:rPr>
                <w:rStyle w:val="eop"/>
                <w:rFonts w:ascii="Verdana" w:hAnsi="Verdana" w:cs="Arial"/>
                <w:color w:val="000000" w:themeColor="text1"/>
                <w:sz w:val="16"/>
                <w:szCs w:val="16"/>
              </w:rPr>
              <w:t> </w:t>
            </w:r>
          </w:p>
        </w:tc>
      </w:tr>
      <w:tr w:rsidR="00681182" w:rsidRPr="009F0774" w14:paraId="61CA51C3" w14:textId="77777777" w:rsidTr="00F627CD">
        <w:trPr>
          <w:trHeight w:val="300"/>
        </w:trPr>
        <w:tc>
          <w:tcPr>
            <w:tcW w:w="893" w:type="dxa"/>
            <w:vAlign w:val="center"/>
          </w:tcPr>
          <w:p w14:paraId="0316CF8D" w14:textId="77777777" w:rsidR="00681182" w:rsidRPr="00132167" w:rsidRDefault="00681182" w:rsidP="00F627CD">
            <w:pPr>
              <w:contextualSpacing/>
              <w:rPr>
                <w:rFonts w:ascii="Verdana" w:hAnsi="Verdana" w:cs="Arial"/>
                <w:color w:val="000000" w:themeColor="text1"/>
                <w:sz w:val="16"/>
                <w:szCs w:val="16"/>
                <w:lang w:eastAsia="es-ES"/>
              </w:rPr>
            </w:pPr>
            <w:r w:rsidRPr="00132167">
              <w:rPr>
                <w:rFonts w:ascii="Verdana" w:hAnsi="Verdana" w:cs="Arial"/>
                <w:color w:val="000000" w:themeColor="text1"/>
                <w:sz w:val="16"/>
                <w:szCs w:val="16"/>
                <w:lang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1D250827" w14:textId="77777777" w:rsidR="00681182" w:rsidRPr="00132167" w:rsidRDefault="00681182" w:rsidP="00F627CD">
            <w:pPr>
              <w:contextualSpacing/>
              <w:rPr>
                <w:rFonts w:ascii="Verdana" w:eastAsia="Calibri" w:hAnsi="Verdana" w:cs="Arial"/>
                <w:color w:val="000000" w:themeColor="text1"/>
                <w:sz w:val="16"/>
                <w:szCs w:val="16"/>
                <w:lang w:val="pt-BR" w:eastAsia="es-ES"/>
              </w:rPr>
            </w:pPr>
            <w:r w:rsidRPr="00132167">
              <w:rPr>
                <w:rFonts w:ascii="Verdana" w:eastAsia="Calibri" w:hAnsi="Verdana" w:cs="Arial"/>
                <w:color w:val="000000" w:themeColor="text1"/>
                <w:sz w:val="16"/>
                <w:szCs w:val="16"/>
                <w:lang w:val="pt-BR" w:eastAsia="es-ES"/>
              </w:rPr>
              <w:t>Carolina Quintero Gacharná</w:t>
            </w:r>
          </w:p>
          <w:p w14:paraId="30B66EED" w14:textId="77777777" w:rsidR="00681182" w:rsidRPr="00132167" w:rsidRDefault="00681182" w:rsidP="00F627CD">
            <w:pPr>
              <w:contextualSpacing/>
              <w:rPr>
                <w:rFonts w:ascii="Verdana" w:eastAsia="Calibri" w:hAnsi="Verdana" w:cs="Arial"/>
                <w:color w:val="000000" w:themeColor="text1"/>
                <w:sz w:val="16"/>
                <w:szCs w:val="16"/>
                <w:lang w:val="pt-BR" w:eastAsia="es-ES"/>
              </w:rPr>
            </w:pPr>
            <w:r w:rsidRPr="00132167">
              <w:rPr>
                <w:rFonts w:ascii="Verdana" w:eastAsia="Calibri" w:hAnsi="Verdana" w:cs="Arial"/>
                <w:color w:val="000000" w:themeColor="text1"/>
                <w:sz w:val="16"/>
                <w:szCs w:val="16"/>
                <w:lang w:eastAsia="es-ES"/>
              </w:rPr>
              <w:t>Subdirectora</w:t>
            </w:r>
            <w:r w:rsidRPr="00132167">
              <w:rPr>
                <w:rFonts w:ascii="Verdana" w:eastAsia="Calibri" w:hAnsi="Verdana" w:cs="Arial"/>
                <w:color w:val="000000" w:themeColor="text1"/>
                <w:sz w:val="16"/>
                <w:szCs w:val="16"/>
                <w:lang w:val="pt-BR" w:eastAsia="es-ES"/>
              </w:rPr>
              <w:t xml:space="preserve"> de Gestión Contractual ANCP – CCE</w:t>
            </w:r>
          </w:p>
        </w:tc>
      </w:tr>
    </w:tbl>
    <w:p w14:paraId="29AF939D" w14:textId="77777777" w:rsidR="00681182" w:rsidRPr="00132167" w:rsidRDefault="00681182" w:rsidP="00681182">
      <w:pPr>
        <w:rPr>
          <w:rFonts w:ascii="Verdana" w:hAnsi="Verdana" w:cs="Arial"/>
          <w:color w:val="000000" w:themeColor="text1"/>
          <w:sz w:val="16"/>
          <w:szCs w:val="16"/>
          <w:lang w:eastAsia="es-ES"/>
        </w:rPr>
      </w:pPr>
    </w:p>
    <w:p w14:paraId="2650EA6D" w14:textId="77777777" w:rsidR="006149D3" w:rsidRPr="00592355" w:rsidRDefault="006149D3" w:rsidP="006149D3"/>
    <w:p w14:paraId="093E151E" w14:textId="77777777" w:rsidR="006149D3" w:rsidRPr="00115E3D" w:rsidRDefault="006149D3" w:rsidP="006149D3">
      <w:pPr>
        <w:spacing w:after="0" w:line="240" w:lineRule="auto"/>
        <w:rPr>
          <w:rFonts w:ascii="Verdana" w:eastAsia="Times New Roman" w:hAnsi="Verdana" w:cs="Arial"/>
          <w:color w:val="000000" w:themeColor="text1"/>
          <w:sz w:val="24"/>
          <w:szCs w:val="24"/>
          <w:lang w:eastAsia="es-ES"/>
        </w:rPr>
      </w:pPr>
    </w:p>
    <w:p w14:paraId="2DBCD83F" w14:textId="77777777" w:rsidR="006149D3" w:rsidRPr="00115E3D" w:rsidRDefault="006149D3" w:rsidP="006149D3">
      <w:pPr>
        <w:rPr>
          <w:color w:val="000000" w:themeColor="text1"/>
        </w:rPr>
      </w:pPr>
    </w:p>
    <w:p w14:paraId="40C0B324" w14:textId="77777777" w:rsidR="006149D3" w:rsidRDefault="006149D3" w:rsidP="006149D3"/>
    <w:p w14:paraId="1D832AE4" w14:textId="77777777" w:rsidR="000F5A42" w:rsidRDefault="000F5A42"/>
    <w:sectPr w:rsidR="000F5A42" w:rsidSect="006149D3">
      <w:headerReference w:type="default" r:id="rId17"/>
      <w:footerReference w:type="default" r:id="rId18"/>
      <w:pgSz w:w="12240" w:h="15840" w:code="1"/>
      <w:pgMar w:top="1418" w:right="1701" w:bottom="1418"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C9448CF" w14:textId="77777777" w:rsidR="003249B8" w:rsidRDefault="003249B8" w:rsidP="006149D3">
      <w:pPr>
        <w:spacing w:after="0" w:line="240" w:lineRule="auto"/>
      </w:pPr>
      <w:r>
        <w:separator/>
      </w:r>
    </w:p>
  </w:endnote>
  <w:endnote w:type="continuationSeparator" w:id="0">
    <w:p w14:paraId="605EE8C6" w14:textId="77777777" w:rsidR="003249B8" w:rsidRDefault="003249B8" w:rsidP="006149D3">
      <w:pPr>
        <w:spacing w:after="0" w:line="240" w:lineRule="auto"/>
      </w:pPr>
      <w:r>
        <w:continuationSeparator/>
      </w:r>
    </w:p>
  </w:endnote>
  <w:endnote w:type="continuationNotice" w:id="1">
    <w:p w14:paraId="21907D6A" w14:textId="77777777" w:rsidR="003249B8" w:rsidRDefault="003249B8">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Gothic">
    <w:altName w:val="Century Gothic"/>
    <w:panose1 w:val="020B0502020202020204"/>
    <w:charset w:val="00"/>
    <w:family w:val="swiss"/>
    <w:pitch w:val="variable"/>
    <w:sig w:usb0="00000287" w:usb1="00000000" w:usb2="00000000" w:usb3="00000000" w:csb0="0000009F" w:csb1="00000000"/>
  </w:font>
  <w:font w:name="Aptos">
    <w:altName w:val="Calibri"/>
    <w:charset w:val="00"/>
    <w:family w:val="swiss"/>
    <w:pitch w:val="variable"/>
    <w:sig w:usb0="20000287" w:usb1="00000003" w:usb2="00000000" w:usb3="00000000" w:csb0="0000019F" w:csb1="00000000"/>
  </w:font>
  <w:font w:name="Aptos Display">
    <w:altName w:val="Calibri"/>
    <w:charset w:val="00"/>
    <w:family w:val="swiss"/>
    <w:pitch w:val="variable"/>
    <w:sig w:usb0="20000287" w:usb1="00000003" w:usb2="00000000" w:usb3="00000000" w:csb0="0000019F"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Arial MT">
    <w:altName w:val="Arial"/>
    <w:charset w:val="01"/>
    <w:family w:val="swiss"/>
    <w:pitch w:val="variable"/>
  </w:font>
  <w:font w:name="Segoe UI">
    <w:altName w:val="Arial"/>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4768011" w14:textId="77777777" w:rsidR="00267214" w:rsidRDefault="00267214" w:rsidP="00F627CD">
    <w:pPr>
      <w:spacing w:after="0"/>
      <w:rPr>
        <w:rFonts w:ascii="Verdana" w:hAnsi="Verdana"/>
        <w:b/>
        <w:bCs/>
        <w:sz w:val="20"/>
        <w:szCs w:val="20"/>
      </w:rPr>
    </w:pPr>
  </w:p>
  <w:p w14:paraId="211BC4AD" w14:textId="77777777" w:rsidR="00267214" w:rsidRPr="00174B77" w:rsidRDefault="006B5AC8" w:rsidP="00F627CD">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4154D2AD" w14:textId="77777777" w:rsidR="00267214" w:rsidRDefault="006B5AC8" w:rsidP="00F627CD">
    <w:pPr>
      <w:spacing w:after="0"/>
      <w:jc w:val="both"/>
      <w:rPr>
        <w:rFonts w:ascii="Verdana" w:hAnsi="Verdana"/>
        <w:sz w:val="18"/>
        <w:szCs w:val="18"/>
      </w:rPr>
    </w:pPr>
    <w:r w:rsidRPr="00E41027">
      <w:rPr>
        <w:rFonts w:ascii="Verdana" w:hAnsi="Verdana"/>
        <w:sz w:val="18"/>
        <w:szCs w:val="18"/>
      </w:rPr>
      <w:t>Dirección: Carrera 7 # 26 – 20 - Bogotá, Colombia</w:t>
    </w:r>
  </w:p>
  <w:p w14:paraId="6E2308AB" w14:textId="77777777" w:rsidR="00267214" w:rsidRPr="00E41027" w:rsidRDefault="006B5AC8" w:rsidP="00F627CD">
    <w:pPr>
      <w:spacing w:after="0"/>
      <w:jc w:val="both"/>
      <w:rPr>
        <w:rFonts w:ascii="Verdana" w:hAnsi="Verdana"/>
        <w:sz w:val="18"/>
        <w:szCs w:val="18"/>
      </w:rPr>
    </w:pPr>
    <w:r w:rsidRPr="00E41027">
      <w:rPr>
        <w:rFonts w:ascii="Verdana" w:hAnsi="Verdana"/>
        <w:sz w:val="18"/>
        <w:szCs w:val="18"/>
      </w:rPr>
      <w:t>Mesa de servicio: (+57) 601 7456788</w:t>
    </w:r>
  </w:p>
  <w:p w14:paraId="51106F72" w14:textId="77777777" w:rsidR="00267214" w:rsidRDefault="006B5AC8" w:rsidP="00F627CD">
    <w:pPr>
      <w:pStyle w:val="Piedepgina"/>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Pr>
        <w:rFonts w:ascii="Century Gothic" w:hAnsi="Century Gothic"/>
        <w:sz w:val="18"/>
        <w:szCs w:val="18"/>
      </w:rPr>
      <w:t>Código: CCE-DES-FM-17 Versión: 4</w:t>
    </w:r>
    <w:r w:rsidRPr="0086556C">
      <w:rPr>
        <w:rFonts w:ascii="Century Gothic" w:hAnsi="Century Gothic"/>
        <w:sz w:val="18"/>
        <w:szCs w:val="18"/>
      </w:rPr>
      <w:t xml:space="preserve"> </w:t>
    </w:r>
    <w:r>
      <w:rPr>
        <w:rFonts w:ascii="Century Gothic" w:hAnsi="Century Gothic"/>
        <w:sz w:val="18"/>
        <w:szCs w:val="18"/>
      </w:rPr>
      <w:t>Fecha: 13-12-2023</w:t>
    </w:r>
  </w:p>
  <w:p w14:paraId="7E9054D5" w14:textId="77777777" w:rsidR="00267214" w:rsidRPr="007D04B2" w:rsidRDefault="00267214" w:rsidP="00F627CD">
    <w:pPr>
      <w:pStyle w:val="Piedepgina"/>
    </w:pPr>
  </w:p>
  <w:p w14:paraId="02136937" w14:textId="77777777" w:rsidR="00267214" w:rsidRPr="000849D5" w:rsidRDefault="00267214" w:rsidP="00F627CD">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E0ACDF7" w14:textId="77777777" w:rsidR="003249B8" w:rsidRDefault="003249B8" w:rsidP="006149D3">
      <w:pPr>
        <w:spacing w:after="0" w:line="240" w:lineRule="auto"/>
      </w:pPr>
      <w:r>
        <w:separator/>
      </w:r>
    </w:p>
  </w:footnote>
  <w:footnote w:type="continuationSeparator" w:id="0">
    <w:p w14:paraId="395FE8A4" w14:textId="77777777" w:rsidR="003249B8" w:rsidRDefault="003249B8" w:rsidP="006149D3">
      <w:pPr>
        <w:spacing w:after="0" w:line="240" w:lineRule="auto"/>
      </w:pPr>
      <w:r>
        <w:continuationSeparator/>
      </w:r>
    </w:p>
  </w:footnote>
  <w:footnote w:type="continuationNotice" w:id="1">
    <w:p w14:paraId="78253F4A" w14:textId="77777777" w:rsidR="003249B8" w:rsidRDefault="003249B8">
      <w:pPr>
        <w:spacing w:after="0" w:line="240" w:lineRule="auto"/>
      </w:pPr>
    </w:p>
  </w:footnote>
  <w:footnote w:id="2">
    <w:p w14:paraId="6EC0CCD0" w14:textId="1E5A0C6F" w:rsidR="003A6D57" w:rsidRPr="003A6D57" w:rsidRDefault="003A6D57">
      <w:pPr>
        <w:pStyle w:val="Textonotapie"/>
        <w:rPr>
          <w:lang w:val="es-CO"/>
        </w:rPr>
      </w:pPr>
      <w:r>
        <w:rPr>
          <w:rStyle w:val="Refdenotaalpie"/>
        </w:rPr>
        <w:footnoteRef/>
      </w:r>
      <w:r>
        <w:t xml:space="preserve"> </w:t>
      </w:r>
      <w:r>
        <w:t xml:space="preserve">Texto del Proyecto de Ley 122 de 2020 Cámara. Exposición de motivos. Consultado el 29 de diciembre de 2021 en la página web: </w:t>
      </w:r>
      <w:hyperlink r:id="rId1" w:history="1">
        <w:r w:rsidRPr="00646EF0">
          <w:rPr>
            <w:rStyle w:val="Hipervnculo"/>
          </w:rPr>
          <w:t>http://leyes.senado.gov.co/proyectos/index.php/textos-radicados-senado/p-ley-2020-2021/1957-proyecto-de-ley-161-de-2020</w:t>
        </w:r>
      </w:hyperlink>
      <w:r>
        <w:t xml:space="preserve"> </w:t>
      </w:r>
    </w:p>
  </w:footnote>
  <w:footnote w:id="3">
    <w:p w14:paraId="501B0CA8" w14:textId="77777777" w:rsidR="006149D3" w:rsidRPr="007139C4" w:rsidRDefault="006149D3" w:rsidP="006149D3">
      <w:pPr>
        <w:pStyle w:val="Textonotapie"/>
        <w:ind w:firstLine="709"/>
        <w:contextualSpacing/>
        <w:jc w:val="both"/>
        <w:rPr>
          <w:rFonts w:ascii="Verdana" w:hAnsi="Verdana" w:cs="Arial"/>
          <w:color w:val="000000"/>
          <w:sz w:val="12"/>
          <w:szCs w:val="12"/>
          <w:lang w:val="es-ES"/>
        </w:rPr>
      </w:pPr>
      <w:r w:rsidRPr="007139C4">
        <w:rPr>
          <w:rFonts w:ascii="Verdana" w:hAnsi="Verdana" w:cs="Arial"/>
          <w:color w:val="000000"/>
          <w:sz w:val="12"/>
          <w:szCs w:val="12"/>
          <w:vertAlign w:val="superscript"/>
        </w:rPr>
        <w:footnoteRef/>
      </w:r>
      <w:r w:rsidRPr="007139C4">
        <w:rPr>
          <w:rFonts w:ascii="Verdana" w:hAnsi="Verdana" w:cs="Arial"/>
          <w:color w:val="000000"/>
          <w:sz w:val="12"/>
          <w:szCs w:val="12"/>
        </w:rPr>
        <w:t xml:space="preserve"> </w:t>
      </w:r>
      <w:r w:rsidRPr="007139C4">
        <w:rPr>
          <w:rFonts w:ascii="Verdana" w:hAnsi="Verdana" w:cs="Arial"/>
          <w:color w:val="000000"/>
          <w:sz w:val="12"/>
          <w:szCs w:val="12"/>
          <w:lang w:val="es-ES"/>
        </w:rPr>
        <w:t>Artículos 2 al 29.</w:t>
      </w:r>
    </w:p>
    <w:p w14:paraId="38C17574" w14:textId="77777777" w:rsidR="006149D3" w:rsidRPr="007139C4" w:rsidRDefault="006149D3" w:rsidP="006149D3">
      <w:pPr>
        <w:pStyle w:val="Textonotapie"/>
        <w:ind w:firstLine="709"/>
        <w:contextualSpacing/>
        <w:jc w:val="both"/>
        <w:rPr>
          <w:rFonts w:ascii="Verdana" w:hAnsi="Verdana"/>
          <w:sz w:val="12"/>
          <w:szCs w:val="12"/>
        </w:rPr>
      </w:pPr>
    </w:p>
  </w:footnote>
  <w:footnote w:id="4">
    <w:p w14:paraId="70C3B69C" w14:textId="77777777" w:rsidR="006149D3" w:rsidRPr="007139C4" w:rsidRDefault="006149D3" w:rsidP="006149D3">
      <w:pPr>
        <w:pStyle w:val="Textonotapie"/>
        <w:ind w:firstLine="709"/>
        <w:contextualSpacing/>
        <w:jc w:val="both"/>
        <w:rPr>
          <w:rFonts w:ascii="Verdana" w:hAnsi="Verdana" w:cs="Arial"/>
          <w:color w:val="000000"/>
          <w:sz w:val="12"/>
          <w:szCs w:val="12"/>
          <w:lang w:val="es-ES"/>
        </w:rPr>
      </w:pPr>
      <w:r w:rsidRPr="007139C4">
        <w:rPr>
          <w:rFonts w:ascii="Verdana" w:hAnsi="Verdana" w:cs="Arial"/>
          <w:color w:val="000000"/>
          <w:sz w:val="12"/>
          <w:szCs w:val="12"/>
          <w:vertAlign w:val="superscript"/>
        </w:rPr>
        <w:footnoteRef/>
      </w:r>
      <w:r w:rsidRPr="007139C4">
        <w:rPr>
          <w:rFonts w:ascii="Verdana" w:hAnsi="Verdana" w:cs="Arial"/>
          <w:color w:val="000000"/>
          <w:sz w:val="12"/>
          <w:szCs w:val="12"/>
        </w:rPr>
        <w:t xml:space="preserve"> </w:t>
      </w:r>
      <w:r w:rsidRPr="007139C4">
        <w:rPr>
          <w:rFonts w:ascii="Verdana" w:hAnsi="Verdana" w:cs="Arial"/>
          <w:color w:val="000000"/>
          <w:sz w:val="12"/>
          <w:szCs w:val="12"/>
          <w:lang w:val="es-ES"/>
        </w:rPr>
        <w:t>Artículos 30 al 36.</w:t>
      </w:r>
    </w:p>
    <w:p w14:paraId="1F4165DA" w14:textId="77777777" w:rsidR="006149D3" w:rsidRPr="007139C4" w:rsidRDefault="006149D3" w:rsidP="006149D3">
      <w:pPr>
        <w:pStyle w:val="Textonotapie"/>
        <w:ind w:firstLine="709"/>
        <w:contextualSpacing/>
        <w:jc w:val="both"/>
        <w:rPr>
          <w:rFonts w:ascii="Verdana" w:hAnsi="Verdana"/>
          <w:sz w:val="12"/>
          <w:szCs w:val="12"/>
        </w:rPr>
      </w:pPr>
    </w:p>
  </w:footnote>
  <w:footnote w:id="5">
    <w:p w14:paraId="2AED1451" w14:textId="77777777" w:rsidR="006149D3" w:rsidRPr="007139C4" w:rsidRDefault="006149D3" w:rsidP="006149D3">
      <w:pPr>
        <w:pStyle w:val="Textonotapie"/>
        <w:ind w:firstLine="709"/>
        <w:contextualSpacing/>
        <w:jc w:val="both"/>
        <w:rPr>
          <w:rFonts w:ascii="Verdana" w:hAnsi="Verdana" w:cs="Arial"/>
          <w:color w:val="000000"/>
          <w:sz w:val="12"/>
          <w:szCs w:val="12"/>
          <w:lang w:val="es-ES"/>
        </w:rPr>
      </w:pPr>
      <w:r w:rsidRPr="007139C4">
        <w:rPr>
          <w:rFonts w:ascii="Verdana" w:hAnsi="Verdana" w:cs="Arial"/>
          <w:color w:val="000000"/>
          <w:sz w:val="12"/>
          <w:szCs w:val="12"/>
          <w:vertAlign w:val="superscript"/>
        </w:rPr>
        <w:footnoteRef/>
      </w:r>
      <w:r w:rsidRPr="007139C4">
        <w:rPr>
          <w:rFonts w:ascii="Verdana" w:hAnsi="Verdana" w:cs="Arial"/>
          <w:color w:val="000000"/>
          <w:sz w:val="12"/>
          <w:szCs w:val="12"/>
        </w:rPr>
        <w:t xml:space="preserve"> </w:t>
      </w:r>
      <w:r w:rsidRPr="007139C4">
        <w:rPr>
          <w:rFonts w:ascii="Verdana" w:hAnsi="Verdana" w:cs="Arial"/>
          <w:color w:val="000000"/>
          <w:sz w:val="12"/>
          <w:szCs w:val="12"/>
          <w:lang w:val="es-ES"/>
        </w:rPr>
        <w:t>Artículos 37 al 45.</w:t>
      </w:r>
    </w:p>
    <w:p w14:paraId="64314323" w14:textId="77777777" w:rsidR="006149D3" w:rsidRPr="007139C4" w:rsidRDefault="006149D3" w:rsidP="006149D3">
      <w:pPr>
        <w:pStyle w:val="Textonotapie"/>
        <w:ind w:firstLine="709"/>
        <w:contextualSpacing/>
        <w:jc w:val="both"/>
        <w:rPr>
          <w:rFonts w:ascii="Verdana" w:hAnsi="Verdana"/>
          <w:sz w:val="12"/>
          <w:szCs w:val="12"/>
        </w:rPr>
      </w:pPr>
    </w:p>
  </w:footnote>
  <w:footnote w:id="6">
    <w:p w14:paraId="50E97C24" w14:textId="77777777" w:rsidR="006149D3" w:rsidRPr="007139C4" w:rsidRDefault="006149D3" w:rsidP="006149D3">
      <w:pPr>
        <w:pStyle w:val="Textonotapie"/>
        <w:ind w:firstLine="709"/>
        <w:contextualSpacing/>
        <w:jc w:val="both"/>
        <w:rPr>
          <w:rFonts w:ascii="Verdana" w:hAnsi="Verdana" w:cs="Arial"/>
          <w:color w:val="000000"/>
          <w:sz w:val="12"/>
          <w:szCs w:val="12"/>
          <w:lang w:val="es-ES"/>
        </w:rPr>
      </w:pPr>
      <w:r w:rsidRPr="007139C4">
        <w:rPr>
          <w:rFonts w:ascii="Verdana" w:hAnsi="Verdana" w:cs="Arial"/>
          <w:color w:val="000000"/>
          <w:sz w:val="12"/>
          <w:szCs w:val="12"/>
          <w:vertAlign w:val="superscript"/>
        </w:rPr>
        <w:footnoteRef/>
      </w:r>
      <w:r w:rsidRPr="007139C4">
        <w:rPr>
          <w:rFonts w:ascii="Verdana" w:hAnsi="Verdana" w:cs="Arial"/>
          <w:color w:val="000000"/>
          <w:sz w:val="12"/>
          <w:szCs w:val="12"/>
        </w:rPr>
        <w:t xml:space="preserve"> </w:t>
      </w:r>
      <w:r w:rsidRPr="007139C4">
        <w:rPr>
          <w:rFonts w:ascii="Verdana" w:hAnsi="Verdana" w:cs="Arial"/>
          <w:color w:val="000000"/>
          <w:sz w:val="12"/>
          <w:szCs w:val="12"/>
          <w:lang w:val="es-ES"/>
        </w:rPr>
        <w:t>Artículos 46 al 73.</w:t>
      </w:r>
    </w:p>
    <w:p w14:paraId="284C5688" w14:textId="77777777" w:rsidR="006149D3" w:rsidRPr="007139C4" w:rsidRDefault="006149D3" w:rsidP="006149D3">
      <w:pPr>
        <w:pStyle w:val="Textonotapie"/>
        <w:ind w:firstLine="709"/>
        <w:contextualSpacing/>
        <w:jc w:val="both"/>
        <w:rPr>
          <w:rFonts w:ascii="Verdana" w:hAnsi="Verdana"/>
          <w:sz w:val="12"/>
          <w:szCs w:val="12"/>
        </w:rPr>
      </w:pPr>
    </w:p>
  </w:footnote>
  <w:footnote w:id="7">
    <w:p w14:paraId="13A07700" w14:textId="77777777" w:rsidR="006149D3" w:rsidRPr="007139C4" w:rsidRDefault="006149D3" w:rsidP="006149D3">
      <w:pPr>
        <w:pStyle w:val="Textonotapie"/>
        <w:ind w:firstLine="709"/>
        <w:contextualSpacing/>
        <w:jc w:val="both"/>
        <w:rPr>
          <w:rFonts w:ascii="Verdana" w:hAnsi="Verdana" w:cs="Arial"/>
          <w:color w:val="000000"/>
          <w:sz w:val="12"/>
          <w:szCs w:val="12"/>
          <w:lang w:val="es-ES"/>
        </w:rPr>
      </w:pPr>
      <w:r w:rsidRPr="007139C4">
        <w:rPr>
          <w:rFonts w:ascii="Verdana" w:hAnsi="Verdana" w:cs="Arial"/>
          <w:color w:val="000000"/>
          <w:sz w:val="12"/>
          <w:szCs w:val="12"/>
          <w:vertAlign w:val="superscript"/>
        </w:rPr>
        <w:footnoteRef/>
      </w:r>
      <w:r w:rsidRPr="007139C4">
        <w:rPr>
          <w:rFonts w:ascii="Verdana" w:hAnsi="Verdana" w:cs="Arial"/>
          <w:color w:val="000000"/>
          <w:sz w:val="12"/>
          <w:szCs w:val="12"/>
        </w:rPr>
        <w:t xml:space="preserve"> </w:t>
      </w:r>
      <w:r w:rsidRPr="007139C4">
        <w:rPr>
          <w:rFonts w:ascii="Verdana" w:hAnsi="Verdana" w:cs="Arial"/>
          <w:color w:val="000000"/>
          <w:sz w:val="12"/>
          <w:szCs w:val="12"/>
          <w:lang w:val="es-ES"/>
        </w:rPr>
        <w:t>Artículos 74 al 83.</w:t>
      </w:r>
    </w:p>
    <w:p w14:paraId="0E01FB71" w14:textId="77777777" w:rsidR="006149D3" w:rsidRPr="007139C4" w:rsidRDefault="006149D3" w:rsidP="006149D3">
      <w:pPr>
        <w:pStyle w:val="Textonotapie"/>
        <w:ind w:firstLine="709"/>
        <w:contextualSpacing/>
        <w:jc w:val="both"/>
        <w:rPr>
          <w:rFonts w:ascii="Verdana" w:hAnsi="Verdana"/>
          <w:sz w:val="12"/>
          <w:szCs w:val="12"/>
        </w:rPr>
      </w:pPr>
    </w:p>
  </w:footnote>
  <w:footnote w:id="8">
    <w:p w14:paraId="7D17D99E" w14:textId="77777777" w:rsidR="006149D3" w:rsidRPr="006866A8" w:rsidRDefault="006149D3" w:rsidP="006149D3">
      <w:pPr>
        <w:pStyle w:val="Textonotapie"/>
        <w:ind w:firstLine="709"/>
        <w:contextualSpacing/>
        <w:jc w:val="both"/>
        <w:rPr>
          <w:rFonts w:ascii="Verdana" w:hAnsi="Verdana" w:cs="Arial"/>
          <w:color w:val="000000"/>
          <w:sz w:val="16"/>
          <w:szCs w:val="16"/>
        </w:rPr>
      </w:pPr>
      <w:r w:rsidRPr="007139C4">
        <w:rPr>
          <w:rFonts w:ascii="Verdana" w:hAnsi="Verdana" w:cs="Arial"/>
          <w:color w:val="000000"/>
          <w:sz w:val="12"/>
          <w:szCs w:val="12"/>
          <w:vertAlign w:val="superscript"/>
        </w:rPr>
        <w:footnoteRef/>
      </w:r>
      <w:r w:rsidRPr="007139C4">
        <w:rPr>
          <w:rFonts w:ascii="Verdana" w:hAnsi="Verdana" w:cs="Arial"/>
          <w:color w:val="000000"/>
          <w:sz w:val="12"/>
          <w:szCs w:val="12"/>
        </w:rPr>
        <w:t xml:space="preserve"> Ley 2069 de 2020 “Artículo 32. Criterios Diferenciales para Emprendimientos y Empresas de mujeres en el Sistema De Compras Públicas. De acuerdo con el resultado del análisis del sector, las entidades estatales incluirán requisitos diferenciales y puntajes adicionales en los procesos de licitación pública, selección abreviada de menor cuantía y concurso de méritos, así como en los procesos competitivos que adelanten las entidades estatales que no apliquen en su gestión contractual el Estatuto General de Contratación Administrativa, como medidas de acción afirmativa, para incentivar emprendimientos y empresas de mujeres en el sistema de compras públicas, sin perjuicio de los compromisos adquiridos por Colombia en los acuerdos comerciales en vigor.  Parágrafo primero. La definición de emprendimientos y empresas de mujeres se reglamentará por el gobierno nacional”.</w:t>
      </w:r>
    </w:p>
    <w:p w14:paraId="17046BC0" w14:textId="77777777" w:rsidR="006149D3" w:rsidRDefault="006149D3" w:rsidP="006149D3">
      <w:pPr>
        <w:pStyle w:val="Textonotapie"/>
        <w:ind w:firstLine="709"/>
        <w:contextualSpacing/>
        <w:jc w:val="both"/>
      </w:pPr>
    </w:p>
  </w:footnote>
  <w:footnote w:id="9">
    <w:p w14:paraId="535C5AE9" w14:textId="3398A6D2" w:rsidR="00EA120C" w:rsidRPr="00EA120C" w:rsidRDefault="00EA120C">
      <w:pPr>
        <w:pStyle w:val="Textonotapie"/>
        <w:rPr>
          <w:lang w:val="es-CO"/>
        </w:rPr>
      </w:pPr>
      <w:r>
        <w:rPr>
          <w:rStyle w:val="Refdenotaalpie"/>
        </w:rPr>
        <w:footnoteRef/>
      </w:r>
      <w:r>
        <w:t xml:space="preserve"> </w:t>
      </w:r>
      <w:r>
        <w:t>Lo cual es concordante con el numeral 5 del artículo 2.2.1.1.2.1.3, en el que se establece la definición de las condiciones habilitantes como uno de los componentes mínimos de los pliegos de condiciones.</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FA66737" w14:textId="77777777" w:rsidR="00267214" w:rsidRDefault="006B5AC8" w:rsidP="00F627CD">
    <w:pPr>
      <w:pStyle w:val="Encabezado"/>
    </w:pPr>
    <w:r>
      <w:rPr>
        <w:rFonts w:ascii="Geomanist Bold" w:hAnsi="Geomanist Bold"/>
        <w:b/>
        <w:bCs/>
        <w:noProof/>
        <w:color w:val="002060"/>
        <w:sz w:val="24"/>
        <w:szCs w:val="24"/>
      </w:rPr>
      <w:drawing>
        <wp:anchor distT="0" distB="0" distL="114300" distR="114300" simplePos="0" relativeHeight="251658241" behindDoc="1" locked="0" layoutInCell="1" allowOverlap="1" wp14:anchorId="5C47C0E6" wp14:editId="47C01B0F">
          <wp:simplePos x="0" y="0"/>
          <wp:positionH relativeFrom="margin">
            <wp:align>center</wp:align>
          </wp:positionH>
          <wp:positionV relativeFrom="paragraph">
            <wp:posOffset>-325755</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Pr>
        <w:rFonts w:ascii="Geomanist Bold" w:hAnsi="Geomanist Bold"/>
        <w:b/>
        <w:bCs/>
        <w:noProof/>
        <w:color w:val="002060"/>
        <w:sz w:val="24"/>
        <w:szCs w:val="24"/>
      </w:rPr>
      <w:drawing>
        <wp:anchor distT="0" distB="0" distL="114300" distR="114300" simplePos="0" relativeHeight="251658240" behindDoc="0" locked="0" layoutInCell="1" allowOverlap="1" wp14:anchorId="2FDAF0AE" wp14:editId="7D502211">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descr="Imagen en blanco y negro&#10;&#10;Descripción generada automáticamente con confianza me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2149914" name="Imagen 962149914" descr="Imagen en blanco y negro&#10;&#10;Descripción generada automáticamente con confianza media"/>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4DD260E0" w14:textId="77777777" w:rsidR="00267214" w:rsidRDefault="00267214" w:rsidP="00F627CD">
    <w:pPr>
      <w:pStyle w:val="Encabezado"/>
    </w:pPr>
  </w:p>
  <w:p w14:paraId="1ADB5E8C" w14:textId="77777777" w:rsidR="00267214" w:rsidRDefault="00267214" w:rsidP="00F627CD">
    <w:pPr>
      <w:pStyle w:val="Encabezado"/>
    </w:pPr>
  </w:p>
  <w:p w14:paraId="6CC6ED49" w14:textId="77777777" w:rsidR="00267214" w:rsidRPr="00515FB5" w:rsidRDefault="00267214" w:rsidP="00F627CD">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197844CD"/>
    <w:multiLevelType w:val="hybridMultilevel"/>
    <w:tmpl w:val="FFFFFFFF"/>
    <w:lvl w:ilvl="0" w:tplc="240A0001">
      <w:start w:val="1"/>
      <w:numFmt w:val="bullet"/>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3" w15:restartNumberingAfterBreak="0">
    <w:nsid w:val="6C217186"/>
    <w:multiLevelType w:val="hybridMultilevel"/>
    <w:tmpl w:val="69846950"/>
    <w:lvl w:ilvl="0" w:tplc="4712E05A">
      <w:start w:val="1"/>
      <w:numFmt w:val="lowerRoman"/>
      <w:lvlText w:val="%1)"/>
      <w:lvlJc w:val="left"/>
      <w:pPr>
        <w:ind w:left="1080" w:hanging="720"/>
      </w:pPr>
      <w:rPr>
        <w:rFonts w:eastAsia="Century Gothic" w:cs="Century Gothic" w:hint="default"/>
        <w:color w:val="000000" w:themeColor="text1"/>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num w:numId="1">
    <w:abstractNumId w:val="0"/>
  </w:num>
  <w:num w:numId="2">
    <w:abstractNumId w:val="2"/>
  </w:num>
  <w:num w:numId="3">
    <w:abstractNumId w:val="3"/>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0"/>
  <w:defaultTabStop w:val="708"/>
  <w:hyphenationZone w:val="425"/>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149D3"/>
    <w:rsid w:val="00017837"/>
    <w:rsid w:val="000552BC"/>
    <w:rsid w:val="000F5A42"/>
    <w:rsid w:val="00116C3E"/>
    <w:rsid w:val="00267214"/>
    <w:rsid w:val="00281046"/>
    <w:rsid w:val="003249B8"/>
    <w:rsid w:val="003969C9"/>
    <w:rsid w:val="003A6D57"/>
    <w:rsid w:val="006149D3"/>
    <w:rsid w:val="0062067B"/>
    <w:rsid w:val="00647741"/>
    <w:rsid w:val="006775EA"/>
    <w:rsid w:val="00681182"/>
    <w:rsid w:val="006B5AC8"/>
    <w:rsid w:val="0073370D"/>
    <w:rsid w:val="00750635"/>
    <w:rsid w:val="007A172E"/>
    <w:rsid w:val="008253A0"/>
    <w:rsid w:val="00825666"/>
    <w:rsid w:val="00852794"/>
    <w:rsid w:val="008C3B92"/>
    <w:rsid w:val="00A04BCB"/>
    <w:rsid w:val="00A12218"/>
    <w:rsid w:val="00A31850"/>
    <w:rsid w:val="00A90678"/>
    <w:rsid w:val="00AC44A5"/>
    <w:rsid w:val="00AD03BD"/>
    <w:rsid w:val="00B1115F"/>
    <w:rsid w:val="00B9721C"/>
    <w:rsid w:val="00C91E31"/>
    <w:rsid w:val="00CA6E07"/>
    <w:rsid w:val="00CC4280"/>
    <w:rsid w:val="00CF7E4B"/>
    <w:rsid w:val="00E95A88"/>
    <w:rsid w:val="00EA120C"/>
    <w:rsid w:val="00ED585A"/>
    <w:rsid w:val="00F627CD"/>
    <w:rsid w:val="62F3AC2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5516795"/>
  <w15:chartTrackingRefBased/>
  <w15:docId w15:val="{FFEB9652-C15D-4A1E-88A5-09793065C87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s-CO"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149D3"/>
    <w:rPr>
      <w:kern w:val="0"/>
      <w14:ligatures w14:val="none"/>
    </w:rPr>
  </w:style>
  <w:style w:type="paragraph" w:styleId="Ttulo1">
    <w:name w:val="heading 1"/>
    <w:basedOn w:val="Normal"/>
    <w:next w:val="Normal"/>
    <w:link w:val="Ttulo1Car"/>
    <w:uiPriority w:val="9"/>
    <w:qFormat/>
    <w:rsid w:val="006149D3"/>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tulo2">
    <w:name w:val="heading 2"/>
    <w:basedOn w:val="Normal"/>
    <w:next w:val="Normal"/>
    <w:link w:val="Ttulo2Car"/>
    <w:uiPriority w:val="9"/>
    <w:semiHidden/>
    <w:unhideWhenUsed/>
    <w:qFormat/>
    <w:rsid w:val="006149D3"/>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tulo3">
    <w:name w:val="heading 3"/>
    <w:basedOn w:val="Normal"/>
    <w:next w:val="Normal"/>
    <w:link w:val="Ttulo3Car"/>
    <w:uiPriority w:val="9"/>
    <w:semiHidden/>
    <w:unhideWhenUsed/>
    <w:qFormat/>
    <w:rsid w:val="006149D3"/>
    <w:pPr>
      <w:keepNext/>
      <w:keepLines/>
      <w:spacing w:before="160" w:after="80"/>
      <w:outlineLvl w:val="2"/>
    </w:pPr>
    <w:rPr>
      <w:rFonts w:eastAsiaTheme="majorEastAsia" w:cstheme="majorBidi"/>
      <w:color w:val="0F4761" w:themeColor="accent1" w:themeShade="BF"/>
      <w:sz w:val="28"/>
      <w:szCs w:val="28"/>
    </w:rPr>
  </w:style>
  <w:style w:type="paragraph" w:styleId="Ttulo4">
    <w:name w:val="heading 4"/>
    <w:basedOn w:val="Normal"/>
    <w:next w:val="Normal"/>
    <w:link w:val="Ttulo4Car"/>
    <w:uiPriority w:val="9"/>
    <w:semiHidden/>
    <w:unhideWhenUsed/>
    <w:qFormat/>
    <w:rsid w:val="006149D3"/>
    <w:pPr>
      <w:keepNext/>
      <w:keepLines/>
      <w:spacing w:before="80" w:after="40"/>
      <w:outlineLvl w:val="3"/>
    </w:pPr>
    <w:rPr>
      <w:rFonts w:eastAsiaTheme="majorEastAsia" w:cstheme="majorBidi"/>
      <w:i/>
      <w:iCs/>
      <w:color w:val="0F4761" w:themeColor="accent1" w:themeShade="BF"/>
    </w:rPr>
  </w:style>
  <w:style w:type="paragraph" w:styleId="Ttulo5">
    <w:name w:val="heading 5"/>
    <w:basedOn w:val="Normal"/>
    <w:next w:val="Normal"/>
    <w:link w:val="Ttulo5Car"/>
    <w:uiPriority w:val="9"/>
    <w:semiHidden/>
    <w:unhideWhenUsed/>
    <w:qFormat/>
    <w:rsid w:val="006149D3"/>
    <w:pPr>
      <w:keepNext/>
      <w:keepLines/>
      <w:spacing w:before="80" w:after="40"/>
      <w:outlineLvl w:val="4"/>
    </w:pPr>
    <w:rPr>
      <w:rFonts w:eastAsiaTheme="majorEastAsia" w:cstheme="majorBidi"/>
      <w:color w:val="0F4761" w:themeColor="accent1" w:themeShade="BF"/>
    </w:rPr>
  </w:style>
  <w:style w:type="paragraph" w:styleId="Ttulo6">
    <w:name w:val="heading 6"/>
    <w:basedOn w:val="Normal"/>
    <w:next w:val="Normal"/>
    <w:link w:val="Ttulo6Car"/>
    <w:uiPriority w:val="9"/>
    <w:semiHidden/>
    <w:unhideWhenUsed/>
    <w:qFormat/>
    <w:rsid w:val="006149D3"/>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6149D3"/>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6149D3"/>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6149D3"/>
    <w:pPr>
      <w:keepNext/>
      <w:keepLines/>
      <w:spacing w:after="0"/>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6149D3"/>
    <w:rPr>
      <w:rFonts w:asciiTheme="majorHAnsi" w:eastAsiaTheme="majorEastAsia" w:hAnsiTheme="majorHAnsi" w:cstheme="majorBidi"/>
      <w:color w:val="0F4761" w:themeColor="accent1" w:themeShade="BF"/>
      <w:sz w:val="40"/>
      <w:szCs w:val="40"/>
    </w:rPr>
  </w:style>
  <w:style w:type="character" w:customStyle="1" w:styleId="Ttulo2Car">
    <w:name w:val="Título 2 Car"/>
    <w:basedOn w:val="Fuentedeprrafopredeter"/>
    <w:link w:val="Ttulo2"/>
    <w:uiPriority w:val="9"/>
    <w:semiHidden/>
    <w:rsid w:val="006149D3"/>
    <w:rPr>
      <w:rFonts w:asciiTheme="majorHAnsi" w:eastAsiaTheme="majorEastAsia" w:hAnsiTheme="majorHAnsi" w:cstheme="majorBidi"/>
      <w:color w:val="0F4761" w:themeColor="accent1" w:themeShade="BF"/>
      <w:sz w:val="32"/>
      <w:szCs w:val="32"/>
    </w:rPr>
  </w:style>
  <w:style w:type="character" w:customStyle="1" w:styleId="Ttulo3Car">
    <w:name w:val="Título 3 Car"/>
    <w:basedOn w:val="Fuentedeprrafopredeter"/>
    <w:link w:val="Ttulo3"/>
    <w:uiPriority w:val="9"/>
    <w:semiHidden/>
    <w:rsid w:val="006149D3"/>
    <w:rPr>
      <w:rFonts w:eastAsiaTheme="majorEastAsia" w:cstheme="majorBidi"/>
      <w:color w:val="0F4761" w:themeColor="accent1" w:themeShade="BF"/>
      <w:sz w:val="28"/>
      <w:szCs w:val="28"/>
    </w:rPr>
  </w:style>
  <w:style w:type="character" w:customStyle="1" w:styleId="Ttulo4Car">
    <w:name w:val="Título 4 Car"/>
    <w:basedOn w:val="Fuentedeprrafopredeter"/>
    <w:link w:val="Ttulo4"/>
    <w:uiPriority w:val="9"/>
    <w:semiHidden/>
    <w:rsid w:val="006149D3"/>
    <w:rPr>
      <w:rFonts w:eastAsiaTheme="majorEastAsia" w:cstheme="majorBidi"/>
      <w:i/>
      <w:iCs/>
      <w:color w:val="0F4761" w:themeColor="accent1" w:themeShade="BF"/>
    </w:rPr>
  </w:style>
  <w:style w:type="character" w:customStyle="1" w:styleId="Ttulo5Car">
    <w:name w:val="Título 5 Car"/>
    <w:basedOn w:val="Fuentedeprrafopredeter"/>
    <w:link w:val="Ttulo5"/>
    <w:uiPriority w:val="9"/>
    <w:semiHidden/>
    <w:rsid w:val="006149D3"/>
    <w:rPr>
      <w:rFonts w:eastAsiaTheme="majorEastAsia" w:cstheme="majorBidi"/>
      <w:color w:val="0F4761" w:themeColor="accent1" w:themeShade="BF"/>
    </w:rPr>
  </w:style>
  <w:style w:type="character" w:customStyle="1" w:styleId="Ttulo6Car">
    <w:name w:val="Título 6 Car"/>
    <w:basedOn w:val="Fuentedeprrafopredeter"/>
    <w:link w:val="Ttulo6"/>
    <w:uiPriority w:val="9"/>
    <w:semiHidden/>
    <w:rsid w:val="006149D3"/>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6149D3"/>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6149D3"/>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6149D3"/>
    <w:rPr>
      <w:rFonts w:eastAsiaTheme="majorEastAsia" w:cstheme="majorBidi"/>
      <w:color w:val="272727" w:themeColor="text1" w:themeTint="D8"/>
    </w:rPr>
  </w:style>
  <w:style w:type="paragraph" w:styleId="Ttulo">
    <w:name w:val="Title"/>
    <w:basedOn w:val="Normal"/>
    <w:next w:val="Normal"/>
    <w:link w:val="TtuloCar"/>
    <w:uiPriority w:val="10"/>
    <w:qFormat/>
    <w:rsid w:val="006149D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6149D3"/>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6149D3"/>
    <w:pPr>
      <w:numPr>
        <w:ilvl w:val="1"/>
      </w:numPr>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6149D3"/>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6149D3"/>
    <w:pPr>
      <w:spacing w:before="160"/>
      <w:jc w:val="center"/>
    </w:pPr>
    <w:rPr>
      <w:i/>
      <w:iCs/>
      <w:color w:val="404040" w:themeColor="text1" w:themeTint="BF"/>
    </w:rPr>
  </w:style>
  <w:style w:type="character" w:customStyle="1" w:styleId="CitaCar">
    <w:name w:val="Cita Car"/>
    <w:basedOn w:val="Fuentedeprrafopredeter"/>
    <w:link w:val="Cita"/>
    <w:uiPriority w:val="29"/>
    <w:rsid w:val="006149D3"/>
    <w:rPr>
      <w:i/>
      <w:iCs/>
      <w:color w:val="404040" w:themeColor="text1" w:themeTint="BF"/>
    </w:r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
    <w:basedOn w:val="Normal"/>
    <w:link w:val="PrrafodelistaCar"/>
    <w:uiPriority w:val="34"/>
    <w:qFormat/>
    <w:rsid w:val="006149D3"/>
    <w:pPr>
      <w:ind w:left="720"/>
      <w:contextualSpacing/>
    </w:pPr>
  </w:style>
  <w:style w:type="character" w:styleId="nfasisintenso">
    <w:name w:val="Intense Emphasis"/>
    <w:basedOn w:val="Fuentedeprrafopredeter"/>
    <w:uiPriority w:val="21"/>
    <w:qFormat/>
    <w:rsid w:val="006149D3"/>
    <w:rPr>
      <w:i/>
      <w:iCs/>
      <w:color w:val="0F4761" w:themeColor="accent1" w:themeShade="BF"/>
    </w:rPr>
  </w:style>
  <w:style w:type="paragraph" w:styleId="Citadestacada">
    <w:name w:val="Intense Quote"/>
    <w:basedOn w:val="Normal"/>
    <w:next w:val="Normal"/>
    <w:link w:val="CitadestacadaCar"/>
    <w:uiPriority w:val="30"/>
    <w:qFormat/>
    <w:rsid w:val="006149D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destacadaCar">
    <w:name w:val="Cita destacada Car"/>
    <w:basedOn w:val="Fuentedeprrafopredeter"/>
    <w:link w:val="Citadestacada"/>
    <w:uiPriority w:val="30"/>
    <w:rsid w:val="006149D3"/>
    <w:rPr>
      <w:i/>
      <w:iCs/>
      <w:color w:val="0F4761" w:themeColor="accent1" w:themeShade="BF"/>
    </w:rPr>
  </w:style>
  <w:style w:type="character" w:styleId="Referenciaintensa">
    <w:name w:val="Intense Reference"/>
    <w:basedOn w:val="Fuentedeprrafopredeter"/>
    <w:uiPriority w:val="32"/>
    <w:qFormat/>
    <w:rsid w:val="006149D3"/>
    <w:rPr>
      <w:b/>
      <w:bCs/>
      <w:smallCaps/>
      <w:color w:val="0F4761" w:themeColor="accent1" w:themeShade="BF"/>
      <w:spacing w:val="5"/>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149D3"/>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149D3"/>
    <w:pPr>
      <w:spacing w:after="0" w:line="240" w:lineRule="auto"/>
    </w:pPr>
    <w:rPr>
      <w:kern w:val="2"/>
      <w:sz w:val="20"/>
      <w:szCs w:val="20"/>
      <w:lang w:val="es-MX"/>
      <w14:ligatures w14:val="standardContextual"/>
    </w:rPr>
  </w:style>
  <w:style w:type="character" w:customStyle="1" w:styleId="TextonotapieCar1">
    <w:name w:val="Texto nota pie Car1"/>
    <w:basedOn w:val="Fuentedeprrafopredeter"/>
    <w:uiPriority w:val="99"/>
    <w:semiHidden/>
    <w:rsid w:val="006149D3"/>
    <w:rPr>
      <w:kern w:val="0"/>
      <w:sz w:val="20"/>
      <w:szCs w:val="20"/>
      <w14:ligatures w14:val="none"/>
    </w:rPr>
  </w:style>
  <w:style w:type="paragraph" w:styleId="Encabezado">
    <w:name w:val="header"/>
    <w:basedOn w:val="Normal"/>
    <w:link w:val="EncabezadoCar"/>
    <w:uiPriority w:val="99"/>
    <w:unhideWhenUsed/>
    <w:rsid w:val="006149D3"/>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6149D3"/>
    <w:rPr>
      <w:kern w:val="0"/>
      <w14:ligatures w14:val="none"/>
    </w:rPr>
  </w:style>
  <w:style w:type="paragraph" w:styleId="Piedepgina">
    <w:name w:val="footer"/>
    <w:basedOn w:val="Normal"/>
    <w:link w:val="PiedepginaCar"/>
    <w:uiPriority w:val="99"/>
    <w:unhideWhenUsed/>
    <w:rsid w:val="006149D3"/>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6149D3"/>
    <w:rPr>
      <w:kern w:val="0"/>
      <w14:ligatures w14:val="none"/>
    </w:rPr>
  </w:style>
  <w:style w:type="table" w:styleId="Tablaconcuadrcula">
    <w:name w:val="Table Grid"/>
    <w:basedOn w:val="Tablanormal"/>
    <w:uiPriority w:val="39"/>
    <w:qFormat/>
    <w:rsid w:val="006149D3"/>
    <w:pPr>
      <w:spacing w:after="0" w:line="240" w:lineRule="auto"/>
    </w:pPr>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vnculo">
    <w:name w:val="Hyperlink"/>
    <w:basedOn w:val="Fuentedeprrafopredeter"/>
    <w:uiPriority w:val="99"/>
    <w:unhideWhenUsed/>
    <w:rsid w:val="006149D3"/>
    <w:rPr>
      <w:color w:val="467886" w:themeColor="hyperlink"/>
      <w:u w:val="single"/>
    </w:rPr>
  </w:style>
  <w:style w:type="character" w:customStyle="1" w:styleId="normaltextrun">
    <w:name w:val="normaltextrun"/>
    <w:basedOn w:val="Fuentedeprrafopredeter"/>
    <w:rsid w:val="006149D3"/>
  </w:style>
  <w:style w:type="paragraph" w:customStyle="1" w:styleId="paragraph">
    <w:name w:val="paragraph"/>
    <w:basedOn w:val="Normal"/>
    <w:rsid w:val="006149D3"/>
    <w:pPr>
      <w:spacing w:before="100" w:beforeAutospacing="1" w:after="100" w:afterAutospacing="1" w:line="240" w:lineRule="auto"/>
    </w:pPr>
    <w:rPr>
      <w:rFonts w:ascii="Times New Roman" w:eastAsia="Times New Roman" w:hAnsi="Times New Roman" w:cs="Times New Roman"/>
      <w:sz w:val="24"/>
      <w:szCs w:val="24"/>
      <w:lang w:eastAsia="es-ES_tradnl"/>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6149D3"/>
  </w:style>
  <w:style w:type="character" w:customStyle="1" w:styleId="Hipervnculo1">
    <w:name w:val="Hipervínculo1"/>
    <w:basedOn w:val="Fuentedeprrafopredeter"/>
    <w:uiPriority w:val="99"/>
    <w:unhideWhenUsed/>
    <w:rsid w:val="006149D3"/>
    <w:rPr>
      <w:rFonts w:cs="Times New Roman"/>
      <w:color w:val="F2F2F2"/>
      <w:u w:val="single"/>
    </w:rPr>
  </w:style>
  <w:style w:type="paragraph" w:styleId="NormalWeb">
    <w:name w:val="Normal (Web)"/>
    <w:basedOn w:val="Normal"/>
    <w:uiPriority w:val="99"/>
    <w:semiHidden/>
    <w:unhideWhenUsed/>
    <w:rsid w:val="00825666"/>
    <w:rPr>
      <w:rFonts w:ascii="Times New Roman" w:hAnsi="Times New Roman" w:cs="Times New Roman"/>
      <w:sz w:val="24"/>
      <w:szCs w:val="24"/>
    </w:rPr>
  </w:style>
  <w:style w:type="character" w:styleId="Mencinsinresolver">
    <w:name w:val="Unresolved Mention"/>
    <w:basedOn w:val="Fuentedeprrafopredeter"/>
    <w:uiPriority w:val="99"/>
    <w:semiHidden/>
    <w:unhideWhenUsed/>
    <w:rsid w:val="00A31850"/>
    <w:rPr>
      <w:color w:val="605E5C"/>
      <w:shd w:val="clear" w:color="auto" w:fill="E1DFDD"/>
    </w:rPr>
  </w:style>
  <w:style w:type="character" w:customStyle="1" w:styleId="eop">
    <w:name w:val="eop"/>
    <w:basedOn w:val="Fuentedeprrafopredeter"/>
    <w:rsid w:val="00681182"/>
  </w:style>
  <w:style w:type="character" w:styleId="Refdenotaalpie">
    <w:name w:val="footnote reference"/>
    <w:basedOn w:val="Fuentedeprrafopredeter"/>
    <w:uiPriority w:val="99"/>
    <w:semiHidden/>
    <w:unhideWhenUsed/>
    <w:rsid w:val="003A6D57"/>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8164445">
      <w:bodyDiv w:val="1"/>
      <w:marLeft w:val="0"/>
      <w:marRight w:val="0"/>
      <w:marTop w:val="0"/>
      <w:marBottom w:val="0"/>
      <w:divBdr>
        <w:top w:val="none" w:sz="0" w:space="0" w:color="auto"/>
        <w:left w:val="none" w:sz="0" w:space="0" w:color="auto"/>
        <w:bottom w:val="none" w:sz="0" w:space="0" w:color="auto"/>
        <w:right w:val="none" w:sz="0" w:space="0" w:color="auto"/>
      </w:divBdr>
    </w:div>
    <w:div w:id="414670768">
      <w:bodyDiv w:val="1"/>
      <w:marLeft w:val="0"/>
      <w:marRight w:val="0"/>
      <w:marTop w:val="0"/>
      <w:marBottom w:val="0"/>
      <w:divBdr>
        <w:top w:val="none" w:sz="0" w:space="0" w:color="auto"/>
        <w:left w:val="none" w:sz="0" w:space="0" w:color="auto"/>
        <w:bottom w:val="none" w:sz="0" w:space="0" w:color="auto"/>
        <w:right w:val="none" w:sz="0" w:space="0" w:color="auto"/>
      </w:divBdr>
    </w:div>
    <w:div w:id="623385087">
      <w:bodyDiv w:val="1"/>
      <w:marLeft w:val="0"/>
      <w:marRight w:val="0"/>
      <w:marTop w:val="0"/>
      <w:marBottom w:val="0"/>
      <w:divBdr>
        <w:top w:val="none" w:sz="0" w:space="0" w:color="auto"/>
        <w:left w:val="none" w:sz="0" w:space="0" w:color="auto"/>
        <w:bottom w:val="none" w:sz="0" w:space="0" w:color="auto"/>
        <w:right w:val="none" w:sz="0" w:space="0" w:color="auto"/>
      </w:divBdr>
      <w:divsChild>
        <w:div w:id="1468545522">
          <w:marLeft w:val="0"/>
          <w:marRight w:val="0"/>
          <w:marTop w:val="0"/>
          <w:marBottom w:val="0"/>
          <w:divBdr>
            <w:top w:val="none" w:sz="0" w:space="0" w:color="auto"/>
            <w:left w:val="none" w:sz="0" w:space="0" w:color="auto"/>
            <w:bottom w:val="none" w:sz="0" w:space="0" w:color="auto"/>
            <w:right w:val="none" w:sz="0" w:space="0" w:color="auto"/>
          </w:divBdr>
        </w:div>
      </w:divsChild>
    </w:div>
    <w:div w:id="653023194">
      <w:bodyDiv w:val="1"/>
      <w:marLeft w:val="0"/>
      <w:marRight w:val="0"/>
      <w:marTop w:val="0"/>
      <w:marBottom w:val="0"/>
      <w:divBdr>
        <w:top w:val="none" w:sz="0" w:space="0" w:color="auto"/>
        <w:left w:val="none" w:sz="0" w:space="0" w:color="auto"/>
        <w:bottom w:val="none" w:sz="0" w:space="0" w:color="auto"/>
        <w:right w:val="none" w:sz="0" w:space="0" w:color="auto"/>
      </w:divBdr>
    </w:div>
    <w:div w:id="772676309">
      <w:bodyDiv w:val="1"/>
      <w:marLeft w:val="0"/>
      <w:marRight w:val="0"/>
      <w:marTop w:val="0"/>
      <w:marBottom w:val="0"/>
      <w:divBdr>
        <w:top w:val="none" w:sz="0" w:space="0" w:color="auto"/>
        <w:left w:val="none" w:sz="0" w:space="0" w:color="auto"/>
        <w:bottom w:val="none" w:sz="0" w:space="0" w:color="auto"/>
        <w:right w:val="none" w:sz="0" w:space="0" w:color="auto"/>
      </w:divBdr>
      <w:divsChild>
        <w:div w:id="1337155241">
          <w:marLeft w:val="0"/>
          <w:marRight w:val="0"/>
          <w:marTop w:val="0"/>
          <w:marBottom w:val="0"/>
          <w:divBdr>
            <w:top w:val="none" w:sz="0" w:space="0" w:color="auto"/>
            <w:left w:val="none" w:sz="0" w:space="0" w:color="auto"/>
            <w:bottom w:val="none" w:sz="0" w:space="0" w:color="auto"/>
            <w:right w:val="none" w:sz="0" w:space="0" w:color="auto"/>
          </w:divBdr>
          <w:divsChild>
            <w:div w:id="626467107">
              <w:marLeft w:val="0"/>
              <w:marRight w:val="0"/>
              <w:marTop w:val="0"/>
              <w:marBottom w:val="0"/>
              <w:divBdr>
                <w:top w:val="none" w:sz="0" w:space="0" w:color="auto"/>
                <w:left w:val="none" w:sz="0" w:space="0" w:color="auto"/>
                <w:bottom w:val="none" w:sz="0" w:space="0" w:color="auto"/>
                <w:right w:val="none" w:sz="0" w:space="0" w:color="auto"/>
              </w:divBdr>
              <w:divsChild>
                <w:div w:id="1505822731">
                  <w:marLeft w:val="0"/>
                  <w:marRight w:val="0"/>
                  <w:marTop w:val="0"/>
                  <w:marBottom w:val="0"/>
                  <w:divBdr>
                    <w:top w:val="none" w:sz="0" w:space="0" w:color="auto"/>
                    <w:left w:val="none" w:sz="0" w:space="0" w:color="auto"/>
                    <w:bottom w:val="none" w:sz="0" w:space="0" w:color="auto"/>
                    <w:right w:val="none" w:sz="0" w:space="0" w:color="auto"/>
                  </w:divBdr>
                  <w:divsChild>
                    <w:div w:id="1775974740">
                      <w:marLeft w:val="0"/>
                      <w:marRight w:val="0"/>
                      <w:marTop w:val="0"/>
                      <w:marBottom w:val="0"/>
                      <w:divBdr>
                        <w:top w:val="none" w:sz="0" w:space="0" w:color="auto"/>
                        <w:left w:val="none" w:sz="0" w:space="0" w:color="auto"/>
                        <w:bottom w:val="none" w:sz="0" w:space="0" w:color="auto"/>
                        <w:right w:val="none" w:sz="0" w:space="0" w:color="auto"/>
                      </w:divBdr>
                      <w:divsChild>
                        <w:div w:id="992371478">
                          <w:marLeft w:val="0"/>
                          <w:marRight w:val="0"/>
                          <w:marTop w:val="0"/>
                          <w:marBottom w:val="0"/>
                          <w:divBdr>
                            <w:top w:val="none" w:sz="0" w:space="0" w:color="auto"/>
                            <w:left w:val="none" w:sz="0" w:space="0" w:color="auto"/>
                            <w:bottom w:val="none" w:sz="0" w:space="0" w:color="auto"/>
                            <w:right w:val="none" w:sz="0" w:space="0" w:color="auto"/>
                          </w:divBdr>
                          <w:divsChild>
                            <w:div w:id="8160663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94188990">
      <w:bodyDiv w:val="1"/>
      <w:marLeft w:val="0"/>
      <w:marRight w:val="0"/>
      <w:marTop w:val="0"/>
      <w:marBottom w:val="0"/>
      <w:divBdr>
        <w:top w:val="none" w:sz="0" w:space="0" w:color="auto"/>
        <w:left w:val="none" w:sz="0" w:space="0" w:color="auto"/>
        <w:bottom w:val="none" w:sz="0" w:space="0" w:color="auto"/>
        <w:right w:val="none" w:sz="0" w:space="0" w:color="auto"/>
      </w:divBdr>
      <w:divsChild>
        <w:div w:id="123739453">
          <w:marLeft w:val="0"/>
          <w:marRight w:val="0"/>
          <w:marTop w:val="0"/>
          <w:marBottom w:val="0"/>
          <w:divBdr>
            <w:top w:val="none" w:sz="0" w:space="0" w:color="auto"/>
            <w:left w:val="none" w:sz="0" w:space="0" w:color="auto"/>
            <w:bottom w:val="none" w:sz="0" w:space="0" w:color="auto"/>
            <w:right w:val="none" w:sz="0" w:space="0" w:color="auto"/>
          </w:divBdr>
          <w:divsChild>
            <w:div w:id="456724658">
              <w:marLeft w:val="0"/>
              <w:marRight w:val="0"/>
              <w:marTop w:val="0"/>
              <w:marBottom w:val="0"/>
              <w:divBdr>
                <w:top w:val="none" w:sz="0" w:space="0" w:color="auto"/>
                <w:left w:val="none" w:sz="0" w:space="0" w:color="auto"/>
                <w:bottom w:val="none" w:sz="0" w:space="0" w:color="auto"/>
                <w:right w:val="none" w:sz="0" w:space="0" w:color="auto"/>
              </w:divBdr>
              <w:divsChild>
                <w:div w:id="1350989726">
                  <w:marLeft w:val="0"/>
                  <w:marRight w:val="0"/>
                  <w:marTop w:val="0"/>
                  <w:marBottom w:val="0"/>
                  <w:divBdr>
                    <w:top w:val="none" w:sz="0" w:space="0" w:color="auto"/>
                    <w:left w:val="none" w:sz="0" w:space="0" w:color="auto"/>
                    <w:bottom w:val="none" w:sz="0" w:space="0" w:color="auto"/>
                    <w:right w:val="none" w:sz="0" w:space="0" w:color="auto"/>
                  </w:divBdr>
                  <w:divsChild>
                    <w:div w:id="16577592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62645646">
      <w:bodyDiv w:val="1"/>
      <w:marLeft w:val="0"/>
      <w:marRight w:val="0"/>
      <w:marTop w:val="0"/>
      <w:marBottom w:val="0"/>
      <w:divBdr>
        <w:top w:val="none" w:sz="0" w:space="0" w:color="auto"/>
        <w:left w:val="none" w:sz="0" w:space="0" w:color="auto"/>
        <w:bottom w:val="none" w:sz="0" w:space="0" w:color="auto"/>
        <w:right w:val="none" w:sz="0" w:space="0" w:color="auto"/>
      </w:divBdr>
    </w:div>
    <w:div w:id="1263800826">
      <w:bodyDiv w:val="1"/>
      <w:marLeft w:val="0"/>
      <w:marRight w:val="0"/>
      <w:marTop w:val="0"/>
      <w:marBottom w:val="0"/>
      <w:divBdr>
        <w:top w:val="none" w:sz="0" w:space="0" w:color="auto"/>
        <w:left w:val="none" w:sz="0" w:space="0" w:color="auto"/>
        <w:bottom w:val="none" w:sz="0" w:space="0" w:color="auto"/>
        <w:right w:val="none" w:sz="0" w:space="0" w:color="auto"/>
      </w:divBdr>
    </w:div>
    <w:div w:id="1497065494">
      <w:bodyDiv w:val="1"/>
      <w:marLeft w:val="0"/>
      <w:marRight w:val="0"/>
      <w:marTop w:val="0"/>
      <w:marBottom w:val="0"/>
      <w:divBdr>
        <w:top w:val="none" w:sz="0" w:space="0" w:color="auto"/>
        <w:left w:val="none" w:sz="0" w:space="0" w:color="auto"/>
        <w:bottom w:val="none" w:sz="0" w:space="0" w:color="auto"/>
        <w:right w:val="none" w:sz="0" w:space="0" w:color="auto"/>
      </w:divBdr>
    </w:div>
    <w:div w:id="1635722026">
      <w:bodyDiv w:val="1"/>
      <w:marLeft w:val="0"/>
      <w:marRight w:val="0"/>
      <w:marTop w:val="0"/>
      <w:marBottom w:val="0"/>
      <w:divBdr>
        <w:top w:val="none" w:sz="0" w:space="0" w:color="auto"/>
        <w:left w:val="none" w:sz="0" w:space="0" w:color="auto"/>
        <w:bottom w:val="none" w:sz="0" w:space="0" w:color="auto"/>
        <w:right w:val="none" w:sz="0" w:space="0" w:color="auto"/>
      </w:divBdr>
    </w:div>
    <w:div w:id="1729258964">
      <w:bodyDiv w:val="1"/>
      <w:marLeft w:val="0"/>
      <w:marRight w:val="0"/>
      <w:marTop w:val="0"/>
      <w:marBottom w:val="0"/>
      <w:divBdr>
        <w:top w:val="none" w:sz="0" w:space="0" w:color="auto"/>
        <w:left w:val="none" w:sz="0" w:space="0" w:color="auto"/>
        <w:bottom w:val="none" w:sz="0" w:space="0" w:color="auto"/>
        <w:right w:val="none" w:sz="0" w:space="0" w:color="auto"/>
      </w:divBdr>
      <w:divsChild>
        <w:div w:id="1595478140">
          <w:marLeft w:val="0"/>
          <w:marRight w:val="0"/>
          <w:marTop w:val="0"/>
          <w:marBottom w:val="0"/>
          <w:divBdr>
            <w:top w:val="none" w:sz="0" w:space="0" w:color="auto"/>
            <w:left w:val="none" w:sz="0" w:space="0" w:color="auto"/>
            <w:bottom w:val="none" w:sz="0" w:space="0" w:color="auto"/>
            <w:right w:val="none" w:sz="0" w:space="0" w:color="auto"/>
          </w:divBdr>
          <w:divsChild>
            <w:div w:id="1879582792">
              <w:marLeft w:val="0"/>
              <w:marRight w:val="0"/>
              <w:marTop w:val="0"/>
              <w:marBottom w:val="0"/>
              <w:divBdr>
                <w:top w:val="none" w:sz="0" w:space="0" w:color="auto"/>
                <w:left w:val="none" w:sz="0" w:space="0" w:color="auto"/>
                <w:bottom w:val="none" w:sz="0" w:space="0" w:color="auto"/>
                <w:right w:val="none" w:sz="0" w:space="0" w:color="auto"/>
              </w:divBdr>
              <w:divsChild>
                <w:div w:id="658655960">
                  <w:marLeft w:val="0"/>
                  <w:marRight w:val="0"/>
                  <w:marTop w:val="0"/>
                  <w:marBottom w:val="0"/>
                  <w:divBdr>
                    <w:top w:val="none" w:sz="0" w:space="0" w:color="auto"/>
                    <w:left w:val="none" w:sz="0" w:space="0" w:color="auto"/>
                    <w:bottom w:val="none" w:sz="0" w:space="0" w:color="auto"/>
                    <w:right w:val="none" w:sz="0" w:space="0" w:color="auto"/>
                  </w:divBdr>
                  <w:divsChild>
                    <w:div w:id="1194971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47730287">
      <w:bodyDiv w:val="1"/>
      <w:marLeft w:val="0"/>
      <w:marRight w:val="0"/>
      <w:marTop w:val="0"/>
      <w:marBottom w:val="0"/>
      <w:divBdr>
        <w:top w:val="none" w:sz="0" w:space="0" w:color="auto"/>
        <w:left w:val="none" w:sz="0" w:space="0" w:color="auto"/>
        <w:bottom w:val="none" w:sz="0" w:space="0" w:color="auto"/>
        <w:right w:val="none" w:sz="0" w:space="0" w:color="auto"/>
      </w:divBdr>
    </w:div>
    <w:div w:id="1786385452">
      <w:bodyDiv w:val="1"/>
      <w:marLeft w:val="0"/>
      <w:marRight w:val="0"/>
      <w:marTop w:val="0"/>
      <w:marBottom w:val="0"/>
      <w:divBdr>
        <w:top w:val="none" w:sz="0" w:space="0" w:color="auto"/>
        <w:left w:val="none" w:sz="0" w:space="0" w:color="auto"/>
        <w:bottom w:val="none" w:sz="0" w:space="0" w:color="auto"/>
        <w:right w:val="none" w:sz="0" w:space="0" w:color="auto"/>
      </w:divBdr>
    </w:div>
    <w:div w:id="2101176279">
      <w:bodyDiv w:val="1"/>
      <w:marLeft w:val="0"/>
      <w:marRight w:val="0"/>
      <w:marTop w:val="0"/>
      <w:marBottom w:val="0"/>
      <w:divBdr>
        <w:top w:val="none" w:sz="0" w:space="0" w:color="auto"/>
        <w:left w:val="none" w:sz="0" w:space="0" w:color="auto"/>
        <w:bottom w:val="none" w:sz="0" w:space="0" w:color="auto"/>
        <w:right w:val="none" w:sz="0" w:space="0" w:color="auto"/>
      </w:divBdr>
      <w:divsChild>
        <w:div w:id="235163520">
          <w:marLeft w:val="0"/>
          <w:marRight w:val="0"/>
          <w:marTop w:val="0"/>
          <w:marBottom w:val="0"/>
          <w:divBdr>
            <w:top w:val="none" w:sz="0" w:space="0" w:color="auto"/>
            <w:left w:val="none" w:sz="0" w:space="0" w:color="auto"/>
            <w:bottom w:val="none" w:sz="0" w:space="0" w:color="auto"/>
            <w:right w:val="none" w:sz="0" w:space="0" w:color="auto"/>
          </w:divBdr>
          <w:divsChild>
            <w:div w:id="1217013726">
              <w:marLeft w:val="0"/>
              <w:marRight w:val="0"/>
              <w:marTop w:val="0"/>
              <w:marBottom w:val="0"/>
              <w:divBdr>
                <w:top w:val="none" w:sz="0" w:space="0" w:color="auto"/>
                <w:left w:val="none" w:sz="0" w:space="0" w:color="auto"/>
                <w:bottom w:val="none" w:sz="0" w:space="0" w:color="auto"/>
                <w:right w:val="none" w:sz="0" w:space="0" w:color="auto"/>
              </w:divBdr>
              <w:divsChild>
                <w:div w:id="1535775520">
                  <w:marLeft w:val="0"/>
                  <w:marRight w:val="0"/>
                  <w:marTop w:val="0"/>
                  <w:marBottom w:val="0"/>
                  <w:divBdr>
                    <w:top w:val="none" w:sz="0" w:space="0" w:color="auto"/>
                    <w:left w:val="none" w:sz="0" w:space="0" w:color="auto"/>
                    <w:bottom w:val="none" w:sz="0" w:space="0" w:color="auto"/>
                    <w:right w:val="none" w:sz="0" w:space="0" w:color="auto"/>
                  </w:divBdr>
                  <w:divsChild>
                    <w:div w:id="1988313328">
                      <w:marLeft w:val="0"/>
                      <w:marRight w:val="0"/>
                      <w:marTop w:val="0"/>
                      <w:marBottom w:val="0"/>
                      <w:divBdr>
                        <w:top w:val="none" w:sz="0" w:space="0" w:color="auto"/>
                        <w:left w:val="none" w:sz="0" w:space="0" w:color="auto"/>
                        <w:bottom w:val="none" w:sz="0" w:space="0" w:color="auto"/>
                        <w:right w:val="none" w:sz="0" w:space="0" w:color="auto"/>
                      </w:divBdr>
                      <w:divsChild>
                        <w:div w:id="337734233">
                          <w:marLeft w:val="0"/>
                          <w:marRight w:val="0"/>
                          <w:marTop w:val="0"/>
                          <w:marBottom w:val="0"/>
                          <w:divBdr>
                            <w:top w:val="none" w:sz="0" w:space="0" w:color="auto"/>
                            <w:left w:val="none" w:sz="0" w:space="0" w:color="auto"/>
                            <w:bottom w:val="none" w:sz="0" w:space="0" w:color="auto"/>
                            <w:right w:val="none" w:sz="0" w:space="0" w:color="auto"/>
                          </w:divBdr>
                          <w:divsChild>
                            <w:div w:id="592935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colombiacompra.gov.co/sites/cce_public/files/cce_documents/guia_para_promover_la_participacion_de_las_mipymes_en_los_procesos_de_compra_publica_cce-gad-gi-26_1.pdf" TargetMode="External"/><Relationship Id="rId18"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mailto:luiscorreasalazar@hotmail.com" TargetMode="External"/><Relationship Id="rId17"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image" Target="media/image2.pn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hyperlink" Target="https://nam02.safelinks.protection.outlook.com/?url=https%3A%2F%2Fwww.colombiacompra.gov.co%2Fsala-de-prensa%2Fboletin-digital&amp;data=05%7C02%7Candreina.cerpa%40colombiacompra.gov.co%7C096eca3fdcca424ff1c708dcf932f947%7C7b09041e245149d08cb179d5e3d8c1be%7C0%7C0%7C638659244553129750%7CUnknown%7CTWFpbGZsb3d8eyJWIjoiMC4wLjAwMDAiLCJQIjoiV2luMzIiLCJBTiI6Ik1haWwiLCJXVCI6Mn0%3D%7C0%7C%7C%7C&amp;sdata=TPSikXYdiaZ7j6%2BW39%2BMNPMouatq7ONRQMFwgX4AQak%3D&amp;reserved=0" TargetMode="External"/><Relationship Id="rId10" Type="http://schemas.openxmlformats.org/officeDocument/2006/relationships/endnotes" Target="endnotes.xml"/><Relationship Id="rId19"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nam02.safelinks.protection.outlook.com/?url=https%3A%2F%2Frelatoria.colombiacompra.gov.co%2F&amp;data=05%7C02%7Cdiana.saavedra%40colombiacompra.gov.co%7C5aad36a736844ec87b2108dcc1fa4639%7C7b09041e245149d08cb179d5e3d8c1be%7C0%7C0%7C638598527919381538%7CUnknown%7CTWFpbGZsb3d8eyJWIjoiMC4wLjAwMDAiLCJQIjoiV2luMzIiLCJBTiI6Ik1haWwiLCJXVCI6Mn0%3D%7C0%7C%7C%7C&amp;sdata=SERqhYSkJwg8ErCStGLk4AEF5F37T6rV9QxmABE7T84%3D&amp;reserved=0" TargetMode="External"/></Relationships>
</file>

<file path=word/_rels/footnotes.xml.rels><?xml version="1.0" encoding="UTF-8" standalone="yes"?>
<Relationships xmlns="http://schemas.openxmlformats.org/package/2006/relationships"><Relationship Id="rId1" Type="http://schemas.openxmlformats.org/officeDocument/2006/relationships/hyperlink" Target="http://leyes.senado.gov.co/proyectos/index.php/textos-radicados-senado/p-ley-2020-2021/1957-proyecto-de-ley-161-de-2020"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4.png"/><Relationship Id="rId1" Type="http://schemas.openxmlformats.org/officeDocument/2006/relationships/image" Target="media/image3.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b428e1ff36e4b927e43637ad3eea921">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fb48c39798a5be86c32f55b38e9c5e14"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726544C-3725-4BCE-86B0-5ED1028594B7}">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customXml/itemProps2.xml><?xml version="1.0" encoding="utf-8"?>
<ds:datastoreItem xmlns:ds="http://schemas.openxmlformats.org/officeDocument/2006/customXml" ds:itemID="{C0B7A44C-1CE1-4656-A9A6-034A3F5E99EA}">
  <ds:schemaRefs>
    <ds:schemaRef ds:uri="http://schemas.microsoft.com/sharepoint/v3/contenttype/forms"/>
  </ds:schemaRefs>
</ds:datastoreItem>
</file>

<file path=customXml/itemProps3.xml><?xml version="1.0" encoding="utf-8"?>
<ds:datastoreItem xmlns:ds="http://schemas.openxmlformats.org/officeDocument/2006/customXml" ds:itemID="{22098EB9-0D4E-49F0-A0CA-D03BD504469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E90B79BB-AC5F-4171-B14D-E4722C10E0D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TotalTime>
  <Pages>14</Pages>
  <Words>4183</Words>
  <Characters>23008</Characters>
  <Application>Microsoft Office Word</Application>
  <DocSecurity>0</DocSecurity>
  <Lines>191</Lines>
  <Paragraphs>54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27137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Andreina Cerpa Muñoz</dc:creator>
  <cp:keywords/>
  <dc:description/>
  <cp:lastModifiedBy>Catalina del Pilar Lisa Cubides Estupinan</cp:lastModifiedBy>
  <cp:revision>12</cp:revision>
  <dcterms:created xsi:type="dcterms:W3CDTF">2024-11-19T01:19:00Z</dcterms:created>
  <dcterms:modified xsi:type="dcterms:W3CDTF">2025-10-09T02:53:00Z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