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DF51" w14:textId="77777777" w:rsidR="008253A0" w:rsidRPr="00DF7E02" w:rsidRDefault="008253A0" w:rsidP="008253A0">
      <w:pPr>
        <w:spacing w:before="120" w:after="120" w:line="276" w:lineRule="auto"/>
        <w:jc w:val="both"/>
        <w:rPr>
          <w:rFonts w:ascii="Verdana" w:eastAsia="Calibri" w:hAnsi="Verdana" w:cs="Arial"/>
          <w:b/>
          <w:color w:val="000000" w:themeColor="text1"/>
          <w:lang w:val="es-ES_tradnl"/>
        </w:rPr>
      </w:pPr>
      <w:r w:rsidRPr="00DF7E02">
        <w:rPr>
          <w:rFonts w:ascii="Verdana" w:eastAsia="Calibri" w:hAnsi="Verdana" w:cs="Arial"/>
          <w:b/>
          <w:color w:val="000000" w:themeColor="text1"/>
          <w:lang w:val="es-ES_tradnl"/>
        </w:rPr>
        <w:t xml:space="preserve">LEY DE EMPRENDIMIENTO – Ley 2069 de 2020– Finalidad </w:t>
      </w:r>
    </w:p>
    <w:p w14:paraId="17DCF8A0" w14:textId="77777777" w:rsidR="008253A0" w:rsidRPr="00DF7E02" w:rsidRDefault="008253A0" w:rsidP="008253A0">
      <w:pPr>
        <w:spacing w:line="276" w:lineRule="auto"/>
        <w:jc w:val="both"/>
        <w:rPr>
          <w:rFonts w:ascii="Verdana" w:hAnsi="Verdana"/>
          <w:lang w:val="es-ES_tradnl"/>
        </w:rPr>
      </w:pPr>
    </w:p>
    <w:p w14:paraId="133ACF92" w14:textId="77777777" w:rsidR="008253A0" w:rsidRPr="00DF7E02" w:rsidRDefault="008253A0" w:rsidP="008253A0">
      <w:pPr>
        <w:spacing w:after="0" w:line="240" w:lineRule="auto"/>
        <w:jc w:val="both"/>
        <w:rPr>
          <w:rFonts w:ascii="Verdana" w:eastAsia="Calibri" w:hAnsi="Verdana" w:cs="Arial"/>
          <w:sz w:val="20"/>
          <w:szCs w:val="20"/>
          <w:lang w:val="es-ES"/>
        </w:rPr>
      </w:pPr>
      <w:r w:rsidRPr="00DF7E02">
        <w:rPr>
          <w:rFonts w:ascii="Verdana" w:eastAsia="Calibri" w:hAnsi="Verdana"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w:t>
      </w:r>
    </w:p>
    <w:p w14:paraId="5239C56B" w14:textId="77777777" w:rsidR="008253A0" w:rsidRPr="00DF7E02" w:rsidRDefault="008253A0" w:rsidP="008253A0">
      <w:pPr>
        <w:spacing w:line="276" w:lineRule="auto"/>
        <w:jc w:val="both"/>
        <w:rPr>
          <w:rFonts w:ascii="Verdana" w:eastAsia="Calibri" w:hAnsi="Verdana" w:cs="Arial"/>
          <w:sz w:val="20"/>
          <w:szCs w:val="20"/>
          <w:lang w:val="es-ES"/>
        </w:rPr>
      </w:pPr>
    </w:p>
    <w:p w14:paraId="0D576840" w14:textId="77777777" w:rsidR="008253A0" w:rsidRPr="00E13808" w:rsidRDefault="008253A0" w:rsidP="008253A0">
      <w:pPr>
        <w:spacing w:before="120" w:after="120" w:line="276" w:lineRule="auto"/>
        <w:jc w:val="both"/>
        <w:rPr>
          <w:rFonts w:ascii="Verdana" w:eastAsia="Calibri" w:hAnsi="Verdana" w:cs="Arial"/>
          <w:b/>
          <w:color w:val="000000" w:themeColor="text1"/>
          <w:lang w:val="es-ES_tradnl"/>
        </w:rPr>
      </w:pPr>
      <w:r w:rsidRPr="00DF7E02">
        <w:rPr>
          <w:rFonts w:ascii="Verdana" w:eastAsia="Calibri" w:hAnsi="Verdana" w:cs="Arial"/>
          <w:b/>
          <w:color w:val="000000" w:themeColor="text1"/>
          <w:lang w:val="es-ES_tradnl"/>
        </w:rPr>
        <w:t>LEY DE EMPRENDIMIENTO – Ley 2069 de 2020 – Artículo 32 – Criterios diferenciales – Emprendimientos de mujeres – Empresas de mujeres – Necesidad de reglamentación – Decreto 1860 de 2021</w:t>
      </w:r>
    </w:p>
    <w:p w14:paraId="6D471293" w14:textId="77777777" w:rsidR="008253A0" w:rsidRDefault="008253A0" w:rsidP="008253A0">
      <w:pPr>
        <w:spacing w:after="0" w:line="240" w:lineRule="auto"/>
        <w:jc w:val="both"/>
        <w:rPr>
          <w:rFonts w:ascii="Verdana" w:eastAsia="Calibri" w:hAnsi="Verdana" w:cs="Arial"/>
          <w:sz w:val="20"/>
          <w:szCs w:val="20"/>
          <w:lang w:val="es-ES"/>
        </w:rPr>
      </w:pPr>
      <w:r w:rsidRPr="00DF7E02">
        <w:rPr>
          <w:rFonts w:ascii="Verdana" w:eastAsia="Calibri" w:hAnsi="Verdana" w:cs="Arial"/>
          <w:sz w:val="20"/>
          <w:szCs w:val="20"/>
          <w:lang w:val="es-ES"/>
        </w:rPr>
        <w:t xml:space="preserve">Conforme se viene explicando, 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 </w:t>
      </w:r>
    </w:p>
    <w:p w14:paraId="5AA07B80" w14:textId="77777777" w:rsidR="008253A0" w:rsidRPr="00DF7E02" w:rsidRDefault="008253A0" w:rsidP="008253A0">
      <w:pPr>
        <w:spacing w:after="0" w:line="240" w:lineRule="auto"/>
        <w:jc w:val="both"/>
        <w:rPr>
          <w:rFonts w:ascii="Verdana" w:eastAsia="Calibri" w:hAnsi="Verdana" w:cs="Arial"/>
          <w:sz w:val="20"/>
          <w:szCs w:val="20"/>
          <w:lang w:val="es-ES"/>
        </w:rPr>
      </w:pPr>
    </w:p>
    <w:p w14:paraId="59AEBF21" w14:textId="77777777" w:rsidR="008253A0" w:rsidRPr="00DF7E02" w:rsidRDefault="008253A0" w:rsidP="008253A0">
      <w:pPr>
        <w:spacing w:after="0" w:line="240" w:lineRule="auto"/>
        <w:jc w:val="both"/>
        <w:rPr>
          <w:rFonts w:ascii="Verdana" w:eastAsia="Calibri" w:hAnsi="Verdana" w:cs="Arial"/>
          <w:sz w:val="20"/>
          <w:szCs w:val="20"/>
          <w:lang w:val="es-ES"/>
        </w:rPr>
      </w:pPr>
      <w:r w:rsidRPr="00DF7E02">
        <w:rPr>
          <w:rFonts w:ascii="Verdana" w:eastAsia="Calibri" w:hAnsi="Verdana" w:cs="Arial"/>
          <w:sz w:val="20"/>
          <w:szCs w:val="20"/>
          <w:lang w:val="es-ES"/>
        </w:rPr>
        <w:t>En desarrollo de lo dispuesto en el parágrafo del artículo 32 de la Ley 2069 de 2020, el Decreto 1860 de 2021 adicionó el artículo 2.2.1.2.4.2.14 al Decreto 1082 de 2015. Esta norma establece las condiciones y requisitos en atención a los cuales se definen los requisitos de las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siendo relevante para la consulta el segundo de dichos numerales.</w:t>
      </w:r>
    </w:p>
    <w:p w14:paraId="1FE748D4" w14:textId="77777777" w:rsidR="008253A0" w:rsidRPr="00DF7E02" w:rsidRDefault="008253A0" w:rsidP="008253A0">
      <w:pPr>
        <w:spacing w:line="276" w:lineRule="auto"/>
        <w:jc w:val="both"/>
        <w:rPr>
          <w:rFonts w:ascii="Verdana" w:eastAsia="Calibri" w:hAnsi="Verdana" w:cs="Arial"/>
          <w:bCs/>
          <w:color w:val="000000"/>
          <w:sz w:val="20"/>
          <w:szCs w:val="20"/>
          <w:lang w:val="es-ES_tradnl"/>
        </w:rPr>
      </w:pPr>
    </w:p>
    <w:p w14:paraId="06E1BFD1" w14:textId="77777777" w:rsidR="008253A0" w:rsidRPr="00311F76" w:rsidRDefault="008253A0" w:rsidP="008253A0">
      <w:pPr>
        <w:spacing w:after="0" w:line="240" w:lineRule="auto"/>
        <w:jc w:val="both"/>
        <w:rPr>
          <w:rFonts w:ascii="Verdana" w:eastAsia="Geomanist Light" w:hAnsi="Verdana" w:cs="Arial"/>
          <w:color w:val="000000" w:themeColor="text1"/>
          <w:sz w:val="20"/>
          <w:szCs w:val="20"/>
        </w:rPr>
      </w:pPr>
      <w:r w:rsidRPr="00311F76">
        <w:rPr>
          <w:rFonts w:ascii="Verdana" w:eastAsia="Geomanist Light" w:hAnsi="Verdana" w:cs="Arial"/>
          <w:b/>
          <w:bCs/>
          <w:color w:val="000000" w:themeColor="text1"/>
          <w:sz w:val="20"/>
          <w:szCs w:val="20"/>
        </w:rPr>
        <w:t>DECRETO 1860 DE 2021 – Artículo 2.2.1.2.4.2.14 – Numeral 1 – </w:t>
      </w:r>
      <w:r>
        <w:rPr>
          <w:rFonts w:ascii="Verdana" w:eastAsia="Geomanist Light" w:hAnsi="Verdana" w:cs="Arial"/>
          <w:b/>
          <w:bCs/>
          <w:color w:val="000000" w:themeColor="text1"/>
          <w:sz w:val="20"/>
          <w:szCs w:val="20"/>
        </w:rPr>
        <w:t>Puntaje adicional</w:t>
      </w:r>
    </w:p>
    <w:p w14:paraId="1D885D64" w14:textId="77777777" w:rsidR="008253A0" w:rsidRPr="00311F76" w:rsidRDefault="008253A0" w:rsidP="008253A0">
      <w:pPr>
        <w:spacing w:after="0" w:line="240" w:lineRule="auto"/>
        <w:jc w:val="both"/>
        <w:rPr>
          <w:rFonts w:ascii="Verdana" w:eastAsia="Geomanist Light" w:hAnsi="Verdana" w:cs="Arial"/>
          <w:color w:val="000000" w:themeColor="text1"/>
          <w:sz w:val="20"/>
          <w:szCs w:val="20"/>
        </w:rPr>
      </w:pPr>
    </w:p>
    <w:p w14:paraId="13737C1B" w14:textId="77777777" w:rsidR="008253A0" w:rsidRDefault="008253A0" w:rsidP="008253A0">
      <w:pPr>
        <w:spacing w:after="0" w:line="240" w:lineRule="auto"/>
        <w:jc w:val="both"/>
        <w:rPr>
          <w:rFonts w:ascii="Verdana" w:eastAsia="Geomanist Light" w:hAnsi="Verdana" w:cs="Arial"/>
          <w:color w:val="000000" w:themeColor="text1"/>
          <w:sz w:val="20"/>
          <w:szCs w:val="20"/>
        </w:rPr>
      </w:pPr>
      <w:r w:rsidRPr="00311F76">
        <w:rPr>
          <w:rFonts w:ascii="Verdana" w:eastAsia="Geomanist Light" w:hAnsi="Verdana" w:cs="Arial"/>
          <w:color w:val="000000" w:themeColor="text1"/>
          <w:sz w:val="20"/>
          <w:szCs w:val="20"/>
        </w:rPr>
        <w:lastRenderedPageBreak/>
        <w:t>El numeral primero establece que una sociedad podrá ser considerada como un emprendimiento o empresa de mujeres cuando más del cincuenta por ciento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w:t>
      </w:r>
    </w:p>
    <w:p w14:paraId="506CC2D1" w14:textId="77777777" w:rsidR="008253A0" w:rsidRPr="00311F76" w:rsidRDefault="008253A0" w:rsidP="008253A0">
      <w:pPr>
        <w:spacing w:after="0" w:line="240" w:lineRule="auto"/>
        <w:jc w:val="both"/>
        <w:rPr>
          <w:rFonts w:ascii="Verdana" w:eastAsia="Geomanist Light" w:hAnsi="Verdana" w:cs="Arial"/>
          <w:color w:val="000000" w:themeColor="text1"/>
          <w:sz w:val="20"/>
          <w:szCs w:val="20"/>
        </w:rPr>
      </w:pPr>
    </w:p>
    <w:p w14:paraId="777AAFCD" w14:textId="77777777" w:rsidR="008253A0" w:rsidRDefault="008253A0" w:rsidP="008253A0">
      <w:pPr>
        <w:spacing w:after="0" w:line="240" w:lineRule="auto"/>
        <w:jc w:val="both"/>
        <w:rPr>
          <w:rFonts w:ascii="Verdana" w:eastAsia="Geomanist Light" w:hAnsi="Verdana" w:cs="Arial"/>
          <w:color w:val="000000" w:themeColor="text1"/>
          <w:sz w:val="20"/>
          <w:szCs w:val="20"/>
        </w:rPr>
      </w:pPr>
      <w:r w:rsidRPr="00311F76">
        <w:rPr>
          <w:rFonts w:ascii="Verdana" w:eastAsia="Geomanist Light" w:hAnsi="Verdana" w:cs="Arial"/>
          <w:color w:val="000000" w:themeColor="text1"/>
          <w:sz w:val="20"/>
          <w:szCs w:val="20"/>
        </w:rPr>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38B7508C" w14:textId="77777777" w:rsidR="008253A0" w:rsidRDefault="008253A0" w:rsidP="008253A0">
      <w:pPr>
        <w:spacing w:after="311" w:line="271" w:lineRule="auto"/>
        <w:ind w:right="63"/>
        <w:jc w:val="both"/>
        <w:rPr>
          <w:rFonts w:ascii="Verdana" w:eastAsia="Geomanist Light" w:hAnsi="Verdana" w:cs="Arial"/>
          <w:color w:val="000000" w:themeColor="text1"/>
          <w:sz w:val="20"/>
          <w:szCs w:val="20"/>
        </w:rPr>
      </w:pPr>
    </w:p>
    <w:p w14:paraId="6B99D51C" w14:textId="77777777" w:rsidR="008253A0" w:rsidRPr="00E13808" w:rsidRDefault="008253A0" w:rsidP="008253A0">
      <w:pPr>
        <w:spacing w:line="276" w:lineRule="auto"/>
        <w:ind w:right="78"/>
        <w:jc w:val="both"/>
        <w:rPr>
          <w:rFonts w:ascii="Verdana" w:hAnsi="Verdana"/>
          <w:b/>
          <w:bCs/>
        </w:rPr>
      </w:pPr>
      <w:r w:rsidRPr="00E13808">
        <w:rPr>
          <w:rFonts w:ascii="Verdana" w:hAnsi="Verdana"/>
          <w:b/>
          <w:bCs/>
        </w:rPr>
        <w:t>DECRETO 1082 DE 2015 – Articulo 2.2.1.2.4.2.14 - Acreditación – Emprendimientos y empresas de mujeres</w:t>
      </w:r>
    </w:p>
    <w:p w14:paraId="0791939A" w14:textId="77777777" w:rsidR="008253A0" w:rsidRPr="00E13808" w:rsidRDefault="008253A0" w:rsidP="008253A0">
      <w:pPr>
        <w:spacing w:after="311" w:line="271" w:lineRule="auto"/>
        <w:ind w:right="63"/>
        <w:jc w:val="both"/>
        <w:rPr>
          <w:rFonts w:ascii="Verdana" w:hAnsi="Verdana"/>
        </w:rPr>
      </w:pPr>
      <w:r w:rsidRPr="00E13808">
        <w:rPr>
          <w:rFonts w:ascii="Verdana" w:hAnsi="Verdana"/>
        </w:rPr>
        <w:t>El artículo 2.2.1.2.4.2.14 del Decreto 1082 de 2015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w:t>
      </w:r>
    </w:p>
    <w:p w14:paraId="74C9518E" w14:textId="5EF54408" w:rsidR="00647741" w:rsidRDefault="00647741" w:rsidP="006149D3">
      <w:pPr>
        <w:spacing w:after="0" w:line="240" w:lineRule="auto"/>
        <w:rPr>
          <w:rFonts w:ascii="Verdana" w:eastAsia="Geomanist Light" w:hAnsi="Verdana" w:cs="Arial"/>
          <w:color w:val="000000" w:themeColor="text1"/>
        </w:rPr>
      </w:pPr>
    </w:p>
    <w:p w14:paraId="63BDE674" w14:textId="77777777" w:rsidR="008253A0" w:rsidRDefault="008253A0" w:rsidP="006149D3">
      <w:pPr>
        <w:spacing w:after="0" w:line="240" w:lineRule="auto"/>
        <w:rPr>
          <w:rFonts w:ascii="Verdana" w:eastAsia="Geomanist Light" w:hAnsi="Verdana" w:cs="Arial"/>
          <w:color w:val="000000" w:themeColor="text1"/>
        </w:rPr>
      </w:pPr>
    </w:p>
    <w:p w14:paraId="0FDFFEF7" w14:textId="77777777" w:rsidR="008253A0" w:rsidRDefault="008253A0" w:rsidP="006149D3">
      <w:pPr>
        <w:spacing w:after="0" w:line="240" w:lineRule="auto"/>
        <w:rPr>
          <w:rFonts w:ascii="Verdana" w:eastAsia="Geomanist Light" w:hAnsi="Verdana" w:cs="Arial"/>
          <w:color w:val="000000" w:themeColor="text1"/>
        </w:rPr>
      </w:pPr>
    </w:p>
    <w:p w14:paraId="33F21497" w14:textId="77777777" w:rsidR="008253A0" w:rsidRDefault="008253A0" w:rsidP="006149D3">
      <w:pPr>
        <w:spacing w:after="0" w:line="240" w:lineRule="auto"/>
        <w:rPr>
          <w:rFonts w:ascii="Verdana" w:eastAsia="Geomanist Light" w:hAnsi="Verdana" w:cs="Arial"/>
          <w:color w:val="000000" w:themeColor="text1"/>
        </w:rPr>
      </w:pPr>
    </w:p>
    <w:p w14:paraId="2A0D980D" w14:textId="77777777" w:rsidR="008253A0" w:rsidRDefault="008253A0" w:rsidP="006149D3">
      <w:pPr>
        <w:spacing w:after="0" w:line="240" w:lineRule="auto"/>
        <w:rPr>
          <w:rFonts w:ascii="Verdana" w:eastAsia="Geomanist Light" w:hAnsi="Verdana" w:cs="Arial"/>
          <w:color w:val="000000" w:themeColor="text1"/>
        </w:rPr>
      </w:pPr>
    </w:p>
    <w:p w14:paraId="166FC858" w14:textId="77777777" w:rsidR="008253A0" w:rsidRDefault="008253A0" w:rsidP="006149D3">
      <w:pPr>
        <w:spacing w:after="0" w:line="240" w:lineRule="auto"/>
        <w:rPr>
          <w:rFonts w:ascii="Verdana" w:eastAsia="Geomanist Light" w:hAnsi="Verdana" w:cs="Arial"/>
          <w:color w:val="000000" w:themeColor="text1"/>
        </w:rPr>
      </w:pPr>
    </w:p>
    <w:p w14:paraId="27220BE8" w14:textId="77777777" w:rsidR="008253A0" w:rsidRDefault="008253A0" w:rsidP="006149D3">
      <w:pPr>
        <w:spacing w:after="0" w:line="240" w:lineRule="auto"/>
        <w:rPr>
          <w:rFonts w:ascii="Verdana" w:eastAsia="Geomanist Light" w:hAnsi="Verdana" w:cs="Arial"/>
          <w:color w:val="000000" w:themeColor="text1"/>
        </w:rPr>
      </w:pPr>
    </w:p>
    <w:p w14:paraId="1CA5EBB4" w14:textId="77777777" w:rsidR="008253A0" w:rsidRDefault="008253A0" w:rsidP="006149D3">
      <w:pPr>
        <w:spacing w:after="0" w:line="240" w:lineRule="auto"/>
        <w:rPr>
          <w:rFonts w:ascii="Verdana" w:eastAsia="Geomanist Light" w:hAnsi="Verdana" w:cs="Arial"/>
          <w:color w:val="000000" w:themeColor="text1"/>
        </w:rPr>
      </w:pPr>
    </w:p>
    <w:p w14:paraId="324802C1" w14:textId="77777777" w:rsidR="008253A0" w:rsidRDefault="008253A0" w:rsidP="006149D3">
      <w:pPr>
        <w:spacing w:after="0" w:line="240" w:lineRule="auto"/>
        <w:rPr>
          <w:rFonts w:ascii="Verdana" w:eastAsia="Geomanist Light" w:hAnsi="Verdana" w:cs="Arial"/>
          <w:color w:val="000000" w:themeColor="text1"/>
        </w:rPr>
      </w:pPr>
    </w:p>
    <w:p w14:paraId="4E8B6638" w14:textId="77777777" w:rsidR="008253A0" w:rsidRDefault="008253A0" w:rsidP="006149D3">
      <w:pPr>
        <w:spacing w:after="0" w:line="240" w:lineRule="auto"/>
        <w:rPr>
          <w:rFonts w:ascii="Verdana" w:eastAsia="Geomanist Light" w:hAnsi="Verdana" w:cs="Arial"/>
          <w:color w:val="000000" w:themeColor="text1"/>
        </w:rPr>
      </w:pPr>
    </w:p>
    <w:p w14:paraId="474229F2" w14:textId="77777777" w:rsidR="008253A0" w:rsidRPr="008253A0" w:rsidRDefault="008253A0" w:rsidP="006149D3">
      <w:pPr>
        <w:spacing w:after="0" w:line="240" w:lineRule="auto"/>
        <w:rPr>
          <w:rFonts w:ascii="Verdana" w:eastAsia="Geomanist Light" w:hAnsi="Verdana" w:cs="Arial"/>
          <w:color w:val="000000" w:themeColor="text1"/>
        </w:rPr>
      </w:pPr>
    </w:p>
    <w:p w14:paraId="4B85A37B" w14:textId="77777777" w:rsidR="00647741" w:rsidRDefault="00647741" w:rsidP="006149D3">
      <w:pPr>
        <w:spacing w:after="0" w:line="240" w:lineRule="auto"/>
        <w:rPr>
          <w:rFonts w:ascii="Verdana" w:eastAsia="Geomanist Light" w:hAnsi="Verdana" w:cs="Arial"/>
          <w:color w:val="000000" w:themeColor="text1"/>
          <w:lang w:val="es-ES"/>
        </w:rPr>
      </w:pPr>
    </w:p>
    <w:p w14:paraId="2AA33E2D" w14:textId="77777777" w:rsidR="00647741" w:rsidRDefault="00647741" w:rsidP="006149D3">
      <w:pPr>
        <w:spacing w:after="0" w:line="240" w:lineRule="auto"/>
        <w:rPr>
          <w:rFonts w:ascii="Verdana" w:eastAsia="Geomanist Light" w:hAnsi="Verdana" w:cs="Arial"/>
          <w:color w:val="000000" w:themeColor="text1"/>
          <w:lang w:val="es-ES"/>
        </w:rPr>
      </w:pPr>
    </w:p>
    <w:p w14:paraId="540F2897" w14:textId="294FF3A7" w:rsidR="006149D3" w:rsidRPr="00115E3D" w:rsidRDefault="006149D3" w:rsidP="006149D3">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lastRenderedPageBreak/>
        <w:t>Bogotá D.C., </w:t>
      </w:r>
      <w:r w:rsidR="00C91E31" w:rsidRPr="00C91E31">
        <w:rPr>
          <w:rFonts w:ascii="Verdana" w:eastAsia="Geomanist Light" w:hAnsi="Verdana" w:cs="Arial"/>
          <w:color w:val="000000" w:themeColor="text1"/>
        </w:rPr>
        <w:t>19 de Noviembre de 2024</w:t>
      </w:r>
    </w:p>
    <w:p w14:paraId="64951DF7" w14:textId="317B6CD5" w:rsidR="006149D3" w:rsidRDefault="006149D3" w:rsidP="006149D3">
      <w:pPr>
        <w:spacing w:after="0" w:line="240" w:lineRule="auto"/>
        <w:jc w:val="both"/>
        <w:rPr>
          <w:rFonts w:ascii="Verdana" w:eastAsia="Calibri" w:hAnsi="Verdana" w:cs="Arial"/>
          <w:color w:val="000000" w:themeColor="text1"/>
          <w:lang w:val="es-ES"/>
        </w:rPr>
      </w:pPr>
    </w:p>
    <w:p w14:paraId="47AB8943" w14:textId="77777777" w:rsidR="006149D3" w:rsidRDefault="006149D3" w:rsidP="006149D3">
      <w:pPr>
        <w:spacing w:after="0" w:line="240" w:lineRule="auto"/>
        <w:jc w:val="both"/>
        <w:rPr>
          <w:rFonts w:ascii="Verdana" w:eastAsia="Calibri" w:hAnsi="Verdana" w:cs="Arial"/>
          <w:color w:val="000000" w:themeColor="text1"/>
          <w:lang w:val="es-ES"/>
        </w:rPr>
      </w:pPr>
    </w:p>
    <w:p w14:paraId="508F03CC" w14:textId="77777777" w:rsidR="006149D3" w:rsidRDefault="006149D3" w:rsidP="006149D3">
      <w:pPr>
        <w:spacing w:after="0" w:line="240" w:lineRule="auto"/>
        <w:jc w:val="both"/>
        <w:rPr>
          <w:rFonts w:ascii="Verdana" w:eastAsia="Calibri" w:hAnsi="Verdana" w:cs="Arial"/>
          <w:color w:val="000000" w:themeColor="text1"/>
          <w:lang w:val="es-ES"/>
        </w:rPr>
      </w:pPr>
    </w:p>
    <w:p w14:paraId="19917DC8" w14:textId="77777777" w:rsidR="006149D3" w:rsidRPr="00115E3D" w:rsidRDefault="006149D3" w:rsidP="006149D3">
      <w:pPr>
        <w:spacing w:after="0" w:line="240" w:lineRule="auto"/>
        <w:jc w:val="both"/>
        <w:rPr>
          <w:rFonts w:ascii="Verdana" w:eastAsia="Calibri" w:hAnsi="Verdana" w:cs="Arial"/>
          <w:color w:val="000000" w:themeColor="text1"/>
          <w:lang w:val="es-ES"/>
        </w:rPr>
      </w:pPr>
    </w:p>
    <w:p w14:paraId="7D931EDF" w14:textId="4AADD4D5" w:rsidR="006149D3" w:rsidRPr="00115E3D" w:rsidRDefault="008C3B92" w:rsidP="006149D3">
      <w:pPr>
        <w:spacing w:after="0" w:line="240" w:lineRule="auto"/>
        <w:jc w:val="both"/>
        <w:rPr>
          <w:rFonts w:ascii="Verdana" w:eastAsia="Calibri" w:hAnsi="Verdana" w:cs="Arial"/>
          <w:color w:val="000000" w:themeColor="text1"/>
          <w:lang w:val="es-ES" w:eastAsia="es-ES"/>
        </w:rPr>
      </w:pPr>
      <w:r w:rsidRPr="008C3B92">
        <w:rPr>
          <w:rFonts w:ascii="Verdana" w:eastAsia="Calibri" w:hAnsi="Verdana" w:cs="Arial"/>
          <w:noProof/>
          <w:color w:val="000000"/>
          <w:sz w:val="24"/>
          <w:szCs w:val="24"/>
          <w:lang w:val="es-ES" w:eastAsia="es-ES"/>
        </w:rPr>
        <w:drawing>
          <wp:anchor distT="0" distB="0" distL="114300" distR="114300" simplePos="0" relativeHeight="251658240" behindDoc="1" locked="0" layoutInCell="1" allowOverlap="1" wp14:anchorId="37CEF6D0" wp14:editId="5242EEE9">
            <wp:simplePos x="0" y="0"/>
            <wp:positionH relativeFrom="column">
              <wp:posOffset>3036921</wp:posOffset>
            </wp:positionH>
            <wp:positionV relativeFrom="paragraph">
              <wp:posOffset>4060</wp:posOffset>
            </wp:positionV>
            <wp:extent cx="3152775" cy="876300"/>
            <wp:effectExtent l="0" t="0" r="9525" b="0"/>
            <wp:wrapNone/>
            <wp:docPr id="18294696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69660"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52775" cy="876300"/>
                    </a:xfrm>
                    <a:prstGeom prst="rect">
                      <a:avLst/>
                    </a:prstGeom>
                  </pic:spPr>
                </pic:pic>
              </a:graphicData>
            </a:graphic>
          </wp:anchor>
        </w:drawing>
      </w:r>
      <w:r w:rsidR="006149D3" w:rsidRPr="00115E3D">
        <w:rPr>
          <w:rFonts w:ascii="Verdana" w:eastAsia="Calibri" w:hAnsi="Verdana" w:cs="Arial"/>
          <w:color w:val="000000" w:themeColor="text1"/>
          <w:lang w:val="es-ES" w:eastAsia="es-ES"/>
        </w:rPr>
        <w:t>Señor</w:t>
      </w:r>
    </w:p>
    <w:p w14:paraId="37CA7368" w14:textId="217DE819" w:rsidR="00CA6E07" w:rsidRPr="00CA6E07" w:rsidRDefault="00CA6E07" w:rsidP="00CA6E07">
      <w:pPr>
        <w:spacing w:after="0" w:line="276" w:lineRule="auto"/>
        <w:rPr>
          <w:rFonts w:ascii="Verdana" w:eastAsia="Calibri" w:hAnsi="Verdana" w:cs="Arial"/>
          <w:b/>
          <w:color w:val="000000"/>
          <w:sz w:val="24"/>
          <w:szCs w:val="24"/>
          <w:lang w:val="es-ES_tradnl" w:eastAsia="es-ES_tradnl"/>
        </w:rPr>
      </w:pPr>
      <w:r w:rsidRPr="00CA6E07">
        <w:rPr>
          <w:rFonts w:ascii="Verdana" w:eastAsia="Calibri" w:hAnsi="Verdana" w:cs="Arial"/>
          <w:b/>
          <w:color w:val="000000"/>
          <w:sz w:val="24"/>
          <w:szCs w:val="24"/>
          <w:lang w:val="es-ES" w:eastAsia="es-ES_tradnl"/>
        </w:rPr>
        <w:t>Luis Alexis Correa Salazar</w:t>
      </w:r>
    </w:p>
    <w:p w14:paraId="6CBA3AF7" w14:textId="66DABEF1" w:rsidR="00CA6E07" w:rsidRPr="00CA6E07" w:rsidRDefault="00CA6E07" w:rsidP="00CA6E07">
      <w:pPr>
        <w:spacing w:after="0" w:line="276" w:lineRule="auto"/>
        <w:rPr>
          <w:rFonts w:ascii="Verdana" w:eastAsia="Calibri" w:hAnsi="Verdana" w:cs="Arial"/>
          <w:color w:val="000000"/>
          <w:sz w:val="24"/>
          <w:szCs w:val="24"/>
          <w:u w:val="single"/>
          <w:lang w:val="es-ES" w:eastAsia="es-ES"/>
        </w:rPr>
      </w:pPr>
      <w:hyperlink r:id="rId11" w:history="1">
        <w:r w:rsidRPr="00CA6E07">
          <w:rPr>
            <w:rFonts w:ascii="Verdana" w:eastAsia="Calibri" w:hAnsi="Verdana" w:cs="Arial"/>
            <w:color w:val="0000FF"/>
            <w:sz w:val="24"/>
            <w:szCs w:val="24"/>
            <w:u w:val="single"/>
            <w:lang w:val="es-ES" w:eastAsia="es-ES"/>
          </w:rPr>
          <w:t>luiscorreasalazar@hotmail.com</w:t>
        </w:r>
      </w:hyperlink>
    </w:p>
    <w:p w14:paraId="3F74FBEF" w14:textId="636C3EB0" w:rsidR="00CA6E07" w:rsidRPr="00CA6E07" w:rsidRDefault="00CA6E07" w:rsidP="00CA6E07">
      <w:pPr>
        <w:spacing w:after="0" w:line="276" w:lineRule="auto"/>
        <w:rPr>
          <w:rFonts w:ascii="Verdana" w:eastAsia="Calibri" w:hAnsi="Verdana" w:cs="Arial"/>
          <w:b/>
          <w:bCs/>
          <w:color w:val="000000"/>
          <w:sz w:val="24"/>
          <w:szCs w:val="24"/>
          <w:lang w:val="es-ES" w:eastAsia="es-ES"/>
        </w:rPr>
      </w:pPr>
      <w:r w:rsidRPr="00CA6E07">
        <w:rPr>
          <w:rFonts w:ascii="Verdana" w:eastAsia="Calibri" w:hAnsi="Verdana" w:cs="Arial"/>
          <w:color w:val="000000"/>
          <w:sz w:val="24"/>
          <w:szCs w:val="24"/>
          <w:lang w:val="es-ES" w:eastAsia="es-ES"/>
        </w:rPr>
        <w:t>Piedecuesta</w:t>
      </w:r>
      <w:r w:rsidR="00AC44A5">
        <w:rPr>
          <w:rFonts w:ascii="Verdana" w:eastAsia="Calibri" w:hAnsi="Verdana" w:cs="Arial"/>
          <w:color w:val="000000"/>
          <w:sz w:val="24"/>
          <w:szCs w:val="24"/>
          <w:lang w:val="es-ES" w:eastAsia="es-ES"/>
        </w:rPr>
        <w:t>,</w:t>
      </w:r>
      <w:r w:rsidR="00681182">
        <w:rPr>
          <w:rFonts w:ascii="Verdana" w:eastAsia="Calibri" w:hAnsi="Verdana" w:cs="Arial"/>
          <w:color w:val="000000"/>
          <w:sz w:val="24"/>
          <w:szCs w:val="24"/>
          <w:lang w:val="es-ES" w:eastAsia="es-ES"/>
        </w:rPr>
        <w:t xml:space="preserve"> </w:t>
      </w:r>
      <w:r w:rsidRPr="00CA6E07">
        <w:rPr>
          <w:rFonts w:ascii="Verdana" w:eastAsia="Calibri" w:hAnsi="Verdana" w:cs="Arial"/>
          <w:color w:val="000000"/>
          <w:sz w:val="24"/>
          <w:szCs w:val="24"/>
          <w:lang w:val="es-ES" w:eastAsia="es-ES"/>
        </w:rPr>
        <w:t>Santander</w:t>
      </w:r>
      <w:r w:rsidR="008C3B92" w:rsidRPr="008C3B92">
        <w:rPr>
          <w:noProof/>
          <w14:ligatures w14:val="standardContextual"/>
        </w:rPr>
        <w:t xml:space="preserve"> </w:t>
      </w:r>
    </w:p>
    <w:p w14:paraId="651B370F" w14:textId="77777777" w:rsidR="006149D3" w:rsidRPr="007F31E1" w:rsidRDefault="006149D3" w:rsidP="006149D3">
      <w:pPr>
        <w:spacing w:after="0" w:line="240" w:lineRule="auto"/>
        <w:rPr>
          <w:rFonts w:ascii="Verdana" w:eastAsia="Calibri" w:hAnsi="Verdana" w:cs="Arial"/>
          <w:b/>
          <w:bCs/>
          <w:color w:val="000000" w:themeColor="text1"/>
          <w:lang w:eastAsia="es-ES_tradnl"/>
        </w:rPr>
      </w:pPr>
    </w:p>
    <w:p w14:paraId="601C206D" w14:textId="77777777" w:rsidR="006149D3" w:rsidRPr="007F31E1" w:rsidRDefault="006149D3" w:rsidP="006149D3">
      <w:pPr>
        <w:spacing w:after="0" w:line="240" w:lineRule="auto"/>
        <w:rPr>
          <w:rFonts w:ascii="Verdana" w:eastAsia="Calibri" w:hAnsi="Verdana" w:cs="Arial"/>
          <w:b/>
          <w:bCs/>
          <w:color w:val="000000" w:themeColor="text1"/>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149D3" w:rsidRPr="00115E3D" w14:paraId="6DDC31E4" w14:textId="77777777" w:rsidTr="00F627CD">
        <w:trPr>
          <w:trHeight w:val="884"/>
        </w:trPr>
        <w:tc>
          <w:tcPr>
            <w:tcW w:w="2689" w:type="dxa"/>
          </w:tcPr>
          <w:p w14:paraId="3214D79B" w14:textId="77777777" w:rsidR="006149D3" w:rsidRPr="007F31E1" w:rsidRDefault="006149D3" w:rsidP="00F627CD">
            <w:pPr>
              <w:jc w:val="both"/>
              <w:rPr>
                <w:rFonts w:ascii="Verdana" w:eastAsia="Calibri" w:hAnsi="Verdana" w:cs="Arial"/>
                <w:b/>
                <w:bCs/>
                <w:color w:val="000000" w:themeColor="text1"/>
                <w:lang w:eastAsia="es-ES_tradnl"/>
              </w:rPr>
            </w:pPr>
          </w:p>
        </w:tc>
        <w:tc>
          <w:tcPr>
            <w:tcW w:w="6100" w:type="dxa"/>
          </w:tcPr>
          <w:p w14:paraId="64A01F43" w14:textId="6CCC97D0" w:rsidR="006149D3" w:rsidRPr="00115E3D" w:rsidRDefault="006149D3" w:rsidP="00F627CD">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sidR="003969C9">
              <w:rPr>
                <w:rFonts w:ascii="Verdana" w:eastAsia="Calibri" w:hAnsi="Verdana" w:cs="Arial"/>
                <w:b/>
                <w:bCs/>
                <w:color w:val="000000" w:themeColor="text1"/>
                <w:lang w:val="es-ES" w:eastAsia="es-ES"/>
              </w:rPr>
              <w:t>695</w:t>
            </w:r>
            <w:r w:rsidRPr="00115E3D">
              <w:rPr>
                <w:rFonts w:ascii="Verdana" w:eastAsia="Calibri" w:hAnsi="Verdana" w:cs="Arial"/>
                <w:b/>
                <w:bCs/>
                <w:color w:val="000000" w:themeColor="text1"/>
                <w:lang w:val="es-ES" w:eastAsia="es-ES"/>
              </w:rPr>
              <w:t xml:space="preserve"> de 2024</w:t>
            </w:r>
          </w:p>
        </w:tc>
      </w:tr>
      <w:tr w:rsidR="006149D3" w:rsidRPr="00722635" w14:paraId="53B284E9" w14:textId="77777777" w:rsidTr="00F627CD">
        <w:trPr>
          <w:trHeight w:val="884"/>
        </w:trPr>
        <w:tc>
          <w:tcPr>
            <w:tcW w:w="2689" w:type="dxa"/>
          </w:tcPr>
          <w:p w14:paraId="3372EEE4" w14:textId="77777777" w:rsidR="006149D3" w:rsidRPr="00115E3D" w:rsidRDefault="006149D3" w:rsidP="00F627CD">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357D6595" w14:textId="3C2AFE1F" w:rsidR="00681182" w:rsidRPr="00681182" w:rsidRDefault="006149D3" w:rsidP="006B5AC8">
            <w:pPr>
              <w:jc w:val="both"/>
              <w:rPr>
                <w:rFonts w:ascii="Times New Roman" w:eastAsia="Times New Roman" w:hAnsi="Times New Roman" w:cs="Times New Roman"/>
                <w:sz w:val="24"/>
                <w:szCs w:val="24"/>
                <w:lang w:eastAsia="es-CO"/>
                <w14:ligatures w14:val="standardContextual"/>
              </w:rPr>
            </w:pPr>
            <w:r w:rsidRPr="00676B96">
              <w:rPr>
                <w:rFonts w:ascii="Verdana" w:hAnsi="Verdana" w:cs="Arial"/>
                <w:lang w:eastAsia="es-ES_tradnl"/>
              </w:rPr>
              <w:t>LEY DE EMPRENDIMIENTO –</w:t>
            </w:r>
            <w:r w:rsidRPr="002A6D21">
              <w:rPr>
                <w:rFonts w:ascii="Verdana" w:eastAsia="Times New Roman" w:hAnsi="Verdana" w:cs="Arial"/>
                <w:lang w:eastAsia="es-ES_tradnl"/>
              </w:rPr>
              <w:t xml:space="preserve"> </w:t>
            </w:r>
            <w:r w:rsidRPr="002A6D21">
              <w:rPr>
                <w:rFonts w:ascii="Verdana" w:hAnsi="Verdana" w:cs="Arial"/>
                <w:lang w:eastAsia="es-ES_tradnl"/>
              </w:rPr>
              <w:t xml:space="preserve">Ley 2069 de 2020 – Artículo 32 – </w:t>
            </w:r>
            <w:r>
              <w:rPr>
                <w:rFonts w:ascii="Verdana" w:hAnsi="Verdana" w:cs="Arial"/>
                <w:lang w:eastAsia="es-ES_tradnl"/>
              </w:rPr>
              <w:t xml:space="preserve">Normativa </w:t>
            </w:r>
            <w:r w:rsidRPr="00676B96">
              <w:rPr>
                <w:rFonts w:ascii="Verdana" w:hAnsi="Verdana" w:cs="Arial"/>
                <w:lang w:eastAsia="es-ES_tradnl"/>
              </w:rPr>
              <w:t>–</w:t>
            </w:r>
            <w:r>
              <w:rPr>
                <w:rFonts w:ascii="Verdana" w:hAnsi="Verdana" w:cs="Arial"/>
                <w:lang w:eastAsia="es-ES_tradnl"/>
              </w:rPr>
              <w:t xml:space="preserve"> DECRETO 1082 DE 2015 – </w:t>
            </w:r>
            <w:r w:rsidRPr="00676B96">
              <w:rPr>
                <w:rFonts w:ascii="Verdana" w:hAnsi="Verdana" w:cs="Arial"/>
                <w:lang w:eastAsia="es-ES_tradnl"/>
              </w:rPr>
              <w:t xml:space="preserve">Artículo 2.2.1.2.4.2.14 – </w:t>
            </w:r>
            <w:r w:rsidR="000552BC">
              <w:rPr>
                <w:rFonts w:ascii="Verdana" w:hAnsi="Verdana" w:cs="Arial"/>
                <w:lang w:eastAsia="es-ES_tradnl"/>
              </w:rPr>
              <w:t>Criterios diferenciales</w:t>
            </w:r>
            <w:r w:rsidR="00681182">
              <w:rPr>
                <w:rFonts w:ascii="Verdana" w:hAnsi="Verdana" w:cs="Arial"/>
                <w:lang w:eastAsia="es-ES_tradnl"/>
              </w:rPr>
              <w:t xml:space="preserve"> –C</w:t>
            </w:r>
            <w:r w:rsidR="00681182" w:rsidRPr="00681182">
              <w:rPr>
                <w:rFonts w:ascii="Verdana" w:eastAsia="Times New Roman" w:hAnsi="Verdana" w:cs="Times New Roman"/>
                <w:color w:val="000000"/>
                <w:sz w:val="24"/>
                <w:szCs w:val="24"/>
                <w:lang w:eastAsia="es-CO"/>
                <w14:ligatures w14:val="standardContextual"/>
              </w:rPr>
              <w:t>ondiciones habilitantes requeridas</w:t>
            </w:r>
          </w:p>
          <w:p w14:paraId="5B436C6E" w14:textId="26AED78D" w:rsidR="006149D3" w:rsidRPr="00681182" w:rsidRDefault="006149D3" w:rsidP="00F627CD">
            <w:pPr>
              <w:jc w:val="both"/>
              <w:rPr>
                <w:rFonts w:ascii="Verdana" w:hAnsi="Verdana" w:cs="Arial"/>
                <w:lang w:eastAsia="es-ES_tradnl"/>
              </w:rPr>
            </w:pPr>
          </w:p>
          <w:p w14:paraId="44A39C5D" w14:textId="77777777" w:rsidR="006149D3" w:rsidRPr="009514AE" w:rsidRDefault="006149D3" w:rsidP="00F627CD">
            <w:pPr>
              <w:spacing w:line="276" w:lineRule="auto"/>
              <w:jc w:val="both"/>
              <w:rPr>
                <w:rFonts w:ascii="Verdana" w:eastAsia="Calibri" w:hAnsi="Verdana" w:cs="Arial"/>
                <w:color w:val="000000" w:themeColor="text1"/>
                <w:lang w:val="es-ES_tradnl" w:eastAsia="es-ES"/>
              </w:rPr>
            </w:pPr>
          </w:p>
        </w:tc>
      </w:tr>
      <w:tr w:rsidR="006149D3" w:rsidRPr="00115E3D" w14:paraId="0E856C9B" w14:textId="77777777" w:rsidTr="00F627CD">
        <w:tc>
          <w:tcPr>
            <w:tcW w:w="2689" w:type="dxa"/>
          </w:tcPr>
          <w:p w14:paraId="02A1B26B" w14:textId="77777777" w:rsidR="006149D3" w:rsidRPr="00115E3D" w:rsidRDefault="006149D3" w:rsidP="00F627CD">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10466933" w14:textId="77777777" w:rsidR="006149D3" w:rsidRPr="00115E3D" w:rsidRDefault="006149D3" w:rsidP="00F627CD">
            <w:pPr>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_tradnl" w:eastAsia="es-ES_tradnl"/>
              </w:rPr>
              <w:t>Respuesta a consulta con radicado No.</w:t>
            </w:r>
          </w:p>
          <w:p w14:paraId="783E7117" w14:textId="46CF2310" w:rsidR="006149D3" w:rsidRPr="007F31E1" w:rsidRDefault="00AC44A5" w:rsidP="00F627CD">
            <w:pPr>
              <w:jc w:val="both"/>
              <w:rPr>
                <w:rFonts w:ascii="Verdana" w:hAnsi="Verdana" w:cs="Calibri"/>
                <w:color w:val="000000"/>
              </w:rPr>
            </w:pPr>
            <w:r>
              <w:rPr>
                <w:rFonts w:ascii="Verdana" w:hAnsi="Verdana" w:cs="Calibri"/>
                <w:color w:val="000000"/>
              </w:rPr>
              <w:t>P20241003010119</w:t>
            </w:r>
          </w:p>
        </w:tc>
      </w:tr>
    </w:tbl>
    <w:p w14:paraId="2FA4237E" w14:textId="77777777" w:rsidR="006149D3" w:rsidRPr="00115E3D" w:rsidRDefault="006149D3" w:rsidP="006149D3">
      <w:pPr>
        <w:spacing w:after="0" w:line="240" w:lineRule="auto"/>
        <w:jc w:val="both"/>
        <w:rPr>
          <w:rFonts w:ascii="Verdana" w:eastAsia="Calibri" w:hAnsi="Verdana" w:cs="Arial"/>
          <w:color w:val="000000" w:themeColor="text1"/>
          <w:lang w:val="es-ES_tradnl" w:eastAsia="es-ES_tradnl"/>
        </w:rPr>
      </w:pPr>
    </w:p>
    <w:p w14:paraId="46F2608E" w14:textId="77777777" w:rsidR="006149D3" w:rsidRPr="00115E3D" w:rsidRDefault="006149D3" w:rsidP="006149D3">
      <w:pPr>
        <w:spacing w:after="0" w:line="240" w:lineRule="auto"/>
        <w:jc w:val="both"/>
        <w:rPr>
          <w:rFonts w:ascii="Verdana" w:eastAsia="Calibri" w:hAnsi="Verdana" w:cs="Arial"/>
          <w:color w:val="000000" w:themeColor="text1"/>
          <w:lang w:val="es-ES_tradnl" w:eastAsia="es-ES_tradnl"/>
        </w:rPr>
      </w:pPr>
    </w:p>
    <w:p w14:paraId="5B6F01E0" w14:textId="77DC1B01" w:rsidR="006149D3" w:rsidRPr="00115E3D" w:rsidRDefault="006149D3" w:rsidP="006149D3">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Estimado señor</w:t>
      </w:r>
      <w:r>
        <w:rPr>
          <w:rFonts w:ascii="Verdana" w:eastAsia="Calibri" w:hAnsi="Verdana" w:cs="Arial"/>
          <w:color w:val="000000" w:themeColor="text1"/>
          <w:lang w:val="es-ES" w:eastAsia="es-ES"/>
        </w:rPr>
        <w:t xml:space="preserve"> </w:t>
      </w:r>
      <w:r w:rsidR="00AC44A5">
        <w:rPr>
          <w:rFonts w:ascii="Verdana" w:eastAsia="Calibri" w:hAnsi="Verdana" w:cs="Arial"/>
          <w:color w:val="000000" w:themeColor="text1"/>
          <w:lang w:val="es-ES" w:eastAsia="es-ES"/>
        </w:rPr>
        <w:t>Correa</w:t>
      </w:r>
      <w:r w:rsidRPr="00115E3D">
        <w:rPr>
          <w:rFonts w:ascii="Verdana" w:eastAsia="Calibri" w:hAnsi="Verdana" w:cs="Arial"/>
          <w:color w:val="000000" w:themeColor="text1"/>
          <w:lang w:val="es-ES" w:eastAsia="es-ES"/>
        </w:rPr>
        <w:t xml:space="preserve">: </w:t>
      </w:r>
    </w:p>
    <w:p w14:paraId="4CA7C37E" w14:textId="77777777" w:rsidR="006149D3" w:rsidRPr="00115E3D" w:rsidRDefault="006149D3" w:rsidP="006149D3">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5B039FCC" w14:textId="6A9AE498" w:rsidR="006149D3" w:rsidRPr="00115E3D" w:rsidRDefault="006149D3" w:rsidP="006149D3">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sidR="00AC44A5">
        <w:rPr>
          <w:rFonts w:ascii="Verdana" w:eastAsia="Calibri" w:hAnsi="Verdana" w:cs="Arial"/>
          <w:color w:val="000000" w:themeColor="text1"/>
          <w:lang w:val="es-ES" w:eastAsia="es-ES"/>
        </w:rPr>
        <w:t>03</w:t>
      </w:r>
      <w:r w:rsidRPr="00115E3D">
        <w:rPr>
          <w:rFonts w:ascii="Verdana" w:eastAsia="Calibri" w:hAnsi="Verdana" w:cs="Arial"/>
          <w:color w:val="000000" w:themeColor="text1"/>
          <w:lang w:val="es-ES" w:eastAsia="es-ES"/>
        </w:rPr>
        <w:t xml:space="preserve"> de </w:t>
      </w:r>
      <w:r w:rsidR="00AC44A5">
        <w:rPr>
          <w:rFonts w:ascii="Verdana" w:eastAsia="Calibri" w:hAnsi="Verdana" w:cs="Arial"/>
          <w:color w:val="000000" w:themeColor="text1"/>
          <w:lang w:val="es-ES" w:eastAsia="es-ES"/>
        </w:rPr>
        <w:t>octubre</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35164BF2" w14:textId="77777777" w:rsidR="006149D3" w:rsidRPr="00115E3D" w:rsidRDefault="006149D3" w:rsidP="006149D3">
      <w:pPr>
        <w:pStyle w:val="Prrafodelista"/>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6B630ABE" w14:textId="7A7E5930" w:rsidR="006149D3" w:rsidRPr="006149D3" w:rsidRDefault="006149D3" w:rsidP="006149D3">
      <w:pPr>
        <w:spacing w:after="0" w:line="240" w:lineRule="auto"/>
        <w:ind w:left="709" w:right="709"/>
        <w:jc w:val="both"/>
        <w:rPr>
          <w:rFonts w:ascii="Verdana" w:eastAsia="Century Gothic" w:hAnsi="Verdana" w:cs="Century Gothic"/>
          <w:i/>
          <w:iCs/>
          <w:color w:val="000000" w:themeColor="text1"/>
          <w:sz w:val="20"/>
          <w:szCs w:val="20"/>
        </w:rPr>
      </w:pPr>
      <w:bookmarkStart w:id="0" w:name="_Hlk95313578"/>
      <w:r w:rsidRPr="007139C4">
        <w:rPr>
          <w:rFonts w:ascii="Verdana" w:eastAsia="Century Gothic" w:hAnsi="Verdana" w:cs="Century Gothic"/>
          <w:i/>
          <w:iCs/>
          <w:color w:val="000000" w:themeColor="text1"/>
          <w:sz w:val="20"/>
          <w:szCs w:val="20"/>
          <w:lang w:val="es-ES"/>
        </w:rPr>
        <w:t>“</w:t>
      </w:r>
      <w:bookmarkEnd w:id="0"/>
      <w:r w:rsidRPr="006149D3">
        <w:rPr>
          <w:rFonts w:ascii="Verdana" w:eastAsia="Century Gothic" w:hAnsi="Verdana" w:cs="Century Gothic"/>
          <w:i/>
          <w:iCs/>
          <w:color w:val="000000" w:themeColor="text1"/>
          <w:sz w:val="20"/>
          <w:szCs w:val="20"/>
        </w:rPr>
        <w:t>El factor diferencial para MyPimes y Emprendimiento y empresa de mujeres seaplica para cumplir experiencia con contratos adicionales a los requeridos en pliegos,</w:t>
      </w:r>
      <w:r>
        <w:rPr>
          <w:rFonts w:ascii="Verdana" w:eastAsia="Century Gothic" w:hAnsi="Verdana" w:cs="Century Gothic"/>
          <w:i/>
          <w:iCs/>
          <w:color w:val="000000" w:themeColor="text1"/>
          <w:sz w:val="20"/>
          <w:szCs w:val="20"/>
        </w:rPr>
        <w:t xml:space="preserve"> </w:t>
      </w:r>
      <w:r w:rsidRPr="006149D3">
        <w:rPr>
          <w:rFonts w:ascii="Verdana" w:eastAsia="Century Gothic" w:hAnsi="Verdana" w:cs="Century Gothic"/>
          <w:i/>
          <w:iCs/>
          <w:color w:val="000000" w:themeColor="text1"/>
          <w:sz w:val="20"/>
          <w:szCs w:val="20"/>
        </w:rPr>
        <w:t>luego surge esta pregunta</w:t>
      </w:r>
    </w:p>
    <w:p w14:paraId="336C5FE7" w14:textId="210C2714" w:rsidR="006149D3" w:rsidRPr="007139C4" w:rsidRDefault="006149D3" w:rsidP="006149D3">
      <w:pPr>
        <w:spacing w:after="0" w:line="240" w:lineRule="auto"/>
        <w:ind w:left="709" w:right="709"/>
        <w:jc w:val="both"/>
        <w:rPr>
          <w:rFonts w:ascii="Verdana" w:eastAsia="Century Gothic" w:hAnsi="Verdana" w:cs="Century Gothic"/>
          <w:i/>
          <w:iCs/>
          <w:color w:val="000000" w:themeColor="text1"/>
          <w:sz w:val="20"/>
          <w:szCs w:val="20"/>
        </w:rPr>
      </w:pPr>
      <w:r w:rsidRPr="006149D3">
        <w:rPr>
          <w:rFonts w:ascii="Verdana" w:eastAsia="Century Gothic" w:hAnsi="Verdana" w:cs="Century Gothic"/>
          <w:i/>
          <w:iCs/>
          <w:color w:val="000000" w:themeColor="text1"/>
          <w:sz w:val="20"/>
          <w:szCs w:val="20"/>
        </w:rPr>
        <w:t>Tambien aplicaria para cumplir experiencia con menos contratos solicitados en</w:t>
      </w:r>
      <w:r>
        <w:rPr>
          <w:rFonts w:ascii="Verdana" w:eastAsia="Century Gothic" w:hAnsi="Verdana" w:cs="Century Gothic"/>
          <w:i/>
          <w:iCs/>
          <w:color w:val="000000" w:themeColor="text1"/>
          <w:sz w:val="20"/>
          <w:szCs w:val="20"/>
        </w:rPr>
        <w:t xml:space="preserve"> </w:t>
      </w:r>
      <w:r w:rsidRPr="006149D3">
        <w:rPr>
          <w:rFonts w:ascii="Verdana" w:eastAsia="Century Gothic" w:hAnsi="Verdana" w:cs="Century Gothic"/>
          <w:i/>
          <w:iCs/>
          <w:color w:val="000000" w:themeColor="text1"/>
          <w:sz w:val="20"/>
          <w:szCs w:val="20"/>
        </w:rPr>
        <w:t>pliegos? ejemplo, si la entidad estatal solicita dos contratos como condici</w:t>
      </w:r>
      <w:r w:rsidRPr="006149D3">
        <w:rPr>
          <w:rFonts w:ascii="Verdana" w:eastAsia="Century Gothic" w:hAnsi="Verdana" w:cs="Century Gothic" w:hint="eastAsia"/>
          <w:i/>
          <w:iCs/>
          <w:color w:val="000000" w:themeColor="text1"/>
          <w:sz w:val="20"/>
          <w:szCs w:val="20"/>
        </w:rPr>
        <w:t>ó</w:t>
      </w:r>
      <w:r w:rsidRPr="006149D3">
        <w:rPr>
          <w:rFonts w:ascii="Verdana" w:eastAsia="Century Gothic" w:hAnsi="Verdana" w:cs="Century Gothic"/>
          <w:i/>
          <w:iCs/>
          <w:color w:val="000000" w:themeColor="text1"/>
          <w:sz w:val="20"/>
          <w:szCs w:val="20"/>
        </w:rPr>
        <w:t>n para</w:t>
      </w:r>
      <w:r>
        <w:rPr>
          <w:rFonts w:ascii="Verdana" w:eastAsia="Century Gothic" w:hAnsi="Verdana" w:cs="Century Gothic"/>
          <w:i/>
          <w:iCs/>
          <w:color w:val="000000" w:themeColor="text1"/>
          <w:sz w:val="20"/>
          <w:szCs w:val="20"/>
        </w:rPr>
        <w:t xml:space="preserve"> </w:t>
      </w:r>
      <w:r w:rsidRPr="006149D3">
        <w:rPr>
          <w:rFonts w:ascii="Verdana" w:eastAsia="Century Gothic" w:hAnsi="Verdana" w:cs="Century Gothic"/>
          <w:i/>
          <w:iCs/>
          <w:color w:val="000000" w:themeColor="text1"/>
          <w:sz w:val="20"/>
          <w:szCs w:val="20"/>
        </w:rPr>
        <w:t xml:space="preserve">cumplir la experiencia, general o especifica, este </w:t>
      </w:r>
      <w:r w:rsidRPr="006149D3">
        <w:rPr>
          <w:rFonts w:ascii="Verdana" w:eastAsia="Century Gothic" w:hAnsi="Verdana" w:cs="Century Gothic"/>
          <w:i/>
          <w:iCs/>
          <w:color w:val="000000" w:themeColor="text1"/>
          <w:sz w:val="20"/>
          <w:szCs w:val="20"/>
        </w:rPr>
        <w:lastRenderedPageBreak/>
        <w:t>factor diferencial habilita a la</w:t>
      </w:r>
      <w:r>
        <w:rPr>
          <w:rFonts w:ascii="Verdana" w:eastAsia="Century Gothic" w:hAnsi="Verdana" w:cs="Century Gothic"/>
          <w:i/>
          <w:iCs/>
          <w:color w:val="000000" w:themeColor="text1"/>
          <w:sz w:val="20"/>
          <w:szCs w:val="20"/>
        </w:rPr>
        <w:t xml:space="preserve"> </w:t>
      </w:r>
      <w:r w:rsidRPr="006149D3">
        <w:rPr>
          <w:rFonts w:ascii="Verdana" w:eastAsia="Century Gothic" w:hAnsi="Verdana" w:cs="Century Gothic"/>
          <w:i/>
          <w:iCs/>
          <w:color w:val="000000" w:themeColor="text1"/>
          <w:sz w:val="20"/>
          <w:szCs w:val="20"/>
        </w:rPr>
        <w:t>MyPimes o Emprendimiento y empresa de mujeres para cumplir con un solo</w:t>
      </w:r>
      <w:r>
        <w:rPr>
          <w:rFonts w:ascii="Verdana" w:eastAsia="Century Gothic" w:hAnsi="Verdana" w:cs="Century Gothic"/>
          <w:i/>
          <w:iCs/>
          <w:color w:val="000000" w:themeColor="text1"/>
          <w:sz w:val="20"/>
          <w:szCs w:val="20"/>
        </w:rPr>
        <w:t xml:space="preserve"> </w:t>
      </w:r>
      <w:r w:rsidR="00A04BCB" w:rsidRPr="006149D3">
        <w:rPr>
          <w:rFonts w:ascii="Verdana" w:eastAsia="Century Gothic" w:hAnsi="Verdana" w:cs="Century Gothic"/>
          <w:i/>
          <w:iCs/>
          <w:color w:val="000000" w:themeColor="text1"/>
          <w:sz w:val="20"/>
          <w:szCs w:val="20"/>
        </w:rPr>
        <w:t>contrato?</w:t>
      </w:r>
      <w:r w:rsidR="00A04BCB">
        <w:rPr>
          <w:rFonts w:ascii="Verdana" w:eastAsia="Century Gothic" w:hAnsi="Verdana" w:cs="Century Gothic"/>
          <w:i/>
          <w:iCs/>
          <w:color w:val="000000" w:themeColor="text1"/>
          <w:sz w:val="20"/>
          <w:szCs w:val="20"/>
        </w:rPr>
        <w:t>” (</w:t>
      </w:r>
      <w:r>
        <w:rPr>
          <w:rFonts w:ascii="Verdana" w:eastAsia="Century Gothic" w:hAnsi="Verdana" w:cs="Century Gothic"/>
          <w:i/>
          <w:iCs/>
          <w:color w:val="000000" w:themeColor="text1"/>
          <w:sz w:val="20"/>
          <w:szCs w:val="20"/>
        </w:rPr>
        <w:t>SIC)</w:t>
      </w:r>
    </w:p>
    <w:p w14:paraId="1C85B716" w14:textId="77777777" w:rsidR="006149D3" w:rsidRPr="00115E3D" w:rsidRDefault="006149D3" w:rsidP="006149D3">
      <w:pPr>
        <w:pStyle w:val="Prrafodelista"/>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50CD852F" w14:textId="77777777" w:rsidR="006149D3" w:rsidRPr="00115E3D" w:rsidRDefault="006149D3" w:rsidP="006149D3">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777B2CC5" w14:textId="77777777" w:rsidR="006149D3" w:rsidRPr="00115E3D" w:rsidRDefault="006149D3" w:rsidP="006149D3">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eastAsia="Calibri" w:hAnsi="Verdana" w:cs="Arial"/>
          <w:color w:val="000000" w:themeColor="text1"/>
          <w:lang w:val="es-ES" w:eastAsia="es-ES"/>
        </w:rPr>
        <w:t>el problema jurídico</w:t>
      </w:r>
      <w:r w:rsidRPr="00115E3D">
        <w:rPr>
          <w:rFonts w:ascii="Verdana" w:eastAsia="Calibri" w:hAnsi="Verdana" w:cs="Arial"/>
          <w:color w:val="000000" w:themeColor="text1"/>
          <w:lang w:val="es-ES" w:eastAsia="es-ES"/>
        </w:rPr>
        <w:t xml:space="preserve"> de su consulta. </w:t>
      </w:r>
    </w:p>
    <w:p w14:paraId="4B717375" w14:textId="77777777" w:rsidR="006149D3" w:rsidRPr="00115E3D" w:rsidRDefault="006149D3" w:rsidP="006149D3">
      <w:pPr>
        <w:spacing w:after="0" w:line="276" w:lineRule="auto"/>
        <w:ind w:firstLine="709"/>
        <w:jc w:val="both"/>
        <w:rPr>
          <w:rFonts w:ascii="Verdana" w:eastAsia="Calibri" w:hAnsi="Verdana" w:cs="Arial"/>
          <w:color w:val="000000" w:themeColor="text1"/>
          <w:lang w:val="es-ES" w:eastAsia="es-ES"/>
        </w:rPr>
      </w:pPr>
    </w:p>
    <w:p w14:paraId="5A672CF0" w14:textId="77777777" w:rsidR="006149D3" w:rsidRPr="00115E3D" w:rsidRDefault="006149D3" w:rsidP="006149D3">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Problema planteado:</w:t>
      </w:r>
    </w:p>
    <w:p w14:paraId="4333E06F" w14:textId="77777777" w:rsidR="006149D3" w:rsidRPr="00115E3D" w:rsidRDefault="006149D3" w:rsidP="006149D3">
      <w:pPr>
        <w:tabs>
          <w:tab w:val="left" w:pos="426"/>
        </w:tabs>
        <w:spacing w:after="0" w:line="276" w:lineRule="auto"/>
        <w:jc w:val="both"/>
        <w:rPr>
          <w:rFonts w:ascii="Verdana" w:eastAsia="Century Gothic" w:hAnsi="Verdana" w:cs="Century Gothic"/>
          <w:color w:val="000000" w:themeColor="text1"/>
          <w:lang w:val="es-ES"/>
        </w:rPr>
      </w:pPr>
    </w:p>
    <w:p w14:paraId="31DE1625" w14:textId="77777777" w:rsidR="00A04BCB" w:rsidRDefault="006149D3" w:rsidP="006149D3">
      <w:pPr>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Pr>
          <w:rFonts w:ascii="Verdana" w:eastAsia="Century Gothic" w:hAnsi="Verdana" w:cs="Century Gothic"/>
          <w:color w:val="000000" w:themeColor="text1"/>
        </w:rPr>
        <w:t>los</w:t>
      </w:r>
      <w:r w:rsidRPr="00115E3D">
        <w:rPr>
          <w:rFonts w:ascii="Verdana" w:eastAsia="Century Gothic" w:hAnsi="Verdana" w:cs="Century Gothic"/>
          <w:color w:val="000000" w:themeColor="text1"/>
        </w:rPr>
        <w:t xml:space="preserve"> siguiente</w:t>
      </w:r>
      <w:r>
        <w:rPr>
          <w:rFonts w:ascii="Verdana" w:eastAsia="Century Gothic" w:hAnsi="Verdana" w:cs="Century Gothic"/>
          <w:color w:val="000000" w:themeColor="text1"/>
        </w:rPr>
        <w:t xml:space="preserve">s </w:t>
      </w:r>
      <w:r w:rsidRPr="00077175">
        <w:rPr>
          <w:rFonts w:ascii="Verdana" w:eastAsia="Century Gothic" w:hAnsi="Verdana" w:cs="Century Gothic"/>
          <w:color w:val="000000" w:themeColor="text1"/>
        </w:rPr>
        <w:t>problema</w:t>
      </w:r>
      <w:r>
        <w:rPr>
          <w:rFonts w:ascii="Verdana" w:eastAsia="Century Gothic" w:hAnsi="Verdana" w:cs="Century Gothic"/>
          <w:color w:val="000000" w:themeColor="text1"/>
        </w:rPr>
        <w:t>s</w:t>
      </w:r>
      <w:r w:rsidRPr="00077175">
        <w:rPr>
          <w:rFonts w:ascii="Verdana" w:eastAsia="Century Gothic" w:hAnsi="Verdana" w:cs="Century Gothic"/>
          <w:color w:val="000000" w:themeColor="text1"/>
        </w:rPr>
        <w:t xml:space="preserve"> jurídico</w:t>
      </w:r>
      <w:r>
        <w:rPr>
          <w:rFonts w:ascii="Verdana" w:eastAsia="Century Gothic" w:hAnsi="Verdana" w:cs="Century Gothic"/>
          <w:color w:val="000000" w:themeColor="text1"/>
        </w:rPr>
        <w:t>s</w:t>
      </w:r>
      <w:r w:rsidRPr="00077175">
        <w:rPr>
          <w:rFonts w:ascii="Verdana" w:eastAsia="Century Gothic" w:hAnsi="Verdana" w:cs="Century Gothic"/>
          <w:color w:val="000000" w:themeColor="text1"/>
        </w:rPr>
        <w:t>:</w:t>
      </w:r>
      <w:r>
        <w:rPr>
          <w:rFonts w:ascii="Verdana" w:eastAsia="Century Gothic" w:hAnsi="Verdana" w:cs="Century Gothic"/>
          <w:color w:val="000000" w:themeColor="text1"/>
        </w:rPr>
        <w:t xml:space="preserve"> </w:t>
      </w:r>
      <w:r w:rsidRPr="00077175">
        <w:rPr>
          <w:rFonts w:ascii="Verdana" w:eastAsia="Century Gothic" w:hAnsi="Verdana" w:cs="Century Gothic"/>
          <w:color w:val="000000" w:themeColor="text1"/>
        </w:rPr>
        <w:t xml:space="preserve"> </w:t>
      </w:r>
    </w:p>
    <w:p w14:paraId="2E382223" w14:textId="1B0B74B7" w:rsidR="00A04BCB" w:rsidRPr="00825666" w:rsidRDefault="00825666" w:rsidP="00825666">
      <w:pPr>
        <w:pStyle w:val="Prrafodelista"/>
        <w:numPr>
          <w:ilvl w:val="0"/>
          <w:numId w:val="3"/>
        </w:numPr>
        <w:jc w:val="both"/>
        <w:rPr>
          <w:rFonts w:ascii="Verdana" w:hAnsi="Verdana"/>
        </w:rPr>
      </w:pPr>
      <w:r w:rsidRPr="00825666">
        <w:rPr>
          <w:rFonts w:ascii="Verdana" w:hAnsi="Verdana"/>
        </w:rPr>
        <w:t>¿</w:t>
      </w:r>
      <w:r w:rsidRPr="00825666">
        <w:rPr>
          <w:rFonts w:ascii="Verdana" w:eastAsia="Times New Roman" w:hAnsi="Verdana" w:cs="Times New Roman"/>
          <w:sz w:val="24"/>
          <w:szCs w:val="24"/>
          <w:lang w:eastAsia="es-CO"/>
        </w:rPr>
        <w:t>Cuáles</w:t>
      </w:r>
      <w:r w:rsidRPr="00825666">
        <w:rPr>
          <w:rFonts w:ascii="Verdana" w:hAnsi="Verdana"/>
        </w:rPr>
        <w:t xml:space="preserve"> son los </w:t>
      </w:r>
      <w:r>
        <w:rPr>
          <w:rFonts w:ascii="Verdana" w:hAnsi="Verdana"/>
        </w:rPr>
        <w:t xml:space="preserve">criterios </w:t>
      </w:r>
      <w:r w:rsidRPr="00825666">
        <w:rPr>
          <w:rFonts w:ascii="Verdana" w:hAnsi="Verdana"/>
        </w:rPr>
        <w:t>diferenciales que deben incorporar los Documentos del Proceso según el artículo 2.2.1.2.4.2.14</w:t>
      </w:r>
      <w:r>
        <w:rPr>
          <w:rFonts w:ascii="Verdana" w:hAnsi="Verdana"/>
        </w:rPr>
        <w:t xml:space="preserve"> del Decreto 1082 de 2015</w:t>
      </w:r>
      <w:r w:rsidRPr="00825666">
        <w:rPr>
          <w:rFonts w:ascii="Verdana" w:hAnsi="Verdana"/>
        </w:rPr>
        <w:t>?</w:t>
      </w:r>
    </w:p>
    <w:p w14:paraId="4557D941" w14:textId="77777777" w:rsidR="006149D3" w:rsidRDefault="006149D3" w:rsidP="006149D3">
      <w:pPr>
        <w:spacing w:after="0" w:line="276" w:lineRule="auto"/>
        <w:jc w:val="both"/>
        <w:rPr>
          <w:rFonts w:ascii="Verdana" w:eastAsia="Calibri" w:hAnsi="Verdana" w:cs="Arial"/>
          <w:color w:val="000000" w:themeColor="text1"/>
          <w:lang w:val="es-ES"/>
        </w:rPr>
      </w:pPr>
    </w:p>
    <w:p w14:paraId="563666FB" w14:textId="77777777" w:rsidR="006149D3" w:rsidRPr="00115E3D" w:rsidRDefault="006149D3" w:rsidP="006149D3">
      <w:pPr>
        <w:spacing w:after="0" w:line="276" w:lineRule="auto"/>
        <w:jc w:val="both"/>
        <w:rPr>
          <w:rFonts w:ascii="Verdana" w:eastAsia="Calibri" w:hAnsi="Verdana" w:cs="Arial"/>
          <w:color w:val="000000" w:themeColor="text1"/>
          <w:lang w:val="es-ES"/>
        </w:rPr>
      </w:pPr>
    </w:p>
    <w:p w14:paraId="00199942" w14:textId="77777777" w:rsidR="006149D3" w:rsidRPr="00115E3D" w:rsidRDefault="006149D3" w:rsidP="006149D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Respuesta:</w:t>
      </w:r>
    </w:p>
    <w:p w14:paraId="711925EE" w14:textId="77777777" w:rsidR="006149D3" w:rsidRPr="00AD03BD" w:rsidRDefault="006149D3" w:rsidP="006149D3">
      <w:pPr>
        <w:tabs>
          <w:tab w:val="left" w:pos="142"/>
          <w:tab w:val="left" w:pos="284"/>
        </w:tabs>
        <w:spacing w:after="0" w:line="276" w:lineRule="auto"/>
        <w:jc w:val="both"/>
        <w:rPr>
          <w:rFonts w:ascii="Verdana" w:eastAsia="Century Gothic" w:hAnsi="Verdana" w:cs="Century Gothic"/>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149D3" w:rsidRPr="00AD03BD" w14:paraId="2D2080A3" w14:textId="77777777" w:rsidTr="00F627CD">
        <w:tc>
          <w:tcPr>
            <w:tcW w:w="8828" w:type="dxa"/>
            <w:shd w:val="clear" w:color="auto" w:fill="auto"/>
          </w:tcPr>
          <w:p w14:paraId="3C694A93" w14:textId="0412DCBE" w:rsidR="00CF7E4B" w:rsidRDefault="00ED585A" w:rsidP="00CF7E4B">
            <w:pPr>
              <w:spacing w:after="120" w:line="276" w:lineRule="auto"/>
              <w:ind w:firstLine="709"/>
              <w:jc w:val="both"/>
              <w:rPr>
                <w:rFonts w:ascii="Verdana" w:hAnsi="Verdana"/>
              </w:rPr>
            </w:pPr>
            <w:r>
              <w:rPr>
                <w:rFonts w:ascii="Verdana" w:hAnsi="Verdana"/>
              </w:rPr>
              <w:t xml:space="preserve">De manera preliminar, </w:t>
            </w:r>
            <w:r w:rsidRPr="00115E3D">
              <w:rPr>
                <w:rFonts w:ascii="Verdana" w:eastAsia="Calibri" w:hAnsi="Verdana" w:cs="Arial"/>
                <w:color w:val="000000" w:themeColor="text1"/>
                <w:lang w:val="es-ES" w:eastAsia="es-ES"/>
              </w:rPr>
              <w:t>resulta necesario acotar que esta entidad</w:t>
            </w:r>
            <w:r>
              <w:rPr>
                <w:rFonts w:ascii="Verdana" w:hAnsi="Verdana"/>
              </w:rPr>
              <w:t xml:space="preserve"> </w:t>
            </w:r>
            <w:r w:rsidR="00CF7E4B" w:rsidRPr="00CF7E4B">
              <w:rPr>
                <w:rFonts w:ascii="Verdana" w:hAnsi="Verdana"/>
              </w:rPr>
              <w:t xml:space="preserve">no tiene competencia para resolver casos específicos o particulares relacionados </w:t>
            </w:r>
            <w:r w:rsidR="00CF7E4B" w:rsidRPr="00CF7E4B">
              <w:rPr>
                <w:rFonts w:ascii="Verdana" w:hAnsi="Verdana"/>
              </w:rPr>
              <w:lastRenderedPageBreak/>
              <w:t>con la contratación pública. Su función se limita a la interpretación y aplicación de normas de carácter general. Por lo tanto, cualquier consulta sobre aspectos particulares deberá ser dirigida a la entidad correspondiente. No obstante, en términos generales, se abordará el factor diferencial para mipymes y emprendimiento de mujeres, en el marco de las disposiciones establecidas en los artículos 2.2.1.2.4.2.2 y 2.2.1.2.4.2.14 del Decreto 1082 de 2015.</w:t>
            </w:r>
          </w:p>
          <w:p w14:paraId="108CA2E7" w14:textId="07A41293" w:rsidR="00AD03BD" w:rsidRDefault="00AD03BD" w:rsidP="00825666">
            <w:pPr>
              <w:spacing w:after="120" w:line="276" w:lineRule="auto"/>
              <w:ind w:firstLine="709"/>
              <w:jc w:val="both"/>
              <w:rPr>
                <w:rFonts w:ascii="Verdana" w:hAnsi="Verdana"/>
              </w:rPr>
            </w:pPr>
            <w:r w:rsidRPr="00AD03BD">
              <w:rPr>
                <w:rFonts w:ascii="Verdana" w:hAnsi="Verdana"/>
              </w:rPr>
              <w:t xml:space="preserve">Según el artículo 2.2.1.2.4.2.14 del Decreto 1082 de 2015, los criterios diferenciales que deben incorporarse en los Documentos del Proceso para emprendimientos y empresas de mujeres incluyen ajustes en los siguientes aspectos: tiempo de experiencia, permitiendo que estas empresas acrediten su idoneidad con menor antigüedad; número de contratos para la acreditación de experiencia, reduciendo la cantidad exigida para probar experiencia general o específica; índices de capacidad financiera, flexibilizando parámetros como liquidez o endeudamiento; índices de capacidad organizacional, adaptando los requerimientos relacionados con estructura, personal técnico o recursos disponibles; y el valor de la garantía de seriedad de la oferta, disminuyéndolo para reducir las barreras económicas al participar en los procesos de contratación pública. Estos criterios buscan promover una participación equitativa en el sistema de compras estatales. </w:t>
            </w:r>
          </w:p>
          <w:p w14:paraId="79093BC3" w14:textId="0CA91801" w:rsidR="000552BC" w:rsidRPr="000552BC" w:rsidRDefault="000552BC" w:rsidP="00825666">
            <w:pPr>
              <w:spacing w:after="120" w:line="276" w:lineRule="auto"/>
              <w:ind w:firstLine="709"/>
              <w:jc w:val="both"/>
              <w:rPr>
                <w:rFonts w:ascii="Verdana" w:hAnsi="Verdana"/>
              </w:rPr>
            </w:pPr>
            <w:r w:rsidRPr="000552BC">
              <w:rPr>
                <w:rFonts w:ascii="Verdana" w:hAnsi="Verdana"/>
              </w:rPr>
              <w:t>Es importante señalar que, independientemente de que se trate de Mipymes o empresas de mujeres, todas deberán cumplir con los requisitos habilitantes mínimos exigidos en el pliego de condiciones para garantizar la correcta ejecución del contrato. La norma no exime a estos actores de cumplir con los requisitos esenciales, sino que lo que permite es incentivar su participación en los procesos de contratación pública mediante la aplicación de criterios diferenciales, siempre que se cumpla alguna de las causales establecidas en los artículos 2.2.1.2.4.2.2 o 2.2.1.2.4.2.14 del Decreto 1082 de 2015. Estos criterios buscan facilitar su acceso al sistema de compras públicas sin comprometer los estándares necesarios para el cumplimiento adecuado de las obligaciones contractuales.</w:t>
            </w:r>
          </w:p>
          <w:p w14:paraId="2D08292D" w14:textId="5863C0E7" w:rsidR="006149D3" w:rsidRPr="00AD03BD" w:rsidRDefault="006149D3" w:rsidP="000552BC">
            <w:pPr>
              <w:spacing w:after="120" w:line="276" w:lineRule="auto"/>
              <w:ind w:firstLine="709"/>
              <w:jc w:val="both"/>
              <w:rPr>
                <w:rFonts w:ascii="Verdana" w:hAnsi="Verdana"/>
              </w:rPr>
            </w:pPr>
          </w:p>
        </w:tc>
      </w:tr>
    </w:tbl>
    <w:p w14:paraId="52F3A629" w14:textId="77777777" w:rsidR="006149D3" w:rsidRPr="00115E3D" w:rsidRDefault="006149D3" w:rsidP="006149D3">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683A4E88" w14:textId="77777777" w:rsidR="006149D3" w:rsidRPr="00115E3D" w:rsidRDefault="006149D3" w:rsidP="006149D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Razones de la respuesta:</w:t>
      </w:r>
    </w:p>
    <w:p w14:paraId="1FE396DE" w14:textId="77777777" w:rsidR="006149D3" w:rsidRPr="00115E3D" w:rsidRDefault="006149D3" w:rsidP="006149D3">
      <w:pPr>
        <w:spacing w:after="0" w:line="276" w:lineRule="auto"/>
        <w:jc w:val="both"/>
        <w:rPr>
          <w:rFonts w:ascii="Verdana" w:eastAsia="Calibri" w:hAnsi="Verdana" w:cs="Arial"/>
          <w:color w:val="000000" w:themeColor="text1"/>
          <w:lang w:val="es-ES"/>
        </w:rPr>
      </w:pPr>
    </w:p>
    <w:p w14:paraId="791F85DB" w14:textId="77777777" w:rsidR="006149D3" w:rsidRPr="00115E3D" w:rsidRDefault="006149D3" w:rsidP="006149D3">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lastRenderedPageBreak/>
        <w:t xml:space="preserve">Lo anterior se sustenta en las siguientes consideraciones: </w:t>
      </w:r>
    </w:p>
    <w:p w14:paraId="495F2023" w14:textId="77777777" w:rsidR="006149D3" w:rsidRDefault="006149D3" w:rsidP="006149D3">
      <w:pPr>
        <w:widowControl w:val="0"/>
        <w:autoSpaceDE w:val="0"/>
        <w:autoSpaceDN w:val="0"/>
        <w:spacing w:after="0" w:line="276" w:lineRule="auto"/>
        <w:jc w:val="both"/>
        <w:rPr>
          <w:rFonts w:ascii="Verdana" w:eastAsia="Calibri" w:hAnsi="Verdana" w:cs="Arial"/>
          <w:color w:val="000000" w:themeColor="text1"/>
          <w:lang w:val="es-ES"/>
        </w:rPr>
      </w:pPr>
    </w:p>
    <w:p w14:paraId="6160C909" w14:textId="77777777" w:rsidR="006149D3" w:rsidRPr="006866A8" w:rsidRDefault="006149D3" w:rsidP="006149D3">
      <w:pPr>
        <w:spacing w:after="120" w:line="276" w:lineRule="auto"/>
        <w:jc w:val="both"/>
        <w:rPr>
          <w:rFonts w:ascii="Verdana" w:eastAsia="Times New Roman" w:hAnsi="Verdana" w:cs="Arial"/>
          <w:lang w:val="es-ES_tradnl" w:eastAsia="es-ES_tradnl"/>
        </w:rPr>
      </w:pPr>
      <w:r w:rsidRPr="006866A8">
        <w:rPr>
          <w:rFonts w:ascii="Verdana" w:eastAsia="Times New Roman" w:hAnsi="Verdana" w:cs="Arial"/>
        </w:rPr>
        <w:t xml:space="preserve">En primer lugar, respecto del objeto de su consulta debe advertirse que, </w:t>
      </w:r>
      <w:r w:rsidRPr="006866A8">
        <w:rPr>
          <w:rFonts w:ascii="Verdana" w:eastAsia="Times New Roman" w:hAnsi="Verdana" w:cs="Arial"/>
          <w:lang w:val="es-ES_tradnl" w:eastAsia="es-ES_tradnl"/>
        </w:rPr>
        <w:t>el 31 de diciembre de 2020 se promulgó la Ley 2069, “Por medio de la cual se impulsa el emprendimiento en Colombia”. Como dispone el artículo 1°, aquella “tiene por objeto establecer un marco regulatorio que propicie el emprendimiento y el crecimiento, consolidación y sostenibilidad de las empresas, con el fin de aumentar el bienestar social y generar equidad”</w:t>
      </w:r>
      <w:r w:rsidRPr="006866A8">
        <w:rPr>
          <w:rFonts w:ascii="Calibri" w:eastAsia="Times New Roman" w:hAnsi="Calibri" w:cs="Times New Roman"/>
          <w:vertAlign w:val="superscript"/>
          <w:lang w:eastAsia="es-ES_tradnl"/>
        </w:rPr>
        <w:footnoteReference w:id="2"/>
      </w:r>
      <w:r w:rsidRPr="006866A8">
        <w:rPr>
          <w:rFonts w:ascii="Verdana" w:eastAsia="Times New Roman" w:hAnsi="Verdana" w:cs="Arial"/>
          <w:lang w:val="es-ES_tradnl" w:eastAsia="es-ES_tradnl"/>
        </w:rPr>
        <w:t xml:space="preserve">. Esto, a partir de “[…] un enfoque regionalizado de acuerdo con las realidades socioeconómicas de cada región”. </w:t>
      </w:r>
    </w:p>
    <w:p w14:paraId="590D54CE" w14:textId="77777777" w:rsidR="006149D3" w:rsidRPr="006866A8" w:rsidRDefault="006149D3" w:rsidP="006149D3">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En desarrollo de esta finalidad, se establecen medidas de apoyo para las micro, pequeñas y medianas empresas –Mipymes–, mediante la racionalización y simplificación de los trámites y tarifas</w:t>
      </w:r>
      <w:r w:rsidRPr="006866A8">
        <w:rPr>
          <w:rFonts w:ascii="Calibri" w:eastAsia="Times New Roman" w:hAnsi="Calibri" w:cs="Times New Roman"/>
          <w:vertAlign w:val="superscript"/>
          <w:lang w:eastAsia="es-ES_tradnl"/>
        </w:rPr>
        <w:footnoteReference w:id="3"/>
      </w:r>
      <w:r w:rsidRPr="006866A8">
        <w:rPr>
          <w:rFonts w:ascii="Verdana" w:eastAsia="Times New Roman" w:hAnsi="Verdana" w:cs="Arial"/>
          <w:lang w:val="es-ES_tradnl" w:eastAsia="es-ES_tradnl"/>
        </w:rPr>
        <w:t>, así como incentivos a favor de aquellas dentro del sistema de compras y contratación pública</w:t>
      </w:r>
      <w:r w:rsidRPr="006866A8">
        <w:rPr>
          <w:rFonts w:ascii="Calibri" w:eastAsia="Times New Roman" w:hAnsi="Calibri" w:cs="Times New Roman"/>
          <w:vertAlign w:val="superscript"/>
          <w:lang w:eastAsia="es-ES_tradnl"/>
        </w:rPr>
        <w:footnoteReference w:id="4"/>
      </w:r>
      <w:r w:rsidRPr="006866A8">
        <w:rPr>
          <w:rFonts w:ascii="Verdana" w:eastAsia="Times New Roman" w:hAnsi="Verdana" w:cs="Arial"/>
          <w:lang w:val="es-ES_tradnl" w:eastAsia="es-ES_tradnl"/>
        </w:rPr>
        <w:t>. También se consagran mecanismos de acceso al financiamiento</w:t>
      </w:r>
      <w:r w:rsidRPr="006866A8">
        <w:rPr>
          <w:rFonts w:ascii="Calibri" w:eastAsia="Times New Roman" w:hAnsi="Calibri" w:cs="Times New Roman"/>
          <w:vertAlign w:val="superscript"/>
          <w:lang w:eastAsia="es-ES_tradnl"/>
        </w:rPr>
        <w:footnoteReference w:id="5"/>
      </w:r>
      <w:r w:rsidRPr="006866A8">
        <w:rPr>
          <w:rFonts w:ascii="Verdana" w:eastAsia="Times New Roman" w:hAnsi="Verdana" w:cs="Arial"/>
          <w:lang w:val="es-ES_tradnl" w:eastAsia="es-ES_tradnl"/>
        </w:rPr>
        <w:t>, se unifican las fuentes de emprendimiento y de desarrollo empresarial, para fortalecer y promover los distintos sectores de la economía</w:t>
      </w:r>
      <w:r w:rsidRPr="006866A8">
        <w:rPr>
          <w:rFonts w:ascii="Calibri" w:eastAsia="Times New Roman" w:hAnsi="Calibri" w:cs="Times New Roman"/>
          <w:vertAlign w:val="superscript"/>
          <w:lang w:eastAsia="es-ES_tradnl"/>
        </w:rPr>
        <w:footnoteReference w:id="6"/>
      </w:r>
      <w:r w:rsidRPr="006866A8">
        <w:rPr>
          <w:rFonts w:ascii="Verdana" w:eastAsia="Times New Roman" w:hAnsi="Verdana" w:cs="Arial"/>
          <w:lang w:val="es-ES_tradnl" w:eastAsia="es-ES_tradnl"/>
        </w:rPr>
        <w:t xml:space="preserve"> y se prevén medidas de educación para el emprendimiento y la innovación</w:t>
      </w:r>
      <w:r w:rsidRPr="006866A8">
        <w:rPr>
          <w:rFonts w:ascii="Calibri" w:eastAsia="Times New Roman" w:hAnsi="Calibri" w:cs="Times New Roman"/>
          <w:vertAlign w:val="superscript"/>
          <w:lang w:eastAsia="es-ES_tradnl"/>
        </w:rPr>
        <w:footnoteReference w:id="7"/>
      </w:r>
      <w:r w:rsidRPr="006866A8">
        <w:rPr>
          <w:rFonts w:ascii="Verdana" w:eastAsia="Times New Roman" w:hAnsi="Verdana" w:cs="Arial"/>
          <w:lang w:val="es-ES_tradnl" w:eastAsia="es-ES_tradnl"/>
        </w:rPr>
        <w:t>.</w:t>
      </w:r>
    </w:p>
    <w:p w14:paraId="6F7B4A4F" w14:textId="77777777" w:rsidR="006149D3" w:rsidRPr="006866A8" w:rsidRDefault="006149D3" w:rsidP="006149D3">
      <w:pPr>
        <w:spacing w:after="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Como se indicó, parte de la </w:t>
      </w:r>
      <w:bookmarkStart w:id="1" w:name="_Hlk175579524"/>
      <w:r w:rsidRPr="006866A8">
        <w:rPr>
          <w:rFonts w:ascii="Verdana" w:eastAsia="Times New Roman" w:hAnsi="Verdana" w:cs="Arial"/>
          <w:lang w:val="es-ES_tradnl" w:eastAsia="es-ES_tradnl"/>
        </w:rPr>
        <w:t xml:space="preserve">Ley 2069 </w:t>
      </w:r>
      <w:bookmarkEnd w:id="1"/>
      <w:r w:rsidRPr="006866A8">
        <w:rPr>
          <w:rFonts w:ascii="Verdana" w:eastAsia="Times New Roman" w:hAnsi="Verdana" w:cs="Arial"/>
          <w:lang w:val="es-ES_tradnl" w:eastAsia="es-ES_tradnl"/>
        </w:rPr>
        <w:t xml:space="preserve">contiene normas que modifican algunos aspectos de la contratación estatal para promover el emprendimiento. </w:t>
      </w:r>
      <w:r w:rsidRPr="006866A8">
        <w:rPr>
          <w:rFonts w:ascii="Verdana" w:eastAsia="Times New Roman" w:hAnsi="Verdana" w:cs="Arial"/>
          <w:lang w:eastAsia="es-ES_tradnl"/>
        </w:rPr>
        <w:t xml:space="preserve">Particularmente, el </w:t>
      </w:r>
      <w:bookmarkStart w:id="2" w:name="_Hlk175579539"/>
      <w:r w:rsidRPr="006866A8">
        <w:rPr>
          <w:rFonts w:ascii="Verdana" w:eastAsia="Times New Roman" w:hAnsi="Verdana" w:cs="Arial"/>
          <w:lang w:eastAsia="es-ES_tradnl"/>
        </w:rPr>
        <w:t xml:space="preserve">artículo 32 </w:t>
      </w:r>
      <w:bookmarkEnd w:id="2"/>
      <w:r w:rsidRPr="006866A8">
        <w:rPr>
          <w:rFonts w:ascii="Verdana" w:eastAsia="Times New Roman" w:hAnsi="Verdana" w:cs="Arial"/>
          <w:i/>
          <w:lang w:eastAsia="es-ES_tradnl"/>
        </w:rPr>
        <w:t>ibidem</w:t>
      </w:r>
      <w:r w:rsidRPr="006866A8">
        <w:rPr>
          <w:rFonts w:ascii="Calibri" w:eastAsia="Times New Roman" w:hAnsi="Calibri" w:cs="Times New Roman"/>
          <w:vertAlign w:val="superscript"/>
          <w:lang w:eastAsia="es-ES_tradnl"/>
        </w:rPr>
        <w:footnoteReference w:id="8"/>
      </w:r>
      <w:r w:rsidRPr="006866A8">
        <w:rPr>
          <w:rFonts w:ascii="Verdana" w:eastAsia="Times New Roman" w:hAnsi="Verdana" w:cs="Arial"/>
          <w:lang w:eastAsia="es-ES_tradnl"/>
        </w:rPr>
        <w:t xml:space="preserve"> regula criterios diferenciales y puntajes adicionales para los “emprendimientos y empresas de mujeres” en el sistema de </w:t>
      </w:r>
      <w:r w:rsidRPr="006866A8">
        <w:rPr>
          <w:rFonts w:ascii="Verdana" w:eastAsia="Times New Roman" w:hAnsi="Verdana" w:cs="Arial"/>
          <w:lang w:eastAsia="es-ES_tradnl"/>
        </w:rPr>
        <w:lastRenderedPageBreak/>
        <w:t xml:space="preserve">compras y contratación pública. En relación con este aspecto, el inciso primero de la norma citada prescribe: </w:t>
      </w:r>
    </w:p>
    <w:p w14:paraId="67DEB2FB" w14:textId="77777777" w:rsidR="006149D3" w:rsidRPr="006866A8" w:rsidRDefault="006149D3" w:rsidP="006149D3">
      <w:pPr>
        <w:tabs>
          <w:tab w:val="left" w:pos="709"/>
        </w:tabs>
        <w:spacing w:after="0" w:line="276" w:lineRule="auto"/>
        <w:ind w:left="709" w:right="709"/>
        <w:jc w:val="both"/>
        <w:rPr>
          <w:rFonts w:ascii="Verdana" w:eastAsia="Times New Roman" w:hAnsi="Verdana" w:cs="Arial"/>
          <w:bCs/>
          <w:lang w:eastAsia="es-ES_tradnl"/>
        </w:rPr>
      </w:pPr>
    </w:p>
    <w:p w14:paraId="658531CE" w14:textId="77777777" w:rsidR="006149D3" w:rsidRPr="006866A8" w:rsidRDefault="006149D3" w:rsidP="006149D3">
      <w:pPr>
        <w:tabs>
          <w:tab w:val="left" w:pos="709"/>
        </w:tabs>
        <w:spacing w:after="0" w:line="240" w:lineRule="auto"/>
        <w:ind w:left="709" w:right="709"/>
        <w:contextualSpacing/>
        <w:jc w:val="both"/>
        <w:rPr>
          <w:rFonts w:ascii="Verdana" w:eastAsia="Times New Roman" w:hAnsi="Verdana" w:cs="Arial"/>
          <w:bCs/>
          <w:sz w:val="20"/>
          <w:szCs w:val="20"/>
          <w:lang w:eastAsia="es-ES_tradnl"/>
        </w:rPr>
      </w:pPr>
      <w:r w:rsidRPr="006866A8">
        <w:rPr>
          <w:rFonts w:ascii="Verdana" w:eastAsia="Times New Roman" w:hAnsi="Verdana" w:cs="Arial"/>
          <w:bCs/>
          <w:sz w:val="20"/>
          <w:szCs w:val="20"/>
          <w:lang w:eastAsia="es-ES_tradnl"/>
        </w:rPr>
        <w:t xml:space="preserve">De acuerdo con el resultado del análisis del sector, las entidades estatales incluirán requisitos diferenciales y puntajes adicionales en los procesos de </w:t>
      </w:r>
      <w:bookmarkStart w:id="3" w:name="_Hlk63770487"/>
      <w:r w:rsidRPr="006866A8">
        <w:rPr>
          <w:rFonts w:ascii="Verdana" w:eastAsia="Times New Roman" w:hAnsi="Verdana" w:cs="Arial"/>
          <w:bCs/>
          <w:sz w:val="20"/>
          <w:szCs w:val="20"/>
          <w:lang w:eastAsia="es-ES_tradnl"/>
        </w:rPr>
        <w:t>licitación pública, selección abreviada de menor cuantía y concurso de méritos</w:t>
      </w:r>
      <w:bookmarkEnd w:id="3"/>
      <w:r w:rsidRPr="006866A8">
        <w:rPr>
          <w:rFonts w:ascii="Verdana" w:eastAsia="Times New Roman" w:hAnsi="Verdana" w:cs="Arial"/>
          <w:bCs/>
          <w:sz w:val="20"/>
          <w:szCs w:val="20"/>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1D497E2" w14:textId="77777777" w:rsidR="006149D3" w:rsidRPr="006866A8" w:rsidRDefault="006149D3" w:rsidP="006149D3">
      <w:pPr>
        <w:tabs>
          <w:tab w:val="left" w:pos="709"/>
        </w:tabs>
        <w:spacing w:after="0" w:line="276" w:lineRule="auto"/>
        <w:ind w:left="709" w:right="709"/>
        <w:jc w:val="both"/>
        <w:rPr>
          <w:rFonts w:ascii="Verdana" w:eastAsia="Times New Roman" w:hAnsi="Verdana" w:cs="Arial"/>
          <w:bCs/>
          <w:lang w:eastAsia="es-ES_tradnl"/>
        </w:rPr>
      </w:pPr>
    </w:p>
    <w:p w14:paraId="13D39019" w14:textId="77777777" w:rsidR="006149D3" w:rsidRPr="006866A8" w:rsidRDefault="006149D3" w:rsidP="006149D3">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364BBE23" w14:textId="77777777" w:rsidR="006149D3" w:rsidRPr="006866A8" w:rsidRDefault="006149D3" w:rsidP="006149D3">
      <w:pPr>
        <w:spacing w:after="120" w:line="276" w:lineRule="auto"/>
        <w:ind w:firstLine="709"/>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14:paraId="12CA2141" w14:textId="77777777" w:rsidR="006149D3" w:rsidRPr="006866A8" w:rsidRDefault="006149D3" w:rsidP="006149D3">
      <w:pPr>
        <w:spacing w:after="120" w:line="276" w:lineRule="auto"/>
        <w:ind w:firstLine="709"/>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w:t>
      </w:r>
      <w:bookmarkStart w:id="4" w:name="_Hlk175579606"/>
      <w:r w:rsidRPr="006866A8">
        <w:rPr>
          <w:rFonts w:ascii="Verdana" w:eastAsia="Times New Roman" w:hAnsi="Verdana" w:cs="Arial"/>
          <w:lang w:val="es-ES_tradnl" w:eastAsia="es-ES_tradnl"/>
        </w:rPr>
        <w:t>artículo 3 del Decreto 1860 de 2021 adiciona los artículos 2.2.1.2.4.2.14 y 2.2.1.2.4.2.15 a la Subsección 2 de la Sección 4 del Capítulo 2 del Título 1 de la Parte 2 del Libro 2 del Decreto 1082 de 2015</w:t>
      </w:r>
      <w:bookmarkEnd w:id="4"/>
      <w:r w:rsidRPr="006866A8">
        <w:rPr>
          <w:rFonts w:ascii="Verdana" w:eastAsia="Times New Roman" w:hAnsi="Verdana" w:cs="Arial"/>
          <w:lang w:val="es-ES_tradnl" w:eastAsia="es-ES_tradnl"/>
        </w:rPr>
        <w:t xml:space="preserve">. La </w:t>
      </w:r>
      <w:r w:rsidRPr="006866A8">
        <w:rPr>
          <w:rFonts w:ascii="Verdana" w:eastAsia="Times New Roman" w:hAnsi="Verdana" w:cs="Arial"/>
          <w:lang w:val="es-ES_tradnl" w:eastAsia="es-ES_tradnl"/>
        </w:rPr>
        <w:lastRenderedPageBreak/>
        <w:t xml:space="preserve">primera de las normas adicionadas consagra la definición de emprendimientos y empresas de mujeres, mientras que la segunda establece los criterios diferenciales incluyendo los puntajes adicionales y regula su aplicación. </w:t>
      </w:r>
    </w:p>
    <w:p w14:paraId="6F6A7A99" w14:textId="77777777" w:rsidR="006149D3" w:rsidRPr="006866A8" w:rsidRDefault="006149D3" w:rsidP="006149D3">
      <w:pPr>
        <w:spacing w:after="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eastAsia="es-ES_tradnl"/>
        </w:rPr>
        <w:t xml:space="preserve">Así las cosas, el </w:t>
      </w:r>
      <w:bookmarkStart w:id="5" w:name="_Hlk175579627"/>
      <w:r w:rsidRPr="006866A8">
        <w:rPr>
          <w:rFonts w:ascii="Verdana" w:eastAsia="Times New Roman" w:hAnsi="Verdana" w:cs="Arial"/>
          <w:lang w:val="es-ES_tradnl" w:eastAsia="es-ES_tradnl"/>
        </w:rPr>
        <w:t xml:space="preserve">artículo 2.2.1.2.4.2.14 del Decreto 1082 de 2015 </w:t>
      </w:r>
      <w:bookmarkEnd w:id="5"/>
      <w:r w:rsidRPr="006866A8">
        <w:rPr>
          <w:rFonts w:ascii="Verdana" w:eastAsia="Times New Roman" w:hAnsi="Verdana" w:cs="Arial"/>
          <w:lang w:val="es-ES_tradnl" w:eastAsia="es-ES_tradnl"/>
        </w:rPr>
        <w:t xml:space="preserve">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en los siguientes términos:   </w:t>
      </w:r>
    </w:p>
    <w:p w14:paraId="62EE446E" w14:textId="77777777" w:rsidR="006149D3" w:rsidRPr="006866A8" w:rsidRDefault="006149D3" w:rsidP="006149D3">
      <w:pPr>
        <w:spacing w:after="0" w:line="276" w:lineRule="auto"/>
        <w:ind w:left="360"/>
        <w:jc w:val="both"/>
        <w:rPr>
          <w:rFonts w:ascii="Verdana" w:eastAsia="Times New Roman" w:hAnsi="Verdana" w:cs="Arial"/>
          <w:lang w:val="es-ES_tradnl" w:eastAsia="es-ES_tradnl"/>
        </w:rPr>
      </w:pPr>
    </w:p>
    <w:p w14:paraId="69C40BBF"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21038BC9"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  </w:t>
      </w:r>
    </w:p>
    <w:p w14:paraId="201658FE"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1460B9E1"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5DC7A9A7"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4FC45F5B"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3B8B1148"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6122CE39"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0F4E3D19"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 xml:space="preserve">Esta circunstancia se acreditará mediante certificación expedida por el representante legal y el revisor fiscal, cuando exista de acuerdo con los </w:t>
      </w:r>
      <w:r w:rsidRPr="006866A8">
        <w:rPr>
          <w:rFonts w:ascii="Verdana" w:eastAsia="Times New Roman" w:hAnsi="Verdana" w:cs="Arial"/>
          <w:i/>
          <w:iCs/>
          <w:sz w:val="20"/>
          <w:szCs w:val="20"/>
          <w:lang w:eastAsia="es-CO"/>
        </w:rPr>
        <w:lastRenderedPageBreak/>
        <w:t>requerimientos de ley, o el contador, donde se señale de manera detallada todas las personas que conforman los cargos de nivel directivo del proponente, el número de mujeres y el tiempo de vinculación.</w:t>
      </w:r>
    </w:p>
    <w:p w14:paraId="478A9A22"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2B47F114"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6866A8">
        <w:rPr>
          <w:rFonts w:ascii="Verdana" w:eastAsia="Times New Roman" w:hAnsi="Verdana" w:cs="Arial"/>
          <w:i/>
          <w:iCs/>
          <w:sz w:val="20"/>
          <w:szCs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01F8673C"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319D098B"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7083DB6F"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0D861C2D"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6CF39EB8"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591CF7C5" w14:textId="77777777" w:rsidR="006149D3" w:rsidRPr="006866A8" w:rsidRDefault="006149D3" w:rsidP="006149D3">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6866A8">
        <w:rPr>
          <w:rFonts w:ascii="Verdana" w:eastAsia="Times New Roman" w:hAnsi="Verdana"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475A3561" w14:textId="77777777" w:rsidR="006149D3" w:rsidRPr="006866A8" w:rsidRDefault="006149D3" w:rsidP="006149D3">
      <w:pPr>
        <w:spacing w:after="0" w:line="276" w:lineRule="auto"/>
        <w:ind w:firstLine="709"/>
        <w:jc w:val="both"/>
        <w:rPr>
          <w:rFonts w:ascii="Verdana" w:eastAsia="Times New Roman" w:hAnsi="Verdana" w:cs="Arial"/>
          <w:lang w:val="es-ES_tradnl" w:eastAsia="es-ES_tradnl"/>
        </w:rPr>
      </w:pPr>
    </w:p>
    <w:p w14:paraId="6ABEAAE5" w14:textId="77777777" w:rsidR="006149D3" w:rsidRPr="006866A8" w:rsidRDefault="006149D3" w:rsidP="006149D3">
      <w:pPr>
        <w:spacing w:after="120" w:line="276" w:lineRule="auto"/>
        <w:ind w:firstLine="708"/>
        <w:jc w:val="both"/>
        <w:rPr>
          <w:rFonts w:ascii="Verdana" w:eastAsia="Times New Roman" w:hAnsi="Verdana" w:cs="Arial"/>
          <w:lang w:eastAsia="es-ES"/>
        </w:rPr>
      </w:pPr>
      <w:r w:rsidRPr="006866A8">
        <w:rPr>
          <w:rFonts w:ascii="Verdana" w:eastAsia="Times New Roman" w:hAnsi="Verdana" w:cs="Arial"/>
          <w:lang w:val="es-ES" w:eastAsia="es-ES"/>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(4) supuestos de hecho previstos en la norma citada y acrediten estos supuestos con los documentos previstos para ello. Teniendo en cuenta el objeto de la consulta, resulta relevante el análisis del criterio definido en el numeral primero del artículo precitado, dado que consagra una de las condiciones aplicables a las personas jurídicas. </w:t>
      </w:r>
    </w:p>
    <w:p w14:paraId="2FAEF92C" w14:textId="77777777" w:rsidR="006149D3" w:rsidRPr="006866A8" w:rsidRDefault="006149D3" w:rsidP="006149D3">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eastAsia="es-ES_tradnl"/>
        </w:rPr>
        <w:t xml:space="preserve">El </w:t>
      </w:r>
      <w:r w:rsidRPr="006866A8">
        <w:rPr>
          <w:rFonts w:ascii="Verdana" w:eastAsia="Times New Roman" w:hAnsi="Verdana" w:cs="Arial"/>
          <w:lang w:val="es-ES_tradnl" w:eastAsia="es-ES"/>
        </w:rPr>
        <w:t xml:space="preserve">numeral primero establece que </w:t>
      </w:r>
      <w:r w:rsidRPr="006866A8">
        <w:rPr>
          <w:rFonts w:ascii="Verdana" w:eastAsia="Times New Roman" w:hAnsi="Verdana" w:cs="Arial"/>
          <w:lang w:val="es-ES_tradnl"/>
        </w:rPr>
        <w:t xml:space="preserve">una sociedad podrá ser considerada como un emprendimiento o empresa de mujeres cuando más del cincuenta por </w:t>
      </w:r>
      <w:r w:rsidRPr="006866A8">
        <w:rPr>
          <w:rFonts w:ascii="Verdana" w:eastAsia="Times New Roman" w:hAnsi="Verdana" w:cs="Arial"/>
          <w:lang w:val="es-ES_tradnl"/>
        </w:rPr>
        <w:lastRenderedPageBreak/>
        <w:t xml:space="preserve">ciento (50%) de sus acciones, partes de interés o cuotas de participación, pertenezcan a mujeres. </w:t>
      </w:r>
      <w:bookmarkStart w:id="6" w:name="_Hlk175580519"/>
      <w:r w:rsidRPr="006866A8">
        <w:rPr>
          <w:rFonts w:ascii="Verdana" w:eastAsia="Times New Roman" w:hAnsi="Verdana" w:cs="Arial"/>
          <w:lang w:val="es-ES_tradnl"/>
        </w:rPr>
        <w:t xml:space="preserve">Sin embargo, el supuesto de hecho de la norma transcrita, adicionalmente, exige que la titularidad de tal participación haya pertenecido a mujeres, por lo menos, durante el año anterior a la fecha de cierre del proceso de selección. </w:t>
      </w:r>
    </w:p>
    <w:bookmarkEnd w:id="6"/>
    <w:p w14:paraId="6699C8A0" w14:textId="77777777" w:rsidR="006149D3" w:rsidRPr="006866A8" w:rsidRDefault="006149D3" w:rsidP="006149D3">
      <w:pPr>
        <w:spacing w:after="120" w:line="276" w:lineRule="auto"/>
        <w:ind w:firstLine="708"/>
        <w:jc w:val="both"/>
        <w:rPr>
          <w:rFonts w:ascii="Verdana" w:eastAsia="Times New Roman" w:hAnsi="Verdana" w:cs="Arial"/>
          <w:lang w:eastAsia="es-ES"/>
        </w:rPr>
      </w:pPr>
      <w:r w:rsidRPr="006866A8">
        <w:rPr>
          <w:rFonts w:ascii="Verdana" w:eastAsia="Times New Roman" w:hAnsi="Verdana" w:cs="Arial"/>
          <w:lang w:val="es-ES"/>
        </w:rPr>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34B29272" w14:textId="77777777" w:rsidR="006149D3" w:rsidRPr="006866A8" w:rsidRDefault="006149D3" w:rsidP="006149D3">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lang w:val="es-ES_tradnl"/>
        </w:rPr>
        <w:t xml:space="preserve">Así mismo, debe precisarse que la participación mayoritaria de mujeres </w:t>
      </w:r>
      <w:r w:rsidRPr="006866A8">
        <w:rPr>
          <w:rFonts w:ascii="Verdana" w:eastAsia="Times New Roman" w:hAnsi="Verdana" w:cs="Arial"/>
        </w:rPr>
        <w:t xml:space="preserve">puede ser ejercida por diferentes personas durante el último año, siempre que durante dicho periodo la participación </w:t>
      </w:r>
      <w:r w:rsidRPr="006866A8">
        <w:rPr>
          <w:rFonts w:ascii="Verdana" w:eastAsia="Times New Roman" w:hAnsi="Verdana" w:cs="Arial"/>
          <w:i/>
        </w:rPr>
        <w:t>mayoritaria</w:t>
      </w:r>
      <w:r w:rsidRPr="006866A8">
        <w:rPr>
          <w:rFonts w:ascii="Verdana" w:eastAsia="Times New Roman" w:hAnsi="Verdana" w:cs="Arial"/>
        </w:rPr>
        <w:t xml:space="preserve"> de mujeres se haya 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14:paraId="41A8DD9B" w14:textId="77777777" w:rsidR="006149D3" w:rsidRPr="006866A8" w:rsidRDefault="006149D3" w:rsidP="006149D3">
      <w:pPr>
        <w:spacing w:after="120" w:line="276" w:lineRule="auto"/>
        <w:ind w:firstLine="708"/>
        <w:jc w:val="both"/>
        <w:rPr>
          <w:rFonts w:ascii="Verdana" w:eastAsia="Times New Roman" w:hAnsi="Verdana" w:cs="Arial"/>
          <w:lang w:val="es-ES_tradnl" w:eastAsia="es-ES_tradnl"/>
        </w:rPr>
      </w:pPr>
      <w:r w:rsidRPr="006866A8">
        <w:rPr>
          <w:rFonts w:ascii="Verdana" w:eastAsia="Times New Roman" w:hAnsi="Verdana" w:cs="Arial"/>
        </w:rPr>
        <w:t xml:space="preserve">Como medio para la acreditación de este criterio, señala la normativa referida que: </w:t>
      </w:r>
      <w:r w:rsidRPr="006866A8">
        <w:rPr>
          <w:rFonts w:ascii="Verdana" w:eastAsia="Times New Roman" w:hAnsi="Verdana" w:cs="Arial"/>
          <w:i/>
          <w:lang w:val="es-ES_tradnl" w:eastAsia="es-ES"/>
        </w:rPr>
        <w:t>“</w:t>
      </w:r>
      <w:r w:rsidRPr="006866A8">
        <w:rPr>
          <w:rFonts w:ascii="Verdana" w:eastAsia="Times New Roman" w:hAnsi="Verdana" w:cs="Arial"/>
          <w:i/>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6866A8">
        <w:rPr>
          <w:rFonts w:ascii="Verdana" w:eastAsia="Times New Roman" w:hAnsi="Verdana" w:cs="Arial"/>
          <w:i/>
          <w:lang w:val="es-ES_tradnl" w:eastAsia="es-ES"/>
        </w:rPr>
        <w:t>”</w:t>
      </w:r>
      <w:r w:rsidRPr="006866A8">
        <w:rPr>
          <w:rFonts w:ascii="Verdana" w:eastAsia="Times New Roman" w:hAnsi="Verdana" w:cs="Arial"/>
        </w:rPr>
        <w:t>.</w:t>
      </w:r>
    </w:p>
    <w:p w14:paraId="064A5403" w14:textId="77777777" w:rsidR="006149D3" w:rsidRPr="006866A8" w:rsidRDefault="006149D3" w:rsidP="006149D3">
      <w:pPr>
        <w:spacing w:after="120" w:line="276" w:lineRule="auto"/>
        <w:ind w:firstLine="708"/>
        <w:jc w:val="both"/>
        <w:rPr>
          <w:rFonts w:ascii="Verdana" w:eastAsia="Times New Roman" w:hAnsi="Verdana" w:cs="Arial"/>
          <w:lang w:eastAsia="es-ES"/>
        </w:rPr>
      </w:pPr>
      <w:r w:rsidRPr="006866A8">
        <w:rPr>
          <w:rFonts w:ascii="Verdana" w:eastAsia="Times New Roman" w:hAnsi="Verdana" w:cs="Arial"/>
          <w:lang w:val="es-ES"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w:t>
      </w:r>
      <w:r w:rsidRPr="006866A8">
        <w:rPr>
          <w:rFonts w:ascii="Verdana" w:eastAsia="Times New Roman" w:hAnsi="Verdana" w:cs="Arial"/>
          <w:lang w:val="es-ES" w:eastAsia="es-ES"/>
        </w:rPr>
        <w:lastRenderedPageBreak/>
        <w:t xml:space="preserve">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6866A8">
        <w:rPr>
          <w:rFonts w:ascii="Verdana" w:eastAsia="Times New Roman" w:hAnsi="Verdana" w:cs="Arial"/>
          <w:i/>
          <w:lang w:val="es-ES" w:eastAsia="es-ES"/>
        </w:rPr>
        <w:t>primero</w:t>
      </w:r>
      <w:r w:rsidRPr="006866A8">
        <w:rPr>
          <w:rFonts w:ascii="Verdana" w:eastAsia="Times New Roman" w:hAnsi="Verdana" w:cs="Arial"/>
          <w:lang w:val="es-ES" w:eastAsia="es-ES"/>
        </w:rPr>
        <w:t xml:space="preserve"> del artículo 2.2.1.2.4.2.14, les corresponde presentar la mencionada certificación con sus respectivos soportes.</w:t>
      </w:r>
    </w:p>
    <w:p w14:paraId="6C859C40" w14:textId="77777777" w:rsidR="006149D3" w:rsidRDefault="006149D3" w:rsidP="006149D3">
      <w:pPr>
        <w:spacing w:after="120" w:line="276" w:lineRule="auto"/>
        <w:ind w:firstLine="708"/>
        <w:jc w:val="both"/>
        <w:rPr>
          <w:rFonts w:ascii="Verdana" w:eastAsia="Times New Roman" w:hAnsi="Verdana" w:cs="Arial"/>
          <w:lang w:val="es-ES_tradnl"/>
        </w:rPr>
      </w:pPr>
      <w:r w:rsidRPr="006866A8">
        <w:rPr>
          <w:rFonts w:ascii="Verdana" w:eastAsia="Times New Roman" w:hAnsi="Verdana" w:cs="Arial"/>
          <w:lang w:val="es-ES_tradnl" w:eastAsia="es-ES_tradnl"/>
        </w:rPr>
        <w:t xml:space="preserve">En atención a </w:t>
      </w:r>
      <w:r>
        <w:rPr>
          <w:rFonts w:ascii="Verdana" w:eastAsia="Times New Roman" w:hAnsi="Verdana" w:cs="Arial"/>
          <w:lang w:val="es-ES_tradnl" w:eastAsia="es-ES_tradnl"/>
        </w:rPr>
        <w:t>lo anterior</w:t>
      </w:r>
      <w:r w:rsidRPr="006866A8">
        <w:rPr>
          <w:rFonts w:ascii="Verdana" w:eastAsia="Times New Roman" w:hAnsi="Verdana" w:cs="Arial"/>
          <w:lang w:val="es-ES_tradnl" w:eastAsia="es-ES_tradnl"/>
        </w:rPr>
        <w:t xml:space="preserve">, debe señalarse conforme lo analizado en el presente escrito, una </w:t>
      </w:r>
      <w:r w:rsidRPr="006866A8">
        <w:rPr>
          <w:rFonts w:ascii="Verdana" w:eastAsia="Times New Roman" w:hAnsi="Verdana" w:cs="Arial"/>
          <w:lang w:val="es-ES_tradnl"/>
        </w:rPr>
        <w:t xml:space="preserve">sociedad podrá ser considerada como un emprendimiento o empresa de mujeres cuando más del cincuenta por ciento (50%) de sus acciones, partes de interés o cuotas de participación, pertenezcan a mujeres. </w:t>
      </w:r>
      <w:r w:rsidRPr="006866A8">
        <w:rPr>
          <w:rFonts w:ascii="Verdana" w:eastAsia="Times New Roman" w:hAnsi="Verdana" w:cs="Arial"/>
          <w:lang w:val="es-ES_tradnl" w:eastAsia="es-ES_tradnl"/>
        </w:rPr>
        <w:t xml:space="preserve">Así las cosas, una interpretación exegética del numeral primero del artículo </w:t>
      </w:r>
      <w:r w:rsidRPr="006866A8">
        <w:rPr>
          <w:rFonts w:ascii="Verdana" w:eastAsia="Times New Roman" w:hAnsi="Verdana" w:cs="Arial"/>
          <w:lang w:eastAsia="es-ES_tradnl"/>
        </w:rPr>
        <w:t xml:space="preserve">2.2.1.2.4.2.14 al Decreto 1082 de 2015 permite concluir </w:t>
      </w:r>
      <w:r w:rsidRPr="006866A8">
        <w:rPr>
          <w:rFonts w:ascii="Verdana" w:eastAsia="Times New Roman" w:hAnsi="Verdana" w:cs="Arial"/>
          <w:lang w:val="es-ES_tradnl" w:eastAsia="es-ES_tradnl"/>
        </w:rPr>
        <w:t xml:space="preserve">que la aplicación de los criterios diferenciales a favor de los emprendimientos y empresas de mujeres se extiende frente a aquellas personas jurídicas </w:t>
      </w:r>
      <w:r w:rsidRPr="006866A8">
        <w:rPr>
          <w:rFonts w:ascii="Verdana" w:eastAsia="Times New Roman" w:hAnsi="Verdana" w:cs="Arial"/>
          <w:lang w:val="es-ES_tradnl"/>
        </w:rPr>
        <w:t>cuando más del cincuenta por ciento (50%) de sus acciones, partes de interés o cuotas de participación pertenezcan a mujeres, independientemente que se trate de una sola y que esta se ejerza una situación de control.</w:t>
      </w:r>
    </w:p>
    <w:p w14:paraId="3C82B89C" w14:textId="11952F9A" w:rsidR="00ED585A" w:rsidRPr="00ED585A" w:rsidRDefault="00ED585A" w:rsidP="62F3AC2C">
      <w:pPr>
        <w:spacing w:after="120" w:line="276" w:lineRule="auto"/>
        <w:ind w:firstLine="708"/>
        <w:jc w:val="both"/>
        <w:rPr>
          <w:rFonts w:ascii="Verdana" w:eastAsia="Times New Roman" w:hAnsi="Verdana" w:cs="Arial"/>
          <w:lang w:val="es-ES" w:eastAsia="es-ES"/>
        </w:rPr>
      </w:pPr>
      <w:r w:rsidRPr="62F3AC2C">
        <w:rPr>
          <w:rFonts w:ascii="Verdana" w:eastAsia="Times New Roman" w:hAnsi="Verdana" w:cs="Arial"/>
          <w:lang w:val="es-ES" w:eastAsia="es-ES"/>
        </w:rPr>
        <w:t>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w:t>
      </w:r>
    </w:p>
    <w:p w14:paraId="6E6AB719" w14:textId="77777777" w:rsidR="00ED585A" w:rsidRPr="00ED585A" w:rsidRDefault="00ED585A" w:rsidP="62F3AC2C">
      <w:pPr>
        <w:spacing w:after="120" w:line="276" w:lineRule="auto"/>
        <w:ind w:firstLine="708"/>
        <w:jc w:val="both"/>
        <w:rPr>
          <w:rFonts w:ascii="Verdana" w:eastAsia="Times New Roman" w:hAnsi="Verdana" w:cs="Arial"/>
          <w:lang w:val="es-ES" w:eastAsia="es-ES"/>
        </w:rPr>
      </w:pPr>
      <w:r w:rsidRPr="62F3AC2C">
        <w:rPr>
          <w:rFonts w:ascii="Verdana" w:eastAsia="Times New Roman" w:hAnsi="Verdana" w:cs="Arial"/>
          <w:lang w:val="es-ES" w:eastAsia="es-ES"/>
        </w:rPr>
        <w:t xml:space="preserve">Debe advertirse que corresponde a las entidades estatales contratantes determinar en cada caso concreto si, en efecto, se cumplen las condiciones antes explicadas, verificando además que dicha acreditación se haga con sujeción al marco jurídico aplicable. Para estos efectos deberá realizarse el análisis de cada uno de los empleos certificados para determinar si cada uno de ellos puede ser considerado del nivel directivo en virtud de las funciones que tenga asignadas.  </w:t>
      </w:r>
    </w:p>
    <w:p w14:paraId="5A867528" w14:textId="77777777" w:rsidR="00ED585A" w:rsidRDefault="00ED585A" w:rsidP="006149D3">
      <w:pPr>
        <w:widowControl w:val="0"/>
        <w:autoSpaceDE w:val="0"/>
        <w:autoSpaceDN w:val="0"/>
        <w:spacing w:after="0" w:line="276" w:lineRule="auto"/>
        <w:ind w:firstLine="709"/>
        <w:jc w:val="both"/>
        <w:rPr>
          <w:rFonts w:ascii="Verdana" w:hAnsi="Verdana" w:cs="Arial"/>
          <w:color w:val="000000" w:themeColor="text1"/>
        </w:rPr>
      </w:pPr>
    </w:p>
    <w:p w14:paraId="0A5A84AF" w14:textId="77777777" w:rsidR="006149D3" w:rsidRPr="00115E3D" w:rsidRDefault="006149D3" w:rsidP="006149D3">
      <w:pPr>
        <w:widowControl w:val="0"/>
        <w:autoSpaceDE w:val="0"/>
        <w:autoSpaceDN w:val="0"/>
        <w:spacing w:after="0" w:line="276" w:lineRule="auto"/>
        <w:jc w:val="both"/>
        <w:rPr>
          <w:rFonts w:ascii="Verdana" w:hAnsi="Verdana" w:cs="Arial"/>
          <w:color w:val="000000" w:themeColor="text1"/>
        </w:rPr>
      </w:pPr>
    </w:p>
    <w:p w14:paraId="4DA0E193" w14:textId="77777777" w:rsidR="006149D3" w:rsidRPr="00115E3D" w:rsidRDefault="006149D3" w:rsidP="006149D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Referencias normativas, jurisprudenciales y otras fuentes:</w:t>
      </w:r>
    </w:p>
    <w:p w14:paraId="2FFAA07E" w14:textId="77777777" w:rsidR="006149D3" w:rsidRPr="00115E3D" w:rsidRDefault="006149D3" w:rsidP="006149D3">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149D3" w:rsidRPr="00115E3D" w14:paraId="792A8E2F" w14:textId="77777777" w:rsidTr="00F627CD">
        <w:trPr>
          <w:trHeight w:val="870"/>
        </w:trPr>
        <w:tc>
          <w:tcPr>
            <w:tcW w:w="8647" w:type="dxa"/>
          </w:tcPr>
          <w:p w14:paraId="3CEBBE51" w14:textId="77777777" w:rsidR="006149D3" w:rsidRDefault="006149D3" w:rsidP="00F627CD">
            <w:pPr>
              <w:numPr>
                <w:ilvl w:val="0"/>
                <w:numId w:val="2"/>
              </w:numPr>
              <w:contextualSpacing/>
              <w:jc w:val="both"/>
              <w:rPr>
                <w:rFonts w:ascii="Verdana" w:eastAsia="Times New Roman" w:hAnsi="Verdana" w:cs="Arial"/>
                <w:bCs/>
                <w:lang w:val="es-ES" w:eastAsia="es-ES_tradnl"/>
              </w:rPr>
            </w:pPr>
            <w:r w:rsidRPr="009514AE">
              <w:rPr>
                <w:rFonts w:ascii="Verdana" w:eastAsia="Times New Roman" w:hAnsi="Verdana" w:cs="Arial"/>
                <w:lang w:val="es-ES_tradnl" w:eastAsia="es-ES_tradnl"/>
              </w:rPr>
              <w:lastRenderedPageBreak/>
              <w:t xml:space="preserve">Ley 2069 de 2020: </w:t>
            </w:r>
            <w:r w:rsidRPr="009514AE">
              <w:rPr>
                <w:rFonts w:ascii="Verdana" w:eastAsia="Times New Roman" w:hAnsi="Verdana" w:cs="Arial"/>
                <w:bCs/>
                <w:lang w:val="es-ES" w:eastAsia="es-ES_tradnl"/>
              </w:rPr>
              <w:t xml:space="preserve">Artículo 32. </w:t>
            </w:r>
          </w:p>
          <w:p w14:paraId="3AF0FA46" w14:textId="77777777" w:rsidR="006149D3" w:rsidRDefault="006149D3" w:rsidP="00F627CD">
            <w:pPr>
              <w:ind w:left="360"/>
              <w:contextualSpacing/>
              <w:jc w:val="both"/>
              <w:rPr>
                <w:rFonts w:ascii="Verdana" w:eastAsia="Times New Roman" w:hAnsi="Verdana" w:cs="Arial"/>
                <w:bCs/>
                <w:lang w:val="es-ES" w:eastAsia="es-ES_tradnl"/>
              </w:rPr>
            </w:pPr>
          </w:p>
          <w:p w14:paraId="49BE28E5" w14:textId="77777777" w:rsidR="006149D3" w:rsidRPr="009514AE" w:rsidRDefault="006149D3" w:rsidP="00F627CD">
            <w:pPr>
              <w:numPr>
                <w:ilvl w:val="0"/>
                <w:numId w:val="2"/>
              </w:numPr>
              <w:contextualSpacing/>
              <w:jc w:val="both"/>
              <w:rPr>
                <w:rFonts w:ascii="Verdana" w:eastAsia="Times New Roman" w:hAnsi="Verdana" w:cs="Arial"/>
                <w:bCs/>
                <w:lang w:val="es-ES" w:eastAsia="es-ES_tradnl"/>
              </w:rPr>
            </w:pPr>
            <w:r>
              <w:rPr>
                <w:rFonts w:ascii="Verdana" w:eastAsia="Times New Roman" w:hAnsi="Verdana" w:cs="Arial"/>
                <w:lang w:val="es-ES_tradnl" w:eastAsia="es-ES_tradnl"/>
              </w:rPr>
              <w:t>Ley 1150 de 2007: A</w:t>
            </w:r>
            <w:r w:rsidRPr="006866A8">
              <w:rPr>
                <w:rFonts w:ascii="Verdana" w:eastAsia="Times New Roman" w:hAnsi="Verdana" w:cs="Arial"/>
                <w:lang w:val="es-ES_tradnl" w:eastAsia="es-ES_tradnl"/>
              </w:rPr>
              <w:t>rtículo 2</w:t>
            </w:r>
            <w:r>
              <w:rPr>
                <w:rFonts w:ascii="Verdana" w:eastAsia="Times New Roman" w:hAnsi="Verdana" w:cs="Arial"/>
                <w:lang w:val="es-ES_tradnl" w:eastAsia="es-ES_tradnl"/>
              </w:rPr>
              <w:t>.</w:t>
            </w:r>
          </w:p>
          <w:p w14:paraId="1F33AE63" w14:textId="77777777" w:rsidR="006149D3" w:rsidRPr="009514AE" w:rsidRDefault="006149D3" w:rsidP="00F627CD">
            <w:pPr>
              <w:ind w:left="360"/>
              <w:contextualSpacing/>
              <w:jc w:val="both"/>
              <w:rPr>
                <w:rFonts w:ascii="Verdana" w:eastAsia="Times New Roman" w:hAnsi="Verdana" w:cs="Arial"/>
                <w:bCs/>
                <w:lang w:val="es-ES" w:eastAsia="es-ES_tradnl"/>
              </w:rPr>
            </w:pPr>
          </w:p>
          <w:p w14:paraId="1CB5D399" w14:textId="21B2425F" w:rsidR="006149D3" w:rsidRDefault="006149D3" w:rsidP="00F627CD">
            <w:pPr>
              <w:numPr>
                <w:ilvl w:val="0"/>
                <w:numId w:val="2"/>
              </w:numPr>
              <w:contextualSpacing/>
              <w:jc w:val="both"/>
              <w:rPr>
                <w:rFonts w:ascii="Verdana" w:eastAsia="Times New Roman" w:hAnsi="Verdana" w:cs="Arial"/>
                <w:lang w:val="es-ES_tradnl" w:eastAsia="es-ES_tradnl"/>
              </w:rPr>
            </w:pPr>
            <w:r w:rsidRPr="009514AE">
              <w:rPr>
                <w:rFonts w:ascii="Verdana" w:eastAsia="Times New Roman" w:hAnsi="Verdana" w:cs="Arial"/>
                <w:lang w:val="es-ES_tradnl" w:eastAsia="es-ES_tradnl"/>
              </w:rPr>
              <w:t xml:space="preserve">Decreto 1082 de 2015: </w:t>
            </w:r>
            <w:r>
              <w:rPr>
                <w:rFonts w:ascii="Verdana" w:eastAsia="Times New Roman" w:hAnsi="Verdana" w:cs="Arial"/>
                <w:lang w:val="es-ES_tradnl" w:eastAsia="es-ES_tradnl"/>
              </w:rPr>
              <w:t xml:space="preserve"> </w:t>
            </w:r>
            <w:r w:rsidR="00681182" w:rsidRPr="009514AE">
              <w:rPr>
                <w:rFonts w:ascii="Verdana" w:eastAsia="Times New Roman" w:hAnsi="Verdana" w:cs="Arial"/>
                <w:lang w:val="es-ES_tradnl" w:eastAsia="es-ES_tradnl"/>
              </w:rPr>
              <w:t>Artículo</w:t>
            </w:r>
            <w:r w:rsidR="00681182">
              <w:rPr>
                <w:rFonts w:ascii="Verdana" w:eastAsia="Times New Roman" w:hAnsi="Verdana" w:cs="Arial"/>
                <w:lang w:val="es-ES_tradnl" w:eastAsia="es-ES_tradnl"/>
              </w:rPr>
              <w:t>s 2.2.1.2.4.2.2</w:t>
            </w:r>
            <w:r w:rsidR="00681182" w:rsidRPr="00CF7E4B">
              <w:rPr>
                <w:rFonts w:ascii="Verdana" w:hAnsi="Verdana"/>
              </w:rPr>
              <w:t xml:space="preserve"> y 2.2.1.2.4.2.14</w:t>
            </w:r>
            <w:r w:rsidR="00681182">
              <w:rPr>
                <w:rFonts w:ascii="Verdana" w:hAnsi="Verdana"/>
              </w:rPr>
              <w:t xml:space="preserve"> .</w:t>
            </w:r>
          </w:p>
          <w:p w14:paraId="0E48996E" w14:textId="77777777" w:rsidR="00A31850" w:rsidRDefault="00A31850" w:rsidP="00A31850">
            <w:pPr>
              <w:pStyle w:val="Prrafodelista"/>
              <w:rPr>
                <w:rFonts w:ascii="Verdana" w:eastAsia="Times New Roman" w:hAnsi="Verdana" w:cs="Arial"/>
                <w:lang w:val="es-ES_tradnl" w:eastAsia="es-ES_tradnl"/>
              </w:rPr>
            </w:pPr>
          </w:p>
          <w:p w14:paraId="7B15CC39" w14:textId="3766E7E9" w:rsidR="00A31850" w:rsidRPr="000552BC" w:rsidRDefault="000552BC" w:rsidP="000552BC">
            <w:pPr>
              <w:pStyle w:val="Prrafodelista"/>
              <w:rPr>
                <w:rFonts w:ascii="Verdana" w:eastAsia="Times New Roman" w:hAnsi="Verdana" w:cs="Arial"/>
                <w:lang w:eastAsia="es-ES_tradnl"/>
              </w:rPr>
            </w:pPr>
            <w:r w:rsidRPr="000552BC">
              <w:rPr>
                <w:rFonts w:ascii="Verdana" w:eastAsia="Times New Roman" w:hAnsi="Verdana" w:cs="Arial"/>
                <w:lang w:eastAsia="es-ES_tradnl"/>
              </w:rPr>
              <w:t>Guía Para Promover La Participación De Las Mipymes En Los Procesos De Compra Pública</w:t>
            </w:r>
            <w:r>
              <w:rPr>
                <w:rFonts w:ascii="Verdana" w:eastAsia="Times New Roman" w:hAnsi="Verdana" w:cs="Arial"/>
                <w:lang w:eastAsia="es-ES_tradnl"/>
              </w:rPr>
              <w:t xml:space="preserve">: </w:t>
            </w:r>
            <w:hyperlink r:id="rId12" w:history="1">
              <w:r w:rsidR="00A31850" w:rsidRPr="00A31850">
                <w:rPr>
                  <w:rStyle w:val="Hipervnculo"/>
                  <w:rFonts w:ascii="Verdana" w:eastAsia="Times New Roman" w:hAnsi="Verdana" w:cs="Arial"/>
                  <w:lang w:eastAsia="es-ES_tradnl"/>
                </w:rPr>
                <w:t>guia_para_promover_la_participacion_de_las_mipymes_en_los_procesos_de_compra_publica_cce-gad-gi-26_1.pdf</w:t>
              </w:r>
            </w:hyperlink>
          </w:p>
          <w:p w14:paraId="420ECD64" w14:textId="77777777" w:rsidR="00A31850" w:rsidRDefault="00A31850" w:rsidP="00A31850">
            <w:pPr>
              <w:pStyle w:val="Prrafodelista"/>
              <w:rPr>
                <w:rFonts w:ascii="Verdana" w:eastAsia="Times New Roman" w:hAnsi="Verdana" w:cs="Arial"/>
                <w:lang w:val="es-ES_tradnl" w:eastAsia="es-ES_tradnl"/>
              </w:rPr>
            </w:pPr>
          </w:p>
          <w:p w14:paraId="1BAC74F0" w14:textId="77777777" w:rsidR="00A31850" w:rsidRPr="00A578C5" w:rsidRDefault="00A31850" w:rsidP="00A31850">
            <w:pPr>
              <w:ind w:left="720"/>
              <w:contextualSpacing/>
              <w:jc w:val="both"/>
              <w:rPr>
                <w:rFonts w:ascii="Verdana" w:eastAsia="Times New Roman" w:hAnsi="Verdana" w:cs="Arial"/>
                <w:lang w:val="es-ES_tradnl" w:eastAsia="es-ES_tradnl"/>
              </w:rPr>
            </w:pPr>
          </w:p>
          <w:p w14:paraId="068360F0" w14:textId="77777777" w:rsidR="006149D3" w:rsidRPr="00A578C5" w:rsidRDefault="006149D3" w:rsidP="00F627CD">
            <w:pPr>
              <w:ind w:left="720"/>
              <w:contextualSpacing/>
              <w:jc w:val="both"/>
              <w:rPr>
                <w:rFonts w:eastAsia="Times New Roman" w:cs="Times New Roman"/>
                <w:lang w:val="es-ES"/>
              </w:rPr>
            </w:pPr>
            <w:r w:rsidRPr="009514AE">
              <w:rPr>
                <w:rFonts w:ascii="Verdana" w:eastAsia="Times New Roman" w:hAnsi="Verdana" w:cs="Arial"/>
                <w:color w:val="000000" w:themeColor="text1"/>
                <w:lang w:val="es-ES"/>
              </w:rPr>
              <w:t xml:space="preserve"> </w:t>
            </w:r>
          </w:p>
        </w:tc>
      </w:tr>
    </w:tbl>
    <w:p w14:paraId="709D8759" w14:textId="77777777" w:rsidR="006149D3" w:rsidRPr="00115E3D" w:rsidRDefault="006149D3" w:rsidP="006149D3">
      <w:pPr>
        <w:widowControl w:val="0"/>
        <w:autoSpaceDE w:val="0"/>
        <w:autoSpaceDN w:val="0"/>
        <w:spacing w:after="0" w:line="276" w:lineRule="auto"/>
        <w:jc w:val="both"/>
        <w:rPr>
          <w:rFonts w:ascii="Verdana" w:hAnsi="Verdana" w:cs="Arial"/>
          <w:color w:val="000000" w:themeColor="text1"/>
        </w:rPr>
      </w:pPr>
    </w:p>
    <w:p w14:paraId="665E5F49" w14:textId="77777777" w:rsidR="006149D3" w:rsidRPr="00115E3D" w:rsidRDefault="006149D3" w:rsidP="006149D3">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Doctrina de la Agencia Nacional de Contratación Pública:</w:t>
      </w:r>
    </w:p>
    <w:p w14:paraId="4D7A5A65" w14:textId="77777777" w:rsidR="006149D3" w:rsidRPr="00115E3D" w:rsidRDefault="006149D3" w:rsidP="006149D3">
      <w:pPr>
        <w:widowControl w:val="0"/>
        <w:autoSpaceDE w:val="0"/>
        <w:autoSpaceDN w:val="0"/>
        <w:spacing w:after="0" w:line="276" w:lineRule="auto"/>
        <w:jc w:val="both"/>
        <w:rPr>
          <w:rFonts w:ascii="Verdana" w:hAnsi="Verdana" w:cs="Arial"/>
          <w:color w:val="000000" w:themeColor="text1"/>
        </w:rPr>
      </w:pPr>
    </w:p>
    <w:p w14:paraId="69EABD97" w14:textId="77777777" w:rsidR="006149D3" w:rsidRPr="009514AE" w:rsidRDefault="006149D3" w:rsidP="006149D3">
      <w:pPr>
        <w:widowControl w:val="0"/>
        <w:autoSpaceDE w:val="0"/>
        <w:autoSpaceDN w:val="0"/>
        <w:spacing w:after="0" w:line="276" w:lineRule="auto"/>
        <w:jc w:val="both"/>
        <w:rPr>
          <w:rFonts w:ascii="Verdana" w:eastAsia="Times New Roman" w:hAnsi="Verdana" w:cs="Arial"/>
          <w:shd w:val="clear" w:color="auto" w:fill="FFFFFF"/>
        </w:rPr>
      </w:pPr>
      <w:r w:rsidRPr="009514AE">
        <w:rPr>
          <w:rFonts w:ascii="Verdana" w:eastAsia="Times New Roman" w:hAnsi="Verdana" w:cs="Arial"/>
          <w:shd w:val="clear" w:color="auto" w:fill="FFFFFF"/>
          <w:lang w:val="es-ES"/>
        </w:rPr>
        <w:t xml:space="preserve">Sobre </w:t>
      </w:r>
      <w:r w:rsidRPr="009514AE">
        <w:rPr>
          <w:rFonts w:ascii="Verdana" w:eastAsia="Times New Roman" w:hAnsi="Verdana" w:cs="Arial"/>
          <w:lang w:val="es-ES" w:eastAsia="es-ES"/>
        </w:rPr>
        <w:t xml:space="preserve">la </w:t>
      </w:r>
      <w:r w:rsidRPr="009514AE">
        <w:rPr>
          <w:rFonts w:ascii="Verdana" w:eastAsia="Times New Roman" w:hAnsi="Verdana" w:cs="Arial"/>
          <w:lang w:val="es-ES" w:eastAsia="es-ES_tradnl"/>
        </w:rPr>
        <w:t>definición de emprendimientos y empresas de mujeres en el Decreto 1860 de 2021</w:t>
      </w:r>
      <w:r w:rsidRPr="009514AE">
        <w:rPr>
          <w:rFonts w:ascii="Verdana" w:eastAsia="Times New Roman" w:hAnsi="Verdana" w:cs="Arial"/>
          <w:lang w:val="es-ES" w:eastAsia="es-ES"/>
        </w:rPr>
        <w:t>, esta Subdirección se ha pronunciado en los conceptos</w:t>
      </w:r>
      <w:r w:rsidRPr="009514AE">
        <w:rPr>
          <w:rFonts w:ascii="Verdana" w:eastAsia="Times New Roman" w:hAnsi="Verdana" w:cs="Arial"/>
        </w:rPr>
        <w:t xml:space="preserve"> </w:t>
      </w:r>
      <w:r w:rsidRPr="009514AE">
        <w:rPr>
          <w:rFonts w:ascii="Verdana" w:eastAsia="Times New Roman" w:hAnsi="Verdana" w:cs="Arial"/>
          <w:shd w:val="clear" w:color="auto" w:fill="FFFFFF"/>
          <w:lang w:eastAsia="es-ES_tradnl"/>
        </w:rPr>
        <w:t>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 25 de noviembre de 2022,</w:t>
      </w:r>
      <w:r>
        <w:rPr>
          <w:rFonts w:ascii="Verdana" w:eastAsia="Times New Roman" w:hAnsi="Verdana" w:cs="Arial"/>
          <w:shd w:val="clear" w:color="auto" w:fill="FFFFFF"/>
          <w:lang w:eastAsia="es-ES_tradnl"/>
        </w:rPr>
        <w:t xml:space="preserve"> C-201 del 26 de octubre de 2024, C-328 del 26 de agosto de 2024, C-479 del 24 de septiembre de 2024, </w:t>
      </w:r>
      <w:r w:rsidRPr="009514AE">
        <w:rPr>
          <w:rFonts w:ascii="Verdana" w:eastAsia="Times New Roman" w:hAnsi="Verdana" w:cs="Arial"/>
          <w:shd w:val="clear" w:color="auto" w:fill="FFFFFF"/>
          <w:lang w:eastAsia="es-ES_tradnl"/>
        </w:rPr>
        <w:t>entre otros</w:t>
      </w:r>
      <w:r w:rsidRPr="009514AE">
        <w:rPr>
          <w:rFonts w:ascii="Verdana" w:eastAsia="Times New Roman" w:hAnsi="Verdana" w:cs="Arial"/>
          <w:color w:val="7030A0"/>
          <w:shd w:val="clear" w:color="auto" w:fill="FFFFFF"/>
          <w:lang w:val="es-ES"/>
        </w:rPr>
        <w:t xml:space="preserve">. </w:t>
      </w:r>
      <w:r w:rsidRPr="009514AE">
        <w:rPr>
          <w:rFonts w:ascii="Verdana" w:eastAsia="Times New Roman"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ooltip="Dirección URL original: https://relatoria.colombiacompra.gov.co/. Haga clic o pulse si confía en este vínculo." w:history="1">
        <w:r w:rsidRPr="009514AE">
          <w:rPr>
            <w:rFonts w:ascii="Verdana" w:eastAsia="Times New Roman" w:hAnsi="Verdana" w:cs="Arial"/>
            <w:color w:val="0000FF"/>
            <w:u w:val="single"/>
            <w:shd w:val="clear" w:color="auto" w:fill="FFFFFF"/>
          </w:rPr>
          <w:t>https://relatoria.colombiacompra.gov.co/</w:t>
        </w:r>
      </w:hyperlink>
      <w:r w:rsidRPr="009514AE">
        <w:rPr>
          <w:rFonts w:ascii="Verdana" w:eastAsia="Times New Roman" w:hAnsi="Verdana" w:cs="Arial"/>
          <w:shd w:val="clear" w:color="auto" w:fill="FFFFFF"/>
        </w:rPr>
        <w:t xml:space="preserve">  </w:t>
      </w:r>
    </w:p>
    <w:p w14:paraId="6D782F15" w14:textId="77777777" w:rsidR="006149D3" w:rsidRDefault="006149D3" w:rsidP="006149D3">
      <w:pPr>
        <w:spacing w:after="0" w:line="240" w:lineRule="auto"/>
        <w:jc w:val="both"/>
        <w:rPr>
          <w:rFonts w:cs="Arial"/>
          <w:shd w:val="clear" w:color="auto" w:fill="FFFFFF"/>
        </w:rPr>
      </w:pPr>
    </w:p>
    <w:p w14:paraId="6C764F05" w14:textId="77777777" w:rsidR="00681182" w:rsidRDefault="00681182" w:rsidP="0068118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 xml:space="preserve">Le informamos que ya se encuentran publicados los borradores de las nuevas </w:t>
      </w:r>
      <w:r w:rsidRPr="00C76656">
        <w:rPr>
          <w:rFonts w:ascii="Verdana" w:hAnsi="Verdana" w:cs="Arial"/>
          <w:color w:val="000000" w:themeColor="text1"/>
        </w:rPr>
        <w:lastRenderedPageBreak/>
        <w:t>versiones de los Documentos Tipo de Interventoría y Consultoría de Infraestructura de Transporte. Conoce todos los detalles y realiza tus comentarios hasta el 10 de noviembre de 2024 en los siguientes enlaces: </w:t>
      </w:r>
      <w:hyperlink r:id="rId14" w:tgtFrame="_blank" w:tooltip="Dirección URL original: https://www.colombiacompra.gov.co/content/borrador-de-documentos-tipo-de-consultoria-de-obra-publica-de-infraestructura-de-transporte. Haga clic o pulse si confía en este vínculo." w:history="1">
        <w:r w:rsidRPr="00C76656">
          <w:rPr>
            <w:rStyle w:val="Hipervnculo"/>
            <w:rFonts w:ascii="Verdana" w:hAnsi="Verdana" w:cs="Arial"/>
          </w:rPr>
          <w:t>https://www.colombiacompra.gov.co/content/borrador-de-documentos-tipo-de-consultoria-de-obra-publica-de-infraestructura-de-transporte</w:t>
        </w:r>
      </w:hyperlink>
      <w:r w:rsidRPr="00C76656">
        <w:rPr>
          <w:rFonts w:ascii="Verdana" w:hAnsi="Verdana" w:cs="Arial"/>
          <w:color w:val="000000" w:themeColor="text1"/>
        </w:rPr>
        <w:t> y </w:t>
      </w:r>
      <w:hyperlink r:id="rId15" w:tgtFrame="_blank" w:tooltip="Dirección URL original: https://www.colombiacompra.gov.co/content/borrador-de-documentos-tipo-de-interventoria-de-obra-publica-de-infraestructura-de. Haga clic o pulse si confía en este vínculo." w:history="1">
        <w:r w:rsidRPr="00C76656">
          <w:rPr>
            <w:rStyle w:val="Hipervnculo"/>
            <w:rFonts w:ascii="Verdana" w:hAnsi="Verdana" w:cs="Arial"/>
          </w:rPr>
          <w:t>https://www.colombiacompra.gov.co/content/borrador-de-documentos-tipo-de-interventoria-de-obra-publica-de-infraestructura-de</w:t>
        </w:r>
      </w:hyperlink>
      <w:r w:rsidRPr="00C76656">
        <w:rPr>
          <w:rFonts w:ascii="Verdana" w:hAnsi="Verdana" w:cs="Arial"/>
          <w:color w:val="000000" w:themeColor="text1"/>
        </w:rPr>
        <w:t> .</w:t>
      </w:r>
    </w:p>
    <w:p w14:paraId="11C25F51" w14:textId="77777777" w:rsidR="00681182" w:rsidRPr="00C76656" w:rsidRDefault="00681182" w:rsidP="00681182">
      <w:pPr>
        <w:widowControl w:val="0"/>
        <w:autoSpaceDE w:val="0"/>
        <w:autoSpaceDN w:val="0"/>
        <w:spacing w:after="0" w:line="276" w:lineRule="auto"/>
        <w:jc w:val="both"/>
        <w:rPr>
          <w:rFonts w:ascii="Verdana" w:hAnsi="Verdana" w:cs="Arial"/>
          <w:color w:val="000000" w:themeColor="text1"/>
        </w:rPr>
      </w:pPr>
    </w:p>
    <w:p w14:paraId="68CF5A80" w14:textId="77777777" w:rsidR="00681182" w:rsidRDefault="00681182" w:rsidP="0068118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6" w:tgtFrame="_blank" w:tooltip="Dirección URL original: https://www.sucop.gov.co/entidades/colombiacompra/Normativa?IDNorma=18320. Haga clic o pulse si confía en este vínculo." w:history="1">
        <w:r w:rsidRPr="00C76656">
          <w:rPr>
            <w:rStyle w:val="Hipervnculo"/>
            <w:rFonts w:ascii="Verdana" w:hAnsi="Verdana" w:cs="Arial"/>
          </w:rPr>
          <w:t>https://www.sucop.gov.co/entidades/colombiacompra/Normativa?IDNorma=18320</w:t>
        </w:r>
      </w:hyperlink>
      <w:r w:rsidRPr="00C76656">
        <w:rPr>
          <w:rFonts w:ascii="Verdana" w:hAnsi="Verdana" w:cs="Arial"/>
          <w:color w:val="000000" w:themeColor="text1"/>
        </w:rPr>
        <w:t>  </w:t>
      </w:r>
    </w:p>
    <w:p w14:paraId="75CFC38D" w14:textId="77777777" w:rsidR="00681182" w:rsidRPr="00C76656" w:rsidRDefault="00681182" w:rsidP="00681182">
      <w:pPr>
        <w:widowControl w:val="0"/>
        <w:autoSpaceDE w:val="0"/>
        <w:autoSpaceDN w:val="0"/>
        <w:spacing w:after="0" w:line="276" w:lineRule="auto"/>
        <w:jc w:val="both"/>
        <w:rPr>
          <w:rFonts w:ascii="Verdana" w:hAnsi="Verdana" w:cs="Arial"/>
          <w:color w:val="000000" w:themeColor="text1"/>
        </w:rPr>
      </w:pPr>
    </w:p>
    <w:p w14:paraId="3E8DFD5F" w14:textId="77777777" w:rsidR="00681182" w:rsidRPr="00C76656" w:rsidRDefault="00681182" w:rsidP="0068118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También le invitamos a consultar las versiones V y VI de 2024 del Boletín de Relatoría de la Subdirección de Gestión Contractual relacionados con las guías de Plan Anual de Adquisiciones y la odalidad de selección de mínima cuantía , los cuales se pueden descargar en la página web de la Agencia: </w:t>
      </w:r>
      <w:hyperlink r:id="rId17" w:tgtFrame="_blank" w:tooltip="Dirección URL original: https://www.colombiacompra.gov.co/sala-de-prensa/boletin-digital. Haga clic o pulse si confía en este vínculo." w:history="1">
        <w:r w:rsidRPr="00C76656">
          <w:rPr>
            <w:rStyle w:val="Hipervnculo"/>
            <w:rFonts w:ascii="Verdana" w:hAnsi="Verdana" w:cs="Arial"/>
          </w:rPr>
          <w:t>https://www.colombiacompra.gov.co/sala-de-prensa/boletin-digital</w:t>
        </w:r>
      </w:hyperlink>
      <w:r w:rsidRPr="00C76656">
        <w:rPr>
          <w:rFonts w:ascii="Verdana" w:hAnsi="Verdana" w:cs="Arial"/>
          <w:color w:val="000000" w:themeColor="text1"/>
        </w:rPr>
        <w:t> "    </w:t>
      </w:r>
    </w:p>
    <w:p w14:paraId="683DF6CF" w14:textId="77777777" w:rsidR="00681182" w:rsidRDefault="00681182" w:rsidP="00681182">
      <w:pPr>
        <w:widowControl w:val="0"/>
        <w:autoSpaceDE w:val="0"/>
        <w:autoSpaceDN w:val="0"/>
        <w:spacing w:after="0" w:line="276" w:lineRule="auto"/>
        <w:jc w:val="both"/>
        <w:rPr>
          <w:rFonts w:ascii="Verdana" w:hAnsi="Verdana" w:cs="Arial"/>
          <w:color w:val="000000" w:themeColor="text1"/>
        </w:rPr>
      </w:pPr>
    </w:p>
    <w:p w14:paraId="2C32401D" w14:textId="77777777" w:rsidR="00681182" w:rsidRPr="00E91F32" w:rsidRDefault="00681182" w:rsidP="00681182">
      <w:pPr>
        <w:widowControl w:val="0"/>
        <w:autoSpaceDE w:val="0"/>
        <w:autoSpaceDN w:val="0"/>
        <w:spacing w:after="0" w:line="276" w:lineRule="auto"/>
        <w:jc w:val="both"/>
        <w:rPr>
          <w:rFonts w:ascii="Verdana" w:hAnsi="Verdana" w:cs="Arial"/>
          <w:color w:val="000000" w:themeColor="text1"/>
        </w:rPr>
      </w:pPr>
      <w:r w:rsidRPr="00E91F32">
        <w:rPr>
          <w:rFonts w:ascii="Verdana" w:hAnsi="Verdana" w:cs="Arial"/>
          <w:color w:val="000000" w:themeColor="text1"/>
        </w:rPr>
        <w:t xml:space="preserve">Por último, lo invitamos a seguirnos en las redes sociales en las cuales se difunde información institucional: </w:t>
      </w:r>
    </w:p>
    <w:p w14:paraId="1ED25501" w14:textId="77777777" w:rsidR="00681182" w:rsidRPr="00CA17B5" w:rsidRDefault="00681182" w:rsidP="00681182">
      <w:pPr>
        <w:widowControl w:val="0"/>
        <w:autoSpaceDE w:val="0"/>
        <w:autoSpaceDN w:val="0"/>
        <w:spacing w:after="0" w:line="276" w:lineRule="auto"/>
        <w:jc w:val="both"/>
        <w:rPr>
          <w:rFonts w:ascii="Verdana" w:hAnsi="Verdana" w:cs="Arial"/>
          <w:color w:val="000000" w:themeColor="text1"/>
        </w:rPr>
      </w:pPr>
    </w:p>
    <w:p w14:paraId="0613D13F" w14:textId="77777777" w:rsidR="00681182" w:rsidRPr="00CA17B5" w:rsidRDefault="00681182" w:rsidP="0068118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Twitter: </w:t>
      </w:r>
      <w:r w:rsidRPr="00CA17B5">
        <w:rPr>
          <w:rFonts w:ascii="Verdana" w:hAnsi="Verdana" w:cs="Arial"/>
          <w:color w:val="000000" w:themeColor="text1"/>
          <w:u w:val="single"/>
        </w:rPr>
        <w:t>@colombiacompra</w:t>
      </w:r>
      <w:r w:rsidRPr="00CA17B5">
        <w:rPr>
          <w:rFonts w:ascii="Verdana" w:hAnsi="Verdana" w:cs="Arial"/>
          <w:color w:val="000000" w:themeColor="text1"/>
        </w:rPr>
        <w:t xml:space="preserve"> </w:t>
      </w:r>
    </w:p>
    <w:p w14:paraId="414F151C" w14:textId="77777777" w:rsidR="00681182" w:rsidRPr="00CA17B5" w:rsidRDefault="00681182" w:rsidP="0068118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Facebook: </w:t>
      </w:r>
      <w:r w:rsidRPr="00CA17B5">
        <w:rPr>
          <w:rFonts w:ascii="Verdana" w:hAnsi="Verdana" w:cs="Arial"/>
          <w:color w:val="000000" w:themeColor="text1"/>
          <w:u w:val="single"/>
        </w:rPr>
        <w:t>ColombiaCompraEficiente</w:t>
      </w:r>
    </w:p>
    <w:p w14:paraId="11E9A7FE" w14:textId="77777777" w:rsidR="00681182" w:rsidRPr="00CA17B5" w:rsidRDefault="00681182" w:rsidP="0068118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LinkedIn: </w:t>
      </w:r>
      <w:r w:rsidRPr="00CA17B5">
        <w:rPr>
          <w:rFonts w:ascii="Verdana" w:hAnsi="Verdana" w:cs="Arial"/>
          <w:color w:val="000000" w:themeColor="text1"/>
          <w:u w:val="single"/>
        </w:rPr>
        <w:t>Agencia Nacional de Contratación Pública - Colombia Compra Eficiente</w:t>
      </w:r>
      <w:r w:rsidRPr="00CA17B5">
        <w:rPr>
          <w:rFonts w:ascii="Verdana" w:hAnsi="Verdana" w:cs="Arial"/>
          <w:color w:val="000000" w:themeColor="text1"/>
        </w:rPr>
        <w:t xml:space="preserve"> Instagram: </w:t>
      </w:r>
      <w:r w:rsidRPr="00CA17B5">
        <w:rPr>
          <w:rFonts w:ascii="Verdana" w:hAnsi="Verdana" w:cs="Arial"/>
          <w:color w:val="000000" w:themeColor="text1"/>
          <w:u w:val="single"/>
        </w:rPr>
        <w:t>@colombiacompraeficiente_cce</w:t>
      </w:r>
    </w:p>
    <w:p w14:paraId="4BDE866D" w14:textId="77777777" w:rsidR="00681182" w:rsidRPr="00CA17B5" w:rsidRDefault="00681182" w:rsidP="00681182">
      <w:pPr>
        <w:widowControl w:val="0"/>
        <w:autoSpaceDE w:val="0"/>
        <w:autoSpaceDN w:val="0"/>
        <w:spacing w:after="0" w:line="276" w:lineRule="auto"/>
        <w:jc w:val="both"/>
        <w:rPr>
          <w:rFonts w:ascii="Verdana" w:hAnsi="Verdana" w:cs="Arial"/>
          <w:color w:val="000000" w:themeColor="text1"/>
        </w:rPr>
      </w:pPr>
    </w:p>
    <w:p w14:paraId="32D7E48E" w14:textId="77777777" w:rsidR="00681182" w:rsidRPr="00CA17B5" w:rsidRDefault="00681182" w:rsidP="00681182">
      <w:pPr>
        <w:widowControl w:val="0"/>
        <w:autoSpaceDE w:val="0"/>
        <w:autoSpaceDN w:val="0"/>
        <w:spacing w:after="0" w:line="276" w:lineRule="auto"/>
        <w:jc w:val="both"/>
        <w:rPr>
          <w:rFonts w:ascii="Verdana" w:hAnsi="Verdana" w:cs="Arial"/>
          <w:color w:val="000000" w:themeColor="text1"/>
          <w:lang w:val="es-ES_tradnl"/>
        </w:rPr>
      </w:pPr>
      <w:r w:rsidRPr="00CA17B5">
        <w:rPr>
          <w:rFonts w:ascii="Verdana" w:hAnsi="Verdana" w:cs="Arial"/>
          <w:color w:val="000000" w:themeColor="text1"/>
        </w:rPr>
        <w:t xml:space="preserve">Este concepto tiene el alcance previsto en el artículo 28 del Código de Procedimiento Administrativo y de lo Contencioso Administrativo </w:t>
      </w:r>
      <w:r w:rsidRPr="00CA17B5">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64EA3B21" w14:textId="082AC939" w:rsidR="006149D3" w:rsidRPr="00681182" w:rsidRDefault="006149D3" w:rsidP="00681182">
      <w:pPr>
        <w:spacing w:after="0" w:line="240" w:lineRule="auto"/>
        <w:jc w:val="both"/>
        <w:rPr>
          <w:rFonts w:ascii="Verdana" w:hAnsi="Verdana"/>
          <w:lang w:val="es-ES_tradnl"/>
        </w:rPr>
      </w:pPr>
    </w:p>
    <w:p w14:paraId="103F5D28" w14:textId="77777777" w:rsidR="006149D3" w:rsidRPr="00855351" w:rsidRDefault="006149D3" w:rsidP="006149D3">
      <w:pPr>
        <w:widowControl w:val="0"/>
        <w:autoSpaceDE w:val="0"/>
        <w:autoSpaceDN w:val="0"/>
        <w:spacing w:after="0" w:line="276" w:lineRule="auto"/>
        <w:jc w:val="both"/>
        <w:rPr>
          <w:rFonts w:ascii="Verdana" w:hAnsi="Verdana" w:cs="Arial"/>
          <w:color w:val="000000" w:themeColor="text1"/>
          <w:lang w:val="es-ES_tradnl"/>
        </w:rPr>
      </w:pPr>
    </w:p>
    <w:p w14:paraId="5BA4E78C" w14:textId="77777777" w:rsidR="00681182" w:rsidRPr="00132167" w:rsidRDefault="00681182" w:rsidP="00681182">
      <w:pPr>
        <w:spacing w:line="276" w:lineRule="auto"/>
        <w:rPr>
          <w:rFonts w:ascii="Verdana" w:hAnsi="Verdana" w:cs="Arial"/>
          <w:color w:val="000000" w:themeColor="text1"/>
          <w:lang w:eastAsia="es-CO"/>
        </w:rPr>
      </w:pPr>
      <w:r w:rsidRPr="00132167">
        <w:rPr>
          <w:rFonts w:ascii="Verdana" w:hAnsi="Verdana" w:cs="Arial"/>
          <w:color w:val="000000" w:themeColor="text1"/>
          <w:lang w:eastAsia="es-CO"/>
        </w:rPr>
        <w:lastRenderedPageBreak/>
        <w:t xml:space="preserve">Atentamente, </w:t>
      </w:r>
    </w:p>
    <w:p w14:paraId="3A8DF25D" w14:textId="2F1D0822" w:rsidR="008C3B92" w:rsidRPr="008C3B92" w:rsidRDefault="008C3B92" w:rsidP="008C3B92">
      <w:pPr>
        <w:spacing w:line="276" w:lineRule="auto"/>
        <w:jc w:val="center"/>
        <w:rPr>
          <w:rFonts w:ascii="Verdana" w:hAnsi="Verdana" w:cs="Arial"/>
          <w:color w:val="000000" w:themeColor="text1"/>
          <w:lang w:val="es-MX" w:eastAsia="es-CO"/>
        </w:rPr>
      </w:pPr>
      <w:r w:rsidRPr="008C3B92">
        <w:rPr>
          <w:rFonts w:ascii="Verdana" w:hAnsi="Verdana" w:cs="Arial"/>
          <w:noProof/>
          <w:color w:val="000000" w:themeColor="text1"/>
          <w:lang w:val="es-MX" w:eastAsia="es-CO"/>
        </w:rPr>
        <w:drawing>
          <wp:inline distT="0" distB="0" distL="0" distR="0" wp14:anchorId="5D770880" wp14:editId="08ACF8D0">
            <wp:extent cx="3771900" cy="1400175"/>
            <wp:effectExtent l="0" t="0" r="0" b="9525"/>
            <wp:docPr id="130088422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84224" name="Imagen 2" descr="Tex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6053D307" w14:textId="09CAC2A1" w:rsidR="00681182" w:rsidRPr="00132167" w:rsidRDefault="00681182" w:rsidP="00681182">
      <w:pPr>
        <w:spacing w:line="276" w:lineRule="auto"/>
        <w:jc w:val="center"/>
        <w:rPr>
          <w:rFonts w:ascii="Verdana" w:hAnsi="Verdana" w:cs="Arial"/>
          <w:color w:val="000000" w:themeColor="text1"/>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81182" w:rsidRPr="009F0774" w14:paraId="3CCDE230" w14:textId="77777777" w:rsidTr="00F627CD">
        <w:trPr>
          <w:trHeight w:val="315"/>
        </w:trPr>
        <w:tc>
          <w:tcPr>
            <w:tcW w:w="893" w:type="dxa"/>
            <w:vAlign w:val="center"/>
            <w:hideMark/>
          </w:tcPr>
          <w:p w14:paraId="0AD3A656" w14:textId="77777777" w:rsidR="00681182" w:rsidRPr="00132167" w:rsidRDefault="00681182" w:rsidP="00F627CD">
            <w:pPr>
              <w:contextualSpacing/>
              <w:rPr>
                <w:rFonts w:ascii="Verdana" w:hAnsi="Verdana" w:cs="Arial"/>
                <w:color w:val="000000" w:themeColor="text1"/>
                <w:sz w:val="16"/>
                <w:szCs w:val="16"/>
                <w:lang w:eastAsia="es-ES"/>
              </w:rPr>
            </w:pPr>
            <w:r w:rsidRPr="00132167">
              <w:rPr>
                <w:rFonts w:ascii="Verdana" w:hAnsi="Verdana" w:cs="Arial"/>
                <w:color w:val="000000" w:themeColor="text1"/>
                <w:sz w:val="16"/>
                <w:szCs w:val="16"/>
                <w:lang w:eastAsia="es-ES"/>
              </w:rPr>
              <w:t>Elaboró:</w:t>
            </w:r>
          </w:p>
        </w:tc>
        <w:tc>
          <w:tcPr>
            <w:tcW w:w="5628" w:type="dxa"/>
            <w:tcBorders>
              <w:top w:val="nil"/>
              <w:left w:val="nil"/>
              <w:bottom w:val="dotted" w:sz="4" w:space="0" w:color="7F7F7F" w:themeColor="text1" w:themeTint="80"/>
              <w:right w:val="nil"/>
            </w:tcBorders>
            <w:vAlign w:val="center"/>
            <w:hideMark/>
          </w:tcPr>
          <w:p w14:paraId="74A0EF34" w14:textId="77777777" w:rsidR="00681182" w:rsidRPr="00132167" w:rsidRDefault="00681182" w:rsidP="00F627CD">
            <w:pPr>
              <w:contextualSpacing/>
              <w:rPr>
                <w:rStyle w:val="normaltextrun"/>
                <w:rFonts w:ascii="Verdana" w:hAnsi="Verdana"/>
                <w:color w:val="000000" w:themeColor="text1"/>
                <w:sz w:val="16"/>
                <w:szCs w:val="16"/>
              </w:rPr>
            </w:pPr>
            <w:r w:rsidRPr="00132167">
              <w:rPr>
                <w:rStyle w:val="normaltextrun"/>
                <w:rFonts w:ascii="Verdana" w:hAnsi="Verdana"/>
                <w:color w:val="000000" w:themeColor="text1"/>
                <w:sz w:val="16"/>
                <w:szCs w:val="16"/>
              </w:rPr>
              <w:t>Gloria Ximena Moreno Guio</w:t>
            </w:r>
          </w:p>
          <w:p w14:paraId="5D05A669" w14:textId="77777777" w:rsidR="00681182" w:rsidRPr="00132167" w:rsidRDefault="00681182" w:rsidP="00F627CD">
            <w:pPr>
              <w:contextualSpacing/>
              <w:rPr>
                <w:rFonts w:ascii="Verdana" w:eastAsia="Arial" w:hAnsi="Verdana" w:cs="Arial"/>
                <w:color w:val="000000" w:themeColor="text1"/>
                <w:sz w:val="16"/>
                <w:szCs w:val="16"/>
              </w:rPr>
            </w:pPr>
            <w:r w:rsidRPr="00132167">
              <w:rPr>
                <w:rStyle w:val="normaltextrun"/>
                <w:rFonts w:ascii="Verdana" w:hAnsi="Verdana"/>
                <w:color w:val="000000" w:themeColor="text1"/>
                <w:sz w:val="16"/>
                <w:szCs w:val="16"/>
              </w:rPr>
              <w:t xml:space="preserve">Contratista </w:t>
            </w:r>
            <w:r w:rsidRPr="00132167">
              <w:rPr>
                <w:rStyle w:val="normaltextrun"/>
                <w:rFonts w:ascii="Verdana" w:eastAsia="Arial" w:hAnsi="Verdana" w:cs="Arial"/>
                <w:color w:val="000000" w:themeColor="text1"/>
                <w:sz w:val="16"/>
                <w:szCs w:val="16"/>
              </w:rPr>
              <w:t>de la Subdirección de Gestión Contractual</w:t>
            </w:r>
          </w:p>
        </w:tc>
      </w:tr>
      <w:tr w:rsidR="00681182" w:rsidRPr="009F0774" w14:paraId="1991A294" w14:textId="77777777" w:rsidTr="00F627CD">
        <w:trPr>
          <w:trHeight w:val="330"/>
        </w:trPr>
        <w:tc>
          <w:tcPr>
            <w:tcW w:w="893" w:type="dxa"/>
            <w:vAlign w:val="center"/>
            <w:hideMark/>
          </w:tcPr>
          <w:p w14:paraId="416B0F53" w14:textId="77777777" w:rsidR="00681182" w:rsidRPr="00132167" w:rsidRDefault="00681182" w:rsidP="00F627CD">
            <w:pPr>
              <w:contextualSpacing/>
              <w:rPr>
                <w:rFonts w:ascii="Verdana" w:hAnsi="Verdana" w:cs="Arial"/>
                <w:color w:val="000000" w:themeColor="text1"/>
                <w:sz w:val="16"/>
                <w:szCs w:val="16"/>
                <w:lang w:eastAsia="es-ES"/>
              </w:rPr>
            </w:pPr>
            <w:r w:rsidRPr="00132167">
              <w:rPr>
                <w:rFonts w:ascii="Verdana" w:hAnsi="Verdana" w:cs="Arial"/>
                <w:color w:val="000000" w:themeColor="text1"/>
                <w:sz w:val="16"/>
                <w:szCs w:val="16"/>
                <w:lang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337AC5B" w14:textId="77777777" w:rsidR="00681182" w:rsidRPr="00132167" w:rsidRDefault="00681182" w:rsidP="00F627CD">
            <w:pPr>
              <w:pStyle w:val="paragraph"/>
              <w:spacing w:before="0" w:beforeAutospacing="0" w:after="0" w:afterAutospacing="0"/>
              <w:contextualSpacing/>
              <w:textAlignment w:val="baseline"/>
              <w:rPr>
                <w:rStyle w:val="normaltextrun"/>
                <w:rFonts w:ascii="Verdana" w:hAnsi="Verdana" w:cs="Arial"/>
                <w:color w:val="000000" w:themeColor="text1"/>
                <w:sz w:val="16"/>
                <w:szCs w:val="16"/>
              </w:rPr>
            </w:pPr>
            <w:r w:rsidRPr="00132167">
              <w:rPr>
                <w:rStyle w:val="normaltextrun"/>
                <w:rFonts w:ascii="Verdana" w:hAnsi="Verdana" w:cs="Arial"/>
                <w:color w:val="000000" w:themeColor="text1"/>
                <w:sz w:val="16"/>
                <w:szCs w:val="16"/>
              </w:rPr>
              <w:t>Cielo Victoria González Meza</w:t>
            </w:r>
          </w:p>
          <w:p w14:paraId="49DC0AA8" w14:textId="77777777" w:rsidR="00681182" w:rsidRPr="00132167" w:rsidRDefault="00681182" w:rsidP="00F627CD">
            <w:pPr>
              <w:pStyle w:val="paragraph"/>
              <w:spacing w:before="0" w:beforeAutospacing="0" w:after="0" w:afterAutospacing="0"/>
              <w:contextualSpacing/>
              <w:textAlignment w:val="baseline"/>
              <w:rPr>
                <w:rFonts w:ascii="Verdana" w:hAnsi="Verdana" w:cs="Segoe UI"/>
                <w:color w:val="000000" w:themeColor="text1"/>
                <w:sz w:val="16"/>
                <w:szCs w:val="16"/>
              </w:rPr>
            </w:pPr>
            <w:r w:rsidRPr="00132167">
              <w:rPr>
                <w:rStyle w:val="normaltextrun"/>
                <w:rFonts w:ascii="Verdana" w:hAnsi="Verdana" w:cs="Arial"/>
                <w:color w:val="000000" w:themeColor="text1"/>
                <w:sz w:val="16"/>
                <w:szCs w:val="16"/>
              </w:rPr>
              <w:t>Contratista de la Subdirección de Gestión Contractual</w:t>
            </w:r>
            <w:r w:rsidRPr="00132167">
              <w:rPr>
                <w:rStyle w:val="eop"/>
                <w:rFonts w:ascii="Verdana" w:hAnsi="Verdana" w:cs="Arial"/>
                <w:color w:val="000000" w:themeColor="text1"/>
                <w:sz w:val="16"/>
                <w:szCs w:val="16"/>
              </w:rPr>
              <w:t> </w:t>
            </w:r>
          </w:p>
        </w:tc>
      </w:tr>
      <w:tr w:rsidR="00681182" w:rsidRPr="009F0774" w14:paraId="61CA51C3" w14:textId="77777777" w:rsidTr="00F627CD">
        <w:trPr>
          <w:trHeight w:val="300"/>
        </w:trPr>
        <w:tc>
          <w:tcPr>
            <w:tcW w:w="893" w:type="dxa"/>
            <w:vAlign w:val="center"/>
          </w:tcPr>
          <w:p w14:paraId="0316CF8D" w14:textId="77777777" w:rsidR="00681182" w:rsidRPr="00132167" w:rsidRDefault="00681182" w:rsidP="00F627CD">
            <w:pPr>
              <w:contextualSpacing/>
              <w:rPr>
                <w:rFonts w:ascii="Verdana" w:hAnsi="Verdana" w:cs="Arial"/>
                <w:color w:val="000000" w:themeColor="text1"/>
                <w:sz w:val="16"/>
                <w:szCs w:val="16"/>
                <w:lang w:eastAsia="es-ES"/>
              </w:rPr>
            </w:pPr>
            <w:r w:rsidRPr="00132167">
              <w:rPr>
                <w:rFonts w:ascii="Verdana" w:hAnsi="Verdana" w:cs="Arial"/>
                <w:color w:val="000000" w:themeColor="text1"/>
                <w:sz w:val="16"/>
                <w:szCs w:val="16"/>
                <w:lang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D250827" w14:textId="77777777" w:rsidR="00681182" w:rsidRPr="00132167" w:rsidRDefault="00681182" w:rsidP="00F627CD">
            <w:pPr>
              <w:contextualSpacing/>
              <w:rPr>
                <w:rFonts w:ascii="Verdana" w:eastAsia="Calibri" w:hAnsi="Verdana" w:cs="Arial"/>
                <w:color w:val="000000" w:themeColor="text1"/>
                <w:sz w:val="16"/>
                <w:szCs w:val="16"/>
                <w:lang w:val="pt-BR" w:eastAsia="es-ES"/>
              </w:rPr>
            </w:pPr>
            <w:r w:rsidRPr="00132167">
              <w:rPr>
                <w:rFonts w:ascii="Verdana" w:eastAsia="Calibri" w:hAnsi="Verdana" w:cs="Arial"/>
                <w:color w:val="000000" w:themeColor="text1"/>
                <w:sz w:val="16"/>
                <w:szCs w:val="16"/>
                <w:lang w:val="pt-BR" w:eastAsia="es-ES"/>
              </w:rPr>
              <w:t>Carolina Quintero Gacharná</w:t>
            </w:r>
          </w:p>
          <w:p w14:paraId="30B66EED" w14:textId="77777777" w:rsidR="00681182" w:rsidRPr="00132167" w:rsidRDefault="00681182" w:rsidP="00F627CD">
            <w:pPr>
              <w:contextualSpacing/>
              <w:rPr>
                <w:rFonts w:ascii="Verdana" w:eastAsia="Calibri" w:hAnsi="Verdana" w:cs="Arial"/>
                <w:color w:val="000000" w:themeColor="text1"/>
                <w:sz w:val="16"/>
                <w:szCs w:val="16"/>
                <w:lang w:val="pt-BR" w:eastAsia="es-ES"/>
              </w:rPr>
            </w:pPr>
            <w:r w:rsidRPr="00132167">
              <w:rPr>
                <w:rFonts w:ascii="Verdana" w:eastAsia="Calibri" w:hAnsi="Verdana" w:cs="Arial"/>
                <w:color w:val="000000" w:themeColor="text1"/>
                <w:sz w:val="16"/>
                <w:szCs w:val="16"/>
                <w:lang w:eastAsia="es-ES"/>
              </w:rPr>
              <w:t>Subdirectora</w:t>
            </w:r>
            <w:r w:rsidRPr="00132167">
              <w:rPr>
                <w:rFonts w:ascii="Verdana" w:eastAsia="Calibri" w:hAnsi="Verdana" w:cs="Arial"/>
                <w:color w:val="000000" w:themeColor="text1"/>
                <w:sz w:val="16"/>
                <w:szCs w:val="16"/>
                <w:lang w:val="pt-BR" w:eastAsia="es-ES"/>
              </w:rPr>
              <w:t xml:space="preserve"> de Gestión Contractual ANCP – CCE</w:t>
            </w:r>
          </w:p>
        </w:tc>
      </w:tr>
    </w:tbl>
    <w:p w14:paraId="29AF939D" w14:textId="77777777" w:rsidR="00681182" w:rsidRPr="00132167" w:rsidRDefault="00681182" w:rsidP="00681182">
      <w:pPr>
        <w:rPr>
          <w:rFonts w:ascii="Verdana" w:hAnsi="Verdana" w:cs="Arial"/>
          <w:color w:val="000000" w:themeColor="text1"/>
          <w:sz w:val="16"/>
          <w:szCs w:val="16"/>
          <w:lang w:eastAsia="es-ES"/>
        </w:rPr>
      </w:pPr>
    </w:p>
    <w:p w14:paraId="2650EA6D" w14:textId="77777777" w:rsidR="006149D3" w:rsidRPr="00592355" w:rsidRDefault="006149D3" w:rsidP="006149D3"/>
    <w:p w14:paraId="093E151E" w14:textId="77777777" w:rsidR="006149D3" w:rsidRPr="00115E3D" w:rsidRDefault="006149D3" w:rsidP="006149D3">
      <w:pPr>
        <w:spacing w:after="0" w:line="240" w:lineRule="auto"/>
        <w:rPr>
          <w:rFonts w:ascii="Verdana" w:eastAsia="Times New Roman" w:hAnsi="Verdana" w:cs="Arial"/>
          <w:color w:val="000000" w:themeColor="text1"/>
          <w:sz w:val="24"/>
          <w:szCs w:val="24"/>
          <w:lang w:eastAsia="es-ES"/>
        </w:rPr>
      </w:pPr>
    </w:p>
    <w:p w14:paraId="2DBCD83F" w14:textId="77777777" w:rsidR="006149D3" w:rsidRPr="00115E3D" w:rsidRDefault="006149D3" w:rsidP="006149D3">
      <w:pPr>
        <w:rPr>
          <w:color w:val="000000" w:themeColor="text1"/>
        </w:rPr>
      </w:pPr>
    </w:p>
    <w:p w14:paraId="40C0B324" w14:textId="77777777" w:rsidR="006149D3" w:rsidRDefault="006149D3" w:rsidP="006149D3"/>
    <w:p w14:paraId="1D832AE4" w14:textId="77777777" w:rsidR="000F5A42" w:rsidRDefault="000F5A42"/>
    <w:sectPr w:rsidR="000F5A42" w:rsidSect="006149D3">
      <w:headerReference w:type="default" r:id="rId19"/>
      <w:footerReference w:type="default" r:id="rId2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0E4EF" w14:textId="77777777" w:rsidR="00116C3E" w:rsidRDefault="00116C3E" w:rsidP="006149D3">
      <w:pPr>
        <w:spacing w:after="0" w:line="240" w:lineRule="auto"/>
      </w:pPr>
      <w:r>
        <w:separator/>
      </w:r>
    </w:p>
  </w:endnote>
  <w:endnote w:type="continuationSeparator" w:id="0">
    <w:p w14:paraId="65496ED8" w14:textId="77777777" w:rsidR="00116C3E" w:rsidRDefault="00116C3E" w:rsidP="006149D3">
      <w:pPr>
        <w:spacing w:after="0" w:line="240" w:lineRule="auto"/>
      </w:pPr>
      <w:r>
        <w:continuationSeparator/>
      </w:r>
    </w:p>
  </w:endnote>
  <w:endnote w:type="continuationNotice" w:id="1">
    <w:p w14:paraId="01E3E528" w14:textId="77777777" w:rsidR="00116C3E" w:rsidRDefault="00116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8011" w14:textId="77777777" w:rsidR="00267214" w:rsidRDefault="00267214" w:rsidP="00F627CD">
    <w:pPr>
      <w:spacing w:after="0"/>
      <w:rPr>
        <w:rFonts w:ascii="Verdana" w:hAnsi="Verdana"/>
        <w:b/>
        <w:bCs/>
        <w:sz w:val="20"/>
        <w:szCs w:val="20"/>
      </w:rPr>
    </w:pPr>
  </w:p>
  <w:p w14:paraId="211BC4AD" w14:textId="77777777" w:rsidR="00267214" w:rsidRPr="00174B77" w:rsidRDefault="006B5AC8" w:rsidP="00F627CD">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154D2AD" w14:textId="77777777" w:rsidR="00267214" w:rsidRDefault="006B5AC8" w:rsidP="00F627CD">
    <w:pPr>
      <w:spacing w:after="0"/>
      <w:jc w:val="both"/>
      <w:rPr>
        <w:rFonts w:ascii="Verdana" w:hAnsi="Verdana"/>
        <w:sz w:val="18"/>
        <w:szCs w:val="18"/>
      </w:rPr>
    </w:pPr>
    <w:r w:rsidRPr="00E41027">
      <w:rPr>
        <w:rFonts w:ascii="Verdana" w:hAnsi="Verdana"/>
        <w:sz w:val="18"/>
        <w:szCs w:val="18"/>
      </w:rPr>
      <w:t>Dirección: Carrera 7 # 26 – 20 - Bogotá, Colombia</w:t>
    </w:r>
  </w:p>
  <w:p w14:paraId="6E2308AB" w14:textId="77777777" w:rsidR="00267214" w:rsidRPr="00E41027" w:rsidRDefault="006B5AC8" w:rsidP="00F627CD">
    <w:pPr>
      <w:spacing w:after="0"/>
      <w:jc w:val="both"/>
      <w:rPr>
        <w:rFonts w:ascii="Verdana" w:hAnsi="Verdana"/>
        <w:sz w:val="18"/>
        <w:szCs w:val="18"/>
      </w:rPr>
    </w:pPr>
    <w:r w:rsidRPr="00E41027">
      <w:rPr>
        <w:rFonts w:ascii="Verdana" w:hAnsi="Verdana"/>
        <w:sz w:val="18"/>
        <w:szCs w:val="18"/>
      </w:rPr>
      <w:t>Mesa de servicio: (+57) 601 7456788</w:t>
    </w:r>
  </w:p>
  <w:p w14:paraId="51106F72" w14:textId="77777777" w:rsidR="00267214" w:rsidRDefault="006B5AC8" w:rsidP="00F627CD">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7E9054D5" w14:textId="77777777" w:rsidR="00267214" w:rsidRPr="007D04B2" w:rsidRDefault="00267214" w:rsidP="00F627CD">
    <w:pPr>
      <w:pStyle w:val="Piedepgina"/>
    </w:pPr>
  </w:p>
  <w:p w14:paraId="02136937" w14:textId="77777777" w:rsidR="00267214" w:rsidRPr="000849D5" w:rsidRDefault="00267214" w:rsidP="00F627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AAFD" w14:textId="77777777" w:rsidR="00116C3E" w:rsidRDefault="00116C3E" w:rsidP="006149D3">
      <w:pPr>
        <w:spacing w:after="0" w:line="240" w:lineRule="auto"/>
      </w:pPr>
      <w:r>
        <w:separator/>
      </w:r>
    </w:p>
  </w:footnote>
  <w:footnote w:type="continuationSeparator" w:id="0">
    <w:p w14:paraId="595B2CD1" w14:textId="77777777" w:rsidR="00116C3E" w:rsidRDefault="00116C3E" w:rsidP="006149D3">
      <w:pPr>
        <w:spacing w:after="0" w:line="240" w:lineRule="auto"/>
      </w:pPr>
      <w:r>
        <w:continuationSeparator/>
      </w:r>
    </w:p>
  </w:footnote>
  <w:footnote w:type="continuationNotice" w:id="1">
    <w:p w14:paraId="58583174" w14:textId="77777777" w:rsidR="00116C3E" w:rsidRDefault="00116C3E">
      <w:pPr>
        <w:spacing w:after="0" w:line="240" w:lineRule="auto"/>
      </w:pPr>
    </w:p>
  </w:footnote>
  <w:footnote w:id="2">
    <w:p w14:paraId="202676AA" w14:textId="77777777" w:rsidR="006149D3" w:rsidRPr="007139C4" w:rsidRDefault="006149D3" w:rsidP="006149D3">
      <w:pPr>
        <w:pStyle w:val="Textonotapie"/>
        <w:ind w:firstLine="708"/>
        <w:contextualSpacing/>
        <w:jc w:val="both"/>
        <w:rPr>
          <w:rStyle w:val="Hipervnculo1"/>
          <w:rFonts w:ascii="Verdana" w:hAnsi="Verdana" w:cs="Arial"/>
          <w:color w:val="000000"/>
          <w:sz w:val="12"/>
          <w:szCs w:val="12"/>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Texto del Proyecto de Ley 122 de 2020 Cámara. Exposición de motivos. Consultado el 29 de diciembre de 2021 en la página web: </w:t>
      </w:r>
      <w:hyperlink r:id="rId1" w:history="1">
        <w:r w:rsidRPr="007139C4">
          <w:rPr>
            <w:rStyle w:val="Hipervnculo"/>
            <w:rFonts w:ascii="Verdana" w:hAnsi="Verdana" w:cs="Arial"/>
            <w:sz w:val="12"/>
            <w:szCs w:val="12"/>
          </w:rPr>
          <w:t>http://leyes.senado.gov.co/proyectos/index.php/textos-radicados-senado/p-ley-2020-2021/1957-proyecto-de-ley-161-de-2020</w:t>
        </w:r>
      </w:hyperlink>
      <w:r w:rsidRPr="007139C4">
        <w:rPr>
          <w:rStyle w:val="Hipervnculo1"/>
          <w:rFonts w:ascii="Verdana" w:hAnsi="Verdana" w:cs="Arial"/>
          <w:color w:val="000000"/>
          <w:sz w:val="12"/>
          <w:szCs w:val="12"/>
        </w:rPr>
        <w:t xml:space="preserve"> </w:t>
      </w:r>
    </w:p>
    <w:p w14:paraId="7EA30C47" w14:textId="77777777" w:rsidR="006149D3" w:rsidRPr="007139C4" w:rsidRDefault="006149D3" w:rsidP="006149D3">
      <w:pPr>
        <w:pStyle w:val="Textonotapie"/>
        <w:ind w:firstLine="708"/>
        <w:contextualSpacing/>
        <w:jc w:val="both"/>
        <w:rPr>
          <w:rFonts w:ascii="Verdana" w:hAnsi="Verdana"/>
          <w:sz w:val="12"/>
          <w:szCs w:val="12"/>
        </w:rPr>
      </w:pPr>
    </w:p>
  </w:footnote>
  <w:footnote w:id="3">
    <w:p w14:paraId="501B0CA8" w14:textId="77777777" w:rsidR="006149D3" w:rsidRPr="007139C4" w:rsidRDefault="006149D3" w:rsidP="006149D3">
      <w:pPr>
        <w:pStyle w:val="Textonotapie"/>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2 al 29.</w:t>
      </w:r>
    </w:p>
    <w:p w14:paraId="38C17574" w14:textId="77777777" w:rsidR="006149D3" w:rsidRPr="007139C4" w:rsidRDefault="006149D3" w:rsidP="006149D3">
      <w:pPr>
        <w:pStyle w:val="Textonotapie"/>
        <w:ind w:firstLine="709"/>
        <w:contextualSpacing/>
        <w:jc w:val="both"/>
        <w:rPr>
          <w:rFonts w:ascii="Verdana" w:hAnsi="Verdana"/>
          <w:sz w:val="12"/>
          <w:szCs w:val="12"/>
        </w:rPr>
      </w:pPr>
    </w:p>
  </w:footnote>
  <w:footnote w:id="4">
    <w:p w14:paraId="70C3B69C" w14:textId="77777777" w:rsidR="006149D3" w:rsidRPr="007139C4" w:rsidRDefault="006149D3" w:rsidP="006149D3">
      <w:pPr>
        <w:pStyle w:val="Textonotapie"/>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30 al 36.</w:t>
      </w:r>
    </w:p>
    <w:p w14:paraId="1F4165DA" w14:textId="77777777" w:rsidR="006149D3" w:rsidRPr="007139C4" w:rsidRDefault="006149D3" w:rsidP="006149D3">
      <w:pPr>
        <w:pStyle w:val="Textonotapie"/>
        <w:ind w:firstLine="709"/>
        <w:contextualSpacing/>
        <w:jc w:val="both"/>
        <w:rPr>
          <w:rFonts w:ascii="Verdana" w:hAnsi="Verdana"/>
          <w:sz w:val="12"/>
          <w:szCs w:val="12"/>
        </w:rPr>
      </w:pPr>
    </w:p>
  </w:footnote>
  <w:footnote w:id="5">
    <w:p w14:paraId="2AED1451" w14:textId="77777777" w:rsidR="006149D3" w:rsidRPr="007139C4" w:rsidRDefault="006149D3" w:rsidP="006149D3">
      <w:pPr>
        <w:pStyle w:val="Textonotapie"/>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37 al 45.</w:t>
      </w:r>
    </w:p>
    <w:p w14:paraId="64314323" w14:textId="77777777" w:rsidR="006149D3" w:rsidRPr="007139C4" w:rsidRDefault="006149D3" w:rsidP="006149D3">
      <w:pPr>
        <w:pStyle w:val="Textonotapie"/>
        <w:ind w:firstLine="709"/>
        <w:contextualSpacing/>
        <w:jc w:val="both"/>
        <w:rPr>
          <w:rFonts w:ascii="Verdana" w:hAnsi="Verdana"/>
          <w:sz w:val="12"/>
          <w:szCs w:val="12"/>
        </w:rPr>
      </w:pPr>
    </w:p>
  </w:footnote>
  <w:footnote w:id="6">
    <w:p w14:paraId="50E97C24" w14:textId="77777777" w:rsidR="006149D3" w:rsidRPr="007139C4" w:rsidRDefault="006149D3" w:rsidP="006149D3">
      <w:pPr>
        <w:pStyle w:val="Textonotapie"/>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46 al 73.</w:t>
      </w:r>
    </w:p>
    <w:p w14:paraId="284C5688" w14:textId="77777777" w:rsidR="006149D3" w:rsidRPr="007139C4" w:rsidRDefault="006149D3" w:rsidP="006149D3">
      <w:pPr>
        <w:pStyle w:val="Textonotapie"/>
        <w:ind w:firstLine="709"/>
        <w:contextualSpacing/>
        <w:jc w:val="both"/>
        <w:rPr>
          <w:rFonts w:ascii="Verdana" w:hAnsi="Verdana"/>
          <w:sz w:val="12"/>
          <w:szCs w:val="12"/>
        </w:rPr>
      </w:pPr>
    </w:p>
  </w:footnote>
  <w:footnote w:id="7">
    <w:p w14:paraId="13A07700" w14:textId="77777777" w:rsidR="006149D3" w:rsidRPr="007139C4" w:rsidRDefault="006149D3" w:rsidP="006149D3">
      <w:pPr>
        <w:pStyle w:val="Textonotapie"/>
        <w:ind w:firstLine="709"/>
        <w:contextualSpacing/>
        <w:jc w:val="both"/>
        <w:rPr>
          <w:rFonts w:ascii="Verdana" w:hAnsi="Verdana" w:cs="Arial"/>
          <w:color w:val="000000"/>
          <w:sz w:val="12"/>
          <w:szCs w:val="12"/>
          <w:lang w:val="es-ES"/>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w:t>
      </w:r>
      <w:r w:rsidRPr="007139C4">
        <w:rPr>
          <w:rFonts w:ascii="Verdana" w:hAnsi="Verdana" w:cs="Arial"/>
          <w:color w:val="000000"/>
          <w:sz w:val="12"/>
          <w:szCs w:val="12"/>
          <w:lang w:val="es-ES"/>
        </w:rPr>
        <w:t>Artículos 74 al 83.</w:t>
      </w:r>
    </w:p>
    <w:p w14:paraId="0E01FB71" w14:textId="77777777" w:rsidR="006149D3" w:rsidRPr="007139C4" w:rsidRDefault="006149D3" w:rsidP="006149D3">
      <w:pPr>
        <w:pStyle w:val="Textonotapie"/>
        <w:ind w:firstLine="709"/>
        <w:contextualSpacing/>
        <w:jc w:val="both"/>
        <w:rPr>
          <w:rFonts w:ascii="Verdana" w:hAnsi="Verdana"/>
          <w:sz w:val="12"/>
          <w:szCs w:val="12"/>
        </w:rPr>
      </w:pPr>
    </w:p>
  </w:footnote>
  <w:footnote w:id="8">
    <w:p w14:paraId="7D17D99E" w14:textId="77777777" w:rsidR="006149D3" w:rsidRPr="006866A8" w:rsidRDefault="006149D3" w:rsidP="006149D3">
      <w:pPr>
        <w:pStyle w:val="Textonotapie"/>
        <w:ind w:firstLine="709"/>
        <w:contextualSpacing/>
        <w:jc w:val="both"/>
        <w:rPr>
          <w:rFonts w:ascii="Verdana" w:hAnsi="Verdana" w:cs="Arial"/>
          <w:color w:val="000000"/>
          <w:sz w:val="16"/>
          <w:szCs w:val="16"/>
        </w:rPr>
      </w:pPr>
      <w:r w:rsidRPr="007139C4">
        <w:rPr>
          <w:rFonts w:ascii="Verdana" w:hAnsi="Verdana" w:cs="Arial"/>
          <w:color w:val="000000"/>
          <w:sz w:val="12"/>
          <w:szCs w:val="12"/>
          <w:vertAlign w:val="superscript"/>
        </w:rPr>
        <w:footnoteRef/>
      </w:r>
      <w:r w:rsidRPr="007139C4">
        <w:rPr>
          <w:rFonts w:ascii="Verdana" w:hAnsi="Verdana" w:cs="Arial"/>
          <w:color w:val="000000"/>
          <w:sz w:val="12"/>
          <w:szCs w:val="12"/>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Parágrafo primero. La definición de emprendimientos y empresas de mujeres se reglamentará por el gobierno nacional”.</w:t>
      </w:r>
    </w:p>
    <w:p w14:paraId="17046BC0" w14:textId="77777777" w:rsidR="006149D3" w:rsidRDefault="006149D3" w:rsidP="006149D3">
      <w:pPr>
        <w:pStyle w:val="Textonotapie"/>
        <w:ind w:firstLine="709"/>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6737" w14:textId="77777777" w:rsidR="00267214" w:rsidRDefault="006B5AC8" w:rsidP="00F627CD">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5C47C0E6" wp14:editId="47C01B0F">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FDAF0AE" wp14:editId="7D50221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DD260E0" w14:textId="77777777" w:rsidR="00267214" w:rsidRDefault="00267214" w:rsidP="00F627CD">
    <w:pPr>
      <w:pStyle w:val="Encabezado"/>
    </w:pPr>
  </w:p>
  <w:p w14:paraId="1ADB5E8C" w14:textId="77777777" w:rsidR="00267214" w:rsidRDefault="00267214" w:rsidP="00F627CD">
    <w:pPr>
      <w:pStyle w:val="Encabezado"/>
    </w:pPr>
  </w:p>
  <w:p w14:paraId="6CC6ED49" w14:textId="77777777" w:rsidR="00267214" w:rsidRPr="00515FB5" w:rsidRDefault="00267214" w:rsidP="00F627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7844CD"/>
    <w:multiLevelType w:val="hybridMultilevel"/>
    <w:tmpl w:val="FFFFFFFF"/>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C217186"/>
    <w:multiLevelType w:val="hybridMultilevel"/>
    <w:tmpl w:val="69846950"/>
    <w:lvl w:ilvl="0" w:tplc="4712E05A">
      <w:start w:val="1"/>
      <w:numFmt w:val="lowerRoman"/>
      <w:lvlText w:val="%1)"/>
      <w:lvlJc w:val="left"/>
      <w:pPr>
        <w:ind w:left="1080" w:hanging="720"/>
      </w:pPr>
      <w:rPr>
        <w:rFonts w:eastAsia="Century Gothic" w:cs="Century Gothic"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41274352">
    <w:abstractNumId w:val="0"/>
  </w:num>
  <w:num w:numId="2" w16cid:durableId="679089576">
    <w:abstractNumId w:val="2"/>
  </w:num>
  <w:num w:numId="3" w16cid:durableId="178591509">
    <w:abstractNumId w:val="3"/>
  </w:num>
  <w:num w:numId="4" w16cid:durableId="58780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D3"/>
    <w:rsid w:val="00017837"/>
    <w:rsid w:val="000552BC"/>
    <w:rsid w:val="000F5A42"/>
    <w:rsid w:val="00116C3E"/>
    <w:rsid w:val="00267214"/>
    <w:rsid w:val="00281046"/>
    <w:rsid w:val="003969C9"/>
    <w:rsid w:val="006149D3"/>
    <w:rsid w:val="0062067B"/>
    <w:rsid w:val="00647741"/>
    <w:rsid w:val="006775EA"/>
    <w:rsid w:val="00681182"/>
    <w:rsid w:val="006B5AC8"/>
    <w:rsid w:val="0073370D"/>
    <w:rsid w:val="00750635"/>
    <w:rsid w:val="007A172E"/>
    <w:rsid w:val="008253A0"/>
    <w:rsid w:val="00825666"/>
    <w:rsid w:val="00852794"/>
    <w:rsid w:val="008C3B92"/>
    <w:rsid w:val="00A04BCB"/>
    <w:rsid w:val="00A12218"/>
    <w:rsid w:val="00A31850"/>
    <w:rsid w:val="00A90678"/>
    <w:rsid w:val="00AC44A5"/>
    <w:rsid w:val="00AD03BD"/>
    <w:rsid w:val="00B1115F"/>
    <w:rsid w:val="00B9721C"/>
    <w:rsid w:val="00C91E31"/>
    <w:rsid w:val="00CA6E07"/>
    <w:rsid w:val="00CC4280"/>
    <w:rsid w:val="00CF7E4B"/>
    <w:rsid w:val="00E95A88"/>
    <w:rsid w:val="00ED585A"/>
    <w:rsid w:val="00F627CD"/>
    <w:rsid w:val="62F3AC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795"/>
  <w15:chartTrackingRefBased/>
  <w15:docId w15:val="{FFEB9652-C15D-4A1E-88A5-09793065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D3"/>
    <w:rPr>
      <w:kern w:val="0"/>
      <w14:ligatures w14:val="none"/>
    </w:rPr>
  </w:style>
  <w:style w:type="paragraph" w:styleId="Ttulo1">
    <w:name w:val="heading 1"/>
    <w:basedOn w:val="Normal"/>
    <w:next w:val="Normal"/>
    <w:link w:val="Ttulo1Car"/>
    <w:uiPriority w:val="9"/>
    <w:qFormat/>
    <w:rsid w:val="00614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4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49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49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49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49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49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49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49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9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49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49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49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49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49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49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49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49D3"/>
    <w:rPr>
      <w:rFonts w:eastAsiaTheme="majorEastAsia" w:cstheme="majorBidi"/>
      <w:color w:val="272727" w:themeColor="text1" w:themeTint="D8"/>
    </w:rPr>
  </w:style>
  <w:style w:type="paragraph" w:styleId="Ttulo">
    <w:name w:val="Title"/>
    <w:basedOn w:val="Normal"/>
    <w:next w:val="Normal"/>
    <w:link w:val="TtuloCar"/>
    <w:uiPriority w:val="10"/>
    <w:qFormat/>
    <w:rsid w:val="00614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49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49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49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49D3"/>
    <w:pPr>
      <w:spacing w:before="160"/>
      <w:jc w:val="center"/>
    </w:pPr>
    <w:rPr>
      <w:i/>
      <w:iCs/>
      <w:color w:val="404040" w:themeColor="text1" w:themeTint="BF"/>
    </w:rPr>
  </w:style>
  <w:style w:type="character" w:customStyle="1" w:styleId="CitaCar">
    <w:name w:val="Cita Car"/>
    <w:basedOn w:val="Fuentedeprrafopredeter"/>
    <w:link w:val="Cita"/>
    <w:uiPriority w:val="29"/>
    <w:rsid w:val="006149D3"/>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6149D3"/>
    <w:pPr>
      <w:ind w:left="720"/>
      <w:contextualSpacing/>
    </w:pPr>
  </w:style>
  <w:style w:type="character" w:styleId="nfasisintenso">
    <w:name w:val="Intense Emphasis"/>
    <w:basedOn w:val="Fuentedeprrafopredeter"/>
    <w:uiPriority w:val="21"/>
    <w:qFormat/>
    <w:rsid w:val="006149D3"/>
    <w:rPr>
      <w:i/>
      <w:iCs/>
      <w:color w:val="0F4761" w:themeColor="accent1" w:themeShade="BF"/>
    </w:rPr>
  </w:style>
  <w:style w:type="paragraph" w:styleId="Citadestacada">
    <w:name w:val="Intense Quote"/>
    <w:basedOn w:val="Normal"/>
    <w:next w:val="Normal"/>
    <w:link w:val="CitadestacadaCar"/>
    <w:uiPriority w:val="30"/>
    <w:qFormat/>
    <w:rsid w:val="00614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49D3"/>
    <w:rPr>
      <w:i/>
      <w:iCs/>
      <w:color w:val="0F4761" w:themeColor="accent1" w:themeShade="BF"/>
    </w:rPr>
  </w:style>
  <w:style w:type="character" w:styleId="Referenciaintensa">
    <w:name w:val="Intense Reference"/>
    <w:basedOn w:val="Fuentedeprrafopredeter"/>
    <w:uiPriority w:val="32"/>
    <w:qFormat/>
    <w:rsid w:val="006149D3"/>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149D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149D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149D3"/>
    <w:rPr>
      <w:kern w:val="0"/>
      <w:sz w:val="20"/>
      <w:szCs w:val="20"/>
      <w14:ligatures w14:val="none"/>
    </w:rPr>
  </w:style>
  <w:style w:type="paragraph" w:styleId="Encabezado">
    <w:name w:val="header"/>
    <w:basedOn w:val="Normal"/>
    <w:link w:val="EncabezadoCar"/>
    <w:uiPriority w:val="99"/>
    <w:unhideWhenUsed/>
    <w:rsid w:val="006149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9D3"/>
    <w:rPr>
      <w:kern w:val="0"/>
      <w14:ligatures w14:val="none"/>
    </w:rPr>
  </w:style>
  <w:style w:type="paragraph" w:styleId="Piedepgina">
    <w:name w:val="footer"/>
    <w:basedOn w:val="Normal"/>
    <w:link w:val="PiedepginaCar"/>
    <w:uiPriority w:val="99"/>
    <w:unhideWhenUsed/>
    <w:rsid w:val="006149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49D3"/>
    <w:rPr>
      <w:kern w:val="0"/>
      <w14:ligatures w14:val="none"/>
    </w:rPr>
  </w:style>
  <w:style w:type="table" w:styleId="Tablaconcuadrcula">
    <w:name w:val="Table Grid"/>
    <w:basedOn w:val="Tablanormal"/>
    <w:uiPriority w:val="39"/>
    <w:qFormat/>
    <w:rsid w:val="006149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49D3"/>
    <w:rPr>
      <w:color w:val="467886" w:themeColor="hyperlink"/>
      <w:u w:val="single"/>
    </w:rPr>
  </w:style>
  <w:style w:type="character" w:customStyle="1" w:styleId="normaltextrun">
    <w:name w:val="normaltextrun"/>
    <w:basedOn w:val="Fuentedeprrafopredeter"/>
    <w:rsid w:val="006149D3"/>
  </w:style>
  <w:style w:type="paragraph" w:customStyle="1" w:styleId="paragraph">
    <w:name w:val="paragraph"/>
    <w:basedOn w:val="Normal"/>
    <w:rsid w:val="006149D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149D3"/>
  </w:style>
  <w:style w:type="character" w:customStyle="1" w:styleId="Hipervnculo1">
    <w:name w:val="Hipervínculo1"/>
    <w:basedOn w:val="Fuentedeprrafopredeter"/>
    <w:uiPriority w:val="99"/>
    <w:unhideWhenUsed/>
    <w:rsid w:val="006149D3"/>
    <w:rPr>
      <w:rFonts w:cs="Times New Roman"/>
      <w:color w:val="F2F2F2"/>
      <w:u w:val="single"/>
    </w:rPr>
  </w:style>
  <w:style w:type="paragraph" w:styleId="NormalWeb">
    <w:name w:val="Normal (Web)"/>
    <w:basedOn w:val="Normal"/>
    <w:uiPriority w:val="99"/>
    <w:semiHidden/>
    <w:unhideWhenUsed/>
    <w:rsid w:val="00825666"/>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A31850"/>
    <w:rPr>
      <w:color w:val="605E5C"/>
      <w:shd w:val="clear" w:color="auto" w:fill="E1DFDD"/>
    </w:rPr>
  </w:style>
  <w:style w:type="character" w:customStyle="1" w:styleId="eop">
    <w:name w:val="eop"/>
    <w:basedOn w:val="Fuentedeprrafopredeter"/>
    <w:rsid w:val="0068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4445">
      <w:bodyDiv w:val="1"/>
      <w:marLeft w:val="0"/>
      <w:marRight w:val="0"/>
      <w:marTop w:val="0"/>
      <w:marBottom w:val="0"/>
      <w:divBdr>
        <w:top w:val="none" w:sz="0" w:space="0" w:color="auto"/>
        <w:left w:val="none" w:sz="0" w:space="0" w:color="auto"/>
        <w:bottom w:val="none" w:sz="0" w:space="0" w:color="auto"/>
        <w:right w:val="none" w:sz="0" w:space="0" w:color="auto"/>
      </w:divBdr>
    </w:div>
    <w:div w:id="414670768">
      <w:bodyDiv w:val="1"/>
      <w:marLeft w:val="0"/>
      <w:marRight w:val="0"/>
      <w:marTop w:val="0"/>
      <w:marBottom w:val="0"/>
      <w:divBdr>
        <w:top w:val="none" w:sz="0" w:space="0" w:color="auto"/>
        <w:left w:val="none" w:sz="0" w:space="0" w:color="auto"/>
        <w:bottom w:val="none" w:sz="0" w:space="0" w:color="auto"/>
        <w:right w:val="none" w:sz="0" w:space="0" w:color="auto"/>
      </w:divBdr>
    </w:div>
    <w:div w:id="623385087">
      <w:bodyDiv w:val="1"/>
      <w:marLeft w:val="0"/>
      <w:marRight w:val="0"/>
      <w:marTop w:val="0"/>
      <w:marBottom w:val="0"/>
      <w:divBdr>
        <w:top w:val="none" w:sz="0" w:space="0" w:color="auto"/>
        <w:left w:val="none" w:sz="0" w:space="0" w:color="auto"/>
        <w:bottom w:val="none" w:sz="0" w:space="0" w:color="auto"/>
        <w:right w:val="none" w:sz="0" w:space="0" w:color="auto"/>
      </w:divBdr>
      <w:divsChild>
        <w:div w:id="1468545522">
          <w:marLeft w:val="0"/>
          <w:marRight w:val="0"/>
          <w:marTop w:val="0"/>
          <w:marBottom w:val="0"/>
          <w:divBdr>
            <w:top w:val="none" w:sz="0" w:space="0" w:color="auto"/>
            <w:left w:val="none" w:sz="0" w:space="0" w:color="auto"/>
            <w:bottom w:val="none" w:sz="0" w:space="0" w:color="auto"/>
            <w:right w:val="none" w:sz="0" w:space="0" w:color="auto"/>
          </w:divBdr>
        </w:div>
      </w:divsChild>
    </w:div>
    <w:div w:id="653023194">
      <w:bodyDiv w:val="1"/>
      <w:marLeft w:val="0"/>
      <w:marRight w:val="0"/>
      <w:marTop w:val="0"/>
      <w:marBottom w:val="0"/>
      <w:divBdr>
        <w:top w:val="none" w:sz="0" w:space="0" w:color="auto"/>
        <w:left w:val="none" w:sz="0" w:space="0" w:color="auto"/>
        <w:bottom w:val="none" w:sz="0" w:space="0" w:color="auto"/>
        <w:right w:val="none" w:sz="0" w:space="0" w:color="auto"/>
      </w:divBdr>
    </w:div>
    <w:div w:id="772676309">
      <w:bodyDiv w:val="1"/>
      <w:marLeft w:val="0"/>
      <w:marRight w:val="0"/>
      <w:marTop w:val="0"/>
      <w:marBottom w:val="0"/>
      <w:divBdr>
        <w:top w:val="none" w:sz="0" w:space="0" w:color="auto"/>
        <w:left w:val="none" w:sz="0" w:space="0" w:color="auto"/>
        <w:bottom w:val="none" w:sz="0" w:space="0" w:color="auto"/>
        <w:right w:val="none" w:sz="0" w:space="0" w:color="auto"/>
      </w:divBdr>
      <w:divsChild>
        <w:div w:id="1337155241">
          <w:marLeft w:val="0"/>
          <w:marRight w:val="0"/>
          <w:marTop w:val="0"/>
          <w:marBottom w:val="0"/>
          <w:divBdr>
            <w:top w:val="none" w:sz="0" w:space="0" w:color="auto"/>
            <w:left w:val="none" w:sz="0" w:space="0" w:color="auto"/>
            <w:bottom w:val="none" w:sz="0" w:space="0" w:color="auto"/>
            <w:right w:val="none" w:sz="0" w:space="0" w:color="auto"/>
          </w:divBdr>
          <w:divsChild>
            <w:div w:id="626467107">
              <w:marLeft w:val="0"/>
              <w:marRight w:val="0"/>
              <w:marTop w:val="0"/>
              <w:marBottom w:val="0"/>
              <w:divBdr>
                <w:top w:val="none" w:sz="0" w:space="0" w:color="auto"/>
                <w:left w:val="none" w:sz="0" w:space="0" w:color="auto"/>
                <w:bottom w:val="none" w:sz="0" w:space="0" w:color="auto"/>
                <w:right w:val="none" w:sz="0" w:space="0" w:color="auto"/>
              </w:divBdr>
              <w:divsChild>
                <w:div w:id="1505822731">
                  <w:marLeft w:val="0"/>
                  <w:marRight w:val="0"/>
                  <w:marTop w:val="0"/>
                  <w:marBottom w:val="0"/>
                  <w:divBdr>
                    <w:top w:val="none" w:sz="0" w:space="0" w:color="auto"/>
                    <w:left w:val="none" w:sz="0" w:space="0" w:color="auto"/>
                    <w:bottom w:val="none" w:sz="0" w:space="0" w:color="auto"/>
                    <w:right w:val="none" w:sz="0" w:space="0" w:color="auto"/>
                  </w:divBdr>
                  <w:divsChild>
                    <w:div w:id="1775974740">
                      <w:marLeft w:val="0"/>
                      <w:marRight w:val="0"/>
                      <w:marTop w:val="0"/>
                      <w:marBottom w:val="0"/>
                      <w:divBdr>
                        <w:top w:val="none" w:sz="0" w:space="0" w:color="auto"/>
                        <w:left w:val="none" w:sz="0" w:space="0" w:color="auto"/>
                        <w:bottom w:val="none" w:sz="0" w:space="0" w:color="auto"/>
                        <w:right w:val="none" w:sz="0" w:space="0" w:color="auto"/>
                      </w:divBdr>
                      <w:divsChild>
                        <w:div w:id="992371478">
                          <w:marLeft w:val="0"/>
                          <w:marRight w:val="0"/>
                          <w:marTop w:val="0"/>
                          <w:marBottom w:val="0"/>
                          <w:divBdr>
                            <w:top w:val="none" w:sz="0" w:space="0" w:color="auto"/>
                            <w:left w:val="none" w:sz="0" w:space="0" w:color="auto"/>
                            <w:bottom w:val="none" w:sz="0" w:space="0" w:color="auto"/>
                            <w:right w:val="none" w:sz="0" w:space="0" w:color="auto"/>
                          </w:divBdr>
                          <w:divsChild>
                            <w:div w:id="8160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88990">
      <w:bodyDiv w:val="1"/>
      <w:marLeft w:val="0"/>
      <w:marRight w:val="0"/>
      <w:marTop w:val="0"/>
      <w:marBottom w:val="0"/>
      <w:divBdr>
        <w:top w:val="none" w:sz="0" w:space="0" w:color="auto"/>
        <w:left w:val="none" w:sz="0" w:space="0" w:color="auto"/>
        <w:bottom w:val="none" w:sz="0" w:space="0" w:color="auto"/>
        <w:right w:val="none" w:sz="0" w:space="0" w:color="auto"/>
      </w:divBdr>
      <w:divsChild>
        <w:div w:id="123739453">
          <w:marLeft w:val="0"/>
          <w:marRight w:val="0"/>
          <w:marTop w:val="0"/>
          <w:marBottom w:val="0"/>
          <w:divBdr>
            <w:top w:val="none" w:sz="0" w:space="0" w:color="auto"/>
            <w:left w:val="none" w:sz="0" w:space="0" w:color="auto"/>
            <w:bottom w:val="none" w:sz="0" w:space="0" w:color="auto"/>
            <w:right w:val="none" w:sz="0" w:space="0" w:color="auto"/>
          </w:divBdr>
          <w:divsChild>
            <w:div w:id="456724658">
              <w:marLeft w:val="0"/>
              <w:marRight w:val="0"/>
              <w:marTop w:val="0"/>
              <w:marBottom w:val="0"/>
              <w:divBdr>
                <w:top w:val="none" w:sz="0" w:space="0" w:color="auto"/>
                <w:left w:val="none" w:sz="0" w:space="0" w:color="auto"/>
                <w:bottom w:val="none" w:sz="0" w:space="0" w:color="auto"/>
                <w:right w:val="none" w:sz="0" w:space="0" w:color="auto"/>
              </w:divBdr>
              <w:divsChild>
                <w:div w:id="1350989726">
                  <w:marLeft w:val="0"/>
                  <w:marRight w:val="0"/>
                  <w:marTop w:val="0"/>
                  <w:marBottom w:val="0"/>
                  <w:divBdr>
                    <w:top w:val="none" w:sz="0" w:space="0" w:color="auto"/>
                    <w:left w:val="none" w:sz="0" w:space="0" w:color="auto"/>
                    <w:bottom w:val="none" w:sz="0" w:space="0" w:color="auto"/>
                    <w:right w:val="none" w:sz="0" w:space="0" w:color="auto"/>
                  </w:divBdr>
                  <w:divsChild>
                    <w:div w:id="16577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5646">
      <w:bodyDiv w:val="1"/>
      <w:marLeft w:val="0"/>
      <w:marRight w:val="0"/>
      <w:marTop w:val="0"/>
      <w:marBottom w:val="0"/>
      <w:divBdr>
        <w:top w:val="none" w:sz="0" w:space="0" w:color="auto"/>
        <w:left w:val="none" w:sz="0" w:space="0" w:color="auto"/>
        <w:bottom w:val="none" w:sz="0" w:space="0" w:color="auto"/>
        <w:right w:val="none" w:sz="0" w:space="0" w:color="auto"/>
      </w:divBdr>
    </w:div>
    <w:div w:id="1263800826">
      <w:bodyDiv w:val="1"/>
      <w:marLeft w:val="0"/>
      <w:marRight w:val="0"/>
      <w:marTop w:val="0"/>
      <w:marBottom w:val="0"/>
      <w:divBdr>
        <w:top w:val="none" w:sz="0" w:space="0" w:color="auto"/>
        <w:left w:val="none" w:sz="0" w:space="0" w:color="auto"/>
        <w:bottom w:val="none" w:sz="0" w:space="0" w:color="auto"/>
        <w:right w:val="none" w:sz="0" w:space="0" w:color="auto"/>
      </w:divBdr>
    </w:div>
    <w:div w:id="1497065494">
      <w:bodyDiv w:val="1"/>
      <w:marLeft w:val="0"/>
      <w:marRight w:val="0"/>
      <w:marTop w:val="0"/>
      <w:marBottom w:val="0"/>
      <w:divBdr>
        <w:top w:val="none" w:sz="0" w:space="0" w:color="auto"/>
        <w:left w:val="none" w:sz="0" w:space="0" w:color="auto"/>
        <w:bottom w:val="none" w:sz="0" w:space="0" w:color="auto"/>
        <w:right w:val="none" w:sz="0" w:space="0" w:color="auto"/>
      </w:divBdr>
    </w:div>
    <w:div w:id="1635722026">
      <w:bodyDiv w:val="1"/>
      <w:marLeft w:val="0"/>
      <w:marRight w:val="0"/>
      <w:marTop w:val="0"/>
      <w:marBottom w:val="0"/>
      <w:divBdr>
        <w:top w:val="none" w:sz="0" w:space="0" w:color="auto"/>
        <w:left w:val="none" w:sz="0" w:space="0" w:color="auto"/>
        <w:bottom w:val="none" w:sz="0" w:space="0" w:color="auto"/>
        <w:right w:val="none" w:sz="0" w:space="0" w:color="auto"/>
      </w:divBdr>
    </w:div>
    <w:div w:id="1729258964">
      <w:bodyDiv w:val="1"/>
      <w:marLeft w:val="0"/>
      <w:marRight w:val="0"/>
      <w:marTop w:val="0"/>
      <w:marBottom w:val="0"/>
      <w:divBdr>
        <w:top w:val="none" w:sz="0" w:space="0" w:color="auto"/>
        <w:left w:val="none" w:sz="0" w:space="0" w:color="auto"/>
        <w:bottom w:val="none" w:sz="0" w:space="0" w:color="auto"/>
        <w:right w:val="none" w:sz="0" w:space="0" w:color="auto"/>
      </w:divBdr>
      <w:divsChild>
        <w:div w:id="1595478140">
          <w:marLeft w:val="0"/>
          <w:marRight w:val="0"/>
          <w:marTop w:val="0"/>
          <w:marBottom w:val="0"/>
          <w:divBdr>
            <w:top w:val="none" w:sz="0" w:space="0" w:color="auto"/>
            <w:left w:val="none" w:sz="0" w:space="0" w:color="auto"/>
            <w:bottom w:val="none" w:sz="0" w:space="0" w:color="auto"/>
            <w:right w:val="none" w:sz="0" w:space="0" w:color="auto"/>
          </w:divBdr>
          <w:divsChild>
            <w:div w:id="1879582792">
              <w:marLeft w:val="0"/>
              <w:marRight w:val="0"/>
              <w:marTop w:val="0"/>
              <w:marBottom w:val="0"/>
              <w:divBdr>
                <w:top w:val="none" w:sz="0" w:space="0" w:color="auto"/>
                <w:left w:val="none" w:sz="0" w:space="0" w:color="auto"/>
                <w:bottom w:val="none" w:sz="0" w:space="0" w:color="auto"/>
                <w:right w:val="none" w:sz="0" w:space="0" w:color="auto"/>
              </w:divBdr>
              <w:divsChild>
                <w:div w:id="658655960">
                  <w:marLeft w:val="0"/>
                  <w:marRight w:val="0"/>
                  <w:marTop w:val="0"/>
                  <w:marBottom w:val="0"/>
                  <w:divBdr>
                    <w:top w:val="none" w:sz="0" w:space="0" w:color="auto"/>
                    <w:left w:val="none" w:sz="0" w:space="0" w:color="auto"/>
                    <w:bottom w:val="none" w:sz="0" w:space="0" w:color="auto"/>
                    <w:right w:val="none" w:sz="0" w:space="0" w:color="auto"/>
                  </w:divBdr>
                  <w:divsChild>
                    <w:div w:id="1194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30287">
      <w:bodyDiv w:val="1"/>
      <w:marLeft w:val="0"/>
      <w:marRight w:val="0"/>
      <w:marTop w:val="0"/>
      <w:marBottom w:val="0"/>
      <w:divBdr>
        <w:top w:val="none" w:sz="0" w:space="0" w:color="auto"/>
        <w:left w:val="none" w:sz="0" w:space="0" w:color="auto"/>
        <w:bottom w:val="none" w:sz="0" w:space="0" w:color="auto"/>
        <w:right w:val="none" w:sz="0" w:space="0" w:color="auto"/>
      </w:divBdr>
    </w:div>
    <w:div w:id="1786385452">
      <w:bodyDiv w:val="1"/>
      <w:marLeft w:val="0"/>
      <w:marRight w:val="0"/>
      <w:marTop w:val="0"/>
      <w:marBottom w:val="0"/>
      <w:divBdr>
        <w:top w:val="none" w:sz="0" w:space="0" w:color="auto"/>
        <w:left w:val="none" w:sz="0" w:space="0" w:color="auto"/>
        <w:bottom w:val="none" w:sz="0" w:space="0" w:color="auto"/>
        <w:right w:val="none" w:sz="0" w:space="0" w:color="auto"/>
      </w:divBdr>
    </w:div>
    <w:div w:id="2101176279">
      <w:bodyDiv w:val="1"/>
      <w:marLeft w:val="0"/>
      <w:marRight w:val="0"/>
      <w:marTop w:val="0"/>
      <w:marBottom w:val="0"/>
      <w:divBdr>
        <w:top w:val="none" w:sz="0" w:space="0" w:color="auto"/>
        <w:left w:val="none" w:sz="0" w:space="0" w:color="auto"/>
        <w:bottom w:val="none" w:sz="0" w:space="0" w:color="auto"/>
        <w:right w:val="none" w:sz="0" w:space="0" w:color="auto"/>
      </w:divBdr>
      <w:divsChild>
        <w:div w:id="235163520">
          <w:marLeft w:val="0"/>
          <w:marRight w:val="0"/>
          <w:marTop w:val="0"/>
          <w:marBottom w:val="0"/>
          <w:divBdr>
            <w:top w:val="none" w:sz="0" w:space="0" w:color="auto"/>
            <w:left w:val="none" w:sz="0" w:space="0" w:color="auto"/>
            <w:bottom w:val="none" w:sz="0" w:space="0" w:color="auto"/>
            <w:right w:val="none" w:sz="0" w:space="0" w:color="auto"/>
          </w:divBdr>
          <w:divsChild>
            <w:div w:id="1217013726">
              <w:marLeft w:val="0"/>
              <w:marRight w:val="0"/>
              <w:marTop w:val="0"/>
              <w:marBottom w:val="0"/>
              <w:divBdr>
                <w:top w:val="none" w:sz="0" w:space="0" w:color="auto"/>
                <w:left w:val="none" w:sz="0" w:space="0" w:color="auto"/>
                <w:bottom w:val="none" w:sz="0" w:space="0" w:color="auto"/>
                <w:right w:val="none" w:sz="0" w:space="0" w:color="auto"/>
              </w:divBdr>
              <w:divsChild>
                <w:div w:id="1535775520">
                  <w:marLeft w:val="0"/>
                  <w:marRight w:val="0"/>
                  <w:marTop w:val="0"/>
                  <w:marBottom w:val="0"/>
                  <w:divBdr>
                    <w:top w:val="none" w:sz="0" w:space="0" w:color="auto"/>
                    <w:left w:val="none" w:sz="0" w:space="0" w:color="auto"/>
                    <w:bottom w:val="none" w:sz="0" w:space="0" w:color="auto"/>
                    <w:right w:val="none" w:sz="0" w:space="0" w:color="auto"/>
                  </w:divBdr>
                  <w:divsChild>
                    <w:div w:id="1988313328">
                      <w:marLeft w:val="0"/>
                      <w:marRight w:val="0"/>
                      <w:marTop w:val="0"/>
                      <w:marBottom w:val="0"/>
                      <w:divBdr>
                        <w:top w:val="none" w:sz="0" w:space="0" w:color="auto"/>
                        <w:left w:val="none" w:sz="0" w:space="0" w:color="auto"/>
                        <w:bottom w:val="none" w:sz="0" w:space="0" w:color="auto"/>
                        <w:right w:val="none" w:sz="0" w:space="0" w:color="auto"/>
                      </w:divBdr>
                      <w:divsChild>
                        <w:div w:id="337734233">
                          <w:marLeft w:val="0"/>
                          <w:marRight w:val="0"/>
                          <w:marTop w:val="0"/>
                          <w:marBottom w:val="0"/>
                          <w:divBdr>
                            <w:top w:val="none" w:sz="0" w:space="0" w:color="auto"/>
                            <w:left w:val="none" w:sz="0" w:space="0" w:color="auto"/>
                            <w:bottom w:val="none" w:sz="0" w:space="0" w:color="auto"/>
                            <w:right w:val="none" w:sz="0" w:space="0" w:color="auto"/>
                          </w:divBdr>
                          <w:divsChild>
                            <w:div w:id="592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lombiacompra.gov.co/sites/cce_public/files/cce_documents/guia_para_promover_la_participacion_de_las_mipymes_en_los_procesos_de_compra_publica_cce-gad-gi-26_1.pdf" TargetMode="External"/><Relationship Id="rId17" Type="http://schemas.openxmlformats.org/officeDocument/2006/relationships/hyperlink" Target="https://nam02.safelinks.protection.outlook.com/?url=https%3A%2F%2Fwww.colombiacompra.gov.co%2Fsala-de-prensa%2Fboletin-digital&amp;data=05%7C02%7Candreina.cerpa%40colombiacompra.gov.co%7C096eca3fdcca424ff1c708dcf932f947%7C7b09041e245149d08cb179d5e3d8c1be%7C0%7C0%7C638659244553129750%7CUnknown%7CTWFpbGZsb3d8eyJWIjoiMC4wLjAwMDAiLCJQIjoiV2luMzIiLCJBTiI6Ik1haWwiLCJXVCI6Mn0%3D%7C0%7C%7C%7C&amp;sdata=TPSikXYdiaZ7j6%2BW39%2BMNPMouatq7ONRQMFwgX4AQak%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8320&amp;data=05%7C02%7Candreina.cerpa%40colombiacompra.gov.co%7C096eca3fdcca424ff1c708dcf932f947%7C7b09041e245149d08cb179d5e3d8c1be%7C0%7C0%7C638659244553118377%7CUnknown%7CTWFpbGZsb3d8eyJWIjoiMC4wLjAwMDAiLCJQIjoiV2luMzIiLCJBTiI6Ik1haWwiLCJXVCI6Mn0%3D%7C0%7C%7C%7C&amp;sdata=GLeg7SM%2B%2FRxgqbeVVQ2kAB42HlF%2BLA2V9MH2iP6TELo%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correasalazar@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borrador-de-documentos-tipo-de-interventoria-de-obra-publica-de-infraestructura-de&amp;data=05%7C02%7Candreina.cerpa%40colombiacompra.gov.co%7C096eca3fdcca424ff1c708dcf932f947%7C7b09041e245149d08cb179d5e3d8c1be%7C0%7C0%7C638659244553106601%7CUnknown%7CTWFpbGZsb3d8eyJWIjoiMC4wLjAwMDAiLCJQIjoiV2luMzIiLCJBTiI6Ik1haWwiLCJXVCI6Mn0%3D%7C0%7C%7C%7C&amp;sdata=3bx45dHvyLBsz0xlBnt2sZ7JCsO1WHwvxX5esmdiOnE%3D&amp;reserved=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borrador-de-documentos-tipo-de-consultoria-de-obra-publica-de-infraestructura-de-transporte&amp;data=05%7C02%7Candreina.cerpa%40colombiacompra.gov.co%7C096eca3fdcca424ff1c708dcf932f947%7C7b09041e245149d08cb179d5e3d8c1be%7C0%7C0%7C638659244553089105%7CUnknown%7CTWFpbGZsb3d8eyJWIjoiMC4wLjAwMDAiLCJQIjoiV2luMzIiLCJBTiI6Ik1haWwiLCJXVCI6Mn0%3D%7C0%7C%7C%7C&amp;sdata=sbTbikmBPVtCbo7mXkVZFxvU9C9ryShyBoc6QGPGO1A%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098EB9-0D4E-49F0-A0CA-D03BD504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7A44C-1CE1-4656-A9A6-034A3F5E99EA}">
  <ds:schemaRefs>
    <ds:schemaRef ds:uri="http://schemas.microsoft.com/sharepoint/v3/contenttype/forms"/>
  </ds:schemaRefs>
</ds:datastoreItem>
</file>

<file path=customXml/itemProps3.xml><?xml version="1.0" encoding="utf-8"?>
<ds:datastoreItem xmlns:ds="http://schemas.openxmlformats.org/officeDocument/2006/customXml" ds:itemID="{2726544C-3725-4BCE-86B0-5ED1028594B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4728</Words>
  <Characters>26007</Characters>
  <Application>Microsoft Office Word</Application>
  <DocSecurity>0</DocSecurity>
  <Lines>216</Lines>
  <Paragraphs>61</Paragraphs>
  <ScaleCrop>false</ScaleCrop>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11</cp:revision>
  <dcterms:created xsi:type="dcterms:W3CDTF">2024-11-19T01:19:00Z</dcterms:created>
  <dcterms:modified xsi:type="dcterms:W3CDTF">2024-11-28T15:18:00Z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