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C961A" w14:textId="77777777" w:rsidR="009461FA" w:rsidRPr="0044528D" w:rsidRDefault="009461FA" w:rsidP="009461FA">
      <w:pPr>
        <w:spacing w:after="0"/>
        <w:rPr>
          <w:rFonts w:ascii="Verdana" w:hAnsi="Verdana"/>
        </w:rPr>
      </w:pPr>
      <w:bookmarkStart w:id="0" w:name="_Hlk143780582"/>
      <w:bookmarkStart w:id="1" w:name="_GoBack"/>
      <w:bookmarkEnd w:id="1"/>
      <w:r w:rsidRPr="0044528D">
        <w:rPr>
          <w:rFonts w:ascii="Verdana" w:hAnsi="Verdana"/>
        </w:rPr>
        <w:tab/>
      </w:r>
    </w:p>
    <w:bookmarkEnd w:id="0"/>
    <w:p w14:paraId="6D6730FE" w14:textId="77777777" w:rsidR="009461FA" w:rsidRPr="00914070" w:rsidRDefault="009461FA" w:rsidP="009461FA">
      <w:pPr>
        <w:spacing w:after="0" w:line="240" w:lineRule="auto"/>
        <w:jc w:val="both"/>
        <w:rPr>
          <w:rFonts w:ascii="Verdana" w:eastAsia="Calibri" w:hAnsi="Verdana" w:cs="Arial"/>
          <w:b/>
          <w:bCs/>
          <w:lang w:val="es-ES" w:eastAsia="es-ES"/>
        </w:rPr>
      </w:pPr>
      <w:r w:rsidRPr="00914070">
        <w:rPr>
          <w:rFonts w:ascii="Verdana" w:eastAsia="Calibri" w:hAnsi="Verdana" w:cs="Arial"/>
          <w:b/>
          <w:bCs/>
          <w:lang w:val="es-ES" w:eastAsia="es-ES"/>
        </w:rPr>
        <w:t>SUBSANABILIDAD – Aplicación – R</w:t>
      </w:r>
      <w:r w:rsidRPr="00914070">
        <w:rPr>
          <w:rFonts w:ascii="Verdana" w:eastAsia="Calibri" w:hAnsi="Verdana"/>
          <w:b/>
          <w:bCs/>
          <w:lang w:val="es-ES" w:eastAsia="es-ES"/>
        </w:rPr>
        <w:t>egla general</w:t>
      </w:r>
      <w:r w:rsidRPr="00914070">
        <w:rPr>
          <w:rFonts w:ascii="Verdana" w:eastAsia="Calibri" w:hAnsi="Verdana" w:cs="Arial"/>
          <w:b/>
          <w:bCs/>
          <w:lang w:val="es-ES" w:eastAsia="es-ES"/>
        </w:rPr>
        <w:t xml:space="preserve"> – Excepciones </w:t>
      </w:r>
    </w:p>
    <w:p w14:paraId="2ACF8067" w14:textId="77777777" w:rsidR="009461FA" w:rsidRDefault="009461FA" w:rsidP="009461FA">
      <w:pPr>
        <w:spacing w:after="0" w:line="240" w:lineRule="auto"/>
        <w:jc w:val="both"/>
        <w:rPr>
          <w:rFonts w:ascii="Verdana" w:hAnsi="Verdana" w:cs="Arial"/>
          <w:noProof/>
          <w:sz w:val="20"/>
          <w:szCs w:val="20"/>
          <w:lang w:val="es-ES_tradnl"/>
        </w:rPr>
      </w:pPr>
    </w:p>
    <w:p w14:paraId="757DBA45" w14:textId="77777777" w:rsidR="009461FA" w:rsidRPr="00914070" w:rsidRDefault="009461FA" w:rsidP="009461FA">
      <w:pPr>
        <w:spacing w:after="0" w:line="240" w:lineRule="auto"/>
        <w:jc w:val="both"/>
        <w:rPr>
          <w:rFonts w:ascii="Verdana" w:eastAsia="Times New Roman" w:hAnsi="Verdana" w:cs="Arial"/>
          <w:sz w:val="20"/>
          <w:szCs w:val="20"/>
          <w:lang w:val="es-ES_tradnl" w:eastAsia="es-ES_tradnl"/>
        </w:rPr>
      </w:pPr>
      <w:r w:rsidRPr="00914070">
        <w:rPr>
          <w:rFonts w:ascii="Verdana" w:hAnsi="Verdana" w:cs="Arial"/>
          <w:noProof/>
          <w:sz w:val="20"/>
          <w:szCs w:val="20"/>
          <w:lang w:val="es-ES_tradnl"/>
        </w:rPr>
        <w:t>L</w:t>
      </w:r>
      <w:r w:rsidRPr="00914070">
        <w:rPr>
          <w:rFonts w:ascii="Verdana" w:eastAsia="Times New Roman" w:hAnsi="Verdana" w:cs="Arial"/>
          <w:sz w:val="20"/>
          <w:szCs w:val="20"/>
        </w:rPr>
        <w:t>a regla de la subsanabilidad de las ofertas en los procedimientos de selección</w:t>
      </w:r>
      <w:r w:rsidRPr="00914070">
        <w:rPr>
          <w:rFonts w:ascii="Verdana" w:eastAsia="Times New Roman" w:hAnsi="Verdana" w:cs="Arial"/>
          <w:b/>
          <w:bCs/>
          <w:sz w:val="20"/>
          <w:szCs w:val="20"/>
        </w:rPr>
        <w:t xml:space="preserve"> </w:t>
      </w:r>
      <w:r w:rsidRPr="00914070">
        <w:rPr>
          <w:rFonts w:ascii="Verdana" w:eastAsia="Times New Roman" w:hAnsi="Verdana" w:cs="Arial"/>
          <w:sz w:val="20"/>
          <w:szCs w:val="20"/>
          <w:lang w:val="es-ES_tradnl" w:eastAsia="es-ES_tradnl"/>
        </w:rPr>
        <w:t>indica que, por regla general, la falta de entrega y los defectos en la acreditación de los requisitos habilitantes son aspectos subsanables. La excepción a esta regla se encuentra en la prohibición de permitir la entrega de la garantía de seriedad de la oferta que no fue aportada con la propuesta y de valer la acreditación de circunstancias ocurridas con posterioridad al cierre del proceso.</w:t>
      </w:r>
    </w:p>
    <w:p w14:paraId="735FD483" w14:textId="77777777" w:rsidR="009461FA" w:rsidRPr="00914070" w:rsidRDefault="009461FA" w:rsidP="009461FA">
      <w:pPr>
        <w:spacing w:after="0" w:line="240" w:lineRule="auto"/>
        <w:jc w:val="both"/>
        <w:rPr>
          <w:rFonts w:ascii="Verdana" w:eastAsia="Calibri" w:hAnsi="Verdana" w:cs="Arial"/>
          <w:sz w:val="20"/>
          <w:szCs w:val="20"/>
          <w:lang w:val="es-ES" w:eastAsia="es-ES"/>
        </w:rPr>
      </w:pPr>
    </w:p>
    <w:p w14:paraId="3E6891B6" w14:textId="77777777" w:rsidR="009461FA" w:rsidRPr="00914070" w:rsidRDefault="009461FA" w:rsidP="009461FA">
      <w:pPr>
        <w:spacing w:after="0" w:line="240" w:lineRule="auto"/>
        <w:jc w:val="both"/>
        <w:rPr>
          <w:rFonts w:ascii="Verdana" w:eastAsia="Calibri" w:hAnsi="Verdana" w:cs="Arial"/>
          <w:b/>
          <w:bCs/>
          <w:lang w:val="es-ES" w:eastAsia="es-ES"/>
        </w:rPr>
      </w:pPr>
      <w:r w:rsidRPr="00914070">
        <w:rPr>
          <w:rFonts w:ascii="Verdana" w:eastAsia="Calibri" w:hAnsi="Verdana" w:cs="Arial"/>
          <w:b/>
          <w:bCs/>
          <w:lang w:val="es-ES" w:eastAsia="es-ES"/>
        </w:rPr>
        <w:t xml:space="preserve">SUBSANABILIDAD – Circunstancias posteriores – Cierre del proceso- Ley 1882 de 2018 </w:t>
      </w:r>
    </w:p>
    <w:p w14:paraId="4CAAD127" w14:textId="77777777" w:rsidR="009461FA" w:rsidRPr="00914070" w:rsidRDefault="009461FA" w:rsidP="009461FA">
      <w:pPr>
        <w:spacing w:after="0" w:line="240" w:lineRule="auto"/>
        <w:jc w:val="both"/>
        <w:rPr>
          <w:rFonts w:ascii="Verdana" w:eastAsia="Calibri" w:hAnsi="Verdana" w:cs="Arial"/>
          <w:sz w:val="20"/>
          <w:szCs w:val="20"/>
          <w:lang w:val="es-ES" w:eastAsia="es-ES"/>
        </w:rPr>
      </w:pPr>
    </w:p>
    <w:p w14:paraId="50269D6F" w14:textId="77777777" w:rsidR="009461FA" w:rsidRDefault="009461FA" w:rsidP="009461FA">
      <w:pPr>
        <w:spacing w:after="0" w:line="240" w:lineRule="auto"/>
        <w:jc w:val="both"/>
        <w:rPr>
          <w:rFonts w:ascii="Verdana" w:eastAsia="Times New Roman" w:hAnsi="Verdana" w:cs="Arial"/>
          <w:sz w:val="20"/>
          <w:szCs w:val="20"/>
          <w:lang w:val="es-ES_tradnl" w:eastAsia="es-ES_tradnl"/>
        </w:rPr>
      </w:pPr>
      <w:r w:rsidRPr="00914070">
        <w:rPr>
          <w:rFonts w:ascii="Verdana" w:eastAsia="Times New Roman" w:hAnsi="Verdana" w:cs="Arial"/>
          <w:sz w:val="20"/>
          <w:szCs w:val="20"/>
          <w:lang w:val="es-ES_tradnl" w:eastAsia="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7472841D" w14:textId="77777777" w:rsidR="009461FA" w:rsidRPr="00914070" w:rsidRDefault="009461FA" w:rsidP="009461FA">
      <w:pPr>
        <w:spacing w:after="0" w:line="240" w:lineRule="auto"/>
        <w:jc w:val="both"/>
        <w:rPr>
          <w:rFonts w:ascii="Verdana" w:eastAsia="Times New Roman" w:hAnsi="Verdana" w:cs="Arial"/>
          <w:sz w:val="20"/>
          <w:szCs w:val="20"/>
          <w:lang w:val="es-ES_tradnl" w:eastAsia="es-ES_tradnl"/>
        </w:rPr>
      </w:pPr>
    </w:p>
    <w:p w14:paraId="68432FBD" w14:textId="77777777" w:rsidR="009461FA" w:rsidRDefault="009461FA" w:rsidP="009461FA">
      <w:pPr>
        <w:spacing w:after="0" w:line="240" w:lineRule="auto"/>
        <w:jc w:val="both"/>
        <w:rPr>
          <w:rFonts w:ascii="Verdana" w:eastAsia="Times New Roman" w:hAnsi="Verdana" w:cs="Arial"/>
          <w:sz w:val="20"/>
          <w:szCs w:val="20"/>
          <w:lang w:val="es-ES" w:eastAsia="es-ES"/>
        </w:rPr>
      </w:pPr>
      <w:r w:rsidRPr="00914070">
        <w:rPr>
          <w:rFonts w:ascii="Verdana" w:eastAsia="Times New Roman" w:hAnsi="Verdana" w:cs="Arial"/>
          <w:sz w:val="20"/>
          <w:szCs w:val="20"/>
          <w:lang w:val="es-ES" w:eastAsia="es-ES"/>
        </w:rPr>
        <w:t xml:space="preserve">Un mejor entendimiento del significado de la expresión </w:t>
      </w:r>
      <w:r w:rsidRPr="00914070">
        <w:rPr>
          <w:rFonts w:ascii="Verdana" w:eastAsia="Times New Roman" w:hAnsi="Verdana" w:cs="Arial"/>
          <w:i/>
          <w:sz w:val="20"/>
          <w:szCs w:val="20"/>
          <w:lang w:val="es-ES" w:eastAsia="es-ES"/>
        </w:rPr>
        <w:t>“circunstancias ocurridas con posterioridad al cierre del proceso”</w:t>
      </w:r>
      <w:r w:rsidRPr="00914070">
        <w:rPr>
          <w:rFonts w:ascii="Verdana" w:eastAsia="Times New Roman" w:hAnsi="Verdana" w:cs="Arial"/>
          <w:sz w:val="20"/>
          <w:szCs w:val="20"/>
          <w:lang w:val="es-ES" w:eastAsia="es-ES"/>
        </w:rPr>
        <w:t xml:space="preserve"> implica distinguir entre la prueba de un hecho y el hecho mismo. En el caso de la subsanabilidad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Pr>
          <w:rFonts w:ascii="Verdana" w:eastAsia="Times New Roman" w:hAnsi="Verdana" w:cs="Arial"/>
          <w:sz w:val="20"/>
          <w:szCs w:val="20"/>
          <w:lang w:val="es-ES" w:eastAsia="es-ES"/>
        </w:rPr>
        <w:t xml:space="preserve">. </w:t>
      </w:r>
    </w:p>
    <w:p w14:paraId="748B5261" w14:textId="77777777" w:rsidR="009461FA" w:rsidRPr="00914070" w:rsidRDefault="009461FA" w:rsidP="009461FA">
      <w:pPr>
        <w:spacing w:after="0" w:line="240" w:lineRule="auto"/>
        <w:jc w:val="both"/>
        <w:rPr>
          <w:rFonts w:ascii="Verdana" w:eastAsia="Calibri" w:hAnsi="Verdana" w:cs="Arial"/>
          <w:sz w:val="20"/>
          <w:szCs w:val="20"/>
          <w:lang w:val="es-ES" w:eastAsia="es-ES"/>
        </w:rPr>
      </w:pPr>
    </w:p>
    <w:p w14:paraId="1FE44296" w14:textId="77777777" w:rsidR="009461FA" w:rsidRDefault="009461FA" w:rsidP="009461FA">
      <w:pPr>
        <w:spacing w:after="0"/>
        <w:rPr>
          <w:rFonts w:ascii="Verdana" w:hAnsi="Verdana"/>
        </w:rPr>
      </w:pPr>
    </w:p>
    <w:p w14:paraId="12DB24F9" w14:textId="77777777" w:rsidR="009461FA" w:rsidRDefault="009461FA" w:rsidP="009461FA">
      <w:pPr>
        <w:spacing w:after="0"/>
        <w:rPr>
          <w:rFonts w:ascii="Verdana" w:hAnsi="Verdana"/>
        </w:rPr>
      </w:pPr>
    </w:p>
    <w:p w14:paraId="7C262BEF" w14:textId="77777777" w:rsidR="009461FA" w:rsidRDefault="009461FA" w:rsidP="009461FA">
      <w:pPr>
        <w:spacing w:after="0"/>
        <w:rPr>
          <w:rFonts w:ascii="Verdana" w:hAnsi="Verdana"/>
        </w:rPr>
      </w:pPr>
    </w:p>
    <w:p w14:paraId="5F707AF7" w14:textId="77777777" w:rsidR="009461FA" w:rsidRDefault="009461FA" w:rsidP="009461FA">
      <w:pPr>
        <w:spacing w:after="0"/>
        <w:rPr>
          <w:rFonts w:ascii="Verdana" w:hAnsi="Verdana"/>
        </w:rPr>
      </w:pPr>
    </w:p>
    <w:p w14:paraId="792A3B68" w14:textId="77777777" w:rsidR="009461FA" w:rsidRDefault="009461FA" w:rsidP="009461FA">
      <w:pPr>
        <w:spacing w:after="0"/>
        <w:rPr>
          <w:rFonts w:ascii="Verdana" w:hAnsi="Verdana"/>
        </w:rPr>
      </w:pPr>
    </w:p>
    <w:p w14:paraId="6435F147" w14:textId="77777777" w:rsidR="009461FA" w:rsidRDefault="009461FA" w:rsidP="009461FA">
      <w:pPr>
        <w:spacing w:after="0"/>
        <w:rPr>
          <w:rFonts w:ascii="Verdana" w:hAnsi="Verdana"/>
        </w:rPr>
      </w:pPr>
    </w:p>
    <w:p w14:paraId="04760B3C" w14:textId="77777777" w:rsidR="009461FA" w:rsidRDefault="009461FA" w:rsidP="009461FA">
      <w:pPr>
        <w:spacing w:after="0"/>
        <w:rPr>
          <w:rFonts w:ascii="Verdana" w:hAnsi="Verdana"/>
        </w:rPr>
      </w:pPr>
    </w:p>
    <w:p w14:paraId="3F99B97D" w14:textId="77777777" w:rsidR="009461FA" w:rsidRDefault="009461FA" w:rsidP="009461FA">
      <w:pPr>
        <w:spacing w:after="0"/>
        <w:rPr>
          <w:rFonts w:ascii="Verdana" w:hAnsi="Verdana"/>
        </w:rPr>
      </w:pPr>
    </w:p>
    <w:p w14:paraId="076DCF33" w14:textId="77777777" w:rsidR="009461FA" w:rsidRDefault="009461FA" w:rsidP="009461FA">
      <w:pPr>
        <w:spacing w:after="0"/>
        <w:rPr>
          <w:rFonts w:ascii="Verdana" w:hAnsi="Verdana"/>
        </w:rPr>
      </w:pPr>
    </w:p>
    <w:p w14:paraId="1AB28264" w14:textId="77777777" w:rsidR="009461FA" w:rsidRDefault="009461FA" w:rsidP="009461FA">
      <w:pPr>
        <w:spacing w:after="0"/>
        <w:rPr>
          <w:rFonts w:ascii="Verdana" w:hAnsi="Verdana"/>
        </w:rPr>
      </w:pPr>
    </w:p>
    <w:p w14:paraId="4D40E5E8" w14:textId="77777777" w:rsidR="009461FA" w:rsidRDefault="009461FA" w:rsidP="009461FA">
      <w:pPr>
        <w:spacing w:after="0"/>
        <w:rPr>
          <w:rFonts w:ascii="Verdana" w:hAnsi="Verdana"/>
        </w:rPr>
      </w:pPr>
    </w:p>
    <w:p w14:paraId="4DC0DC3B" w14:textId="77777777" w:rsidR="009461FA" w:rsidRDefault="009461FA" w:rsidP="009461FA">
      <w:pPr>
        <w:spacing w:after="0"/>
        <w:rPr>
          <w:rFonts w:ascii="Verdana" w:hAnsi="Verdana"/>
        </w:rPr>
      </w:pPr>
    </w:p>
    <w:p w14:paraId="7ACDB34C" w14:textId="77777777" w:rsidR="009461FA" w:rsidRDefault="009461FA" w:rsidP="009461FA">
      <w:pPr>
        <w:spacing w:after="0"/>
        <w:rPr>
          <w:rFonts w:ascii="Verdana" w:hAnsi="Verdana"/>
        </w:rPr>
      </w:pPr>
    </w:p>
    <w:p w14:paraId="40647214" w14:textId="77777777" w:rsidR="009461FA" w:rsidRDefault="009461FA" w:rsidP="009461FA">
      <w:pPr>
        <w:spacing w:after="0"/>
        <w:rPr>
          <w:rFonts w:ascii="Verdana" w:hAnsi="Verdana"/>
        </w:rPr>
      </w:pPr>
    </w:p>
    <w:p w14:paraId="687952B0" w14:textId="77777777" w:rsidR="009461FA" w:rsidRDefault="009461FA" w:rsidP="009461FA">
      <w:pPr>
        <w:spacing w:after="0"/>
        <w:rPr>
          <w:rFonts w:ascii="Verdana" w:hAnsi="Verdana"/>
        </w:rPr>
      </w:pPr>
    </w:p>
    <w:p w14:paraId="11661995" w14:textId="77777777" w:rsidR="009461FA" w:rsidRDefault="009461FA" w:rsidP="009461FA">
      <w:pPr>
        <w:spacing w:after="0"/>
        <w:rPr>
          <w:rFonts w:ascii="Verdana" w:hAnsi="Verdana"/>
        </w:rPr>
      </w:pPr>
    </w:p>
    <w:p w14:paraId="14F03555" w14:textId="77777777" w:rsidR="009461FA" w:rsidRDefault="009461FA" w:rsidP="009461FA">
      <w:pPr>
        <w:spacing w:after="0"/>
        <w:rPr>
          <w:rFonts w:ascii="Verdana" w:hAnsi="Verdana"/>
        </w:rPr>
      </w:pPr>
    </w:p>
    <w:p w14:paraId="5E3ACD4D" w14:textId="7B816F26" w:rsidR="009461FA" w:rsidRDefault="009461FA" w:rsidP="009461FA">
      <w:pPr>
        <w:spacing w:after="0"/>
        <w:rPr>
          <w:rFonts w:ascii="Verdana" w:hAnsi="Verdana"/>
        </w:rPr>
      </w:pPr>
      <w:r w:rsidRPr="0044528D">
        <w:rPr>
          <w:rFonts w:ascii="Verdana" w:hAnsi="Verdana"/>
        </w:rPr>
        <w:t xml:space="preserve">Bogotá D.C., </w:t>
      </w:r>
      <w:r w:rsidR="00104ADB">
        <w:rPr>
          <w:rFonts w:ascii="Verdana" w:hAnsi="Verdana"/>
        </w:rPr>
        <w:t xml:space="preserve">20 de noviembre de 2024 </w:t>
      </w:r>
    </w:p>
    <w:p w14:paraId="7AE3C9EE" w14:textId="77777777" w:rsidR="00381E35" w:rsidRDefault="00381E35" w:rsidP="009461FA">
      <w:pPr>
        <w:spacing w:after="0"/>
        <w:rPr>
          <w:rFonts w:ascii="Verdana" w:hAnsi="Verdana"/>
        </w:rPr>
      </w:pPr>
    </w:p>
    <w:p w14:paraId="533FAAA9" w14:textId="2366551D" w:rsidR="00381E35" w:rsidRDefault="006B39BF" w:rsidP="006B39BF">
      <w:pPr>
        <w:spacing w:after="0"/>
        <w:jc w:val="right"/>
        <w:rPr>
          <w:rFonts w:ascii="Verdana" w:hAnsi="Verdana"/>
        </w:rPr>
      </w:pPr>
      <w:r w:rsidRPr="006B39BF">
        <w:rPr>
          <w:rFonts w:ascii="Verdana" w:hAnsi="Verdana"/>
          <w:noProof/>
        </w:rPr>
        <w:drawing>
          <wp:inline distT="0" distB="0" distL="0" distR="0" wp14:anchorId="27DBF973" wp14:editId="65628514">
            <wp:extent cx="3486637" cy="876422"/>
            <wp:effectExtent l="0" t="0" r="0" b="0"/>
            <wp:docPr id="152297193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971939" name="Imagen 1" descr="Texto&#10;&#10;Descripción generada automáticamente"/>
                    <pic:cNvPicPr/>
                  </pic:nvPicPr>
                  <pic:blipFill>
                    <a:blip r:embed="rId10"/>
                    <a:stretch>
                      <a:fillRect/>
                    </a:stretch>
                  </pic:blipFill>
                  <pic:spPr>
                    <a:xfrm>
                      <a:off x="0" y="0"/>
                      <a:ext cx="3486637" cy="876422"/>
                    </a:xfrm>
                    <a:prstGeom prst="rect">
                      <a:avLst/>
                    </a:prstGeom>
                  </pic:spPr>
                </pic:pic>
              </a:graphicData>
            </a:graphic>
          </wp:inline>
        </w:drawing>
      </w:r>
    </w:p>
    <w:p w14:paraId="10E2F17F" w14:textId="77777777" w:rsidR="009461FA" w:rsidRDefault="009461FA" w:rsidP="009461FA">
      <w:pPr>
        <w:spacing w:after="0"/>
        <w:rPr>
          <w:rFonts w:ascii="Verdana" w:hAnsi="Verdana"/>
        </w:rPr>
      </w:pPr>
    </w:p>
    <w:p w14:paraId="6D57458A" w14:textId="77777777" w:rsidR="009461FA" w:rsidRDefault="009461FA" w:rsidP="009461FA">
      <w:pPr>
        <w:spacing w:after="0"/>
        <w:jc w:val="right"/>
        <w:rPr>
          <w:rFonts w:ascii="Verdana" w:hAnsi="Verdana"/>
        </w:rPr>
      </w:pPr>
    </w:p>
    <w:p w14:paraId="4813A602" w14:textId="77777777" w:rsidR="009461FA" w:rsidRPr="0063746A" w:rsidRDefault="009461FA" w:rsidP="009461FA">
      <w:pPr>
        <w:spacing w:after="0" w:line="240" w:lineRule="auto"/>
        <w:jc w:val="both"/>
        <w:rPr>
          <w:rFonts w:ascii="Verdana" w:eastAsia="Calibri" w:hAnsi="Verdana" w:cs="Arial"/>
          <w:lang w:val="es-ES" w:eastAsia="es-ES"/>
        </w:rPr>
      </w:pPr>
      <w:r w:rsidRPr="0063746A">
        <w:rPr>
          <w:rFonts w:ascii="Verdana" w:eastAsia="Calibri" w:hAnsi="Verdana" w:cs="Arial"/>
          <w:lang w:val="es-ES" w:eastAsia="es-ES"/>
        </w:rPr>
        <w:t>Señor</w:t>
      </w:r>
    </w:p>
    <w:p w14:paraId="34D483B4" w14:textId="77777777" w:rsidR="009461FA" w:rsidRDefault="009461FA" w:rsidP="009461FA">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 xml:space="preserve">Luis Alexis Correa Salazar </w:t>
      </w:r>
    </w:p>
    <w:p w14:paraId="57CD5639" w14:textId="77777777" w:rsidR="009461FA" w:rsidRPr="00C51591" w:rsidRDefault="009461FA" w:rsidP="009461FA">
      <w:pPr>
        <w:spacing w:after="0" w:line="240" w:lineRule="auto"/>
        <w:rPr>
          <w:rFonts w:ascii="Verdana" w:eastAsia="Calibri" w:hAnsi="Verdana" w:cs="Arial"/>
          <w:bCs/>
          <w:lang w:val="es-ES_tradnl" w:eastAsia="es-ES_tradnl"/>
        </w:rPr>
      </w:pPr>
      <w:r w:rsidRPr="00C51591">
        <w:rPr>
          <w:rFonts w:ascii="Verdana" w:eastAsia="Calibri" w:hAnsi="Verdana" w:cs="Arial"/>
          <w:bCs/>
          <w:lang w:eastAsia="es-ES_tradnl"/>
        </w:rPr>
        <w:t>luiscorreasalazar@hotmail.com</w:t>
      </w:r>
    </w:p>
    <w:p w14:paraId="7B71ADA2" w14:textId="77777777" w:rsidR="009461FA" w:rsidRPr="0063746A" w:rsidRDefault="009461FA" w:rsidP="009461FA">
      <w:pPr>
        <w:spacing w:after="0" w:line="240" w:lineRule="auto"/>
        <w:rPr>
          <w:rFonts w:ascii="Verdana" w:eastAsia="Calibri" w:hAnsi="Verdana" w:cs="Arial"/>
          <w:b/>
          <w:bCs/>
          <w:lang w:val="es-ES" w:eastAsia="es-ES"/>
        </w:rPr>
      </w:pPr>
      <w:r>
        <w:rPr>
          <w:rFonts w:ascii="Verdana" w:eastAsia="Calibri" w:hAnsi="Verdana" w:cs="Arial"/>
          <w:lang w:val="es-ES" w:eastAsia="es-ES"/>
        </w:rPr>
        <w:t>Piedecuesta - Santander</w:t>
      </w:r>
    </w:p>
    <w:p w14:paraId="531F1364" w14:textId="77777777" w:rsidR="009461FA" w:rsidRPr="0063746A" w:rsidRDefault="009461FA" w:rsidP="009461FA">
      <w:pPr>
        <w:spacing w:after="0" w:line="240" w:lineRule="auto"/>
        <w:rPr>
          <w:rFonts w:ascii="Verdana" w:eastAsia="Calibri" w:hAnsi="Verdana" w:cs="Arial"/>
          <w:b/>
          <w:bCs/>
          <w:lang w:val="es-ES_tradnl" w:eastAsia="es-ES_tradnl"/>
        </w:rPr>
      </w:pPr>
    </w:p>
    <w:p w14:paraId="6A37C0C3" w14:textId="77777777" w:rsidR="009461FA" w:rsidRPr="0063746A" w:rsidRDefault="009461FA" w:rsidP="009461FA">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9461FA" w:rsidRPr="00C02E1B" w14:paraId="45FD4D63" w14:textId="77777777" w:rsidTr="0012648E">
        <w:trPr>
          <w:trHeight w:val="243"/>
        </w:trPr>
        <w:tc>
          <w:tcPr>
            <w:tcW w:w="2689" w:type="dxa"/>
          </w:tcPr>
          <w:p w14:paraId="77EAE615" w14:textId="77777777" w:rsidR="009461FA" w:rsidRPr="0063746A" w:rsidRDefault="009461FA" w:rsidP="0012648E">
            <w:pPr>
              <w:jc w:val="both"/>
              <w:rPr>
                <w:rFonts w:ascii="Verdana" w:eastAsia="Calibri" w:hAnsi="Verdana" w:cs="Arial"/>
                <w:b/>
                <w:bCs/>
                <w:lang w:val="es-ES_tradnl" w:eastAsia="es-ES_tradnl"/>
              </w:rPr>
            </w:pPr>
          </w:p>
        </w:tc>
        <w:tc>
          <w:tcPr>
            <w:tcW w:w="6100" w:type="dxa"/>
          </w:tcPr>
          <w:p w14:paraId="0989AD64" w14:textId="77777777" w:rsidR="009461FA" w:rsidRPr="00C02E1B" w:rsidRDefault="009461FA" w:rsidP="0012648E">
            <w:pPr>
              <w:jc w:val="both"/>
              <w:rPr>
                <w:rFonts w:ascii="Verdana" w:eastAsia="Calibri" w:hAnsi="Verdana" w:cs="Arial"/>
                <w:b/>
                <w:bCs/>
                <w:lang w:val="es-ES" w:eastAsia="es-ES"/>
              </w:rPr>
            </w:pPr>
            <w:r w:rsidRPr="00C02E1B">
              <w:rPr>
                <w:rFonts w:ascii="Verdana" w:eastAsia="Calibri" w:hAnsi="Verdana" w:cs="Arial"/>
                <w:b/>
                <w:bCs/>
                <w:lang w:val="es-ES" w:eastAsia="es-ES"/>
              </w:rPr>
              <w:t xml:space="preserve">Concepto C- </w:t>
            </w:r>
            <w:r>
              <w:rPr>
                <w:rFonts w:ascii="Verdana" w:eastAsia="Calibri" w:hAnsi="Verdana" w:cs="Arial"/>
                <w:b/>
                <w:bCs/>
                <w:lang w:val="es-ES" w:eastAsia="es-ES"/>
              </w:rPr>
              <w:t>696</w:t>
            </w:r>
            <w:r w:rsidRPr="00C02E1B">
              <w:rPr>
                <w:rFonts w:ascii="Verdana" w:eastAsia="Calibri" w:hAnsi="Verdana" w:cs="Arial"/>
                <w:b/>
                <w:bCs/>
                <w:lang w:val="es-ES" w:eastAsia="es-ES"/>
              </w:rPr>
              <w:t xml:space="preserve"> de 2024</w:t>
            </w:r>
          </w:p>
          <w:p w14:paraId="01CD8F40" w14:textId="77777777" w:rsidR="009461FA" w:rsidRPr="00C02E1B" w:rsidRDefault="009461FA" w:rsidP="0012648E">
            <w:pPr>
              <w:jc w:val="both"/>
              <w:rPr>
                <w:rFonts w:ascii="Verdana" w:eastAsia="Calibri" w:hAnsi="Verdana" w:cs="Arial"/>
                <w:b/>
                <w:bCs/>
                <w:lang w:val="es-ES" w:eastAsia="es-ES"/>
              </w:rPr>
            </w:pPr>
          </w:p>
        </w:tc>
      </w:tr>
      <w:tr w:rsidR="009461FA" w:rsidRPr="00C02E1B" w14:paraId="53EA5A1A" w14:textId="77777777" w:rsidTr="0012648E">
        <w:trPr>
          <w:trHeight w:val="884"/>
        </w:trPr>
        <w:tc>
          <w:tcPr>
            <w:tcW w:w="2689" w:type="dxa"/>
          </w:tcPr>
          <w:p w14:paraId="218E9F38" w14:textId="77777777" w:rsidR="009461FA" w:rsidRPr="0063746A" w:rsidRDefault="009461FA" w:rsidP="0012648E">
            <w:pPr>
              <w:jc w:val="both"/>
              <w:rPr>
                <w:rFonts w:ascii="Verdana" w:eastAsia="Calibri" w:hAnsi="Verdana" w:cs="Arial"/>
                <w:lang w:val="es-ES_tradnl" w:eastAsia="es-ES_tradnl"/>
              </w:rPr>
            </w:pPr>
            <w:r w:rsidRPr="0063746A">
              <w:rPr>
                <w:rFonts w:ascii="Verdana" w:eastAsia="Calibri" w:hAnsi="Verdana" w:cs="Arial"/>
                <w:b/>
                <w:lang w:val="es-ES_tradnl" w:eastAsia="es-ES_tradnl"/>
              </w:rPr>
              <w:t>Temas:</w:t>
            </w:r>
            <w:r w:rsidRPr="0063746A">
              <w:rPr>
                <w:rFonts w:ascii="Verdana" w:eastAsia="Calibri" w:hAnsi="Verdana" w:cs="Arial"/>
                <w:lang w:val="es-ES_tradnl" w:eastAsia="es-ES_tradnl"/>
              </w:rPr>
              <w:t xml:space="preserve">                   </w:t>
            </w:r>
          </w:p>
        </w:tc>
        <w:tc>
          <w:tcPr>
            <w:tcW w:w="6100" w:type="dxa"/>
          </w:tcPr>
          <w:p w14:paraId="777EE010" w14:textId="77777777" w:rsidR="009461FA" w:rsidRPr="00C02E1B" w:rsidRDefault="009461FA" w:rsidP="0012648E">
            <w:pPr>
              <w:jc w:val="both"/>
              <w:rPr>
                <w:rFonts w:ascii="Verdana" w:eastAsia="Calibri" w:hAnsi="Verdana" w:cs="Arial"/>
                <w:lang w:val="es-ES" w:eastAsia="es-ES"/>
              </w:rPr>
            </w:pPr>
            <w:r w:rsidRPr="00C02E1B">
              <w:rPr>
                <w:rFonts w:ascii="Verdana" w:eastAsia="Calibri" w:hAnsi="Verdana" w:cs="Arial"/>
                <w:lang w:val="es-ES" w:eastAsia="es-ES"/>
              </w:rPr>
              <w:t>SUBSANABILIDAD – Aplicación – R</w:t>
            </w:r>
            <w:r w:rsidRPr="00C02E1B">
              <w:rPr>
                <w:rFonts w:ascii="Verdana" w:eastAsia="Calibri" w:hAnsi="Verdana"/>
                <w:lang w:val="es-ES" w:eastAsia="es-ES"/>
              </w:rPr>
              <w:t>egla general</w:t>
            </w:r>
            <w:r w:rsidRPr="00C02E1B">
              <w:rPr>
                <w:rFonts w:ascii="Verdana" w:eastAsia="Calibri" w:hAnsi="Verdana" w:cs="Arial"/>
                <w:lang w:val="es-ES" w:eastAsia="es-ES"/>
              </w:rPr>
              <w:t xml:space="preserve"> – Excepciones / SUBSANABILIDAD – Circunstancias posteriores – Cierre del proceso- Ley 1882 de 2018 / </w:t>
            </w:r>
          </w:p>
          <w:p w14:paraId="5966B2E8" w14:textId="77777777" w:rsidR="009461FA" w:rsidRPr="00C02E1B" w:rsidRDefault="009461FA" w:rsidP="0012648E">
            <w:pPr>
              <w:jc w:val="both"/>
              <w:rPr>
                <w:rFonts w:ascii="Verdana" w:eastAsia="Calibri" w:hAnsi="Verdana" w:cs="Arial"/>
                <w:lang w:val="es-ES" w:eastAsia="es-ES"/>
              </w:rPr>
            </w:pPr>
          </w:p>
        </w:tc>
      </w:tr>
      <w:tr w:rsidR="009461FA" w:rsidRPr="00C02E1B" w14:paraId="7F310CDE" w14:textId="77777777" w:rsidTr="0012648E">
        <w:trPr>
          <w:trHeight w:val="377"/>
        </w:trPr>
        <w:tc>
          <w:tcPr>
            <w:tcW w:w="2689" w:type="dxa"/>
          </w:tcPr>
          <w:p w14:paraId="608F7FE5" w14:textId="77777777" w:rsidR="009461FA" w:rsidRPr="0063746A" w:rsidRDefault="009461FA" w:rsidP="0012648E">
            <w:pPr>
              <w:jc w:val="both"/>
              <w:rPr>
                <w:rFonts w:ascii="Verdana" w:eastAsia="Calibri" w:hAnsi="Verdana" w:cs="Arial"/>
                <w:b/>
                <w:lang w:val="es-ES_tradnl" w:eastAsia="es-ES_tradnl"/>
              </w:rPr>
            </w:pPr>
            <w:r w:rsidRPr="0063746A">
              <w:rPr>
                <w:rFonts w:ascii="Verdana" w:eastAsia="Calibri" w:hAnsi="Verdana" w:cs="Arial"/>
                <w:b/>
                <w:lang w:val="es-ES_tradnl" w:eastAsia="es-ES_tradnl"/>
              </w:rPr>
              <w:t>Radicación:</w:t>
            </w:r>
            <w:r w:rsidRPr="0063746A">
              <w:rPr>
                <w:rFonts w:ascii="Verdana" w:eastAsia="Calibri" w:hAnsi="Verdana" w:cs="Arial"/>
                <w:lang w:val="es-ES_tradnl" w:eastAsia="es-ES_tradnl"/>
              </w:rPr>
              <w:t xml:space="preserve">               </w:t>
            </w:r>
          </w:p>
        </w:tc>
        <w:tc>
          <w:tcPr>
            <w:tcW w:w="6100" w:type="dxa"/>
          </w:tcPr>
          <w:p w14:paraId="7C2A55F8" w14:textId="77777777" w:rsidR="009461FA" w:rsidRPr="00C02E1B" w:rsidRDefault="009461FA" w:rsidP="0012648E">
            <w:pPr>
              <w:jc w:val="both"/>
              <w:rPr>
                <w:rFonts w:ascii="Verdana" w:hAnsi="Verdana" w:cs="Calibri"/>
              </w:rPr>
            </w:pPr>
            <w:r w:rsidRPr="00C02E1B">
              <w:rPr>
                <w:rFonts w:ascii="Verdana" w:eastAsia="Calibri" w:hAnsi="Verdana" w:cs="Arial"/>
                <w:lang w:val="es-ES_tradnl" w:eastAsia="es-ES_tradnl"/>
              </w:rPr>
              <w:t xml:space="preserve">Respuesta a consulta con radicado No. </w:t>
            </w:r>
            <w:r w:rsidRPr="00D13C70">
              <w:rPr>
                <w:rFonts w:ascii="Verdana" w:eastAsia="Calibri" w:hAnsi="Verdana" w:cs="Arial"/>
                <w:lang w:val="es-ES_tradnl" w:eastAsia="es-ES_tradnl"/>
              </w:rPr>
              <w:t>P20241004010120</w:t>
            </w:r>
          </w:p>
        </w:tc>
      </w:tr>
    </w:tbl>
    <w:p w14:paraId="17C79191" w14:textId="77777777" w:rsidR="009461FA" w:rsidRPr="0063746A" w:rsidRDefault="009461FA" w:rsidP="009461FA">
      <w:pPr>
        <w:spacing w:after="0" w:line="276" w:lineRule="auto"/>
        <w:jc w:val="both"/>
        <w:rPr>
          <w:rFonts w:ascii="Verdana" w:eastAsia="Calibri" w:hAnsi="Verdana" w:cs="Arial"/>
          <w:lang w:val="es-ES_tradnl" w:eastAsia="es-ES_tradnl"/>
        </w:rPr>
      </w:pPr>
    </w:p>
    <w:p w14:paraId="5E283753" w14:textId="77777777" w:rsidR="009461FA" w:rsidRPr="0063746A" w:rsidRDefault="009461FA" w:rsidP="009461FA">
      <w:pPr>
        <w:spacing w:after="0" w:line="276" w:lineRule="auto"/>
        <w:jc w:val="both"/>
        <w:rPr>
          <w:rFonts w:ascii="Verdana" w:eastAsia="Calibri" w:hAnsi="Verdana" w:cs="Arial"/>
          <w:lang w:val="es-ES_tradnl" w:eastAsia="es-ES_tradnl"/>
        </w:rPr>
      </w:pPr>
    </w:p>
    <w:p w14:paraId="47DF4837" w14:textId="77777777" w:rsidR="009461FA" w:rsidRPr="0063746A" w:rsidRDefault="009461FA" w:rsidP="009461FA">
      <w:pPr>
        <w:spacing w:after="0" w:line="276" w:lineRule="auto"/>
        <w:jc w:val="both"/>
        <w:rPr>
          <w:rFonts w:ascii="Verdana" w:eastAsia="Calibri" w:hAnsi="Verdana" w:cs="Arial"/>
          <w:lang w:val="es-ES" w:eastAsia="es-ES"/>
        </w:rPr>
      </w:pPr>
      <w:r w:rsidRPr="0063746A">
        <w:rPr>
          <w:rFonts w:ascii="Verdana" w:eastAsia="Calibri" w:hAnsi="Verdana" w:cs="Arial"/>
          <w:lang w:val="es-ES" w:eastAsia="es-ES"/>
        </w:rPr>
        <w:t xml:space="preserve">Estimado señor </w:t>
      </w:r>
      <w:r>
        <w:rPr>
          <w:rFonts w:ascii="Verdana" w:eastAsia="Calibri" w:hAnsi="Verdana" w:cs="Arial"/>
          <w:lang w:val="es-ES_tradnl" w:eastAsia="es-ES_tradnl"/>
        </w:rPr>
        <w:t>Correa</w:t>
      </w:r>
      <w:r w:rsidRPr="0063746A">
        <w:rPr>
          <w:rFonts w:ascii="Verdana" w:eastAsia="Calibri" w:hAnsi="Verdana" w:cs="Arial"/>
          <w:lang w:val="es-ES" w:eastAsia="es-ES"/>
        </w:rPr>
        <w:t xml:space="preserve">: </w:t>
      </w:r>
    </w:p>
    <w:p w14:paraId="5BE23062" w14:textId="77777777" w:rsidR="009461FA" w:rsidRPr="0063746A" w:rsidRDefault="009461FA" w:rsidP="009461FA">
      <w:pPr>
        <w:tabs>
          <w:tab w:val="left" w:pos="3768"/>
        </w:tabs>
        <w:spacing w:after="0" w:line="276" w:lineRule="auto"/>
        <w:jc w:val="both"/>
        <w:rPr>
          <w:rFonts w:ascii="Verdana" w:eastAsia="Calibri" w:hAnsi="Verdana" w:cs="Arial"/>
          <w:lang w:val="es-ES" w:eastAsia="es-ES"/>
        </w:rPr>
      </w:pPr>
      <w:r w:rsidRPr="0063746A">
        <w:rPr>
          <w:rFonts w:ascii="Verdana" w:eastAsia="Calibri" w:hAnsi="Verdana" w:cs="Arial"/>
          <w:lang w:val="es-ES" w:eastAsia="es-ES"/>
        </w:rPr>
        <w:tab/>
      </w:r>
    </w:p>
    <w:p w14:paraId="0F67079B" w14:textId="77777777" w:rsidR="009461FA" w:rsidRPr="0063746A" w:rsidRDefault="009461FA" w:rsidP="009461FA">
      <w:pPr>
        <w:spacing w:after="0" w:line="276" w:lineRule="auto"/>
        <w:jc w:val="both"/>
        <w:rPr>
          <w:rFonts w:ascii="Verdana" w:eastAsia="Calibri" w:hAnsi="Verdana" w:cs="Arial"/>
          <w:lang w:val="es-ES" w:eastAsia="es-ES"/>
        </w:rPr>
      </w:pPr>
      <w:r w:rsidRPr="0063746A">
        <w:rPr>
          <w:rFonts w:ascii="Verdana" w:eastAsia="Calibri" w:hAnsi="Verdana" w:cs="Arial"/>
          <w:lang w:val="es-ES" w:eastAsia="es-ES"/>
        </w:rPr>
        <w:t>En ejercicio de la competencia otorgada por los artículos 3, numeral 5º, y 11, numeral 8º, del Decreto Ley 4170 de 2011,</w:t>
      </w:r>
      <w:r w:rsidRPr="0063746A">
        <w:rPr>
          <w:rFonts w:ascii="Verdana" w:eastAsia="Arial MT" w:hAnsi="Verdana" w:cs="Arial MT"/>
          <w:lang w:val="es-ES" w:eastAsia="es-ES"/>
        </w:rPr>
        <w:t xml:space="preserve"> </w:t>
      </w:r>
      <w:r w:rsidRPr="0063746A">
        <w:rPr>
          <w:rFonts w:ascii="Verdana" w:hAnsi="Verdana" w:cs="Arial"/>
        </w:rPr>
        <w:t xml:space="preserve">así como lo establecido en el artículo 4 de la Resolución 1707 de 2018 expedida por esta Entidad, </w:t>
      </w:r>
      <w:r w:rsidRPr="0063746A">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 xml:space="preserve">4 </w:t>
      </w:r>
      <w:r w:rsidRPr="0063746A">
        <w:rPr>
          <w:rFonts w:ascii="Verdana" w:eastAsia="Calibri" w:hAnsi="Verdana" w:cs="Arial"/>
          <w:lang w:val="es-ES" w:eastAsia="es-ES"/>
        </w:rPr>
        <w:t xml:space="preserve">de </w:t>
      </w:r>
      <w:r>
        <w:rPr>
          <w:rFonts w:ascii="Verdana" w:eastAsia="Calibri" w:hAnsi="Verdana" w:cs="Arial"/>
          <w:lang w:val="es-ES" w:eastAsia="es-ES"/>
        </w:rPr>
        <w:t>octubre</w:t>
      </w:r>
      <w:r w:rsidRPr="0063746A">
        <w:rPr>
          <w:rFonts w:ascii="Verdana" w:eastAsia="Calibri" w:hAnsi="Verdana" w:cs="Arial"/>
          <w:lang w:val="es-ES" w:eastAsia="es-ES"/>
        </w:rPr>
        <w:t xml:space="preserve"> de 2024, en la cual manifiesta lo siguiente: </w:t>
      </w:r>
    </w:p>
    <w:p w14:paraId="7E9B7D47" w14:textId="77777777" w:rsidR="009461FA" w:rsidRPr="0063746A" w:rsidRDefault="009461FA" w:rsidP="009461FA">
      <w:pPr>
        <w:pStyle w:val="Prrafodelista"/>
        <w:tabs>
          <w:tab w:val="left" w:pos="142"/>
          <w:tab w:val="left" w:pos="284"/>
        </w:tabs>
        <w:spacing w:line="276" w:lineRule="auto"/>
        <w:ind w:left="0"/>
        <w:contextualSpacing w:val="0"/>
        <w:jc w:val="both"/>
        <w:rPr>
          <w:rFonts w:ascii="Verdana" w:eastAsia="Century Gothic" w:hAnsi="Verdana" w:cs="Century Gothic"/>
          <w:b/>
          <w:bCs/>
        </w:rPr>
      </w:pPr>
    </w:p>
    <w:p w14:paraId="2E2200EF" w14:textId="77777777" w:rsidR="009461FA" w:rsidRPr="00DC25BE" w:rsidRDefault="009461FA" w:rsidP="009461FA">
      <w:pPr>
        <w:spacing w:after="0" w:line="240" w:lineRule="auto"/>
        <w:ind w:left="709" w:right="709"/>
        <w:jc w:val="both"/>
        <w:rPr>
          <w:rFonts w:ascii="Verdana" w:eastAsia="Century Gothic" w:hAnsi="Verdana" w:cs="Century Gothic"/>
          <w:sz w:val="20"/>
          <w:szCs w:val="20"/>
          <w:lang w:val="es-ES"/>
        </w:rPr>
      </w:pPr>
      <w:bookmarkStart w:id="2" w:name="_Hlk95313578"/>
      <w:r w:rsidRPr="00CA2545">
        <w:rPr>
          <w:rFonts w:ascii="Verdana" w:eastAsia="Century Gothic" w:hAnsi="Verdana" w:cs="Century Gothic"/>
          <w:sz w:val="20"/>
          <w:szCs w:val="20"/>
          <w:lang w:val="es-ES"/>
        </w:rPr>
        <w:t>“</w:t>
      </w:r>
      <w:r w:rsidRPr="00DC25BE">
        <w:rPr>
          <w:rFonts w:ascii="Verdana" w:eastAsia="Century Gothic" w:hAnsi="Verdana" w:cs="Century Gothic"/>
          <w:sz w:val="20"/>
          <w:szCs w:val="20"/>
          <w:lang w:val="es-ES"/>
        </w:rPr>
        <w:t>LOS DOCUMENTOS PRESENTADOS EN LA OFERTA QUE ESTÉN CON LA</w:t>
      </w:r>
      <w:r>
        <w:rPr>
          <w:rFonts w:ascii="Verdana" w:eastAsia="Century Gothic" w:hAnsi="Verdana" w:cs="Century Gothic"/>
          <w:sz w:val="20"/>
          <w:szCs w:val="20"/>
          <w:lang w:val="es-ES"/>
        </w:rPr>
        <w:t xml:space="preserve"> </w:t>
      </w:r>
      <w:r w:rsidRPr="00DC25BE">
        <w:rPr>
          <w:rFonts w:ascii="Verdana" w:eastAsia="Century Gothic" w:hAnsi="Verdana" w:cs="Century Gothic"/>
          <w:sz w:val="20"/>
          <w:szCs w:val="20"/>
          <w:lang w:val="es-ES"/>
        </w:rPr>
        <w:t>NOTA "BAJO LA GRAVEDAD DE JURAMENTO" SON SUBSANABLES?</w:t>
      </w:r>
      <w:r>
        <w:rPr>
          <w:rFonts w:ascii="Verdana" w:eastAsia="Century Gothic" w:hAnsi="Verdana" w:cs="Century Gothic"/>
          <w:sz w:val="20"/>
          <w:szCs w:val="20"/>
          <w:lang w:val="es-ES"/>
        </w:rPr>
        <w:t xml:space="preserve">  </w:t>
      </w:r>
      <w:r w:rsidRPr="00DC25BE">
        <w:rPr>
          <w:rFonts w:ascii="Verdana" w:eastAsia="Century Gothic" w:hAnsi="Verdana" w:cs="Century Gothic"/>
          <w:sz w:val="20"/>
          <w:szCs w:val="20"/>
          <w:lang w:val="es-ES"/>
        </w:rPr>
        <w:t>LA</w:t>
      </w:r>
      <w:r>
        <w:rPr>
          <w:rFonts w:ascii="Verdana" w:eastAsia="Century Gothic" w:hAnsi="Verdana" w:cs="Century Gothic"/>
          <w:sz w:val="20"/>
          <w:szCs w:val="20"/>
          <w:lang w:val="es-ES"/>
        </w:rPr>
        <w:t xml:space="preserve"> </w:t>
      </w:r>
      <w:r w:rsidRPr="00DC25BE">
        <w:rPr>
          <w:rFonts w:ascii="Verdana" w:eastAsia="Century Gothic" w:hAnsi="Verdana" w:cs="Century Gothic"/>
          <w:sz w:val="20"/>
          <w:szCs w:val="20"/>
          <w:lang w:val="es-ES"/>
        </w:rPr>
        <w:t>PREGUNTA SURGE PUES AL DEMOSTRAR QUE NO ES VERDAD LO QUE</w:t>
      </w:r>
      <w:r>
        <w:rPr>
          <w:rFonts w:ascii="Verdana" w:eastAsia="Century Gothic" w:hAnsi="Verdana" w:cs="Century Gothic"/>
          <w:sz w:val="20"/>
          <w:szCs w:val="20"/>
          <w:lang w:val="es-ES"/>
        </w:rPr>
        <w:t xml:space="preserve"> </w:t>
      </w:r>
      <w:r w:rsidRPr="00DC25BE">
        <w:rPr>
          <w:rFonts w:ascii="Verdana" w:eastAsia="Century Gothic" w:hAnsi="Verdana" w:cs="Century Gothic"/>
          <w:sz w:val="20"/>
          <w:szCs w:val="20"/>
          <w:lang w:val="es-ES"/>
        </w:rPr>
        <w:t>BAJO LA GRAVEDAD DE JURAMENTO CERTIFICA EL PROPONENTE ESTARÍA</w:t>
      </w:r>
      <w:r>
        <w:rPr>
          <w:rFonts w:ascii="Verdana" w:eastAsia="Century Gothic" w:hAnsi="Verdana" w:cs="Century Gothic"/>
          <w:sz w:val="20"/>
          <w:szCs w:val="20"/>
          <w:lang w:val="es-ES"/>
        </w:rPr>
        <w:t xml:space="preserve"> </w:t>
      </w:r>
      <w:r w:rsidRPr="00DC25BE">
        <w:rPr>
          <w:rFonts w:ascii="Verdana" w:eastAsia="Century Gothic" w:hAnsi="Verdana" w:cs="Century Gothic"/>
          <w:sz w:val="20"/>
          <w:szCs w:val="20"/>
          <w:lang w:val="es-ES"/>
        </w:rPr>
        <w:t>ANTE LA CAUSAL DE RECHAZO POR INFORMACION INEXACTA.</w:t>
      </w:r>
    </w:p>
    <w:p w14:paraId="698A9947" w14:textId="77777777" w:rsidR="009461FA" w:rsidRPr="00CA2545" w:rsidRDefault="009461FA" w:rsidP="009461FA">
      <w:pPr>
        <w:spacing w:after="0" w:line="240" w:lineRule="auto"/>
        <w:ind w:left="709" w:right="709"/>
        <w:jc w:val="both"/>
        <w:rPr>
          <w:rFonts w:ascii="Verdana" w:eastAsia="Century Gothic" w:hAnsi="Verdana" w:cs="Century Gothic"/>
          <w:sz w:val="20"/>
          <w:szCs w:val="20"/>
          <w:lang w:val="es-ES"/>
        </w:rPr>
      </w:pPr>
      <w:r w:rsidRPr="00DC25BE">
        <w:rPr>
          <w:rFonts w:ascii="Verdana" w:eastAsia="Century Gothic" w:hAnsi="Verdana" w:cs="Century Gothic"/>
          <w:sz w:val="20"/>
          <w:szCs w:val="20"/>
          <w:lang w:val="es-ES"/>
        </w:rPr>
        <w:t>2. LA NOTA "BAJO LA GRAVEDAD DE JURAMENTO" ES LA CERTEZA QUE</w:t>
      </w:r>
      <w:r>
        <w:rPr>
          <w:rFonts w:ascii="Verdana" w:eastAsia="Century Gothic" w:hAnsi="Verdana" w:cs="Century Gothic"/>
          <w:sz w:val="20"/>
          <w:szCs w:val="20"/>
          <w:lang w:val="es-ES"/>
        </w:rPr>
        <w:t xml:space="preserve"> </w:t>
      </w:r>
      <w:r w:rsidRPr="00DC25BE">
        <w:rPr>
          <w:rFonts w:ascii="Verdana" w:eastAsia="Century Gothic" w:hAnsi="Verdana" w:cs="Century Gothic"/>
          <w:sz w:val="20"/>
          <w:szCs w:val="20"/>
          <w:lang w:val="es-ES"/>
        </w:rPr>
        <w:t>DA</w:t>
      </w:r>
      <w:r>
        <w:rPr>
          <w:rFonts w:ascii="Verdana" w:eastAsia="Century Gothic" w:hAnsi="Verdana" w:cs="Century Gothic"/>
          <w:sz w:val="20"/>
          <w:szCs w:val="20"/>
          <w:lang w:val="es-ES"/>
        </w:rPr>
        <w:t xml:space="preserve"> </w:t>
      </w:r>
      <w:r w:rsidRPr="00DC25BE">
        <w:rPr>
          <w:rFonts w:ascii="Verdana" w:eastAsia="Century Gothic" w:hAnsi="Verdana" w:cs="Century Gothic"/>
          <w:sz w:val="20"/>
          <w:szCs w:val="20"/>
          <w:lang w:val="es-ES"/>
        </w:rPr>
        <w:t>EL PROPONENTE A LA ENTIDAD DE QUE LO QUE SE AFIRMA ES UNA</w:t>
      </w:r>
      <w:r>
        <w:rPr>
          <w:rFonts w:ascii="Verdana" w:eastAsia="Century Gothic" w:hAnsi="Verdana" w:cs="Century Gothic"/>
          <w:sz w:val="20"/>
          <w:szCs w:val="20"/>
          <w:lang w:val="es-ES"/>
        </w:rPr>
        <w:t xml:space="preserve"> </w:t>
      </w:r>
      <w:r w:rsidRPr="00DC25BE">
        <w:rPr>
          <w:rFonts w:ascii="Verdana" w:eastAsia="Century Gothic" w:hAnsi="Verdana" w:cs="Century Gothic"/>
          <w:sz w:val="20"/>
          <w:szCs w:val="20"/>
          <w:lang w:val="es-ES"/>
        </w:rPr>
        <w:t>VERDAD ABSOLUTA.?:</w:t>
      </w:r>
      <w:r w:rsidRPr="00CA2545">
        <w:rPr>
          <w:rFonts w:ascii="Verdana" w:eastAsia="Century Gothic" w:hAnsi="Verdana" w:cs="Century Gothic"/>
          <w:sz w:val="20"/>
          <w:szCs w:val="20"/>
          <w:lang w:val="es-ES"/>
        </w:rPr>
        <w:t>”</w:t>
      </w:r>
      <w:bookmarkEnd w:id="2"/>
      <w:r w:rsidRPr="00CA2545">
        <w:rPr>
          <w:rFonts w:ascii="Verdana" w:eastAsia="Century Gothic" w:hAnsi="Verdana" w:cs="Century Gothic"/>
          <w:sz w:val="20"/>
          <w:szCs w:val="20"/>
          <w:lang w:val="es-ES"/>
        </w:rPr>
        <w:t>.</w:t>
      </w:r>
      <w:r>
        <w:rPr>
          <w:rFonts w:ascii="Verdana" w:eastAsia="Century Gothic" w:hAnsi="Verdana" w:cs="Century Gothic"/>
          <w:sz w:val="20"/>
          <w:szCs w:val="20"/>
          <w:lang w:val="es-ES"/>
        </w:rPr>
        <w:t>(sic)</w:t>
      </w:r>
    </w:p>
    <w:p w14:paraId="05272B70" w14:textId="77777777" w:rsidR="009461FA" w:rsidRPr="00CA2545" w:rsidRDefault="009461FA" w:rsidP="009461FA">
      <w:pPr>
        <w:pStyle w:val="Prrafodelista"/>
        <w:tabs>
          <w:tab w:val="left" w:pos="142"/>
          <w:tab w:val="left" w:pos="284"/>
        </w:tabs>
        <w:spacing w:line="276" w:lineRule="auto"/>
        <w:ind w:left="0"/>
        <w:jc w:val="both"/>
        <w:rPr>
          <w:rFonts w:ascii="Verdana" w:eastAsia="Century Gothic" w:hAnsi="Verdana" w:cs="Century Gothic"/>
          <w:b/>
          <w:bCs/>
        </w:rPr>
      </w:pPr>
    </w:p>
    <w:p w14:paraId="4ABA17B7" w14:textId="77777777" w:rsidR="009461FA" w:rsidRPr="00CA2545" w:rsidRDefault="009461FA" w:rsidP="009461FA">
      <w:pPr>
        <w:spacing w:after="120" w:line="276" w:lineRule="auto"/>
        <w:jc w:val="both"/>
        <w:rPr>
          <w:rFonts w:ascii="Verdana" w:eastAsia="Calibri" w:hAnsi="Verdana" w:cs="Arial"/>
          <w:color w:val="000000"/>
          <w:lang w:val="es-ES_tradnl" w:eastAsia="es-ES_tradnl"/>
        </w:rPr>
      </w:pPr>
      <w:r w:rsidRPr="00CA2545">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A2545">
        <w:rPr>
          <w:rFonts w:ascii="Verdana" w:eastAsia="Calibri" w:hAnsi="Verdana" w:cs="Arial"/>
          <w:color w:val="000000"/>
          <w:lang w:val="es-ES_tradnl" w:eastAsia="es-ES_tradnl"/>
        </w:rPr>
        <w:tab/>
      </w:r>
    </w:p>
    <w:p w14:paraId="602CB1E1" w14:textId="77777777" w:rsidR="009461FA" w:rsidRPr="00CA2545" w:rsidRDefault="009461FA" w:rsidP="009461FA">
      <w:pPr>
        <w:spacing w:after="0" w:line="276" w:lineRule="auto"/>
        <w:ind w:firstLine="709"/>
        <w:jc w:val="both"/>
        <w:rPr>
          <w:rFonts w:ascii="Verdana" w:eastAsia="Calibri" w:hAnsi="Verdana" w:cs="Arial"/>
          <w:color w:val="000000"/>
          <w:lang w:val="es-ES" w:eastAsia="es-ES"/>
        </w:rPr>
      </w:pPr>
      <w:r w:rsidRPr="00CA2545">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Pr>
          <w:rFonts w:ascii="Verdana" w:eastAsia="Calibri" w:hAnsi="Verdana" w:cs="Arial"/>
          <w:color w:val="000000"/>
          <w:lang w:val="es-ES" w:eastAsia="es-ES"/>
        </w:rPr>
        <w:t>e</w:t>
      </w:r>
      <w:r w:rsidRPr="00CA2545">
        <w:rPr>
          <w:rFonts w:ascii="Verdana" w:eastAsia="Calibri" w:hAnsi="Verdana" w:cs="Arial"/>
          <w:color w:val="7030A0"/>
          <w:lang w:val="es-ES" w:eastAsia="es-ES"/>
        </w:rPr>
        <w:t xml:space="preserve">l </w:t>
      </w:r>
      <w:r w:rsidRPr="00CA2545">
        <w:rPr>
          <w:rFonts w:ascii="Verdana" w:eastAsia="Calibri" w:hAnsi="Verdana" w:cs="Arial"/>
          <w:color w:val="000000"/>
          <w:lang w:val="es-ES" w:eastAsia="es-ES"/>
        </w:rPr>
        <w:t>problema</w:t>
      </w:r>
      <w:r w:rsidRPr="00CA2545">
        <w:rPr>
          <w:rFonts w:ascii="Verdana" w:eastAsia="Calibri" w:hAnsi="Verdana" w:cs="Arial"/>
          <w:color w:val="7030A0"/>
          <w:lang w:val="es-ES" w:eastAsia="es-ES"/>
        </w:rPr>
        <w:t xml:space="preserve"> </w:t>
      </w:r>
      <w:r w:rsidRPr="00CA2545">
        <w:rPr>
          <w:rFonts w:ascii="Verdana" w:eastAsia="Calibri" w:hAnsi="Verdana" w:cs="Arial"/>
          <w:color w:val="000000"/>
          <w:lang w:val="es-ES" w:eastAsia="es-ES"/>
        </w:rPr>
        <w:t>jurídico</w:t>
      </w:r>
      <w:r w:rsidRPr="00CA2545">
        <w:rPr>
          <w:rFonts w:ascii="Verdana" w:eastAsia="Calibri" w:hAnsi="Verdana" w:cs="Arial"/>
          <w:color w:val="7030A0"/>
          <w:lang w:val="es-ES" w:eastAsia="es-ES"/>
        </w:rPr>
        <w:t xml:space="preserve"> </w:t>
      </w:r>
      <w:r w:rsidRPr="00CA2545">
        <w:rPr>
          <w:rFonts w:ascii="Verdana" w:eastAsia="Calibri" w:hAnsi="Verdana" w:cs="Arial"/>
          <w:color w:val="000000"/>
          <w:lang w:val="es-ES" w:eastAsia="es-ES"/>
        </w:rPr>
        <w:t xml:space="preserve">de su consulta. </w:t>
      </w:r>
    </w:p>
    <w:p w14:paraId="2DB0DBE2" w14:textId="77777777" w:rsidR="009461FA" w:rsidRPr="00CA2545" w:rsidRDefault="009461FA" w:rsidP="009461FA">
      <w:pPr>
        <w:spacing w:after="0" w:line="276" w:lineRule="auto"/>
        <w:ind w:firstLine="709"/>
        <w:jc w:val="both"/>
        <w:rPr>
          <w:rFonts w:ascii="Verdana" w:eastAsia="Calibri" w:hAnsi="Verdana" w:cs="Arial"/>
          <w:color w:val="000000"/>
          <w:lang w:val="es-ES" w:eastAsia="es-ES"/>
        </w:rPr>
      </w:pPr>
    </w:p>
    <w:p w14:paraId="74F02A17" w14:textId="77777777" w:rsidR="009461FA" w:rsidRPr="00C75C5C" w:rsidRDefault="009461FA" w:rsidP="009461F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75C5C">
        <w:rPr>
          <w:rFonts w:ascii="Verdana" w:eastAsia="Century Gothic" w:hAnsi="Verdana" w:cs="Century Gothic"/>
          <w:b/>
          <w:bCs/>
        </w:rPr>
        <w:t>Problema planteado:</w:t>
      </w:r>
    </w:p>
    <w:p w14:paraId="3C8BAF03" w14:textId="77777777" w:rsidR="009461FA" w:rsidRPr="00C75C5C" w:rsidRDefault="009461FA" w:rsidP="009461FA">
      <w:pPr>
        <w:tabs>
          <w:tab w:val="left" w:pos="426"/>
        </w:tabs>
        <w:spacing w:after="0" w:line="276" w:lineRule="auto"/>
        <w:jc w:val="both"/>
        <w:rPr>
          <w:rFonts w:ascii="Verdana" w:eastAsia="Century Gothic" w:hAnsi="Verdana" w:cs="Century Gothic"/>
          <w:lang w:val="es-ES"/>
        </w:rPr>
      </w:pPr>
    </w:p>
    <w:p w14:paraId="55C5ED44" w14:textId="77777777" w:rsidR="009461FA" w:rsidRDefault="009461FA" w:rsidP="009461FA">
      <w:pPr>
        <w:spacing w:after="0" w:line="276" w:lineRule="auto"/>
        <w:jc w:val="both"/>
        <w:rPr>
          <w:rFonts w:ascii="Verdana" w:eastAsia="Century Gothic" w:hAnsi="Verdana" w:cs="Century Gothic"/>
        </w:rPr>
      </w:pPr>
      <w:r w:rsidRPr="00C75C5C">
        <w:rPr>
          <w:rFonts w:ascii="Verdana" w:eastAsia="Century Gothic" w:hAnsi="Verdana" w:cs="Century Gothic"/>
        </w:rPr>
        <w:t>De acuerdo con el contenido de su solicitud, esta Agencia resolverá el siguiente problema jurídico: ¿Qué requisitos son subsanables en los diferentes procesos de selección, según lo dispuesto en el Estatuto General de la Contratación de la Administración Pública – en adelante EGCAP?</w:t>
      </w:r>
      <w:r>
        <w:rPr>
          <w:rFonts w:ascii="Verdana" w:eastAsia="Century Gothic" w:hAnsi="Verdana" w:cs="Century Gothic"/>
        </w:rPr>
        <w:t xml:space="preserve"> </w:t>
      </w:r>
    </w:p>
    <w:p w14:paraId="252C281D" w14:textId="77777777" w:rsidR="009461FA" w:rsidRPr="00384705" w:rsidRDefault="009461FA" w:rsidP="009461FA">
      <w:pPr>
        <w:spacing w:after="0" w:line="276" w:lineRule="auto"/>
        <w:jc w:val="both"/>
        <w:rPr>
          <w:rFonts w:ascii="Verdana" w:eastAsia="Calibri" w:hAnsi="Verdana" w:cs="Arial"/>
          <w:color w:val="7030A0"/>
        </w:rPr>
      </w:pPr>
    </w:p>
    <w:p w14:paraId="2A0BB548" w14:textId="77777777" w:rsidR="009461FA" w:rsidRPr="00B74530" w:rsidRDefault="009461FA" w:rsidP="009461F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74530">
        <w:rPr>
          <w:rFonts w:ascii="Verdana" w:eastAsia="Century Gothic" w:hAnsi="Verdana" w:cs="Century Gothic"/>
          <w:b/>
          <w:bCs/>
        </w:rPr>
        <w:t>Respuesta:</w:t>
      </w:r>
    </w:p>
    <w:p w14:paraId="1E364F58" w14:textId="77777777" w:rsidR="009461FA" w:rsidRPr="00DE4E8C" w:rsidRDefault="009461FA" w:rsidP="009461FA">
      <w:pPr>
        <w:tabs>
          <w:tab w:val="left" w:pos="142"/>
          <w:tab w:val="left" w:pos="284"/>
        </w:tabs>
        <w:spacing w:after="0" w:line="276" w:lineRule="auto"/>
        <w:jc w:val="both"/>
        <w:rPr>
          <w:rFonts w:ascii="Verdana" w:eastAsia="Century Gothic" w:hAnsi="Verdana" w:cs="Century Gothic"/>
          <w:b/>
          <w:bCs/>
          <w:highlight w:val="yellow"/>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461FA" w:rsidRPr="00593A5F" w14:paraId="1CB837CC" w14:textId="77777777" w:rsidTr="0012648E">
        <w:tc>
          <w:tcPr>
            <w:tcW w:w="8828" w:type="dxa"/>
            <w:shd w:val="clear" w:color="auto" w:fill="auto"/>
          </w:tcPr>
          <w:p w14:paraId="248EA1B0" w14:textId="77777777" w:rsidR="009461FA" w:rsidRPr="001A10D9" w:rsidRDefault="009461FA" w:rsidP="0012648E">
            <w:pPr>
              <w:spacing w:after="120" w:line="276" w:lineRule="auto"/>
              <w:jc w:val="both"/>
              <w:rPr>
                <w:rFonts w:ascii="Verdana" w:eastAsia="Calibri" w:hAnsi="Verdana" w:cs="Arial"/>
              </w:rPr>
            </w:pPr>
            <w:r w:rsidRPr="001A10D9">
              <w:rPr>
                <w:rFonts w:ascii="Verdana" w:eastAsia="Calibri" w:hAnsi="Verdana" w:cs="Arial"/>
              </w:rPr>
              <w:t xml:space="preserve">La regla de subsanabilidad, prevista en el artículo 5 de la Ley 1150 de 2007, es un mecanismo previsto en los procesos de contratación estatal que se regulan por el EGCAP, según </w:t>
            </w:r>
            <w:r>
              <w:rPr>
                <w:rFonts w:ascii="Verdana" w:eastAsia="Calibri" w:hAnsi="Verdana" w:cs="Arial"/>
              </w:rPr>
              <w:t>el</w:t>
            </w:r>
            <w:r w:rsidRPr="001A10D9">
              <w:rPr>
                <w:rFonts w:ascii="Verdana" w:eastAsia="Calibri" w:hAnsi="Verdana" w:cs="Arial"/>
              </w:rPr>
              <w:t xml:space="preserve"> cual</w:t>
            </w:r>
            <w:r>
              <w:rPr>
                <w:rFonts w:ascii="Verdana" w:eastAsia="Calibri" w:hAnsi="Verdana" w:cs="Arial"/>
              </w:rPr>
              <w:t>,</w:t>
            </w:r>
            <w:r w:rsidRPr="001A10D9">
              <w:rPr>
                <w:rFonts w:ascii="Verdana" w:eastAsia="Calibri" w:hAnsi="Verdana" w:cs="Arial"/>
              </w:rPr>
              <w:t xml:space="preserve"> los proponentes</w:t>
            </w:r>
            <w:r>
              <w:rPr>
                <w:rFonts w:ascii="Verdana" w:eastAsia="Calibri" w:hAnsi="Verdana" w:cs="Arial"/>
              </w:rPr>
              <w:t xml:space="preserve"> </w:t>
            </w:r>
            <w:r w:rsidRPr="001A10D9">
              <w:rPr>
                <w:rFonts w:ascii="Verdana" w:eastAsia="Calibri" w:hAnsi="Verdana" w:cs="Arial"/>
              </w:rPr>
              <w:t xml:space="preserve">pueden enmendar, corregir o modificar los errores en los que se incurre en los documentos contentivos de la oferta. </w:t>
            </w:r>
          </w:p>
          <w:p w14:paraId="0EDD91B1" w14:textId="77777777" w:rsidR="009461FA" w:rsidRPr="001A10D9" w:rsidRDefault="009461FA" w:rsidP="0012648E">
            <w:pPr>
              <w:spacing w:after="120" w:line="276" w:lineRule="auto"/>
              <w:ind w:firstLine="708"/>
              <w:jc w:val="both"/>
              <w:rPr>
                <w:rFonts w:ascii="Verdana" w:eastAsia="Times New Roman" w:hAnsi="Verdana" w:cs="Arial"/>
                <w:i/>
                <w:lang w:val="es-ES" w:eastAsia="es-ES"/>
              </w:rPr>
            </w:pPr>
            <w:r w:rsidRPr="001A10D9">
              <w:rPr>
                <w:rFonts w:ascii="Verdana" w:hAnsi="Verdana" w:cs="Arial"/>
                <w:noProof/>
                <w:lang w:val="es-ES_tradnl"/>
              </w:rPr>
              <w:t xml:space="preserve">Conforme a las reglas de subsanabilidad, los requisitos o documentos que no sean necesarios para la comparación de las ofertas pueden subsanarse </w:t>
            </w:r>
            <w:r w:rsidRPr="001A10D9">
              <w:rPr>
                <w:rFonts w:ascii="Verdana" w:hAnsi="Verdana" w:cs="Arial"/>
                <w:noProof/>
                <w:lang w:val="es-ES_tradnl"/>
              </w:rPr>
              <w:lastRenderedPageBreak/>
              <w:t xml:space="preserve">y todo lo que no sea necesario para la comparación de propuestas no es título suficiente para su rechazo. </w:t>
            </w:r>
          </w:p>
          <w:p w14:paraId="652AE1FB" w14:textId="77777777" w:rsidR="009461FA" w:rsidRPr="001A10D9" w:rsidRDefault="009461FA" w:rsidP="0012648E">
            <w:pPr>
              <w:spacing w:after="120" w:line="276" w:lineRule="auto"/>
              <w:ind w:firstLine="709"/>
              <w:jc w:val="both"/>
              <w:rPr>
                <w:rFonts w:ascii="Verdana" w:eastAsia="Times New Roman" w:hAnsi="Verdana" w:cs="Arial"/>
                <w:lang w:val="es-ES_tradnl" w:eastAsia="es-ES_tradnl"/>
              </w:rPr>
            </w:pPr>
            <w:r w:rsidRPr="001A10D9">
              <w:rPr>
                <w:rFonts w:ascii="Verdana" w:eastAsia="Times New Roman" w:hAnsi="Verdana" w:cs="Arial"/>
                <w:lang w:val="es-ES_tradnl" w:eastAsia="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392C3A3E" w14:textId="77777777" w:rsidR="009461FA" w:rsidRPr="001A10D9" w:rsidRDefault="009461FA" w:rsidP="0012648E">
            <w:pPr>
              <w:spacing w:after="120" w:line="276" w:lineRule="auto"/>
              <w:ind w:firstLine="709"/>
              <w:jc w:val="both"/>
              <w:rPr>
                <w:rFonts w:ascii="Verdana" w:eastAsia="Times New Roman" w:hAnsi="Verdana" w:cs="Arial"/>
                <w:lang w:val="es-ES" w:eastAsia="es-ES"/>
              </w:rPr>
            </w:pPr>
            <w:r w:rsidRPr="001A10D9">
              <w:rPr>
                <w:rFonts w:ascii="Verdana" w:eastAsia="Times New Roman" w:hAnsi="Verdana" w:cs="Arial"/>
                <w:lang w:val="es-ES" w:eastAsia="es-ES"/>
              </w:rPr>
              <w:t>Visto lo anterior, con miras a dar respuesta al problema jurídico planteado, debe decirse que, una vez verificada la ausencia de requisitos y/o documentos de la oferta, para efectos de saber si se pueden subsanar, la Administración se debe preguntar: en primer lugar, si lo que hace falta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w:t>
            </w:r>
          </w:p>
          <w:p w14:paraId="70C3311D" w14:textId="77777777" w:rsidR="009461FA" w:rsidRPr="001A10D9" w:rsidRDefault="009461FA" w:rsidP="0012648E">
            <w:pPr>
              <w:spacing w:after="120" w:line="276" w:lineRule="auto"/>
              <w:ind w:firstLine="709"/>
              <w:jc w:val="both"/>
              <w:rPr>
                <w:rFonts w:ascii="Verdana" w:hAnsi="Verdana" w:cs="Arial"/>
                <w:noProof/>
                <w:lang w:val="es-ES_tradnl"/>
              </w:rPr>
            </w:pPr>
            <w:r w:rsidRPr="001A10D9">
              <w:rPr>
                <w:rFonts w:ascii="Verdana" w:hAnsi="Verdana" w:cs="Arial"/>
                <w:noProof/>
                <w:lang w:val="es-ES_tradnl"/>
              </w:rPr>
              <w:t xml:space="preserve">En conclusion, los requisitos o documentos que no sean necesarios para la comparación de las ofertas pueden subsanarse y todo lo que no sea necesario para la comparación de propuestas no es título suficiente para su rechazo. </w:t>
            </w:r>
          </w:p>
          <w:p w14:paraId="0B402883" w14:textId="77777777" w:rsidR="009461FA" w:rsidRPr="003716E2" w:rsidRDefault="009461FA" w:rsidP="0012648E">
            <w:pPr>
              <w:spacing w:after="120" w:line="276" w:lineRule="auto"/>
              <w:ind w:firstLine="709"/>
              <w:jc w:val="both"/>
              <w:rPr>
                <w:rFonts w:ascii="Verdana" w:hAnsi="Verdana" w:cs="Arial"/>
                <w:noProof/>
                <w:lang w:val="es-ES_tradnl"/>
              </w:rPr>
            </w:pPr>
            <w:r w:rsidRPr="001A10D9">
              <w:rPr>
                <w:rFonts w:ascii="Verdana" w:hAnsi="Verdana" w:cs="Arial"/>
                <w:noProof/>
                <w:lang w:val="es-ES_tradnl"/>
              </w:rPr>
              <w:t>No obstante, a la luz del artículo 5 de la Ley 1882 de 2018, lo subsanable es la prueba de todas las circunstancias ocurridas antes del vencimiento del término para presentar las ofertas, pues una cosa es el requisito habilitante o el elemento de la propuesta y otra su prueba. De tal modo que lo que prohíbe la norma es que se subsanen requisitos que no estaban materialmente cumplidos al momento de presentación de la oferta, o en palabras de la ley, que se acrediten hechos que ocurrieron después del cierre del proceso, por lo que dicha limitación a la regla de subsanabilidad también deberá ser tenida en cuenta.</w:t>
            </w:r>
          </w:p>
          <w:p w14:paraId="375EF08C" w14:textId="77777777" w:rsidR="009461FA" w:rsidRPr="001A10D9" w:rsidRDefault="009461FA" w:rsidP="0012648E">
            <w:pPr>
              <w:spacing w:after="120" w:line="276" w:lineRule="auto"/>
              <w:ind w:firstLine="709"/>
              <w:jc w:val="both"/>
              <w:rPr>
                <w:rFonts w:ascii="Verdana" w:hAnsi="Verdana" w:cs="Arial"/>
                <w:noProof/>
                <w:lang w:val="es-ES_tradnl"/>
              </w:rPr>
            </w:pPr>
            <w:r w:rsidRPr="001A10D9">
              <w:rPr>
                <w:rFonts w:ascii="Verdana" w:hAnsi="Verdana" w:cs="Arial"/>
                <w:noProof/>
                <w:lang w:val="es-ES_tradnl"/>
              </w:rPr>
              <w:lastRenderedPageBreak/>
              <w:t xml:space="preserve">En sentido, </w:t>
            </w:r>
            <w:r>
              <w:rPr>
                <w:rFonts w:ascii="Verdana" w:hAnsi="Verdana" w:cs="Arial"/>
                <w:noProof/>
                <w:lang w:val="es-ES_tradnl"/>
              </w:rPr>
              <w:t xml:space="preserve"> la entidad debera evaluar si el documento que se realizó </w:t>
            </w:r>
            <w:r w:rsidRPr="004C69A5">
              <w:rPr>
                <w:rFonts w:ascii="Verdana" w:hAnsi="Verdana" w:cs="Arial"/>
                <w:noProof/>
                <w:lang w:val="es-ES_tradnl"/>
              </w:rPr>
              <w:t>BAJO LA GRAVEDAD DE JURAMENTO, es un documento que afecta la asignación de puntaje</w:t>
            </w:r>
            <w:r>
              <w:rPr>
                <w:rFonts w:ascii="Verdana" w:hAnsi="Verdana" w:cs="Arial"/>
                <w:noProof/>
                <w:lang w:val="es-ES_tradnl"/>
              </w:rPr>
              <w:t xml:space="preserve"> </w:t>
            </w:r>
            <w:r w:rsidRPr="004C69A5">
              <w:rPr>
                <w:rFonts w:ascii="Verdana" w:hAnsi="Verdana" w:cs="Arial"/>
                <w:noProof/>
                <w:lang w:val="es-ES_tradnl"/>
              </w:rPr>
              <w:t>o o es un requisito que no estaba cumplido al momento de presentar la oferta</w:t>
            </w:r>
            <w:r w:rsidRPr="001A10D9">
              <w:rPr>
                <w:rFonts w:ascii="Verdana" w:hAnsi="Verdana" w:cs="Arial"/>
                <w:noProof/>
                <w:lang w:val="es-ES_tradnl"/>
              </w:rPr>
              <w:t xml:space="preserve">. </w:t>
            </w:r>
          </w:p>
          <w:p w14:paraId="503F0539" w14:textId="77777777" w:rsidR="009461FA" w:rsidRPr="004C69A5" w:rsidRDefault="009461FA" w:rsidP="0012648E">
            <w:pPr>
              <w:spacing w:line="276" w:lineRule="auto"/>
              <w:jc w:val="both"/>
              <w:rPr>
                <w:rFonts w:ascii="Verdana" w:eastAsia="Times New Roman" w:hAnsi="Verdana" w:cs="Arial"/>
                <w:i/>
                <w:lang w:val="es-ES_tradnl" w:eastAsia="es-ES"/>
              </w:rPr>
            </w:pPr>
          </w:p>
        </w:tc>
      </w:tr>
    </w:tbl>
    <w:p w14:paraId="624149A6" w14:textId="77777777" w:rsidR="009461FA" w:rsidRPr="00593A5F" w:rsidRDefault="009461FA" w:rsidP="009461FA">
      <w:pPr>
        <w:tabs>
          <w:tab w:val="left" w:pos="142"/>
          <w:tab w:val="left" w:pos="284"/>
        </w:tabs>
        <w:spacing w:after="0" w:line="276" w:lineRule="auto"/>
        <w:jc w:val="both"/>
        <w:rPr>
          <w:rFonts w:ascii="Verdana" w:eastAsia="Century Gothic" w:hAnsi="Verdana" w:cs="Century Gothic"/>
          <w:b/>
          <w:bCs/>
          <w:lang w:val="es-ES"/>
        </w:rPr>
      </w:pPr>
    </w:p>
    <w:p w14:paraId="7DB35C83" w14:textId="77777777" w:rsidR="009461FA" w:rsidRPr="00593A5F" w:rsidRDefault="009461FA" w:rsidP="009461F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64F10D6A" w14:textId="77777777" w:rsidR="009461FA" w:rsidRPr="00593A5F" w:rsidRDefault="009461FA" w:rsidP="009461FA">
      <w:pPr>
        <w:spacing w:after="0" w:line="276" w:lineRule="auto"/>
        <w:jc w:val="both"/>
        <w:rPr>
          <w:rFonts w:ascii="Verdana" w:eastAsia="Calibri" w:hAnsi="Verdana" w:cs="Arial"/>
          <w:color w:val="7030A0"/>
          <w:lang w:val="es-ES"/>
        </w:rPr>
      </w:pPr>
    </w:p>
    <w:p w14:paraId="0E9C9738" w14:textId="77777777" w:rsidR="009461FA" w:rsidRPr="00B96799" w:rsidRDefault="009461FA" w:rsidP="009461FA">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2861EE8D" w14:textId="77777777" w:rsidR="009461FA" w:rsidRDefault="009461FA" w:rsidP="009461FA">
      <w:pPr>
        <w:spacing w:after="0" w:line="276" w:lineRule="auto"/>
        <w:jc w:val="both"/>
        <w:rPr>
          <w:rFonts w:ascii="Verdana" w:eastAsia="Calibri" w:hAnsi="Verdana" w:cs="Arial"/>
          <w:lang w:val="es-ES" w:eastAsia="es-ES"/>
        </w:rPr>
      </w:pPr>
    </w:p>
    <w:p w14:paraId="50095B55" w14:textId="77777777" w:rsidR="009461FA" w:rsidRDefault="009461FA" w:rsidP="009461FA">
      <w:pPr>
        <w:pStyle w:val="Prrafodelista"/>
        <w:numPr>
          <w:ilvl w:val="0"/>
          <w:numId w:val="18"/>
        </w:numPr>
        <w:spacing w:after="120" w:line="276" w:lineRule="auto"/>
        <w:jc w:val="both"/>
        <w:rPr>
          <w:rFonts w:ascii="Verdana" w:eastAsia="Times New Roman" w:hAnsi="Verdana" w:cs="Arial"/>
          <w:lang w:val="es-ES_tradnl" w:eastAsia="es-ES_tradnl"/>
        </w:rPr>
      </w:pPr>
      <w:r w:rsidRPr="00874719">
        <w:rPr>
          <w:rFonts w:ascii="Verdana" w:hAnsi="Verdana" w:cs="Arial"/>
          <w:noProof/>
          <w:lang w:val="es-ES_tradnl"/>
        </w:rPr>
        <w:t>L</w:t>
      </w:r>
      <w:r w:rsidRPr="00874719">
        <w:rPr>
          <w:rFonts w:ascii="Verdana" w:eastAsia="Times New Roman" w:hAnsi="Verdana" w:cs="Arial"/>
        </w:rPr>
        <w:t>a regla de la subsanabilidad de las ofertas en los procedimientos de selección</w:t>
      </w:r>
      <w:r w:rsidRPr="00874719">
        <w:rPr>
          <w:rFonts w:ascii="Verdana" w:eastAsia="Times New Roman" w:hAnsi="Verdana" w:cs="Arial"/>
          <w:b/>
          <w:bCs/>
        </w:rPr>
        <w:t xml:space="preserve"> </w:t>
      </w:r>
      <w:r w:rsidRPr="00874719">
        <w:rPr>
          <w:rFonts w:ascii="Verdana" w:eastAsia="Times New Roman" w:hAnsi="Verdana" w:cs="Arial"/>
          <w:lang w:val="es-ES_tradnl" w:eastAsia="es-ES_tradnl"/>
        </w:rPr>
        <w:t>indica que, por regla general, la falta de entrega y los defectos en la acreditación de los requisitos habilitantes son aspectos subsanables. La excepción a esta regla se encuentra en la prohibición de permitir la entrega de la garantía de seriedad de la oferta que no fue aportada con la propuesta y de valer la acreditación de circunstancias ocurridas con posterioridad al cierre del proceso.</w:t>
      </w:r>
    </w:p>
    <w:p w14:paraId="1201A9FE" w14:textId="77777777" w:rsidR="009461FA" w:rsidRPr="00874719" w:rsidRDefault="009461FA" w:rsidP="009461FA">
      <w:pPr>
        <w:pStyle w:val="Prrafodelista"/>
        <w:numPr>
          <w:ilvl w:val="0"/>
          <w:numId w:val="18"/>
        </w:numPr>
        <w:spacing w:after="120" w:line="276" w:lineRule="auto"/>
        <w:jc w:val="both"/>
        <w:rPr>
          <w:rFonts w:ascii="Verdana" w:eastAsia="Times New Roman" w:hAnsi="Verdana" w:cs="Arial"/>
          <w:lang w:val="es-ES_tradnl" w:eastAsia="es-ES_tradnl"/>
        </w:rPr>
      </w:pPr>
      <w:r w:rsidRPr="00874719">
        <w:rPr>
          <w:rFonts w:ascii="Verdana" w:eastAsia="Times New Roman" w:hAnsi="Verdana" w:cs="Arial"/>
          <w:lang w:val="es-ES_tradnl" w:eastAsia="es-ES_tradnl"/>
        </w:rPr>
        <w:t xml:space="preserve">La posibilidad de enmendar, corregir o subsanar los errores en los que se incurre en los documentos contentivos de la oferta es un tema que ha tenido diferentes momentos o etapas en el ordenamiento jurídico colombiano. En atención a </w:t>
      </w:r>
      <w:r w:rsidRPr="00874719">
        <w:rPr>
          <w:rFonts w:ascii="Verdana" w:eastAsia="Times New Roman" w:hAnsi="Verdana" w:cs="Arial"/>
          <w:lang w:eastAsia="es-ES"/>
        </w:rPr>
        <w:t xml:space="preserve">lo anterior, a continuación, se hará referencia en forma general a los antecedentes de las diferentes posturas en torno a la subsanabilidad. </w:t>
      </w:r>
    </w:p>
    <w:p w14:paraId="64E32E24" w14:textId="77777777" w:rsidR="009461FA" w:rsidRPr="00CD2FC6" w:rsidRDefault="009461FA" w:rsidP="009461FA">
      <w:pPr>
        <w:pStyle w:val="Prrafodelista"/>
        <w:numPr>
          <w:ilvl w:val="0"/>
          <w:numId w:val="18"/>
        </w:numPr>
        <w:spacing w:after="120" w:line="276" w:lineRule="auto"/>
        <w:jc w:val="both"/>
        <w:rPr>
          <w:rFonts w:ascii="Verdana" w:eastAsia="Times New Roman" w:hAnsi="Verdana" w:cs="Arial"/>
          <w:lang w:val="es-ES_tradnl" w:eastAsia="es-ES_tradnl"/>
        </w:rPr>
      </w:pPr>
      <w:r w:rsidRPr="00874719">
        <w:rPr>
          <w:rFonts w:ascii="Verdana" w:eastAsia="Times New Roman" w:hAnsi="Verdana" w:cs="Arial"/>
          <w:lang w:eastAsia="es-ES"/>
        </w:rPr>
        <w:t xml:space="preserve">En un </w:t>
      </w:r>
      <w:r w:rsidRPr="00874719">
        <w:rPr>
          <w:rFonts w:ascii="Verdana" w:eastAsia="Times New Roman" w:hAnsi="Verdana" w:cs="Arial"/>
          <w:i/>
          <w:lang w:eastAsia="es-ES"/>
        </w:rPr>
        <w:t>primer momento</w:t>
      </w:r>
      <w:r w:rsidRPr="00874719">
        <w:rPr>
          <w:rFonts w:ascii="Verdana" w:eastAsia="Times New Roman" w:hAnsi="Verdana" w:cs="Arial"/>
          <w:lang w:eastAsia="es-ES"/>
        </w:rPr>
        <w:t xml:space="preserve">, antes de la entrada en vigor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7A6E161B" w14:textId="77777777" w:rsidR="009461FA" w:rsidRPr="00874719" w:rsidRDefault="009461FA" w:rsidP="009461FA">
      <w:pPr>
        <w:pStyle w:val="Prrafodelista"/>
        <w:numPr>
          <w:ilvl w:val="0"/>
          <w:numId w:val="18"/>
        </w:numPr>
        <w:spacing w:after="120" w:line="276" w:lineRule="auto"/>
        <w:jc w:val="both"/>
        <w:rPr>
          <w:rFonts w:ascii="Verdana" w:eastAsia="Times New Roman" w:hAnsi="Verdana" w:cs="Arial"/>
          <w:lang w:val="es-ES_tradnl" w:eastAsia="es-ES_tradnl"/>
        </w:rPr>
      </w:pPr>
      <w:r w:rsidRPr="00874719">
        <w:rPr>
          <w:rFonts w:ascii="Verdana" w:eastAsia="Times New Roman" w:hAnsi="Verdana" w:cs="Arial"/>
          <w:lang w:val="es-ES_tradnl" w:eastAsia="es-ES_tradnl"/>
        </w:rPr>
        <w:t xml:space="preserve">En un </w:t>
      </w:r>
      <w:r w:rsidRPr="00874719">
        <w:rPr>
          <w:rFonts w:ascii="Verdana" w:eastAsia="Times New Roman" w:hAnsi="Verdana" w:cs="Arial"/>
          <w:i/>
          <w:lang w:val="es-ES_tradnl" w:eastAsia="es-ES_tradnl"/>
        </w:rPr>
        <w:t>segundo momento</w:t>
      </w:r>
      <w:r w:rsidRPr="00874719">
        <w:rPr>
          <w:rFonts w:ascii="Verdana" w:eastAsia="Times New Roman" w:hAnsi="Verdana" w:cs="Arial"/>
          <w:lang w:val="es-ES_tradnl" w:eastAsia="es-ES_tradnl"/>
        </w:rPr>
        <w:t xml:space="preserve"> se expidió la Ley 80 de 1993, bajo el nuevo paradigma que supuso la Constitución de 1991, particularmente en la forma como se relaciona lo formal y lo sustancial en las actuaciones judiciales y administrativas. Este cambio quedó consignado en el artículo 228, que introdujo un principio de supremacía o prevalencia del derecho sustancial sobre lo procedimental. En este nuevo escenario constitucional, el numeral 15 del artículo 25 de la Ley 80 de 1993 dispuso lo siguiente: </w:t>
      </w:r>
    </w:p>
    <w:p w14:paraId="6C5313C0" w14:textId="77777777" w:rsidR="009461FA" w:rsidRPr="00D16A5E" w:rsidRDefault="009461FA" w:rsidP="009461FA">
      <w:pPr>
        <w:spacing w:after="0" w:line="276" w:lineRule="auto"/>
        <w:ind w:firstLine="709"/>
        <w:jc w:val="both"/>
        <w:rPr>
          <w:rFonts w:ascii="Verdana" w:eastAsia="Times New Roman" w:hAnsi="Verdana" w:cs="Arial"/>
          <w:lang w:val="es-ES_tradnl" w:eastAsia="es-ES_tradnl"/>
        </w:rPr>
      </w:pPr>
    </w:p>
    <w:p w14:paraId="4A299606" w14:textId="77777777" w:rsidR="009461FA" w:rsidRPr="00DA349C" w:rsidRDefault="009461FA" w:rsidP="009461FA">
      <w:pPr>
        <w:spacing w:after="0" w:line="240" w:lineRule="auto"/>
        <w:ind w:left="709" w:right="709"/>
        <w:jc w:val="both"/>
        <w:rPr>
          <w:rFonts w:ascii="Verdana" w:eastAsia="Times New Roman" w:hAnsi="Verdana" w:cs="Arial"/>
          <w:sz w:val="20"/>
          <w:szCs w:val="20"/>
          <w:lang w:val="es-ES_tradnl" w:eastAsia="es-ES_tradnl"/>
        </w:rPr>
      </w:pPr>
      <w:r w:rsidRPr="00DA349C">
        <w:rPr>
          <w:rFonts w:ascii="Verdana" w:eastAsia="Times New Roman" w:hAnsi="Verdana" w:cs="Arial"/>
          <w:sz w:val="20"/>
          <w:szCs w:val="20"/>
          <w:lang w:val="es-ES_tradnl" w:eastAsia="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386D45F6" w14:textId="77777777" w:rsidR="009461FA" w:rsidRPr="00DA349C" w:rsidRDefault="009461FA" w:rsidP="009461FA">
      <w:pPr>
        <w:spacing w:after="0" w:line="240" w:lineRule="auto"/>
        <w:ind w:left="709" w:right="709"/>
        <w:jc w:val="both"/>
        <w:rPr>
          <w:rFonts w:ascii="Verdana" w:eastAsia="Times New Roman" w:hAnsi="Verdana" w:cs="Arial"/>
          <w:sz w:val="20"/>
          <w:szCs w:val="20"/>
          <w:lang w:val="es-ES_tradnl" w:eastAsia="es-ES_tradnl"/>
        </w:rPr>
      </w:pPr>
    </w:p>
    <w:p w14:paraId="5321C9C7" w14:textId="77777777" w:rsidR="009461FA" w:rsidRPr="00DA349C" w:rsidRDefault="009461FA" w:rsidP="009461FA">
      <w:pPr>
        <w:spacing w:after="0" w:line="240" w:lineRule="auto"/>
        <w:ind w:left="709" w:right="709"/>
        <w:jc w:val="both"/>
        <w:rPr>
          <w:rFonts w:ascii="Verdana" w:eastAsia="Times New Roman" w:hAnsi="Verdana" w:cs="Arial"/>
          <w:sz w:val="20"/>
          <w:szCs w:val="20"/>
          <w:lang w:val="es-ES_tradnl" w:eastAsia="es-ES_tradnl"/>
        </w:rPr>
      </w:pPr>
      <w:r w:rsidRPr="00DA349C">
        <w:rPr>
          <w:rFonts w:ascii="Verdana" w:eastAsia="Times New Roman" w:hAnsi="Verdana" w:cs="Arial"/>
          <w:sz w:val="20"/>
          <w:szCs w:val="20"/>
          <w:lang w:val="es-ES_tradnl" w:eastAsia="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14:paraId="5246C836" w14:textId="77777777" w:rsidR="009461FA" w:rsidRDefault="009461FA" w:rsidP="009461FA">
      <w:pPr>
        <w:spacing w:after="120" w:line="276" w:lineRule="auto"/>
        <w:jc w:val="both"/>
        <w:rPr>
          <w:rFonts w:ascii="Verdana" w:eastAsia="Times New Roman" w:hAnsi="Verdana" w:cs="Arial"/>
          <w:lang w:val="es-ES_tradnl" w:eastAsia="es-ES_tradnl"/>
        </w:rPr>
      </w:pPr>
    </w:p>
    <w:p w14:paraId="007B8F32" w14:textId="77777777" w:rsidR="009461FA" w:rsidRPr="00CD2FC6" w:rsidRDefault="009461FA" w:rsidP="009461FA">
      <w:pPr>
        <w:pStyle w:val="Prrafodelista"/>
        <w:numPr>
          <w:ilvl w:val="0"/>
          <w:numId w:val="19"/>
        </w:numPr>
        <w:spacing w:after="120" w:line="276" w:lineRule="auto"/>
        <w:jc w:val="both"/>
        <w:rPr>
          <w:rFonts w:ascii="Verdana" w:eastAsia="Times New Roman" w:hAnsi="Verdana" w:cs="Arial"/>
          <w:lang w:eastAsia="es-ES"/>
        </w:rPr>
      </w:pPr>
      <w:r w:rsidRPr="00CD2FC6">
        <w:rPr>
          <w:rFonts w:ascii="Verdana" w:eastAsia="Times New Roman" w:hAnsi="Verdana" w:cs="Arial"/>
          <w:lang w:eastAsia="es-ES"/>
        </w:rPr>
        <w:t>Bajo el amparo de esta norma, el régimen jurídico de subsanabilidad de las ofertas sufre un cambio fundamental, pues ya no era posible rechazar las ofertas por falta de requisitos o documentos que no fueran “</w:t>
      </w:r>
      <w:r w:rsidRPr="00CD2FC6">
        <w:rPr>
          <w:rFonts w:ascii="Verdana" w:eastAsia="Times New Roman" w:hAnsi="Verdana" w:cs="Arial"/>
          <w:i/>
          <w:lang w:eastAsia="es-ES"/>
        </w:rPr>
        <w:t>necesarios para la comparación de propuestas”.</w:t>
      </w:r>
      <w:r w:rsidRPr="00CD2FC6">
        <w:rPr>
          <w:rFonts w:ascii="Verdana" w:eastAsia="Times New Roman" w:hAnsi="Verdana" w:cs="Arial"/>
          <w:lang w:eastAsia="es-ES"/>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1F3120E5" w14:textId="77777777" w:rsidR="009461FA" w:rsidRPr="00CD2FC6" w:rsidRDefault="009461FA" w:rsidP="009461FA">
      <w:pPr>
        <w:pStyle w:val="Prrafodelista"/>
        <w:numPr>
          <w:ilvl w:val="0"/>
          <w:numId w:val="19"/>
        </w:numPr>
        <w:spacing w:after="120" w:line="276" w:lineRule="auto"/>
        <w:jc w:val="both"/>
        <w:rPr>
          <w:rFonts w:ascii="Verdana" w:eastAsia="Times New Roman" w:hAnsi="Verdana" w:cs="Arial"/>
          <w:lang w:val="es-ES_tradnl" w:eastAsia="es-ES_tradnl"/>
        </w:rPr>
      </w:pPr>
      <w:r w:rsidRPr="00CD2FC6">
        <w:rPr>
          <w:rFonts w:ascii="Verdana" w:eastAsia="Times New Roman" w:hAnsi="Verdana" w:cs="Arial"/>
          <w:lang w:val="es-ES_tradnl" w:eastAsia="es-ES_tradnl"/>
        </w:rPr>
        <w:t>Esta norma debía leerse en conjunto con otras de la Ley 80 de 1993, particularmente con el artículo 30.7</w:t>
      </w:r>
      <w:r w:rsidRPr="00D16A5E">
        <w:rPr>
          <w:vertAlign w:val="superscript"/>
          <w:lang w:eastAsia="es-ES_tradnl"/>
        </w:rPr>
        <w:footnoteReference w:id="1"/>
      </w:r>
      <w:r w:rsidRPr="00CD2FC6">
        <w:rPr>
          <w:rFonts w:ascii="Verdana" w:eastAsia="Times New Roman" w:hAnsi="Verdana" w:cs="Arial"/>
          <w:lang w:val="es-ES_tradnl" w:eastAsia="es-ES_tradnl"/>
        </w:rPr>
        <w:t>, que ordena a la entidad señalar un plazo razonable para evaluar las propuestas y para pedir a los proponentes, de ser necesario, que aclaren o expliquen aspectos que ofrezcan dudas y resulten indispensables para llevar a cabo la evaluación. Así mimos, con el artículo 30.8</w:t>
      </w:r>
      <w:r w:rsidRPr="00D16A5E">
        <w:rPr>
          <w:vertAlign w:val="superscript"/>
          <w:lang w:eastAsia="es-ES_tradnl"/>
        </w:rPr>
        <w:footnoteReference w:id="2"/>
      </w:r>
      <w:r w:rsidRPr="00CD2FC6">
        <w:rPr>
          <w:rFonts w:ascii="Verdana" w:eastAsia="Times New Roman" w:hAnsi="Verdana" w:cs="Arial"/>
          <w:lang w:val="es-ES_tradnl" w:eastAsia="es-ES_tradnl"/>
        </w:rPr>
        <w:t xml:space="preserve">, que consagró el término de cinco (5) días hábiles para que los oferentes presenten observaciones al informe de evaluación de las propuestas, sin que sea posible completar, adicionar, modificar o mejorar su oferta.  </w:t>
      </w:r>
    </w:p>
    <w:p w14:paraId="3AC7BFB8" w14:textId="77777777" w:rsidR="009461FA" w:rsidRPr="00CD2FC6" w:rsidRDefault="009461FA" w:rsidP="009461FA">
      <w:pPr>
        <w:pStyle w:val="Prrafodelista"/>
        <w:numPr>
          <w:ilvl w:val="0"/>
          <w:numId w:val="19"/>
        </w:numPr>
        <w:spacing w:after="120" w:line="276" w:lineRule="auto"/>
        <w:jc w:val="both"/>
        <w:rPr>
          <w:rFonts w:ascii="Verdana" w:eastAsia="Times New Roman" w:hAnsi="Verdana" w:cs="Arial"/>
          <w:lang w:eastAsia="es-ES"/>
        </w:rPr>
      </w:pPr>
      <w:r w:rsidRPr="00CD2FC6">
        <w:rPr>
          <w:rFonts w:ascii="Verdana" w:eastAsia="Times New Roman" w:hAnsi="Verdana" w:cs="Arial"/>
          <w:lang w:eastAsia="es-ES"/>
        </w:rPr>
        <w:t xml:space="preserve">A partir de la lectura integrada de estas tres normas debía concluirse que con la Ley 80 de 1993 era posible subsanar las propuestas, y la omisión </w:t>
      </w:r>
      <w:r w:rsidRPr="00CD2FC6">
        <w:rPr>
          <w:rFonts w:ascii="Verdana" w:eastAsia="Times New Roman" w:hAnsi="Verdana" w:cs="Arial"/>
          <w:lang w:eastAsia="es-ES"/>
        </w:rPr>
        <w:lastRenderedPageBreak/>
        <w:t xml:space="preserve">o el error en algún aspecto de esta no podía llevar a su rechazo, sin antes verificar que lo omitido fuera un aspecto necesario para la comparación. </w:t>
      </w:r>
    </w:p>
    <w:p w14:paraId="1C12C29C" w14:textId="77777777" w:rsidR="009461FA" w:rsidRPr="00CD2FC6" w:rsidRDefault="009461FA" w:rsidP="009461FA">
      <w:pPr>
        <w:pStyle w:val="Prrafodelista"/>
        <w:numPr>
          <w:ilvl w:val="0"/>
          <w:numId w:val="19"/>
        </w:numPr>
        <w:spacing w:after="0" w:line="276" w:lineRule="auto"/>
        <w:jc w:val="both"/>
        <w:rPr>
          <w:rFonts w:ascii="Verdana" w:eastAsia="Times New Roman" w:hAnsi="Verdana" w:cs="Arial"/>
          <w:lang w:val="es-ES_tradnl" w:eastAsia="es-ES_tradnl"/>
        </w:rPr>
      </w:pPr>
      <w:r w:rsidRPr="00CD2FC6">
        <w:rPr>
          <w:rFonts w:ascii="Verdana" w:eastAsia="Times New Roman" w:hAnsi="Verdana" w:cs="Arial"/>
          <w:lang w:val="es-ES_tradnl" w:eastAsia="es-ES_tradnl"/>
        </w:rPr>
        <w:t xml:space="preserve">En un </w:t>
      </w:r>
      <w:r w:rsidRPr="00CD2FC6">
        <w:rPr>
          <w:rFonts w:ascii="Verdana" w:eastAsia="Times New Roman" w:hAnsi="Verdana" w:cs="Arial"/>
          <w:i/>
          <w:lang w:val="es-ES_tradnl" w:eastAsia="es-ES_tradnl"/>
        </w:rPr>
        <w:t>tercer momento</w:t>
      </w:r>
      <w:r w:rsidRPr="00CD2FC6">
        <w:rPr>
          <w:rFonts w:ascii="Verdana" w:eastAsia="Times New Roman" w:hAnsi="Verdana" w:cs="Arial"/>
          <w:lang w:val="es-ES_tradnl" w:eastAsia="es-ES_tradnl"/>
        </w:rPr>
        <w:t xml:space="preserve">, siguiendo la línea trazada por la Ley 80 de 1993, el legislador expidió la Ley 1150 de 2007, que, en el parágrafo 1º del artículo 5, determinó lo siguiente: </w:t>
      </w:r>
    </w:p>
    <w:p w14:paraId="16C0A4DB" w14:textId="77777777" w:rsidR="009461FA" w:rsidRPr="00462445" w:rsidRDefault="009461FA" w:rsidP="009461FA">
      <w:pPr>
        <w:spacing w:after="0" w:line="276" w:lineRule="auto"/>
        <w:ind w:left="709" w:right="709"/>
        <w:jc w:val="both"/>
        <w:rPr>
          <w:rFonts w:ascii="Verdana" w:eastAsia="Times New Roman" w:hAnsi="Verdana" w:cs="Arial"/>
          <w:lang w:val="es-ES" w:eastAsia="es-ES"/>
        </w:rPr>
      </w:pPr>
    </w:p>
    <w:p w14:paraId="7781124A" w14:textId="77777777" w:rsidR="009461FA" w:rsidRDefault="009461FA" w:rsidP="009461FA">
      <w:pPr>
        <w:spacing w:after="0" w:line="240" w:lineRule="auto"/>
        <w:ind w:left="709" w:right="709"/>
        <w:jc w:val="both"/>
        <w:rPr>
          <w:rFonts w:ascii="Verdana" w:eastAsia="Times New Roman" w:hAnsi="Verdana" w:cs="Arial"/>
          <w:sz w:val="20"/>
          <w:szCs w:val="20"/>
          <w:lang w:val="es-ES" w:eastAsia="es-ES"/>
        </w:rPr>
      </w:pPr>
      <w:r w:rsidRPr="00462445">
        <w:rPr>
          <w:rFonts w:ascii="Verdana" w:eastAsia="Times New Roman" w:hAnsi="Verdana" w:cs="Arial"/>
          <w:sz w:val="20"/>
          <w:szCs w:val="20"/>
          <w:lang w:val="es-ES" w:eastAsia="es-ES"/>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 </w:t>
      </w:r>
    </w:p>
    <w:p w14:paraId="2DA78B95" w14:textId="77777777" w:rsidR="009461FA" w:rsidRDefault="009461FA" w:rsidP="009461FA">
      <w:pPr>
        <w:pStyle w:val="Prrafodelista"/>
        <w:numPr>
          <w:ilvl w:val="0"/>
          <w:numId w:val="21"/>
        </w:numPr>
        <w:spacing w:after="120" w:line="276" w:lineRule="auto"/>
        <w:jc w:val="both"/>
        <w:rPr>
          <w:rFonts w:ascii="Verdana" w:eastAsia="Times New Roman" w:hAnsi="Verdana" w:cs="Arial"/>
          <w:lang w:eastAsia="es-ES"/>
        </w:rPr>
      </w:pPr>
      <w:r w:rsidRPr="0024713E">
        <w:rPr>
          <w:rFonts w:ascii="Verdana" w:eastAsia="Times New Roman" w:hAnsi="Verdana" w:cs="Arial"/>
          <w:lang w:eastAsia="es-ES"/>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0FA29FC9" w14:textId="77777777" w:rsidR="009461FA" w:rsidRDefault="009461FA" w:rsidP="009461FA">
      <w:pPr>
        <w:pStyle w:val="Prrafodelista"/>
        <w:numPr>
          <w:ilvl w:val="0"/>
          <w:numId w:val="21"/>
        </w:numPr>
        <w:spacing w:after="120" w:line="276" w:lineRule="auto"/>
        <w:jc w:val="both"/>
        <w:rPr>
          <w:rFonts w:ascii="Verdana" w:eastAsia="Times New Roman" w:hAnsi="Verdana" w:cs="Arial"/>
          <w:lang w:eastAsia="es-ES"/>
        </w:rPr>
      </w:pPr>
      <w:r w:rsidRPr="0024713E">
        <w:rPr>
          <w:rFonts w:ascii="Verdana" w:eastAsia="Times New Roman" w:hAnsi="Verdana" w:cs="Arial"/>
          <w:lang w:eastAsia="es-ES"/>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6CD88E86" w14:textId="77777777" w:rsidR="009461FA" w:rsidRPr="0024713E" w:rsidRDefault="009461FA" w:rsidP="009461FA">
      <w:pPr>
        <w:pStyle w:val="Prrafodelista"/>
        <w:numPr>
          <w:ilvl w:val="0"/>
          <w:numId w:val="21"/>
        </w:numPr>
        <w:spacing w:after="120" w:line="276" w:lineRule="auto"/>
        <w:jc w:val="both"/>
        <w:rPr>
          <w:rFonts w:ascii="Verdana" w:eastAsia="Times New Roman" w:hAnsi="Verdana" w:cs="Arial"/>
          <w:lang w:eastAsia="es-ES"/>
        </w:rPr>
      </w:pPr>
      <w:r w:rsidRPr="0024713E">
        <w:rPr>
          <w:rFonts w:ascii="Verdana" w:eastAsia="Times New Roman" w:hAnsi="Verdana" w:cs="Arial"/>
          <w:lang w:val="es-ES_tradnl" w:eastAsia="es-ES_tradnl"/>
        </w:rPr>
        <w:t xml:space="preserve">El artículo 5 de la Ley 1150 de 2007, además de consagrar un criterio más claro, y, de paso, reducir la discrecionalidad de la Administración, fijó un ámbito temporal para que las entidades requirieran la subsanación de las ofertas: “en cualquier momento, hasta la adjudicación”.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4AE0A6D6" w14:textId="77777777" w:rsidR="009461FA" w:rsidRPr="00D16A5E" w:rsidRDefault="009461FA" w:rsidP="009461FA">
      <w:pPr>
        <w:spacing w:after="0" w:line="276" w:lineRule="auto"/>
        <w:ind w:firstLine="709"/>
        <w:jc w:val="both"/>
        <w:rPr>
          <w:rFonts w:ascii="Verdana" w:eastAsia="Times New Roman" w:hAnsi="Verdana" w:cs="Arial"/>
          <w:lang w:val="es-ES_tradnl" w:eastAsia="es-ES_tradnl"/>
        </w:rPr>
      </w:pPr>
    </w:p>
    <w:p w14:paraId="276D38D5" w14:textId="77777777" w:rsidR="009461FA" w:rsidRDefault="009461FA" w:rsidP="009461FA">
      <w:pPr>
        <w:spacing w:after="0" w:line="240" w:lineRule="auto"/>
        <w:ind w:left="709" w:right="709"/>
        <w:jc w:val="both"/>
        <w:rPr>
          <w:rFonts w:ascii="Verdana" w:eastAsia="Times New Roman" w:hAnsi="Verdana" w:cs="Arial"/>
          <w:sz w:val="21"/>
          <w:szCs w:val="21"/>
          <w:lang w:val="es-ES" w:eastAsia="es-ES"/>
        </w:rPr>
      </w:pPr>
      <w:r w:rsidRPr="67397F8E">
        <w:rPr>
          <w:rFonts w:ascii="Verdana" w:eastAsia="Times New Roman" w:hAnsi="Verdana" w:cs="Arial"/>
          <w:sz w:val="21"/>
          <w:szCs w:val="21"/>
          <w:lang w:val="es-ES" w:eastAsia="es-ES"/>
        </w:rPr>
        <w:t xml:space="preserve">Esto significa que en adelante las entidades y los oferentes aplican directamente la regla que contempla el art. 5, parágrafo, de la Ley </w:t>
      </w:r>
      <w:r w:rsidRPr="67397F8E">
        <w:rPr>
          <w:rFonts w:ascii="Verdana" w:eastAsia="Times New Roman" w:hAnsi="Verdana" w:cs="Arial"/>
          <w:sz w:val="21"/>
          <w:szCs w:val="21"/>
          <w:lang w:val="es-ES" w:eastAsia="es-ES"/>
        </w:rPr>
        <w:lastRenderedPageBreak/>
        <w:t>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o no a problemas de capacidad o a requisitos cumplidos antes o después de presentadas las ofertas, con la condición de que cuando le pidan la acreditación la satisfaga suficientemente</w:t>
      </w:r>
      <w:r w:rsidRPr="67397F8E">
        <w:rPr>
          <w:rFonts w:ascii="Verdana" w:eastAsia="Times New Roman" w:hAnsi="Verdana" w:cs="Arial"/>
          <w:sz w:val="21"/>
          <w:szCs w:val="21"/>
          <w:vertAlign w:val="superscript"/>
          <w:lang w:val="es-ES" w:eastAsia="es-ES"/>
        </w:rPr>
        <w:footnoteReference w:id="3"/>
      </w:r>
      <w:r w:rsidRPr="67397F8E">
        <w:rPr>
          <w:rFonts w:ascii="Verdana" w:eastAsia="Times New Roman" w:hAnsi="Verdana" w:cs="Arial"/>
          <w:sz w:val="21"/>
          <w:szCs w:val="21"/>
          <w:lang w:val="es-ES" w:eastAsia="es-ES"/>
        </w:rPr>
        <w:t>.</w:t>
      </w:r>
    </w:p>
    <w:p w14:paraId="242A1C19" w14:textId="77777777" w:rsidR="009461FA" w:rsidRPr="008C019B" w:rsidRDefault="009461FA" w:rsidP="009461FA">
      <w:pPr>
        <w:pStyle w:val="Prrafodelista"/>
        <w:numPr>
          <w:ilvl w:val="0"/>
          <w:numId w:val="23"/>
        </w:numPr>
        <w:spacing w:after="0" w:line="240" w:lineRule="auto"/>
        <w:ind w:right="709"/>
        <w:jc w:val="both"/>
        <w:rPr>
          <w:rFonts w:ascii="Verdana" w:eastAsia="Times New Roman" w:hAnsi="Verdana" w:cs="Arial"/>
          <w:sz w:val="21"/>
          <w:szCs w:val="21"/>
          <w:lang w:val="es-ES_tradnl" w:eastAsia="es-ES_tradnl"/>
        </w:rPr>
      </w:pPr>
      <w:r w:rsidRPr="0024713E">
        <w:rPr>
          <w:rFonts w:ascii="Verdana" w:eastAsia="Times New Roman" w:hAnsi="Verdana" w:cs="Arial"/>
          <w:lang w:eastAsia="es-ES"/>
        </w:rPr>
        <w:t xml:space="preserve">Esa interpretación fue compartida por la </w:t>
      </w:r>
      <w:r w:rsidRPr="0024713E">
        <w:rPr>
          <w:rFonts w:ascii="Verdana" w:eastAsia="Times New Roman" w:hAnsi="Verdana" w:cs="Arial"/>
          <w:lang w:eastAsia="es-CO"/>
        </w:rPr>
        <w:t>Agencia Nacional de Contratación Pública – Colombia Compra Eficiente</w:t>
      </w:r>
      <w:r w:rsidRPr="0024713E">
        <w:rPr>
          <w:rFonts w:ascii="Verdana" w:eastAsia="Times New Roman" w:hAnsi="Verdana" w:cs="Arial"/>
          <w:lang w:eastAsia="es-ES"/>
        </w:rPr>
        <w:t>, pues en la Circular Externa Única se precisó que,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puede ser subsanada.</w:t>
      </w:r>
    </w:p>
    <w:p w14:paraId="7E84A0F4" w14:textId="77777777" w:rsidR="009461FA" w:rsidRPr="008C019B" w:rsidRDefault="009461FA" w:rsidP="009461FA">
      <w:pPr>
        <w:pStyle w:val="Prrafodelista"/>
        <w:numPr>
          <w:ilvl w:val="0"/>
          <w:numId w:val="23"/>
        </w:numPr>
        <w:spacing w:after="0" w:line="240" w:lineRule="auto"/>
        <w:ind w:right="709"/>
        <w:jc w:val="both"/>
        <w:rPr>
          <w:rFonts w:ascii="Verdana" w:eastAsia="Times New Roman" w:hAnsi="Verdana" w:cs="Arial"/>
          <w:sz w:val="21"/>
          <w:szCs w:val="21"/>
          <w:lang w:val="es-ES_tradnl" w:eastAsia="es-ES_tradnl"/>
        </w:rPr>
      </w:pPr>
      <w:r w:rsidRPr="008C019B">
        <w:rPr>
          <w:rFonts w:ascii="Verdana" w:eastAsia="Times New Roman" w:hAnsi="Verdana" w:cs="Arial"/>
          <w:lang w:val="es-ES_tradnl" w:eastAsia="es-CO"/>
        </w:rPr>
        <w:t xml:space="preserve">Finalmente, en un </w:t>
      </w:r>
      <w:r w:rsidRPr="008C019B">
        <w:rPr>
          <w:rFonts w:ascii="Verdana" w:eastAsia="Times New Roman" w:hAnsi="Verdana" w:cs="Arial"/>
          <w:i/>
          <w:lang w:val="es-ES_tradnl" w:eastAsia="es-CO"/>
        </w:rPr>
        <w:t>cuarto momento</w:t>
      </w:r>
      <w:r w:rsidRPr="008C019B">
        <w:rPr>
          <w:rFonts w:ascii="Verdana" w:eastAsia="Times New Roman" w:hAnsi="Verdana" w:cs="Arial"/>
          <w:lang w:val="es-ES_tradnl" w:eastAsia="es-CO"/>
        </w:rPr>
        <w:t xml:space="preserve">, el legislador expidió la Ley 1882 de 2018, con la finalidad de introducir cambios y ajustes para fortalecer la contratación pública. El artículo 5 modificó el parágrafo 1º y adicionó algunos otros, entre ellos el 3° y 4° del artículo 5 de la Ley 1150 de 2007: </w:t>
      </w:r>
    </w:p>
    <w:p w14:paraId="411FA17C" w14:textId="77777777" w:rsidR="009461FA" w:rsidRPr="000D2E9F" w:rsidRDefault="009461FA" w:rsidP="009461FA">
      <w:pPr>
        <w:spacing w:after="0" w:line="276" w:lineRule="auto"/>
        <w:ind w:left="709" w:right="709"/>
        <w:jc w:val="both"/>
        <w:rPr>
          <w:rFonts w:ascii="Verdana" w:eastAsia="Times New Roman" w:hAnsi="Verdana" w:cs="Arial"/>
          <w:lang w:val="es-ES_tradnl" w:eastAsia="es-CO"/>
        </w:rPr>
      </w:pPr>
    </w:p>
    <w:p w14:paraId="7582DACD" w14:textId="77777777" w:rsidR="009461FA" w:rsidRPr="00556BC7" w:rsidRDefault="009461FA" w:rsidP="009461FA">
      <w:pPr>
        <w:spacing w:after="0" w:line="240" w:lineRule="auto"/>
        <w:ind w:left="709" w:right="709"/>
        <w:jc w:val="both"/>
        <w:rPr>
          <w:rFonts w:ascii="Verdana" w:eastAsia="Times New Roman" w:hAnsi="Verdana" w:cs="Arial"/>
          <w:sz w:val="20"/>
          <w:szCs w:val="20"/>
          <w:lang w:val="es-ES_tradnl" w:eastAsia="es-CO"/>
        </w:rPr>
      </w:pPr>
      <w:r w:rsidRPr="00556BC7">
        <w:rPr>
          <w:rFonts w:ascii="Verdana" w:eastAsia="Times New Roman" w:hAnsi="Verdana" w:cs="Arial"/>
          <w:sz w:val="20"/>
          <w:szCs w:val="20"/>
          <w:lang w:val="es-ES_tradnl" w:eastAsia="es-CO"/>
        </w:rPr>
        <w:t xml:space="preserve">Artículo 5°. De la selección objetiva. </w:t>
      </w:r>
    </w:p>
    <w:p w14:paraId="3810D2A0" w14:textId="77777777" w:rsidR="009461FA" w:rsidRDefault="009461FA" w:rsidP="009461FA">
      <w:pPr>
        <w:pStyle w:val="paragraph"/>
        <w:spacing w:before="0" w:beforeAutospacing="0" w:after="0" w:afterAutospacing="0"/>
        <w:ind w:left="709" w:right="709"/>
        <w:jc w:val="both"/>
        <w:textAlignment w:val="baseline"/>
        <w:rPr>
          <w:rStyle w:val="normaltextrun"/>
          <w:rFonts w:ascii="Verdana" w:hAnsi="Verdana" w:cs="Arial"/>
          <w:color w:val="000000"/>
          <w:sz w:val="20"/>
          <w:szCs w:val="20"/>
          <w:lang w:val="es-ES"/>
        </w:rPr>
      </w:pPr>
    </w:p>
    <w:p w14:paraId="786D0A2E"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r w:rsidRPr="00556BC7">
        <w:rPr>
          <w:rStyle w:val="eop"/>
          <w:rFonts w:ascii="Verdana" w:hAnsi="Verdana" w:cs="Arial"/>
          <w:color w:val="000000"/>
          <w:sz w:val="20"/>
          <w:szCs w:val="20"/>
        </w:rPr>
        <w:t> </w:t>
      </w:r>
    </w:p>
    <w:p w14:paraId="0A2C808C"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14:paraId="684C3BD2"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r w:rsidRPr="00556BC7">
        <w:rPr>
          <w:rStyle w:val="eop"/>
          <w:rFonts w:ascii="Verdana" w:hAnsi="Verdana" w:cs="Arial"/>
          <w:color w:val="000000"/>
          <w:sz w:val="20"/>
          <w:szCs w:val="20"/>
        </w:rPr>
        <w:t> </w:t>
      </w:r>
    </w:p>
    <w:p w14:paraId="4F9FD3A2"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14:paraId="4186E0B8"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lastRenderedPageBreak/>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r w:rsidRPr="00556BC7">
        <w:rPr>
          <w:rStyle w:val="eop"/>
          <w:rFonts w:ascii="Verdana" w:hAnsi="Verdana" w:cs="Arial"/>
          <w:color w:val="000000"/>
          <w:sz w:val="20"/>
          <w:szCs w:val="20"/>
        </w:rPr>
        <w:t> </w:t>
      </w:r>
    </w:p>
    <w:p w14:paraId="6E67B7C6"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p>
    <w:p w14:paraId="1C022B55"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En los procesos de selección en los que se tenga en cuenta los factores técnicos y económicos, la oferta más ventajosa será la que resulte de aplicar alguna de las siguientes alternativas:</w:t>
      </w:r>
      <w:r w:rsidRPr="00556BC7">
        <w:rPr>
          <w:rStyle w:val="eop"/>
          <w:rFonts w:ascii="Verdana" w:hAnsi="Verdana" w:cs="Arial"/>
          <w:color w:val="000000"/>
          <w:sz w:val="20"/>
          <w:szCs w:val="20"/>
        </w:rPr>
        <w:t> </w:t>
      </w:r>
    </w:p>
    <w:p w14:paraId="1A450DDC"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p>
    <w:p w14:paraId="66316A51"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a) La ponderación de los elementos de calidad y precio soportados en puntajes o fórmulas señaladas en el pliego de condiciones; o</w:t>
      </w:r>
    </w:p>
    <w:p w14:paraId="10C88483"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p>
    <w:p w14:paraId="77905C52"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b) La ponderación de los elementos de calidad y precio que representen la mejor relación de costo-beneficio para la entidad.</w:t>
      </w:r>
      <w:r w:rsidRPr="00556BC7">
        <w:rPr>
          <w:rStyle w:val="eop"/>
          <w:rFonts w:ascii="Verdana" w:hAnsi="Verdana" w:cs="Arial"/>
          <w:color w:val="000000"/>
          <w:sz w:val="20"/>
          <w:szCs w:val="20"/>
        </w:rPr>
        <w:t> </w:t>
      </w:r>
    </w:p>
    <w:p w14:paraId="7832A19C"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p>
    <w:p w14:paraId="496EC632"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r w:rsidRPr="00556BC7">
        <w:rPr>
          <w:rStyle w:val="eop"/>
          <w:rFonts w:ascii="Verdana" w:hAnsi="Verdana" w:cs="Arial"/>
          <w:color w:val="000000"/>
          <w:sz w:val="20"/>
          <w:szCs w:val="20"/>
        </w:rPr>
        <w:t> </w:t>
      </w:r>
    </w:p>
    <w:p w14:paraId="39B654FD"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14:paraId="22E74C2C"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r w:rsidRPr="00556BC7">
        <w:rPr>
          <w:rStyle w:val="eop"/>
          <w:rFonts w:ascii="Verdana" w:hAnsi="Verdana" w:cs="Arial"/>
          <w:color w:val="000000"/>
          <w:sz w:val="20"/>
          <w:szCs w:val="20"/>
        </w:rPr>
        <w:t> </w:t>
      </w:r>
    </w:p>
    <w:p w14:paraId="1E61FACB"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14:paraId="2FDF0A2D"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En ningún caso se podrá incluir el precio, como factor de escogencia para la selección de consultores.</w:t>
      </w:r>
      <w:r w:rsidRPr="00556BC7">
        <w:rPr>
          <w:rStyle w:val="eop"/>
          <w:rFonts w:ascii="Verdana" w:hAnsi="Verdana" w:cs="Arial"/>
          <w:color w:val="000000"/>
          <w:sz w:val="20"/>
          <w:szCs w:val="20"/>
        </w:rPr>
        <w:t> </w:t>
      </w:r>
    </w:p>
    <w:p w14:paraId="1A961E51"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14:paraId="0C15C539"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 xml:space="preserve">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w:t>
      </w:r>
      <w:r w:rsidRPr="00556BC7">
        <w:rPr>
          <w:rStyle w:val="normaltextrun"/>
          <w:rFonts w:ascii="Verdana" w:hAnsi="Verdana" w:cs="Arial"/>
          <w:color w:val="000000"/>
          <w:sz w:val="20"/>
          <w:szCs w:val="20"/>
          <w:lang w:val="es-ES"/>
        </w:rPr>
        <w:lastRenderedPageBreak/>
        <w:t>a través del sistema de subasta. Serán rechazadas las ofertas de aquellos proponentes que no suministren la información y la documentación solicitada por la entidad estatal hasta el plazo anteriormente señalado.</w:t>
      </w:r>
      <w:r w:rsidRPr="00556BC7">
        <w:rPr>
          <w:rStyle w:val="eop"/>
          <w:rFonts w:ascii="Verdana" w:hAnsi="Verdana" w:cs="Arial"/>
          <w:color w:val="000000"/>
          <w:sz w:val="20"/>
          <w:szCs w:val="20"/>
        </w:rPr>
        <w:t> </w:t>
      </w:r>
    </w:p>
    <w:p w14:paraId="3A3BCD3C"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14:paraId="233D531C"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Durante el término otorgado para subsanar las ofertas, los proponentes no podrán acreditar circunstancias ocurridas con posterioridad al cierre del proceso.</w:t>
      </w:r>
      <w:r w:rsidRPr="00556BC7">
        <w:rPr>
          <w:rStyle w:val="eop"/>
          <w:rFonts w:ascii="Verdana" w:hAnsi="Verdana" w:cs="Arial"/>
          <w:color w:val="000000"/>
          <w:sz w:val="20"/>
          <w:szCs w:val="20"/>
        </w:rPr>
        <w:t> </w:t>
      </w:r>
    </w:p>
    <w:p w14:paraId="02AA2A9F"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14:paraId="5531DA3F"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PARÁGRAFO 2o. Las certificaciones de sistemas de gestión de calidad no serán objeto de calificación, ni podrán establecerse como documento habilitante para participar en licitaciones o concursos.</w:t>
      </w:r>
      <w:r w:rsidRPr="00556BC7">
        <w:rPr>
          <w:rStyle w:val="eop"/>
          <w:rFonts w:ascii="Verdana" w:hAnsi="Verdana" w:cs="Arial"/>
          <w:color w:val="000000"/>
          <w:sz w:val="20"/>
          <w:szCs w:val="20"/>
        </w:rPr>
        <w:t> </w:t>
      </w:r>
    </w:p>
    <w:p w14:paraId="748E7D79"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14:paraId="197092F4"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PARÁGRAFO 3o. &lt;Parágrafo adicionado por el artículo 5 de la Ley 1882 de 2018. El nuevo texto es el siguiente:&gt; La no entrega de la garantía de seriedad junto con la propuesta no será subsanable y será causal de rechazo de la misma.</w:t>
      </w:r>
      <w:r w:rsidRPr="00556BC7">
        <w:rPr>
          <w:rStyle w:val="eop"/>
          <w:rFonts w:ascii="Verdana" w:hAnsi="Verdana" w:cs="Arial"/>
          <w:color w:val="000000"/>
          <w:sz w:val="20"/>
          <w:szCs w:val="20"/>
        </w:rPr>
        <w:t> </w:t>
      </w:r>
    </w:p>
    <w:p w14:paraId="0EC26832"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14:paraId="5323F990"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r w:rsidRPr="00556BC7">
        <w:rPr>
          <w:rStyle w:val="eop"/>
          <w:rFonts w:ascii="Verdana" w:hAnsi="Verdana" w:cs="Arial"/>
          <w:color w:val="000000"/>
          <w:sz w:val="20"/>
          <w:szCs w:val="20"/>
        </w:rPr>
        <w:t> </w:t>
      </w:r>
    </w:p>
    <w:p w14:paraId="2629FA62"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14:paraId="337738C0" w14:textId="77777777" w:rsidR="009461FA" w:rsidRPr="00556BC7" w:rsidRDefault="009461FA" w:rsidP="009461FA">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 </w:t>
      </w:r>
      <w:r w:rsidRPr="00556BC7">
        <w:rPr>
          <w:rStyle w:val="eop"/>
          <w:rFonts w:ascii="Verdana" w:hAnsi="Verdana" w:cs="Arial"/>
          <w:color w:val="000000"/>
          <w:sz w:val="20"/>
          <w:szCs w:val="20"/>
        </w:rPr>
        <w:t> </w:t>
      </w:r>
    </w:p>
    <w:p w14:paraId="7FC8EB99" w14:textId="77777777" w:rsidR="009461FA" w:rsidRPr="00556BC7" w:rsidRDefault="009461FA" w:rsidP="009461FA">
      <w:pPr>
        <w:spacing w:after="0" w:line="276" w:lineRule="auto"/>
        <w:ind w:left="709" w:right="709"/>
        <w:jc w:val="both"/>
        <w:rPr>
          <w:rFonts w:ascii="Verdana" w:eastAsia="Times New Roman" w:hAnsi="Verdana" w:cs="Arial"/>
          <w:lang w:eastAsia="es-CO"/>
        </w:rPr>
      </w:pPr>
    </w:p>
    <w:p w14:paraId="5A034238" w14:textId="77777777" w:rsidR="009461FA" w:rsidRPr="0024713E" w:rsidRDefault="009461FA" w:rsidP="009461FA">
      <w:pPr>
        <w:pStyle w:val="Prrafodelista"/>
        <w:numPr>
          <w:ilvl w:val="0"/>
          <w:numId w:val="24"/>
        </w:numPr>
        <w:spacing w:after="120" w:line="276" w:lineRule="auto"/>
        <w:jc w:val="both"/>
        <w:rPr>
          <w:rFonts w:ascii="Verdana" w:eastAsia="Times New Roman" w:hAnsi="Verdana" w:cs="Arial"/>
          <w:lang w:eastAsia="es-ES"/>
        </w:rPr>
      </w:pPr>
      <w:r w:rsidRPr="0024713E">
        <w:rPr>
          <w:rFonts w:ascii="Verdana" w:eastAsia="Times New Roman" w:hAnsi="Verdana" w:cs="Arial"/>
          <w:lang w:eastAsia="es-ES"/>
        </w:rPr>
        <w:t xml:space="preserve">Como puede observarse, la Ley 1882 de 2018: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algunos aspectos que se analizarán a continuación. </w:t>
      </w:r>
    </w:p>
    <w:p w14:paraId="4A103F13" w14:textId="77777777" w:rsidR="009461FA" w:rsidRPr="0024713E" w:rsidRDefault="009461FA" w:rsidP="009461FA">
      <w:pPr>
        <w:pStyle w:val="Prrafodelista"/>
        <w:numPr>
          <w:ilvl w:val="0"/>
          <w:numId w:val="24"/>
        </w:numPr>
        <w:spacing w:after="120" w:line="276" w:lineRule="auto"/>
        <w:ind w:right="51"/>
        <w:jc w:val="both"/>
        <w:rPr>
          <w:rFonts w:ascii="Verdana" w:eastAsia="Times New Roman" w:hAnsi="Verdana" w:cs="Arial"/>
          <w:lang w:val="es-ES_tradnl" w:eastAsia="es-ES_tradnl"/>
        </w:rPr>
      </w:pPr>
      <w:r w:rsidRPr="0024713E">
        <w:rPr>
          <w:rFonts w:ascii="Verdana" w:eastAsia="Times New Roman" w:hAnsi="Verdana" w:cs="Arial"/>
          <w:i/>
          <w:iCs/>
          <w:lang w:val="es-ES_tradnl" w:eastAsia="es-ES_tradnl"/>
        </w:rPr>
        <w:t xml:space="preserve">La primera modificación </w:t>
      </w:r>
      <w:r w:rsidRPr="0024713E">
        <w:rPr>
          <w:rFonts w:ascii="Verdana" w:eastAsia="Times New Roman" w:hAnsi="Verdana" w:cs="Arial"/>
          <w:lang w:val="es-ES_tradnl" w:eastAsia="es-ES_tradnl"/>
        </w:rPr>
        <w:t xml:space="preserve">está relacionada con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w:t>
      </w:r>
      <w:r w:rsidRPr="0024713E">
        <w:rPr>
          <w:rFonts w:ascii="Verdana" w:eastAsia="Times New Roman" w:hAnsi="Verdana" w:cs="Arial"/>
          <w:lang w:val="es-ES_tradnl" w:eastAsia="es-ES_tradnl"/>
        </w:rPr>
        <w:lastRenderedPageBreak/>
        <w:t>anterior no aplica para los procesos de mínima cuantía y para el proceso de selección a través del sistema de subasta</w:t>
      </w:r>
      <w:r w:rsidRPr="00D16A5E">
        <w:rPr>
          <w:vertAlign w:val="superscript"/>
          <w:lang w:eastAsia="es-ES_tradnl"/>
        </w:rPr>
        <w:footnoteReference w:id="4"/>
      </w:r>
      <w:r w:rsidRPr="0024713E">
        <w:rPr>
          <w:rFonts w:ascii="Verdana" w:eastAsia="Times New Roman" w:hAnsi="Verdana" w:cs="Arial"/>
          <w:lang w:val="es-ES_tradnl" w:eastAsia="es-ES_tradnl"/>
        </w:rPr>
        <w:t>.</w:t>
      </w:r>
    </w:p>
    <w:p w14:paraId="6C50A8D8" w14:textId="77777777" w:rsidR="009461FA" w:rsidRPr="0024713E" w:rsidRDefault="009461FA" w:rsidP="009461FA">
      <w:pPr>
        <w:pStyle w:val="Prrafodelista"/>
        <w:numPr>
          <w:ilvl w:val="0"/>
          <w:numId w:val="24"/>
        </w:numPr>
        <w:spacing w:after="120" w:line="276" w:lineRule="auto"/>
        <w:jc w:val="both"/>
        <w:rPr>
          <w:rFonts w:ascii="Verdana" w:eastAsia="Times New Roman" w:hAnsi="Verdana" w:cs="Arial"/>
          <w:lang w:eastAsia="es-ES"/>
        </w:rPr>
      </w:pPr>
      <w:r w:rsidRPr="67397F8E">
        <w:rPr>
          <w:rFonts w:ascii="Verdana" w:eastAsia="Times New Roman" w:hAnsi="Verdana" w:cs="Arial"/>
          <w:lang w:eastAsia="es-ES"/>
        </w:rPr>
        <w:t>Frente a la regla general aplicable a los demás procesos de selección, la norma fijó un límite final para que la Administración y los oferentes subsanen los requisitos o documentos que puedan y deban ser subsanados. No obstante lo anterior,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Pr="67397F8E">
        <w:rPr>
          <w:rFonts w:ascii="Verdana" w:eastAsia="Times New Roman" w:hAnsi="Verdana" w:cs="Arial"/>
          <w:i/>
          <w:lang w:eastAsia="es-ES"/>
        </w:rPr>
        <w:t>deberán ser solicitados por las entidades estatales y deberán ser entregados por los proponentes hasta el término de traslado del informe de evaluación que corresponda a cada modalidad de selección”.</w:t>
      </w:r>
      <w:r w:rsidRPr="67397F8E">
        <w:rPr>
          <w:rFonts w:ascii="Verdana" w:eastAsia="Times New Roman" w:hAnsi="Verdana" w:cs="Arial"/>
          <w:lang w:eastAsia="es-ES"/>
        </w:rPr>
        <w:t xml:space="preserve"> </w:t>
      </w:r>
    </w:p>
    <w:p w14:paraId="6D6A6AB7" w14:textId="77777777" w:rsidR="009461FA" w:rsidRPr="0024713E" w:rsidRDefault="009461FA" w:rsidP="009461FA">
      <w:pPr>
        <w:pStyle w:val="Prrafodelista"/>
        <w:numPr>
          <w:ilvl w:val="0"/>
          <w:numId w:val="24"/>
        </w:numPr>
        <w:spacing w:after="120" w:line="276" w:lineRule="auto"/>
        <w:jc w:val="both"/>
        <w:rPr>
          <w:rFonts w:ascii="Verdana" w:eastAsia="Times New Roman" w:hAnsi="Verdana" w:cs="Arial"/>
          <w:lang w:eastAsia="es-ES"/>
        </w:rPr>
      </w:pPr>
      <w:r w:rsidRPr="0024713E">
        <w:rPr>
          <w:rFonts w:ascii="Verdana" w:eastAsia="Times New Roman" w:hAnsi="Verdana" w:cs="Arial"/>
          <w:lang w:eastAsia="es-ES"/>
        </w:rPr>
        <w:t xml:space="preserve">Sin perjuicio de lo expuesto, de la lectura de este aparte podrían, en la práctica, darse dos interpretaciones que dan lugar a dos formas de proceder en los procesos de selección, en lo que a la subsanabilidad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w:t>
      </w:r>
      <w:r w:rsidRPr="0024713E">
        <w:rPr>
          <w:rFonts w:ascii="Verdana" w:eastAsia="Times New Roman" w:hAnsi="Verdana" w:cs="Arial"/>
          <w:i/>
          <w:lang w:eastAsia="es-ES"/>
        </w:rPr>
        <w:t>límite</w:t>
      </w:r>
      <w:r w:rsidRPr="0024713E">
        <w:rPr>
          <w:rFonts w:ascii="Verdana" w:eastAsia="Times New Roman" w:hAnsi="Verdana" w:cs="Arial"/>
          <w:lang w:eastAsia="es-ES"/>
        </w:rPr>
        <w:t xml:space="preserve"> para la subsanación de ofertas, pero no el único momento para hacerlo. </w:t>
      </w:r>
    </w:p>
    <w:p w14:paraId="268CDF40" w14:textId="77777777" w:rsidR="009461FA" w:rsidRPr="0024713E" w:rsidRDefault="009461FA" w:rsidP="009461FA">
      <w:pPr>
        <w:pStyle w:val="Prrafodelista"/>
        <w:numPr>
          <w:ilvl w:val="0"/>
          <w:numId w:val="24"/>
        </w:numPr>
        <w:spacing w:after="120" w:line="276" w:lineRule="auto"/>
        <w:jc w:val="both"/>
        <w:rPr>
          <w:rFonts w:ascii="Verdana" w:eastAsia="Times New Roman" w:hAnsi="Verdana" w:cs="Arial"/>
          <w:lang w:val="es-ES_tradnl" w:eastAsia="es-ES_tradnl"/>
        </w:rPr>
      </w:pPr>
      <w:r w:rsidRPr="0024713E">
        <w:rPr>
          <w:rFonts w:ascii="Verdana" w:eastAsia="Times New Roman" w:hAnsi="Verdana" w:cs="Arial"/>
          <w:lang w:val="es-ES_tradnl" w:eastAsia="es-ES_tradnl"/>
        </w:rPr>
        <w:t xml:space="preserve">De acuerdo con la primera interpretación, el informe de evaluación se convierte en la oportunidad que adopta la Administración para decirles a los oferentes qué documentos o requisitos omitieron y deben subsanar. Consecuentemente, el término del traslado es la oportunidad del proponente para cumplir con lo solicitado.  </w:t>
      </w:r>
    </w:p>
    <w:p w14:paraId="055D5BF7" w14:textId="77777777" w:rsidR="009461FA" w:rsidRPr="0024713E" w:rsidRDefault="009461FA" w:rsidP="009461FA">
      <w:pPr>
        <w:pStyle w:val="Prrafodelista"/>
        <w:numPr>
          <w:ilvl w:val="0"/>
          <w:numId w:val="24"/>
        </w:numPr>
        <w:spacing w:after="120" w:line="276" w:lineRule="auto"/>
        <w:jc w:val="both"/>
        <w:rPr>
          <w:rFonts w:ascii="Verdana" w:eastAsia="Times New Roman" w:hAnsi="Verdana" w:cs="Arial"/>
          <w:lang w:val="es-ES_tradnl" w:eastAsia="es-ES_tradnl"/>
        </w:rPr>
      </w:pPr>
      <w:r w:rsidRPr="0024713E">
        <w:rPr>
          <w:rFonts w:ascii="Verdana" w:eastAsia="Times New Roman" w:hAnsi="Verdana" w:cs="Arial"/>
          <w:lang w:val="es-ES_tradnl" w:eastAsia="es-ES_tradnl"/>
        </w:rPr>
        <w:t>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encuentren subsanadas las propuestas, sin perjuicio del término límite que concedió la ley.</w:t>
      </w:r>
    </w:p>
    <w:p w14:paraId="699DD1AB" w14:textId="77777777" w:rsidR="009461FA" w:rsidRPr="0024713E" w:rsidRDefault="009461FA" w:rsidP="009461FA">
      <w:pPr>
        <w:pStyle w:val="Prrafodelista"/>
        <w:numPr>
          <w:ilvl w:val="0"/>
          <w:numId w:val="24"/>
        </w:numPr>
        <w:spacing w:after="120" w:line="276" w:lineRule="auto"/>
        <w:jc w:val="both"/>
        <w:rPr>
          <w:rFonts w:ascii="Verdana" w:eastAsia="Times New Roman" w:hAnsi="Verdana" w:cs="Arial"/>
          <w:lang w:eastAsia="es-ES"/>
        </w:rPr>
      </w:pPr>
      <w:r w:rsidRPr="0024713E">
        <w:rPr>
          <w:rFonts w:ascii="Verdana" w:eastAsia="Times New Roman" w:hAnsi="Verdana" w:cs="Arial"/>
          <w:lang w:eastAsia="es-ES"/>
        </w:rPr>
        <w:lastRenderedPageBreak/>
        <w:t>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Lo anterior, se aclara, sin desconocer el límite que establece la norma para que los oferentes, sin perjuicio de que lo hagan antes, cuenten hasta el término de traslado del informe de evaluación con la posibilidad de presentar la información solicitada.</w:t>
      </w:r>
    </w:p>
    <w:p w14:paraId="66817D23" w14:textId="77777777" w:rsidR="009461FA" w:rsidRPr="0024713E" w:rsidRDefault="009461FA" w:rsidP="009461FA">
      <w:pPr>
        <w:pStyle w:val="Prrafodelista"/>
        <w:numPr>
          <w:ilvl w:val="0"/>
          <w:numId w:val="24"/>
        </w:numPr>
        <w:spacing w:after="120" w:line="276" w:lineRule="auto"/>
        <w:jc w:val="both"/>
        <w:rPr>
          <w:rFonts w:ascii="Verdana" w:eastAsia="Times New Roman" w:hAnsi="Verdana" w:cs="Arial"/>
          <w:lang w:val="es-ES_tradnl" w:eastAsia="es-ES_tradnl"/>
        </w:rPr>
      </w:pPr>
      <w:r w:rsidRPr="0024713E">
        <w:rPr>
          <w:rFonts w:ascii="Verdana" w:eastAsia="Times New Roman" w:hAnsi="Verdana" w:cs="Arial"/>
          <w:lang w:val="es-ES_tradnl" w:eastAsia="es-ES_tradnl"/>
        </w:rPr>
        <w:t xml:space="preserve">El </w:t>
      </w:r>
      <w:r w:rsidRPr="0024713E">
        <w:rPr>
          <w:rFonts w:ascii="Verdana" w:eastAsia="Times New Roman" w:hAnsi="Verdana" w:cs="Arial"/>
          <w:i/>
          <w:iCs/>
          <w:lang w:val="es-ES_tradnl" w:eastAsia="es-ES_tradnl"/>
        </w:rPr>
        <w:t>segundo cambio</w:t>
      </w:r>
      <w:r w:rsidRPr="0024713E">
        <w:rPr>
          <w:rFonts w:ascii="Verdana" w:eastAsia="Times New Roman" w:hAnsi="Verdana" w:cs="Arial"/>
          <w:lang w:val="es-ES_tradnl" w:eastAsia="es-ES_tradnl"/>
        </w:rPr>
        <w:t xml:space="preserve"> importante de la Ley 1882 de 2018 fue la introducción de un criterio material, directamente relacionado con los aspectos subsanables: </w:t>
      </w:r>
      <w:r w:rsidRPr="0024713E">
        <w:rPr>
          <w:rFonts w:ascii="Verdana" w:eastAsia="Times New Roman" w:hAnsi="Verdana" w:cs="Arial"/>
          <w:i/>
          <w:iCs/>
          <w:lang w:val="es-ES_tradnl" w:eastAsia="es-ES_tradnl"/>
        </w:rPr>
        <w:t>“los proponentes no podrán acreditar circunstancias ocurridas con posterioridad al cierre del proceso”.</w:t>
      </w:r>
      <w:r w:rsidRPr="0024713E">
        <w:rPr>
          <w:rFonts w:ascii="Verdana" w:eastAsia="Times New Roman" w:hAnsi="Verdana" w:cs="Arial"/>
          <w:lang w:val="es-ES_tradnl" w:eastAsia="es-ES_tradnl"/>
        </w:rPr>
        <w:t xml:space="preserve"> Lo anterior ofrece dos aspectos que merecen clarificación; primero, qué debe entenderse por circunstancias ocurridas con posterioridad; y segundo, qué es el cierre del proceso. </w:t>
      </w:r>
    </w:p>
    <w:p w14:paraId="10AA96C3" w14:textId="77777777" w:rsidR="009461FA" w:rsidRPr="0024713E" w:rsidRDefault="009461FA" w:rsidP="009461FA">
      <w:pPr>
        <w:pStyle w:val="Prrafodelista"/>
        <w:numPr>
          <w:ilvl w:val="0"/>
          <w:numId w:val="24"/>
        </w:numPr>
        <w:spacing w:after="120" w:line="276" w:lineRule="auto"/>
        <w:jc w:val="both"/>
        <w:rPr>
          <w:rFonts w:ascii="Verdana" w:eastAsia="Times New Roman" w:hAnsi="Verdana" w:cs="Arial"/>
          <w:lang w:eastAsia="es-ES"/>
        </w:rPr>
      </w:pPr>
      <w:r w:rsidRPr="0024713E">
        <w:rPr>
          <w:rFonts w:ascii="Verdana" w:eastAsia="Times New Roman" w:hAnsi="Verdana" w:cs="Arial"/>
          <w:lang w:eastAsia="es-ES"/>
        </w:rPr>
        <w:t>La Sala de Consulta y Servicio Civil del Consejo de Estado ya había tenido la oportunidad de precisar estas expresiones, a propósito de un concepto en el que se refirió al artículo 10 del derogado Decreto 2474 de 2008, que había determinado que en ningún caso la entidad podía permitir que se acreditaran circunstancias ocurridas con posterioridad al cierre del proceso. En esa ocasión, el Consejo de Estado precisó que, por cierre del proceso debe entenderse el vencimiento del plazo para la presentación de las ofertas y que lo subsanable son las circunstancias que ocurrieron con anterioridad a esa fecha</w:t>
      </w:r>
      <w:r w:rsidRPr="00D16A5E">
        <w:rPr>
          <w:vertAlign w:val="superscript"/>
          <w:lang w:eastAsia="es-ES"/>
        </w:rPr>
        <w:footnoteReference w:id="5"/>
      </w:r>
      <w:r w:rsidRPr="0024713E">
        <w:rPr>
          <w:rFonts w:ascii="Verdana" w:eastAsia="Times New Roman" w:hAnsi="Verdana" w:cs="Arial"/>
          <w:lang w:eastAsia="es-ES"/>
        </w:rPr>
        <w:t>.</w:t>
      </w:r>
    </w:p>
    <w:p w14:paraId="7B6671A8" w14:textId="77777777" w:rsidR="009461FA" w:rsidRPr="0024713E" w:rsidRDefault="009461FA" w:rsidP="009461FA">
      <w:pPr>
        <w:pStyle w:val="Prrafodelista"/>
        <w:numPr>
          <w:ilvl w:val="0"/>
          <w:numId w:val="24"/>
        </w:numPr>
        <w:spacing w:after="120" w:line="276" w:lineRule="auto"/>
        <w:jc w:val="both"/>
        <w:rPr>
          <w:rFonts w:ascii="Verdana" w:eastAsia="Times New Roman" w:hAnsi="Verdana" w:cs="Arial"/>
          <w:lang w:val="es-ES_tradnl" w:eastAsia="es-ES_tradnl"/>
        </w:rPr>
      </w:pPr>
      <w:r w:rsidRPr="0024713E">
        <w:rPr>
          <w:rFonts w:ascii="Verdana" w:eastAsia="Times New Roman" w:hAnsi="Verdana" w:cs="Arial"/>
          <w:lang w:val="es-ES_tradnl" w:eastAsia="es-ES_tradnl"/>
        </w:rPr>
        <w:lastRenderedPageBreak/>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24232A6D" w14:textId="77777777" w:rsidR="009461FA" w:rsidRPr="0024713E" w:rsidRDefault="009461FA" w:rsidP="009461FA">
      <w:pPr>
        <w:pStyle w:val="Prrafodelista"/>
        <w:numPr>
          <w:ilvl w:val="0"/>
          <w:numId w:val="24"/>
        </w:numPr>
        <w:spacing w:after="120" w:line="276" w:lineRule="auto"/>
        <w:jc w:val="both"/>
        <w:rPr>
          <w:rFonts w:ascii="Verdana" w:eastAsia="Times New Roman" w:hAnsi="Verdana" w:cs="Arial"/>
          <w:lang w:eastAsia="es-ES"/>
        </w:rPr>
      </w:pPr>
      <w:r w:rsidRPr="0024713E">
        <w:rPr>
          <w:rFonts w:ascii="Verdana" w:eastAsia="Times New Roman" w:hAnsi="Verdana" w:cs="Arial"/>
          <w:lang w:eastAsia="es-ES"/>
        </w:rPr>
        <w:t xml:space="preserve">Un mejor entendimiento del significado de la expresión </w:t>
      </w:r>
      <w:r w:rsidRPr="0024713E">
        <w:rPr>
          <w:rFonts w:ascii="Verdana" w:eastAsia="Times New Roman" w:hAnsi="Verdana" w:cs="Arial"/>
          <w:i/>
          <w:lang w:eastAsia="es-ES"/>
        </w:rPr>
        <w:t>“circunstancias ocurridas con posterioridad al cierre del proceso”</w:t>
      </w:r>
      <w:r w:rsidRPr="0024713E">
        <w:rPr>
          <w:rFonts w:ascii="Verdana" w:eastAsia="Times New Roman" w:hAnsi="Verdana" w:cs="Arial"/>
          <w:lang w:eastAsia="es-ES"/>
        </w:rPr>
        <w:t xml:space="preserve"> implica distinguir entre la prueba de un hecho y el hecho mismo. En el caso de la subsanabilidad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sidRPr="00D16A5E">
        <w:rPr>
          <w:vertAlign w:val="superscript"/>
          <w:lang w:eastAsia="es-ES"/>
        </w:rPr>
        <w:footnoteReference w:id="6"/>
      </w:r>
      <w:r w:rsidRPr="0024713E">
        <w:rPr>
          <w:rFonts w:ascii="Verdana" w:eastAsia="Times New Roman" w:hAnsi="Verdana" w:cs="Arial"/>
          <w:lang w:eastAsia="es-ES"/>
        </w:rPr>
        <w:t xml:space="preserve">. </w:t>
      </w:r>
    </w:p>
    <w:p w14:paraId="741F5CC1" w14:textId="77777777" w:rsidR="009461FA" w:rsidRPr="00B66DA9" w:rsidRDefault="009461FA" w:rsidP="009461FA">
      <w:pPr>
        <w:pStyle w:val="Prrafodelista"/>
        <w:numPr>
          <w:ilvl w:val="0"/>
          <w:numId w:val="24"/>
        </w:numPr>
        <w:spacing w:after="120" w:line="276" w:lineRule="auto"/>
        <w:jc w:val="both"/>
        <w:rPr>
          <w:rFonts w:ascii="Verdana" w:eastAsia="Times New Roman" w:hAnsi="Verdana" w:cs="Arial"/>
          <w:lang w:eastAsia="es-ES"/>
        </w:rPr>
      </w:pPr>
      <w:r w:rsidRPr="00B66DA9">
        <w:rPr>
          <w:rFonts w:ascii="Verdana" w:eastAsia="Times New Roman" w:hAnsi="Verdana" w:cs="Arial"/>
          <w:lang w:eastAsia="es-ES"/>
        </w:rPr>
        <w:t xml:space="preserve">Por ejemplo: i) si un oferente olvidó adjuntar con su propuesta el certificado que da cuenta de su inscripción en el RUP, el requisito será subsanable siempre que la prueba allegada demuestre que el hecho, esto </w:t>
      </w:r>
      <w:r w:rsidRPr="00B66DA9">
        <w:rPr>
          <w:rFonts w:ascii="Verdana" w:eastAsia="Times New Roman" w:hAnsi="Verdana" w:cs="Arial"/>
          <w:lang w:eastAsia="es-ES"/>
        </w:rPr>
        <w:lastRenderedPageBreak/>
        <w:t>es, la inscripción en el registro, ocurrió con anterioridad al cierre del proceso, estando está en firme para dicho momento; ii)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D16A5E">
        <w:rPr>
          <w:vertAlign w:val="superscript"/>
          <w:lang w:eastAsia="es-ES"/>
        </w:rPr>
        <w:footnoteReference w:id="7"/>
      </w:r>
      <w:r w:rsidRPr="00B66DA9">
        <w:rPr>
          <w:rFonts w:ascii="Verdana" w:eastAsia="Times New Roman" w:hAnsi="Verdana" w:cs="Arial"/>
          <w:lang w:eastAsia="es-ES"/>
        </w:rPr>
        <w:t>; iii) si un oferente no anexó el Certificado de existencia y representación legal, el documento aportado con posterioridad debe dar cuenta de que la sociedad existía antes del cierre del proceso</w:t>
      </w:r>
      <w:r w:rsidRPr="00D16A5E">
        <w:rPr>
          <w:vertAlign w:val="superscript"/>
          <w:lang w:eastAsia="es-ES"/>
        </w:rPr>
        <w:footnoteReference w:id="8"/>
      </w:r>
      <w:r w:rsidRPr="00B66DA9">
        <w:rPr>
          <w:rFonts w:ascii="Verdana" w:eastAsia="Times New Roman" w:hAnsi="Verdana" w:cs="Arial"/>
          <w:lang w:eastAsia="es-ES"/>
        </w:rPr>
        <w:t xml:space="preserve">; iv)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72364B0D" w14:textId="77777777" w:rsidR="009461FA" w:rsidRPr="00B66DA9" w:rsidRDefault="009461FA" w:rsidP="009461FA">
      <w:pPr>
        <w:pStyle w:val="Prrafodelista"/>
        <w:numPr>
          <w:ilvl w:val="0"/>
          <w:numId w:val="24"/>
        </w:numPr>
        <w:spacing w:after="120" w:line="276" w:lineRule="auto"/>
        <w:jc w:val="both"/>
        <w:rPr>
          <w:rFonts w:ascii="Verdana" w:eastAsia="Times New Roman" w:hAnsi="Verdana" w:cs="Arial"/>
          <w:i/>
          <w:lang w:eastAsia="es-ES"/>
        </w:rPr>
      </w:pPr>
      <w:r w:rsidRPr="00B66DA9">
        <w:rPr>
          <w:rFonts w:ascii="Verdana" w:eastAsia="Times New Roman" w:hAnsi="Verdana" w:cs="Arial"/>
          <w:lang w:eastAsia="es-ES"/>
        </w:rPr>
        <w:t>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esto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D16A5E">
        <w:rPr>
          <w:vertAlign w:val="superscript"/>
          <w:lang w:eastAsia="es-ES"/>
        </w:rPr>
        <w:footnoteReference w:id="9"/>
      </w:r>
      <w:r w:rsidRPr="00B66DA9">
        <w:rPr>
          <w:rFonts w:ascii="Verdana" w:eastAsia="Times New Roman" w:hAnsi="Verdana" w:cs="Arial"/>
          <w:lang w:eastAsia="es-ES"/>
        </w:rPr>
        <w:t>.</w:t>
      </w:r>
    </w:p>
    <w:p w14:paraId="27EA2424" w14:textId="77777777" w:rsidR="009461FA" w:rsidRPr="00B66DA9" w:rsidRDefault="009461FA" w:rsidP="009461FA">
      <w:pPr>
        <w:pStyle w:val="Prrafodelista"/>
        <w:numPr>
          <w:ilvl w:val="0"/>
          <w:numId w:val="24"/>
        </w:numPr>
        <w:spacing w:after="120" w:line="276" w:lineRule="auto"/>
        <w:jc w:val="both"/>
        <w:rPr>
          <w:rStyle w:val="eop"/>
          <w:rFonts w:ascii="Verdana" w:hAnsi="Verdana" w:cs="Arial"/>
          <w:color w:val="000000"/>
        </w:rPr>
      </w:pPr>
      <w:r w:rsidRPr="00B66DA9">
        <w:rPr>
          <w:rFonts w:ascii="Verdana" w:eastAsia="Times New Roman" w:hAnsi="Verdana" w:cs="Arial"/>
          <w:iCs/>
          <w:lang w:eastAsia="es-ES"/>
        </w:rPr>
        <w:lastRenderedPageBreak/>
        <w:t>Ahora bien,</w:t>
      </w:r>
      <w:r w:rsidRPr="00B66DA9">
        <w:rPr>
          <w:rFonts w:ascii="Verdana" w:eastAsia="Times New Roman" w:hAnsi="Verdana" w:cs="Arial"/>
          <w:i/>
          <w:lang w:eastAsia="es-ES"/>
        </w:rPr>
        <w:t xml:space="preserve"> e</w:t>
      </w:r>
      <w:r w:rsidRPr="00B66DA9">
        <w:rPr>
          <w:rStyle w:val="normaltextrun"/>
          <w:rFonts w:ascii="Verdana" w:hAnsi="Verdana" w:cs="Arial"/>
          <w:color w:val="000000"/>
        </w:rPr>
        <w:t>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r w:rsidRPr="00B66DA9">
        <w:rPr>
          <w:rStyle w:val="eop"/>
          <w:rFonts w:ascii="Verdana" w:hAnsi="Verdana" w:cs="Arial"/>
          <w:color w:val="000000"/>
        </w:rPr>
        <w:t> </w:t>
      </w:r>
    </w:p>
    <w:p w14:paraId="5C793AA4" w14:textId="77777777" w:rsidR="009461FA" w:rsidRPr="00B66DA9" w:rsidRDefault="009461FA" w:rsidP="009461FA">
      <w:pPr>
        <w:pStyle w:val="Prrafodelista"/>
        <w:numPr>
          <w:ilvl w:val="0"/>
          <w:numId w:val="24"/>
        </w:numPr>
        <w:spacing w:after="120" w:line="276" w:lineRule="auto"/>
        <w:jc w:val="both"/>
        <w:rPr>
          <w:rFonts w:ascii="Verdana" w:eastAsia="Times New Roman" w:hAnsi="Verdana" w:cs="Arial"/>
          <w:lang w:eastAsia="es-ES"/>
        </w:rPr>
      </w:pPr>
      <w:r w:rsidRPr="00B66DA9">
        <w:rPr>
          <w:rFonts w:ascii="Verdana" w:eastAsia="Times New Roman" w:hAnsi="Verdana" w:cs="Arial"/>
          <w:lang w:eastAsia="es-ES"/>
        </w:rPr>
        <w:t>Visto lo anterior, con miras a dar respuesta al problema jurídico planteado, debe decirse que, una vez verificada la ausencia de requisitos y/o documentos de la oferta, para efectos de saber si se pueden subsanar, la Administración se debe preguntar: en primer lugar, si lo que hace falta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w:t>
      </w:r>
    </w:p>
    <w:p w14:paraId="31CB7CF2" w14:textId="77777777" w:rsidR="009461FA" w:rsidRPr="00B66DA9" w:rsidRDefault="009461FA" w:rsidP="009461FA">
      <w:pPr>
        <w:pStyle w:val="Prrafodelista"/>
        <w:numPr>
          <w:ilvl w:val="0"/>
          <w:numId w:val="24"/>
        </w:numPr>
        <w:spacing w:after="120" w:line="276" w:lineRule="auto"/>
        <w:jc w:val="both"/>
        <w:rPr>
          <w:rFonts w:ascii="Verdana" w:hAnsi="Verdana" w:cs="Arial"/>
          <w:noProof/>
          <w:lang w:val="es-ES_tradnl"/>
        </w:rPr>
      </w:pPr>
      <w:r w:rsidRPr="00B66DA9">
        <w:rPr>
          <w:rFonts w:ascii="Verdana" w:hAnsi="Verdana" w:cs="Arial"/>
          <w:noProof/>
          <w:lang w:val="es-ES_tradnl"/>
        </w:rPr>
        <w:t xml:space="preserve">En conclusion, los requisitos o documentos que no sean necesarios para la comparación de las ofertas pueden subsanarse y todo lo que no sea necesario para la comparación de propuestas no es título suficiente para su rechazo. </w:t>
      </w:r>
    </w:p>
    <w:p w14:paraId="668521CF" w14:textId="77777777" w:rsidR="009461FA" w:rsidRPr="00B66DA9" w:rsidRDefault="009461FA" w:rsidP="009461FA">
      <w:pPr>
        <w:pStyle w:val="Prrafodelista"/>
        <w:numPr>
          <w:ilvl w:val="0"/>
          <w:numId w:val="24"/>
        </w:numPr>
        <w:spacing w:after="120" w:line="276" w:lineRule="auto"/>
        <w:jc w:val="both"/>
        <w:rPr>
          <w:rFonts w:ascii="Verdana" w:hAnsi="Verdana" w:cs="Arial"/>
          <w:noProof/>
          <w:lang w:val="es-ES_tradnl"/>
        </w:rPr>
      </w:pPr>
      <w:r w:rsidRPr="00B66DA9">
        <w:rPr>
          <w:rFonts w:ascii="Verdana" w:hAnsi="Verdana" w:cs="Arial"/>
          <w:noProof/>
          <w:lang w:val="es-ES_tradnl"/>
        </w:rPr>
        <w:t>No obstante, a la luz del artículo 5 de la Ley 1882 de 2018, lo subsanable es la prueba de todas las circunstancias ocurridas antes del vencimiento del término para presentar las ofertas, pues una cosa es el requisito habilitante o el elemento de la propuesta y otra su prueba. De tal modo que lo que prohíbe la norma es que se subsanen requisitos que no estaban materialmente cumplidos al momento de presentación de la oferta, o en palabras de la ley, que se acrediten hechos que ocurrieron después del cierre del proceso, por lo que dicha limitación a la regla de subsanabilidad también deberá ser tenida en cuenta.</w:t>
      </w:r>
    </w:p>
    <w:p w14:paraId="1C6EF07F" w14:textId="77777777" w:rsidR="009461FA" w:rsidRPr="00593A5F" w:rsidRDefault="009461FA" w:rsidP="009461FA">
      <w:pPr>
        <w:widowControl w:val="0"/>
        <w:autoSpaceDE w:val="0"/>
        <w:autoSpaceDN w:val="0"/>
        <w:spacing w:after="0" w:line="276" w:lineRule="auto"/>
        <w:jc w:val="both"/>
        <w:rPr>
          <w:rFonts w:ascii="Verdana" w:hAnsi="Verdana" w:cs="Arial"/>
        </w:rPr>
      </w:pPr>
    </w:p>
    <w:p w14:paraId="670CF9FF" w14:textId="77777777" w:rsidR="009461FA" w:rsidRPr="00593A5F" w:rsidRDefault="009461FA" w:rsidP="009461F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77DF9EE0" w14:textId="77777777" w:rsidR="009461FA" w:rsidRPr="00593A5F" w:rsidRDefault="009461FA" w:rsidP="009461FA">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9461FA" w:rsidRPr="00593A5F" w14:paraId="12F30870" w14:textId="77777777" w:rsidTr="0012648E">
        <w:trPr>
          <w:trHeight w:val="870"/>
        </w:trPr>
        <w:tc>
          <w:tcPr>
            <w:tcW w:w="8647" w:type="dxa"/>
          </w:tcPr>
          <w:p w14:paraId="58DEDF26" w14:textId="77777777" w:rsidR="009461FA" w:rsidRPr="00D16A5E" w:rsidRDefault="009461FA" w:rsidP="0012648E">
            <w:pPr>
              <w:pStyle w:val="Prrafodelista"/>
              <w:numPr>
                <w:ilvl w:val="0"/>
                <w:numId w:val="17"/>
              </w:numPr>
              <w:spacing w:after="120" w:line="276" w:lineRule="auto"/>
              <w:ind w:left="360"/>
              <w:jc w:val="both"/>
              <w:rPr>
                <w:rFonts w:ascii="Verdana" w:hAnsi="Verdana" w:cs="Arial"/>
                <w:noProof/>
                <w:lang w:val="es-ES_tradnl"/>
              </w:rPr>
            </w:pPr>
            <w:r>
              <w:rPr>
                <w:rFonts w:ascii="Verdana" w:hAnsi="Verdana" w:cs="Arial"/>
                <w:noProof/>
                <w:lang w:val="es-ES_tradnl"/>
              </w:rPr>
              <w:t>A</w:t>
            </w:r>
            <w:r w:rsidRPr="009F4606">
              <w:rPr>
                <w:rFonts w:ascii="Verdana" w:hAnsi="Verdana" w:cs="Arial"/>
                <w:noProof/>
                <w:lang w:val="es-ES_tradnl"/>
              </w:rPr>
              <w:t>rtículo 5 de la Ley 1150 de 2007, modificado por la Ley 1882 de 2018, parágrafos 1, 3 y 4.</w:t>
            </w:r>
            <w:r>
              <w:rPr>
                <w:rFonts w:ascii="Verdana" w:hAnsi="Verdana" w:cs="Arial"/>
                <w:noProof/>
                <w:lang w:val="es-ES_tradnl"/>
              </w:rPr>
              <w:t xml:space="preserve"> </w:t>
            </w:r>
          </w:p>
          <w:p w14:paraId="7923A4AB" w14:textId="77777777" w:rsidR="009461FA" w:rsidRDefault="009461FA" w:rsidP="0012648E">
            <w:pPr>
              <w:pStyle w:val="Prrafodelista"/>
              <w:numPr>
                <w:ilvl w:val="0"/>
                <w:numId w:val="17"/>
              </w:numPr>
              <w:spacing w:after="120" w:line="276" w:lineRule="auto"/>
              <w:ind w:left="360"/>
              <w:jc w:val="both"/>
              <w:rPr>
                <w:rFonts w:ascii="Verdana" w:hAnsi="Verdana" w:cs="Arial"/>
                <w:noProof/>
                <w:lang w:val="es-ES_tradnl"/>
              </w:rPr>
            </w:pPr>
            <w:r w:rsidRPr="009F4606">
              <w:rPr>
                <w:rFonts w:ascii="Verdana" w:hAnsi="Verdana" w:cs="Arial"/>
                <w:noProof/>
                <w:lang w:val="es-ES_tradnl"/>
              </w:rPr>
              <w:t>Consejo de Estado. Sala de Consulta y Servicio Civil. Concepto del 20 de mayo de 2010. Exp. 1.992. C.P. Enrique José Arboleda Perdomo.</w:t>
            </w:r>
          </w:p>
          <w:p w14:paraId="67713B97" w14:textId="77777777" w:rsidR="009461FA" w:rsidRDefault="009461FA" w:rsidP="0012648E">
            <w:pPr>
              <w:pStyle w:val="Prrafodelista"/>
              <w:numPr>
                <w:ilvl w:val="0"/>
                <w:numId w:val="17"/>
              </w:numPr>
              <w:spacing w:after="120" w:line="276" w:lineRule="auto"/>
              <w:ind w:left="360"/>
              <w:jc w:val="both"/>
              <w:rPr>
                <w:rFonts w:ascii="Verdana" w:hAnsi="Verdana" w:cs="Arial"/>
                <w:noProof/>
                <w:lang w:val="es-ES_tradnl"/>
              </w:rPr>
            </w:pPr>
            <w:r w:rsidRPr="00F97212">
              <w:rPr>
                <w:rFonts w:ascii="Verdana" w:hAnsi="Verdana" w:cs="Arial"/>
                <w:noProof/>
                <w:lang w:val="es-ES_tradnl"/>
              </w:rPr>
              <w:lastRenderedPageBreak/>
              <w:t>Consejo De Estado. Sección Tercera. Subsección C. Sentencia del 26 de febrero de 2014. Expediente: 25.804. Consejero Ponente: Enrique Gil Botero</w:t>
            </w:r>
            <w:r>
              <w:rPr>
                <w:rFonts w:ascii="Verdana" w:hAnsi="Verdana" w:cs="Arial"/>
                <w:noProof/>
                <w:lang w:val="es-ES_tradnl"/>
              </w:rPr>
              <w:t>.</w:t>
            </w:r>
          </w:p>
          <w:p w14:paraId="7E07F947" w14:textId="77777777" w:rsidR="009461FA" w:rsidRPr="00F97212" w:rsidRDefault="009461FA" w:rsidP="0012648E">
            <w:pPr>
              <w:pStyle w:val="Prrafodelista"/>
              <w:numPr>
                <w:ilvl w:val="0"/>
                <w:numId w:val="17"/>
              </w:numPr>
              <w:spacing w:after="120" w:line="276" w:lineRule="auto"/>
              <w:ind w:left="360"/>
              <w:jc w:val="both"/>
              <w:rPr>
                <w:rFonts w:ascii="Verdana" w:hAnsi="Verdana" w:cs="Arial"/>
                <w:noProof/>
                <w:lang w:val="es-ES_tradnl"/>
              </w:rPr>
            </w:pPr>
            <w:r w:rsidRPr="00F97212">
              <w:rPr>
                <w:rFonts w:ascii="Verdana" w:hAnsi="Verdana" w:cs="Arial"/>
                <w:noProof/>
                <w:lang w:val="es-ES_tradnl"/>
              </w:rPr>
              <w:t>Consejo De Estado, Sección Tercera, Subsección C. Sentencia del 26 de febrero de 2011. C.P. Jaime Orlando Santofimio. Rad. 36.408.</w:t>
            </w:r>
          </w:p>
        </w:tc>
      </w:tr>
    </w:tbl>
    <w:p w14:paraId="10977D0B" w14:textId="77777777" w:rsidR="009461FA" w:rsidRPr="00593A5F" w:rsidRDefault="009461FA" w:rsidP="009461FA">
      <w:pPr>
        <w:widowControl w:val="0"/>
        <w:autoSpaceDE w:val="0"/>
        <w:autoSpaceDN w:val="0"/>
        <w:spacing w:after="0" w:line="276" w:lineRule="auto"/>
        <w:jc w:val="both"/>
        <w:rPr>
          <w:rFonts w:ascii="Verdana" w:hAnsi="Verdana" w:cs="Arial"/>
        </w:rPr>
      </w:pPr>
    </w:p>
    <w:p w14:paraId="1EA4C5FF" w14:textId="77777777" w:rsidR="009461FA" w:rsidRPr="00593A5F" w:rsidRDefault="009461FA" w:rsidP="009461F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324C878D" w14:textId="77777777" w:rsidR="009461FA" w:rsidRPr="00593A5F" w:rsidRDefault="009461FA" w:rsidP="009461FA">
      <w:pPr>
        <w:widowControl w:val="0"/>
        <w:autoSpaceDE w:val="0"/>
        <w:autoSpaceDN w:val="0"/>
        <w:spacing w:after="0" w:line="276" w:lineRule="auto"/>
        <w:jc w:val="both"/>
        <w:rPr>
          <w:rFonts w:ascii="Verdana" w:hAnsi="Verdana" w:cs="Arial"/>
        </w:rPr>
      </w:pPr>
    </w:p>
    <w:p w14:paraId="3CF903BD" w14:textId="77777777" w:rsidR="009461FA" w:rsidRDefault="009461FA" w:rsidP="009461FA">
      <w:pPr>
        <w:widowControl w:val="0"/>
        <w:autoSpaceDE w:val="0"/>
        <w:autoSpaceDN w:val="0"/>
        <w:spacing w:after="0" w:line="276" w:lineRule="auto"/>
        <w:jc w:val="both"/>
        <w:rPr>
          <w:rFonts w:ascii="Verdana" w:eastAsia="Calibri" w:hAnsi="Verdana" w:cs="Arial"/>
          <w:lang w:val="es-ES"/>
        </w:rPr>
      </w:pPr>
      <w:r w:rsidRPr="00D16A5E">
        <w:rPr>
          <w:rFonts w:ascii="Verdana" w:eastAsia="Calibri" w:hAnsi="Verdana" w:cs="Arial"/>
          <w:lang w:val="es-ES" w:eastAsia="es-ES"/>
        </w:rPr>
        <w:t xml:space="preserve">Sobre la </w:t>
      </w:r>
      <w:r w:rsidRPr="00D16A5E">
        <w:rPr>
          <w:rFonts w:ascii="Verdana" w:eastAsia="Calibri" w:hAnsi="Verdana" w:cs="Arial"/>
          <w:lang w:val="es-ES"/>
        </w:rPr>
        <w:t>regla de subsanabilidad en los procesos de selección,</w:t>
      </w:r>
      <w:r w:rsidRPr="00D16A5E">
        <w:rPr>
          <w:rStyle w:val="superscript"/>
          <w:rFonts w:ascii="Verdana" w:hAnsi="Verdana" w:cs="Arial"/>
          <w:shd w:val="clear" w:color="auto" w:fill="FFFFFF"/>
          <w:lang w:val="es-ES"/>
        </w:rPr>
        <w:t xml:space="preserve"> </w:t>
      </w:r>
      <w:r w:rsidRPr="00D16A5E">
        <w:rPr>
          <w:rStyle w:val="normaltextrun"/>
          <w:rFonts w:ascii="Verdana" w:hAnsi="Verdana" w:cs="Arial"/>
          <w:shd w:val="clear" w:color="auto" w:fill="FFFFFF"/>
          <w:lang w:val="es-ES"/>
        </w:rPr>
        <w:t xml:space="preserve">se pronunció esta Subdirección </w:t>
      </w:r>
      <w:r w:rsidRPr="00D16A5E">
        <w:rPr>
          <w:rFonts w:ascii="Verdana" w:eastAsia="Calibri" w:hAnsi="Verdana" w:cs="Arial"/>
          <w:lang w:val="es-ES"/>
        </w:rPr>
        <w:t>en los conceptos 4201913000007643 del 26 de diciembre de 2019, C-343 del 17 de junio de 2020, C-518 del 9 de septiembre de 2020, C-614 del 5 de octubre de 2022, C-882 del 21 de diciembre de 2022</w:t>
      </w:r>
      <w:r>
        <w:rPr>
          <w:rFonts w:ascii="Verdana" w:eastAsia="Calibri" w:hAnsi="Verdana" w:cs="Arial"/>
          <w:lang w:val="es-ES"/>
        </w:rPr>
        <w:t xml:space="preserve">y </w:t>
      </w:r>
      <w:r w:rsidRPr="00D16A5E">
        <w:rPr>
          <w:rFonts w:ascii="Verdana" w:eastAsia="Calibri" w:hAnsi="Verdana" w:cs="Arial"/>
          <w:lang w:val="es-ES"/>
        </w:rPr>
        <w:t xml:space="preserve">C-172 del 6 de junio de 2023. </w:t>
      </w:r>
    </w:p>
    <w:p w14:paraId="3811497F" w14:textId="77777777" w:rsidR="009461FA" w:rsidRDefault="009461FA" w:rsidP="009461FA">
      <w:pPr>
        <w:widowControl w:val="0"/>
        <w:autoSpaceDE w:val="0"/>
        <w:autoSpaceDN w:val="0"/>
        <w:spacing w:after="0" w:line="276" w:lineRule="auto"/>
        <w:jc w:val="both"/>
        <w:rPr>
          <w:rFonts w:ascii="Verdana" w:eastAsia="Calibri" w:hAnsi="Verdana" w:cs="Arial"/>
          <w:lang w:val="es-ES"/>
        </w:rPr>
      </w:pPr>
    </w:p>
    <w:p w14:paraId="0A3D4CD4" w14:textId="77777777" w:rsidR="009461FA" w:rsidRDefault="009461FA" w:rsidP="009461FA">
      <w:pPr>
        <w:widowControl w:val="0"/>
        <w:autoSpaceDE w:val="0"/>
        <w:autoSpaceDN w:val="0"/>
        <w:spacing w:after="0" w:line="276" w:lineRule="auto"/>
        <w:jc w:val="both"/>
        <w:rPr>
          <w:rStyle w:val="normaltextrun"/>
          <w:rFonts w:ascii="Verdana" w:hAnsi="Verdana" w:cs="Arial"/>
          <w:shd w:val="clear" w:color="auto" w:fill="FFFFFF"/>
          <w:lang w:val="es-ES"/>
        </w:rPr>
      </w:pP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11" w:history="1">
        <w:r w:rsidRPr="00A1554D">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shd w:val="clear" w:color="auto" w:fill="FFFFFF"/>
          <w:lang w:val="es-ES"/>
        </w:rPr>
        <w:t>.</w:t>
      </w:r>
    </w:p>
    <w:p w14:paraId="6CB923A0" w14:textId="77777777" w:rsidR="009461FA" w:rsidRDefault="009461FA" w:rsidP="009461FA">
      <w:pPr>
        <w:widowControl w:val="0"/>
        <w:autoSpaceDE w:val="0"/>
        <w:autoSpaceDN w:val="0"/>
        <w:spacing w:after="0" w:line="276" w:lineRule="auto"/>
        <w:jc w:val="both"/>
        <w:rPr>
          <w:rFonts w:ascii="Verdana" w:eastAsia="Calibri" w:hAnsi="Verdana"/>
        </w:rPr>
      </w:pPr>
      <w:r w:rsidRPr="00EB2AE4">
        <w:rPr>
          <w:rFonts w:ascii="Verdana" w:eastAsia="Calibri" w:hAnsi="Verdana"/>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w:t>
      </w:r>
      <w:r w:rsidRPr="00530AEE">
        <w:rPr>
          <w:rFonts w:ascii="Verdana" w:eastAsia="Calibri" w:hAnsi="Verdana"/>
        </w:rPr>
        <w:b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2" w:tooltip="Dirección URL original: https://www.colombiacompra.gov.co/content/borrador-de-documentos-tipo-de-consultoria-de-obra-publica-de-infraestructura-de-transporte. Haga clic o pulse si confía en este vínculo." w:history="1">
        <w:r w:rsidRPr="00530AEE">
          <w:rPr>
            <w:rStyle w:val="Hipervnculo"/>
            <w:rFonts w:ascii="Verdana" w:eastAsia="Calibri" w:hAnsi="Verdana"/>
          </w:rPr>
          <w:t>https://www.colombiacompra.gov.co/content/borrador-de-documentos-tipo-de-consultoria-de-obra-publica-de-infraestructura-de-transporte</w:t>
        </w:r>
      </w:hyperlink>
      <w:r w:rsidRPr="00530AEE">
        <w:rPr>
          <w:rFonts w:ascii="Verdana" w:eastAsia="Calibri" w:hAnsi="Verdana"/>
        </w:rPr>
        <w:t> y </w:t>
      </w:r>
      <w:hyperlink r:id="rId13" w:tooltip="Dirección URL original: https://www.colombiacompra.gov.co/content/borrador-de-documentos-tipo-de-interventoria-de-obra-publica-de-infraestructura-de. Haga clic o pulse si confía en este vínculo." w:history="1">
        <w:r w:rsidRPr="00530AEE">
          <w:rPr>
            <w:rStyle w:val="Hipervnculo"/>
            <w:rFonts w:ascii="Verdana" w:eastAsia="Calibri" w:hAnsi="Verdana"/>
          </w:rPr>
          <w:t>https://www.colombiacompra.gov.co/content/borrador-de-documentos-tipo-de-interventoria-de-obra-publica-de-infraestructura-de</w:t>
        </w:r>
      </w:hyperlink>
      <w:r w:rsidRPr="00530AEE">
        <w:rPr>
          <w:rFonts w:ascii="Verdana" w:eastAsia="Calibri" w:hAnsi="Verdana"/>
        </w:rPr>
        <w:t> .</w:t>
      </w:r>
    </w:p>
    <w:p w14:paraId="15989D53" w14:textId="77777777" w:rsidR="009461FA" w:rsidRPr="00530AEE" w:rsidRDefault="009461FA" w:rsidP="009461FA">
      <w:pPr>
        <w:widowControl w:val="0"/>
        <w:autoSpaceDE w:val="0"/>
        <w:autoSpaceDN w:val="0"/>
        <w:spacing w:after="0" w:line="276" w:lineRule="auto"/>
        <w:jc w:val="both"/>
        <w:rPr>
          <w:rFonts w:ascii="Verdana" w:eastAsia="Calibri" w:hAnsi="Verdana"/>
        </w:rPr>
      </w:pPr>
    </w:p>
    <w:p w14:paraId="1AD837B8" w14:textId="77777777" w:rsidR="009461FA" w:rsidRDefault="009461FA" w:rsidP="009461FA">
      <w:pPr>
        <w:widowControl w:val="0"/>
        <w:autoSpaceDE w:val="0"/>
        <w:autoSpaceDN w:val="0"/>
        <w:spacing w:after="0" w:line="276" w:lineRule="auto"/>
        <w:jc w:val="both"/>
        <w:rPr>
          <w:rFonts w:ascii="Verdana" w:eastAsia="Calibri" w:hAnsi="Verdana"/>
        </w:rPr>
      </w:pPr>
      <w:r w:rsidRPr="00530AEE">
        <w:rPr>
          <w:rFonts w:ascii="Verdana" w:eastAsia="Calibri" w:hAnsi="Verdana"/>
        </w:rPr>
        <w:t>De otra parte, te contamos que ya publicamos el borrador de la nueva Guía de Contratación Pública Sostenible y Socialmente Responsable. Conoce el documento y realiza tus comentarios hasta el 14 de noviembre de 2024 a través del siguiente enlace: </w:t>
      </w:r>
      <w:hyperlink r:id="rId14" w:tooltip="Dirección URL original: https://www.sucop.gov.co/entidades/colombiacompra/Normativa?IDNorma=18320. Haga clic o pulse si confía en este vínculo." w:history="1">
        <w:r w:rsidRPr="00530AEE">
          <w:rPr>
            <w:rStyle w:val="Hipervnculo"/>
            <w:rFonts w:ascii="Verdana" w:eastAsia="Calibri" w:hAnsi="Verdana"/>
          </w:rPr>
          <w:t>https://www.sucop.gov.co/entidades/colombiacompra/Normativa?IDNorma=18320</w:t>
        </w:r>
      </w:hyperlink>
      <w:r w:rsidRPr="00530AEE">
        <w:rPr>
          <w:rFonts w:ascii="Verdana" w:eastAsia="Calibri" w:hAnsi="Verdana"/>
        </w:rPr>
        <w:t>  </w:t>
      </w:r>
    </w:p>
    <w:p w14:paraId="73DE5B04" w14:textId="77777777" w:rsidR="009461FA" w:rsidRPr="00530AEE" w:rsidRDefault="009461FA" w:rsidP="009461FA">
      <w:pPr>
        <w:widowControl w:val="0"/>
        <w:autoSpaceDE w:val="0"/>
        <w:autoSpaceDN w:val="0"/>
        <w:spacing w:after="0" w:line="276" w:lineRule="auto"/>
        <w:jc w:val="both"/>
        <w:rPr>
          <w:rFonts w:ascii="Verdana" w:eastAsia="Calibri" w:hAnsi="Verdana"/>
        </w:rPr>
      </w:pPr>
    </w:p>
    <w:p w14:paraId="3456AC1A" w14:textId="77777777" w:rsidR="009461FA" w:rsidRPr="00530AEE" w:rsidRDefault="009461FA" w:rsidP="009461FA">
      <w:pPr>
        <w:widowControl w:val="0"/>
        <w:autoSpaceDE w:val="0"/>
        <w:autoSpaceDN w:val="0"/>
        <w:spacing w:after="0" w:line="276" w:lineRule="auto"/>
        <w:jc w:val="both"/>
        <w:rPr>
          <w:rFonts w:ascii="Verdana" w:eastAsia="Calibri" w:hAnsi="Verdana"/>
        </w:rPr>
      </w:pPr>
      <w:r w:rsidRPr="00530AEE">
        <w:rPr>
          <w:rFonts w:ascii="Verdana" w:eastAsia="Calibri" w:hAnsi="Verdana"/>
        </w:rPr>
        <w:t xml:space="preserve">También le invitamos a consultar las versiones V y VI de 2024 del Boletín de </w:t>
      </w:r>
      <w:r w:rsidRPr="00530AEE">
        <w:rPr>
          <w:rFonts w:ascii="Verdana" w:eastAsia="Calibri" w:hAnsi="Verdana"/>
        </w:rPr>
        <w:lastRenderedPageBreak/>
        <w:t xml:space="preserve">Relatoría de la Subdirección de Gestión Contractual relacionados con las guías de Plan Anual de Adquisiciones y la </w:t>
      </w:r>
      <w:r>
        <w:rPr>
          <w:rFonts w:ascii="Verdana" w:eastAsia="Calibri" w:hAnsi="Verdana"/>
        </w:rPr>
        <w:t>m</w:t>
      </w:r>
      <w:r w:rsidRPr="00530AEE">
        <w:rPr>
          <w:rFonts w:ascii="Verdana" w:eastAsia="Calibri" w:hAnsi="Verdana"/>
        </w:rPr>
        <w:t>odalidad de selección de mínima cuantía, los cuales se pueden descargar en la página web de la Agencia: </w:t>
      </w:r>
      <w:hyperlink r:id="rId15" w:tooltip="Dirección URL original: https://www.colombiacompra.gov.co/sala-de-prensa/boletin-digital. Haga clic o pulse si confía en este vínculo." w:history="1">
        <w:r w:rsidRPr="00530AEE">
          <w:rPr>
            <w:rStyle w:val="Hipervnculo"/>
            <w:rFonts w:ascii="Verdana" w:eastAsia="Calibri" w:hAnsi="Verdana"/>
          </w:rPr>
          <w:t>https://www.colombiacompra.gov.co/sala-de-prensa/boletin-digital</w:t>
        </w:r>
      </w:hyperlink>
      <w:r w:rsidRPr="00530AEE">
        <w:rPr>
          <w:rFonts w:ascii="Verdana" w:eastAsia="Calibri" w:hAnsi="Verdana"/>
        </w:rPr>
        <w:t> "</w:t>
      </w:r>
    </w:p>
    <w:p w14:paraId="7C1540D3" w14:textId="77777777" w:rsidR="009461FA" w:rsidRPr="00EB2AE4" w:rsidRDefault="009461FA" w:rsidP="009461FA">
      <w:pPr>
        <w:widowControl w:val="0"/>
        <w:autoSpaceDE w:val="0"/>
        <w:autoSpaceDN w:val="0"/>
        <w:spacing w:after="0" w:line="276" w:lineRule="auto"/>
        <w:jc w:val="both"/>
        <w:rPr>
          <w:rFonts w:ascii="Verdana" w:eastAsia="Calibri" w:hAnsi="Verdana"/>
        </w:rPr>
      </w:pPr>
    </w:p>
    <w:p w14:paraId="5664E79F" w14:textId="77777777" w:rsidR="009461FA" w:rsidRPr="00593A5F" w:rsidRDefault="009461FA" w:rsidP="009461FA">
      <w:pPr>
        <w:widowControl w:val="0"/>
        <w:autoSpaceDE w:val="0"/>
        <w:autoSpaceDN w:val="0"/>
        <w:spacing w:after="0" w:line="276" w:lineRule="auto"/>
        <w:jc w:val="both"/>
        <w:rPr>
          <w:rFonts w:ascii="Verdana" w:hAnsi="Verdana" w:cs="Arial"/>
        </w:rPr>
      </w:pPr>
    </w:p>
    <w:p w14:paraId="78169A19" w14:textId="77777777" w:rsidR="009461FA" w:rsidRPr="00593A5F" w:rsidRDefault="009461FA" w:rsidP="009461FA">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16229B09" w14:textId="77777777" w:rsidR="009461FA" w:rsidRPr="00593A5F" w:rsidRDefault="009461FA" w:rsidP="009461FA">
      <w:pPr>
        <w:widowControl w:val="0"/>
        <w:autoSpaceDE w:val="0"/>
        <w:autoSpaceDN w:val="0"/>
        <w:spacing w:after="0" w:line="276" w:lineRule="auto"/>
        <w:jc w:val="both"/>
        <w:rPr>
          <w:rFonts w:ascii="Verdana" w:hAnsi="Verdana" w:cs="Arial"/>
        </w:rPr>
      </w:pPr>
    </w:p>
    <w:p w14:paraId="48A255C0" w14:textId="77777777" w:rsidR="009461FA" w:rsidRPr="00593A5F" w:rsidRDefault="009461FA" w:rsidP="009461FA">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16C08A68" w14:textId="77777777" w:rsidR="009461FA" w:rsidRPr="00EB2DEA" w:rsidRDefault="009461FA" w:rsidP="009461FA">
      <w:pPr>
        <w:spacing w:after="0" w:line="240" w:lineRule="auto"/>
        <w:rPr>
          <w:rFonts w:ascii="Verdana" w:eastAsia="Times New Roman" w:hAnsi="Verdana" w:cs="Arial"/>
          <w:sz w:val="16"/>
          <w:szCs w:val="16"/>
          <w:lang w:eastAsia="es-ES"/>
        </w:rPr>
      </w:pPr>
    </w:p>
    <w:p w14:paraId="738A8195" w14:textId="15F00E1B" w:rsidR="009461FA" w:rsidRPr="00EB2DEA" w:rsidRDefault="00C06E8F" w:rsidP="009461FA">
      <w:pPr>
        <w:spacing w:after="0" w:line="240" w:lineRule="auto"/>
        <w:jc w:val="center"/>
        <w:rPr>
          <w:rFonts w:ascii="Verdana" w:eastAsia="Times New Roman" w:hAnsi="Verdana" w:cs="Arial"/>
          <w:sz w:val="16"/>
          <w:szCs w:val="16"/>
          <w:lang w:val="es-ES_tradnl" w:eastAsia="es-ES"/>
        </w:rPr>
      </w:pPr>
      <w:r w:rsidRPr="0065791A">
        <w:rPr>
          <w:rFonts w:ascii="Century Gothic" w:hAnsi="Century Gothic"/>
          <w:noProof/>
        </w:rPr>
        <w:drawing>
          <wp:inline distT="0" distB="0" distL="0" distR="0" wp14:anchorId="3559E6BE" wp14:editId="54F5E50F">
            <wp:extent cx="3962953" cy="1867161"/>
            <wp:effectExtent l="0" t="0" r="0" b="0"/>
            <wp:docPr id="119417683" name="Imagen 1"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7683" name="Imagen 1" descr="Interfaz de usuario gráfica, Texto, Aplicación&#10;&#10;Descripción generada automáticamente con confianza media"/>
                    <pic:cNvPicPr/>
                  </pic:nvPicPr>
                  <pic:blipFill>
                    <a:blip r:embed="rId16"/>
                    <a:stretch>
                      <a:fillRect/>
                    </a:stretch>
                  </pic:blipFill>
                  <pic:spPr>
                    <a:xfrm>
                      <a:off x="0" y="0"/>
                      <a:ext cx="3962953" cy="1867161"/>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9461FA" w:rsidRPr="00EB2DEA" w14:paraId="15F821B2" w14:textId="77777777" w:rsidTr="5B15CD01">
        <w:trPr>
          <w:trHeight w:val="315"/>
        </w:trPr>
        <w:tc>
          <w:tcPr>
            <w:tcW w:w="893" w:type="dxa"/>
            <w:vAlign w:val="center"/>
            <w:hideMark/>
          </w:tcPr>
          <w:p w14:paraId="239A2E1D" w14:textId="77777777" w:rsidR="009461FA" w:rsidRPr="00EB2DEA" w:rsidRDefault="009461FA" w:rsidP="0012648E">
            <w:pPr>
              <w:rPr>
                <w:rFonts w:ascii="Verdana" w:eastAsia="Times New Roman" w:hAnsi="Verdana" w:cs="Arial"/>
                <w:sz w:val="16"/>
                <w:szCs w:val="16"/>
                <w:lang w:val="es-ES_tradnl" w:eastAsia="es-ES"/>
              </w:rPr>
            </w:pPr>
            <w:r w:rsidRPr="00EB2DEA">
              <w:rPr>
                <w:rFonts w:ascii="Verdana" w:eastAsia="Times New Roman" w:hAnsi="Verdana" w:cs="Arial"/>
                <w:sz w:val="16"/>
                <w:szCs w:val="16"/>
                <w:lang w:val="es-ES_tradnl" w:eastAsia="es-ES"/>
              </w:rPr>
              <w:t>Elaboró:</w:t>
            </w:r>
          </w:p>
        </w:tc>
        <w:tc>
          <w:tcPr>
            <w:tcW w:w="5628" w:type="dxa"/>
            <w:tcBorders>
              <w:top w:val="nil"/>
              <w:left w:val="nil"/>
              <w:bottom w:val="dotted" w:sz="4" w:space="0" w:color="7F7F7F" w:themeColor="text1" w:themeTint="80"/>
              <w:right w:val="nil"/>
            </w:tcBorders>
            <w:vAlign w:val="center"/>
            <w:hideMark/>
          </w:tcPr>
          <w:p w14:paraId="6CE7C11C" w14:textId="77777777" w:rsidR="009461FA" w:rsidRPr="00EB2DEA" w:rsidRDefault="009461FA" w:rsidP="0012648E">
            <w:pPr>
              <w:rPr>
                <w:rFonts w:ascii="Verdana" w:eastAsia="Times New Roman" w:hAnsi="Verdana" w:cs="Arial"/>
                <w:sz w:val="16"/>
                <w:szCs w:val="16"/>
                <w:lang w:val="es-ES_tradnl" w:eastAsia="es-ES"/>
              </w:rPr>
            </w:pPr>
            <w:r w:rsidRPr="00EB2DEA">
              <w:rPr>
                <w:rFonts w:ascii="Verdana" w:eastAsia="Times New Roman" w:hAnsi="Verdana" w:cs="Arial"/>
                <w:sz w:val="16"/>
                <w:szCs w:val="16"/>
                <w:lang w:val="es-ES_tradnl" w:eastAsia="es-ES"/>
              </w:rPr>
              <w:t xml:space="preserve">María Valeska Medellín Mora </w:t>
            </w:r>
          </w:p>
          <w:p w14:paraId="11E84051" w14:textId="77777777" w:rsidR="009461FA" w:rsidRPr="00EB2DEA" w:rsidRDefault="009461FA" w:rsidP="0012648E">
            <w:pPr>
              <w:rPr>
                <w:rFonts w:ascii="Verdana" w:eastAsia="Times New Roman" w:hAnsi="Verdana" w:cs="Arial"/>
                <w:sz w:val="16"/>
                <w:szCs w:val="16"/>
                <w:lang w:val="es-ES_tradnl" w:eastAsia="es-ES"/>
              </w:rPr>
            </w:pPr>
            <w:r w:rsidRPr="00EB2DEA">
              <w:rPr>
                <w:rFonts w:ascii="Verdana" w:eastAsia="Times New Roman" w:hAnsi="Verdana" w:cs="Arial"/>
                <w:sz w:val="16"/>
                <w:szCs w:val="16"/>
                <w:lang w:val="es-ES_tradnl" w:eastAsia="es-ES"/>
              </w:rPr>
              <w:t>Gestor T1-15 de la Subdirección de Gestión Contractual</w:t>
            </w:r>
          </w:p>
        </w:tc>
      </w:tr>
      <w:tr w:rsidR="009461FA" w:rsidRPr="00EB2DEA" w14:paraId="13F1F74C" w14:textId="77777777" w:rsidTr="5B15CD01">
        <w:trPr>
          <w:trHeight w:val="330"/>
        </w:trPr>
        <w:tc>
          <w:tcPr>
            <w:tcW w:w="893" w:type="dxa"/>
            <w:vAlign w:val="center"/>
            <w:hideMark/>
          </w:tcPr>
          <w:p w14:paraId="6B315AF7" w14:textId="77777777" w:rsidR="009461FA" w:rsidRPr="00EB2DEA" w:rsidRDefault="009461FA" w:rsidP="0012648E">
            <w:pPr>
              <w:rPr>
                <w:rFonts w:ascii="Verdana" w:eastAsia="Times New Roman" w:hAnsi="Verdana" w:cs="Arial"/>
                <w:sz w:val="16"/>
                <w:szCs w:val="16"/>
                <w:lang w:val="es-ES_tradnl" w:eastAsia="es-ES"/>
              </w:rPr>
            </w:pPr>
            <w:r w:rsidRPr="00EB2DEA">
              <w:rPr>
                <w:rFonts w:ascii="Verdana" w:eastAsia="Times New Roman" w:hAnsi="Verdana" w:cs="Arial"/>
                <w:sz w:val="16"/>
                <w:szCs w:val="16"/>
                <w:lang w:val="es-ES_tradnl"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F7BA380" w14:textId="77777777" w:rsidR="009461FA" w:rsidRPr="00EB2DEA" w:rsidRDefault="009461FA" w:rsidP="5B15CD01">
            <w:pPr>
              <w:rPr>
                <w:rFonts w:ascii="Verdana" w:eastAsia="Times New Roman" w:hAnsi="Verdana" w:cs="Arial"/>
                <w:sz w:val="16"/>
                <w:szCs w:val="16"/>
                <w:lang w:val="es-ES" w:eastAsia="es-ES"/>
              </w:rPr>
            </w:pPr>
            <w:r w:rsidRPr="5B15CD01">
              <w:rPr>
                <w:rFonts w:ascii="Verdana" w:eastAsia="Times New Roman" w:hAnsi="Verdana" w:cs="Arial"/>
                <w:sz w:val="16"/>
                <w:szCs w:val="16"/>
                <w:lang w:val="es-ES" w:eastAsia="es-ES"/>
              </w:rPr>
              <w:t>Adriana Katerine Lopez Rodriguez</w:t>
            </w:r>
          </w:p>
          <w:p w14:paraId="253C4363" w14:textId="77777777" w:rsidR="009461FA" w:rsidRPr="00EB2DEA" w:rsidRDefault="009461FA" w:rsidP="0012648E">
            <w:pPr>
              <w:rPr>
                <w:rFonts w:ascii="Verdana" w:eastAsia="Times New Roman" w:hAnsi="Verdana" w:cs="Arial"/>
                <w:sz w:val="16"/>
                <w:szCs w:val="16"/>
                <w:lang w:val="es-ES_tradnl" w:eastAsia="es-ES"/>
              </w:rPr>
            </w:pPr>
            <w:r w:rsidRPr="00EB2DEA">
              <w:rPr>
                <w:rFonts w:ascii="Verdana" w:eastAsia="Times New Roman" w:hAnsi="Verdana" w:cs="Arial"/>
                <w:sz w:val="16"/>
                <w:szCs w:val="16"/>
                <w:lang w:val="es-ES_tradnl" w:eastAsia="es-ES"/>
              </w:rPr>
              <w:t>Contratista de la Subdirección de Gestión Contractual </w:t>
            </w:r>
          </w:p>
        </w:tc>
      </w:tr>
      <w:tr w:rsidR="009461FA" w:rsidRPr="00EB2DEA" w14:paraId="7E5A997E" w14:textId="77777777" w:rsidTr="5B15CD01">
        <w:trPr>
          <w:trHeight w:val="300"/>
        </w:trPr>
        <w:tc>
          <w:tcPr>
            <w:tcW w:w="893" w:type="dxa"/>
            <w:vAlign w:val="center"/>
            <w:hideMark/>
          </w:tcPr>
          <w:p w14:paraId="44A8D947" w14:textId="77777777" w:rsidR="009461FA" w:rsidRPr="00EB2DEA" w:rsidRDefault="009461FA" w:rsidP="0012648E">
            <w:pPr>
              <w:rPr>
                <w:rFonts w:ascii="Verdana" w:eastAsia="Times New Roman" w:hAnsi="Verdana" w:cs="Arial"/>
                <w:sz w:val="16"/>
                <w:szCs w:val="16"/>
                <w:lang w:val="es-ES_tradnl" w:eastAsia="es-ES"/>
              </w:rPr>
            </w:pPr>
            <w:r w:rsidRPr="00EB2DEA">
              <w:rPr>
                <w:rFonts w:ascii="Verdana" w:eastAsia="Times New Roman" w:hAnsi="Verdana" w:cs="Arial"/>
                <w:sz w:val="16"/>
                <w:szCs w:val="16"/>
                <w:lang w:val="es-ES_tradnl"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CA45B40" w14:textId="77777777" w:rsidR="009461FA" w:rsidRPr="00EB2DEA" w:rsidRDefault="009461FA" w:rsidP="0012648E">
            <w:pPr>
              <w:rPr>
                <w:rFonts w:ascii="Verdana" w:eastAsia="Times New Roman" w:hAnsi="Verdana" w:cs="Arial"/>
                <w:sz w:val="16"/>
                <w:szCs w:val="16"/>
                <w:lang w:val="es-ES" w:eastAsia="es-ES"/>
              </w:rPr>
            </w:pPr>
            <w:r w:rsidRPr="00EB2DEA">
              <w:rPr>
                <w:rFonts w:ascii="Verdana" w:eastAsia="Times New Roman" w:hAnsi="Verdana" w:cs="Arial"/>
                <w:sz w:val="16"/>
                <w:szCs w:val="16"/>
                <w:lang w:val="es-ES" w:eastAsia="es-ES"/>
              </w:rPr>
              <w:t>Carolina Quintero Gacharná</w:t>
            </w:r>
          </w:p>
          <w:p w14:paraId="684D73A6" w14:textId="77777777" w:rsidR="009461FA" w:rsidRPr="00EB2DEA" w:rsidRDefault="009461FA" w:rsidP="0012648E">
            <w:pPr>
              <w:rPr>
                <w:rFonts w:ascii="Verdana" w:eastAsia="Times New Roman" w:hAnsi="Verdana" w:cs="Arial"/>
                <w:sz w:val="16"/>
                <w:szCs w:val="16"/>
                <w:lang w:val="es-ES_tradnl" w:eastAsia="es-ES"/>
              </w:rPr>
            </w:pPr>
            <w:r w:rsidRPr="00EB2DEA">
              <w:rPr>
                <w:rFonts w:ascii="Verdana" w:eastAsia="Times New Roman" w:hAnsi="Verdana" w:cs="Arial"/>
                <w:sz w:val="16"/>
                <w:szCs w:val="16"/>
                <w:lang w:val="es-ES_tradnl" w:eastAsia="es-ES"/>
              </w:rPr>
              <w:t>Subdirectora de Gestión Contractual ANCP – CCE</w:t>
            </w:r>
          </w:p>
        </w:tc>
      </w:tr>
    </w:tbl>
    <w:p w14:paraId="74BF7014" w14:textId="77777777" w:rsidR="009461FA" w:rsidRPr="00EB2DEA" w:rsidRDefault="009461FA" w:rsidP="009461FA">
      <w:pPr>
        <w:spacing w:after="0" w:line="240" w:lineRule="auto"/>
        <w:rPr>
          <w:rFonts w:ascii="Verdana" w:eastAsia="Times New Roman" w:hAnsi="Verdana" w:cs="Arial"/>
          <w:sz w:val="24"/>
          <w:szCs w:val="24"/>
          <w:lang w:eastAsia="es-ES"/>
        </w:rPr>
      </w:pPr>
    </w:p>
    <w:p w14:paraId="6F3BB276" w14:textId="77777777" w:rsidR="009461FA" w:rsidRPr="00EB2DEA" w:rsidRDefault="009461FA" w:rsidP="009461FA">
      <w:pPr>
        <w:spacing w:after="0" w:line="240" w:lineRule="auto"/>
        <w:rPr>
          <w:rFonts w:ascii="Verdana" w:eastAsia="Times New Roman" w:hAnsi="Verdana" w:cs="Arial"/>
          <w:sz w:val="24"/>
          <w:szCs w:val="24"/>
          <w:lang w:eastAsia="es-ES"/>
        </w:rPr>
      </w:pPr>
    </w:p>
    <w:p w14:paraId="603A5B2A" w14:textId="77777777" w:rsidR="009461FA" w:rsidRPr="007F4029" w:rsidRDefault="009461FA" w:rsidP="009461FA">
      <w:pPr>
        <w:spacing w:after="0"/>
        <w:rPr>
          <w:rFonts w:ascii="Verdana" w:hAnsi="Verdana"/>
          <w:lang w:val="es-ES"/>
        </w:rPr>
      </w:pPr>
    </w:p>
    <w:p w14:paraId="39C855AA" w14:textId="77777777" w:rsidR="009461FA" w:rsidRPr="0044528D" w:rsidRDefault="009461FA" w:rsidP="009461FA">
      <w:pPr>
        <w:spacing w:after="0" w:line="240" w:lineRule="auto"/>
        <w:textAlignment w:val="baseline"/>
        <w:rPr>
          <w:rFonts w:ascii="Verdana" w:eastAsia="Times New Roman" w:hAnsi="Verdana" w:cs="Segoe UI"/>
          <w:sz w:val="18"/>
          <w:szCs w:val="18"/>
          <w:lang w:eastAsia="es-CO"/>
        </w:rPr>
      </w:pPr>
      <w:r w:rsidRPr="0044528D">
        <w:rPr>
          <w:rFonts w:ascii="Verdana" w:eastAsia="Times New Roman" w:hAnsi="Verdana" w:cs="Segoe UI"/>
          <w:color w:val="404040"/>
          <w:lang w:eastAsia="es-CO"/>
        </w:rPr>
        <w:t> </w:t>
      </w:r>
    </w:p>
    <w:p w14:paraId="558B3AD1" w14:textId="77777777" w:rsidR="009461FA" w:rsidRPr="0044528D" w:rsidRDefault="009461FA" w:rsidP="009461FA">
      <w:pPr>
        <w:spacing w:after="0" w:line="240" w:lineRule="auto"/>
        <w:ind w:firstLine="2850"/>
        <w:jc w:val="both"/>
        <w:textAlignment w:val="baseline"/>
        <w:rPr>
          <w:rFonts w:ascii="Verdana" w:eastAsia="Times New Roman" w:hAnsi="Verdana" w:cs="Segoe UI"/>
          <w:color w:val="000000"/>
          <w:sz w:val="18"/>
          <w:szCs w:val="18"/>
          <w:lang w:eastAsia="es-CO"/>
        </w:rPr>
      </w:pPr>
      <w:r w:rsidRPr="0044528D">
        <w:rPr>
          <w:rFonts w:ascii="Verdana" w:eastAsia="Times New Roman" w:hAnsi="Verdana" w:cs="Segoe UI"/>
          <w:color w:val="000000"/>
          <w:lang w:eastAsia="es-CO"/>
        </w:rPr>
        <w:t> </w:t>
      </w:r>
    </w:p>
    <w:p w14:paraId="595C3885" w14:textId="77777777" w:rsidR="009461FA" w:rsidRPr="0044528D" w:rsidRDefault="009461FA" w:rsidP="009461FA">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41F122EE" w14:textId="77777777" w:rsidR="009461FA" w:rsidRPr="0044528D" w:rsidRDefault="009461FA" w:rsidP="009461FA">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5AD5CB6B" w14:textId="77777777" w:rsidR="009461FA" w:rsidRPr="0044528D" w:rsidRDefault="009461FA" w:rsidP="009461FA">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56E9A23C" w14:textId="77777777" w:rsidR="009461FA" w:rsidRPr="0044528D" w:rsidRDefault="009461FA" w:rsidP="009461FA">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5C01B3E2" w14:textId="77777777" w:rsidR="009461FA" w:rsidRPr="0044528D" w:rsidRDefault="009461FA" w:rsidP="009461FA">
      <w:pPr>
        <w:spacing w:after="0"/>
        <w:jc w:val="both"/>
        <w:rPr>
          <w:rFonts w:ascii="Verdana" w:hAnsi="Verdana"/>
        </w:rPr>
      </w:pPr>
    </w:p>
    <w:p w14:paraId="28FD63B1" w14:textId="77777777" w:rsidR="007F4029" w:rsidRPr="009461FA" w:rsidRDefault="007F4029" w:rsidP="009461FA"/>
    <w:sectPr w:rsidR="007F4029" w:rsidRPr="009461FA"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ACE72" w14:textId="77777777" w:rsidR="00F15B48" w:rsidRDefault="00F15B48" w:rsidP="004A1847">
      <w:pPr>
        <w:spacing w:after="0" w:line="240" w:lineRule="auto"/>
      </w:pPr>
      <w:r>
        <w:separator/>
      </w:r>
    </w:p>
  </w:endnote>
  <w:endnote w:type="continuationSeparator" w:id="0">
    <w:p w14:paraId="5E6F193B" w14:textId="77777777" w:rsidR="00F15B48" w:rsidRDefault="00F15B48"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orbel"/>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B259D" w14:textId="77777777" w:rsidR="00F15B48" w:rsidRDefault="00F15B48" w:rsidP="004A1847">
      <w:pPr>
        <w:spacing w:after="0" w:line="240" w:lineRule="auto"/>
      </w:pPr>
      <w:r>
        <w:separator/>
      </w:r>
    </w:p>
  </w:footnote>
  <w:footnote w:type="continuationSeparator" w:id="0">
    <w:p w14:paraId="4254289E" w14:textId="77777777" w:rsidR="00F15B48" w:rsidRDefault="00F15B48" w:rsidP="004A1847">
      <w:pPr>
        <w:spacing w:after="0" w:line="240" w:lineRule="auto"/>
      </w:pPr>
      <w:r>
        <w:continuationSeparator/>
      </w:r>
    </w:p>
  </w:footnote>
  <w:footnote w:id="1">
    <w:p w14:paraId="654771DD" w14:textId="77777777" w:rsidR="009461FA" w:rsidRPr="00B74530" w:rsidRDefault="009461FA" w:rsidP="009461FA">
      <w:pPr>
        <w:pStyle w:val="Textonotapie"/>
        <w:ind w:firstLine="709"/>
        <w:jc w:val="both"/>
        <w:rPr>
          <w:rFonts w:ascii="Verdana" w:hAnsi="Verdana" w:cs="Arial"/>
          <w:color w:val="000000"/>
          <w:sz w:val="16"/>
          <w:szCs w:val="16"/>
        </w:rPr>
      </w:pPr>
      <w:r w:rsidRPr="00B74530">
        <w:rPr>
          <w:rStyle w:val="Refdenotaalpie"/>
          <w:rFonts w:ascii="Verdana" w:hAnsi="Verdana" w:cs="Arial"/>
          <w:color w:val="000000"/>
          <w:sz w:val="16"/>
          <w:szCs w:val="16"/>
        </w:rPr>
        <w:footnoteRef/>
      </w:r>
      <w:r w:rsidRPr="00B74530">
        <w:rPr>
          <w:rFonts w:ascii="Verdana" w:hAnsi="Verdana" w:cs="Arial"/>
          <w:color w:val="000000"/>
          <w:sz w:val="16"/>
          <w:szCs w:val="16"/>
        </w:rPr>
        <w:t xml:space="preserve"> Ley 80 de 1993. Art. 30.7: </w:t>
      </w:r>
      <w:r>
        <w:rPr>
          <w:rFonts w:ascii="Verdana" w:hAnsi="Verdana" w:cs="Arial"/>
          <w:color w:val="000000"/>
          <w:sz w:val="16"/>
          <w:szCs w:val="16"/>
        </w:rPr>
        <w:t>“</w:t>
      </w:r>
      <w:r w:rsidRPr="00B74530">
        <w:rPr>
          <w:rFonts w:ascii="Verdana" w:hAnsi="Verdana" w:cs="Arial"/>
          <w:color w:val="000000"/>
          <w:sz w:val="16"/>
          <w:szCs w:val="16"/>
        </w:rPr>
        <w:t>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w:t>
      </w:r>
      <w:r>
        <w:rPr>
          <w:rFonts w:ascii="Verdana" w:hAnsi="Verdana" w:cs="Arial"/>
          <w:color w:val="000000"/>
          <w:sz w:val="16"/>
          <w:szCs w:val="16"/>
        </w:rPr>
        <w:t>”</w:t>
      </w:r>
      <w:r w:rsidRPr="00B74530">
        <w:rPr>
          <w:rFonts w:ascii="Verdana" w:hAnsi="Verdana" w:cs="Arial"/>
          <w:color w:val="000000"/>
          <w:sz w:val="16"/>
          <w:szCs w:val="16"/>
        </w:rPr>
        <w:t xml:space="preserve">. </w:t>
      </w:r>
    </w:p>
    <w:p w14:paraId="00E826FF" w14:textId="77777777" w:rsidR="009461FA" w:rsidRPr="00B74530" w:rsidRDefault="009461FA" w:rsidP="009461FA">
      <w:pPr>
        <w:pStyle w:val="Textonotapie"/>
        <w:ind w:firstLine="709"/>
        <w:jc w:val="both"/>
        <w:rPr>
          <w:rFonts w:ascii="Verdana" w:hAnsi="Verdana" w:cs="Arial"/>
          <w:color w:val="000000"/>
          <w:sz w:val="16"/>
          <w:szCs w:val="16"/>
        </w:rPr>
      </w:pPr>
    </w:p>
  </w:footnote>
  <w:footnote w:id="2">
    <w:p w14:paraId="652CB3D7" w14:textId="77777777" w:rsidR="009461FA" w:rsidRDefault="009461FA" w:rsidP="009461FA">
      <w:pPr>
        <w:pStyle w:val="Textonotapie"/>
        <w:ind w:firstLine="709"/>
        <w:jc w:val="both"/>
        <w:rPr>
          <w:rFonts w:ascii="Verdana" w:hAnsi="Verdana" w:cs="Arial"/>
          <w:color w:val="000000"/>
          <w:sz w:val="16"/>
          <w:szCs w:val="16"/>
        </w:rPr>
      </w:pPr>
      <w:r w:rsidRPr="00B74530">
        <w:rPr>
          <w:rStyle w:val="Refdenotaalpie"/>
          <w:rFonts w:ascii="Verdana" w:hAnsi="Verdana" w:cs="Arial"/>
          <w:color w:val="000000"/>
          <w:sz w:val="16"/>
          <w:szCs w:val="16"/>
        </w:rPr>
        <w:footnoteRef/>
      </w:r>
      <w:r w:rsidRPr="00B74530">
        <w:rPr>
          <w:rFonts w:ascii="Verdana" w:hAnsi="Verdana" w:cs="Arial"/>
          <w:color w:val="000000"/>
          <w:sz w:val="16"/>
          <w:szCs w:val="16"/>
        </w:rPr>
        <w:t xml:space="preserve"> Ley 80 de 1993. Art. 30.8: </w:t>
      </w:r>
      <w:r>
        <w:rPr>
          <w:rFonts w:ascii="Verdana" w:hAnsi="Verdana" w:cs="Arial"/>
          <w:color w:val="000000"/>
          <w:sz w:val="16"/>
          <w:szCs w:val="16"/>
        </w:rPr>
        <w:t>“</w:t>
      </w:r>
      <w:r w:rsidRPr="00B74530">
        <w:rPr>
          <w:rFonts w:ascii="Verdana" w:hAnsi="Verdana" w:cs="Arial"/>
          <w:color w:val="000000"/>
          <w:sz w:val="16"/>
          <w:szCs w:val="16"/>
        </w:rPr>
        <w:t>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r>
        <w:rPr>
          <w:rFonts w:ascii="Verdana" w:hAnsi="Verdana" w:cs="Arial"/>
          <w:color w:val="000000"/>
          <w:sz w:val="16"/>
          <w:szCs w:val="16"/>
        </w:rPr>
        <w:t>”</w:t>
      </w:r>
      <w:r w:rsidRPr="00B74530">
        <w:rPr>
          <w:rFonts w:ascii="Verdana" w:hAnsi="Verdana" w:cs="Arial"/>
          <w:color w:val="000000"/>
          <w:sz w:val="16"/>
          <w:szCs w:val="16"/>
        </w:rPr>
        <w:t>.</w:t>
      </w:r>
    </w:p>
    <w:p w14:paraId="7EFC2994" w14:textId="77777777" w:rsidR="009461FA" w:rsidRPr="00B74530" w:rsidRDefault="009461FA" w:rsidP="009461FA">
      <w:pPr>
        <w:pStyle w:val="Textonotapie"/>
        <w:ind w:firstLine="709"/>
        <w:jc w:val="both"/>
        <w:rPr>
          <w:rFonts w:ascii="Verdana" w:hAnsi="Verdana" w:cs="Arial"/>
          <w:color w:val="000000"/>
          <w:sz w:val="16"/>
          <w:szCs w:val="16"/>
        </w:rPr>
      </w:pPr>
    </w:p>
  </w:footnote>
  <w:footnote w:id="3">
    <w:p w14:paraId="2AD3FC57" w14:textId="77777777" w:rsidR="009461FA" w:rsidRPr="00B74530" w:rsidRDefault="009461FA" w:rsidP="009461FA">
      <w:pPr>
        <w:pStyle w:val="Textonotapie"/>
        <w:ind w:firstLine="709"/>
        <w:jc w:val="both"/>
        <w:rPr>
          <w:rFonts w:ascii="Verdana" w:hAnsi="Verdana" w:cs="Arial"/>
          <w:color w:val="000000"/>
          <w:sz w:val="16"/>
          <w:szCs w:val="16"/>
        </w:rPr>
      </w:pPr>
      <w:r w:rsidRPr="00B74530">
        <w:rPr>
          <w:rStyle w:val="Refdenotaalpie"/>
          <w:rFonts w:ascii="Verdana" w:hAnsi="Verdana" w:cs="Arial"/>
          <w:color w:val="000000"/>
          <w:sz w:val="16"/>
          <w:szCs w:val="16"/>
        </w:rPr>
        <w:footnoteRef/>
      </w:r>
      <w:r w:rsidRPr="00B74530">
        <w:rPr>
          <w:rFonts w:ascii="Verdana" w:hAnsi="Verdana" w:cs="Arial"/>
          <w:color w:val="000000"/>
          <w:sz w:val="16"/>
          <w:szCs w:val="16"/>
        </w:rPr>
        <w:t xml:space="preserve"> CONSEJO DE ESTADO. Sección Tercera. Subsección C. Sentencia del 26 de febrero de 2014. Expediente: 25.804. Consejero Ponente: Enrique Gil Botero.</w:t>
      </w:r>
      <w:r w:rsidRPr="00B74530">
        <w:rPr>
          <w:rFonts w:ascii="Verdana" w:hAnsi="Verdana"/>
          <w:sz w:val="16"/>
          <w:szCs w:val="16"/>
        </w:rPr>
        <w:t xml:space="preserve"> </w:t>
      </w:r>
      <w:hyperlink r:id="rId1" w:history="1">
        <w:r w:rsidRPr="00B74530">
          <w:rPr>
            <w:rStyle w:val="Hipervnculo"/>
            <w:rFonts w:ascii="Verdana" w:hAnsi="Verdana" w:cs="Arial"/>
            <w:sz w:val="16"/>
            <w:szCs w:val="16"/>
          </w:rPr>
          <w:t>https://relatoria.colombiacompra.gov.co/providencias-consejo-de-estado/</w:t>
        </w:r>
      </w:hyperlink>
      <w:r w:rsidRPr="00B74530">
        <w:rPr>
          <w:rFonts w:ascii="Verdana" w:hAnsi="Verdana" w:cs="Arial"/>
          <w:color w:val="000000"/>
          <w:sz w:val="16"/>
          <w:szCs w:val="16"/>
        </w:rPr>
        <w:t xml:space="preserve"> </w:t>
      </w:r>
    </w:p>
  </w:footnote>
  <w:footnote w:id="4">
    <w:p w14:paraId="21846CE6" w14:textId="77777777" w:rsidR="009461FA" w:rsidRPr="00B74530" w:rsidRDefault="009461FA" w:rsidP="009461FA">
      <w:pPr>
        <w:pStyle w:val="Textonotapie"/>
        <w:ind w:firstLine="709"/>
        <w:jc w:val="both"/>
        <w:rPr>
          <w:rFonts w:ascii="Verdana" w:hAnsi="Verdana" w:cs="Arial"/>
          <w:color w:val="000000"/>
          <w:sz w:val="16"/>
          <w:szCs w:val="16"/>
        </w:rPr>
      </w:pPr>
      <w:r w:rsidRPr="00B74530">
        <w:rPr>
          <w:rStyle w:val="Refdenotaalpie"/>
          <w:rFonts w:ascii="Verdana" w:hAnsi="Verdana" w:cs="Arial"/>
          <w:color w:val="000000"/>
          <w:sz w:val="16"/>
          <w:szCs w:val="16"/>
        </w:rPr>
        <w:footnoteRef/>
      </w:r>
      <w:r w:rsidRPr="00B74530">
        <w:rPr>
          <w:rStyle w:val="Refdenotaalpie"/>
          <w:rFonts w:ascii="Verdana" w:hAnsi="Verdana" w:cs="Arial"/>
          <w:color w:val="000000"/>
          <w:sz w:val="16"/>
          <w:szCs w:val="16"/>
        </w:rPr>
        <w:t xml:space="preserve"> </w:t>
      </w:r>
      <w:r w:rsidRPr="00B74530">
        <w:rPr>
          <w:rFonts w:ascii="Verdana" w:hAnsi="Verdana" w:cs="Arial"/>
          <w:color w:val="000000"/>
          <w:sz w:val="16"/>
          <w:szCs w:val="16"/>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p w14:paraId="70527E7B" w14:textId="77777777" w:rsidR="009461FA" w:rsidRPr="00B74530" w:rsidRDefault="009461FA" w:rsidP="009461FA">
      <w:pPr>
        <w:pStyle w:val="Textonotapie"/>
        <w:ind w:firstLine="709"/>
        <w:jc w:val="both"/>
        <w:rPr>
          <w:rFonts w:ascii="Verdana" w:hAnsi="Verdana" w:cs="Arial"/>
          <w:color w:val="000000"/>
          <w:sz w:val="16"/>
          <w:szCs w:val="16"/>
        </w:rPr>
      </w:pPr>
    </w:p>
  </w:footnote>
  <w:footnote w:id="5">
    <w:p w14:paraId="27CB271A" w14:textId="77777777" w:rsidR="009461FA" w:rsidRPr="00B74530" w:rsidRDefault="009461FA" w:rsidP="009461FA">
      <w:pPr>
        <w:pStyle w:val="Textonotapie"/>
        <w:ind w:firstLine="709"/>
        <w:jc w:val="both"/>
        <w:rPr>
          <w:rFonts w:ascii="Verdana" w:hAnsi="Verdana" w:cs="Arial"/>
          <w:color w:val="000000"/>
          <w:sz w:val="16"/>
          <w:szCs w:val="16"/>
        </w:rPr>
      </w:pPr>
      <w:r w:rsidRPr="00B74530">
        <w:rPr>
          <w:rStyle w:val="Refdenotaalpie"/>
          <w:rFonts w:ascii="Verdana" w:hAnsi="Verdana" w:cs="Arial"/>
          <w:color w:val="000000"/>
          <w:sz w:val="16"/>
          <w:szCs w:val="16"/>
        </w:rPr>
        <w:footnoteRef/>
      </w:r>
      <w:r w:rsidRPr="00B74530">
        <w:rPr>
          <w:rFonts w:ascii="Verdana" w:hAnsi="Verdana" w:cs="Arial"/>
          <w:color w:val="000000"/>
          <w:sz w:val="16"/>
          <w:szCs w:val="16"/>
        </w:rPr>
        <w:t xml:space="preserve"> 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37A7D202" w14:textId="77777777" w:rsidR="009461FA" w:rsidRDefault="009461FA" w:rsidP="009461FA">
      <w:pPr>
        <w:pStyle w:val="Textonotapie"/>
        <w:ind w:firstLine="709"/>
        <w:jc w:val="both"/>
        <w:rPr>
          <w:rFonts w:ascii="Verdana" w:hAnsi="Verdana" w:cs="Arial"/>
          <w:color w:val="000000"/>
          <w:sz w:val="16"/>
          <w:szCs w:val="16"/>
        </w:rPr>
      </w:pPr>
    </w:p>
    <w:p w14:paraId="3C306E18" w14:textId="77777777" w:rsidR="009461FA" w:rsidRDefault="009461FA" w:rsidP="009461FA">
      <w:pPr>
        <w:pStyle w:val="Textonotapie"/>
        <w:ind w:firstLine="709"/>
        <w:jc w:val="both"/>
        <w:rPr>
          <w:rFonts w:ascii="Verdana" w:hAnsi="Verdana" w:cs="Arial"/>
          <w:color w:val="000000"/>
          <w:sz w:val="16"/>
          <w:szCs w:val="16"/>
        </w:rPr>
      </w:pPr>
      <w:r w:rsidRPr="00B74530">
        <w:rPr>
          <w:rFonts w:ascii="Verdana" w:hAnsi="Verdana" w:cs="Arial"/>
          <w:color w:val="000000"/>
          <w:sz w:val="16"/>
          <w:szCs w:val="16"/>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Pr>
          <w:rFonts w:ascii="Verdana" w:hAnsi="Verdana" w:cs="Arial"/>
          <w:color w:val="000000"/>
          <w:sz w:val="16"/>
          <w:szCs w:val="16"/>
        </w:rPr>
        <w:t>.</w:t>
      </w:r>
      <w:r w:rsidRPr="00B74530">
        <w:rPr>
          <w:rFonts w:ascii="Verdana" w:hAnsi="Verdana" w:cs="Arial"/>
          <w:color w:val="000000"/>
          <w:sz w:val="16"/>
          <w:szCs w:val="16"/>
        </w:rPr>
        <w:t xml:space="preserve"> (Consejo de Estado. Sala de Consulta y Servicio Civil. Concepto del 6 de noviembre de 2008. Expediente: 1927. Consejero Ponente: William Zambrano Cetina).</w:t>
      </w:r>
    </w:p>
    <w:p w14:paraId="28FC609E" w14:textId="77777777" w:rsidR="009461FA" w:rsidRPr="00B74530" w:rsidRDefault="009461FA" w:rsidP="009461FA">
      <w:pPr>
        <w:pStyle w:val="Textonotapie"/>
        <w:ind w:firstLine="709"/>
        <w:jc w:val="both"/>
        <w:rPr>
          <w:rFonts w:ascii="Verdana" w:hAnsi="Verdana" w:cs="Arial"/>
          <w:color w:val="000000"/>
          <w:sz w:val="16"/>
          <w:szCs w:val="16"/>
        </w:rPr>
      </w:pPr>
    </w:p>
  </w:footnote>
  <w:footnote w:id="6">
    <w:p w14:paraId="75135554" w14:textId="77777777" w:rsidR="009461FA" w:rsidRPr="00B74530" w:rsidRDefault="009461FA" w:rsidP="009461FA">
      <w:pPr>
        <w:pStyle w:val="Textonotapie"/>
        <w:ind w:firstLine="709"/>
        <w:jc w:val="both"/>
        <w:rPr>
          <w:rFonts w:ascii="Verdana" w:hAnsi="Verdana" w:cs="Arial"/>
          <w:color w:val="000000"/>
          <w:sz w:val="16"/>
          <w:szCs w:val="16"/>
        </w:rPr>
      </w:pPr>
      <w:r w:rsidRPr="00B74530">
        <w:rPr>
          <w:rStyle w:val="Refdenotaalpie"/>
          <w:rFonts w:ascii="Verdana" w:hAnsi="Verdana" w:cs="Arial"/>
          <w:sz w:val="16"/>
          <w:szCs w:val="16"/>
        </w:rPr>
        <w:footnoteRef/>
      </w:r>
      <w:r w:rsidRPr="00B74530">
        <w:rPr>
          <w:rFonts w:ascii="Verdana" w:hAnsi="Verdana" w:cs="Arial"/>
          <w:sz w:val="16"/>
          <w:szCs w:val="16"/>
        </w:rPr>
        <w:t xml:space="preserve"> </w:t>
      </w:r>
      <w:r w:rsidRPr="00B74530">
        <w:rPr>
          <w:rFonts w:ascii="Verdana" w:hAnsi="Verdana" w:cs="Arial"/>
          <w:color w:val="000000"/>
          <w:sz w:val="16"/>
          <w:szCs w:val="16"/>
        </w:rPr>
        <w:t xml:space="preserve">En armonía con lo anterior, actualmente la Circular Externa Única de Colombia Compra Eficiente señala lo siguiente: “De otro lado, cabe destacar que, de conformidad con el artículo 5 de la Ley 1882 de 2018, durante el término otorgado para subsanar, los proponentes no podrán acreditar circunstancias ocurridas luego del cierre del proceso. De esta manera, es subsanable la prueba de todas las circunstancias ocurridas antes del vencimiento del término para presentar las ofertas, por lo que no se podrán acreditar circunstancias ocurridas con posterioridad a dicho momento. </w:t>
      </w:r>
    </w:p>
    <w:p w14:paraId="01BD5FBF" w14:textId="77777777" w:rsidR="009461FA" w:rsidRPr="00B74530" w:rsidRDefault="009461FA" w:rsidP="009461FA">
      <w:pPr>
        <w:pStyle w:val="Textonotapie"/>
        <w:ind w:firstLine="709"/>
        <w:jc w:val="both"/>
        <w:rPr>
          <w:rFonts w:ascii="Verdana" w:hAnsi="Verdana" w:cs="Arial"/>
          <w:color w:val="000000"/>
          <w:sz w:val="16"/>
          <w:szCs w:val="16"/>
        </w:rPr>
      </w:pPr>
    </w:p>
    <w:p w14:paraId="590EC8F9" w14:textId="77777777" w:rsidR="009461FA" w:rsidRPr="00B74530" w:rsidRDefault="009461FA" w:rsidP="009461FA">
      <w:pPr>
        <w:pStyle w:val="Textonotapie"/>
        <w:ind w:firstLine="709"/>
        <w:jc w:val="both"/>
        <w:rPr>
          <w:rFonts w:ascii="Verdana" w:hAnsi="Verdana" w:cs="Arial"/>
          <w:color w:val="000000"/>
          <w:sz w:val="16"/>
          <w:szCs w:val="16"/>
        </w:rPr>
      </w:pPr>
      <w:r w:rsidRPr="00B74530">
        <w:rPr>
          <w:rFonts w:ascii="Verdana" w:hAnsi="Verdana" w:cs="Arial"/>
          <w:color w:val="000000"/>
          <w:sz w:val="16"/>
          <w:szCs w:val="16"/>
        </w:rPr>
        <w:t xml:space="preserve">Lo anterior quiere decir que no es la prueba lo que debe ser anterior al cierre del proceso, sino el hecho que esta acredita. En ese sentido, ante la solicitud de la Administración de subsanar un requisito, el documento podría estar fechado con posterioridad al vencimiento del término para recibir propuestas, con la condición de que el hecho que acredite haya ocurrido antes, esto es, que no sea una circunstancia ocurrida con posterioridad al cierre del proceso. 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que permite cumplir determinada exigencia del pliego de condiciones –o documento equivalente– y otra su prueba. Lo que prohíbe la norma es que se subsanen requisitos que no estaban materialmente cumplidos al momento del cierre del proceso”. Disponible en: </w:t>
      </w:r>
      <w:hyperlink r:id="rId2" w:history="1">
        <w:r w:rsidRPr="00B74530">
          <w:rPr>
            <w:rStyle w:val="Hipervnculo"/>
            <w:rFonts w:ascii="Verdana" w:hAnsi="Verdana" w:cs="Arial"/>
            <w:sz w:val="16"/>
            <w:szCs w:val="16"/>
          </w:rPr>
          <w:t>https://www.colombiacompra.gov.co/circulares?page=2</w:t>
        </w:r>
      </w:hyperlink>
      <w:r w:rsidRPr="00B74530">
        <w:rPr>
          <w:rStyle w:val="Hipervnculo"/>
          <w:rFonts w:ascii="Verdana" w:hAnsi="Verdana" w:cs="Arial"/>
          <w:color w:val="000000"/>
          <w:sz w:val="16"/>
          <w:szCs w:val="16"/>
        </w:rPr>
        <w:t xml:space="preserve"> </w:t>
      </w:r>
    </w:p>
    <w:p w14:paraId="2740E735" w14:textId="77777777" w:rsidR="009461FA" w:rsidRPr="00B74530" w:rsidRDefault="009461FA" w:rsidP="009461FA">
      <w:pPr>
        <w:pStyle w:val="Textonotapie"/>
        <w:ind w:firstLine="709"/>
        <w:jc w:val="both"/>
        <w:rPr>
          <w:rFonts w:ascii="Verdana" w:hAnsi="Verdana" w:cs="Arial"/>
          <w:color w:val="000000"/>
          <w:sz w:val="16"/>
          <w:szCs w:val="16"/>
        </w:rPr>
      </w:pPr>
    </w:p>
  </w:footnote>
  <w:footnote w:id="7">
    <w:p w14:paraId="7FF29233" w14:textId="77777777" w:rsidR="009461FA" w:rsidRPr="00B74530" w:rsidRDefault="009461FA" w:rsidP="009461FA">
      <w:pPr>
        <w:pStyle w:val="Textonotapie"/>
        <w:ind w:firstLine="709"/>
        <w:jc w:val="both"/>
        <w:rPr>
          <w:rFonts w:ascii="Verdana" w:hAnsi="Verdana" w:cs="Arial"/>
          <w:color w:val="000000"/>
          <w:sz w:val="16"/>
          <w:szCs w:val="16"/>
        </w:rPr>
      </w:pPr>
      <w:r w:rsidRPr="00B74530">
        <w:rPr>
          <w:rStyle w:val="Refdenotaalpie"/>
          <w:rFonts w:ascii="Verdana" w:hAnsi="Verdana" w:cs="Arial"/>
          <w:color w:val="000000"/>
          <w:sz w:val="16"/>
          <w:szCs w:val="16"/>
        </w:rPr>
        <w:footnoteRef/>
      </w:r>
      <w:r w:rsidRPr="00B74530">
        <w:rPr>
          <w:rFonts w:ascii="Verdana" w:hAnsi="Verdana" w:cs="Arial"/>
          <w:color w:val="000000"/>
          <w:sz w:val="16"/>
          <w:szCs w:val="16"/>
        </w:rPr>
        <w:t xml:space="preserve"> Ver CONSEJO DE ESTADO, Sección Tercera, Subsección C. Sentencia del 26 de febrero de 2011. C.P. Jaime Orlando Santofimio. Rad. 36.408. </w:t>
      </w:r>
    </w:p>
  </w:footnote>
  <w:footnote w:id="8">
    <w:p w14:paraId="17DFA657" w14:textId="77777777" w:rsidR="009461FA" w:rsidRPr="00B74530" w:rsidRDefault="009461FA" w:rsidP="009461FA">
      <w:pPr>
        <w:pStyle w:val="Textonotapie"/>
        <w:ind w:firstLine="709"/>
        <w:jc w:val="both"/>
        <w:rPr>
          <w:rFonts w:ascii="Verdana" w:hAnsi="Verdana" w:cs="Arial"/>
          <w:color w:val="000000"/>
          <w:sz w:val="16"/>
          <w:szCs w:val="16"/>
        </w:rPr>
      </w:pPr>
    </w:p>
    <w:p w14:paraId="79FD1C29" w14:textId="77777777" w:rsidR="009461FA" w:rsidRPr="00B74530" w:rsidRDefault="009461FA" w:rsidP="009461FA">
      <w:pPr>
        <w:pStyle w:val="Textonotapie"/>
        <w:ind w:firstLine="709"/>
        <w:jc w:val="both"/>
        <w:rPr>
          <w:rFonts w:ascii="Verdana" w:hAnsi="Verdana" w:cs="Arial"/>
          <w:color w:val="000000"/>
          <w:sz w:val="16"/>
          <w:szCs w:val="16"/>
        </w:rPr>
      </w:pPr>
      <w:r w:rsidRPr="00B74530">
        <w:rPr>
          <w:rStyle w:val="Refdenotaalpie"/>
          <w:rFonts w:ascii="Verdana" w:hAnsi="Verdana" w:cs="Arial"/>
          <w:color w:val="000000"/>
          <w:sz w:val="16"/>
          <w:szCs w:val="16"/>
        </w:rPr>
        <w:footnoteRef/>
      </w:r>
      <w:r w:rsidRPr="00B74530">
        <w:rPr>
          <w:rFonts w:ascii="Verdana" w:hAnsi="Verdana" w:cs="Arial"/>
          <w:color w:val="000000"/>
          <w:sz w:val="16"/>
          <w:szCs w:val="16"/>
        </w:rPr>
        <w:t xml:space="preserve"> Ver CONSEJO DE ESTADO, Sección Tercera, Subsección C. Sentencia del 26 de febrero de 2014. C.P. Enrique Gil Botero. Rad. 25.804. </w:t>
      </w:r>
    </w:p>
    <w:p w14:paraId="7E2E58D0" w14:textId="77777777" w:rsidR="009461FA" w:rsidRPr="00B74530" w:rsidRDefault="009461FA" w:rsidP="009461FA">
      <w:pPr>
        <w:pStyle w:val="Textonotapie"/>
        <w:ind w:firstLine="709"/>
        <w:jc w:val="both"/>
        <w:rPr>
          <w:rFonts w:ascii="Verdana" w:hAnsi="Verdana" w:cs="Arial"/>
          <w:color w:val="000000"/>
          <w:sz w:val="16"/>
          <w:szCs w:val="16"/>
        </w:rPr>
      </w:pPr>
    </w:p>
  </w:footnote>
  <w:footnote w:id="9">
    <w:p w14:paraId="53121095" w14:textId="77777777" w:rsidR="009461FA" w:rsidRPr="00B74530" w:rsidRDefault="009461FA" w:rsidP="009461FA">
      <w:pPr>
        <w:pStyle w:val="Textonotapie"/>
        <w:ind w:firstLine="708"/>
        <w:jc w:val="both"/>
        <w:rPr>
          <w:rFonts w:ascii="Verdana" w:hAnsi="Verdana" w:cs="Arial"/>
          <w:color w:val="000000"/>
          <w:sz w:val="16"/>
          <w:szCs w:val="16"/>
        </w:rPr>
      </w:pPr>
      <w:r w:rsidRPr="00B74530">
        <w:rPr>
          <w:rStyle w:val="Refdenotaalpie"/>
          <w:rFonts w:ascii="Verdana" w:hAnsi="Verdana" w:cs="Arial"/>
          <w:color w:val="000000"/>
          <w:sz w:val="16"/>
          <w:szCs w:val="16"/>
        </w:rPr>
        <w:footnoteRef/>
      </w:r>
      <w:r w:rsidRPr="00B74530">
        <w:rPr>
          <w:rFonts w:ascii="Verdana" w:hAnsi="Verdana" w:cs="Arial"/>
          <w:color w:val="000000"/>
          <w:sz w:val="16"/>
          <w:szCs w:val="16"/>
        </w:rPr>
        <w:t xml:space="preserve"> CONSEJO DE ESTADO. Sala de Consulta y Servicio Civil. Concepto del 20 de mayo de 2010. Expediente: 1992. Consejero Ponente: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1562CEC2"/>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2465794"/>
    <w:multiLevelType w:val="hybridMultilevel"/>
    <w:tmpl w:val="094C0BB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EB6EE5"/>
    <w:multiLevelType w:val="hybridMultilevel"/>
    <w:tmpl w:val="1A92B3D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4"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F565B63"/>
    <w:multiLevelType w:val="hybridMultilevel"/>
    <w:tmpl w:val="51E08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711200"/>
    <w:multiLevelType w:val="hybridMultilevel"/>
    <w:tmpl w:val="9DF0A5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2664CA"/>
    <w:multiLevelType w:val="hybridMultilevel"/>
    <w:tmpl w:val="E1F070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5F5688"/>
    <w:multiLevelType w:val="hybridMultilevel"/>
    <w:tmpl w:val="DD000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A253E43"/>
    <w:multiLevelType w:val="hybridMultilevel"/>
    <w:tmpl w:val="C3ECB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8"/>
  </w:num>
  <w:num w:numId="7">
    <w:abstractNumId w:val="9"/>
  </w:num>
  <w:num w:numId="8">
    <w:abstractNumId w:val="16"/>
  </w:num>
  <w:num w:numId="9">
    <w:abstractNumId w:val="11"/>
  </w:num>
  <w:num w:numId="10">
    <w:abstractNumId w:val="15"/>
  </w:num>
  <w:num w:numId="11">
    <w:abstractNumId w:val="12"/>
  </w:num>
  <w:num w:numId="12">
    <w:abstractNumId w:val="2"/>
  </w:num>
  <w:num w:numId="13">
    <w:abstractNumId w:val="7"/>
  </w:num>
  <w:num w:numId="14">
    <w:abstractNumId w:val="19"/>
  </w:num>
  <w:num w:numId="15">
    <w:abstractNumId w:val="14"/>
  </w:num>
  <w:num w:numId="16">
    <w:abstractNumId w:val="0"/>
  </w:num>
  <w:num w:numId="17">
    <w:abstractNumId w:val="20"/>
  </w:num>
  <w:num w:numId="18">
    <w:abstractNumId w:val="13"/>
  </w:num>
  <w:num w:numId="19">
    <w:abstractNumId w:val="5"/>
  </w:num>
  <w:num w:numId="20">
    <w:abstractNumId w:val="3"/>
  </w:num>
  <w:num w:numId="21">
    <w:abstractNumId w:val="6"/>
  </w:num>
  <w:num w:numId="22">
    <w:abstractNumId w:val="1"/>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6486"/>
    <w:rsid w:val="00104ADB"/>
    <w:rsid w:val="00125105"/>
    <w:rsid w:val="00127233"/>
    <w:rsid w:val="0013231B"/>
    <w:rsid w:val="00165DE3"/>
    <w:rsid w:val="001742EF"/>
    <w:rsid w:val="001B3729"/>
    <w:rsid w:val="001E39AD"/>
    <w:rsid w:val="001E4177"/>
    <w:rsid w:val="001F7DC6"/>
    <w:rsid w:val="002421BB"/>
    <w:rsid w:val="0024713E"/>
    <w:rsid w:val="0025796E"/>
    <w:rsid w:val="002707A2"/>
    <w:rsid w:val="002951A0"/>
    <w:rsid w:val="002962BC"/>
    <w:rsid w:val="002A093D"/>
    <w:rsid w:val="002A0DD0"/>
    <w:rsid w:val="002A26EB"/>
    <w:rsid w:val="002A49AC"/>
    <w:rsid w:val="002A64FD"/>
    <w:rsid w:val="002C1465"/>
    <w:rsid w:val="002C7A84"/>
    <w:rsid w:val="002E00DE"/>
    <w:rsid w:val="002E4FD9"/>
    <w:rsid w:val="00322A85"/>
    <w:rsid w:val="00324168"/>
    <w:rsid w:val="003448F4"/>
    <w:rsid w:val="00366BA1"/>
    <w:rsid w:val="00374F5E"/>
    <w:rsid w:val="00377E3E"/>
    <w:rsid w:val="00381E35"/>
    <w:rsid w:val="003A26D1"/>
    <w:rsid w:val="003A779E"/>
    <w:rsid w:val="003C2A88"/>
    <w:rsid w:val="003D0F4D"/>
    <w:rsid w:val="003D5B0D"/>
    <w:rsid w:val="003E0499"/>
    <w:rsid w:val="003F3941"/>
    <w:rsid w:val="003F66A0"/>
    <w:rsid w:val="00406575"/>
    <w:rsid w:val="00417AA5"/>
    <w:rsid w:val="0042722E"/>
    <w:rsid w:val="0044528D"/>
    <w:rsid w:val="004A1847"/>
    <w:rsid w:val="004A28D0"/>
    <w:rsid w:val="004A305D"/>
    <w:rsid w:val="004A434F"/>
    <w:rsid w:val="004C69A5"/>
    <w:rsid w:val="004F21C4"/>
    <w:rsid w:val="004F685F"/>
    <w:rsid w:val="005566E8"/>
    <w:rsid w:val="00560BC6"/>
    <w:rsid w:val="00574867"/>
    <w:rsid w:val="005909C4"/>
    <w:rsid w:val="00591460"/>
    <w:rsid w:val="00592628"/>
    <w:rsid w:val="005C3777"/>
    <w:rsid w:val="005C5CDC"/>
    <w:rsid w:val="005D476C"/>
    <w:rsid w:val="00600FC2"/>
    <w:rsid w:val="00610812"/>
    <w:rsid w:val="006219F8"/>
    <w:rsid w:val="00650FF7"/>
    <w:rsid w:val="00665D70"/>
    <w:rsid w:val="00671DAC"/>
    <w:rsid w:val="006900D9"/>
    <w:rsid w:val="006B39BF"/>
    <w:rsid w:val="006D12F8"/>
    <w:rsid w:val="00706C16"/>
    <w:rsid w:val="00756841"/>
    <w:rsid w:val="007649AB"/>
    <w:rsid w:val="00771D0C"/>
    <w:rsid w:val="007833AC"/>
    <w:rsid w:val="007B268C"/>
    <w:rsid w:val="007B7171"/>
    <w:rsid w:val="007C0C0F"/>
    <w:rsid w:val="007C3DC2"/>
    <w:rsid w:val="007E5497"/>
    <w:rsid w:val="007F4029"/>
    <w:rsid w:val="00806F5F"/>
    <w:rsid w:val="00820278"/>
    <w:rsid w:val="008313B4"/>
    <w:rsid w:val="0087075A"/>
    <w:rsid w:val="00874719"/>
    <w:rsid w:val="008843B6"/>
    <w:rsid w:val="00891928"/>
    <w:rsid w:val="008973AE"/>
    <w:rsid w:val="008A0C89"/>
    <w:rsid w:val="008A446D"/>
    <w:rsid w:val="008A449B"/>
    <w:rsid w:val="008C019B"/>
    <w:rsid w:val="008D180B"/>
    <w:rsid w:val="008F0EA7"/>
    <w:rsid w:val="008F10F9"/>
    <w:rsid w:val="00923EEF"/>
    <w:rsid w:val="00937BCA"/>
    <w:rsid w:val="009419F9"/>
    <w:rsid w:val="009461FA"/>
    <w:rsid w:val="0095685E"/>
    <w:rsid w:val="00961B09"/>
    <w:rsid w:val="00965334"/>
    <w:rsid w:val="0097093E"/>
    <w:rsid w:val="00974388"/>
    <w:rsid w:val="009A0DFA"/>
    <w:rsid w:val="009B2D26"/>
    <w:rsid w:val="009C002D"/>
    <w:rsid w:val="009C71FA"/>
    <w:rsid w:val="009C72E7"/>
    <w:rsid w:val="009D3058"/>
    <w:rsid w:val="009F3A13"/>
    <w:rsid w:val="009F40CD"/>
    <w:rsid w:val="00A122D3"/>
    <w:rsid w:val="00A17F13"/>
    <w:rsid w:val="00A20739"/>
    <w:rsid w:val="00A33C78"/>
    <w:rsid w:val="00A573A4"/>
    <w:rsid w:val="00A65E5B"/>
    <w:rsid w:val="00AA65AB"/>
    <w:rsid w:val="00AB0ADB"/>
    <w:rsid w:val="00B01B1A"/>
    <w:rsid w:val="00B5203A"/>
    <w:rsid w:val="00B66DA9"/>
    <w:rsid w:val="00B72CD3"/>
    <w:rsid w:val="00B72FFF"/>
    <w:rsid w:val="00B74530"/>
    <w:rsid w:val="00B80EB2"/>
    <w:rsid w:val="00BC39F8"/>
    <w:rsid w:val="00BC3D36"/>
    <w:rsid w:val="00BD7F72"/>
    <w:rsid w:val="00BF72DF"/>
    <w:rsid w:val="00C02E1B"/>
    <w:rsid w:val="00C04FB3"/>
    <w:rsid w:val="00C06E8F"/>
    <w:rsid w:val="00C25FB9"/>
    <w:rsid w:val="00C330EB"/>
    <w:rsid w:val="00C51591"/>
    <w:rsid w:val="00C754BE"/>
    <w:rsid w:val="00C76B1C"/>
    <w:rsid w:val="00CB6357"/>
    <w:rsid w:val="00CC1B26"/>
    <w:rsid w:val="00CD2FC6"/>
    <w:rsid w:val="00CE7555"/>
    <w:rsid w:val="00CF6C34"/>
    <w:rsid w:val="00D02612"/>
    <w:rsid w:val="00D11BE7"/>
    <w:rsid w:val="00D13C70"/>
    <w:rsid w:val="00D423A2"/>
    <w:rsid w:val="00D520D8"/>
    <w:rsid w:val="00D63AC2"/>
    <w:rsid w:val="00D7383B"/>
    <w:rsid w:val="00D9264D"/>
    <w:rsid w:val="00DA231B"/>
    <w:rsid w:val="00DA23A0"/>
    <w:rsid w:val="00DC010D"/>
    <w:rsid w:val="00DC25BE"/>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B2DEA"/>
    <w:rsid w:val="00EC38A7"/>
    <w:rsid w:val="00ED1331"/>
    <w:rsid w:val="00EE1AA8"/>
    <w:rsid w:val="00EF2AF0"/>
    <w:rsid w:val="00F00D20"/>
    <w:rsid w:val="00F0663A"/>
    <w:rsid w:val="00F15B48"/>
    <w:rsid w:val="00F31EDC"/>
    <w:rsid w:val="00F462B3"/>
    <w:rsid w:val="00F5664F"/>
    <w:rsid w:val="00F666C4"/>
    <w:rsid w:val="00F70F50"/>
    <w:rsid w:val="00F76AFC"/>
    <w:rsid w:val="00F928A5"/>
    <w:rsid w:val="00FA47C0"/>
    <w:rsid w:val="00FB5DD1"/>
    <w:rsid w:val="00FC2B5D"/>
    <w:rsid w:val="00FF1449"/>
    <w:rsid w:val="5B15CD01"/>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7F4029"/>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F4029"/>
    <w:rPr>
      <w:rFonts w:ascii="Geomanist Light" w:hAnsi="Geomanist Light"/>
      <w:lang w:val="es-ES"/>
    </w:rPr>
  </w:style>
  <w:style w:type="character" w:customStyle="1" w:styleId="superscript">
    <w:name w:val="superscript"/>
    <w:basedOn w:val="Fuentedeprrafopredeter"/>
    <w:rsid w:val="007F4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57835246">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397508532">
      <w:bodyDiv w:val="1"/>
      <w:marLeft w:val="0"/>
      <w:marRight w:val="0"/>
      <w:marTop w:val="0"/>
      <w:marBottom w:val="0"/>
      <w:divBdr>
        <w:top w:val="none" w:sz="0" w:space="0" w:color="auto"/>
        <w:left w:val="none" w:sz="0" w:space="0" w:color="auto"/>
        <w:bottom w:val="none" w:sz="0" w:space="0" w:color="auto"/>
        <w:right w:val="none" w:sz="0" w:space="0" w:color="auto"/>
      </w:divBdr>
    </w:div>
    <w:div w:id="1801342653">
      <w:bodyDiv w:val="1"/>
      <w:marLeft w:val="0"/>
      <w:marRight w:val="0"/>
      <w:marTop w:val="0"/>
      <w:marBottom w:val="0"/>
      <w:divBdr>
        <w:top w:val="none" w:sz="0" w:space="0" w:color="auto"/>
        <w:left w:val="none" w:sz="0" w:space="0" w:color="auto"/>
        <w:bottom w:val="none" w:sz="0" w:space="0" w:color="auto"/>
        <w:right w:val="none" w:sz="0" w:space="0" w:color="auto"/>
      </w:divBdr>
    </w:div>
    <w:div w:id="2002662838">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content%2Fborrador-de-documentos-tipo-de-interventoria-de-obra-publica-de-infraestructura-de&amp;data=05%7C02%7Cmaria.medellin%40colombiacompra.gov.co%7C096eca3fdcca424ff1c708dcf932f947%7C7b09041e245149d08cb179d5e3d8c1be%7C0%7C0%7C638659244552748556%7CUnknown%7CTWFpbGZsb3d8eyJWIjoiMC4wLjAwMDAiLCJQIjoiV2luMzIiLCJBTiI6Ik1haWwiLCJXVCI6Mn0%3D%7C0%7C%7C%7C&amp;sdata=XOJMw79eh5ukQrCpd%2B%2FPZ7mCUfjbp4pu%2F197WTcfFdY%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content%2Fborrador-de-documentos-tipo-de-consultoria-de-obra-publica-de-infraestructura-de-transporte&amp;data=05%7C02%7Cmaria.medellin%40colombiacompra.gov.co%7C096eca3fdcca424ff1c708dcf932f947%7C7b09041e245149d08cb179d5e3d8c1be%7C0%7C0%7C638659244552724890%7CUnknown%7CTWFpbGZsb3d8eyJWIjoiMC4wLjAwMDAiLCJQIjoiV2luMzIiLCJBTiI6Ik1haWwiLCJXVCI6Mn0%3D%7C0%7C%7C%7C&amp;sdata=WFMNuljpvP1XX0eqTmHT2xBDDiWyq5%2B5IWefYtDmFTY%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busqueda/conceptos"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ala-de-prensa%2Fboletin-digital&amp;data=05%7C02%7Cmaria.medellin%40colombiacompra.gov.co%7C096eca3fdcca424ff1c708dcf932f947%7C7b09041e245149d08cb179d5e3d8c1be%7C0%7C0%7C638659244552786384%7CUnknown%7CTWFpbGZsb3d8eyJWIjoiMC4wLjAwMDAiLCJQIjoiV2luMzIiLCJBTiI6Ik1haWwiLCJXVCI6Mn0%3D%7C0%7C%7C%7C&amp;sdata=nNL0OYgmcHTlNzysKPaHGMx6bK%2F2cPSxZEeJJRNlTpE%3D&amp;reserved=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sucop.gov.co%2Fentidades%2Fcolombiacompra%2FNormativa%3FIDNorma%3D18320&amp;data=05%7C02%7Cmaria.medellin%40colombiacompra.gov.co%7C096eca3fdcca424ff1c708dcf932f947%7C7b09041e245149d08cb179d5e3d8c1be%7C0%7C0%7C638659244552767547%7CUnknown%7CTWFpbGZsb3d8eyJWIjoiMC4wLjAwMDAiLCJQIjoiV2luMzIiLCJBTiI6Ik1haWwiLCJXVCI6Mn0%3D%7C0%7C%7C%7C&amp;sdata=JdR6YWns76bULJaJAsp8Xlcx3NDByPJX849winKcp2U%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circulares?page=2" TargetMode="External"/><Relationship Id="rId1" Type="http://schemas.openxmlformats.org/officeDocument/2006/relationships/hyperlink" Target="https://relatoria.colombiacompra.gov.co/providencias-consejo-de-estad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CB339028-584F-471D-B514-DF6AD2DE9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6cb9e4b-f1d1-4245-83ec-6cad768d538a"/>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5855</Words>
  <Characters>32206</Characters>
  <Application>Microsoft Office Word</Application>
  <DocSecurity>0</DocSecurity>
  <Lines>268</Lines>
  <Paragraphs>75</Paragraphs>
  <ScaleCrop>false</ScaleCrop>
  <Company/>
  <LinksUpToDate>false</LinksUpToDate>
  <CharactersWithSpaces>37986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Sergio Andrés Rivera Cano</cp:lastModifiedBy>
  <cp:revision>2</cp:revision>
  <cp:lastPrinted>2023-01-10T21:18:00Z</cp:lastPrinted>
  <dcterms:created xsi:type="dcterms:W3CDTF">2024-11-21T21:08:00Z</dcterms:created>
  <dcterms:modified xsi:type="dcterms:W3CDTF">2024-11-21T21:08:00Z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