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34906" w14:textId="77777777" w:rsidR="00AD3702" w:rsidRPr="00AD3702" w:rsidRDefault="00AD3702" w:rsidP="00AD3702">
      <w:pPr>
        <w:spacing w:line="276" w:lineRule="auto"/>
        <w:jc w:val="both"/>
        <w:rPr>
          <w:rFonts w:ascii="Verdana" w:eastAsia="Calibri" w:hAnsi="Verdana" w:cs="Arial"/>
          <w:b/>
          <w:bCs/>
          <w:lang w:val="es-ES" w:eastAsia="es-ES"/>
        </w:rPr>
      </w:pPr>
      <w:bookmarkStart w:id="0" w:name="_Hlk143780582"/>
      <w:r w:rsidRPr="00AD3702">
        <w:rPr>
          <w:rFonts w:ascii="Verdana" w:eastAsia="Calibri" w:hAnsi="Verdana" w:cs="Arial"/>
          <w:b/>
          <w:bCs/>
          <w:lang w:val="es-ES" w:eastAsia="es-ES"/>
        </w:rPr>
        <w:t>CONTRATACIÓN CON ESAL – Contratos de colaboración – Objeto</w:t>
      </w:r>
    </w:p>
    <w:p w14:paraId="372515E4" w14:textId="77777777" w:rsidR="00AD3702" w:rsidRPr="00AD3702" w:rsidRDefault="00AD3702" w:rsidP="00AD3702">
      <w:pPr>
        <w:spacing w:after="0" w:line="240" w:lineRule="auto"/>
        <w:jc w:val="both"/>
        <w:rPr>
          <w:rFonts w:ascii="Verdana" w:eastAsia="Calibri" w:hAnsi="Verdana" w:cs="Arial"/>
          <w:sz w:val="20"/>
          <w:szCs w:val="20"/>
          <w:lang w:val="es-MX"/>
        </w:rPr>
      </w:pPr>
      <w:r w:rsidRPr="00AD3702">
        <w:rPr>
          <w:rFonts w:ascii="Verdana" w:eastAsia="Calibri" w:hAnsi="Verdana" w:cs="Arial"/>
          <w:sz w:val="20"/>
          <w:szCs w:val="20"/>
          <w:lang w:val="es-MX"/>
        </w:rPr>
        <w:t xml:space="preserve">“[…] </w:t>
      </w:r>
      <w:r w:rsidRPr="00AD3702">
        <w:rPr>
          <w:rFonts w:ascii="Verdana" w:eastAsia="Calibri" w:hAnsi="Verdana" w:cs="Arial"/>
          <w:sz w:val="20"/>
          <w:szCs w:val="20"/>
        </w:rPr>
        <w:t xml:space="preserve">De un lado, los </w:t>
      </w:r>
      <w:r w:rsidRPr="00AD3702">
        <w:rPr>
          <w:rFonts w:ascii="Verdana" w:eastAsia="Calibri" w:hAnsi="Verdana" w:cs="Arial"/>
          <w:i/>
          <w:iCs/>
          <w:sz w:val="20"/>
          <w:szCs w:val="20"/>
        </w:rPr>
        <w:t>contratos del artículo 355 de la Constitución Política</w:t>
      </w:r>
      <w:r w:rsidRPr="00AD3702">
        <w:rPr>
          <w:rFonts w:ascii="Verdana" w:eastAsia="Calibri" w:hAnsi="Verdana" w:cs="Arial"/>
          <w:sz w:val="20"/>
          <w:szCs w:val="20"/>
        </w:rPr>
        <w:t xml:space="preserve">, también llamados contratos de colaboración,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r w:rsidRPr="00AD3702">
        <w:rPr>
          <w:rFonts w:ascii="Verdana" w:eastAsia="Calibri" w:hAnsi="Verdana" w:cs="Arial"/>
          <w:sz w:val="20"/>
          <w:szCs w:val="20"/>
          <w:lang w:val="es-MX"/>
        </w:rPr>
        <w:t>[…]”</w:t>
      </w:r>
    </w:p>
    <w:p w14:paraId="24C593D6" w14:textId="77777777" w:rsidR="00AD3702" w:rsidRPr="00AD3702" w:rsidRDefault="00AD3702" w:rsidP="00AD3702">
      <w:pPr>
        <w:spacing w:after="0" w:line="240" w:lineRule="auto"/>
        <w:jc w:val="both"/>
        <w:rPr>
          <w:rFonts w:ascii="Verdana" w:eastAsia="Calibri" w:hAnsi="Verdana" w:cs="Arial"/>
          <w:b/>
          <w:bCs/>
          <w:sz w:val="20"/>
          <w:szCs w:val="20"/>
          <w:lang w:val="es-ES" w:eastAsia="es-ES"/>
        </w:rPr>
      </w:pPr>
    </w:p>
    <w:p w14:paraId="4AC54192" w14:textId="77777777" w:rsidR="00AD3702" w:rsidRPr="00AD3702" w:rsidRDefault="00AD3702" w:rsidP="00AD3702">
      <w:pPr>
        <w:spacing w:line="276" w:lineRule="auto"/>
        <w:jc w:val="both"/>
        <w:rPr>
          <w:rFonts w:ascii="Verdana" w:eastAsia="Calibri" w:hAnsi="Verdana" w:cs="Arial"/>
          <w:b/>
          <w:bCs/>
          <w:lang w:val="es-ES" w:eastAsia="es-ES"/>
        </w:rPr>
      </w:pPr>
      <w:r w:rsidRPr="00AD3702">
        <w:rPr>
          <w:rFonts w:ascii="Verdana" w:eastAsia="Calibri" w:hAnsi="Verdana" w:cs="Arial"/>
          <w:b/>
          <w:bCs/>
          <w:lang w:val="es-ES" w:eastAsia="es-ES"/>
        </w:rPr>
        <w:t xml:space="preserve">CONTRATACIÓN CON ESAL – Convenios de asociación – Objeto – Alcance – Aportes </w:t>
      </w:r>
    </w:p>
    <w:p w14:paraId="0C716D29" w14:textId="77777777" w:rsidR="00AD3702" w:rsidRPr="00AD3702" w:rsidRDefault="00AD3702" w:rsidP="00AD3702">
      <w:pPr>
        <w:spacing w:after="0" w:line="240" w:lineRule="auto"/>
        <w:jc w:val="both"/>
        <w:rPr>
          <w:rFonts w:ascii="Verdana" w:eastAsia="Calibri" w:hAnsi="Verdana" w:cs="Arial"/>
          <w:sz w:val="20"/>
          <w:szCs w:val="20"/>
          <w:lang w:val="es-MX"/>
        </w:rPr>
      </w:pPr>
      <w:r w:rsidRPr="00AD3702">
        <w:rPr>
          <w:rFonts w:ascii="Verdana" w:eastAsia="Calibri" w:hAnsi="Verdana" w:cs="Arial"/>
          <w:sz w:val="20"/>
          <w:szCs w:val="20"/>
          <w:lang w:val="es-MX"/>
        </w:rPr>
        <w:t>“[…] De otro lado, los convenios de asociación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76757FAE" w14:textId="77777777" w:rsidR="00AD3702" w:rsidRPr="00AD3702" w:rsidRDefault="00AD3702" w:rsidP="00AD3702">
      <w:pPr>
        <w:spacing w:after="0" w:line="240" w:lineRule="auto"/>
        <w:jc w:val="both"/>
        <w:rPr>
          <w:rFonts w:ascii="Verdana" w:eastAsia="Calibri" w:hAnsi="Verdana" w:cs="Arial"/>
          <w:b/>
          <w:bCs/>
          <w:sz w:val="20"/>
          <w:szCs w:val="20"/>
          <w:lang w:val="es-MX"/>
        </w:rPr>
      </w:pPr>
    </w:p>
    <w:p w14:paraId="14B0227C" w14:textId="77777777" w:rsidR="00AD3702" w:rsidRPr="00AD3702" w:rsidRDefault="00AD3702" w:rsidP="00AD3702">
      <w:pPr>
        <w:spacing w:after="0" w:line="240" w:lineRule="auto"/>
        <w:jc w:val="both"/>
        <w:rPr>
          <w:rFonts w:ascii="Verdana" w:eastAsia="Calibri" w:hAnsi="Verdana" w:cs="Arial"/>
          <w:sz w:val="20"/>
          <w:szCs w:val="20"/>
          <w:lang w:val="es-MX"/>
        </w:rPr>
      </w:pPr>
      <w:r w:rsidRPr="00AD3702">
        <w:rPr>
          <w:rFonts w:ascii="Verdana" w:eastAsia="Calibri" w:hAnsi="Verdana" w:cs="Arial"/>
          <w:sz w:val="20"/>
          <w:szCs w:val="20"/>
          <w:lang w:val="es-MX"/>
        </w:rPr>
        <w:t>[…] corresponde a la autonomía de la voluntad y a la discrecionalidad de la entidad estatal determinar el conjunto de actividades relacionadas con los cometidos y funciones que les asigna la Ley, de conformidad con el artículo 5 del Decreto 092 de 2017, y establecer la cuantía de su ejecución para, con base en ello, determinar el montó en dinero al cual equivale el 30% que debería aportar la ESAL, a fin de que el proceso de selección no esté sometido a competencia. Es decir, el porcentaje de 30% que debe aportar la ESAL como mínimo para evitar el proceso competitivo se calcula sobre el valor total del objeto del convenio de asociación, determinado por la entidad estatal. Ahora bien, tal como lo indica el mismo artículo 5 del Decreto 092 de 2017, si hay más de una ESAL que ofrezca su compromiso de recursos en dinero en una proporción no inferior al 30% del valor total del convenio, la entidad estatal debe seleccionar de forma objetiva, es decir, a través de un proceso competitivo, a la ESAL y justificar los criterios para tal selección. […]”</w:t>
      </w:r>
    </w:p>
    <w:p w14:paraId="4427B4A8" w14:textId="77777777" w:rsidR="00AD3702" w:rsidRPr="00AD3702" w:rsidRDefault="00AD3702" w:rsidP="00AD3702">
      <w:pPr>
        <w:spacing w:after="0" w:line="240" w:lineRule="auto"/>
        <w:jc w:val="both"/>
        <w:rPr>
          <w:rFonts w:ascii="Verdana" w:eastAsia="Calibri" w:hAnsi="Verdana" w:cs="Arial"/>
          <w:sz w:val="20"/>
          <w:szCs w:val="20"/>
          <w:lang w:val="es-MX"/>
        </w:rPr>
      </w:pPr>
    </w:p>
    <w:p w14:paraId="424A610E" w14:textId="77777777" w:rsidR="00AD3702" w:rsidRPr="00AD3702" w:rsidRDefault="00AD3702" w:rsidP="00AD3702">
      <w:pPr>
        <w:spacing w:after="0" w:line="240" w:lineRule="auto"/>
        <w:jc w:val="both"/>
        <w:rPr>
          <w:rFonts w:ascii="Verdana" w:eastAsia="Calibri" w:hAnsi="Verdana" w:cs="Arial"/>
          <w:b/>
          <w:bCs/>
          <w:lang w:val="es-ES" w:eastAsia="es-ES"/>
        </w:rPr>
      </w:pPr>
      <w:r w:rsidRPr="00AD3702">
        <w:rPr>
          <w:rFonts w:ascii="Verdana" w:eastAsia="Calibri" w:hAnsi="Verdana" w:cs="Arial"/>
          <w:b/>
          <w:bCs/>
          <w:lang w:val="es-ES" w:eastAsia="es-ES"/>
        </w:rPr>
        <w:t xml:space="preserve">COSTOS INDIRECTOS – Contratos de colaboración – Convenios de asociación </w:t>
      </w:r>
    </w:p>
    <w:p w14:paraId="3A7A2FA0" w14:textId="77777777" w:rsidR="00AD3702" w:rsidRPr="00AD3702" w:rsidRDefault="00AD3702" w:rsidP="00AD3702">
      <w:pPr>
        <w:spacing w:after="0" w:line="240" w:lineRule="auto"/>
        <w:jc w:val="both"/>
        <w:rPr>
          <w:rFonts w:ascii="Verdana" w:eastAsia="Calibri" w:hAnsi="Verdana" w:cs="Arial"/>
          <w:b/>
          <w:bCs/>
          <w:sz w:val="20"/>
          <w:szCs w:val="20"/>
          <w:lang w:val="es-ES" w:eastAsia="es-ES"/>
        </w:rPr>
      </w:pPr>
    </w:p>
    <w:p w14:paraId="7C81E949" w14:textId="77777777" w:rsidR="00AD3702" w:rsidRPr="00AD3702" w:rsidRDefault="00AD3702" w:rsidP="00AD3702">
      <w:pPr>
        <w:spacing w:after="120" w:line="240" w:lineRule="auto"/>
        <w:jc w:val="both"/>
        <w:rPr>
          <w:rFonts w:ascii="Verdana" w:eastAsia="Calibri" w:hAnsi="Verdana" w:cs="Arial"/>
          <w:sz w:val="20"/>
          <w:szCs w:val="20"/>
        </w:rPr>
      </w:pPr>
      <w:r w:rsidRPr="00AD3702">
        <w:rPr>
          <w:rFonts w:ascii="Verdana" w:eastAsia="Calibri" w:hAnsi="Verdana" w:cs="Arial"/>
          <w:sz w:val="20"/>
          <w:szCs w:val="20"/>
          <w:lang w:val="es-MX"/>
        </w:rPr>
        <w:t xml:space="preserve">[…] </w:t>
      </w:r>
      <w:r w:rsidRPr="00AD3702">
        <w:rPr>
          <w:rFonts w:ascii="Verdana" w:eastAsia="Calibri" w:hAnsi="Verdana" w:cs="Arial"/>
          <w:sz w:val="20"/>
          <w:szCs w:val="20"/>
        </w:rPr>
        <w:t xml:space="preserve">Lo anterior evidencia que en estos contratos por colaboración y convenios de asociación las partes que los celebran no pactan un precio o remuneración. No obstante, lo cierto es que, en atención al principio de planeación, si debe quedar establecido las obligaciones y aportes que corresponde a cada una de las partes. </w:t>
      </w:r>
    </w:p>
    <w:p w14:paraId="1EDF7F65" w14:textId="77777777" w:rsidR="00AD3702" w:rsidRPr="00AD3702" w:rsidRDefault="00AD3702" w:rsidP="00AD3702">
      <w:pPr>
        <w:spacing w:after="120" w:line="240" w:lineRule="auto"/>
        <w:jc w:val="both"/>
        <w:rPr>
          <w:rFonts w:ascii="Verdana" w:eastAsia="Calibri" w:hAnsi="Verdana" w:cs="Arial"/>
          <w:sz w:val="20"/>
          <w:szCs w:val="20"/>
        </w:rPr>
      </w:pPr>
      <w:r w:rsidRPr="00AD3702">
        <w:rPr>
          <w:rFonts w:ascii="Verdana" w:eastAsia="Calibri" w:hAnsi="Verdana" w:cs="Arial"/>
          <w:sz w:val="20"/>
          <w:szCs w:val="20"/>
        </w:rPr>
        <w:lastRenderedPageBreak/>
        <w:t xml:space="preserve">En ese contexto, el inciso segundo del artículo 96 de la Ley 489 de 1998 establece que en los convenios de asociación debe determinarse “con precisión su objeto, término, </w:t>
      </w:r>
      <w:r w:rsidRPr="00AD3702">
        <w:rPr>
          <w:rFonts w:ascii="Verdana" w:eastAsia="Calibri" w:hAnsi="Verdana" w:cs="Arial"/>
          <w:i/>
          <w:iCs/>
          <w:sz w:val="20"/>
          <w:szCs w:val="20"/>
        </w:rPr>
        <w:t>obligaciones de las partes, aportes, coordinación y todos aquellos aspectos que se consideren pertinentes</w:t>
      </w:r>
      <w:r w:rsidRPr="00AD3702">
        <w:rPr>
          <w:rFonts w:ascii="Verdana" w:eastAsia="Calibri" w:hAnsi="Verdana" w:cs="Arial"/>
          <w:sz w:val="20"/>
          <w:szCs w:val="20"/>
        </w:rPr>
        <w:t xml:space="preserve">”. Dentro de estos elementos resalta la exigencia de determinar con precisión las obligaciones de las partes y los aportes, por lo cual en los convenios de asociación puede estipularse que una de las obligaciones a cargo de una de partes sea lo referente a las labores administrativas necesarias para el desarrollo del objeto contractual. Así mismo, puede estipularse que un determinado porcentaje o monto del aporte se destine a los gastos administrativos en los que se incurra para ejecutar la actividad a realizar. Conforme lo expuesto en este concepto dichas estipulaciones no deben entenderse como una contraprestación para algunas de las partes o no pueden estar destinadas a remunerar a la ESAL o a la Entidad Pública que participe del convenio. </w:t>
      </w:r>
      <w:r w:rsidRPr="00AD3702">
        <w:rPr>
          <w:rFonts w:ascii="Verdana" w:eastAsia="Calibri" w:hAnsi="Verdana" w:cs="Arial"/>
          <w:sz w:val="20"/>
          <w:szCs w:val="20"/>
          <w:lang w:val="es-MX"/>
        </w:rPr>
        <w:t>[…]</w:t>
      </w:r>
    </w:p>
    <w:p w14:paraId="7F27127D" w14:textId="77777777" w:rsidR="00AD3702" w:rsidRPr="00AD3702" w:rsidRDefault="00AD3702" w:rsidP="00AD3702">
      <w:pPr>
        <w:spacing w:line="276" w:lineRule="auto"/>
        <w:jc w:val="both"/>
        <w:rPr>
          <w:rFonts w:ascii="Verdana" w:eastAsia="Calibri" w:hAnsi="Verdana" w:cs="Arial"/>
          <w:b/>
          <w:bCs/>
          <w:lang w:val="es-ES" w:eastAsia="es-ES"/>
        </w:rPr>
      </w:pPr>
      <w:r w:rsidRPr="00AD3702">
        <w:rPr>
          <w:rFonts w:ascii="Verdana" w:eastAsia="Calibri" w:hAnsi="Verdana" w:cs="Arial"/>
          <w:b/>
          <w:bCs/>
          <w:lang w:val="es-ES" w:eastAsia="es-ES"/>
        </w:rPr>
        <w:t>DECRETO 092 DE 2017 – Conmutatividad</w:t>
      </w:r>
    </w:p>
    <w:p w14:paraId="18FD4C95" w14:textId="77777777" w:rsidR="00AD3702" w:rsidRPr="00AD3702" w:rsidRDefault="00AD3702" w:rsidP="00AD3702">
      <w:pPr>
        <w:spacing w:after="0" w:line="256" w:lineRule="auto"/>
        <w:jc w:val="both"/>
        <w:rPr>
          <w:rFonts w:ascii="Verdana" w:eastAsia="Times New Roman" w:hAnsi="Verdana" w:cs="Arial"/>
          <w:noProof/>
          <w:sz w:val="20"/>
          <w:szCs w:val="20"/>
          <w:lang w:val="es-ES_tradnl" w:eastAsia="es-ES_tradnl"/>
        </w:rPr>
      </w:pPr>
      <w:r w:rsidRPr="00AD3702">
        <w:rPr>
          <w:rFonts w:ascii="Verdana" w:eastAsia="Century Gothic" w:hAnsi="Verdana" w:cs="Century Gothic"/>
          <w:sz w:val="20"/>
          <w:szCs w:val="20"/>
          <w:lang w:val="es-ES"/>
        </w:rPr>
        <w:t xml:space="preserve">“[…] </w:t>
      </w:r>
      <w:r w:rsidRPr="00AD3702">
        <w:rPr>
          <w:rFonts w:ascii="Verdana" w:eastAsia="Times New Roman" w:hAnsi="Verdana" w:cs="Arial"/>
          <w:noProof/>
          <w:sz w:val="20"/>
          <w:szCs w:val="20"/>
          <w:lang w:val="es-ES_tradnl" w:eastAsia="es-ES_tradnl"/>
        </w:rPr>
        <w:t>Respecto de su pregunta sobre el significado de “conmutativo”, según el diccionario de la RAE el contrato conmutativo es “contrato bilateral en que las prestaciones recíprocas son determinadas (…)”, adicionalmente la Guía para la contratación con entidades privadas sin ánimo de lucro y de reconocida idoneidad de Colombia Compra Eficiente señala que:</w:t>
      </w:r>
    </w:p>
    <w:p w14:paraId="486FBDAE" w14:textId="77777777" w:rsidR="00AD3702" w:rsidRPr="00AD3702" w:rsidRDefault="00AD3702" w:rsidP="00AD3702">
      <w:pPr>
        <w:spacing w:after="0" w:line="256" w:lineRule="auto"/>
        <w:jc w:val="both"/>
        <w:rPr>
          <w:rFonts w:ascii="Verdana" w:eastAsia="Times New Roman" w:hAnsi="Verdana" w:cs="Arial"/>
          <w:noProof/>
          <w:sz w:val="20"/>
          <w:szCs w:val="20"/>
          <w:lang w:val="es-ES_tradnl" w:eastAsia="es-ES_tradnl"/>
        </w:rPr>
      </w:pPr>
    </w:p>
    <w:p w14:paraId="01CC95FB" w14:textId="77777777" w:rsidR="00AD3702" w:rsidRPr="00AD3702" w:rsidRDefault="00AD3702" w:rsidP="00AD3702">
      <w:pPr>
        <w:spacing w:after="0" w:line="256" w:lineRule="auto"/>
        <w:jc w:val="both"/>
        <w:rPr>
          <w:rFonts w:ascii="Verdana" w:eastAsia="Times New Roman" w:hAnsi="Verdana" w:cs="Arial"/>
          <w:noProof/>
          <w:sz w:val="20"/>
          <w:szCs w:val="20"/>
          <w:lang w:val="es-ES_tradnl" w:eastAsia="es-ES_tradnl"/>
        </w:rPr>
      </w:pPr>
      <w:r w:rsidRPr="00AD3702">
        <w:rPr>
          <w:rFonts w:ascii="Verdana" w:eastAsia="Times New Roman" w:hAnsi="Verdana" w:cs="Arial"/>
          <w:noProof/>
          <w:sz w:val="20"/>
          <w:szCs w:val="20"/>
          <w:lang w:val="es-ES_tradnl" w:eastAsia="es-ES_tradnl"/>
        </w:rPr>
        <w:t>“no genera cargas equivalentes o recíprocas y por tanto la Entidad Estatal contratante no instruye a la entidad privada sin ánimo de lucro para desarrollar los programas o actividades previstas. El artículo 1498 del Código Civil Colombiano dispone que el contrato es conmutativo cuando cada una de las partes se obliga a dar o hacer una cosa que se mira como equivalente a lo que la otra parte debe dar o hacer a su vez. Los contratos suscritos en desarrollo del artículo 355 de la Constitución Política y el Decreto 092 de 2017 no son este tipo, puesto que la Entidad Estatal no adquiere bienes o servicios ni encarga la ejecución de una obra de acuerdo con sus precisas instrucciones. En este caso la Entidad Estatal decide desarrollar un programa o actividad del plan de desarrollo en beneficio de la población en general. La contratación autorizada por el artículo 355 de la Constitución Política es un instrumento de política pública distinto al Sistema de Compra Pública. El Sistema de Compra Pública está encaminado a que las Entidades Estatales adquieran y se provean de los elementos que ofrece el mercado privado para cumplir sus fines. Cuando la Entidad Estatal utiliza el Sistema de Compra Pública está en una relación contractual conmutativa, pues recibe bienes, obras o servicios a cambio de sus recursos presupuestales”.</w:t>
      </w:r>
      <w:r w:rsidRPr="00AD3702">
        <w:rPr>
          <w:rFonts w:ascii="Verdana" w:eastAsia="Century Gothic" w:hAnsi="Verdana" w:cs="Century Gothic"/>
          <w:sz w:val="20"/>
          <w:szCs w:val="20"/>
          <w:lang w:val="es-ES"/>
        </w:rPr>
        <w:t xml:space="preserve"> […]”</w:t>
      </w:r>
    </w:p>
    <w:p w14:paraId="040A96E2" w14:textId="77777777" w:rsidR="00AD3702" w:rsidRPr="00AD3702" w:rsidRDefault="00AD3702" w:rsidP="00E245AB">
      <w:pPr>
        <w:spacing w:after="0"/>
        <w:rPr>
          <w:rFonts w:ascii="Verdana" w:hAnsi="Verdana"/>
        </w:rPr>
      </w:pPr>
    </w:p>
    <w:p w14:paraId="2EFC5A9E" w14:textId="77777777" w:rsidR="00AD3702" w:rsidRPr="00AD3702" w:rsidRDefault="00AD3702" w:rsidP="00E245AB">
      <w:pPr>
        <w:spacing w:after="0"/>
        <w:rPr>
          <w:rFonts w:ascii="Verdana" w:hAnsi="Verdana"/>
        </w:rPr>
      </w:pPr>
    </w:p>
    <w:p w14:paraId="3A6CFCAE" w14:textId="77777777" w:rsidR="00AD3702" w:rsidRPr="00AD3702" w:rsidRDefault="00AD3702" w:rsidP="00E245AB">
      <w:pPr>
        <w:spacing w:after="0"/>
        <w:rPr>
          <w:rFonts w:ascii="Verdana" w:hAnsi="Verdana"/>
        </w:rPr>
      </w:pPr>
    </w:p>
    <w:p w14:paraId="17EAC5D0" w14:textId="77777777" w:rsidR="00AD3702" w:rsidRPr="00AD3702" w:rsidRDefault="00AD3702" w:rsidP="00E245AB">
      <w:pPr>
        <w:spacing w:after="0"/>
        <w:rPr>
          <w:rFonts w:ascii="Verdana" w:hAnsi="Verdana"/>
        </w:rPr>
      </w:pPr>
    </w:p>
    <w:p w14:paraId="1498C465" w14:textId="77777777" w:rsidR="00AD3702" w:rsidRPr="00AD3702" w:rsidRDefault="00AD3702" w:rsidP="00E245AB">
      <w:pPr>
        <w:spacing w:after="0"/>
        <w:rPr>
          <w:rFonts w:ascii="Verdana" w:hAnsi="Verdana"/>
        </w:rPr>
      </w:pPr>
    </w:p>
    <w:p w14:paraId="47CD7774" w14:textId="77777777" w:rsidR="00AD3702" w:rsidRPr="00AD3702" w:rsidRDefault="00AD3702" w:rsidP="00E245AB">
      <w:pPr>
        <w:spacing w:after="0"/>
        <w:rPr>
          <w:rFonts w:ascii="Verdana" w:hAnsi="Verdana"/>
        </w:rPr>
      </w:pPr>
    </w:p>
    <w:p w14:paraId="4EF48C23" w14:textId="77777777" w:rsidR="00AD3702" w:rsidRPr="00AD3702" w:rsidRDefault="00AD3702" w:rsidP="00E245AB">
      <w:pPr>
        <w:spacing w:after="0"/>
        <w:rPr>
          <w:rFonts w:ascii="Verdana" w:hAnsi="Verdana"/>
        </w:rPr>
      </w:pPr>
    </w:p>
    <w:p w14:paraId="49EC9D17" w14:textId="77777777" w:rsidR="00AD3702" w:rsidRDefault="00AD3702" w:rsidP="00E245AB">
      <w:pPr>
        <w:spacing w:after="0"/>
        <w:rPr>
          <w:rFonts w:ascii="Verdana" w:hAnsi="Verdana"/>
        </w:rPr>
      </w:pPr>
    </w:p>
    <w:p w14:paraId="3FE2184B" w14:textId="254B0431" w:rsidR="00E245AB" w:rsidRPr="00417948" w:rsidRDefault="00E245AB" w:rsidP="00E245AB">
      <w:pPr>
        <w:spacing w:after="0"/>
        <w:rPr>
          <w:rFonts w:ascii="Verdana" w:hAnsi="Verdana"/>
          <w:highlight w:val="cyan"/>
        </w:rPr>
      </w:pPr>
      <w:r w:rsidRPr="00417948">
        <w:rPr>
          <w:rFonts w:ascii="Verdana" w:hAnsi="Verdana"/>
        </w:rPr>
        <w:lastRenderedPageBreak/>
        <w:t xml:space="preserve">Bogotá D.C., </w:t>
      </w:r>
      <w:r w:rsidR="00FE4D41" w:rsidRPr="00417948">
        <w:rPr>
          <w:rFonts w:ascii="Verdana" w:hAnsi="Verdana"/>
        </w:rPr>
        <w:t>12 de noviembre del 2024</w:t>
      </w:r>
    </w:p>
    <w:p w14:paraId="5FCADBF9" w14:textId="77777777" w:rsidR="00E245AB" w:rsidRPr="00417948" w:rsidRDefault="00E245AB" w:rsidP="00E245AB">
      <w:pPr>
        <w:spacing w:after="0"/>
        <w:rPr>
          <w:rFonts w:ascii="Verdana" w:hAnsi="Verdana"/>
          <w:highlight w:val="cyan"/>
        </w:rPr>
      </w:pPr>
    </w:p>
    <w:p w14:paraId="0465BA6D" w14:textId="7546A5FC" w:rsidR="00E245AB" w:rsidRPr="00417948" w:rsidRDefault="008F7861" w:rsidP="008F7861">
      <w:pPr>
        <w:spacing w:after="0"/>
        <w:jc w:val="right"/>
        <w:rPr>
          <w:rFonts w:ascii="Verdana" w:hAnsi="Verdana"/>
          <w:highlight w:val="cyan"/>
        </w:rPr>
      </w:pPr>
      <w:r w:rsidRPr="00417948">
        <w:rPr>
          <w:rFonts w:ascii="Verdana" w:hAnsi="Verdana"/>
        </w:rPr>
        <w:drawing>
          <wp:inline distT="0" distB="0" distL="0" distR="0" wp14:anchorId="325ABD98" wp14:editId="448AB531">
            <wp:extent cx="3286584" cy="943107"/>
            <wp:effectExtent l="0" t="0" r="0" b="9525"/>
            <wp:docPr id="7976038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03838" name="Imagen 1" descr="Texto&#10;&#10;Descripción generada automáticamente"/>
                    <pic:cNvPicPr/>
                  </pic:nvPicPr>
                  <pic:blipFill>
                    <a:blip r:embed="rId11"/>
                    <a:stretch>
                      <a:fillRect/>
                    </a:stretch>
                  </pic:blipFill>
                  <pic:spPr>
                    <a:xfrm>
                      <a:off x="0" y="0"/>
                      <a:ext cx="3286584" cy="943107"/>
                    </a:xfrm>
                    <a:prstGeom prst="rect">
                      <a:avLst/>
                    </a:prstGeom>
                  </pic:spPr>
                </pic:pic>
              </a:graphicData>
            </a:graphic>
          </wp:inline>
        </w:drawing>
      </w:r>
    </w:p>
    <w:bookmarkEnd w:id="0"/>
    <w:p w14:paraId="4A36BCA8" w14:textId="77777777" w:rsidR="00F777FC" w:rsidRPr="00417948" w:rsidRDefault="00F777FC" w:rsidP="00F777FC">
      <w:pPr>
        <w:spacing w:after="0" w:line="240" w:lineRule="auto"/>
        <w:jc w:val="both"/>
        <w:rPr>
          <w:rFonts w:ascii="Verdana" w:eastAsia="Calibri" w:hAnsi="Verdana" w:cs="Arial"/>
          <w:lang w:val="es-ES" w:eastAsia="es-ES"/>
        </w:rPr>
      </w:pPr>
      <w:r w:rsidRPr="00417948">
        <w:rPr>
          <w:rFonts w:ascii="Verdana" w:eastAsia="Calibri" w:hAnsi="Verdana" w:cs="Arial"/>
          <w:lang w:val="es-ES" w:eastAsia="es-ES"/>
        </w:rPr>
        <w:t>Señora:</w:t>
      </w:r>
    </w:p>
    <w:p w14:paraId="30F05173" w14:textId="6CAF4FA8" w:rsidR="00F777FC" w:rsidRPr="00417948" w:rsidRDefault="00D44D47" w:rsidP="00F777FC">
      <w:pPr>
        <w:spacing w:after="0" w:line="240" w:lineRule="auto"/>
        <w:rPr>
          <w:rFonts w:ascii="Verdana" w:eastAsia="Calibri" w:hAnsi="Verdana" w:cs="Arial"/>
          <w:b/>
          <w:lang w:val="es-ES" w:eastAsia="es-ES"/>
        </w:rPr>
      </w:pPr>
      <w:r w:rsidRPr="00417948">
        <w:rPr>
          <w:rFonts w:ascii="Verdana" w:eastAsia="Calibri" w:hAnsi="Verdana" w:cs="Arial"/>
          <w:b/>
          <w:lang w:val="es-ES" w:eastAsia="es-ES"/>
        </w:rPr>
        <w:t>Carla Susana Ardila Téllez</w:t>
      </w:r>
    </w:p>
    <w:p w14:paraId="7E060ADE" w14:textId="211EF734" w:rsidR="00D22EAB" w:rsidRPr="00417948" w:rsidRDefault="00D22EAB" w:rsidP="00F777FC">
      <w:pPr>
        <w:spacing w:after="0" w:line="240" w:lineRule="auto"/>
        <w:rPr>
          <w:rFonts w:ascii="Verdana" w:eastAsia="Calibri" w:hAnsi="Verdana" w:cs="Arial"/>
          <w:bCs/>
          <w:lang w:val="es-ES" w:eastAsia="es-ES"/>
        </w:rPr>
      </w:pPr>
      <w:r w:rsidRPr="00417948">
        <w:rPr>
          <w:rFonts w:ascii="Verdana" w:eastAsia="Calibri" w:hAnsi="Verdana" w:cs="Arial"/>
          <w:bCs/>
          <w:lang w:val="es-ES" w:eastAsia="es-ES"/>
        </w:rPr>
        <w:t xml:space="preserve">Alcaldía Municipal de Jesús María </w:t>
      </w:r>
    </w:p>
    <w:p w14:paraId="2A0FA52E" w14:textId="6D70B8C7" w:rsidR="00D22EAB" w:rsidRPr="00417948" w:rsidRDefault="00D22EAB" w:rsidP="00F777FC">
      <w:pPr>
        <w:spacing w:after="0" w:line="240" w:lineRule="auto"/>
        <w:rPr>
          <w:rFonts w:ascii="Verdana" w:hAnsi="Verdana"/>
        </w:rPr>
      </w:pPr>
      <w:hyperlink r:id="rId12" w:history="1">
        <w:r w:rsidRPr="00417948">
          <w:rPr>
            <w:rStyle w:val="Hipervnculo"/>
            <w:rFonts w:ascii="Verdana" w:hAnsi="Verdana"/>
          </w:rPr>
          <w:t>salud@jesusmaria-santander.gov.co</w:t>
        </w:r>
      </w:hyperlink>
    </w:p>
    <w:p w14:paraId="2FDB650B" w14:textId="6ADA3E75" w:rsidR="00F777FC" w:rsidRPr="00417948" w:rsidRDefault="00D22EAB" w:rsidP="00F777FC">
      <w:pPr>
        <w:spacing w:after="0" w:line="240" w:lineRule="auto"/>
        <w:rPr>
          <w:rFonts w:ascii="Verdana" w:hAnsi="Verdana"/>
        </w:rPr>
      </w:pPr>
      <w:r w:rsidRPr="00417948">
        <w:rPr>
          <w:rFonts w:ascii="Verdana" w:eastAsia="Calibri" w:hAnsi="Verdana" w:cs="Arial"/>
          <w:bCs/>
          <w:lang w:val="es-ES" w:eastAsia="es-ES"/>
        </w:rPr>
        <w:t>Jesús María</w:t>
      </w:r>
      <w:r w:rsidR="00F777FC" w:rsidRPr="00417948">
        <w:rPr>
          <w:rFonts w:ascii="Verdana" w:eastAsia="Calibri" w:hAnsi="Verdana" w:cs="Arial"/>
          <w:lang w:val="es-ES" w:eastAsia="es-ES"/>
        </w:rPr>
        <w:t xml:space="preserve">, </w:t>
      </w:r>
      <w:r w:rsidRPr="00417948">
        <w:rPr>
          <w:rFonts w:ascii="Verdana" w:eastAsia="Calibri" w:hAnsi="Verdana" w:cs="Arial"/>
          <w:lang w:val="es-ES" w:eastAsia="es-ES"/>
        </w:rPr>
        <w:t>Santander</w:t>
      </w:r>
      <w:r w:rsidR="00F777FC" w:rsidRPr="00417948">
        <w:rPr>
          <w:rFonts w:ascii="Verdana" w:eastAsia="Calibri" w:hAnsi="Verdana" w:cs="Arial"/>
          <w:lang w:val="es-ES" w:eastAsia="es-ES"/>
        </w:rPr>
        <w:t xml:space="preserve"> </w:t>
      </w:r>
    </w:p>
    <w:p w14:paraId="0EC01E1B" w14:textId="77777777" w:rsidR="00F777FC" w:rsidRPr="00417948" w:rsidRDefault="00F777FC" w:rsidP="00F777FC">
      <w:pPr>
        <w:spacing w:after="0" w:line="240" w:lineRule="auto"/>
        <w:rPr>
          <w:rFonts w:ascii="Verdana" w:eastAsia="Calibri" w:hAnsi="Verdana" w:cs="Arial"/>
          <w:b/>
          <w:bCs/>
          <w:highlight w:val="cyan"/>
          <w:lang w:val="es-ES_tradnl" w:eastAsia="es-ES_tradnl"/>
        </w:rPr>
      </w:pPr>
    </w:p>
    <w:p w14:paraId="7B4FB3BE" w14:textId="77777777" w:rsidR="00F777FC" w:rsidRPr="00417948" w:rsidRDefault="00F777FC" w:rsidP="00F777FC">
      <w:pPr>
        <w:spacing w:after="0" w:line="240" w:lineRule="auto"/>
        <w:rPr>
          <w:rFonts w:ascii="Verdana" w:eastAsia="Calibri" w:hAnsi="Verdana" w:cs="Arial"/>
          <w:b/>
          <w:bCs/>
          <w:highlight w:val="cyan"/>
          <w:lang w:val="es-ES_tradnl" w:eastAsia="es-ES_tradnl"/>
        </w:rPr>
      </w:pPr>
    </w:p>
    <w:p w14:paraId="3BAF7A3B" w14:textId="77777777" w:rsidR="00F777FC" w:rsidRPr="00417948" w:rsidRDefault="00F777FC" w:rsidP="00F777FC">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777FC" w:rsidRPr="00417948" w14:paraId="6B036666" w14:textId="77777777" w:rsidTr="00227682">
        <w:trPr>
          <w:trHeight w:val="884"/>
        </w:trPr>
        <w:tc>
          <w:tcPr>
            <w:tcW w:w="2689" w:type="dxa"/>
          </w:tcPr>
          <w:p w14:paraId="55F10D2A" w14:textId="77777777" w:rsidR="00F777FC" w:rsidRPr="00417948" w:rsidRDefault="00F777FC" w:rsidP="00227682">
            <w:pPr>
              <w:jc w:val="both"/>
              <w:rPr>
                <w:rFonts w:ascii="Verdana" w:eastAsia="Calibri" w:hAnsi="Verdana" w:cs="Arial"/>
                <w:b/>
                <w:bCs/>
                <w:highlight w:val="cyan"/>
                <w:lang w:val="es-ES_tradnl" w:eastAsia="es-ES_tradnl"/>
              </w:rPr>
            </w:pPr>
          </w:p>
        </w:tc>
        <w:tc>
          <w:tcPr>
            <w:tcW w:w="6100" w:type="dxa"/>
          </w:tcPr>
          <w:p w14:paraId="1B92D508" w14:textId="5764AE55" w:rsidR="00F777FC" w:rsidRPr="00417948" w:rsidRDefault="00F777FC" w:rsidP="00227682">
            <w:pPr>
              <w:jc w:val="both"/>
              <w:rPr>
                <w:rFonts w:ascii="Verdana" w:eastAsia="Calibri" w:hAnsi="Verdana" w:cs="Arial"/>
                <w:b/>
                <w:bCs/>
                <w:lang w:val="es-ES" w:eastAsia="es-ES"/>
              </w:rPr>
            </w:pPr>
            <w:r w:rsidRPr="00417948">
              <w:rPr>
                <w:rFonts w:ascii="Verdana" w:eastAsia="Calibri" w:hAnsi="Verdana" w:cs="Arial"/>
                <w:b/>
                <w:bCs/>
                <w:lang w:val="es-ES" w:eastAsia="es-ES"/>
              </w:rPr>
              <w:t xml:space="preserve">Concepto </w:t>
            </w:r>
            <w:r w:rsidRPr="00417948">
              <w:rPr>
                <w:rFonts w:ascii="Verdana" w:eastAsia="Calibri" w:hAnsi="Verdana" w:cs="Arial"/>
                <w:b/>
                <w:bCs/>
                <w:lang w:eastAsia="es-ES"/>
              </w:rPr>
              <w:t>C-</w:t>
            </w:r>
            <w:r w:rsidR="00EC1EC8" w:rsidRPr="00417948">
              <w:rPr>
                <w:rFonts w:ascii="Verdana" w:eastAsia="Calibri" w:hAnsi="Verdana" w:cs="Arial"/>
                <w:b/>
                <w:bCs/>
                <w:lang w:eastAsia="es-ES"/>
              </w:rPr>
              <w:t>704</w:t>
            </w:r>
            <w:r w:rsidRPr="00417948">
              <w:rPr>
                <w:rFonts w:ascii="Verdana" w:eastAsia="Calibri" w:hAnsi="Verdana" w:cs="Arial"/>
                <w:b/>
                <w:bCs/>
                <w:lang w:eastAsia="es-ES"/>
              </w:rPr>
              <w:t xml:space="preserve"> </w:t>
            </w:r>
            <w:r w:rsidRPr="00417948">
              <w:rPr>
                <w:rFonts w:ascii="Verdana" w:eastAsia="Calibri" w:hAnsi="Verdana" w:cs="Arial"/>
                <w:b/>
                <w:bCs/>
                <w:lang w:val="es-ES" w:eastAsia="es-ES"/>
              </w:rPr>
              <w:t>de 2024</w:t>
            </w:r>
          </w:p>
        </w:tc>
      </w:tr>
      <w:tr w:rsidR="00F777FC" w:rsidRPr="00417948" w14:paraId="55192E57" w14:textId="77777777" w:rsidTr="00227682">
        <w:trPr>
          <w:trHeight w:val="884"/>
        </w:trPr>
        <w:tc>
          <w:tcPr>
            <w:tcW w:w="2689" w:type="dxa"/>
            <w:shd w:val="clear" w:color="auto" w:fill="auto"/>
          </w:tcPr>
          <w:p w14:paraId="7C7C56BB" w14:textId="77777777" w:rsidR="00F777FC" w:rsidRPr="00417948" w:rsidRDefault="00F777FC" w:rsidP="00227682">
            <w:pPr>
              <w:jc w:val="both"/>
              <w:rPr>
                <w:rFonts w:ascii="Verdana" w:eastAsia="Calibri" w:hAnsi="Verdana" w:cs="Arial"/>
                <w:b/>
                <w:highlight w:val="cyan"/>
                <w:lang w:val="es-ES_tradnl" w:eastAsia="es-ES_tradnl"/>
              </w:rPr>
            </w:pPr>
            <w:r w:rsidRPr="00417948">
              <w:rPr>
                <w:rFonts w:ascii="Verdana" w:eastAsia="Calibri" w:hAnsi="Verdana" w:cs="Arial"/>
                <w:b/>
                <w:lang w:val="es-ES_tradnl" w:eastAsia="es-ES_tradnl"/>
              </w:rPr>
              <w:t xml:space="preserve">Temas:                   </w:t>
            </w:r>
          </w:p>
        </w:tc>
        <w:tc>
          <w:tcPr>
            <w:tcW w:w="6100" w:type="dxa"/>
          </w:tcPr>
          <w:p w14:paraId="6BF360E0" w14:textId="40200472" w:rsidR="00F777FC" w:rsidRPr="00417948" w:rsidRDefault="00817285" w:rsidP="00B0602B">
            <w:pPr>
              <w:spacing w:line="276" w:lineRule="auto"/>
              <w:jc w:val="both"/>
              <w:rPr>
                <w:rFonts w:ascii="Verdana" w:eastAsia="Century Gothic" w:hAnsi="Verdana" w:cs="Century Gothic"/>
                <w:sz w:val="24"/>
                <w:szCs w:val="24"/>
                <w:lang w:val="es-MX"/>
              </w:rPr>
            </w:pPr>
            <w:r w:rsidRPr="00417948">
              <w:rPr>
                <w:rFonts w:ascii="Verdana" w:eastAsia="Century Gothic" w:hAnsi="Verdana" w:cs="Century Gothic"/>
                <w:sz w:val="24"/>
                <w:szCs w:val="24"/>
                <w:lang w:val="es-MX"/>
              </w:rPr>
              <w:t>CONTRATACIÓN CON ESAL – Contratos de colaboración - Objeto / CONTRATACIÓN CON ESAL – Convenios de asociación – Objeto – Alcance – Aportes / DECRETO 092 DE 2017 – Conmutatividad</w:t>
            </w:r>
          </w:p>
          <w:p w14:paraId="4031E489" w14:textId="5AD83EBF" w:rsidR="00817285" w:rsidRPr="00417948" w:rsidRDefault="00817285" w:rsidP="00227682">
            <w:pPr>
              <w:spacing w:line="276" w:lineRule="auto"/>
              <w:jc w:val="both"/>
              <w:rPr>
                <w:rFonts w:ascii="Verdana" w:eastAsia="Calibri" w:hAnsi="Verdana" w:cs="Arial"/>
                <w:highlight w:val="cyan"/>
                <w:lang w:val="es-ES" w:eastAsia="es-ES"/>
              </w:rPr>
            </w:pPr>
          </w:p>
        </w:tc>
      </w:tr>
      <w:tr w:rsidR="00F777FC" w:rsidRPr="00417948" w14:paraId="7136C3FA" w14:textId="77777777" w:rsidTr="00227682">
        <w:trPr>
          <w:trHeight w:val="388"/>
        </w:trPr>
        <w:tc>
          <w:tcPr>
            <w:tcW w:w="2689" w:type="dxa"/>
          </w:tcPr>
          <w:p w14:paraId="42139FE3" w14:textId="77777777" w:rsidR="00F777FC" w:rsidRPr="00417948" w:rsidRDefault="00F777FC" w:rsidP="00227682">
            <w:pPr>
              <w:jc w:val="both"/>
              <w:rPr>
                <w:rFonts w:ascii="Verdana" w:eastAsia="Calibri" w:hAnsi="Verdana" w:cs="Arial"/>
                <w:b/>
                <w:lang w:val="es-ES_tradnl" w:eastAsia="es-ES_tradnl"/>
              </w:rPr>
            </w:pPr>
            <w:r w:rsidRPr="00417948">
              <w:rPr>
                <w:rFonts w:ascii="Verdana" w:eastAsia="Calibri" w:hAnsi="Verdana" w:cs="Arial"/>
                <w:b/>
                <w:lang w:val="es-ES_tradnl" w:eastAsia="es-ES_tradnl"/>
              </w:rPr>
              <w:t>Radicación:</w:t>
            </w:r>
            <w:r w:rsidRPr="00417948">
              <w:rPr>
                <w:rFonts w:ascii="Verdana" w:eastAsia="Calibri" w:hAnsi="Verdana" w:cs="Arial"/>
                <w:lang w:val="es-ES_tradnl" w:eastAsia="es-ES_tradnl"/>
              </w:rPr>
              <w:t xml:space="preserve">               </w:t>
            </w:r>
          </w:p>
        </w:tc>
        <w:tc>
          <w:tcPr>
            <w:tcW w:w="6100" w:type="dxa"/>
          </w:tcPr>
          <w:p w14:paraId="05E9B0F8" w14:textId="56CBC5E0" w:rsidR="00F777FC" w:rsidRPr="00417948" w:rsidRDefault="00F777FC" w:rsidP="00227682">
            <w:pPr>
              <w:jc w:val="both"/>
              <w:rPr>
                <w:rFonts w:ascii="Verdana" w:eastAsia="Calibri" w:hAnsi="Verdana" w:cs="Arial"/>
                <w:lang w:eastAsia="es-ES_tradnl"/>
              </w:rPr>
            </w:pPr>
            <w:r w:rsidRPr="00417948">
              <w:rPr>
                <w:rFonts w:ascii="Verdana" w:eastAsia="Calibri" w:hAnsi="Verdana" w:cs="Arial"/>
                <w:lang w:val="es-ES_tradnl" w:eastAsia="es-ES_tradnl"/>
              </w:rPr>
              <w:t xml:space="preserve">Respuesta a consulta con radicado No. </w:t>
            </w:r>
            <w:r w:rsidR="00040F74" w:rsidRPr="00417948">
              <w:rPr>
                <w:rFonts w:ascii="Verdana" w:eastAsia="Calibri" w:hAnsi="Verdana" w:cs="Arial"/>
                <w:lang w:eastAsia="es-ES_tradnl"/>
              </w:rPr>
              <w:t>P20241003010105</w:t>
            </w:r>
            <w:r w:rsidRPr="00417948">
              <w:rPr>
                <w:rFonts w:ascii="Verdana" w:eastAsia="Calibri" w:hAnsi="Verdana" w:cs="Arial"/>
                <w:lang w:eastAsia="es-ES_tradnl"/>
              </w:rPr>
              <w:t>.</w:t>
            </w:r>
          </w:p>
        </w:tc>
      </w:tr>
    </w:tbl>
    <w:p w14:paraId="5D093C43" w14:textId="77777777" w:rsidR="00F777FC" w:rsidRPr="00417948" w:rsidRDefault="00F777FC" w:rsidP="00F777FC">
      <w:pPr>
        <w:spacing w:after="0" w:line="240" w:lineRule="auto"/>
        <w:jc w:val="both"/>
        <w:rPr>
          <w:rFonts w:ascii="Verdana" w:eastAsia="Calibri" w:hAnsi="Verdana" w:cs="Arial"/>
          <w:highlight w:val="cyan"/>
          <w:lang w:val="es-ES_tradnl" w:eastAsia="es-ES_tradnl"/>
        </w:rPr>
      </w:pPr>
    </w:p>
    <w:p w14:paraId="4659CCA7" w14:textId="77777777" w:rsidR="00F777FC" w:rsidRPr="00417948" w:rsidRDefault="00F777FC" w:rsidP="00F777FC">
      <w:pPr>
        <w:spacing w:after="0" w:line="240" w:lineRule="auto"/>
        <w:jc w:val="both"/>
        <w:rPr>
          <w:rFonts w:ascii="Verdana" w:eastAsia="Calibri" w:hAnsi="Verdana" w:cs="Arial"/>
          <w:highlight w:val="cyan"/>
          <w:lang w:val="es-ES_tradnl" w:eastAsia="es-ES_tradnl"/>
        </w:rPr>
      </w:pPr>
    </w:p>
    <w:p w14:paraId="7E0CF53C" w14:textId="76AB2851" w:rsidR="00F777FC" w:rsidRPr="00417948" w:rsidRDefault="00F777FC" w:rsidP="00F777FC">
      <w:pPr>
        <w:spacing w:after="0" w:line="276" w:lineRule="auto"/>
        <w:jc w:val="both"/>
        <w:rPr>
          <w:rFonts w:ascii="Verdana" w:eastAsia="Calibri" w:hAnsi="Verdana" w:cs="Arial"/>
          <w:lang w:val="es-ES" w:eastAsia="es-ES"/>
        </w:rPr>
      </w:pPr>
      <w:r w:rsidRPr="00417948">
        <w:rPr>
          <w:rFonts w:ascii="Verdana" w:eastAsia="Calibri" w:hAnsi="Verdana" w:cs="Arial"/>
          <w:lang w:val="es-ES" w:eastAsia="es-ES"/>
        </w:rPr>
        <w:t xml:space="preserve">Estimada señora </w:t>
      </w:r>
      <w:r w:rsidR="00D22EAB" w:rsidRPr="00417948">
        <w:rPr>
          <w:rFonts w:ascii="Verdana" w:eastAsia="Calibri" w:hAnsi="Verdana" w:cs="Arial"/>
          <w:lang w:val="es-ES" w:eastAsia="es-ES"/>
        </w:rPr>
        <w:t>Ardila</w:t>
      </w:r>
      <w:r w:rsidRPr="00417948">
        <w:rPr>
          <w:rFonts w:ascii="Verdana" w:eastAsia="Calibri" w:hAnsi="Verdana" w:cs="Arial"/>
          <w:lang w:val="es-ES" w:eastAsia="es-ES"/>
        </w:rPr>
        <w:t>;</w:t>
      </w:r>
    </w:p>
    <w:p w14:paraId="52290571" w14:textId="77777777" w:rsidR="00F777FC" w:rsidRPr="00417948" w:rsidRDefault="00F777FC" w:rsidP="00F777FC">
      <w:pPr>
        <w:tabs>
          <w:tab w:val="left" w:pos="3768"/>
        </w:tabs>
        <w:spacing w:after="0" w:line="276" w:lineRule="auto"/>
        <w:jc w:val="both"/>
        <w:rPr>
          <w:rFonts w:ascii="Verdana" w:eastAsia="Calibri" w:hAnsi="Verdana" w:cs="Arial"/>
          <w:highlight w:val="cyan"/>
          <w:lang w:val="es-ES" w:eastAsia="es-ES"/>
        </w:rPr>
      </w:pPr>
    </w:p>
    <w:p w14:paraId="0AC2A9A1" w14:textId="03E5D5E9" w:rsidR="00F777FC" w:rsidRPr="00417948" w:rsidRDefault="00F777FC" w:rsidP="00F777FC">
      <w:pPr>
        <w:spacing w:after="0" w:line="276" w:lineRule="auto"/>
        <w:jc w:val="both"/>
        <w:rPr>
          <w:rFonts w:ascii="Verdana" w:eastAsia="Calibri" w:hAnsi="Verdana" w:cs="Arial"/>
          <w:lang w:val="es-ES" w:eastAsia="es-ES"/>
        </w:rPr>
      </w:pPr>
      <w:r w:rsidRPr="00417948">
        <w:rPr>
          <w:rFonts w:ascii="Verdana" w:eastAsia="Calibri" w:hAnsi="Verdana" w:cs="Arial"/>
          <w:lang w:val="es-ES" w:eastAsia="es-ES"/>
        </w:rPr>
        <w:t>En ejercicio de la competencia otorgada por los artículos 3, numeral 5º, y 11, numeral 8º, del Decreto Ley 4170 de 2011,</w:t>
      </w:r>
      <w:r w:rsidRPr="00417948">
        <w:rPr>
          <w:rFonts w:ascii="Verdana" w:eastAsia="Arial MT" w:hAnsi="Verdana" w:cs="Arial MT"/>
          <w:lang w:val="es-ES" w:eastAsia="es-ES"/>
        </w:rPr>
        <w:t xml:space="preserve"> </w:t>
      </w:r>
      <w:r w:rsidRPr="00417948">
        <w:rPr>
          <w:rFonts w:ascii="Verdana" w:hAnsi="Verdana" w:cs="Arial"/>
        </w:rPr>
        <w:t xml:space="preserve">así como lo establecido en el artículo 4 de la Resolución 1707 de 2018 expedida por esta Entidad, </w:t>
      </w:r>
      <w:r w:rsidRPr="00417948">
        <w:rPr>
          <w:rFonts w:ascii="Verdana" w:eastAsia="Calibri" w:hAnsi="Verdana" w:cs="Arial"/>
          <w:lang w:val="es-ES" w:eastAsia="es-ES"/>
        </w:rPr>
        <w:t xml:space="preserve">la Agencia Nacional de Contratación Pública – Colombia Compra Eficiente– responde su solicitud de consulta de fecha </w:t>
      </w:r>
      <w:r w:rsidR="005E08D0" w:rsidRPr="00417948">
        <w:rPr>
          <w:rFonts w:ascii="Verdana" w:eastAsia="Calibri" w:hAnsi="Verdana" w:cs="Arial"/>
          <w:lang w:val="es-ES" w:eastAsia="es-ES"/>
        </w:rPr>
        <w:t>03 de octubre del 2024</w:t>
      </w:r>
      <w:r w:rsidRPr="00417948">
        <w:rPr>
          <w:rFonts w:ascii="Verdana" w:eastAsia="Calibri" w:hAnsi="Verdana" w:cs="Arial"/>
          <w:lang w:val="es-ES" w:eastAsia="es-ES"/>
        </w:rPr>
        <w:t xml:space="preserve">, en la cual manifiesta lo siguiente: </w:t>
      </w:r>
    </w:p>
    <w:p w14:paraId="68F23657" w14:textId="77777777" w:rsidR="00F777FC" w:rsidRPr="00417948" w:rsidRDefault="00F777FC" w:rsidP="00F777FC">
      <w:pPr>
        <w:spacing w:after="0"/>
        <w:jc w:val="both"/>
        <w:rPr>
          <w:rFonts w:ascii="Verdana" w:hAnsi="Verdana"/>
          <w:highlight w:val="cyan"/>
          <w:lang w:val="es-ES"/>
        </w:rPr>
      </w:pPr>
    </w:p>
    <w:p w14:paraId="2F1B91EE" w14:textId="6B47B18B" w:rsidR="00F777FC" w:rsidRPr="00417948" w:rsidRDefault="00F777FC" w:rsidP="00F777FC">
      <w:pPr>
        <w:spacing w:after="0" w:line="240" w:lineRule="auto"/>
        <w:ind w:left="709" w:right="709"/>
        <w:jc w:val="both"/>
        <w:rPr>
          <w:rFonts w:ascii="Verdana" w:eastAsia="Century Gothic" w:hAnsi="Verdana" w:cs="Century Gothic"/>
          <w:sz w:val="20"/>
          <w:szCs w:val="20"/>
          <w:lang w:val="es-ES"/>
        </w:rPr>
      </w:pPr>
      <w:r w:rsidRPr="00417948">
        <w:rPr>
          <w:rFonts w:ascii="Verdana" w:eastAsia="Century Gothic" w:hAnsi="Verdana" w:cs="Century Gothic"/>
          <w:sz w:val="20"/>
          <w:szCs w:val="20"/>
          <w:lang w:val="es-ES"/>
        </w:rPr>
        <w:t xml:space="preserve">“[…] </w:t>
      </w:r>
      <w:r w:rsidR="008A0206" w:rsidRPr="00417948">
        <w:rPr>
          <w:rFonts w:ascii="Verdana" w:eastAsia="Century Gothic" w:hAnsi="Verdana" w:cs="Century Gothic"/>
          <w:sz w:val="20"/>
          <w:szCs w:val="20"/>
          <w:lang w:val="es-ES"/>
        </w:rPr>
        <w:t xml:space="preserve">En atención a la respuesta recibida y el requerimiento de aclarar la consulta No. P20240926009856, me permito solicitar información acerca de modalidades de contratación ESAL, como seria la aplicabilidad de exclusión o excepción para los convenios de asociación de que trata el decreto 092 de 2017, si bien se da aplicabilidad a esta norma bajo que argumento es viable contratar con una entidad sin ánimo de lucro para </w:t>
      </w:r>
      <w:r w:rsidR="008A0206" w:rsidRPr="00417948">
        <w:rPr>
          <w:rFonts w:ascii="Verdana" w:eastAsia="Century Gothic" w:hAnsi="Verdana" w:cs="Century Gothic"/>
          <w:sz w:val="20"/>
          <w:szCs w:val="20"/>
          <w:lang w:val="es-ES"/>
        </w:rPr>
        <w:lastRenderedPageBreak/>
        <w:t xml:space="preserve">ejecución por convenio Centro Vida en la modalidad de convenio asociativo y no por proceso competitivo. </w:t>
      </w:r>
      <w:r w:rsidRPr="00417948">
        <w:rPr>
          <w:rFonts w:ascii="Verdana" w:eastAsia="Century Gothic" w:hAnsi="Verdana" w:cs="Century Gothic"/>
          <w:sz w:val="20"/>
          <w:szCs w:val="20"/>
          <w:lang w:val="es-ES"/>
        </w:rPr>
        <w:t>[…]”</w:t>
      </w:r>
    </w:p>
    <w:p w14:paraId="4FBA27A2" w14:textId="77777777" w:rsidR="00F777FC" w:rsidRPr="00417948" w:rsidRDefault="00F777FC" w:rsidP="00F777FC">
      <w:pPr>
        <w:spacing w:after="0"/>
        <w:jc w:val="both"/>
        <w:rPr>
          <w:rFonts w:ascii="Verdana" w:hAnsi="Verdana"/>
          <w:highlight w:val="cyan"/>
          <w:lang w:val="es-ES"/>
        </w:rPr>
      </w:pPr>
    </w:p>
    <w:p w14:paraId="338F5954" w14:textId="77777777" w:rsidR="00F777FC" w:rsidRPr="00417948" w:rsidRDefault="00F777FC" w:rsidP="00F777FC">
      <w:pPr>
        <w:spacing w:after="120" w:line="276" w:lineRule="auto"/>
        <w:ind w:firstLine="709"/>
        <w:jc w:val="both"/>
        <w:rPr>
          <w:rFonts w:ascii="Verdana" w:eastAsia="Calibri" w:hAnsi="Verdana" w:cs="Arial"/>
          <w:color w:val="000000"/>
          <w:lang w:val="es-ES_tradnl" w:eastAsia="es-ES_tradnl"/>
        </w:rPr>
      </w:pPr>
      <w:r w:rsidRPr="00417948">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1D62BF70" w14:textId="1263C1F3" w:rsidR="00F777FC" w:rsidRPr="00417948" w:rsidRDefault="00F777FC" w:rsidP="00F777FC">
      <w:pPr>
        <w:spacing w:after="0" w:line="276" w:lineRule="auto"/>
        <w:ind w:firstLine="709"/>
        <w:jc w:val="both"/>
        <w:rPr>
          <w:rFonts w:ascii="Verdana" w:eastAsia="Calibri" w:hAnsi="Verdana" w:cs="Arial"/>
          <w:color w:val="000000"/>
          <w:lang w:val="es-ES" w:eastAsia="es-ES"/>
        </w:rPr>
      </w:pPr>
      <w:r w:rsidRPr="00417948">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3A7AF4" w:rsidRPr="00417948">
        <w:rPr>
          <w:rFonts w:ascii="Verdana" w:eastAsia="Calibri" w:hAnsi="Verdana" w:cs="Arial"/>
          <w:color w:val="000000"/>
          <w:lang w:val="es-ES" w:eastAsia="es-ES"/>
        </w:rPr>
        <w:t>los</w:t>
      </w:r>
      <w:r w:rsidRPr="00417948">
        <w:rPr>
          <w:rFonts w:ascii="Verdana" w:eastAsia="Calibri" w:hAnsi="Verdana" w:cs="Arial"/>
          <w:color w:val="000000"/>
          <w:lang w:val="es-ES" w:eastAsia="es-ES"/>
        </w:rPr>
        <w:t xml:space="preserve"> problema</w:t>
      </w:r>
      <w:r w:rsidR="003A7AF4" w:rsidRPr="00417948">
        <w:rPr>
          <w:rFonts w:ascii="Verdana" w:eastAsia="Calibri" w:hAnsi="Verdana" w:cs="Arial"/>
          <w:color w:val="000000"/>
          <w:lang w:val="es-ES" w:eastAsia="es-ES"/>
        </w:rPr>
        <w:t>s</w:t>
      </w:r>
      <w:r w:rsidRPr="00417948">
        <w:rPr>
          <w:rFonts w:ascii="Verdana" w:eastAsia="Calibri" w:hAnsi="Verdana" w:cs="Arial"/>
          <w:color w:val="000000"/>
          <w:lang w:val="es-ES" w:eastAsia="es-ES"/>
        </w:rPr>
        <w:t xml:space="preserve"> jurídico</w:t>
      </w:r>
      <w:r w:rsidR="003A7AF4" w:rsidRPr="00417948">
        <w:rPr>
          <w:rFonts w:ascii="Verdana" w:eastAsia="Calibri" w:hAnsi="Verdana" w:cs="Arial"/>
          <w:color w:val="000000"/>
          <w:lang w:val="es-ES" w:eastAsia="es-ES"/>
        </w:rPr>
        <w:t>s</w:t>
      </w:r>
      <w:r w:rsidRPr="00417948">
        <w:rPr>
          <w:rFonts w:ascii="Verdana" w:eastAsia="Calibri" w:hAnsi="Verdana" w:cs="Arial"/>
          <w:color w:val="000000"/>
          <w:lang w:val="es-ES" w:eastAsia="es-ES"/>
        </w:rPr>
        <w:t xml:space="preserve"> de su consulta.  </w:t>
      </w:r>
    </w:p>
    <w:p w14:paraId="7056EFF2" w14:textId="77777777" w:rsidR="00F777FC" w:rsidRPr="00417948" w:rsidRDefault="00F777FC" w:rsidP="00F777FC">
      <w:pPr>
        <w:spacing w:after="0"/>
        <w:jc w:val="both"/>
        <w:rPr>
          <w:rFonts w:ascii="Verdana" w:hAnsi="Verdana"/>
          <w:highlight w:val="cyan"/>
          <w:lang w:val="es-ES"/>
        </w:rPr>
      </w:pPr>
    </w:p>
    <w:p w14:paraId="524002F6" w14:textId="77777777" w:rsidR="00F777FC" w:rsidRPr="00417948" w:rsidRDefault="00F777FC" w:rsidP="00F777FC">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417948">
        <w:rPr>
          <w:rFonts w:ascii="Verdana" w:eastAsia="Century Gothic" w:hAnsi="Verdana" w:cs="Century Gothic"/>
          <w:b/>
          <w:bCs/>
        </w:rPr>
        <w:t>Problema planteado:</w:t>
      </w:r>
    </w:p>
    <w:p w14:paraId="7CBE6E81" w14:textId="77777777" w:rsidR="00F777FC" w:rsidRPr="00417948" w:rsidRDefault="00F777FC" w:rsidP="00F777FC">
      <w:pPr>
        <w:tabs>
          <w:tab w:val="left" w:pos="426"/>
        </w:tabs>
        <w:spacing w:after="0" w:line="276" w:lineRule="auto"/>
        <w:jc w:val="both"/>
        <w:rPr>
          <w:rFonts w:ascii="Verdana" w:eastAsia="Century Gothic" w:hAnsi="Verdana" w:cs="Century Gothic"/>
          <w:highlight w:val="cyan"/>
          <w:lang w:val="es-ES"/>
        </w:rPr>
      </w:pPr>
    </w:p>
    <w:p w14:paraId="30A25495" w14:textId="5B62AA7F" w:rsidR="00F777FC" w:rsidRPr="00417948" w:rsidRDefault="00F777FC" w:rsidP="00F777FC">
      <w:pPr>
        <w:spacing w:after="0" w:line="276" w:lineRule="auto"/>
        <w:jc w:val="both"/>
        <w:rPr>
          <w:rFonts w:ascii="Verdana" w:eastAsia="Century Gothic" w:hAnsi="Verdana" w:cs="Century Gothic"/>
        </w:rPr>
      </w:pPr>
      <w:r w:rsidRPr="00417948">
        <w:rPr>
          <w:rFonts w:ascii="Verdana" w:eastAsia="Century Gothic" w:hAnsi="Verdana" w:cs="Century Gothic"/>
        </w:rPr>
        <w:t xml:space="preserve">De acuerdo con el contenido de su solicitud, esta Agencia resolverá </w:t>
      </w:r>
      <w:r w:rsidR="003A7AF4" w:rsidRPr="00417948">
        <w:rPr>
          <w:rFonts w:ascii="Verdana" w:eastAsia="Century Gothic" w:hAnsi="Verdana" w:cs="Century Gothic"/>
        </w:rPr>
        <w:t>los</w:t>
      </w:r>
      <w:r w:rsidRPr="00417948">
        <w:rPr>
          <w:rFonts w:ascii="Verdana" w:eastAsia="Century Gothic" w:hAnsi="Verdana" w:cs="Century Gothic"/>
        </w:rPr>
        <w:t xml:space="preserve"> siguiente</w:t>
      </w:r>
      <w:r w:rsidR="003A7AF4" w:rsidRPr="00417948">
        <w:rPr>
          <w:rFonts w:ascii="Verdana" w:eastAsia="Century Gothic" w:hAnsi="Verdana" w:cs="Century Gothic"/>
        </w:rPr>
        <w:t>s</w:t>
      </w:r>
      <w:r w:rsidRPr="00417948">
        <w:rPr>
          <w:rFonts w:ascii="Verdana" w:eastAsia="Century Gothic" w:hAnsi="Verdana" w:cs="Century Gothic"/>
        </w:rPr>
        <w:t xml:space="preserve"> problema</w:t>
      </w:r>
      <w:r w:rsidR="003A7AF4" w:rsidRPr="00417948">
        <w:rPr>
          <w:rFonts w:ascii="Verdana" w:eastAsia="Century Gothic" w:hAnsi="Verdana" w:cs="Century Gothic"/>
        </w:rPr>
        <w:t>s</w:t>
      </w:r>
      <w:r w:rsidRPr="00417948">
        <w:rPr>
          <w:rFonts w:ascii="Verdana" w:eastAsia="Century Gothic" w:hAnsi="Verdana" w:cs="Century Gothic"/>
        </w:rPr>
        <w:t xml:space="preserve"> jurídico</w:t>
      </w:r>
      <w:r w:rsidR="003A7AF4" w:rsidRPr="00417948">
        <w:rPr>
          <w:rFonts w:ascii="Verdana" w:eastAsia="Century Gothic" w:hAnsi="Verdana" w:cs="Century Gothic"/>
        </w:rPr>
        <w:t>s</w:t>
      </w:r>
      <w:r w:rsidRPr="00417948">
        <w:rPr>
          <w:rFonts w:ascii="Verdana" w:eastAsia="Century Gothic" w:hAnsi="Verdana" w:cs="Century Gothic"/>
        </w:rPr>
        <w:t>:</w:t>
      </w:r>
      <w:r w:rsidR="003A7AF4" w:rsidRPr="00417948">
        <w:rPr>
          <w:rFonts w:ascii="Verdana" w:eastAsia="Century Gothic" w:hAnsi="Verdana" w:cs="Century Gothic"/>
        </w:rPr>
        <w:t xml:space="preserve"> i)</w:t>
      </w:r>
      <w:r w:rsidRPr="00417948">
        <w:rPr>
          <w:rFonts w:ascii="Verdana" w:eastAsia="Century Gothic" w:hAnsi="Verdana" w:cs="Century Gothic"/>
        </w:rPr>
        <w:t xml:space="preserve"> ¿</w:t>
      </w:r>
      <w:r w:rsidR="00D41969" w:rsidRPr="00417948">
        <w:rPr>
          <w:rFonts w:ascii="Verdana" w:eastAsia="Century Gothic" w:hAnsi="Verdana" w:cs="Century Gothic"/>
        </w:rPr>
        <w:t>L</w:t>
      </w:r>
      <w:r w:rsidR="00382D3D" w:rsidRPr="00417948">
        <w:rPr>
          <w:rFonts w:ascii="Verdana" w:eastAsia="Century Gothic" w:hAnsi="Verdana" w:cs="Century Gothic"/>
        </w:rPr>
        <w:t xml:space="preserve">as Entidades Estatales </w:t>
      </w:r>
      <w:r w:rsidR="00D41969" w:rsidRPr="00417948">
        <w:rPr>
          <w:rFonts w:ascii="Verdana" w:eastAsia="Century Gothic" w:hAnsi="Verdana" w:cs="Century Gothic"/>
        </w:rPr>
        <w:t>deben exigir</w:t>
      </w:r>
      <w:r w:rsidR="00395AC6" w:rsidRPr="00417948">
        <w:rPr>
          <w:rFonts w:ascii="Verdana" w:eastAsia="Century Gothic" w:hAnsi="Verdana" w:cs="Century Gothic"/>
        </w:rPr>
        <w:t xml:space="preserve"> a las Entidades sin ánimo de lucro </w:t>
      </w:r>
      <w:r w:rsidR="007D51EA" w:rsidRPr="00417948">
        <w:rPr>
          <w:rFonts w:ascii="Verdana" w:eastAsia="Century Gothic" w:hAnsi="Verdana" w:cs="Century Gothic"/>
        </w:rPr>
        <w:t>el Registro Único de proponentes -RUP-</w:t>
      </w:r>
      <w:r w:rsidR="004F1DD9" w:rsidRPr="00417948">
        <w:rPr>
          <w:rFonts w:ascii="Verdana" w:eastAsia="Century Gothic" w:hAnsi="Verdana" w:cs="Century Gothic"/>
        </w:rPr>
        <w:t xml:space="preserve"> para la celebración de convenios de asociación</w:t>
      </w:r>
      <w:r w:rsidRPr="00417948">
        <w:rPr>
          <w:rFonts w:ascii="Verdana" w:eastAsia="Century Gothic" w:hAnsi="Verdana" w:cs="Century Gothic"/>
        </w:rPr>
        <w:t>?</w:t>
      </w:r>
      <w:r w:rsidR="003A7AF4" w:rsidRPr="00417948">
        <w:rPr>
          <w:rFonts w:ascii="Verdana" w:eastAsia="Century Gothic" w:hAnsi="Verdana" w:cs="Century Gothic"/>
        </w:rPr>
        <w:t xml:space="preserve">; y </w:t>
      </w:r>
      <w:proofErr w:type="spellStart"/>
      <w:r w:rsidR="003A7AF4" w:rsidRPr="00417948">
        <w:rPr>
          <w:rFonts w:ascii="Verdana" w:eastAsia="Century Gothic" w:hAnsi="Verdana" w:cs="Century Gothic"/>
        </w:rPr>
        <w:t>ii</w:t>
      </w:r>
      <w:proofErr w:type="spellEnd"/>
      <w:r w:rsidR="003A7AF4" w:rsidRPr="00417948">
        <w:rPr>
          <w:rFonts w:ascii="Verdana" w:eastAsia="Century Gothic" w:hAnsi="Verdana" w:cs="Century Gothic"/>
        </w:rPr>
        <w:t xml:space="preserve">) </w:t>
      </w:r>
      <w:r w:rsidR="00890C18" w:rsidRPr="00417948">
        <w:rPr>
          <w:rFonts w:ascii="Verdana" w:eastAsia="Century Gothic" w:hAnsi="Verdana" w:cs="Century Gothic"/>
        </w:rPr>
        <w:t>¿</w:t>
      </w:r>
      <w:r w:rsidR="00A06C28" w:rsidRPr="00417948">
        <w:rPr>
          <w:rFonts w:ascii="Verdana" w:eastAsia="Century Gothic" w:hAnsi="Verdana" w:cs="Century Gothic"/>
        </w:rPr>
        <w:t xml:space="preserve">En </w:t>
      </w:r>
      <w:r w:rsidR="0044373C" w:rsidRPr="00417948">
        <w:rPr>
          <w:rFonts w:ascii="Verdana" w:eastAsia="Century Gothic" w:hAnsi="Verdana" w:cs="Century Gothic"/>
        </w:rPr>
        <w:t>qué</w:t>
      </w:r>
      <w:r w:rsidR="00A06C28" w:rsidRPr="00417948">
        <w:rPr>
          <w:rFonts w:ascii="Verdana" w:eastAsia="Century Gothic" w:hAnsi="Verdana" w:cs="Century Gothic"/>
        </w:rPr>
        <w:t xml:space="preserve"> caso puede celebrarse un convenio de asociación de manera directa?</w:t>
      </w:r>
    </w:p>
    <w:p w14:paraId="5E93AC92" w14:textId="77777777" w:rsidR="00F777FC" w:rsidRPr="00417948" w:rsidRDefault="00F777FC" w:rsidP="00F777FC">
      <w:pPr>
        <w:spacing w:after="0"/>
        <w:jc w:val="both"/>
        <w:rPr>
          <w:rFonts w:ascii="Verdana" w:hAnsi="Verdana"/>
          <w:highlight w:val="cyan"/>
        </w:rPr>
      </w:pPr>
    </w:p>
    <w:p w14:paraId="62505213" w14:textId="77777777" w:rsidR="00F777FC" w:rsidRPr="00417948" w:rsidRDefault="00F777FC" w:rsidP="00F777F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17948">
        <w:rPr>
          <w:rFonts w:ascii="Verdana" w:eastAsia="Century Gothic" w:hAnsi="Verdana" w:cs="Century Gothic"/>
          <w:b/>
          <w:bCs/>
        </w:rPr>
        <w:t>Respuesta:</w:t>
      </w:r>
    </w:p>
    <w:p w14:paraId="3E699877" w14:textId="77777777" w:rsidR="00F777FC" w:rsidRPr="00417948" w:rsidRDefault="00F777FC" w:rsidP="00F777FC">
      <w:pPr>
        <w:spacing w:after="0"/>
        <w:jc w:val="both"/>
        <w:rPr>
          <w:rFonts w:ascii="Verdana" w:hAnsi="Verdana"/>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777FC" w:rsidRPr="00417948" w14:paraId="60DDBE36" w14:textId="77777777" w:rsidTr="00227682">
        <w:trPr>
          <w:trHeight w:val="799"/>
        </w:trPr>
        <w:tc>
          <w:tcPr>
            <w:tcW w:w="8828" w:type="dxa"/>
            <w:shd w:val="clear" w:color="auto" w:fill="auto"/>
          </w:tcPr>
          <w:p w14:paraId="028605D4" w14:textId="77777777" w:rsidR="003946CB" w:rsidRPr="00417948" w:rsidRDefault="00F777FC" w:rsidP="00227682">
            <w:pPr>
              <w:spacing w:after="120" w:line="276" w:lineRule="auto"/>
              <w:jc w:val="both"/>
              <w:rPr>
                <w:rFonts w:ascii="Verdana" w:eastAsia="Calibri" w:hAnsi="Verdana" w:cs="Arial"/>
                <w:lang w:val="es-ES"/>
              </w:rPr>
            </w:pPr>
            <w:r w:rsidRPr="00417948">
              <w:rPr>
                <w:rFonts w:ascii="Verdana" w:eastAsia="Calibri" w:hAnsi="Verdana" w:cs="Arial"/>
                <w:lang w:val="es-ES"/>
              </w:rPr>
              <w:t>En respuesta a los problemas planteados esta Subdirección manifiesta:</w:t>
            </w:r>
          </w:p>
          <w:p w14:paraId="6A9A38EE" w14:textId="6619C6F0" w:rsidR="003946CB" w:rsidRPr="00417948" w:rsidRDefault="003946CB" w:rsidP="003946CB">
            <w:pPr>
              <w:spacing w:line="276" w:lineRule="auto"/>
              <w:jc w:val="both"/>
              <w:rPr>
                <w:rFonts w:ascii="Verdana" w:hAnsi="Verdana" w:cs="Arial"/>
              </w:rPr>
            </w:pPr>
            <w:r w:rsidRPr="00417948">
              <w:rPr>
                <w:rFonts w:ascii="Verdana" w:eastAsia="Calibri" w:hAnsi="Verdana" w:cs="Arial"/>
                <w:color w:val="000000" w:themeColor="text1"/>
              </w:rPr>
              <w:t xml:space="preserve">En </w:t>
            </w:r>
            <w:r w:rsidRPr="00417948">
              <w:rPr>
                <w:rFonts w:ascii="Verdana" w:eastAsia="Calibri" w:hAnsi="Verdana" w:cs="Arial"/>
                <w:i/>
                <w:iCs/>
                <w:color w:val="000000" w:themeColor="text1"/>
              </w:rPr>
              <w:t>primer lugar</w:t>
            </w:r>
            <w:r w:rsidRPr="00417948">
              <w:rPr>
                <w:rFonts w:ascii="Verdana" w:eastAsia="Calibri" w:hAnsi="Verdana" w:cs="Arial"/>
                <w:color w:val="000000" w:themeColor="text1"/>
              </w:rPr>
              <w:t xml:space="preserve"> debe señalarse que el </w:t>
            </w:r>
            <w:r w:rsidRPr="00417948">
              <w:rPr>
                <w:rFonts w:ascii="Verdana" w:hAnsi="Verdana" w:cs="Arial"/>
              </w:rPr>
              <w:t xml:space="preserve">Decreto 092 de 2017 </w:t>
            </w:r>
            <w:r w:rsidR="004A2A31" w:rsidRPr="00417948">
              <w:rPr>
                <w:rFonts w:ascii="Verdana" w:hAnsi="Verdana" w:cs="Arial"/>
              </w:rPr>
              <w:t>contiene</w:t>
            </w:r>
            <w:r w:rsidRPr="00417948">
              <w:rPr>
                <w:rFonts w:ascii="Verdana" w:hAnsi="Verdana" w:cs="Arial"/>
              </w:rPr>
              <w:t xml:space="preserve"> las reglas para las contrataciones que realizan las Entidades Estatales con las entidades sin ánimo de lucro -ESAL-, en este sentido, y en lo que a la celebración de </w:t>
            </w:r>
            <w:bookmarkStart w:id="1" w:name="_Hlk182259487"/>
            <w:r w:rsidRPr="00417948">
              <w:rPr>
                <w:rFonts w:ascii="Verdana" w:eastAsia="Calibri" w:hAnsi="Verdana" w:cs="Arial"/>
                <w:i/>
                <w:iCs/>
                <w:color w:val="000000" w:themeColor="text1"/>
              </w:rPr>
              <w:t>convenios de asociación</w:t>
            </w:r>
            <w:r w:rsidRPr="00417948">
              <w:rPr>
                <w:rFonts w:ascii="Verdana" w:eastAsia="Calibri" w:hAnsi="Verdana" w:cs="Arial"/>
                <w:color w:val="000000" w:themeColor="text1"/>
              </w:rPr>
              <w:t xml:space="preserve"> </w:t>
            </w:r>
            <w:bookmarkEnd w:id="1"/>
            <w:r w:rsidRPr="00417948">
              <w:rPr>
                <w:rFonts w:ascii="Verdana" w:eastAsia="Calibri" w:hAnsi="Verdana" w:cs="Arial"/>
                <w:color w:val="000000" w:themeColor="text1"/>
              </w:rPr>
              <w:t>corresponde, resulta a bien aclarar que</w:t>
            </w:r>
            <w:r w:rsidR="00542FE2" w:rsidRPr="00417948">
              <w:rPr>
                <w:rFonts w:ascii="Verdana" w:eastAsia="Calibri" w:hAnsi="Verdana" w:cs="Arial"/>
                <w:color w:val="000000" w:themeColor="text1"/>
              </w:rPr>
              <w:t xml:space="preserve"> estos</w:t>
            </w:r>
            <w:r w:rsidRPr="00417948">
              <w:rPr>
                <w:rFonts w:ascii="Verdana" w:eastAsia="Calibri" w:hAnsi="Verdana" w:cs="Arial"/>
                <w:color w:val="000000" w:themeColor="text1"/>
              </w:rPr>
              <w:t xml:space="preserve"> son procedentes para el desarrollo conjunto de actividades relacionadas con las </w:t>
            </w:r>
            <w:r w:rsidRPr="00417948">
              <w:rPr>
                <w:rFonts w:ascii="Verdana" w:eastAsia="Calibri" w:hAnsi="Verdana" w:cs="Arial"/>
                <w:i/>
                <w:iCs/>
                <w:color w:val="000000" w:themeColor="text1"/>
              </w:rPr>
              <w:lastRenderedPageBreak/>
              <w:t>funciones de las Entidades Estatales</w:t>
            </w:r>
            <w:r w:rsidRPr="00417948">
              <w:rPr>
                <w:rFonts w:ascii="Verdana" w:eastAsia="Calibri" w:hAnsi="Verdana" w:cs="Arial"/>
                <w:color w:val="000000" w:themeColor="text1"/>
              </w:rPr>
              <w:t xml:space="preserve"> cualquiera que sea su naturaleza y orden administrativo. </w:t>
            </w:r>
            <w:r w:rsidR="00D6230B" w:rsidRPr="00417948">
              <w:rPr>
                <w:rFonts w:ascii="Verdana" w:eastAsia="Calibri" w:hAnsi="Verdana" w:cs="Arial"/>
                <w:color w:val="000000" w:themeColor="text1"/>
              </w:rPr>
              <w:t>En línea con lo anterior</w:t>
            </w:r>
            <w:r w:rsidRPr="00417948">
              <w:rPr>
                <w:rFonts w:ascii="Verdana" w:eastAsia="Calibri" w:hAnsi="Verdana" w:cs="Arial"/>
                <w:color w:val="000000" w:themeColor="text1"/>
              </w:rPr>
              <w:t>,</w:t>
            </w:r>
            <w:r w:rsidR="00D6230B" w:rsidRPr="00417948">
              <w:rPr>
                <w:rFonts w:ascii="Verdana" w:eastAsia="Calibri" w:hAnsi="Verdana" w:cs="Arial"/>
                <w:color w:val="000000" w:themeColor="text1"/>
              </w:rPr>
              <w:t xml:space="preserve"> </w:t>
            </w:r>
            <w:r w:rsidR="00CC7FEA" w:rsidRPr="00417948">
              <w:rPr>
                <w:rFonts w:ascii="Verdana" w:eastAsia="Calibri" w:hAnsi="Verdana" w:cs="Arial"/>
                <w:color w:val="000000" w:themeColor="text1"/>
              </w:rPr>
              <w:t>los</w:t>
            </w:r>
            <w:r w:rsidRPr="00417948">
              <w:rPr>
                <w:rFonts w:ascii="Verdana" w:eastAsia="Calibri" w:hAnsi="Verdana" w:cs="Arial"/>
                <w:color w:val="000000" w:themeColor="text1"/>
              </w:rPr>
              <w:t xml:space="preserve"> </w:t>
            </w:r>
            <w:r w:rsidR="00A40A66" w:rsidRPr="00417948">
              <w:rPr>
                <w:rFonts w:ascii="Verdana" w:eastAsia="Calibri" w:hAnsi="Verdana" w:cs="Arial"/>
                <w:i/>
                <w:iCs/>
                <w:color w:val="000000" w:themeColor="text1"/>
              </w:rPr>
              <w:t>convenios de asociación</w:t>
            </w:r>
            <w:r w:rsidR="00A40A66" w:rsidRPr="00417948">
              <w:rPr>
                <w:rFonts w:ascii="Verdana" w:eastAsia="Calibri" w:hAnsi="Verdana" w:cs="Arial"/>
                <w:color w:val="000000" w:themeColor="text1"/>
              </w:rPr>
              <w:t xml:space="preserve"> se rigen </w:t>
            </w:r>
            <w:r w:rsidRPr="00417948">
              <w:rPr>
                <w:rFonts w:ascii="Verdana" w:eastAsia="Calibri" w:hAnsi="Verdana" w:cs="Arial"/>
                <w:color w:val="000000" w:themeColor="text1"/>
              </w:rPr>
              <w:t xml:space="preserve">por lo dispuesto en el artículo 96 de la ley 489 de 1998 y los artículos 5,6,7 y 8 del </w:t>
            </w:r>
            <w:r w:rsidRPr="00417948">
              <w:rPr>
                <w:rFonts w:ascii="Verdana" w:hAnsi="Verdana" w:cs="Arial"/>
              </w:rPr>
              <w:t xml:space="preserve">Decreto 092 de 2017, que entre otros asuntos, disponen de manera expresa que las Entidades Estatales no requerirán la inscripción de la -ESAL- en el RUP para aquellos procesos que se adelanten con observancia a lo dispuesto en el Decreto en mención. </w:t>
            </w:r>
          </w:p>
          <w:p w14:paraId="4232FFE7" w14:textId="77777777" w:rsidR="00D6230B" w:rsidRPr="00417948" w:rsidRDefault="00D6230B" w:rsidP="003946CB">
            <w:pPr>
              <w:spacing w:line="276" w:lineRule="auto"/>
              <w:jc w:val="both"/>
              <w:rPr>
                <w:rFonts w:ascii="Verdana" w:hAnsi="Verdana" w:cs="Arial"/>
              </w:rPr>
            </w:pPr>
          </w:p>
          <w:p w14:paraId="74970668" w14:textId="7D4F8476" w:rsidR="003946CB" w:rsidRPr="00417948" w:rsidRDefault="002A59B9" w:rsidP="002A59B9">
            <w:pPr>
              <w:spacing w:line="276" w:lineRule="auto"/>
              <w:jc w:val="both"/>
              <w:rPr>
                <w:rFonts w:ascii="Verdana" w:eastAsia="Calibri" w:hAnsi="Verdana" w:cs="Arial"/>
                <w:color w:val="000000" w:themeColor="text1"/>
              </w:rPr>
            </w:pPr>
            <w:r w:rsidRPr="00417948">
              <w:rPr>
                <w:rFonts w:ascii="Verdana" w:eastAsia="Calibri" w:hAnsi="Verdana" w:cs="Arial"/>
                <w:color w:val="000000" w:themeColor="text1"/>
              </w:rPr>
              <w:t xml:space="preserve">En </w:t>
            </w:r>
            <w:r w:rsidRPr="00417948">
              <w:rPr>
                <w:rFonts w:ascii="Verdana" w:eastAsia="Calibri" w:hAnsi="Verdana" w:cs="Arial"/>
                <w:i/>
                <w:iCs/>
                <w:color w:val="000000" w:themeColor="text1"/>
              </w:rPr>
              <w:t>segundo lugar</w:t>
            </w:r>
            <w:r w:rsidRPr="00417948">
              <w:rPr>
                <w:rFonts w:ascii="Verdana" w:eastAsia="Calibri" w:hAnsi="Verdana" w:cs="Arial"/>
                <w:color w:val="000000" w:themeColor="text1"/>
              </w:rPr>
              <w:t xml:space="preserve"> y en lo que respecta a la modalidad de selección para la suscripción de los </w:t>
            </w:r>
            <w:r w:rsidRPr="00417948">
              <w:rPr>
                <w:rFonts w:ascii="Verdana" w:eastAsia="Calibri" w:hAnsi="Verdana" w:cs="Arial"/>
                <w:i/>
                <w:iCs/>
                <w:color w:val="000000" w:themeColor="text1"/>
              </w:rPr>
              <w:t>convenios de asociación</w:t>
            </w:r>
            <w:r w:rsidRPr="00417948">
              <w:rPr>
                <w:rFonts w:ascii="Verdana" w:eastAsia="Calibri" w:hAnsi="Verdana" w:cs="Arial"/>
                <w:color w:val="000000" w:themeColor="text1"/>
              </w:rPr>
              <w:t xml:space="preserve"> debe advertirse que estos no estarán sujetos a un proceso competitivo cuando la entidad sin ánimo de lucro</w:t>
            </w:r>
            <w:r w:rsidR="00630AB4" w:rsidRPr="00417948">
              <w:rPr>
                <w:rFonts w:ascii="Verdana" w:eastAsia="Calibri" w:hAnsi="Verdana" w:cs="Arial"/>
                <w:color w:val="000000" w:themeColor="text1"/>
              </w:rPr>
              <w:t xml:space="preserve"> -ESAL-</w:t>
            </w:r>
            <w:r w:rsidRPr="00417948">
              <w:rPr>
                <w:rFonts w:ascii="Verdana" w:eastAsia="Calibri" w:hAnsi="Verdana" w:cs="Arial"/>
                <w:color w:val="000000" w:themeColor="text1"/>
              </w:rPr>
              <w:t xml:space="preserve"> comprometa recursos para la ejecución de </w:t>
            </w:r>
            <w:r w:rsidR="0096506D" w:rsidRPr="00417948">
              <w:rPr>
                <w:rFonts w:ascii="Verdana" w:eastAsia="Calibri" w:hAnsi="Verdana" w:cs="Arial"/>
                <w:color w:val="000000" w:themeColor="text1"/>
              </w:rPr>
              <w:t>las</w:t>
            </w:r>
            <w:r w:rsidRPr="00417948">
              <w:rPr>
                <w:rFonts w:ascii="Verdana" w:eastAsia="Calibri" w:hAnsi="Verdana" w:cs="Arial"/>
                <w:color w:val="000000" w:themeColor="text1"/>
              </w:rPr>
              <w:t xml:space="preserve"> actividades en una proporción no inferior al 30% del valor total del convenio de lo contrario</w:t>
            </w:r>
            <w:r w:rsidR="0096506D" w:rsidRPr="00417948">
              <w:rPr>
                <w:rFonts w:ascii="Verdana" w:eastAsia="Calibri" w:hAnsi="Verdana" w:cs="Arial"/>
                <w:color w:val="000000" w:themeColor="text1"/>
              </w:rPr>
              <w:t xml:space="preserve"> la Entidad Estatal</w:t>
            </w:r>
            <w:r w:rsidRPr="00417948">
              <w:rPr>
                <w:rFonts w:ascii="Verdana" w:eastAsia="Calibri" w:hAnsi="Verdana" w:cs="Arial"/>
                <w:color w:val="000000" w:themeColor="text1"/>
              </w:rPr>
              <w:t xml:space="preserve"> deberá adelantar un proceso competitivo. </w:t>
            </w:r>
          </w:p>
        </w:tc>
      </w:tr>
    </w:tbl>
    <w:p w14:paraId="35D71654" w14:textId="77777777" w:rsidR="00F777FC" w:rsidRPr="00417948" w:rsidRDefault="00F777FC" w:rsidP="00F777FC">
      <w:pPr>
        <w:spacing w:after="0"/>
        <w:jc w:val="both"/>
        <w:rPr>
          <w:rFonts w:ascii="Verdana" w:hAnsi="Verdana"/>
          <w:highlight w:val="cyan"/>
        </w:rPr>
      </w:pPr>
    </w:p>
    <w:p w14:paraId="17805FE5" w14:textId="77777777" w:rsidR="00F777FC" w:rsidRPr="00417948" w:rsidRDefault="00F777FC" w:rsidP="00F777FC">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17948">
        <w:rPr>
          <w:rFonts w:ascii="Verdana" w:eastAsia="Century Gothic" w:hAnsi="Verdana" w:cs="Century Gothic"/>
          <w:b/>
          <w:bCs/>
        </w:rPr>
        <w:t>Razones de la respuesta:</w:t>
      </w:r>
    </w:p>
    <w:p w14:paraId="32EBA3B1" w14:textId="77777777" w:rsidR="00F777FC" w:rsidRPr="00417948" w:rsidRDefault="00F777FC" w:rsidP="00F777FC">
      <w:pPr>
        <w:spacing w:after="0" w:line="276" w:lineRule="auto"/>
        <w:jc w:val="both"/>
        <w:rPr>
          <w:rFonts w:ascii="Verdana" w:eastAsia="Calibri" w:hAnsi="Verdana" w:cs="Arial"/>
          <w:color w:val="7030A0"/>
          <w:lang w:val="es-ES"/>
        </w:rPr>
      </w:pPr>
    </w:p>
    <w:p w14:paraId="14F38C6E" w14:textId="77777777" w:rsidR="00F777FC" w:rsidRPr="00417948" w:rsidRDefault="00F777FC" w:rsidP="00F777FC">
      <w:pPr>
        <w:spacing w:after="0"/>
        <w:jc w:val="both"/>
        <w:rPr>
          <w:rFonts w:ascii="Verdana" w:eastAsia="Calibri" w:hAnsi="Verdana" w:cs="Arial"/>
          <w:lang w:val="es-ES"/>
        </w:rPr>
      </w:pPr>
      <w:r w:rsidRPr="00417948">
        <w:rPr>
          <w:rFonts w:ascii="Verdana" w:eastAsia="Calibri" w:hAnsi="Verdana" w:cs="Arial"/>
          <w:lang w:val="es-ES"/>
        </w:rPr>
        <w:t>Lo anterior se sustenta en las siguientes consideraciones:</w:t>
      </w:r>
    </w:p>
    <w:p w14:paraId="43C0B280" w14:textId="77777777" w:rsidR="00E76684" w:rsidRPr="00417948" w:rsidRDefault="00E76684" w:rsidP="00F777FC">
      <w:pPr>
        <w:spacing w:after="0"/>
        <w:jc w:val="both"/>
        <w:rPr>
          <w:rFonts w:ascii="Verdana" w:eastAsia="Calibri" w:hAnsi="Verdana" w:cs="Arial"/>
          <w:lang w:val="es-ES"/>
        </w:rPr>
      </w:pPr>
    </w:p>
    <w:p w14:paraId="5452BDEF"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lang w:eastAsia="es-ES_tradnl"/>
        </w:rPr>
        <w:t>Para resolver las preguntas planteadas en su consulta, es importante empezar por señalar que, la Constitución Política de 1991 establece tres (3) regímenes de contratación</w:t>
      </w:r>
      <w:r w:rsidRPr="00417948">
        <w:rPr>
          <w:rFonts w:ascii="Verdana" w:eastAsia="Calibri" w:hAnsi="Verdana" w:cs="Arial"/>
          <w:color w:val="000000" w:themeColor="text1"/>
        </w:rPr>
        <w:t xml:space="preserve">. El </w:t>
      </w:r>
      <w:r w:rsidRPr="00417948">
        <w:rPr>
          <w:rFonts w:ascii="Verdana" w:eastAsia="Calibri" w:hAnsi="Verdana" w:cs="Arial"/>
          <w:i/>
          <w:color w:val="000000" w:themeColor="text1"/>
        </w:rPr>
        <w:t>primero</w:t>
      </w:r>
      <w:r w:rsidRPr="00417948">
        <w:rPr>
          <w:rFonts w:ascii="Verdana" w:eastAsia="Calibri" w:hAnsi="Verdana" w:cs="Arial"/>
          <w:color w:val="000000" w:themeColor="text1"/>
        </w:rPr>
        <w:t xml:space="preserve"> se fundamenta en la competencia prevista en el inciso final del artículo 150 superior, por el cual se faculta al Congreso de la República para expedir un EGCAP. El </w:t>
      </w:r>
      <w:r w:rsidRPr="00417948">
        <w:rPr>
          <w:rFonts w:ascii="Verdana" w:eastAsia="Calibri" w:hAnsi="Verdana" w:cs="Arial"/>
          <w:i/>
          <w:color w:val="000000" w:themeColor="text1"/>
        </w:rPr>
        <w:t>segundo</w:t>
      </w:r>
      <w:r w:rsidRPr="00417948">
        <w:rPr>
          <w:rFonts w:ascii="Verdana" w:eastAsia="Calibri" w:hAnsi="Verdana" w:cs="Arial"/>
          <w:color w:val="000000" w:themeColor="text1"/>
        </w:rPr>
        <w:t xml:space="preserve"> se relaciona con la posibilidad de crear regímenes especiales, caso en el cual la Constitución los exceptúa directamente, como sucede con las universidades públicas y el Banco de la República –artículos 69 y 371–, o permite que la ley defina el régimen jurídico de determinados órganos del Estado, como en el caso de las entidades descentralizadas por servicios –artículo 210– y las empresas de servicios públicos domiciliarios –artículo 365–. </w:t>
      </w:r>
      <w:r w:rsidRPr="00417948">
        <w:rPr>
          <w:rFonts w:ascii="Verdana" w:eastAsia="Calibri" w:hAnsi="Verdana" w:cs="Arial"/>
          <w:i/>
          <w:color w:val="000000" w:themeColor="text1"/>
        </w:rPr>
        <w:t>Finalmente</w:t>
      </w:r>
      <w:r w:rsidRPr="00417948">
        <w:rPr>
          <w:rFonts w:ascii="Verdana" w:eastAsia="Calibri" w:hAnsi="Verdana" w:cs="Arial"/>
          <w:color w:val="000000" w:themeColor="text1"/>
        </w:rPr>
        <w:t xml:space="preserve">, el citado artículo 355 establece el régimen de los contratos con las Entidades sin Ánimo de Lucro – en adelante ESAL –, el cual –además de extenderse a los </w:t>
      </w:r>
      <w:r w:rsidRPr="00417948">
        <w:rPr>
          <w:rFonts w:ascii="Verdana" w:eastAsia="Calibri" w:hAnsi="Verdana" w:cs="Arial"/>
          <w:i/>
          <w:iCs/>
          <w:color w:val="000000" w:themeColor="text1"/>
        </w:rPr>
        <w:t>convenios de asociación</w:t>
      </w:r>
      <w:r w:rsidRPr="00417948">
        <w:rPr>
          <w:rFonts w:ascii="Verdana" w:eastAsia="Calibri" w:hAnsi="Verdana" w:cs="Arial"/>
          <w:color w:val="000000" w:themeColor="text1"/>
        </w:rPr>
        <w:t xml:space="preserve"> en virtud de lo dispuesto en el artículo 96 de la Ley 489 de 1998– se desarrolló a través del Decreto 092 de 2017. Teniendo en cuenta el objeto de su consulta, a continuación, se hará una breve explicación sobre los contratos y convenios regidos por el Decreto 092 de 2017.</w:t>
      </w:r>
    </w:p>
    <w:p w14:paraId="054D6EDE" w14:textId="77777777" w:rsidR="00E76684" w:rsidRPr="00417948" w:rsidRDefault="00E76684" w:rsidP="00E76684">
      <w:pPr>
        <w:pStyle w:val="Prrafodelista"/>
        <w:rPr>
          <w:rFonts w:ascii="Verdana" w:eastAsia="Calibri" w:hAnsi="Verdana" w:cs="Arial"/>
          <w:color w:val="000000" w:themeColor="text1"/>
        </w:rPr>
      </w:pPr>
    </w:p>
    <w:p w14:paraId="06A2E37D"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color w:val="000000" w:themeColor="text1"/>
        </w:rPr>
        <w:lastRenderedPageBreak/>
        <w:t xml:space="preserve">El </w:t>
      </w:r>
      <w:bookmarkStart w:id="2" w:name="_Hlk173128945"/>
      <w:r w:rsidRPr="00417948">
        <w:rPr>
          <w:rFonts w:ascii="Verdana" w:eastAsia="Calibri" w:hAnsi="Verdana" w:cs="Arial"/>
          <w:color w:val="000000" w:themeColor="text1"/>
        </w:rPr>
        <w:t xml:space="preserve">artículo 355 de la Constitución Política </w:t>
      </w:r>
      <w:bookmarkEnd w:id="2"/>
      <w:r w:rsidRPr="00417948">
        <w:rPr>
          <w:rFonts w:ascii="Verdana" w:eastAsia="Calibri" w:hAnsi="Verdana" w:cs="Arial"/>
          <w:color w:val="000000" w:themeColor="text1"/>
        </w:rPr>
        <w:t>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 en adelante ESAL – con el fin de impulsar programas y actividades de interés público acordes con el plan nacional y los planes seccionales de desarrollo</w:t>
      </w:r>
      <w:r w:rsidRPr="00417948">
        <w:rPr>
          <w:rFonts w:ascii="Verdana" w:hAnsi="Verdana"/>
          <w:vertAlign w:val="superscript"/>
        </w:rPr>
        <w:footnoteReference w:id="2"/>
      </w:r>
      <w:r w:rsidRPr="00417948">
        <w:rPr>
          <w:rFonts w:ascii="Verdana" w:eastAsia="Calibri" w:hAnsi="Verdana" w:cs="Arial"/>
          <w:color w:val="000000" w:themeColor="text1"/>
        </w:rPr>
        <w:t xml:space="preserve">. </w:t>
      </w:r>
      <w:bookmarkStart w:id="3" w:name="_Hlk164688501"/>
      <w:r w:rsidRPr="00417948">
        <w:rPr>
          <w:rFonts w:ascii="Verdana" w:eastAsia="Calibri" w:hAnsi="Verdana" w:cs="Arial"/>
          <w:color w:val="000000" w:themeColor="text1"/>
        </w:rPr>
        <w:t xml:space="preserve">Por otra parte, </w:t>
      </w:r>
      <w:bookmarkStart w:id="4" w:name="_Hlk173128953"/>
      <w:r w:rsidRPr="00417948">
        <w:rPr>
          <w:rFonts w:ascii="Verdana" w:eastAsia="Calibri" w:hAnsi="Verdana" w:cs="Arial"/>
          <w:color w:val="000000" w:themeColor="text1"/>
        </w:rPr>
        <w:t>el artículo 96 de la Ley 489 de 1998</w:t>
      </w:r>
      <w:bookmarkEnd w:id="4"/>
      <w:r w:rsidRPr="00417948">
        <w:rPr>
          <w:rFonts w:ascii="Verdana" w:hAnsi="Verdana"/>
          <w:vertAlign w:val="superscript"/>
        </w:rPr>
        <w:footnoteReference w:id="3"/>
      </w:r>
      <w:r w:rsidRPr="00417948">
        <w:rPr>
          <w:rFonts w:ascii="Verdana" w:eastAsia="Calibri" w:hAnsi="Verdana" w:cs="Arial"/>
          <w:color w:val="000000" w:themeColor="text1"/>
        </w:rPr>
        <w:t xml:space="preserve">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bookmarkEnd w:id="3"/>
      <w:r w:rsidRPr="00417948">
        <w:rPr>
          <w:rFonts w:ascii="Verdana" w:eastAsia="Calibri" w:hAnsi="Verdana" w:cs="Arial"/>
          <w:color w:val="000000" w:themeColor="text1"/>
        </w:rPr>
        <w:t>.</w:t>
      </w:r>
    </w:p>
    <w:p w14:paraId="31FDE5AA" w14:textId="77777777" w:rsidR="00E76684" w:rsidRPr="00417948" w:rsidRDefault="00E76684" w:rsidP="00E76684">
      <w:pPr>
        <w:pStyle w:val="Prrafodelista"/>
        <w:rPr>
          <w:rFonts w:ascii="Verdana" w:hAnsi="Verdana" w:cs="Arial"/>
        </w:rPr>
      </w:pPr>
    </w:p>
    <w:p w14:paraId="74606786"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hAnsi="Verdana" w:cs="Arial"/>
        </w:rPr>
        <w:t>El Gobierno Nacional, en desarrollo del artículo 355 de la Constitución Política, expidió el Decreto 092 de 2017, q</w:t>
      </w:r>
      <w:r w:rsidRPr="00417948">
        <w:rPr>
          <w:rFonts w:ascii="Verdana" w:eastAsia="Calibri" w:hAnsi="Verdana" w:cs="Arial"/>
        </w:rPr>
        <w:t xml:space="preserve">ue dispone las reglas para las contrataciones que realicen las Entidades Estatales con las ESAL. </w:t>
      </w:r>
      <w:r w:rsidRPr="00417948">
        <w:rPr>
          <w:rFonts w:ascii="Verdana" w:eastAsia="Calibri" w:hAnsi="Verdana" w:cs="Arial"/>
          <w:color w:val="000000" w:themeColor="text1"/>
        </w:rPr>
        <w:t xml:space="preserve">El Decreto regula dos (2) eventos: i) </w:t>
      </w:r>
      <w:r w:rsidRPr="00417948">
        <w:rPr>
          <w:rFonts w:ascii="Verdana" w:eastAsia="Calibri" w:hAnsi="Verdana" w:cs="Arial"/>
          <w:lang w:eastAsia="es-ES_tradnl"/>
        </w:rPr>
        <w:t xml:space="preserve">los </w:t>
      </w:r>
      <w:r w:rsidRPr="00417948">
        <w:rPr>
          <w:rFonts w:ascii="Verdana" w:eastAsia="Calibri" w:hAnsi="Verdana" w:cs="Arial"/>
          <w:i/>
          <w:iCs/>
          <w:lang w:eastAsia="es-ES_tradnl"/>
        </w:rPr>
        <w:t>contratos de colaboración</w:t>
      </w:r>
      <w:r w:rsidRPr="00417948">
        <w:rPr>
          <w:rFonts w:ascii="Verdana" w:eastAsia="Calibri" w:hAnsi="Verdana" w:cs="Arial"/>
          <w:lang w:eastAsia="es-ES_tradnl"/>
        </w:rPr>
        <w:t xml:space="preserve"> o de interés público, con el fin impulsar programas y actividades de interés público de acuerdo con el Plan Nacional o los planes seccionales de desarrollo, en los términos del artículo 355 de la Constitución Política</w:t>
      </w:r>
      <w:r w:rsidRPr="00417948">
        <w:rPr>
          <w:rFonts w:ascii="Verdana" w:eastAsia="Calibri" w:hAnsi="Verdana" w:cs="Arial"/>
          <w:color w:val="000000" w:themeColor="text1"/>
        </w:rPr>
        <w:t xml:space="preserve"> y; </w:t>
      </w:r>
      <w:proofErr w:type="spellStart"/>
      <w:r w:rsidRPr="00417948">
        <w:rPr>
          <w:rFonts w:ascii="Verdana" w:eastAsia="Calibri" w:hAnsi="Verdana" w:cs="Arial"/>
          <w:color w:val="000000" w:themeColor="text1"/>
        </w:rPr>
        <w:t>ii</w:t>
      </w:r>
      <w:proofErr w:type="spellEnd"/>
      <w:r w:rsidRPr="00417948">
        <w:rPr>
          <w:rFonts w:ascii="Verdana" w:eastAsia="Calibri" w:hAnsi="Verdana" w:cs="Arial"/>
          <w:color w:val="000000" w:themeColor="text1"/>
        </w:rPr>
        <w:t xml:space="preserve">) los </w:t>
      </w:r>
      <w:r w:rsidRPr="00417948">
        <w:rPr>
          <w:rFonts w:ascii="Verdana" w:eastAsia="Calibri" w:hAnsi="Verdana" w:cs="Arial"/>
          <w:i/>
          <w:iCs/>
          <w:color w:val="000000" w:themeColor="text1"/>
        </w:rPr>
        <w:t>convenios de asociación</w:t>
      </w:r>
      <w:r w:rsidRPr="00417948">
        <w:rPr>
          <w:rFonts w:ascii="Verdana" w:eastAsia="Calibri" w:hAnsi="Verdana" w:cs="Arial"/>
          <w:color w:val="000000" w:themeColor="text1"/>
        </w:rPr>
        <w:t xml:space="preserve">, para el desarrollo conjunto de actividades relacionadas con las funciones de las Entidades Estatales, en desarrollo del artículo 96 de la Ley 489 de 1998. </w:t>
      </w:r>
      <w:r w:rsidRPr="00417948">
        <w:rPr>
          <w:rFonts w:ascii="Verdana" w:eastAsia="Calibri" w:hAnsi="Verdana" w:cs="Arial"/>
          <w:color w:val="000000"/>
          <w:lang w:eastAsia="es-ES_tradnl"/>
        </w:rPr>
        <w:t xml:space="preserve">Los primeros están regulados en el artículo 2 del Decreto 092 de 2017, mientras que los segundos en los artículos 5, 6, 7 y 8 </w:t>
      </w:r>
      <w:r w:rsidRPr="00417948">
        <w:rPr>
          <w:rFonts w:ascii="Verdana" w:eastAsia="Calibri" w:hAnsi="Verdana" w:cs="Arial"/>
          <w:i/>
          <w:iCs/>
          <w:color w:val="000000"/>
          <w:lang w:eastAsia="es-ES_tradnl"/>
        </w:rPr>
        <w:t>ibidem</w:t>
      </w:r>
      <w:r w:rsidRPr="00417948">
        <w:rPr>
          <w:rFonts w:ascii="Verdana" w:eastAsia="Calibri" w:hAnsi="Verdana" w:cs="Arial"/>
          <w:color w:val="000000"/>
          <w:lang w:eastAsia="es-ES_tradnl"/>
        </w:rPr>
        <w:t xml:space="preserve">. Así las cosas, es posible diferenciar los </w:t>
      </w:r>
      <w:r w:rsidRPr="00417948">
        <w:rPr>
          <w:rFonts w:ascii="Verdana" w:eastAsia="Calibri" w:hAnsi="Verdana" w:cs="Arial"/>
          <w:i/>
          <w:iCs/>
          <w:color w:val="000000"/>
          <w:lang w:eastAsia="es-ES_tradnl"/>
        </w:rPr>
        <w:t>contratos de colaboración</w:t>
      </w:r>
      <w:r w:rsidRPr="00417948">
        <w:rPr>
          <w:rFonts w:ascii="Verdana" w:eastAsia="Calibri" w:hAnsi="Verdana" w:cs="Arial"/>
          <w:color w:val="000000"/>
          <w:lang w:eastAsia="es-ES_tradnl"/>
        </w:rPr>
        <w:t xml:space="preserve">, establecidos en el artículo 2 del </w:t>
      </w:r>
      <w:r w:rsidRPr="00417948">
        <w:rPr>
          <w:rFonts w:ascii="Verdana" w:eastAsia="Calibri" w:hAnsi="Verdana" w:cs="Arial"/>
          <w:color w:val="000000"/>
          <w:lang w:eastAsia="es-ES_tradnl"/>
        </w:rPr>
        <w:lastRenderedPageBreak/>
        <w:t xml:space="preserve">Decreto 092 de 2017, de los </w:t>
      </w:r>
      <w:r w:rsidRPr="00417948">
        <w:rPr>
          <w:rFonts w:ascii="Verdana" w:eastAsia="Calibri" w:hAnsi="Verdana" w:cs="Arial"/>
          <w:i/>
          <w:iCs/>
          <w:color w:val="000000"/>
          <w:lang w:eastAsia="es-ES_tradnl"/>
        </w:rPr>
        <w:t>convenios de asociación</w:t>
      </w:r>
      <w:r w:rsidRPr="00417948">
        <w:rPr>
          <w:rFonts w:ascii="Verdana" w:eastAsia="Calibri" w:hAnsi="Verdana" w:cs="Arial"/>
          <w:color w:val="000000"/>
          <w:lang w:eastAsia="es-ES_tradnl"/>
        </w:rPr>
        <w:t>, regulados en el artículo 5.</w:t>
      </w:r>
      <w:r w:rsidRPr="00417948">
        <w:rPr>
          <w:rFonts w:ascii="Verdana" w:hAnsi="Verdana"/>
          <w:color w:val="000000"/>
          <w:vertAlign w:val="superscript"/>
          <w:lang w:eastAsia="es-ES_tradnl"/>
        </w:rPr>
        <w:footnoteReference w:id="4"/>
      </w:r>
      <w:r w:rsidRPr="00417948">
        <w:rPr>
          <w:rFonts w:ascii="Verdana" w:eastAsia="Calibri" w:hAnsi="Verdana" w:cs="Arial"/>
          <w:color w:val="000000"/>
          <w:lang w:eastAsia="es-ES_tradnl"/>
        </w:rPr>
        <w:t xml:space="preserve"> </w:t>
      </w:r>
    </w:p>
    <w:p w14:paraId="3170656F" w14:textId="77777777" w:rsidR="00E76684" w:rsidRPr="00417948" w:rsidRDefault="00E76684" w:rsidP="00E76684">
      <w:pPr>
        <w:pStyle w:val="Prrafodelista"/>
        <w:rPr>
          <w:rFonts w:ascii="Verdana" w:eastAsia="Calibri" w:hAnsi="Verdana" w:cs="Arial"/>
        </w:rPr>
      </w:pPr>
    </w:p>
    <w:p w14:paraId="3FF02093"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rPr>
        <w:t xml:space="preserve">De un lado, los </w:t>
      </w:r>
      <w:r w:rsidRPr="00417948">
        <w:rPr>
          <w:rFonts w:ascii="Verdana" w:eastAsia="Calibri" w:hAnsi="Verdana" w:cs="Arial"/>
          <w:i/>
          <w:iCs/>
        </w:rPr>
        <w:t>contratos del artículo 355 de la Constitución Política</w:t>
      </w:r>
      <w:r w:rsidRPr="00417948">
        <w:rPr>
          <w:rFonts w:ascii="Verdana" w:eastAsia="Calibri" w:hAnsi="Verdana" w:cs="Arial"/>
        </w:rPr>
        <w:t xml:space="preserve">, también llamados contratos de colaboración,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ESAL contratista. </w:t>
      </w:r>
    </w:p>
    <w:p w14:paraId="7A1E8BA7" w14:textId="77777777" w:rsidR="00E76684" w:rsidRPr="00417948" w:rsidRDefault="00E76684" w:rsidP="00E76684">
      <w:pPr>
        <w:pStyle w:val="Prrafodelista"/>
        <w:rPr>
          <w:rFonts w:ascii="Verdana" w:eastAsia="Calibri" w:hAnsi="Verdana" w:cs="Arial"/>
          <w:color w:val="000000" w:themeColor="text1"/>
        </w:rPr>
      </w:pPr>
    </w:p>
    <w:p w14:paraId="00E08739"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color w:val="000000" w:themeColor="text1"/>
        </w:rPr>
        <w:t xml:space="preserve">De otra parte, los </w:t>
      </w:r>
      <w:r w:rsidRPr="00417948">
        <w:rPr>
          <w:rFonts w:ascii="Verdana" w:eastAsia="Calibri" w:hAnsi="Verdana" w:cs="Arial"/>
          <w:i/>
          <w:iCs/>
          <w:color w:val="000000" w:themeColor="text1"/>
        </w:rPr>
        <w:t>convenios de asociación</w:t>
      </w:r>
      <w:r w:rsidRPr="00417948">
        <w:rPr>
          <w:rFonts w:ascii="Verdana" w:eastAsia="Calibri" w:hAnsi="Verdana" w:cs="Arial"/>
          <w:color w:val="000000" w:themeColor="text1"/>
        </w:rPr>
        <w:t xml:space="preserve"> </w:t>
      </w:r>
      <w:r w:rsidRPr="00417948">
        <w:rPr>
          <w:rFonts w:ascii="Verdana" w:eastAsia="Calibri" w:hAnsi="Verdana" w:cs="Arial"/>
          <w:i/>
          <w:iCs/>
          <w:color w:val="000000" w:themeColor="text1"/>
        </w:rPr>
        <w:t>“[…] [t]</w:t>
      </w:r>
      <w:proofErr w:type="spellStart"/>
      <w:r w:rsidRPr="00417948">
        <w:rPr>
          <w:rFonts w:ascii="Verdana" w:eastAsia="Calibri" w:hAnsi="Verdana" w:cs="Arial"/>
          <w:i/>
          <w:iCs/>
          <w:color w:val="000000" w:themeColor="text1"/>
        </w:rPr>
        <w:t>ienen</w:t>
      </w:r>
      <w:proofErr w:type="spellEnd"/>
      <w:r w:rsidRPr="00417948">
        <w:rPr>
          <w:rFonts w:ascii="Verdana" w:eastAsia="Calibri" w:hAnsi="Verdana" w:cs="Arial"/>
          <w:i/>
          <w:iCs/>
          <w:color w:val="000000" w:themeColor="text1"/>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417948">
        <w:rPr>
          <w:rFonts w:ascii="Verdana" w:hAnsi="Verdana"/>
          <w:vertAlign w:val="superscript"/>
        </w:rPr>
        <w:footnoteReference w:id="5"/>
      </w:r>
      <w:r w:rsidRPr="00417948">
        <w:rPr>
          <w:rFonts w:ascii="Verdana" w:eastAsia="Calibri" w:hAnsi="Verdana" w:cs="Arial"/>
          <w:color w:val="000000" w:themeColor="text1"/>
        </w:rPr>
        <w:t xml:space="preserve">. </w:t>
      </w:r>
      <w:r w:rsidRPr="00417948">
        <w:rPr>
          <w:rFonts w:ascii="Verdana" w:eastAsia="Calibri" w:hAnsi="Verdana" w:cs="Arial"/>
          <w:color w:val="000000"/>
          <w:lang w:val="es-MX" w:eastAsia="es-ES_tradnl"/>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treinta por ciento (30%), o en especie, los cuales deben servir al desarrollo de los objetivos comunes de la asociación. </w:t>
      </w:r>
    </w:p>
    <w:p w14:paraId="40B04B6E" w14:textId="77777777" w:rsidR="00E76684" w:rsidRPr="00417948" w:rsidRDefault="00E76684" w:rsidP="00E76684">
      <w:pPr>
        <w:pStyle w:val="Prrafodelista"/>
        <w:rPr>
          <w:rFonts w:ascii="Verdana" w:eastAsia="Calibri" w:hAnsi="Verdana" w:cs="Arial"/>
          <w:color w:val="000000" w:themeColor="text1"/>
        </w:rPr>
      </w:pPr>
    </w:p>
    <w:p w14:paraId="464A9DDE"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color w:val="000000" w:themeColor="text1"/>
        </w:rPr>
        <w:t xml:space="preserve">En estos convenios no existe contraprestación o pago, sino aportes, los cuales están dirigidos, exclusivamente, a lograr la ejecución del convenio no a remunerar la actividad o actuaciones del asociado. De todos modos, la entidad debe adelantar un proceso competitivo, salvo cuando la ESAL comprometa recursos en dinero para la ejecución de estas actividades, en </w:t>
      </w:r>
      <w:r w:rsidRPr="00417948">
        <w:rPr>
          <w:rFonts w:ascii="Verdana" w:eastAsia="Calibri" w:hAnsi="Verdana" w:cs="Arial"/>
          <w:color w:val="000000" w:themeColor="text1"/>
        </w:rPr>
        <w:lastRenderedPageBreak/>
        <w:t>una proporción no inferior al treinta por ciento (30%) del valor total del convenio.</w:t>
      </w:r>
    </w:p>
    <w:p w14:paraId="379729F6" w14:textId="77777777" w:rsidR="00E76684" w:rsidRPr="00417948" w:rsidRDefault="00E76684" w:rsidP="00E76684">
      <w:pPr>
        <w:pStyle w:val="Prrafodelista"/>
        <w:rPr>
          <w:rFonts w:ascii="Verdana" w:eastAsia="Calibri" w:hAnsi="Verdana" w:cs="Arial"/>
          <w:color w:val="000000" w:themeColor="text1"/>
        </w:rPr>
      </w:pPr>
    </w:p>
    <w:p w14:paraId="3D3193D1"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color w:val="000000" w:themeColor="text1"/>
        </w:rPr>
        <w:t xml:space="preserve">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(30%), en dinero, del valor del convenio para celebrarlo directamente, pues de lo contrario deberá adelantarse un proceso competitivo. Además, en atención al inciso 2 del artículo 5 del Decreto 092 de 2017, deben </w:t>
      </w:r>
      <w:r w:rsidRPr="00417948">
        <w:rPr>
          <w:rFonts w:ascii="Verdana" w:eastAsia="Calibri" w:hAnsi="Verdana" w:cs="Arial"/>
          <w:i/>
          <w:iCs/>
          <w:color w:val="000000" w:themeColor="text1"/>
        </w:rPr>
        <w:t>“[…]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32007D69" w14:textId="77777777" w:rsidR="00E76684" w:rsidRPr="00417948" w:rsidRDefault="00E76684" w:rsidP="00E76684">
      <w:pPr>
        <w:pStyle w:val="Prrafodelista"/>
        <w:rPr>
          <w:rFonts w:ascii="Verdana" w:eastAsia="Calibri" w:hAnsi="Verdana" w:cs="Arial"/>
          <w:lang w:val="es-ES_tradnl" w:eastAsia="es-ES_tradnl"/>
        </w:rPr>
      </w:pPr>
    </w:p>
    <w:p w14:paraId="57D7FFBB" w14:textId="50BBAFE2"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lang w:val="es-ES_tradnl" w:eastAsia="es-ES_tradnl"/>
        </w:rPr>
        <w:t xml:space="preserve">Ahora bien, </w:t>
      </w:r>
      <w:r w:rsidRPr="00417948">
        <w:rPr>
          <w:rFonts w:ascii="Verdana" w:eastAsia="Calibri" w:hAnsi="Verdana" w:cs="Arial"/>
          <w:color w:val="000000" w:themeColor="text1"/>
          <w:lang w:val="es-ES_tradnl"/>
        </w:rPr>
        <w:t xml:space="preserve">la principal característica de las ESAL es la ausencia de lucro, es decir, las ganancias o beneficios económicos no están destinados a repartirse en favor de los miembros ni de terceros. De esta manera, ni los contratos de colaboración del artículo 355 de la Constitución Política ni los convenios de asociación del artículo 96 de la Ley 489 de 1998 generan utilidades para la ESAL, pues en dicho caso se trataría de un contrato en el que se debe remunerar al contratista por los servicios prestados, el cual, por eso mismo, tiene un régimen legal distinto. Tampoco este tipo de contratos generan prestaciones que favorezcan a la Entidad Estatal. </w:t>
      </w:r>
    </w:p>
    <w:p w14:paraId="147A99EE" w14:textId="77777777" w:rsidR="00E76684" w:rsidRPr="00417948" w:rsidRDefault="00E76684" w:rsidP="00E76684">
      <w:pPr>
        <w:pStyle w:val="Prrafodelista"/>
        <w:rPr>
          <w:rFonts w:ascii="Verdana" w:eastAsia="Calibri" w:hAnsi="Verdana" w:cs="Arial"/>
          <w:color w:val="000000" w:themeColor="text1"/>
          <w:lang w:val="es-ES_tradnl"/>
        </w:rPr>
      </w:pPr>
    </w:p>
    <w:p w14:paraId="3E6FEFA4"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color w:val="000000" w:themeColor="text1"/>
          <w:lang w:val="es-ES_tradnl"/>
        </w:rPr>
        <w:t xml:space="preserve">En efecto, dada su particular naturaleza, los contratos por colaboración y convenios de asociación, regidos por el Decreto 092 de 2017 a los cuales referencia en su consulta, no tienen un interés puramente económico, porque no se celebran con el fin de obtener una ganancia, sino con el propósito de ejecutar actividades que contribuyen directamente al fin previsto en la Constitución o la ley, sin que por esto se reciba por ninguna de ellas el pago de un precio o contraprestación. </w:t>
      </w:r>
    </w:p>
    <w:p w14:paraId="6749388C" w14:textId="77777777" w:rsidR="00E76684" w:rsidRPr="00417948" w:rsidRDefault="00E76684" w:rsidP="00E76684">
      <w:pPr>
        <w:pStyle w:val="Prrafodelista"/>
        <w:rPr>
          <w:rFonts w:ascii="Verdana" w:eastAsia="Calibri" w:hAnsi="Verdana" w:cs="Arial"/>
        </w:rPr>
      </w:pPr>
    </w:p>
    <w:p w14:paraId="7F0B481E"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rPr>
        <w:t xml:space="preserve">Lo anterior evidencia que en estos contratos por colaboración y convenios de asociación las partes que los celebran no pactan un precio o remuneración. No obstante, lo cierto es que, en atención al principio de planeación, si debe </w:t>
      </w:r>
      <w:r w:rsidRPr="00417948">
        <w:rPr>
          <w:rFonts w:ascii="Verdana" w:eastAsia="Calibri" w:hAnsi="Verdana" w:cs="Arial"/>
        </w:rPr>
        <w:lastRenderedPageBreak/>
        <w:t xml:space="preserve">quedar establecido las obligaciones y aportes que corresponde a cada una de las partes. </w:t>
      </w:r>
    </w:p>
    <w:p w14:paraId="6EDAB15D" w14:textId="77777777" w:rsidR="00E76684" w:rsidRPr="00417948" w:rsidRDefault="00E76684" w:rsidP="00E76684">
      <w:pPr>
        <w:pStyle w:val="Prrafodelista"/>
        <w:rPr>
          <w:rFonts w:ascii="Verdana" w:eastAsia="Calibri" w:hAnsi="Verdana" w:cs="Arial"/>
          <w:color w:val="000000" w:themeColor="text1"/>
          <w:lang w:val="es-ES_tradnl"/>
        </w:rPr>
      </w:pPr>
    </w:p>
    <w:p w14:paraId="56D33066" w14:textId="77777777" w:rsidR="00E76684" w:rsidRPr="00417948" w:rsidRDefault="00E76684" w:rsidP="00E76684">
      <w:pPr>
        <w:pStyle w:val="Prrafodelista"/>
        <w:numPr>
          <w:ilvl w:val="0"/>
          <w:numId w:val="18"/>
        </w:numPr>
        <w:spacing w:after="0" w:line="276" w:lineRule="auto"/>
        <w:contextualSpacing w:val="0"/>
        <w:jc w:val="both"/>
        <w:rPr>
          <w:rFonts w:ascii="Verdana" w:eastAsia="Calibri" w:hAnsi="Verdana" w:cs="Arial"/>
          <w:color w:val="000000" w:themeColor="text1"/>
        </w:rPr>
      </w:pPr>
      <w:r w:rsidRPr="00417948">
        <w:rPr>
          <w:rFonts w:ascii="Verdana" w:eastAsia="Calibri" w:hAnsi="Verdana" w:cs="Arial"/>
          <w:color w:val="000000" w:themeColor="text1"/>
          <w:lang w:val="es-ES_tradnl"/>
        </w:rPr>
        <w:t xml:space="preserve">En línea con lo expuesto, resalta la exigencia de determinar con precisión las obligaciones de las partes y los aportes, por lo cual puede estipularse que una de las obligaciones a cargo de una de partes sea lo referente a las labores administrativas necesarias para el desarrollo del objeto contractual. Así mismo, puede estipularse que un determinado porcentaje o monto del aporte se destine a los gastos administrativos en los que se incurra para ejecutar la actividad a realizar. Conforme lo expuesto en este concepto dichas estipulaciones no deben entenderse como una contraprestación para algunas de las partes o no pueden estar destinadas a remunerar a la ESAL o a la Entidad Pública que participe del convenio.  </w:t>
      </w:r>
    </w:p>
    <w:p w14:paraId="7EF49D61" w14:textId="77777777" w:rsidR="00E76684" w:rsidRPr="00417948" w:rsidRDefault="00E76684" w:rsidP="00E76684">
      <w:pPr>
        <w:pStyle w:val="Prrafodelista"/>
        <w:rPr>
          <w:rFonts w:ascii="Verdana" w:eastAsia="Calibri" w:hAnsi="Verdana" w:cs="Arial"/>
          <w:color w:val="000000" w:themeColor="text1"/>
        </w:rPr>
      </w:pPr>
    </w:p>
    <w:p w14:paraId="09469AC3" w14:textId="77777777" w:rsidR="00E76684" w:rsidRPr="00417948" w:rsidRDefault="00E76684" w:rsidP="00E76684">
      <w:pPr>
        <w:pStyle w:val="Prrafodelista"/>
        <w:numPr>
          <w:ilvl w:val="0"/>
          <w:numId w:val="18"/>
        </w:numPr>
        <w:spacing w:after="0" w:line="276" w:lineRule="auto"/>
        <w:jc w:val="both"/>
        <w:rPr>
          <w:rFonts w:ascii="Verdana" w:eastAsia="Century Gothic" w:hAnsi="Verdana" w:cs="Century Gothic"/>
        </w:rPr>
      </w:pPr>
      <w:r w:rsidRPr="00417948">
        <w:rPr>
          <w:rFonts w:ascii="Verdana" w:eastAsia="Calibri" w:hAnsi="Verdana" w:cs="Arial"/>
          <w:bCs/>
          <w:color w:val="000000" w:themeColor="text1"/>
          <w:lang w:val="es-CO"/>
        </w:rPr>
        <w:t xml:space="preserve">De las precisiones anteriores se colige, que el </w:t>
      </w:r>
      <w:r w:rsidRPr="00417948">
        <w:rPr>
          <w:rFonts w:ascii="Verdana" w:eastAsia="Century Gothic" w:hAnsi="Verdana" w:cs="Century Gothic"/>
        </w:rPr>
        <w:t xml:space="preserve">literal b del artículo 2 del Decreto 092 del 2017, dispone que la contratación con entidades privadas sin ánimo de lucro y de reconocida idoneidad en los términos del artículo 355 de la Constitución Política y del Decreto 092 de 2017, no genera cargas equivalentes o recíprocas y por tanto la Entidad Estatal contratante no instruye a la entidad privada sin ánimo de lucro para desarrollar los programas o actividades previstas. </w:t>
      </w:r>
    </w:p>
    <w:p w14:paraId="74ABDC84" w14:textId="77777777" w:rsidR="00E76684" w:rsidRPr="00417948" w:rsidRDefault="00E76684" w:rsidP="00E76684">
      <w:pPr>
        <w:pStyle w:val="Prrafodelista"/>
        <w:rPr>
          <w:rFonts w:ascii="Verdana" w:eastAsia="Century Gothic" w:hAnsi="Verdana" w:cs="Century Gothic"/>
        </w:rPr>
      </w:pPr>
    </w:p>
    <w:p w14:paraId="7DAF1451" w14:textId="77777777" w:rsidR="003747CB" w:rsidRPr="00417948" w:rsidRDefault="00E76684" w:rsidP="003747CB">
      <w:pPr>
        <w:pStyle w:val="Prrafodelista"/>
        <w:numPr>
          <w:ilvl w:val="0"/>
          <w:numId w:val="18"/>
        </w:numPr>
        <w:spacing w:after="0" w:line="276" w:lineRule="auto"/>
        <w:jc w:val="both"/>
        <w:rPr>
          <w:rFonts w:ascii="Verdana" w:eastAsia="Century Gothic" w:hAnsi="Verdana" w:cs="Century Gothic"/>
        </w:rPr>
      </w:pPr>
      <w:r w:rsidRPr="00417948">
        <w:rPr>
          <w:rFonts w:ascii="Verdana" w:eastAsia="Century Gothic" w:hAnsi="Verdana" w:cs="Century Gothic"/>
        </w:rPr>
        <w:t>La finalidad será en todo caso la de aunar esfuerzos y recursos en conjunto para el cumplimiento del objeto, por lo que el manejo de los recursos que aportan ambas partes debe atender a esa naturaleza y no a una relación conmutativa o de contraprestación donde solo una parte entrega recursos y la otra entrega un bien, obra o servicio; por lo que en el marco de esa relación de colaboración mutua las partes tienen una coordinación para la ejecución contractual, deben decidir conjuntamente el manejo de los recursos dentro de los principios presupuestales, de contratación y de función pública.</w:t>
      </w:r>
    </w:p>
    <w:p w14:paraId="40AB5845" w14:textId="77777777" w:rsidR="003747CB" w:rsidRPr="00417948" w:rsidRDefault="003747CB" w:rsidP="003747CB">
      <w:pPr>
        <w:pStyle w:val="Prrafodelista"/>
        <w:rPr>
          <w:rFonts w:ascii="Verdana" w:eastAsia="Century Gothic" w:hAnsi="Verdana" w:cs="Century Gothic"/>
        </w:rPr>
      </w:pPr>
    </w:p>
    <w:p w14:paraId="37A8E901" w14:textId="1174EF4A" w:rsidR="004961FB" w:rsidRPr="00417948" w:rsidRDefault="003747CB" w:rsidP="003747CB">
      <w:pPr>
        <w:pStyle w:val="Prrafodelista"/>
        <w:numPr>
          <w:ilvl w:val="0"/>
          <w:numId w:val="18"/>
        </w:numPr>
        <w:spacing w:after="0" w:line="276" w:lineRule="auto"/>
        <w:jc w:val="both"/>
        <w:rPr>
          <w:rFonts w:ascii="Verdana" w:eastAsia="Century Gothic" w:hAnsi="Verdana" w:cs="Century Gothic"/>
        </w:rPr>
      </w:pPr>
      <w:r w:rsidRPr="00417948">
        <w:rPr>
          <w:rFonts w:ascii="Verdana" w:eastAsia="Century Gothic" w:hAnsi="Verdana" w:cs="Century Gothic"/>
        </w:rPr>
        <w:t>En ese orden de ideas</w:t>
      </w:r>
      <w:r w:rsidR="00E76684" w:rsidRPr="00417948">
        <w:rPr>
          <w:rFonts w:ascii="Verdana" w:eastAsia="Century Gothic" w:hAnsi="Verdana" w:cs="Century Gothic"/>
        </w:rPr>
        <w:t xml:space="preserve">, en los contratos de colaboración y de los convenios de asociación no existen contraprestación o pago, sino aportes, los cuales están dirigidos a lograr la ejecución del convenio y no a remunerar la actividad o actuaciones del asociado. Así las cosas, la posibilidad de que un contrato de colaboración y un convenio de asociación incluyan compromisos con contenido económico no puede ir en contravía de su naturaleza y finalidad, ni desconocer los elementos esenciales de este tipo de negocio </w:t>
      </w:r>
      <w:r w:rsidR="00E76684" w:rsidRPr="00417948">
        <w:rPr>
          <w:rFonts w:ascii="Verdana" w:eastAsia="Century Gothic" w:hAnsi="Verdana" w:cs="Century Gothic"/>
        </w:rPr>
        <w:lastRenderedPageBreak/>
        <w:t>jurídico, por lo tanto, en sus estipulaciones no puede incluirse, una remuneración o utilidad en favor de alguna de las entidades que concurre a su suscripción, pues cambiaría su connotación a contrato interadministrativo.</w:t>
      </w:r>
    </w:p>
    <w:p w14:paraId="65FFA127" w14:textId="77777777" w:rsidR="004961FB" w:rsidRPr="00417948" w:rsidRDefault="004961FB" w:rsidP="004961FB">
      <w:pPr>
        <w:pStyle w:val="Prrafodelista"/>
        <w:rPr>
          <w:rFonts w:ascii="Verdana" w:eastAsia="Century Gothic" w:hAnsi="Verdana" w:cs="Century Gothic"/>
        </w:rPr>
      </w:pPr>
    </w:p>
    <w:p w14:paraId="6E9114F3" w14:textId="1F458464" w:rsidR="004961FB" w:rsidRPr="00417948" w:rsidRDefault="00EA2318" w:rsidP="004961FB">
      <w:pPr>
        <w:pStyle w:val="Prrafodelista"/>
        <w:numPr>
          <w:ilvl w:val="0"/>
          <w:numId w:val="18"/>
        </w:numPr>
        <w:spacing w:after="0" w:line="276" w:lineRule="auto"/>
        <w:jc w:val="both"/>
        <w:rPr>
          <w:rFonts w:ascii="Verdana" w:eastAsia="Century Gothic" w:hAnsi="Verdana" w:cs="Century Gothic"/>
        </w:rPr>
      </w:pPr>
      <w:r w:rsidRPr="00417948">
        <w:rPr>
          <w:rFonts w:ascii="Verdana" w:eastAsia="Century Gothic" w:hAnsi="Verdana" w:cs="Century Gothic"/>
        </w:rPr>
        <w:t xml:space="preserve">Finalmente, </w:t>
      </w:r>
      <w:r w:rsidR="008969C9" w:rsidRPr="00417948">
        <w:rPr>
          <w:rFonts w:ascii="Verdana" w:eastAsia="Century Gothic" w:hAnsi="Verdana" w:cs="Century Gothic"/>
        </w:rPr>
        <w:t xml:space="preserve">y para brindar respuesta a la consulta elevada, se </w:t>
      </w:r>
      <w:r w:rsidR="00362B93" w:rsidRPr="00417948">
        <w:rPr>
          <w:rFonts w:ascii="Verdana" w:eastAsia="Century Gothic" w:hAnsi="Verdana" w:cs="Century Gothic"/>
        </w:rPr>
        <w:t>concluye</w:t>
      </w:r>
      <w:r w:rsidR="00D173AE" w:rsidRPr="00417948">
        <w:rPr>
          <w:rFonts w:ascii="Verdana" w:eastAsia="Century Gothic" w:hAnsi="Verdana" w:cs="Century Gothic"/>
        </w:rPr>
        <w:t xml:space="preserve"> que conforme a lo expuesto en precedencia</w:t>
      </w:r>
      <w:r w:rsidR="008969C9" w:rsidRPr="00417948">
        <w:rPr>
          <w:rFonts w:ascii="Verdana" w:eastAsia="Century Gothic" w:hAnsi="Verdana" w:cs="Century Gothic"/>
        </w:rPr>
        <w:t xml:space="preserve"> </w:t>
      </w:r>
      <w:r w:rsidR="00AF7923" w:rsidRPr="00417948">
        <w:rPr>
          <w:rFonts w:ascii="Verdana" w:eastAsia="Century Gothic" w:hAnsi="Verdana" w:cs="Century Gothic"/>
        </w:rPr>
        <w:t xml:space="preserve">la celebración de </w:t>
      </w:r>
      <w:r w:rsidR="00AF7923" w:rsidRPr="00417948">
        <w:rPr>
          <w:rFonts w:ascii="Verdana" w:eastAsia="Century Gothic" w:hAnsi="Verdana" w:cs="Century Gothic"/>
          <w:i/>
          <w:iCs/>
        </w:rPr>
        <w:t xml:space="preserve">convenios de </w:t>
      </w:r>
      <w:r w:rsidR="008654A1" w:rsidRPr="00417948">
        <w:rPr>
          <w:rFonts w:ascii="Verdana" w:eastAsia="Century Gothic" w:hAnsi="Verdana" w:cs="Century Gothic"/>
          <w:i/>
          <w:iCs/>
        </w:rPr>
        <w:t>asociación</w:t>
      </w:r>
      <w:r w:rsidR="00D173AE" w:rsidRPr="00417948">
        <w:rPr>
          <w:rFonts w:ascii="Verdana" w:eastAsia="Century Gothic" w:hAnsi="Verdana" w:cs="Century Gothic"/>
        </w:rPr>
        <w:t xml:space="preserve"> </w:t>
      </w:r>
      <w:r w:rsidR="008654A1" w:rsidRPr="00417948">
        <w:rPr>
          <w:rFonts w:ascii="Verdana" w:eastAsia="Century Gothic" w:hAnsi="Verdana" w:cs="Century Gothic"/>
        </w:rPr>
        <w:t>es</w:t>
      </w:r>
      <w:r w:rsidR="00AF7923" w:rsidRPr="00417948">
        <w:rPr>
          <w:rFonts w:ascii="Verdana" w:eastAsia="Century Gothic" w:hAnsi="Verdana" w:cs="Century Gothic"/>
        </w:rPr>
        <w:t xml:space="preserve"> procedente para el desarrollo conjunto de actividades relacionadas con las funciones de las Entidades Estatales cualquiera que sea su naturaleza y orden administrativo. </w:t>
      </w:r>
      <w:r w:rsidR="00436620" w:rsidRPr="00417948">
        <w:rPr>
          <w:rFonts w:ascii="Verdana" w:eastAsia="Century Gothic" w:hAnsi="Verdana" w:cs="Century Gothic"/>
        </w:rPr>
        <w:t>Bajo este contexto</w:t>
      </w:r>
      <w:r w:rsidR="00AF7923" w:rsidRPr="00417948">
        <w:rPr>
          <w:rFonts w:ascii="Verdana" w:eastAsia="Century Gothic" w:hAnsi="Verdana" w:cs="Century Gothic"/>
        </w:rPr>
        <w:t>, los convenios de asociación se rigen por lo dispuesto en el artículo 96 de la ley 489 de 1998 y los artículos 5,6,7 y 8 del Decreto 092 de 2017, que entre otros asuntos, disponen de manera expresa que las Entidades Estatales no requerirán la inscripción de las -ESAL- en el RUP</w:t>
      </w:r>
      <w:r w:rsidR="00362B93" w:rsidRPr="00417948">
        <w:rPr>
          <w:rStyle w:val="Refdenotaalpie"/>
          <w:rFonts w:ascii="Verdana" w:eastAsia="Century Gothic" w:hAnsi="Verdana" w:cs="Century Gothic"/>
        </w:rPr>
        <w:footnoteReference w:id="6"/>
      </w:r>
      <w:r w:rsidR="00AF7923" w:rsidRPr="00417948">
        <w:rPr>
          <w:rFonts w:ascii="Verdana" w:eastAsia="Century Gothic" w:hAnsi="Verdana" w:cs="Century Gothic"/>
        </w:rPr>
        <w:t>.</w:t>
      </w:r>
      <w:r w:rsidR="00E27F99" w:rsidRPr="00417948">
        <w:rPr>
          <w:rFonts w:ascii="Verdana" w:eastAsia="Century Gothic" w:hAnsi="Verdana" w:cs="Century Gothic"/>
        </w:rPr>
        <w:t xml:space="preserve"> </w:t>
      </w:r>
      <w:r w:rsidR="002E0E2A" w:rsidRPr="00417948">
        <w:rPr>
          <w:rFonts w:ascii="Verdana" w:eastAsia="Century Gothic" w:hAnsi="Verdana" w:cs="Century Gothic"/>
        </w:rPr>
        <w:t>Ahora, f</w:t>
      </w:r>
      <w:r w:rsidR="00E27F99" w:rsidRPr="00417948">
        <w:rPr>
          <w:rFonts w:ascii="Verdana" w:eastAsia="Century Gothic" w:hAnsi="Verdana" w:cs="Century Gothic"/>
        </w:rPr>
        <w:t xml:space="preserve">rente a la </w:t>
      </w:r>
      <w:r w:rsidR="004961FB" w:rsidRPr="00417948">
        <w:rPr>
          <w:rFonts w:ascii="Verdana" w:eastAsia="Century Gothic" w:hAnsi="Verdana" w:cs="Century Gothic"/>
        </w:rPr>
        <w:t xml:space="preserve">modalidad de selección para la suscripción de los </w:t>
      </w:r>
      <w:r w:rsidR="004961FB" w:rsidRPr="00417948">
        <w:rPr>
          <w:rFonts w:ascii="Verdana" w:eastAsia="Century Gothic" w:hAnsi="Verdana" w:cs="Century Gothic"/>
          <w:i/>
          <w:iCs/>
        </w:rPr>
        <w:t xml:space="preserve">convenios de asociación </w:t>
      </w:r>
      <w:r w:rsidR="004961FB" w:rsidRPr="00417948">
        <w:rPr>
          <w:rFonts w:ascii="Verdana" w:eastAsia="Century Gothic" w:hAnsi="Verdana" w:cs="Century Gothic"/>
        </w:rPr>
        <w:t xml:space="preserve">debe advertirse que estos no estarán sujetos a un proceso competitivo cuando la entidad sin ánimo de lucro comprometa recursos en dinero para la ejecución de </w:t>
      </w:r>
      <w:r w:rsidR="00247AEA" w:rsidRPr="00417948">
        <w:rPr>
          <w:rFonts w:ascii="Verdana" w:eastAsia="Century Gothic" w:hAnsi="Verdana" w:cs="Century Gothic"/>
        </w:rPr>
        <w:t>las</w:t>
      </w:r>
      <w:r w:rsidR="004961FB" w:rsidRPr="00417948">
        <w:rPr>
          <w:rFonts w:ascii="Verdana" w:eastAsia="Century Gothic" w:hAnsi="Verdana" w:cs="Century Gothic"/>
        </w:rPr>
        <w:t xml:space="preserve"> actividades en una proporción no inferior al 30% del valor total del convenio de lo contrario </w:t>
      </w:r>
      <w:r w:rsidR="002053FC" w:rsidRPr="00417948">
        <w:rPr>
          <w:rFonts w:ascii="Verdana" w:eastAsia="Century Gothic" w:hAnsi="Verdana" w:cs="Century Gothic"/>
        </w:rPr>
        <w:t xml:space="preserve">la Entidad </w:t>
      </w:r>
      <w:r w:rsidR="004961FB" w:rsidRPr="00417948">
        <w:rPr>
          <w:rFonts w:ascii="Verdana" w:eastAsia="Century Gothic" w:hAnsi="Verdana" w:cs="Century Gothic"/>
        </w:rPr>
        <w:t xml:space="preserve">deberá adelantar un proceso competitivo. </w:t>
      </w:r>
    </w:p>
    <w:p w14:paraId="0F293BF4" w14:textId="7BBFAB11" w:rsidR="00127233" w:rsidRPr="00417948" w:rsidRDefault="00127233" w:rsidP="00665D70">
      <w:pPr>
        <w:spacing w:after="0"/>
        <w:jc w:val="both"/>
        <w:rPr>
          <w:rFonts w:ascii="Verdana" w:hAnsi="Verdana"/>
          <w:lang w:val="es-ES"/>
        </w:rPr>
      </w:pPr>
    </w:p>
    <w:p w14:paraId="573E1C9A" w14:textId="77777777" w:rsidR="00DC1BBA" w:rsidRPr="00417948" w:rsidRDefault="00DC1BBA" w:rsidP="00DC1BB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17948">
        <w:rPr>
          <w:rFonts w:ascii="Verdana" w:eastAsia="Century Gothic" w:hAnsi="Verdana" w:cs="Century Gothic"/>
          <w:b/>
          <w:bCs/>
        </w:rPr>
        <w:t>Referencias normativas, jurisprudenciales y otras fuentes:</w:t>
      </w:r>
    </w:p>
    <w:p w14:paraId="04DC12D2" w14:textId="77777777" w:rsidR="00DC1BBA" w:rsidRPr="00417948" w:rsidRDefault="00DC1BBA" w:rsidP="00DC1BBA">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DC1BBA" w:rsidRPr="00417948" w14:paraId="597D26E4" w14:textId="77777777" w:rsidTr="00227682">
        <w:trPr>
          <w:trHeight w:val="870"/>
        </w:trPr>
        <w:tc>
          <w:tcPr>
            <w:tcW w:w="8647" w:type="dxa"/>
          </w:tcPr>
          <w:p w14:paraId="30A19F68" w14:textId="77777777" w:rsidR="003C1EA3" w:rsidRPr="00417948" w:rsidRDefault="003C1EA3" w:rsidP="003C1EA3">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17948">
              <w:rPr>
                <w:rFonts w:ascii="Verdana" w:hAnsi="Verdana" w:cs="Arial"/>
              </w:rPr>
              <w:t xml:space="preserve">Ley </w:t>
            </w:r>
            <w:r w:rsidRPr="00417948">
              <w:rPr>
                <w:rFonts w:ascii="Verdana" w:eastAsia="Calibri" w:hAnsi="Verdana" w:cs="Arial"/>
              </w:rPr>
              <w:t>1150 de 2007.</w:t>
            </w:r>
          </w:p>
          <w:p w14:paraId="436D279B" w14:textId="77777777" w:rsidR="003C1EA3" w:rsidRPr="00417948" w:rsidRDefault="003C1EA3" w:rsidP="003C1EA3">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17948">
              <w:rPr>
                <w:rFonts w:ascii="Verdana" w:eastAsia="Calibri" w:hAnsi="Verdana" w:cs="Arial"/>
              </w:rPr>
              <w:t>Ley 80 de 1993, Artículos 11 y 12.</w:t>
            </w:r>
          </w:p>
          <w:p w14:paraId="4D954272" w14:textId="77777777" w:rsidR="003C1EA3" w:rsidRPr="00417948" w:rsidRDefault="003C1EA3" w:rsidP="003C1EA3">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17948">
              <w:rPr>
                <w:rFonts w:ascii="Verdana" w:eastAsia="Calibri" w:hAnsi="Verdana" w:cs="Arial"/>
              </w:rPr>
              <w:t>Constitución Política, Artículo 355.</w:t>
            </w:r>
          </w:p>
          <w:p w14:paraId="7222E0C9" w14:textId="77777777" w:rsidR="003C1EA3" w:rsidRPr="00417948" w:rsidRDefault="003C1EA3" w:rsidP="003C1EA3">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17948">
              <w:rPr>
                <w:rFonts w:ascii="Verdana" w:eastAsia="Calibri" w:hAnsi="Verdana" w:cs="Arial"/>
              </w:rPr>
              <w:t>Ley 489 de 1998, Artículo 96.</w:t>
            </w:r>
          </w:p>
          <w:p w14:paraId="5128C96C" w14:textId="77777777" w:rsidR="003C1EA3" w:rsidRPr="00417948" w:rsidRDefault="003C1EA3" w:rsidP="003C1EA3">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17948">
              <w:rPr>
                <w:rFonts w:ascii="Verdana" w:eastAsia="Calibri" w:hAnsi="Verdana" w:cs="Arial"/>
              </w:rPr>
              <w:t>Decreto 092 de 2017, Artículos 2, 5, 6, 7 y 8.</w:t>
            </w:r>
          </w:p>
          <w:p w14:paraId="340C5DF4" w14:textId="3A685F9C" w:rsidR="00DC1BBA" w:rsidRPr="00417948" w:rsidRDefault="003C1EA3" w:rsidP="003C1EA3">
            <w:pPr>
              <w:pStyle w:val="Prrafodelista"/>
              <w:widowControl w:val="0"/>
              <w:numPr>
                <w:ilvl w:val="0"/>
                <w:numId w:val="17"/>
              </w:numPr>
              <w:tabs>
                <w:tab w:val="left" w:pos="8419"/>
              </w:tabs>
              <w:autoSpaceDE w:val="0"/>
              <w:autoSpaceDN w:val="0"/>
              <w:spacing w:after="160" w:line="276" w:lineRule="auto"/>
              <w:contextualSpacing w:val="0"/>
              <w:jc w:val="both"/>
              <w:rPr>
                <w:rFonts w:ascii="Verdana" w:hAnsi="Verdana" w:cs="Arial"/>
              </w:rPr>
            </w:pPr>
            <w:r w:rsidRPr="00417948">
              <w:rPr>
                <w:rFonts w:ascii="Verdana" w:eastAsia="Calibri" w:hAnsi="Verdana" w:cs="Arial"/>
                <w:bCs/>
                <w:color w:val="000000"/>
                <w:lang w:val="es-ES_tradnl" w:eastAsia="es-ES_tradnl" w:bidi="es-ES"/>
              </w:rPr>
              <w:t xml:space="preserve">Guía para la contratación con entidades privadas sin ánimo de lucro y de reconocida idoneidad. Disponible en: </w:t>
            </w:r>
            <w:hyperlink r:id="rId13" w:history="1">
              <w:r w:rsidRPr="00417948">
                <w:rPr>
                  <w:rStyle w:val="Hipervnculo"/>
                  <w:rFonts w:ascii="Verdana" w:eastAsia="Calibri" w:hAnsi="Verdana" w:cs="Arial"/>
                  <w:bCs/>
                  <w:lang w:val="es-ES_tradnl" w:eastAsia="es-ES_tradnl" w:bidi="es-ES"/>
                </w:rPr>
                <w:t>https://www.colombiacompra.gov.co/sites/cce_public/files/cce_documents/cce_guia_esal.pdf</w:t>
              </w:r>
            </w:hyperlink>
            <w:r w:rsidRPr="00417948">
              <w:rPr>
                <w:rFonts w:ascii="Verdana" w:eastAsia="Calibri" w:hAnsi="Verdana" w:cs="Arial"/>
                <w:bCs/>
                <w:color w:val="000000"/>
                <w:lang w:val="es-ES_tradnl" w:eastAsia="es-ES_tradnl" w:bidi="es-ES"/>
              </w:rPr>
              <w:t xml:space="preserve"> </w:t>
            </w:r>
            <w:r w:rsidRPr="00417948">
              <w:rPr>
                <w:rFonts w:ascii="Verdana" w:hAnsi="Verdana" w:cs="Arial"/>
              </w:rPr>
              <w:t xml:space="preserve"> </w:t>
            </w:r>
          </w:p>
        </w:tc>
      </w:tr>
    </w:tbl>
    <w:p w14:paraId="3149DD15" w14:textId="77777777" w:rsidR="00DC1BBA" w:rsidRPr="00417948" w:rsidRDefault="00DC1BBA" w:rsidP="00DC1BBA">
      <w:pPr>
        <w:widowControl w:val="0"/>
        <w:autoSpaceDE w:val="0"/>
        <w:autoSpaceDN w:val="0"/>
        <w:spacing w:after="0" w:line="276" w:lineRule="auto"/>
        <w:jc w:val="both"/>
        <w:rPr>
          <w:rFonts w:ascii="Verdana" w:hAnsi="Verdana" w:cs="Arial"/>
        </w:rPr>
      </w:pPr>
    </w:p>
    <w:p w14:paraId="79B349D0" w14:textId="77777777" w:rsidR="00DC1BBA" w:rsidRPr="00417948" w:rsidRDefault="00DC1BBA" w:rsidP="00DC1BBA">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17948">
        <w:rPr>
          <w:rFonts w:ascii="Verdana" w:eastAsia="Century Gothic" w:hAnsi="Verdana" w:cs="Century Gothic"/>
          <w:b/>
          <w:bCs/>
        </w:rPr>
        <w:lastRenderedPageBreak/>
        <w:t>Doctrina de la Agencia Nacional de Contratación Pública:</w:t>
      </w:r>
    </w:p>
    <w:p w14:paraId="6E23B2EF" w14:textId="77777777" w:rsidR="00DC1BBA" w:rsidRPr="00417948" w:rsidRDefault="00DC1BBA" w:rsidP="00DC1BBA">
      <w:pPr>
        <w:widowControl w:val="0"/>
        <w:autoSpaceDE w:val="0"/>
        <w:autoSpaceDN w:val="0"/>
        <w:spacing w:after="0" w:line="276" w:lineRule="auto"/>
        <w:jc w:val="both"/>
        <w:rPr>
          <w:rFonts w:ascii="Verdana" w:hAnsi="Verdana" w:cs="Arial"/>
        </w:rPr>
      </w:pPr>
    </w:p>
    <w:p w14:paraId="71EB31F3" w14:textId="012C8A6D" w:rsidR="00F16444" w:rsidRPr="00417948" w:rsidRDefault="00F16444" w:rsidP="00F16444">
      <w:pPr>
        <w:widowControl w:val="0"/>
        <w:autoSpaceDE w:val="0"/>
        <w:autoSpaceDN w:val="0"/>
        <w:spacing w:after="0" w:line="276" w:lineRule="auto"/>
        <w:jc w:val="both"/>
        <w:rPr>
          <w:rFonts w:ascii="Verdana" w:hAnsi="Verdana" w:cs="Arial"/>
        </w:rPr>
      </w:pPr>
      <w:r w:rsidRPr="00417948">
        <w:rPr>
          <w:rFonts w:ascii="Verdana" w:hAnsi="Verdana" w:cs="Arial"/>
          <w:lang w:val="es-ES"/>
        </w:rPr>
        <w:t xml:space="preserve">Sobre </w:t>
      </w:r>
      <w:r w:rsidRPr="00417948">
        <w:rPr>
          <w:rFonts w:ascii="Verdana" w:hAnsi="Verdana" w:cs="Arial"/>
          <w:bCs/>
          <w:lang w:val="es-ES_tradnl"/>
        </w:rPr>
        <w:t xml:space="preserve">la contratación con entidades privadas sin ánimo de lucro y de reconocida idoneidad -ESAL- regulada por el Decreto 092 de 2017, </w:t>
      </w:r>
      <w:r w:rsidRPr="00417948">
        <w:rPr>
          <w:rFonts w:ascii="Verdana" w:hAnsi="Verdana" w:cs="Arial"/>
          <w:lang w:val="es-ES"/>
        </w:rPr>
        <w:t xml:space="preserve">esta Subdirección </w:t>
      </w:r>
      <w:r w:rsidR="008F2BF8" w:rsidRPr="00417948">
        <w:rPr>
          <w:rFonts w:ascii="Verdana" w:hAnsi="Verdana" w:cs="Arial"/>
          <w:lang w:val="es-ES"/>
        </w:rPr>
        <w:t xml:space="preserve">se pronunció </w:t>
      </w:r>
      <w:r w:rsidRPr="00417948">
        <w:rPr>
          <w:rFonts w:ascii="Verdana" w:hAnsi="Verdana" w:cs="Arial"/>
          <w:lang w:val="es-ES"/>
        </w:rPr>
        <w:t xml:space="preserve">en los conceptos </w:t>
      </w:r>
      <w:r w:rsidRPr="00417948">
        <w:rPr>
          <w:rFonts w:ascii="Verdana" w:hAnsi="Verdana" w:cs="Arial"/>
        </w:rPr>
        <w:t>Nos. C-624 del 28 de septiembre de 2022, C-771 del 30 de diciembre de 2022, C-853 del 9 de diciembre de 2022, C-844 del 28 de diciembre del 2022, C-026 de 16 de marzo de 2023, C-037 de 05 de abril de 2023, C-203 de 21 de junio de 2023 C-003 del 02 de febrero de 2024, C-045 del 24 de abril de 2024, C-080 del 07 de mayo del 2024, C-071 del 28 de mayo del 2024, C-096 del 28 de junio del 2024, C-073 del 22 de julio del 2024, C-356 del 22 de julio del 2024, C-262 del 29 de julio del 2024, C-192 del 31 de julio del 2024, C-210 del 05 de agosto del 2024, C-240 del 12 de agosto del 2024, C-496 del 29 de agosto del 2024, C-416 del 06 de septiembre del 2024</w:t>
      </w:r>
      <w:r w:rsidR="007B1D86" w:rsidRPr="00417948">
        <w:rPr>
          <w:rFonts w:ascii="Verdana" w:hAnsi="Verdana" w:cs="Arial"/>
        </w:rPr>
        <w:t xml:space="preserve">, </w:t>
      </w:r>
      <w:r w:rsidRPr="00417948">
        <w:rPr>
          <w:rFonts w:ascii="Verdana" w:hAnsi="Verdana" w:cs="Arial"/>
        </w:rPr>
        <w:t>C-450 del 17 de septiembre del 2024</w:t>
      </w:r>
      <w:r w:rsidR="00A80788" w:rsidRPr="00417948">
        <w:rPr>
          <w:rFonts w:ascii="Verdana" w:hAnsi="Verdana" w:cs="Arial"/>
        </w:rPr>
        <w:t xml:space="preserve">, </w:t>
      </w:r>
      <w:r w:rsidR="007B1D86" w:rsidRPr="00417948">
        <w:rPr>
          <w:rFonts w:ascii="Verdana" w:hAnsi="Verdana" w:cs="Arial"/>
        </w:rPr>
        <w:t>C-</w:t>
      </w:r>
      <w:r w:rsidR="0048786C" w:rsidRPr="00417948">
        <w:rPr>
          <w:rFonts w:ascii="Verdana" w:hAnsi="Verdana" w:cs="Arial"/>
        </w:rPr>
        <w:t>476 del 20 de septiembre del 2024</w:t>
      </w:r>
      <w:r w:rsidR="00A80788" w:rsidRPr="00417948">
        <w:rPr>
          <w:rFonts w:ascii="Verdana" w:hAnsi="Verdana" w:cs="Arial"/>
        </w:rPr>
        <w:t>, C-</w:t>
      </w:r>
      <w:r w:rsidR="00C557D5" w:rsidRPr="00417948">
        <w:rPr>
          <w:rFonts w:ascii="Verdana" w:hAnsi="Verdana" w:cs="Arial"/>
        </w:rPr>
        <w:t xml:space="preserve">509 del 04 de octubre del 2024 y C-590 del 18 de octubre del 2024. </w:t>
      </w:r>
      <w:r w:rsidRPr="00417948">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417948">
          <w:rPr>
            <w:rStyle w:val="Hipervnculo"/>
            <w:rFonts w:ascii="Verdana" w:hAnsi="Verdana" w:cs="Arial"/>
            <w:shd w:val="clear" w:color="auto" w:fill="FFFFFF"/>
          </w:rPr>
          <w:t>https://relatoria.colombiacompra.gov.co/</w:t>
        </w:r>
      </w:hyperlink>
      <w:r w:rsidRPr="00417948">
        <w:rPr>
          <w:rFonts w:ascii="Verdana" w:hAnsi="Verdana" w:cs="Arial"/>
          <w:shd w:val="clear" w:color="auto" w:fill="FFFFFF"/>
        </w:rPr>
        <w:t xml:space="preserve"> . </w:t>
      </w:r>
    </w:p>
    <w:p w14:paraId="7C178D67" w14:textId="77777777" w:rsidR="00B04A88" w:rsidRPr="00417948" w:rsidRDefault="00B04A88" w:rsidP="00127744">
      <w:pPr>
        <w:spacing w:after="0" w:line="240" w:lineRule="auto"/>
        <w:jc w:val="both"/>
        <w:rPr>
          <w:rFonts w:ascii="Verdana" w:hAnsi="Verdana" w:cs="Arial"/>
        </w:rPr>
      </w:pPr>
    </w:p>
    <w:p w14:paraId="01D37AE1" w14:textId="59BE7EE9" w:rsidR="00441397" w:rsidRPr="00417948" w:rsidRDefault="00127744" w:rsidP="00127744">
      <w:pPr>
        <w:spacing w:after="0" w:line="240" w:lineRule="auto"/>
        <w:jc w:val="both"/>
        <w:rPr>
          <w:rFonts w:ascii="Verdana" w:hAnsi="Verdana" w:cs="Arial"/>
          <w:color w:val="000000" w:themeColor="text1"/>
          <w:shd w:val="clear" w:color="auto" w:fill="FFFFFF"/>
        </w:rPr>
      </w:pPr>
      <w:r w:rsidRPr="00417948">
        <w:rPr>
          <w:rFonts w:ascii="Verdana" w:hAnsi="Verdana" w:cs="Arial"/>
          <w:color w:val="000000" w:themeColor="text1"/>
          <w:shd w:val="clear" w:color="auto" w:fill="FFFFFF"/>
        </w:rPr>
        <w:t xml:space="preserve">De otra parte, te contamos que ya publicamos el borrador de la nueva Guía de Contratación Pública Sostenible y Socialmente Responsable. Conoce el documento y realiza tus comentarios hasta el </w:t>
      </w:r>
      <w:r w:rsidRPr="00417948">
        <w:rPr>
          <w:rFonts w:ascii="Verdana" w:hAnsi="Verdana" w:cs="Arial"/>
          <w:b/>
          <w:bCs/>
          <w:color w:val="000000" w:themeColor="text1"/>
          <w:shd w:val="clear" w:color="auto" w:fill="FFFFFF"/>
        </w:rPr>
        <w:t>14 de noviembre de 2024</w:t>
      </w:r>
      <w:r w:rsidRPr="00417948">
        <w:rPr>
          <w:rFonts w:ascii="Verdana" w:hAnsi="Verdana" w:cs="Arial"/>
          <w:color w:val="000000" w:themeColor="text1"/>
          <w:shd w:val="clear" w:color="auto" w:fill="FFFFFF"/>
        </w:rPr>
        <w:t xml:space="preserve"> a través del siguiente enlace: </w:t>
      </w:r>
      <w:hyperlink r:id="rId15" w:tgtFrame="_blank" w:tooltip="Dirección URL original: https://www.sucop.gov.co/entidades/colombiacompra/Normativa?IDNorma=18320. Haga clic o pulse si confía en este vínculo." w:history="1">
        <w:r w:rsidRPr="00417948">
          <w:rPr>
            <w:rStyle w:val="Hipervnculo"/>
            <w:rFonts w:ascii="Verdana" w:hAnsi="Verdana" w:cs="Arial"/>
            <w:shd w:val="clear" w:color="auto" w:fill="FFFFFF"/>
          </w:rPr>
          <w:t>https://www.sucop.gov.co/entidades/colombiacompra/Normativa?IDNorma=18320</w:t>
        </w:r>
      </w:hyperlink>
      <w:r w:rsidRPr="00417948">
        <w:rPr>
          <w:rFonts w:ascii="Verdana" w:hAnsi="Verdana" w:cs="Arial"/>
          <w:color w:val="000000" w:themeColor="text1"/>
          <w:shd w:val="clear" w:color="auto" w:fill="FFFFFF"/>
        </w:rPr>
        <w:t>  </w:t>
      </w:r>
    </w:p>
    <w:p w14:paraId="723ED7B1" w14:textId="77777777" w:rsidR="00441397" w:rsidRPr="00417948" w:rsidRDefault="00441397" w:rsidP="00127744">
      <w:pPr>
        <w:spacing w:after="0" w:line="240" w:lineRule="auto"/>
        <w:jc w:val="both"/>
        <w:rPr>
          <w:rFonts w:ascii="Verdana" w:hAnsi="Verdana" w:cs="Arial"/>
          <w:color w:val="000000" w:themeColor="text1"/>
          <w:shd w:val="clear" w:color="auto" w:fill="FFFFFF"/>
        </w:rPr>
      </w:pPr>
    </w:p>
    <w:p w14:paraId="16C9FCCE" w14:textId="59FFBE1A" w:rsidR="00441397" w:rsidRPr="00417948" w:rsidRDefault="00127744" w:rsidP="00DC1BBA">
      <w:pPr>
        <w:spacing w:after="0" w:line="240" w:lineRule="auto"/>
        <w:jc w:val="both"/>
        <w:rPr>
          <w:rFonts w:ascii="Verdana" w:hAnsi="Verdana" w:cs="Arial"/>
          <w:color w:val="000000" w:themeColor="text1"/>
          <w:shd w:val="clear" w:color="auto" w:fill="FFFFFF"/>
        </w:rPr>
      </w:pPr>
      <w:r w:rsidRPr="00417948">
        <w:rPr>
          <w:rFonts w:ascii="Verdana" w:hAnsi="Verdana" w:cs="Arial"/>
          <w:color w:val="000000" w:themeColor="text1"/>
          <w:shd w:val="clear" w:color="auto" w:fill="FFFFFF"/>
        </w:rPr>
        <w:t xml:space="preserve">También </w:t>
      </w:r>
      <w:r w:rsidR="00441397" w:rsidRPr="00417948">
        <w:rPr>
          <w:rFonts w:ascii="Verdana" w:hAnsi="Verdana" w:cs="Arial"/>
          <w:color w:val="000000" w:themeColor="text1"/>
          <w:shd w:val="clear" w:color="auto" w:fill="FFFFFF"/>
        </w:rPr>
        <w:t>t</w:t>
      </w:r>
      <w:r w:rsidRPr="00417948">
        <w:rPr>
          <w:rFonts w:ascii="Verdana" w:hAnsi="Verdana" w:cs="Arial"/>
          <w:color w:val="000000" w:themeColor="text1"/>
          <w:shd w:val="clear" w:color="auto" w:fill="FFFFFF"/>
        </w:rPr>
        <w:t xml:space="preserve">e invitamos a consultar las versiones V y VI de 2024 del Boletín de Relatoría de la Subdirección de Gestión Contractual relacionados con las guías de Plan Anual de Adquisiciones y la </w:t>
      </w:r>
      <w:r w:rsidR="00441397" w:rsidRPr="00417948">
        <w:rPr>
          <w:rFonts w:ascii="Verdana" w:hAnsi="Verdana" w:cs="Arial"/>
          <w:color w:val="000000" w:themeColor="text1"/>
          <w:shd w:val="clear" w:color="auto" w:fill="FFFFFF"/>
        </w:rPr>
        <w:t>modalidad</w:t>
      </w:r>
      <w:r w:rsidRPr="00417948">
        <w:rPr>
          <w:rFonts w:ascii="Verdana" w:hAnsi="Verdana" w:cs="Arial"/>
          <w:color w:val="000000" w:themeColor="text1"/>
          <w:shd w:val="clear" w:color="auto" w:fill="FFFFFF"/>
        </w:rPr>
        <w:t xml:space="preserve"> de selección de mínima cuantía , los cuales se pueden descargar en la página web de la Agencia: </w:t>
      </w:r>
      <w:hyperlink r:id="rId16" w:tgtFrame="_blank" w:tooltip="Dirección URL original: https://www.colombiacompra.gov.co/sala-de-prensa/boletin-digital. Haga clic o pulse si confía en este vínculo." w:history="1">
        <w:r w:rsidRPr="00417948">
          <w:rPr>
            <w:rStyle w:val="Hipervnculo"/>
            <w:rFonts w:ascii="Verdana" w:hAnsi="Verdana" w:cs="Arial"/>
            <w:shd w:val="clear" w:color="auto" w:fill="FFFFFF"/>
          </w:rPr>
          <w:t>https://www.colombiacompra.gov.co/sala-de-prensa/boletin-digital</w:t>
        </w:r>
      </w:hyperlink>
      <w:r w:rsidRPr="00417948">
        <w:rPr>
          <w:rFonts w:ascii="Verdana" w:hAnsi="Verdana" w:cs="Arial"/>
          <w:color w:val="000000" w:themeColor="text1"/>
          <w:shd w:val="clear" w:color="auto" w:fill="FFFFFF"/>
        </w:rPr>
        <w:t> "   </w:t>
      </w:r>
    </w:p>
    <w:p w14:paraId="7D88A333" w14:textId="77777777" w:rsidR="00441397" w:rsidRPr="00417948" w:rsidRDefault="00441397" w:rsidP="00DC1BBA">
      <w:pPr>
        <w:spacing w:after="0" w:line="240" w:lineRule="auto"/>
        <w:jc w:val="both"/>
        <w:rPr>
          <w:rFonts w:ascii="Verdana" w:hAnsi="Verdana" w:cs="Arial"/>
          <w:color w:val="000000" w:themeColor="text1"/>
          <w:shd w:val="clear" w:color="auto" w:fill="FFFFFF"/>
        </w:rPr>
      </w:pPr>
    </w:p>
    <w:p w14:paraId="2A506EF3" w14:textId="5DF43B02" w:rsidR="00DC1BBA" w:rsidRPr="00417948" w:rsidRDefault="00DC1BBA" w:rsidP="00DC1BBA">
      <w:pPr>
        <w:spacing w:after="0" w:line="240" w:lineRule="auto"/>
        <w:jc w:val="both"/>
        <w:rPr>
          <w:rFonts w:ascii="Verdana" w:hAnsi="Verdana" w:cs="Arial"/>
          <w:color w:val="000000" w:themeColor="text1"/>
          <w:shd w:val="clear" w:color="auto" w:fill="FFFFFF"/>
        </w:rPr>
      </w:pPr>
      <w:r w:rsidRPr="00417948">
        <w:rPr>
          <w:rFonts w:ascii="Verdana" w:hAnsi="Verdana"/>
        </w:rPr>
        <w:t xml:space="preserve">Por último, lo invitamos a seguirnos en las redes sociales en las cuales se difunde información institucional: </w:t>
      </w:r>
    </w:p>
    <w:p w14:paraId="6ABD273B" w14:textId="77777777" w:rsidR="00DC1BBA" w:rsidRPr="00417948" w:rsidRDefault="00DC1BBA" w:rsidP="00DC1BBA">
      <w:pPr>
        <w:spacing w:after="0" w:line="240" w:lineRule="auto"/>
        <w:jc w:val="both"/>
        <w:rPr>
          <w:rFonts w:ascii="Verdana" w:hAnsi="Verdana"/>
        </w:rPr>
      </w:pPr>
    </w:p>
    <w:p w14:paraId="75970328" w14:textId="77777777" w:rsidR="00DC1BBA" w:rsidRPr="00417948" w:rsidRDefault="00DC1BBA" w:rsidP="00DC1BBA">
      <w:pPr>
        <w:spacing w:after="0" w:line="240" w:lineRule="auto"/>
        <w:jc w:val="both"/>
        <w:rPr>
          <w:rFonts w:ascii="Verdana" w:hAnsi="Verdana"/>
        </w:rPr>
      </w:pPr>
      <w:r w:rsidRPr="00417948">
        <w:rPr>
          <w:rFonts w:ascii="Verdana" w:hAnsi="Verdana"/>
        </w:rPr>
        <w:t xml:space="preserve">Twitter: </w:t>
      </w:r>
      <w:r w:rsidRPr="00417948">
        <w:rPr>
          <w:rStyle w:val="Hipervnculo"/>
          <w:rFonts w:ascii="Verdana" w:hAnsi="Verdana"/>
          <w:color w:val="4472C4" w:themeColor="accent1"/>
        </w:rPr>
        <w:t>@colombiacompra</w:t>
      </w:r>
      <w:r w:rsidRPr="00417948">
        <w:rPr>
          <w:rFonts w:ascii="Verdana" w:hAnsi="Verdana"/>
          <w:color w:val="4472C4" w:themeColor="accent1"/>
        </w:rPr>
        <w:t xml:space="preserve"> </w:t>
      </w:r>
    </w:p>
    <w:p w14:paraId="3D6117FB" w14:textId="77777777" w:rsidR="00DC1BBA" w:rsidRPr="00417948" w:rsidRDefault="00DC1BBA" w:rsidP="00DC1BBA">
      <w:pPr>
        <w:spacing w:after="0" w:line="240" w:lineRule="auto"/>
        <w:jc w:val="both"/>
        <w:rPr>
          <w:rFonts w:ascii="Verdana" w:hAnsi="Verdana"/>
        </w:rPr>
      </w:pPr>
      <w:r w:rsidRPr="00417948">
        <w:rPr>
          <w:rFonts w:ascii="Verdana" w:hAnsi="Verdana"/>
        </w:rPr>
        <w:t xml:space="preserve">Facebook: </w:t>
      </w:r>
      <w:proofErr w:type="spellStart"/>
      <w:r w:rsidRPr="00417948">
        <w:rPr>
          <w:rStyle w:val="Hipervnculo"/>
          <w:rFonts w:ascii="Verdana" w:hAnsi="Verdana"/>
          <w:color w:val="4472C4" w:themeColor="accent1"/>
        </w:rPr>
        <w:t>ColombiaCompraEficiente</w:t>
      </w:r>
      <w:proofErr w:type="spellEnd"/>
    </w:p>
    <w:p w14:paraId="50E1DB2A" w14:textId="77777777" w:rsidR="00DC1BBA" w:rsidRPr="00417948" w:rsidRDefault="00DC1BBA" w:rsidP="00DC1BBA">
      <w:pPr>
        <w:spacing w:after="0" w:line="240" w:lineRule="auto"/>
        <w:jc w:val="both"/>
        <w:rPr>
          <w:rFonts w:ascii="Verdana" w:hAnsi="Verdana"/>
        </w:rPr>
      </w:pPr>
      <w:r w:rsidRPr="00417948">
        <w:rPr>
          <w:rFonts w:ascii="Verdana" w:hAnsi="Verdana"/>
        </w:rPr>
        <w:lastRenderedPageBreak/>
        <w:t xml:space="preserve">LinkedIn: </w:t>
      </w:r>
      <w:r w:rsidRPr="00417948">
        <w:rPr>
          <w:rStyle w:val="Hipervnculo"/>
          <w:rFonts w:ascii="Verdana" w:hAnsi="Verdana"/>
          <w:color w:val="4472C4" w:themeColor="accent1"/>
        </w:rPr>
        <w:t>Agencia Nacional de Contratación Pública - Colombia Compra Eficiente</w:t>
      </w:r>
      <w:r w:rsidRPr="00417948">
        <w:rPr>
          <w:rFonts w:ascii="Verdana" w:hAnsi="Verdana"/>
          <w:color w:val="4472C4" w:themeColor="accent1"/>
        </w:rPr>
        <w:t xml:space="preserve"> </w:t>
      </w:r>
      <w:r w:rsidRPr="00417948">
        <w:rPr>
          <w:rFonts w:ascii="Verdana" w:hAnsi="Verdana"/>
        </w:rPr>
        <w:t xml:space="preserve">Instagram: </w:t>
      </w:r>
      <w:r w:rsidRPr="00417948">
        <w:rPr>
          <w:rStyle w:val="Hipervnculo"/>
          <w:rFonts w:ascii="Verdana" w:hAnsi="Verdana"/>
          <w:color w:val="4472C4" w:themeColor="accent1"/>
        </w:rPr>
        <w:t>@colombiacompraeficiente_cce</w:t>
      </w:r>
    </w:p>
    <w:p w14:paraId="03A1B214" w14:textId="77777777" w:rsidR="00DC1BBA" w:rsidRPr="00417948" w:rsidRDefault="00DC1BBA" w:rsidP="00DC1BBA">
      <w:pPr>
        <w:widowControl w:val="0"/>
        <w:autoSpaceDE w:val="0"/>
        <w:autoSpaceDN w:val="0"/>
        <w:spacing w:after="0" w:line="276" w:lineRule="auto"/>
        <w:jc w:val="both"/>
        <w:rPr>
          <w:rFonts w:ascii="Verdana" w:hAnsi="Verdana" w:cs="Arial"/>
        </w:rPr>
      </w:pPr>
    </w:p>
    <w:p w14:paraId="6D39583E" w14:textId="77777777" w:rsidR="00DC1BBA" w:rsidRPr="00417948" w:rsidRDefault="00DC1BBA" w:rsidP="00DC1BBA">
      <w:pPr>
        <w:widowControl w:val="0"/>
        <w:autoSpaceDE w:val="0"/>
        <w:autoSpaceDN w:val="0"/>
        <w:spacing w:after="0" w:line="276" w:lineRule="auto"/>
        <w:jc w:val="both"/>
        <w:rPr>
          <w:rFonts w:ascii="Verdana" w:hAnsi="Verdana" w:cs="Arial"/>
          <w:lang w:val="es-ES_tradnl"/>
        </w:rPr>
      </w:pPr>
      <w:r w:rsidRPr="00417948">
        <w:rPr>
          <w:rFonts w:ascii="Verdana" w:hAnsi="Verdana" w:cs="Arial"/>
        </w:rPr>
        <w:t xml:space="preserve">Este concepto tiene el alcance previsto en el artículo 28 del Código de Procedimiento Administrativo y de lo Contencioso Administrativo </w:t>
      </w:r>
      <w:r w:rsidRPr="00417948">
        <w:rPr>
          <w:rFonts w:ascii="Verdana" w:hAnsi="Verdana" w:cs="Arial"/>
          <w:lang w:val="es-ES_tradnl"/>
        </w:rPr>
        <w:t>y las expresiones aquí utilizadas con mayúscula inicial deben ser entendidas con el significado que les otorga el artículo 2.2.1.1.1.3.1. del Decreto 1082 de 2015.</w:t>
      </w:r>
    </w:p>
    <w:p w14:paraId="4BFB3E74" w14:textId="77777777" w:rsidR="00DC1BBA" w:rsidRPr="00417948" w:rsidRDefault="00DC1BBA" w:rsidP="00DC1BBA">
      <w:pPr>
        <w:widowControl w:val="0"/>
        <w:autoSpaceDE w:val="0"/>
        <w:autoSpaceDN w:val="0"/>
        <w:spacing w:after="0" w:line="276" w:lineRule="auto"/>
        <w:jc w:val="both"/>
        <w:rPr>
          <w:rFonts w:ascii="Verdana" w:hAnsi="Verdana" w:cs="Arial"/>
        </w:rPr>
      </w:pPr>
    </w:p>
    <w:p w14:paraId="0097D2C5" w14:textId="77777777" w:rsidR="00DC1BBA" w:rsidRPr="00417948" w:rsidRDefault="00DC1BBA" w:rsidP="00DC1BBA">
      <w:pPr>
        <w:spacing w:after="0" w:line="240" w:lineRule="auto"/>
        <w:rPr>
          <w:rFonts w:ascii="Verdana" w:hAnsi="Verdana" w:cs="Arial"/>
          <w:lang w:eastAsia="es-CO"/>
        </w:rPr>
      </w:pPr>
      <w:r w:rsidRPr="00417948">
        <w:rPr>
          <w:rFonts w:ascii="Verdana" w:eastAsia="Times New Roman" w:hAnsi="Verdana" w:cs="Arial"/>
          <w:lang w:eastAsia="es-CO"/>
        </w:rPr>
        <w:t>Atentamente,</w:t>
      </w:r>
      <w:r w:rsidRPr="00417948">
        <w:rPr>
          <w:rFonts w:ascii="Verdana" w:hAnsi="Verdana" w:cs="Arial"/>
          <w:lang w:eastAsia="es-CO"/>
        </w:rPr>
        <w:t xml:space="preserve"> </w:t>
      </w:r>
    </w:p>
    <w:p w14:paraId="5B7D6EE3" w14:textId="6E6B81BD" w:rsidR="00DC1BBA" w:rsidRPr="00417948" w:rsidRDefault="003953A7" w:rsidP="00DC1BBA">
      <w:pPr>
        <w:spacing w:line="276" w:lineRule="auto"/>
        <w:jc w:val="center"/>
        <w:rPr>
          <w:rFonts w:ascii="Verdana" w:hAnsi="Verdana" w:cs="Arial"/>
          <w:color w:val="000000"/>
          <w:lang w:val="es-ES_tradnl" w:eastAsia="es-CO"/>
        </w:rPr>
      </w:pPr>
      <w:r w:rsidRPr="00417948">
        <w:rPr>
          <w:rFonts w:ascii="Verdana" w:hAnsi="Verdana"/>
          <w:noProof/>
        </w:rPr>
        <w:drawing>
          <wp:inline distT="0" distB="0" distL="0" distR="0" wp14:anchorId="2D5D242D" wp14:editId="6941AE22">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7"/>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DC1BBA" w:rsidRPr="00417948" w14:paraId="317B92A3" w14:textId="77777777" w:rsidTr="00227682">
        <w:trPr>
          <w:trHeight w:val="315"/>
        </w:trPr>
        <w:tc>
          <w:tcPr>
            <w:tcW w:w="893" w:type="dxa"/>
            <w:vAlign w:val="center"/>
            <w:hideMark/>
          </w:tcPr>
          <w:p w14:paraId="7613D174" w14:textId="77777777" w:rsidR="00DC1BBA" w:rsidRPr="00417948" w:rsidRDefault="00DC1BBA" w:rsidP="00227682">
            <w:pPr>
              <w:contextualSpacing/>
              <w:rPr>
                <w:rFonts w:ascii="Verdana" w:hAnsi="Verdana" w:cs="Arial"/>
                <w:sz w:val="16"/>
                <w:szCs w:val="16"/>
                <w:lang w:val="es-ES" w:eastAsia="es-ES"/>
              </w:rPr>
            </w:pPr>
            <w:r w:rsidRPr="00417948">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1575662" w14:textId="77777777" w:rsidR="00DC1BBA" w:rsidRPr="00417948" w:rsidRDefault="00DC1BBA" w:rsidP="00227682">
            <w:pPr>
              <w:contextualSpacing/>
              <w:rPr>
                <w:rFonts w:ascii="Verdana" w:eastAsia="Arial" w:hAnsi="Verdana" w:cs="Arial"/>
                <w:sz w:val="16"/>
                <w:szCs w:val="16"/>
              </w:rPr>
            </w:pPr>
            <w:r w:rsidRPr="00417948">
              <w:rPr>
                <w:rFonts w:ascii="Verdana" w:eastAsia="Arial" w:hAnsi="Verdana" w:cs="Arial"/>
                <w:sz w:val="16"/>
                <w:szCs w:val="16"/>
              </w:rPr>
              <w:t>Ana María Ortiz Ballesteros</w:t>
            </w:r>
          </w:p>
          <w:p w14:paraId="3E99E88F" w14:textId="77777777" w:rsidR="00DC1BBA" w:rsidRPr="00417948" w:rsidRDefault="00DC1BBA" w:rsidP="00227682">
            <w:pPr>
              <w:contextualSpacing/>
              <w:rPr>
                <w:rFonts w:ascii="Verdana" w:eastAsia="Arial" w:hAnsi="Verdana" w:cs="Arial"/>
                <w:sz w:val="16"/>
                <w:szCs w:val="16"/>
              </w:rPr>
            </w:pPr>
            <w:r w:rsidRPr="00417948">
              <w:rPr>
                <w:rStyle w:val="normaltextrun"/>
                <w:rFonts w:ascii="Verdana" w:eastAsia="Arial" w:hAnsi="Verdana" w:cs="Arial"/>
                <w:sz w:val="16"/>
                <w:szCs w:val="16"/>
              </w:rPr>
              <w:t>C</w:t>
            </w:r>
            <w:r w:rsidRPr="00417948">
              <w:rPr>
                <w:rStyle w:val="normaltextrun"/>
                <w:rFonts w:ascii="Verdana" w:hAnsi="Verdana"/>
                <w:sz w:val="16"/>
                <w:szCs w:val="16"/>
              </w:rPr>
              <w:t>ontratista</w:t>
            </w:r>
            <w:r w:rsidRPr="00417948">
              <w:rPr>
                <w:rStyle w:val="normaltextrun"/>
                <w:rFonts w:ascii="Verdana" w:eastAsia="Arial" w:hAnsi="Verdana" w:cs="Arial"/>
                <w:sz w:val="16"/>
                <w:szCs w:val="16"/>
              </w:rPr>
              <w:t xml:space="preserve"> de la Subdirección de Gestión Contractual</w:t>
            </w:r>
          </w:p>
        </w:tc>
      </w:tr>
      <w:tr w:rsidR="00DC1BBA" w:rsidRPr="00417948" w14:paraId="0731D082" w14:textId="77777777" w:rsidTr="00227682">
        <w:trPr>
          <w:trHeight w:val="330"/>
        </w:trPr>
        <w:tc>
          <w:tcPr>
            <w:tcW w:w="893" w:type="dxa"/>
            <w:vAlign w:val="center"/>
            <w:hideMark/>
          </w:tcPr>
          <w:p w14:paraId="6CB54523" w14:textId="77777777" w:rsidR="00DC1BBA" w:rsidRPr="00417948" w:rsidRDefault="00DC1BBA" w:rsidP="00227682">
            <w:pPr>
              <w:contextualSpacing/>
              <w:rPr>
                <w:rFonts w:ascii="Verdana" w:hAnsi="Verdana" w:cs="Arial"/>
                <w:sz w:val="16"/>
                <w:szCs w:val="16"/>
                <w:lang w:val="es-ES" w:eastAsia="es-ES"/>
              </w:rPr>
            </w:pPr>
            <w:r w:rsidRPr="00417948">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012A4C53" w14:textId="444A3566" w:rsidR="00DC1BBA" w:rsidRPr="00417948" w:rsidRDefault="00DC1BBA" w:rsidP="00227682">
            <w:pPr>
              <w:pStyle w:val="paragraph"/>
              <w:spacing w:after="0"/>
              <w:contextualSpacing/>
              <w:textAlignment w:val="baseline"/>
              <w:rPr>
                <w:rStyle w:val="normaltextrun"/>
                <w:rFonts w:ascii="Verdana" w:hAnsi="Verdana" w:cs="Arial"/>
                <w:sz w:val="16"/>
                <w:szCs w:val="16"/>
                <w:lang w:val="es-ES"/>
              </w:rPr>
            </w:pPr>
            <w:r w:rsidRPr="00417948">
              <w:rPr>
                <w:rStyle w:val="normaltextrun"/>
                <w:rFonts w:ascii="Verdana" w:hAnsi="Verdana" w:cs="Arial"/>
                <w:sz w:val="16"/>
                <w:szCs w:val="16"/>
                <w:lang w:val="es-ES"/>
              </w:rPr>
              <w:t xml:space="preserve">Alejandro Sarmiento Cantillo </w:t>
            </w:r>
          </w:p>
          <w:p w14:paraId="4EBEC253" w14:textId="77777777" w:rsidR="00DC1BBA" w:rsidRPr="00417948" w:rsidRDefault="00DC1BBA" w:rsidP="00227682">
            <w:pPr>
              <w:pStyle w:val="paragraph"/>
              <w:spacing w:before="0" w:beforeAutospacing="0" w:after="0" w:afterAutospacing="0"/>
              <w:contextualSpacing/>
              <w:textAlignment w:val="baseline"/>
              <w:rPr>
                <w:rFonts w:ascii="Verdana" w:hAnsi="Verdana" w:cs="Segoe UI"/>
                <w:sz w:val="16"/>
                <w:szCs w:val="16"/>
              </w:rPr>
            </w:pPr>
            <w:r w:rsidRPr="00417948">
              <w:rPr>
                <w:rStyle w:val="normaltextrun"/>
                <w:rFonts w:ascii="Verdana" w:eastAsia="Arial" w:hAnsi="Verdana" w:cs="Arial"/>
                <w:sz w:val="16"/>
                <w:szCs w:val="16"/>
              </w:rPr>
              <w:t>Gestor T1 ‒ 15 de la Subdirección de Gestión Contractual</w:t>
            </w:r>
          </w:p>
        </w:tc>
      </w:tr>
      <w:tr w:rsidR="00DC1BBA" w:rsidRPr="00417948" w14:paraId="2018F0B6" w14:textId="77777777" w:rsidTr="00227682">
        <w:trPr>
          <w:trHeight w:val="300"/>
        </w:trPr>
        <w:tc>
          <w:tcPr>
            <w:tcW w:w="893" w:type="dxa"/>
            <w:vAlign w:val="center"/>
          </w:tcPr>
          <w:p w14:paraId="1D18CED0" w14:textId="77777777" w:rsidR="00DC1BBA" w:rsidRPr="00417948" w:rsidRDefault="00DC1BBA" w:rsidP="00227682">
            <w:pPr>
              <w:contextualSpacing/>
              <w:rPr>
                <w:rFonts w:ascii="Verdana" w:hAnsi="Verdana" w:cs="Arial"/>
                <w:sz w:val="16"/>
                <w:szCs w:val="16"/>
                <w:lang w:val="es-ES" w:eastAsia="es-ES"/>
              </w:rPr>
            </w:pPr>
            <w:r w:rsidRPr="00417948">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5BC2D542" w14:textId="77777777" w:rsidR="00DC1BBA" w:rsidRPr="00417948" w:rsidRDefault="00DC1BBA" w:rsidP="00227682">
            <w:pPr>
              <w:contextualSpacing/>
              <w:rPr>
                <w:rFonts w:ascii="Verdana" w:eastAsia="Calibri" w:hAnsi="Verdana" w:cs="Arial"/>
                <w:sz w:val="16"/>
                <w:szCs w:val="16"/>
                <w:lang w:val="pt-BR" w:eastAsia="es-ES"/>
              </w:rPr>
            </w:pPr>
            <w:r w:rsidRPr="00417948">
              <w:rPr>
                <w:rFonts w:ascii="Verdana" w:eastAsia="Calibri" w:hAnsi="Verdana" w:cs="Arial"/>
                <w:sz w:val="16"/>
                <w:szCs w:val="16"/>
                <w:lang w:val="pt-BR" w:eastAsia="es-ES"/>
              </w:rPr>
              <w:t xml:space="preserve">Carolina Quintero </w:t>
            </w:r>
            <w:proofErr w:type="spellStart"/>
            <w:r w:rsidRPr="00417948">
              <w:rPr>
                <w:rFonts w:ascii="Verdana" w:eastAsia="Calibri" w:hAnsi="Verdana" w:cs="Arial"/>
                <w:sz w:val="16"/>
                <w:szCs w:val="16"/>
                <w:lang w:val="pt-BR" w:eastAsia="es-ES"/>
              </w:rPr>
              <w:t>Gacharná</w:t>
            </w:r>
            <w:proofErr w:type="spellEnd"/>
          </w:p>
          <w:p w14:paraId="5C7C1AB1" w14:textId="77777777" w:rsidR="00DC1BBA" w:rsidRPr="00417948" w:rsidRDefault="00DC1BBA" w:rsidP="00227682">
            <w:pPr>
              <w:contextualSpacing/>
              <w:rPr>
                <w:rFonts w:ascii="Verdana" w:eastAsia="Calibri" w:hAnsi="Verdana" w:cs="Arial"/>
                <w:sz w:val="16"/>
                <w:szCs w:val="16"/>
                <w:lang w:val="pt-BR" w:eastAsia="es-ES"/>
              </w:rPr>
            </w:pPr>
            <w:r w:rsidRPr="00417948">
              <w:rPr>
                <w:rFonts w:ascii="Verdana" w:eastAsia="Calibri" w:hAnsi="Verdana" w:cs="Arial"/>
                <w:sz w:val="16"/>
                <w:szCs w:val="16"/>
                <w:lang w:eastAsia="es-ES"/>
              </w:rPr>
              <w:t>Subdirectora</w:t>
            </w:r>
            <w:r w:rsidRPr="00417948">
              <w:rPr>
                <w:rFonts w:ascii="Verdana" w:eastAsia="Calibri" w:hAnsi="Verdana" w:cs="Arial"/>
                <w:sz w:val="16"/>
                <w:szCs w:val="16"/>
                <w:lang w:val="pt-BR" w:eastAsia="es-ES"/>
              </w:rPr>
              <w:t xml:space="preserve"> de Gestión Contractual ANCP – CCE</w:t>
            </w:r>
          </w:p>
        </w:tc>
      </w:tr>
    </w:tbl>
    <w:p w14:paraId="77D74BFB" w14:textId="77777777" w:rsidR="00DC1BBA" w:rsidRPr="00417948" w:rsidRDefault="00DC1BBA" w:rsidP="00DC1BBA">
      <w:pPr>
        <w:spacing w:after="0"/>
        <w:jc w:val="both"/>
        <w:rPr>
          <w:rFonts w:ascii="Verdana" w:hAnsi="Verdana"/>
        </w:rPr>
      </w:pPr>
    </w:p>
    <w:p w14:paraId="3AC94A8F" w14:textId="77777777" w:rsidR="00DC1BBA" w:rsidRPr="00DC1BBA" w:rsidRDefault="00DC1BBA" w:rsidP="00665D70">
      <w:pPr>
        <w:spacing w:after="0"/>
        <w:jc w:val="both"/>
        <w:rPr>
          <w:rFonts w:ascii="Verdana" w:hAnsi="Verdana"/>
        </w:rPr>
      </w:pPr>
    </w:p>
    <w:sectPr w:rsidR="00DC1BBA" w:rsidRPr="00DC1BBA"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2892A" w14:textId="77777777" w:rsidR="003A26D1" w:rsidRDefault="003A26D1" w:rsidP="004A1847">
      <w:pPr>
        <w:spacing w:after="0" w:line="240" w:lineRule="auto"/>
      </w:pPr>
      <w:r>
        <w:separator/>
      </w:r>
    </w:p>
  </w:endnote>
  <w:endnote w:type="continuationSeparator" w:id="0">
    <w:p w14:paraId="121EFF9E" w14:textId="77777777" w:rsidR="003A26D1" w:rsidRDefault="003A26D1" w:rsidP="004A1847">
      <w:pPr>
        <w:spacing w:after="0" w:line="240" w:lineRule="auto"/>
      </w:pPr>
      <w:r>
        <w:continuationSeparator/>
      </w:r>
    </w:p>
  </w:endnote>
  <w:endnote w:type="continuationNotice" w:id="1">
    <w:p w14:paraId="17F7E79E" w14:textId="77777777" w:rsidR="009633CE" w:rsidRDefault="00963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altName w:val="Arial"/>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9BCA8" w14:textId="77777777" w:rsidR="003A26D1" w:rsidRDefault="003A26D1" w:rsidP="004A1847">
      <w:pPr>
        <w:spacing w:after="0" w:line="240" w:lineRule="auto"/>
      </w:pPr>
      <w:r>
        <w:separator/>
      </w:r>
    </w:p>
  </w:footnote>
  <w:footnote w:type="continuationSeparator" w:id="0">
    <w:p w14:paraId="6FC17697" w14:textId="77777777" w:rsidR="003A26D1" w:rsidRDefault="003A26D1" w:rsidP="004A1847">
      <w:pPr>
        <w:spacing w:after="0" w:line="240" w:lineRule="auto"/>
      </w:pPr>
      <w:r>
        <w:continuationSeparator/>
      </w:r>
    </w:p>
  </w:footnote>
  <w:footnote w:type="continuationNotice" w:id="1">
    <w:p w14:paraId="7446CC58" w14:textId="77777777" w:rsidR="009633CE" w:rsidRDefault="009633CE">
      <w:pPr>
        <w:spacing w:after="0" w:line="240" w:lineRule="auto"/>
      </w:pPr>
    </w:p>
  </w:footnote>
  <w:footnote w:id="2">
    <w:p w14:paraId="4F301723" w14:textId="77777777" w:rsidR="00E76684" w:rsidRPr="008600AB" w:rsidRDefault="00E76684" w:rsidP="00E76684">
      <w:pPr>
        <w:pStyle w:val="Textonotapie"/>
        <w:ind w:firstLine="709"/>
        <w:jc w:val="both"/>
        <w:rPr>
          <w:rFonts w:ascii="Verdana" w:hAnsi="Verdana" w:cs="Arial"/>
          <w:color w:val="000000" w:themeColor="text1"/>
          <w:sz w:val="18"/>
          <w:szCs w:val="18"/>
        </w:rPr>
      </w:pPr>
      <w:r w:rsidRPr="008600AB">
        <w:rPr>
          <w:rStyle w:val="Refdenotaalpie"/>
          <w:rFonts w:ascii="Verdana" w:hAnsi="Verdana" w:cs="Arial"/>
          <w:color w:val="000000" w:themeColor="text1"/>
          <w:sz w:val="18"/>
          <w:szCs w:val="18"/>
        </w:rPr>
        <w:footnoteRef/>
      </w:r>
      <w:r w:rsidRPr="008600AB">
        <w:rPr>
          <w:rFonts w:ascii="Verdana" w:hAnsi="Verdana" w:cs="Arial"/>
          <w:color w:val="000000" w:themeColor="text1"/>
          <w:sz w:val="18"/>
          <w:szCs w:val="18"/>
        </w:rPr>
        <w:t xml:space="preserve"> Sobre esta norma, consultar los conceptos del 8 de octubre de 2019, con radicado No. 2201913000007532, y del 20 de diciembre de 2019, con radicado No. 4201913000008240.</w:t>
      </w:r>
    </w:p>
    <w:p w14:paraId="02F483D1" w14:textId="77777777" w:rsidR="00E76684" w:rsidRPr="008600AB" w:rsidRDefault="00E76684" w:rsidP="00E76684">
      <w:pPr>
        <w:pStyle w:val="Textonotapie"/>
        <w:ind w:firstLine="709"/>
        <w:jc w:val="both"/>
        <w:rPr>
          <w:rFonts w:ascii="Verdana" w:hAnsi="Verdana" w:cs="Arial"/>
          <w:color w:val="000000" w:themeColor="text1"/>
          <w:sz w:val="18"/>
          <w:szCs w:val="18"/>
          <w:lang w:val="es-ES"/>
        </w:rPr>
      </w:pPr>
    </w:p>
  </w:footnote>
  <w:footnote w:id="3">
    <w:p w14:paraId="7971A431" w14:textId="77777777" w:rsidR="00E76684" w:rsidRPr="008600AB" w:rsidRDefault="00E76684" w:rsidP="00E76684">
      <w:pPr>
        <w:pStyle w:val="Textonotapie"/>
        <w:ind w:firstLine="709"/>
        <w:jc w:val="both"/>
        <w:rPr>
          <w:rFonts w:ascii="Verdana" w:hAnsi="Verdana" w:cs="Arial"/>
          <w:color w:val="000000" w:themeColor="text1"/>
          <w:sz w:val="18"/>
          <w:szCs w:val="18"/>
        </w:rPr>
      </w:pPr>
      <w:r w:rsidRPr="008600AB">
        <w:rPr>
          <w:rStyle w:val="Refdenotaalpie"/>
          <w:rFonts w:ascii="Verdana" w:hAnsi="Verdana" w:cs="Arial"/>
          <w:color w:val="000000" w:themeColor="text1"/>
          <w:sz w:val="18"/>
          <w:szCs w:val="18"/>
        </w:rPr>
        <w:footnoteRef/>
      </w:r>
      <w:r w:rsidRPr="008600AB">
        <w:rPr>
          <w:rFonts w:ascii="Verdana" w:hAnsi="Verdana" w:cs="Arial"/>
          <w:color w:val="000000" w:themeColor="text1"/>
          <w:sz w:val="18"/>
          <w:szCs w:val="18"/>
        </w:rPr>
        <w:t xml:space="preserve"> Al respecto, la Ley 489 de 1998 dispone que “Artículo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17B4DFA5" w14:textId="77777777" w:rsidR="00E76684" w:rsidRPr="008600AB" w:rsidRDefault="00E76684" w:rsidP="00E76684">
      <w:pPr>
        <w:pStyle w:val="Textonotapie"/>
        <w:ind w:firstLine="709"/>
        <w:jc w:val="both"/>
        <w:rPr>
          <w:rFonts w:ascii="Verdana" w:hAnsi="Verdana" w:cs="Arial"/>
          <w:color w:val="000000" w:themeColor="text1"/>
          <w:sz w:val="18"/>
          <w:szCs w:val="18"/>
        </w:rPr>
      </w:pPr>
    </w:p>
    <w:p w14:paraId="10F48074" w14:textId="77777777" w:rsidR="00E76684" w:rsidRPr="008600AB" w:rsidRDefault="00E76684" w:rsidP="00E76684">
      <w:pPr>
        <w:pStyle w:val="Textonotapie"/>
        <w:ind w:firstLine="709"/>
        <w:jc w:val="both"/>
        <w:rPr>
          <w:rFonts w:ascii="Verdana" w:hAnsi="Verdana" w:cs="Arial"/>
          <w:color w:val="000000" w:themeColor="text1"/>
          <w:sz w:val="18"/>
          <w:szCs w:val="18"/>
        </w:rPr>
      </w:pPr>
      <w:r w:rsidRPr="008600AB">
        <w:rPr>
          <w:rFonts w:ascii="Verdana" w:hAnsi="Verdana" w:cs="Arial"/>
          <w:color w:val="000000" w:themeColor="text1"/>
          <w:sz w:val="18"/>
          <w:szCs w:val="18"/>
        </w:rPr>
        <w:t xml:space="preserve">Los convenios de asociación a que se refiere el presente artículo </w:t>
      </w:r>
      <w:bookmarkStart w:id="5" w:name="_Hlk36023315"/>
      <w:r w:rsidRPr="008600AB">
        <w:rPr>
          <w:rFonts w:ascii="Verdana" w:hAnsi="Verdana" w:cs="Arial"/>
          <w:color w:val="000000" w:themeColor="text1"/>
          <w:sz w:val="18"/>
          <w:szCs w:val="18"/>
        </w:rPr>
        <w:t>se celebrarán de conformidad con lo dispuesto en el artículo 355 de la Constitución Política</w:t>
      </w:r>
      <w:bookmarkEnd w:id="5"/>
      <w:r w:rsidRPr="008600AB">
        <w:rPr>
          <w:rFonts w:ascii="Verdana" w:hAnsi="Verdana" w:cs="Arial"/>
          <w:color w:val="000000" w:themeColor="text1"/>
          <w:sz w:val="18"/>
          <w:szCs w:val="18"/>
        </w:rPr>
        <w:t>, en ellos se determinará con precisión su objeto, término, obligaciones de las partes, aportes, coordinación y todos aquellos aspectos que se consideren pertinentes”.</w:t>
      </w:r>
    </w:p>
    <w:p w14:paraId="0EF0AEDF" w14:textId="77777777" w:rsidR="00E76684" w:rsidRPr="008600AB" w:rsidRDefault="00E76684" w:rsidP="00E76684">
      <w:pPr>
        <w:pStyle w:val="Textonotapie"/>
        <w:ind w:firstLine="709"/>
        <w:jc w:val="both"/>
        <w:rPr>
          <w:rFonts w:ascii="Verdana" w:hAnsi="Verdana" w:cs="Arial"/>
          <w:color w:val="000000" w:themeColor="text1"/>
          <w:sz w:val="18"/>
          <w:szCs w:val="18"/>
          <w:lang w:val="es-ES"/>
        </w:rPr>
      </w:pPr>
      <w:r w:rsidRPr="008600AB">
        <w:rPr>
          <w:rFonts w:ascii="Verdana" w:hAnsi="Verdana" w:cs="Arial"/>
          <w:color w:val="000000" w:themeColor="text1"/>
          <w:sz w:val="18"/>
          <w:szCs w:val="18"/>
        </w:rPr>
        <w:t xml:space="preserve"> </w:t>
      </w:r>
    </w:p>
  </w:footnote>
  <w:footnote w:id="4">
    <w:p w14:paraId="4271547D" w14:textId="77777777" w:rsidR="00E76684" w:rsidRPr="008600AB" w:rsidRDefault="00E76684" w:rsidP="00E76684">
      <w:pPr>
        <w:pStyle w:val="Textonotapie"/>
        <w:ind w:firstLine="708"/>
        <w:jc w:val="both"/>
        <w:rPr>
          <w:rFonts w:ascii="Verdana" w:hAnsi="Verdana" w:cs="Arial"/>
          <w:color w:val="000000"/>
          <w:sz w:val="18"/>
          <w:szCs w:val="18"/>
        </w:rPr>
      </w:pPr>
      <w:r w:rsidRPr="008600AB">
        <w:rPr>
          <w:rStyle w:val="Refdenotaalpie"/>
          <w:rFonts w:ascii="Verdana" w:hAnsi="Verdana" w:cs="Arial"/>
          <w:color w:val="000000"/>
          <w:sz w:val="18"/>
          <w:szCs w:val="18"/>
        </w:rPr>
        <w:footnoteRef/>
      </w:r>
      <w:r w:rsidRPr="008600AB">
        <w:rPr>
          <w:rFonts w:ascii="Verdana" w:hAnsi="Verdana" w:cs="Arial"/>
          <w:color w:val="000000"/>
          <w:sz w:val="18"/>
          <w:szCs w:val="18"/>
        </w:rPr>
        <w:t xml:space="preserve"> En el concepto emitido el 5 de febrero de 2019, dentro del radicado No. 2201913000000663, se dijo: “[l]os convenios de asociación del artículo 5 son distintos a los contratos de colaboración del artículo 2 del Decreto 092 de 2017”.</w:t>
      </w:r>
    </w:p>
    <w:p w14:paraId="10C31116" w14:textId="77777777" w:rsidR="00E76684" w:rsidRPr="008600AB" w:rsidRDefault="00E76684" w:rsidP="00E76684">
      <w:pPr>
        <w:pStyle w:val="Textonotapie"/>
        <w:ind w:firstLine="708"/>
        <w:jc w:val="both"/>
        <w:rPr>
          <w:rFonts w:ascii="Verdana" w:hAnsi="Verdana" w:cs="Arial"/>
          <w:color w:val="000000"/>
          <w:sz w:val="18"/>
          <w:szCs w:val="18"/>
        </w:rPr>
      </w:pPr>
    </w:p>
  </w:footnote>
  <w:footnote w:id="5">
    <w:p w14:paraId="26732C05" w14:textId="77777777" w:rsidR="00E76684" w:rsidRPr="008600AB" w:rsidRDefault="00E76684" w:rsidP="00E76684">
      <w:pPr>
        <w:pStyle w:val="Textonotapie"/>
        <w:ind w:firstLine="709"/>
        <w:jc w:val="both"/>
        <w:rPr>
          <w:rFonts w:ascii="Verdana" w:hAnsi="Verdana" w:cs="Arial"/>
          <w:color w:val="000000" w:themeColor="text1"/>
          <w:sz w:val="18"/>
          <w:szCs w:val="18"/>
        </w:rPr>
      </w:pPr>
      <w:r w:rsidRPr="008600AB">
        <w:rPr>
          <w:rStyle w:val="Refdenotaalpie"/>
          <w:rFonts w:ascii="Verdana" w:hAnsi="Verdana" w:cs="Arial"/>
          <w:color w:val="000000" w:themeColor="text1"/>
          <w:sz w:val="18"/>
          <w:szCs w:val="18"/>
        </w:rPr>
        <w:footnoteRef/>
      </w:r>
      <w:r w:rsidRPr="008600AB">
        <w:rPr>
          <w:rFonts w:ascii="Verdana" w:hAnsi="Verdana" w:cs="Arial"/>
          <w:color w:val="000000" w:themeColor="text1"/>
          <w:sz w:val="18"/>
          <w:szCs w:val="18"/>
        </w:rPr>
        <w:t xml:space="preserve"> Concepto del 3 de septiembre de 2019, Radicado No. 2201913000006512.</w:t>
      </w:r>
    </w:p>
  </w:footnote>
  <w:footnote w:id="6">
    <w:p w14:paraId="056DCB40" w14:textId="0BC6B935" w:rsidR="00362B93" w:rsidRPr="00E327DD" w:rsidRDefault="00362B93" w:rsidP="00E327DD">
      <w:pPr>
        <w:pStyle w:val="Textonotapie"/>
        <w:ind w:firstLine="708"/>
        <w:jc w:val="both"/>
        <w:rPr>
          <w:rFonts w:ascii="Verdana" w:hAnsi="Verdana"/>
          <w:sz w:val="18"/>
          <w:szCs w:val="18"/>
          <w:lang w:val="es-ES"/>
        </w:rPr>
      </w:pPr>
      <w:r w:rsidRPr="008600AB">
        <w:rPr>
          <w:rStyle w:val="Refdenotaalpie"/>
          <w:rFonts w:ascii="Verdana" w:hAnsi="Verdana"/>
          <w:sz w:val="18"/>
          <w:szCs w:val="18"/>
        </w:rPr>
        <w:footnoteRef/>
      </w:r>
      <w:r w:rsidR="00E327DD" w:rsidRPr="008600AB">
        <w:rPr>
          <w:rFonts w:ascii="Verdana" w:hAnsi="Verdana"/>
          <w:sz w:val="18"/>
          <w:szCs w:val="18"/>
        </w:rPr>
        <w:t xml:space="preserve"> </w:t>
      </w:r>
      <w:r w:rsidR="009E3863" w:rsidRPr="008600AB">
        <w:rPr>
          <w:rFonts w:ascii="Verdana" w:hAnsi="Verdana"/>
          <w:sz w:val="18"/>
          <w:szCs w:val="18"/>
        </w:rPr>
        <w:t>Al respecto el artículo 10 del Decreto 092 de 2017 dispone lo si</w:t>
      </w:r>
      <w:r w:rsidR="00E327DD" w:rsidRPr="008600AB">
        <w:rPr>
          <w:rFonts w:ascii="Verdana" w:hAnsi="Verdana"/>
          <w:sz w:val="18"/>
          <w:szCs w:val="18"/>
        </w:rPr>
        <w:t xml:space="preserve">guiente: </w:t>
      </w:r>
      <w:r w:rsidR="008600AB" w:rsidRPr="008600AB">
        <w:rPr>
          <w:rFonts w:ascii="Verdana" w:hAnsi="Verdana"/>
          <w:sz w:val="18"/>
          <w:szCs w:val="18"/>
        </w:rPr>
        <w:t>“</w:t>
      </w:r>
      <w:r w:rsidR="00E327DD" w:rsidRPr="008600AB">
        <w:rPr>
          <w:rFonts w:ascii="Verdana" w:hAnsi="Verdana"/>
          <w:sz w:val="18"/>
          <w:szCs w:val="18"/>
        </w:rPr>
        <w:t>Exclusión del Registro Único de Proponentes (RUP). Las Entidades Estatales no requerirán la inscripción de las entidades privadas sin ánimo de lucro en el RUP para la contratación a la que hace referencia el presente decreto.</w:t>
      </w:r>
      <w:r w:rsidR="008600AB" w:rsidRPr="008600AB">
        <w:rPr>
          <w:rFonts w:ascii="Verdana" w:hAnsi="Verdan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20020"/>
    <w:multiLevelType w:val="hybridMultilevel"/>
    <w:tmpl w:val="D6F4F6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3"/>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3"/>
  </w:num>
  <w:num w:numId="6" w16cid:durableId="316692925">
    <w:abstractNumId w:val="14"/>
  </w:num>
  <w:num w:numId="7" w16cid:durableId="1946422806">
    <w:abstractNumId w:val="6"/>
  </w:num>
  <w:num w:numId="8" w16cid:durableId="152644682">
    <w:abstractNumId w:val="13"/>
  </w:num>
  <w:num w:numId="9" w16cid:durableId="1317221377">
    <w:abstractNumId w:val="8"/>
  </w:num>
  <w:num w:numId="10" w16cid:durableId="1471245386">
    <w:abstractNumId w:val="12"/>
  </w:num>
  <w:num w:numId="11" w16cid:durableId="289172385">
    <w:abstractNumId w:val="9"/>
  </w:num>
  <w:num w:numId="12" w16cid:durableId="1470781324">
    <w:abstractNumId w:val="1"/>
  </w:num>
  <w:num w:numId="13" w16cid:durableId="1512908409">
    <w:abstractNumId w:val="4"/>
  </w:num>
  <w:num w:numId="14" w16cid:durableId="895897244">
    <w:abstractNumId w:val="15"/>
  </w:num>
  <w:num w:numId="15" w16cid:durableId="390349800">
    <w:abstractNumId w:val="11"/>
  </w:num>
  <w:num w:numId="16" w16cid:durableId="341274352">
    <w:abstractNumId w:val="0"/>
  </w:num>
  <w:num w:numId="17" w16cid:durableId="679089576">
    <w:abstractNumId w:val="10"/>
  </w:num>
  <w:num w:numId="18" w16cid:durableId="883785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B6C"/>
    <w:rsid w:val="00040F74"/>
    <w:rsid w:val="00061B2A"/>
    <w:rsid w:val="00082362"/>
    <w:rsid w:val="00084DC8"/>
    <w:rsid w:val="00094160"/>
    <w:rsid w:val="000A683E"/>
    <w:rsid w:val="000B19B9"/>
    <w:rsid w:val="000D0334"/>
    <w:rsid w:val="000F370B"/>
    <w:rsid w:val="000F6486"/>
    <w:rsid w:val="00125105"/>
    <w:rsid w:val="00127233"/>
    <w:rsid w:val="00127744"/>
    <w:rsid w:val="00163CA6"/>
    <w:rsid w:val="001A3CFC"/>
    <w:rsid w:val="001C5103"/>
    <w:rsid w:val="001E4177"/>
    <w:rsid w:val="001F7DC6"/>
    <w:rsid w:val="002053FC"/>
    <w:rsid w:val="002421BB"/>
    <w:rsid w:val="00247AEA"/>
    <w:rsid w:val="0025796E"/>
    <w:rsid w:val="002707A2"/>
    <w:rsid w:val="00290BF0"/>
    <w:rsid w:val="002951A0"/>
    <w:rsid w:val="002962BC"/>
    <w:rsid w:val="002A093D"/>
    <w:rsid w:val="002A0DD0"/>
    <w:rsid w:val="002A49AC"/>
    <w:rsid w:val="002A59B9"/>
    <w:rsid w:val="002A64FD"/>
    <w:rsid w:val="002C7A84"/>
    <w:rsid w:val="002E0E2A"/>
    <w:rsid w:val="002E4FD9"/>
    <w:rsid w:val="002F3F89"/>
    <w:rsid w:val="00300B93"/>
    <w:rsid w:val="003130FF"/>
    <w:rsid w:val="00322A85"/>
    <w:rsid w:val="00324168"/>
    <w:rsid w:val="00341EBF"/>
    <w:rsid w:val="003448F4"/>
    <w:rsid w:val="00362B93"/>
    <w:rsid w:val="003747CB"/>
    <w:rsid w:val="00374F5E"/>
    <w:rsid w:val="00377E3E"/>
    <w:rsid w:val="00382D3D"/>
    <w:rsid w:val="003946CB"/>
    <w:rsid w:val="003953A7"/>
    <w:rsid w:val="00395AC6"/>
    <w:rsid w:val="003A26D1"/>
    <w:rsid w:val="003A779E"/>
    <w:rsid w:val="003A7AF4"/>
    <w:rsid w:val="003C1EA3"/>
    <w:rsid w:val="003D0F4D"/>
    <w:rsid w:val="003D5B0D"/>
    <w:rsid w:val="003E0499"/>
    <w:rsid w:val="003F3941"/>
    <w:rsid w:val="003F3CF1"/>
    <w:rsid w:val="003F4C60"/>
    <w:rsid w:val="00406575"/>
    <w:rsid w:val="004118E0"/>
    <w:rsid w:val="00417948"/>
    <w:rsid w:val="0042722E"/>
    <w:rsid w:val="00436620"/>
    <w:rsid w:val="00441397"/>
    <w:rsid w:val="0044373C"/>
    <w:rsid w:val="0044528D"/>
    <w:rsid w:val="00487599"/>
    <w:rsid w:val="0048786C"/>
    <w:rsid w:val="004952CD"/>
    <w:rsid w:val="004961FB"/>
    <w:rsid w:val="004A1847"/>
    <w:rsid w:val="004A2A31"/>
    <w:rsid w:val="004A305D"/>
    <w:rsid w:val="004F104D"/>
    <w:rsid w:val="004F1DD9"/>
    <w:rsid w:val="004F21C4"/>
    <w:rsid w:val="004F685F"/>
    <w:rsid w:val="004F729B"/>
    <w:rsid w:val="005135D8"/>
    <w:rsid w:val="00542FE2"/>
    <w:rsid w:val="005566E8"/>
    <w:rsid w:val="00574867"/>
    <w:rsid w:val="005855B7"/>
    <w:rsid w:val="00591460"/>
    <w:rsid w:val="00592628"/>
    <w:rsid w:val="005A6C20"/>
    <w:rsid w:val="005B44DD"/>
    <w:rsid w:val="005B4C9A"/>
    <w:rsid w:val="005C3777"/>
    <w:rsid w:val="005C5CDC"/>
    <w:rsid w:val="005D476C"/>
    <w:rsid w:val="005E08D0"/>
    <w:rsid w:val="00610812"/>
    <w:rsid w:val="006219F8"/>
    <w:rsid w:val="00630AB4"/>
    <w:rsid w:val="00650FF7"/>
    <w:rsid w:val="00665D70"/>
    <w:rsid w:val="00671DAC"/>
    <w:rsid w:val="00683FA3"/>
    <w:rsid w:val="006900D9"/>
    <w:rsid w:val="006D12F8"/>
    <w:rsid w:val="00701485"/>
    <w:rsid w:val="00706C16"/>
    <w:rsid w:val="00731800"/>
    <w:rsid w:val="00756841"/>
    <w:rsid w:val="007649AB"/>
    <w:rsid w:val="00771D0C"/>
    <w:rsid w:val="007833AC"/>
    <w:rsid w:val="007B1D86"/>
    <w:rsid w:val="007B268C"/>
    <w:rsid w:val="007B7171"/>
    <w:rsid w:val="007C0C0F"/>
    <w:rsid w:val="007C3DC2"/>
    <w:rsid w:val="007D41AA"/>
    <w:rsid w:val="007D51EA"/>
    <w:rsid w:val="007E5497"/>
    <w:rsid w:val="007F50AF"/>
    <w:rsid w:val="00806F5F"/>
    <w:rsid w:val="00817285"/>
    <w:rsid w:val="00820278"/>
    <w:rsid w:val="00836E81"/>
    <w:rsid w:val="00856EFD"/>
    <w:rsid w:val="008600AB"/>
    <w:rsid w:val="008654A1"/>
    <w:rsid w:val="008843B6"/>
    <w:rsid w:val="00890C18"/>
    <w:rsid w:val="00891928"/>
    <w:rsid w:val="008969C9"/>
    <w:rsid w:val="008A0206"/>
    <w:rsid w:val="008A446D"/>
    <w:rsid w:val="008D180B"/>
    <w:rsid w:val="008D488C"/>
    <w:rsid w:val="008F0EA7"/>
    <w:rsid w:val="008F2BF8"/>
    <w:rsid w:val="008F7861"/>
    <w:rsid w:val="0090366B"/>
    <w:rsid w:val="00923EEF"/>
    <w:rsid w:val="00932BE5"/>
    <w:rsid w:val="00934381"/>
    <w:rsid w:val="009419F9"/>
    <w:rsid w:val="0095685E"/>
    <w:rsid w:val="00961B09"/>
    <w:rsid w:val="009633CE"/>
    <w:rsid w:val="0096506D"/>
    <w:rsid w:val="00965334"/>
    <w:rsid w:val="0097093E"/>
    <w:rsid w:val="009A0DFA"/>
    <w:rsid w:val="009B2D26"/>
    <w:rsid w:val="009C71FA"/>
    <w:rsid w:val="009C72E7"/>
    <w:rsid w:val="009D3058"/>
    <w:rsid w:val="009E3863"/>
    <w:rsid w:val="009F3A13"/>
    <w:rsid w:val="00A06C28"/>
    <w:rsid w:val="00A122D3"/>
    <w:rsid w:val="00A17F13"/>
    <w:rsid w:val="00A20739"/>
    <w:rsid w:val="00A33C78"/>
    <w:rsid w:val="00A40A66"/>
    <w:rsid w:val="00A63E03"/>
    <w:rsid w:val="00A80788"/>
    <w:rsid w:val="00A82623"/>
    <w:rsid w:val="00AB0ADB"/>
    <w:rsid w:val="00AD178C"/>
    <w:rsid w:val="00AD3702"/>
    <w:rsid w:val="00AF7923"/>
    <w:rsid w:val="00B01B1A"/>
    <w:rsid w:val="00B04A88"/>
    <w:rsid w:val="00B0602B"/>
    <w:rsid w:val="00B21E5E"/>
    <w:rsid w:val="00B2764C"/>
    <w:rsid w:val="00B72CD3"/>
    <w:rsid w:val="00B72FFF"/>
    <w:rsid w:val="00BC3D36"/>
    <w:rsid w:val="00BD7391"/>
    <w:rsid w:val="00BD7F72"/>
    <w:rsid w:val="00C04FB3"/>
    <w:rsid w:val="00C104C9"/>
    <w:rsid w:val="00C330EB"/>
    <w:rsid w:val="00C37BC2"/>
    <w:rsid w:val="00C419BC"/>
    <w:rsid w:val="00C549B1"/>
    <w:rsid w:val="00C557D5"/>
    <w:rsid w:val="00C62A00"/>
    <w:rsid w:val="00C66B95"/>
    <w:rsid w:val="00C754BE"/>
    <w:rsid w:val="00C76B1C"/>
    <w:rsid w:val="00C83F69"/>
    <w:rsid w:val="00CB6357"/>
    <w:rsid w:val="00CC1B26"/>
    <w:rsid w:val="00CC4901"/>
    <w:rsid w:val="00CC7FEA"/>
    <w:rsid w:val="00D173AE"/>
    <w:rsid w:val="00D22EAB"/>
    <w:rsid w:val="00D41969"/>
    <w:rsid w:val="00D423A2"/>
    <w:rsid w:val="00D44D47"/>
    <w:rsid w:val="00D520D8"/>
    <w:rsid w:val="00D6230B"/>
    <w:rsid w:val="00D63AC2"/>
    <w:rsid w:val="00D7383B"/>
    <w:rsid w:val="00DA231B"/>
    <w:rsid w:val="00DA23A0"/>
    <w:rsid w:val="00DB638F"/>
    <w:rsid w:val="00DC1BBA"/>
    <w:rsid w:val="00DC39FC"/>
    <w:rsid w:val="00DF5254"/>
    <w:rsid w:val="00E148AE"/>
    <w:rsid w:val="00E16408"/>
    <w:rsid w:val="00E20894"/>
    <w:rsid w:val="00E245AB"/>
    <w:rsid w:val="00E2764C"/>
    <w:rsid w:val="00E27F2E"/>
    <w:rsid w:val="00E27F99"/>
    <w:rsid w:val="00E327DD"/>
    <w:rsid w:val="00E3487B"/>
    <w:rsid w:val="00E413EA"/>
    <w:rsid w:val="00E50AFE"/>
    <w:rsid w:val="00E578B6"/>
    <w:rsid w:val="00E65B0A"/>
    <w:rsid w:val="00E75C92"/>
    <w:rsid w:val="00E76684"/>
    <w:rsid w:val="00E771DC"/>
    <w:rsid w:val="00E8772A"/>
    <w:rsid w:val="00E90F6B"/>
    <w:rsid w:val="00E92C27"/>
    <w:rsid w:val="00EA0E3D"/>
    <w:rsid w:val="00EA2318"/>
    <w:rsid w:val="00EC1EC8"/>
    <w:rsid w:val="00EC38A7"/>
    <w:rsid w:val="00EE1AA8"/>
    <w:rsid w:val="00EE6FA1"/>
    <w:rsid w:val="00F16444"/>
    <w:rsid w:val="00F31EDC"/>
    <w:rsid w:val="00F4483C"/>
    <w:rsid w:val="00F462B3"/>
    <w:rsid w:val="00F5664F"/>
    <w:rsid w:val="00F666C4"/>
    <w:rsid w:val="00F76AFC"/>
    <w:rsid w:val="00F777FC"/>
    <w:rsid w:val="00FA47C0"/>
    <w:rsid w:val="00FB5DD1"/>
    <w:rsid w:val="00FC2B5D"/>
    <w:rsid w:val="00FC4DD6"/>
    <w:rsid w:val="00FC5A85"/>
    <w:rsid w:val="00FE4D41"/>
    <w:rsid w:val="00FE6512"/>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777FC"/>
    <w:rPr>
      <w:rFonts w:ascii="Geomanist Light" w:hAnsi="Geomanist Light"/>
      <w:lang w:val="es-ES"/>
    </w:rPr>
  </w:style>
  <w:style w:type="paragraph" w:customStyle="1" w:styleId="Appelnotedebasde">
    <w:name w:val="Appel note de bas de..."/>
    <w:basedOn w:val="Normal"/>
    <w:link w:val="Refdenotaalpie"/>
    <w:uiPriority w:val="99"/>
    <w:rsid w:val="00E7668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64265137">
      <w:bodyDiv w:val="1"/>
      <w:marLeft w:val="0"/>
      <w:marRight w:val="0"/>
      <w:marTop w:val="0"/>
      <w:marBottom w:val="0"/>
      <w:divBdr>
        <w:top w:val="none" w:sz="0" w:space="0" w:color="auto"/>
        <w:left w:val="none" w:sz="0" w:space="0" w:color="auto"/>
        <w:bottom w:val="none" w:sz="0" w:space="0" w:color="auto"/>
        <w:right w:val="none" w:sz="0" w:space="0" w:color="auto"/>
      </w:divBdr>
      <w:divsChild>
        <w:div w:id="556284857">
          <w:marLeft w:val="0"/>
          <w:marRight w:val="0"/>
          <w:marTop w:val="0"/>
          <w:marBottom w:val="0"/>
          <w:divBdr>
            <w:top w:val="none" w:sz="0" w:space="0" w:color="auto"/>
            <w:left w:val="none" w:sz="0" w:space="0" w:color="auto"/>
            <w:bottom w:val="none" w:sz="0" w:space="0" w:color="auto"/>
            <w:right w:val="none" w:sz="0" w:space="0" w:color="auto"/>
          </w:divBdr>
        </w:div>
      </w:divsChild>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83267619">
      <w:bodyDiv w:val="1"/>
      <w:marLeft w:val="0"/>
      <w:marRight w:val="0"/>
      <w:marTop w:val="0"/>
      <w:marBottom w:val="0"/>
      <w:divBdr>
        <w:top w:val="none" w:sz="0" w:space="0" w:color="auto"/>
        <w:left w:val="none" w:sz="0" w:space="0" w:color="auto"/>
        <w:bottom w:val="none" w:sz="0" w:space="0" w:color="auto"/>
        <w:right w:val="none" w:sz="0" w:space="0" w:color="auto"/>
      </w:divBdr>
      <w:divsChild>
        <w:div w:id="1601329651">
          <w:marLeft w:val="0"/>
          <w:marRight w:val="0"/>
          <w:marTop w:val="0"/>
          <w:marBottom w:val="160"/>
          <w:divBdr>
            <w:top w:val="none" w:sz="0" w:space="0" w:color="auto"/>
            <w:left w:val="none" w:sz="0" w:space="0" w:color="auto"/>
            <w:bottom w:val="none" w:sz="0" w:space="0" w:color="auto"/>
            <w:right w:val="none" w:sz="0" w:space="0" w:color="auto"/>
          </w:divBdr>
        </w:div>
        <w:div w:id="1750691126">
          <w:marLeft w:val="0"/>
          <w:marRight w:val="0"/>
          <w:marTop w:val="0"/>
          <w:marBottom w:val="160"/>
          <w:divBdr>
            <w:top w:val="none" w:sz="0" w:space="0" w:color="auto"/>
            <w:left w:val="none" w:sz="0" w:space="0" w:color="auto"/>
            <w:bottom w:val="none" w:sz="0" w:space="0" w:color="auto"/>
            <w:right w:val="none" w:sz="0" w:space="0" w:color="auto"/>
          </w:divBdr>
        </w:div>
        <w:div w:id="1709529286">
          <w:marLeft w:val="0"/>
          <w:marRight w:val="0"/>
          <w:marTop w:val="0"/>
          <w:marBottom w:val="160"/>
          <w:divBdr>
            <w:top w:val="none" w:sz="0" w:space="0" w:color="auto"/>
            <w:left w:val="none" w:sz="0" w:space="0" w:color="auto"/>
            <w:bottom w:val="none" w:sz="0" w:space="0" w:color="auto"/>
            <w:right w:val="none" w:sz="0" w:space="0" w:color="auto"/>
          </w:divBdr>
        </w:div>
      </w:divsChild>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368069741">
      <w:bodyDiv w:val="1"/>
      <w:marLeft w:val="0"/>
      <w:marRight w:val="0"/>
      <w:marTop w:val="0"/>
      <w:marBottom w:val="0"/>
      <w:divBdr>
        <w:top w:val="none" w:sz="0" w:space="0" w:color="auto"/>
        <w:left w:val="none" w:sz="0" w:space="0" w:color="auto"/>
        <w:bottom w:val="none" w:sz="0" w:space="0" w:color="auto"/>
        <w:right w:val="none" w:sz="0" w:space="0" w:color="auto"/>
      </w:divBdr>
      <w:divsChild>
        <w:div w:id="1746368065">
          <w:marLeft w:val="0"/>
          <w:marRight w:val="0"/>
          <w:marTop w:val="0"/>
          <w:marBottom w:val="0"/>
          <w:divBdr>
            <w:top w:val="none" w:sz="0" w:space="0" w:color="auto"/>
            <w:left w:val="none" w:sz="0" w:space="0" w:color="auto"/>
            <w:bottom w:val="none" w:sz="0" w:space="0" w:color="auto"/>
            <w:right w:val="none" w:sz="0" w:space="0" w:color="auto"/>
          </w:divBdr>
        </w:div>
      </w:divsChild>
    </w:div>
    <w:div w:id="1458642880">
      <w:bodyDiv w:val="1"/>
      <w:marLeft w:val="0"/>
      <w:marRight w:val="0"/>
      <w:marTop w:val="0"/>
      <w:marBottom w:val="0"/>
      <w:divBdr>
        <w:top w:val="none" w:sz="0" w:space="0" w:color="auto"/>
        <w:left w:val="none" w:sz="0" w:space="0" w:color="auto"/>
        <w:bottom w:val="none" w:sz="0" w:space="0" w:color="auto"/>
        <w:right w:val="none" w:sz="0" w:space="0" w:color="auto"/>
      </w:divBdr>
    </w:div>
    <w:div w:id="1867789900">
      <w:bodyDiv w:val="1"/>
      <w:marLeft w:val="0"/>
      <w:marRight w:val="0"/>
      <w:marTop w:val="0"/>
      <w:marBottom w:val="0"/>
      <w:divBdr>
        <w:top w:val="none" w:sz="0" w:space="0" w:color="auto"/>
        <w:left w:val="none" w:sz="0" w:space="0" w:color="auto"/>
        <w:bottom w:val="none" w:sz="0" w:space="0" w:color="auto"/>
        <w:right w:val="none" w:sz="0" w:space="0" w:color="auto"/>
      </w:divBdr>
      <w:divsChild>
        <w:div w:id="1982419817">
          <w:marLeft w:val="0"/>
          <w:marRight w:val="0"/>
          <w:marTop w:val="0"/>
          <w:marBottom w:val="160"/>
          <w:divBdr>
            <w:top w:val="none" w:sz="0" w:space="0" w:color="auto"/>
            <w:left w:val="none" w:sz="0" w:space="0" w:color="auto"/>
            <w:bottom w:val="none" w:sz="0" w:space="0" w:color="auto"/>
            <w:right w:val="none" w:sz="0" w:space="0" w:color="auto"/>
          </w:divBdr>
        </w:div>
        <w:div w:id="2133857713">
          <w:marLeft w:val="0"/>
          <w:marRight w:val="0"/>
          <w:marTop w:val="0"/>
          <w:marBottom w:val="160"/>
          <w:divBdr>
            <w:top w:val="none" w:sz="0" w:space="0" w:color="auto"/>
            <w:left w:val="none" w:sz="0" w:space="0" w:color="auto"/>
            <w:bottom w:val="none" w:sz="0" w:space="0" w:color="auto"/>
            <w:right w:val="none" w:sz="0" w:space="0" w:color="auto"/>
          </w:divBdr>
        </w:div>
        <w:div w:id="785777827">
          <w:marLeft w:val="0"/>
          <w:marRight w:val="0"/>
          <w:marTop w:val="0"/>
          <w:marBottom w:val="160"/>
          <w:divBdr>
            <w:top w:val="none" w:sz="0" w:space="0" w:color="auto"/>
            <w:left w:val="none" w:sz="0" w:space="0" w:color="auto"/>
            <w:bottom w:val="none" w:sz="0" w:space="0" w:color="auto"/>
            <w:right w:val="none" w:sz="0" w:space="0" w:color="auto"/>
          </w:divBdr>
        </w:div>
      </w:divsChild>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014063125">
      <w:bodyDiv w:val="1"/>
      <w:marLeft w:val="0"/>
      <w:marRight w:val="0"/>
      <w:marTop w:val="0"/>
      <w:marBottom w:val="0"/>
      <w:divBdr>
        <w:top w:val="none" w:sz="0" w:space="0" w:color="auto"/>
        <w:left w:val="none" w:sz="0" w:space="0" w:color="auto"/>
        <w:bottom w:val="none" w:sz="0" w:space="0" w:color="auto"/>
        <w:right w:val="none" w:sz="0" w:space="0" w:color="auto"/>
      </w:divBdr>
      <w:divsChild>
        <w:div w:id="1253858660">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_guia_es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lud@jesusmaria-santander.gov.c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ana.ortizb%40colombiacompra.gov.co%7C096eca3fdcca424ff1c708dcf932f947%7C7b09041e245149d08cb179d5e3d8c1be%7C0%7C0%7C638659244554083113%7CUnknown%7CTWFpbGZsb3d8eyJWIjoiMC4wLjAwMDAiLCJQIjoiV2luMzIiLCJBTiI6Ik1haWwiLCJXVCI6Mn0%3D%7C0%7C%7C%7C&amp;sdata=OZxcGIRDLR1ecP8MYxWhpdQ16XrqnZZ%2BRirDSWfY7jo%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sucop.gov.co%2Fentidades%2Fcolombiacompra%2FNormativa%3FIDNorma%3D18320&amp;data=05%7C02%7Cana.ortizb%40colombiacompra.gov.co%7C096eca3fdcca424ff1c708dcf932f947%7C7b09041e245149d08cb179d5e3d8c1be%7C0%7C0%7C638659244554062997%7CUnknown%7CTWFpbGZsb3d8eyJWIjoiMC4wLjAwMDAiLCJQIjoiV2luMzIiLCJBTiI6Ik1haWwiLCJXVCI6Mn0%3D%7C0%7C%7C%7C&amp;sdata=lBjL5l2xcY%2FQiUQtEwTm0zNGdyMG3hcyGV9kSHvbbVo%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0439-5306-4009-813C-86E3E892F490}"/>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8ae15d26-076e-464e-81a7-6f76a0fb3917"/>
    <ds:schemaRef ds:uri="http://schemas.microsoft.com/office/2006/documentManagement/types"/>
    <ds:schemaRef ds:uri="http://purl.org/dc/terms/"/>
    <ds:schemaRef ds:uri="http://purl.org/dc/elements/1.1/"/>
    <ds:schemaRef ds:uri="http://schemas.microsoft.com/office/2006/metadata/properties"/>
    <ds:schemaRef ds:uri="36c82cfe-0eda-494d-b392-a9281b89aaf0"/>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BEC19BF-DA38-4610-9C91-66A79187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4211</Words>
  <Characters>23164</Characters>
  <Application>Microsoft Office Word</Application>
  <DocSecurity>0</DocSecurity>
  <Lines>193</Lines>
  <Paragraphs>54</Paragraphs>
  <ScaleCrop>false</ScaleCrop>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Subdirección de Gestión Contractual -ANCP-CCE</cp:lastModifiedBy>
  <cp:revision>28</cp:revision>
  <cp:lastPrinted>2023-01-10T21:18:00Z</cp:lastPrinted>
  <dcterms:created xsi:type="dcterms:W3CDTF">2024-11-12T20:22:00Z</dcterms:created>
  <dcterms:modified xsi:type="dcterms:W3CDTF">2024-11-12T20:28:00Z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