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6B95A" w14:textId="77777777" w:rsidR="005B5DE8" w:rsidRPr="00B771A8" w:rsidRDefault="005B5DE8" w:rsidP="005B5DE8">
      <w:pPr>
        <w:spacing w:after="0" w:line="240" w:lineRule="auto"/>
        <w:jc w:val="both"/>
        <w:rPr>
          <w:rFonts w:ascii="Verdana" w:eastAsia="Calibri" w:hAnsi="Verdana"/>
          <w:b/>
          <w:bCs/>
          <w:lang w:val="es-ES_tradnl" w:eastAsia="es-ES_tradnl"/>
        </w:rPr>
      </w:pPr>
      <w:bookmarkStart w:id="0" w:name="_Hlk143780582"/>
      <w:r w:rsidRPr="00B771A8">
        <w:rPr>
          <w:rFonts w:ascii="Verdana" w:eastAsia="Times New Roman" w:hAnsi="Verdana"/>
          <w:b/>
          <w:bCs/>
          <w:lang w:val="es-ES_tradnl" w:eastAsia="es-ES_tradnl"/>
        </w:rPr>
        <w:t xml:space="preserve">CONTRATOS CON ESAL </w:t>
      </w:r>
      <w:r w:rsidRPr="00B771A8">
        <w:rPr>
          <w:rFonts w:ascii="Verdana" w:eastAsia="Calibri" w:hAnsi="Verdana"/>
          <w:b/>
          <w:bCs/>
          <w:lang w:val="es-ES_tradnl" w:eastAsia="es-ES_tradnl"/>
        </w:rPr>
        <w:t>–</w:t>
      </w:r>
      <w:r w:rsidRPr="00B771A8">
        <w:rPr>
          <w:rFonts w:ascii="Verdana" w:eastAsia="Times New Roman" w:hAnsi="Verdana"/>
          <w:b/>
          <w:bCs/>
          <w:lang w:val="es-ES_tradnl" w:eastAsia="es-ES_tradnl"/>
        </w:rPr>
        <w:t xml:space="preserve"> Artículo 355 </w:t>
      </w:r>
      <w:r w:rsidRPr="00B771A8">
        <w:rPr>
          <w:rFonts w:ascii="Verdana" w:eastAsia="Calibri" w:hAnsi="Verdana"/>
          <w:b/>
          <w:bCs/>
          <w:lang w:val="es-ES_tradnl" w:eastAsia="es-ES_tradnl"/>
        </w:rPr>
        <w:t>–</w:t>
      </w:r>
      <w:r w:rsidRPr="00B771A8">
        <w:rPr>
          <w:rFonts w:ascii="Verdana" w:eastAsia="Times New Roman" w:hAnsi="Verdana"/>
          <w:b/>
          <w:bCs/>
          <w:lang w:val="es-ES_tradnl" w:eastAsia="es-ES_tradnl"/>
        </w:rPr>
        <w:t xml:space="preserve"> Constitución </w:t>
      </w:r>
      <w:r w:rsidRPr="00B771A8">
        <w:rPr>
          <w:rFonts w:ascii="Verdana" w:eastAsia="Calibri" w:hAnsi="Verdana"/>
          <w:b/>
          <w:bCs/>
          <w:lang w:val="es-ES_tradnl" w:eastAsia="es-ES_tradnl"/>
        </w:rPr>
        <w:t xml:space="preserve">– Artículo 96 – Ley 489 – Fundamento </w:t>
      </w:r>
    </w:p>
    <w:p w14:paraId="7EA157AE" w14:textId="77777777" w:rsidR="005B5DE8" w:rsidRDefault="005B5DE8" w:rsidP="005B5DE8">
      <w:pPr>
        <w:spacing w:after="0" w:line="240" w:lineRule="auto"/>
        <w:jc w:val="both"/>
        <w:rPr>
          <w:rFonts w:ascii="Verdana" w:eastAsia="Calibri" w:hAnsi="Verdana" w:cs="Arial"/>
          <w:color w:val="000000" w:themeColor="text1"/>
          <w:sz w:val="20"/>
          <w:szCs w:val="20"/>
        </w:rPr>
      </w:pPr>
    </w:p>
    <w:p w14:paraId="0EADB1F0" w14:textId="77777777" w:rsidR="005B5DE8" w:rsidRPr="00B771A8" w:rsidRDefault="005B5DE8" w:rsidP="005B5DE8">
      <w:pPr>
        <w:spacing w:after="0" w:line="240" w:lineRule="auto"/>
        <w:jc w:val="both"/>
        <w:rPr>
          <w:rFonts w:ascii="Verdana" w:eastAsia="Calibri" w:hAnsi="Verdana" w:cs="Arial"/>
          <w:sz w:val="20"/>
          <w:szCs w:val="20"/>
        </w:rPr>
      </w:pPr>
      <w:r w:rsidRPr="00B771A8">
        <w:rPr>
          <w:rFonts w:ascii="Verdana" w:eastAsia="Calibri" w:hAnsi="Verdana" w:cs="Arial"/>
          <w:color w:val="000000" w:themeColor="text1"/>
          <w:sz w:val="20"/>
          <w:szCs w:val="20"/>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 En concordancia, el artículo 96 de la Ley 489 de 1998 permite a las Entidades cualquiera que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38900441" w14:textId="77777777" w:rsidR="005B5DE8" w:rsidRPr="00B771A8" w:rsidRDefault="005B5DE8" w:rsidP="005B5DE8">
      <w:pPr>
        <w:spacing w:after="0" w:line="240" w:lineRule="auto"/>
        <w:jc w:val="both"/>
        <w:rPr>
          <w:rFonts w:ascii="Verdana" w:eastAsia="Calibri" w:hAnsi="Verdana"/>
          <w:sz w:val="20"/>
          <w:szCs w:val="20"/>
          <w:lang w:eastAsia="es-ES_tradnl"/>
        </w:rPr>
      </w:pPr>
    </w:p>
    <w:p w14:paraId="07FFF0B5" w14:textId="77777777" w:rsidR="005B5DE8" w:rsidRPr="00B771A8" w:rsidRDefault="005B5DE8" w:rsidP="005B5DE8">
      <w:pPr>
        <w:spacing w:after="0" w:line="240" w:lineRule="auto"/>
        <w:jc w:val="both"/>
        <w:rPr>
          <w:rFonts w:ascii="Verdana" w:eastAsia="Calibri" w:hAnsi="Verdana" w:cs="Arial"/>
          <w:b/>
          <w:color w:val="000000"/>
          <w:lang w:val="es-MX"/>
        </w:rPr>
      </w:pPr>
      <w:r w:rsidRPr="00B771A8">
        <w:rPr>
          <w:rFonts w:ascii="Verdana" w:eastAsia="Calibri" w:hAnsi="Verdana" w:cs="Arial"/>
          <w:b/>
          <w:color w:val="000000"/>
          <w:lang w:val="es-MX"/>
        </w:rPr>
        <w:t xml:space="preserve">CONVENIOS DE ASOCIACIÓN – Objeto – Alcance – Aportes </w:t>
      </w:r>
    </w:p>
    <w:p w14:paraId="00C200FC" w14:textId="77777777" w:rsidR="005B5DE8" w:rsidRDefault="005B5DE8" w:rsidP="005B5DE8">
      <w:pPr>
        <w:spacing w:after="0" w:line="240" w:lineRule="auto"/>
        <w:jc w:val="both"/>
        <w:rPr>
          <w:rFonts w:ascii="Verdana" w:eastAsia="Calibri" w:hAnsi="Verdana" w:cs="Arial"/>
          <w:color w:val="000000" w:themeColor="text1"/>
          <w:sz w:val="20"/>
          <w:szCs w:val="20"/>
        </w:rPr>
      </w:pPr>
    </w:p>
    <w:p w14:paraId="2DAC83FD" w14:textId="77777777" w:rsidR="005B5DE8" w:rsidRPr="00B771A8" w:rsidRDefault="005B5DE8" w:rsidP="005B5DE8">
      <w:pPr>
        <w:spacing w:after="0" w:line="240" w:lineRule="auto"/>
        <w:jc w:val="both"/>
        <w:rPr>
          <w:rFonts w:ascii="Verdana" w:eastAsia="Calibri" w:hAnsi="Verdana" w:cs="Arial"/>
          <w:sz w:val="20"/>
          <w:szCs w:val="20"/>
        </w:rPr>
      </w:pPr>
      <w:r w:rsidRPr="00B771A8">
        <w:rPr>
          <w:rFonts w:ascii="Verdana" w:eastAsia="Calibri" w:hAnsi="Verdana" w:cs="Arial"/>
          <w:color w:val="000000" w:themeColor="text1"/>
          <w:sz w:val="20"/>
          <w:szCs w:val="20"/>
        </w:rPr>
        <w:t xml:space="preserve">De otro lado, los </w:t>
      </w:r>
      <w:r w:rsidRPr="00B771A8">
        <w:rPr>
          <w:rFonts w:ascii="Verdana" w:eastAsia="Calibri" w:hAnsi="Verdana" w:cs="Arial"/>
          <w:i/>
          <w:iCs/>
          <w:color w:val="000000" w:themeColor="text1"/>
          <w:sz w:val="20"/>
          <w:szCs w:val="20"/>
        </w:rPr>
        <w:t xml:space="preserve">convenios de asociación </w:t>
      </w:r>
      <w:r w:rsidRPr="00B771A8">
        <w:rPr>
          <w:rFonts w:ascii="Verdana" w:eastAsia="Calibri" w:hAnsi="Verdana" w:cs="Arial"/>
          <w:color w:val="000000" w:themeColor="text1"/>
          <w:sz w:val="20"/>
          <w:szCs w:val="20"/>
        </w:rPr>
        <w:t>– a los cuales hace referencia en su consulta – “[…] [t]</w:t>
      </w:r>
      <w:proofErr w:type="spellStart"/>
      <w:r w:rsidRPr="00B771A8">
        <w:rPr>
          <w:rFonts w:ascii="Verdana" w:eastAsia="Calibri" w:hAnsi="Verdana" w:cs="Arial"/>
          <w:color w:val="000000" w:themeColor="text1"/>
          <w:sz w:val="20"/>
          <w:szCs w:val="20"/>
        </w:rPr>
        <w:t>ienen</w:t>
      </w:r>
      <w:proofErr w:type="spellEnd"/>
      <w:r w:rsidRPr="00B771A8">
        <w:rPr>
          <w:rFonts w:ascii="Verdana" w:eastAsia="Calibri" w:hAnsi="Verdana" w:cs="Arial"/>
          <w:color w:val="000000" w:themeColor="text1"/>
          <w:sz w:val="20"/>
          <w:szCs w:val="20"/>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 al igual que en los contratos de colaboración antes explicados – no existe contraprestación o pago, sino aportes, los cuales están dirigidos, exclusivamente, a lograr la ejecución del convenio no a remunerar la actividad o actuaciones del asociado. </w:t>
      </w:r>
    </w:p>
    <w:p w14:paraId="4E503C7B" w14:textId="77777777" w:rsidR="005B5DE8" w:rsidRPr="00B771A8" w:rsidRDefault="005B5DE8" w:rsidP="005B5DE8">
      <w:pPr>
        <w:spacing w:after="0" w:line="240" w:lineRule="auto"/>
        <w:jc w:val="both"/>
        <w:rPr>
          <w:rFonts w:ascii="Verdana" w:eastAsia="Calibri" w:hAnsi="Verdana" w:cs="Arial"/>
          <w:bCs/>
          <w:color w:val="000000"/>
          <w:sz w:val="20"/>
          <w:szCs w:val="20"/>
        </w:rPr>
      </w:pPr>
    </w:p>
    <w:p w14:paraId="772D092B" w14:textId="77777777" w:rsidR="005B5DE8" w:rsidRPr="00B771A8" w:rsidRDefault="005B5DE8" w:rsidP="005B5DE8">
      <w:pPr>
        <w:spacing w:after="0" w:line="240" w:lineRule="auto"/>
        <w:jc w:val="both"/>
        <w:rPr>
          <w:rFonts w:ascii="Verdana" w:eastAsia="Calibri" w:hAnsi="Verdana"/>
          <w:b/>
          <w:bCs/>
          <w:lang w:val="es-ES_tradnl" w:eastAsia="es-ES_tradnl"/>
        </w:rPr>
      </w:pPr>
      <w:r w:rsidRPr="00B771A8">
        <w:rPr>
          <w:rFonts w:ascii="Verdana" w:eastAsia="Calibri" w:hAnsi="Verdana"/>
          <w:b/>
          <w:bCs/>
          <w:lang w:eastAsia="es-ES_tradnl"/>
        </w:rPr>
        <w:t xml:space="preserve">CONVENIOS DE ASOCIACIÓN – Aporte económico de la ESAL – </w:t>
      </w:r>
      <w:r w:rsidRPr="00B771A8">
        <w:rPr>
          <w:rFonts w:ascii="Verdana" w:eastAsia="Calibri" w:hAnsi="Verdana"/>
          <w:b/>
          <w:bCs/>
          <w:lang w:val="es-ES_tradnl" w:eastAsia="es-ES_tradnl"/>
        </w:rPr>
        <w:t xml:space="preserve">Treinta por ciento </w:t>
      </w:r>
    </w:p>
    <w:p w14:paraId="15C5ADE9" w14:textId="77777777" w:rsidR="005B5DE8" w:rsidRDefault="005B5DE8" w:rsidP="005B5DE8">
      <w:pPr>
        <w:spacing w:after="0" w:line="240" w:lineRule="auto"/>
        <w:jc w:val="both"/>
        <w:textAlignment w:val="baseline"/>
        <w:rPr>
          <w:rFonts w:ascii="Verdana" w:eastAsia="Calibri" w:hAnsi="Verdana"/>
          <w:sz w:val="20"/>
          <w:szCs w:val="20"/>
          <w:lang w:val="es-ES_tradnl" w:eastAsia="es-ES_tradnl"/>
        </w:rPr>
      </w:pPr>
    </w:p>
    <w:p w14:paraId="5BAD7DB6" w14:textId="77777777" w:rsidR="005B5DE8" w:rsidRPr="00B771A8" w:rsidRDefault="005B5DE8" w:rsidP="005B5DE8">
      <w:pPr>
        <w:spacing w:after="0" w:line="240" w:lineRule="auto"/>
        <w:jc w:val="both"/>
        <w:textAlignment w:val="baseline"/>
        <w:rPr>
          <w:rFonts w:ascii="Verdana" w:eastAsia="Calibri" w:hAnsi="Verdana" w:cs="Arial"/>
          <w:sz w:val="20"/>
          <w:szCs w:val="20"/>
          <w:lang w:val="es-ES_tradnl" w:eastAsia="es-ES_tradnl"/>
        </w:rPr>
      </w:pPr>
      <w:r w:rsidRPr="00B771A8">
        <w:rPr>
          <w:rFonts w:ascii="Verdana" w:eastAsia="Calibri" w:hAnsi="Verdana"/>
          <w:sz w:val="20"/>
          <w:szCs w:val="20"/>
          <w:lang w:val="es-ES_tradnl" w:eastAsia="es-ES_tradnl"/>
        </w:rPr>
        <w:t xml:space="preserve">[…] </w:t>
      </w:r>
      <w:r w:rsidRPr="00B771A8">
        <w:rPr>
          <w:rFonts w:ascii="Verdana" w:eastAsia="Calibri" w:hAnsi="Verdana" w:cs="Arial"/>
          <w:sz w:val="20"/>
          <w:szCs w:val="20"/>
          <w:lang w:val="es-ES_tradnl" w:eastAsia="es-ES_tradnl"/>
        </w:rPr>
        <w:t>el artículo 5 del Decreto 092 de 2017</w:t>
      </w:r>
      <w:r w:rsidRPr="00B771A8">
        <w:rPr>
          <w:sz w:val="20"/>
          <w:szCs w:val="20"/>
          <w:vertAlign w:val="superscript"/>
          <w:lang w:eastAsia="es-ES_tradnl"/>
        </w:rPr>
        <w:t xml:space="preserve"> </w:t>
      </w:r>
      <w:r w:rsidRPr="00B771A8">
        <w:rPr>
          <w:rFonts w:ascii="Verdana" w:eastAsia="Calibri" w:hAnsi="Verdana" w:cs="Arial"/>
          <w:sz w:val="20"/>
          <w:szCs w:val="20"/>
          <w:lang w:val="es-ES_tradnl" w:eastAsia="es-ES_tradnl"/>
        </w:rPr>
        <w:t xml:space="preserve">establece que, </w:t>
      </w:r>
      <w:r w:rsidRPr="00B771A8">
        <w:rPr>
          <w:rFonts w:ascii="Verdana" w:eastAsia="Calibri" w:hAnsi="Verdana" w:cs="Arial"/>
          <w:sz w:val="20"/>
          <w:szCs w:val="20"/>
          <w:lang w:eastAsia="es-ES_tradnl"/>
        </w:rPr>
        <w:t xml:space="preserve">el proceso para la escogencia de la ESAL, por regla general, debe estar sujeto a competencia, salvo en aquellos casos en los que una ESAL manifieste su compromiso de aportar recursos en dinero por un valor igual o superior al treinta por ciento (30%) del valor total del convenio, siempre y cuando no existan otras ESAL que ofrezcan aportes en monto igual o superior a dicho porcentaje, pues en este evento también se tendría que realizar un proceso competitivo. </w:t>
      </w:r>
    </w:p>
    <w:p w14:paraId="29BCA68E" w14:textId="77777777" w:rsidR="005B5DE8" w:rsidRPr="00B771A8" w:rsidRDefault="005B5DE8" w:rsidP="005B5DE8">
      <w:pPr>
        <w:spacing w:after="0" w:line="240" w:lineRule="auto"/>
        <w:jc w:val="both"/>
        <w:rPr>
          <w:rFonts w:ascii="Verdana" w:eastAsia="Calibri" w:hAnsi="Verdana"/>
          <w:sz w:val="20"/>
          <w:szCs w:val="20"/>
          <w:lang w:val="es-ES_tradnl" w:eastAsia="es-ES_tradnl"/>
        </w:rPr>
      </w:pPr>
    </w:p>
    <w:p w14:paraId="454E5D98" w14:textId="77777777" w:rsidR="005B5DE8" w:rsidRPr="00B771A8" w:rsidRDefault="005B5DE8" w:rsidP="005B5DE8">
      <w:pPr>
        <w:spacing w:after="0" w:line="240" w:lineRule="auto"/>
        <w:jc w:val="both"/>
        <w:rPr>
          <w:rFonts w:ascii="Verdana" w:eastAsia="Calibri" w:hAnsi="Verdana"/>
          <w:b/>
          <w:bCs/>
          <w:lang w:eastAsia="es-ES_tradnl"/>
        </w:rPr>
      </w:pPr>
      <w:r w:rsidRPr="00B771A8">
        <w:rPr>
          <w:rFonts w:ascii="Verdana" w:eastAsia="Calibri" w:hAnsi="Verdana"/>
          <w:b/>
          <w:bCs/>
          <w:lang w:eastAsia="es-ES_tradnl"/>
        </w:rPr>
        <w:t xml:space="preserve">CONVENIOS DE ASOCIACIÓN – Aporte económico de la ESAL – </w:t>
      </w:r>
      <w:r w:rsidRPr="00B771A8">
        <w:rPr>
          <w:rFonts w:ascii="Verdana" w:eastAsia="Calibri" w:hAnsi="Verdana"/>
          <w:b/>
          <w:bCs/>
          <w:lang w:val="es-ES_tradnl" w:eastAsia="es-ES_tradnl"/>
        </w:rPr>
        <w:t xml:space="preserve">Treinta por ciento – Aportes en dinero – Aportes en especie </w:t>
      </w:r>
    </w:p>
    <w:p w14:paraId="6A69590C" w14:textId="77777777" w:rsidR="005B5DE8" w:rsidRDefault="005B5DE8" w:rsidP="005B5DE8">
      <w:pPr>
        <w:spacing w:after="0" w:line="240" w:lineRule="auto"/>
        <w:jc w:val="both"/>
        <w:rPr>
          <w:rFonts w:ascii="Verdana" w:eastAsia="Calibri" w:hAnsi="Verdana" w:cs="Arial"/>
          <w:sz w:val="20"/>
          <w:szCs w:val="20"/>
        </w:rPr>
      </w:pPr>
    </w:p>
    <w:p w14:paraId="668A107A" w14:textId="77777777" w:rsidR="005B5DE8" w:rsidRDefault="005B5DE8" w:rsidP="005B5DE8">
      <w:pPr>
        <w:spacing w:after="0" w:line="240" w:lineRule="auto"/>
        <w:jc w:val="both"/>
        <w:rPr>
          <w:rFonts w:ascii="Verdana" w:eastAsia="Calibri" w:hAnsi="Verdana" w:cs="Arial"/>
          <w:i/>
          <w:iCs/>
          <w:sz w:val="20"/>
          <w:szCs w:val="20"/>
        </w:rPr>
      </w:pPr>
      <w:r w:rsidRPr="00B771A8">
        <w:rPr>
          <w:rFonts w:ascii="Verdana" w:eastAsia="Calibri" w:hAnsi="Verdana" w:cs="Arial"/>
          <w:sz w:val="20"/>
          <w:szCs w:val="20"/>
        </w:rPr>
        <w:t xml:space="preserve">En relación con los aportes que debe comprometer la ESAL para no someter a un proceso competitivo la selección de la ESAL ha surgido el interrogante si los aportes en especie se deben tener en cuenta para el cálculo del treinta por ciento (30%) del aporte. Sobre este segundo problema jurídico, la Agencia Nacional de Contratación Pública – Colombia Compra Eficiente ha considerado que, “el treinta por ciento (30%) señalado en el artículo 5 del Decreto 092 de 2017, que debe aportar la ESAL a efectos de poder celebrar el convenio sin acudir a un proceso competitivo, debe calcularse respecto del monto total de los recursos </w:t>
      </w:r>
      <w:r w:rsidRPr="00B771A8">
        <w:rPr>
          <w:rFonts w:ascii="Verdana" w:eastAsia="Calibri" w:hAnsi="Verdana" w:cs="Arial"/>
          <w:i/>
          <w:iCs/>
          <w:sz w:val="20"/>
          <w:szCs w:val="20"/>
        </w:rPr>
        <w:t xml:space="preserve">en dinero </w:t>
      </w:r>
      <w:r w:rsidRPr="00B771A8">
        <w:rPr>
          <w:rFonts w:ascii="Verdana" w:eastAsia="Calibri" w:hAnsi="Verdana" w:cs="Arial"/>
          <w:sz w:val="20"/>
          <w:szCs w:val="20"/>
        </w:rPr>
        <w:t xml:space="preserve">requeridos para la ejecución proyecto, el cual corresponderá al valor por el que se celebrará el </w:t>
      </w:r>
      <w:r w:rsidRPr="00B771A8">
        <w:rPr>
          <w:rFonts w:ascii="Verdana" w:eastAsia="Calibri" w:hAnsi="Verdana" w:cs="Arial"/>
          <w:i/>
          <w:iCs/>
          <w:sz w:val="20"/>
          <w:szCs w:val="20"/>
        </w:rPr>
        <w:t>convenio de asociación”.</w:t>
      </w:r>
    </w:p>
    <w:p w14:paraId="59A70078" w14:textId="77777777" w:rsidR="005B5DE8" w:rsidRPr="00B771A8" w:rsidRDefault="005B5DE8" w:rsidP="005B5DE8">
      <w:pPr>
        <w:spacing w:after="0" w:line="240" w:lineRule="auto"/>
        <w:jc w:val="both"/>
        <w:rPr>
          <w:rFonts w:ascii="Verdana" w:eastAsia="Calibri" w:hAnsi="Verdana"/>
          <w:sz w:val="20"/>
          <w:szCs w:val="20"/>
          <w:lang w:eastAsia="es-ES_tradnl"/>
        </w:rPr>
      </w:pPr>
    </w:p>
    <w:p w14:paraId="76C9E7DD" w14:textId="77777777" w:rsidR="005B5DE8" w:rsidRPr="00B771A8" w:rsidRDefault="005B5DE8" w:rsidP="005B5DE8">
      <w:pPr>
        <w:spacing w:after="0" w:line="240" w:lineRule="auto"/>
        <w:jc w:val="both"/>
        <w:rPr>
          <w:rFonts w:ascii="Verdana" w:eastAsia="Calibri" w:hAnsi="Verdana"/>
          <w:b/>
          <w:bCs/>
          <w:lang w:val="es-ES_tradnl" w:eastAsia="es-ES_tradnl"/>
        </w:rPr>
      </w:pPr>
      <w:r w:rsidRPr="00B771A8">
        <w:rPr>
          <w:rFonts w:ascii="Verdana" w:eastAsia="Calibri" w:hAnsi="Verdana"/>
          <w:b/>
          <w:bCs/>
          <w:lang w:eastAsia="es-ES_tradnl"/>
        </w:rPr>
        <w:t xml:space="preserve">CONVENIOS DE ASOCIACIÓN – Aporte económico de la ESAL – Mecanismo de recaudo </w:t>
      </w:r>
    </w:p>
    <w:p w14:paraId="3AD0F52F" w14:textId="77777777" w:rsidR="005B5DE8" w:rsidRDefault="005B5DE8" w:rsidP="005B5DE8">
      <w:pPr>
        <w:spacing w:after="0" w:line="240" w:lineRule="auto"/>
        <w:jc w:val="both"/>
        <w:rPr>
          <w:rFonts w:ascii="Verdana" w:eastAsia="Calibri" w:hAnsi="Verdana" w:cs="Arial"/>
          <w:sz w:val="20"/>
          <w:szCs w:val="20"/>
          <w:lang w:val="es-ES_tradnl" w:eastAsia="es-ES_tradnl"/>
        </w:rPr>
      </w:pPr>
    </w:p>
    <w:p w14:paraId="7D5AD520" w14:textId="77777777" w:rsidR="005B5DE8" w:rsidRPr="00B771A8" w:rsidRDefault="005B5DE8" w:rsidP="005B5DE8">
      <w:pPr>
        <w:spacing w:after="0" w:line="240" w:lineRule="auto"/>
        <w:jc w:val="both"/>
        <w:rPr>
          <w:rFonts w:ascii="Verdana" w:eastAsia="Calibri" w:hAnsi="Verdana" w:cs="Arial"/>
          <w:sz w:val="20"/>
          <w:szCs w:val="20"/>
        </w:rPr>
      </w:pPr>
      <w:r>
        <w:rPr>
          <w:rFonts w:ascii="Verdana" w:eastAsia="Calibri" w:hAnsi="Verdana" w:cs="Arial"/>
          <w:sz w:val="20"/>
          <w:szCs w:val="20"/>
          <w:lang w:val="es-ES_tradnl" w:eastAsia="es-ES_tradnl"/>
        </w:rPr>
        <w:t xml:space="preserve">[…] </w:t>
      </w:r>
      <w:r w:rsidRPr="00B771A8">
        <w:rPr>
          <w:rFonts w:ascii="Verdana" w:eastAsia="Calibri" w:hAnsi="Verdana" w:cs="Arial"/>
          <w:sz w:val="20"/>
          <w:szCs w:val="20"/>
          <w:lang w:val="es-ES_tradnl" w:eastAsia="es-ES_tradnl"/>
        </w:rPr>
        <w:t xml:space="preserve">la Agencia Nacional de Contratación Pública – Colombia Compra Eficiente en la “Guía para la contratación con entidades privadas sin ánimo de lucro y de reconocida idoneidad”, señaló que: “[…] la exigencia de recursos en dinero se puede cumplir con instrumentos financieros, jurídicos y contables que sean transables y que tengan liquidez suficiente para ser equivalentes al dinero”. </w:t>
      </w:r>
    </w:p>
    <w:p w14:paraId="20AF30A7" w14:textId="77777777" w:rsidR="005B5DE8" w:rsidRPr="00B771A8" w:rsidRDefault="005B5DE8" w:rsidP="005B5DE8">
      <w:pPr>
        <w:pStyle w:val="Prrafodelista"/>
        <w:spacing w:after="0" w:line="240" w:lineRule="auto"/>
        <w:contextualSpacing w:val="0"/>
        <w:rPr>
          <w:rFonts w:ascii="Verdana" w:eastAsia="Calibri" w:hAnsi="Verdana" w:cs="Arial"/>
          <w:sz w:val="20"/>
          <w:szCs w:val="20"/>
          <w:lang w:val="es-ES_tradnl" w:eastAsia="es-ES_tradnl"/>
        </w:rPr>
      </w:pPr>
    </w:p>
    <w:p w14:paraId="7BEA2C3D" w14:textId="77777777" w:rsidR="005B5DE8" w:rsidRPr="00B771A8" w:rsidRDefault="005B5DE8" w:rsidP="005B5DE8">
      <w:pPr>
        <w:spacing w:after="0" w:line="240" w:lineRule="auto"/>
        <w:jc w:val="both"/>
        <w:rPr>
          <w:rFonts w:ascii="Verdana" w:eastAsia="Calibri" w:hAnsi="Verdana" w:cs="Arial"/>
          <w:sz w:val="20"/>
          <w:szCs w:val="20"/>
        </w:rPr>
      </w:pPr>
      <w:r w:rsidRPr="00B771A8">
        <w:rPr>
          <w:rFonts w:ascii="Verdana" w:eastAsia="Calibri" w:hAnsi="Verdana" w:cs="Arial"/>
          <w:sz w:val="20"/>
          <w:szCs w:val="20"/>
          <w:lang w:val="es-ES_tradnl" w:eastAsia="es-ES_tradnl"/>
        </w:rPr>
        <w:t xml:space="preserve">Al respecto, </w:t>
      </w:r>
      <w:r w:rsidRPr="00B771A8">
        <w:rPr>
          <w:rFonts w:ascii="Verdana" w:eastAsia="Calibri" w:hAnsi="Verdana" w:cs="Arial"/>
          <w:sz w:val="20"/>
          <w:szCs w:val="20"/>
          <w:lang w:eastAsia="es-ES"/>
        </w:rPr>
        <w:t>se precisa</w:t>
      </w:r>
      <w:r w:rsidRPr="00B771A8">
        <w:rPr>
          <w:rFonts w:ascii="Verdana" w:eastAsia="Calibri" w:hAnsi="Verdana" w:cs="Arial"/>
          <w:sz w:val="20"/>
          <w:szCs w:val="20"/>
          <w:lang w:val="es-ES_tradnl" w:eastAsia="es-ES_tradnl"/>
        </w:rPr>
        <w:t xml:space="preserve"> que, la entidad será autónoma en definir el mecanismo que le parezca más conveniente para el recaudo de los recursos económicos, </w:t>
      </w:r>
      <w:r w:rsidRPr="00B771A8">
        <w:rPr>
          <w:rFonts w:ascii="Verdana" w:hAnsi="Verdana" w:cs="Arial"/>
          <w:color w:val="000000" w:themeColor="text1"/>
          <w:sz w:val="20"/>
          <w:szCs w:val="20"/>
        </w:rPr>
        <w:t>los cuales no implican necesariamente el traslado de recursos entre ellas, toda vez que, en los términos contenidos en el convenio, cada parte deberá ejecutar obligaciones correspondientes a los aportes comprometidos para satisfacer las finalidades atribuidas a los convenios de asociación, esto es, el desarrollo conjunto de actividades relacionadas con los cometidos y funciones asignadas a la Entidad Estatal, cualquiera que sea su naturaleza y orden administrativo, conforme a la Constitución y a la Ley.</w:t>
      </w:r>
    </w:p>
    <w:p w14:paraId="54564F22" w14:textId="77777777" w:rsidR="005B5DE8" w:rsidRDefault="005B5DE8">
      <w:pPr>
        <w:rPr>
          <w:rFonts w:ascii="Verdana" w:eastAsia="Aptos" w:hAnsi="Verdana" w:cs="Times New Roman"/>
          <w14:ligatures w14:val="standardContextual"/>
        </w:rPr>
      </w:pPr>
      <w:r>
        <w:rPr>
          <w:rFonts w:ascii="Verdana" w:eastAsia="Aptos" w:hAnsi="Verdana" w:cs="Times New Roman"/>
          <w14:ligatures w14:val="standardContextual"/>
        </w:rPr>
        <w:br w:type="page"/>
      </w:r>
    </w:p>
    <w:p w14:paraId="72C9B9EF" w14:textId="1167C0A6" w:rsidR="00592E31" w:rsidRPr="00592E31" w:rsidRDefault="00592E31" w:rsidP="00592E31">
      <w:pPr>
        <w:spacing w:after="0" w:line="240" w:lineRule="auto"/>
        <w:rPr>
          <w:rFonts w:ascii="Verdana" w:eastAsia="Aptos" w:hAnsi="Verdana" w:cs="Times New Roman"/>
          <w14:ligatures w14:val="standardContextual"/>
        </w:rPr>
      </w:pPr>
      <w:r w:rsidRPr="00592E31">
        <w:rPr>
          <w:rFonts w:ascii="Verdana" w:eastAsia="Aptos" w:hAnsi="Verdana" w:cs="Times New Roman"/>
          <w14:ligatures w14:val="standardContextual"/>
        </w:rPr>
        <w:lastRenderedPageBreak/>
        <w:t xml:space="preserve">Bogotá D.C., </w:t>
      </w:r>
      <w:r w:rsidR="001A5AFF">
        <w:rPr>
          <w:rFonts w:ascii="Verdana" w:eastAsia="Aptos" w:hAnsi="Verdana" w:cs="Times New Roman"/>
          <w14:ligatures w14:val="standardContextual"/>
        </w:rPr>
        <w:t>19 de noviembre de 2024.</w:t>
      </w:r>
      <w:r w:rsidRPr="00592E31">
        <w:rPr>
          <w:rFonts w:ascii="Verdana" w:eastAsia="Aptos" w:hAnsi="Verdana" w:cs="Times New Roman"/>
          <w14:ligatures w14:val="standardContextual"/>
        </w:rPr>
        <w:tab/>
      </w:r>
    </w:p>
    <w:p w14:paraId="3FEEE835" w14:textId="18DC01CD" w:rsidR="00592E31" w:rsidRPr="00592E31" w:rsidRDefault="001A5AFF" w:rsidP="001A5AFF">
      <w:pPr>
        <w:spacing w:after="0" w:line="240" w:lineRule="auto"/>
        <w:jc w:val="right"/>
        <w:rPr>
          <w:rFonts w:ascii="Verdana" w:eastAsia="Calibri" w:hAnsi="Verdana" w:cs="Arial"/>
          <w:lang w:val="es-ES"/>
          <w14:ligatures w14:val="standardContextual"/>
        </w:rPr>
      </w:pPr>
      <w:r w:rsidRPr="001A5AFF">
        <w:rPr>
          <w:rFonts w:ascii="Verdana" w:eastAsia="Calibri" w:hAnsi="Verdana" w:cs="Arial"/>
          <w:lang w:val="es-ES"/>
          <w14:ligatures w14:val="standardContextual"/>
        </w:rPr>
        <w:drawing>
          <wp:inline distT="0" distB="0" distL="0" distR="0" wp14:anchorId="4B3DDA08" wp14:editId="266B3A49">
            <wp:extent cx="2645433" cy="811667"/>
            <wp:effectExtent l="0" t="0" r="2540" b="7620"/>
            <wp:docPr id="203220078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00787" name="Imagen 1" descr="Texto&#10;&#10;Descripción generada automáticamente"/>
                    <pic:cNvPicPr/>
                  </pic:nvPicPr>
                  <pic:blipFill>
                    <a:blip r:embed="rId10"/>
                    <a:stretch>
                      <a:fillRect/>
                    </a:stretch>
                  </pic:blipFill>
                  <pic:spPr>
                    <a:xfrm>
                      <a:off x="0" y="0"/>
                      <a:ext cx="2659776" cy="816068"/>
                    </a:xfrm>
                    <a:prstGeom prst="rect">
                      <a:avLst/>
                    </a:prstGeom>
                  </pic:spPr>
                </pic:pic>
              </a:graphicData>
            </a:graphic>
          </wp:inline>
        </w:drawing>
      </w:r>
    </w:p>
    <w:p w14:paraId="4B4EFFC3" w14:textId="77777777" w:rsidR="00592E31" w:rsidRPr="00592E31" w:rsidRDefault="00592E31" w:rsidP="00592E31">
      <w:pPr>
        <w:spacing w:after="0" w:line="240" w:lineRule="auto"/>
        <w:jc w:val="both"/>
        <w:rPr>
          <w:rFonts w:ascii="Verdana" w:eastAsia="Calibri" w:hAnsi="Verdana" w:cs="Arial"/>
          <w:lang w:val="es-ES" w:eastAsia="es-ES"/>
          <w14:ligatures w14:val="standardContextual"/>
        </w:rPr>
      </w:pPr>
      <w:r w:rsidRPr="00592E31">
        <w:rPr>
          <w:rFonts w:ascii="Verdana" w:eastAsia="Calibri" w:hAnsi="Verdana" w:cs="Arial"/>
          <w:lang w:val="es-ES" w:eastAsia="es-ES"/>
          <w14:ligatures w14:val="standardContextual"/>
        </w:rPr>
        <w:t>Señor</w:t>
      </w:r>
    </w:p>
    <w:p w14:paraId="30B6B2C2" w14:textId="77777777" w:rsidR="00592E31" w:rsidRPr="00592E31" w:rsidRDefault="00592E31" w:rsidP="00592E31">
      <w:pPr>
        <w:spacing w:after="0" w:line="240" w:lineRule="auto"/>
        <w:rPr>
          <w:rFonts w:ascii="Verdana" w:eastAsia="Calibri" w:hAnsi="Verdana" w:cs="Arial"/>
          <w:b/>
          <w:bCs/>
          <w:lang w:eastAsia="es-ES_tradnl"/>
          <w14:ligatures w14:val="standardContextual"/>
        </w:rPr>
      </w:pPr>
      <w:r w:rsidRPr="00592E31">
        <w:rPr>
          <w:rFonts w:ascii="Verdana" w:eastAsia="Calibri" w:hAnsi="Verdana" w:cs="Arial"/>
          <w:b/>
          <w:bCs/>
          <w:lang w:eastAsia="es-ES_tradnl"/>
          <w14:ligatures w14:val="standardContextual"/>
        </w:rPr>
        <w:t xml:space="preserve">Jose </w:t>
      </w:r>
      <w:proofErr w:type="spellStart"/>
      <w:r w:rsidRPr="00592E31">
        <w:rPr>
          <w:rFonts w:ascii="Verdana" w:eastAsia="Calibri" w:hAnsi="Verdana" w:cs="Arial"/>
          <w:b/>
          <w:bCs/>
          <w:lang w:eastAsia="es-ES_tradnl"/>
          <w14:ligatures w14:val="standardContextual"/>
        </w:rPr>
        <w:t>Hildebran</w:t>
      </w:r>
      <w:proofErr w:type="spellEnd"/>
      <w:r w:rsidRPr="00592E31">
        <w:rPr>
          <w:rFonts w:ascii="Verdana" w:eastAsia="Calibri" w:hAnsi="Verdana" w:cs="Arial"/>
          <w:b/>
          <w:bCs/>
          <w:lang w:eastAsia="es-ES_tradnl"/>
          <w14:ligatures w14:val="standardContextual"/>
        </w:rPr>
        <w:t xml:space="preserve"> Perdomo F</w:t>
      </w:r>
    </w:p>
    <w:p w14:paraId="6BF48AED" w14:textId="77777777" w:rsidR="00592E31" w:rsidRPr="00592E31" w:rsidRDefault="00592E31" w:rsidP="00592E31">
      <w:pPr>
        <w:spacing w:after="0" w:line="240" w:lineRule="auto"/>
        <w:rPr>
          <w:rFonts w:ascii="Verdana" w:eastAsia="Aptos" w:hAnsi="Verdana" w:cs="Times New Roman"/>
          <w14:ligatures w14:val="standardContextual"/>
        </w:rPr>
      </w:pPr>
      <w:hyperlink r:id="rId11" w:history="1">
        <w:r w:rsidRPr="00592E31">
          <w:rPr>
            <w:rFonts w:ascii="Verdana" w:eastAsia="Aptos" w:hAnsi="Verdana" w:cs="Times New Roman"/>
            <w:color w:val="0000FF"/>
            <w:u w:val="single"/>
            <w14:ligatures w14:val="standardContextual"/>
          </w:rPr>
          <w:t>hildebranp@hotmail.com</w:t>
        </w:r>
      </w:hyperlink>
      <w:r w:rsidRPr="00592E31">
        <w:rPr>
          <w:rFonts w:ascii="Verdana" w:eastAsia="Aptos" w:hAnsi="Verdana" w:cs="Times New Roman"/>
          <w14:ligatures w14:val="standardContextual"/>
        </w:rPr>
        <w:t xml:space="preserve"> </w:t>
      </w:r>
    </w:p>
    <w:p w14:paraId="1F8286C2" w14:textId="77777777" w:rsidR="00592E31" w:rsidRPr="00592E31" w:rsidRDefault="00592E31" w:rsidP="00592E31">
      <w:pPr>
        <w:spacing w:after="0" w:line="240" w:lineRule="auto"/>
        <w:rPr>
          <w:rFonts w:ascii="Verdana" w:eastAsia="Aptos" w:hAnsi="Verdana" w:cs="Times New Roman"/>
          <w14:ligatures w14:val="standardContextual"/>
        </w:rPr>
      </w:pPr>
    </w:p>
    <w:p w14:paraId="6D78803D" w14:textId="77777777" w:rsidR="00592E31" w:rsidRPr="00592E31" w:rsidRDefault="00592E31" w:rsidP="00592E31">
      <w:pPr>
        <w:spacing w:after="0" w:line="240" w:lineRule="auto"/>
        <w:rPr>
          <w:rFonts w:ascii="Verdana" w:eastAsia="Aptos" w:hAnsi="Verdana" w:cs="Times New Roman"/>
          <w14:ligatures w14:val="standardContextual"/>
        </w:rPr>
      </w:pPr>
    </w:p>
    <w:tbl>
      <w:tblPr>
        <w:tblStyle w:val="Tablaconcuadrcula1"/>
        <w:tblW w:w="87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592E31" w:rsidRPr="00592E31" w14:paraId="6A68F132" w14:textId="77777777" w:rsidTr="00592E31">
        <w:trPr>
          <w:trHeight w:val="109"/>
        </w:trPr>
        <w:tc>
          <w:tcPr>
            <w:tcW w:w="2689" w:type="dxa"/>
          </w:tcPr>
          <w:p w14:paraId="42DC941A" w14:textId="77777777" w:rsidR="00592E31" w:rsidRPr="00592E31" w:rsidRDefault="00592E31" w:rsidP="00592E31">
            <w:pPr>
              <w:jc w:val="both"/>
              <w:rPr>
                <w:rFonts w:ascii="Verdana" w:eastAsia="Calibri" w:hAnsi="Verdana" w:cs="Arial"/>
                <w:b/>
                <w:bCs/>
                <w:lang w:val="es-ES_tradnl" w:eastAsia="es-ES_tradnl"/>
              </w:rPr>
            </w:pPr>
          </w:p>
        </w:tc>
        <w:tc>
          <w:tcPr>
            <w:tcW w:w="6100" w:type="dxa"/>
          </w:tcPr>
          <w:p w14:paraId="232A91AC" w14:textId="77777777" w:rsidR="00592E31" w:rsidRPr="00592E31" w:rsidRDefault="00592E31" w:rsidP="00592E31">
            <w:pPr>
              <w:jc w:val="both"/>
              <w:rPr>
                <w:rFonts w:ascii="Verdana" w:eastAsia="Calibri" w:hAnsi="Verdana" w:cs="Arial"/>
                <w:b/>
                <w:bCs/>
                <w:lang w:val="es-ES" w:eastAsia="es-ES"/>
              </w:rPr>
            </w:pPr>
            <w:r w:rsidRPr="00592E31">
              <w:rPr>
                <w:rFonts w:ascii="Verdana" w:eastAsia="Calibri" w:hAnsi="Verdana" w:cs="Arial"/>
                <w:b/>
                <w:bCs/>
                <w:lang w:val="es-ES" w:eastAsia="es-ES"/>
              </w:rPr>
              <w:t>Concepto C-707 de 2024</w:t>
            </w:r>
          </w:p>
          <w:p w14:paraId="3323405D" w14:textId="77777777" w:rsidR="00592E31" w:rsidRPr="00592E31" w:rsidRDefault="00592E31" w:rsidP="00592E31">
            <w:pPr>
              <w:jc w:val="both"/>
              <w:rPr>
                <w:rFonts w:ascii="Verdana" w:eastAsia="Calibri" w:hAnsi="Verdana" w:cs="Arial"/>
                <w:b/>
                <w:bCs/>
                <w:lang w:val="es-ES" w:eastAsia="es-ES"/>
              </w:rPr>
            </w:pPr>
          </w:p>
        </w:tc>
      </w:tr>
      <w:tr w:rsidR="00592E31" w:rsidRPr="00592E31" w14:paraId="56224807" w14:textId="77777777" w:rsidTr="00592E31">
        <w:trPr>
          <w:trHeight w:val="884"/>
        </w:trPr>
        <w:tc>
          <w:tcPr>
            <w:tcW w:w="2689" w:type="dxa"/>
            <w:hideMark/>
          </w:tcPr>
          <w:p w14:paraId="56F9FAF5" w14:textId="77777777" w:rsidR="00592E31" w:rsidRPr="00592E31" w:rsidRDefault="00592E31" w:rsidP="00592E31">
            <w:pPr>
              <w:jc w:val="both"/>
              <w:rPr>
                <w:rFonts w:ascii="Verdana" w:eastAsia="Calibri" w:hAnsi="Verdana" w:cs="Arial"/>
                <w:lang w:val="es-ES_tradnl" w:eastAsia="es-ES_tradnl"/>
              </w:rPr>
            </w:pPr>
            <w:r w:rsidRPr="00592E31">
              <w:rPr>
                <w:rFonts w:ascii="Verdana" w:eastAsia="Calibri" w:hAnsi="Verdana" w:cs="Arial"/>
                <w:b/>
                <w:lang w:val="es-ES_tradnl" w:eastAsia="es-ES_tradnl"/>
              </w:rPr>
              <w:t>Temas:</w:t>
            </w:r>
            <w:r w:rsidRPr="00592E31">
              <w:rPr>
                <w:rFonts w:ascii="Verdana" w:eastAsia="Calibri" w:hAnsi="Verdana" w:cs="Arial"/>
                <w:lang w:val="es-ES_tradnl" w:eastAsia="es-ES_tradnl"/>
              </w:rPr>
              <w:t xml:space="preserve">                   </w:t>
            </w:r>
          </w:p>
        </w:tc>
        <w:tc>
          <w:tcPr>
            <w:tcW w:w="6100" w:type="dxa"/>
          </w:tcPr>
          <w:p w14:paraId="4F1D6324" w14:textId="77777777" w:rsidR="00592E31" w:rsidRPr="00592E31" w:rsidRDefault="00592E31" w:rsidP="00592E31">
            <w:pPr>
              <w:jc w:val="both"/>
              <w:rPr>
                <w:rFonts w:ascii="Verdana" w:eastAsia="Calibri" w:hAnsi="Verdana"/>
                <w:lang w:val="es-ES_tradnl" w:eastAsia="es-ES_tradnl"/>
              </w:rPr>
            </w:pPr>
            <w:r w:rsidRPr="00592E31">
              <w:rPr>
                <w:rFonts w:ascii="Verdana" w:eastAsia="Times New Roman" w:hAnsi="Verdana"/>
                <w:lang w:val="es-ES_tradnl" w:eastAsia="es-ES_tradnl"/>
              </w:rPr>
              <w:t xml:space="preserve">CONTRATOS CON ESAL </w:t>
            </w:r>
            <w:r w:rsidRPr="00592E31">
              <w:rPr>
                <w:rFonts w:ascii="Verdana" w:eastAsia="Calibri" w:hAnsi="Verdana"/>
                <w:lang w:val="es-ES_tradnl" w:eastAsia="es-ES_tradnl"/>
              </w:rPr>
              <w:t>–</w:t>
            </w:r>
            <w:r w:rsidRPr="00592E31">
              <w:rPr>
                <w:rFonts w:ascii="Verdana" w:eastAsia="Times New Roman" w:hAnsi="Verdana"/>
                <w:lang w:val="es-ES_tradnl" w:eastAsia="es-ES_tradnl"/>
              </w:rPr>
              <w:t xml:space="preserve"> Artículo 355 </w:t>
            </w:r>
            <w:r w:rsidRPr="00592E31">
              <w:rPr>
                <w:rFonts w:ascii="Verdana" w:eastAsia="Calibri" w:hAnsi="Verdana"/>
                <w:lang w:val="es-ES_tradnl" w:eastAsia="es-ES_tradnl"/>
              </w:rPr>
              <w:t>–</w:t>
            </w:r>
            <w:r w:rsidRPr="00592E31">
              <w:rPr>
                <w:rFonts w:ascii="Verdana" w:eastAsia="Times New Roman" w:hAnsi="Verdana"/>
                <w:lang w:val="es-ES_tradnl" w:eastAsia="es-ES_tradnl"/>
              </w:rPr>
              <w:t xml:space="preserve"> Constitución </w:t>
            </w:r>
            <w:r w:rsidRPr="00592E31">
              <w:rPr>
                <w:rFonts w:ascii="Verdana" w:eastAsia="Calibri" w:hAnsi="Verdana"/>
                <w:lang w:val="es-ES_tradnl" w:eastAsia="es-ES_tradnl"/>
              </w:rPr>
              <w:t xml:space="preserve">– Artículo 96 – Ley 489 – Fundamento / </w:t>
            </w:r>
            <w:r w:rsidRPr="00592E31">
              <w:rPr>
                <w:rFonts w:ascii="Verdana" w:eastAsia="Calibri" w:hAnsi="Verdana" w:cs="Arial"/>
                <w:bCs/>
                <w:color w:val="000000"/>
                <w:lang w:val="es-MX"/>
              </w:rPr>
              <w:t xml:space="preserve">CONVENIOS DE ASOCIACIÓN – Objeto – Alcance – Aportes / </w:t>
            </w:r>
            <w:r w:rsidRPr="00592E31">
              <w:rPr>
                <w:rFonts w:ascii="Verdana" w:eastAsia="Calibri" w:hAnsi="Verdana"/>
                <w:lang w:eastAsia="es-ES_tradnl"/>
              </w:rPr>
              <w:t xml:space="preserve">CONVENIOS DE ASOCIACIÓN – Aporte económico de la ESAL – </w:t>
            </w:r>
            <w:r w:rsidRPr="00592E31">
              <w:rPr>
                <w:rFonts w:ascii="Verdana" w:eastAsia="Calibri" w:hAnsi="Verdana"/>
                <w:lang w:val="es-ES_tradnl" w:eastAsia="es-ES_tradnl"/>
              </w:rPr>
              <w:t xml:space="preserve">Treinta por ciento / </w:t>
            </w:r>
            <w:r w:rsidRPr="00592E31">
              <w:rPr>
                <w:rFonts w:ascii="Verdana" w:eastAsia="Calibri" w:hAnsi="Verdana"/>
                <w:lang w:eastAsia="es-ES_tradnl"/>
              </w:rPr>
              <w:t xml:space="preserve">CONVENIOS DE ASOCIACIÓN – Aporte económico de la ESAL – </w:t>
            </w:r>
            <w:r w:rsidRPr="00592E31">
              <w:rPr>
                <w:rFonts w:ascii="Verdana" w:eastAsia="Calibri" w:hAnsi="Verdana"/>
                <w:lang w:val="es-ES_tradnl" w:eastAsia="es-ES_tradnl"/>
              </w:rPr>
              <w:t xml:space="preserve">Treinta por ciento – Aportes en dinero – Aportes en especie </w:t>
            </w:r>
            <w:r w:rsidRPr="00592E31">
              <w:rPr>
                <w:rFonts w:ascii="Verdana" w:eastAsia="Calibri" w:hAnsi="Verdana"/>
                <w:lang w:eastAsia="es-ES_tradnl"/>
              </w:rPr>
              <w:t xml:space="preserve">/ CONVENIOS DE ASOCIACIÓN – Aporte económico de la ESAL – Mecanismo de recaudo </w:t>
            </w:r>
          </w:p>
          <w:p w14:paraId="357149A0" w14:textId="77777777" w:rsidR="00592E31" w:rsidRPr="00592E31" w:rsidRDefault="00592E31" w:rsidP="00592E31">
            <w:pPr>
              <w:jc w:val="both"/>
              <w:rPr>
                <w:rFonts w:ascii="Verdana" w:eastAsia="Calibri" w:hAnsi="Verdana" w:cs="Arial"/>
                <w:lang w:eastAsia="es-ES"/>
              </w:rPr>
            </w:pPr>
          </w:p>
        </w:tc>
      </w:tr>
      <w:tr w:rsidR="00592E31" w:rsidRPr="00592E31" w14:paraId="589022AC" w14:textId="77777777" w:rsidTr="00592E31">
        <w:tc>
          <w:tcPr>
            <w:tcW w:w="2689" w:type="dxa"/>
            <w:hideMark/>
          </w:tcPr>
          <w:p w14:paraId="7C322AA0" w14:textId="77777777" w:rsidR="00592E31" w:rsidRPr="00592E31" w:rsidRDefault="00592E31" w:rsidP="00592E31">
            <w:pPr>
              <w:jc w:val="both"/>
              <w:rPr>
                <w:rFonts w:ascii="Verdana" w:eastAsia="Calibri" w:hAnsi="Verdana" w:cs="Arial"/>
                <w:b/>
                <w:lang w:val="es-ES_tradnl" w:eastAsia="es-ES_tradnl"/>
              </w:rPr>
            </w:pPr>
            <w:r w:rsidRPr="00592E31">
              <w:rPr>
                <w:rFonts w:ascii="Verdana" w:eastAsia="Calibri" w:hAnsi="Verdana" w:cs="Arial"/>
                <w:b/>
                <w:lang w:val="es-ES_tradnl" w:eastAsia="es-ES_tradnl"/>
              </w:rPr>
              <w:t>Radicación:</w:t>
            </w:r>
            <w:r w:rsidRPr="00592E31">
              <w:rPr>
                <w:rFonts w:ascii="Verdana" w:eastAsia="Calibri" w:hAnsi="Verdana" w:cs="Arial"/>
                <w:lang w:val="es-ES_tradnl" w:eastAsia="es-ES_tradnl"/>
              </w:rPr>
              <w:t xml:space="preserve">               </w:t>
            </w:r>
          </w:p>
        </w:tc>
        <w:tc>
          <w:tcPr>
            <w:tcW w:w="6100" w:type="dxa"/>
            <w:hideMark/>
          </w:tcPr>
          <w:p w14:paraId="2B9A4685" w14:textId="77777777" w:rsidR="00592E31" w:rsidRPr="00592E31" w:rsidRDefault="00592E31" w:rsidP="00592E31">
            <w:pPr>
              <w:jc w:val="both"/>
              <w:rPr>
                <w:rFonts w:ascii="Verdana" w:eastAsia="Calibri" w:hAnsi="Verdana" w:cs="Arial"/>
                <w:lang w:val="es-ES_tradnl" w:eastAsia="es-ES_tradnl"/>
              </w:rPr>
            </w:pPr>
            <w:r w:rsidRPr="00592E31">
              <w:rPr>
                <w:rFonts w:ascii="Verdana" w:eastAsia="Calibri" w:hAnsi="Verdana" w:cs="Arial"/>
                <w:lang w:val="es-ES_tradnl" w:eastAsia="es-ES_tradnl"/>
              </w:rPr>
              <w:t>Respuesta a consulta con radicado No. P20241007010189</w:t>
            </w:r>
          </w:p>
        </w:tc>
      </w:tr>
    </w:tbl>
    <w:p w14:paraId="2C8F0FD4" w14:textId="77777777" w:rsidR="00592E31" w:rsidRPr="00592E31" w:rsidRDefault="00592E31" w:rsidP="00592E31">
      <w:pPr>
        <w:spacing w:after="0" w:line="240" w:lineRule="auto"/>
        <w:jc w:val="both"/>
        <w:rPr>
          <w:rFonts w:ascii="Verdana" w:eastAsia="Calibri" w:hAnsi="Verdana" w:cs="Arial"/>
          <w:lang w:val="es-ES_tradnl" w:eastAsia="es-ES_tradnl"/>
          <w14:ligatures w14:val="standardContextual"/>
        </w:rPr>
      </w:pPr>
    </w:p>
    <w:p w14:paraId="075F0EB6" w14:textId="77777777" w:rsidR="00592E31" w:rsidRPr="00592E31" w:rsidRDefault="00592E31" w:rsidP="00592E31">
      <w:pPr>
        <w:spacing w:after="0" w:line="240" w:lineRule="auto"/>
        <w:jc w:val="both"/>
        <w:rPr>
          <w:rFonts w:ascii="Verdana" w:eastAsia="Calibri" w:hAnsi="Verdana" w:cs="Arial"/>
          <w:lang w:val="es-ES_tradnl" w:eastAsia="es-ES_tradnl"/>
          <w14:ligatures w14:val="standardContextual"/>
        </w:rPr>
      </w:pPr>
    </w:p>
    <w:p w14:paraId="64C415A9" w14:textId="77777777" w:rsidR="00592E31" w:rsidRPr="00592E31" w:rsidRDefault="00592E31" w:rsidP="00592E31">
      <w:pPr>
        <w:spacing w:after="0" w:line="276" w:lineRule="auto"/>
        <w:jc w:val="both"/>
        <w:rPr>
          <w:rFonts w:ascii="Verdana" w:eastAsia="Calibri" w:hAnsi="Verdana" w:cs="Arial"/>
          <w:lang w:val="es-ES" w:eastAsia="es-ES"/>
          <w14:ligatures w14:val="standardContextual"/>
        </w:rPr>
      </w:pPr>
      <w:r w:rsidRPr="00592E31">
        <w:rPr>
          <w:rFonts w:ascii="Verdana" w:eastAsia="Calibri" w:hAnsi="Verdana" w:cs="Arial"/>
          <w:lang w:val="es-ES" w:eastAsia="es-ES"/>
          <w14:ligatures w14:val="standardContextual"/>
        </w:rPr>
        <w:t xml:space="preserve">Estimado señor </w:t>
      </w:r>
      <w:proofErr w:type="spellStart"/>
      <w:r w:rsidRPr="00592E31">
        <w:rPr>
          <w:rFonts w:ascii="Verdana" w:eastAsia="Calibri" w:hAnsi="Verdana" w:cs="Arial"/>
          <w:lang w:eastAsia="es-ES_tradnl"/>
          <w14:ligatures w14:val="standardContextual"/>
        </w:rPr>
        <w:t>Hildebran</w:t>
      </w:r>
      <w:proofErr w:type="spellEnd"/>
      <w:r w:rsidRPr="00592E31">
        <w:rPr>
          <w:rFonts w:ascii="Verdana" w:eastAsia="Calibri" w:hAnsi="Verdana" w:cs="Arial"/>
          <w:lang w:eastAsia="es-ES_tradnl"/>
          <w14:ligatures w14:val="standardContextual"/>
        </w:rPr>
        <w:t xml:space="preserve"> Perdomo</w:t>
      </w:r>
      <w:r w:rsidRPr="00592E31">
        <w:rPr>
          <w:rFonts w:ascii="Verdana" w:eastAsia="Calibri" w:hAnsi="Verdana" w:cs="Arial"/>
          <w:lang w:val="es-ES" w:eastAsia="es-ES"/>
          <w14:ligatures w14:val="standardContextual"/>
        </w:rPr>
        <w:t xml:space="preserve">: </w:t>
      </w:r>
    </w:p>
    <w:p w14:paraId="517FE16A" w14:textId="77777777" w:rsidR="00592E31" w:rsidRPr="00592E31" w:rsidRDefault="00592E31" w:rsidP="00592E31">
      <w:pPr>
        <w:tabs>
          <w:tab w:val="left" w:pos="3768"/>
        </w:tabs>
        <w:spacing w:after="0" w:line="276" w:lineRule="auto"/>
        <w:jc w:val="both"/>
        <w:rPr>
          <w:rFonts w:ascii="Verdana" w:eastAsia="Calibri" w:hAnsi="Verdana" w:cs="Arial"/>
          <w:lang w:val="es-ES" w:eastAsia="es-ES"/>
          <w14:ligatures w14:val="standardContextual"/>
        </w:rPr>
      </w:pPr>
      <w:r w:rsidRPr="00592E31">
        <w:rPr>
          <w:rFonts w:ascii="Verdana" w:eastAsia="Calibri" w:hAnsi="Verdana" w:cs="Arial"/>
          <w:lang w:val="es-ES" w:eastAsia="es-ES"/>
          <w14:ligatures w14:val="standardContextual"/>
        </w:rPr>
        <w:tab/>
      </w:r>
    </w:p>
    <w:p w14:paraId="31F7845D" w14:textId="77777777" w:rsidR="00592E31" w:rsidRPr="00592E31" w:rsidRDefault="00592E31" w:rsidP="00592E31">
      <w:pPr>
        <w:spacing w:after="0" w:line="276" w:lineRule="auto"/>
        <w:jc w:val="both"/>
        <w:rPr>
          <w:rFonts w:ascii="Verdana" w:eastAsia="Calibri" w:hAnsi="Verdana" w:cs="Arial"/>
          <w:lang w:val="es-ES" w:eastAsia="es-ES"/>
          <w14:ligatures w14:val="standardContextual"/>
        </w:rPr>
      </w:pPr>
      <w:r w:rsidRPr="00592E31">
        <w:rPr>
          <w:rFonts w:ascii="Verdana" w:eastAsia="Calibri" w:hAnsi="Verdana" w:cs="Arial"/>
          <w:lang w:val="es-ES" w:eastAsia="es-ES"/>
          <w14:ligatures w14:val="standardContextual"/>
        </w:rPr>
        <w:t>En ejercicio de la competencia otorgada por los artículos 3, numeral 5º, y 11, numeral 8º, del Decreto Ley 4170 de 2011,</w:t>
      </w:r>
      <w:r w:rsidRPr="00592E31">
        <w:rPr>
          <w:rFonts w:ascii="Verdana" w:eastAsia="Arial MT" w:hAnsi="Verdana" w:cs="Arial MT"/>
          <w:lang w:val="es-ES" w:eastAsia="es-ES"/>
          <w14:ligatures w14:val="standardContextual"/>
        </w:rPr>
        <w:t xml:space="preserve"> </w:t>
      </w:r>
      <w:r w:rsidRPr="00592E31">
        <w:rPr>
          <w:rFonts w:ascii="Verdana" w:eastAsia="Aptos" w:hAnsi="Verdana" w:cs="Arial"/>
          <w14:ligatures w14:val="standardContextual"/>
        </w:rPr>
        <w:t xml:space="preserve">así como lo establecido en el artículo 4 de la Resolución 1707 de 2018 expedida por esta Entidad, </w:t>
      </w:r>
      <w:r w:rsidRPr="00592E31">
        <w:rPr>
          <w:rFonts w:ascii="Verdana" w:eastAsia="Calibri" w:hAnsi="Verdana" w:cs="Arial"/>
          <w:lang w:val="es-ES" w:eastAsia="es-ES"/>
          <w14:ligatures w14:val="standardContextual"/>
        </w:rPr>
        <w:t xml:space="preserve">la Agencia Nacional de Contratación Pública – Colombia Compra Eficiente– responde su solicitud de consulta de fecha 7 de octubre de 2024, en la cual manifiesta lo siguiente: </w:t>
      </w:r>
    </w:p>
    <w:p w14:paraId="7F9DA9FD" w14:textId="77777777" w:rsidR="00592E31" w:rsidRPr="00592E31" w:rsidRDefault="00592E31" w:rsidP="00592E31">
      <w:pPr>
        <w:tabs>
          <w:tab w:val="left" w:pos="142"/>
          <w:tab w:val="left" w:pos="284"/>
        </w:tabs>
        <w:spacing w:after="0" w:line="276" w:lineRule="auto"/>
        <w:contextualSpacing/>
        <w:jc w:val="both"/>
        <w:rPr>
          <w:rFonts w:ascii="Verdana" w:eastAsia="Century Gothic" w:hAnsi="Verdana" w:cs="Century Gothic"/>
          <w:b/>
          <w:bCs/>
        </w:rPr>
      </w:pPr>
    </w:p>
    <w:p w14:paraId="5E8F56AE" w14:textId="77777777" w:rsidR="00592E31" w:rsidRPr="00592E31" w:rsidRDefault="00592E31" w:rsidP="00592E31">
      <w:pPr>
        <w:spacing w:after="0" w:line="240" w:lineRule="auto"/>
        <w:ind w:left="709" w:right="709"/>
        <w:jc w:val="both"/>
        <w:rPr>
          <w:rFonts w:ascii="Verdana" w:eastAsia="Aptos" w:hAnsi="Verdana" w:cs="Arial"/>
          <w:sz w:val="20"/>
          <w:szCs w:val="20"/>
          <w:shd w:val="clear" w:color="auto" w:fill="FFFFFF"/>
          <w14:ligatures w14:val="standardContextual"/>
        </w:rPr>
      </w:pPr>
      <w:bookmarkStart w:id="1" w:name="_Hlk95313578"/>
      <w:r w:rsidRPr="00592E31">
        <w:rPr>
          <w:rFonts w:ascii="Verdana" w:eastAsia="Century Gothic" w:hAnsi="Verdana" w:cs="Century Gothic"/>
          <w:sz w:val="20"/>
          <w:szCs w:val="20"/>
          <w:lang w:val="es-ES"/>
          <w14:ligatures w14:val="standardContextual"/>
        </w:rPr>
        <w:t>“</w:t>
      </w:r>
      <w:bookmarkEnd w:id="1"/>
      <w:r w:rsidRPr="00592E31">
        <w:rPr>
          <w:rFonts w:ascii="Verdana" w:eastAsia="Century Gothic" w:hAnsi="Verdana" w:cs="Century Gothic"/>
          <w:sz w:val="20"/>
          <w:szCs w:val="20"/>
          <w:lang w:val="es-ES"/>
          <w14:ligatures w14:val="standardContextual"/>
        </w:rPr>
        <w:t xml:space="preserve">a. </w:t>
      </w:r>
      <w:r w:rsidRPr="00592E31">
        <w:rPr>
          <w:rFonts w:ascii="Verdana" w:eastAsia="Aptos" w:hAnsi="Verdana" w:cs="Arial"/>
          <w:sz w:val="20"/>
          <w:szCs w:val="20"/>
          <w:shd w:val="clear" w:color="auto" w:fill="FFFFFF"/>
          <w14:ligatures w14:val="standardContextual"/>
        </w:rPr>
        <w:t xml:space="preserve">Cuál es el alcance, interpretación, reglas, exigencias y/o condiciones que se deben colegir del siguiente apartado legal, que describe un presupuesto, exigencia o requisito de procedibilidad para la utilización de esta figura: </w:t>
      </w:r>
      <w:r w:rsidRPr="00592E31">
        <w:rPr>
          <w:rFonts w:ascii="Verdana" w:eastAsia="Aptos" w:hAnsi="Verdana" w:cs="Arial"/>
          <w:b/>
          <w:bCs/>
          <w:sz w:val="20"/>
          <w:szCs w:val="20"/>
          <w:shd w:val="clear" w:color="auto" w:fill="FFFFFF"/>
          <w14:ligatures w14:val="standardContextual"/>
        </w:rPr>
        <w:t>“cuando la entidad sin ánimo de lucro comprometa recursos en dinero para la ejecución de esas actividades en una proporción no inferior al 30% del valor total del convenio</w:t>
      </w:r>
      <w:r w:rsidRPr="00592E31">
        <w:rPr>
          <w:rFonts w:ascii="Verdana" w:eastAsia="Aptos" w:hAnsi="Verdana" w:cs="Arial"/>
          <w:sz w:val="20"/>
          <w:szCs w:val="20"/>
          <w:shd w:val="clear" w:color="auto" w:fill="FFFFFF"/>
          <w14:ligatures w14:val="standardContextual"/>
        </w:rPr>
        <w:t>”. </w:t>
      </w:r>
    </w:p>
    <w:p w14:paraId="3BFD3025" w14:textId="77777777" w:rsidR="00592E31" w:rsidRPr="00592E31" w:rsidRDefault="00592E31" w:rsidP="00592E31">
      <w:pPr>
        <w:spacing w:after="0" w:line="240" w:lineRule="auto"/>
        <w:ind w:left="709" w:right="709"/>
        <w:jc w:val="both"/>
        <w:rPr>
          <w:rFonts w:ascii="Verdana" w:eastAsia="Aptos" w:hAnsi="Verdana" w:cs="Arial"/>
          <w:sz w:val="20"/>
          <w:szCs w:val="20"/>
          <w:shd w:val="clear" w:color="auto" w:fill="FFFFFF"/>
          <w14:ligatures w14:val="standardContextual"/>
        </w:rPr>
      </w:pPr>
    </w:p>
    <w:p w14:paraId="7B2CDA99" w14:textId="77777777" w:rsidR="00592E31" w:rsidRPr="00592E31" w:rsidRDefault="00592E31" w:rsidP="00592E31">
      <w:pPr>
        <w:spacing w:after="0" w:line="240" w:lineRule="auto"/>
        <w:ind w:left="709" w:right="709"/>
        <w:jc w:val="both"/>
        <w:rPr>
          <w:rFonts w:ascii="Verdana" w:eastAsia="Aptos" w:hAnsi="Verdana" w:cs="Arial"/>
          <w:sz w:val="20"/>
          <w:szCs w:val="20"/>
          <w:shd w:val="clear" w:color="auto" w:fill="FFFFFF"/>
          <w14:ligatures w14:val="standardContextual"/>
        </w:rPr>
      </w:pPr>
      <w:r w:rsidRPr="00592E31">
        <w:rPr>
          <w:rFonts w:ascii="Verdana" w:eastAsia="Aptos" w:hAnsi="Verdana" w:cs="Arial"/>
          <w:sz w:val="20"/>
          <w:szCs w:val="20"/>
          <w:shd w:val="clear" w:color="auto" w:fill="FFFFFF"/>
          <w14:ligatures w14:val="standardContextual"/>
        </w:rPr>
        <w:t xml:space="preserve">b. Cuando la disposición sub examine refiere que se deben comprometer recursos en dinero, por parte de la ESAL, está prohibiendo, proscribiendo </w:t>
      </w:r>
      <w:r w:rsidRPr="00592E31">
        <w:rPr>
          <w:rFonts w:ascii="Verdana" w:eastAsia="Aptos" w:hAnsi="Verdana" w:cs="Arial"/>
          <w:sz w:val="20"/>
          <w:szCs w:val="20"/>
          <w:shd w:val="clear" w:color="auto" w:fill="FFFFFF"/>
          <w14:ligatures w14:val="standardContextual"/>
        </w:rPr>
        <w:lastRenderedPageBreak/>
        <w:t>o anulando la posibilidad de que los recursos que comprometa la ESAL, ¿sean recursos en especie? </w:t>
      </w:r>
    </w:p>
    <w:p w14:paraId="02CB13A6" w14:textId="77777777" w:rsidR="00592E31" w:rsidRPr="00592E31" w:rsidRDefault="00592E31" w:rsidP="00592E31">
      <w:pPr>
        <w:spacing w:after="0" w:line="240" w:lineRule="auto"/>
        <w:ind w:left="709" w:right="709"/>
        <w:jc w:val="both"/>
        <w:rPr>
          <w:rFonts w:ascii="Verdana" w:eastAsia="Aptos" w:hAnsi="Verdana" w:cs="Arial"/>
          <w:sz w:val="20"/>
          <w:szCs w:val="20"/>
          <w:shd w:val="clear" w:color="auto" w:fill="FFFFFF"/>
          <w14:ligatures w14:val="standardContextual"/>
        </w:rPr>
      </w:pPr>
    </w:p>
    <w:p w14:paraId="43BD88B8" w14:textId="77777777" w:rsidR="00592E31" w:rsidRPr="00592E31" w:rsidRDefault="00592E31" w:rsidP="00592E31">
      <w:pPr>
        <w:spacing w:after="0" w:line="240" w:lineRule="auto"/>
        <w:ind w:left="709" w:right="709"/>
        <w:jc w:val="both"/>
        <w:rPr>
          <w:rFonts w:ascii="Verdana" w:eastAsia="Aptos" w:hAnsi="Verdana" w:cs="Arial"/>
          <w:sz w:val="20"/>
          <w:szCs w:val="20"/>
          <w:shd w:val="clear" w:color="auto" w:fill="FFFFFF"/>
          <w14:ligatures w14:val="standardContextual"/>
        </w:rPr>
      </w:pPr>
      <w:r w:rsidRPr="00592E31">
        <w:rPr>
          <w:rFonts w:ascii="Verdana" w:eastAsia="Aptos" w:hAnsi="Verdana" w:cs="Arial"/>
          <w:sz w:val="20"/>
          <w:szCs w:val="20"/>
          <w:shd w:val="clear" w:color="auto" w:fill="FFFFFF"/>
          <w14:ligatures w14:val="standardContextual"/>
        </w:rPr>
        <w:t xml:space="preserve">c. Es procedente y por ende, conforme a derecho que la ESAL, para dar cumplimiento a la norma citada en esta consulta, destine o comprometa recursos en especie, bajo la condición de que dichos aportes sean tangibles, medibles, cuantificables y demostrables, esto es, que sean recursos que se puedan costear y/o valorar en un proyecto </w:t>
      </w:r>
      <w:proofErr w:type="gramStart"/>
      <w:r w:rsidRPr="00592E31">
        <w:rPr>
          <w:rFonts w:ascii="Verdana" w:eastAsia="Aptos" w:hAnsi="Verdana" w:cs="Arial"/>
          <w:sz w:val="20"/>
          <w:szCs w:val="20"/>
          <w:shd w:val="clear" w:color="auto" w:fill="FFFFFF"/>
          <w14:ligatures w14:val="standardContextual"/>
        </w:rPr>
        <w:t>determinado?.</w:t>
      </w:r>
      <w:proofErr w:type="gramEnd"/>
      <w:r w:rsidRPr="00592E31">
        <w:rPr>
          <w:rFonts w:ascii="Verdana" w:eastAsia="Aptos" w:hAnsi="Verdana" w:cs="Arial"/>
          <w:sz w:val="20"/>
          <w:szCs w:val="20"/>
          <w:shd w:val="clear" w:color="auto" w:fill="FFFFFF"/>
          <w14:ligatures w14:val="standardContextual"/>
        </w:rPr>
        <w:t> </w:t>
      </w:r>
    </w:p>
    <w:p w14:paraId="5932C446" w14:textId="77777777" w:rsidR="00592E31" w:rsidRPr="00592E31" w:rsidRDefault="00592E31" w:rsidP="00592E31">
      <w:pPr>
        <w:spacing w:after="0" w:line="240" w:lineRule="auto"/>
        <w:ind w:left="709" w:right="709"/>
        <w:jc w:val="both"/>
        <w:rPr>
          <w:rFonts w:ascii="Verdana" w:eastAsia="Aptos" w:hAnsi="Verdana" w:cs="Arial"/>
          <w:sz w:val="20"/>
          <w:szCs w:val="20"/>
          <w:shd w:val="clear" w:color="auto" w:fill="FFFFFF"/>
          <w14:ligatures w14:val="standardContextual"/>
        </w:rPr>
      </w:pPr>
    </w:p>
    <w:p w14:paraId="0BA0A293" w14:textId="77777777" w:rsidR="00592E31" w:rsidRPr="00592E31" w:rsidRDefault="00592E31" w:rsidP="00592E31">
      <w:pPr>
        <w:spacing w:after="0" w:line="240" w:lineRule="auto"/>
        <w:ind w:left="709" w:right="709"/>
        <w:jc w:val="both"/>
        <w:rPr>
          <w:rFonts w:ascii="Verdana" w:eastAsia="Aptos" w:hAnsi="Verdana" w:cs="Arial"/>
          <w:sz w:val="20"/>
          <w:szCs w:val="20"/>
          <w:shd w:val="clear" w:color="auto" w:fill="FFFFFF"/>
          <w14:ligatures w14:val="standardContextual"/>
        </w:rPr>
      </w:pPr>
      <w:r w:rsidRPr="00592E31">
        <w:rPr>
          <w:rFonts w:ascii="Verdana" w:eastAsia="Aptos" w:hAnsi="Verdana" w:cs="Arial"/>
          <w:sz w:val="20"/>
          <w:szCs w:val="20"/>
          <w:shd w:val="clear" w:color="auto" w:fill="FFFFFF"/>
          <w14:ligatures w14:val="standardContextual"/>
        </w:rPr>
        <w:t xml:space="preserve">d. Puede representar efectos nocivos para las partes, desde el punto de vista jurídico y en especial, derivar en investigaciones disciplinarias o fiscales: si en un Convenio de Asociación, la ESAL, no aporta recursos en dinero o efectivo, pero si aporta el 30% del valor del convenio en recursos representados en bienes, servicios y productos contemplados en el objeto y las obligaciones pactadas entre las </w:t>
      </w:r>
      <w:proofErr w:type="gramStart"/>
      <w:r w:rsidRPr="00592E31">
        <w:rPr>
          <w:rFonts w:ascii="Verdana" w:eastAsia="Aptos" w:hAnsi="Verdana" w:cs="Arial"/>
          <w:sz w:val="20"/>
          <w:szCs w:val="20"/>
          <w:shd w:val="clear" w:color="auto" w:fill="FFFFFF"/>
          <w14:ligatures w14:val="standardContextual"/>
        </w:rPr>
        <w:t>partes ?</w:t>
      </w:r>
      <w:proofErr w:type="gramEnd"/>
      <w:r w:rsidRPr="00592E31">
        <w:rPr>
          <w:rFonts w:ascii="Verdana" w:eastAsia="Aptos" w:hAnsi="Verdana" w:cs="Arial"/>
          <w:sz w:val="20"/>
          <w:szCs w:val="20"/>
          <w:shd w:val="clear" w:color="auto" w:fill="FFFFFF"/>
          <w14:ligatures w14:val="standardContextual"/>
        </w:rPr>
        <w:t>.  </w:t>
      </w:r>
    </w:p>
    <w:p w14:paraId="2C899F85" w14:textId="77777777" w:rsidR="00592E31" w:rsidRPr="00592E31" w:rsidRDefault="00592E31" w:rsidP="00592E31">
      <w:pPr>
        <w:spacing w:after="0" w:line="240" w:lineRule="auto"/>
        <w:ind w:left="709" w:right="709"/>
        <w:jc w:val="both"/>
        <w:rPr>
          <w:rFonts w:ascii="Verdana" w:eastAsia="Aptos" w:hAnsi="Verdana" w:cs="Arial"/>
          <w:sz w:val="20"/>
          <w:szCs w:val="20"/>
          <w:shd w:val="clear" w:color="auto" w:fill="FFFFFF"/>
          <w14:ligatures w14:val="standardContextual"/>
        </w:rPr>
      </w:pPr>
    </w:p>
    <w:p w14:paraId="36B97B0C" w14:textId="77777777" w:rsidR="00592E31" w:rsidRPr="00592E31" w:rsidRDefault="00592E31" w:rsidP="00592E31">
      <w:pPr>
        <w:spacing w:after="0" w:line="240" w:lineRule="auto"/>
        <w:ind w:left="709" w:right="709"/>
        <w:jc w:val="both"/>
        <w:rPr>
          <w:rFonts w:ascii="Verdana" w:eastAsia="Aptos" w:hAnsi="Verdana" w:cs="Arial"/>
          <w:sz w:val="20"/>
          <w:szCs w:val="20"/>
          <w:shd w:val="clear" w:color="auto" w:fill="FFFFFF"/>
          <w14:ligatures w14:val="standardContextual"/>
        </w:rPr>
      </w:pPr>
      <w:r w:rsidRPr="00592E31">
        <w:rPr>
          <w:rFonts w:ascii="Verdana" w:eastAsia="Aptos" w:hAnsi="Verdana" w:cs="Arial"/>
          <w:sz w:val="20"/>
          <w:szCs w:val="20"/>
          <w:shd w:val="clear" w:color="auto" w:fill="FFFFFF"/>
          <w14:ligatures w14:val="standardContextual"/>
        </w:rPr>
        <w:t xml:space="preserve">e. La Agencia Nacional de Contratación </w:t>
      </w:r>
      <w:proofErr w:type="spellStart"/>
      <w:r w:rsidRPr="00592E31">
        <w:rPr>
          <w:rFonts w:ascii="Verdana" w:eastAsia="Aptos" w:hAnsi="Verdana" w:cs="Arial"/>
          <w:sz w:val="20"/>
          <w:szCs w:val="20"/>
          <w:shd w:val="clear" w:color="auto" w:fill="FFFFFF"/>
          <w14:ligatures w14:val="standardContextual"/>
        </w:rPr>
        <w:t>Publica</w:t>
      </w:r>
      <w:proofErr w:type="spellEnd"/>
      <w:r w:rsidRPr="00592E31">
        <w:rPr>
          <w:rFonts w:ascii="Verdana" w:eastAsia="Aptos" w:hAnsi="Verdana" w:cs="Arial"/>
          <w:sz w:val="20"/>
          <w:szCs w:val="20"/>
          <w:shd w:val="clear" w:color="auto" w:fill="FFFFFF"/>
          <w14:ligatures w14:val="standardContextual"/>
        </w:rPr>
        <w:t>: Colombia Compra Eficiente en la Guía para la Contratación con ESAL, dispone lo siguiente:  </w:t>
      </w:r>
    </w:p>
    <w:p w14:paraId="04B24B03" w14:textId="77777777" w:rsidR="00592E31" w:rsidRPr="00592E31" w:rsidRDefault="00592E31" w:rsidP="00592E31">
      <w:pPr>
        <w:spacing w:after="0" w:line="240" w:lineRule="auto"/>
        <w:ind w:left="709" w:right="709"/>
        <w:jc w:val="both"/>
        <w:rPr>
          <w:rFonts w:ascii="Verdana" w:eastAsia="Aptos" w:hAnsi="Verdana" w:cs="Arial"/>
          <w:sz w:val="20"/>
          <w:szCs w:val="20"/>
          <w:shd w:val="clear" w:color="auto" w:fill="FFFFFF"/>
          <w14:ligatures w14:val="standardContextual"/>
        </w:rPr>
      </w:pPr>
      <w:r w:rsidRPr="00592E31">
        <w:rPr>
          <w:rFonts w:ascii="Verdana" w:eastAsia="Aptos" w:hAnsi="Verdana" w:cs="Arial"/>
          <w:sz w:val="20"/>
          <w:szCs w:val="20"/>
          <w:shd w:val="clear" w:color="auto" w:fill="FFFFFF"/>
          <w14:ligatures w14:val="standardContextual"/>
        </w:rPr>
        <w:t> </w:t>
      </w:r>
    </w:p>
    <w:p w14:paraId="46F468CA" w14:textId="77777777" w:rsidR="00592E31" w:rsidRPr="00592E31" w:rsidRDefault="00592E31" w:rsidP="00592E31">
      <w:pPr>
        <w:spacing w:after="0" w:line="240" w:lineRule="auto"/>
        <w:ind w:left="709" w:right="709"/>
        <w:jc w:val="both"/>
        <w:rPr>
          <w:rFonts w:ascii="Verdana" w:eastAsia="Aptos" w:hAnsi="Verdana" w:cs="Arial"/>
          <w:sz w:val="20"/>
          <w:szCs w:val="20"/>
          <w:shd w:val="clear" w:color="auto" w:fill="FFFFFF"/>
          <w14:ligatures w14:val="standardContextual"/>
        </w:rPr>
      </w:pPr>
      <w:r w:rsidRPr="00592E31">
        <w:rPr>
          <w:rFonts w:ascii="Verdana" w:eastAsia="Aptos" w:hAnsi="Verdana" w:cs="Arial"/>
          <w:sz w:val="20"/>
          <w:szCs w:val="20"/>
          <w:shd w:val="clear" w:color="auto" w:fill="FFFFFF"/>
          <w14:ligatures w14:val="standardContextual"/>
        </w:rPr>
        <w:t xml:space="preserve">“El artículo 355 de la Constitución determina que el instrumento que contiene el mecanismo de cooperación del Gobierno y las ESAL es el contrato sin especificar una tipología. Las Entidades Estatales cuentan con la autonomía para estructurar su relación contractual con las ESAL contando como límite que su relación no sea para adquirir bienes, obras o servicios, </w:t>
      </w:r>
      <w:r w:rsidRPr="00592E31">
        <w:rPr>
          <w:rFonts w:ascii="Verdana" w:eastAsia="Aptos" w:hAnsi="Verdana" w:cs="Arial"/>
          <w:sz w:val="20"/>
          <w:szCs w:val="20"/>
          <w:u w:val="single"/>
          <w:shd w:val="clear" w:color="auto" w:fill="FFFFFF"/>
          <w14:ligatures w14:val="standardContextual"/>
        </w:rPr>
        <w:t>es decir que no sea una relación conmutativa</w:t>
      </w:r>
      <w:r w:rsidRPr="00592E31">
        <w:rPr>
          <w:rFonts w:ascii="Verdana" w:eastAsia="Aptos" w:hAnsi="Verdana" w:cs="Arial"/>
          <w:sz w:val="20"/>
          <w:szCs w:val="20"/>
          <w:shd w:val="clear" w:color="auto" w:fill="FFFFFF"/>
          <w14:ligatures w14:val="standardContextual"/>
        </w:rPr>
        <w:t xml:space="preserve">. </w:t>
      </w:r>
      <w:r w:rsidRPr="00592E31">
        <w:rPr>
          <w:rFonts w:ascii="Verdana" w:eastAsia="Aptos" w:hAnsi="Verdana" w:cs="Arial"/>
          <w:b/>
          <w:bCs/>
          <w:sz w:val="20"/>
          <w:szCs w:val="20"/>
          <w:u w:val="single"/>
          <w:shd w:val="clear" w:color="auto" w:fill="FFFFFF"/>
          <w14:ligatures w14:val="standardContextual"/>
        </w:rPr>
        <w:t>Respetando ese límite, las Entidades Estatales pueden diseñar todo tipo de mecanismos contractuales que incentiven a la ESAL a obtener los objetivos del plan de desarrollo de manera innovadora y que incrementen la satisfacción y la calidad de vida de la población beneficiaria del contrato</w:t>
      </w:r>
      <w:r w:rsidRPr="00592E31">
        <w:rPr>
          <w:rFonts w:ascii="Verdana" w:eastAsia="Aptos" w:hAnsi="Verdana" w:cs="Arial"/>
          <w:sz w:val="20"/>
          <w:szCs w:val="20"/>
          <w:shd w:val="clear" w:color="auto" w:fill="FFFFFF"/>
          <w14:ligatures w14:val="standardContextual"/>
        </w:rPr>
        <w:t>”. </w:t>
      </w:r>
    </w:p>
    <w:p w14:paraId="2964D7CA" w14:textId="77777777" w:rsidR="00592E31" w:rsidRPr="00592E31" w:rsidRDefault="00592E31" w:rsidP="00592E31">
      <w:pPr>
        <w:spacing w:after="0" w:line="240" w:lineRule="auto"/>
        <w:ind w:left="709" w:right="709"/>
        <w:jc w:val="both"/>
        <w:rPr>
          <w:rFonts w:ascii="Verdana" w:eastAsia="Aptos" w:hAnsi="Verdana" w:cs="Arial"/>
          <w:sz w:val="20"/>
          <w:szCs w:val="20"/>
          <w:shd w:val="clear" w:color="auto" w:fill="FFFFFF"/>
          <w14:ligatures w14:val="standardContextual"/>
        </w:rPr>
      </w:pPr>
      <w:r w:rsidRPr="00592E31">
        <w:rPr>
          <w:rFonts w:ascii="Verdana" w:eastAsia="Aptos" w:hAnsi="Verdana" w:cs="Arial"/>
          <w:sz w:val="20"/>
          <w:szCs w:val="20"/>
          <w:shd w:val="clear" w:color="auto" w:fill="FFFFFF"/>
          <w14:ligatures w14:val="standardContextual"/>
        </w:rPr>
        <w:t> </w:t>
      </w:r>
    </w:p>
    <w:p w14:paraId="1CB72206" w14:textId="77777777" w:rsidR="00592E31" w:rsidRPr="00592E31" w:rsidRDefault="00592E31" w:rsidP="00592E31">
      <w:pPr>
        <w:spacing w:after="0" w:line="240" w:lineRule="auto"/>
        <w:ind w:left="709" w:right="709"/>
        <w:jc w:val="both"/>
        <w:rPr>
          <w:rFonts w:ascii="Verdana" w:eastAsia="Aptos" w:hAnsi="Verdana" w:cs="Arial"/>
          <w:sz w:val="20"/>
          <w:szCs w:val="20"/>
          <w:shd w:val="clear" w:color="auto" w:fill="FFFFFF"/>
          <w14:ligatures w14:val="standardContextual"/>
        </w:rPr>
      </w:pPr>
      <w:r w:rsidRPr="00592E31">
        <w:rPr>
          <w:rFonts w:ascii="Verdana" w:eastAsia="Aptos" w:hAnsi="Verdana" w:cs="Arial"/>
          <w:sz w:val="20"/>
          <w:szCs w:val="20"/>
          <w:shd w:val="clear" w:color="auto" w:fill="FFFFFF"/>
          <w14:ligatures w14:val="standardContextual"/>
        </w:rPr>
        <w:t>Tomado: Guía CCE Convenios de Asociación ESAL: file:///C:/Users/User/Downloads/GUIA%20CCE%20CONVENIOS%20DE%20ASOCIACION%20ESAL.pdf </w:t>
      </w:r>
    </w:p>
    <w:p w14:paraId="38A0F827" w14:textId="77777777" w:rsidR="00592E31" w:rsidRPr="00592E31" w:rsidRDefault="00592E31" w:rsidP="00592E31">
      <w:pPr>
        <w:spacing w:after="0" w:line="240" w:lineRule="auto"/>
        <w:ind w:left="709" w:right="709"/>
        <w:jc w:val="both"/>
        <w:rPr>
          <w:rFonts w:ascii="Verdana" w:eastAsia="Aptos" w:hAnsi="Verdana" w:cs="Arial"/>
          <w:sz w:val="20"/>
          <w:szCs w:val="20"/>
          <w:shd w:val="clear" w:color="auto" w:fill="FFFFFF"/>
          <w14:ligatures w14:val="standardContextual"/>
        </w:rPr>
      </w:pPr>
      <w:r w:rsidRPr="00592E31">
        <w:rPr>
          <w:rFonts w:ascii="Verdana" w:eastAsia="Aptos" w:hAnsi="Verdana" w:cs="Arial"/>
          <w:sz w:val="20"/>
          <w:szCs w:val="20"/>
          <w:shd w:val="clear" w:color="auto" w:fill="FFFFFF"/>
          <w14:ligatures w14:val="standardContextual"/>
        </w:rPr>
        <w:t> </w:t>
      </w:r>
    </w:p>
    <w:p w14:paraId="125CBDF2" w14:textId="77777777" w:rsidR="00592E31" w:rsidRPr="00592E31" w:rsidRDefault="00592E31" w:rsidP="00592E31">
      <w:pPr>
        <w:spacing w:after="0" w:line="240" w:lineRule="auto"/>
        <w:ind w:left="709" w:right="709"/>
        <w:jc w:val="both"/>
        <w:rPr>
          <w:rFonts w:ascii="Verdana" w:eastAsia="Aptos" w:hAnsi="Verdana" w:cs="Arial"/>
          <w:sz w:val="20"/>
          <w:szCs w:val="20"/>
          <w:shd w:val="clear" w:color="auto" w:fill="FFFFFF"/>
          <w14:ligatures w14:val="standardContextual"/>
        </w:rPr>
      </w:pPr>
      <w:proofErr w:type="gramStart"/>
      <w:r w:rsidRPr="00592E31">
        <w:rPr>
          <w:rFonts w:ascii="Verdana" w:eastAsia="Aptos" w:hAnsi="Verdana" w:cs="Arial"/>
          <w:sz w:val="20"/>
          <w:szCs w:val="20"/>
          <w:shd w:val="clear" w:color="auto" w:fill="FFFFFF"/>
          <w14:ligatures w14:val="standardContextual"/>
        </w:rPr>
        <w:t>La prescripción emitida por CCE debe ser entendida como concesión de autonomía para las entidades estatales y las mismas ESAL a la hora de establecer las reglas de juego en los Convenios de Asociación que por virtud del principio de autonomía de la voluntad de las partes decidan celebrar?</w:t>
      </w:r>
      <w:proofErr w:type="gramEnd"/>
      <w:r w:rsidRPr="00592E31">
        <w:rPr>
          <w:rFonts w:ascii="Verdana" w:eastAsia="Aptos" w:hAnsi="Verdana" w:cs="Arial"/>
          <w:sz w:val="20"/>
          <w:szCs w:val="20"/>
          <w:shd w:val="clear" w:color="auto" w:fill="FFFFFF"/>
          <w14:ligatures w14:val="standardContextual"/>
        </w:rPr>
        <w:t xml:space="preserve">” [SIC]. </w:t>
      </w:r>
    </w:p>
    <w:p w14:paraId="0AEFB539" w14:textId="77777777" w:rsidR="00592E31" w:rsidRPr="00592E31" w:rsidRDefault="00592E31" w:rsidP="00592E31">
      <w:pPr>
        <w:tabs>
          <w:tab w:val="left" w:pos="142"/>
          <w:tab w:val="left" w:pos="284"/>
        </w:tabs>
        <w:spacing w:after="0" w:line="276" w:lineRule="auto"/>
        <w:contextualSpacing/>
        <w:jc w:val="both"/>
        <w:rPr>
          <w:rFonts w:ascii="Verdana" w:eastAsia="Century Gothic" w:hAnsi="Verdana" w:cs="Century Gothic"/>
          <w:b/>
          <w:bCs/>
        </w:rPr>
      </w:pPr>
    </w:p>
    <w:p w14:paraId="29080A0D" w14:textId="77777777" w:rsidR="00592E31" w:rsidRPr="00592E31" w:rsidRDefault="00592E31" w:rsidP="00592E31">
      <w:pPr>
        <w:spacing w:after="120" w:line="276" w:lineRule="auto"/>
        <w:jc w:val="both"/>
        <w:rPr>
          <w:rFonts w:ascii="Verdana" w:eastAsia="Calibri" w:hAnsi="Verdana" w:cs="Arial"/>
          <w:lang w:val="es-ES_tradnl" w:eastAsia="es-ES_tradnl"/>
          <w14:ligatures w14:val="standardContextual"/>
        </w:rPr>
      </w:pPr>
      <w:r w:rsidRPr="00592E31">
        <w:rPr>
          <w:rFonts w:ascii="Verdana" w:eastAsia="Calibri" w:hAnsi="Verdana" w:cs="Arial"/>
          <w:lang w:val="es-ES" w:eastAsia="es-ES"/>
          <w14:ligatures w14:val="standardContextual"/>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la Agencia Nacional de Contratación Pública – </w:t>
      </w:r>
      <w:r w:rsidRPr="00592E31">
        <w:rPr>
          <w:rFonts w:ascii="Verdana" w:eastAsia="Calibri" w:hAnsi="Verdana" w:cs="Arial"/>
          <w:lang w:val="es-ES" w:eastAsia="es-ES"/>
          <w14:ligatures w14:val="standardContextual"/>
        </w:rPr>
        <w:lastRenderedPageBreak/>
        <w:t xml:space="preserve">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2E31">
        <w:rPr>
          <w:rFonts w:ascii="Verdana" w:eastAsia="Calibri" w:hAnsi="Verdana" w:cs="Arial"/>
          <w:lang w:val="es-ES_tradnl" w:eastAsia="es-ES_tradnl"/>
          <w14:ligatures w14:val="standardContextual"/>
        </w:rPr>
        <w:tab/>
      </w:r>
    </w:p>
    <w:p w14:paraId="34764CFF" w14:textId="77777777" w:rsidR="00592E31" w:rsidRPr="00592E31" w:rsidRDefault="00592E31" w:rsidP="00592E31">
      <w:pPr>
        <w:spacing w:after="0" w:line="276" w:lineRule="auto"/>
        <w:ind w:firstLine="709"/>
        <w:jc w:val="both"/>
        <w:rPr>
          <w:rFonts w:ascii="Verdana" w:eastAsia="Calibri" w:hAnsi="Verdana" w:cs="Arial"/>
          <w:lang w:val="es-ES" w:eastAsia="es-ES"/>
          <w14:ligatures w14:val="standardContextual"/>
        </w:rPr>
      </w:pPr>
      <w:r w:rsidRPr="00592E31">
        <w:rPr>
          <w:rFonts w:ascii="Verdana" w:eastAsia="Calibri" w:hAnsi="Verdana" w:cs="Arial"/>
          <w:lang w:val="es-ES" w:eastAsia="es-ES"/>
          <w14:ligatures w14:val="standardContextual"/>
        </w:rPr>
        <w:t xml:space="preserve">Conforme lo expuesto, en aras de satisfacer el derecho fundamental de petición se resolverá su consulta dentro de los límites de la referida competencia consultiva, esto es, haciendo unas consideraciones sobre las normas generales relacionadas con los problemas jurídicos de su consulta. </w:t>
      </w:r>
    </w:p>
    <w:p w14:paraId="397495EC" w14:textId="77777777" w:rsidR="00592E31" w:rsidRPr="00592E31" w:rsidRDefault="00592E31" w:rsidP="00592E31">
      <w:pPr>
        <w:spacing w:after="0" w:line="276" w:lineRule="auto"/>
        <w:ind w:firstLine="709"/>
        <w:jc w:val="both"/>
        <w:rPr>
          <w:rFonts w:ascii="Verdana" w:eastAsia="Calibri" w:hAnsi="Verdana" w:cs="Arial"/>
          <w:lang w:val="es-ES" w:eastAsia="es-ES"/>
          <w14:ligatures w14:val="standardContextual"/>
        </w:rPr>
      </w:pPr>
    </w:p>
    <w:p w14:paraId="48A85CEB" w14:textId="77777777" w:rsidR="00592E31" w:rsidRPr="00592E31" w:rsidRDefault="00592E31" w:rsidP="00592E31">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rPr>
      </w:pPr>
      <w:r w:rsidRPr="00592E31">
        <w:rPr>
          <w:rFonts w:ascii="Verdana" w:eastAsia="Century Gothic" w:hAnsi="Verdana" w:cs="Century Gothic"/>
          <w:b/>
          <w:bCs/>
        </w:rPr>
        <w:t>Problema planteado:</w:t>
      </w:r>
    </w:p>
    <w:p w14:paraId="7E018992" w14:textId="77777777" w:rsidR="00592E31" w:rsidRPr="00592E31" w:rsidRDefault="00592E31" w:rsidP="00592E31">
      <w:pPr>
        <w:tabs>
          <w:tab w:val="left" w:pos="426"/>
        </w:tabs>
        <w:spacing w:after="0" w:line="276" w:lineRule="auto"/>
        <w:jc w:val="both"/>
        <w:rPr>
          <w:rFonts w:ascii="Verdana" w:eastAsia="Century Gothic" w:hAnsi="Verdana" w:cs="Century Gothic"/>
          <w:lang w:val="es-ES"/>
          <w14:ligatures w14:val="standardContextual"/>
        </w:rPr>
      </w:pPr>
    </w:p>
    <w:p w14:paraId="1C079CF4" w14:textId="77777777" w:rsidR="00592E31" w:rsidRPr="00592E31" w:rsidRDefault="00592E31" w:rsidP="00592E31">
      <w:pPr>
        <w:spacing w:after="0" w:line="276" w:lineRule="auto"/>
        <w:jc w:val="both"/>
        <w:rPr>
          <w:rFonts w:ascii="Verdana" w:eastAsia="Century Gothic" w:hAnsi="Verdana" w:cs="Century Gothic"/>
          <w14:ligatures w14:val="standardContextual"/>
        </w:rPr>
      </w:pPr>
      <w:r w:rsidRPr="00592E31">
        <w:rPr>
          <w:rFonts w:ascii="Verdana" w:eastAsia="Century Gothic" w:hAnsi="Verdana" w:cs="Century Gothic"/>
          <w14:ligatures w14:val="standardContextual"/>
        </w:rPr>
        <w:t xml:space="preserve">De acuerdo con el contenido de su solicitud, esta Agencia resolverá los siguientes problemas jurídicos: i) </w:t>
      </w:r>
      <w:bookmarkStart w:id="2" w:name="_Hlk173067541"/>
      <w:r w:rsidRPr="00592E31">
        <w:rPr>
          <w:rFonts w:ascii="Verdana" w:eastAsia="Century Gothic" w:hAnsi="Verdana" w:cs="Century Gothic"/>
          <w14:ligatures w14:val="standardContextual"/>
        </w:rPr>
        <w:t xml:space="preserve">Qué significa que los convenios de asociación no estarán sujetos a competencia cuando una Entidad Sin Ánimo de Lucro – en adelante ESAL – se comprometa a realizar un aporte </w:t>
      </w:r>
      <w:r w:rsidRPr="00592E31">
        <w:rPr>
          <w:rFonts w:ascii="Verdana" w:eastAsia="Calibri" w:hAnsi="Verdana" w:cs="Arial"/>
          <w:lang w:eastAsia="es-ES_tradnl"/>
          <w14:ligatures w14:val="standardContextual"/>
        </w:rPr>
        <w:t xml:space="preserve">en un monto igual o superior </w:t>
      </w:r>
      <w:r w:rsidRPr="00592E31">
        <w:rPr>
          <w:rFonts w:ascii="Verdana" w:eastAsia="Century Gothic" w:hAnsi="Verdana" w:cs="Century Gothic"/>
          <w14:ligatures w14:val="standardContextual"/>
        </w:rPr>
        <w:t xml:space="preserve">al treinta por ciento (30%) del valor del convenio?; </w:t>
      </w:r>
      <w:proofErr w:type="spellStart"/>
      <w:r w:rsidRPr="00592E31">
        <w:rPr>
          <w:rFonts w:ascii="Verdana" w:eastAsia="Century Gothic" w:hAnsi="Verdana" w:cs="Century Gothic"/>
          <w14:ligatures w14:val="standardContextual"/>
        </w:rPr>
        <w:t>ii</w:t>
      </w:r>
      <w:proofErr w:type="spellEnd"/>
      <w:r w:rsidRPr="00592E31">
        <w:rPr>
          <w:rFonts w:ascii="Verdana" w:eastAsia="Century Gothic" w:hAnsi="Verdana" w:cs="Century Gothic"/>
          <w14:ligatures w14:val="standardContextual"/>
        </w:rPr>
        <w:t xml:space="preserve">) ¿Los aportes del treinta por ciento (30%) a efectos de no someter la escogencia de la ESAL a un proceso competitivo se pueden realizar en dinero y en especie?: </w:t>
      </w:r>
      <w:proofErr w:type="spellStart"/>
      <w:r w:rsidRPr="00592E31">
        <w:rPr>
          <w:rFonts w:ascii="Verdana" w:eastAsia="Century Gothic" w:hAnsi="Verdana" w:cs="Century Gothic"/>
          <w14:ligatures w14:val="standardContextual"/>
        </w:rPr>
        <w:t>iii</w:t>
      </w:r>
      <w:proofErr w:type="spellEnd"/>
      <w:r w:rsidRPr="00592E31">
        <w:rPr>
          <w:rFonts w:ascii="Verdana" w:eastAsia="Century Gothic" w:hAnsi="Verdana" w:cs="Century Gothic"/>
          <w14:ligatures w14:val="standardContextual"/>
        </w:rPr>
        <w:t xml:space="preserve">) ¿A través de que instrumentos se puede cumplir con el aporte del treinta por ciento (30%) de los aportes en dinero? </w:t>
      </w:r>
    </w:p>
    <w:bookmarkEnd w:id="2"/>
    <w:p w14:paraId="6B1CFA4E" w14:textId="77777777" w:rsidR="00592E31" w:rsidRPr="00592E31" w:rsidRDefault="00592E31" w:rsidP="00592E31">
      <w:pPr>
        <w:spacing w:after="0" w:line="276" w:lineRule="auto"/>
        <w:jc w:val="both"/>
        <w:rPr>
          <w:rFonts w:ascii="Verdana" w:eastAsia="Calibri" w:hAnsi="Verdana" w:cs="Arial"/>
          <w:lang w:val="es-ES"/>
          <w14:ligatures w14:val="standardContextual"/>
        </w:rPr>
      </w:pPr>
    </w:p>
    <w:p w14:paraId="51BB6EFB" w14:textId="77777777" w:rsidR="00592E31" w:rsidRPr="00592E31" w:rsidRDefault="00592E31" w:rsidP="00592E31">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rPr>
      </w:pPr>
      <w:r w:rsidRPr="00592E31">
        <w:rPr>
          <w:rFonts w:ascii="Verdana" w:eastAsia="Century Gothic" w:hAnsi="Verdana" w:cs="Century Gothic"/>
          <w:b/>
          <w:bCs/>
        </w:rPr>
        <w:t>Respuesta:</w:t>
      </w:r>
    </w:p>
    <w:p w14:paraId="1E9D7BB6" w14:textId="77777777" w:rsidR="00592E31" w:rsidRPr="00592E31" w:rsidRDefault="00592E31" w:rsidP="00592E31">
      <w:pPr>
        <w:tabs>
          <w:tab w:val="left" w:pos="142"/>
          <w:tab w:val="left" w:pos="284"/>
        </w:tabs>
        <w:spacing w:after="0" w:line="276" w:lineRule="auto"/>
        <w:jc w:val="both"/>
        <w:rPr>
          <w:rFonts w:ascii="Verdana" w:eastAsia="Century Gothic" w:hAnsi="Verdana" w:cs="Century Gothic"/>
          <w:b/>
          <w:bCs/>
          <w:lang w:val="es-ES"/>
          <w14:ligatures w14:val="standardContextual"/>
        </w:rPr>
      </w:pPr>
    </w:p>
    <w:tbl>
      <w:tblPr>
        <w:tblStyle w:val="Tablaconcuadrcula1"/>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592E31" w:rsidRPr="00592E31" w14:paraId="627F5DD3" w14:textId="77777777" w:rsidTr="00592E31">
        <w:tc>
          <w:tcPr>
            <w:tcW w:w="8828" w:type="dxa"/>
            <w:tcBorders>
              <w:top w:val="dotted" w:sz="4" w:space="0" w:color="auto"/>
              <w:left w:val="dotted" w:sz="4" w:space="0" w:color="auto"/>
              <w:bottom w:val="dotted" w:sz="4" w:space="0" w:color="auto"/>
              <w:right w:val="dotted" w:sz="4" w:space="0" w:color="auto"/>
            </w:tcBorders>
          </w:tcPr>
          <w:p w14:paraId="1A9FB782" w14:textId="77777777" w:rsidR="00592E31" w:rsidRPr="00592E31" w:rsidRDefault="00592E31" w:rsidP="00592E31">
            <w:pPr>
              <w:spacing w:line="276" w:lineRule="auto"/>
              <w:jc w:val="both"/>
              <w:textAlignment w:val="baseline"/>
              <w:rPr>
                <w:rFonts w:ascii="Verdana" w:eastAsia="Calibri" w:hAnsi="Verdana" w:cs="Arial"/>
                <w:lang w:val="es-ES_tradnl" w:eastAsia="es-ES_tradnl"/>
              </w:rPr>
            </w:pPr>
            <w:r w:rsidRPr="00592E31">
              <w:rPr>
                <w:rFonts w:ascii="Verdana" w:eastAsia="Calibri" w:hAnsi="Verdana" w:cs="Arial"/>
                <w:lang w:val="es-ES" w:eastAsia="es-ES_tradnl"/>
              </w:rPr>
              <w:t xml:space="preserve">i) </w:t>
            </w:r>
            <w:r w:rsidRPr="00592E31">
              <w:rPr>
                <w:rFonts w:ascii="Verdana" w:eastAsia="Calibri" w:hAnsi="Verdana" w:cs="Arial"/>
                <w:lang w:val="es-ES_tradnl" w:eastAsia="es-ES_tradnl"/>
              </w:rPr>
              <w:t xml:space="preserve">De acuerdo con el artículo 5 del Decreto 092 de 2017, </w:t>
            </w:r>
            <w:r w:rsidRPr="00592E31">
              <w:rPr>
                <w:rFonts w:ascii="Verdana" w:eastAsia="Calibri" w:hAnsi="Verdana" w:cs="Arial"/>
                <w:lang w:eastAsia="es-ES_tradnl"/>
              </w:rPr>
              <w:t xml:space="preserve">el proceso para la escogencia de la ESAL, por regla general, debe estar sujeto a competencia, salvo en aquellos casos en los que una ESAL manifieste su compromiso de aportar recursos en dinero por un valor igual o superior al treinta por ciento (30%) del valor total del convenio, siempre y cuando no existan otras ESAL que ofrezcan aportes en monto igual o superior a dicho porcentaje, pues en este evento también se tendría que realizar un proceso competitivo. </w:t>
            </w:r>
            <w:r w:rsidRPr="00592E31">
              <w:rPr>
                <w:rFonts w:ascii="Verdana" w:eastAsia="Calibri" w:hAnsi="Verdana" w:cs="Arial"/>
                <w:color w:val="000000"/>
                <w:lang w:eastAsia="es-ES_tradnl"/>
              </w:rPr>
              <w:t xml:space="preserve">Es menester advertir que, el artículo antes citado no prohíbe la celebración de convenios en que la ESAL aporte menos del treinta por ciento (30%) o cuando aporten recursos en especie. En efecto, solo indica que en esos casos la </w:t>
            </w:r>
            <w:r w:rsidRPr="00592E31">
              <w:rPr>
                <w:rFonts w:ascii="Verdana" w:eastAsia="Calibri" w:hAnsi="Verdana" w:cs="Arial"/>
                <w:color w:val="000000"/>
                <w:lang w:eastAsia="es-ES_tradnl"/>
              </w:rPr>
              <w:lastRenderedPageBreak/>
              <w:t>Entidad Estatal debe acudir al proceso competitivo para seleccionar a la ESAL con la cual celebrará el respectivo convenio.</w:t>
            </w:r>
          </w:p>
          <w:p w14:paraId="7C4FA727" w14:textId="77777777" w:rsidR="00592E31" w:rsidRPr="00592E31" w:rsidRDefault="00592E31" w:rsidP="00592E31">
            <w:pPr>
              <w:spacing w:line="276" w:lineRule="auto"/>
              <w:jc w:val="both"/>
              <w:rPr>
                <w:lang w:val="es-ES"/>
              </w:rPr>
            </w:pPr>
          </w:p>
          <w:p w14:paraId="16CC7476" w14:textId="77777777" w:rsidR="00592E31" w:rsidRPr="00592E31" w:rsidRDefault="00592E31" w:rsidP="00592E31">
            <w:pPr>
              <w:spacing w:after="120" w:line="276" w:lineRule="auto"/>
              <w:jc w:val="both"/>
              <w:rPr>
                <w:rFonts w:ascii="Verdana" w:eastAsia="Calibri" w:hAnsi="Verdana" w:cs="Arial"/>
              </w:rPr>
            </w:pPr>
            <w:proofErr w:type="spellStart"/>
            <w:r w:rsidRPr="00592E31">
              <w:rPr>
                <w:rFonts w:ascii="Verdana" w:eastAsia="Calibri" w:hAnsi="Verdana" w:cs="Arial"/>
              </w:rPr>
              <w:t>ii</w:t>
            </w:r>
            <w:proofErr w:type="spellEnd"/>
            <w:r w:rsidRPr="00592E31">
              <w:rPr>
                <w:rFonts w:ascii="Verdana" w:eastAsia="Calibri" w:hAnsi="Verdana" w:cs="Arial"/>
              </w:rPr>
              <w:t xml:space="preserve">) El treinta por ciento (30%) señalado en el artículo 5 del Decreto 092 de 2017, que debe aportar la ESAL a efectos de poder celebrar el convenio sin acudir a un proceso competitivo, debe calcularse respecto del monto total de los recursos </w:t>
            </w:r>
            <w:r w:rsidRPr="00592E31">
              <w:rPr>
                <w:rFonts w:ascii="Verdana" w:eastAsia="Calibri" w:hAnsi="Verdana" w:cs="Arial"/>
                <w:i/>
                <w:iCs/>
              </w:rPr>
              <w:t xml:space="preserve">en dinero </w:t>
            </w:r>
            <w:r w:rsidRPr="00592E31">
              <w:rPr>
                <w:rFonts w:ascii="Verdana" w:eastAsia="Calibri" w:hAnsi="Verdana" w:cs="Arial"/>
              </w:rPr>
              <w:t xml:space="preserve">requeridos para la ejecución proyecto, el cual corresponderá al valor por el que se celebrará el </w:t>
            </w:r>
            <w:r w:rsidRPr="00592E31">
              <w:rPr>
                <w:rFonts w:ascii="Verdana" w:eastAsia="Calibri" w:hAnsi="Verdana" w:cs="Arial"/>
                <w:i/>
                <w:iCs/>
              </w:rPr>
              <w:t>convenio de asociación.</w:t>
            </w:r>
            <w:r w:rsidRPr="00592E31">
              <w:rPr>
                <w:rFonts w:ascii="Verdana" w:eastAsia="Calibri" w:hAnsi="Verdana" w:cs="Arial"/>
              </w:rPr>
              <w:t xml:space="preserve"> De esta manera, los eventuales aportes en especie no podrán tenerse en cuenta para calcular el referido porcentaje, el cual debe ser en dinero. En ese sentido, si, por ejemplo, para desarrollar un proyecto conjunto con una ESAL se requiere un total de $100.000.000, para poder celebrar el convenio de asociación sin proceso competitivo, la Entidad Estatal deberá asociarse con una ESAL dispuesta a aportar por lo menos una suma de $30.000.000, equivalente al treinta por ciento (30%) del que sería el valor del eventual convenio. </w:t>
            </w:r>
          </w:p>
          <w:p w14:paraId="3C9C9EEC" w14:textId="77777777" w:rsidR="00592E31" w:rsidRPr="00592E31" w:rsidRDefault="00592E31" w:rsidP="00592E31">
            <w:pPr>
              <w:spacing w:line="276" w:lineRule="auto"/>
              <w:ind w:firstLine="708"/>
              <w:jc w:val="both"/>
              <w:rPr>
                <w:rFonts w:ascii="Verdana" w:eastAsia="Calibri" w:hAnsi="Verdana" w:cs="Arial"/>
              </w:rPr>
            </w:pPr>
            <w:r w:rsidRPr="00592E31">
              <w:rPr>
                <w:rFonts w:ascii="Verdana" w:eastAsia="Calibri" w:hAnsi="Verdana" w:cs="Arial"/>
              </w:rPr>
              <w:t>Sin perjuicio de lo anterior, se insiste que esto</w:t>
            </w:r>
            <w:r w:rsidRPr="00592E31">
              <w:rPr>
                <w:rFonts w:ascii="Verdana" w:eastAsia="Calibri" w:hAnsi="Verdana" w:cs="Arial"/>
                <w:lang w:eastAsia="es-ES"/>
              </w:rPr>
              <w:t xml:space="preserve"> no significa que no puedan hacerse aportes en especie, sino que como mínimo debe realizarse un aporte en dinero del treinta por ciento (30%) del valor del convenio de asociación para que pueda aplicar la selección directa de la ESAL, siempre que no haya otra ESAL que realice el mismo ofrecimiento. </w:t>
            </w:r>
          </w:p>
          <w:p w14:paraId="5F898538" w14:textId="77777777" w:rsidR="00592E31" w:rsidRPr="00592E31" w:rsidRDefault="00592E31" w:rsidP="00592E31">
            <w:pPr>
              <w:spacing w:line="276" w:lineRule="auto"/>
              <w:ind w:left="720"/>
              <w:contextualSpacing/>
              <w:jc w:val="both"/>
              <w:rPr>
                <w:rFonts w:ascii="Verdana" w:eastAsia="Calibri" w:hAnsi="Verdana" w:cs="Arial"/>
              </w:rPr>
            </w:pPr>
          </w:p>
          <w:p w14:paraId="39C8AC1B" w14:textId="77777777" w:rsidR="00592E31" w:rsidRPr="00592E31" w:rsidRDefault="00592E31" w:rsidP="00592E31">
            <w:pPr>
              <w:spacing w:line="276" w:lineRule="auto"/>
              <w:jc w:val="both"/>
            </w:pPr>
            <w:proofErr w:type="spellStart"/>
            <w:r w:rsidRPr="00592E31">
              <w:rPr>
                <w:rFonts w:ascii="Verdana" w:eastAsia="Calibri" w:hAnsi="Verdana" w:cs="Arial"/>
              </w:rPr>
              <w:t>iii</w:t>
            </w:r>
            <w:proofErr w:type="spellEnd"/>
            <w:r w:rsidRPr="00592E31">
              <w:rPr>
                <w:rFonts w:ascii="Verdana" w:eastAsia="Calibri" w:hAnsi="Verdana" w:cs="Arial"/>
              </w:rPr>
              <w:t xml:space="preserve">) La Agencia Nacional de Contratación Pública – Colombia Compra Eficiente en la “Guía para la contratación con entidades privadas sin ánimo de lucro y de reconocida idoneidad”, señaló que: “[…] la exigencia de recursos en dinero se puede cumplir con instrumentos financieros, jurídicos y contables que sean transables y que tengan liquidez suficiente para ser equivalentes al dinero”. </w:t>
            </w:r>
            <w:r w:rsidRPr="00592E31">
              <w:rPr>
                <w:rFonts w:ascii="Verdana" w:eastAsia="Calibri" w:hAnsi="Verdana" w:cs="Arial"/>
                <w:lang w:val="es-ES_tradnl" w:eastAsia="es-ES_tradnl"/>
              </w:rPr>
              <w:t xml:space="preserve">Al respecto, </w:t>
            </w:r>
            <w:r w:rsidRPr="00592E31">
              <w:rPr>
                <w:rFonts w:ascii="Verdana" w:eastAsia="Calibri" w:hAnsi="Verdana" w:cs="Arial"/>
                <w:lang w:eastAsia="es-ES"/>
              </w:rPr>
              <w:t>se precisa</w:t>
            </w:r>
            <w:r w:rsidRPr="00592E31">
              <w:rPr>
                <w:rFonts w:ascii="Verdana" w:eastAsia="Calibri" w:hAnsi="Verdana" w:cs="Arial"/>
                <w:lang w:val="es-ES_tradnl" w:eastAsia="es-ES_tradnl"/>
              </w:rPr>
              <w:t xml:space="preserve"> que, la entidad será autónoma en definir el mecanismo que le parezca más conveniente para el recaudo de los recursos económicos, </w:t>
            </w:r>
            <w:r w:rsidRPr="00592E31">
              <w:rPr>
                <w:rFonts w:ascii="Verdana" w:hAnsi="Verdana" w:cs="Arial"/>
                <w:color w:val="000000"/>
              </w:rPr>
              <w:t>los cuales no implican necesariamente el traslado de recursos entre ellas, toda vez que, en los términos contenidos en el convenio, cada parte deberá ejecutar obligaciones correspondientes a los aportes comprometidos para satisfacer las finalidades atribuidas a los convenios de asociación, esto es, el desarrollo conjunto de actividades relacionadas con los cometidos y funciones asignadas a la entidad estatal, cualquiera que sea su naturaleza y orden administrativo, conforme a la Constitución y a la Ley.</w:t>
            </w:r>
          </w:p>
        </w:tc>
      </w:tr>
    </w:tbl>
    <w:p w14:paraId="4B3F5592" w14:textId="77777777" w:rsidR="00592E31" w:rsidRPr="00592E31" w:rsidRDefault="00592E31" w:rsidP="00592E31">
      <w:pPr>
        <w:tabs>
          <w:tab w:val="left" w:pos="142"/>
          <w:tab w:val="left" w:pos="284"/>
        </w:tabs>
        <w:spacing w:after="0" w:line="276" w:lineRule="auto"/>
        <w:jc w:val="both"/>
        <w:rPr>
          <w:rFonts w:ascii="Verdana" w:eastAsia="Century Gothic" w:hAnsi="Verdana" w:cs="Century Gothic"/>
          <w:b/>
          <w:bCs/>
          <w:lang w:val="es-ES"/>
          <w14:ligatures w14:val="standardContextual"/>
        </w:rPr>
      </w:pPr>
    </w:p>
    <w:p w14:paraId="57C2ADC9" w14:textId="77777777" w:rsidR="00592E31" w:rsidRPr="00592E31" w:rsidRDefault="00592E31" w:rsidP="00592E31">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rPr>
      </w:pPr>
      <w:r w:rsidRPr="00592E31">
        <w:rPr>
          <w:rFonts w:ascii="Verdana" w:eastAsia="Century Gothic" w:hAnsi="Verdana" w:cs="Century Gothic"/>
          <w:b/>
          <w:bCs/>
        </w:rPr>
        <w:t>Razones de la respuesta:</w:t>
      </w:r>
    </w:p>
    <w:p w14:paraId="6291D980" w14:textId="77777777" w:rsidR="00592E31" w:rsidRPr="00592E31" w:rsidRDefault="00592E31" w:rsidP="00592E31">
      <w:pPr>
        <w:spacing w:after="0" w:line="276" w:lineRule="auto"/>
        <w:jc w:val="both"/>
        <w:rPr>
          <w:rFonts w:ascii="Verdana" w:eastAsia="Calibri" w:hAnsi="Verdana" w:cs="Arial"/>
          <w:color w:val="7030A0"/>
          <w:lang w:val="es-ES"/>
          <w14:ligatures w14:val="standardContextual"/>
        </w:rPr>
      </w:pPr>
    </w:p>
    <w:p w14:paraId="1051E968" w14:textId="77777777" w:rsidR="00592E31" w:rsidRPr="00592E31" w:rsidRDefault="00592E31" w:rsidP="00592E31">
      <w:pPr>
        <w:spacing w:after="0" w:line="276" w:lineRule="auto"/>
        <w:jc w:val="both"/>
        <w:rPr>
          <w:rFonts w:ascii="Verdana" w:eastAsia="Calibri" w:hAnsi="Verdana" w:cs="Arial"/>
          <w:lang w:val="es-ES"/>
          <w14:ligatures w14:val="standardContextual"/>
        </w:rPr>
      </w:pPr>
      <w:r w:rsidRPr="00592E31">
        <w:rPr>
          <w:rFonts w:ascii="Verdana" w:eastAsia="Calibri" w:hAnsi="Verdana" w:cs="Arial"/>
          <w:lang w:val="es-ES"/>
          <w14:ligatures w14:val="standardContextual"/>
        </w:rPr>
        <w:t xml:space="preserve">Lo anterior se sustenta en las siguientes consideraciones: </w:t>
      </w:r>
    </w:p>
    <w:p w14:paraId="3173EF75" w14:textId="77777777" w:rsidR="00592E31" w:rsidRPr="00592E31" w:rsidRDefault="00592E31" w:rsidP="00592E31">
      <w:pPr>
        <w:spacing w:after="0" w:line="276" w:lineRule="auto"/>
        <w:jc w:val="both"/>
        <w:rPr>
          <w:rFonts w:ascii="Verdana" w:eastAsia="Calibri" w:hAnsi="Verdana" w:cs="Arial"/>
          <w:lang w:val="es-ES"/>
          <w14:ligatures w14:val="standardContextual"/>
        </w:rPr>
      </w:pPr>
    </w:p>
    <w:p w14:paraId="47B62994" w14:textId="77777777" w:rsidR="00592E31" w:rsidRPr="00592E31" w:rsidRDefault="00592E31" w:rsidP="00592E31">
      <w:pPr>
        <w:spacing w:after="120" w:line="276" w:lineRule="auto"/>
        <w:jc w:val="both"/>
        <w:rPr>
          <w:rFonts w:ascii="Verdana" w:eastAsia="Calibri" w:hAnsi="Verdana" w:cs="Arial"/>
          <w14:ligatures w14:val="standardContextual"/>
        </w:rPr>
      </w:pPr>
      <w:r w:rsidRPr="00592E31">
        <w:rPr>
          <w:rFonts w:ascii="Verdana" w:eastAsia="Calibri" w:hAnsi="Verdana" w:cs="Arial"/>
          <w:color w:val="000000"/>
          <w14:ligatures w14:val="standardContextual"/>
        </w:rPr>
        <w:t xml:space="preserve">El </w:t>
      </w:r>
      <w:bookmarkStart w:id="3" w:name="_Hlk173063453"/>
      <w:r w:rsidRPr="00592E31">
        <w:rPr>
          <w:rFonts w:ascii="Verdana" w:eastAsia="Calibri" w:hAnsi="Verdana" w:cs="Arial"/>
          <w:color w:val="000000"/>
          <w14:ligatures w14:val="standardContextual"/>
        </w:rPr>
        <w:t xml:space="preserve">artículo 355 de la Constitución Política </w:t>
      </w:r>
      <w:bookmarkEnd w:id="3"/>
      <w:r w:rsidRPr="00592E31">
        <w:rPr>
          <w:rFonts w:ascii="Verdana" w:eastAsia="Calibri" w:hAnsi="Verdana" w:cs="Arial"/>
          <w:color w:val="000000"/>
          <w14:ligatures w14:val="standardContextual"/>
        </w:rPr>
        <w:t>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592E31">
        <w:rPr>
          <w:rFonts w:ascii="Verdana" w:eastAsia="Aptos" w:hAnsi="Verdana" w:cs="Times New Roman"/>
          <w:vertAlign w:val="superscript"/>
          <w14:ligatures w14:val="standardContextual"/>
        </w:rPr>
        <w:footnoteReference w:id="2"/>
      </w:r>
      <w:r w:rsidRPr="00592E31">
        <w:rPr>
          <w:rFonts w:ascii="Verdana" w:eastAsia="Calibri" w:hAnsi="Verdana" w:cs="Arial"/>
          <w:color w:val="000000"/>
          <w14:ligatures w14:val="standardContextual"/>
        </w:rPr>
        <w:t xml:space="preserve">. </w:t>
      </w:r>
      <w:bookmarkStart w:id="4" w:name="_Hlk164688501"/>
      <w:r w:rsidRPr="00592E31">
        <w:rPr>
          <w:rFonts w:ascii="Verdana" w:eastAsia="Calibri" w:hAnsi="Verdana" w:cs="Arial"/>
          <w:color w:val="000000"/>
          <w14:ligatures w14:val="standardContextual"/>
        </w:rPr>
        <w:t xml:space="preserve">Por otra parte, el </w:t>
      </w:r>
      <w:bookmarkStart w:id="5" w:name="_Hlk173063480"/>
      <w:r w:rsidRPr="00592E31">
        <w:rPr>
          <w:rFonts w:ascii="Verdana" w:eastAsia="Calibri" w:hAnsi="Verdana" w:cs="Arial"/>
          <w:color w:val="000000"/>
          <w14:ligatures w14:val="standardContextual"/>
        </w:rPr>
        <w:t>artículo 96 de la Ley 489 de 1998</w:t>
      </w:r>
      <w:bookmarkEnd w:id="5"/>
      <w:r w:rsidRPr="00592E31">
        <w:rPr>
          <w:rFonts w:ascii="Verdana" w:eastAsia="Aptos" w:hAnsi="Verdana" w:cs="Times New Roman"/>
          <w:vertAlign w:val="superscript"/>
          <w14:ligatures w14:val="standardContextual"/>
        </w:rPr>
        <w:footnoteReference w:id="3"/>
      </w:r>
      <w:r w:rsidRPr="00592E31">
        <w:rPr>
          <w:rFonts w:ascii="Verdana" w:eastAsia="Calibri" w:hAnsi="Verdana" w:cs="Arial"/>
          <w:color w:val="000000"/>
          <w14:ligatures w14:val="standardContextual"/>
        </w:rPr>
        <w:t xml:space="preserve">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bookmarkEnd w:id="4"/>
      <w:r w:rsidRPr="00592E31">
        <w:rPr>
          <w:rFonts w:ascii="Verdana" w:eastAsia="Calibri" w:hAnsi="Verdana" w:cs="Arial"/>
          <w:color w:val="000000"/>
          <w14:ligatures w14:val="standardContextual"/>
        </w:rPr>
        <w:t>.</w:t>
      </w:r>
      <w:bookmarkStart w:id="7" w:name="_Hlk38819155"/>
    </w:p>
    <w:p w14:paraId="3265F6F2" w14:textId="77777777" w:rsidR="00592E31" w:rsidRPr="00592E31" w:rsidRDefault="00592E31" w:rsidP="00592E31">
      <w:pPr>
        <w:spacing w:after="120" w:line="276" w:lineRule="auto"/>
        <w:ind w:firstLine="708"/>
        <w:jc w:val="both"/>
        <w:rPr>
          <w:rFonts w:ascii="Verdana" w:eastAsia="Calibri" w:hAnsi="Verdana" w:cs="Arial"/>
          <w:lang w:val="es-MX"/>
          <w14:ligatures w14:val="standardContextual"/>
        </w:rPr>
      </w:pPr>
      <w:r w:rsidRPr="00592E31">
        <w:rPr>
          <w:rFonts w:ascii="Verdana" w:eastAsia="Aptos" w:hAnsi="Verdana" w:cs="Arial"/>
          <w:lang w:val="es-MX"/>
          <w14:ligatures w14:val="standardContextual"/>
        </w:rPr>
        <w:t xml:space="preserve">El Gobierno Nacional, en desarrollo del artículo 355 de la Constitución Política y del artículo 96 de la Ley 489 de 1998, expidió el </w:t>
      </w:r>
      <w:bookmarkStart w:id="8" w:name="_Hlk173063499"/>
      <w:r w:rsidRPr="00592E31">
        <w:rPr>
          <w:rFonts w:ascii="Verdana" w:eastAsia="Aptos" w:hAnsi="Verdana" w:cs="Arial"/>
          <w:lang w:val="es-MX"/>
          <w14:ligatures w14:val="standardContextual"/>
        </w:rPr>
        <w:t>Decreto 092 de 2017</w:t>
      </w:r>
      <w:bookmarkEnd w:id="8"/>
      <w:r w:rsidRPr="00592E31">
        <w:rPr>
          <w:rFonts w:ascii="Verdana" w:eastAsia="Aptos" w:hAnsi="Verdana" w:cs="Arial"/>
          <w:lang w:val="es-MX"/>
          <w14:ligatures w14:val="standardContextual"/>
        </w:rPr>
        <w:t>, q</w:t>
      </w:r>
      <w:r w:rsidRPr="00592E31">
        <w:rPr>
          <w:rFonts w:ascii="Verdana" w:eastAsia="Calibri" w:hAnsi="Verdana" w:cs="Arial"/>
          <w:lang w:val="es-MX"/>
          <w14:ligatures w14:val="standardContextual"/>
        </w:rPr>
        <w:t xml:space="preserve">ue dispone las reglas para las contrataciones que realicen las Entidades Estatales con las ESAL. </w:t>
      </w:r>
      <w:r w:rsidRPr="00592E31">
        <w:rPr>
          <w:rFonts w:ascii="Verdana" w:eastAsia="Calibri" w:hAnsi="Verdana" w:cs="Arial"/>
          <w:color w:val="000000"/>
          <w14:ligatures w14:val="standardContextual"/>
        </w:rPr>
        <w:t xml:space="preserve">El Decreto regula dos (2) eventos: i) </w:t>
      </w:r>
      <w:r w:rsidRPr="00592E31">
        <w:rPr>
          <w:rFonts w:ascii="Verdana" w:eastAsia="Calibri" w:hAnsi="Verdana" w:cs="Arial"/>
          <w:lang w:eastAsia="es-ES_tradnl"/>
          <w14:ligatures w14:val="standardContextual"/>
        </w:rPr>
        <w:t xml:space="preserve">los </w:t>
      </w:r>
      <w:r w:rsidRPr="00592E31">
        <w:rPr>
          <w:rFonts w:ascii="Verdana" w:eastAsia="Calibri" w:hAnsi="Verdana" w:cs="Arial"/>
          <w:i/>
          <w:iCs/>
          <w:lang w:eastAsia="es-ES_tradnl"/>
          <w14:ligatures w14:val="standardContextual"/>
        </w:rPr>
        <w:t>contratos de colaboración</w:t>
      </w:r>
      <w:r w:rsidRPr="00592E31">
        <w:rPr>
          <w:rFonts w:ascii="Verdana" w:eastAsia="Calibri" w:hAnsi="Verdana" w:cs="Arial"/>
          <w:lang w:eastAsia="es-ES_tradnl"/>
          <w14:ligatures w14:val="standardContextual"/>
        </w:rPr>
        <w:t xml:space="preserve"> o de interés público, con el fin impulsar programas y actividades de interés público de acuerdo con el Plan Nacional o los planes seccionales de desarrollo, en los términos del artículo 355 de la Constitución Política</w:t>
      </w:r>
      <w:r w:rsidRPr="00592E31">
        <w:rPr>
          <w:rFonts w:ascii="Verdana" w:eastAsia="Calibri" w:hAnsi="Verdana" w:cs="Arial"/>
          <w:color w:val="000000"/>
          <w14:ligatures w14:val="standardContextual"/>
        </w:rPr>
        <w:t xml:space="preserve"> y; </w:t>
      </w:r>
      <w:proofErr w:type="spellStart"/>
      <w:r w:rsidRPr="00592E31">
        <w:rPr>
          <w:rFonts w:ascii="Verdana" w:eastAsia="Calibri" w:hAnsi="Verdana" w:cs="Arial"/>
          <w:color w:val="000000"/>
          <w14:ligatures w14:val="standardContextual"/>
        </w:rPr>
        <w:t>ii</w:t>
      </w:r>
      <w:proofErr w:type="spellEnd"/>
      <w:r w:rsidRPr="00592E31">
        <w:rPr>
          <w:rFonts w:ascii="Verdana" w:eastAsia="Calibri" w:hAnsi="Verdana" w:cs="Arial"/>
          <w:color w:val="000000"/>
          <w14:ligatures w14:val="standardContextual"/>
        </w:rPr>
        <w:t xml:space="preserve">) los </w:t>
      </w:r>
      <w:r w:rsidRPr="00592E31">
        <w:rPr>
          <w:rFonts w:ascii="Verdana" w:eastAsia="Calibri" w:hAnsi="Verdana" w:cs="Arial"/>
          <w:i/>
          <w:iCs/>
          <w:color w:val="000000"/>
          <w14:ligatures w14:val="standardContextual"/>
        </w:rPr>
        <w:t>convenios de asociación</w:t>
      </w:r>
      <w:r w:rsidRPr="00592E31">
        <w:rPr>
          <w:rFonts w:ascii="Verdana" w:eastAsia="Calibri" w:hAnsi="Verdana" w:cs="Arial"/>
          <w:color w:val="000000"/>
          <w14:ligatures w14:val="standardContextual"/>
        </w:rPr>
        <w:t xml:space="preserve">, para el desarrollo conjunto de actividades relacionadas con las funciones de las Entidades Estatales, en desarrollo del artículo 96 de la Ley 489 de 1998. </w:t>
      </w:r>
      <w:r w:rsidRPr="00592E31">
        <w:rPr>
          <w:rFonts w:ascii="Verdana" w:eastAsia="Calibri" w:hAnsi="Verdana" w:cs="Arial"/>
          <w:color w:val="000000"/>
          <w:lang w:val="es-MX" w:eastAsia="es-ES_tradnl"/>
          <w14:ligatures w14:val="standardContextual"/>
        </w:rPr>
        <w:t xml:space="preserve">Los primeros están regulados en el artículo 2 del Decreto 092 de 2017, mientras que los segundos en los artículos 5, 6, 7 y 8 </w:t>
      </w:r>
      <w:r w:rsidRPr="00592E31">
        <w:rPr>
          <w:rFonts w:ascii="Verdana" w:eastAsia="Calibri" w:hAnsi="Verdana" w:cs="Arial"/>
          <w:i/>
          <w:iCs/>
          <w:color w:val="000000"/>
          <w:lang w:val="es-MX" w:eastAsia="es-ES_tradnl"/>
          <w14:ligatures w14:val="standardContextual"/>
        </w:rPr>
        <w:t>ibidem</w:t>
      </w:r>
      <w:r w:rsidRPr="00592E31">
        <w:rPr>
          <w:rFonts w:ascii="Verdana" w:eastAsia="Calibri" w:hAnsi="Verdana" w:cs="Arial"/>
          <w:color w:val="000000"/>
          <w:lang w:val="es-MX" w:eastAsia="es-ES_tradnl"/>
          <w14:ligatures w14:val="standardContextual"/>
        </w:rPr>
        <w:t xml:space="preserve">. </w:t>
      </w:r>
    </w:p>
    <w:p w14:paraId="0CBF7623" w14:textId="77777777" w:rsidR="00592E31" w:rsidRPr="00592E31" w:rsidRDefault="00592E31" w:rsidP="00592E31">
      <w:pPr>
        <w:spacing w:after="120" w:line="276" w:lineRule="auto"/>
        <w:ind w:firstLine="708"/>
        <w:jc w:val="both"/>
        <w:rPr>
          <w:rFonts w:ascii="Verdana" w:eastAsia="Calibri" w:hAnsi="Verdana" w:cs="Arial"/>
          <w:lang w:val="es-MX"/>
          <w14:ligatures w14:val="standardContextual"/>
        </w:rPr>
      </w:pPr>
      <w:r w:rsidRPr="00592E31">
        <w:rPr>
          <w:rFonts w:ascii="Verdana" w:eastAsia="Calibri" w:hAnsi="Verdana" w:cs="Arial"/>
          <w:color w:val="000000"/>
          <w:lang w:eastAsia="es-ES_tradnl"/>
          <w14:ligatures w14:val="standardContextual"/>
        </w:rPr>
        <w:lastRenderedPageBreak/>
        <w:t>Así las cosas, e</w:t>
      </w:r>
      <w:r w:rsidRPr="00592E31">
        <w:rPr>
          <w:rFonts w:ascii="Verdana" w:eastAsia="Calibri" w:hAnsi="Verdana" w:cs="Arial"/>
          <w:color w:val="000000"/>
          <w:lang w:val="es-MX" w:eastAsia="es-ES_tradnl"/>
          <w14:ligatures w14:val="standardContextual"/>
        </w:rPr>
        <w:t xml:space="preserve">s posible diferenciar, los </w:t>
      </w:r>
      <w:r w:rsidRPr="00592E31">
        <w:rPr>
          <w:rFonts w:ascii="Verdana" w:eastAsia="Calibri" w:hAnsi="Verdana" w:cs="Arial"/>
          <w:i/>
          <w:iCs/>
          <w:color w:val="000000"/>
          <w:lang w:val="es-MX" w:eastAsia="es-ES_tradnl"/>
          <w14:ligatures w14:val="standardContextual"/>
        </w:rPr>
        <w:t>contratos de colaboración</w:t>
      </w:r>
      <w:r w:rsidRPr="00592E31">
        <w:rPr>
          <w:rFonts w:ascii="Verdana" w:eastAsia="Calibri" w:hAnsi="Verdana" w:cs="Arial"/>
          <w:color w:val="000000"/>
          <w:lang w:val="es-MX" w:eastAsia="es-ES_tradnl"/>
          <w14:ligatures w14:val="standardContextual"/>
        </w:rPr>
        <w:t>, establecidos en el artículo 2 del Decreto 092 de 2017</w:t>
      </w:r>
      <w:r w:rsidRPr="00592E31">
        <w:rPr>
          <w:rFonts w:ascii="Verdana" w:eastAsia="Calibri" w:hAnsi="Verdana" w:cs="Arial"/>
          <w:color w:val="000000"/>
          <w:lang w:eastAsia="es-ES_tradnl"/>
          <w14:ligatures w14:val="standardContextual"/>
        </w:rPr>
        <w:t xml:space="preserve">, de los </w:t>
      </w:r>
      <w:r w:rsidRPr="00592E31">
        <w:rPr>
          <w:rFonts w:ascii="Verdana" w:eastAsia="Calibri" w:hAnsi="Verdana" w:cs="Arial"/>
          <w:i/>
          <w:iCs/>
          <w:color w:val="000000"/>
          <w:lang w:val="es-MX" w:eastAsia="es-ES_tradnl"/>
          <w14:ligatures w14:val="standardContextual"/>
        </w:rPr>
        <w:t>convenios de asociación</w:t>
      </w:r>
      <w:r w:rsidRPr="00592E31">
        <w:rPr>
          <w:rFonts w:ascii="Verdana" w:eastAsia="Calibri" w:hAnsi="Verdana" w:cs="Arial"/>
          <w:color w:val="000000"/>
          <w:lang w:val="es-MX" w:eastAsia="es-ES_tradnl"/>
          <w14:ligatures w14:val="standardContextual"/>
        </w:rPr>
        <w:t xml:space="preserve">, regulados en el artículo 5 </w:t>
      </w:r>
      <w:r w:rsidRPr="00592E31">
        <w:rPr>
          <w:rFonts w:ascii="Verdana" w:eastAsia="Calibri" w:hAnsi="Verdana" w:cs="Arial"/>
          <w:i/>
          <w:iCs/>
          <w:color w:val="000000"/>
          <w:lang w:eastAsia="es-ES_tradnl"/>
          <w14:ligatures w14:val="standardContextual"/>
        </w:rPr>
        <w:t>ibidem</w:t>
      </w:r>
      <w:r w:rsidRPr="00592E31">
        <w:rPr>
          <w:rFonts w:ascii="Verdana" w:eastAsia="Aptos" w:hAnsi="Verdana" w:cs="Times New Roman"/>
          <w:vertAlign w:val="superscript"/>
          <w:lang w:eastAsia="es-ES_tradnl"/>
          <w14:ligatures w14:val="standardContextual"/>
        </w:rPr>
        <w:footnoteReference w:id="4"/>
      </w:r>
      <w:r w:rsidRPr="00592E31">
        <w:rPr>
          <w:rFonts w:ascii="Verdana" w:eastAsia="Calibri" w:hAnsi="Verdana" w:cs="Arial"/>
          <w:color w:val="000000"/>
          <w:lang w:eastAsia="es-ES_tradnl"/>
          <w14:ligatures w14:val="standardContextual"/>
        </w:rPr>
        <w:t>, conforme se procede a explicar</w:t>
      </w:r>
      <w:r w:rsidRPr="00592E31">
        <w:rPr>
          <w:rFonts w:ascii="Verdana" w:eastAsia="Calibri" w:hAnsi="Verdana" w:cs="Arial"/>
          <w:color w:val="000000"/>
          <w:lang w:val="es-MX" w:eastAsia="es-ES_tradnl"/>
          <w14:ligatures w14:val="standardContextual"/>
        </w:rPr>
        <w:t xml:space="preserve">. </w:t>
      </w:r>
      <w:bookmarkEnd w:id="7"/>
    </w:p>
    <w:p w14:paraId="2823D67D" w14:textId="77777777" w:rsidR="00592E31" w:rsidRPr="00592E31" w:rsidRDefault="00592E31" w:rsidP="00592E31">
      <w:pPr>
        <w:spacing w:after="120" w:line="276" w:lineRule="auto"/>
        <w:ind w:firstLine="708"/>
        <w:jc w:val="both"/>
        <w:rPr>
          <w:rFonts w:ascii="Verdana" w:eastAsia="Calibri" w:hAnsi="Verdana" w:cs="Arial"/>
          <w14:ligatures w14:val="standardContextual"/>
        </w:rPr>
      </w:pPr>
      <w:r w:rsidRPr="00592E31">
        <w:rPr>
          <w:rFonts w:ascii="Verdana" w:eastAsia="Calibri" w:hAnsi="Verdana" w:cs="Arial"/>
          <w:color w:val="000000"/>
          <w14:ligatures w14:val="standardContextual"/>
        </w:rPr>
        <w:t xml:space="preserve">De un lado, los </w:t>
      </w:r>
      <w:r w:rsidRPr="00592E31">
        <w:rPr>
          <w:rFonts w:ascii="Verdana" w:eastAsia="Calibri" w:hAnsi="Verdana" w:cs="Arial"/>
          <w:i/>
          <w:iCs/>
          <w:color w:val="000000"/>
          <w14:ligatures w14:val="standardContextual"/>
        </w:rPr>
        <w:t>contratos del artículo 355 de la Constitución Política o contratos de colaboración</w:t>
      </w:r>
      <w:r w:rsidRPr="00592E31">
        <w:rPr>
          <w:rFonts w:ascii="Verdana" w:eastAsia="Calibri" w:hAnsi="Verdana" w:cs="Arial"/>
          <w:color w:val="000000"/>
          <w14:ligatures w14:val="standardContextua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ESAL contratista. </w:t>
      </w:r>
    </w:p>
    <w:p w14:paraId="01E82E9D" w14:textId="77777777" w:rsidR="00592E31" w:rsidRPr="00592E31" w:rsidRDefault="00592E31" w:rsidP="00592E31">
      <w:pPr>
        <w:spacing w:after="120" w:line="276" w:lineRule="auto"/>
        <w:ind w:firstLine="708"/>
        <w:jc w:val="both"/>
        <w:rPr>
          <w:rFonts w:ascii="Verdana" w:eastAsia="Calibri" w:hAnsi="Verdana" w:cs="Arial"/>
          <w14:ligatures w14:val="standardContextual"/>
        </w:rPr>
      </w:pPr>
      <w:r w:rsidRPr="00592E31">
        <w:rPr>
          <w:rFonts w:ascii="Verdana" w:eastAsia="Calibri" w:hAnsi="Verdana" w:cs="Arial"/>
          <w:color w:val="000000"/>
          <w14:ligatures w14:val="standardContextual"/>
        </w:rPr>
        <w:t xml:space="preserve">De otro lado, los </w:t>
      </w:r>
      <w:r w:rsidRPr="00592E31">
        <w:rPr>
          <w:rFonts w:ascii="Verdana" w:eastAsia="Calibri" w:hAnsi="Verdana" w:cs="Arial"/>
          <w:i/>
          <w:iCs/>
          <w:color w:val="000000"/>
          <w14:ligatures w14:val="standardContextual"/>
        </w:rPr>
        <w:t xml:space="preserve">convenios de asociación </w:t>
      </w:r>
      <w:r w:rsidRPr="00592E31">
        <w:rPr>
          <w:rFonts w:ascii="Verdana" w:eastAsia="Calibri" w:hAnsi="Verdana" w:cs="Arial"/>
          <w:color w:val="000000"/>
          <w14:ligatures w14:val="standardContextual"/>
        </w:rPr>
        <w:t>– a los cuales hace referencia en su consulta – “[…] [t]</w:t>
      </w:r>
      <w:proofErr w:type="spellStart"/>
      <w:r w:rsidRPr="00592E31">
        <w:rPr>
          <w:rFonts w:ascii="Verdana" w:eastAsia="Calibri" w:hAnsi="Verdana" w:cs="Arial"/>
          <w:color w:val="000000"/>
          <w14:ligatures w14:val="standardContextual"/>
        </w:rPr>
        <w:t>ienen</w:t>
      </w:r>
      <w:proofErr w:type="spellEnd"/>
      <w:r w:rsidRPr="00592E31">
        <w:rPr>
          <w:rFonts w:ascii="Verdana" w:eastAsia="Calibri" w:hAnsi="Verdana" w:cs="Arial"/>
          <w:color w:val="000000"/>
          <w14:ligatures w14:val="standardContextua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592E31">
        <w:rPr>
          <w:rFonts w:ascii="Verdana" w:eastAsia="Aptos" w:hAnsi="Verdana" w:cs="Times New Roman"/>
          <w:vertAlign w:val="superscript"/>
          <w14:ligatures w14:val="standardContextual"/>
        </w:rPr>
        <w:footnoteReference w:id="5"/>
      </w:r>
      <w:r w:rsidRPr="00592E31">
        <w:rPr>
          <w:rFonts w:ascii="Verdana" w:eastAsia="Calibri" w:hAnsi="Verdana" w:cs="Arial"/>
          <w:color w:val="000000"/>
          <w14:ligatures w14:val="standardContextual"/>
        </w:rPr>
        <w:t xml:space="preserve">. En estos convenios – al igual que en los contratos de colaboración antes explicados – no existe contraprestación o pago, sino aportes, los cuales están dirigidos, exclusivamente, a lograr la ejecución del convenio no a remunerar la actividad o actuaciones del asociado. </w:t>
      </w:r>
    </w:p>
    <w:p w14:paraId="4350EF2A" w14:textId="77777777" w:rsidR="00592E31" w:rsidRPr="00592E31" w:rsidRDefault="00592E31" w:rsidP="00592E31">
      <w:pPr>
        <w:spacing w:after="120" w:line="276" w:lineRule="auto"/>
        <w:ind w:firstLine="708"/>
        <w:jc w:val="both"/>
        <w:rPr>
          <w:rFonts w:ascii="Verdana" w:eastAsia="Calibri" w:hAnsi="Verdana" w:cs="Arial"/>
          <w:lang w:val="es-MX"/>
          <w14:ligatures w14:val="standardContextual"/>
        </w:rPr>
      </w:pPr>
      <w:r w:rsidRPr="00592E31">
        <w:rPr>
          <w:rFonts w:ascii="Verdana" w:eastAsia="Calibri" w:hAnsi="Verdana" w:cs="Arial"/>
          <w:color w:val="000000"/>
          <w:lang w:val="es-MX" w:eastAsia="es-ES_tradnl"/>
          <w14:ligatures w14:val="standardContextual"/>
        </w:rPr>
        <w:t xml:space="preserve">De conformidad con el inciso segundo del artículo 96 de la Ley 489 de 1998, en </w:t>
      </w:r>
      <w:r w:rsidRPr="00592E31">
        <w:rPr>
          <w:rFonts w:ascii="Verdana" w:eastAsia="Calibri" w:hAnsi="Verdana" w:cs="Arial"/>
          <w:color w:val="000000"/>
          <w:lang w:eastAsia="es-ES_tradnl"/>
          <w14:ligatures w14:val="standardContextual"/>
        </w:rPr>
        <w:t>los</w:t>
      </w:r>
      <w:r w:rsidRPr="00592E31">
        <w:rPr>
          <w:rFonts w:ascii="Verdana" w:eastAsia="Calibri" w:hAnsi="Verdana" w:cs="Arial"/>
          <w:color w:val="000000"/>
          <w:lang w:val="es-MX" w:eastAsia="es-ES_tradnl"/>
          <w14:ligatures w14:val="standardContextual"/>
        </w:rPr>
        <w:t xml:space="preserve"> convenios</w:t>
      </w:r>
      <w:r w:rsidRPr="00592E31">
        <w:rPr>
          <w:rFonts w:ascii="Verdana" w:eastAsia="Calibri" w:hAnsi="Verdana" w:cs="Arial"/>
          <w:color w:val="000000"/>
          <w:lang w:eastAsia="es-ES_tradnl"/>
          <w14:ligatures w14:val="standardContextual"/>
        </w:rPr>
        <w:t xml:space="preserve"> de asociación</w:t>
      </w:r>
      <w:r w:rsidRPr="00592E31">
        <w:rPr>
          <w:rFonts w:ascii="Verdana" w:eastAsia="Calibri" w:hAnsi="Verdana" w:cs="Arial"/>
          <w:color w:val="000000"/>
          <w:lang w:val="es-MX" w:eastAsia="es-ES_tradnl"/>
          <w14:ligatures w14:val="standardContextual"/>
        </w:rPr>
        <w:t xml:space="preserve">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treinta por ciento (30%)</w:t>
      </w:r>
      <w:r w:rsidRPr="00592E31">
        <w:rPr>
          <w:rFonts w:ascii="Verdana" w:eastAsia="Calibri" w:hAnsi="Verdana" w:cs="Arial"/>
          <w:color w:val="000000"/>
          <w:lang w:eastAsia="es-ES_tradnl"/>
          <w14:ligatures w14:val="standardContextual"/>
        </w:rPr>
        <w:t xml:space="preserve"> del valor total</w:t>
      </w:r>
      <w:r w:rsidRPr="00592E31">
        <w:rPr>
          <w:rFonts w:ascii="Verdana" w:eastAsia="Calibri" w:hAnsi="Verdana" w:cs="Arial"/>
          <w:color w:val="000000"/>
          <w:lang w:val="es-MX" w:eastAsia="es-ES_tradnl"/>
          <w14:ligatures w14:val="standardContextual"/>
        </w:rPr>
        <w:t xml:space="preserve">, o en especie, los cuales deben servir al desarrollo de los objetivos comunes de la asociación. </w:t>
      </w:r>
    </w:p>
    <w:p w14:paraId="12F3E598" w14:textId="77777777" w:rsidR="00592E31" w:rsidRPr="00592E31" w:rsidRDefault="00592E31" w:rsidP="00592E31">
      <w:pPr>
        <w:spacing w:after="120" w:line="276" w:lineRule="auto"/>
        <w:ind w:firstLine="708"/>
        <w:jc w:val="both"/>
        <w:rPr>
          <w:rFonts w:ascii="Verdana" w:eastAsia="Calibri" w:hAnsi="Verdana" w:cs="Arial"/>
          <w14:ligatures w14:val="standardContextual"/>
        </w:rPr>
      </w:pPr>
      <w:r w:rsidRPr="00592E31">
        <w:rPr>
          <w:rFonts w:ascii="Verdana" w:eastAsia="Calibri" w:hAnsi="Verdana" w:cs="Arial"/>
          <w:lang w:val="es-ES_tradnl" w:eastAsia="es-ES_tradnl"/>
          <w14:ligatures w14:val="standardContextual"/>
        </w:rPr>
        <w:lastRenderedPageBreak/>
        <w:t xml:space="preserve">Respecto al primer problema jurídico planteado, relacionado con la forma en la cual se debe seleccionar a la ESAL, es menester indicar que, </w:t>
      </w:r>
      <w:bookmarkStart w:id="9" w:name="_Hlk173067283"/>
      <w:r w:rsidRPr="00592E31">
        <w:rPr>
          <w:rFonts w:ascii="Verdana" w:eastAsia="Calibri" w:hAnsi="Verdana" w:cs="Arial"/>
          <w:lang w:val="es-ES_tradnl" w:eastAsia="es-ES_tradnl"/>
          <w14:ligatures w14:val="standardContextual"/>
        </w:rPr>
        <w:t xml:space="preserve">el </w:t>
      </w:r>
      <w:bookmarkStart w:id="10" w:name="_Hlk173065372"/>
      <w:r w:rsidRPr="00592E31">
        <w:rPr>
          <w:rFonts w:ascii="Verdana" w:eastAsia="Calibri" w:hAnsi="Verdana" w:cs="Arial"/>
          <w:lang w:val="es-ES_tradnl" w:eastAsia="es-ES_tradnl"/>
          <w14:ligatures w14:val="standardContextual"/>
        </w:rPr>
        <w:t>artículo 5</w:t>
      </w:r>
      <w:bookmarkEnd w:id="10"/>
      <w:r w:rsidRPr="00592E31">
        <w:rPr>
          <w:rFonts w:ascii="Verdana" w:eastAsia="Calibri" w:hAnsi="Verdana" w:cs="Arial"/>
          <w:lang w:val="es-ES_tradnl" w:eastAsia="es-ES_tradnl"/>
          <w14:ligatures w14:val="standardContextual"/>
        </w:rPr>
        <w:t xml:space="preserve"> del Decreto 092 de 2017</w:t>
      </w:r>
      <w:r w:rsidRPr="00592E31">
        <w:rPr>
          <w:rFonts w:ascii="Verdana" w:eastAsia="Aptos" w:hAnsi="Verdana" w:cs="Times New Roman"/>
          <w:vertAlign w:val="superscript"/>
          <w:lang w:eastAsia="es-ES_tradnl"/>
          <w14:ligatures w14:val="standardContextual"/>
        </w:rPr>
        <w:footnoteReference w:id="6"/>
      </w:r>
      <w:r w:rsidRPr="00592E31">
        <w:rPr>
          <w:rFonts w:ascii="Verdana" w:eastAsia="Calibri" w:hAnsi="Verdana" w:cs="Arial"/>
          <w:lang w:val="es-ES_tradnl" w:eastAsia="es-ES_tradnl"/>
          <w14:ligatures w14:val="standardContextual"/>
        </w:rPr>
        <w:t xml:space="preserve"> establece que, </w:t>
      </w:r>
      <w:bookmarkStart w:id="11" w:name="_Hlk77927493"/>
      <w:r w:rsidRPr="00592E31">
        <w:rPr>
          <w:rFonts w:ascii="Verdana" w:eastAsia="Calibri" w:hAnsi="Verdana" w:cs="Arial"/>
          <w:lang w:eastAsia="es-ES_tradnl"/>
          <w14:ligatures w14:val="standardContextual"/>
        </w:rPr>
        <w:t xml:space="preserve">el proceso para la escogencia de la ESAL, por regla general, debe estar sujeto a competencia, salvo en aquellos casos en los que una ESAL manifieste su compromiso de aportar recursos en </w:t>
      </w:r>
      <w:r w:rsidRPr="00592E31">
        <w:rPr>
          <w:rFonts w:ascii="Verdana" w:eastAsia="Calibri" w:hAnsi="Verdana" w:cs="Arial"/>
          <w:i/>
          <w:iCs/>
          <w:lang w:eastAsia="es-ES_tradnl"/>
          <w14:ligatures w14:val="standardContextual"/>
        </w:rPr>
        <w:t>dinero</w:t>
      </w:r>
      <w:r w:rsidRPr="00592E31">
        <w:rPr>
          <w:rFonts w:ascii="Verdana" w:eastAsia="Calibri" w:hAnsi="Verdana" w:cs="Arial"/>
          <w:lang w:eastAsia="es-ES_tradnl"/>
          <w14:ligatures w14:val="standardContextual"/>
        </w:rPr>
        <w:t xml:space="preserve"> por un valor igual o superior al treinta por ciento (30%) del valor total del convenio, siempre y cuando no existan otras ESAL que ofrezcan aportes en monto igual o superior a dicho porcentaje</w:t>
      </w:r>
      <w:bookmarkEnd w:id="11"/>
      <w:r w:rsidRPr="00592E31">
        <w:rPr>
          <w:rFonts w:ascii="Verdana" w:eastAsia="Calibri" w:hAnsi="Verdana" w:cs="Arial"/>
          <w:lang w:eastAsia="es-ES_tradnl"/>
          <w14:ligatures w14:val="standardContextual"/>
        </w:rPr>
        <w:t xml:space="preserve">, pues en este evento también se tendría que realizar un proceso competitivo. </w:t>
      </w:r>
      <w:bookmarkEnd w:id="9"/>
    </w:p>
    <w:p w14:paraId="31BBBFB4" w14:textId="77777777" w:rsidR="00592E31" w:rsidRPr="00592E31" w:rsidRDefault="00592E31" w:rsidP="00592E31">
      <w:pPr>
        <w:spacing w:after="120" w:line="276" w:lineRule="auto"/>
        <w:ind w:firstLine="708"/>
        <w:jc w:val="both"/>
        <w:rPr>
          <w:rFonts w:ascii="Verdana" w:eastAsia="Calibri" w:hAnsi="Verdana" w:cs="Arial"/>
          <w:lang w:val="es-ES"/>
          <w14:ligatures w14:val="standardContextual"/>
        </w:rPr>
      </w:pPr>
      <w:r w:rsidRPr="00592E31">
        <w:rPr>
          <w:rFonts w:ascii="Verdana" w:eastAsia="Calibri" w:hAnsi="Verdana" w:cs="Arial"/>
          <w:lang w:val="es-ES_tradnl" w:eastAsia="es-ES_tradnl"/>
          <w14:ligatures w14:val="standardContextual"/>
        </w:rPr>
        <w:t>Tal como lo indicó esta Agencia en la “Guía para la contratación con entidades privadas sin ánimo de lucro y de reconocida idoneidad”, el artículo 5 del Decreto 092 de 2017 “[…] busca reconocer el esfuerzo de la ESAL para conseguir recursos propios o de cooperación para el desarrollo conjunto de actividades de las Entidades Estatales en el marco del artículo 96 de la Ley 489 de 1998 y eximirla de competencia cuando aporta 30% o más de los recursos requeridos”.</w:t>
      </w:r>
    </w:p>
    <w:p w14:paraId="0AB61ACF" w14:textId="77777777" w:rsidR="00592E31" w:rsidRPr="00592E31" w:rsidRDefault="00592E31" w:rsidP="00592E31">
      <w:pPr>
        <w:spacing w:after="0" w:line="276" w:lineRule="auto"/>
        <w:ind w:firstLine="708"/>
        <w:jc w:val="both"/>
        <w:rPr>
          <w:rFonts w:ascii="Verdana" w:eastAsia="Calibri" w:hAnsi="Verdana" w:cs="Arial"/>
          <w:lang w:val="es-ES"/>
          <w14:ligatures w14:val="standardContextual"/>
        </w:rPr>
      </w:pPr>
      <w:r w:rsidRPr="00592E31">
        <w:rPr>
          <w:rFonts w:ascii="Verdana" w:eastAsia="Calibri" w:hAnsi="Verdana" w:cs="Arial"/>
          <w:lang w:val="es-ES_tradnl" w:eastAsia="es-ES_tradnl"/>
          <w14:ligatures w14:val="standardContextual"/>
        </w:rPr>
        <w:t>En similar sentido, Mauricio Rodríguez Tamayo manifiesta que:</w:t>
      </w:r>
    </w:p>
    <w:p w14:paraId="072F3671" w14:textId="77777777" w:rsidR="00592E31" w:rsidRPr="00592E31" w:rsidRDefault="00592E31" w:rsidP="00592E31">
      <w:pPr>
        <w:spacing w:after="0" w:line="276" w:lineRule="auto"/>
        <w:ind w:left="357"/>
        <w:contextualSpacing/>
        <w:jc w:val="both"/>
        <w:textAlignment w:val="baseline"/>
        <w:rPr>
          <w:rFonts w:ascii="Verdana" w:eastAsia="Calibri" w:hAnsi="Verdana" w:cs="Arial"/>
          <w:lang w:val="es-ES_tradnl" w:eastAsia="es-ES_tradnl"/>
        </w:rPr>
      </w:pPr>
    </w:p>
    <w:p w14:paraId="39484C37" w14:textId="77777777" w:rsidR="00592E31" w:rsidRPr="00592E31" w:rsidRDefault="00592E31" w:rsidP="00592E31">
      <w:pPr>
        <w:autoSpaceDE w:val="0"/>
        <w:autoSpaceDN w:val="0"/>
        <w:adjustRightInd w:val="0"/>
        <w:spacing w:after="0" w:line="240" w:lineRule="auto"/>
        <w:ind w:left="709" w:right="709"/>
        <w:contextualSpacing/>
        <w:jc w:val="both"/>
        <w:rPr>
          <w:rFonts w:ascii="Verdana" w:eastAsia="Times New Roman" w:hAnsi="Verdana" w:cs="Arial"/>
          <w:sz w:val="20"/>
          <w:szCs w:val="20"/>
          <w:lang w:eastAsia="es-ES_tradnl"/>
        </w:rPr>
      </w:pPr>
      <w:r w:rsidRPr="00592E31">
        <w:rPr>
          <w:rFonts w:ascii="Verdana" w:eastAsia="Times New Roman" w:hAnsi="Verdana" w:cs="Arial"/>
          <w:sz w:val="20"/>
          <w:szCs w:val="20"/>
          <w:lang w:val="es-ES_tradnl" w:eastAsia="es-ES_tradnl"/>
        </w:rPr>
        <w:t>“El Decreto 092 de 2017 permite la escogencia directa de una ESAL, para la suscripción de un convenio de asociación solo cuando el privado s</w:t>
      </w:r>
      <w:r w:rsidRPr="00592E31">
        <w:rPr>
          <w:rFonts w:ascii="Verdana" w:eastAsia="Times New Roman" w:hAnsi="Verdana" w:cs="Arial"/>
          <w:sz w:val="20"/>
          <w:szCs w:val="20"/>
          <w:lang w:eastAsia="es-ES_tradnl"/>
        </w:rPr>
        <w:t>in ánimo de lucro aporta no menos de 30% en dinero del valor total del convenio. Por supuesto, es necesario acreditar la idoneidad necesaria de la ESAL, para que participe junto con el Estado en la atención y prestación de servicios públicos de naturaleza estatal.</w:t>
      </w:r>
    </w:p>
    <w:p w14:paraId="25A0B88B" w14:textId="77777777" w:rsidR="00592E31" w:rsidRPr="00592E31" w:rsidRDefault="00592E31" w:rsidP="00592E31">
      <w:pPr>
        <w:autoSpaceDE w:val="0"/>
        <w:autoSpaceDN w:val="0"/>
        <w:adjustRightInd w:val="0"/>
        <w:spacing w:after="0" w:line="240" w:lineRule="auto"/>
        <w:ind w:left="709" w:right="709"/>
        <w:contextualSpacing/>
        <w:jc w:val="both"/>
        <w:rPr>
          <w:rFonts w:ascii="Verdana" w:eastAsia="Times New Roman" w:hAnsi="Verdana" w:cs="Arial"/>
          <w:sz w:val="20"/>
          <w:szCs w:val="20"/>
          <w:lang w:eastAsia="es-ES_tradnl"/>
        </w:rPr>
      </w:pPr>
    </w:p>
    <w:p w14:paraId="21D468D1" w14:textId="77777777" w:rsidR="00592E31" w:rsidRPr="00592E31" w:rsidRDefault="00592E31" w:rsidP="00592E31">
      <w:pPr>
        <w:autoSpaceDE w:val="0"/>
        <w:autoSpaceDN w:val="0"/>
        <w:adjustRightInd w:val="0"/>
        <w:spacing w:after="0" w:line="240" w:lineRule="auto"/>
        <w:ind w:left="709" w:right="709"/>
        <w:contextualSpacing/>
        <w:jc w:val="both"/>
        <w:rPr>
          <w:rFonts w:ascii="Verdana" w:eastAsia="Times New Roman" w:hAnsi="Verdana" w:cs="Arial"/>
          <w:sz w:val="20"/>
          <w:szCs w:val="20"/>
          <w:lang w:eastAsia="es-ES_tradnl"/>
        </w:rPr>
      </w:pPr>
      <w:r w:rsidRPr="00592E31">
        <w:rPr>
          <w:rFonts w:ascii="Verdana" w:eastAsia="Times New Roman" w:hAnsi="Verdana" w:cs="Arial"/>
          <w:sz w:val="20"/>
          <w:szCs w:val="20"/>
          <w:lang w:eastAsia="es-ES_tradnl"/>
        </w:rPr>
        <w:t xml:space="preserve">Se podrá contratar directamente por esta causal siempre que esté acreditada cualquiera de las siguientes circunstancias: […] </w:t>
      </w:r>
      <w:proofErr w:type="spellStart"/>
      <w:r w:rsidRPr="00592E31">
        <w:rPr>
          <w:rFonts w:ascii="Verdana" w:eastAsia="Times New Roman" w:hAnsi="Verdana" w:cs="Arial"/>
          <w:sz w:val="20"/>
          <w:szCs w:val="20"/>
          <w:lang w:eastAsia="es-ES_tradnl"/>
        </w:rPr>
        <w:t>ii</w:t>
      </w:r>
      <w:proofErr w:type="spellEnd"/>
      <w:r w:rsidRPr="00592E31">
        <w:rPr>
          <w:rFonts w:ascii="Verdana" w:eastAsia="Times New Roman" w:hAnsi="Verdana" w:cs="Arial"/>
          <w:sz w:val="20"/>
          <w:szCs w:val="20"/>
          <w:lang w:eastAsia="es-ES_tradnl"/>
        </w:rPr>
        <w:t>) se celebran convenios de asociación a los que hace referencia el artículo 96 de la Ley 489 de 1998 y la ESAL compromete recursos en dinero en una proporción no inferior a 30% del valor total del convenio”</w:t>
      </w:r>
      <w:r w:rsidRPr="00592E31">
        <w:rPr>
          <w:rFonts w:ascii="Verdana" w:eastAsia="Aptos" w:hAnsi="Verdana" w:cs="Times New Roman"/>
          <w:sz w:val="20"/>
          <w:szCs w:val="20"/>
          <w:vertAlign w:val="superscript"/>
          <w:lang w:eastAsia="es-ES_tradnl"/>
        </w:rPr>
        <w:footnoteReference w:id="7"/>
      </w:r>
      <w:r w:rsidRPr="00592E31">
        <w:rPr>
          <w:rFonts w:ascii="Verdana" w:eastAsia="Times New Roman" w:hAnsi="Verdana" w:cs="Arial"/>
          <w:sz w:val="20"/>
          <w:szCs w:val="20"/>
          <w:lang w:eastAsia="es-ES_tradnl"/>
        </w:rPr>
        <w:t>.</w:t>
      </w:r>
    </w:p>
    <w:p w14:paraId="6CC5D5DE" w14:textId="77777777" w:rsidR="00592E31" w:rsidRPr="00592E31" w:rsidRDefault="00592E31" w:rsidP="00592E31">
      <w:pPr>
        <w:spacing w:after="0" w:line="276" w:lineRule="auto"/>
        <w:ind w:left="357"/>
        <w:contextualSpacing/>
        <w:jc w:val="both"/>
        <w:textAlignment w:val="baseline"/>
        <w:rPr>
          <w:rFonts w:ascii="Verdana" w:eastAsia="Calibri" w:hAnsi="Verdana" w:cs="Arial"/>
          <w:lang w:val="es-ES_tradnl" w:eastAsia="es-ES_tradnl"/>
        </w:rPr>
      </w:pPr>
    </w:p>
    <w:p w14:paraId="7CAA8B79" w14:textId="77777777" w:rsidR="00592E31" w:rsidRPr="00592E31" w:rsidRDefault="00592E31" w:rsidP="00592E31">
      <w:pPr>
        <w:spacing w:after="120" w:line="276" w:lineRule="auto"/>
        <w:ind w:firstLine="709"/>
        <w:jc w:val="both"/>
        <w:textAlignment w:val="baseline"/>
        <w:rPr>
          <w:rFonts w:ascii="Verdana" w:eastAsia="Calibri" w:hAnsi="Verdana" w:cs="Arial"/>
          <w:lang w:val="es-ES_tradnl" w:eastAsia="es-ES_tradnl"/>
          <w14:ligatures w14:val="standardContextual"/>
        </w:rPr>
      </w:pPr>
      <w:r w:rsidRPr="00592E31">
        <w:rPr>
          <w:rFonts w:ascii="Verdana" w:eastAsia="Calibri" w:hAnsi="Verdana" w:cs="Arial"/>
          <w:lang w:val="es-ES_tradnl" w:eastAsia="es-ES_tradnl"/>
          <w14:ligatures w14:val="standardContextual"/>
        </w:rPr>
        <w:t xml:space="preserve">Ahora bien, es importante resaltar que, </w:t>
      </w:r>
      <w:bookmarkStart w:id="12" w:name="_Hlk173070078"/>
      <w:r w:rsidRPr="00592E31">
        <w:rPr>
          <w:rFonts w:ascii="Verdana" w:eastAsia="Calibri" w:hAnsi="Verdana" w:cs="Arial"/>
          <w:lang w:val="es-ES_tradnl" w:eastAsia="es-ES_tradnl"/>
          <w14:ligatures w14:val="standardContextual"/>
        </w:rPr>
        <w:t xml:space="preserve">según el mismo artículo 5, </w:t>
      </w:r>
      <w:r w:rsidRPr="00592E31">
        <w:rPr>
          <w:rFonts w:ascii="Verdana" w:eastAsia="Calibri" w:hAnsi="Verdana" w:cs="Arial"/>
          <w:i/>
          <w:iCs/>
          <w:lang w:val="es-ES_tradnl" w:eastAsia="es-ES_tradnl"/>
          <w14:ligatures w14:val="standardContextual"/>
        </w:rPr>
        <w:t>si hay más de una ESAL</w:t>
      </w:r>
      <w:r w:rsidRPr="00592E31">
        <w:rPr>
          <w:rFonts w:ascii="Verdana" w:eastAsia="Calibri" w:hAnsi="Verdana" w:cs="Arial"/>
          <w:lang w:val="es-ES_tradnl" w:eastAsia="es-ES_tradnl"/>
          <w14:ligatures w14:val="standardContextual"/>
        </w:rPr>
        <w:t xml:space="preserve"> que ofrezca su compromiso de recursos en dinero para el desarrollo conjunto de actividades relacionadas con los cometidos y funciones </w:t>
      </w:r>
      <w:r w:rsidRPr="00592E31">
        <w:rPr>
          <w:rFonts w:ascii="Verdana" w:eastAsia="Calibri" w:hAnsi="Verdana" w:cs="Arial"/>
          <w:lang w:val="es-ES_tradnl" w:eastAsia="es-ES_tradnl"/>
          <w14:ligatures w14:val="standardContextual"/>
        </w:rPr>
        <w:lastRenderedPageBreak/>
        <w:t xml:space="preserve">asignadas por ley a una Entidad Estatal, en una proporción no inferior al treinta por ciento (30%) del valor total del convenio, esta última debe seleccionar de forma objetiva a tal entidad y justificar los criterios para tal selección. En este evento, la Entidad Estatal debe diseñar herramientas que permitan una comparación objetiva de las ESAL para seleccionar objetivamente a aquella que tenga las mejores condiciones para alcanzar el resultado esperado con el proyecto de cooperación. </w:t>
      </w:r>
      <w:bookmarkEnd w:id="12"/>
    </w:p>
    <w:p w14:paraId="35B59B77" w14:textId="77777777" w:rsidR="00592E31" w:rsidRPr="00592E31" w:rsidRDefault="00592E31" w:rsidP="00592E31">
      <w:pPr>
        <w:spacing w:after="120" w:line="276" w:lineRule="auto"/>
        <w:ind w:firstLine="709"/>
        <w:jc w:val="both"/>
        <w:textAlignment w:val="baseline"/>
        <w:rPr>
          <w:rFonts w:ascii="Verdana" w:eastAsia="Calibri" w:hAnsi="Verdana" w:cs="Arial"/>
          <w:lang w:val="es-MX" w:eastAsia="es-ES_tradnl"/>
          <w14:ligatures w14:val="standardContextual"/>
        </w:rPr>
      </w:pPr>
      <w:r w:rsidRPr="00592E31">
        <w:rPr>
          <w:rFonts w:ascii="Verdana" w:eastAsia="Calibri" w:hAnsi="Verdana" w:cs="Arial"/>
          <w:color w:val="000000"/>
          <w:lang w:val="es-MX" w:eastAsia="es-ES_tradnl"/>
          <w14:ligatures w14:val="standardContextual"/>
        </w:rPr>
        <w:t xml:space="preserve">La noción </w:t>
      </w:r>
      <w:r w:rsidRPr="00592E31">
        <w:rPr>
          <w:rFonts w:ascii="Verdana" w:eastAsia="Calibri" w:hAnsi="Verdana" w:cs="Arial"/>
          <w:i/>
          <w:iCs/>
          <w:color w:val="000000"/>
          <w:lang w:val="es-MX" w:eastAsia="es-ES_tradnl"/>
          <w14:ligatures w14:val="standardContextual"/>
        </w:rPr>
        <w:t>“seleccionar de forma objetiva”</w:t>
      </w:r>
      <w:r w:rsidRPr="00592E31">
        <w:rPr>
          <w:rFonts w:ascii="Verdana" w:eastAsia="Calibri" w:hAnsi="Verdana" w:cs="Arial"/>
          <w:color w:val="000000"/>
          <w:lang w:val="es-MX" w:eastAsia="es-ES_tradnl"/>
          <w14:ligatures w14:val="standardContextual"/>
        </w:rPr>
        <w:t xml:space="preserve">, contenida en la disposición </w:t>
      </w:r>
      <w:r w:rsidRPr="00592E31">
        <w:rPr>
          <w:rFonts w:ascii="Verdana" w:eastAsia="Calibri" w:hAnsi="Verdana" w:cs="Arial"/>
          <w:i/>
          <w:iCs/>
          <w:color w:val="000000"/>
          <w:lang w:val="es-MX" w:eastAsia="es-ES_tradnl"/>
          <w14:ligatures w14:val="standardContextual"/>
        </w:rPr>
        <w:t xml:space="preserve">sub examine </w:t>
      </w:r>
      <w:r w:rsidRPr="00592E31">
        <w:rPr>
          <w:rFonts w:ascii="Verdana" w:eastAsia="Calibri" w:hAnsi="Verdana" w:cs="Arial"/>
          <w:color w:val="000000"/>
          <w:lang w:val="es-MX" w:eastAsia="es-ES_tradnl"/>
          <w14:ligatures w14:val="standardContextual"/>
        </w:rPr>
        <w:t>no puede ser entendida como una remisión total a las Leyes 80 de 1993 y 1150 de 2007. A lo que se refiere la norma es a que la Entidad Estatal debe diseñar herramientas que permitan una comparación objetiva de las ESAL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092 de 2017.</w:t>
      </w:r>
    </w:p>
    <w:p w14:paraId="1319FD79" w14:textId="77777777" w:rsidR="00592E31" w:rsidRPr="00592E31" w:rsidRDefault="00592E31" w:rsidP="00592E31">
      <w:pPr>
        <w:spacing w:after="120" w:line="276" w:lineRule="auto"/>
        <w:ind w:firstLine="709"/>
        <w:jc w:val="both"/>
        <w:textAlignment w:val="baseline"/>
        <w:rPr>
          <w:rFonts w:ascii="Verdana" w:eastAsia="Calibri" w:hAnsi="Verdana" w:cs="Arial"/>
          <w:lang w:val="es-MX" w:eastAsia="es-ES_tradnl"/>
          <w14:ligatures w14:val="standardContextual"/>
        </w:rPr>
      </w:pPr>
      <w:r w:rsidRPr="00592E31">
        <w:rPr>
          <w:rFonts w:ascii="Verdana" w:eastAsia="Arial" w:hAnsi="Verdana" w:cs="Arial"/>
          <w:color w:val="000000"/>
          <w:lang w:eastAsia="es-ES_tradnl"/>
          <w14:ligatures w14:val="standardContextual"/>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la pluralidad de interesados y la comparación objetiva de las ofertas. Este procedimiento puede ser análogo a otros donde existe competencia, como la licitación pública</w:t>
      </w:r>
      <w:r w:rsidRPr="00592E31">
        <w:rPr>
          <w:rFonts w:ascii="Verdana" w:eastAsia="Calibri" w:hAnsi="Verdana" w:cs="Arial"/>
          <w:color w:val="000000"/>
          <w:lang w:val="es-MX" w:eastAsia="es-ES_tradnl"/>
          <w14:ligatures w14:val="standardContextual"/>
        </w:rPr>
        <w:t>.</w:t>
      </w:r>
      <w:bookmarkStart w:id="13" w:name="_Hlk173070229"/>
    </w:p>
    <w:p w14:paraId="671DCB3E" w14:textId="77777777" w:rsidR="00592E31" w:rsidRPr="00592E31" w:rsidRDefault="00592E31" w:rsidP="00592E31">
      <w:pPr>
        <w:spacing w:after="120" w:line="276" w:lineRule="auto"/>
        <w:ind w:firstLine="709"/>
        <w:jc w:val="both"/>
        <w:textAlignment w:val="baseline"/>
        <w:rPr>
          <w:rFonts w:ascii="Verdana" w:eastAsia="Calibri" w:hAnsi="Verdana" w:cs="Arial"/>
          <w:lang w:eastAsia="es-ES_tradnl"/>
          <w14:ligatures w14:val="standardContextual"/>
        </w:rPr>
      </w:pPr>
      <w:r w:rsidRPr="00592E31">
        <w:rPr>
          <w:rFonts w:ascii="Verdana" w:eastAsia="Calibri" w:hAnsi="Verdana" w:cs="Arial"/>
          <w:color w:val="000000"/>
          <w:lang w:eastAsia="es-ES_tradnl"/>
          <w14:ligatures w14:val="standardContextual"/>
        </w:rPr>
        <w:t>En este punto, teniendo en cuenta lo manifestado en su petición, es importante advertir que, el artículo 5 de del Decreto 092 de 2017 no prohíbe o proscribe la celebración de convenios en que la ESAL aporte menos del treinta por ciento (30%) o cuando aporten recursos en especie. En efecto, solo indica que en esos casos la Entidad Estatal debe acudir al proceso competitivo para seleccionar a la ESAL con la cual celebrará el respectivo convenio.</w:t>
      </w:r>
      <w:bookmarkEnd w:id="13"/>
    </w:p>
    <w:p w14:paraId="7D0B03E1" w14:textId="77777777" w:rsidR="00592E31" w:rsidRPr="00592E31" w:rsidRDefault="00592E31" w:rsidP="00592E31">
      <w:pPr>
        <w:spacing w:after="120" w:line="276" w:lineRule="auto"/>
        <w:ind w:firstLine="709"/>
        <w:jc w:val="both"/>
        <w:textAlignment w:val="baseline"/>
        <w:rPr>
          <w:rFonts w:ascii="Verdana" w:eastAsia="Calibri" w:hAnsi="Verdana" w:cs="Arial"/>
          <w:lang w:eastAsia="es-ES_tradnl"/>
          <w14:ligatures w14:val="standardContextual"/>
        </w:rPr>
      </w:pPr>
      <w:r w:rsidRPr="00592E31">
        <w:rPr>
          <w:rFonts w:ascii="Verdana" w:eastAsia="Calibri" w:hAnsi="Verdana" w:cs="Arial"/>
          <w14:ligatures w14:val="standardContextual"/>
        </w:rPr>
        <w:t xml:space="preserve">En relación con los aportes que debe comprometer la ESAL para no someter a un proceso competitivo la selección de la ESAL ha surgido el interrogante si los aportes en especie se deben tener en cuenta para el cálculo del treinta por ciento (30%) del aporte. Sobre este segundo problema jurídico, la Agencia Nacional de Contratación Pública – Colombia Compra Eficiente ha considerado que, el treinta por ciento (30%) señalado en el artículo 5 del Decreto 092 de 2017, que debe aportar la ESAL a efectos de poder celebrar el convenio </w:t>
      </w:r>
      <w:r w:rsidRPr="00592E31">
        <w:rPr>
          <w:rFonts w:ascii="Verdana" w:eastAsia="Calibri" w:hAnsi="Verdana" w:cs="Arial"/>
          <w14:ligatures w14:val="standardContextual"/>
        </w:rPr>
        <w:lastRenderedPageBreak/>
        <w:t xml:space="preserve">sin acudir a un proceso competitivo, debe calcularse respecto del monto total de los recursos </w:t>
      </w:r>
      <w:r w:rsidRPr="00592E31">
        <w:rPr>
          <w:rFonts w:ascii="Verdana" w:eastAsia="Calibri" w:hAnsi="Verdana" w:cs="Arial"/>
          <w:i/>
          <w:iCs/>
          <w14:ligatures w14:val="standardContextual"/>
        </w:rPr>
        <w:t xml:space="preserve">en dinero </w:t>
      </w:r>
      <w:r w:rsidRPr="00592E31">
        <w:rPr>
          <w:rFonts w:ascii="Verdana" w:eastAsia="Calibri" w:hAnsi="Verdana" w:cs="Arial"/>
          <w14:ligatures w14:val="standardContextual"/>
        </w:rPr>
        <w:t xml:space="preserve">requeridos para la ejecución proyecto, el cual corresponderá al valor por el que se celebrará el </w:t>
      </w:r>
      <w:r w:rsidRPr="00592E31">
        <w:rPr>
          <w:rFonts w:ascii="Verdana" w:eastAsia="Calibri" w:hAnsi="Verdana" w:cs="Arial"/>
          <w:i/>
          <w:iCs/>
          <w14:ligatures w14:val="standardContextual"/>
        </w:rPr>
        <w:t>convenio de asociación</w:t>
      </w:r>
      <w:r w:rsidRPr="00592E31">
        <w:rPr>
          <w:rFonts w:ascii="Verdana" w:eastAsia="Calibri" w:hAnsi="Verdana" w:cs="Arial"/>
          <w:i/>
          <w:iCs/>
          <w:vertAlign w:val="superscript"/>
          <w14:ligatures w14:val="standardContextual"/>
        </w:rPr>
        <w:footnoteReference w:id="8"/>
      </w:r>
      <w:r w:rsidRPr="00592E31">
        <w:rPr>
          <w:rFonts w:ascii="Verdana" w:eastAsia="Calibri" w:hAnsi="Verdana" w:cs="Arial"/>
          <w14:ligatures w14:val="standardContextual"/>
        </w:rPr>
        <w:t xml:space="preserve">. </w:t>
      </w:r>
    </w:p>
    <w:p w14:paraId="2AA0C055" w14:textId="77777777" w:rsidR="00592E31" w:rsidRPr="00592E31" w:rsidRDefault="00592E31" w:rsidP="00592E31">
      <w:pPr>
        <w:spacing w:after="120" w:line="276" w:lineRule="auto"/>
        <w:ind w:firstLine="709"/>
        <w:jc w:val="both"/>
        <w:textAlignment w:val="baseline"/>
        <w:rPr>
          <w:rFonts w:ascii="Verdana" w:eastAsia="Calibri" w:hAnsi="Verdana" w:cs="Arial"/>
          <w:lang w:eastAsia="es-ES_tradnl"/>
          <w14:ligatures w14:val="standardContextual"/>
        </w:rPr>
      </w:pPr>
      <w:r w:rsidRPr="00592E31">
        <w:rPr>
          <w:rFonts w:ascii="Verdana" w:eastAsia="Calibri" w:hAnsi="Verdana" w:cs="Arial"/>
          <w14:ligatures w14:val="standardContextual"/>
        </w:rPr>
        <w:t xml:space="preserve">En ese sentido, si, por ejemplo, para desarrollar un proyecto conjunto con una ESAL se requiere un total de $100.000.000, para poder celebrar el convenio de asociación sin proceso competitivo, la Entidad Estatal deberá asociarse con una ESAL dispuesta a aportar por lo menos una suma de $30.000.000, equivalente al treinta por ciento (30%) del que sería el valor del eventual convenio. De esta manera, los eventuales aportes en especie no podrán tenerse en cuenta para calcular el referido porcentaje, el cual debe ser en dinero. </w:t>
      </w:r>
    </w:p>
    <w:p w14:paraId="73FF3E70" w14:textId="77777777" w:rsidR="00592E31" w:rsidRPr="00592E31" w:rsidRDefault="00592E31" w:rsidP="00592E31">
      <w:pPr>
        <w:spacing w:after="120" w:line="276" w:lineRule="auto"/>
        <w:ind w:firstLine="709"/>
        <w:jc w:val="both"/>
        <w:textAlignment w:val="baseline"/>
        <w:rPr>
          <w:rFonts w:ascii="Verdana" w:eastAsia="Calibri" w:hAnsi="Verdana" w:cs="Arial"/>
          <w:lang w:eastAsia="es-ES_tradnl"/>
          <w14:ligatures w14:val="standardContextual"/>
        </w:rPr>
      </w:pPr>
      <w:r w:rsidRPr="00592E31">
        <w:rPr>
          <w:rFonts w:ascii="Verdana" w:eastAsia="Calibri" w:hAnsi="Verdana" w:cs="Arial"/>
          <w:lang w:eastAsia="es-ES"/>
          <w14:ligatures w14:val="standardContextual"/>
        </w:rPr>
        <w:t xml:space="preserve">En ese contexto, cuando el aporte de la ESAL al convenio de asociación, que se realizará con una Entidad Estatal bajo los términos del artículo 5 del Decreto 092 de 2017, no sea en dinero sino en especie, esto es, con bienes tangibles e intangibles distintos al dinero o que no sean equivalentes a este, en los términos indicados en el párrafo anterior, </w:t>
      </w:r>
      <w:r w:rsidRPr="00592E31">
        <w:rPr>
          <w:rFonts w:ascii="Verdana" w:eastAsia="Calibri" w:hAnsi="Verdana" w:cs="Arial"/>
          <w:i/>
          <w:lang w:eastAsia="es-ES"/>
          <w14:ligatures w14:val="standardContextual"/>
        </w:rPr>
        <w:t>no</w:t>
      </w:r>
      <w:r w:rsidRPr="00592E31">
        <w:rPr>
          <w:rFonts w:ascii="Verdana" w:eastAsia="Calibri" w:hAnsi="Verdana" w:cs="Arial"/>
          <w:lang w:eastAsia="es-ES"/>
          <w14:ligatures w14:val="standardContextual"/>
        </w:rPr>
        <w:t xml:space="preserve"> se aplicará la regla que determina que si el aporte de recursos en dinero es igual o superior a un treinta por ciento (30%) del valor del convenio, este se podrá celebrar de forma directa, por lo que deberá adelantarse un proceso competitivo. </w:t>
      </w:r>
      <w:bookmarkStart w:id="14" w:name="_Hlk173078102"/>
      <w:r w:rsidRPr="00592E31">
        <w:rPr>
          <w:rFonts w:ascii="Verdana" w:eastAsia="Calibri" w:hAnsi="Verdana" w:cs="Arial"/>
          <w:lang w:eastAsia="es-ES"/>
          <w14:ligatures w14:val="standardContextual"/>
        </w:rPr>
        <w:t xml:space="preserve">No obstante, </w:t>
      </w:r>
      <w:r w:rsidRPr="00592E31">
        <w:rPr>
          <w:rFonts w:ascii="Verdana" w:eastAsia="Calibri" w:hAnsi="Verdana" w:cs="Arial"/>
          <w:lang w:val="es-ES_tradnl" w:eastAsia="es-ES_tradnl"/>
          <w14:ligatures w14:val="standardContextual"/>
        </w:rPr>
        <w:t xml:space="preserve">debe insistirse </w:t>
      </w:r>
      <w:r w:rsidRPr="00592E31">
        <w:rPr>
          <w:rFonts w:ascii="Verdana" w:eastAsia="Calibri" w:hAnsi="Verdana" w:cs="Arial"/>
          <w:lang w:eastAsia="es-ES"/>
          <w14:ligatures w14:val="standardContextual"/>
        </w:rPr>
        <w:t xml:space="preserve">que esto no significa que no puedan hacerse aportes en especie, sino que como mínimo debe realizarse un aporte en dinero del treinta por ciento (30%) del valor del convenio de asociación para que pueda aplicar la selección directa de la ESAL, siempre que no haya otra ESAL que realice el mismo ofrecimiento. </w:t>
      </w:r>
      <w:bookmarkEnd w:id="14"/>
    </w:p>
    <w:p w14:paraId="220B4C6B" w14:textId="77777777" w:rsidR="00592E31" w:rsidRPr="00592E31" w:rsidRDefault="00592E31" w:rsidP="00592E31">
      <w:pPr>
        <w:spacing w:after="120" w:line="276" w:lineRule="auto"/>
        <w:ind w:firstLine="709"/>
        <w:jc w:val="both"/>
        <w:textAlignment w:val="baseline"/>
        <w:rPr>
          <w:rFonts w:ascii="Verdana" w:eastAsia="Calibri" w:hAnsi="Verdana" w:cs="Arial"/>
          <w:lang w:val="es-ES_tradnl" w:eastAsia="es-ES_tradnl"/>
          <w14:ligatures w14:val="standardContextual"/>
        </w:rPr>
      </w:pPr>
      <w:r w:rsidRPr="00592E31">
        <w:rPr>
          <w:rFonts w:ascii="Verdana" w:eastAsia="Calibri" w:hAnsi="Verdana" w:cs="Arial"/>
          <w:lang w:val="es-ES_tradnl" w:eastAsia="es-ES_tradnl"/>
          <w14:ligatures w14:val="standardContextual"/>
        </w:rPr>
        <w:t xml:space="preserve">De este modo, en los convenios de asociación la ESAL debe aportar un treinta por ciento (30%) total del convenio en dinero para que no proceda el proceso competitivo, el cual podrá tener origen en recursos propios o en recursos de cooperación internacional cuya destinación permita la ejecución y el logro de los objetivos comunes del convenio celebrado con la Entidad Estatal asociada, sin perjuicio de que haya otros aportes en especie que se pacten para la ejecución de las actividades y finalidades de este.  </w:t>
      </w:r>
      <w:bookmarkStart w:id="15" w:name="_Hlk173078349"/>
    </w:p>
    <w:p w14:paraId="267F76EB" w14:textId="77777777" w:rsidR="00592E31" w:rsidRPr="00592E31" w:rsidRDefault="00592E31" w:rsidP="00592E31">
      <w:pPr>
        <w:spacing w:after="120" w:line="276" w:lineRule="auto"/>
        <w:ind w:firstLine="709"/>
        <w:jc w:val="both"/>
        <w:textAlignment w:val="baseline"/>
        <w:rPr>
          <w:rFonts w:ascii="Verdana" w:eastAsia="Calibri" w:hAnsi="Verdana" w:cs="Arial"/>
          <w:lang w:val="es-ES_tradnl" w:eastAsia="es-ES_tradnl"/>
          <w14:ligatures w14:val="standardContextual"/>
        </w:rPr>
      </w:pPr>
      <w:r w:rsidRPr="00592E31">
        <w:rPr>
          <w:rFonts w:ascii="Verdana" w:eastAsia="Calibri" w:hAnsi="Verdana" w:cs="Arial"/>
          <w:lang w:val="es-ES_tradnl" w:eastAsia="es-ES_tradnl"/>
          <w14:ligatures w14:val="standardContextual"/>
        </w:rPr>
        <w:t xml:space="preserve">Respecto al tercer problema jurídico de este concepto, relacionado con el recaudo de los aportes, debe señalarse que la Agencia Nacional de Contratación Pública – Colombia Compra Eficiente en la </w:t>
      </w:r>
      <w:bookmarkStart w:id="16" w:name="_Hlk173070761"/>
      <w:r w:rsidRPr="00592E31">
        <w:rPr>
          <w:rFonts w:ascii="Verdana" w:eastAsia="Calibri" w:hAnsi="Verdana" w:cs="Arial"/>
          <w:lang w:val="es-ES_tradnl" w:eastAsia="es-ES_tradnl"/>
          <w14:ligatures w14:val="standardContextual"/>
        </w:rPr>
        <w:t xml:space="preserve">“Guía para la contratación con entidades privadas sin ánimo de lucro y de reconocida idoneidad”, </w:t>
      </w:r>
      <w:bookmarkEnd w:id="16"/>
      <w:r w:rsidRPr="00592E31">
        <w:rPr>
          <w:rFonts w:ascii="Verdana" w:eastAsia="Calibri" w:hAnsi="Verdana" w:cs="Arial"/>
          <w:lang w:val="es-ES_tradnl" w:eastAsia="es-ES_tradnl"/>
          <w14:ligatures w14:val="standardContextual"/>
        </w:rPr>
        <w:t xml:space="preserve">señaló que: </w:t>
      </w:r>
      <w:r w:rsidRPr="00592E31">
        <w:rPr>
          <w:rFonts w:ascii="Verdana" w:eastAsia="Calibri" w:hAnsi="Verdana" w:cs="Arial"/>
          <w:lang w:val="es-ES_tradnl" w:eastAsia="es-ES_tradnl"/>
          <w14:ligatures w14:val="standardContextual"/>
        </w:rPr>
        <w:lastRenderedPageBreak/>
        <w:t xml:space="preserve">“[…] la exigencia de recursos en dinero se puede cumplir con instrumentos financieros, jurídicos y contables que sean transables y que tengan liquidez suficiente para ser equivalentes al dinero”. </w:t>
      </w:r>
    </w:p>
    <w:p w14:paraId="0301EB3E" w14:textId="77777777" w:rsidR="00592E31" w:rsidRPr="00592E31" w:rsidRDefault="00592E31" w:rsidP="00592E31">
      <w:pPr>
        <w:spacing w:after="120" w:line="276" w:lineRule="auto"/>
        <w:ind w:firstLine="709"/>
        <w:jc w:val="both"/>
        <w:rPr>
          <w:rFonts w:ascii="Verdana" w:eastAsia="Calibri" w:hAnsi="Verdana" w:cs="Arial"/>
          <w14:ligatures w14:val="standardContextual"/>
        </w:rPr>
      </w:pPr>
      <w:r w:rsidRPr="00592E31">
        <w:rPr>
          <w:rFonts w:ascii="Verdana" w:eastAsia="Calibri" w:hAnsi="Verdana" w:cs="Arial"/>
          <w:lang w:val="es-ES_tradnl" w:eastAsia="es-ES_tradnl"/>
          <w14:ligatures w14:val="standardContextual"/>
        </w:rPr>
        <w:t xml:space="preserve">Al respecto, </w:t>
      </w:r>
      <w:r w:rsidRPr="00592E31">
        <w:rPr>
          <w:rFonts w:ascii="Verdana" w:eastAsia="Calibri" w:hAnsi="Verdana" w:cs="Arial"/>
          <w:lang w:eastAsia="es-ES"/>
          <w14:ligatures w14:val="standardContextual"/>
        </w:rPr>
        <w:t>se precisa</w:t>
      </w:r>
      <w:r w:rsidRPr="00592E31">
        <w:rPr>
          <w:rFonts w:ascii="Verdana" w:eastAsia="Calibri" w:hAnsi="Verdana" w:cs="Arial"/>
          <w:lang w:val="es-ES_tradnl" w:eastAsia="es-ES_tradnl"/>
          <w14:ligatures w14:val="standardContextual"/>
        </w:rPr>
        <w:t xml:space="preserve"> que, la entidad será autónoma en definir el mecanismo que le parezca más conveniente para el recaudo de los recursos económicos, </w:t>
      </w:r>
      <w:r w:rsidRPr="00592E31">
        <w:rPr>
          <w:rFonts w:ascii="Verdana" w:eastAsia="Aptos" w:hAnsi="Verdana" w:cs="Arial"/>
          <w:color w:val="000000"/>
          <w14:ligatures w14:val="standardContextual"/>
        </w:rPr>
        <w:t>los cuales no implican necesariamente el traslado de recursos entre ellas, toda vez que, en los términos contenidos en el convenio, cada parte deberá ejecutar obligaciones correspondientes a los aportes comprometidos para satisfacer las finalidades atribuidas a los convenios de asociación, esto es, el desarrollo conjunto de actividades relacionadas con los cometidos y funciones asignadas a la Entidad Estatal, cualquiera que sea su naturaleza y orden administrativo, conforme a la Constitución y a la Ley.</w:t>
      </w:r>
      <w:bookmarkEnd w:id="15"/>
    </w:p>
    <w:p w14:paraId="7BAA6324" w14:textId="77777777" w:rsidR="00592E31" w:rsidRPr="00592E31" w:rsidRDefault="00592E31" w:rsidP="00592E31">
      <w:pPr>
        <w:spacing w:after="120" w:line="276" w:lineRule="auto"/>
        <w:ind w:firstLine="709"/>
        <w:jc w:val="both"/>
        <w:rPr>
          <w:rFonts w:ascii="Verdana" w:eastAsia="Aptos" w:hAnsi="Verdana" w:cs="Arial"/>
          <w:color w:val="000000"/>
          <w14:ligatures w14:val="standardContextual"/>
        </w:rPr>
      </w:pPr>
      <w:r w:rsidRPr="00592E31">
        <w:rPr>
          <w:rFonts w:ascii="Verdana" w:eastAsia="Aptos" w:hAnsi="Verdana" w:cs="Arial"/>
          <w:color w:val="000000"/>
          <w14:ligatures w14:val="standardContextual"/>
        </w:rPr>
        <w:t>En línea con lo anterior, los aportes pueden incluir distintos bienes y servicios como, por ejemplo, el pago de equipo de trabajo, alquiler aulas, alquiler equipos de cómputo, refrigerios, material didáctico, logística, cursos académicos, seminarios, transporte, impresiones, entre otros. Se reitera, la destinación de los recursos aportados dependerá del objeto del convenio y se realizará en los términos pactados en el mismo.</w:t>
      </w:r>
    </w:p>
    <w:p w14:paraId="52AA5012" w14:textId="77777777" w:rsidR="00592E31" w:rsidRPr="00592E31" w:rsidRDefault="00592E31" w:rsidP="00592E31">
      <w:pPr>
        <w:spacing w:after="0" w:line="276" w:lineRule="auto"/>
        <w:ind w:firstLine="708"/>
        <w:jc w:val="both"/>
        <w:rPr>
          <w:rFonts w:ascii="Verdana" w:eastAsia="Calibri" w:hAnsi="Verdana" w:cs="Arial"/>
          <w14:ligatures w14:val="standardContextual"/>
        </w:rPr>
      </w:pPr>
      <w:r w:rsidRPr="00592E31">
        <w:rPr>
          <w:rFonts w:ascii="Verdana" w:eastAsia="Calibri" w:hAnsi="Verdana" w:cs="Arial"/>
          <w:lang w:val="es-ES_tradnl" w:eastAsia="es-ES_tradnl"/>
          <w14:ligatures w14:val="standardContextual"/>
        </w:rPr>
        <w:t>Finalmente, en relación con el apartado de la “Guía para la contratación con entidades privadas sin ánimo de lucro y de reconocida idoneidad” que cita en su consulta debe señalarse que esta se refiere a contratos de colaboración, no a convenios de colaboración. No obstante, como se señaló en el presente concepto, las Entidades Estatales gozan de autonomía para definir y estructurar sus p</w:t>
      </w:r>
      <w:proofErr w:type="spellStart"/>
      <w:r w:rsidRPr="00592E31">
        <w:rPr>
          <w:rFonts w:ascii="Verdana" w:eastAsia="Arial" w:hAnsi="Verdana" w:cs="Arial"/>
          <w:color w:val="000000"/>
          <w:lang w:eastAsia="es-ES_tradnl"/>
          <w14:ligatures w14:val="standardContextual"/>
        </w:rPr>
        <w:t>rocesos</w:t>
      </w:r>
      <w:proofErr w:type="spellEnd"/>
      <w:r w:rsidRPr="00592E31">
        <w:rPr>
          <w:rFonts w:ascii="Verdana" w:eastAsia="Arial" w:hAnsi="Verdana" w:cs="Arial"/>
          <w:color w:val="000000"/>
          <w:lang w:eastAsia="es-ES_tradnl"/>
          <w14:ligatures w14:val="standardContextual"/>
        </w:rPr>
        <w:t xml:space="preserve"> competitivos en desarrollo del artículo 5 del Decreto 092 de 2017, siempre que en ellos se garantice la libre concurrencia, la pluralidad de interesados y la comparación objetiva de las ofertas. </w:t>
      </w:r>
    </w:p>
    <w:p w14:paraId="6ACE93FC" w14:textId="77777777" w:rsidR="00592E31" w:rsidRPr="00592E31" w:rsidRDefault="00592E31" w:rsidP="00592E31">
      <w:pPr>
        <w:widowControl w:val="0"/>
        <w:autoSpaceDE w:val="0"/>
        <w:autoSpaceDN w:val="0"/>
        <w:spacing w:after="0" w:line="276" w:lineRule="auto"/>
        <w:jc w:val="both"/>
        <w:rPr>
          <w:rFonts w:ascii="Verdana" w:eastAsia="Aptos" w:hAnsi="Verdana" w:cs="Arial"/>
          <w14:ligatures w14:val="standardContextual"/>
        </w:rPr>
      </w:pPr>
    </w:p>
    <w:p w14:paraId="12101566" w14:textId="77777777" w:rsidR="00592E31" w:rsidRPr="00592E31" w:rsidRDefault="00592E31" w:rsidP="00592E31">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rPr>
      </w:pPr>
      <w:r w:rsidRPr="00592E31">
        <w:rPr>
          <w:rFonts w:ascii="Verdana" w:eastAsia="Century Gothic" w:hAnsi="Verdana" w:cs="Century Gothic"/>
          <w:b/>
          <w:bCs/>
        </w:rPr>
        <w:t>Referencias normativas, jurisprudenciales y otras fuentes:</w:t>
      </w:r>
    </w:p>
    <w:p w14:paraId="0E119E6F" w14:textId="77777777" w:rsidR="00592E31" w:rsidRPr="00592E31" w:rsidRDefault="00592E31" w:rsidP="00592E31">
      <w:pPr>
        <w:widowControl w:val="0"/>
        <w:autoSpaceDE w:val="0"/>
        <w:autoSpaceDN w:val="0"/>
        <w:spacing w:after="0" w:line="276" w:lineRule="auto"/>
        <w:jc w:val="both"/>
        <w:rPr>
          <w:rFonts w:ascii="Verdana" w:eastAsia="Aptos" w:hAnsi="Verdana" w:cs="Arial"/>
          <w14:ligatures w14:val="standardContextual"/>
        </w:rPr>
      </w:pP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592E31" w:rsidRPr="00592E31" w14:paraId="04AC5C89" w14:textId="77777777" w:rsidTr="00592E31">
        <w:trPr>
          <w:trHeight w:val="629"/>
        </w:trPr>
        <w:tc>
          <w:tcPr>
            <w:tcW w:w="8647" w:type="dxa"/>
            <w:tcBorders>
              <w:top w:val="dotted" w:sz="4" w:space="0" w:color="auto"/>
              <w:left w:val="dotted" w:sz="4" w:space="0" w:color="auto"/>
              <w:bottom w:val="dotted" w:sz="4" w:space="0" w:color="auto"/>
              <w:right w:val="dotted" w:sz="4" w:space="0" w:color="auto"/>
            </w:tcBorders>
          </w:tcPr>
          <w:p w14:paraId="54F7BA86" w14:textId="77777777" w:rsidR="00592E31" w:rsidRPr="00592E31" w:rsidRDefault="00592E31" w:rsidP="00592E31">
            <w:pPr>
              <w:numPr>
                <w:ilvl w:val="0"/>
                <w:numId w:val="17"/>
              </w:numPr>
              <w:spacing w:line="276" w:lineRule="auto"/>
              <w:ind w:left="360"/>
              <w:contextualSpacing/>
              <w:jc w:val="both"/>
              <w:rPr>
                <w:rFonts w:ascii="Verdana" w:eastAsia="Calibri" w:hAnsi="Verdana" w:cs="Arial"/>
                <w:color w:val="000000"/>
              </w:rPr>
            </w:pPr>
            <w:r w:rsidRPr="00592E31">
              <w:rPr>
                <w:rFonts w:ascii="Verdana" w:eastAsia="Calibri" w:hAnsi="Verdana" w:cs="Arial"/>
                <w:color w:val="000000"/>
              </w:rPr>
              <w:t>Constitución Política: Artículo 355.</w:t>
            </w:r>
          </w:p>
          <w:p w14:paraId="3EBB9B58" w14:textId="77777777" w:rsidR="00592E31" w:rsidRPr="00592E31" w:rsidRDefault="00592E31" w:rsidP="00592E31">
            <w:pPr>
              <w:spacing w:line="276" w:lineRule="auto"/>
              <w:ind w:left="360"/>
              <w:contextualSpacing/>
              <w:jc w:val="both"/>
              <w:rPr>
                <w:rFonts w:ascii="Verdana" w:eastAsia="Calibri" w:hAnsi="Verdana" w:cs="Arial"/>
                <w:color w:val="000000"/>
              </w:rPr>
            </w:pPr>
          </w:p>
          <w:p w14:paraId="3E4351B1" w14:textId="77777777" w:rsidR="00592E31" w:rsidRPr="00592E31" w:rsidRDefault="00592E31" w:rsidP="00592E31">
            <w:pPr>
              <w:numPr>
                <w:ilvl w:val="0"/>
                <w:numId w:val="17"/>
              </w:numPr>
              <w:spacing w:line="276" w:lineRule="auto"/>
              <w:ind w:left="360"/>
              <w:contextualSpacing/>
              <w:jc w:val="both"/>
              <w:rPr>
                <w:rFonts w:ascii="Verdana" w:eastAsia="Calibri" w:hAnsi="Verdana" w:cs="Arial"/>
                <w:color w:val="000000"/>
              </w:rPr>
            </w:pPr>
            <w:r w:rsidRPr="00592E31">
              <w:rPr>
                <w:rFonts w:ascii="Verdana" w:eastAsia="Calibri" w:hAnsi="Verdana" w:cs="Arial"/>
                <w:color w:val="000000"/>
              </w:rPr>
              <w:t xml:space="preserve">Ley 489 de 1998: Artículo 96. </w:t>
            </w:r>
          </w:p>
          <w:p w14:paraId="37A1BB28" w14:textId="77777777" w:rsidR="00592E31" w:rsidRPr="00592E31" w:rsidRDefault="00592E31" w:rsidP="00592E31">
            <w:pPr>
              <w:spacing w:line="276" w:lineRule="auto"/>
              <w:ind w:left="360"/>
              <w:contextualSpacing/>
              <w:jc w:val="both"/>
              <w:rPr>
                <w:rFonts w:ascii="Verdana" w:eastAsia="Calibri" w:hAnsi="Verdana" w:cs="Arial"/>
                <w:lang w:val="es-ES_tradnl" w:eastAsia="es-ES_tradnl"/>
              </w:rPr>
            </w:pPr>
          </w:p>
          <w:p w14:paraId="5295CECA" w14:textId="77777777" w:rsidR="00592E31" w:rsidRPr="00592E31" w:rsidRDefault="00592E31" w:rsidP="00592E31">
            <w:pPr>
              <w:numPr>
                <w:ilvl w:val="0"/>
                <w:numId w:val="17"/>
              </w:numPr>
              <w:spacing w:line="276" w:lineRule="auto"/>
              <w:ind w:left="360"/>
              <w:contextualSpacing/>
              <w:jc w:val="both"/>
              <w:rPr>
                <w:rFonts w:ascii="Verdana" w:eastAsia="Calibri" w:hAnsi="Verdana" w:cs="Arial"/>
                <w:lang w:val="es-ES_tradnl" w:eastAsia="es-ES_tradnl"/>
              </w:rPr>
            </w:pPr>
            <w:r w:rsidRPr="00592E31">
              <w:rPr>
                <w:rFonts w:ascii="Verdana" w:hAnsi="Verdana" w:cs="Arial"/>
                <w:lang w:val="es-MX"/>
              </w:rPr>
              <w:t xml:space="preserve">Decreto 092 de 2017: </w:t>
            </w:r>
            <w:r w:rsidRPr="00592E31">
              <w:rPr>
                <w:rFonts w:ascii="Verdana" w:eastAsia="Calibri" w:hAnsi="Verdana" w:cs="Arial"/>
                <w:lang w:val="es-ES_tradnl" w:eastAsia="es-ES_tradnl"/>
              </w:rPr>
              <w:t xml:space="preserve">Artículo 5. </w:t>
            </w:r>
          </w:p>
          <w:p w14:paraId="582AEC61" w14:textId="77777777" w:rsidR="00592E31" w:rsidRPr="00592E31" w:rsidRDefault="00592E31" w:rsidP="00592E31">
            <w:pPr>
              <w:spacing w:line="276" w:lineRule="auto"/>
              <w:ind w:left="360"/>
              <w:contextualSpacing/>
              <w:jc w:val="both"/>
              <w:rPr>
                <w:rFonts w:ascii="Verdana" w:eastAsia="Calibri" w:hAnsi="Verdana" w:cs="Arial"/>
                <w:lang w:val="es-ES_tradnl" w:eastAsia="es-ES_tradnl"/>
              </w:rPr>
            </w:pPr>
          </w:p>
          <w:p w14:paraId="01BB2CA5" w14:textId="77777777" w:rsidR="00592E31" w:rsidRPr="00592E31" w:rsidRDefault="00592E31" w:rsidP="00592E31">
            <w:pPr>
              <w:numPr>
                <w:ilvl w:val="0"/>
                <w:numId w:val="17"/>
              </w:numPr>
              <w:spacing w:line="276" w:lineRule="auto"/>
              <w:ind w:left="357" w:hanging="357"/>
              <w:contextualSpacing/>
              <w:jc w:val="both"/>
              <w:rPr>
                <w:rFonts w:ascii="Verdana" w:eastAsia="Calibri" w:hAnsi="Verdana" w:cs="Arial"/>
                <w:lang w:val="es-ES_tradnl" w:eastAsia="es-ES_tradnl"/>
              </w:rPr>
            </w:pPr>
            <w:r w:rsidRPr="00592E31">
              <w:rPr>
                <w:rFonts w:ascii="Verdana" w:eastAsia="Calibri" w:hAnsi="Verdana" w:cs="Arial"/>
                <w:lang w:val="es-ES_tradnl" w:eastAsia="es-ES_tradnl"/>
              </w:rPr>
              <w:t xml:space="preserve">Guía para la contratación con entidades privadas sin ánimo de lucro y de reconocida idoneidad. Disponible en: </w:t>
            </w:r>
            <w:hyperlink r:id="rId12" w:history="1">
              <w:r w:rsidRPr="00592E31">
                <w:rPr>
                  <w:rFonts w:ascii="Verdana" w:eastAsia="Calibri" w:hAnsi="Verdana" w:cs="Arial"/>
                  <w:color w:val="0000FF"/>
                  <w:u w:val="single"/>
                  <w:lang w:val="es-ES_tradnl" w:eastAsia="es-ES_tradnl"/>
                </w:rPr>
                <w:t>https://www.colombiacompra.gov.co/sites/cce_public/files/cce_documents/cce_guia_esal.pdf</w:t>
              </w:r>
            </w:hyperlink>
            <w:r w:rsidRPr="00592E31">
              <w:rPr>
                <w:rFonts w:ascii="Verdana" w:eastAsia="Calibri" w:hAnsi="Verdana" w:cs="Arial"/>
                <w:lang w:val="es-ES_tradnl" w:eastAsia="es-ES_tradnl"/>
              </w:rPr>
              <w:t xml:space="preserve"> </w:t>
            </w:r>
          </w:p>
        </w:tc>
      </w:tr>
    </w:tbl>
    <w:p w14:paraId="636695CA" w14:textId="77777777" w:rsidR="00592E31" w:rsidRPr="00592E31" w:rsidRDefault="00592E31" w:rsidP="00592E31">
      <w:pPr>
        <w:widowControl w:val="0"/>
        <w:autoSpaceDE w:val="0"/>
        <w:autoSpaceDN w:val="0"/>
        <w:spacing w:after="0" w:line="276" w:lineRule="auto"/>
        <w:jc w:val="both"/>
        <w:rPr>
          <w:rFonts w:ascii="Verdana" w:eastAsia="Aptos" w:hAnsi="Verdana" w:cs="Arial"/>
          <w14:ligatures w14:val="standardContextual"/>
        </w:rPr>
      </w:pPr>
    </w:p>
    <w:p w14:paraId="718D42AF" w14:textId="77777777" w:rsidR="00592E31" w:rsidRPr="00592E31" w:rsidRDefault="00592E31" w:rsidP="00592E31">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rPr>
      </w:pPr>
      <w:r w:rsidRPr="00592E31">
        <w:rPr>
          <w:rFonts w:ascii="Verdana" w:eastAsia="Century Gothic" w:hAnsi="Verdana" w:cs="Century Gothic"/>
          <w:b/>
          <w:bCs/>
        </w:rPr>
        <w:t>Doctrina de la Agencia Nacional de Contratación Pública:</w:t>
      </w:r>
    </w:p>
    <w:p w14:paraId="53441C19" w14:textId="77777777" w:rsidR="00592E31" w:rsidRPr="00592E31" w:rsidRDefault="00592E31" w:rsidP="00592E31">
      <w:pPr>
        <w:widowControl w:val="0"/>
        <w:autoSpaceDE w:val="0"/>
        <w:autoSpaceDN w:val="0"/>
        <w:spacing w:after="0" w:line="276" w:lineRule="auto"/>
        <w:jc w:val="both"/>
        <w:rPr>
          <w:rFonts w:ascii="Verdana" w:eastAsia="Aptos" w:hAnsi="Verdana" w:cs="Arial"/>
          <w14:ligatures w14:val="standardContextual"/>
        </w:rPr>
      </w:pPr>
    </w:p>
    <w:p w14:paraId="76F6D3E7" w14:textId="77777777" w:rsidR="00592E31" w:rsidRPr="00592E31" w:rsidRDefault="00592E31" w:rsidP="00592E31">
      <w:pPr>
        <w:widowControl w:val="0"/>
        <w:autoSpaceDE w:val="0"/>
        <w:autoSpaceDN w:val="0"/>
        <w:spacing w:after="0" w:line="276" w:lineRule="auto"/>
        <w:jc w:val="both"/>
        <w:rPr>
          <w:rFonts w:ascii="Aptos" w:eastAsia="Aptos" w:hAnsi="Aptos" w:cs="Times New Roman"/>
          <w:shd w:val="clear" w:color="auto" w:fill="FFFFFF"/>
          <w:lang w:val="es-ES"/>
          <w14:ligatures w14:val="standardContextual"/>
        </w:rPr>
      </w:pPr>
      <w:r w:rsidRPr="00592E31">
        <w:rPr>
          <w:rFonts w:ascii="Verdana" w:eastAsia="Calibri" w:hAnsi="Verdana" w:cs="Arial"/>
          <w:color w:val="000000"/>
          <w:lang w:val="es-ES_tradnl" w:eastAsia="es-ES_tradnl"/>
          <w14:ligatures w14:val="standardContextual"/>
        </w:rPr>
        <w:t xml:space="preserve">La Agencia Nacional de Contratación Pública – Colombia Compra Eficiente analizó </w:t>
      </w:r>
      <w:r w:rsidRPr="00592E31">
        <w:rPr>
          <w:rFonts w:ascii="Verdana" w:eastAsia="Calibri" w:hAnsi="Verdana" w:cs="Arial"/>
          <w:bCs/>
          <w:color w:val="000000"/>
          <w:lang w:val="es-ES_tradnl" w:eastAsia="es-ES_tradnl"/>
          <w14:ligatures w14:val="standardContextual"/>
        </w:rPr>
        <w:t>el régimen de los convenios de asociación regulados en el artículo 355 de la Constitución y en el Decreto 092 de 2017, entre otros, en los conceptos con radicado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C-379 del 26 de julio de 2021, C-548 del 05 de octubre de 2021, C-092 del 09 de marzo de 2022, C-106 del 30 de marzo de 2022 y C-274 del 05 de mayo de 2022. Así mismo, explicó los convenios de asociación entre Entidades Públicas y particulares regulados en el artículo 96 de la Ley 489 de 1998, entre otros, en los conceptos 4201912000007899 del 27 de diciembre de 2019, 4201912000007901 del 27 de diciembre de 2019, C-055 del 28 de enero de 2020, C-086 del 16 de marzo de 2020, C-101 del 16 de marzo de 2020, C-228 del 17 de marzo de 2020, C-014 del 24 de marzo de 2020, C-416 del 30 de junio de 2020, C-483 del 06 de agosto de 2020, C-579 del 4 de septiembre de 2020, C-594 del 7 de septiembre de 2020, C-670 del 30 de noviembre de 2020, C-758 del 4 de enero de 2021, C-057 del 10 de marzo de 2021, C-379 de 26 de julio de 2021, C-524 de 13 de otubre de 2021, C-594 del 28 de otubre de 2021, C-609 del 29 de otubre de 2021, C-638 del 15 de diciembre de 2021, C-670 de 28 de diciembre de 2021, C-051 del 7 de marzo de 2022, C-145 del 28 de marzo de 2022, C-274 del 05 de mayo de 2022, C-292 del 11 de mayo de 2022, C-273 del 6 de mayo de 2022, C-560 de 7 de septiembre de 2022, C-771 del 29 de diciembre de 2022, C-045 del 24 de abril de 2024, C-071 del 28 de mayo de 2024, C-096 del 27 de junio de 2024, C-568 del 8 de noviembre  de 2024,  entre otros</w:t>
      </w:r>
      <w:r w:rsidRPr="00592E31">
        <w:rPr>
          <w:rFonts w:ascii="Verdana" w:eastAsia="Aptos" w:hAnsi="Verdana" w:cs="Arial"/>
          <w:color w:val="7030A0"/>
          <w:shd w:val="clear" w:color="auto" w:fill="FFFFFF"/>
          <w:lang w:val="es-ES"/>
          <w14:ligatures w14:val="standardContextual"/>
        </w:rPr>
        <w:t xml:space="preserve">. </w:t>
      </w:r>
      <w:r w:rsidRPr="00592E31">
        <w:rPr>
          <w:rFonts w:ascii="Verdana" w:eastAsia="Aptos" w:hAnsi="Verdana" w:cs="Arial"/>
          <w:shd w:val="clear" w:color="auto" w:fill="FFFFFF"/>
          <w:lang w:val="es-ES"/>
          <w14:ligatures w14:val="standardContextual"/>
        </w:rPr>
        <w:t>Es</w:t>
      </w:r>
      <w:r w:rsidRPr="00592E31">
        <w:rPr>
          <w:rFonts w:ascii="Verdana" w:eastAsia="Aptos" w:hAnsi="Verdana" w:cs="Times New Roman"/>
          <w14:ligatures w14:val="standardContextual"/>
        </w:rPr>
        <w:t xml:space="preserve">tos y otros conceptos se encuentran disponibles para consulta en el Sistema de relatoría de </w:t>
      </w:r>
      <w:r w:rsidRPr="00592E31">
        <w:rPr>
          <w:rFonts w:ascii="Verdana" w:eastAsia="Aptos" w:hAnsi="Verdana" w:cs="Times New Roman"/>
          <w14:ligatures w14:val="standardContextual"/>
        </w:rPr>
        <w:lastRenderedPageBreak/>
        <w:t>la Agencia, al cual se puede acceder a través del siguiente enlace:</w:t>
      </w:r>
      <w:r w:rsidRPr="00592E31">
        <w:rPr>
          <w:rFonts w:ascii="Verdana" w:eastAsia="Aptos" w:hAnsi="Verdana" w:cs="Arial"/>
          <w:shd w:val="clear" w:color="auto" w:fill="FFFFFF"/>
          <w:lang w:val="es-ES"/>
          <w14:ligatures w14:val="standardContextual"/>
        </w:rPr>
        <w:t xml:space="preserve"> </w:t>
      </w:r>
      <w:hyperlink r:id="rId13" w:history="1">
        <w:r w:rsidRPr="00592E31">
          <w:rPr>
            <w:rFonts w:ascii="Verdana" w:eastAsia="Aptos" w:hAnsi="Verdana" w:cs="Arial"/>
            <w:color w:val="0000FF"/>
            <w:u w:val="single"/>
            <w:shd w:val="clear" w:color="auto" w:fill="FFFFFF"/>
            <w:lang w:val="es-ES"/>
            <w14:ligatures w14:val="standardContextual"/>
          </w:rPr>
          <w:t>https://relatoria.colombiacompra.gov.co/busqueda/conceptos</w:t>
        </w:r>
      </w:hyperlink>
      <w:r w:rsidRPr="00592E31">
        <w:rPr>
          <w:rFonts w:ascii="Verdana" w:eastAsia="Aptos" w:hAnsi="Verdana" w:cs="Arial"/>
          <w:shd w:val="clear" w:color="auto" w:fill="FFFFFF"/>
          <w:lang w:val="es-ES"/>
          <w14:ligatures w14:val="standardContextual"/>
        </w:rPr>
        <w:t xml:space="preserve">. </w:t>
      </w:r>
    </w:p>
    <w:p w14:paraId="762C498A" w14:textId="77777777" w:rsidR="00592E31" w:rsidRPr="00592E31" w:rsidRDefault="00592E31" w:rsidP="00592E31">
      <w:pPr>
        <w:widowControl w:val="0"/>
        <w:autoSpaceDE w:val="0"/>
        <w:autoSpaceDN w:val="0"/>
        <w:spacing w:after="0" w:line="276" w:lineRule="auto"/>
        <w:jc w:val="both"/>
        <w:rPr>
          <w:rFonts w:ascii="Verdana" w:eastAsia="Aptos" w:hAnsi="Verdana" w:cs="Arial"/>
          <w:color w:val="FF0000"/>
          <w:shd w:val="clear" w:color="auto" w:fill="FFFFFF"/>
          <w:lang w:val="es-ES"/>
          <w14:ligatures w14:val="standardContextual"/>
        </w:rPr>
      </w:pPr>
    </w:p>
    <w:p w14:paraId="1C0E2075" w14:textId="77777777" w:rsidR="00592E31" w:rsidRPr="00592E31" w:rsidRDefault="00592E31" w:rsidP="00592E31">
      <w:pPr>
        <w:widowControl w:val="0"/>
        <w:autoSpaceDE w:val="0"/>
        <w:autoSpaceDN w:val="0"/>
        <w:spacing w:after="0" w:line="276" w:lineRule="auto"/>
        <w:jc w:val="both"/>
        <w:rPr>
          <w:rFonts w:ascii="Aptos" w:eastAsia="Aptos" w:hAnsi="Aptos" w:cs="Times New Roman"/>
          <w14:ligatures w14:val="standardContextual"/>
        </w:rPr>
      </w:pPr>
      <w:r w:rsidRPr="00592E31">
        <w:rPr>
          <w:rFonts w:ascii="Verdana" w:eastAsia="Aptos" w:hAnsi="Verdana" w:cs="Arial"/>
          <w14:ligatures w14:val="standardContextual"/>
        </w:rPr>
        <w:t xml:space="preserve">Le contamos que ya publicamos el borrador de la nueva Guía de Contratación Pública Sostenible y Socialmente Responsable. Conoce el documento y realiza tus comentarios hasta el 22 de noviembre de 2024 a través del siguiente enlace: </w:t>
      </w:r>
      <w:hyperlink r:id="rId14" w:tgtFrame="_blank" w:tooltip="https://nam02.safelinks.protection.outlook.com/?url=https%3a%2f%2fwww.sucop.gov.co%2fentidades%2fcolombiacompra%2fnormativa%3fidnorma%3d18320&amp;data=05%7c02%7cdiana.saavedra%40colombiacompra.gov.co%7c096eca3fdcca424ff1c708dcf932f947%7c7b09041e245149d08cb179" w:history="1">
        <w:r w:rsidRPr="00592E31">
          <w:rPr>
            <w:rFonts w:ascii="Verdana" w:eastAsia="Aptos" w:hAnsi="Verdana" w:cs="Arial"/>
            <w:color w:val="0000FF"/>
            <w:u w:val="single"/>
            <w14:ligatures w14:val="standardContextual"/>
          </w:rPr>
          <w:t>https://www.sucop.gov.co/entidades/colombiacompra/Normativa?IDNorma=18320</w:t>
        </w:r>
      </w:hyperlink>
    </w:p>
    <w:p w14:paraId="64FFDC94" w14:textId="77777777" w:rsidR="00592E31" w:rsidRPr="00592E31" w:rsidRDefault="00592E31" w:rsidP="00592E31">
      <w:pPr>
        <w:widowControl w:val="0"/>
        <w:autoSpaceDE w:val="0"/>
        <w:autoSpaceDN w:val="0"/>
        <w:spacing w:after="0" w:line="276" w:lineRule="auto"/>
        <w:jc w:val="both"/>
        <w:rPr>
          <w:rFonts w:ascii="Verdana" w:eastAsia="Aptos" w:hAnsi="Verdana" w:cs="Arial"/>
          <w14:ligatures w14:val="standardContextual"/>
        </w:rPr>
      </w:pPr>
    </w:p>
    <w:p w14:paraId="46BDFCD2" w14:textId="77777777" w:rsidR="00592E31" w:rsidRPr="00592E31" w:rsidRDefault="00592E31" w:rsidP="00592E31">
      <w:pPr>
        <w:widowControl w:val="0"/>
        <w:autoSpaceDE w:val="0"/>
        <w:autoSpaceDN w:val="0"/>
        <w:spacing w:after="0" w:line="276" w:lineRule="auto"/>
        <w:jc w:val="both"/>
        <w:rPr>
          <w:rFonts w:ascii="Verdana" w:eastAsia="Aptos" w:hAnsi="Verdana" w:cs="Arial"/>
          <w14:ligatures w14:val="standardContextual"/>
        </w:rPr>
      </w:pPr>
      <w:r w:rsidRPr="00592E31">
        <w:rPr>
          <w:rFonts w:ascii="Verdana" w:eastAsia="Aptos" w:hAnsi="Verdana" w:cs="Arial"/>
          <w14:ligatures w14:val="standardContextual"/>
        </w:rPr>
        <w:t xml:space="preserve">También le invitamos a consultar las versiones V y VI de 2024 del Boletín de Relatoría de la Subdirección de Gestión Contractual relacionados con las guías de Plan Anual de Adquisiciones y la modalidad de selección de mínima cuantía, los cuales se pueden descargar en la página web de la Agencia: </w:t>
      </w:r>
      <w:hyperlink r:id="rId15" w:tgtFrame="_blank" w:tooltip="https://nam02.safelinks.protection.outlook.com/?url=https%3a%2f%2fwww.colombiacompra.gov.co%2fsala-de-prensa%2fboletin-digital&amp;data=05%7c02%7cdiana.saavedra%40colombiacompra.gov.co%7c096eca3fdcca424ff1c708dcf932f947%7c7b09041e245149d08cb179d5e3d8c1be%7c0%" w:history="1">
        <w:r w:rsidRPr="00592E31">
          <w:rPr>
            <w:rFonts w:ascii="Verdana" w:eastAsia="Aptos" w:hAnsi="Verdana" w:cs="Arial"/>
            <w:color w:val="0000FF"/>
            <w:u w:val="single"/>
            <w14:ligatures w14:val="standardContextual"/>
          </w:rPr>
          <w:t>https://www.colombiacompra.gov.co/sala-de-prensa/boletin-digital</w:t>
        </w:r>
      </w:hyperlink>
    </w:p>
    <w:p w14:paraId="0198E314" w14:textId="77777777" w:rsidR="00592E31" w:rsidRPr="00592E31" w:rsidRDefault="00592E31" w:rsidP="00592E31">
      <w:pPr>
        <w:widowControl w:val="0"/>
        <w:autoSpaceDE w:val="0"/>
        <w:autoSpaceDN w:val="0"/>
        <w:spacing w:after="0" w:line="276" w:lineRule="auto"/>
        <w:jc w:val="both"/>
        <w:rPr>
          <w:rFonts w:ascii="Verdana" w:eastAsia="Aptos" w:hAnsi="Verdana" w:cs="Arial"/>
          <w14:ligatures w14:val="standardContextual"/>
        </w:rPr>
      </w:pPr>
    </w:p>
    <w:p w14:paraId="614C211F" w14:textId="77777777" w:rsidR="00592E31" w:rsidRPr="00592E31" w:rsidRDefault="00592E31" w:rsidP="00592E31">
      <w:pPr>
        <w:widowControl w:val="0"/>
        <w:autoSpaceDE w:val="0"/>
        <w:autoSpaceDN w:val="0"/>
        <w:spacing w:after="0" w:line="276" w:lineRule="auto"/>
        <w:jc w:val="both"/>
        <w:rPr>
          <w:rFonts w:ascii="Verdana" w:eastAsia="Aptos" w:hAnsi="Verdana" w:cs="Arial"/>
          <w:lang w:val="es-ES_tradnl"/>
          <w14:ligatures w14:val="standardContextual"/>
        </w:rPr>
      </w:pPr>
      <w:r w:rsidRPr="00592E31">
        <w:rPr>
          <w:rFonts w:ascii="Verdana" w:eastAsia="Aptos" w:hAnsi="Verdana" w:cs="Arial"/>
          <w14:ligatures w14:val="standardContextual"/>
        </w:rPr>
        <w:t xml:space="preserve">Este concepto tiene el alcance previsto en el artículo 28 del Código de Procedimiento Administrativo y de lo Contencioso Administrativo </w:t>
      </w:r>
      <w:r w:rsidRPr="00592E31">
        <w:rPr>
          <w:rFonts w:ascii="Verdana" w:eastAsia="Aptos" w:hAnsi="Verdana" w:cs="Arial"/>
          <w:lang w:val="es-ES_tradnl"/>
          <w14:ligatures w14:val="standardContextual"/>
        </w:rPr>
        <w:t>y las expresiones aquí utilizadas con mayúscula inicial deben ser entendidas con el significado que les otorga el artículo 2.2.1.1.1.3.1. del Decreto 1082 de 2015.</w:t>
      </w:r>
    </w:p>
    <w:p w14:paraId="409F9E92" w14:textId="77777777" w:rsidR="00592E31" w:rsidRPr="00592E31" w:rsidRDefault="00592E31" w:rsidP="00592E31">
      <w:pPr>
        <w:widowControl w:val="0"/>
        <w:autoSpaceDE w:val="0"/>
        <w:autoSpaceDN w:val="0"/>
        <w:spacing w:after="0" w:line="276" w:lineRule="auto"/>
        <w:jc w:val="both"/>
        <w:rPr>
          <w:rFonts w:ascii="Verdana" w:eastAsia="Aptos" w:hAnsi="Verdana" w:cs="Arial"/>
          <w14:ligatures w14:val="standardContextual"/>
        </w:rPr>
      </w:pPr>
    </w:p>
    <w:p w14:paraId="46931317" w14:textId="77777777" w:rsidR="00592E31" w:rsidRPr="00592E31" w:rsidRDefault="00592E31" w:rsidP="00592E31">
      <w:pPr>
        <w:spacing w:after="0" w:line="276" w:lineRule="auto"/>
        <w:rPr>
          <w:rFonts w:ascii="Verdana" w:eastAsia="Aptos" w:hAnsi="Verdana" w:cs="Arial"/>
          <w:lang w:eastAsia="es-CO"/>
          <w14:ligatures w14:val="standardContextual"/>
        </w:rPr>
      </w:pPr>
      <w:r w:rsidRPr="00592E31">
        <w:rPr>
          <w:rFonts w:ascii="Verdana" w:eastAsia="Times New Roman" w:hAnsi="Verdana" w:cs="Arial"/>
          <w:lang w:eastAsia="es-CO"/>
          <w14:ligatures w14:val="standardContextual"/>
        </w:rPr>
        <w:t>Atentamente,</w:t>
      </w:r>
      <w:r w:rsidRPr="00592E31">
        <w:rPr>
          <w:rFonts w:ascii="Verdana" w:eastAsia="Aptos" w:hAnsi="Verdana" w:cs="Arial"/>
          <w:lang w:eastAsia="es-CO"/>
          <w14:ligatures w14:val="standardContextual"/>
        </w:rPr>
        <w:t xml:space="preserve"> </w:t>
      </w:r>
    </w:p>
    <w:p w14:paraId="13504136" w14:textId="75569A57" w:rsidR="00592E31" w:rsidRPr="00592E31" w:rsidRDefault="005E5839" w:rsidP="00592E31">
      <w:pPr>
        <w:spacing w:line="276" w:lineRule="auto"/>
        <w:jc w:val="center"/>
        <w:rPr>
          <w:rFonts w:ascii="Verdana" w:eastAsia="Aptos" w:hAnsi="Verdana" w:cs="Arial"/>
          <w:color w:val="000000"/>
          <w:lang w:val="es-ES_tradnl" w:eastAsia="es-CO"/>
          <w14:ligatures w14:val="standardContextual"/>
        </w:rPr>
      </w:pPr>
      <w:r w:rsidRPr="002C3AD6">
        <w:rPr>
          <w:rFonts w:ascii="Century Gothic" w:hAnsi="Century Gothic"/>
          <w:noProof/>
        </w:rPr>
        <w:drawing>
          <wp:inline distT="0" distB="0" distL="0" distR="0" wp14:anchorId="166BE4F5" wp14:editId="77ACD623">
            <wp:extent cx="3088257" cy="1146398"/>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097033" cy="1149656"/>
                    </a:xfrm>
                    <a:prstGeom prst="rect">
                      <a:avLst/>
                    </a:prstGeom>
                  </pic:spPr>
                </pic:pic>
              </a:graphicData>
            </a:graphic>
          </wp:inline>
        </w:drawing>
      </w:r>
    </w:p>
    <w:tbl>
      <w:tblPr>
        <w:tblStyle w:val="Tablaconcuadrcula1"/>
        <w:tblW w:w="652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592E31" w:rsidRPr="00592E31" w14:paraId="30248A99" w14:textId="77777777" w:rsidTr="00592E31">
        <w:trPr>
          <w:trHeight w:val="315"/>
        </w:trPr>
        <w:tc>
          <w:tcPr>
            <w:tcW w:w="893" w:type="dxa"/>
            <w:vAlign w:val="center"/>
            <w:hideMark/>
          </w:tcPr>
          <w:p w14:paraId="08E25EA8" w14:textId="77777777" w:rsidR="00592E31" w:rsidRPr="00592E31" w:rsidRDefault="00592E31" w:rsidP="00592E31">
            <w:pPr>
              <w:spacing w:after="255"/>
              <w:contextualSpacing/>
              <w:rPr>
                <w:rFonts w:ascii="Verdana" w:hAnsi="Verdana" w:cs="Arial"/>
                <w:sz w:val="16"/>
                <w:szCs w:val="16"/>
                <w:lang w:val="es-ES" w:eastAsia="es-ES"/>
              </w:rPr>
            </w:pPr>
            <w:r w:rsidRPr="00592E31">
              <w:rPr>
                <w:rFonts w:ascii="Verdana"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6F5602AF" w14:textId="77777777" w:rsidR="00592E31" w:rsidRPr="00592E31" w:rsidRDefault="00592E31" w:rsidP="00592E31">
            <w:pPr>
              <w:rPr>
                <w:rFonts w:ascii="Verdana" w:eastAsia="Arial" w:hAnsi="Verdana" w:cs="Arial"/>
                <w:sz w:val="16"/>
                <w:szCs w:val="16"/>
              </w:rPr>
            </w:pPr>
            <w:r w:rsidRPr="00592E31">
              <w:rPr>
                <w:rFonts w:ascii="Verdana" w:eastAsia="Arial" w:hAnsi="Verdana" w:cs="Arial"/>
                <w:sz w:val="16"/>
                <w:szCs w:val="16"/>
              </w:rPr>
              <w:t>Diana Lucia Saavedra Castañeda</w:t>
            </w:r>
          </w:p>
          <w:p w14:paraId="51B1E17E" w14:textId="77777777" w:rsidR="00592E31" w:rsidRPr="00592E31" w:rsidRDefault="00592E31" w:rsidP="00592E31">
            <w:pPr>
              <w:spacing w:after="255"/>
              <w:contextualSpacing/>
              <w:rPr>
                <w:rFonts w:ascii="Verdana" w:eastAsia="Arial" w:hAnsi="Verdana" w:cs="Arial"/>
                <w:sz w:val="16"/>
                <w:szCs w:val="16"/>
              </w:rPr>
            </w:pPr>
            <w:r w:rsidRPr="00592E31">
              <w:rPr>
                <w:rFonts w:ascii="Verdana" w:eastAsia="Arial" w:hAnsi="Verdana" w:cs="Arial"/>
                <w:sz w:val="16"/>
                <w:szCs w:val="16"/>
              </w:rPr>
              <w:t>Contratista de la Subdirección de Gestión Contractual</w:t>
            </w:r>
          </w:p>
        </w:tc>
      </w:tr>
      <w:tr w:rsidR="00592E31" w:rsidRPr="00592E31" w14:paraId="6B8BDA6E" w14:textId="77777777" w:rsidTr="00592E31">
        <w:trPr>
          <w:trHeight w:val="330"/>
        </w:trPr>
        <w:tc>
          <w:tcPr>
            <w:tcW w:w="893" w:type="dxa"/>
            <w:vAlign w:val="center"/>
            <w:hideMark/>
          </w:tcPr>
          <w:p w14:paraId="04E5D1AC" w14:textId="77777777" w:rsidR="00592E31" w:rsidRPr="00592E31" w:rsidRDefault="00592E31" w:rsidP="00592E31">
            <w:pPr>
              <w:spacing w:after="255"/>
              <w:contextualSpacing/>
              <w:rPr>
                <w:rFonts w:ascii="Verdana" w:hAnsi="Verdana" w:cs="Arial"/>
                <w:sz w:val="16"/>
                <w:szCs w:val="16"/>
                <w:lang w:val="es-ES" w:eastAsia="es-ES"/>
              </w:rPr>
            </w:pPr>
            <w:r w:rsidRPr="00592E31">
              <w:rPr>
                <w:rFonts w:ascii="Verdana"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7FA96EE6" w14:textId="77777777" w:rsidR="00592E31" w:rsidRPr="00592E31" w:rsidRDefault="00592E31" w:rsidP="00592E31">
            <w:pPr>
              <w:rPr>
                <w:rFonts w:ascii="Verdana" w:eastAsia="Arial" w:hAnsi="Verdana" w:cs="Arial"/>
                <w:sz w:val="16"/>
                <w:szCs w:val="16"/>
              </w:rPr>
            </w:pPr>
            <w:r w:rsidRPr="00592E31">
              <w:rPr>
                <w:rFonts w:ascii="Verdana" w:eastAsia="Arial" w:hAnsi="Verdana" w:cs="Arial"/>
                <w:sz w:val="16"/>
                <w:szCs w:val="16"/>
              </w:rPr>
              <w:t>Alejandro Raúl Sarmiento Cantillo</w:t>
            </w:r>
          </w:p>
          <w:p w14:paraId="22106F55" w14:textId="77777777" w:rsidR="00592E31" w:rsidRPr="00592E31" w:rsidRDefault="00592E31" w:rsidP="00592E31">
            <w:pPr>
              <w:contextualSpacing/>
              <w:textAlignment w:val="baseline"/>
              <w:rPr>
                <w:rFonts w:ascii="Verdana" w:eastAsia="Times New Roman" w:hAnsi="Verdana" w:cs="Segoe UI"/>
                <w:sz w:val="16"/>
                <w:szCs w:val="16"/>
              </w:rPr>
            </w:pPr>
            <w:r w:rsidRPr="00592E31">
              <w:rPr>
                <w:rFonts w:ascii="Verdana" w:eastAsia="Arial" w:hAnsi="Verdana" w:cs="Arial"/>
                <w:sz w:val="16"/>
                <w:szCs w:val="16"/>
              </w:rPr>
              <w:t>Gestor T1-15 de la Subdirección de Gestión Contractual </w:t>
            </w:r>
          </w:p>
        </w:tc>
      </w:tr>
      <w:tr w:rsidR="00592E31" w:rsidRPr="00592E31" w14:paraId="1FFB3A4C" w14:textId="77777777" w:rsidTr="00592E31">
        <w:trPr>
          <w:trHeight w:val="300"/>
        </w:trPr>
        <w:tc>
          <w:tcPr>
            <w:tcW w:w="893" w:type="dxa"/>
            <w:vAlign w:val="center"/>
            <w:hideMark/>
          </w:tcPr>
          <w:p w14:paraId="6F47A3E5" w14:textId="77777777" w:rsidR="00592E31" w:rsidRPr="00592E31" w:rsidRDefault="00592E31" w:rsidP="00592E31">
            <w:pPr>
              <w:spacing w:after="255"/>
              <w:contextualSpacing/>
              <w:rPr>
                <w:rFonts w:ascii="Verdana" w:hAnsi="Verdana" w:cs="Arial"/>
                <w:sz w:val="16"/>
                <w:szCs w:val="16"/>
                <w:lang w:val="es-ES" w:eastAsia="es-ES"/>
              </w:rPr>
            </w:pPr>
            <w:r w:rsidRPr="00592E31">
              <w:rPr>
                <w:rFonts w:ascii="Verdana"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hideMark/>
          </w:tcPr>
          <w:p w14:paraId="2A6784CC" w14:textId="77777777" w:rsidR="00592E31" w:rsidRPr="00592E31" w:rsidRDefault="00592E31" w:rsidP="00592E31">
            <w:pPr>
              <w:spacing w:after="255"/>
              <w:contextualSpacing/>
              <w:rPr>
                <w:rFonts w:ascii="Verdana" w:eastAsia="Calibri" w:hAnsi="Verdana" w:cs="Arial"/>
                <w:sz w:val="16"/>
                <w:szCs w:val="16"/>
                <w:lang w:val="pt-BR" w:eastAsia="es-ES"/>
              </w:rPr>
            </w:pPr>
            <w:r w:rsidRPr="00592E31">
              <w:rPr>
                <w:rFonts w:ascii="Verdana" w:eastAsia="Calibri" w:hAnsi="Verdana" w:cs="Arial"/>
                <w:sz w:val="16"/>
                <w:szCs w:val="16"/>
                <w:lang w:val="pt-BR" w:eastAsia="es-ES"/>
              </w:rPr>
              <w:t>Carolina Quintero Gacharná</w:t>
            </w:r>
          </w:p>
          <w:p w14:paraId="605E62A5" w14:textId="77777777" w:rsidR="00592E31" w:rsidRPr="00592E31" w:rsidRDefault="00592E31" w:rsidP="00592E31">
            <w:pPr>
              <w:spacing w:after="255"/>
              <w:contextualSpacing/>
              <w:rPr>
                <w:rFonts w:ascii="Verdana" w:eastAsia="Calibri" w:hAnsi="Verdana" w:cs="Arial"/>
                <w:sz w:val="16"/>
                <w:szCs w:val="16"/>
                <w:lang w:val="pt-BR" w:eastAsia="es-ES"/>
              </w:rPr>
            </w:pPr>
            <w:r w:rsidRPr="00592E31">
              <w:rPr>
                <w:rFonts w:ascii="Verdana" w:eastAsia="Calibri" w:hAnsi="Verdana" w:cs="Arial"/>
                <w:sz w:val="16"/>
                <w:szCs w:val="16"/>
                <w:lang w:eastAsia="es-ES"/>
              </w:rPr>
              <w:t>Subdirectora</w:t>
            </w:r>
            <w:r w:rsidRPr="00592E31">
              <w:rPr>
                <w:rFonts w:ascii="Verdana" w:eastAsia="Calibri" w:hAnsi="Verdana" w:cs="Arial"/>
                <w:sz w:val="16"/>
                <w:szCs w:val="16"/>
                <w:lang w:val="pt-BR" w:eastAsia="es-ES"/>
              </w:rPr>
              <w:t xml:space="preserve"> de Gestión Contractual ANCP – CCE</w:t>
            </w:r>
          </w:p>
        </w:tc>
      </w:tr>
    </w:tbl>
    <w:p w14:paraId="03F82DBC" w14:textId="77777777" w:rsidR="00592E31" w:rsidRPr="00592E31" w:rsidRDefault="00592E31" w:rsidP="00592E31">
      <w:pPr>
        <w:spacing w:line="256" w:lineRule="auto"/>
        <w:rPr>
          <w:rFonts w:ascii="Aptos" w:eastAsia="Aptos" w:hAnsi="Aptos" w:cs="Times New Roman"/>
          <w14:ligatures w14:val="standardContextual"/>
        </w:rPr>
      </w:pPr>
    </w:p>
    <w:p w14:paraId="59BEC9CD" w14:textId="77777777" w:rsidR="0004217F" w:rsidRPr="00592E31" w:rsidRDefault="0004217F" w:rsidP="00592E31"/>
    <w:bookmarkEnd w:id="0"/>
    <w:sectPr w:rsidR="0004217F" w:rsidRPr="00592E31"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8E42B" w14:textId="77777777" w:rsidR="003A26D1" w:rsidRDefault="003A26D1" w:rsidP="004A1847">
      <w:pPr>
        <w:spacing w:after="0" w:line="240" w:lineRule="auto"/>
      </w:pPr>
      <w:r>
        <w:separator/>
      </w:r>
    </w:p>
  </w:endnote>
  <w:endnote w:type="continuationSeparator" w:id="0">
    <w:p w14:paraId="430A73B4" w14:textId="77777777" w:rsidR="003A26D1" w:rsidRDefault="003A26D1" w:rsidP="004A1847">
      <w:pPr>
        <w:spacing w:after="0" w:line="240" w:lineRule="auto"/>
      </w:pPr>
      <w:r>
        <w:continuationSeparator/>
      </w:r>
    </w:p>
  </w:endnote>
  <w:endnote w:type="continuationNotice" w:id="1">
    <w:p w14:paraId="51839464" w14:textId="77777777" w:rsidR="004B1AFC" w:rsidRDefault="004B1A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592E31">
      <w:rPr>
        <w:rFonts w:ascii="Verdana" w:eastAsia="Times New Roman" w:hAnsi="Verdana" w:cs="Times New Roman"/>
        <w:b/>
        <w:bCs/>
        <w:sz w:val="16"/>
        <w:szCs w:val="16"/>
        <w:lang w:val="es-ES"/>
      </w:rPr>
      <w:t xml:space="preserve">pág. </w:t>
    </w:r>
    <w:r w:rsidRPr="00592E31">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592E31">
      <w:rPr>
        <w:rFonts w:ascii="Verdana" w:eastAsia="Times New Roman" w:hAnsi="Verdana"/>
        <w:b/>
        <w:bCs/>
        <w:sz w:val="16"/>
        <w:szCs w:val="16"/>
      </w:rPr>
      <w:fldChar w:fldCharType="separate"/>
    </w:r>
    <w:r w:rsidRPr="00592E31">
      <w:rPr>
        <w:rFonts w:ascii="Verdana" w:eastAsia="Times New Roman" w:hAnsi="Verdana"/>
        <w:b/>
        <w:bCs/>
        <w:sz w:val="16"/>
        <w:szCs w:val="16"/>
      </w:rPr>
      <w:t>1</w:t>
    </w:r>
    <w:r w:rsidRPr="00592E31">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1F77B" w14:textId="77777777" w:rsidR="003A26D1" w:rsidRDefault="003A26D1" w:rsidP="004A1847">
      <w:pPr>
        <w:spacing w:after="0" w:line="240" w:lineRule="auto"/>
      </w:pPr>
      <w:r>
        <w:separator/>
      </w:r>
    </w:p>
  </w:footnote>
  <w:footnote w:type="continuationSeparator" w:id="0">
    <w:p w14:paraId="665EFA4D" w14:textId="77777777" w:rsidR="003A26D1" w:rsidRDefault="003A26D1" w:rsidP="004A1847">
      <w:pPr>
        <w:spacing w:after="0" w:line="240" w:lineRule="auto"/>
      </w:pPr>
      <w:r>
        <w:continuationSeparator/>
      </w:r>
    </w:p>
  </w:footnote>
  <w:footnote w:type="continuationNotice" w:id="1">
    <w:p w14:paraId="0861ECF7" w14:textId="77777777" w:rsidR="004B1AFC" w:rsidRDefault="004B1AFC">
      <w:pPr>
        <w:spacing w:after="0" w:line="240" w:lineRule="auto"/>
      </w:pPr>
    </w:p>
  </w:footnote>
  <w:footnote w:id="2">
    <w:p w14:paraId="7BBCA599" w14:textId="77777777" w:rsidR="00592E31" w:rsidRPr="00592E31" w:rsidRDefault="00592E31" w:rsidP="00592E31">
      <w:pPr>
        <w:pStyle w:val="Textonotapie"/>
        <w:ind w:firstLine="709"/>
        <w:jc w:val="both"/>
        <w:rPr>
          <w:rFonts w:ascii="Verdana" w:hAnsi="Verdana" w:cs="Arial"/>
          <w:color w:val="000000"/>
          <w:sz w:val="16"/>
          <w:szCs w:val="16"/>
        </w:rPr>
      </w:pPr>
      <w:r w:rsidRPr="00592E31">
        <w:rPr>
          <w:rStyle w:val="Refdenotaalpie"/>
          <w:rFonts w:ascii="Verdana" w:hAnsi="Verdana" w:cs="Arial"/>
          <w:color w:val="000000"/>
          <w:sz w:val="16"/>
          <w:szCs w:val="16"/>
        </w:rPr>
        <w:footnoteRef/>
      </w:r>
      <w:r w:rsidRPr="00592E31">
        <w:rPr>
          <w:rFonts w:ascii="Verdana" w:hAnsi="Verdana" w:cs="Arial"/>
          <w:color w:val="000000"/>
          <w:sz w:val="16"/>
          <w:szCs w:val="16"/>
        </w:rPr>
        <w:t xml:space="preserve"> Sobre esta norma, consultar los conceptos del 8 de octubre de 2019, con radicado No. 2201913000007532, y del 20 de diciembre de 2019, con radicado No. 4201913000008240, dictados por la Agencia Nacional de Contratación Pública – Colombia Compra Eficiente.</w:t>
      </w:r>
    </w:p>
    <w:p w14:paraId="0F29DCB1" w14:textId="77777777" w:rsidR="00592E31" w:rsidRPr="00592E31" w:rsidRDefault="00592E31" w:rsidP="00592E31">
      <w:pPr>
        <w:pStyle w:val="Textonotapie"/>
        <w:ind w:firstLine="709"/>
        <w:jc w:val="both"/>
        <w:rPr>
          <w:rFonts w:ascii="Verdana" w:hAnsi="Verdana" w:cs="Arial"/>
          <w:color w:val="000000"/>
          <w:sz w:val="16"/>
          <w:szCs w:val="16"/>
          <w:lang w:val="es-ES"/>
        </w:rPr>
      </w:pPr>
    </w:p>
  </w:footnote>
  <w:footnote w:id="3">
    <w:p w14:paraId="54041A63" w14:textId="77777777" w:rsidR="00592E31" w:rsidRPr="00592E31" w:rsidRDefault="00592E31" w:rsidP="00592E31">
      <w:pPr>
        <w:pStyle w:val="Textonotapie"/>
        <w:ind w:firstLine="709"/>
        <w:jc w:val="both"/>
        <w:rPr>
          <w:rFonts w:ascii="Verdana" w:hAnsi="Verdana" w:cs="Arial"/>
          <w:color w:val="000000"/>
          <w:sz w:val="16"/>
          <w:szCs w:val="16"/>
        </w:rPr>
      </w:pPr>
      <w:r w:rsidRPr="00592E31">
        <w:rPr>
          <w:rStyle w:val="Refdenotaalpie"/>
          <w:rFonts w:ascii="Verdana" w:hAnsi="Verdana" w:cs="Arial"/>
          <w:color w:val="000000"/>
          <w:sz w:val="16"/>
          <w:szCs w:val="16"/>
        </w:rPr>
        <w:footnoteRef/>
      </w:r>
      <w:r w:rsidRPr="00592E31">
        <w:rPr>
          <w:rFonts w:ascii="Verdana" w:hAnsi="Verdana" w:cs="Arial"/>
          <w:color w:val="000000"/>
          <w:sz w:val="16"/>
          <w:szCs w:val="16"/>
        </w:rPr>
        <w:t xml:space="preserve"> Al respecto, la Ley 489 de 1998 dispone que “Artículo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3C75289F" w14:textId="77777777" w:rsidR="00592E31" w:rsidRPr="00592E31" w:rsidRDefault="00592E31" w:rsidP="00592E31">
      <w:pPr>
        <w:pStyle w:val="Textonotapie"/>
        <w:ind w:firstLine="709"/>
        <w:jc w:val="both"/>
        <w:rPr>
          <w:rFonts w:ascii="Verdana" w:hAnsi="Verdana" w:cs="Arial"/>
          <w:color w:val="000000"/>
          <w:sz w:val="16"/>
          <w:szCs w:val="16"/>
        </w:rPr>
      </w:pPr>
    </w:p>
    <w:p w14:paraId="75A441BC" w14:textId="77777777" w:rsidR="00592E31" w:rsidRPr="00592E31" w:rsidRDefault="00592E31" w:rsidP="00592E31">
      <w:pPr>
        <w:pStyle w:val="Textonotapie"/>
        <w:ind w:firstLine="709"/>
        <w:jc w:val="both"/>
        <w:rPr>
          <w:rFonts w:ascii="Verdana" w:hAnsi="Verdana" w:cs="Arial"/>
          <w:color w:val="000000"/>
          <w:sz w:val="16"/>
          <w:szCs w:val="16"/>
        </w:rPr>
      </w:pPr>
      <w:r w:rsidRPr="00592E31">
        <w:rPr>
          <w:rFonts w:ascii="Verdana" w:hAnsi="Verdana" w:cs="Arial"/>
          <w:color w:val="000000"/>
          <w:sz w:val="16"/>
          <w:szCs w:val="16"/>
        </w:rPr>
        <w:t xml:space="preserve">Los convenios de asociación a que se refiere el presente artículo </w:t>
      </w:r>
      <w:bookmarkStart w:id="6" w:name="_Hlk36023315"/>
      <w:r w:rsidRPr="00592E31">
        <w:rPr>
          <w:rFonts w:ascii="Verdana" w:hAnsi="Verdana" w:cs="Arial"/>
          <w:color w:val="000000"/>
          <w:sz w:val="16"/>
          <w:szCs w:val="16"/>
        </w:rPr>
        <w:t>se celebrarán de conformidad con lo dispuesto en el artículo 355 de la Constitución Política</w:t>
      </w:r>
      <w:bookmarkEnd w:id="6"/>
      <w:r w:rsidRPr="00592E31">
        <w:rPr>
          <w:rFonts w:ascii="Verdana" w:hAnsi="Verdana" w:cs="Arial"/>
          <w:color w:val="000000"/>
          <w:sz w:val="16"/>
          <w:szCs w:val="16"/>
        </w:rPr>
        <w:t>, en ellos se determinará con precisión su objeto, término, obligaciones de las partes, aportes, coordinación y todos aquellos aspectos que se consideren pertinentes”.</w:t>
      </w:r>
    </w:p>
    <w:p w14:paraId="397AD1AB" w14:textId="77777777" w:rsidR="00592E31" w:rsidRPr="00592E31" w:rsidRDefault="00592E31" w:rsidP="00592E31">
      <w:pPr>
        <w:pStyle w:val="Textonotapie"/>
        <w:ind w:firstLine="709"/>
        <w:jc w:val="both"/>
        <w:rPr>
          <w:rFonts w:ascii="Verdana" w:hAnsi="Verdana" w:cs="Arial"/>
          <w:color w:val="000000"/>
          <w:sz w:val="16"/>
          <w:szCs w:val="16"/>
          <w:lang w:val="es-ES"/>
        </w:rPr>
      </w:pPr>
      <w:r w:rsidRPr="00592E31">
        <w:rPr>
          <w:rFonts w:ascii="Verdana" w:hAnsi="Verdana" w:cs="Arial"/>
          <w:color w:val="000000"/>
          <w:sz w:val="16"/>
          <w:szCs w:val="16"/>
        </w:rPr>
        <w:t xml:space="preserve"> </w:t>
      </w:r>
    </w:p>
  </w:footnote>
  <w:footnote w:id="4">
    <w:p w14:paraId="37CA5713" w14:textId="77777777" w:rsidR="00592E31" w:rsidRDefault="00592E31" w:rsidP="00592E31">
      <w:pPr>
        <w:pStyle w:val="Textonotapie"/>
        <w:ind w:firstLine="708"/>
        <w:jc w:val="both"/>
        <w:rPr>
          <w:rFonts w:ascii="Verdana" w:hAnsi="Verdana" w:cs="Arial"/>
          <w:color w:val="000000"/>
          <w:sz w:val="16"/>
          <w:szCs w:val="16"/>
        </w:rPr>
      </w:pPr>
      <w:r>
        <w:rPr>
          <w:rStyle w:val="Refdenotaalpie"/>
          <w:rFonts w:ascii="Verdana" w:hAnsi="Verdana" w:cs="Arial"/>
          <w:color w:val="000000"/>
          <w:sz w:val="16"/>
          <w:szCs w:val="16"/>
        </w:rPr>
        <w:footnoteRef/>
      </w:r>
      <w:r>
        <w:rPr>
          <w:rFonts w:ascii="Verdana" w:hAnsi="Verdana" w:cs="Arial"/>
          <w:color w:val="000000"/>
          <w:sz w:val="16"/>
          <w:szCs w:val="16"/>
        </w:rPr>
        <w:t xml:space="preserve"> En el concepto emitido el 5 de febrero de 2019 por la Agencia Nacional de Contratación Pública – Colombia Compra Eficiente, dentro del radicado No. 2201913000000663, se dijo: “[l]os convenios de asociación del artículo 5 son distintos a los contratos de colaboración del artículo 2 del Decreto 092 de 2017”.</w:t>
      </w:r>
    </w:p>
    <w:p w14:paraId="687B5874" w14:textId="77777777" w:rsidR="00592E31" w:rsidRDefault="00592E31" w:rsidP="00592E31">
      <w:pPr>
        <w:pStyle w:val="Textonotapie"/>
        <w:ind w:firstLine="708"/>
        <w:jc w:val="both"/>
        <w:rPr>
          <w:rFonts w:ascii="Verdana" w:hAnsi="Verdana" w:cs="Arial"/>
          <w:color w:val="000000"/>
          <w:sz w:val="16"/>
          <w:szCs w:val="16"/>
        </w:rPr>
      </w:pPr>
    </w:p>
  </w:footnote>
  <w:footnote w:id="5">
    <w:p w14:paraId="5EFD5133" w14:textId="77777777" w:rsidR="00592E31" w:rsidRPr="00592E31" w:rsidRDefault="00592E31" w:rsidP="00592E31">
      <w:pPr>
        <w:pStyle w:val="Textonotapie"/>
        <w:ind w:firstLine="709"/>
        <w:jc w:val="both"/>
        <w:rPr>
          <w:rFonts w:ascii="Verdana" w:hAnsi="Verdana" w:cs="Arial"/>
          <w:color w:val="000000"/>
          <w:sz w:val="16"/>
          <w:szCs w:val="16"/>
        </w:rPr>
      </w:pPr>
      <w:r w:rsidRPr="00592E31">
        <w:rPr>
          <w:rStyle w:val="Refdenotaalpie"/>
          <w:rFonts w:ascii="Verdana" w:hAnsi="Verdana" w:cs="Arial"/>
          <w:color w:val="000000"/>
          <w:sz w:val="16"/>
          <w:szCs w:val="16"/>
        </w:rPr>
        <w:footnoteRef/>
      </w:r>
      <w:r w:rsidRPr="00592E31">
        <w:rPr>
          <w:rFonts w:ascii="Verdana" w:hAnsi="Verdana" w:cs="Arial"/>
          <w:color w:val="000000"/>
          <w:sz w:val="16"/>
          <w:szCs w:val="16"/>
        </w:rPr>
        <w:t xml:space="preserve"> Agencia Nacional de Contratación Pública – Colombia Compra Eficiente. Concepto del 3 de septiembre de 2019, con radicado No. 2201913000006512.</w:t>
      </w:r>
    </w:p>
    <w:p w14:paraId="3721036B" w14:textId="77777777" w:rsidR="00592E31" w:rsidRPr="00592E31" w:rsidRDefault="00592E31" w:rsidP="00592E31">
      <w:pPr>
        <w:pStyle w:val="Textonotapie"/>
        <w:ind w:firstLine="709"/>
        <w:jc w:val="both"/>
        <w:rPr>
          <w:rFonts w:ascii="Verdana" w:hAnsi="Verdana" w:cs="Arial"/>
          <w:color w:val="000000"/>
          <w:sz w:val="16"/>
          <w:szCs w:val="16"/>
        </w:rPr>
      </w:pPr>
    </w:p>
  </w:footnote>
  <w:footnote w:id="6">
    <w:p w14:paraId="088CFD4F" w14:textId="77777777" w:rsidR="00592E31" w:rsidRDefault="00592E31" w:rsidP="00592E31">
      <w:pPr>
        <w:pStyle w:val="Textonotapie"/>
        <w:ind w:firstLine="708"/>
        <w:jc w:val="both"/>
        <w:rPr>
          <w:rFonts w:ascii="Verdana" w:hAnsi="Verdana" w:cs="Arial"/>
          <w:color w:val="000000"/>
          <w:sz w:val="16"/>
          <w:szCs w:val="16"/>
        </w:rPr>
      </w:pPr>
      <w:r>
        <w:rPr>
          <w:rStyle w:val="Refdenotaalpie"/>
          <w:rFonts w:ascii="Verdana" w:hAnsi="Verdana" w:cs="Arial"/>
          <w:color w:val="000000"/>
          <w:sz w:val="16"/>
          <w:szCs w:val="16"/>
        </w:rPr>
        <w:footnoteRef/>
      </w:r>
      <w:r>
        <w:rPr>
          <w:rFonts w:ascii="Verdana" w:hAnsi="Verdana" w:cs="Arial"/>
          <w:color w:val="000000"/>
          <w:sz w:val="16"/>
          <w:szCs w:val="16"/>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23DE8695" w14:textId="77777777" w:rsidR="00592E31" w:rsidRDefault="00592E31" w:rsidP="00592E31">
      <w:pPr>
        <w:pStyle w:val="Textonotapie"/>
        <w:ind w:firstLine="708"/>
        <w:jc w:val="both"/>
        <w:rPr>
          <w:rFonts w:ascii="Verdana" w:hAnsi="Verdana" w:cs="Arial"/>
          <w:color w:val="000000"/>
          <w:sz w:val="16"/>
          <w:szCs w:val="16"/>
        </w:rPr>
      </w:pPr>
    </w:p>
  </w:footnote>
  <w:footnote w:id="7">
    <w:p w14:paraId="2ADDD587" w14:textId="77777777" w:rsidR="00592E31" w:rsidRDefault="00592E31" w:rsidP="00592E31">
      <w:pPr>
        <w:pStyle w:val="Textonotapie"/>
        <w:ind w:firstLine="708"/>
        <w:jc w:val="both"/>
        <w:rPr>
          <w:rFonts w:ascii="Verdana" w:hAnsi="Verdana" w:cs="Arial"/>
          <w:sz w:val="16"/>
          <w:szCs w:val="16"/>
        </w:rPr>
      </w:pPr>
      <w:r>
        <w:rPr>
          <w:rStyle w:val="Refdenotaalpie"/>
          <w:rFonts w:ascii="Verdana" w:hAnsi="Verdana" w:cs="Arial"/>
          <w:sz w:val="16"/>
          <w:szCs w:val="16"/>
        </w:rPr>
        <w:footnoteRef/>
      </w:r>
      <w:r>
        <w:rPr>
          <w:rFonts w:ascii="Verdana" w:hAnsi="Verdana" w:cs="Arial"/>
          <w:sz w:val="16"/>
          <w:szCs w:val="16"/>
        </w:rPr>
        <w:t xml:space="preserve"> RODRÍGUEZ TAMAYO, Mauricio. Contratación pública con Entidades sin ánimo de lucro. Bogotá. Legis Editores, 2017. Página 28. </w:t>
      </w:r>
    </w:p>
    <w:p w14:paraId="1B5555E4" w14:textId="77777777" w:rsidR="00592E31" w:rsidRDefault="00592E31" w:rsidP="00592E31">
      <w:pPr>
        <w:pStyle w:val="Textonotapie"/>
        <w:ind w:firstLine="708"/>
        <w:jc w:val="both"/>
        <w:rPr>
          <w:rFonts w:ascii="Verdana" w:hAnsi="Verdana" w:cs="Arial"/>
          <w:sz w:val="16"/>
          <w:szCs w:val="16"/>
        </w:rPr>
      </w:pPr>
    </w:p>
  </w:footnote>
  <w:footnote w:id="8">
    <w:p w14:paraId="33CCC7FF" w14:textId="77777777" w:rsidR="00592E31" w:rsidRDefault="00592E31" w:rsidP="00592E31">
      <w:pPr>
        <w:pStyle w:val="Textonotapie"/>
        <w:ind w:firstLine="708"/>
        <w:rPr>
          <w:rFonts w:ascii="Verdana" w:hAnsi="Verdana" w:cs="Times New Roman"/>
          <w:sz w:val="16"/>
          <w:szCs w:val="16"/>
        </w:rPr>
      </w:pPr>
      <w:r>
        <w:rPr>
          <w:rStyle w:val="Refdenotaalpie"/>
          <w:rFonts w:ascii="Verdana" w:hAnsi="Verdana"/>
          <w:sz w:val="16"/>
          <w:szCs w:val="16"/>
        </w:rPr>
        <w:footnoteRef/>
      </w:r>
      <w:r>
        <w:rPr>
          <w:rFonts w:ascii="Verdana" w:hAnsi="Verdana"/>
          <w:sz w:val="16"/>
          <w:szCs w:val="16"/>
        </w:rPr>
        <w:t xml:space="preserve"> Agencia Nacional de Contratación Pública – Colombia Compra Eficiente. Concepto C-560 del 7 de septiembre de 2022.</w:t>
      </w:r>
    </w:p>
    <w:p w14:paraId="52215601" w14:textId="77777777" w:rsidR="00592E31" w:rsidRDefault="00592E31" w:rsidP="00592E31">
      <w:pPr>
        <w:pStyle w:val="Textonotapie"/>
        <w:ind w:firstLine="708"/>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mso1B13"/>
      </v:shape>
    </w:pict>
  </w:numPicBullet>
  <w:abstractNum w:abstractNumId="0" w15:restartNumberingAfterBreak="0">
    <w:nsid w:val="01C06310"/>
    <w:multiLevelType w:val="multilevel"/>
    <w:tmpl w:val="8004985C"/>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9844E6"/>
    <w:multiLevelType w:val="hybridMultilevel"/>
    <w:tmpl w:val="E25A24F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96154478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22200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4217F"/>
    <w:rsid w:val="00050157"/>
    <w:rsid w:val="00061B2A"/>
    <w:rsid w:val="00082253"/>
    <w:rsid w:val="00082362"/>
    <w:rsid w:val="00082F91"/>
    <w:rsid w:val="000A683E"/>
    <w:rsid w:val="000B19B9"/>
    <w:rsid w:val="000D0334"/>
    <w:rsid w:val="000F6486"/>
    <w:rsid w:val="00125105"/>
    <w:rsid w:val="00127233"/>
    <w:rsid w:val="001A5AFF"/>
    <w:rsid w:val="001E4177"/>
    <w:rsid w:val="001F7DC6"/>
    <w:rsid w:val="002421BB"/>
    <w:rsid w:val="0025796E"/>
    <w:rsid w:val="002707A2"/>
    <w:rsid w:val="002951A0"/>
    <w:rsid w:val="002962BC"/>
    <w:rsid w:val="002A093D"/>
    <w:rsid w:val="002A0DD0"/>
    <w:rsid w:val="002A49AC"/>
    <w:rsid w:val="002A64FD"/>
    <w:rsid w:val="002C7A84"/>
    <w:rsid w:val="002E4FD9"/>
    <w:rsid w:val="0030341D"/>
    <w:rsid w:val="00322A85"/>
    <w:rsid w:val="00324168"/>
    <w:rsid w:val="003448F4"/>
    <w:rsid w:val="00374F5E"/>
    <w:rsid w:val="00377E3E"/>
    <w:rsid w:val="003A26D1"/>
    <w:rsid w:val="003A779E"/>
    <w:rsid w:val="003B5641"/>
    <w:rsid w:val="003D0F4D"/>
    <w:rsid w:val="003D5B0D"/>
    <w:rsid w:val="003E0499"/>
    <w:rsid w:val="003F3941"/>
    <w:rsid w:val="00406575"/>
    <w:rsid w:val="0042722E"/>
    <w:rsid w:val="0044528D"/>
    <w:rsid w:val="004A1847"/>
    <w:rsid w:val="004A305D"/>
    <w:rsid w:val="004B1AFC"/>
    <w:rsid w:val="004F21C4"/>
    <w:rsid w:val="004F685F"/>
    <w:rsid w:val="005566E8"/>
    <w:rsid w:val="00574867"/>
    <w:rsid w:val="00584A33"/>
    <w:rsid w:val="00591460"/>
    <w:rsid w:val="00592628"/>
    <w:rsid w:val="00592E31"/>
    <w:rsid w:val="005B5DE8"/>
    <w:rsid w:val="005C3777"/>
    <w:rsid w:val="005C5CDC"/>
    <w:rsid w:val="005D476C"/>
    <w:rsid w:val="005E5839"/>
    <w:rsid w:val="00610812"/>
    <w:rsid w:val="00610958"/>
    <w:rsid w:val="00620A34"/>
    <w:rsid w:val="006219F8"/>
    <w:rsid w:val="00650FF7"/>
    <w:rsid w:val="00665D70"/>
    <w:rsid w:val="00671DAC"/>
    <w:rsid w:val="006900D9"/>
    <w:rsid w:val="006D12F8"/>
    <w:rsid w:val="00706C16"/>
    <w:rsid w:val="00756841"/>
    <w:rsid w:val="007649AB"/>
    <w:rsid w:val="00771D0C"/>
    <w:rsid w:val="007833AC"/>
    <w:rsid w:val="007B19F9"/>
    <w:rsid w:val="007B268C"/>
    <w:rsid w:val="007B7171"/>
    <w:rsid w:val="007C0C0F"/>
    <w:rsid w:val="007C3DC2"/>
    <w:rsid w:val="007E5497"/>
    <w:rsid w:val="00806F5F"/>
    <w:rsid w:val="00820278"/>
    <w:rsid w:val="008843B6"/>
    <w:rsid w:val="00891928"/>
    <w:rsid w:val="008A446D"/>
    <w:rsid w:val="008D180B"/>
    <w:rsid w:val="008D7E6B"/>
    <w:rsid w:val="008F0EA7"/>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B0ADB"/>
    <w:rsid w:val="00AD6A86"/>
    <w:rsid w:val="00B01B1A"/>
    <w:rsid w:val="00B72CD3"/>
    <w:rsid w:val="00B72FFF"/>
    <w:rsid w:val="00BC3D36"/>
    <w:rsid w:val="00BD7F72"/>
    <w:rsid w:val="00C04FB3"/>
    <w:rsid w:val="00C330EB"/>
    <w:rsid w:val="00C754BE"/>
    <w:rsid w:val="00C76B1C"/>
    <w:rsid w:val="00CB6357"/>
    <w:rsid w:val="00CC1B26"/>
    <w:rsid w:val="00D423A2"/>
    <w:rsid w:val="00D520D8"/>
    <w:rsid w:val="00D63AC2"/>
    <w:rsid w:val="00D719FB"/>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122D"/>
    <w:rsid w:val="00E8772A"/>
    <w:rsid w:val="00E90F6B"/>
    <w:rsid w:val="00E92C27"/>
    <w:rsid w:val="00EA0E3D"/>
    <w:rsid w:val="00EC38A7"/>
    <w:rsid w:val="00EE1AA8"/>
    <w:rsid w:val="00F31EDC"/>
    <w:rsid w:val="00F462B3"/>
    <w:rsid w:val="00F5193A"/>
    <w:rsid w:val="00F5664F"/>
    <w:rsid w:val="00F666C4"/>
    <w:rsid w:val="00F76AFC"/>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592E31"/>
    <w:pPr>
      <w:spacing w:line="240" w:lineRule="exact"/>
    </w:pPr>
    <w:rPr>
      <w:vertAlign w:val="superscript"/>
    </w:rPr>
  </w:style>
  <w:style w:type="table" w:customStyle="1" w:styleId="Tablaconcuadrcula1">
    <w:name w:val="Tabla con cuadrícula1"/>
    <w:basedOn w:val="Tablanormal"/>
    <w:next w:val="Tablaconcuadrcula"/>
    <w:uiPriority w:val="39"/>
    <w:qFormat/>
    <w:rsid w:val="00592E31"/>
    <w:pPr>
      <w:spacing w:after="0" w:line="240" w:lineRule="auto"/>
    </w:pPr>
    <w:rPr>
      <w:rFonts w:ascii="Aptos" w:eastAsia="Aptos" w:hAnsi="Aptos" w:cs="Times New Roma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B5DE8"/>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27175">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834955186">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501579812">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busqueda/concepto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cce_documents/cce_guia_esal.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ildebranp@hot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ala-de-prensa%2Fboletin-digital&amp;data=05%7C02%7Cdiana.saavedra%40colombiacompra.gov.co%7C096eca3fdcca424ff1c708dcf932f947%7C7b09041e245149d08cb179d5e3d8c1be%7C0%7C0%7C638659244558171472%7CUnknown%7CTWFpbGZsb3d8eyJWIjoiMC4wLjAwMDAiLCJQIjoiV2luMzIiLCJBTiI6Ik1haWwiLCJXVCI6Mn0%3D%7C0%7C%7C%7C&amp;sdata=tvt%2Bgj1ghaw7jLXwvL1O0TUEXiN6XbQ2LCLzY2KnGGs%3D&amp;reserved=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sucop.gov.co%2Fentidades%2Fcolombiacompra%2FNormativa%3FIDNorma%3D18320&amp;data=05%7C02%7Cdiana.saavedra%40colombiacompra.gov.co%7C096eca3fdcca424ff1c708dcf932f947%7C7b09041e245149d08cb179d5e3d8c1be%7C0%7C0%7C638659244558154167%7CUnknown%7CTWFpbGZsb3d8eyJWIjoiMC4wLjAwMDAiLCJQIjoiV2luMzIiLCJBTiI6Ik1haWwiLCJXVCI6Mn0%3D%7C0%7C%7C%7C&amp;sdata=w615QBv0P5KxhVjvpv3JkueAmdvURc%2Bxm6bSeiTViNE%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36c82cfe-0eda-494d-b392-a9281b89aaf0"/>
    <ds:schemaRef ds:uri="8ae15d26-076e-464e-81a7-6f76a0fb3917"/>
    <ds:schemaRef ds:uri="http://schemas.microsoft.com/office/infopath/2007/PartnerControl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03B5A0D-7002-4F05-8240-C97DFD800BEC}"/>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5013</Words>
  <Characters>27577</Characters>
  <Application>Microsoft Office Word</Application>
  <DocSecurity>0</DocSecurity>
  <Lines>229</Lines>
  <Paragraphs>65</Paragraphs>
  <ScaleCrop>false</ScaleCrop>
  <Company/>
  <LinksUpToDate>false</LinksUpToDate>
  <CharactersWithSpaces>32525</CharactersWithSpaces>
  <SharedDoc>false</SharedDoc>
  <HLinks>
    <vt:vector size="30" baseType="variant">
      <vt:variant>
        <vt:i4>4128890</vt:i4>
      </vt:variant>
      <vt:variant>
        <vt:i4>12</vt:i4>
      </vt:variant>
      <vt:variant>
        <vt:i4>0</vt:i4>
      </vt:variant>
      <vt:variant>
        <vt:i4>5</vt:i4>
      </vt:variant>
      <vt:variant>
        <vt:lpwstr>https://nam02.safelinks.protection.outlook.com/?url=https%3A%2F%2Fwww.colombiacompra.gov.co%2Fsala-de-prensa%2Fboletin-digital&amp;data=05%7C02%7Cdiana.saavedra%40colombiacompra.gov.co%7C096eca3fdcca424ff1c708dcf932f947%7C7b09041e245149d08cb179d5e3d8c1be%7C0%7C0%7C638659244558171472%7CUnknown%7CTWFpbGZsb3d8eyJWIjoiMC4wLjAwMDAiLCJQIjoiV2luMzIiLCJBTiI6Ik1haWwiLCJXVCI6Mn0%3D%7C0%7C%7C%7C&amp;sdata=tvt%2Bgj1ghaw7jLXwvL1O0TUEXiN6XbQ2LCLzY2KnGGs%3D&amp;reserved=0</vt:lpwstr>
      </vt:variant>
      <vt:variant>
        <vt:lpwstr/>
      </vt:variant>
      <vt:variant>
        <vt:i4>3735672</vt:i4>
      </vt:variant>
      <vt:variant>
        <vt:i4>9</vt:i4>
      </vt:variant>
      <vt:variant>
        <vt:i4>0</vt:i4>
      </vt:variant>
      <vt:variant>
        <vt:i4>5</vt:i4>
      </vt:variant>
      <vt:variant>
        <vt:lpwstr>https://nam02.safelinks.protection.outlook.com/?url=https%3A%2F%2Fwww.sucop.gov.co%2Fentidades%2Fcolombiacompra%2FNormativa%3FIDNorma%3D18320&amp;data=05%7C02%7Cdiana.saavedra%40colombiacompra.gov.co%7C096eca3fdcca424ff1c708dcf932f947%7C7b09041e245149d08cb179d5e3d8c1be%7C0%7C0%7C638659244558154167%7CUnknown%7CTWFpbGZsb3d8eyJWIjoiMC4wLjAwMDAiLCJQIjoiV2luMzIiLCJBTiI6Ik1haWwiLCJXVCI6Mn0%3D%7C0%7C%7C%7C&amp;sdata=w615QBv0P5KxhVjvpv3JkueAmdvURc%2Bxm6bSeiTViNE%3D&amp;reserved=0</vt:lpwstr>
      </vt:variant>
      <vt:variant>
        <vt:lpwstr/>
      </vt:variant>
      <vt:variant>
        <vt:i4>7471218</vt:i4>
      </vt:variant>
      <vt:variant>
        <vt:i4>6</vt:i4>
      </vt:variant>
      <vt:variant>
        <vt:i4>0</vt:i4>
      </vt:variant>
      <vt:variant>
        <vt:i4>5</vt:i4>
      </vt:variant>
      <vt:variant>
        <vt:lpwstr>https://relatoria.colombiacompra.gov.co/busqueda/conceptos</vt:lpwstr>
      </vt:variant>
      <vt:variant>
        <vt:lpwstr/>
      </vt:variant>
      <vt:variant>
        <vt:i4>5963852</vt:i4>
      </vt:variant>
      <vt:variant>
        <vt:i4>3</vt:i4>
      </vt:variant>
      <vt:variant>
        <vt:i4>0</vt:i4>
      </vt:variant>
      <vt:variant>
        <vt:i4>5</vt:i4>
      </vt:variant>
      <vt:variant>
        <vt:lpwstr>https://www.colombiacompra.gov.co/sites/cce_public/files/cce_documents/cce_guia_esal.pdf</vt:lpwstr>
      </vt:variant>
      <vt:variant>
        <vt:lpwstr/>
      </vt:variant>
      <vt:variant>
        <vt:i4>7667782</vt:i4>
      </vt:variant>
      <vt:variant>
        <vt:i4>0</vt:i4>
      </vt:variant>
      <vt:variant>
        <vt:i4>0</vt:i4>
      </vt:variant>
      <vt:variant>
        <vt:i4>5</vt:i4>
      </vt:variant>
      <vt:variant>
        <vt:lpwstr>mailto:hildebranp@hotmail.com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6</cp:revision>
  <cp:lastPrinted>2023-01-10T21:18:00Z</cp:lastPrinted>
  <dcterms:created xsi:type="dcterms:W3CDTF">2024-11-19T21:18:00Z</dcterms:created>
  <dcterms:modified xsi:type="dcterms:W3CDTF">2024-11-19T21:22:00Z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