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659B" w14:textId="77777777" w:rsidR="008D07F9" w:rsidRPr="003514B0" w:rsidRDefault="008D07F9" w:rsidP="008D07F9">
      <w:pPr>
        <w:spacing w:after="0" w:line="240" w:lineRule="auto"/>
        <w:jc w:val="both"/>
        <w:rPr>
          <w:rFonts w:ascii="Verdana" w:eastAsia="Calibri" w:hAnsi="Verdana" w:cs="Arial"/>
          <w:b/>
          <w:bCs/>
          <w:lang w:val="es-ES_tradnl" w:eastAsia="es-ES_tradnl"/>
        </w:rPr>
      </w:pPr>
      <w:r w:rsidRPr="003514B0">
        <w:rPr>
          <w:rFonts w:ascii="Verdana" w:eastAsia="Calibri" w:hAnsi="Verdana" w:cs="Arial"/>
          <w:b/>
          <w:bCs/>
          <w:lang w:val="es-ES_tradnl" w:eastAsia="es-ES_tradnl"/>
        </w:rPr>
        <w:t xml:space="preserve">RÉGIMEN DE INHABILIDADES – Noción – Contratación estatal – Finalidad </w:t>
      </w:r>
    </w:p>
    <w:p w14:paraId="61DAF241" w14:textId="77777777" w:rsidR="008D07F9" w:rsidRPr="003514B0" w:rsidRDefault="008D07F9" w:rsidP="008D07F9">
      <w:pPr>
        <w:spacing w:after="0" w:line="240" w:lineRule="auto"/>
        <w:jc w:val="both"/>
        <w:rPr>
          <w:rFonts w:ascii="Verdana" w:eastAsia="Calibri" w:hAnsi="Verdana" w:cs="Arial"/>
          <w:b/>
          <w:bCs/>
          <w:sz w:val="20"/>
          <w:szCs w:val="20"/>
          <w:lang w:val="es-ES_tradnl" w:eastAsia="es-ES_tradnl"/>
        </w:rPr>
      </w:pPr>
    </w:p>
    <w:p w14:paraId="278C86B3" w14:textId="77777777" w:rsidR="008D07F9" w:rsidRPr="003514B0" w:rsidRDefault="008D07F9" w:rsidP="008D07F9">
      <w:pPr>
        <w:spacing w:after="0" w:line="240" w:lineRule="auto"/>
        <w:jc w:val="both"/>
        <w:rPr>
          <w:rFonts w:ascii="Verdana" w:eastAsia="Aptos" w:hAnsi="Verdana" w:cs="Times New Roman"/>
          <w:sz w:val="20"/>
          <w:szCs w:val="20"/>
        </w:rPr>
      </w:pPr>
      <w:r w:rsidRPr="003514B0">
        <w:rPr>
          <w:rFonts w:ascii="Verdana" w:eastAsia="Aptos" w:hAnsi="Verdana" w:cs="Times New Roman"/>
          <w:sz w:val="20"/>
          <w:szCs w:val="20"/>
        </w:rPr>
        <w:t xml:space="preserve">El régimen de inhabilidades son prohibiciones para concurrir a los procedimientos de selección y para contratar con el Estado, que se derivan i) de la existencia de comportamientos reprochables o de sanciones anteriormente impuestas, </w:t>
      </w:r>
      <w:proofErr w:type="spellStart"/>
      <w:r w:rsidRPr="003514B0">
        <w:rPr>
          <w:rFonts w:ascii="Verdana" w:eastAsia="Aptos" w:hAnsi="Verdana" w:cs="Times New Roman"/>
          <w:sz w:val="20"/>
          <w:szCs w:val="20"/>
        </w:rPr>
        <w:t>ii</w:t>
      </w:r>
      <w:proofErr w:type="spellEnd"/>
      <w:r w:rsidRPr="003514B0">
        <w:rPr>
          <w:rFonts w:ascii="Verdana" w:eastAsia="Aptos" w:hAnsi="Verdana" w:cs="Times New Roman"/>
          <w:sz w:val="20"/>
          <w:szCs w:val="20"/>
        </w:rPr>
        <w:t xml:space="preserve">) de vínculos personales relaticos al parentesco o al estado civil o </w:t>
      </w:r>
      <w:proofErr w:type="spellStart"/>
      <w:r w:rsidRPr="003514B0">
        <w:rPr>
          <w:rFonts w:ascii="Verdana" w:eastAsia="Aptos" w:hAnsi="Verdana" w:cs="Times New Roman"/>
          <w:sz w:val="20"/>
          <w:szCs w:val="20"/>
        </w:rPr>
        <w:t>iii</w:t>
      </w:r>
      <w:proofErr w:type="spellEnd"/>
      <w:r w:rsidRPr="003514B0">
        <w:rPr>
          <w:rFonts w:ascii="Verdana" w:eastAsia="Aptos" w:hAnsi="Verdana" w:cs="Times New Roman"/>
          <w:sz w:val="20"/>
          <w:szCs w:val="20"/>
        </w:rPr>
        <w:t>) de una actividad u oficio que se desempeñó en el pasado.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3514B0">
        <w:rPr>
          <w:rFonts w:ascii="Verdana" w:eastAsia="Aptos" w:hAnsi="Verdana" w:cs="Times New Roman"/>
          <w:sz w:val="20"/>
          <w:szCs w:val="20"/>
        </w:rPr>
        <w:t>neopunitivo</w:t>
      </w:r>
      <w:proofErr w:type="spellEnd"/>
      <w:r w:rsidRPr="003514B0">
        <w:rPr>
          <w:rFonts w:ascii="Verdana" w:eastAsia="Aptos" w:hAnsi="Verdana" w:cs="Times New Roman"/>
          <w:sz w:val="20"/>
          <w:szCs w:val="20"/>
        </w:rPr>
        <w:t>”.</w:t>
      </w:r>
    </w:p>
    <w:p w14:paraId="551847C2" w14:textId="77777777" w:rsidR="008D07F9" w:rsidRPr="003514B0" w:rsidRDefault="008D07F9" w:rsidP="008D07F9">
      <w:pPr>
        <w:spacing w:after="0" w:line="240" w:lineRule="auto"/>
        <w:jc w:val="both"/>
        <w:rPr>
          <w:rFonts w:ascii="Verdana" w:eastAsia="Aptos" w:hAnsi="Verdana" w:cs="Times New Roman"/>
          <w:sz w:val="20"/>
          <w:szCs w:val="20"/>
        </w:rPr>
      </w:pPr>
    </w:p>
    <w:p w14:paraId="1F85C94D" w14:textId="77777777" w:rsidR="008D07F9" w:rsidRPr="003514B0" w:rsidRDefault="008D07F9" w:rsidP="008D07F9">
      <w:pPr>
        <w:spacing w:after="0" w:line="240" w:lineRule="auto"/>
        <w:jc w:val="both"/>
        <w:rPr>
          <w:rFonts w:ascii="Verdana" w:eastAsia="Aptos" w:hAnsi="Verdana" w:cs="Times New Roman"/>
          <w:sz w:val="20"/>
          <w:szCs w:val="20"/>
        </w:rPr>
      </w:pPr>
      <w:r w:rsidRPr="003514B0">
        <w:rPr>
          <w:rFonts w:ascii="Verdana" w:eastAsia="Aptos" w:hAnsi="Verdana" w:cs="Times New Roman"/>
          <w:sz w:val="20"/>
          <w:szCs w:val="20"/>
        </w:rPr>
        <w:t>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w:t>
      </w:r>
    </w:p>
    <w:p w14:paraId="6A88510F" w14:textId="77777777" w:rsidR="008D07F9" w:rsidRPr="003514B0" w:rsidRDefault="008D07F9" w:rsidP="008D07F9">
      <w:pPr>
        <w:spacing w:after="0" w:line="240" w:lineRule="auto"/>
        <w:jc w:val="both"/>
        <w:rPr>
          <w:rFonts w:ascii="Verdana" w:eastAsia="Aptos" w:hAnsi="Verdana" w:cs="Times New Roman"/>
          <w:sz w:val="20"/>
          <w:szCs w:val="20"/>
        </w:rPr>
      </w:pPr>
    </w:p>
    <w:p w14:paraId="0A9A8E3C" w14:textId="77777777" w:rsidR="008D07F9" w:rsidRPr="003514B0" w:rsidRDefault="008D07F9" w:rsidP="008D07F9">
      <w:pPr>
        <w:spacing w:after="0" w:line="240" w:lineRule="auto"/>
        <w:jc w:val="both"/>
        <w:rPr>
          <w:rFonts w:ascii="Verdana" w:eastAsia="Calibri" w:hAnsi="Verdana" w:cs="Arial"/>
          <w:b/>
          <w:bCs/>
          <w:lang w:val="es-ES" w:eastAsia="es-ES"/>
        </w:rPr>
      </w:pPr>
      <w:r w:rsidRPr="003514B0">
        <w:rPr>
          <w:rFonts w:ascii="Verdana" w:eastAsia="Calibri" w:hAnsi="Verdana" w:cs="Arial"/>
          <w:b/>
          <w:bCs/>
          <w:lang w:val="es-ES" w:eastAsia="es-ES"/>
        </w:rPr>
        <w:t>RÉGIMEN DE INHABILIDADES – Registro nacional de medidas correctivas – No pago de multas – Limitación para contratar</w:t>
      </w:r>
    </w:p>
    <w:p w14:paraId="664F48D8" w14:textId="77777777" w:rsidR="008D07F9" w:rsidRPr="003514B0" w:rsidRDefault="008D07F9" w:rsidP="008D07F9">
      <w:pPr>
        <w:spacing w:after="0" w:line="240" w:lineRule="auto"/>
        <w:jc w:val="both"/>
        <w:rPr>
          <w:rFonts w:ascii="Verdana" w:eastAsia="Calibri" w:hAnsi="Verdana" w:cs="Arial"/>
          <w:b/>
          <w:bCs/>
          <w:sz w:val="20"/>
          <w:szCs w:val="20"/>
          <w:lang w:val="es-ES_tradnl" w:eastAsia="es-ES_tradnl"/>
        </w:rPr>
      </w:pPr>
    </w:p>
    <w:p w14:paraId="0AAA7764" w14:textId="77777777" w:rsidR="008D07F9" w:rsidRPr="003514B0" w:rsidRDefault="008D07F9" w:rsidP="008D07F9">
      <w:pPr>
        <w:spacing w:after="0" w:line="240" w:lineRule="auto"/>
        <w:jc w:val="both"/>
        <w:rPr>
          <w:rFonts w:ascii="Verdana" w:eastAsia="Aptos" w:hAnsi="Verdana" w:cs="Times New Roman"/>
          <w:sz w:val="20"/>
          <w:szCs w:val="20"/>
        </w:rPr>
      </w:pPr>
      <w:r w:rsidRPr="003514B0">
        <w:rPr>
          <w:rFonts w:ascii="Verdana" w:eastAsia="Aptos" w:hAnsi="Verdana" w:cs="Times New Roman"/>
          <w:sz w:val="20"/>
          <w:szCs w:val="20"/>
        </w:rPr>
        <w:t>[...]al analizarse el régimen de inhabilidades, se observa que el solo reporte en el Registro Nacional de Medidas Correctivas no genera una causal inhabilidad para celebrar contratos con las entidades públicas, 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48B2E08A" w14:textId="77777777" w:rsidR="008D07F9" w:rsidRPr="003514B0" w:rsidRDefault="008D07F9" w:rsidP="008D07F9">
      <w:pPr>
        <w:spacing w:after="0" w:line="240" w:lineRule="auto"/>
        <w:jc w:val="both"/>
        <w:rPr>
          <w:rFonts w:ascii="Verdana" w:eastAsia="Aptos" w:hAnsi="Verdana" w:cs="Times New Roman"/>
          <w:sz w:val="20"/>
          <w:szCs w:val="20"/>
        </w:rPr>
      </w:pPr>
    </w:p>
    <w:p w14:paraId="115CE43B" w14:textId="77777777" w:rsidR="008D07F9" w:rsidRDefault="008D07F9" w:rsidP="008D07F9">
      <w:pPr>
        <w:spacing w:after="0" w:line="240" w:lineRule="auto"/>
        <w:jc w:val="both"/>
        <w:rPr>
          <w:rFonts w:ascii="Verdana" w:eastAsia="Aptos" w:hAnsi="Verdana" w:cs="Times New Roman"/>
          <w:sz w:val="20"/>
          <w:szCs w:val="20"/>
        </w:rPr>
      </w:pPr>
      <w:r w:rsidRPr="003514B0">
        <w:rPr>
          <w:rFonts w:ascii="Verdana" w:eastAsia="Aptos" w:hAnsi="Verdana" w:cs="Times New Roman"/>
          <w:sz w:val="20"/>
          <w:szCs w:val="20"/>
        </w:rPr>
        <w:t>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Constituyéndose entonces, lo anterior, como una causal de inhabilidad para celebrar contratos con las entidades públicas.</w:t>
      </w:r>
    </w:p>
    <w:p w14:paraId="33AC5399" w14:textId="77777777" w:rsidR="008D07F9" w:rsidRDefault="008D07F9" w:rsidP="008D07F9">
      <w:pPr>
        <w:spacing w:after="0" w:line="240" w:lineRule="auto"/>
        <w:rPr>
          <w:rFonts w:ascii="Verdana" w:eastAsia="Aptos" w:hAnsi="Verdana" w:cs="Times New Roman"/>
          <w:sz w:val="20"/>
          <w:szCs w:val="20"/>
        </w:rPr>
      </w:pPr>
    </w:p>
    <w:p w14:paraId="750FD5D7" w14:textId="77777777" w:rsidR="008D07F9" w:rsidRPr="003A0B1E" w:rsidRDefault="008D07F9" w:rsidP="008D07F9">
      <w:pPr>
        <w:spacing w:after="0" w:line="240" w:lineRule="auto"/>
        <w:jc w:val="both"/>
        <w:rPr>
          <w:rFonts w:ascii="Verdana" w:hAnsi="Verdana" w:cs="Arial"/>
          <w:b/>
          <w:lang w:val="es-MX"/>
        </w:rPr>
      </w:pPr>
      <w:r w:rsidRPr="003A0B1E">
        <w:rPr>
          <w:rFonts w:ascii="Verdana" w:hAnsi="Verdana" w:cs="Arial"/>
          <w:b/>
          <w:lang w:val="es-MX"/>
        </w:rPr>
        <w:t xml:space="preserve">DEFINICIÓN DE LA SITUACIÓN MILITAR – Verificación </w:t>
      </w:r>
    </w:p>
    <w:p w14:paraId="7B8BA152" w14:textId="77777777" w:rsidR="008D07F9" w:rsidRPr="00433B96" w:rsidRDefault="008D07F9" w:rsidP="008D07F9">
      <w:pPr>
        <w:spacing w:after="0" w:line="240" w:lineRule="auto"/>
        <w:jc w:val="both"/>
        <w:rPr>
          <w:rFonts w:ascii="Verdana" w:hAnsi="Verdana" w:cs="Arial"/>
          <w:b/>
          <w:sz w:val="20"/>
          <w:szCs w:val="20"/>
          <w:lang w:val="es-MX"/>
        </w:rPr>
      </w:pPr>
    </w:p>
    <w:p w14:paraId="36B8CFAF"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se entiende que la situación militar se acredita resuelta o definida cuando el ciudadano posee tarjeta de reservista militar (primera o segunda clase), el certificado </w:t>
      </w:r>
      <w:r w:rsidRPr="00433B96">
        <w:rPr>
          <w:rFonts w:ascii="Verdana" w:hAnsi="Verdana" w:cs="Arial"/>
          <w:bCs/>
          <w:sz w:val="20"/>
          <w:szCs w:val="20"/>
          <w:lang w:val="es-MX"/>
        </w:rPr>
        <w:lastRenderedPageBreak/>
        <w:t>digital o cédula militar de que de que tratan los artículos 35, 40 y 41 de la Ley 1861 de 2017.</w:t>
      </w:r>
    </w:p>
    <w:p w14:paraId="6B044104"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w:t>
      </w:r>
    </w:p>
    <w:p w14:paraId="1D3F2B7E" w14:textId="77777777" w:rsidR="008D07F9"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ES_tradnl"/>
        </w:rPr>
        <w:t xml:space="preserve">Los ciudadanos que pretendan suscribir un contrato de prestación de servicios con una Entidad Estatal podrán acreditar su situación militar de la siguiente manera: i) copia de la libreta militar; o </w:t>
      </w:r>
      <w:proofErr w:type="spellStart"/>
      <w:r w:rsidRPr="00433B96">
        <w:rPr>
          <w:rFonts w:ascii="Verdana" w:hAnsi="Verdana" w:cs="Arial"/>
          <w:bCs/>
          <w:sz w:val="20"/>
          <w:szCs w:val="20"/>
          <w:lang w:val="es-ES_tradnl"/>
        </w:rPr>
        <w:t>ii</w:t>
      </w:r>
      <w:proofErr w:type="spellEnd"/>
      <w:r w:rsidRPr="00433B96">
        <w:rPr>
          <w:rFonts w:ascii="Verdana" w:hAnsi="Verdana" w:cs="Arial"/>
          <w:bCs/>
          <w:sz w:val="20"/>
          <w:szCs w:val="20"/>
          <w:lang w:val="es-ES_tradnl"/>
        </w:rPr>
        <w:t xml:space="preserve">) certificación provisional en línea la cual acreditará que su situación militar se encuentra en trámite;  o </w:t>
      </w:r>
      <w:proofErr w:type="spellStart"/>
      <w:r w:rsidRPr="00433B96">
        <w:rPr>
          <w:rFonts w:ascii="Verdana" w:hAnsi="Verdana" w:cs="Arial"/>
          <w:bCs/>
          <w:sz w:val="20"/>
          <w:szCs w:val="20"/>
          <w:lang w:val="es-ES_tradnl"/>
        </w:rPr>
        <w:t>iii</w:t>
      </w:r>
      <w:proofErr w:type="spellEnd"/>
      <w:r w:rsidRPr="00433B96">
        <w:rPr>
          <w:rFonts w:ascii="Verdana" w:hAnsi="Verdana" w:cs="Arial"/>
          <w:bCs/>
          <w:sz w:val="20"/>
          <w:szCs w:val="20"/>
          <w:lang w:val="es-ES_tradnl"/>
        </w:rPr>
        <w:t xml:space="preserve">)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433B96">
        <w:rPr>
          <w:rFonts w:ascii="Verdana" w:hAnsi="Verdana" w:cs="Arial"/>
          <w:bCs/>
          <w:sz w:val="20"/>
          <w:szCs w:val="20"/>
          <w:lang w:val="es-ES_tradnl"/>
        </w:rPr>
        <w:t>iv</w:t>
      </w:r>
      <w:proofErr w:type="spellEnd"/>
      <w:r w:rsidRPr="00433B96">
        <w:rPr>
          <w:rFonts w:ascii="Verdana" w:hAnsi="Verdana" w:cs="Arial"/>
          <w:bCs/>
          <w:sz w:val="20"/>
          <w:szCs w:val="20"/>
          <w:lang w:val="es-ES_tradnl"/>
        </w:rPr>
        <w:t xml:space="preserve">)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 </w:t>
      </w:r>
      <w:r w:rsidRPr="00433B96">
        <w:rPr>
          <w:rFonts w:ascii="Verdana" w:hAnsi="Verdana" w:cs="Arial"/>
          <w:bCs/>
          <w:sz w:val="20"/>
          <w:szCs w:val="20"/>
          <w:lang w:val="es-MX"/>
        </w:rPr>
        <w:t>[…]</w:t>
      </w:r>
    </w:p>
    <w:p w14:paraId="1B745020" w14:textId="77777777" w:rsidR="008D07F9" w:rsidRPr="00433B96" w:rsidRDefault="008D07F9" w:rsidP="008D07F9">
      <w:pPr>
        <w:spacing w:after="0" w:line="240" w:lineRule="auto"/>
        <w:jc w:val="both"/>
        <w:rPr>
          <w:rFonts w:ascii="Verdana" w:hAnsi="Verdana" w:cs="Arial"/>
          <w:bCs/>
          <w:sz w:val="20"/>
          <w:szCs w:val="20"/>
          <w:lang w:val="es-ES_tradnl"/>
        </w:rPr>
      </w:pPr>
    </w:p>
    <w:p w14:paraId="58329CD0" w14:textId="77777777" w:rsidR="008D07F9" w:rsidRPr="003A0B1E" w:rsidRDefault="008D07F9" w:rsidP="008D07F9">
      <w:pPr>
        <w:spacing w:after="0" w:line="240" w:lineRule="auto"/>
        <w:jc w:val="both"/>
        <w:rPr>
          <w:rFonts w:ascii="Verdana" w:hAnsi="Verdana" w:cs="Arial"/>
          <w:b/>
          <w:lang w:val="es-MX"/>
        </w:rPr>
      </w:pPr>
      <w:r w:rsidRPr="003A0B1E">
        <w:rPr>
          <w:rFonts w:ascii="Verdana" w:hAnsi="Verdana" w:cs="Arial"/>
          <w:b/>
          <w:lang w:val="es-MX"/>
        </w:rPr>
        <w:t>ACREDITACIÓN DE LA SITUACIÓN MILITAR – Exigibilidad – Personas naturales – Personas jurídicas – Consorcio – Unión Temporal – Representante legal</w:t>
      </w:r>
    </w:p>
    <w:p w14:paraId="28B6B274" w14:textId="77777777" w:rsidR="008D07F9" w:rsidRDefault="008D07F9" w:rsidP="008D07F9">
      <w:pPr>
        <w:spacing w:after="0" w:line="240" w:lineRule="auto"/>
        <w:jc w:val="both"/>
        <w:rPr>
          <w:rFonts w:ascii="Verdana" w:hAnsi="Verdana" w:cs="Arial"/>
          <w:bCs/>
          <w:sz w:val="20"/>
          <w:szCs w:val="20"/>
          <w:lang w:val="es-MX"/>
        </w:rPr>
      </w:pPr>
    </w:p>
    <w:p w14:paraId="03E8CC49" w14:textId="77777777" w:rsidR="008D07F9" w:rsidRPr="00433B96" w:rsidRDefault="008D07F9" w:rsidP="008D07F9">
      <w:pPr>
        <w:spacing w:after="0" w:line="240" w:lineRule="auto"/>
        <w:jc w:val="both"/>
        <w:rPr>
          <w:rFonts w:ascii="Verdana" w:hAnsi="Verdana" w:cs="Arial"/>
          <w:b/>
          <w:sz w:val="20"/>
          <w:szCs w:val="20"/>
          <w:lang w:val="es-MX"/>
        </w:rPr>
      </w:pPr>
      <w:r w:rsidRPr="00433B96">
        <w:rPr>
          <w:rFonts w:ascii="Verdana" w:hAnsi="Verdana" w:cs="Arial"/>
          <w:bCs/>
          <w:sz w:val="20"/>
          <w:szCs w:val="20"/>
          <w:lang w:val="es-MX"/>
        </w:rPr>
        <w:t xml:space="preserve">[…] </w:t>
      </w:r>
      <w:r w:rsidRPr="00433B96">
        <w:rPr>
          <w:rFonts w:ascii="Verdana" w:eastAsia="Calibri" w:hAnsi="Verdana" w:cs="Arial"/>
          <w:sz w:val="20"/>
          <w:szCs w:val="20"/>
        </w:rPr>
        <w:t>El ámbito de aplicación del requisito al que se refiere el primer inciso del artículo 42 de la Ley 1861 de 2017 se circunscribe a la tipología contractual contemplada en el numeral 3 del artículo 32 de la Ley 80 de 1993, cuando haya lugar a su celebración con personas naturales, específicamente, con varón es de nacionalidad colombiana.</w:t>
      </w:r>
    </w:p>
    <w:p w14:paraId="14F1AC38"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16688D74"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En sentido, lo dispuesto en el primer inciso del artículo 42 de la Ley 1861 de 2017 , tampoco implica que de manera obligatoria se deba exigir la acreditación del estado de definición de la situación militar a los representantes legales de las personas jurídicas que pretendan suscribir contratos estatales, ya que si bien el representante sea una persona natural, este concurre el negocio jurídico en representación de una persona jurídica a la que no resulta aplicable el requisito, menos aun si no se trata de un contrato de prestación de servicios profesionales o de apoyo a la gestión.</w:t>
      </w:r>
    </w:p>
    <w:p w14:paraId="44075BF4"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695F7E0C" w14:textId="77777777" w:rsidR="008D07F9" w:rsidRPr="00433B96" w:rsidRDefault="008D07F9" w:rsidP="008D07F9">
      <w:pPr>
        <w:spacing w:after="0" w:line="240" w:lineRule="auto"/>
        <w:jc w:val="both"/>
        <w:rPr>
          <w:rFonts w:ascii="Verdana" w:hAnsi="Verdana" w:cs="Arial"/>
          <w:bCs/>
          <w:sz w:val="20"/>
          <w:szCs w:val="20"/>
          <w:lang w:val="es-MX"/>
        </w:rPr>
      </w:pPr>
      <w:r w:rsidRPr="00433B96">
        <w:rPr>
          <w:rFonts w:ascii="Verdana" w:hAnsi="Verdana" w:cs="Arial"/>
          <w:bCs/>
          <w:sz w:val="20"/>
          <w:szCs w:val="20"/>
          <w:lang w:val="es-MX"/>
        </w:rPr>
        <w:t xml:space="preserve">Lo mismo podría decirse mutatis mutandis respecto de los representantes legales de consorcios o uniones temporales, quienes por lo general concurren a la estructura plural en representación de personas jurídicas, caso en el cual, por las razones antes explicadas, tampoco sería aplicable el requisito. No obstante, el requisito del inciso primero del artículo 42 de la Ley 1861 de 2017 si resultara exigible respecto de los miembros del consocio o unión que tengan la obligación de definir su situación militar con arreglo al artículo 11 de la referida ley, pero únicamente cuando el negocio jurídico a celebrar se trate de un contrato de prestación de servicios profesionales o de apoyo a la gestión. […] </w:t>
      </w:r>
    </w:p>
    <w:p w14:paraId="0F738D78" w14:textId="77777777" w:rsidR="008D07F9" w:rsidRDefault="008D07F9" w:rsidP="008D07F9">
      <w:pPr>
        <w:spacing w:after="0" w:line="240" w:lineRule="auto"/>
        <w:rPr>
          <w:rFonts w:ascii="Verdana" w:eastAsia="Aptos" w:hAnsi="Verdana" w:cs="Times New Roman"/>
          <w:sz w:val="20"/>
          <w:szCs w:val="20"/>
        </w:rPr>
      </w:pPr>
    </w:p>
    <w:p w14:paraId="5F06F8C7" w14:textId="77777777" w:rsidR="008D07F9" w:rsidRDefault="008D07F9" w:rsidP="008D07F9">
      <w:pPr>
        <w:spacing w:after="0" w:line="240" w:lineRule="auto"/>
        <w:rPr>
          <w:rFonts w:ascii="Verdana" w:eastAsia="Aptos" w:hAnsi="Verdana" w:cs="Times New Roman"/>
          <w:sz w:val="20"/>
          <w:szCs w:val="20"/>
        </w:rPr>
      </w:pPr>
    </w:p>
    <w:p w14:paraId="2982CF5F" w14:textId="77777777" w:rsidR="008D07F9" w:rsidRDefault="008D07F9" w:rsidP="008D07F9">
      <w:pPr>
        <w:spacing w:after="0" w:line="240" w:lineRule="auto"/>
        <w:rPr>
          <w:rFonts w:ascii="Verdana" w:eastAsia="Aptos" w:hAnsi="Verdana" w:cs="Times New Roman"/>
          <w:sz w:val="20"/>
          <w:szCs w:val="20"/>
        </w:rPr>
      </w:pPr>
    </w:p>
    <w:p w14:paraId="1A5A4AA1" w14:textId="77777777" w:rsidR="008D07F9" w:rsidRDefault="008D07F9" w:rsidP="008D07F9">
      <w:pPr>
        <w:spacing w:after="0" w:line="240" w:lineRule="auto"/>
        <w:rPr>
          <w:rFonts w:ascii="Verdana" w:eastAsia="Aptos" w:hAnsi="Verdana" w:cs="Times New Roman"/>
          <w:sz w:val="20"/>
          <w:szCs w:val="20"/>
        </w:rPr>
      </w:pPr>
    </w:p>
    <w:p w14:paraId="14EDB12C" w14:textId="77777777" w:rsidR="008D07F9" w:rsidRDefault="008D07F9" w:rsidP="008D07F9">
      <w:pPr>
        <w:spacing w:after="0" w:line="240" w:lineRule="auto"/>
        <w:rPr>
          <w:rFonts w:ascii="Verdana" w:eastAsia="Aptos" w:hAnsi="Verdana" w:cs="Times New Roman"/>
          <w:sz w:val="20"/>
          <w:szCs w:val="20"/>
        </w:rPr>
      </w:pPr>
    </w:p>
    <w:p w14:paraId="7DB29EAD" w14:textId="77777777" w:rsidR="008D07F9" w:rsidRPr="0047490F" w:rsidRDefault="008D07F9" w:rsidP="008D07F9">
      <w:pPr>
        <w:spacing w:after="0" w:line="240" w:lineRule="auto"/>
        <w:rPr>
          <w:rFonts w:ascii="Verdana" w:eastAsia="Geomanist Light" w:hAnsi="Verdana" w:cs="Arial"/>
          <w:lang w:val="es-MX"/>
        </w:rPr>
      </w:pPr>
      <w:r w:rsidRPr="0047490F">
        <w:rPr>
          <w:rFonts w:ascii="Verdana" w:eastAsia="Geomanist Light" w:hAnsi="Verdana" w:cs="Arial"/>
          <w:lang w:val="es-MX"/>
        </w:rPr>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487E4DCE" w14:textId="77777777" w:rsidR="008D07F9" w:rsidRPr="0047490F" w:rsidRDefault="008D07F9" w:rsidP="008D07F9">
      <w:pPr>
        <w:spacing w:after="0" w:line="240" w:lineRule="auto"/>
        <w:jc w:val="both"/>
        <w:rPr>
          <w:rFonts w:ascii="Verdana" w:eastAsia="Calibri" w:hAnsi="Verdana" w:cs="Arial"/>
          <w:lang w:val="es-ES"/>
        </w:rPr>
      </w:pPr>
    </w:p>
    <w:p w14:paraId="307BB486" w14:textId="7576D5EB" w:rsidR="008D07F9" w:rsidRPr="0047490F" w:rsidRDefault="003135D0" w:rsidP="008D07F9">
      <w:pPr>
        <w:spacing w:after="0" w:line="240" w:lineRule="auto"/>
        <w:jc w:val="right"/>
        <w:rPr>
          <w:rFonts w:ascii="Verdana" w:eastAsia="Calibri" w:hAnsi="Verdana" w:cs="Arial"/>
          <w:lang w:val="es-ES"/>
        </w:rPr>
      </w:pPr>
      <w:r w:rsidRPr="003135D0">
        <w:rPr>
          <w:rFonts w:ascii="Verdana" w:eastAsia="Calibri" w:hAnsi="Verdana" w:cs="Arial"/>
          <w:noProof/>
          <w:lang w:val="es-ES"/>
        </w:rPr>
        <w:drawing>
          <wp:inline distT="0" distB="0" distL="0" distR="0" wp14:anchorId="6AF97F65" wp14:editId="44D51D52">
            <wp:extent cx="3286584" cy="943107"/>
            <wp:effectExtent l="0" t="0" r="0" b="9525"/>
            <wp:docPr id="11155504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50478" name="Imagen 1" descr="Texto&#10;&#10;Descripción generada automáticamente"/>
                    <pic:cNvPicPr/>
                  </pic:nvPicPr>
                  <pic:blipFill>
                    <a:blip r:embed="rId10"/>
                    <a:stretch>
                      <a:fillRect/>
                    </a:stretch>
                  </pic:blipFill>
                  <pic:spPr>
                    <a:xfrm>
                      <a:off x="0" y="0"/>
                      <a:ext cx="3286584" cy="943107"/>
                    </a:xfrm>
                    <a:prstGeom prst="rect">
                      <a:avLst/>
                    </a:prstGeom>
                  </pic:spPr>
                </pic:pic>
              </a:graphicData>
            </a:graphic>
          </wp:inline>
        </w:drawing>
      </w:r>
    </w:p>
    <w:p w14:paraId="14C9469C" w14:textId="77777777" w:rsidR="008D07F9" w:rsidRPr="0079313F" w:rsidRDefault="008D07F9" w:rsidP="008D07F9">
      <w:pPr>
        <w:spacing w:after="0" w:line="240" w:lineRule="auto"/>
        <w:jc w:val="both"/>
        <w:rPr>
          <w:rFonts w:ascii="Verdana" w:eastAsia="Calibri" w:hAnsi="Verdana" w:cs="Arial"/>
          <w:lang w:val="es-ES" w:eastAsia="es-ES"/>
        </w:rPr>
      </w:pPr>
      <w:r w:rsidRPr="0079313F">
        <w:rPr>
          <w:rFonts w:ascii="Verdana" w:eastAsia="Calibri" w:hAnsi="Verdana" w:cs="Arial"/>
          <w:lang w:val="es-ES" w:eastAsia="es-ES"/>
        </w:rPr>
        <w:t>Señor</w:t>
      </w:r>
    </w:p>
    <w:p w14:paraId="08A67E8E" w14:textId="77777777" w:rsidR="008D07F9" w:rsidRPr="0079313F" w:rsidRDefault="008D07F9" w:rsidP="008D07F9">
      <w:pPr>
        <w:spacing w:after="0" w:line="240" w:lineRule="auto"/>
        <w:rPr>
          <w:rFonts w:ascii="Verdana" w:eastAsia="Calibri" w:hAnsi="Verdana" w:cs="Arial"/>
          <w:b/>
          <w:bCs/>
          <w:lang w:val="es-ES" w:eastAsia="es-ES"/>
        </w:rPr>
      </w:pPr>
      <w:r w:rsidRPr="3D837D24">
        <w:rPr>
          <w:rFonts w:ascii="Verdana" w:eastAsia="Calibri" w:hAnsi="Verdana" w:cs="Arial"/>
          <w:b/>
          <w:bCs/>
          <w:lang w:val="es-ES" w:eastAsia="es-ES"/>
        </w:rPr>
        <w:t xml:space="preserve">Felipe </w:t>
      </w:r>
      <w:proofErr w:type="spellStart"/>
      <w:r w:rsidRPr="3D837D24">
        <w:rPr>
          <w:rFonts w:ascii="Verdana" w:eastAsia="Calibri" w:hAnsi="Verdana" w:cs="Arial"/>
          <w:b/>
          <w:bCs/>
          <w:lang w:val="es-ES" w:eastAsia="es-ES"/>
        </w:rPr>
        <w:t>Levette</w:t>
      </w:r>
      <w:proofErr w:type="spellEnd"/>
    </w:p>
    <w:p w14:paraId="7651C3AE" w14:textId="77777777" w:rsidR="008D07F9" w:rsidRDefault="001D0086" w:rsidP="008D07F9">
      <w:pPr>
        <w:spacing w:after="0" w:line="240" w:lineRule="auto"/>
        <w:rPr>
          <w:rFonts w:ascii="Verdana" w:eastAsia="Calibri" w:hAnsi="Verdana" w:cs="Arial"/>
          <w:lang w:eastAsia="es-ES"/>
        </w:rPr>
      </w:pPr>
      <w:hyperlink r:id="rId11" w:history="1">
        <w:r w:rsidR="008D07F9" w:rsidRPr="008B6891">
          <w:rPr>
            <w:rStyle w:val="Hipervnculo"/>
            <w:rFonts w:ascii="Verdana" w:eastAsia="Calibri" w:hAnsi="Verdana" w:cs="Arial"/>
            <w:lang w:eastAsia="es-ES"/>
          </w:rPr>
          <w:t>objetor4@gmail.com</w:t>
        </w:r>
      </w:hyperlink>
      <w:r w:rsidR="008D07F9">
        <w:rPr>
          <w:rFonts w:ascii="Verdana" w:eastAsia="Calibri" w:hAnsi="Verdana" w:cs="Arial"/>
          <w:lang w:eastAsia="es-ES"/>
        </w:rPr>
        <w:t xml:space="preserve"> </w:t>
      </w:r>
    </w:p>
    <w:p w14:paraId="39CCEFF5" w14:textId="77777777" w:rsidR="008D07F9" w:rsidRPr="0079313F" w:rsidRDefault="008D07F9" w:rsidP="008D07F9">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061E6CB0" w14:textId="77777777" w:rsidR="008D07F9" w:rsidRPr="0079313F" w:rsidRDefault="008D07F9" w:rsidP="008D07F9">
      <w:pPr>
        <w:spacing w:after="0" w:line="240" w:lineRule="auto"/>
        <w:rPr>
          <w:rFonts w:ascii="Verdana" w:eastAsia="Calibri" w:hAnsi="Verdana" w:cs="Arial"/>
          <w:b/>
          <w:bCs/>
          <w:lang w:val="es-ES_tradnl" w:eastAsia="es-ES_tradnl"/>
        </w:rPr>
      </w:pPr>
    </w:p>
    <w:p w14:paraId="583C57E1" w14:textId="77777777" w:rsidR="008D07F9" w:rsidRPr="0079313F" w:rsidRDefault="008D07F9" w:rsidP="008D07F9">
      <w:pPr>
        <w:spacing w:after="0" w:line="240" w:lineRule="auto"/>
        <w:rPr>
          <w:rFonts w:ascii="Verdana" w:eastAsia="Calibri" w:hAnsi="Verdana" w:cs="Arial"/>
          <w:b/>
          <w:bCs/>
          <w:highlight w:val="yellow"/>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D07F9" w:rsidRPr="0079313F" w14:paraId="0E72FF96" w14:textId="77777777" w:rsidTr="00AC4589">
        <w:trPr>
          <w:trHeight w:val="884"/>
        </w:trPr>
        <w:tc>
          <w:tcPr>
            <w:tcW w:w="2689" w:type="dxa"/>
          </w:tcPr>
          <w:p w14:paraId="1E043891" w14:textId="77777777" w:rsidR="008D07F9" w:rsidRPr="00CD6260" w:rsidRDefault="008D07F9" w:rsidP="00AC4589">
            <w:pPr>
              <w:jc w:val="both"/>
              <w:rPr>
                <w:rFonts w:ascii="Verdana" w:eastAsia="Calibri" w:hAnsi="Verdana" w:cs="Arial"/>
                <w:b/>
                <w:bCs/>
                <w:lang w:val="es-ES_tradnl" w:eastAsia="es-ES_tradnl"/>
              </w:rPr>
            </w:pPr>
          </w:p>
        </w:tc>
        <w:tc>
          <w:tcPr>
            <w:tcW w:w="6100" w:type="dxa"/>
          </w:tcPr>
          <w:p w14:paraId="22FAE6BF" w14:textId="77777777" w:rsidR="008D07F9" w:rsidRPr="0079313F" w:rsidRDefault="008D07F9" w:rsidP="00AC4589">
            <w:pPr>
              <w:jc w:val="both"/>
              <w:rPr>
                <w:rFonts w:ascii="Verdana" w:eastAsia="Calibri" w:hAnsi="Verdana" w:cs="Arial"/>
                <w:b/>
                <w:bCs/>
                <w:lang w:val="es-ES" w:eastAsia="es-ES"/>
              </w:rPr>
            </w:pPr>
            <w:r w:rsidRPr="0079313F">
              <w:rPr>
                <w:rFonts w:ascii="Verdana" w:eastAsia="Calibri" w:hAnsi="Verdana" w:cs="Arial"/>
                <w:b/>
                <w:bCs/>
                <w:lang w:val="es-ES" w:eastAsia="es-ES"/>
              </w:rPr>
              <w:t>Concepto C-</w:t>
            </w:r>
            <w:r>
              <w:rPr>
                <w:rFonts w:ascii="Verdana" w:eastAsia="Calibri" w:hAnsi="Verdana" w:cs="Arial"/>
                <w:b/>
                <w:bCs/>
                <w:lang w:val="es-ES" w:eastAsia="es-ES"/>
              </w:rPr>
              <w:t>709</w:t>
            </w:r>
            <w:r w:rsidRPr="0079313F">
              <w:rPr>
                <w:rFonts w:ascii="Verdana" w:eastAsia="Calibri" w:hAnsi="Verdana" w:cs="Arial"/>
                <w:b/>
                <w:bCs/>
                <w:lang w:val="es-ES" w:eastAsia="es-ES"/>
              </w:rPr>
              <w:t xml:space="preserve"> de 2024</w:t>
            </w:r>
          </w:p>
        </w:tc>
      </w:tr>
      <w:tr w:rsidR="008D07F9" w:rsidRPr="0047490F" w14:paraId="701BFF22" w14:textId="77777777" w:rsidTr="00AC4589">
        <w:trPr>
          <w:trHeight w:val="884"/>
        </w:trPr>
        <w:tc>
          <w:tcPr>
            <w:tcW w:w="2689" w:type="dxa"/>
          </w:tcPr>
          <w:p w14:paraId="6CC3DAEE" w14:textId="77777777" w:rsidR="008D07F9" w:rsidRPr="00CD6260" w:rsidRDefault="008D07F9" w:rsidP="00AC4589">
            <w:pPr>
              <w:jc w:val="both"/>
              <w:rPr>
                <w:rFonts w:ascii="Verdana" w:eastAsia="Calibri" w:hAnsi="Verdana" w:cs="Arial"/>
                <w:lang w:val="es-ES_tradnl" w:eastAsia="es-ES_tradnl"/>
              </w:rPr>
            </w:pPr>
            <w:r w:rsidRPr="00CD6260">
              <w:rPr>
                <w:rFonts w:ascii="Verdana" w:eastAsia="Calibri" w:hAnsi="Verdana" w:cs="Arial"/>
                <w:b/>
                <w:lang w:val="es-ES_tradnl" w:eastAsia="es-ES_tradnl"/>
              </w:rPr>
              <w:t>Temas:</w:t>
            </w:r>
            <w:r w:rsidRPr="00CD6260">
              <w:rPr>
                <w:rFonts w:ascii="Verdana" w:eastAsia="Calibri" w:hAnsi="Verdana" w:cs="Arial"/>
                <w:lang w:val="es-ES_tradnl" w:eastAsia="es-ES_tradnl"/>
              </w:rPr>
              <w:t xml:space="preserve">                   </w:t>
            </w:r>
          </w:p>
        </w:tc>
        <w:tc>
          <w:tcPr>
            <w:tcW w:w="6100" w:type="dxa"/>
          </w:tcPr>
          <w:p w14:paraId="04529B49" w14:textId="08797E08" w:rsidR="008D07F9" w:rsidRPr="003A0B1E" w:rsidRDefault="008D07F9" w:rsidP="003A0B1E">
            <w:pPr>
              <w:jc w:val="both"/>
              <w:rPr>
                <w:rFonts w:ascii="Verdana" w:eastAsia="Calibri" w:hAnsi="Verdana" w:cs="Arial"/>
                <w:lang w:val="es-ES" w:eastAsia="es-ES"/>
              </w:rPr>
            </w:pPr>
            <w:r w:rsidRPr="00CD6260">
              <w:rPr>
                <w:rFonts w:ascii="Verdana" w:eastAsia="Calibri" w:hAnsi="Verdana" w:cs="Arial"/>
                <w:lang w:val="es-ES" w:eastAsia="es-ES"/>
              </w:rPr>
              <w:t xml:space="preserve">RÉGIMEN DE INHABILIDADES – Noción – Contratación estatal – Finalidad / RÉGIMEN DE INHABILIDADES – Registro nacional de medidas correctivas – No pago de multas – Limitación para contratar / DEFINICIÓN DE LA SITUACIÓN MILITAR – Verificación / ACREDITACIÓN DE LA SITUACIÓN MILITAR – Exigibilidad – Personas naturales – Personas jurídicas – Consorcio – Unión </w:t>
            </w:r>
            <w:r w:rsidR="00204F00">
              <w:rPr>
                <w:rFonts w:ascii="Verdana" w:eastAsia="Calibri" w:hAnsi="Verdana" w:cs="Arial"/>
                <w:lang w:val="es-ES" w:eastAsia="es-ES"/>
              </w:rPr>
              <w:t>t</w:t>
            </w:r>
            <w:r w:rsidRPr="00CD6260">
              <w:rPr>
                <w:rFonts w:ascii="Verdana" w:eastAsia="Calibri" w:hAnsi="Verdana" w:cs="Arial"/>
                <w:lang w:val="es-ES" w:eastAsia="es-ES"/>
              </w:rPr>
              <w:t>emporal – Representante legal</w:t>
            </w:r>
            <w:bookmarkStart w:id="0" w:name="_GoBack"/>
            <w:bookmarkEnd w:id="0"/>
          </w:p>
        </w:tc>
      </w:tr>
      <w:tr w:rsidR="008D07F9" w:rsidRPr="0047490F" w14:paraId="2F07F381" w14:textId="77777777" w:rsidTr="00AC4589">
        <w:tc>
          <w:tcPr>
            <w:tcW w:w="2689" w:type="dxa"/>
          </w:tcPr>
          <w:p w14:paraId="7D179D5B" w14:textId="77777777" w:rsidR="008D07F9" w:rsidRPr="0047490F" w:rsidRDefault="008D07F9" w:rsidP="00AC4589">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0DFC9C61" w14:textId="77777777" w:rsidR="008D07F9" w:rsidRPr="0047490F" w:rsidRDefault="008D07F9" w:rsidP="00AC4589">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r w:rsidRPr="006F300F">
              <w:rPr>
                <w:rFonts w:ascii="Verdana" w:eastAsia="Calibri" w:hAnsi="Verdana" w:cs="Arial"/>
                <w:lang w:val="es-ES_tradnl" w:eastAsia="es-ES_tradnl"/>
              </w:rPr>
              <w:t>P20241007010192</w:t>
            </w:r>
            <w:r w:rsidRPr="006F300F">
              <w:rPr>
                <w:rFonts w:ascii="Verdana" w:eastAsia="Calibri" w:hAnsi="Verdana" w:cs="Arial"/>
                <w:lang w:val="es-ES_tradnl" w:eastAsia="es-ES_tradnl"/>
              </w:rPr>
              <w:tab/>
            </w:r>
          </w:p>
        </w:tc>
      </w:tr>
    </w:tbl>
    <w:p w14:paraId="5F157387" w14:textId="77777777" w:rsidR="008D07F9" w:rsidRPr="0047490F" w:rsidRDefault="008D07F9" w:rsidP="008D07F9">
      <w:pPr>
        <w:spacing w:after="0" w:line="240" w:lineRule="auto"/>
        <w:jc w:val="both"/>
        <w:rPr>
          <w:rFonts w:ascii="Verdana" w:eastAsia="Calibri" w:hAnsi="Verdana" w:cs="Arial"/>
          <w:lang w:val="es-ES_tradnl" w:eastAsia="es-ES_tradnl"/>
        </w:rPr>
      </w:pPr>
    </w:p>
    <w:p w14:paraId="54FDEFD0" w14:textId="77777777" w:rsidR="008D07F9" w:rsidRPr="0047490F" w:rsidRDefault="008D07F9" w:rsidP="008D07F9">
      <w:pPr>
        <w:spacing w:after="0" w:line="240" w:lineRule="auto"/>
        <w:jc w:val="both"/>
        <w:rPr>
          <w:rFonts w:ascii="Verdana" w:eastAsia="Calibri" w:hAnsi="Verdana" w:cs="Arial"/>
          <w:lang w:val="es-ES_tradnl" w:eastAsia="es-ES_tradnl"/>
        </w:rPr>
      </w:pPr>
    </w:p>
    <w:p w14:paraId="2CE5DC60" w14:textId="77777777" w:rsidR="008D07F9" w:rsidRPr="0047490F" w:rsidRDefault="008D07F9" w:rsidP="008D07F9">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 xml:space="preserve">Estimado señor </w:t>
      </w:r>
      <w:proofErr w:type="spellStart"/>
      <w:r>
        <w:rPr>
          <w:rFonts w:ascii="Verdana" w:eastAsia="Calibri" w:hAnsi="Verdana" w:cs="Arial"/>
          <w:lang w:val="es-ES" w:eastAsia="es-ES"/>
        </w:rPr>
        <w:t>Levett</w:t>
      </w:r>
      <w:proofErr w:type="spellEnd"/>
      <w:r w:rsidRPr="0047490F">
        <w:rPr>
          <w:rFonts w:ascii="Verdana" w:eastAsia="Calibri" w:hAnsi="Verdana" w:cs="Arial"/>
          <w:lang w:val="es-ES" w:eastAsia="es-ES"/>
        </w:rPr>
        <w:t xml:space="preserve">: </w:t>
      </w:r>
    </w:p>
    <w:p w14:paraId="0944123D" w14:textId="77777777" w:rsidR="008D07F9" w:rsidRPr="0047490F" w:rsidRDefault="008D07F9" w:rsidP="008D07F9">
      <w:pPr>
        <w:tabs>
          <w:tab w:val="left" w:pos="3768"/>
        </w:tabs>
        <w:spacing w:after="0" w:line="276" w:lineRule="auto"/>
        <w:jc w:val="both"/>
        <w:rPr>
          <w:rFonts w:ascii="Verdana" w:eastAsia="Calibri" w:hAnsi="Verdana" w:cs="Arial"/>
          <w:lang w:val="es-ES" w:eastAsia="es-ES"/>
        </w:rPr>
      </w:pPr>
    </w:p>
    <w:p w14:paraId="137C6CF4" w14:textId="77777777" w:rsidR="008D07F9" w:rsidRDefault="008D07F9" w:rsidP="008D07F9">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07 de octubre</w:t>
      </w:r>
      <w:r w:rsidRPr="0047490F">
        <w:rPr>
          <w:rFonts w:ascii="Verdana" w:eastAsia="Calibri" w:hAnsi="Verdana" w:cs="Arial"/>
          <w:lang w:val="es-ES" w:eastAsia="es-ES"/>
        </w:rPr>
        <w:t xml:space="preserve"> de 2024, en la que realiza la siguiente consulta: </w:t>
      </w:r>
    </w:p>
    <w:p w14:paraId="276C885C" w14:textId="77777777" w:rsidR="008D07F9" w:rsidRDefault="008D07F9" w:rsidP="008D07F9">
      <w:pPr>
        <w:spacing w:after="0" w:line="276" w:lineRule="auto"/>
        <w:jc w:val="both"/>
        <w:rPr>
          <w:rFonts w:ascii="Verdana" w:eastAsia="Calibri" w:hAnsi="Verdana" w:cs="Arial"/>
          <w:lang w:val="es-ES" w:eastAsia="es-ES"/>
        </w:rPr>
      </w:pPr>
    </w:p>
    <w:p w14:paraId="09B80259" w14:textId="77777777" w:rsidR="008D07F9" w:rsidRDefault="008D07F9" w:rsidP="008D07F9">
      <w:pPr>
        <w:spacing w:after="0" w:line="276" w:lineRule="auto"/>
        <w:ind w:left="709" w:right="709"/>
        <w:jc w:val="both"/>
        <w:rPr>
          <w:rFonts w:ascii="Verdana" w:eastAsia="Calibri" w:hAnsi="Verdana" w:cs="Arial"/>
          <w:lang w:val="es-MX"/>
        </w:rPr>
      </w:pPr>
      <w:r>
        <w:rPr>
          <w:rFonts w:ascii="Verdana" w:eastAsia="Calibri" w:hAnsi="Verdana" w:cs="Arial"/>
          <w:lang w:val="es-MX"/>
        </w:rPr>
        <w:t xml:space="preserve">“A. Una persona natural fue llamada por una entidad estatal para ser vinculada por medio de un contrato de prestación de servicios </w:t>
      </w:r>
      <w:r>
        <w:rPr>
          <w:rFonts w:ascii="Verdana" w:eastAsia="Calibri" w:hAnsi="Verdana" w:cs="Arial"/>
          <w:lang w:val="es-MX"/>
        </w:rPr>
        <w:lastRenderedPageBreak/>
        <w:t>(OPS), pero esta al recibir la documentación de la persona para la respectiva contratación se percata que el certificado de medidas correctivas RNMC enviado, detalla varios registros de infracción a la Ley 1801 de 2016, todos se encuentran en “apelación” y en estad “abierto”.</w:t>
      </w:r>
    </w:p>
    <w:p w14:paraId="733ECA66"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Expuesto esto, solicito información sobre lo siguiente:</w:t>
      </w:r>
    </w:p>
    <w:p w14:paraId="4AE7A27D"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1. ¿Esa persona natural con registros de medidas correctivas está habilitada para contratar con el estado?</w:t>
      </w:r>
    </w:p>
    <w:p w14:paraId="335183EE"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2. ¿A esta persona se le está imponiendo una carga que no le corresponde?</w:t>
      </w:r>
    </w:p>
    <w:p w14:paraId="593F183A"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3. ¿Está persona puede contratar con la entidad pública sin ningún problema?</w:t>
      </w:r>
    </w:p>
    <w:p w14:paraId="64914FF2"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B. Por otra parte, esta persona tampoco tiene su situación militar definida, en ese sentido, solicito la siguiente información:</w:t>
      </w:r>
    </w:p>
    <w:p w14:paraId="35B4DFD1" w14:textId="77777777" w:rsidR="008D07F9" w:rsidRDefault="008D07F9" w:rsidP="008D07F9">
      <w:pPr>
        <w:spacing w:before="120" w:after="0" w:line="276" w:lineRule="auto"/>
        <w:ind w:left="709" w:right="709"/>
        <w:jc w:val="both"/>
        <w:rPr>
          <w:rFonts w:ascii="Verdana" w:eastAsia="Calibri" w:hAnsi="Verdana" w:cs="Arial"/>
          <w:lang w:val="es-MX"/>
        </w:rPr>
      </w:pPr>
      <w:r>
        <w:rPr>
          <w:rFonts w:ascii="Verdana" w:eastAsia="Calibri" w:hAnsi="Verdana" w:cs="Arial"/>
          <w:lang w:val="es-MX"/>
        </w:rPr>
        <w:t>1. ¿Esta persona puede contratar con dicha entidad sin tener definida su situación militar?</w:t>
      </w:r>
    </w:p>
    <w:p w14:paraId="76FB13CA" w14:textId="77777777" w:rsidR="008D07F9" w:rsidRPr="00FF140F" w:rsidRDefault="008D07F9" w:rsidP="008D07F9">
      <w:pPr>
        <w:spacing w:before="120" w:after="0" w:line="276" w:lineRule="auto"/>
        <w:ind w:left="709" w:right="709"/>
        <w:jc w:val="both"/>
        <w:rPr>
          <w:rFonts w:ascii="Verdana" w:eastAsia="Calibri" w:hAnsi="Verdana" w:cs="Arial"/>
          <w:lang w:val="es-ES" w:eastAsia="es-ES"/>
        </w:rPr>
      </w:pPr>
      <w:r>
        <w:rPr>
          <w:rFonts w:ascii="Verdana" w:eastAsia="Calibri" w:hAnsi="Verdana" w:cs="Arial"/>
          <w:lang w:val="es-MX"/>
        </w:rPr>
        <w:t xml:space="preserve">2. ¿Se viola algún derecho al rechazarle la habilidad de contratar a quien no tenga libreta militar ni haya adelantado trámite alguno para obtenerla?” </w:t>
      </w:r>
      <w:r w:rsidRPr="00FF140F">
        <w:rPr>
          <w:rFonts w:ascii="Verdana" w:eastAsia="Calibri" w:hAnsi="Verdana" w:cs="Arial"/>
          <w:lang w:val="es-MX"/>
        </w:rPr>
        <w:t>[sic]</w:t>
      </w:r>
    </w:p>
    <w:p w14:paraId="1933156F" w14:textId="77777777" w:rsidR="008D07F9" w:rsidRPr="0047490F" w:rsidRDefault="008D07F9" w:rsidP="008D07F9">
      <w:pPr>
        <w:spacing w:before="120"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57CA1046" w14:textId="77777777" w:rsidR="008D07F9" w:rsidRPr="0047490F" w:rsidRDefault="008D07F9" w:rsidP="008D07F9">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w:t>
      </w:r>
      <w:r w:rsidRPr="0047490F">
        <w:rPr>
          <w:rFonts w:ascii="Verdana" w:eastAsia="Calibri" w:hAnsi="Verdana" w:cs="Arial"/>
          <w:lang w:val="es-ES" w:eastAsia="es-ES"/>
        </w:rPr>
        <w:lastRenderedPageBreak/>
        <w:t xml:space="preserve">sobre las normas generales relacionadas con los problemas jurídicos de su consulta. </w:t>
      </w:r>
    </w:p>
    <w:p w14:paraId="7DDF3C2C" w14:textId="77777777" w:rsidR="008D07F9" w:rsidRPr="0047490F" w:rsidRDefault="008D07F9" w:rsidP="008D07F9">
      <w:pPr>
        <w:spacing w:after="0" w:line="276" w:lineRule="auto"/>
        <w:ind w:firstLine="709"/>
        <w:jc w:val="both"/>
        <w:rPr>
          <w:rFonts w:ascii="Verdana" w:eastAsia="Calibri" w:hAnsi="Verdana" w:cs="Arial"/>
          <w:lang w:val="es-ES" w:eastAsia="es-ES"/>
        </w:rPr>
      </w:pPr>
    </w:p>
    <w:p w14:paraId="78144FA7" w14:textId="77777777" w:rsidR="008D07F9" w:rsidRPr="0047490F" w:rsidRDefault="008D07F9" w:rsidP="008D07F9">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3E40BA9F" w14:textId="77777777" w:rsidR="008D07F9" w:rsidRPr="0047490F" w:rsidRDefault="008D07F9" w:rsidP="008D07F9">
      <w:pPr>
        <w:tabs>
          <w:tab w:val="left" w:pos="426"/>
        </w:tabs>
        <w:spacing w:after="0" w:line="276" w:lineRule="auto"/>
        <w:jc w:val="both"/>
        <w:rPr>
          <w:rFonts w:ascii="Verdana" w:eastAsia="Century Gothic" w:hAnsi="Verdana" w:cs="Century Gothic"/>
          <w:lang w:val="es-ES"/>
        </w:rPr>
      </w:pPr>
    </w:p>
    <w:p w14:paraId="54443077" w14:textId="77777777" w:rsidR="008D07F9" w:rsidRDefault="008D07F9" w:rsidP="008D07F9">
      <w:pPr>
        <w:spacing w:after="0" w:line="276" w:lineRule="auto"/>
        <w:jc w:val="both"/>
        <w:rPr>
          <w:rFonts w:ascii="Verdana" w:eastAsia="Century Gothic" w:hAnsi="Verdana" w:cs="Century Gothic"/>
        </w:rPr>
      </w:pPr>
      <w:r w:rsidRPr="0047490F">
        <w:rPr>
          <w:rFonts w:ascii="Verdana" w:eastAsia="Century Gothic" w:hAnsi="Verdana" w:cs="Century Gothic"/>
        </w:rPr>
        <w:t xml:space="preserve">De acuerdo con el contenido de su solicitud, </w:t>
      </w:r>
      <w:r>
        <w:rPr>
          <w:rFonts w:ascii="Verdana" w:eastAsia="Century Gothic" w:hAnsi="Verdana" w:cs="Century Gothic"/>
        </w:rPr>
        <w:t xml:space="preserve">le informamos que la misma se </w:t>
      </w:r>
      <w:r w:rsidRPr="0047490F">
        <w:rPr>
          <w:rFonts w:ascii="Verdana" w:eastAsia="Century Gothic" w:hAnsi="Verdana" w:cs="Century Gothic"/>
        </w:rPr>
        <w:t xml:space="preserve">resolverá desde </w:t>
      </w:r>
      <w:r>
        <w:rPr>
          <w:rFonts w:ascii="Verdana" w:eastAsia="Century Gothic" w:hAnsi="Verdana" w:cs="Century Gothic"/>
        </w:rPr>
        <w:t>los</w:t>
      </w:r>
      <w:r w:rsidRPr="0047490F">
        <w:rPr>
          <w:rFonts w:ascii="Verdana" w:eastAsia="Century Gothic" w:hAnsi="Verdana" w:cs="Century Gothic"/>
        </w:rPr>
        <w:t xml:space="preserve"> siguiente</w:t>
      </w:r>
      <w:r>
        <w:rPr>
          <w:rFonts w:ascii="Verdana" w:eastAsia="Century Gothic" w:hAnsi="Verdana" w:cs="Century Gothic"/>
        </w:rPr>
        <w:t>s</w:t>
      </w:r>
      <w:r w:rsidRPr="0047490F">
        <w:rPr>
          <w:rFonts w:ascii="Verdana" w:eastAsia="Century Gothic" w:hAnsi="Verdana" w:cs="Century Gothic"/>
        </w:rPr>
        <w:t xml:space="preserve"> </w:t>
      </w:r>
      <w:r>
        <w:rPr>
          <w:rFonts w:ascii="Verdana" w:eastAsia="Century Gothic" w:hAnsi="Verdana" w:cs="Century Gothic"/>
        </w:rPr>
        <w:t>problemas jurídicos</w:t>
      </w:r>
      <w:r w:rsidRPr="0047490F">
        <w:rPr>
          <w:rFonts w:ascii="Verdana" w:eastAsia="Century Gothic" w:hAnsi="Verdana" w:cs="Century Gothic"/>
        </w:rPr>
        <w:t>:</w:t>
      </w:r>
      <w:bookmarkStart w:id="1" w:name="_Hlk171070029"/>
      <w:r>
        <w:rPr>
          <w:rFonts w:ascii="Verdana" w:eastAsia="Century Gothic" w:hAnsi="Verdana" w:cs="Century Gothic"/>
        </w:rPr>
        <w:t xml:space="preserve"> </w:t>
      </w:r>
      <w:proofErr w:type="gramStart"/>
      <w:r>
        <w:rPr>
          <w:rFonts w:ascii="Verdana" w:eastAsia="Century Gothic" w:hAnsi="Verdana" w:cs="Century Gothic"/>
        </w:rPr>
        <w:t>i)¿</w:t>
      </w:r>
      <w:proofErr w:type="gramEnd"/>
      <w:r>
        <w:rPr>
          <w:rFonts w:ascii="Verdana" w:eastAsia="Century Gothic" w:hAnsi="Verdana" w:cs="Century Gothic"/>
        </w:rPr>
        <w:t xml:space="preserve">el reporte en el Registro Nacional de Medidas Correctivas genera una causal de inhabilidad para celebrar contratos con las entidades públicas?, y </w:t>
      </w:r>
      <w:proofErr w:type="spellStart"/>
      <w:r>
        <w:rPr>
          <w:rFonts w:ascii="Verdana" w:eastAsia="Century Gothic" w:hAnsi="Verdana" w:cs="Century Gothic"/>
        </w:rPr>
        <w:t>ii</w:t>
      </w:r>
      <w:proofErr w:type="spellEnd"/>
      <w:r>
        <w:rPr>
          <w:rFonts w:ascii="Verdana" w:eastAsia="Century Gothic" w:hAnsi="Verdana" w:cs="Century Gothic"/>
        </w:rPr>
        <w:t>) ¿pueden suscribirse contratos de prestación de servicios con la Entidades Estatales sin tenerse definida la situación militar?</w:t>
      </w:r>
    </w:p>
    <w:p w14:paraId="570422BD" w14:textId="77777777" w:rsidR="008D07F9" w:rsidRPr="00044AA2" w:rsidRDefault="008D07F9" w:rsidP="008D07F9">
      <w:pPr>
        <w:spacing w:after="0" w:line="276" w:lineRule="auto"/>
        <w:jc w:val="both"/>
        <w:rPr>
          <w:rFonts w:ascii="Verdana" w:eastAsia="Calibri" w:hAnsi="Verdana" w:cs="Arial"/>
          <w:lang w:val="es-ES"/>
        </w:rPr>
      </w:pPr>
    </w:p>
    <w:bookmarkEnd w:id="1"/>
    <w:p w14:paraId="54B5A0DF" w14:textId="77777777" w:rsidR="008D07F9" w:rsidRPr="0047490F" w:rsidRDefault="008D07F9" w:rsidP="008D07F9">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r>
        <w:rPr>
          <w:rFonts w:ascii="Verdana" w:eastAsia="Arial" w:hAnsi="Verdana" w:cs="Arial"/>
          <w:b/>
          <w:bCs/>
          <w:lang w:val="es-ES"/>
        </w:rPr>
        <w:t>s</w:t>
      </w:r>
      <w:r w:rsidRPr="0047490F">
        <w:rPr>
          <w:rFonts w:ascii="Verdana" w:eastAsia="Arial" w:hAnsi="Verdana" w:cs="Arial"/>
          <w:b/>
          <w:bCs/>
          <w:lang w:val="es-ES"/>
        </w:rPr>
        <w:t>:</w:t>
      </w:r>
    </w:p>
    <w:p w14:paraId="56E980A6" w14:textId="77777777" w:rsidR="008D07F9" w:rsidRPr="0047490F" w:rsidRDefault="008D07F9" w:rsidP="008D07F9">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D07F9" w:rsidRPr="0047490F" w14:paraId="399F063D" w14:textId="77777777" w:rsidTr="00AC4589">
        <w:tc>
          <w:tcPr>
            <w:tcW w:w="8828" w:type="dxa"/>
            <w:shd w:val="clear" w:color="auto" w:fill="auto"/>
          </w:tcPr>
          <w:p w14:paraId="56F940E3" w14:textId="77777777" w:rsidR="008D07F9" w:rsidRDefault="008D07F9" w:rsidP="00AC4589">
            <w:pPr>
              <w:spacing w:line="276" w:lineRule="auto"/>
              <w:jc w:val="both"/>
              <w:rPr>
                <w:rFonts w:ascii="Verdana" w:eastAsia="Calibri" w:hAnsi="Verdana" w:cs="Arial"/>
                <w:lang w:val="es-ES"/>
              </w:rPr>
            </w:pPr>
            <w:bookmarkStart w:id="2" w:name="_Hlk171067516"/>
            <w:r>
              <w:rPr>
                <w:rFonts w:ascii="Verdana" w:eastAsia="Calibri" w:hAnsi="Verdana" w:cs="Arial"/>
                <w:lang w:val="es-ES"/>
              </w:rPr>
              <w:t xml:space="preserve">i) Las inhabilidades para contratar con el Estado son un conjunto de restricciones establecidas por el constituyente o el legislador, que afectan directamente la capacidad de las personas para establecer relaciones contractuales con el Estado, que pueden resultar de condenas, sanciones o situaciones previamente establecidas por el ordenamiento jurídico. </w:t>
            </w:r>
          </w:p>
          <w:p w14:paraId="333B237A" w14:textId="77777777" w:rsidR="008D07F9" w:rsidRDefault="008D07F9" w:rsidP="00AC4589">
            <w:pPr>
              <w:spacing w:line="276" w:lineRule="auto"/>
              <w:jc w:val="both"/>
              <w:rPr>
                <w:rFonts w:ascii="Verdana" w:eastAsia="Calibri" w:hAnsi="Verdana" w:cs="Arial"/>
                <w:lang w:val="es-ES"/>
              </w:rPr>
            </w:pPr>
          </w:p>
          <w:p w14:paraId="7ECCBF15" w14:textId="77777777" w:rsidR="008D07F9" w:rsidRDefault="008D07F9" w:rsidP="00AC4589">
            <w:pPr>
              <w:spacing w:line="276" w:lineRule="auto"/>
              <w:jc w:val="both"/>
              <w:rPr>
                <w:rFonts w:ascii="Verdana" w:eastAsia="Calibri" w:hAnsi="Verdana" w:cs="Arial"/>
                <w:lang w:val="es-ES"/>
              </w:rPr>
            </w:pPr>
            <w:r>
              <w:rPr>
                <w:rFonts w:ascii="Verdana" w:eastAsia="Calibri" w:hAnsi="Verdana" w:cs="Arial"/>
                <w:lang w:val="es-ES"/>
              </w:rPr>
              <w:t xml:space="preserve">En ese sentido, al analizarse el régimen de inhabilidades, se observa que el solo reporte en el Registro Nacional de Medidas Correctivas no genera una causal inhabilidad para celebrar contratos con las entidades públicas, puesto que, de acuerdo con el artículo </w:t>
            </w:r>
            <w:r w:rsidRPr="00015AEF">
              <w:rPr>
                <w:rFonts w:ascii="Verdana" w:eastAsia="Calibri" w:hAnsi="Verdana" w:cs="Arial"/>
                <w:lang w:val="es-ES"/>
              </w:rPr>
              <w:t>2.2.8.3.1</w:t>
            </w:r>
            <w:r>
              <w:rPr>
                <w:rFonts w:ascii="Verdana" w:eastAsia="Calibri" w:hAnsi="Verdana" w:cs="Arial"/>
                <w:lang w:val="es-ES"/>
              </w:rPr>
              <w:t xml:space="preserve">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 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Constituyéndose entonces, lo anterior, como una causal de inhabilidad para celebrar contratos con las entidades públicas.</w:t>
            </w:r>
          </w:p>
          <w:p w14:paraId="0FCB7893" w14:textId="77777777" w:rsidR="008D07F9" w:rsidRDefault="008D07F9" w:rsidP="00AC4589">
            <w:pPr>
              <w:spacing w:line="276" w:lineRule="auto"/>
              <w:jc w:val="both"/>
              <w:rPr>
                <w:rFonts w:ascii="Verdana" w:eastAsia="Calibri" w:hAnsi="Verdana" w:cs="Arial"/>
                <w:lang w:val="es-ES"/>
              </w:rPr>
            </w:pPr>
          </w:p>
          <w:p w14:paraId="0BDD6145" w14:textId="77777777" w:rsidR="008D07F9" w:rsidRDefault="008D07F9" w:rsidP="00AC4589">
            <w:pPr>
              <w:spacing w:line="276" w:lineRule="auto"/>
              <w:jc w:val="both"/>
              <w:rPr>
                <w:rFonts w:ascii="Verdana" w:hAnsi="Verdana" w:cs="Arial"/>
                <w:color w:val="000000" w:themeColor="text1"/>
              </w:rPr>
            </w:pPr>
            <w:proofErr w:type="spellStart"/>
            <w:r>
              <w:rPr>
                <w:rFonts w:ascii="Verdana" w:eastAsia="Calibri" w:hAnsi="Verdana" w:cs="Arial"/>
                <w:lang w:val="es-ES"/>
              </w:rPr>
              <w:t>ii</w:t>
            </w:r>
            <w:proofErr w:type="spellEnd"/>
            <w:r>
              <w:rPr>
                <w:rFonts w:ascii="Verdana" w:eastAsia="Calibri" w:hAnsi="Verdana" w:cs="Arial"/>
                <w:lang w:val="es-ES"/>
              </w:rPr>
              <w:t xml:space="preserve">) El artículo 42 </w:t>
            </w:r>
            <w:r w:rsidRPr="002D7A00">
              <w:rPr>
                <w:rFonts w:ascii="Verdana" w:eastAsia="Calibri" w:hAnsi="Verdana" w:cs="Arial"/>
                <w:lang w:val="es-ES"/>
              </w:rPr>
              <w:t xml:space="preserve">de la Ley 1861 de 2017 dispone en su primer inciso que la situación militar se deberá acreditar en tres eventos: </w:t>
            </w:r>
            <w:r>
              <w:rPr>
                <w:rFonts w:ascii="Verdana" w:eastAsia="Calibri" w:hAnsi="Verdana" w:cs="Arial"/>
                <w:lang w:val="es-ES"/>
              </w:rPr>
              <w:t>a</w:t>
            </w:r>
            <w:r w:rsidRPr="002D7A00">
              <w:rPr>
                <w:rFonts w:ascii="Verdana" w:eastAsia="Calibri" w:hAnsi="Verdana" w:cs="Arial"/>
                <w:lang w:val="es-ES"/>
              </w:rPr>
              <w:t xml:space="preserve">) para ejercer cargos </w:t>
            </w:r>
            <w:r w:rsidRPr="002D7A00">
              <w:rPr>
                <w:rFonts w:ascii="Verdana" w:eastAsia="Calibri" w:hAnsi="Verdana" w:cs="Arial"/>
                <w:lang w:val="es-ES"/>
              </w:rPr>
              <w:lastRenderedPageBreak/>
              <w:t>públicos,</w:t>
            </w:r>
            <w:r>
              <w:rPr>
                <w:rFonts w:ascii="Verdana" w:eastAsia="Calibri" w:hAnsi="Verdana" w:cs="Arial"/>
                <w:lang w:val="es-ES"/>
              </w:rPr>
              <w:t xml:space="preserve"> b</w:t>
            </w:r>
            <w:r w:rsidRPr="002D7A00">
              <w:rPr>
                <w:rFonts w:ascii="Verdana" w:eastAsia="Calibri" w:hAnsi="Verdana" w:cs="Arial"/>
                <w:lang w:val="es-ES"/>
              </w:rPr>
              <w:t xml:space="preserve">) trabajar en el sector privado y </w:t>
            </w:r>
            <w:r>
              <w:rPr>
                <w:rFonts w:ascii="Verdana" w:eastAsia="Calibri" w:hAnsi="Verdana" w:cs="Arial"/>
                <w:lang w:val="es-ES"/>
              </w:rPr>
              <w:t>c</w:t>
            </w:r>
            <w:r w:rsidRPr="002D7A00">
              <w:rPr>
                <w:rFonts w:ascii="Verdana" w:eastAsia="Calibri" w:hAnsi="Verdana" w:cs="Arial"/>
                <w:lang w:val="es-ES"/>
              </w:rPr>
              <w:t>)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r>
              <w:rPr>
                <w:rFonts w:ascii="Verdana" w:eastAsia="Calibri" w:hAnsi="Verdana" w:cs="Arial"/>
                <w:lang w:val="es-ES"/>
              </w:rPr>
              <w:t xml:space="preserve"> </w:t>
            </w:r>
            <w:r w:rsidRPr="00C95B6D">
              <w:rPr>
                <w:rFonts w:ascii="Verdana" w:hAnsi="Verdana" w:cs="Arial"/>
                <w:color w:val="000000" w:themeColor="text1"/>
              </w:rPr>
              <w:t>Sin embargo, el inciso segundo del artículo 42 de la Ley 1861 de 2017</w:t>
            </w:r>
            <w:r>
              <w:rPr>
                <w:rFonts w:ascii="Verdana" w:hAnsi="Verdana" w:cs="Arial"/>
                <w:color w:val="000000" w:themeColor="text1"/>
              </w:rPr>
              <w:t>,</w:t>
            </w:r>
            <w:r w:rsidRPr="00C95B6D">
              <w:rPr>
                <w:rFonts w:ascii="Verdana" w:hAnsi="Verdana" w:cs="Arial"/>
                <w:color w:val="000000" w:themeColor="text1"/>
              </w:rPr>
              <w:t xml:space="preserve">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 </w:t>
            </w:r>
          </w:p>
          <w:p w14:paraId="46E93A94" w14:textId="77777777" w:rsidR="008D07F9" w:rsidRDefault="008D07F9" w:rsidP="00AC4589">
            <w:pPr>
              <w:spacing w:line="276" w:lineRule="auto"/>
              <w:jc w:val="both"/>
              <w:rPr>
                <w:rFonts w:ascii="Verdana" w:hAnsi="Verdana" w:cs="Arial"/>
                <w:color w:val="000000" w:themeColor="text1"/>
                <w:lang w:eastAsia="es-ES"/>
              </w:rPr>
            </w:pPr>
          </w:p>
          <w:p w14:paraId="7C79278A" w14:textId="77777777" w:rsidR="008D07F9" w:rsidRPr="00C95B6D" w:rsidRDefault="008D07F9" w:rsidP="00AC4589">
            <w:pPr>
              <w:spacing w:line="276" w:lineRule="auto"/>
              <w:jc w:val="both"/>
              <w:rPr>
                <w:rFonts w:ascii="Verdana" w:hAnsi="Verdana" w:cs="Arial"/>
                <w:color w:val="000000" w:themeColor="text1"/>
                <w:lang w:eastAsia="es-ES"/>
              </w:rPr>
            </w:pPr>
            <w:r>
              <w:rPr>
                <w:rFonts w:ascii="Verdana" w:hAnsi="Verdana" w:cs="Arial"/>
                <w:color w:val="000000" w:themeColor="text1"/>
                <w:lang w:eastAsia="es-ES"/>
              </w:rPr>
              <w:t>Adicionalmente, se destaca que</w:t>
            </w:r>
            <w:r w:rsidRPr="00BF002B">
              <w:rPr>
                <w:rFonts w:ascii="Verdana" w:hAnsi="Verdana" w:cs="Arial"/>
                <w:color w:val="000000" w:themeColor="text1"/>
                <w:lang w:eastAsia="es-ES"/>
              </w:rPr>
              <w:t xml:space="preserve">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w:t>
            </w:r>
          </w:p>
          <w:p w14:paraId="4EEEC8ED" w14:textId="77777777" w:rsidR="008D07F9" w:rsidRPr="0047490F" w:rsidRDefault="008D07F9" w:rsidP="00AC4589">
            <w:pPr>
              <w:spacing w:line="276" w:lineRule="auto"/>
              <w:jc w:val="both"/>
              <w:rPr>
                <w:rFonts w:ascii="Verdana" w:eastAsia="Calibri" w:hAnsi="Verdana" w:cs="Arial"/>
                <w:lang w:val="es-ES"/>
              </w:rPr>
            </w:pPr>
          </w:p>
        </w:tc>
      </w:tr>
      <w:bookmarkEnd w:id="2"/>
    </w:tbl>
    <w:p w14:paraId="24BF1958" w14:textId="77777777" w:rsidR="008D07F9" w:rsidRPr="0047490F" w:rsidRDefault="008D07F9" w:rsidP="008D07F9">
      <w:pPr>
        <w:widowControl w:val="0"/>
        <w:autoSpaceDE w:val="0"/>
        <w:autoSpaceDN w:val="0"/>
        <w:spacing w:before="1" w:after="0" w:line="240" w:lineRule="auto"/>
        <w:ind w:left="360" w:hanging="360"/>
        <w:outlineLvl w:val="0"/>
        <w:rPr>
          <w:rFonts w:ascii="Verdana" w:eastAsia="Arial" w:hAnsi="Verdana" w:cs="Arial"/>
          <w:b/>
          <w:bCs/>
          <w:lang w:val="es-ES"/>
        </w:rPr>
      </w:pPr>
    </w:p>
    <w:p w14:paraId="523C0DE0" w14:textId="77777777" w:rsidR="008D07F9" w:rsidRPr="0047490F" w:rsidRDefault="008D07F9" w:rsidP="008D07F9">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64ED1A19" w14:textId="77777777" w:rsidR="008D07F9" w:rsidRPr="0047490F" w:rsidRDefault="008D07F9" w:rsidP="008D07F9">
      <w:pPr>
        <w:spacing w:after="0" w:line="276" w:lineRule="auto"/>
        <w:jc w:val="both"/>
        <w:rPr>
          <w:rFonts w:ascii="Verdana" w:eastAsia="Calibri" w:hAnsi="Verdana" w:cs="Arial"/>
          <w:lang w:val="es-ES"/>
        </w:rPr>
      </w:pPr>
    </w:p>
    <w:p w14:paraId="770F151C" w14:textId="77777777" w:rsidR="008D07F9" w:rsidRPr="0047490F" w:rsidRDefault="008D07F9" w:rsidP="008D07F9">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18A9BFD2" w14:textId="77777777" w:rsidR="008D07F9" w:rsidRPr="0047490F" w:rsidRDefault="008D07F9" w:rsidP="008D07F9">
      <w:pPr>
        <w:spacing w:after="0" w:line="276" w:lineRule="auto"/>
        <w:contextualSpacing/>
        <w:jc w:val="both"/>
        <w:rPr>
          <w:rFonts w:ascii="Verdana" w:eastAsia="Calibri" w:hAnsi="Verdana" w:cs="Arial"/>
          <w:lang w:val="es-ES"/>
        </w:rPr>
      </w:pPr>
    </w:p>
    <w:p w14:paraId="43309D73" w14:textId="77777777" w:rsidR="008D07F9" w:rsidRPr="00406AA6" w:rsidRDefault="008D07F9" w:rsidP="008D07F9">
      <w:pPr>
        <w:numPr>
          <w:ilvl w:val="0"/>
          <w:numId w:val="3"/>
        </w:numPr>
        <w:spacing w:after="0" w:line="276" w:lineRule="auto"/>
        <w:contextualSpacing/>
        <w:jc w:val="both"/>
        <w:rPr>
          <w:rFonts w:ascii="Verdana" w:eastAsia="Calibri" w:hAnsi="Verdana" w:cs="Arial"/>
          <w:lang w:val="es-ES"/>
        </w:rPr>
      </w:pPr>
      <w:bookmarkStart w:id="3" w:name="_Hlk173311098"/>
      <w:r w:rsidRPr="00406AA6">
        <w:rPr>
          <w:rFonts w:ascii="Verdana" w:eastAsia="Calibri" w:hAnsi="Verdana" w:cs="Arial"/>
          <w:lang w:val="es-ES"/>
        </w:rPr>
        <w:t xml:space="preserve">El régimen de inhabilidades son prohibiciones para concurrir a los procedimientos de selección y para contratar con el Estado, que se derivan </w:t>
      </w:r>
      <w:r w:rsidRPr="00406AA6">
        <w:rPr>
          <w:rFonts w:ascii="Verdana" w:eastAsia="Calibri" w:hAnsi="Verdana" w:cs="Arial"/>
          <w:i/>
          <w:iCs/>
          <w:lang w:val="es-ES"/>
        </w:rPr>
        <w:t>i)</w:t>
      </w:r>
      <w:r w:rsidRPr="00406AA6">
        <w:rPr>
          <w:rFonts w:ascii="Verdana" w:eastAsia="Calibri" w:hAnsi="Verdana" w:cs="Arial"/>
          <w:lang w:val="es-ES"/>
        </w:rPr>
        <w:t xml:space="preserve"> de la existencia de comportamientos reprochables o de sanciones anteriormente impuestas</w:t>
      </w:r>
      <w:r w:rsidRPr="00406AA6">
        <w:rPr>
          <w:rFonts w:ascii="Verdana" w:eastAsia="Calibri" w:hAnsi="Verdana" w:cs="Arial"/>
          <w:color w:val="000000"/>
          <w:vertAlign w:val="superscript"/>
          <w:lang w:val="es-ES_tradnl"/>
        </w:rPr>
        <w:footnoteReference w:id="1"/>
      </w:r>
      <w:r w:rsidRPr="00406AA6">
        <w:rPr>
          <w:rFonts w:ascii="Verdana" w:eastAsia="Arial" w:hAnsi="Verdana" w:cs="Arial"/>
          <w:color w:val="000000"/>
          <w:lang w:eastAsia="es-CO"/>
        </w:rPr>
        <w:t>,</w:t>
      </w:r>
      <w:r w:rsidRPr="00406AA6">
        <w:rPr>
          <w:rFonts w:ascii="Verdana" w:eastAsia="Calibri" w:hAnsi="Verdana" w:cs="Arial"/>
          <w:lang w:val="es-ES"/>
        </w:rPr>
        <w:t xml:space="preserve"> </w:t>
      </w:r>
      <w:proofErr w:type="spellStart"/>
      <w:r w:rsidRPr="00406AA6">
        <w:rPr>
          <w:rFonts w:ascii="Verdana" w:eastAsia="Calibri" w:hAnsi="Verdana" w:cs="Arial"/>
          <w:i/>
          <w:iCs/>
          <w:lang w:val="es-ES"/>
        </w:rPr>
        <w:t>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vínculos personales relaticos al parentesco o al estado civil</w:t>
      </w:r>
      <w:r w:rsidRPr="00406AA6">
        <w:rPr>
          <w:rFonts w:ascii="Verdana" w:eastAsia="Calibri" w:hAnsi="Verdana" w:cs="Arial"/>
          <w:color w:val="000000"/>
          <w:vertAlign w:val="superscript"/>
          <w:lang w:val="es-ES_tradnl"/>
        </w:rPr>
        <w:footnoteReference w:id="2"/>
      </w:r>
      <w:r w:rsidRPr="00406AA6">
        <w:rPr>
          <w:rFonts w:ascii="Arial" w:eastAsia="Arial" w:hAnsi="Arial" w:cs="Arial"/>
          <w:color w:val="000000"/>
          <w:lang w:eastAsia="es-CO"/>
        </w:rPr>
        <w:t xml:space="preserve"> </w:t>
      </w:r>
      <w:r w:rsidRPr="00406AA6">
        <w:rPr>
          <w:rFonts w:ascii="Verdana" w:eastAsia="Calibri" w:hAnsi="Verdana" w:cs="Arial"/>
          <w:lang w:val="es-ES"/>
        </w:rPr>
        <w:t xml:space="preserve">o </w:t>
      </w:r>
      <w:proofErr w:type="spellStart"/>
      <w:r w:rsidRPr="00406AA6">
        <w:rPr>
          <w:rFonts w:ascii="Verdana" w:eastAsia="Calibri" w:hAnsi="Verdana" w:cs="Arial"/>
          <w:i/>
          <w:iCs/>
          <w:lang w:val="es-ES"/>
        </w:rPr>
        <w:t>iii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 xml:space="preserve">de una actividad u oficio que se </w:t>
      </w:r>
      <w:r w:rsidRPr="00406AA6">
        <w:rPr>
          <w:rFonts w:ascii="Verdana" w:eastAsia="Calibri" w:hAnsi="Verdana" w:cs="Arial"/>
          <w:lang w:val="es-ES"/>
        </w:rPr>
        <w:lastRenderedPageBreak/>
        <w:t>desempeñó en el pasado</w:t>
      </w:r>
      <w:r w:rsidRPr="00406AA6">
        <w:rPr>
          <w:rFonts w:ascii="Verdana" w:eastAsia="Calibri" w:hAnsi="Verdana" w:cs="Arial"/>
          <w:color w:val="000000"/>
          <w:vertAlign w:val="superscript"/>
          <w:lang w:val="es-ES_tradnl"/>
        </w:rPr>
        <w:footnoteReference w:id="3"/>
      </w:r>
      <w:r w:rsidRPr="00406AA6">
        <w:rPr>
          <w:rFonts w:ascii="Verdana" w:eastAsia="Calibri" w:hAnsi="Verdana" w:cs="Arial"/>
          <w:color w:val="000000"/>
          <w:lang w:val="es-ES_tradnl"/>
        </w:rPr>
        <w:t>.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406AA6">
        <w:rPr>
          <w:rFonts w:ascii="Verdana" w:eastAsia="Calibri" w:hAnsi="Verdana" w:cs="Arial"/>
          <w:color w:val="000000"/>
          <w:lang w:val="es-ES_tradnl"/>
        </w:rPr>
        <w:t>neopunitivo</w:t>
      </w:r>
      <w:proofErr w:type="spellEnd"/>
      <w:r w:rsidRPr="00406AA6">
        <w:rPr>
          <w:rFonts w:ascii="Verdana" w:eastAsia="Calibri" w:hAnsi="Verdana" w:cs="Arial"/>
          <w:color w:val="000000"/>
          <w:lang w:val="es-ES_tradnl"/>
        </w:rPr>
        <w:t>”</w:t>
      </w:r>
      <w:r w:rsidRPr="00406AA6">
        <w:rPr>
          <w:rFonts w:ascii="Verdana" w:eastAsia="Calibri" w:hAnsi="Verdana" w:cs="Arial"/>
          <w:color w:val="000000"/>
          <w:vertAlign w:val="superscript"/>
          <w:lang w:val="es-ES"/>
        </w:rPr>
        <w:footnoteReference w:id="4"/>
      </w:r>
      <w:r w:rsidRPr="00406AA6">
        <w:rPr>
          <w:rFonts w:ascii="Verdana" w:eastAsia="Calibri" w:hAnsi="Verdana" w:cs="Arial"/>
          <w:color w:val="000000"/>
          <w:lang w:val="es-ES"/>
        </w:rPr>
        <w:t>.</w:t>
      </w:r>
    </w:p>
    <w:p w14:paraId="3B152D87" w14:textId="77777777" w:rsidR="008D07F9" w:rsidRPr="00406AA6" w:rsidRDefault="008D07F9" w:rsidP="008D07F9">
      <w:pPr>
        <w:spacing w:after="0" w:line="276" w:lineRule="auto"/>
        <w:ind w:left="720"/>
        <w:contextualSpacing/>
        <w:jc w:val="both"/>
        <w:rPr>
          <w:rFonts w:ascii="Verdana" w:eastAsia="Calibri" w:hAnsi="Verdana" w:cs="Arial"/>
          <w:lang w:val="es-ES"/>
        </w:rPr>
      </w:pPr>
    </w:p>
    <w:p w14:paraId="36806B56" w14:textId="77777777" w:rsidR="008D07F9" w:rsidRPr="00406AA6" w:rsidRDefault="008D07F9" w:rsidP="008D07F9">
      <w:pPr>
        <w:numPr>
          <w:ilvl w:val="0"/>
          <w:numId w:val="3"/>
        </w:numPr>
        <w:spacing w:after="0" w:line="276" w:lineRule="auto"/>
        <w:contextualSpacing/>
        <w:jc w:val="both"/>
        <w:rPr>
          <w:rFonts w:ascii="Verdana" w:eastAsia="Calibri" w:hAnsi="Verdana" w:cs="Arial"/>
          <w:lang w:val="es-ES"/>
        </w:rPr>
      </w:pPr>
      <w:r w:rsidRPr="00406AA6">
        <w:rPr>
          <w:rFonts w:ascii="Verdana" w:eastAsia="Calibri" w:hAnsi="Verdana" w:cs="Arial"/>
          <w:lang w:val="es-ES"/>
        </w:rPr>
        <w:t xml:space="preserve">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 </w:t>
      </w:r>
    </w:p>
    <w:p w14:paraId="77A28D2B" w14:textId="77777777" w:rsidR="008D07F9" w:rsidRPr="00406AA6" w:rsidRDefault="008D07F9" w:rsidP="008D07F9">
      <w:pPr>
        <w:spacing w:after="0"/>
        <w:ind w:left="720"/>
        <w:contextualSpacing/>
        <w:rPr>
          <w:rFonts w:ascii="Verdana" w:eastAsia="Calibri" w:hAnsi="Verdana" w:cs="Arial"/>
          <w:lang w:val="es-ES"/>
        </w:rPr>
      </w:pPr>
    </w:p>
    <w:p w14:paraId="320E9D0A" w14:textId="77777777" w:rsidR="008D07F9" w:rsidRPr="00406AA6" w:rsidRDefault="008D07F9" w:rsidP="008D07F9">
      <w:pPr>
        <w:numPr>
          <w:ilvl w:val="0"/>
          <w:numId w:val="3"/>
        </w:numPr>
        <w:spacing w:after="0" w:line="276" w:lineRule="auto"/>
        <w:jc w:val="both"/>
        <w:rPr>
          <w:rFonts w:ascii="Verdana" w:eastAsia="Aptos" w:hAnsi="Verdana" w:cs="Arial"/>
          <w:i/>
          <w:iCs/>
          <w:lang w:val="es-ES"/>
        </w:rPr>
      </w:pPr>
      <w:r w:rsidRPr="00406AA6">
        <w:rPr>
          <w:rFonts w:ascii="Verdana" w:eastAsia="Arial" w:hAnsi="Verdana" w:cs="Arial"/>
          <w:color w:val="000000"/>
          <w:lang w:val="es-MX" w:eastAsia="es-CO"/>
        </w:rPr>
        <w:t xml:space="preserve">En esta medida, la Corte Constitucional explica que </w:t>
      </w:r>
      <w:r w:rsidRPr="00406AA6">
        <w:rPr>
          <w:rFonts w:ascii="Verdana" w:eastAsia="Aptos" w:hAnsi="Verdana"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06AA6">
        <w:rPr>
          <w:rFonts w:ascii="Verdana" w:eastAsia="Aptos" w:hAnsi="Verdana" w:cs="Arial"/>
          <w:i/>
          <w:iCs/>
          <w:vertAlign w:val="superscript"/>
          <w:lang w:val="es-ES"/>
        </w:rPr>
        <w:footnoteReference w:id="5"/>
      </w:r>
      <w:r w:rsidRPr="00406AA6">
        <w:rPr>
          <w:rFonts w:ascii="Verdana" w:eastAsia="Aptos" w:hAnsi="Verdana" w:cs="Arial"/>
          <w:i/>
          <w:iCs/>
          <w:lang w:val="es-ES"/>
        </w:rPr>
        <w:t xml:space="preserve">. </w:t>
      </w:r>
      <w:r w:rsidRPr="00406AA6">
        <w:rPr>
          <w:rFonts w:ascii="Verdana" w:eastAsia="Arial" w:hAnsi="Verdana" w:cs="Arial"/>
          <w:color w:val="000000"/>
          <w:lang w:val="es-MX" w:eastAsia="es-CO"/>
        </w:rPr>
        <w:t>Así pues,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p w14:paraId="75AB4A31" w14:textId="77777777" w:rsidR="008D07F9" w:rsidRPr="00406AA6" w:rsidRDefault="008D07F9" w:rsidP="008D07F9">
      <w:pPr>
        <w:spacing w:after="0" w:line="276" w:lineRule="auto"/>
        <w:contextualSpacing/>
        <w:jc w:val="both"/>
        <w:rPr>
          <w:rFonts w:ascii="Verdana" w:eastAsia="Calibri" w:hAnsi="Verdana" w:cs="Arial"/>
        </w:rPr>
      </w:pPr>
    </w:p>
    <w:p w14:paraId="474A3788" w14:textId="77777777" w:rsidR="008D07F9" w:rsidRPr="00406AA6" w:rsidRDefault="008D07F9" w:rsidP="008D07F9">
      <w:pPr>
        <w:numPr>
          <w:ilvl w:val="0"/>
          <w:numId w:val="3"/>
        </w:numPr>
        <w:spacing w:after="0" w:line="276" w:lineRule="auto"/>
        <w:contextualSpacing/>
        <w:jc w:val="both"/>
        <w:rPr>
          <w:rFonts w:ascii="Verdana" w:eastAsia="Calibri" w:hAnsi="Verdana" w:cs="Arial"/>
        </w:rPr>
      </w:pPr>
      <w:r w:rsidRPr="00406AA6">
        <w:rPr>
          <w:rFonts w:ascii="Verdana" w:eastAsia="Calibri" w:hAnsi="Verdana" w:cs="Arial"/>
        </w:rPr>
        <w:lastRenderedPageBreak/>
        <w:t>Así pues, debe precisarse que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05412E75" w14:textId="77777777" w:rsidR="008D07F9" w:rsidRPr="001C3628" w:rsidRDefault="008D07F9" w:rsidP="008D07F9">
      <w:pPr>
        <w:spacing w:after="0" w:line="276" w:lineRule="auto"/>
        <w:ind w:firstLine="709"/>
        <w:contextualSpacing/>
        <w:jc w:val="both"/>
        <w:rPr>
          <w:rFonts w:ascii="Verdana" w:eastAsia="Calibri" w:hAnsi="Verdana" w:cs="Arial"/>
          <w:lang w:val="es-ES_tradnl" w:eastAsia="es-ES_tradnl"/>
        </w:rPr>
      </w:pPr>
    </w:p>
    <w:p w14:paraId="309FEE02" w14:textId="77777777" w:rsidR="008D07F9" w:rsidRDefault="008D07F9" w:rsidP="008D07F9">
      <w:pPr>
        <w:pStyle w:val="Prrafodelista"/>
        <w:numPr>
          <w:ilvl w:val="0"/>
          <w:numId w:val="4"/>
        </w:numPr>
        <w:spacing w:after="0" w:line="276" w:lineRule="auto"/>
        <w:jc w:val="both"/>
        <w:rPr>
          <w:rFonts w:ascii="Verdana" w:eastAsia="Calibri" w:hAnsi="Verdana" w:cs="Arial"/>
          <w:shd w:val="clear" w:color="auto" w:fill="FFFFFF"/>
        </w:rPr>
      </w:pPr>
      <w:r>
        <w:rPr>
          <w:rFonts w:ascii="Verdana" w:eastAsia="Calibri" w:hAnsi="Verdana" w:cs="Arial"/>
          <w:shd w:val="clear" w:color="auto" w:fill="FFFFFF"/>
        </w:rPr>
        <w:t xml:space="preserve">Adicionalmente, es preciso indicar que, </w:t>
      </w:r>
      <w:r w:rsidRPr="00233CEE">
        <w:rPr>
          <w:rFonts w:ascii="Verdana" w:eastAsia="Calibri" w:hAnsi="Verdana" w:cs="Arial"/>
          <w:shd w:val="clear" w:color="auto" w:fill="FFFFFF"/>
        </w:rPr>
        <w:t>al analizarse el régimen de inhabilidades, se observa que el solo reporte en el Registro Nacional de Medidas Correctivas no genera una causal inhabilidad para celebrar contratos con las entidades públicas, 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027AA2B7" w14:textId="77777777" w:rsidR="008D07F9" w:rsidRDefault="008D07F9" w:rsidP="008D07F9">
      <w:pPr>
        <w:pStyle w:val="Prrafodelista"/>
        <w:spacing w:after="0" w:line="276" w:lineRule="auto"/>
        <w:jc w:val="both"/>
        <w:rPr>
          <w:rFonts w:ascii="Verdana" w:eastAsia="Calibri" w:hAnsi="Verdana" w:cs="Arial"/>
          <w:shd w:val="clear" w:color="auto" w:fill="FFFFFF"/>
        </w:rPr>
      </w:pPr>
    </w:p>
    <w:p w14:paraId="35C0EDBE" w14:textId="77777777" w:rsidR="008D07F9" w:rsidRDefault="008D07F9" w:rsidP="008D07F9">
      <w:pPr>
        <w:pStyle w:val="Prrafodelista"/>
        <w:numPr>
          <w:ilvl w:val="0"/>
          <w:numId w:val="4"/>
        </w:numPr>
        <w:spacing w:after="0" w:line="276" w:lineRule="auto"/>
        <w:jc w:val="both"/>
        <w:rPr>
          <w:rFonts w:ascii="Verdana" w:eastAsia="Calibri" w:hAnsi="Verdana" w:cs="Arial"/>
          <w:shd w:val="clear" w:color="auto" w:fill="FFFFFF"/>
        </w:rPr>
      </w:pPr>
      <w:r w:rsidRPr="00233CEE">
        <w:rPr>
          <w:rFonts w:ascii="Verdana" w:eastAsia="Calibri" w:hAnsi="Verdana" w:cs="Arial"/>
          <w:shd w:val="clear" w:color="auto" w:fill="FFFFFF"/>
        </w:rPr>
        <w:t xml:space="preserve">Sin embargo, debe precisarse que, en caso de que a la persona se le haya impuesto como medida correctiva el pago de multas y este se encuentre en mora por un término de seis (6) meses, el artículo 183 de la Ley 1801 de 2016, estableció como consecuencia a esto en el numeral 4, que </w:t>
      </w:r>
      <w:r w:rsidRPr="00233CEE">
        <w:rPr>
          <w:rFonts w:ascii="Verdana" w:eastAsia="Calibri" w:hAnsi="Verdana" w:cs="Arial"/>
          <w:i/>
          <w:iCs/>
          <w:shd w:val="clear" w:color="auto" w:fill="FFFFFF"/>
        </w:rPr>
        <w:t>“hasta tanto no se ponga al día la persona no podrá: […]Contratar o renovar contrato con cualquier entidad del Estado”.</w:t>
      </w:r>
      <w:r w:rsidRPr="00233CEE">
        <w:rPr>
          <w:rFonts w:ascii="Verdana" w:eastAsia="Calibri" w:hAnsi="Verdana" w:cs="Arial"/>
          <w:shd w:val="clear" w:color="auto" w:fill="FFFFFF"/>
        </w:rPr>
        <w:t xml:space="preserve"> Constituyéndose entonces, lo anterior, como una causal de inhabilidad para celebrar contratos con las entidades públicas.</w:t>
      </w:r>
    </w:p>
    <w:p w14:paraId="456D72C2" w14:textId="77777777" w:rsidR="008D07F9" w:rsidRPr="00181EC0" w:rsidRDefault="008D07F9" w:rsidP="008D07F9">
      <w:pPr>
        <w:pStyle w:val="Prrafodelista"/>
        <w:spacing w:after="0"/>
        <w:rPr>
          <w:rFonts w:ascii="Verdana" w:eastAsia="Calibri" w:hAnsi="Verdana" w:cs="Arial"/>
          <w:shd w:val="clear" w:color="auto" w:fill="FFFFFF"/>
        </w:rPr>
      </w:pPr>
    </w:p>
    <w:p w14:paraId="12D85A11" w14:textId="77777777" w:rsidR="008D07F9" w:rsidRDefault="008D07F9" w:rsidP="008D07F9">
      <w:pPr>
        <w:widowControl w:val="0"/>
        <w:numPr>
          <w:ilvl w:val="0"/>
          <w:numId w:val="1"/>
        </w:numPr>
        <w:autoSpaceDE w:val="0"/>
        <w:autoSpaceDN w:val="0"/>
        <w:spacing w:after="0" w:line="276" w:lineRule="auto"/>
        <w:contextualSpacing/>
        <w:jc w:val="both"/>
        <w:rPr>
          <w:rFonts w:ascii="Verdana" w:eastAsia="Aptos" w:hAnsi="Verdana" w:cs="Arial"/>
        </w:rPr>
      </w:pPr>
      <w:r w:rsidRPr="00406AA6">
        <w:rPr>
          <w:rFonts w:ascii="Verdana" w:eastAsia="Aptos" w:hAnsi="Verdana" w:cs="Arial"/>
        </w:rPr>
        <w:t xml:space="preserve">En </w:t>
      </w:r>
      <w:r>
        <w:rPr>
          <w:rFonts w:ascii="Verdana" w:eastAsia="Aptos" w:hAnsi="Verdana" w:cs="Arial"/>
        </w:rPr>
        <w:t>ese sentido</w:t>
      </w:r>
      <w:r w:rsidRPr="00406AA6">
        <w:rPr>
          <w:rFonts w:ascii="Verdana" w:eastAsia="Aptos" w:hAnsi="Verdana" w:cs="Arial"/>
        </w:rPr>
        <w:t>, corresponde de una parte, a los particulares en principio, determinar si incurren o no en causal de inhabilidad o incompatibilidad para suscribir contratos con las entidades públicas y, ostentar cargos públicos. Y, de otra parte, acorde con las disposiciones que rigen su actividad contractual, les atañe a las Entidades Estatales evaluar en cada caso, si uno o alguno de sus futuros contratistas, se encuentra o no inmerso en los límites especiales a la capacidad para presentar ofertas y celebrar contratos estatales.</w:t>
      </w:r>
    </w:p>
    <w:p w14:paraId="1103ECA2" w14:textId="77777777" w:rsidR="008D07F9" w:rsidRDefault="008D07F9" w:rsidP="008D07F9">
      <w:pPr>
        <w:widowControl w:val="0"/>
        <w:autoSpaceDE w:val="0"/>
        <w:autoSpaceDN w:val="0"/>
        <w:spacing w:after="0" w:line="276" w:lineRule="auto"/>
        <w:ind w:left="720"/>
        <w:contextualSpacing/>
        <w:jc w:val="both"/>
        <w:rPr>
          <w:rFonts w:ascii="Verdana" w:eastAsia="Aptos" w:hAnsi="Verdana" w:cs="Arial"/>
        </w:rPr>
      </w:pPr>
    </w:p>
    <w:p w14:paraId="5E99CE01" w14:textId="77777777" w:rsidR="008D07F9" w:rsidRPr="009D4512"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9D4512">
        <w:rPr>
          <w:rFonts w:ascii="Verdana" w:eastAsia="Aptos" w:hAnsi="Verdana" w:cs="Arial"/>
        </w:rPr>
        <w:lastRenderedPageBreak/>
        <w:t xml:space="preserve">Por otra parte, en lo que respecta al servicio militar obligatorio, debe </w:t>
      </w:r>
      <w:r w:rsidRPr="009D4512">
        <w:rPr>
          <w:rFonts w:ascii="Verdana" w:hAnsi="Verdana"/>
        </w:rPr>
        <w:t xml:space="preserve">tenerse en cuenta que es un </w:t>
      </w:r>
      <w:r w:rsidRPr="009D4512">
        <w:rPr>
          <w:rFonts w:ascii="Verdana" w:hAnsi="Verdana" w:cs="Arial"/>
          <w:color w:val="000000" w:themeColor="text1"/>
          <w:lang w:eastAsia="es-ES"/>
        </w:rPr>
        <w:t xml:space="preserve">deber constitucional que se fundamenta en el artículo 216 superior, según el cual: </w:t>
      </w:r>
      <w:r w:rsidRPr="009D4512">
        <w:rPr>
          <w:rFonts w:ascii="Verdana" w:hAnsi="Verdana" w:cs="Arial"/>
          <w:i/>
          <w:iCs/>
          <w:color w:val="000000" w:themeColor="text1"/>
          <w:lang w:eastAsia="es-ES"/>
        </w:rPr>
        <w:t>“[…]Todos los colombianos estamos obligados a tomar las armas cuando las necesidades públicas lo exijan para defender la independencia nacional y las instituciones públicas. […]”.</w:t>
      </w:r>
      <w:r w:rsidRPr="009D4512">
        <w:rPr>
          <w:rFonts w:ascii="Verdana" w:hAnsi="Verdana" w:cs="Arial"/>
          <w:color w:val="000000" w:themeColor="text1"/>
          <w:lang w:eastAsia="es-ES"/>
        </w:rPr>
        <w:t xml:space="preserve"> Para tal efecto, el constituyente dispuso que a través de la Ley se determinarían las condiciones las condiciones, que, en todo tiempo, eximen del servicio militar y las prerrogativas para su prestación.</w:t>
      </w:r>
    </w:p>
    <w:p w14:paraId="4D80DD52" w14:textId="77777777" w:rsidR="008D07F9" w:rsidRPr="003564A0" w:rsidRDefault="008D07F9" w:rsidP="008D07F9">
      <w:pPr>
        <w:pStyle w:val="Prrafodelista"/>
        <w:spacing w:line="276" w:lineRule="auto"/>
        <w:jc w:val="both"/>
        <w:rPr>
          <w:rFonts w:ascii="Verdana" w:hAnsi="Verdana" w:cs="Arial"/>
          <w:color w:val="000000" w:themeColor="text1"/>
          <w:lang w:eastAsia="es-ES"/>
        </w:rPr>
      </w:pPr>
    </w:p>
    <w:p w14:paraId="63B76E46"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6C6C02">
        <w:rPr>
          <w:rFonts w:ascii="Verdana" w:eastAsia="Calibri" w:hAnsi="Verdana" w:cs="Arial"/>
        </w:rPr>
        <w:t xml:space="preserve">En la actualidad, la referida disposición legal se encuentra desarrollada en Ley 1861 de 2017, </w:t>
      </w:r>
      <w:r w:rsidRPr="006C6C02">
        <w:rPr>
          <w:rFonts w:ascii="Verdana" w:eastAsia="Calibri" w:hAnsi="Verdana" w:cs="Arial"/>
          <w:i/>
          <w:iCs/>
        </w:rPr>
        <w:t>“por la cual se reglamenta el servicio de reclutamiento, control de reservas y la movilización"</w:t>
      </w:r>
      <w:r w:rsidRPr="006C6C02">
        <w:rPr>
          <w:rFonts w:ascii="Verdana" w:eastAsia="Calibri" w:hAnsi="Verdana" w:cs="Arial"/>
        </w:rPr>
        <w:t>. Esta norma derogó la Ley 48 de 1993, estableciendo, entre otras cosas, la obligación de vincularse al servicio militar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r>
        <w:rPr>
          <w:rStyle w:val="Refdenotaalpie"/>
          <w:rFonts w:ascii="Verdana" w:eastAsia="Calibri" w:hAnsi="Verdana" w:cs="Arial"/>
        </w:rPr>
        <w:footnoteReference w:id="6"/>
      </w:r>
      <w:r w:rsidRPr="006C6C02">
        <w:rPr>
          <w:rFonts w:ascii="Verdana" w:eastAsia="Calibri" w:hAnsi="Verdana" w:cs="Arial"/>
        </w:rPr>
        <w:t>.</w:t>
      </w:r>
      <w:r w:rsidRPr="006C6C02">
        <w:rPr>
          <w:rFonts w:ascii="Verdana" w:hAnsi="Verdana" w:cs="Arial"/>
          <w:color w:val="000000" w:themeColor="text1"/>
          <w:lang w:eastAsia="es-ES"/>
        </w:rPr>
        <w:t xml:space="preserve"> No obstante, el artículo 11 de la referida ley establece la obligación de definir la situación militar estableciendo que </w:t>
      </w:r>
      <w:r w:rsidRPr="006C6C02">
        <w:rPr>
          <w:rFonts w:ascii="Verdana" w:hAnsi="Verdana" w:cs="Arial"/>
          <w:i/>
          <w:iCs/>
          <w:color w:val="000000" w:themeColor="text1"/>
          <w:lang w:eastAsia="es-ES"/>
        </w:rPr>
        <w:t>“Todo varón colombiano está obligado a definir su situación militar como reservista de primera o segunda clase, a partir de la fecha en que cumpla su mayoría de edad y hasta el día en que cumpla 50 años de edad</w:t>
      </w:r>
      <w:r w:rsidRPr="006C6C02">
        <w:rPr>
          <w:rFonts w:ascii="Verdana" w:hAnsi="Verdana" w:cs="Arial"/>
          <w:color w:val="000000" w:themeColor="text1"/>
          <w:lang w:eastAsia="es-ES"/>
        </w:rPr>
        <w:t>”.</w:t>
      </w:r>
    </w:p>
    <w:p w14:paraId="0F0E6B51" w14:textId="77777777" w:rsidR="008D07F9" w:rsidRPr="00882606" w:rsidRDefault="008D07F9" w:rsidP="008D07F9">
      <w:pPr>
        <w:pStyle w:val="Prrafodelista"/>
        <w:rPr>
          <w:rFonts w:ascii="Verdana" w:hAnsi="Verdana" w:cs="Arial"/>
          <w:color w:val="000000" w:themeColor="text1"/>
          <w:lang w:eastAsia="es-ES"/>
        </w:rPr>
      </w:pPr>
    </w:p>
    <w:p w14:paraId="3737CDE1" w14:textId="77777777" w:rsidR="008D07F9" w:rsidRPr="00882606"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882606">
        <w:rPr>
          <w:rFonts w:ascii="Verdana" w:eastAsia="Calibri" w:hAnsi="Verdana" w:cs="Arial"/>
        </w:rPr>
        <w:t>En ese orden no toda, no todo colombiano se encuentra obligado a cumplir con esta obligación constitucional, sino tan sólo aquellos varones de nacionalidad colombiana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De igual forma, el artículo 12 de la Ley 1861 de 2017 contempló dieciséis (16) causales de exoneración para prestar el servicio militar obligatorio.</w:t>
      </w:r>
    </w:p>
    <w:p w14:paraId="72E20734" w14:textId="77777777" w:rsidR="008D07F9" w:rsidRPr="00882606" w:rsidRDefault="008D07F9" w:rsidP="008D07F9">
      <w:pPr>
        <w:pStyle w:val="Prrafodelista"/>
        <w:rPr>
          <w:rFonts w:ascii="Verdana" w:hAnsi="Verdana" w:cs="Arial"/>
          <w:color w:val="000000" w:themeColor="text1"/>
          <w:lang w:eastAsia="es-ES"/>
        </w:rPr>
      </w:pPr>
    </w:p>
    <w:p w14:paraId="643B4741"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882606">
        <w:rPr>
          <w:rFonts w:ascii="Verdana" w:hAnsi="Verdana" w:cs="Arial"/>
          <w:color w:val="000000" w:themeColor="text1"/>
        </w:rPr>
        <w:lastRenderedPageBreak/>
        <w:t>El trámite para la definición de la situación militar inicia con la inscripción que realiza la Organización de Reclutamiento y Movilización</w:t>
      </w:r>
      <w:r w:rsidRPr="00160A93">
        <w:rPr>
          <w:rStyle w:val="Refdenotaalpie"/>
          <w:rFonts w:ascii="Verdana" w:hAnsi="Verdana" w:cs="Arial"/>
          <w:color w:val="000000" w:themeColor="text1"/>
        </w:rPr>
        <w:footnoteReference w:id="7"/>
      </w:r>
      <w:r w:rsidRPr="00882606">
        <w:rPr>
          <w:rFonts w:ascii="Verdana" w:hAnsi="Verdana" w:cs="Arial"/>
          <w:color w:val="000000" w:themeColor="text1"/>
        </w:rPr>
        <w:t xml:space="preserve"> y culmina con el pago de la cuota de compensación militar, cuando no se está exonerado de esta</w:t>
      </w:r>
      <w:r w:rsidRPr="00160A93">
        <w:rPr>
          <w:rStyle w:val="Refdenotaalpie"/>
          <w:rFonts w:ascii="Verdana" w:hAnsi="Verdana" w:cs="Arial"/>
          <w:color w:val="000000" w:themeColor="text1"/>
        </w:rPr>
        <w:footnoteReference w:id="8"/>
      </w:r>
      <w:r w:rsidRPr="00882606">
        <w:rPr>
          <w:rFonts w:ascii="Verdana" w:hAnsi="Verdana" w:cs="Arial"/>
          <w:color w:val="000000" w:themeColor="text1"/>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51298212" w14:textId="77777777" w:rsidR="008D07F9" w:rsidRPr="00922CDA" w:rsidRDefault="008D07F9" w:rsidP="008D07F9">
      <w:pPr>
        <w:pStyle w:val="Prrafodelista"/>
        <w:rPr>
          <w:rFonts w:ascii="Verdana" w:hAnsi="Verdana" w:cs="Arial"/>
          <w:color w:val="000000" w:themeColor="text1"/>
          <w:lang w:eastAsia="es-ES"/>
        </w:rPr>
      </w:pPr>
    </w:p>
    <w:p w14:paraId="406FD73D"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922CDA">
        <w:rPr>
          <w:rFonts w:ascii="Verdana" w:hAnsi="Verdana" w:cs="Arial"/>
          <w:color w:val="000000" w:themeColor="text1"/>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922CDA">
        <w:rPr>
          <w:rFonts w:ascii="Verdana" w:hAnsi="Verdana" w:cs="Arial"/>
          <w:color w:val="000000" w:themeColor="text1"/>
          <w:lang w:eastAsia="en-GB"/>
        </w:rPr>
        <w:t xml:space="preserve">en el cual el ciudadano podrá obtener un certificado en </w:t>
      </w:r>
      <w:r w:rsidRPr="00922CDA">
        <w:rPr>
          <w:rFonts w:ascii="Verdana" w:hAnsi="Verdana" w:cs="Arial"/>
          <w:color w:val="000000" w:themeColor="text1"/>
          <w:lang w:eastAsia="en-GB"/>
        </w:rPr>
        <w:lastRenderedPageBreak/>
        <w:t xml:space="preserve">línea que acredite el inicio del proceso. </w:t>
      </w:r>
      <w:r w:rsidRPr="00922CDA">
        <w:rPr>
          <w:rFonts w:ascii="Verdana" w:hAnsi="Verdana" w:cs="Arial"/>
          <w:color w:val="000000" w:themeColor="text1"/>
        </w:rPr>
        <w:t xml:space="preserve">De esta manera, una vez se culmine con el trámite previsto en </w:t>
      </w:r>
      <w:r w:rsidRPr="00922CDA">
        <w:rPr>
          <w:rFonts w:ascii="Verdana" w:hAnsi="Verdana" w:cs="Arial"/>
          <w:color w:val="000000" w:themeColor="text1"/>
          <w:lang w:eastAsia="en-GB"/>
        </w:rPr>
        <w:t xml:space="preserve">el Capítulo 4 del Título I de la Parte 3 del Libro 2 del </w:t>
      </w:r>
      <w:r w:rsidRPr="00922CDA">
        <w:rPr>
          <w:rFonts w:ascii="Verdana" w:hAnsi="Verdana" w:cs="Arial"/>
          <w:color w:val="000000" w:themeColor="text1"/>
        </w:rPr>
        <w:t>Decreto 1070 de 2015, modificado por el Decreto 977 de 2018, se entiende que la situación militar se acredita resuelta o definida cuando el ciudadano posee tarjeta de reservista militar –de primera o segunda clase</w:t>
      </w:r>
      <w:r w:rsidRPr="00922CDA">
        <w:rPr>
          <w:rFonts w:ascii="Verdana" w:hAnsi="Verdana" w:cs="Arial"/>
          <w:color w:val="000000" w:themeColor="text1"/>
        </w:rPr>
        <w:softHyphen/>
        <w:t xml:space="preserve">–, el certificado digital o cédula militar de que de que tratan los </w:t>
      </w:r>
      <w:r w:rsidRPr="00922CDA">
        <w:rPr>
          <w:rFonts w:ascii="Verdana" w:hAnsi="Verdana" w:cs="Arial"/>
          <w:color w:val="000000" w:themeColor="text1"/>
          <w:lang w:bidi="es-ES"/>
        </w:rPr>
        <w:t>artículos 35</w:t>
      </w:r>
      <w:r w:rsidRPr="00160A93">
        <w:rPr>
          <w:vertAlign w:val="superscript"/>
          <w:lang w:bidi="es-ES"/>
        </w:rPr>
        <w:footnoteReference w:id="9"/>
      </w:r>
      <w:r w:rsidRPr="00922CDA">
        <w:rPr>
          <w:rFonts w:ascii="Verdana" w:hAnsi="Verdana" w:cs="Arial"/>
          <w:color w:val="000000" w:themeColor="text1"/>
          <w:lang w:bidi="es-ES"/>
        </w:rPr>
        <w:t>, 40</w:t>
      </w:r>
      <w:r w:rsidRPr="00160A93">
        <w:rPr>
          <w:vertAlign w:val="superscript"/>
          <w:lang w:bidi="es-ES"/>
        </w:rPr>
        <w:footnoteReference w:id="10"/>
      </w:r>
      <w:r w:rsidRPr="00922CDA">
        <w:rPr>
          <w:rFonts w:ascii="Verdana" w:hAnsi="Verdana" w:cs="Arial"/>
          <w:color w:val="000000" w:themeColor="text1"/>
          <w:lang w:bidi="es-ES"/>
        </w:rPr>
        <w:t xml:space="preserve"> y 41</w:t>
      </w:r>
      <w:r w:rsidRPr="00160A93">
        <w:rPr>
          <w:rStyle w:val="Refdenotaalpie"/>
          <w:rFonts w:ascii="Verdana" w:hAnsi="Verdana" w:cs="Arial"/>
          <w:color w:val="000000" w:themeColor="text1"/>
          <w:lang w:bidi="es-ES"/>
        </w:rPr>
        <w:footnoteReference w:id="11"/>
      </w:r>
      <w:r w:rsidRPr="00922CDA">
        <w:rPr>
          <w:rFonts w:ascii="Verdana" w:hAnsi="Verdana" w:cs="Arial"/>
          <w:color w:val="000000" w:themeColor="text1"/>
          <w:lang w:bidi="es-ES"/>
        </w:rPr>
        <w:t xml:space="preserve"> de la Ley 1861 de 2017</w:t>
      </w:r>
      <w:r w:rsidRPr="00922CDA">
        <w:rPr>
          <w:rFonts w:ascii="Verdana" w:hAnsi="Verdana" w:cs="Arial"/>
          <w:color w:val="000000" w:themeColor="text1"/>
        </w:rPr>
        <w:t>.</w:t>
      </w:r>
    </w:p>
    <w:p w14:paraId="1DA10BD0" w14:textId="77777777" w:rsidR="008D07F9" w:rsidRPr="00922CDA" w:rsidRDefault="008D07F9" w:rsidP="008D07F9">
      <w:pPr>
        <w:pStyle w:val="Prrafodelista"/>
        <w:rPr>
          <w:rFonts w:ascii="Verdana" w:hAnsi="Verdana" w:cs="Arial"/>
          <w:color w:val="000000" w:themeColor="text1"/>
          <w:lang w:eastAsia="es-ES"/>
        </w:rPr>
      </w:pPr>
    </w:p>
    <w:p w14:paraId="464EFD6F"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922CDA">
        <w:rPr>
          <w:rFonts w:ascii="Verdana" w:hAnsi="Verdana" w:cs="Arial"/>
          <w:color w:val="000000" w:themeColor="text1"/>
          <w:lang w:eastAsia="es-ES"/>
        </w:rPr>
        <w:t>Por otra parte, e</w:t>
      </w:r>
      <w:r w:rsidRPr="00922CDA">
        <w:rPr>
          <w:rFonts w:ascii="Verdana" w:hAnsi="Verdana" w:cs="Arial"/>
          <w:color w:val="000000" w:themeColor="text1"/>
          <w:lang w:eastAsia="en-GB"/>
        </w:rPr>
        <w:t xml:space="preserve">l artículo 42 de la Ley </w:t>
      </w:r>
      <w:r w:rsidRPr="00922CDA">
        <w:rPr>
          <w:rFonts w:ascii="Verdana" w:hAnsi="Verdana" w:cs="Arial"/>
          <w:color w:val="000000" w:themeColor="text1"/>
        </w:rPr>
        <w:t xml:space="preserve">1861 de 2017 </w:t>
      </w:r>
      <w:r w:rsidRPr="00922CDA">
        <w:rPr>
          <w:rFonts w:ascii="Verdana" w:hAnsi="Verdana" w:cs="Arial"/>
          <w:color w:val="000000" w:themeColor="text1"/>
          <w:lang w:eastAsia="en-GB"/>
        </w:rPr>
        <w:t xml:space="preserve">dispone en su primer inciso que la situación militar se deberá acreditar en tres eventos: i) para ejercer cargos públicos, </w:t>
      </w:r>
      <w:proofErr w:type="spellStart"/>
      <w:r w:rsidRPr="00922CDA">
        <w:rPr>
          <w:rFonts w:ascii="Verdana" w:hAnsi="Verdana" w:cs="Arial"/>
          <w:color w:val="000000" w:themeColor="text1"/>
          <w:lang w:eastAsia="en-GB"/>
        </w:rPr>
        <w:t>ii</w:t>
      </w:r>
      <w:proofErr w:type="spellEnd"/>
      <w:r w:rsidRPr="00922CDA">
        <w:rPr>
          <w:rFonts w:ascii="Verdana" w:hAnsi="Verdana" w:cs="Arial"/>
          <w:color w:val="000000" w:themeColor="text1"/>
          <w:lang w:eastAsia="en-GB"/>
        </w:rPr>
        <w:t xml:space="preserve">) trabajar en el sector privado y </w:t>
      </w:r>
      <w:proofErr w:type="spellStart"/>
      <w:r w:rsidRPr="00922CDA">
        <w:rPr>
          <w:rFonts w:ascii="Verdana" w:hAnsi="Verdana" w:cs="Arial"/>
          <w:color w:val="000000" w:themeColor="text1"/>
          <w:lang w:eastAsia="en-GB"/>
        </w:rPr>
        <w:t>iii</w:t>
      </w:r>
      <w:proofErr w:type="spellEnd"/>
      <w:r w:rsidRPr="00922CDA">
        <w:rPr>
          <w:rFonts w:ascii="Verdana" w:hAnsi="Verdana" w:cs="Arial"/>
          <w:color w:val="000000" w:themeColor="text1"/>
          <w:lang w:eastAsia="en-GB"/>
        </w:rPr>
        <w:t>) celebrar contratos de prestación de servicios como persona natural con cualquier entidad de derecho público</w:t>
      </w:r>
      <w:r>
        <w:rPr>
          <w:rStyle w:val="Refdenotaalpie"/>
          <w:rFonts w:ascii="Verdana" w:hAnsi="Verdana" w:cs="Arial"/>
          <w:color w:val="000000" w:themeColor="text1"/>
          <w:lang w:eastAsia="en-GB"/>
        </w:rPr>
        <w:footnoteReference w:id="12"/>
      </w:r>
      <w:r w:rsidRPr="00922CDA">
        <w:rPr>
          <w:rFonts w:ascii="Verdana" w:hAnsi="Verdana" w:cs="Arial"/>
          <w:color w:val="000000" w:themeColor="text1"/>
          <w:lang w:eastAsia="en-GB"/>
        </w:rPr>
        <w:t>.</w:t>
      </w:r>
      <w:r w:rsidRPr="00922CDA">
        <w:rPr>
          <w:rFonts w:ascii="Verdana" w:hAnsi="Verdana" w:cs="Arial"/>
          <w:color w:val="000000" w:themeColor="text1"/>
        </w:rPr>
        <w:t xml:space="preserve"> </w:t>
      </w:r>
      <w:r w:rsidRPr="00922CDA">
        <w:rPr>
          <w:rFonts w:ascii="Verdana" w:hAnsi="Verdana" w:cs="Arial"/>
          <w:color w:val="000000" w:themeColor="text1"/>
          <w:lang w:eastAsia="en-GB"/>
        </w:rPr>
        <w:t xml:space="preserve">De esta manera, se concluye </w:t>
      </w:r>
      <w:r w:rsidRPr="00922CDA">
        <w:rPr>
          <w:rFonts w:ascii="Verdana" w:hAnsi="Verdana" w:cs="Arial"/>
          <w:i/>
          <w:color w:val="000000" w:themeColor="text1"/>
          <w:lang w:eastAsia="en-GB"/>
        </w:rPr>
        <w:t>prima facie</w:t>
      </w:r>
      <w:r w:rsidRPr="00922CDA">
        <w:rPr>
          <w:rFonts w:ascii="Verdana" w:hAnsi="Verdana" w:cs="Arial"/>
          <w:color w:val="000000" w:themeColor="text1"/>
          <w:lang w:eastAsia="en-GB"/>
        </w:rPr>
        <w:t xml:space="preserve"> </w:t>
      </w:r>
      <w:r w:rsidRPr="00922CDA">
        <w:rPr>
          <w:rFonts w:ascii="Verdana" w:hAnsi="Verdana" w:cs="Arial"/>
          <w:color w:val="000000" w:themeColor="text1"/>
          <w:lang w:eastAsia="en-GB"/>
        </w:rPr>
        <w:lastRenderedPageBreak/>
        <w:t>que, para la celebración de contratos de prestación de servicios con personas naturales, resulta obligatorio que se acredite definida la situación militar mediante los documentos señalados en el numeral anterior.</w:t>
      </w:r>
      <w:r>
        <w:rPr>
          <w:rFonts w:ascii="Verdana" w:hAnsi="Verdana" w:cs="Arial"/>
          <w:color w:val="000000" w:themeColor="text1"/>
          <w:lang w:eastAsia="en-GB"/>
        </w:rPr>
        <w:t xml:space="preserve"> </w:t>
      </w:r>
      <w:r w:rsidRPr="002A3B80">
        <w:rPr>
          <w:rFonts w:ascii="Verdana" w:hAnsi="Verdana" w:cs="Arial"/>
          <w:color w:val="000000" w:themeColor="text1"/>
        </w:rPr>
        <w:t>Sin embargo,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160A93">
        <w:rPr>
          <w:rStyle w:val="Refdenotaalpie"/>
          <w:rFonts w:ascii="Verdana" w:hAnsi="Verdana" w:cs="Arial"/>
          <w:color w:val="000000" w:themeColor="text1"/>
        </w:rPr>
        <w:footnoteReference w:id="13"/>
      </w:r>
      <w:r w:rsidRPr="002A3B80">
        <w:rPr>
          <w:rFonts w:ascii="Verdana" w:hAnsi="Verdana" w:cs="Arial"/>
          <w:color w:val="000000" w:themeColor="text1"/>
        </w:rPr>
        <w:t xml:space="preserve">. </w:t>
      </w:r>
    </w:p>
    <w:p w14:paraId="5F5D611E" w14:textId="77777777" w:rsidR="008D07F9" w:rsidRPr="002A3B80" w:rsidRDefault="008D07F9" w:rsidP="008D07F9">
      <w:pPr>
        <w:pStyle w:val="Prrafodelista"/>
        <w:rPr>
          <w:rFonts w:ascii="Verdana" w:hAnsi="Verdana" w:cs="Arial"/>
          <w:color w:val="000000" w:themeColor="text1"/>
          <w:lang w:eastAsia="es-ES"/>
        </w:rPr>
      </w:pPr>
    </w:p>
    <w:p w14:paraId="1C6394EA"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2A3B80">
        <w:rPr>
          <w:rFonts w:ascii="Verdana" w:hAnsi="Verdana" w:cs="Arial"/>
          <w:color w:val="000000" w:themeColor="text1"/>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w:t>
      </w:r>
    </w:p>
    <w:p w14:paraId="3354A6C1" w14:textId="77777777" w:rsidR="008D07F9" w:rsidRPr="00414B15" w:rsidRDefault="008D07F9" w:rsidP="008D07F9">
      <w:pPr>
        <w:pStyle w:val="Prrafodelista"/>
        <w:rPr>
          <w:rFonts w:ascii="Verdana" w:hAnsi="Verdana" w:cs="Arial"/>
          <w:color w:val="000000" w:themeColor="text1"/>
          <w:lang w:eastAsia="es-ES"/>
        </w:rPr>
      </w:pPr>
    </w:p>
    <w:p w14:paraId="518E1A78" w14:textId="77777777" w:rsidR="008D07F9" w:rsidRDefault="008D07F9" w:rsidP="008D07F9">
      <w:pPr>
        <w:pStyle w:val="Prrafodelista"/>
        <w:numPr>
          <w:ilvl w:val="0"/>
          <w:numId w:val="5"/>
        </w:numPr>
        <w:spacing w:line="276" w:lineRule="auto"/>
        <w:jc w:val="both"/>
        <w:rPr>
          <w:rFonts w:ascii="Verdana" w:hAnsi="Verdana" w:cs="Arial"/>
          <w:color w:val="000000" w:themeColor="text1"/>
          <w:lang w:eastAsia="es-ES"/>
        </w:rPr>
      </w:pPr>
      <w:r w:rsidRPr="00414B15">
        <w:rPr>
          <w:rFonts w:ascii="Verdana" w:hAnsi="Verdana" w:cs="Arial"/>
          <w:color w:val="000000" w:themeColor="text1"/>
        </w:rPr>
        <w:t>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w:t>
      </w:r>
    </w:p>
    <w:p w14:paraId="539A5E0F" w14:textId="77777777" w:rsidR="008D07F9" w:rsidRPr="000251D7" w:rsidRDefault="008D07F9" w:rsidP="008D07F9">
      <w:pPr>
        <w:pStyle w:val="Prrafodelista"/>
        <w:rPr>
          <w:rFonts w:ascii="Verdana" w:hAnsi="Verdana" w:cs="Arial"/>
          <w:color w:val="000000" w:themeColor="text1"/>
          <w:lang w:eastAsia="es-ES"/>
        </w:rPr>
      </w:pPr>
    </w:p>
    <w:p w14:paraId="641757F0" w14:textId="77777777" w:rsidR="008D07F9" w:rsidRDefault="008D07F9" w:rsidP="008D07F9">
      <w:pPr>
        <w:pStyle w:val="Prrafodelista"/>
        <w:numPr>
          <w:ilvl w:val="0"/>
          <w:numId w:val="5"/>
        </w:numPr>
        <w:spacing w:line="276" w:lineRule="auto"/>
        <w:jc w:val="both"/>
        <w:rPr>
          <w:rFonts w:ascii="Verdana" w:eastAsia="Calibri" w:hAnsi="Verdana" w:cs="Arial"/>
        </w:rPr>
      </w:pPr>
      <w:r w:rsidRPr="000251D7">
        <w:rPr>
          <w:rFonts w:ascii="Verdana" w:eastAsia="Calibri" w:hAnsi="Verdana" w:cs="Arial"/>
        </w:rPr>
        <w:t xml:space="preserve">Expuesto lo anterior, es necesario precisar que, cuando el artículo 42 de la Ley 1861 de 2017 establece la acreditación de la situación militar como un presupuesto para la suscripción de contratos estatales, se refiere de manera exclusiva a la celebración contratos de prestación de servicios con personas naturales. En ese sentido, el ámbito de aplicación del requisito al que se refiere el primer inciso del artículo 42 de la Ley 1861 de 2017 se circunscribe a la tipología contractual contemplada en el numeral 3 del artículo 32 de la Ley 80 de 1993, cuando haya lugar a su celebración con </w:t>
      </w:r>
      <w:r w:rsidRPr="000251D7">
        <w:rPr>
          <w:rFonts w:ascii="Verdana" w:eastAsia="Calibri" w:hAnsi="Verdana" w:cs="Arial"/>
        </w:rPr>
        <w:lastRenderedPageBreak/>
        <w:t xml:space="preserve">personas naturales, específicamente, con varones de nacionalidad colombiana. </w:t>
      </w:r>
    </w:p>
    <w:p w14:paraId="6E958101" w14:textId="77777777" w:rsidR="008D07F9" w:rsidRPr="00CE006E" w:rsidRDefault="008D07F9" w:rsidP="008D07F9">
      <w:pPr>
        <w:pStyle w:val="Prrafodelista"/>
        <w:rPr>
          <w:rFonts w:ascii="Verdana" w:eastAsia="Calibri" w:hAnsi="Verdana" w:cs="Arial"/>
        </w:rPr>
      </w:pPr>
    </w:p>
    <w:p w14:paraId="7882F600" w14:textId="77777777" w:rsidR="008D07F9" w:rsidRDefault="008D07F9" w:rsidP="008D07F9">
      <w:pPr>
        <w:pStyle w:val="Prrafodelista"/>
        <w:numPr>
          <w:ilvl w:val="0"/>
          <w:numId w:val="5"/>
        </w:numPr>
        <w:spacing w:after="0" w:line="276" w:lineRule="auto"/>
        <w:jc w:val="both"/>
        <w:rPr>
          <w:rFonts w:ascii="Verdana" w:eastAsia="Calibri" w:hAnsi="Verdana" w:cs="Arial"/>
        </w:rPr>
      </w:pPr>
      <w:r w:rsidRPr="00FE21CA">
        <w:rPr>
          <w:rFonts w:ascii="Verdana" w:eastAsia="Calibri" w:hAnsi="Verdana" w:cs="Arial"/>
        </w:rPr>
        <w:t>Esta conclusión implica que, para la celebración de contratos distintos del de prestación de servicios–</w:t>
      </w:r>
      <w:r w:rsidRPr="00FE21CA">
        <w:rPr>
          <w:rFonts w:ascii="Verdana" w:eastAsia="Calibri" w:hAnsi="Verdana" w:cs="Arial"/>
          <w:i/>
          <w:iCs/>
        </w:rPr>
        <w:t>v.g.</w:t>
      </w:r>
      <w:r w:rsidRPr="00FE21CA">
        <w:rPr>
          <w:rFonts w:ascii="Verdana" w:eastAsia="Calibri" w:hAnsi="Verdana" w:cs="Arial"/>
        </w:rPr>
        <w:t xml:space="preserve"> obra pública, consultoría, </w:t>
      </w:r>
      <w:proofErr w:type="spellStart"/>
      <w:r w:rsidRPr="00FE21CA">
        <w:rPr>
          <w:rFonts w:ascii="Verdana" w:eastAsia="Calibri" w:hAnsi="Verdana" w:cs="Arial"/>
        </w:rPr>
        <w:t>etc</w:t>
      </w:r>
      <w:proofErr w:type="spellEnd"/>
      <w:r w:rsidRPr="00FE21CA">
        <w:rPr>
          <w:rFonts w:ascii="Verdana" w:eastAsia="Calibri" w:hAnsi="Verdana" w:cs="Arial"/>
        </w:rPr>
        <w:t xml:space="preserve">– no resulta obligatoria la acreditación de la situación militar como un requisito para la celebración del negocio jurídico. Del mismo modo, a luz de esta interpretación, dicho requisito tampoco resultaría exigible cuando se deban celebrar contratos de prestación de servicios con personas naturales extranjeras, así como tampoco a las mujeres, en la medida que estas no están obligadas a definir su situación militar. Asimismo, el requisito tampoco resultaría aplicable a los contratos que deban celebrarse con personas jurídicas, en la medida que la obligación de definir la situación militar solo se predica de los varones con nacionalidad colombiana, es decir de personas naturales, de acuerdo con el artículo 11 de la Ley 1861 de 2017. </w:t>
      </w:r>
    </w:p>
    <w:p w14:paraId="53245AE8" w14:textId="77777777" w:rsidR="008D07F9" w:rsidRPr="00CE006E" w:rsidRDefault="008D07F9" w:rsidP="008D07F9">
      <w:pPr>
        <w:pStyle w:val="Prrafodelista"/>
        <w:spacing w:after="0"/>
        <w:rPr>
          <w:rFonts w:ascii="Verdana" w:eastAsia="Calibri" w:hAnsi="Verdana" w:cs="Arial"/>
        </w:rPr>
      </w:pPr>
    </w:p>
    <w:p w14:paraId="34C04854" w14:textId="77777777" w:rsidR="008D07F9" w:rsidRPr="00406AA6" w:rsidRDefault="008D07F9" w:rsidP="008D07F9">
      <w:pPr>
        <w:widowControl w:val="0"/>
        <w:numPr>
          <w:ilvl w:val="0"/>
          <w:numId w:val="1"/>
        </w:numPr>
        <w:autoSpaceDE w:val="0"/>
        <w:autoSpaceDN w:val="0"/>
        <w:spacing w:after="0" w:line="276" w:lineRule="auto"/>
        <w:contextualSpacing/>
        <w:jc w:val="both"/>
        <w:rPr>
          <w:rFonts w:ascii="Verdana" w:eastAsia="Aptos" w:hAnsi="Verdana" w:cs="Arial"/>
        </w:rPr>
      </w:pPr>
      <w:r>
        <w:rPr>
          <w:rFonts w:ascii="Verdana" w:eastAsia="Calibri" w:hAnsi="Verdana" w:cs="Arial"/>
        </w:rPr>
        <w:t xml:space="preserve">Finalmente, </w:t>
      </w:r>
      <w:r>
        <w:rPr>
          <w:rFonts w:ascii="Verdana" w:eastAsia="Aptos" w:hAnsi="Verdana" w:cs="Arial"/>
        </w:rPr>
        <w:t xml:space="preserve">debe destacarse que la Agencia Nacional de Contratación Pública – Colombia Compra Eficiente, por vía consultiva, no puede </w:t>
      </w:r>
      <w:r w:rsidRPr="006157A4">
        <w:rPr>
          <w:rFonts w:ascii="Verdana" w:eastAsia="Aptos" w:hAnsi="Verdana" w:cs="Arial"/>
        </w:rPr>
        <w:t xml:space="preserve">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w:t>
      </w:r>
      <w:r>
        <w:rPr>
          <w:rFonts w:ascii="Verdana" w:eastAsia="Aptos" w:hAnsi="Verdana" w:cs="Arial"/>
        </w:rPr>
        <w:t>Entidades Estatales</w:t>
      </w:r>
      <w:r w:rsidRPr="006157A4">
        <w:rPr>
          <w:rFonts w:ascii="Verdana" w:eastAsia="Aptos" w:hAnsi="Verdana" w:cs="Arial"/>
        </w:rPr>
        <w:t>, en virtud de las facultades legales que les han sido conferidas por el ordenamiento jurídico, determinar la forma en la que realizarán la liquidación de sus contratos</w:t>
      </w:r>
      <w:r>
        <w:rPr>
          <w:rFonts w:ascii="Verdana" w:eastAsia="Aptos" w:hAnsi="Verdana" w:cs="Arial"/>
        </w:rPr>
        <w:t>.</w:t>
      </w:r>
    </w:p>
    <w:bookmarkEnd w:id="3"/>
    <w:p w14:paraId="4FA39462" w14:textId="77777777" w:rsidR="008D07F9" w:rsidRPr="002700D3" w:rsidRDefault="008D07F9" w:rsidP="008D07F9">
      <w:pPr>
        <w:pStyle w:val="Prrafodelista"/>
        <w:spacing w:after="0" w:line="276" w:lineRule="auto"/>
        <w:jc w:val="both"/>
        <w:rPr>
          <w:rFonts w:ascii="Verdana" w:eastAsia="Calibri" w:hAnsi="Verdana" w:cs="Arial"/>
        </w:rPr>
      </w:pPr>
    </w:p>
    <w:p w14:paraId="51805395" w14:textId="77777777" w:rsidR="008D07F9" w:rsidRPr="0047490F" w:rsidRDefault="008D07F9" w:rsidP="008D07F9">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43136F1E" w14:textId="77777777" w:rsidR="008D07F9" w:rsidRPr="0047490F" w:rsidRDefault="008D07F9" w:rsidP="008D07F9">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D07F9" w:rsidRPr="0047490F" w14:paraId="6452B38E" w14:textId="77777777" w:rsidTr="00AC4589">
        <w:trPr>
          <w:trHeight w:val="870"/>
        </w:trPr>
        <w:tc>
          <w:tcPr>
            <w:tcW w:w="8647" w:type="dxa"/>
          </w:tcPr>
          <w:p w14:paraId="5B9AB2A1" w14:textId="77777777" w:rsidR="008D07F9" w:rsidRPr="009F1E0E"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Calibri" w:hAnsi="Verdana" w:cs="Arial"/>
                <w:lang w:val="es-ES"/>
              </w:rPr>
              <w:t>Ley 80 de 1993. Artículo</w:t>
            </w:r>
            <w:r>
              <w:rPr>
                <w:rFonts w:ascii="Verdana" w:eastAsia="Calibri" w:hAnsi="Verdana" w:cs="Arial"/>
                <w:lang w:val="es-ES"/>
              </w:rPr>
              <w:t xml:space="preserve"> 6 y</w:t>
            </w:r>
            <w:r w:rsidRPr="00406AA6">
              <w:rPr>
                <w:rFonts w:ascii="Verdana" w:eastAsia="Calibri" w:hAnsi="Verdana" w:cs="Arial"/>
                <w:lang w:val="es-ES"/>
              </w:rPr>
              <w:t xml:space="preserve"> 8</w:t>
            </w:r>
          </w:p>
          <w:p w14:paraId="58C3B76F" w14:textId="77777777" w:rsidR="008D07F9" w:rsidRPr="00210FC6"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Ley </w:t>
            </w:r>
            <w:r w:rsidRPr="000F72BC">
              <w:rPr>
                <w:rFonts w:ascii="Verdana" w:eastAsia="Calibri" w:hAnsi="Verdana" w:cs="Arial"/>
                <w:lang w:val="es-ES"/>
              </w:rPr>
              <w:t>1801 de 2016</w:t>
            </w:r>
            <w:r>
              <w:rPr>
                <w:rFonts w:ascii="Verdana" w:eastAsia="Calibri" w:hAnsi="Verdana" w:cs="Arial"/>
                <w:lang w:val="es-ES"/>
              </w:rPr>
              <w:t>. Artículos 183 y 184</w:t>
            </w:r>
          </w:p>
          <w:p w14:paraId="6760FB35" w14:textId="77777777" w:rsidR="008D07F9" w:rsidRPr="00210FC6" w:rsidRDefault="008D07F9" w:rsidP="008D07F9">
            <w:pPr>
              <w:pStyle w:val="Prrafodelista"/>
              <w:widowControl w:val="0"/>
              <w:numPr>
                <w:ilvl w:val="0"/>
                <w:numId w:val="2"/>
              </w:numPr>
              <w:autoSpaceDE w:val="0"/>
              <w:autoSpaceDN w:val="0"/>
              <w:spacing w:line="276" w:lineRule="auto"/>
              <w:ind w:left="714" w:hanging="357"/>
              <w:contextualSpacing w:val="0"/>
              <w:jc w:val="both"/>
              <w:rPr>
                <w:rFonts w:ascii="Verdana" w:hAnsi="Verdana" w:cs="Arial"/>
              </w:rPr>
            </w:pPr>
            <w:r w:rsidRPr="00160A93">
              <w:rPr>
                <w:rFonts w:ascii="Verdana" w:hAnsi="Verdana" w:cs="Arial"/>
              </w:rPr>
              <w:t>Ley 1861 de 2017, artículo</w:t>
            </w:r>
            <w:r>
              <w:rPr>
                <w:rFonts w:ascii="Verdana" w:hAnsi="Verdana" w:cs="Arial"/>
              </w:rPr>
              <w:t>s</w:t>
            </w:r>
            <w:r w:rsidRPr="00160A93">
              <w:rPr>
                <w:rFonts w:ascii="Verdana" w:hAnsi="Verdana" w:cs="Arial"/>
              </w:rPr>
              <w:t xml:space="preserve"> 4</w:t>
            </w:r>
            <w:r>
              <w:rPr>
                <w:rFonts w:ascii="Verdana" w:hAnsi="Verdana" w:cs="Arial"/>
              </w:rPr>
              <w:t>, 11,12, 16 y 42</w:t>
            </w:r>
          </w:p>
          <w:p w14:paraId="0E9210F3" w14:textId="77777777" w:rsidR="008D07F9" w:rsidRPr="00593868"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Decreto 1284 de 2017. Artículo </w:t>
            </w:r>
            <w:r w:rsidRPr="006D5ABF">
              <w:rPr>
                <w:rFonts w:ascii="Verdana" w:eastAsia="Calibri" w:hAnsi="Verdana" w:cs="Arial"/>
                <w:lang w:val="es-ES"/>
              </w:rPr>
              <w:t>2.2.8.3.1</w:t>
            </w:r>
          </w:p>
          <w:p w14:paraId="14A0F4F3" w14:textId="77777777" w:rsidR="008D07F9" w:rsidRPr="009A2A19"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sidRPr="00160A93">
              <w:rPr>
                <w:rFonts w:ascii="Verdana" w:hAnsi="Verdana" w:cs="Arial"/>
              </w:rPr>
              <w:t>Ley 1712 de 2014</w:t>
            </w:r>
          </w:p>
          <w:p w14:paraId="7DE1CA5E" w14:textId="77777777" w:rsidR="008D07F9" w:rsidRPr="00406AA6"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sidRPr="00160A93">
              <w:rPr>
                <w:rFonts w:ascii="Verdana" w:hAnsi="Verdana" w:cs="Arial"/>
              </w:rPr>
              <w:t>Constitución de 1991, artículo 216</w:t>
            </w:r>
          </w:p>
          <w:p w14:paraId="5A1D6BE9" w14:textId="77777777" w:rsidR="008D07F9" w:rsidRPr="00406AA6"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CORTE CONSTITUCIONAL. Sentencia C-1016 de 2012. M.P. Jorge Iván Palacio</w:t>
            </w:r>
          </w:p>
          <w:p w14:paraId="35C1BBE9" w14:textId="77777777" w:rsidR="008D07F9" w:rsidRPr="0047490F" w:rsidRDefault="008D07F9" w:rsidP="008D07F9">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 xml:space="preserve">BARRETO ROZO, Antonio Alejandro. Inhabilidades de la contratación </w:t>
            </w:r>
            <w:r w:rsidRPr="00406AA6">
              <w:rPr>
                <w:rFonts w:ascii="Verdana" w:eastAsia="Aptos" w:hAnsi="Verdana" w:cs="Arial"/>
              </w:rPr>
              <w:lastRenderedPageBreak/>
              <w:t xml:space="preserve">estatal, efectos y </w:t>
            </w:r>
            <w:proofErr w:type="spellStart"/>
            <w:r w:rsidRPr="00406AA6">
              <w:rPr>
                <w:rFonts w:ascii="Verdana" w:eastAsia="Aptos" w:hAnsi="Verdana" w:cs="Arial"/>
              </w:rPr>
              <w:t>neopunitivismo</w:t>
            </w:r>
            <w:proofErr w:type="spellEnd"/>
            <w:r w:rsidRPr="00406AA6">
              <w:rPr>
                <w:rFonts w:ascii="Verdana" w:eastAsia="Aptos" w:hAnsi="Verdana" w:cs="Arial"/>
              </w:rPr>
              <w:t xml:space="preserve"> en el Estatuto Anticorrupción</w:t>
            </w:r>
          </w:p>
        </w:tc>
      </w:tr>
    </w:tbl>
    <w:p w14:paraId="53BF4D97" w14:textId="77777777" w:rsidR="008D07F9" w:rsidRPr="0047490F" w:rsidRDefault="008D07F9" w:rsidP="008D07F9">
      <w:pPr>
        <w:widowControl w:val="0"/>
        <w:autoSpaceDE w:val="0"/>
        <w:autoSpaceDN w:val="0"/>
        <w:spacing w:after="0" w:line="276" w:lineRule="auto"/>
        <w:jc w:val="both"/>
        <w:rPr>
          <w:rFonts w:ascii="Verdana" w:eastAsia="Aptos" w:hAnsi="Verdana" w:cs="Arial"/>
        </w:rPr>
      </w:pPr>
    </w:p>
    <w:p w14:paraId="6D106F1F" w14:textId="77777777" w:rsidR="008D07F9" w:rsidRPr="0047490F" w:rsidRDefault="008D07F9" w:rsidP="008D07F9">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2A83ED3A" w14:textId="77777777" w:rsidR="008D07F9" w:rsidRPr="0047490F" w:rsidRDefault="008D07F9" w:rsidP="008D07F9">
      <w:pPr>
        <w:widowControl w:val="0"/>
        <w:autoSpaceDE w:val="0"/>
        <w:autoSpaceDN w:val="0"/>
        <w:spacing w:after="0" w:line="276" w:lineRule="auto"/>
        <w:jc w:val="both"/>
        <w:rPr>
          <w:rFonts w:ascii="Verdana" w:eastAsia="Aptos" w:hAnsi="Verdana" w:cs="Arial"/>
        </w:rPr>
      </w:pPr>
    </w:p>
    <w:p w14:paraId="22309261" w14:textId="77777777" w:rsidR="008D07F9" w:rsidRPr="00D215E1" w:rsidRDefault="008D07F9" w:rsidP="008D07F9">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Sobre el régimen de inhabilidades en la contratación estatal, esta Subdirección se ha referido en los Conceptos C-035 del 24 de abril de 2024, C-067 del 16 de mayo de 2024, C-041 del 29 de mayo de 2024, C-078 del 04 de junio de 2024, C-193 del 19 de julio de 2024, C-271 del 25 de julio de 2024, C-108 de 06 de agosto de 2024,</w:t>
      </w:r>
      <w:r>
        <w:rPr>
          <w:rFonts w:ascii="Verdana" w:eastAsia="Aptos" w:hAnsi="Verdana" w:cs="Arial"/>
          <w:shd w:val="clear" w:color="auto" w:fill="FFFFFF"/>
          <w:lang w:val="es-ES"/>
        </w:rPr>
        <w:t xml:space="preserve"> C-332 del 27 de agosto de 2024,</w:t>
      </w:r>
      <w:r w:rsidRPr="00406AA6">
        <w:rPr>
          <w:rFonts w:ascii="Verdana" w:eastAsia="Aptos" w:hAnsi="Verdana" w:cs="Arial"/>
          <w:shd w:val="clear" w:color="auto" w:fill="FFFFFF"/>
          <w:lang w:val="es-ES"/>
        </w:rPr>
        <w:t xml:space="preserve"> entre otros. </w:t>
      </w:r>
      <w:r>
        <w:rPr>
          <w:rFonts w:ascii="Verdana" w:eastAsia="Aptos" w:hAnsi="Verdana" w:cs="Arial"/>
          <w:shd w:val="clear" w:color="auto" w:fill="FFFFFF"/>
          <w:lang w:val="es-ES"/>
        </w:rPr>
        <w:t xml:space="preserve">De igual informa, respecto de la situación militar para suscribir contratos de prestación de servicios, esta Subdirección se pronunció </w:t>
      </w:r>
      <w:r w:rsidRPr="00160A93">
        <w:rPr>
          <w:rStyle w:val="normaltextrun"/>
          <w:rFonts w:ascii="Verdana" w:hAnsi="Verdana" w:cs="Arial"/>
          <w:shd w:val="clear" w:color="auto" w:fill="FFFFFF"/>
          <w:lang w:val="es-ES"/>
        </w:rPr>
        <w:t xml:space="preserve">pronunciado en los conceptos Nro. </w:t>
      </w:r>
      <w:r w:rsidRPr="00160A93">
        <w:rPr>
          <w:rFonts w:ascii="Verdana" w:hAnsi="Verdana" w:cs="Arial"/>
          <w:shd w:val="clear" w:color="auto" w:fill="FFFFFF"/>
        </w:rPr>
        <w:t>C-628 de 29 de septiembre de 2022, C-653 del 11 de octubre de 2022, C-944 del 19 de enero del 2023, C-328 del 25 de agosto de 2023, C-376 del 20 de septiembre del 2023</w:t>
      </w:r>
      <w:r>
        <w:rPr>
          <w:rFonts w:ascii="Verdana" w:hAnsi="Verdana" w:cs="Arial"/>
          <w:shd w:val="clear" w:color="auto" w:fill="FFFFFF"/>
        </w:rPr>
        <w:t xml:space="preserve">, </w:t>
      </w:r>
      <w:r w:rsidRPr="00160A93">
        <w:rPr>
          <w:rFonts w:ascii="Verdana" w:hAnsi="Verdana" w:cs="Arial"/>
          <w:shd w:val="clear" w:color="auto" w:fill="FFFFFF"/>
        </w:rPr>
        <w:t>C-417 del 27 de septiembre del 2023</w:t>
      </w:r>
      <w:r>
        <w:rPr>
          <w:rFonts w:ascii="Verdana" w:eastAsia="Aptos" w:hAnsi="Verdana" w:cs="Arial"/>
          <w:shd w:val="clear" w:color="auto" w:fill="FFFFFF"/>
          <w:lang w:val="es-ES"/>
        </w:rPr>
        <w:t xml:space="preserve"> y C-190 del 30 de julio de 2024, 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3C6C5194" w14:textId="77777777" w:rsidR="008D07F9" w:rsidRPr="0047490F" w:rsidRDefault="008D07F9" w:rsidP="008D07F9">
      <w:pPr>
        <w:widowControl w:val="0"/>
        <w:autoSpaceDE w:val="0"/>
        <w:autoSpaceDN w:val="0"/>
        <w:spacing w:after="0" w:line="276" w:lineRule="auto"/>
        <w:jc w:val="both"/>
        <w:rPr>
          <w:rFonts w:ascii="Verdana" w:eastAsia="Aptos" w:hAnsi="Verdana" w:cs="Arial"/>
          <w:shd w:val="clear" w:color="auto" w:fill="FFFFFF"/>
          <w:lang w:val="es-ES"/>
        </w:rPr>
      </w:pPr>
    </w:p>
    <w:p w14:paraId="22827967" w14:textId="77777777" w:rsidR="008D07F9" w:rsidRDefault="008D07F9" w:rsidP="008D07F9">
      <w:pPr>
        <w:widowControl w:val="0"/>
        <w:autoSpaceDE w:val="0"/>
        <w:autoSpaceDN w:val="0"/>
        <w:spacing w:after="0" w:line="276" w:lineRule="auto"/>
        <w:jc w:val="both"/>
        <w:rPr>
          <w:rFonts w:ascii="Verdana" w:eastAsia="Aptos" w:hAnsi="Verdana" w:cs="Arial"/>
          <w:shd w:val="clear" w:color="auto" w:fill="FFFFFF"/>
        </w:rPr>
      </w:pPr>
      <w:r w:rsidRPr="00DD0EFE">
        <w:rPr>
          <w:rFonts w:ascii="Verdana" w:eastAsia="Aptos" w:hAnsi="Verdana" w:cs="Arial"/>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p>
    <w:p w14:paraId="027827B5" w14:textId="77777777" w:rsidR="008D07F9" w:rsidRPr="00DD0EFE" w:rsidRDefault="001D0086" w:rsidP="008D07F9">
      <w:pPr>
        <w:widowControl w:val="0"/>
        <w:autoSpaceDE w:val="0"/>
        <w:autoSpaceDN w:val="0"/>
        <w:spacing w:after="0" w:line="276" w:lineRule="auto"/>
        <w:jc w:val="both"/>
        <w:rPr>
          <w:rFonts w:ascii="Verdana" w:eastAsia="Aptos" w:hAnsi="Verdana" w:cs="Arial"/>
          <w:shd w:val="clear" w:color="auto" w:fill="FFFFFF"/>
        </w:rPr>
      </w:pPr>
      <w:hyperlink r:id="rId13" w:history="1">
        <w:r w:rsidR="008D07F9" w:rsidRPr="00DD0EFE">
          <w:rPr>
            <w:rStyle w:val="Hipervnculo"/>
            <w:rFonts w:ascii="Verdana" w:eastAsia="Aptos" w:hAnsi="Verdana" w:cs="Arial"/>
            <w:shd w:val="clear" w:color="auto" w:fill="FFFFFF"/>
          </w:rPr>
          <w:t>https://www.colombiacompra.gov.co/content/borrador-de-documentos-tipo-de-consultoria-de-obra-publica-de-infraestructura-de-transporte</w:t>
        </w:r>
      </w:hyperlink>
      <w:r w:rsidR="008D07F9" w:rsidRPr="00DD0EFE">
        <w:rPr>
          <w:rFonts w:ascii="Verdana" w:eastAsia="Aptos" w:hAnsi="Verdana" w:cs="Arial"/>
          <w:shd w:val="clear" w:color="auto" w:fill="FFFFFF"/>
        </w:rPr>
        <w:t> y </w:t>
      </w:r>
      <w:hyperlink r:id="rId14" w:tgtFrame="_blank" w:tooltip="Dirección URL original: https://www.colombiacompra.gov.co/content/borrador-de-documentos-tipo-de-interventoria-de-obra-publica-de-infraestructura-de. Haga clic o pulse si confía en este vínculo." w:history="1">
        <w:r w:rsidR="008D07F9" w:rsidRPr="00DD0EFE">
          <w:rPr>
            <w:rStyle w:val="Hipervnculo"/>
            <w:rFonts w:ascii="Verdana" w:eastAsia="Aptos" w:hAnsi="Verdana" w:cs="Arial"/>
            <w:shd w:val="clear" w:color="auto" w:fill="FFFFFF"/>
          </w:rPr>
          <w:t>https://www.colombiacompra.gov.co/content/borrador-de-documentos-tipo-de-interventoria-de-obra-publica-de-infraestructura-de</w:t>
        </w:r>
      </w:hyperlink>
      <w:r w:rsidR="008D07F9" w:rsidRPr="00DD0EFE">
        <w:rPr>
          <w:rFonts w:ascii="Verdana" w:eastAsia="Aptos" w:hAnsi="Verdana" w:cs="Arial"/>
          <w:shd w:val="clear" w:color="auto" w:fill="FFFFFF"/>
        </w:rPr>
        <w:t> .</w:t>
      </w:r>
    </w:p>
    <w:p w14:paraId="56980293" w14:textId="77777777" w:rsidR="008D07F9" w:rsidRDefault="008D07F9" w:rsidP="008D07F9">
      <w:pPr>
        <w:widowControl w:val="0"/>
        <w:autoSpaceDE w:val="0"/>
        <w:autoSpaceDN w:val="0"/>
        <w:spacing w:after="0" w:line="276" w:lineRule="auto"/>
        <w:jc w:val="both"/>
        <w:rPr>
          <w:rFonts w:ascii="Verdana" w:eastAsia="Aptos" w:hAnsi="Verdana" w:cs="Arial"/>
          <w:shd w:val="clear" w:color="auto" w:fill="FFFFFF"/>
        </w:rPr>
      </w:pPr>
    </w:p>
    <w:p w14:paraId="20A7A79C" w14:textId="77777777" w:rsidR="008D07F9" w:rsidRDefault="008D07F9" w:rsidP="008D07F9">
      <w:pPr>
        <w:widowControl w:val="0"/>
        <w:autoSpaceDE w:val="0"/>
        <w:autoSpaceDN w:val="0"/>
        <w:spacing w:after="0" w:line="276" w:lineRule="auto"/>
        <w:jc w:val="both"/>
        <w:rPr>
          <w:rFonts w:ascii="Verdana" w:eastAsia="Aptos" w:hAnsi="Verdana" w:cs="Arial"/>
          <w:shd w:val="clear" w:color="auto" w:fill="FFFFFF"/>
        </w:rPr>
      </w:pPr>
      <w:r w:rsidRPr="00DD0EFE">
        <w:rPr>
          <w:rFonts w:ascii="Verdana" w:eastAsia="Aptos" w:hAnsi="Verdana" w:cs="Arial"/>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p>
    <w:p w14:paraId="5AD5CCDC" w14:textId="77777777" w:rsidR="008D07F9" w:rsidRPr="00DD0EFE" w:rsidRDefault="001D0086" w:rsidP="008D07F9">
      <w:pPr>
        <w:widowControl w:val="0"/>
        <w:autoSpaceDE w:val="0"/>
        <w:autoSpaceDN w:val="0"/>
        <w:spacing w:after="0" w:line="276" w:lineRule="auto"/>
        <w:jc w:val="both"/>
        <w:rPr>
          <w:rFonts w:ascii="Verdana" w:eastAsia="Aptos" w:hAnsi="Verdana" w:cs="Arial"/>
          <w:shd w:val="clear" w:color="auto" w:fill="FFFFFF"/>
        </w:rPr>
      </w:pPr>
      <w:hyperlink r:id="rId15" w:history="1">
        <w:r w:rsidR="008D07F9" w:rsidRPr="00DD0EFE">
          <w:rPr>
            <w:rStyle w:val="Hipervnculo"/>
            <w:rFonts w:ascii="Verdana" w:eastAsia="Aptos" w:hAnsi="Verdana" w:cs="Arial"/>
            <w:shd w:val="clear" w:color="auto" w:fill="FFFFFF"/>
          </w:rPr>
          <w:t>https://www.sucop.gov.co/entidades/colombiacompra/Normativa?IDNorma=18320</w:t>
        </w:r>
      </w:hyperlink>
      <w:r w:rsidR="008D07F9" w:rsidRPr="00DD0EFE">
        <w:rPr>
          <w:rFonts w:ascii="Verdana" w:eastAsia="Aptos" w:hAnsi="Verdana" w:cs="Arial"/>
          <w:shd w:val="clear" w:color="auto" w:fill="FFFFFF"/>
        </w:rPr>
        <w:t>  </w:t>
      </w:r>
    </w:p>
    <w:p w14:paraId="5720EECF" w14:textId="77777777" w:rsidR="008D07F9" w:rsidRDefault="008D07F9" w:rsidP="008D07F9">
      <w:pPr>
        <w:widowControl w:val="0"/>
        <w:autoSpaceDE w:val="0"/>
        <w:autoSpaceDN w:val="0"/>
        <w:spacing w:after="0" w:line="276" w:lineRule="auto"/>
        <w:jc w:val="both"/>
        <w:rPr>
          <w:rFonts w:ascii="Verdana" w:eastAsia="Aptos" w:hAnsi="Verdana" w:cs="Arial"/>
          <w:shd w:val="clear" w:color="auto" w:fill="FFFFFF"/>
        </w:rPr>
      </w:pPr>
    </w:p>
    <w:p w14:paraId="257661B4" w14:textId="77777777" w:rsidR="008D07F9" w:rsidRPr="00DD0EFE" w:rsidRDefault="008D07F9" w:rsidP="008D07F9">
      <w:pPr>
        <w:widowControl w:val="0"/>
        <w:autoSpaceDE w:val="0"/>
        <w:autoSpaceDN w:val="0"/>
        <w:spacing w:after="0" w:line="276" w:lineRule="auto"/>
        <w:jc w:val="both"/>
        <w:rPr>
          <w:rFonts w:ascii="Verdana" w:eastAsia="Aptos" w:hAnsi="Verdana" w:cs="Arial"/>
          <w:shd w:val="clear" w:color="auto" w:fill="FFFFFF"/>
        </w:rPr>
      </w:pPr>
      <w:r w:rsidRPr="00DD0EFE">
        <w:rPr>
          <w:rFonts w:ascii="Verdana" w:eastAsia="Aptos"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proofErr w:type="spellStart"/>
      <w:r w:rsidRPr="00DD0EFE">
        <w:rPr>
          <w:rFonts w:ascii="Verdana" w:eastAsia="Aptos" w:hAnsi="Verdana" w:cs="Arial"/>
          <w:shd w:val="clear" w:color="auto" w:fill="FFFFFF"/>
        </w:rPr>
        <w:t>odalidad</w:t>
      </w:r>
      <w:proofErr w:type="spellEnd"/>
      <w:r w:rsidRPr="00DD0EFE">
        <w:rPr>
          <w:rFonts w:ascii="Verdana" w:eastAsia="Aptos" w:hAnsi="Verdana" w:cs="Arial"/>
          <w:shd w:val="clear" w:color="auto" w:fill="FFFFFF"/>
        </w:rPr>
        <w:t xml:space="preserve"> de selección de mínima cuantía , los cuales se pueden descargar en la página web de la Agencia: </w:t>
      </w:r>
      <w:hyperlink r:id="rId16" w:tgtFrame="_blank" w:tooltip="Dirección URL original: https://www.colombiacompra.gov.co/sala-de-prensa/boletin-digital. Haga clic o pulse si confía en este vínculo." w:history="1">
        <w:r w:rsidRPr="00DD0EFE">
          <w:rPr>
            <w:rStyle w:val="Hipervnculo"/>
            <w:rFonts w:ascii="Verdana" w:eastAsia="Aptos" w:hAnsi="Verdana" w:cs="Arial"/>
            <w:shd w:val="clear" w:color="auto" w:fill="FFFFFF"/>
          </w:rPr>
          <w:t>https://www.colombiacompra.gov.co/sala-de-prensa/boletin-digital</w:t>
        </w:r>
      </w:hyperlink>
      <w:r w:rsidRPr="00DD0EFE">
        <w:rPr>
          <w:rFonts w:ascii="Verdana" w:eastAsia="Aptos" w:hAnsi="Verdana" w:cs="Arial"/>
          <w:shd w:val="clear" w:color="auto" w:fill="FFFFFF"/>
        </w:rPr>
        <w:t> "    </w:t>
      </w:r>
    </w:p>
    <w:p w14:paraId="498EFC73" w14:textId="77777777" w:rsidR="008D07F9" w:rsidRPr="0047490F" w:rsidRDefault="008D07F9" w:rsidP="008D07F9">
      <w:pPr>
        <w:widowControl w:val="0"/>
        <w:autoSpaceDE w:val="0"/>
        <w:autoSpaceDN w:val="0"/>
        <w:spacing w:after="0" w:line="276" w:lineRule="auto"/>
        <w:jc w:val="both"/>
        <w:rPr>
          <w:rFonts w:ascii="Verdana" w:eastAsia="Aptos" w:hAnsi="Verdana" w:cs="Arial"/>
          <w:shd w:val="clear" w:color="auto" w:fill="FFFFFF"/>
        </w:rPr>
      </w:pPr>
      <w:r w:rsidRPr="3D837D24">
        <w:rPr>
          <w:rFonts w:ascii="Verdana" w:eastAsia="Aptos" w:hAnsi="Verdana" w:cs="Arial"/>
          <w:shd w:val="clear" w:color="auto" w:fill="FFFFFF"/>
        </w:rPr>
        <w:t xml:space="preserve">. </w:t>
      </w:r>
    </w:p>
    <w:p w14:paraId="0D779B40" w14:textId="77777777" w:rsidR="008D07F9" w:rsidRPr="0047490F" w:rsidRDefault="008D07F9" w:rsidP="008D07F9">
      <w:pPr>
        <w:widowControl w:val="0"/>
        <w:autoSpaceDE w:val="0"/>
        <w:autoSpaceDN w:val="0"/>
        <w:spacing w:after="0" w:line="276" w:lineRule="auto"/>
        <w:jc w:val="both"/>
        <w:rPr>
          <w:rFonts w:ascii="Verdana" w:eastAsia="Aptos" w:hAnsi="Verdana" w:cs="Arial"/>
          <w:shd w:val="clear" w:color="auto" w:fill="FFFFFF"/>
          <w:lang w:val="es-ES"/>
        </w:rPr>
      </w:pPr>
    </w:p>
    <w:p w14:paraId="408BA710" w14:textId="77777777" w:rsidR="008D07F9" w:rsidRPr="0047490F" w:rsidRDefault="008D07F9" w:rsidP="008D07F9">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4894EF39" w14:textId="77777777" w:rsidR="008D07F9" w:rsidRPr="0047490F" w:rsidRDefault="008D07F9" w:rsidP="008D07F9">
      <w:pPr>
        <w:spacing w:after="0" w:line="240" w:lineRule="auto"/>
        <w:jc w:val="both"/>
        <w:rPr>
          <w:rFonts w:ascii="Verdana" w:eastAsia="Aptos" w:hAnsi="Verdana" w:cs="Times New Roman"/>
        </w:rPr>
      </w:pPr>
    </w:p>
    <w:p w14:paraId="14AA3274" w14:textId="77777777" w:rsidR="008D07F9" w:rsidRPr="0047490F" w:rsidRDefault="008D07F9" w:rsidP="008D07F9">
      <w:pPr>
        <w:spacing w:after="0" w:line="240" w:lineRule="auto"/>
        <w:jc w:val="both"/>
        <w:rPr>
          <w:rFonts w:ascii="Verdana" w:eastAsia="Aptos" w:hAnsi="Verdana" w:cs="Times New Roman"/>
        </w:rPr>
      </w:pPr>
      <w:r w:rsidRPr="0047490F">
        <w:rPr>
          <w:rFonts w:ascii="Verdana" w:eastAsia="Aptos" w:hAnsi="Verdana" w:cs="Times New Roman"/>
        </w:rPr>
        <w:t xml:space="preserve">Twitter: </w:t>
      </w:r>
      <w:r w:rsidRPr="0047490F">
        <w:rPr>
          <w:rStyle w:val="Hipervnculo"/>
          <w:rFonts w:ascii="Verdana" w:hAnsi="Verdana" w:cs="Arial"/>
          <w:shd w:val="clear" w:color="auto" w:fill="FFFFFF"/>
          <w:lang w:val="es-ES"/>
        </w:rPr>
        <w:t>@</w:t>
      </w:r>
      <w:proofErr w:type="spellStart"/>
      <w:r w:rsidRPr="0047490F">
        <w:rPr>
          <w:rStyle w:val="Hipervnculo"/>
          <w:rFonts w:ascii="Verdana" w:hAnsi="Verdana" w:cs="Arial"/>
          <w:shd w:val="clear" w:color="auto" w:fill="FFFFFF"/>
          <w:lang w:val="es-ES"/>
        </w:rPr>
        <w:t>colombiacompra</w:t>
      </w:r>
      <w:proofErr w:type="spellEnd"/>
      <w:r w:rsidRPr="0047490F">
        <w:rPr>
          <w:rFonts w:ascii="Verdana" w:eastAsia="Aptos" w:hAnsi="Verdana" w:cs="Times New Roman"/>
          <w:color w:val="156082"/>
        </w:rPr>
        <w:t xml:space="preserve"> </w:t>
      </w:r>
    </w:p>
    <w:p w14:paraId="605E5053" w14:textId="77777777" w:rsidR="008D07F9" w:rsidRPr="0047490F" w:rsidRDefault="008D07F9" w:rsidP="008D07F9">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1D3C653C" w14:textId="77777777" w:rsidR="008D07F9" w:rsidRPr="0047490F" w:rsidRDefault="008D07F9" w:rsidP="008D07F9">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w:t>
      </w:r>
      <w:proofErr w:type="spellStart"/>
      <w:r w:rsidRPr="0047490F">
        <w:rPr>
          <w:rStyle w:val="Hipervnculo"/>
          <w:rFonts w:ascii="Verdana" w:hAnsi="Verdana" w:cs="Arial"/>
          <w:shd w:val="clear" w:color="auto" w:fill="FFFFFF"/>
          <w:lang w:val="es-ES"/>
        </w:rPr>
        <w:t>colombiacompraeficiente_cce</w:t>
      </w:r>
      <w:proofErr w:type="spellEnd"/>
    </w:p>
    <w:p w14:paraId="3104638C" w14:textId="77777777" w:rsidR="008D07F9" w:rsidRPr="0047490F" w:rsidRDefault="008D07F9" w:rsidP="008D07F9">
      <w:pPr>
        <w:widowControl w:val="0"/>
        <w:autoSpaceDE w:val="0"/>
        <w:autoSpaceDN w:val="0"/>
        <w:spacing w:after="0" w:line="276" w:lineRule="auto"/>
        <w:jc w:val="both"/>
        <w:rPr>
          <w:rFonts w:ascii="Verdana" w:eastAsia="Aptos" w:hAnsi="Verdana" w:cs="Arial"/>
        </w:rPr>
      </w:pPr>
    </w:p>
    <w:p w14:paraId="106BC6E8" w14:textId="77777777" w:rsidR="008D07F9" w:rsidRPr="0047490F" w:rsidRDefault="008D07F9" w:rsidP="008D07F9">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11BA6BFB" w14:textId="77777777" w:rsidR="008D07F9" w:rsidRPr="0047490F" w:rsidRDefault="008D07F9" w:rsidP="008D07F9">
      <w:pPr>
        <w:widowControl w:val="0"/>
        <w:autoSpaceDE w:val="0"/>
        <w:autoSpaceDN w:val="0"/>
        <w:spacing w:after="0" w:line="276" w:lineRule="auto"/>
        <w:jc w:val="both"/>
        <w:rPr>
          <w:rFonts w:ascii="Verdana" w:eastAsia="Aptos" w:hAnsi="Verdana" w:cs="Arial"/>
        </w:rPr>
      </w:pPr>
    </w:p>
    <w:p w14:paraId="37CD2A6A" w14:textId="77777777" w:rsidR="008D07F9" w:rsidRPr="0047490F" w:rsidRDefault="008D07F9" w:rsidP="008D07F9">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54E1011E" w14:textId="0C4F818E" w:rsidR="008D07F9" w:rsidRPr="0047490F" w:rsidRDefault="003135D0" w:rsidP="008D07F9">
      <w:pPr>
        <w:spacing w:line="276" w:lineRule="auto"/>
        <w:jc w:val="center"/>
        <w:rPr>
          <w:rFonts w:ascii="Verdana" w:eastAsia="Aptos" w:hAnsi="Verdana" w:cs="Arial"/>
          <w:lang w:val="es-ES_tradnl" w:eastAsia="es-CO"/>
        </w:rPr>
      </w:pPr>
      <w:r w:rsidRPr="003135D0">
        <w:rPr>
          <w:rFonts w:ascii="Verdana" w:eastAsia="Aptos" w:hAnsi="Verdana" w:cs="Arial"/>
          <w:noProof/>
          <w:lang w:eastAsia="es-CO"/>
        </w:rPr>
        <w:drawing>
          <wp:inline distT="0" distB="0" distL="0" distR="0" wp14:anchorId="6FA1A8CF" wp14:editId="41D5F4CC">
            <wp:extent cx="3771900" cy="1400175"/>
            <wp:effectExtent l="0" t="0" r="0" b="9525"/>
            <wp:docPr id="157938586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3135D0">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8D07F9" w:rsidRPr="0047490F" w14:paraId="3738E503" w14:textId="77777777" w:rsidTr="00AC4589">
        <w:trPr>
          <w:trHeight w:val="286"/>
        </w:trPr>
        <w:tc>
          <w:tcPr>
            <w:tcW w:w="901" w:type="dxa"/>
            <w:vAlign w:val="center"/>
            <w:hideMark/>
          </w:tcPr>
          <w:p w14:paraId="56F4C938"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7D843B6" w14:textId="77777777" w:rsidR="008D07F9" w:rsidRPr="0047490F" w:rsidRDefault="008D07F9" w:rsidP="00AC4589">
            <w:pPr>
              <w:rPr>
                <w:rFonts w:ascii="Verdana" w:eastAsia="Aptos" w:hAnsi="Verdana" w:cs="Arial"/>
                <w:sz w:val="14"/>
                <w:szCs w:val="14"/>
                <w:lang w:eastAsia="es-ES"/>
              </w:rPr>
            </w:pPr>
            <w:proofErr w:type="spellStart"/>
            <w:r w:rsidRPr="0047490F">
              <w:rPr>
                <w:rFonts w:ascii="Verdana" w:eastAsia="Aptos" w:hAnsi="Verdana" w:cs="Arial"/>
                <w:sz w:val="14"/>
                <w:szCs w:val="14"/>
                <w:lang w:eastAsia="es-ES"/>
              </w:rPr>
              <w:t>Nasly</w:t>
            </w:r>
            <w:proofErr w:type="spellEnd"/>
            <w:r w:rsidRPr="0047490F">
              <w:rPr>
                <w:rFonts w:ascii="Verdana" w:eastAsia="Aptos" w:hAnsi="Verdana" w:cs="Arial"/>
                <w:sz w:val="14"/>
                <w:szCs w:val="14"/>
                <w:lang w:eastAsia="es-ES"/>
              </w:rPr>
              <w:t xml:space="preserve"> </w:t>
            </w:r>
            <w:proofErr w:type="spellStart"/>
            <w:r w:rsidRPr="0047490F">
              <w:rPr>
                <w:rFonts w:ascii="Verdana" w:eastAsia="Aptos" w:hAnsi="Verdana" w:cs="Arial"/>
                <w:sz w:val="14"/>
                <w:szCs w:val="14"/>
                <w:lang w:eastAsia="es-ES"/>
              </w:rPr>
              <w:t>Yeana</w:t>
            </w:r>
            <w:proofErr w:type="spellEnd"/>
            <w:r w:rsidRPr="0047490F">
              <w:rPr>
                <w:rFonts w:ascii="Verdana" w:eastAsia="Aptos" w:hAnsi="Verdana" w:cs="Arial"/>
                <w:sz w:val="14"/>
                <w:szCs w:val="14"/>
                <w:lang w:eastAsia="es-ES"/>
              </w:rPr>
              <w:t xml:space="preserve"> Mosquera Rivas</w:t>
            </w:r>
          </w:p>
          <w:p w14:paraId="0EAA52D8"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8D07F9" w:rsidRPr="0047490F" w14:paraId="5F8408EA" w14:textId="77777777" w:rsidTr="00AC4589">
        <w:trPr>
          <w:trHeight w:val="299"/>
        </w:trPr>
        <w:tc>
          <w:tcPr>
            <w:tcW w:w="901" w:type="dxa"/>
            <w:vAlign w:val="center"/>
          </w:tcPr>
          <w:p w14:paraId="1CB674F1"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1EB0F4A7" w14:textId="77777777" w:rsidR="008D07F9" w:rsidRPr="0047490F" w:rsidRDefault="008D07F9" w:rsidP="00AC4589">
            <w:pPr>
              <w:rPr>
                <w:rFonts w:ascii="Verdana" w:eastAsia="Aptos" w:hAnsi="Verdana" w:cs="Arial"/>
                <w:sz w:val="14"/>
                <w:szCs w:val="14"/>
                <w:lang w:eastAsia="es-ES"/>
              </w:rPr>
            </w:pPr>
            <w:r>
              <w:rPr>
                <w:rFonts w:ascii="Verdana" w:eastAsia="Aptos" w:hAnsi="Verdana" w:cs="Arial"/>
                <w:sz w:val="14"/>
                <w:szCs w:val="14"/>
                <w:lang w:eastAsia="es-ES"/>
              </w:rPr>
              <w:t xml:space="preserve">Adriana </w:t>
            </w:r>
            <w:proofErr w:type="spellStart"/>
            <w:r>
              <w:rPr>
                <w:rFonts w:ascii="Verdana" w:eastAsia="Aptos" w:hAnsi="Verdana" w:cs="Arial"/>
                <w:sz w:val="14"/>
                <w:szCs w:val="14"/>
                <w:lang w:eastAsia="es-ES"/>
              </w:rPr>
              <w:t>Katerine</w:t>
            </w:r>
            <w:proofErr w:type="spellEnd"/>
            <w:r>
              <w:rPr>
                <w:rFonts w:ascii="Verdana" w:eastAsia="Aptos" w:hAnsi="Verdana" w:cs="Arial"/>
                <w:sz w:val="14"/>
                <w:szCs w:val="14"/>
                <w:lang w:eastAsia="es-ES"/>
              </w:rPr>
              <w:t xml:space="preserve"> López Rodríguez</w:t>
            </w:r>
          </w:p>
          <w:p w14:paraId="05A67FDE" w14:textId="77777777" w:rsidR="008D07F9" w:rsidRPr="0047490F" w:rsidRDefault="008D07F9" w:rsidP="00AC4589">
            <w:pPr>
              <w:rPr>
                <w:rFonts w:ascii="Verdana" w:eastAsia="Aptos" w:hAnsi="Verdana" w:cs="Arial"/>
                <w:sz w:val="14"/>
                <w:szCs w:val="14"/>
                <w:lang w:eastAsia="es-ES"/>
              </w:rPr>
            </w:pPr>
            <w:r>
              <w:rPr>
                <w:rFonts w:ascii="Verdana" w:eastAsia="Aptos" w:hAnsi="Verdana" w:cs="Arial"/>
                <w:sz w:val="14"/>
                <w:szCs w:val="14"/>
                <w:lang w:eastAsia="es-ES"/>
              </w:rPr>
              <w:t>Contratista</w:t>
            </w:r>
            <w:r w:rsidRPr="0047490F">
              <w:rPr>
                <w:rFonts w:ascii="Verdana" w:eastAsia="Aptos" w:hAnsi="Verdana" w:cs="Arial"/>
                <w:sz w:val="14"/>
                <w:szCs w:val="14"/>
                <w:lang w:eastAsia="es-ES"/>
              </w:rPr>
              <w:t xml:space="preserve"> de la Subdirección de Gestión Contractual</w:t>
            </w:r>
          </w:p>
        </w:tc>
      </w:tr>
      <w:tr w:rsidR="008D07F9" w:rsidRPr="0047490F" w14:paraId="6B6BE528" w14:textId="77777777" w:rsidTr="00AC4589">
        <w:trPr>
          <w:trHeight w:val="272"/>
        </w:trPr>
        <w:tc>
          <w:tcPr>
            <w:tcW w:w="901" w:type="dxa"/>
            <w:vAlign w:val="center"/>
            <w:hideMark/>
          </w:tcPr>
          <w:p w14:paraId="6756EBB9"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0C9DF592"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 xml:space="preserve">Carolina Quintero </w:t>
            </w:r>
            <w:proofErr w:type="spellStart"/>
            <w:r w:rsidRPr="0047490F">
              <w:rPr>
                <w:rFonts w:ascii="Verdana" w:eastAsia="Aptos" w:hAnsi="Verdana" w:cs="Arial"/>
                <w:sz w:val="14"/>
                <w:szCs w:val="14"/>
                <w:lang w:eastAsia="es-ES"/>
              </w:rPr>
              <w:t>Gacharná</w:t>
            </w:r>
            <w:proofErr w:type="spellEnd"/>
          </w:p>
          <w:p w14:paraId="22E2A1F4" w14:textId="77777777" w:rsidR="008D07F9" w:rsidRPr="0047490F" w:rsidRDefault="008D07F9" w:rsidP="00AC4589">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25430F5E" w14:textId="77777777" w:rsidR="008D07F9" w:rsidRPr="0047490F" w:rsidRDefault="008D07F9" w:rsidP="008D07F9">
      <w:pPr>
        <w:spacing w:after="0" w:line="240" w:lineRule="auto"/>
        <w:rPr>
          <w:rFonts w:ascii="Verdana" w:eastAsia="Times New Roman" w:hAnsi="Verdana" w:cs="Arial"/>
          <w:sz w:val="24"/>
          <w:szCs w:val="24"/>
          <w:lang w:eastAsia="es-ES"/>
        </w:rPr>
      </w:pPr>
    </w:p>
    <w:p w14:paraId="18B148EA" w14:textId="77777777" w:rsidR="008D07F9" w:rsidRPr="0047490F" w:rsidRDefault="008D07F9" w:rsidP="008D07F9">
      <w:pPr>
        <w:rPr>
          <w:rFonts w:ascii="Verdana" w:eastAsia="Aptos" w:hAnsi="Verdana" w:cs="Times New Roman"/>
        </w:rPr>
      </w:pPr>
    </w:p>
    <w:p w14:paraId="64470296" w14:textId="77777777" w:rsidR="008D07F9" w:rsidRPr="0047490F" w:rsidRDefault="008D07F9" w:rsidP="008D07F9">
      <w:pPr>
        <w:rPr>
          <w:rFonts w:ascii="Verdana" w:eastAsia="Aptos" w:hAnsi="Verdana" w:cs="Times New Roman"/>
        </w:rPr>
      </w:pPr>
    </w:p>
    <w:p w14:paraId="3A8E227E" w14:textId="77777777" w:rsidR="008D07F9" w:rsidRDefault="008D07F9"/>
    <w:sectPr w:rsidR="008D07F9" w:rsidSect="008D07F9">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0D576" w14:textId="77777777" w:rsidR="001E57D2" w:rsidRDefault="001E57D2" w:rsidP="008D07F9">
      <w:pPr>
        <w:spacing w:after="0" w:line="240" w:lineRule="auto"/>
      </w:pPr>
      <w:r>
        <w:separator/>
      </w:r>
    </w:p>
  </w:endnote>
  <w:endnote w:type="continuationSeparator" w:id="0">
    <w:p w14:paraId="07E11E65" w14:textId="77777777" w:rsidR="001E57D2" w:rsidRDefault="001E57D2" w:rsidP="008D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FB44" w14:textId="77777777" w:rsidR="002D5024" w:rsidRDefault="002D5024">
    <w:pPr>
      <w:pStyle w:val="Piedepgina"/>
    </w:pPr>
  </w:p>
  <w:p w14:paraId="63542AC8" w14:textId="77777777" w:rsidR="002D5024" w:rsidRPr="00174B77" w:rsidRDefault="001D0086"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EFA14A6" w14:textId="77777777" w:rsidR="002D5024" w:rsidRDefault="001D0086"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AF6DD8D" w14:textId="77777777" w:rsidR="002D5024" w:rsidRPr="00E41027" w:rsidRDefault="001D0086" w:rsidP="00D520D8">
    <w:pPr>
      <w:spacing w:after="0"/>
      <w:jc w:val="both"/>
      <w:rPr>
        <w:rFonts w:ascii="Verdana" w:hAnsi="Verdana"/>
        <w:sz w:val="18"/>
        <w:szCs w:val="18"/>
      </w:rPr>
    </w:pPr>
    <w:r w:rsidRPr="00E41027">
      <w:rPr>
        <w:rFonts w:ascii="Verdana" w:hAnsi="Verdana"/>
        <w:sz w:val="18"/>
        <w:szCs w:val="18"/>
      </w:rPr>
      <w:t>Mesa de servicio: (+57) 601 7456788</w:t>
    </w:r>
  </w:p>
  <w:p w14:paraId="7B9E3B5E" w14:textId="77777777" w:rsidR="002D5024" w:rsidRDefault="001D0086"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4F661" w14:textId="77777777" w:rsidR="001E57D2" w:rsidRDefault="001E57D2" w:rsidP="008D07F9">
      <w:pPr>
        <w:spacing w:after="0" w:line="240" w:lineRule="auto"/>
      </w:pPr>
      <w:r>
        <w:separator/>
      </w:r>
    </w:p>
  </w:footnote>
  <w:footnote w:type="continuationSeparator" w:id="0">
    <w:p w14:paraId="248392DB" w14:textId="77777777" w:rsidR="001E57D2" w:rsidRDefault="001E57D2" w:rsidP="008D07F9">
      <w:pPr>
        <w:spacing w:after="0" w:line="240" w:lineRule="auto"/>
      </w:pPr>
      <w:r>
        <w:continuationSeparator/>
      </w:r>
    </w:p>
  </w:footnote>
  <w:footnote w:id="1">
    <w:p w14:paraId="6ECF0D33" w14:textId="77777777" w:rsidR="008D07F9" w:rsidRPr="001871E2" w:rsidRDefault="008D07F9" w:rsidP="008D07F9">
      <w:pPr>
        <w:spacing w:after="0" w:line="240" w:lineRule="auto"/>
        <w:ind w:firstLine="709"/>
        <w:jc w:val="both"/>
        <w:rPr>
          <w:rFonts w:ascii="Verdana" w:hAnsi="Verdana" w:cs="Arial"/>
          <w:color w:val="000000"/>
          <w:sz w:val="8"/>
          <w:szCs w:val="8"/>
          <w:lang w:val="es-ES"/>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w:t>
      </w:r>
      <w:r w:rsidRPr="001871E2">
        <w:rPr>
          <w:rFonts w:ascii="Verdana" w:hAnsi="Verdana" w:cs="Arial"/>
          <w:color w:val="000000"/>
          <w:sz w:val="8"/>
          <w:szCs w:val="8"/>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b, Ley 80/93); “Quienes dieron lugar a la declaratoria de caducidad”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d), Ley 80/93); “Quienes sin justa causa se abstengan de suscribir el contrato estatal adjudicado”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a), b) y c), Ley 1474/11, modificado por el art. 43, Ley 1955/19).</w:t>
      </w:r>
    </w:p>
    <w:p w14:paraId="183A4DEC" w14:textId="77777777" w:rsidR="008D07F9" w:rsidRPr="001871E2" w:rsidRDefault="008D07F9" w:rsidP="008D07F9">
      <w:pPr>
        <w:spacing w:after="0" w:line="240" w:lineRule="auto"/>
        <w:ind w:firstLine="709"/>
        <w:jc w:val="both"/>
        <w:rPr>
          <w:rFonts w:ascii="Verdana" w:hAnsi="Verdana" w:cs="Arial"/>
          <w:color w:val="000000"/>
          <w:sz w:val="8"/>
          <w:szCs w:val="8"/>
          <w:lang w:val="es-ES"/>
        </w:rPr>
      </w:pPr>
    </w:p>
  </w:footnote>
  <w:footnote w:id="2">
    <w:p w14:paraId="0FCC1BE5" w14:textId="77777777" w:rsidR="008D07F9" w:rsidRPr="001871E2" w:rsidRDefault="008D07F9" w:rsidP="008D07F9">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d), Ley 80/93).</w:t>
      </w:r>
    </w:p>
    <w:p w14:paraId="2456ECC5" w14:textId="77777777" w:rsidR="008D07F9" w:rsidRPr="001871E2" w:rsidRDefault="008D07F9" w:rsidP="008D07F9">
      <w:pPr>
        <w:pStyle w:val="Textonotapie"/>
        <w:ind w:firstLine="709"/>
        <w:jc w:val="both"/>
        <w:rPr>
          <w:rFonts w:ascii="Verdana" w:hAnsi="Verdana" w:cs="Arial"/>
          <w:color w:val="000000"/>
          <w:sz w:val="8"/>
          <w:szCs w:val="8"/>
          <w:lang w:val="es-CO"/>
        </w:rPr>
      </w:pPr>
    </w:p>
  </w:footnote>
  <w:footnote w:id="3">
    <w:p w14:paraId="35C60D78" w14:textId="77777777" w:rsidR="008D07F9" w:rsidRPr="001871E2" w:rsidRDefault="008D07F9" w:rsidP="008D07F9">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k), Ley 80/93, modificado por el art. 33, Ley 1778/16); “Quienes fueron miembros de la junta o consejo directivo o servidores públicos de la entidad contratante”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f), Ley 80/93, adicionado por el art. 4º, Ley 1474/2011) [a pesar de que la norma la califica como una incompatibilidad, en realidad se trata de una inhabilidad, ya que en dicha causal no existe concurrencia de calidades en un sujeto]. </w:t>
      </w:r>
    </w:p>
    <w:p w14:paraId="09FF8E83" w14:textId="77777777" w:rsidR="008D07F9" w:rsidRPr="001871E2" w:rsidRDefault="008D07F9" w:rsidP="008D07F9">
      <w:pPr>
        <w:pStyle w:val="Textonotapie"/>
        <w:ind w:firstLine="709"/>
        <w:jc w:val="both"/>
        <w:rPr>
          <w:rFonts w:ascii="Verdana" w:hAnsi="Verdana" w:cs="Arial"/>
          <w:color w:val="000000"/>
          <w:sz w:val="8"/>
          <w:szCs w:val="8"/>
          <w:lang w:val="es-CO"/>
        </w:rPr>
      </w:pPr>
    </w:p>
  </w:footnote>
  <w:footnote w:id="4">
    <w:p w14:paraId="2C0AE9DE" w14:textId="77777777" w:rsidR="008D07F9" w:rsidRPr="001871E2" w:rsidRDefault="008D07F9" w:rsidP="008D07F9">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BARRETO ROZO, Antonio Alejandro. Inhabilidades de la contratación estatal, efectos y </w:t>
      </w:r>
      <w:proofErr w:type="spellStart"/>
      <w:r w:rsidRPr="001871E2">
        <w:rPr>
          <w:rFonts w:ascii="Verdana" w:hAnsi="Verdana" w:cs="Arial"/>
          <w:color w:val="000000"/>
          <w:sz w:val="8"/>
          <w:szCs w:val="8"/>
        </w:rPr>
        <w:t>neopunitivismo</w:t>
      </w:r>
      <w:proofErr w:type="spellEnd"/>
      <w:r w:rsidRPr="001871E2">
        <w:rPr>
          <w:rFonts w:ascii="Verdana" w:hAnsi="Verdana" w:cs="Arial"/>
          <w:color w:val="000000"/>
          <w:sz w:val="8"/>
          <w:szCs w:val="8"/>
        </w:rPr>
        <w:t xml:space="preserve"> en el Estatuto Anticorrupción. En: ALVIAR GARCÍA, Helena (Coordinadora). Nuevas tendencias del Derecho administrativo. Bogotá: Universidad de los Andes; Temis, 2016. pp. 63-99.</w:t>
      </w:r>
    </w:p>
    <w:p w14:paraId="39BABEEB" w14:textId="77777777" w:rsidR="008D07F9" w:rsidRPr="001871E2" w:rsidRDefault="008D07F9" w:rsidP="008D07F9">
      <w:pPr>
        <w:pStyle w:val="Textonotapie"/>
        <w:ind w:firstLine="709"/>
        <w:jc w:val="both"/>
        <w:rPr>
          <w:rFonts w:ascii="Verdana" w:hAnsi="Verdana" w:cs="Arial"/>
          <w:color w:val="000000"/>
          <w:sz w:val="8"/>
          <w:szCs w:val="8"/>
        </w:rPr>
      </w:pPr>
    </w:p>
  </w:footnote>
  <w:footnote w:id="5">
    <w:p w14:paraId="4C3B0BF8" w14:textId="77777777" w:rsidR="008D07F9" w:rsidRPr="001871E2" w:rsidRDefault="008D07F9" w:rsidP="008D07F9">
      <w:pPr>
        <w:pStyle w:val="Textonotapie"/>
        <w:ind w:firstLine="709"/>
        <w:jc w:val="both"/>
        <w:rPr>
          <w:rFonts w:ascii="Verdana" w:hAnsi="Verdana" w:cs="Arial"/>
          <w:sz w:val="8"/>
          <w:szCs w:val="8"/>
        </w:rPr>
      </w:pPr>
      <w:r w:rsidRPr="001871E2">
        <w:rPr>
          <w:rStyle w:val="Refdenotaalpie"/>
          <w:rFonts w:ascii="Verdana" w:hAnsi="Verdana" w:cs="Arial"/>
          <w:sz w:val="8"/>
          <w:szCs w:val="8"/>
        </w:rPr>
        <w:footnoteRef/>
      </w:r>
      <w:r w:rsidRPr="001871E2">
        <w:rPr>
          <w:rFonts w:ascii="Verdana" w:hAnsi="Verdana" w:cs="Arial"/>
          <w:sz w:val="8"/>
          <w:szCs w:val="8"/>
        </w:rPr>
        <w:t xml:space="preserve"> CORTE CONSTITUCIONAL. Sentencia C-1016 de 2012. M.P. Jorge Iván Palacio. </w:t>
      </w:r>
    </w:p>
  </w:footnote>
  <w:footnote w:id="6">
    <w:p w14:paraId="104717B1" w14:textId="77777777" w:rsidR="008D07F9" w:rsidRPr="00C95B6D" w:rsidRDefault="008D07F9" w:rsidP="008D07F9">
      <w:pPr>
        <w:pStyle w:val="Textonotapie"/>
        <w:ind w:firstLine="708"/>
        <w:jc w:val="both"/>
        <w:rPr>
          <w:rFonts w:ascii="Verdana" w:hAnsi="Verdana"/>
          <w:sz w:val="16"/>
          <w:szCs w:val="16"/>
          <w:lang w:val="es-CO"/>
        </w:rPr>
      </w:pPr>
      <w:r w:rsidRPr="00C95B6D">
        <w:rPr>
          <w:rStyle w:val="Refdenotaalpie"/>
          <w:rFonts w:ascii="Verdana" w:hAnsi="Verdana"/>
          <w:sz w:val="16"/>
          <w:szCs w:val="16"/>
        </w:rPr>
        <w:footnoteRef/>
      </w:r>
      <w:r w:rsidRPr="00C95B6D">
        <w:rPr>
          <w:rFonts w:ascii="Verdana" w:hAnsi="Verdana"/>
          <w:sz w:val="16"/>
          <w:szCs w:val="16"/>
        </w:rPr>
        <w:t xml:space="preserve"> Ley 1861 de 2017: “</w:t>
      </w:r>
      <w:r w:rsidRPr="00C95B6D">
        <w:rPr>
          <w:rFonts w:ascii="Verdana" w:hAnsi="Verdana"/>
          <w:sz w:val="16"/>
          <w:szCs w:val="16"/>
          <w:lang w:val="es-CO"/>
        </w:rPr>
        <w:t>Artículo </w:t>
      </w:r>
      <w:bookmarkStart w:id="4" w:name="4"/>
      <w:bookmarkEnd w:id="4"/>
      <w:r w:rsidRPr="00C95B6D">
        <w:rPr>
          <w:rFonts w:ascii="Verdana" w:hAnsi="Verdana"/>
          <w:sz w:val="16"/>
          <w:szCs w:val="16"/>
          <w:lang w:val="es-CO"/>
        </w:rPr>
        <w:t>4.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14:paraId="126498AD" w14:textId="77777777" w:rsidR="008D07F9" w:rsidRPr="00C95B6D" w:rsidRDefault="008D07F9" w:rsidP="008D07F9">
      <w:pPr>
        <w:pStyle w:val="Textonotapie"/>
        <w:jc w:val="both"/>
        <w:rPr>
          <w:rFonts w:ascii="Verdana" w:hAnsi="Verdana"/>
          <w:sz w:val="16"/>
          <w:szCs w:val="16"/>
          <w:lang w:val="es-CO"/>
        </w:rPr>
      </w:pPr>
      <w:r w:rsidRPr="00C95B6D">
        <w:rPr>
          <w:rFonts w:ascii="Verdana" w:hAnsi="Verdana"/>
          <w:sz w:val="16"/>
          <w:szCs w:val="16"/>
          <w:lang w:val="es-CO"/>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la conciencia”.</w:t>
      </w:r>
    </w:p>
    <w:p w14:paraId="3841E13E" w14:textId="77777777" w:rsidR="008D07F9" w:rsidRPr="00C95B6D" w:rsidRDefault="008D07F9" w:rsidP="008D07F9">
      <w:pPr>
        <w:pStyle w:val="Textonotapie"/>
        <w:jc w:val="both"/>
        <w:rPr>
          <w:rFonts w:ascii="Verdana" w:hAnsi="Verdana"/>
          <w:sz w:val="16"/>
          <w:szCs w:val="16"/>
        </w:rPr>
      </w:pPr>
    </w:p>
  </w:footnote>
  <w:footnote w:id="7">
    <w:p w14:paraId="526ACA6F"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Style w:val="Refdenotaalpie"/>
          <w:rFonts w:ascii="Verdana" w:hAnsi="Verdana" w:cs="Arial"/>
          <w:sz w:val="16"/>
          <w:szCs w:val="16"/>
        </w:rPr>
        <w:footnoteRef/>
      </w:r>
      <w:r w:rsidRPr="00434CAA">
        <w:rPr>
          <w:rFonts w:ascii="Verdana" w:hAnsi="Verdana" w:cs="Arial"/>
          <w:sz w:val="16"/>
          <w:szCs w:val="16"/>
        </w:rPr>
        <w:t xml:space="preserve"> Ley </w:t>
      </w:r>
      <w:r w:rsidRPr="00434CAA">
        <w:rPr>
          <w:rFonts w:ascii="Verdana" w:hAnsi="Verdana" w:cs="Arial"/>
          <w:color w:val="000000" w:themeColor="text1"/>
          <w:sz w:val="16"/>
          <w:szCs w:val="16"/>
        </w:rPr>
        <w:t>1861 de 2017: “Artículo 17. Inscripción. La Organización de Reclutamiento y Movilización es la responsable de inscribir anualmente a los colombianos que en dicho periodo estén llamados a definir su situación militar, una vez hayan cumplido la mayoría de edad.</w:t>
      </w:r>
    </w:p>
    <w:p w14:paraId="65E4E607"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Realizada la inscripción, el ciudadano podrá obtener certificado en línea que acredite el inicio del proceso de definición de la situación militar.</w:t>
      </w:r>
    </w:p>
    <w:p w14:paraId="1959955A"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1. Los planteles educativos informarán a los estudiantes de grado 11° o su equivalente al último año de educación media vocacional, el deber de definir su situación militar. Los planteles educativos con la ayuda de los Ministerios de Defensa y de Educación Nacional, buscarán que se informe a los estudiantes de último grado sobre las causales de exención al servicio militar, así como su derecho a la objeción de conciencia al servicio militar.</w:t>
      </w:r>
    </w:p>
    <w:p w14:paraId="1CC36C5F"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2. Hasta el treinta (30) de noviembre de cada año, la Registraduría Nacional del Estado Civil proporcionará a la Organización de reclutamiento y Movilización la información de registro necesaria para la realización de la inscripción de los colombianos que cumplan la edad militar en el año siguiente.</w:t>
      </w:r>
    </w:p>
    <w:p w14:paraId="102147B7"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3. Lo contenido en este artículo en relación con la transferencia de información siempre se ajustará a la normativa vigente sobre protección ele datos.</w:t>
      </w:r>
    </w:p>
    <w:p w14:paraId="67C8EABB"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4. Hasta antes de la incorporación, el ciudadano deberá manifestar por escrito o de manera verbal, si tiene conocimiento de estar inmerso en alguna causal de exoneración del servicio militar o de cualquier otra circunstancia que lo imposibilite para prestar el servicio militar</w:t>
      </w:r>
    </w:p>
    <w:p w14:paraId="21E1EB11"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 xml:space="preserve">En el evento que el ciudadano realice la manifestación verbal, la autoridad de Reclutamiento dejará constancia de la manifestación y facilitará los medios para </w:t>
      </w:r>
      <w:proofErr w:type="spellStart"/>
      <w:r w:rsidRPr="00434CAA">
        <w:rPr>
          <w:rFonts w:ascii="Verdana" w:hAnsi="Verdana" w:cs="Arial"/>
          <w:color w:val="000000" w:themeColor="text1"/>
          <w:sz w:val="16"/>
          <w:szCs w:val="16"/>
        </w:rPr>
        <w:t>recepcionarla</w:t>
      </w:r>
      <w:proofErr w:type="spellEnd"/>
      <w:r w:rsidRPr="00434CAA">
        <w:rPr>
          <w:rFonts w:ascii="Verdana" w:hAnsi="Verdana" w:cs="Arial"/>
          <w:color w:val="000000" w:themeColor="text1"/>
          <w:sz w:val="16"/>
          <w:szCs w:val="16"/>
        </w:rPr>
        <w:t xml:space="preserve"> de manera escrita.</w:t>
      </w:r>
    </w:p>
    <w:p w14:paraId="7303AA90"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La renuencia a hacer la anterior manifestación exonerará de responsabilidad a las autoridades de reclutamiento por los hechos o circunstancias que hubieren sido ocultados por el ciudadano, a menos que por fuerza mayor o caso fortuito no hubiere sido posible manifestarlas. De esta se dejará constancia por la autoridad de reclutamiento con acompañamiento del Ministerio Público y/o la Defensoría del Pueblo.</w:t>
      </w:r>
    </w:p>
    <w:p w14:paraId="6EB349C6" w14:textId="77777777" w:rsidR="008D07F9" w:rsidRPr="00434CAA" w:rsidRDefault="008D07F9" w:rsidP="008D07F9">
      <w:pPr>
        <w:pStyle w:val="Textonotapie"/>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5. Las Fuerzas Militares y la Policía Nacional Solicitarán las cuotas de personal para su incorporación a la Dirección de Reclutamiento del Ejército, único organismo con la facultad para cumplir con tal actividad”.</w:t>
      </w:r>
    </w:p>
    <w:p w14:paraId="6F222DAF" w14:textId="77777777" w:rsidR="008D07F9" w:rsidRPr="00434CAA" w:rsidRDefault="008D07F9" w:rsidP="008D07F9">
      <w:pPr>
        <w:pStyle w:val="Textonotapie"/>
        <w:ind w:firstLine="708"/>
        <w:jc w:val="both"/>
        <w:rPr>
          <w:rFonts w:ascii="Verdana" w:hAnsi="Verdana" w:cs="Arial"/>
          <w:sz w:val="16"/>
          <w:szCs w:val="16"/>
          <w:lang w:val="es-CO"/>
        </w:rPr>
      </w:pPr>
    </w:p>
  </w:footnote>
  <w:footnote w:id="8">
    <w:p w14:paraId="0D3F7D0D" w14:textId="77777777" w:rsidR="008D07F9" w:rsidRDefault="008D07F9" w:rsidP="008D07F9">
      <w:pPr>
        <w:pStyle w:val="Textonotapie"/>
        <w:ind w:firstLine="708"/>
        <w:jc w:val="both"/>
        <w:rPr>
          <w:rFonts w:ascii="Verdana" w:hAnsi="Verdana" w:cs="Arial"/>
          <w:color w:val="000000" w:themeColor="text1"/>
          <w:sz w:val="16"/>
          <w:szCs w:val="16"/>
        </w:rPr>
      </w:pPr>
      <w:r w:rsidRPr="00434CAA">
        <w:rPr>
          <w:rStyle w:val="Refdenotaalpie"/>
          <w:rFonts w:ascii="Verdana" w:hAnsi="Verdana" w:cs="Arial"/>
          <w:sz w:val="16"/>
          <w:szCs w:val="16"/>
        </w:rPr>
        <w:footnoteRef/>
      </w:r>
      <w:r w:rsidRPr="00434CAA">
        <w:rPr>
          <w:rFonts w:ascii="Verdana" w:hAnsi="Verdana" w:cs="Arial"/>
          <w:sz w:val="16"/>
          <w:szCs w:val="16"/>
        </w:rPr>
        <w:t xml:space="preserve"> Artículos 26 a 28, </w:t>
      </w:r>
      <w:r w:rsidRPr="00434CAA">
        <w:rPr>
          <w:rFonts w:ascii="Verdana" w:hAnsi="Verdana" w:cs="Arial"/>
          <w:color w:val="000000" w:themeColor="text1"/>
          <w:sz w:val="16"/>
          <w:szCs w:val="16"/>
        </w:rPr>
        <w:t>de la Ley 1861 de 2017.</w:t>
      </w:r>
    </w:p>
    <w:p w14:paraId="57AD138B" w14:textId="77777777" w:rsidR="008D07F9" w:rsidRPr="00434CAA" w:rsidRDefault="008D07F9" w:rsidP="008D07F9">
      <w:pPr>
        <w:pStyle w:val="Textonotapie"/>
        <w:ind w:firstLine="708"/>
        <w:jc w:val="both"/>
        <w:rPr>
          <w:rFonts w:ascii="Verdana" w:hAnsi="Verdana" w:cs="Arial"/>
          <w:sz w:val="16"/>
          <w:szCs w:val="16"/>
          <w:lang w:val="es-CO"/>
        </w:rPr>
      </w:pPr>
    </w:p>
  </w:footnote>
  <w:footnote w:id="9">
    <w:p w14:paraId="25D3A1B3" w14:textId="77777777" w:rsidR="008D07F9" w:rsidRPr="00434CAA" w:rsidRDefault="008D07F9" w:rsidP="008D07F9">
      <w:pPr>
        <w:spacing w:after="0" w:line="240" w:lineRule="auto"/>
        <w:ind w:firstLine="709"/>
        <w:jc w:val="both"/>
        <w:rPr>
          <w:rFonts w:ascii="Verdana" w:hAnsi="Verdana" w:cs="Arial"/>
          <w:color w:val="000000"/>
          <w:sz w:val="16"/>
          <w:szCs w:val="16"/>
          <w:lang w:val="es-ES"/>
        </w:rPr>
      </w:pPr>
      <w:r w:rsidRPr="00434CAA">
        <w:rPr>
          <w:rStyle w:val="Refdenotaalpi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color w:val="000000"/>
          <w:sz w:val="16"/>
          <w:szCs w:val="16"/>
          <w:lang w:val="es-ES"/>
        </w:rPr>
        <w:t>“</w:t>
      </w:r>
      <w:r w:rsidRPr="00434CAA">
        <w:rPr>
          <w:rFonts w:ascii="Verdana" w:hAnsi="Verdana" w:cs="Arial"/>
          <w:sz w:val="16"/>
          <w:szCs w:val="16"/>
          <w:lang w:val="es-ES"/>
        </w:rPr>
        <w:t>Artículo 35. Tarjeta De Reservista Militar o Policial. Es el documento con el cual se comprueba que el ciudadano definió su situación militar</w:t>
      </w:r>
      <w:r w:rsidRPr="00434CAA">
        <w:rPr>
          <w:rFonts w:ascii="Verdana" w:hAnsi="Verdana" w:cs="Arial"/>
          <w:color w:val="000000"/>
          <w:sz w:val="16"/>
          <w:szCs w:val="16"/>
          <w:lang w:val="es-ES"/>
        </w:rPr>
        <w:t>”.</w:t>
      </w:r>
    </w:p>
  </w:footnote>
  <w:footnote w:id="10">
    <w:p w14:paraId="42EF2093" w14:textId="77777777" w:rsidR="008D07F9" w:rsidRPr="00434CAA" w:rsidRDefault="008D07F9" w:rsidP="008D07F9">
      <w:pPr>
        <w:spacing w:after="0" w:line="240" w:lineRule="auto"/>
        <w:ind w:firstLine="709"/>
        <w:jc w:val="both"/>
        <w:rPr>
          <w:rFonts w:ascii="Verdana" w:hAnsi="Verdana" w:cs="Arial"/>
          <w:sz w:val="16"/>
          <w:szCs w:val="16"/>
        </w:rPr>
      </w:pPr>
    </w:p>
    <w:p w14:paraId="6AC18B5B" w14:textId="77777777" w:rsidR="008D07F9" w:rsidRPr="00434CAA" w:rsidRDefault="008D07F9" w:rsidP="008D07F9">
      <w:pPr>
        <w:spacing w:after="60" w:line="240" w:lineRule="auto"/>
        <w:ind w:firstLine="709"/>
        <w:jc w:val="both"/>
        <w:rPr>
          <w:rFonts w:ascii="Verdana" w:hAnsi="Verdana" w:cs="Arial"/>
          <w:color w:val="000000"/>
          <w:sz w:val="16"/>
          <w:szCs w:val="16"/>
          <w:lang w:val="es-ES"/>
        </w:rPr>
      </w:pPr>
      <w:r w:rsidRPr="00434CAA">
        <w:rPr>
          <w:rStyle w:val="Refdenotaalpie"/>
          <w:rFonts w:ascii="Verdana" w:hAnsi="Verdana" w:cs="Arial"/>
          <w:sz w:val="16"/>
          <w:szCs w:val="16"/>
        </w:rPr>
        <w:footnoteRef/>
      </w:r>
      <w:r w:rsidRPr="00434CAA">
        <w:rPr>
          <w:rFonts w:ascii="Verdana" w:hAnsi="Verdana" w:cs="Arial"/>
          <w:sz w:val="16"/>
          <w:szCs w:val="16"/>
        </w:rPr>
        <w:t>“</w:t>
      </w:r>
      <w:r w:rsidRPr="00434CAA">
        <w:rPr>
          <w:rFonts w:ascii="Verdana" w:hAnsi="Verdana" w:cs="Arial"/>
          <w:color w:val="000000"/>
          <w:sz w:val="16"/>
          <w:szCs w:val="16"/>
          <w:lang w:val="es-ES"/>
        </w:rPr>
        <w:t>Artículo 40. Documento Público. Las tarjetas de reservista se clasificarán como material reservado adquiriendo el carácter de documento público, una vez hayan sido expedidas legalmente por la respectiva Dirección de Reclutamiento.</w:t>
      </w:r>
    </w:p>
    <w:p w14:paraId="1E0C07BD" w14:textId="77777777" w:rsidR="008D07F9" w:rsidRPr="00434CAA" w:rsidRDefault="008D07F9" w:rsidP="008D07F9">
      <w:pPr>
        <w:spacing w:after="0" w:line="240" w:lineRule="auto"/>
        <w:ind w:firstLine="709"/>
        <w:jc w:val="both"/>
        <w:rPr>
          <w:rFonts w:ascii="Verdana" w:hAnsi="Verdana" w:cs="Arial"/>
          <w:color w:val="000000"/>
          <w:sz w:val="16"/>
          <w:szCs w:val="16"/>
          <w:lang w:val="es-ES"/>
        </w:rPr>
      </w:pPr>
      <w:r w:rsidRPr="00434CAA">
        <w:rPr>
          <w:rFonts w:ascii="Verdana" w:hAnsi="Verdana" w:cs="Arial"/>
          <w:color w:val="000000"/>
          <w:sz w:val="16"/>
          <w:szCs w:val="16"/>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11">
    <w:p w14:paraId="4E91A3CB" w14:textId="77777777" w:rsidR="008D07F9" w:rsidRPr="00434CAA" w:rsidRDefault="008D07F9" w:rsidP="008D07F9">
      <w:pPr>
        <w:pStyle w:val="Textonotapie"/>
        <w:ind w:firstLine="708"/>
        <w:jc w:val="both"/>
        <w:rPr>
          <w:rFonts w:ascii="Verdana" w:hAnsi="Verdana" w:cs="Arial"/>
          <w:sz w:val="16"/>
          <w:szCs w:val="16"/>
        </w:rPr>
      </w:pPr>
    </w:p>
    <w:p w14:paraId="44457D2F" w14:textId="77777777" w:rsidR="008D07F9" w:rsidRPr="00434CAA" w:rsidRDefault="008D07F9" w:rsidP="008D07F9">
      <w:pPr>
        <w:pStyle w:val="Textonotapie"/>
        <w:ind w:firstLine="708"/>
        <w:jc w:val="both"/>
        <w:rPr>
          <w:rFonts w:ascii="Verdana" w:hAnsi="Verdana" w:cs="Arial"/>
          <w:color w:val="000000"/>
          <w:sz w:val="16"/>
          <w:szCs w:val="16"/>
          <w:lang w:val="es-ES"/>
        </w:rPr>
      </w:pPr>
      <w:r w:rsidRPr="00434CAA">
        <w:rPr>
          <w:rStyle w:val="Refdenotaalpi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color w:val="000000"/>
          <w:sz w:val="16"/>
          <w:szCs w:val="16"/>
          <w:lang w:val="es-ES"/>
        </w:rPr>
        <w:t>“</w:t>
      </w:r>
      <w:r w:rsidRPr="00434CAA">
        <w:rPr>
          <w:rFonts w:ascii="Verdana" w:hAnsi="Verdana" w:cs="Arial"/>
          <w:sz w:val="16"/>
          <w:szCs w:val="16"/>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434CAA">
        <w:rPr>
          <w:rFonts w:ascii="Verdana" w:hAnsi="Verdana" w:cs="Arial"/>
          <w:color w:val="000000"/>
          <w:sz w:val="16"/>
          <w:szCs w:val="16"/>
          <w:lang w:val="es-ES"/>
        </w:rPr>
        <w:t>”.</w:t>
      </w:r>
    </w:p>
    <w:p w14:paraId="38E05721" w14:textId="77777777" w:rsidR="008D07F9" w:rsidRPr="00434CAA" w:rsidRDefault="008D07F9" w:rsidP="008D07F9">
      <w:pPr>
        <w:pStyle w:val="Textonotapie"/>
        <w:ind w:firstLine="708"/>
        <w:jc w:val="both"/>
        <w:rPr>
          <w:rFonts w:ascii="Verdana" w:hAnsi="Verdana" w:cs="Arial"/>
          <w:i/>
          <w:sz w:val="16"/>
          <w:szCs w:val="16"/>
          <w:lang w:val="es-CO"/>
        </w:rPr>
      </w:pPr>
    </w:p>
  </w:footnote>
  <w:footnote w:id="12">
    <w:p w14:paraId="117B6BC7" w14:textId="77777777" w:rsidR="008D07F9" w:rsidRPr="00C95B6D" w:rsidRDefault="008D07F9" w:rsidP="008D07F9">
      <w:pPr>
        <w:pStyle w:val="Textonotapie"/>
        <w:ind w:firstLine="708"/>
        <w:jc w:val="both"/>
        <w:rPr>
          <w:rFonts w:ascii="Verdana" w:hAnsi="Verdana"/>
          <w:sz w:val="16"/>
          <w:szCs w:val="16"/>
          <w:lang w:val="es-CO"/>
        </w:rPr>
      </w:pPr>
      <w:r w:rsidRPr="00C95B6D">
        <w:rPr>
          <w:rStyle w:val="Refdenotaalpie"/>
          <w:rFonts w:ascii="Verdana" w:hAnsi="Verdana"/>
          <w:sz w:val="16"/>
          <w:szCs w:val="16"/>
        </w:rPr>
        <w:footnoteRef/>
      </w:r>
      <w:r w:rsidRPr="00C95B6D">
        <w:rPr>
          <w:rFonts w:ascii="Verdana" w:hAnsi="Verdana"/>
          <w:sz w:val="16"/>
          <w:szCs w:val="16"/>
        </w:rPr>
        <w:t xml:space="preserve">  Ley 1861 de 2017: “</w:t>
      </w:r>
      <w:r w:rsidRPr="00C95B6D">
        <w:rPr>
          <w:rFonts w:ascii="Verdana" w:hAnsi="Verdana"/>
          <w:sz w:val="16"/>
          <w:szCs w:val="16"/>
          <w:lang w:val="es-CO"/>
        </w:rPr>
        <w:t>Artículo </w:t>
      </w:r>
      <w:bookmarkStart w:id="5" w:name="42"/>
      <w:bookmarkEnd w:id="5"/>
      <w:r w:rsidRPr="00C95B6D">
        <w:rPr>
          <w:rFonts w:ascii="Verdana" w:hAnsi="Verdana"/>
          <w:sz w:val="16"/>
          <w:szCs w:val="16"/>
          <w:lang w:val="es-CO"/>
        </w:rPr>
        <w:t>42. Acreditación de la situación militar para el trabajo. La situación militar se deberá acreditar para ejercer cargos públicos, trabajar en el sector privado y celebrar contratos de prestación de servicios como persona natural con cualquier entidad de derecho público.</w:t>
      </w:r>
    </w:p>
    <w:p w14:paraId="46E25C27" w14:textId="77777777" w:rsidR="008D07F9" w:rsidRPr="00C95B6D" w:rsidRDefault="008D07F9" w:rsidP="008D07F9">
      <w:pPr>
        <w:pStyle w:val="Textonotapie"/>
        <w:ind w:firstLine="708"/>
        <w:jc w:val="both"/>
        <w:rPr>
          <w:rFonts w:ascii="Verdana" w:hAnsi="Verdana"/>
          <w:sz w:val="16"/>
          <w:szCs w:val="16"/>
          <w:lang w:val="es-CO"/>
        </w:rPr>
      </w:pPr>
      <w:r w:rsidRPr="00C95B6D">
        <w:rPr>
          <w:rFonts w:ascii="Verdana" w:hAnsi="Verdana"/>
          <w:sz w:val="16"/>
          <w:szCs w:val="16"/>
          <w:lang w:val="es-CO"/>
        </w:rPr>
        <w:t>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p>
    <w:p w14:paraId="74F61A1C" w14:textId="77777777" w:rsidR="008D07F9" w:rsidRPr="00C95B6D" w:rsidRDefault="008D07F9" w:rsidP="008D07F9">
      <w:pPr>
        <w:pStyle w:val="Textonotapie"/>
        <w:ind w:firstLine="708"/>
        <w:jc w:val="both"/>
        <w:rPr>
          <w:rFonts w:ascii="Verdana" w:hAnsi="Verdana"/>
          <w:sz w:val="16"/>
          <w:szCs w:val="16"/>
          <w:lang w:val="es-CO"/>
        </w:rPr>
      </w:pPr>
      <w:r w:rsidRPr="00C95B6D">
        <w:rPr>
          <w:rFonts w:ascii="Verdana" w:hAnsi="Verdana"/>
          <w:sz w:val="16"/>
          <w:szCs w:val="16"/>
          <w:lang w:val="es-CO"/>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14:paraId="20548B20" w14:textId="77777777" w:rsidR="008D07F9" w:rsidRPr="00C95B6D" w:rsidRDefault="008D07F9" w:rsidP="008D07F9">
      <w:pPr>
        <w:pStyle w:val="Textonotapie"/>
        <w:ind w:firstLine="708"/>
        <w:jc w:val="both"/>
        <w:rPr>
          <w:rFonts w:ascii="Verdana" w:hAnsi="Verdana"/>
          <w:sz w:val="16"/>
          <w:szCs w:val="16"/>
          <w:lang w:val="es-CO"/>
        </w:rPr>
      </w:pPr>
      <w:r w:rsidRPr="00C95B6D">
        <w:rPr>
          <w:rFonts w:ascii="Verdana" w:hAnsi="Verdana"/>
          <w:sz w:val="16"/>
          <w:szCs w:val="16"/>
          <w:lang w:val="es-CO"/>
        </w:rPr>
        <w:t>Parágrafo 1.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p>
    <w:p w14:paraId="666A1447" w14:textId="77777777" w:rsidR="008D07F9" w:rsidRPr="00C95B6D" w:rsidRDefault="008D07F9" w:rsidP="008D07F9">
      <w:pPr>
        <w:pStyle w:val="Textonotapie"/>
        <w:ind w:firstLine="708"/>
        <w:jc w:val="both"/>
        <w:rPr>
          <w:rFonts w:ascii="Verdana" w:hAnsi="Verdana"/>
          <w:sz w:val="16"/>
          <w:szCs w:val="16"/>
          <w:lang w:val="es-CO"/>
        </w:rPr>
      </w:pPr>
      <w:r w:rsidRPr="00C95B6D">
        <w:rPr>
          <w:rFonts w:ascii="Verdana" w:hAnsi="Verdana"/>
          <w:sz w:val="16"/>
          <w:szCs w:val="16"/>
          <w:lang w:val="es-CO"/>
        </w:rPr>
        <w:t>Parágrafo 2</w:t>
      </w:r>
      <w:r w:rsidRPr="00C95B6D">
        <w:rPr>
          <w:rFonts w:ascii="Verdana" w:hAnsi="Verdana"/>
          <w:b/>
          <w:bCs/>
          <w:sz w:val="16"/>
          <w:szCs w:val="16"/>
          <w:lang w:val="es-CO"/>
        </w:rPr>
        <w:t>.</w:t>
      </w:r>
      <w:r w:rsidRPr="00C95B6D">
        <w:rPr>
          <w:rFonts w:ascii="Verdana" w:hAnsi="Verdana"/>
          <w:sz w:val="16"/>
          <w:szCs w:val="16"/>
          <w:lang w:val="es-CO"/>
        </w:rPr>
        <w:t> La vinculación laboral de población no apta, exenta o que haya superado la edad máxima de incorporación no dará lugar a la sanción prevista en el literal d) del artículo 46 de la presente ley o de las normas que la modifiquen, sustituyan o adicionen.</w:t>
      </w:r>
    </w:p>
    <w:p w14:paraId="0E98D6D7" w14:textId="77777777" w:rsidR="008D07F9" w:rsidRPr="00C95B6D" w:rsidRDefault="008D07F9" w:rsidP="008D07F9">
      <w:pPr>
        <w:pStyle w:val="Textonotapie"/>
        <w:ind w:firstLine="708"/>
        <w:jc w:val="both"/>
        <w:rPr>
          <w:rFonts w:ascii="Verdana" w:hAnsi="Verdana"/>
          <w:sz w:val="16"/>
          <w:szCs w:val="16"/>
          <w:lang w:val="es-CO"/>
        </w:rPr>
      </w:pPr>
      <w:r w:rsidRPr="00C95B6D">
        <w:rPr>
          <w:rFonts w:ascii="Verdana" w:hAnsi="Verdana"/>
          <w:sz w:val="16"/>
          <w:szCs w:val="16"/>
          <w:lang w:val="es-CO"/>
        </w:rPr>
        <w:t>Parágrafo 3.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p w14:paraId="1876B0ED" w14:textId="77777777" w:rsidR="008D07F9" w:rsidRPr="00C95B6D" w:rsidRDefault="008D07F9" w:rsidP="008D07F9">
      <w:pPr>
        <w:pStyle w:val="Textonotapie"/>
        <w:ind w:firstLine="708"/>
        <w:jc w:val="both"/>
        <w:rPr>
          <w:rFonts w:ascii="Verdana" w:hAnsi="Verdana"/>
          <w:sz w:val="16"/>
          <w:szCs w:val="16"/>
        </w:rPr>
      </w:pPr>
    </w:p>
  </w:footnote>
  <w:footnote w:id="13">
    <w:p w14:paraId="1C6E3E21" w14:textId="77777777" w:rsidR="008D07F9" w:rsidRPr="00434CAA" w:rsidRDefault="008D07F9" w:rsidP="008D07F9">
      <w:pPr>
        <w:pStyle w:val="Textonotapie"/>
        <w:ind w:firstLine="708"/>
        <w:jc w:val="both"/>
        <w:rPr>
          <w:rFonts w:ascii="Verdana" w:hAnsi="Verdana" w:cs="Arial"/>
          <w:sz w:val="16"/>
          <w:szCs w:val="16"/>
          <w:lang w:val="es-CO"/>
        </w:rPr>
      </w:pPr>
      <w:r w:rsidRPr="00434CAA">
        <w:rPr>
          <w:rStyle w:val="Refdenotaalpie"/>
          <w:rFonts w:ascii="Verdana" w:hAnsi="Verdana" w:cs="Arial"/>
          <w:sz w:val="16"/>
          <w:szCs w:val="16"/>
        </w:rPr>
        <w:footnoteRef/>
      </w:r>
      <w:r w:rsidRPr="00434CAA">
        <w:rPr>
          <w:rFonts w:ascii="Verdana" w:hAnsi="Verdana" w:cs="Arial"/>
          <w:sz w:val="16"/>
          <w:szCs w:val="16"/>
        </w:rPr>
        <w:t xml:space="preserve"> CORTE CONSTITUCIONAL. Sentencia C-277 del 19 de junio de 2019. M.P. Carlos Bernal Pulido.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D26" w14:textId="77777777" w:rsidR="002D5024" w:rsidRDefault="001D0086">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D5FD245" wp14:editId="4012782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F979B20" wp14:editId="1626EE3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A00A763" w14:textId="77777777" w:rsidR="002D5024" w:rsidRDefault="002D5024">
    <w:pPr>
      <w:pStyle w:val="Encabezado"/>
    </w:pPr>
  </w:p>
  <w:p w14:paraId="56222681" w14:textId="77777777" w:rsidR="002D5024" w:rsidRDefault="002D5024" w:rsidP="004A305D">
    <w:pPr>
      <w:spacing w:after="0"/>
      <w:rPr>
        <w:rFonts w:ascii="Verdana" w:hAnsi="Verdana"/>
        <w:b/>
        <w:bCs/>
      </w:rPr>
    </w:pPr>
  </w:p>
  <w:p w14:paraId="772BFCC6" w14:textId="77777777" w:rsidR="002D5024" w:rsidRPr="004A305D" w:rsidRDefault="002D5024" w:rsidP="00B01B1A">
    <w:pPr>
      <w:spacing w:after="0" w:line="120" w:lineRule="auto"/>
      <w:rPr>
        <w:rFonts w:ascii="Century Gothic" w:eastAsia="Geo" w:hAnsi="Century Gothic" w:cs="Geo"/>
        <w:sz w:val="16"/>
        <w:szCs w:val="16"/>
        <w:lang w:eastAsia="es-CO"/>
      </w:rPr>
    </w:pPr>
  </w:p>
  <w:p w14:paraId="6D8D36EE" w14:textId="77777777" w:rsidR="002D5024" w:rsidRDefault="002D5024"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E372B"/>
    <w:multiLevelType w:val="hybridMultilevel"/>
    <w:tmpl w:val="AF76B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F9"/>
    <w:rsid w:val="0003661F"/>
    <w:rsid w:val="001E57D2"/>
    <w:rsid w:val="00204F00"/>
    <w:rsid w:val="002D5024"/>
    <w:rsid w:val="003135D0"/>
    <w:rsid w:val="003A0B1E"/>
    <w:rsid w:val="00431E01"/>
    <w:rsid w:val="008D07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366C"/>
  <w15:chartTrackingRefBased/>
  <w15:docId w15:val="{DF864CCF-4B56-4C19-9E1A-B6E01C09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F9"/>
    <w:pPr>
      <w:spacing w:line="259" w:lineRule="auto"/>
    </w:pPr>
    <w:rPr>
      <w:kern w:val="0"/>
      <w:sz w:val="22"/>
      <w:szCs w:val="22"/>
      <w14:ligatures w14:val="none"/>
    </w:rPr>
  </w:style>
  <w:style w:type="paragraph" w:styleId="Ttulo1">
    <w:name w:val="heading 1"/>
    <w:basedOn w:val="Normal"/>
    <w:next w:val="Normal"/>
    <w:link w:val="Ttulo1Car"/>
    <w:uiPriority w:val="9"/>
    <w:qFormat/>
    <w:rsid w:val="008D0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0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07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07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07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07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07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07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07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7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07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07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07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07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07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07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07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07F9"/>
    <w:rPr>
      <w:rFonts w:eastAsiaTheme="majorEastAsia" w:cstheme="majorBidi"/>
      <w:color w:val="272727" w:themeColor="text1" w:themeTint="D8"/>
    </w:rPr>
  </w:style>
  <w:style w:type="paragraph" w:styleId="Ttulo">
    <w:name w:val="Title"/>
    <w:basedOn w:val="Normal"/>
    <w:next w:val="Normal"/>
    <w:link w:val="TtuloCar"/>
    <w:uiPriority w:val="10"/>
    <w:qFormat/>
    <w:rsid w:val="008D0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07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07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07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07F9"/>
    <w:pPr>
      <w:spacing w:before="160"/>
      <w:jc w:val="center"/>
    </w:pPr>
    <w:rPr>
      <w:i/>
      <w:iCs/>
      <w:color w:val="404040" w:themeColor="text1" w:themeTint="BF"/>
    </w:rPr>
  </w:style>
  <w:style w:type="character" w:customStyle="1" w:styleId="CitaCar">
    <w:name w:val="Cita Car"/>
    <w:basedOn w:val="Fuentedeprrafopredeter"/>
    <w:link w:val="Cita"/>
    <w:uiPriority w:val="29"/>
    <w:rsid w:val="008D07F9"/>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D07F9"/>
    <w:pPr>
      <w:ind w:left="720"/>
      <w:contextualSpacing/>
    </w:pPr>
  </w:style>
  <w:style w:type="character" w:styleId="nfasisintenso">
    <w:name w:val="Intense Emphasis"/>
    <w:basedOn w:val="Fuentedeprrafopredeter"/>
    <w:uiPriority w:val="21"/>
    <w:qFormat/>
    <w:rsid w:val="008D07F9"/>
    <w:rPr>
      <w:i/>
      <w:iCs/>
      <w:color w:val="0F4761" w:themeColor="accent1" w:themeShade="BF"/>
    </w:rPr>
  </w:style>
  <w:style w:type="paragraph" w:styleId="Citadestacada">
    <w:name w:val="Intense Quote"/>
    <w:basedOn w:val="Normal"/>
    <w:next w:val="Normal"/>
    <w:link w:val="CitadestacadaCar"/>
    <w:uiPriority w:val="30"/>
    <w:qFormat/>
    <w:rsid w:val="008D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07F9"/>
    <w:rPr>
      <w:i/>
      <w:iCs/>
      <w:color w:val="0F4761" w:themeColor="accent1" w:themeShade="BF"/>
    </w:rPr>
  </w:style>
  <w:style w:type="character" w:styleId="Referenciaintensa">
    <w:name w:val="Intense Reference"/>
    <w:basedOn w:val="Fuentedeprrafopredeter"/>
    <w:uiPriority w:val="32"/>
    <w:qFormat/>
    <w:rsid w:val="008D07F9"/>
    <w:rPr>
      <w:b/>
      <w:bCs/>
      <w:smallCaps/>
      <w:color w:val="0F4761" w:themeColor="accent1" w:themeShade="BF"/>
      <w:spacing w:val="5"/>
    </w:rPr>
  </w:style>
  <w:style w:type="paragraph" w:styleId="Encabezado">
    <w:name w:val="header"/>
    <w:basedOn w:val="Normal"/>
    <w:link w:val="EncabezadoCar"/>
    <w:uiPriority w:val="99"/>
    <w:unhideWhenUsed/>
    <w:rsid w:val="008D07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7F9"/>
    <w:rPr>
      <w:kern w:val="0"/>
      <w:sz w:val="22"/>
      <w:szCs w:val="22"/>
      <w14:ligatures w14:val="none"/>
    </w:rPr>
  </w:style>
  <w:style w:type="paragraph" w:styleId="Piedepgina">
    <w:name w:val="footer"/>
    <w:basedOn w:val="Normal"/>
    <w:link w:val="PiedepginaCar"/>
    <w:uiPriority w:val="99"/>
    <w:unhideWhenUsed/>
    <w:rsid w:val="008D0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7F9"/>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D07F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D07F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D07F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D07F9"/>
    <w:rPr>
      <w:vertAlign w:val="superscript"/>
    </w:rPr>
  </w:style>
  <w:style w:type="character" w:customStyle="1" w:styleId="normaltextrun">
    <w:name w:val="normaltextrun"/>
    <w:basedOn w:val="Fuentedeprrafopredeter"/>
    <w:rsid w:val="008D07F9"/>
  </w:style>
  <w:style w:type="table" w:styleId="Tablaconcuadrcula">
    <w:name w:val="Table Grid"/>
    <w:basedOn w:val="Tablanormal"/>
    <w:uiPriority w:val="39"/>
    <w:qFormat/>
    <w:rsid w:val="008D07F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07F9"/>
    <w:rPr>
      <w:color w:val="0000FF"/>
      <w:u w:val="single"/>
    </w:rPr>
  </w:style>
  <w:style w:type="paragraph" w:customStyle="1" w:styleId="Appelnotedebasde">
    <w:name w:val="Appel note de bas de..."/>
    <w:basedOn w:val="Normal"/>
    <w:link w:val="Refdenotaalpie"/>
    <w:uiPriority w:val="99"/>
    <w:rsid w:val="008D07F9"/>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8D07F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D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borrador-de-documentos-tipo-de-consultoria-de-obra-publica-de-infraestructura-de-transpo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nasly.mosquera%40colombiacompra.gov.co%7C096eca3fdcca424ff1c708dcf932f947%7C7b09041e245149d08cb179d5e3d8c1be%7C0%7C0%7C638659244554752794%7CUnknown%7CTWFpbGZsb3d8eyJWIjoiMC4wLjAwMDAiLCJQIjoiV2luMzIiLCJBTiI6Ik1haWwiLCJXVCI6Mn0%3D%7C0%7C%7C%7C&amp;sdata=MLPzXykOuNOgfjychiW1hUeLyZnQU5IBrc%2BD1DfNda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jetor4@gmail.com" TargetMode="External"/><Relationship Id="rId5" Type="http://schemas.openxmlformats.org/officeDocument/2006/relationships/styles" Target="styles.xml"/><Relationship Id="rId15" Type="http://schemas.openxmlformats.org/officeDocument/2006/relationships/hyperlink" Target="https://www.sucop.gov.co/entidades/colombiacompra/Normativa?IDNorma=183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interventoria-de-obra-publica-de-infraestructura-de&amp;data=05%7C02%7Cnasly.mosquera%40colombiacompra.gov.co%7C096eca3fdcca424ff1c708dcf932f947%7C7b09041e245149d08cb179d5e3d8c1be%7C0%7C0%7C638659244554710520%7CUnknown%7CTWFpbGZsb3d8eyJWIjoiMC4wLjAwMDAiLCJQIjoiV2luMzIiLCJBTiI6Ik1haWwiLCJXVCI6Mn0%3D%7C0%7C%7C%7C&amp;sdata=1IcyhhnA%2BrshzP%2BVsBFL2aybVq5sUyCp5TARZLwSjRE%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8EE9B-285F-45E3-8CB0-C2CF0D03F7AD}">
  <ds:schemaRefs>
    <ds:schemaRef ds:uri="http://schemas.microsoft.com/sharepoint/v3/contenttype/forms"/>
  </ds:schemaRefs>
</ds:datastoreItem>
</file>

<file path=customXml/itemProps2.xml><?xml version="1.0" encoding="utf-8"?>
<ds:datastoreItem xmlns:ds="http://schemas.openxmlformats.org/officeDocument/2006/customXml" ds:itemID="{6E8C7018-CDD4-43C5-928D-0E9DCB4A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F8D2C-DB32-4EB5-A8D1-F09E24D4D387}">
  <ds:schemaRefs>
    <ds:schemaRef ds:uri="http://purl.org/dc/term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4857</Words>
  <Characters>26714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2024-11-22T14:04:00Z</dcterms:created>
  <dcterms:modified xsi:type="dcterms:W3CDTF">2024-11-22T14:04:00Z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