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560C8" w14:textId="77777777" w:rsidR="00770562" w:rsidRPr="0044528D" w:rsidRDefault="00770562" w:rsidP="00770562">
      <w:pPr>
        <w:spacing w:after="0"/>
        <w:rPr>
          <w:rFonts w:ascii="Verdana" w:hAnsi="Verdana"/>
        </w:rPr>
      </w:pPr>
    </w:p>
    <w:p w14:paraId="73DE9F29" w14:textId="77777777" w:rsidR="00770562" w:rsidRPr="001168FA" w:rsidRDefault="00770562" w:rsidP="00770562">
      <w:pPr>
        <w:spacing w:before="120" w:after="120" w:line="240" w:lineRule="auto"/>
        <w:jc w:val="both"/>
        <w:rPr>
          <w:rFonts w:ascii="Verdana" w:eastAsia="Calibri" w:hAnsi="Verdana" w:cs="Arial"/>
          <w:b/>
          <w:lang w:val="es-ES" w:eastAsia="es-ES"/>
        </w:rPr>
      </w:pPr>
      <w:r w:rsidRPr="001168FA">
        <w:rPr>
          <w:rFonts w:ascii="Verdana" w:eastAsia="Calibri" w:hAnsi="Verdana" w:cs="Arial"/>
          <w:b/>
          <w:lang w:val="es-ES" w:eastAsia="es-ES"/>
        </w:rPr>
        <w:t xml:space="preserve">CONTRATACIÓN PÚBLICA – Principio de publicidad – Principio de transparencia – Uso del </w:t>
      </w:r>
      <w:r>
        <w:rPr>
          <w:rFonts w:ascii="Verdana" w:eastAsia="Calibri" w:hAnsi="Verdana" w:cs="Arial"/>
          <w:b/>
          <w:lang w:val="es-ES" w:eastAsia="es-ES"/>
        </w:rPr>
        <w:t>SECOP</w:t>
      </w:r>
      <w:r w:rsidRPr="001168FA">
        <w:rPr>
          <w:rFonts w:ascii="Verdana" w:eastAsia="Calibri" w:hAnsi="Verdana" w:cs="Arial"/>
          <w:b/>
          <w:lang w:val="es-ES" w:eastAsia="es-ES"/>
        </w:rPr>
        <w:t xml:space="preserve"> </w:t>
      </w:r>
    </w:p>
    <w:p w14:paraId="3E8CE52D" w14:textId="77777777" w:rsidR="00770562" w:rsidRPr="0047490F" w:rsidRDefault="00770562" w:rsidP="00770562">
      <w:pPr>
        <w:spacing w:after="0" w:line="240" w:lineRule="auto"/>
        <w:jc w:val="both"/>
        <w:rPr>
          <w:rFonts w:ascii="Verdana" w:eastAsia="Calibri" w:hAnsi="Verdana" w:cs="Arial"/>
          <w:b/>
          <w:bCs/>
          <w:sz w:val="20"/>
          <w:szCs w:val="20"/>
          <w:highlight w:val="yellow"/>
          <w:lang w:val="es-ES_tradnl" w:eastAsia="es-ES_tradnl"/>
        </w:rPr>
      </w:pPr>
    </w:p>
    <w:p w14:paraId="3E40BDCC" w14:textId="77777777" w:rsidR="00770562" w:rsidRPr="001404CC" w:rsidRDefault="00770562" w:rsidP="00770562">
      <w:pPr>
        <w:spacing w:after="0" w:line="240" w:lineRule="auto"/>
        <w:jc w:val="both"/>
        <w:rPr>
          <w:rFonts w:ascii="Verdana" w:eastAsia="Aptos" w:hAnsi="Verdana" w:cs="Times New Roman"/>
          <w:sz w:val="20"/>
          <w:szCs w:val="20"/>
        </w:rPr>
      </w:pPr>
      <w:r w:rsidRPr="001404CC">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54BE1BC4" w14:textId="77777777" w:rsidR="00770562" w:rsidRPr="001404CC" w:rsidRDefault="00770562" w:rsidP="00770562">
      <w:pPr>
        <w:spacing w:after="0" w:line="240" w:lineRule="auto"/>
        <w:jc w:val="both"/>
        <w:rPr>
          <w:rFonts w:ascii="Verdana" w:eastAsia="Aptos" w:hAnsi="Verdana" w:cs="Times New Roman"/>
          <w:sz w:val="20"/>
          <w:szCs w:val="20"/>
        </w:rPr>
      </w:pPr>
    </w:p>
    <w:p w14:paraId="1C3C142F" w14:textId="77777777" w:rsidR="00770562" w:rsidRDefault="00770562" w:rsidP="00770562">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Pr="001404CC">
        <w:rPr>
          <w:rFonts w:ascii="Verdana" w:eastAsia="Aptos" w:hAnsi="Verdana" w:cs="Times New Roman"/>
          <w:sz w:val="20"/>
          <w:szCs w:val="20"/>
        </w:rPr>
        <w:t xml:space="preserv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 deben publicar la información relativa a su contratación. Esta obligación fue desarrollada por el Decreto Único Reglamentario 1082 de 2015, el cual dispuso que la publicación de la información contractual de los sujetos obligados, que contratan con cargo a recursos públicos, debe hacerse en el SECOP</w:t>
      </w:r>
      <w:r>
        <w:rPr>
          <w:rFonts w:ascii="Verdana" w:eastAsia="Aptos" w:hAnsi="Verdana" w:cs="Times New Roman"/>
          <w:sz w:val="20"/>
          <w:szCs w:val="20"/>
        </w:rPr>
        <w:t>.</w:t>
      </w:r>
    </w:p>
    <w:p w14:paraId="47DF0AB8" w14:textId="77777777" w:rsidR="00770562" w:rsidRPr="0047490F" w:rsidRDefault="00770562" w:rsidP="00770562">
      <w:pPr>
        <w:spacing w:after="0" w:line="240" w:lineRule="auto"/>
        <w:jc w:val="both"/>
        <w:rPr>
          <w:rFonts w:ascii="Verdana" w:eastAsia="Aptos" w:hAnsi="Verdana" w:cs="Times New Roman"/>
          <w:sz w:val="20"/>
          <w:szCs w:val="20"/>
          <w:highlight w:val="yellow"/>
        </w:rPr>
      </w:pPr>
    </w:p>
    <w:p w14:paraId="52AAFECC" w14:textId="77777777" w:rsidR="00770562" w:rsidRPr="00724F0F" w:rsidRDefault="00770562" w:rsidP="00770562">
      <w:pPr>
        <w:spacing w:before="120" w:after="120" w:line="240" w:lineRule="auto"/>
        <w:jc w:val="both"/>
        <w:rPr>
          <w:rFonts w:ascii="Verdana" w:eastAsia="Calibri" w:hAnsi="Verdana" w:cs="Arial"/>
          <w:b/>
          <w:bCs/>
          <w:lang w:val="es-ES" w:eastAsia="es-ES"/>
        </w:rPr>
      </w:pPr>
      <w:r w:rsidRPr="00724F0F">
        <w:rPr>
          <w:rFonts w:ascii="Verdana" w:eastAsia="Calibri" w:hAnsi="Verdana" w:cs="Arial"/>
          <w:b/>
          <w:bCs/>
          <w:lang w:val="es-ES" w:eastAsia="es-ES"/>
        </w:rPr>
        <w:t>ENTIDADES CON RÉGIMEN ESPECIAL DE CONTRATACIÓN – Publicación en SECOP – Actividad contractual – Término para publicar – Circular Externa No. 002 de 2024</w:t>
      </w:r>
    </w:p>
    <w:p w14:paraId="04FDBCAB" w14:textId="77777777" w:rsidR="00770562" w:rsidRPr="0047490F" w:rsidRDefault="00770562" w:rsidP="00770562">
      <w:pPr>
        <w:spacing w:after="0" w:line="240" w:lineRule="auto"/>
        <w:jc w:val="both"/>
        <w:rPr>
          <w:rFonts w:ascii="Verdana" w:eastAsia="Calibri" w:hAnsi="Verdana" w:cs="Arial"/>
          <w:b/>
          <w:bCs/>
          <w:sz w:val="20"/>
          <w:szCs w:val="20"/>
          <w:highlight w:val="yellow"/>
          <w:lang w:val="es-ES_tradnl" w:eastAsia="es-ES_tradnl"/>
        </w:rPr>
      </w:pPr>
    </w:p>
    <w:p w14:paraId="153B9675" w14:textId="77777777" w:rsidR="00770562" w:rsidRPr="0047490F" w:rsidRDefault="00770562" w:rsidP="00770562">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 xml:space="preserve">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w:t>
      </w:r>
      <w:r w:rsidRPr="00E65EEE">
        <w:rPr>
          <w:rFonts w:ascii="Verdana" w:eastAsia="Aptos" w:hAnsi="Verdana" w:cs="Times New Roman"/>
          <w:sz w:val="20"/>
          <w:szCs w:val="20"/>
        </w:rPr>
        <w:lastRenderedPageBreak/>
        <w:t>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w:t>
      </w:r>
    </w:p>
    <w:p w14:paraId="2A07D209" w14:textId="77777777" w:rsidR="00770562" w:rsidRDefault="00770562" w:rsidP="00770562">
      <w:pPr>
        <w:spacing w:after="0" w:line="240" w:lineRule="auto"/>
        <w:rPr>
          <w:rFonts w:ascii="Verdana" w:eastAsia="Aptos" w:hAnsi="Verdana" w:cs="Times New Roman"/>
          <w:sz w:val="20"/>
          <w:szCs w:val="20"/>
        </w:rPr>
      </w:pPr>
      <w:r>
        <w:rPr>
          <w:rFonts w:ascii="Verdana" w:eastAsia="Aptos" w:hAnsi="Verdana" w:cs="Times New Roman"/>
          <w:sz w:val="20"/>
          <w:szCs w:val="20"/>
        </w:rPr>
        <w:t>[…]</w:t>
      </w:r>
    </w:p>
    <w:p w14:paraId="09115A58" w14:textId="77777777" w:rsidR="00770562" w:rsidRPr="0047490F" w:rsidRDefault="00770562" w:rsidP="00770562">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79C3A8D9" w14:textId="77777777" w:rsidR="00770562" w:rsidRPr="0047490F" w:rsidRDefault="00770562" w:rsidP="00770562">
      <w:pPr>
        <w:spacing w:after="0" w:line="240" w:lineRule="auto"/>
        <w:rPr>
          <w:rFonts w:ascii="Verdana" w:eastAsia="Aptos" w:hAnsi="Verdana" w:cs="Times New Roman"/>
          <w:sz w:val="20"/>
          <w:szCs w:val="20"/>
        </w:rPr>
      </w:pPr>
    </w:p>
    <w:p w14:paraId="62318697" w14:textId="77777777" w:rsidR="00770562" w:rsidRPr="0047490F" w:rsidRDefault="00770562" w:rsidP="00770562">
      <w:pPr>
        <w:spacing w:after="0" w:line="240" w:lineRule="auto"/>
        <w:rPr>
          <w:rFonts w:ascii="Verdana" w:eastAsia="Aptos" w:hAnsi="Verdana" w:cs="Times New Roman"/>
          <w:sz w:val="20"/>
          <w:szCs w:val="20"/>
        </w:rPr>
      </w:pPr>
    </w:p>
    <w:p w14:paraId="21052F24" w14:textId="77777777" w:rsidR="00770562" w:rsidRDefault="00770562" w:rsidP="00770562">
      <w:pPr>
        <w:spacing w:after="0" w:line="240" w:lineRule="auto"/>
        <w:rPr>
          <w:rFonts w:ascii="Verdana" w:eastAsia="Aptos" w:hAnsi="Verdana" w:cs="Times New Roman"/>
          <w:sz w:val="20"/>
          <w:szCs w:val="20"/>
        </w:rPr>
      </w:pPr>
    </w:p>
    <w:p w14:paraId="5EEE3B36" w14:textId="77777777" w:rsidR="00770562" w:rsidRDefault="00770562" w:rsidP="00770562">
      <w:pPr>
        <w:spacing w:after="0" w:line="240" w:lineRule="auto"/>
        <w:rPr>
          <w:rFonts w:ascii="Verdana" w:eastAsia="Aptos" w:hAnsi="Verdana" w:cs="Times New Roman"/>
          <w:sz w:val="20"/>
          <w:szCs w:val="20"/>
        </w:rPr>
      </w:pPr>
    </w:p>
    <w:p w14:paraId="74627D3A" w14:textId="77777777" w:rsidR="00770562" w:rsidRDefault="00770562" w:rsidP="00770562">
      <w:pPr>
        <w:spacing w:after="0" w:line="240" w:lineRule="auto"/>
        <w:rPr>
          <w:rFonts w:ascii="Verdana" w:eastAsia="Aptos" w:hAnsi="Verdana" w:cs="Times New Roman"/>
          <w:sz w:val="20"/>
          <w:szCs w:val="20"/>
        </w:rPr>
      </w:pPr>
    </w:p>
    <w:p w14:paraId="016B0885" w14:textId="77777777" w:rsidR="00770562" w:rsidRDefault="00770562" w:rsidP="00770562">
      <w:pPr>
        <w:spacing w:after="0" w:line="240" w:lineRule="auto"/>
        <w:rPr>
          <w:rFonts w:ascii="Verdana" w:eastAsia="Aptos" w:hAnsi="Verdana" w:cs="Times New Roman"/>
          <w:sz w:val="20"/>
          <w:szCs w:val="20"/>
        </w:rPr>
      </w:pPr>
    </w:p>
    <w:p w14:paraId="02327FE8" w14:textId="77777777" w:rsidR="00770562" w:rsidRDefault="00770562" w:rsidP="00770562">
      <w:pPr>
        <w:spacing w:after="0" w:line="240" w:lineRule="auto"/>
        <w:rPr>
          <w:rFonts w:ascii="Verdana" w:eastAsia="Aptos" w:hAnsi="Verdana" w:cs="Times New Roman"/>
          <w:sz w:val="20"/>
          <w:szCs w:val="20"/>
        </w:rPr>
      </w:pPr>
    </w:p>
    <w:p w14:paraId="6661937D" w14:textId="77777777" w:rsidR="00770562" w:rsidRDefault="00770562" w:rsidP="00770562">
      <w:pPr>
        <w:spacing w:after="0" w:line="240" w:lineRule="auto"/>
        <w:rPr>
          <w:rFonts w:ascii="Verdana" w:eastAsia="Aptos" w:hAnsi="Verdana" w:cs="Times New Roman"/>
          <w:sz w:val="20"/>
          <w:szCs w:val="20"/>
        </w:rPr>
      </w:pPr>
    </w:p>
    <w:p w14:paraId="48640E31" w14:textId="77777777" w:rsidR="00770562" w:rsidRDefault="00770562" w:rsidP="00770562">
      <w:pPr>
        <w:spacing w:after="0" w:line="240" w:lineRule="auto"/>
        <w:rPr>
          <w:rFonts w:ascii="Verdana" w:eastAsia="Aptos" w:hAnsi="Verdana" w:cs="Times New Roman"/>
          <w:sz w:val="20"/>
          <w:szCs w:val="20"/>
        </w:rPr>
      </w:pPr>
    </w:p>
    <w:p w14:paraId="41814EFC" w14:textId="77777777" w:rsidR="00770562" w:rsidRDefault="00770562" w:rsidP="00770562">
      <w:pPr>
        <w:spacing w:after="0" w:line="240" w:lineRule="auto"/>
        <w:rPr>
          <w:rFonts w:ascii="Verdana" w:eastAsia="Aptos" w:hAnsi="Verdana" w:cs="Times New Roman"/>
          <w:sz w:val="20"/>
          <w:szCs w:val="20"/>
        </w:rPr>
      </w:pPr>
    </w:p>
    <w:p w14:paraId="18BFE394" w14:textId="77777777" w:rsidR="00770562" w:rsidRDefault="00770562" w:rsidP="00770562">
      <w:pPr>
        <w:spacing w:after="0" w:line="240" w:lineRule="auto"/>
        <w:rPr>
          <w:rFonts w:ascii="Verdana" w:eastAsia="Aptos" w:hAnsi="Verdana" w:cs="Times New Roman"/>
          <w:sz w:val="20"/>
          <w:szCs w:val="20"/>
        </w:rPr>
      </w:pPr>
    </w:p>
    <w:p w14:paraId="148A69ED" w14:textId="77777777" w:rsidR="00770562" w:rsidRDefault="00770562" w:rsidP="00770562">
      <w:pPr>
        <w:spacing w:after="0" w:line="240" w:lineRule="auto"/>
        <w:rPr>
          <w:rFonts w:ascii="Verdana" w:eastAsia="Aptos" w:hAnsi="Verdana" w:cs="Times New Roman"/>
          <w:sz w:val="20"/>
          <w:szCs w:val="20"/>
        </w:rPr>
      </w:pPr>
    </w:p>
    <w:p w14:paraId="1D0E75AD" w14:textId="77777777" w:rsidR="00770562" w:rsidRDefault="00770562" w:rsidP="00770562">
      <w:pPr>
        <w:spacing w:after="0" w:line="240" w:lineRule="auto"/>
        <w:rPr>
          <w:rFonts w:ascii="Verdana" w:eastAsia="Aptos" w:hAnsi="Verdana" w:cs="Times New Roman"/>
          <w:sz w:val="20"/>
          <w:szCs w:val="20"/>
        </w:rPr>
      </w:pPr>
    </w:p>
    <w:p w14:paraId="4EC539C0" w14:textId="77777777" w:rsidR="00770562" w:rsidRDefault="00770562" w:rsidP="00770562">
      <w:pPr>
        <w:spacing w:after="0" w:line="240" w:lineRule="auto"/>
        <w:rPr>
          <w:rFonts w:ascii="Verdana" w:eastAsia="Aptos" w:hAnsi="Verdana" w:cs="Times New Roman"/>
          <w:sz w:val="20"/>
          <w:szCs w:val="20"/>
        </w:rPr>
      </w:pPr>
    </w:p>
    <w:p w14:paraId="7F4554A9" w14:textId="77777777" w:rsidR="00770562" w:rsidRDefault="00770562" w:rsidP="00770562">
      <w:pPr>
        <w:spacing w:after="0" w:line="240" w:lineRule="auto"/>
        <w:rPr>
          <w:rFonts w:ascii="Verdana" w:eastAsia="Aptos" w:hAnsi="Verdana" w:cs="Times New Roman"/>
          <w:sz w:val="20"/>
          <w:szCs w:val="20"/>
        </w:rPr>
      </w:pPr>
    </w:p>
    <w:p w14:paraId="21CDD666" w14:textId="77777777" w:rsidR="00770562" w:rsidRPr="002D3E33" w:rsidRDefault="00770562" w:rsidP="00770562">
      <w:pPr>
        <w:spacing w:after="0" w:line="240" w:lineRule="auto"/>
        <w:jc w:val="both"/>
        <w:rPr>
          <w:rFonts w:ascii="Verdana" w:eastAsia="Calibri" w:hAnsi="Verdana" w:cs="Arial"/>
          <w:sz w:val="21"/>
          <w:szCs w:val="21"/>
          <w:lang w:val="es-ES"/>
        </w:rPr>
      </w:pPr>
    </w:p>
    <w:p w14:paraId="70A6DC65" w14:textId="77777777" w:rsidR="00770562" w:rsidRPr="00CD2674" w:rsidRDefault="00770562" w:rsidP="00770562">
      <w:pPr>
        <w:spacing w:after="0" w:line="240" w:lineRule="auto"/>
        <w:jc w:val="both"/>
        <w:rPr>
          <w:rFonts w:ascii="Verdana" w:eastAsia="Calibri" w:hAnsi="Verdana" w:cs="Arial"/>
          <w:lang w:val="es-ES" w:eastAsia="es-ES"/>
        </w:rPr>
      </w:pPr>
    </w:p>
    <w:p w14:paraId="4C620A9F" w14:textId="77777777" w:rsidR="00770562" w:rsidRPr="00CD2674" w:rsidRDefault="00770562" w:rsidP="00770562">
      <w:pPr>
        <w:spacing w:after="0" w:line="240" w:lineRule="auto"/>
        <w:jc w:val="both"/>
        <w:rPr>
          <w:rFonts w:ascii="Verdana" w:eastAsia="Calibri" w:hAnsi="Verdana" w:cs="Arial"/>
          <w:lang w:val="es-ES" w:eastAsia="es-ES"/>
        </w:rPr>
      </w:pPr>
    </w:p>
    <w:p w14:paraId="683E6062" w14:textId="77777777" w:rsidR="00770562" w:rsidRPr="00CD2674" w:rsidRDefault="00770562" w:rsidP="00770562">
      <w:pPr>
        <w:spacing w:after="0" w:line="240" w:lineRule="auto"/>
        <w:jc w:val="both"/>
        <w:rPr>
          <w:rFonts w:ascii="Verdana" w:eastAsia="Calibri" w:hAnsi="Verdana" w:cs="Arial"/>
          <w:lang w:val="es-ES" w:eastAsia="es-ES"/>
        </w:rPr>
      </w:pPr>
    </w:p>
    <w:p w14:paraId="3C047BA6" w14:textId="77777777" w:rsidR="00770562" w:rsidRPr="00CD2674" w:rsidRDefault="00770562" w:rsidP="00770562">
      <w:pPr>
        <w:spacing w:after="0" w:line="240" w:lineRule="auto"/>
        <w:jc w:val="both"/>
        <w:rPr>
          <w:rFonts w:ascii="Verdana" w:eastAsia="Calibri" w:hAnsi="Verdana" w:cs="Arial"/>
          <w:lang w:val="es-ES" w:eastAsia="es-ES"/>
        </w:rPr>
      </w:pPr>
    </w:p>
    <w:p w14:paraId="1308664D" w14:textId="77777777" w:rsidR="00770562" w:rsidRPr="00CD2674" w:rsidRDefault="00770562" w:rsidP="00770562">
      <w:pPr>
        <w:spacing w:after="0" w:line="240" w:lineRule="auto"/>
        <w:jc w:val="both"/>
        <w:rPr>
          <w:rFonts w:ascii="Verdana" w:eastAsia="Calibri" w:hAnsi="Verdana" w:cs="Arial"/>
          <w:lang w:val="es-ES" w:eastAsia="es-ES"/>
        </w:rPr>
      </w:pPr>
    </w:p>
    <w:p w14:paraId="44494707" w14:textId="77777777" w:rsidR="00770562" w:rsidRPr="00CD2674" w:rsidRDefault="00770562" w:rsidP="00770562">
      <w:pPr>
        <w:spacing w:after="0" w:line="240" w:lineRule="auto"/>
        <w:jc w:val="both"/>
        <w:rPr>
          <w:rFonts w:ascii="Verdana" w:eastAsia="Calibri" w:hAnsi="Verdana" w:cs="Arial"/>
          <w:lang w:val="es-ES" w:eastAsia="es-ES"/>
        </w:rPr>
      </w:pPr>
    </w:p>
    <w:p w14:paraId="4A36B414" w14:textId="77777777" w:rsidR="00770562" w:rsidRPr="00CD2674" w:rsidRDefault="00770562" w:rsidP="00770562">
      <w:pPr>
        <w:spacing w:after="0" w:line="240" w:lineRule="auto"/>
        <w:jc w:val="both"/>
        <w:rPr>
          <w:rFonts w:ascii="Verdana" w:eastAsia="Calibri" w:hAnsi="Verdana" w:cs="Arial"/>
          <w:lang w:val="es-ES" w:eastAsia="es-ES"/>
        </w:rPr>
      </w:pPr>
    </w:p>
    <w:p w14:paraId="2FA7499E" w14:textId="77777777" w:rsidR="00770562" w:rsidRPr="00CD2674" w:rsidRDefault="00770562" w:rsidP="00770562">
      <w:pPr>
        <w:spacing w:after="0" w:line="240" w:lineRule="auto"/>
        <w:jc w:val="both"/>
        <w:rPr>
          <w:rFonts w:ascii="Verdana" w:eastAsia="Calibri" w:hAnsi="Verdana" w:cs="Arial"/>
          <w:lang w:val="es-ES" w:eastAsia="es-ES"/>
        </w:rPr>
      </w:pPr>
    </w:p>
    <w:p w14:paraId="3FC010E2" w14:textId="77777777" w:rsidR="00770562" w:rsidRDefault="00770562" w:rsidP="00770562">
      <w:pPr>
        <w:spacing w:after="0" w:line="240" w:lineRule="auto"/>
        <w:jc w:val="both"/>
        <w:rPr>
          <w:rFonts w:ascii="Verdana" w:eastAsia="Calibri" w:hAnsi="Verdana" w:cs="Arial"/>
          <w:lang w:val="es-ES" w:eastAsia="es-ES"/>
        </w:rPr>
      </w:pPr>
    </w:p>
    <w:p w14:paraId="465489D0" w14:textId="77777777" w:rsidR="00770562" w:rsidRDefault="00770562" w:rsidP="00770562">
      <w:pPr>
        <w:spacing w:after="0" w:line="240" w:lineRule="auto"/>
        <w:jc w:val="both"/>
        <w:rPr>
          <w:rFonts w:ascii="Verdana" w:eastAsia="Calibri" w:hAnsi="Verdana" w:cs="Arial"/>
          <w:lang w:val="es-ES" w:eastAsia="es-ES"/>
        </w:rPr>
      </w:pPr>
    </w:p>
    <w:p w14:paraId="44807C7E" w14:textId="77777777" w:rsidR="00770562" w:rsidRDefault="00770562" w:rsidP="00871B59">
      <w:pPr>
        <w:spacing w:after="0" w:line="240" w:lineRule="auto"/>
        <w:rPr>
          <w:rFonts w:ascii="Verdana" w:eastAsia="Calibri" w:hAnsi="Verdana" w:cs="Arial"/>
          <w:lang w:val="es-ES" w:eastAsia="es-ES"/>
        </w:rPr>
      </w:pPr>
    </w:p>
    <w:p w14:paraId="28F7966D" w14:textId="77777777" w:rsidR="00D71928" w:rsidRDefault="00D71928" w:rsidP="00871B59">
      <w:pPr>
        <w:spacing w:after="0" w:line="240" w:lineRule="auto"/>
        <w:rPr>
          <w:rFonts w:ascii="Verdana" w:eastAsia="Calibri" w:hAnsi="Verdana" w:cs="Arial"/>
          <w:lang w:val="es-ES" w:eastAsia="es-ES"/>
        </w:rPr>
      </w:pPr>
    </w:p>
    <w:p w14:paraId="40A761C7" w14:textId="22DF65FB" w:rsidR="00D71928" w:rsidRDefault="00D71928" w:rsidP="00D71928">
      <w:pPr>
        <w:spacing w:after="0" w:line="240" w:lineRule="auto"/>
        <w:rPr>
          <w:rFonts w:ascii="Verdana" w:eastAsia="Geomanist Light" w:hAnsi="Verdana" w:cs="Arial"/>
          <w:color w:val="000000" w:themeColor="text1"/>
          <w:lang w:val="es-MX"/>
        </w:rPr>
      </w:pPr>
    </w:p>
    <w:p w14:paraId="057B7F82" w14:textId="6944754D" w:rsidR="00D71928" w:rsidRDefault="00086D5F" w:rsidP="00D71928">
      <w:pPr>
        <w:spacing w:after="0" w:line="240" w:lineRule="auto"/>
        <w:jc w:val="both"/>
        <w:rPr>
          <w:rFonts w:ascii="Verdana" w:eastAsia="Geomanist Light" w:hAnsi="Verdana" w:cs="Arial"/>
          <w:color w:val="000000" w:themeColor="text1"/>
        </w:rPr>
      </w:pPr>
      <w:r w:rsidRPr="00086D5F">
        <w:rPr>
          <w:rFonts w:ascii="Verdana" w:eastAsia="Calibri" w:hAnsi="Verdana" w:cs="Arial"/>
          <w:b/>
          <w:bCs/>
          <w:color w:val="000000"/>
          <w:lang w:val="es-ES_tradnl" w:eastAsia="es-ES_tradnl"/>
        </w:rPr>
        <w:drawing>
          <wp:anchor distT="0" distB="0" distL="114300" distR="114300" simplePos="0" relativeHeight="251658240" behindDoc="0" locked="0" layoutInCell="1" allowOverlap="1" wp14:anchorId="1726FE21" wp14:editId="25187603">
            <wp:simplePos x="0" y="0"/>
            <wp:positionH relativeFrom="column">
              <wp:posOffset>3558899</wp:posOffset>
            </wp:positionH>
            <wp:positionV relativeFrom="paragraph">
              <wp:posOffset>330811</wp:posOffset>
            </wp:positionV>
            <wp:extent cx="2788079" cy="752864"/>
            <wp:effectExtent l="0" t="0" r="0" b="9525"/>
            <wp:wrapTopAndBottom/>
            <wp:docPr id="19577051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05168"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88079" cy="752864"/>
                    </a:xfrm>
                    <a:prstGeom prst="rect">
                      <a:avLst/>
                    </a:prstGeom>
                  </pic:spPr>
                </pic:pic>
              </a:graphicData>
            </a:graphic>
          </wp:anchor>
        </w:drawing>
      </w:r>
      <w:r w:rsidR="003325DF" w:rsidRPr="003325DF">
        <w:rPr>
          <w:rFonts w:ascii="Verdana" w:eastAsia="Geomanist Light" w:hAnsi="Verdana" w:cs="Arial"/>
          <w:color w:val="000000" w:themeColor="text1"/>
        </w:rPr>
        <w:t xml:space="preserve">Bogotá D.C., 20 de </w:t>
      </w:r>
      <w:proofErr w:type="gramStart"/>
      <w:r w:rsidR="003325DF" w:rsidRPr="003325DF">
        <w:rPr>
          <w:rFonts w:ascii="Verdana" w:eastAsia="Geomanist Light" w:hAnsi="Verdana" w:cs="Arial"/>
          <w:color w:val="000000" w:themeColor="text1"/>
        </w:rPr>
        <w:t>Noviembre</w:t>
      </w:r>
      <w:proofErr w:type="gramEnd"/>
      <w:r w:rsidR="003325DF" w:rsidRPr="003325DF">
        <w:rPr>
          <w:rFonts w:ascii="Verdana" w:eastAsia="Geomanist Light" w:hAnsi="Verdana" w:cs="Arial"/>
          <w:color w:val="000000" w:themeColor="text1"/>
        </w:rPr>
        <w:t xml:space="preserve"> de 2024</w:t>
      </w:r>
    </w:p>
    <w:p w14:paraId="6B191410" w14:textId="5BDDFEBC" w:rsidR="003325DF" w:rsidRPr="00593A5F" w:rsidRDefault="003325DF" w:rsidP="00D71928">
      <w:pPr>
        <w:spacing w:after="0" w:line="240" w:lineRule="auto"/>
        <w:jc w:val="both"/>
        <w:rPr>
          <w:rFonts w:ascii="Verdana" w:eastAsia="Calibri" w:hAnsi="Verdana" w:cs="Arial"/>
          <w:color w:val="000000"/>
          <w:lang w:val="es-ES"/>
        </w:rPr>
      </w:pPr>
    </w:p>
    <w:p w14:paraId="6DD75599" w14:textId="121D021D" w:rsidR="00D71928" w:rsidRPr="00B96799" w:rsidRDefault="00D71928" w:rsidP="00D71928">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78FBB156" w14:textId="7F335857" w:rsidR="00D71928" w:rsidRPr="003A6B6E" w:rsidRDefault="00D71928" w:rsidP="00D71928">
      <w:pPr>
        <w:spacing w:after="0" w:line="240" w:lineRule="auto"/>
        <w:rPr>
          <w:rFonts w:ascii="Verdana" w:eastAsia="Calibri" w:hAnsi="Verdana" w:cs="Arial"/>
          <w:b/>
          <w:lang w:val="es-ES_tradnl" w:eastAsia="es-ES_tradnl"/>
        </w:rPr>
      </w:pPr>
      <w:r w:rsidRPr="003A6B6E">
        <w:rPr>
          <w:rFonts w:ascii="Verdana" w:eastAsia="Calibri" w:hAnsi="Verdana" w:cs="Arial"/>
          <w:b/>
          <w:lang w:val="es-ES_tradnl" w:eastAsia="es-ES_tradnl"/>
        </w:rPr>
        <w:t>Fredy Alfonso Rivero Castro</w:t>
      </w:r>
    </w:p>
    <w:p w14:paraId="6ACF19AA" w14:textId="32FEF5CB" w:rsidR="00D71928" w:rsidRPr="003A6B6E" w:rsidRDefault="00D71928" w:rsidP="00D71928">
      <w:pPr>
        <w:spacing w:after="0" w:line="240" w:lineRule="auto"/>
        <w:rPr>
          <w:rFonts w:ascii="Verdana" w:eastAsia="Calibri" w:hAnsi="Verdana" w:cs="Arial"/>
          <w:b/>
          <w:lang w:val="es-ES_tradnl" w:eastAsia="es-ES_tradnl"/>
        </w:rPr>
      </w:pPr>
      <w:r w:rsidRPr="003A6B6E">
        <w:rPr>
          <w:rFonts w:ascii="Verdana" w:eastAsia="Calibri" w:hAnsi="Verdana" w:cs="Arial"/>
          <w:b/>
          <w:lang w:val="es-ES_tradnl" w:eastAsia="es-ES_tradnl"/>
        </w:rPr>
        <w:t>Jefe de Control Interno</w:t>
      </w:r>
    </w:p>
    <w:p w14:paraId="26187E7A" w14:textId="69564624" w:rsidR="00D71928" w:rsidRPr="00B96799" w:rsidRDefault="00D71928" w:rsidP="00D71928">
      <w:pPr>
        <w:spacing w:after="0" w:line="240" w:lineRule="auto"/>
        <w:rPr>
          <w:rFonts w:ascii="Verdana" w:eastAsia="Calibri" w:hAnsi="Verdana" w:cs="Arial"/>
          <w:b/>
          <w:lang w:val="es-ES_tradnl" w:eastAsia="es-ES_tradnl"/>
        </w:rPr>
      </w:pPr>
      <w:r w:rsidRPr="003A6B6E">
        <w:rPr>
          <w:rFonts w:ascii="Verdana" w:eastAsia="Calibri" w:hAnsi="Verdana" w:cs="Arial"/>
          <w:b/>
          <w:lang w:val="es-ES_tradnl" w:eastAsia="es-ES_tradnl"/>
        </w:rPr>
        <w:t>Terminal de Transportes de Valledupar S.A.</w:t>
      </w:r>
    </w:p>
    <w:p w14:paraId="14B8E192" w14:textId="2E540B5B" w:rsidR="00D71928" w:rsidRDefault="00D71928" w:rsidP="00D71928">
      <w:pPr>
        <w:spacing w:after="0" w:line="240" w:lineRule="auto"/>
        <w:rPr>
          <w:rFonts w:ascii="Verdana" w:eastAsia="Calibri" w:hAnsi="Verdana" w:cs="Arial"/>
          <w:u w:val="single"/>
          <w:lang w:val="es-ES" w:eastAsia="es-ES"/>
        </w:rPr>
      </w:pPr>
      <w:hyperlink r:id="rId12" w:history="1">
        <w:r w:rsidRPr="008A12D5">
          <w:rPr>
            <w:rStyle w:val="Hipervnculo"/>
            <w:rFonts w:ascii="Verdana" w:eastAsia="Calibri" w:hAnsi="Verdana" w:cs="Arial"/>
            <w:lang w:val="es-ES" w:eastAsia="es-ES"/>
          </w:rPr>
          <w:t>controlinterno@terminaldetransportesdevalledupar.gov.co</w:t>
        </w:r>
      </w:hyperlink>
    </w:p>
    <w:p w14:paraId="13B249F3" w14:textId="681E70B8" w:rsidR="00D71928" w:rsidRPr="00B96799" w:rsidRDefault="00D71928" w:rsidP="00D71928">
      <w:pPr>
        <w:spacing w:after="0" w:line="240" w:lineRule="auto"/>
        <w:rPr>
          <w:rFonts w:ascii="Verdana" w:eastAsia="Calibri" w:hAnsi="Verdana" w:cs="Arial"/>
          <w:b/>
          <w:bCs/>
          <w:lang w:val="es-ES" w:eastAsia="es-ES"/>
        </w:rPr>
      </w:pPr>
      <w:r>
        <w:rPr>
          <w:rFonts w:ascii="Verdana" w:eastAsia="Calibri" w:hAnsi="Verdana" w:cs="Arial"/>
          <w:lang w:val="es-ES" w:eastAsia="es-ES"/>
        </w:rPr>
        <w:t>Valledupar</w:t>
      </w:r>
      <w:r w:rsidRPr="00B96799">
        <w:rPr>
          <w:rFonts w:ascii="Verdana" w:eastAsia="Calibri" w:hAnsi="Verdana" w:cs="Arial"/>
          <w:lang w:val="es-ES" w:eastAsia="es-ES"/>
        </w:rPr>
        <w:t>, C</w:t>
      </w:r>
      <w:r>
        <w:rPr>
          <w:rFonts w:ascii="Verdana" w:eastAsia="Calibri" w:hAnsi="Verdana" w:cs="Arial"/>
          <w:lang w:val="es-ES" w:eastAsia="es-ES"/>
        </w:rPr>
        <w:t>esar</w:t>
      </w:r>
    </w:p>
    <w:p w14:paraId="39CBB3B0" w14:textId="46473863" w:rsidR="00D71928" w:rsidRPr="00593A5F" w:rsidRDefault="00D71928" w:rsidP="00D71928">
      <w:pPr>
        <w:spacing w:after="0" w:line="240" w:lineRule="auto"/>
        <w:rPr>
          <w:rFonts w:ascii="Verdana" w:eastAsia="Calibri" w:hAnsi="Verdana" w:cs="Arial"/>
          <w:b/>
          <w:bCs/>
          <w:color w:val="000000"/>
          <w:lang w:val="es-ES_tradnl" w:eastAsia="es-ES_tradnl"/>
        </w:rPr>
      </w:pPr>
    </w:p>
    <w:p w14:paraId="56B93A8E" w14:textId="77777777" w:rsidR="00D71928" w:rsidRPr="00593A5F" w:rsidRDefault="00D71928" w:rsidP="00D7192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71928" w:rsidRPr="004D7DD2" w14:paraId="68ADF6A8" w14:textId="77777777" w:rsidTr="005A2A51">
        <w:trPr>
          <w:trHeight w:val="884"/>
        </w:trPr>
        <w:tc>
          <w:tcPr>
            <w:tcW w:w="2689" w:type="dxa"/>
          </w:tcPr>
          <w:p w14:paraId="1B084EB4" w14:textId="77777777" w:rsidR="00D71928" w:rsidRPr="004D7DD2" w:rsidRDefault="00D71928" w:rsidP="005A2A51">
            <w:pPr>
              <w:jc w:val="both"/>
              <w:rPr>
                <w:rFonts w:ascii="Verdana" w:eastAsia="Calibri" w:hAnsi="Verdana" w:cs="Arial"/>
                <w:b/>
                <w:bCs/>
                <w:lang w:val="es-ES_tradnl" w:eastAsia="es-ES_tradnl"/>
              </w:rPr>
            </w:pPr>
          </w:p>
        </w:tc>
        <w:tc>
          <w:tcPr>
            <w:tcW w:w="6100" w:type="dxa"/>
          </w:tcPr>
          <w:p w14:paraId="28BFFF32" w14:textId="77777777" w:rsidR="00D71928" w:rsidRPr="004D7DD2" w:rsidRDefault="00D71928" w:rsidP="005A2A51">
            <w:pPr>
              <w:jc w:val="both"/>
              <w:rPr>
                <w:rFonts w:ascii="Verdana" w:eastAsia="Calibri" w:hAnsi="Verdana" w:cs="Arial"/>
                <w:b/>
                <w:bCs/>
                <w:lang w:val="es-ES" w:eastAsia="es-ES"/>
              </w:rPr>
            </w:pPr>
            <w:r w:rsidRPr="004D7DD2">
              <w:rPr>
                <w:rFonts w:ascii="Verdana" w:eastAsia="Calibri" w:hAnsi="Verdana" w:cs="Arial"/>
                <w:b/>
                <w:bCs/>
                <w:lang w:val="es-ES" w:eastAsia="es-ES"/>
              </w:rPr>
              <w:t>Concepto C-710 de 2024</w:t>
            </w:r>
          </w:p>
        </w:tc>
      </w:tr>
      <w:tr w:rsidR="00D71928" w:rsidRPr="004D7DD2" w14:paraId="0E8DB5FD" w14:textId="77777777" w:rsidTr="005A2A51">
        <w:trPr>
          <w:trHeight w:val="884"/>
        </w:trPr>
        <w:tc>
          <w:tcPr>
            <w:tcW w:w="2689" w:type="dxa"/>
          </w:tcPr>
          <w:p w14:paraId="74DC6E88" w14:textId="77777777" w:rsidR="00D71928" w:rsidRPr="004D7DD2" w:rsidRDefault="00D71928" w:rsidP="005A2A51">
            <w:pPr>
              <w:jc w:val="both"/>
              <w:rPr>
                <w:rFonts w:ascii="Verdana" w:eastAsia="Calibri" w:hAnsi="Verdana" w:cs="Arial"/>
                <w:lang w:val="es-ES_tradnl" w:eastAsia="es-ES_tradnl"/>
              </w:rPr>
            </w:pPr>
            <w:r w:rsidRPr="004D7DD2">
              <w:rPr>
                <w:rFonts w:ascii="Verdana" w:eastAsia="Calibri" w:hAnsi="Verdana" w:cs="Arial"/>
                <w:b/>
                <w:lang w:val="es-ES_tradnl" w:eastAsia="es-ES_tradnl"/>
              </w:rPr>
              <w:t>Temas:</w:t>
            </w:r>
            <w:r w:rsidRPr="004D7DD2">
              <w:rPr>
                <w:rFonts w:ascii="Verdana" w:eastAsia="Calibri" w:hAnsi="Verdana" w:cs="Arial"/>
                <w:lang w:val="es-ES_tradnl" w:eastAsia="es-ES_tradnl"/>
              </w:rPr>
              <w:t xml:space="preserve">                   </w:t>
            </w:r>
          </w:p>
        </w:tc>
        <w:tc>
          <w:tcPr>
            <w:tcW w:w="6100" w:type="dxa"/>
          </w:tcPr>
          <w:p w14:paraId="47896000" w14:textId="77777777" w:rsidR="00D71928" w:rsidRPr="004D7DD2" w:rsidRDefault="00D71928" w:rsidP="005A2A51">
            <w:pPr>
              <w:spacing w:line="276" w:lineRule="auto"/>
              <w:jc w:val="both"/>
              <w:rPr>
                <w:rFonts w:ascii="Verdana" w:eastAsia="Calibri" w:hAnsi="Verdana" w:cs="Arial"/>
                <w:lang w:val="es-ES" w:eastAsia="es-ES"/>
              </w:rPr>
            </w:pPr>
            <w:r w:rsidRPr="004D7DD2">
              <w:rPr>
                <w:rFonts w:ascii="Verdana" w:eastAsia="Calibri" w:hAnsi="Verdana" w:cs="Arial"/>
                <w:lang w:val="es-ES" w:eastAsia="es-ES"/>
              </w:rPr>
              <w:t>CONTRATACIÓN PÚBLICA – Principio de publicidad – Principio de transparencia – Uso del SECOP / ENTIDADES CON RÉGIMEN ESPECIAL DE CONTRATACIÓN – Publicación en SECOP – Actividad contractual – Término para publicar – Circular Externa No. 002 de 2024</w:t>
            </w:r>
          </w:p>
          <w:p w14:paraId="7C34BEEE" w14:textId="77777777" w:rsidR="00D71928" w:rsidRPr="004D7DD2" w:rsidRDefault="00D71928" w:rsidP="005A2A51">
            <w:pPr>
              <w:spacing w:line="276" w:lineRule="auto"/>
              <w:jc w:val="both"/>
              <w:rPr>
                <w:rFonts w:ascii="Verdana" w:eastAsia="Calibri" w:hAnsi="Verdana" w:cs="Arial"/>
                <w:lang w:val="es-ES" w:eastAsia="es-ES"/>
              </w:rPr>
            </w:pPr>
          </w:p>
        </w:tc>
      </w:tr>
      <w:tr w:rsidR="00D71928" w:rsidRPr="004D7DD2" w14:paraId="2BCB9140" w14:textId="77777777" w:rsidTr="005A2A51">
        <w:tc>
          <w:tcPr>
            <w:tcW w:w="2689" w:type="dxa"/>
          </w:tcPr>
          <w:p w14:paraId="6D8B5265" w14:textId="77777777" w:rsidR="00D71928" w:rsidRPr="004D7DD2" w:rsidRDefault="00D71928" w:rsidP="005A2A51">
            <w:pPr>
              <w:jc w:val="both"/>
              <w:rPr>
                <w:rFonts w:ascii="Verdana" w:eastAsia="Calibri" w:hAnsi="Verdana" w:cs="Arial"/>
                <w:b/>
                <w:lang w:val="es-ES_tradnl" w:eastAsia="es-ES_tradnl"/>
              </w:rPr>
            </w:pPr>
            <w:r w:rsidRPr="004D7DD2">
              <w:rPr>
                <w:rFonts w:ascii="Verdana" w:eastAsia="Calibri" w:hAnsi="Verdana" w:cs="Arial"/>
                <w:b/>
                <w:lang w:val="es-ES_tradnl" w:eastAsia="es-ES_tradnl"/>
              </w:rPr>
              <w:t>Radicación:</w:t>
            </w:r>
            <w:r w:rsidRPr="004D7DD2">
              <w:rPr>
                <w:rFonts w:ascii="Verdana" w:eastAsia="Calibri" w:hAnsi="Verdana" w:cs="Arial"/>
                <w:lang w:val="es-ES_tradnl" w:eastAsia="es-ES_tradnl"/>
              </w:rPr>
              <w:t xml:space="preserve">               </w:t>
            </w:r>
          </w:p>
        </w:tc>
        <w:tc>
          <w:tcPr>
            <w:tcW w:w="6100" w:type="dxa"/>
          </w:tcPr>
          <w:p w14:paraId="14E4E255" w14:textId="77777777" w:rsidR="00D71928" w:rsidRPr="004D7DD2" w:rsidRDefault="00D71928" w:rsidP="005A2A51">
            <w:pPr>
              <w:jc w:val="both"/>
              <w:rPr>
                <w:rFonts w:ascii="Verdana" w:eastAsia="Calibri" w:hAnsi="Verdana" w:cs="Arial"/>
                <w:lang w:val="es-ES_tradnl" w:eastAsia="es-ES_tradnl"/>
              </w:rPr>
            </w:pPr>
            <w:r w:rsidRPr="004D7DD2">
              <w:rPr>
                <w:rFonts w:ascii="Verdana" w:eastAsia="Calibri" w:hAnsi="Verdana" w:cs="Arial"/>
                <w:lang w:val="es-ES_tradnl" w:eastAsia="es-ES_tradnl"/>
              </w:rPr>
              <w:t>Respuesta a consulta con radicado No. P20241007010206</w:t>
            </w:r>
          </w:p>
        </w:tc>
      </w:tr>
    </w:tbl>
    <w:p w14:paraId="3B900AD5" w14:textId="77777777" w:rsidR="00D71928" w:rsidRPr="004D7DD2" w:rsidRDefault="00D71928" w:rsidP="00D71928">
      <w:pPr>
        <w:spacing w:after="0" w:line="240" w:lineRule="auto"/>
        <w:jc w:val="both"/>
        <w:rPr>
          <w:rFonts w:ascii="Verdana" w:eastAsia="Calibri" w:hAnsi="Verdana" w:cs="Arial"/>
          <w:lang w:val="es-ES_tradnl" w:eastAsia="es-ES_tradnl"/>
        </w:rPr>
      </w:pPr>
    </w:p>
    <w:p w14:paraId="1FFC6B44" w14:textId="77777777" w:rsidR="00D71928" w:rsidRPr="004D7DD2" w:rsidRDefault="00D71928" w:rsidP="00D71928">
      <w:pPr>
        <w:spacing w:after="0" w:line="240" w:lineRule="auto"/>
        <w:jc w:val="both"/>
        <w:rPr>
          <w:rFonts w:ascii="Verdana" w:eastAsia="Calibri" w:hAnsi="Verdana" w:cs="Arial"/>
          <w:lang w:val="es-ES_tradnl" w:eastAsia="es-ES_tradnl"/>
        </w:rPr>
      </w:pPr>
    </w:p>
    <w:p w14:paraId="31ABDA08" w14:textId="77777777" w:rsidR="00D71928" w:rsidRPr="004D7DD2" w:rsidRDefault="00D71928" w:rsidP="00D71928">
      <w:pPr>
        <w:spacing w:after="0" w:line="276" w:lineRule="auto"/>
        <w:jc w:val="both"/>
        <w:rPr>
          <w:rFonts w:ascii="Verdana" w:eastAsia="Calibri" w:hAnsi="Verdana" w:cs="Arial"/>
          <w:lang w:val="es-ES" w:eastAsia="es-ES"/>
        </w:rPr>
      </w:pPr>
      <w:r w:rsidRPr="004D7DD2">
        <w:rPr>
          <w:rFonts w:ascii="Verdana" w:eastAsia="Calibri" w:hAnsi="Verdana" w:cs="Arial"/>
          <w:lang w:val="es-ES" w:eastAsia="es-ES"/>
        </w:rPr>
        <w:t xml:space="preserve">Estimado señor Rivero: </w:t>
      </w:r>
    </w:p>
    <w:p w14:paraId="28D845F1" w14:textId="77777777" w:rsidR="00D71928" w:rsidRPr="004D7DD2" w:rsidRDefault="00D71928" w:rsidP="00D71928">
      <w:pPr>
        <w:tabs>
          <w:tab w:val="left" w:pos="3768"/>
        </w:tabs>
        <w:spacing w:after="0" w:line="276" w:lineRule="auto"/>
        <w:jc w:val="both"/>
        <w:rPr>
          <w:rFonts w:ascii="Verdana" w:eastAsia="Calibri" w:hAnsi="Verdana" w:cs="Arial"/>
          <w:lang w:val="es-ES" w:eastAsia="es-ES"/>
        </w:rPr>
      </w:pPr>
      <w:r w:rsidRPr="004D7DD2">
        <w:rPr>
          <w:rFonts w:ascii="Verdana" w:eastAsia="Calibri" w:hAnsi="Verdana" w:cs="Arial"/>
          <w:lang w:val="es-ES" w:eastAsia="es-ES"/>
        </w:rPr>
        <w:tab/>
      </w:r>
    </w:p>
    <w:p w14:paraId="0BFFEAA6" w14:textId="77777777" w:rsidR="00D71928" w:rsidRPr="004D7DD2" w:rsidRDefault="00D71928" w:rsidP="00D71928">
      <w:pPr>
        <w:spacing w:after="0" w:line="276" w:lineRule="auto"/>
        <w:jc w:val="both"/>
        <w:rPr>
          <w:rFonts w:ascii="Verdana" w:eastAsia="Calibri" w:hAnsi="Verdana" w:cs="Arial"/>
          <w:lang w:val="es-ES" w:eastAsia="es-ES"/>
        </w:rPr>
      </w:pPr>
      <w:r w:rsidRPr="004D7DD2">
        <w:rPr>
          <w:rFonts w:ascii="Verdana" w:eastAsia="Calibri" w:hAnsi="Verdana" w:cs="Arial"/>
          <w:lang w:val="es-ES" w:eastAsia="es-ES"/>
        </w:rPr>
        <w:t>En ejercicio de la competencia otorgada por los artículos 3, numeral 5º, y 11, numeral 8º, del Decreto Ley 4170 de 2011,</w:t>
      </w:r>
      <w:r w:rsidRPr="004D7DD2">
        <w:rPr>
          <w:rFonts w:ascii="Verdana" w:eastAsia="Arial MT" w:hAnsi="Verdana" w:cs="Arial MT"/>
          <w:lang w:val="es-ES" w:eastAsia="es-ES"/>
        </w:rPr>
        <w:t xml:space="preserve"> </w:t>
      </w:r>
      <w:r w:rsidRPr="004D7DD2">
        <w:rPr>
          <w:rFonts w:ascii="Verdana" w:hAnsi="Verdana" w:cs="Arial"/>
        </w:rPr>
        <w:t xml:space="preserve">así como lo establecido en el artículo 4 de la Resolución 1707 de 2018 expedida por esta Entidad, </w:t>
      </w:r>
      <w:r w:rsidRPr="004D7DD2">
        <w:rPr>
          <w:rFonts w:ascii="Verdana" w:eastAsia="Calibri" w:hAnsi="Verdana" w:cs="Arial"/>
          <w:lang w:val="es-ES" w:eastAsia="es-ES"/>
        </w:rPr>
        <w:t xml:space="preserve">la Agencia Nacional de Contratación Pública – Colombia Compra Eficiente– responde su solicitud de </w:t>
      </w:r>
      <w:r w:rsidRPr="004D7DD2">
        <w:rPr>
          <w:rFonts w:ascii="Verdana" w:eastAsia="Calibri" w:hAnsi="Verdana" w:cs="Arial"/>
          <w:lang w:val="es-ES" w:eastAsia="es-ES"/>
        </w:rPr>
        <w:lastRenderedPageBreak/>
        <w:t xml:space="preserve">consulta de fecha 7 de octubre de 2024, remitida por el departamento Administrativo de la Función Pública con oficio remisorio No. </w:t>
      </w:r>
      <w:r w:rsidRPr="004D7DD2">
        <w:rPr>
          <w:rFonts w:ascii="Verdana" w:eastAsia="Calibri" w:hAnsi="Verdana" w:cs="Arial"/>
          <w:lang w:eastAsia="es-ES"/>
        </w:rPr>
        <w:t>20242040603361, e</w:t>
      </w:r>
      <w:r w:rsidRPr="004D7DD2">
        <w:rPr>
          <w:rFonts w:ascii="Verdana" w:eastAsia="Calibri" w:hAnsi="Verdana" w:cs="Arial"/>
          <w:lang w:val="es-ES" w:eastAsia="es-ES"/>
        </w:rPr>
        <w:t xml:space="preserve">n la cual manifiesta lo siguiente: </w:t>
      </w:r>
    </w:p>
    <w:p w14:paraId="73D98957" w14:textId="77777777" w:rsidR="00D71928" w:rsidRPr="004D7DD2" w:rsidRDefault="00D71928" w:rsidP="00D71928">
      <w:pPr>
        <w:pStyle w:val="Prrafodelista"/>
        <w:tabs>
          <w:tab w:val="left" w:pos="142"/>
          <w:tab w:val="left" w:pos="284"/>
        </w:tabs>
        <w:spacing w:line="276" w:lineRule="auto"/>
        <w:ind w:left="0"/>
        <w:jc w:val="both"/>
        <w:rPr>
          <w:rFonts w:ascii="Verdana" w:eastAsia="Century Gothic" w:hAnsi="Verdana" w:cs="Century Gothic"/>
          <w:b/>
          <w:bCs/>
        </w:rPr>
      </w:pPr>
    </w:p>
    <w:p w14:paraId="7B76C0CB" w14:textId="77777777" w:rsidR="00D71928" w:rsidRPr="004D7DD2" w:rsidRDefault="00D71928" w:rsidP="00D71928">
      <w:pPr>
        <w:spacing w:after="0" w:line="240" w:lineRule="auto"/>
        <w:ind w:left="709" w:right="709"/>
        <w:jc w:val="both"/>
        <w:rPr>
          <w:rFonts w:ascii="Verdana" w:eastAsia="Century Gothic" w:hAnsi="Verdana" w:cs="Century Gothic"/>
          <w:sz w:val="20"/>
          <w:szCs w:val="20"/>
          <w:lang w:val="es-ES"/>
        </w:rPr>
      </w:pPr>
      <w:bookmarkStart w:id="0" w:name="_Hlk95313578"/>
      <w:r w:rsidRPr="004D7DD2">
        <w:rPr>
          <w:rFonts w:ascii="Verdana" w:eastAsia="Century Gothic" w:hAnsi="Verdana" w:cs="Century Gothic"/>
          <w:sz w:val="20"/>
          <w:szCs w:val="20"/>
          <w:lang w:val="es-ES"/>
        </w:rPr>
        <w:t>“</w:t>
      </w:r>
      <w:r w:rsidRPr="004D7DD2">
        <w:rPr>
          <w:rFonts w:ascii="Verdana" w:hAnsi="Verdana" w:cs="Arial"/>
          <w:sz w:val="20"/>
          <w:szCs w:val="20"/>
          <w:shd w:val="clear" w:color="auto" w:fill="FFFFFF"/>
        </w:rPr>
        <w:t xml:space="preserve">Respetuosamente, les solicito la información si la Terminal de Transportes de Valledupar S.A., una empresa industrial y comercial del Estado de Economía Mixta, sociedad anónima, donde el estado tiene </w:t>
      </w:r>
      <w:proofErr w:type="spellStart"/>
      <w:r w:rsidRPr="004D7DD2">
        <w:rPr>
          <w:rFonts w:ascii="Verdana" w:hAnsi="Verdana" w:cs="Arial"/>
          <w:sz w:val="20"/>
          <w:szCs w:val="20"/>
          <w:shd w:val="clear" w:color="auto" w:fill="FFFFFF"/>
        </w:rPr>
        <w:t>mas</w:t>
      </w:r>
      <w:proofErr w:type="spellEnd"/>
      <w:r w:rsidRPr="004D7DD2">
        <w:rPr>
          <w:rFonts w:ascii="Verdana" w:hAnsi="Verdana" w:cs="Arial"/>
          <w:sz w:val="20"/>
          <w:szCs w:val="20"/>
          <w:shd w:val="clear" w:color="auto" w:fill="FFFFFF"/>
        </w:rPr>
        <w:t xml:space="preserve"> del 90% de participación, que se rige por el código del Comercio, y tiene su propio manual de contratación, tiene la obligación de reportar ante el SECOP II, todo el proceso contractual que desarrolla la entidad. </w:t>
      </w:r>
      <w:r w:rsidRPr="004D7DD2">
        <w:rPr>
          <w:rStyle w:val="normaltextrun"/>
          <w:rFonts w:ascii="Verdana" w:hAnsi="Verdana" w:cs="Arial"/>
          <w:sz w:val="20"/>
          <w:szCs w:val="20"/>
          <w:shd w:val="clear" w:color="auto" w:fill="FFFFFF"/>
          <w:lang w:val="es-ES"/>
        </w:rPr>
        <w:t>[…]</w:t>
      </w:r>
      <w:r w:rsidRPr="004D7DD2">
        <w:rPr>
          <w:rFonts w:ascii="Verdana" w:eastAsia="Century Gothic" w:hAnsi="Verdana" w:cs="Century Gothic"/>
          <w:sz w:val="20"/>
          <w:szCs w:val="20"/>
          <w:lang w:val="es-ES"/>
        </w:rPr>
        <w:t>”</w:t>
      </w:r>
      <w:bookmarkEnd w:id="0"/>
      <w:r w:rsidRPr="004D7DD2">
        <w:rPr>
          <w:rFonts w:ascii="Verdana" w:eastAsia="Century Gothic" w:hAnsi="Verdana" w:cs="Century Gothic"/>
          <w:sz w:val="20"/>
          <w:szCs w:val="20"/>
          <w:lang w:val="es-ES"/>
        </w:rPr>
        <w:t>.</w:t>
      </w:r>
    </w:p>
    <w:p w14:paraId="15CF250F" w14:textId="77777777" w:rsidR="00D71928" w:rsidRPr="004D7DD2" w:rsidRDefault="00D71928" w:rsidP="00D71928">
      <w:pPr>
        <w:pStyle w:val="Prrafodelista"/>
        <w:tabs>
          <w:tab w:val="left" w:pos="142"/>
          <w:tab w:val="left" w:pos="284"/>
        </w:tabs>
        <w:spacing w:line="276" w:lineRule="auto"/>
        <w:ind w:left="0"/>
        <w:jc w:val="both"/>
        <w:rPr>
          <w:rFonts w:ascii="Verdana" w:eastAsia="Century Gothic" w:hAnsi="Verdana" w:cs="Century Gothic"/>
          <w:b/>
          <w:bCs/>
        </w:rPr>
      </w:pPr>
    </w:p>
    <w:p w14:paraId="46CD66EC" w14:textId="77777777" w:rsidR="00D71928" w:rsidRPr="004D7DD2" w:rsidRDefault="00D71928" w:rsidP="00D71928">
      <w:pPr>
        <w:spacing w:after="120" w:line="276" w:lineRule="auto"/>
        <w:ind w:firstLine="709"/>
        <w:jc w:val="both"/>
        <w:rPr>
          <w:rFonts w:ascii="Verdana" w:eastAsia="Calibri" w:hAnsi="Verdana" w:cs="Arial"/>
          <w:szCs w:val="24"/>
          <w:lang w:val="es-ES_tradnl" w:eastAsia="es-ES_tradnl"/>
        </w:rPr>
      </w:pPr>
      <w:r w:rsidRPr="004D7DD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D7DD2">
        <w:rPr>
          <w:rFonts w:ascii="Verdana" w:eastAsia="Calibri" w:hAnsi="Verdana" w:cs="Arial"/>
          <w:szCs w:val="24"/>
          <w:lang w:val="es-ES_tradnl" w:eastAsia="es-ES_tradnl"/>
        </w:rPr>
        <w:tab/>
      </w:r>
    </w:p>
    <w:p w14:paraId="50F24799" w14:textId="77777777" w:rsidR="00D71928" w:rsidRPr="004D7DD2" w:rsidRDefault="00D71928" w:rsidP="00D71928">
      <w:pPr>
        <w:spacing w:after="0" w:line="276" w:lineRule="auto"/>
        <w:ind w:firstLine="709"/>
        <w:jc w:val="both"/>
        <w:rPr>
          <w:rFonts w:ascii="Verdana" w:eastAsia="Calibri" w:hAnsi="Verdana" w:cs="Arial"/>
          <w:lang w:val="es-ES" w:eastAsia="es-ES"/>
        </w:rPr>
      </w:pPr>
      <w:r w:rsidRPr="004D7DD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9B18694" w14:textId="77777777" w:rsidR="00D71928" w:rsidRPr="004D7DD2" w:rsidRDefault="00D71928" w:rsidP="00D71928">
      <w:pPr>
        <w:spacing w:after="0" w:line="276" w:lineRule="auto"/>
        <w:ind w:firstLine="709"/>
        <w:jc w:val="both"/>
        <w:rPr>
          <w:rFonts w:ascii="Verdana" w:eastAsia="Calibri" w:hAnsi="Verdana" w:cs="Arial"/>
          <w:lang w:val="es-ES" w:eastAsia="es-ES"/>
        </w:rPr>
      </w:pPr>
    </w:p>
    <w:p w14:paraId="2A84DF57" w14:textId="77777777" w:rsidR="00D71928" w:rsidRPr="004D7DD2" w:rsidRDefault="00D71928" w:rsidP="00D71928">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4D7DD2">
        <w:rPr>
          <w:rFonts w:ascii="Verdana" w:eastAsia="Century Gothic" w:hAnsi="Verdana" w:cs="Century Gothic"/>
          <w:b/>
          <w:bCs/>
        </w:rPr>
        <w:t>Problema planteado:</w:t>
      </w:r>
    </w:p>
    <w:p w14:paraId="4678E4F2" w14:textId="77777777" w:rsidR="00D71928" w:rsidRPr="004D7DD2" w:rsidRDefault="00D71928" w:rsidP="00D71928">
      <w:pPr>
        <w:tabs>
          <w:tab w:val="left" w:pos="426"/>
        </w:tabs>
        <w:spacing w:after="0" w:line="276" w:lineRule="auto"/>
        <w:jc w:val="both"/>
        <w:rPr>
          <w:rFonts w:ascii="Verdana" w:eastAsia="Century Gothic" w:hAnsi="Verdana" w:cs="Century Gothic"/>
          <w:lang w:val="es-ES"/>
        </w:rPr>
      </w:pPr>
    </w:p>
    <w:p w14:paraId="26F3F7AD" w14:textId="77777777" w:rsidR="00D71928" w:rsidRPr="004D7DD2" w:rsidRDefault="00D71928" w:rsidP="00D71928">
      <w:pPr>
        <w:spacing w:after="0" w:line="276" w:lineRule="auto"/>
        <w:jc w:val="both"/>
        <w:rPr>
          <w:rFonts w:ascii="Verdana" w:eastAsia="Century Gothic" w:hAnsi="Verdana" w:cs="Century Gothic"/>
        </w:rPr>
      </w:pPr>
      <w:r w:rsidRPr="004D7DD2">
        <w:rPr>
          <w:rFonts w:ascii="Verdana" w:eastAsia="Century Gothic" w:hAnsi="Verdana" w:cs="Century Gothic"/>
        </w:rPr>
        <w:t xml:space="preserve">De acuerdo con el contenido de su solicitud, </w:t>
      </w:r>
      <w:r w:rsidRPr="004D7DD2">
        <w:rPr>
          <w:rFonts w:ascii="Verdana" w:eastAsia="Calibri" w:hAnsi="Verdana" w:cs="Arial"/>
        </w:rPr>
        <w:t>se evidencia que la misma está relacionada con el deber de publicidad de la actividad contractual en el Sistema Electrónico para la Contratación Pública –SECOP–, por lo que</w:t>
      </w:r>
      <w:r w:rsidRPr="004D7DD2">
        <w:rPr>
          <w:rFonts w:ascii="Verdana" w:eastAsia="Century Gothic" w:hAnsi="Verdana" w:cs="Century Gothic"/>
        </w:rPr>
        <w:t xml:space="preserve"> esta Agencia </w:t>
      </w:r>
      <w:r w:rsidRPr="004D7DD2">
        <w:rPr>
          <w:rFonts w:ascii="Verdana" w:eastAsia="Century Gothic" w:hAnsi="Verdana" w:cs="Century Gothic"/>
        </w:rPr>
        <w:lastRenderedPageBreak/>
        <w:t>resolverá el siguiente problema jurídico: ¿</w:t>
      </w:r>
      <w:r>
        <w:rPr>
          <w:rFonts w:ascii="Verdana" w:eastAsia="Century Gothic" w:hAnsi="Verdana" w:cs="Century Gothic"/>
        </w:rPr>
        <w:t>L</w:t>
      </w:r>
      <w:r w:rsidRPr="004D7DD2">
        <w:rPr>
          <w:rFonts w:ascii="Verdana" w:eastAsia="Century Gothic" w:hAnsi="Verdana" w:cs="Century Gothic"/>
        </w:rPr>
        <w:t xml:space="preserve">as entidades con régimen de contratación </w:t>
      </w:r>
      <w:r w:rsidRPr="00842456">
        <w:rPr>
          <w:rFonts w:ascii="Verdana" w:eastAsia="Century Gothic" w:hAnsi="Verdana" w:cs="Century Gothic"/>
        </w:rPr>
        <w:t>excepcional al del Estatuto General de Contratación de la Administración Pública</w:t>
      </w:r>
      <w:r w:rsidRPr="004D7DD2">
        <w:rPr>
          <w:rFonts w:ascii="Verdana" w:eastAsia="Century Gothic" w:hAnsi="Verdana" w:cs="Century Gothic"/>
        </w:rPr>
        <w:t xml:space="preserve"> están obligadas a publicar su actividad contractual en el SECOP II? </w:t>
      </w:r>
    </w:p>
    <w:p w14:paraId="78716091" w14:textId="77777777" w:rsidR="00D71928" w:rsidRPr="004D7DD2" w:rsidRDefault="00D71928" w:rsidP="00D71928">
      <w:pPr>
        <w:spacing w:after="0" w:line="276" w:lineRule="auto"/>
        <w:jc w:val="both"/>
        <w:rPr>
          <w:rFonts w:ascii="Verdana" w:eastAsia="Calibri" w:hAnsi="Verdana" w:cs="Arial"/>
          <w:lang w:val="es-ES"/>
        </w:rPr>
      </w:pPr>
    </w:p>
    <w:p w14:paraId="309287C6" w14:textId="77777777" w:rsidR="00D71928" w:rsidRPr="004D7DD2" w:rsidRDefault="00D71928" w:rsidP="00D719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D7DD2">
        <w:rPr>
          <w:rFonts w:ascii="Verdana" w:eastAsia="Century Gothic" w:hAnsi="Verdana" w:cs="Century Gothic"/>
          <w:b/>
          <w:bCs/>
        </w:rPr>
        <w:t>Respuesta:</w:t>
      </w:r>
    </w:p>
    <w:p w14:paraId="006F7C64" w14:textId="77777777" w:rsidR="00D71928" w:rsidRPr="004D7DD2" w:rsidRDefault="00D71928" w:rsidP="00D7192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71928" w:rsidRPr="004D7DD2" w14:paraId="6841DBFE" w14:textId="77777777" w:rsidTr="005A2A51">
        <w:tc>
          <w:tcPr>
            <w:tcW w:w="8828" w:type="dxa"/>
            <w:shd w:val="clear" w:color="auto" w:fill="auto"/>
          </w:tcPr>
          <w:p w14:paraId="5003CA6A" w14:textId="77777777" w:rsidR="00D71928" w:rsidRDefault="00D71928" w:rsidP="005A2A51">
            <w:pPr>
              <w:spacing w:line="276" w:lineRule="auto"/>
              <w:jc w:val="both"/>
              <w:rPr>
                <w:rFonts w:ascii="Verdana" w:eastAsia="Calibri" w:hAnsi="Verdana" w:cs="Arial"/>
              </w:rPr>
            </w:pPr>
            <w:r>
              <w:rPr>
                <w:rFonts w:ascii="Verdana" w:eastAsia="Calibri" w:hAnsi="Verdana" w:cs="Arial"/>
              </w:rPr>
              <w:t>Frente al interrogante planteado, es necesario señalar que e</w:t>
            </w:r>
            <w:r w:rsidRPr="001E35FA">
              <w:rPr>
                <w:rFonts w:ascii="Verdana" w:eastAsia="Calibri" w:hAnsi="Verdana" w:cs="Arial"/>
              </w:rPr>
              <w:t xml:space="preserve">l artículo 53 de la Ley 2195 de 2022 </w:t>
            </w:r>
            <w:proofErr w:type="spellStart"/>
            <w:r w:rsidRPr="001E35FA">
              <w:rPr>
                <w:rFonts w:ascii="Verdana" w:eastAsia="Calibri" w:hAnsi="Verdana" w:cs="Arial"/>
              </w:rPr>
              <w:t>establec</w:t>
            </w:r>
            <w:r>
              <w:rPr>
                <w:rFonts w:ascii="Verdana" w:eastAsia="Calibri" w:hAnsi="Verdana" w:cs="Arial"/>
              </w:rPr>
              <w:t>iò</w:t>
            </w:r>
            <w:proofErr w:type="spellEnd"/>
            <w:r>
              <w:rPr>
                <w:rFonts w:ascii="Verdana" w:eastAsia="Calibri" w:hAnsi="Verdana" w:cs="Arial"/>
              </w:rPr>
              <w:t xml:space="preserve"> de forma expresa  el deber de l</w:t>
            </w:r>
            <w:r w:rsidRPr="00842456">
              <w:rPr>
                <w:rFonts w:ascii="Verdana" w:eastAsia="Calibri" w:hAnsi="Verdana" w:cs="Arial"/>
              </w:rPr>
              <w:t xml:space="preserve">as entidades estatales que por disposición legal cuenten con un régimen contractual excepcional al del Estatuto General de Contratación de la Administración Pública, </w:t>
            </w:r>
            <w:r>
              <w:rPr>
                <w:rFonts w:ascii="Verdana" w:eastAsia="Calibri" w:hAnsi="Verdana" w:cs="Arial"/>
              </w:rPr>
              <w:t xml:space="preserve">aplicar los principios de la función administrativa y </w:t>
            </w:r>
            <w:r w:rsidRPr="00EB7870">
              <w:rPr>
                <w:rFonts w:ascii="Verdana" w:eastAsia="Calibri" w:hAnsi="Verdana" w:cs="Arial"/>
              </w:rPr>
              <w:t xml:space="preserve">de la gestión fiscal de que tratan los </w:t>
            </w:r>
            <w:r w:rsidRPr="00E34E6B">
              <w:rPr>
                <w:rFonts w:ascii="Verdana" w:eastAsia="Calibri" w:hAnsi="Verdana" w:cs="Arial"/>
              </w:rPr>
              <w:t>artículos </w:t>
            </w:r>
            <w:hyperlink r:id="rId13" w:anchor="209" w:history="1">
              <w:r w:rsidRPr="00E34E6B">
                <w:rPr>
                  <w:rStyle w:val="Hipervnculo"/>
                  <w:rFonts w:ascii="Verdana" w:eastAsia="Calibri" w:hAnsi="Verdana" w:cs="Arial"/>
                  <w:color w:val="auto"/>
                </w:rPr>
                <w:t>209</w:t>
              </w:r>
            </w:hyperlink>
            <w:r w:rsidRPr="00E34E6B">
              <w:rPr>
                <w:rFonts w:ascii="Verdana" w:eastAsia="Calibri" w:hAnsi="Verdana" w:cs="Arial"/>
              </w:rPr>
              <w:t> y </w:t>
            </w:r>
            <w:hyperlink r:id="rId14" w:anchor="267" w:history="1">
              <w:r w:rsidRPr="00E34E6B">
                <w:rPr>
                  <w:rStyle w:val="Hipervnculo"/>
                  <w:rFonts w:ascii="Verdana" w:eastAsia="Calibri" w:hAnsi="Verdana" w:cs="Arial"/>
                  <w:color w:val="auto"/>
                </w:rPr>
                <w:t>267</w:t>
              </w:r>
            </w:hyperlink>
            <w:r w:rsidRPr="00E34E6B">
              <w:rPr>
                <w:rFonts w:ascii="Verdana" w:eastAsia="Calibri" w:hAnsi="Verdana" w:cs="Arial"/>
              </w:rPr>
              <w:t> de l</w:t>
            </w:r>
            <w:r w:rsidRPr="00842456">
              <w:rPr>
                <w:rFonts w:ascii="Verdana" w:eastAsia="Calibri" w:hAnsi="Verdana" w:cs="Arial"/>
              </w:rPr>
              <w:t>a Constitución Política</w:t>
            </w:r>
            <w:r>
              <w:rPr>
                <w:rFonts w:ascii="Verdana" w:eastAsia="Calibri" w:hAnsi="Verdana" w:cs="Arial"/>
              </w:rPr>
              <w:t xml:space="preserve"> y en virtud de los  cuales d</w:t>
            </w:r>
            <w:r w:rsidRPr="00EB7870">
              <w:rPr>
                <w:rFonts w:ascii="Verdana" w:eastAsia="Calibri" w:hAnsi="Verdana" w:cs="Arial"/>
              </w:rPr>
              <w:t>eberán publicar los documentos relacionados con su actividad contractual en el Sistema Electrónico para la Contratación Pública (SECOP II) o la plataforma transaccional que haga sus veces.</w:t>
            </w:r>
          </w:p>
          <w:p w14:paraId="3C79264A" w14:textId="77777777" w:rsidR="00D71928" w:rsidRDefault="00D71928" w:rsidP="005A2A51">
            <w:pPr>
              <w:spacing w:line="276" w:lineRule="auto"/>
              <w:jc w:val="both"/>
              <w:rPr>
                <w:rFonts w:ascii="Verdana" w:eastAsia="Calibri" w:hAnsi="Verdana" w:cs="Arial"/>
              </w:rPr>
            </w:pPr>
          </w:p>
          <w:p w14:paraId="0EBECBC3" w14:textId="77777777" w:rsidR="00D71928" w:rsidRDefault="00D71928" w:rsidP="005A2A51">
            <w:pPr>
              <w:spacing w:line="276" w:lineRule="auto"/>
              <w:jc w:val="both"/>
              <w:rPr>
                <w:rFonts w:ascii="Verdana" w:eastAsia="Calibri" w:hAnsi="Verdana" w:cs="Arial"/>
                <w:lang w:val="es-ES"/>
              </w:rPr>
            </w:pPr>
            <w:r>
              <w:rPr>
                <w:rFonts w:ascii="Verdana" w:eastAsia="Calibri" w:hAnsi="Verdana" w:cs="Arial"/>
              </w:rPr>
              <w:t>Ahora bien, el té</w:t>
            </w:r>
            <w:r w:rsidRPr="00EB7870">
              <w:rPr>
                <w:rFonts w:ascii="Verdana" w:eastAsia="Calibri" w:hAnsi="Verdana" w:cs="Arial"/>
              </w:rPr>
              <w:t xml:space="preserve">rmino para publicar los </w:t>
            </w:r>
            <w:proofErr w:type="gramStart"/>
            <w:r w:rsidRPr="00EB7870">
              <w:rPr>
                <w:rFonts w:ascii="Verdana" w:eastAsia="Calibri" w:hAnsi="Verdana" w:cs="Arial"/>
              </w:rPr>
              <w:t xml:space="preserve">documentos </w:t>
            </w:r>
            <w:r>
              <w:rPr>
                <w:rFonts w:ascii="Verdana" w:eastAsia="Calibri" w:hAnsi="Verdana" w:cs="Arial"/>
              </w:rPr>
              <w:t xml:space="preserve"> del</w:t>
            </w:r>
            <w:proofErr w:type="gramEnd"/>
            <w:r>
              <w:rPr>
                <w:rFonts w:ascii="Verdana" w:eastAsia="Calibri" w:hAnsi="Verdana" w:cs="Arial"/>
              </w:rPr>
              <w:t xml:space="preserve"> proceso </w:t>
            </w:r>
            <w:r w:rsidRPr="00425947">
              <w:rPr>
                <w:rFonts w:ascii="Verdana" w:eastAsia="Calibri" w:hAnsi="Verdana" w:cs="Arial"/>
              </w:rPr>
              <w:t>y los actos administrativos del Proceso de Contratación</w:t>
            </w:r>
            <w:r>
              <w:rPr>
                <w:rFonts w:ascii="Verdana" w:eastAsia="Calibri" w:hAnsi="Verdana" w:cs="Arial"/>
              </w:rPr>
              <w:t xml:space="preserve"> </w:t>
            </w:r>
            <w:r w:rsidRPr="00EB7870">
              <w:rPr>
                <w:rFonts w:ascii="Verdana" w:eastAsia="Calibri" w:hAnsi="Verdana" w:cs="Arial"/>
              </w:rPr>
              <w:t xml:space="preserve">en el SECOP </w:t>
            </w:r>
            <w:r>
              <w:rPr>
                <w:rFonts w:ascii="Verdana" w:eastAsia="Calibri" w:hAnsi="Verdana" w:cs="Arial"/>
              </w:rPr>
              <w:t xml:space="preserve">se encuentra establecido </w:t>
            </w:r>
            <w:r w:rsidRPr="00EB7870">
              <w:rPr>
                <w:rFonts w:ascii="Verdana" w:eastAsia="Calibri" w:hAnsi="Verdana" w:cs="Arial"/>
              </w:rPr>
              <w:t xml:space="preserve">artículo 2.2.1.1.1.7.1 del Decreto 1082 de 2015, esto es, dentro de los tres (3) </w:t>
            </w:r>
            <w:proofErr w:type="spellStart"/>
            <w:r w:rsidRPr="00EB7870">
              <w:rPr>
                <w:rFonts w:ascii="Verdana" w:eastAsia="Calibri" w:hAnsi="Verdana" w:cs="Arial"/>
              </w:rPr>
              <w:t>días</w:t>
            </w:r>
            <w:proofErr w:type="spellEnd"/>
            <w:r w:rsidRPr="00EB7870">
              <w:rPr>
                <w:rFonts w:ascii="Verdana" w:eastAsia="Calibri" w:hAnsi="Verdana" w:cs="Arial"/>
              </w:rPr>
              <w:t xml:space="preserve"> siguientes a la expedición del documento</w:t>
            </w:r>
            <w:r>
              <w:rPr>
                <w:rFonts w:ascii="Verdana" w:eastAsia="Calibri" w:hAnsi="Verdana" w:cs="Arial"/>
              </w:rPr>
              <w:t xml:space="preserve">. En concordancia con lo anterior, esta Agencia expidió </w:t>
            </w:r>
            <w:r w:rsidRPr="001E35FA">
              <w:rPr>
                <w:rFonts w:ascii="Verdana" w:eastAsia="Calibri" w:hAnsi="Verdana" w:cs="Arial"/>
                <w:lang w:val="es-ES"/>
              </w:rPr>
              <w:t xml:space="preserve">la Circular Externa No. 002 del 23 de agosto de 2024, </w:t>
            </w:r>
            <w:r>
              <w:rPr>
                <w:rFonts w:ascii="Verdana" w:eastAsia="Calibri" w:hAnsi="Verdana" w:cs="Arial"/>
                <w:lang w:val="es-ES"/>
              </w:rPr>
              <w:t>la cual ratifica</w:t>
            </w:r>
            <w:r w:rsidRPr="001E35FA">
              <w:rPr>
                <w:rFonts w:ascii="Verdana" w:eastAsia="Calibri" w:hAnsi="Verdana" w:cs="Arial"/>
                <w:lang w:val="es-ES"/>
              </w:rPr>
              <w:t xml:space="preserve"> que “[…] el término que tienen las Entidades Estatales que por disposición legal cuenten con un régimen contractual excepcional al del Estatuto General de Contratación de la Administración Pública para publicar en el SECOP II es de tres (3) días posterior a su expedición”. </w:t>
            </w:r>
          </w:p>
          <w:p w14:paraId="489BBA60" w14:textId="77777777" w:rsidR="00D71928" w:rsidRDefault="00D71928" w:rsidP="005A2A51">
            <w:pPr>
              <w:spacing w:line="276" w:lineRule="auto"/>
              <w:jc w:val="both"/>
              <w:rPr>
                <w:rFonts w:ascii="Verdana" w:eastAsia="Calibri" w:hAnsi="Verdana" w:cs="Arial"/>
                <w:lang w:val="es-ES"/>
              </w:rPr>
            </w:pPr>
          </w:p>
          <w:p w14:paraId="1949DA1B" w14:textId="77777777" w:rsidR="00D71928" w:rsidRPr="00AB24F3" w:rsidRDefault="00D71928" w:rsidP="005A2A51">
            <w:pPr>
              <w:tabs>
                <w:tab w:val="left" w:pos="709"/>
              </w:tabs>
              <w:spacing w:before="120" w:after="120" w:line="276" w:lineRule="auto"/>
              <w:jc w:val="both"/>
              <w:rPr>
                <w:rFonts w:ascii="Verdana" w:hAnsi="Verdana" w:cs="Arial"/>
                <w:shd w:val="clear" w:color="auto" w:fill="FFFFFF"/>
              </w:rPr>
            </w:pPr>
            <w:r w:rsidRPr="00120A22">
              <w:rPr>
                <w:rFonts w:ascii="Verdana" w:eastAsia="Calibri" w:hAnsi="Verdana" w:cs="Arial"/>
                <w:lang w:val="es-ES"/>
              </w:rPr>
              <w:t>Ahora bien, vale la pena señalar que el SECOP II es una plataforma transaccional, en ese sentido</w:t>
            </w:r>
            <w:r w:rsidRPr="00120A22">
              <w:rPr>
                <w:rFonts w:ascii="Verdana" w:hAnsi="Verdana" w:cs="Arial"/>
                <w:shd w:val="clear" w:color="auto" w:fill="FFFFFF"/>
              </w:rPr>
              <w:t>, el término de tres (3) días para publicar, en la práctica, no opera en las actuaciones generadas de manera electrónica dentro de los procedimientos gestionados a través de SECOP II, como</w:t>
            </w:r>
            <w:r>
              <w:rPr>
                <w:rFonts w:ascii="Verdana" w:hAnsi="Verdana" w:cs="Arial"/>
                <w:shd w:val="clear" w:color="auto" w:fill="FFFFFF"/>
              </w:rPr>
              <w:t xml:space="preserve"> </w:t>
            </w:r>
            <w:r w:rsidRPr="00120A22">
              <w:rPr>
                <w:rFonts w:ascii="Verdana" w:hAnsi="Verdana" w:cs="Arial"/>
                <w:shd w:val="clear" w:color="auto" w:fill="FFFFFF"/>
              </w:rPr>
              <w:t xml:space="preserve">quiera que tales documentos son creados o expedidos mediante la propia plataforma, </w:t>
            </w:r>
            <w:r w:rsidRPr="00120A22">
              <w:rPr>
                <w:rFonts w:ascii="Verdana" w:hAnsi="Verdana" w:cs="Arial"/>
                <w:shd w:val="clear" w:color="auto" w:fill="FFFFFF"/>
              </w:rPr>
              <w:lastRenderedPageBreak/>
              <w:t xml:space="preserve">razón por la que una vez estos se aprueban quedan inmediatamente publicados, sin que transcurra el referido término. </w:t>
            </w:r>
          </w:p>
          <w:p w14:paraId="4141007F" w14:textId="77777777" w:rsidR="00D71928" w:rsidRPr="004D7DD2" w:rsidRDefault="00D71928" w:rsidP="005A2A51">
            <w:pPr>
              <w:spacing w:line="276" w:lineRule="auto"/>
              <w:jc w:val="both"/>
              <w:rPr>
                <w:rFonts w:ascii="Verdana" w:eastAsia="Calibri" w:hAnsi="Verdana" w:cs="Arial"/>
              </w:rPr>
            </w:pPr>
            <w:r w:rsidRPr="001E35FA">
              <w:rPr>
                <w:rFonts w:ascii="Verdana" w:eastAsia="Calibri" w:hAnsi="Verdana" w:cs="Arial"/>
                <w:lang w:val="es-ES"/>
              </w:rPr>
              <w:t>E</w:t>
            </w:r>
            <w:r>
              <w:rPr>
                <w:rFonts w:ascii="Verdana" w:eastAsia="Calibri" w:hAnsi="Verdana" w:cs="Arial"/>
                <w:lang w:val="es-ES"/>
              </w:rPr>
              <w:t>n conclusión</w:t>
            </w:r>
            <w:r w:rsidRPr="001E35FA">
              <w:rPr>
                <w:rFonts w:ascii="Verdana" w:eastAsia="Calibri" w:hAnsi="Verdana" w:cs="Arial"/>
                <w:lang w:val="es-ES"/>
              </w:rPr>
              <w:t xml:space="preserve"> </w:t>
            </w:r>
            <w:r>
              <w:rPr>
                <w:rFonts w:ascii="Verdana" w:eastAsia="Calibri" w:hAnsi="Verdana" w:cs="Arial"/>
              </w:rPr>
              <w:t>l</w:t>
            </w:r>
            <w:r w:rsidRPr="00842456">
              <w:rPr>
                <w:rFonts w:ascii="Verdana" w:eastAsia="Calibri" w:hAnsi="Verdana" w:cs="Arial"/>
              </w:rPr>
              <w:t>as entidades estatales que por disposición legal cuenten con un régimen contractual excepcional al del Estatuto General de Contratación de la Administración Pública</w:t>
            </w:r>
            <w:r>
              <w:rPr>
                <w:rFonts w:ascii="Verdana" w:eastAsia="Calibri" w:hAnsi="Verdana" w:cs="Arial"/>
              </w:rPr>
              <w:t xml:space="preserve">, </w:t>
            </w:r>
            <w:r>
              <w:rPr>
                <w:rFonts w:ascii="Verdana" w:eastAsia="Calibri" w:hAnsi="Verdana" w:cs="Arial"/>
                <w:lang w:val="es-ES"/>
              </w:rPr>
              <w:t xml:space="preserve">están obligadas a publicar en el Secop II y </w:t>
            </w:r>
            <w:r w:rsidRPr="001E35FA">
              <w:rPr>
                <w:rFonts w:ascii="Verdana" w:eastAsia="Calibri" w:hAnsi="Verdana" w:cs="Arial"/>
                <w:lang w:val="es-ES"/>
              </w:rPr>
              <w:t>les es aplicable la regla de publicación de los tres (3) días siguientes a la expedición de acto administrativo o Documento del Proceso, dispuesta en el artículo 2.2.1.1.1.7.1 del Decreto 1082 de 2015 por remisión expresa del artículo 2.1.1.2.1.7 del Decreto 1081 de 2015</w:t>
            </w:r>
            <w:r>
              <w:rPr>
                <w:rFonts w:ascii="Verdana" w:eastAsia="Calibri" w:hAnsi="Verdana" w:cs="Arial"/>
              </w:rPr>
              <w:t>, permitiendo garantizar los principios de publicidad, transparencia y función administrativa.</w:t>
            </w:r>
          </w:p>
          <w:p w14:paraId="75BCD4EF" w14:textId="77777777" w:rsidR="00D71928" w:rsidRPr="004D7DD2" w:rsidRDefault="00D71928" w:rsidP="005A2A51">
            <w:pPr>
              <w:spacing w:line="276" w:lineRule="auto"/>
              <w:jc w:val="both"/>
              <w:rPr>
                <w:rFonts w:ascii="Verdana" w:eastAsia="Calibri" w:hAnsi="Verdana" w:cs="Arial"/>
                <w:lang w:val="es-ES"/>
              </w:rPr>
            </w:pPr>
          </w:p>
        </w:tc>
      </w:tr>
    </w:tbl>
    <w:p w14:paraId="41A19330" w14:textId="77777777" w:rsidR="00D71928" w:rsidRPr="004D7DD2" w:rsidRDefault="00D71928" w:rsidP="00D71928">
      <w:pPr>
        <w:tabs>
          <w:tab w:val="left" w:pos="142"/>
          <w:tab w:val="left" w:pos="284"/>
        </w:tabs>
        <w:spacing w:after="0" w:line="276" w:lineRule="auto"/>
        <w:jc w:val="both"/>
        <w:rPr>
          <w:rFonts w:ascii="Verdana" w:eastAsia="Century Gothic" w:hAnsi="Verdana" w:cs="Century Gothic"/>
          <w:b/>
          <w:bCs/>
          <w:lang w:val="es-ES"/>
        </w:rPr>
      </w:pPr>
    </w:p>
    <w:p w14:paraId="6E987233" w14:textId="77777777" w:rsidR="00D71928" w:rsidRPr="00593A5F" w:rsidRDefault="00D71928" w:rsidP="00D719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961FF98" w14:textId="77777777" w:rsidR="00D71928" w:rsidRPr="00593A5F" w:rsidRDefault="00D71928" w:rsidP="00D71928">
      <w:pPr>
        <w:spacing w:after="0" w:line="276" w:lineRule="auto"/>
        <w:jc w:val="both"/>
        <w:rPr>
          <w:rFonts w:ascii="Verdana" w:eastAsia="Calibri" w:hAnsi="Verdana" w:cs="Arial"/>
          <w:color w:val="7030A0"/>
          <w:lang w:val="es-ES"/>
        </w:rPr>
      </w:pPr>
    </w:p>
    <w:p w14:paraId="6F9747CD" w14:textId="77777777" w:rsidR="00D71928" w:rsidRPr="00B96799" w:rsidRDefault="00D71928" w:rsidP="00D71928">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19AA7EA8" w14:textId="77777777" w:rsidR="00D71928" w:rsidRPr="001E35FA" w:rsidRDefault="00D71928" w:rsidP="00D71928">
      <w:pPr>
        <w:rPr>
          <w:rFonts w:ascii="Verdana" w:eastAsia="Times New Roman" w:hAnsi="Verdana" w:cs="Arial"/>
          <w:color w:val="7030A0"/>
          <w:lang w:val="es-ES" w:eastAsia="es-ES"/>
        </w:rPr>
      </w:pPr>
    </w:p>
    <w:p w14:paraId="3CC9BE2F" w14:textId="77777777" w:rsidR="00D71928" w:rsidRPr="00116FB9" w:rsidRDefault="00D71928" w:rsidP="00D71928">
      <w:pPr>
        <w:pStyle w:val="Prrafodelista"/>
        <w:numPr>
          <w:ilvl w:val="0"/>
          <w:numId w:val="7"/>
        </w:numPr>
        <w:spacing w:after="0" w:line="276" w:lineRule="auto"/>
        <w:jc w:val="both"/>
        <w:rPr>
          <w:rFonts w:ascii="Verdana" w:eastAsia="Calibri" w:hAnsi="Verdana" w:cs="Arial"/>
        </w:rPr>
      </w:pPr>
      <w:bookmarkStart w:id="1" w:name="_Hlk173311098"/>
      <w:r w:rsidRPr="00D35997">
        <w:rPr>
          <w:rFonts w:ascii="Verdana" w:eastAsia="Calibri" w:hAnsi="Verdana" w:cs="Arial"/>
        </w:rPr>
        <w:t>Uno de los postulados más importantes de un Estado Social de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w:t>
      </w:r>
    </w:p>
    <w:p w14:paraId="2291F209" w14:textId="77777777" w:rsidR="00D71928" w:rsidRPr="00D35997" w:rsidRDefault="00D71928" w:rsidP="00D71928">
      <w:pPr>
        <w:pStyle w:val="Prrafodelista"/>
        <w:spacing w:after="0" w:line="276" w:lineRule="auto"/>
        <w:jc w:val="both"/>
        <w:rPr>
          <w:rFonts w:ascii="Verdana" w:eastAsia="Calibri" w:hAnsi="Verdana" w:cs="Arial"/>
        </w:rPr>
      </w:pPr>
    </w:p>
    <w:p w14:paraId="53FEF865" w14:textId="77777777" w:rsidR="00D71928" w:rsidRPr="00EF0BDA" w:rsidRDefault="00D71928" w:rsidP="00D71928">
      <w:pPr>
        <w:pStyle w:val="Prrafodelista"/>
        <w:numPr>
          <w:ilvl w:val="0"/>
          <w:numId w:val="7"/>
        </w:numPr>
        <w:spacing w:after="0" w:line="276" w:lineRule="auto"/>
        <w:jc w:val="both"/>
        <w:rPr>
          <w:rFonts w:ascii="Verdana" w:eastAsia="Calibri" w:hAnsi="Verdana" w:cs="Arial"/>
        </w:rPr>
      </w:pPr>
      <w:r w:rsidRPr="0047490F">
        <w:rPr>
          <w:rFonts w:ascii="Verdana" w:hAnsi="Verdana" w:cs="Arial"/>
          <w:shd w:val="clear" w:color="auto" w:fill="FFFFFF"/>
        </w:rPr>
        <w:t xml:space="preserve">El </w:t>
      </w:r>
      <w:r w:rsidRPr="00EF0BDA">
        <w:rPr>
          <w:rFonts w:ascii="Verdana" w:hAnsi="Verdana" w:cs="Arial"/>
          <w:shd w:val="clear" w:color="auto" w:fill="FFFFFF"/>
        </w:rPr>
        <w:t xml:space="preserve">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w:t>
      </w:r>
      <w:r w:rsidRPr="00EF0BDA">
        <w:rPr>
          <w:rFonts w:ascii="Verdana" w:hAnsi="Verdana" w:cs="Arial"/>
          <w:shd w:val="clear" w:color="auto" w:fill="FFFFFF"/>
        </w:rPr>
        <w:lastRenderedPageBreak/>
        <w:t>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2"/>
      </w:r>
      <w:r w:rsidRPr="00EF0BDA">
        <w:rPr>
          <w:rFonts w:ascii="Verdana" w:hAnsi="Verdana" w:cs="Arial"/>
          <w:shd w:val="clear" w:color="auto" w:fill="FFFFFF"/>
        </w:rPr>
        <w:t>”</w:t>
      </w:r>
      <w:r w:rsidRPr="00EF0BDA">
        <w:rPr>
          <w:rFonts w:ascii="Verdana" w:eastAsia="Calibri" w:hAnsi="Verdana" w:cs="Arial"/>
          <w:color w:val="000000" w:themeColor="text1"/>
          <w:lang w:val="es-ES_tradnl"/>
        </w:rPr>
        <w:t>.</w:t>
      </w:r>
    </w:p>
    <w:p w14:paraId="778C0C36" w14:textId="77777777" w:rsidR="00D71928" w:rsidRPr="00EF0BDA" w:rsidRDefault="00D71928" w:rsidP="00D71928">
      <w:pPr>
        <w:pStyle w:val="Prrafodelista"/>
        <w:spacing w:after="0" w:line="276" w:lineRule="auto"/>
        <w:jc w:val="both"/>
        <w:rPr>
          <w:rFonts w:ascii="Verdana" w:eastAsia="Calibri" w:hAnsi="Verdana" w:cs="Arial"/>
        </w:rPr>
      </w:pPr>
    </w:p>
    <w:p w14:paraId="52BD656F" w14:textId="77777777" w:rsidR="00D71928" w:rsidRPr="00EB2B63" w:rsidRDefault="00D71928" w:rsidP="00D71928">
      <w:pPr>
        <w:pStyle w:val="Prrafodelista"/>
        <w:numPr>
          <w:ilvl w:val="0"/>
          <w:numId w:val="7"/>
        </w:numPr>
        <w:spacing w:before="120" w:line="276" w:lineRule="auto"/>
        <w:jc w:val="both"/>
        <w:rPr>
          <w:rFonts w:ascii="Verdana" w:eastAsia="Calibri" w:hAnsi="Verdana" w:cs="Arial"/>
          <w:color w:val="000000"/>
          <w:lang w:val="es-ES_tradnl"/>
        </w:rPr>
      </w:pPr>
      <w:r w:rsidRPr="00EF0BDA">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EF0BD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3"/>
      </w:r>
      <w:r w:rsidRPr="00EF0BDA">
        <w:rPr>
          <w:rFonts w:ascii="Verdana" w:hAnsi="Verdana" w:cs="Arial"/>
          <w:color w:val="000000" w:themeColor="text1"/>
          <w:lang w:val="es-ES_tradnl"/>
        </w:rPr>
        <w:t xml:space="preserve">. </w:t>
      </w:r>
    </w:p>
    <w:p w14:paraId="46E929DE" w14:textId="77777777" w:rsidR="00D71928" w:rsidRPr="00EB2B63" w:rsidRDefault="00D71928" w:rsidP="00D71928">
      <w:pPr>
        <w:pStyle w:val="Prrafodelista"/>
        <w:rPr>
          <w:rFonts w:ascii="Verdana" w:hAnsi="Verdana" w:cs="Arial"/>
          <w:color w:val="000000" w:themeColor="text1"/>
          <w:lang w:val="es-ES_tradnl"/>
        </w:rPr>
      </w:pPr>
    </w:p>
    <w:p w14:paraId="79F7FB9E" w14:textId="77777777" w:rsidR="00D71928" w:rsidRPr="00EF0BDA" w:rsidRDefault="00D71928" w:rsidP="00D71928">
      <w:pPr>
        <w:pStyle w:val="Prrafodelista"/>
        <w:numPr>
          <w:ilvl w:val="0"/>
          <w:numId w:val="7"/>
        </w:numPr>
        <w:spacing w:before="120" w:line="276" w:lineRule="auto"/>
        <w:jc w:val="both"/>
        <w:rPr>
          <w:rFonts w:ascii="Verdana" w:eastAsia="Calibri" w:hAnsi="Verdana" w:cs="Arial"/>
          <w:color w:val="000000"/>
          <w:lang w:val="es-ES_tradnl"/>
        </w:rPr>
      </w:pPr>
      <w:r w:rsidRPr="00EF0BDA">
        <w:rPr>
          <w:rFonts w:ascii="Verdana" w:hAnsi="Verdana" w:cs="Arial"/>
          <w:color w:val="000000" w:themeColor="text1"/>
          <w:lang w:val="es-ES_tradnl"/>
        </w:rPr>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4"/>
      </w:r>
      <w:r w:rsidRPr="00EF0BDA">
        <w:rPr>
          <w:rFonts w:ascii="Verdana" w:hAnsi="Verdana" w:cs="Arial"/>
          <w:color w:val="000000" w:themeColor="text1"/>
          <w:lang w:val="es-ES_tradnl"/>
        </w:rPr>
        <w:t xml:space="preserve">, deben publicar </w:t>
      </w:r>
      <w:r w:rsidRPr="00EF0BDA">
        <w:rPr>
          <w:rFonts w:ascii="Verdana" w:hAnsi="Verdana" w:cs="Arial"/>
          <w:color w:val="000000" w:themeColor="text1"/>
          <w:lang w:val="es-ES_tradnl"/>
        </w:rPr>
        <w:lastRenderedPageBreak/>
        <w:t xml:space="preserve">la información relativa a su contratación. Esta obligación fue </w:t>
      </w:r>
      <w:r w:rsidRPr="00EF0BDA">
        <w:rPr>
          <w:rFonts w:ascii="Verdana" w:eastAsia="Calibri" w:hAnsi="Verdana" w:cs="Arial"/>
          <w:color w:val="000000"/>
          <w:lang w:val="es-ES_tradnl"/>
        </w:rPr>
        <w:t>desarrollada por el Decreto Único Reglamentario 1082 de 2015</w:t>
      </w:r>
      <w:r w:rsidRPr="00EF0BDA">
        <w:rPr>
          <w:rFonts w:ascii="Verdana" w:eastAsia="Calibri" w:hAnsi="Verdana"/>
          <w:color w:val="000000"/>
          <w:vertAlign w:val="superscript"/>
          <w:lang w:val="es-ES_tradnl"/>
        </w:rPr>
        <w:footnoteReference w:id="5"/>
      </w:r>
      <w:r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397CD1A9" w14:textId="77777777" w:rsidR="00D71928" w:rsidRPr="00EF0BDA" w:rsidRDefault="00D71928" w:rsidP="00D71928">
      <w:pPr>
        <w:pStyle w:val="Prrafodelista"/>
        <w:spacing w:before="120" w:line="276" w:lineRule="auto"/>
        <w:jc w:val="both"/>
        <w:rPr>
          <w:rFonts w:ascii="Verdana" w:eastAsia="Calibri" w:hAnsi="Verdana" w:cs="Arial"/>
          <w:color w:val="000000"/>
          <w:lang w:val="es-ES_tradnl"/>
        </w:rPr>
      </w:pPr>
    </w:p>
    <w:p w14:paraId="04842494" w14:textId="77777777" w:rsidR="00D71928" w:rsidRPr="00EF0BDA" w:rsidRDefault="00D71928" w:rsidP="00D71928">
      <w:pPr>
        <w:pStyle w:val="Prrafodelista"/>
        <w:numPr>
          <w:ilvl w:val="0"/>
          <w:numId w:val="7"/>
        </w:numPr>
        <w:spacing w:before="120" w:after="0" w:line="276" w:lineRule="auto"/>
        <w:jc w:val="both"/>
        <w:rPr>
          <w:rFonts w:ascii="Verdana" w:eastAsia="Times New Roman" w:hAnsi="Verdana" w:cs="Arial"/>
          <w:color w:val="000000"/>
          <w:szCs w:val="24"/>
          <w:lang w:val="es-ES_tradnl" w:eastAsia="es-ES_tradnl"/>
        </w:rPr>
      </w:pPr>
      <w:r w:rsidRPr="00EF0BDA">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EF0BDA">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ascii="Verdana" w:eastAsia="Calibri" w:hAnsi="Verdana"/>
          <w:vertAlign w:val="superscript"/>
          <w:lang w:val="es-ES_tradnl" w:eastAsia="es-ES_tradnl"/>
        </w:rPr>
        <w:footnoteReference w:id="6"/>
      </w:r>
      <w:r w:rsidRPr="00EF0BDA">
        <w:rPr>
          <w:rFonts w:ascii="Verdana" w:eastAsia="Calibri" w:hAnsi="Verdana" w:cs="Arial"/>
          <w:color w:val="000000"/>
          <w:szCs w:val="24"/>
          <w:lang w:val="es-ES_tradnl" w:eastAsia="es-ES_tradnl"/>
        </w:rPr>
        <w:t xml:space="preserve">. </w:t>
      </w:r>
      <w:r w:rsidRPr="00EF0BDA">
        <w:rPr>
          <w:rFonts w:ascii="Verdana"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5C7BEF9F" w14:textId="77777777" w:rsidR="00D71928" w:rsidRPr="00EF0BDA" w:rsidRDefault="00D71928" w:rsidP="00D71928">
      <w:pPr>
        <w:pStyle w:val="Prrafodelista"/>
        <w:spacing w:before="120" w:after="0" w:line="276" w:lineRule="auto"/>
        <w:jc w:val="both"/>
        <w:rPr>
          <w:rFonts w:ascii="Verdana" w:eastAsia="Times New Roman" w:hAnsi="Verdana" w:cs="Arial"/>
          <w:color w:val="000000"/>
          <w:szCs w:val="24"/>
          <w:lang w:val="es-ES_tradnl" w:eastAsia="es-ES_tradnl"/>
        </w:rPr>
      </w:pPr>
    </w:p>
    <w:p w14:paraId="19A486E6" w14:textId="77777777" w:rsidR="00D71928" w:rsidRPr="00EF0BDA" w:rsidRDefault="00D71928" w:rsidP="00D71928">
      <w:pPr>
        <w:pStyle w:val="Prrafodelista"/>
        <w:numPr>
          <w:ilvl w:val="0"/>
          <w:numId w:val="7"/>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w:t>
      </w:r>
      <w:r w:rsidRPr="00EF0BDA">
        <w:rPr>
          <w:rFonts w:ascii="Verdana" w:hAnsi="Verdana" w:cs="Arial"/>
          <w:shd w:val="clear" w:color="auto" w:fill="FFFFFF"/>
        </w:rPr>
        <w:lastRenderedPageBreak/>
        <w:t xml:space="preserve">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57D7DAC1" w14:textId="77777777" w:rsidR="00D71928" w:rsidRPr="00EF0BDA" w:rsidRDefault="00D71928" w:rsidP="00D71928">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0EEFF69B" w14:textId="77777777" w:rsidR="00D71928" w:rsidRPr="00EF0BDA" w:rsidRDefault="00D71928" w:rsidP="00D71928">
      <w:pPr>
        <w:pStyle w:val="Prrafodelista"/>
        <w:numPr>
          <w:ilvl w:val="0"/>
          <w:numId w:val="7"/>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26D45FA4" w14:textId="77777777" w:rsidR="00D71928" w:rsidRPr="00EF0BDA" w:rsidRDefault="00D71928" w:rsidP="00D71928">
      <w:pPr>
        <w:pStyle w:val="Prrafodelista"/>
        <w:tabs>
          <w:tab w:val="left" w:pos="709"/>
        </w:tabs>
        <w:spacing w:after="0" w:line="276" w:lineRule="auto"/>
        <w:jc w:val="both"/>
        <w:rPr>
          <w:rFonts w:ascii="Verdana" w:hAnsi="Verdana" w:cs="Arial"/>
          <w:shd w:val="clear" w:color="auto" w:fill="FFFFFF"/>
        </w:rPr>
      </w:pPr>
    </w:p>
    <w:p w14:paraId="3C65ED6C" w14:textId="77777777" w:rsidR="00D71928" w:rsidRPr="00EF0BDA" w:rsidRDefault="00D71928" w:rsidP="00D71928">
      <w:pPr>
        <w:pStyle w:val="Prrafodelista"/>
        <w:numPr>
          <w:ilvl w:val="0"/>
          <w:numId w:val="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2D520FB8" w14:textId="77777777" w:rsidR="00D71928" w:rsidRPr="00EF0BDA" w:rsidRDefault="00D71928" w:rsidP="00D71928">
      <w:pPr>
        <w:tabs>
          <w:tab w:val="left" w:pos="709"/>
        </w:tabs>
        <w:spacing w:after="0" w:line="276" w:lineRule="auto"/>
        <w:jc w:val="both"/>
        <w:rPr>
          <w:rFonts w:ascii="Verdana" w:hAnsi="Verdana" w:cs="Arial"/>
          <w:shd w:val="clear" w:color="auto" w:fill="FFFFFF"/>
        </w:rPr>
      </w:pPr>
    </w:p>
    <w:p w14:paraId="4031C442" w14:textId="77777777" w:rsidR="00D71928" w:rsidRPr="00EF0BDA" w:rsidRDefault="00D71928" w:rsidP="00D71928">
      <w:pPr>
        <w:pStyle w:val="Prrafodelista"/>
        <w:numPr>
          <w:ilvl w:val="0"/>
          <w:numId w:val="7"/>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lastRenderedPageBreak/>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7"/>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042FD94" w14:textId="77777777" w:rsidR="00D71928" w:rsidRPr="00EF0BDA" w:rsidRDefault="00D71928" w:rsidP="00D71928">
      <w:pPr>
        <w:pStyle w:val="Prrafodelista"/>
        <w:spacing w:line="276" w:lineRule="auto"/>
        <w:rPr>
          <w:rFonts w:ascii="Verdana" w:hAnsi="Verdana" w:cs="Arial"/>
          <w:shd w:val="clear" w:color="auto" w:fill="FFFFFF"/>
        </w:rPr>
      </w:pPr>
    </w:p>
    <w:p w14:paraId="3506FC4B" w14:textId="77777777" w:rsidR="00D71928" w:rsidRPr="00EF0BDA" w:rsidRDefault="00D71928" w:rsidP="00D71928">
      <w:pPr>
        <w:pStyle w:val="Prrafodelista"/>
        <w:numPr>
          <w:ilvl w:val="0"/>
          <w:numId w:val="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809A7CE" w14:textId="77777777" w:rsidR="00D71928" w:rsidRPr="00EF0BDA" w:rsidRDefault="00D71928" w:rsidP="00D71928">
      <w:pPr>
        <w:pStyle w:val="Prrafodelista"/>
        <w:spacing w:line="276" w:lineRule="auto"/>
        <w:rPr>
          <w:rFonts w:ascii="Verdana" w:hAnsi="Verdana" w:cs="Arial"/>
          <w:shd w:val="clear" w:color="auto" w:fill="FFFFFF"/>
        </w:rPr>
      </w:pPr>
    </w:p>
    <w:p w14:paraId="55776C84" w14:textId="77777777" w:rsidR="00D71928" w:rsidRPr="00EF0BDA" w:rsidRDefault="00D71928" w:rsidP="00D71928">
      <w:pPr>
        <w:pStyle w:val="Prrafodelista"/>
        <w:numPr>
          <w:ilvl w:val="0"/>
          <w:numId w:val="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w:t>
      </w:r>
      <w:r w:rsidRPr="00EF0BDA">
        <w:rPr>
          <w:rFonts w:ascii="Verdana" w:hAnsi="Verdana" w:cs="Arial"/>
          <w:shd w:val="clear" w:color="auto" w:fill="FFFFFF"/>
        </w:rPr>
        <w:lastRenderedPageBreak/>
        <w:t xml:space="preserve">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618AE642" w14:textId="77777777" w:rsidR="00D71928" w:rsidRPr="00EF0BDA" w:rsidRDefault="00D71928" w:rsidP="00D71928">
      <w:pPr>
        <w:pStyle w:val="Prrafodelista"/>
        <w:spacing w:line="276" w:lineRule="auto"/>
        <w:rPr>
          <w:rFonts w:ascii="Verdana" w:hAnsi="Verdana" w:cs="Arial"/>
          <w:shd w:val="clear" w:color="auto" w:fill="FFFFFF"/>
        </w:rPr>
      </w:pPr>
    </w:p>
    <w:p w14:paraId="28B057CE" w14:textId="77777777" w:rsidR="00D71928" w:rsidRPr="00EF0BDA" w:rsidRDefault="00D71928" w:rsidP="00D71928">
      <w:pPr>
        <w:pStyle w:val="Prrafodelista"/>
        <w:numPr>
          <w:ilvl w:val="0"/>
          <w:numId w:val="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10254DE9" w14:textId="77777777" w:rsidR="00D71928" w:rsidRPr="00EF0BDA" w:rsidRDefault="00D71928" w:rsidP="00D71928">
      <w:pPr>
        <w:pStyle w:val="Prrafodelista"/>
        <w:spacing w:line="276" w:lineRule="auto"/>
        <w:rPr>
          <w:rFonts w:ascii="Verdana" w:hAnsi="Verdana" w:cs="Arial"/>
          <w:shd w:val="clear" w:color="auto" w:fill="FFFFFF"/>
        </w:rPr>
      </w:pPr>
    </w:p>
    <w:p w14:paraId="022A8F7B" w14:textId="77777777" w:rsidR="00D71928" w:rsidRPr="00EF0BDA" w:rsidRDefault="00D71928" w:rsidP="00D71928">
      <w:pPr>
        <w:pStyle w:val="Prrafodelista"/>
        <w:numPr>
          <w:ilvl w:val="0"/>
          <w:numId w:val="7"/>
        </w:numPr>
        <w:tabs>
          <w:tab w:val="left" w:pos="709"/>
        </w:tabs>
        <w:spacing w:before="120" w:after="120" w:line="276" w:lineRule="auto"/>
        <w:jc w:val="both"/>
        <w:rPr>
          <w:rStyle w:val="eop"/>
          <w:rFonts w:ascii="Verdana" w:hAnsi="Verdana"/>
          <w:color w:val="000000"/>
          <w:shd w:val="clear" w:color="auto" w:fill="FFFFFF"/>
        </w:rPr>
      </w:pPr>
      <w:r>
        <w:rPr>
          <w:rStyle w:val="normaltextrun"/>
          <w:rFonts w:ascii="Verdana" w:hAnsi="Verdana" w:cs="Arial"/>
          <w:color w:val="000000"/>
          <w:shd w:val="clear" w:color="auto" w:fill="FFFFFF"/>
          <w:lang w:val="es-MX"/>
        </w:rPr>
        <w:t>De tal manera que</w:t>
      </w:r>
      <w:r w:rsidRPr="00EF0BDA">
        <w:rPr>
          <w:rStyle w:val="normaltextrun"/>
          <w:rFonts w:ascii="Verdana" w:hAnsi="Verdana" w:cs="Arial"/>
          <w:color w:val="000000"/>
          <w:shd w:val="clear" w:color="auto" w:fill="FFFFFF"/>
          <w:lang w:val="es-MX"/>
        </w:rPr>
        <w:t>, el carácter transaccional de SECOP II, como herramienta que permite no sólo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olor w:val="000000"/>
          <w:shd w:val="clear" w:color="auto" w:fill="FFFFFF"/>
        </w:rPr>
        <w:t> </w:t>
      </w:r>
    </w:p>
    <w:p w14:paraId="35CF1F20" w14:textId="77777777" w:rsidR="00D71928" w:rsidRPr="00EF0BDA" w:rsidRDefault="00D71928" w:rsidP="00D71928">
      <w:pPr>
        <w:pStyle w:val="Prrafodelista"/>
        <w:spacing w:line="276" w:lineRule="auto"/>
        <w:rPr>
          <w:rStyle w:val="eop"/>
          <w:rFonts w:ascii="Verdana" w:hAnsi="Verdana"/>
          <w:color w:val="000000"/>
          <w:shd w:val="clear" w:color="auto" w:fill="FFFFFF"/>
        </w:rPr>
      </w:pPr>
    </w:p>
    <w:p w14:paraId="65E9E65E" w14:textId="77777777" w:rsidR="00D71928" w:rsidRPr="00EF0BDA" w:rsidRDefault="00D71928" w:rsidP="00D71928">
      <w:pPr>
        <w:pStyle w:val="Prrafodelista"/>
        <w:numPr>
          <w:ilvl w:val="0"/>
          <w:numId w:val="7"/>
        </w:numPr>
        <w:tabs>
          <w:tab w:val="left" w:pos="709"/>
        </w:tabs>
        <w:spacing w:before="120" w:after="120" w:line="276" w:lineRule="auto"/>
        <w:jc w:val="both"/>
        <w:rPr>
          <w:rStyle w:val="eop"/>
          <w:rFonts w:ascii="Verdana" w:hAnsi="Verdana"/>
          <w:color w:val="000000"/>
          <w:shd w:val="clear" w:color="auto" w:fill="FFFFFF"/>
        </w:rPr>
      </w:pPr>
      <w:r>
        <w:rPr>
          <w:rStyle w:val="eop"/>
          <w:rFonts w:ascii="Verdana" w:hAnsi="Verdana"/>
          <w:color w:val="000000"/>
          <w:shd w:val="clear" w:color="auto" w:fill="FFFFFF"/>
        </w:rPr>
        <w:t>Ahora bien,</w:t>
      </w:r>
      <w:r w:rsidRPr="00EF0BDA">
        <w:rPr>
          <w:rStyle w:val="eop"/>
          <w:rFonts w:ascii="Verdana" w:hAnsi="Verdana"/>
          <w:color w:val="000000"/>
          <w:shd w:val="clear" w:color="auto" w:fill="FFFFFF"/>
        </w:rPr>
        <w:t xml:space="preserve">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w:t>
      </w:r>
      <w:r w:rsidRPr="00EF0BDA">
        <w:rPr>
          <w:rStyle w:val="eop"/>
          <w:rFonts w:ascii="Verdana" w:hAnsi="Verdana"/>
          <w:color w:val="000000"/>
          <w:shd w:val="clear" w:color="auto" w:fill="FFFFFF"/>
        </w:rPr>
        <w:lastRenderedPageBreak/>
        <w:t xml:space="preserve">interventor, tanto en la etapa precontractual, como en la contractual y la postcontractual”. </w:t>
      </w:r>
    </w:p>
    <w:p w14:paraId="59378986" w14:textId="77777777" w:rsidR="00D71928" w:rsidRPr="00EF0BDA" w:rsidRDefault="00D71928" w:rsidP="00D71928">
      <w:pPr>
        <w:pStyle w:val="Prrafodelista"/>
        <w:spacing w:line="276" w:lineRule="auto"/>
        <w:rPr>
          <w:rStyle w:val="eop"/>
          <w:rFonts w:ascii="Verdana" w:hAnsi="Verdana"/>
          <w:color w:val="000000"/>
          <w:shd w:val="clear" w:color="auto" w:fill="FFFFFF"/>
        </w:rPr>
      </w:pPr>
    </w:p>
    <w:p w14:paraId="42A3D0AA" w14:textId="77777777" w:rsidR="00D71928" w:rsidRPr="00EF0BDA" w:rsidRDefault="00D71928" w:rsidP="00D71928">
      <w:pPr>
        <w:pStyle w:val="Prrafodelista"/>
        <w:numPr>
          <w:ilvl w:val="0"/>
          <w:numId w:val="7"/>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w:t>
      </w:r>
      <w:r w:rsidRPr="00EF0BDA">
        <w:rPr>
          <w:rFonts w:ascii="Verdana" w:eastAsia="Calibri" w:hAnsi="Verdana" w:cs="Arial"/>
          <w:bCs/>
          <w:vertAlign w:val="superscript"/>
          <w:lang w:val="es-MX"/>
        </w:rPr>
        <w:footnoteReference w:id="8"/>
      </w:r>
      <w:r w:rsidRPr="00EF0BDA">
        <w:rPr>
          <w:rStyle w:val="eop"/>
          <w:rFonts w:ascii="Verdana" w:hAnsi="Verdana"/>
          <w:color w:val="000000"/>
          <w:shd w:val="clear" w:color="auto" w:fill="FFFFFF"/>
        </w:rPr>
        <w:t>. Lo anterior significa que, respecto de datos sensibles, información sometida a reserva o de la cual proceda un tratamiento especial que impida su publicidad, las entidades deberán proceder de conformidad con el tratamiento que impongan tales normas.</w:t>
      </w:r>
    </w:p>
    <w:p w14:paraId="2188F4AF" w14:textId="77777777" w:rsidR="00D71928" w:rsidRPr="00EF0BDA" w:rsidRDefault="00D71928" w:rsidP="00D71928">
      <w:pPr>
        <w:pStyle w:val="Prrafodelista"/>
        <w:spacing w:line="276" w:lineRule="auto"/>
        <w:rPr>
          <w:rStyle w:val="eop"/>
          <w:rFonts w:ascii="Verdana" w:hAnsi="Verdana"/>
          <w:color w:val="000000"/>
          <w:shd w:val="clear" w:color="auto" w:fill="FFFFFF"/>
        </w:rPr>
      </w:pPr>
    </w:p>
    <w:p w14:paraId="1E1F98C5" w14:textId="77777777" w:rsidR="00D71928" w:rsidRPr="00EF0BDA" w:rsidRDefault="00D71928" w:rsidP="00D71928">
      <w:pPr>
        <w:pStyle w:val="Prrafodelista"/>
        <w:numPr>
          <w:ilvl w:val="0"/>
          <w:numId w:val="7"/>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lastRenderedPageBreak/>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9"/>
      </w:r>
      <w:r w:rsidRPr="00EF0BDA">
        <w:rPr>
          <w:rStyle w:val="eop"/>
          <w:rFonts w:ascii="Verdana" w:hAnsi="Verdana"/>
          <w:color w:val="000000"/>
          <w:shd w:val="clear" w:color="auto" w:fill="FFFFFF"/>
        </w:rPr>
        <w:t>. De igual forma, en la Circular Externa No. 002 del 23 de agosto de 2024, estableció los lineamientos para la aplicación del artículo 53 de la Ley 2195 de 2022 por parte de las Entidades Estales que por disposición legal cuentan con un régimen contractual excepcional al del Estatuto General de Contratación de la Administración Pública.</w:t>
      </w:r>
    </w:p>
    <w:p w14:paraId="3D348413" w14:textId="77777777" w:rsidR="00D71928" w:rsidRPr="00EF0BDA" w:rsidRDefault="00D71928" w:rsidP="00D71928">
      <w:pPr>
        <w:pStyle w:val="Prrafodelista"/>
        <w:spacing w:line="276" w:lineRule="auto"/>
        <w:rPr>
          <w:rStyle w:val="eop"/>
          <w:rFonts w:ascii="Verdana" w:hAnsi="Verdana"/>
          <w:color w:val="000000"/>
          <w:shd w:val="clear" w:color="auto" w:fill="FFFFFF"/>
        </w:rPr>
      </w:pPr>
    </w:p>
    <w:p w14:paraId="22BBA3D2" w14:textId="77777777" w:rsidR="00D71928" w:rsidRPr="00EF0BDA" w:rsidRDefault="00D71928" w:rsidP="00D71928">
      <w:pPr>
        <w:pStyle w:val="Prrafodelista"/>
        <w:numPr>
          <w:ilvl w:val="0"/>
          <w:numId w:val="7"/>
        </w:numPr>
        <w:spacing w:line="276" w:lineRule="auto"/>
        <w:jc w:val="both"/>
        <w:rPr>
          <w:rStyle w:val="eop"/>
          <w:rFonts w:ascii="Verdana" w:hAnsi="Verdana"/>
          <w:color w:val="000000"/>
          <w:shd w:val="clear" w:color="auto" w:fill="FFFFFF"/>
        </w:rPr>
      </w:pPr>
      <w:r>
        <w:rPr>
          <w:rStyle w:val="eop"/>
          <w:rFonts w:ascii="Verdana" w:hAnsi="Verdana"/>
          <w:color w:val="000000"/>
          <w:shd w:val="clear" w:color="auto" w:fill="FFFFFF"/>
        </w:rPr>
        <w:t xml:space="preserve">Ahora bien, frente a la publicidad </w:t>
      </w:r>
      <w:r>
        <w:rPr>
          <w:rFonts w:ascii="Verdana" w:eastAsia="Calibri" w:hAnsi="Verdana" w:cs="Arial"/>
        </w:rPr>
        <w:t>l</w:t>
      </w:r>
      <w:r w:rsidRPr="00842456">
        <w:rPr>
          <w:rFonts w:ascii="Verdana" w:eastAsia="Calibri" w:hAnsi="Verdana" w:cs="Arial"/>
        </w:rPr>
        <w:t>as entidades estatales que por disposición legal cuenten con un régimen contractual excepcional al del Estatuto General de Contratación de la Administración Pública</w:t>
      </w:r>
      <w:r>
        <w:rPr>
          <w:rStyle w:val="eop"/>
          <w:rFonts w:ascii="Verdana" w:hAnsi="Verdana"/>
          <w:color w:val="000000"/>
          <w:shd w:val="clear" w:color="auto" w:fill="FFFFFF"/>
        </w:rPr>
        <w:t xml:space="preserve">, esta Agencia en </w:t>
      </w:r>
      <w:r w:rsidRPr="00EF0BDA">
        <w:rPr>
          <w:rStyle w:val="eop"/>
          <w:rFonts w:ascii="Verdana" w:hAnsi="Verdana"/>
          <w:color w:val="000000"/>
          <w:shd w:val="clear" w:color="auto" w:fill="FFFFFF"/>
        </w:rPr>
        <w:t xml:space="preserve">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13887DBE" w14:textId="77777777" w:rsidR="00D71928" w:rsidRPr="00593A5F" w:rsidRDefault="00D71928" w:rsidP="00D71928">
      <w:pPr>
        <w:pStyle w:val="Prrafodelista"/>
        <w:numPr>
          <w:ilvl w:val="0"/>
          <w:numId w:val="7"/>
        </w:numPr>
        <w:spacing w:line="276" w:lineRule="auto"/>
        <w:jc w:val="both"/>
        <w:rPr>
          <w:rFonts w:cs="Arial"/>
        </w:rPr>
      </w:pPr>
      <w:r w:rsidRPr="00120A22">
        <w:rPr>
          <w:rFonts w:ascii="Verdana" w:eastAsia="Calibri" w:hAnsi="Verdana" w:cs="Arial"/>
          <w:lang w:val="es-ES"/>
        </w:rPr>
        <w:t xml:space="preserve">En conclusión las entidades estatales que por disposición legal cuenten con un régimen contractual excepcional al del Estatuto General de </w:t>
      </w:r>
      <w:r w:rsidRPr="00120A22">
        <w:rPr>
          <w:rFonts w:ascii="Verdana" w:eastAsia="Calibri" w:hAnsi="Verdana" w:cs="Arial"/>
          <w:lang w:val="es-ES"/>
        </w:rPr>
        <w:lastRenderedPageBreak/>
        <w:t xml:space="preserve">Contratación de la Administración Pública, </w:t>
      </w:r>
      <w:proofErr w:type="spellStart"/>
      <w:r w:rsidRPr="00120A22">
        <w:rPr>
          <w:rFonts w:ascii="Verdana" w:eastAsia="Calibri" w:hAnsi="Verdana" w:cs="Arial"/>
          <w:lang w:val="es-ES"/>
        </w:rPr>
        <w:t>estan</w:t>
      </w:r>
      <w:proofErr w:type="spellEnd"/>
      <w:r w:rsidRPr="00120A22">
        <w:rPr>
          <w:rFonts w:ascii="Verdana" w:eastAsia="Calibri" w:hAnsi="Verdana" w:cs="Arial"/>
          <w:lang w:val="es-ES"/>
        </w:rPr>
        <w:t xml:space="preserve"> obligadas a publicar en el Secop II y les es aplicable la regla de publicación de los tres (3) días siguientes a la expedición de acto administrativo o Documento del Proceso, dispuesta en el artículo 2.2.1.1.1.7.1 del Decreto 1082 de 2015 por remisión expresa del artículo 2.1.1.2.1.7 del Decreto 1081 de 2015, permitiendo garantizar los principios de publicidad, transparencia y función administrativa.</w:t>
      </w:r>
      <w:bookmarkEnd w:id="1"/>
    </w:p>
    <w:p w14:paraId="764C9C51" w14:textId="77777777" w:rsidR="00D71928" w:rsidRPr="00593A5F" w:rsidRDefault="00D71928" w:rsidP="00D719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7415B566" w14:textId="77777777" w:rsidR="00D71928" w:rsidRPr="00593A5F" w:rsidRDefault="00D71928" w:rsidP="00D7192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71928" w:rsidRPr="00593A5F" w14:paraId="4780FA2B" w14:textId="77777777" w:rsidTr="005A2A51">
        <w:trPr>
          <w:trHeight w:val="870"/>
        </w:trPr>
        <w:tc>
          <w:tcPr>
            <w:tcW w:w="8647" w:type="dxa"/>
          </w:tcPr>
          <w:p w14:paraId="7FDD127F" w14:textId="77777777" w:rsidR="00D71928" w:rsidRPr="0047490F"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Constitución Política. Artículos 74 y 209</w:t>
            </w:r>
          </w:p>
          <w:p w14:paraId="5F1B897F" w14:textId="77777777" w:rsidR="00D71928" w:rsidRPr="0047490F"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1150 de 2007. Literal c), artículo 3</w:t>
            </w:r>
          </w:p>
          <w:p w14:paraId="3E76B49D" w14:textId="77777777" w:rsidR="00D71928" w:rsidRPr="0047490F"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e), artículo 9</w:t>
            </w:r>
          </w:p>
          <w:p w14:paraId="6AFBBEF4" w14:textId="77777777" w:rsidR="00D71928" w:rsidRPr="0047490F"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Artículo 5</w:t>
            </w:r>
          </w:p>
          <w:p w14:paraId="56D98143" w14:textId="77777777" w:rsidR="00D71928"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g), artículo 11</w:t>
            </w:r>
          </w:p>
          <w:p w14:paraId="7140D375" w14:textId="77777777" w:rsidR="00D71928"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5EFD33D3" w14:textId="77777777" w:rsidR="00D71928"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1081 de 2015. Artículo </w:t>
            </w:r>
            <w:r w:rsidRPr="00EF0BDA">
              <w:rPr>
                <w:rStyle w:val="eop"/>
                <w:rFonts w:ascii="Verdana" w:hAnsi="Verdana"/>
                <w:color w:val="000000"/>
                <w:shd w:val="clear" w:color="auto" w:fill="FFFFFF"/>
              </w:rPr>
              <w:t>2.1.1.2.1.7</w:t>
            </w:r>
          </w:p>
          <w:p w14:paraId="32BA1D77" w14:textId="77777777" w:rsidR="00D71928" w:rsidRPr="00015133" w:rsidRDefault="00D71928" w:rsidP="00D71928">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1082 de 2015. Artículo </w:t>
            </w:r>
            <w:r w:rsidRPr="00EF0BDA">
              <w:rPr>
                <w:rStyle w:val="eop"/>
                <w:rFonts w:ascii="Verdana" w:hAnsi="Verdana"/>
                <w:color w:val="000000"/>
                <w:shd w:val="clear" w:color="auto" w:fill="FFFFFF"/>
              </w:rPr>
              <w:t>2.2.1.1.1.7.1</w:t>
            </w:r>
          </w:p>
          <w:p w14:paraId="290922B7" w14:textId="77777777" w:rsidR="00D71928" w:rsidRPr="007129AF" w:rsidRDefault="00D71928" w:rsidP="00D71928">
            <w:pPr>
              <w:widowControl w:val="0"/>
              <w:numPr>
                <w:ilvl w:val="0"/>
                <w:numId w:val="8"/>
              </w:numPr>
              <w:autoSpaceDE w:val="0"/>
              <w:autoSpaceDN w:val="0"/>
              <w:spacing w:after="160" w:line="276" w:lineRule="auto"/>
              <w:contextualSpacing/>
              <w:jc w:val="both"/>
              <w:rPr>
                <w:rFonts w:ascii="Verdana" w:eastAsia="Aptos" w:hAnsi="Verdana" w:cs="Arial"/>
              </w:rPr>
            </w:pPr>
            <w:r>
              <w:rPr>
                <w:rFonts w:ascii="Verdana" w:eastAsia="Calibri" w:hAnsi="Verdana" w:cs="Arial"/>
                <w:lang w:val="es-ES"/>
              </w:rPr>
              <w:t xml:space="preserve">Circular Externa Única, disponible </w:t>
            </w:r>
            <w:hyperlink r:id="rId15" w:history="1">
              <w:r w:rsidRPr="00793D96">
                <w:rPr>
                  <w:rStyle w:val="Hipervnculo"/>
                  <w:rFonts w:ascii="Verdana" w:eastAsia="Calibri" w:hAnsi="Verdana" w:cs="Arial"/>
                  <w:lang w:val="es-ES"/>
                </w:rPr>
                <w:t>aquí</w:t>
              </w:r>
            </w:hyperlink>
          </w:p>
          <w:p w14:paraId="5E85A111" w14:textId="77777777" w:rsidR="00D71928" w:rsidRPr="007129AF" w:rsidRDefault="00D71928" w:rsidP="00D71928">
            <w:pPr>
              <w:widowControl w:val="0"/>
              <w:numPr>
                <w:ilvl w:val="0"/>
                <w:numId w:val="8"/>
              </w:numPr>
              <w:autoSpaceDE w:val="0"/>
              <w:autoSpaceDN w:val="0"/>
              <w:spacing w:after="160" w:line="276" w:lineRule="auto"/>
              <w:contextualSpacing/>
              <w:jc w:val="both"/>
              <w:rPr>
                <w:rFonts w:ascii="Verdana" w:eastAsia="Aptos" w:hAnsi="Verdana" w:cs="Arial"/>
              </w:rPr>
            </w:pPr>
            <w:r w:rsidRPr="007129AF">
              <w:rPr>
                <w:rFonts w:ascii="Verdana" w:eastAsia="Calibri" w:hAnsi="Verdana" w:cs="Arial"/>
                <w:lang w:val="es-ES"/>
              </w:rPr>
              <w:t xml:space="preserve">Circular Externa No. 002 del 23 de agosto de 2024, disponible </w:t>
            </w:r>
            <w:hyperlink r:id="rId16" w:history="1">
              <w:r w:rsidRPr="007129AF">
                <w:rPr>
                  <w:rStyle w:val="Hipervnculo"/>
                  <w:rFonts w:ascii="Verdana" w:eastAsia="Calibri" w:hAnsi="Verdana" w:cs="Arial"/>
                  <w:lang w:val="es-ES"/>
                </w:rPr>
                <w:t>aquí</w:t>
              </w:r>
            </w:hyperlink>
          </w:p>
        </w:tc>
      </w:tr>
    </w:tbl>
    <w:p w14:paraId="3A0A1A2A" w14:textId="77777777" w:rsidR="00D71928" w:rsidRPr="00593A5F" w:rsidRDefault="00D71928" w:rsidP="00D71928">
      <w:pPr>
        <w:widowControl w:val="0"/>
        <w:autoSpaceDE w:val="0"/>
        <w:autoSpaceDN w:val="0"/>
        <w:spacing w:after="0" w:line="276" w:lineRule="auto"/>
        <w:jc w:val="both"/>
        <w:rPr>
          <w:rFonts w:ascii="Verdana" w:hAnsi="Verdana" w:cs="Arial"/>
        </w:rPr>
      </w:pPr>
    </w:p>
    <w:p w14:paraId="309A8F3B" w14:textId="77777777" w:rsidR="00D71928" w:rsidRPr="00593A5F" w:rsidRDefault="00D71928" w:rsidP="00D719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4759956" w14:textId="77777777" w:rsidR="00D71928" w:rsidRPr="00593A5F" w:rsidRDefault="00D71928" w:rsidP="00D71928">
      <w:pPr>
        <w:widowControl w:val="0"/>
        <w:autoSpaceDE w:val="0"/>
        <w:autoSpaceDN w:val="0"/>
        <w:spacing w:after="0" w:line="276" w:lineRule="auto"/>
        <w:jc w:val="both"/>
        <w:rPr>
          <w:rFonts w:ascii="Verdana" w:hAnsi="Verdana" w:cs="Arial"/>
        </w:rPr>
      </w:pPr>
    </w:p>
    <w:p w14:paraId="1E8835FC" w14:textId="77777777" w:rsidR="00D71928" w:rsidRDefault="00D71928" w:rsidP="00D7192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w:t>
      </w:r>
      <w:r w:rsidRPr="0047490F">
        <w:rPr>
          <w:rFonts w:ascii="Verdana" w:eastAsia="Calibri" w:hAnsi="Verdana" w:cs="Arial"/>
          <w:lang w:val="es-ES_tradnl" w:eastAsia="es-MX"/>
        </w:rPr>
        <w:lastRenderedPageBreak/>
        <w:t>agosto de 2022, C-555 del 6 de septiembre de 2022, C- 821 de 29 de noviembre de 2022 y C-071 del 28 de marzo de 2023</w:t>
      </w:r>
      <w:r w:rsidRPr="0047490F">
        <w:rPr>
          <w:rFonts w:ascii="Verdana" w:eastAsia="Aptos" w:hAnsi="Verdana" w:cs="Arial"/>
          <w:shd w:val="clear" w:color="auto" w:fill="FFFFFF"/>
          <w:lang w:val="es-ES"/>
        </w:rPr>
        <w:t xml:space="preserve">, entre otros.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7"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6A8BD1CC" w14:textId="77777777" w:rsidR="00D71928" w:rsidRDefault="00D71928" w:rsidP="00D7192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0FC635E" w14:textId="77777777" w:rsidR="00D71928" w:rsidRDefault="00D71928" w:rsidP="00D7192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8"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3D7CC1F9" w14:textId="77777777" w:rsidR="00D71928" w:rsidRPr="003E2460" w:rsidRDefault="00D71928" w:rsidP="00D7192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62A4977" w14:textId="77777777" w:rsidR="00D71928" w:rsidRPr="003E2460" w:rsidRDefault="00D71928" w:rsidP="00D71928">
      <w:pPr>
        <w:spacing w:after="0" w:line="240" w:lineRule="auto"/>
        <w:jc w:val="both"/>
        <w:rPr>
          <w:rFonts w:ascii="Verdana" w:hAnsi="Verdana"/>
        </w:rPr>
      </w:pPr>
    </w:p>
    <w:p w14:paraId="4F515C88" w14:textId="77777777" w:rsidR="00D71928" w:rsidRPr="003E2460" w:rsidRDefault="00D71928" w:rsidP="00D7192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F57A272" w14:textId="77777777" w:rsidR="00D71928" w:rsidRPr="003E2460" w:rsidRDefault="00D71928" w:rsidP="00D71928">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5FFFF5D5" w14:textId="77777777" w:rsidR="00D71928" w:rsidRPr="003E2460" w:rsidRDefault="00D71928" w:rsidP="00D7192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986E77C" w14:textId="77777777" w:rsidR="00D71928" w:rsidRPr="00593A5F" w:rsidRDefault="00D71928" w:rsidP="00D71928">
      <w:pPr>
        <w:widowControl w:val="0"/>
        <w:autoSpaceDE w:val="0"/>
        <w:autoSpaceDN w:val="0"/>
        <w:spacing w:after="0" w:line="276" w:lineRule="auto"/>
        <w:jc w:val="both"/>
        <w:rPr>
          <w:rFonts w:ascii="Verdana" w:hAnsi="Verdana" w:cs="Arial"/>
        </w:rPr>
      </w:pPr>
    </w:p>
    <w:p w14:paraId="476B6A98" w14:textId="77777777" w:rsidR="00D71928" w:rsidRPr="00593A5F" w:rsidRDefault="00D71928" w:rsidP="00D7192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EE52E71" w14:textId="77777777" w:rsidR="00D71928" w:rsidRPr="00593A5F" w:rsidRDefault="00D71928" w:rsidP="00D71928">
      <w:pPr>
        <w:widowControl w:val="0"/>
        <w:autoSpaceDE w:val="0"/>
        <w:autoSpaceDN w:val="0"/>
        <w:spacing w:after="0" w:line="276" w:lineRule="auto"/>
        <w:jc w:val="both"/>
        <w:rPr>
          <w:rFonts w:ascii="Verdana" w:hAnsi="Verdana" w:cs="Arial"/>
        </w:rPr>
      </w:pPr>
    </w:p>
    <w:p w14:paraId="3933B477" w14:textId="77777777" w:rsidR="00D71928" w:rsidRPr="00593A5F" w:rsidRDefault="00D71928" w:rsidP="00D7192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9A185DC" w14:textId="3194462E" w:rsidR="005E2DFA" w:rsidRPr="005E2DFA" w:rsidRDefault="005E2DFA" w:rsidP="005E2DFA">
      <w:pPr>
        <w:spacing w:line="276" w:lineRule="auto"/>
        <w:jc w:val="center"/>
        <w:rPr>
          <w:rFonts w:ascii="Verdana" w:hAnsi="Verdana" w:cs="Arial"/>
          <w:color w:val="000000"/>
          <w:lang w:val="es-MX" w:eastAsia="es-CO"/>
        </w:rPr>
      </w:pPr>
      <w:r w:rsidRPr="005E2DFA">
        <w:rPr>
          <w:rFonts w:ascii="Verdana" w:hAnsi="Verdana" w:cs="Arial"/>
          <w:color w:val="000000"/>
          <w:lang w:val="es-MX" w:eastAsia="es-CO"/>
        </w:rPr>
        <w:drawing>
          <wp:inline distT="0" distB="0" distL="0" distR="0" wp14:anchorId="76EF6924" wp14:editId="224277DA">
            <wp:extent cx="3771900" cy="1400175"/>
            <wp:effectExtent l="0" t="0" r="0" b="9525"/>
            <wp:docPr id="52188049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80493" name="Imagen 2"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0F9F062F" w14:textId="0EEB0E4B" w:rsidR="00D71928" w:rsidRPr="00593A5F" w:rsidRDefault="00D71928" w:rsidP="00D71928">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71928" w:rsidRPr="004D7DD2" w14:paraId="090E6AEE" w14:textId="77777777" w:rsidTr="005A2A51">
        <w:trPr>
          <w:trHeight w:val="315"/>
        </w:trPr>
        <w:tc>
          <w:tcPr>
            <w:tcW w:w="893" w:type="dxa"/>
            <w:vAlign w:val="center"/>
            <w:hideMark/>
          </w:tcPr>
          <w:p w14:paraId="62BD0174" w14:textId="77777777" w:rsidR="00D71928" w:rsidRPr="004D7DD2" w:rsidRDefault="00D71928" w:rsidP="005A2A51">
            <w:pPr>
              <w:contextualSpacing/>
              <w:rPr>
                <w:rFonts w:ascii="Verdana" w:hAnsi="Verdana" w:cs="Arial"/>
                <w:sz w:val="16"/>
                <w:szCs w:val="16"/>
                <w:lang w:val="es-ES" w:eastAsia="es-ES"/>
              </w:rPr>
            </w:pPr>
            <w:r w:rsidRPr="004D7DD2">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7EDAAD1" w14:textId="77777777" w:rsidR="00D71928" w:rsidRPr="004D7DD2" w:rsidRDefault="00D71928" w:rsidP="005A2A51">
            <w:pPr>
              <w:contextualSpacing/>
              <w:rPr>
                <w:rStyle w:val="normaltextrun"/>
                <w:rFonts w:ascii="Verdana" w:hAnsi="Verdana"/>
                <w:sz w:val="16"/>
                <w:szCs w:val="16"/>
              </w:rPr>
            </w:pPr>
            <w:r w:rsidRPr="004D7DD2">
              <w:rPr>
                <w:rStyle w:val="normaltextrun"/>
                <w:rFonts w:ascii="Verdana" w:hAnsi="Verdana"/>
                <w:sz w:val="16"/>
                <w:szCs w:val="16"/>
              </w:rPr>
              <w:t>Gloria Ximena Moreno Guio</w:t>
            </w:r>
          </w:p>
          <w:p w14:paraId="43BEC813" w14:textId="77777777" w:rsidR="00D71928" w:rsidRPr="004D7DD2" w:rsidRDefault="00D71928" w:rsidP="005A2A51">
            <w:pPr>
              <w:contextualSpacing/>
              <w:rPr>
                <w:rFonts w:ascii="Verdana" w:eastAsia="Arial" w:hAnsi="Verdana" w:cs="Arial"/>
                <w:sz w:val="16"/>
                <w:szCs w:val="16"/>
              </w:rPr>
            </w:pPr>
            <w:r w:rsidRPr="004D7DD2">
              <w:rPr>
                <w:rStyle w:val="normaltextrun"/>
                <w:rFonts w:ascii="Verdana" w:hAnsi="Verdana"/>
                <w:sz w:val="16"/>
                <w:szCs w:val="16"/>
              </w:rPr>
              <w:t xml:space="preserve">Contratista </w:t>
            </w:r>
            <w:r w:rsidRPr="004D7DD2">
              <w:rPr>
                <w:rStyle w:val="normaltextrun"/>
                <w:rFonts w:ascii="Verdana" w:eastAsia="Arial" w:hAnsi="Verdana" w:cs="Arial"/>
                <w:sz w:val="16"/>
                <w:szCs w:val="16"/>
              </w:rPr>
              <w:t>de la Subdirección de Gestión Contractual</w:t>
            </w:r>
          </w:p>
        </w:tc>
      </w:tr>
      <w:tr w:rsidR="00D71928" w:rsidRPr="004D7DD2" w14:paraId="6A048D84" w14:textId="77777777" w:rsidTr="005A2A51">
        <w:trPr>
          <w:trHeight w:val="330"/>
        </w:trPr>
        <w:tc>
          <w:tcPr>
            <w:tcW w:w="893" w:type="dxa"/>
            <w:vAlign w:val="center"/>
            <w:hideMark/>
          </w:tcPr>
          <w:p w14:paraId="0928E0C4" w14:textId="77777777" w:rsidR="00D71928" w:rsidRPr="004D7DD2" w:rsidRDefault="00D71928" w:rsidP="005A2A51">
            <w:pPr>
              <w:contextualSpacing/>
              <w:rPr>
                <w:rFonts w:ascii="Verdana" w:hAnsi="Verdana" w:cs="Arial"/>
                <w:sz w:val="16"/>
                <w:szCs w:val="16"/>
                <w:lang w:val="es-ES" w:eastAsia="es-ES"/>
              </w:rPr>
            </w:pPr>
            <w:r w:rsidRPr="004D7DD2">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0436A71" w14:textId="77777777" w:rsidR="00D71928" w:rsidRPr="004D7DD2" w:rsidRDefault="00D71928" w:rsidP="005A2A51">
            <w:pPr>
              <w:pStyle w:val="paragraph"/>
              <w:spacing w:before="0" w:beforeAutospacing="0" w:after="0" w:afterAutospacing="0"/>
              <w:contextualSpacing/>
              <w:textAlignment w:val="baseline"/>
              <w:rPr>
                <w:rStyle w:val="normaltextrun"/>
                <w:rFonts w:ascii="Verdana" w:hAnsi="Verdana" w:cs="Arial"/>
                <w:sz w:val="16"/>
                <w:szCs w:val="16"/>
                <w:lang w:val="es-ES"/>
              </w:rPr>
            </w:pPr>
            <w:r w:rsidRPr="004D7DD2">
              <w:rPr>
                <w:rStyle w:val="normaltextrun"/>
                <w:rFonts w:ascii="Verdana" w:hAnsi="Verdana" w:cs="Arial"/>
                <w:sz w:val="16"/>
                <w:szCs w:val="16"/>
                <w:lang w:val="es-ES"/>
              </w:rPr>
              <w:t>Cielo Victoria González Meza</w:t>
            </w:r>
          </w:p>
          <w:p w14:paraId="35571D1C" w14:textId="77777777" w:rsidR="00D71928" w:rsidRPr="004D7DD2" w:rsidRDefault="00D71928" w:rsidP="005A2A51">
            <w:pPr>
              <w:pStyle w:val="paragraph"/>
              <w:spacing w:before="0" w:beforeAutospacing="0" w:after="0" w:afterAutospacing="0"/>
              <w:contextualSpacing/>
              <w:textAlignment w:val="baseline"/>
              <w:rPr>
                <w:rFonts w:ascii="Verdana" w:hAnsi="Verdana" w:cs="Segoe UI"/>
                <w:sz w:val="16"/>
                <w:szCs w:val="16"/>
              </w:rPr>
            </w:pPr>
            <w:r w:rsidRPr="004D7DD2">
              <w:rPr>
                <w:rStyle w:val="normaltextrun"/>
                <w:rFonts w:ascii="Verdana" w:hAnsi="Verdana" w:cs="Arial"/>
                <w:sz w:val="16"/>
                <w:szCs w:val="16"/>
                <w:lang w:val="es-ES"/>
              </w:rPr>
              <w:t>Contratista de la Subdirección de Gestión Contractual</w:t>
            </w:r>
            <w:r w:rsidRPr="004D7DD2">
              <w:rPr>
                <w:rStyle w:val="eop"/>
                <w:rFonts w:ascii="Verdana" w:hAnsi="Verdana" w:cs="Arial"/>
                <w:sz w:val="16"/>
                <w:szCs w:val="16"/>
              </w:rPr>
              <w:t> </w:t>
            </w:r>
          </w:p>
        </w:tc>
      </w:tr>
      <w:tr w:rsidR="00D71928" w:rsidRPr="004D7DD2" w14:paraId="524E312E" w14:textId="77777777" w:rsidTr="005A2A51">
        <w:trPr>
          <w:trHeight w:val="300"/>
        </w:trPr>
        <w:tc>
          <w:tcPr>
            <w:tcW w:w="893" w:type="dxa"/>
            <w:vAlign w:val="center"/>
          </w:tcPr>
          <w:p w14:paraId="4BB60115" w14:textId="77777777" w:rsidR="00D71928" w:rsidRPr="004D7DD2" w:rsidRDefault="00D71928" w:rsidP="005A2A51">
            <w:pPr>
              <w:contextualSpacing/>
              <w:rPr>
                <w:rFonts w:ascii="Verdana" w:hAnsi="Verdana" w:cs="Arial"/>
                <w:sz w:val="16"/>
                <w:szCs w:val="16"/>
                <w:lang w:val="es-ES" w:eastAsia="es-ES"/>
              </w:rPr>
            </w:pPr>
            <w:r w:rsidRPr="004D7DD2">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0544D56" w14:textId="77777777" w:rsidR="00D71928" w:rsidRPr="004D7DD2" w:rsidRDefault="00D71928" w:rsidP="005A2A51">
            <w:pPr>
              <w:contextualSpacing/>
              <w:rPr>
                <w:rFonts w:ascii="Verdana" w:eastAsia="Calibri" w:hAnsi="Verdana" w:cs="Arial"/>
                <w:sz w:val="16"/>
                <w:szCs w:val="16"/>
                <w:lang w:val="pt-BR" w:eastAsia="es-ES"/>
              </w:rPr>
            </w:pPr>
            <w:r w:rsidRPr="004D7DD2">
              <w:rPr>
                <w:rFonts w:ascii="Verdana" w:eastAsia="Calibri" w:hAnsi="Verdana" w:cs="Arial"/>
                <w:sz w:val="16"/>
                <w:szCs w:val="16"/>
                <w:lang w:val="pt-BR" w:eastAsia="es-ES"/>
              </w:rPr>
              <w:t>Carolina Quintero Gacharná</w:t>
            </w:r>
          </w:p>
          <w:p w14:paraId="5D279363" w14:textId="77777777" w:rsidR="00D71928" w:rsidRPr="004D7DD2" w:rsidRDefault="00D71928" w:rsidP="005A2A51">
            <w:pPr>
              <w:contextualSpacing/>
              <w:rPr>
                <w:rFonts w:ascii="Verdana" w:eastAsia="Calibri" w:hAnsi="Verdana" w:cs="Arial"/>
                <w:sz w:val="16"/>
                <w:szCs w:val="16"/>
                <w:lang w:val="pt-BR" w:eastAsia="es-ES"/>
              </w:rPr>
            </w:pPr>
            <w:r w:rsidRPr="004D7DD2">
              <w:rPr>
                <w:rFonts w:ascii="Verdana" w:eastAsia="Calibri" w:hAnsi="Verdana" w:cs="Arial"/>
                <w:sz w:val="16"/>
                <w:szCs w:val="16"/>
                <w:lang w:eastAsia="es-ES"/>
              </w:rPr>
              <w:t>Subdirectora</w:t>
            </w:r>
            <w:r w:rsidRPr="004D7DD2">
              <w:rPr>
                <w:rFonts w:ascii="Verdana" w:eastAsia="Calibri" w:hAnsi="Verdana" w:cs="Arial"/>
                <w:sz w:val="16"/>
                <w:szCs w:val="16"/>
                <w:lang w:val="pt-BR" w:eastAsia="es-ES"/>
              </w:rPr>
              <w:t xml:space="preserve"> de Gestión Contractual ANCP – CCE</w:t>
            </w:r>
          </w:p>
        </w:tc>
      </w:tr>
    </w:tbl>
    <w:p w14:paraId="1CC180FD" w14:textId="77777777" w:rsidR="00D71928" w:rsidRPr="00871B59" w:rsidRDefault="00D71928" w:rsidP="00D71928"/>
    <w:p w14:paraId="467E2421" w14:textId="77777777" w:rsidR="00D71928" w:rsidRPr="004A62DC" w:rsidRDefault="00D71928" w:rsidP="00D71928"/>
    <w:p w14:paraId="22B2CE77" w14:textId="77777777" w:rsidR="00D71928" w:rsidRDefault="00D71928" w:rsidP="00871B59">
      <w:pPr>
        <w:spacing w:after="0" w:line="240" w:lineRule="auto"/>
        <w:rPr>
          <w:rFonts w:ascii="Verdana" w:eastAsia="Geomanist Light" w:hAnsi="Verdana" w:cs="Arial"/>
          <w:color w:val="000000" w:themeColor="text1"/>
          <w:lang w:val="es-MX"/>
        </w:rPr>
      </w:pPr>
    </w:p>
    <w:sectPr w:rsidR="00D71928" w:rsidSect="00E45F4B">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7E73" w14:textId="77777777" w:rsidR="00293AAF" w:rsidRDefault="00293AAF" w:rsidP="00B30448">
      <w:pPr>
        <w:spacing w:after="0" w:line="240" w:lineRule="auto"/>
      </w:pPr>
      <w:r>
        <w:separator/>
      </w:r>
    </w:p>
  </w:endnote>
  <w:endnote w:type="continuationSeparator" w:id="0">
    <w:p w14:paraId="5F10AEB7" w14:textId="77777777" w:rsidR="00293AAF" w:rsidRDefault="00293AAF" w:rsidP="00B30448">
      <w:pPr>
        <w:spacing w:after="0" w:line="240" w:lineRule="auto"/>
      </w:pPr>
      <w:r>
        <w:continuationSeparator/>
      </w:r>
    </w:p>
  </w:endnote>
  <w:endnote w:type="continuationNotice" w:id="1">
    <w:p w14:paraId="3CB264AC" w14:textId="77777777" w:rsidR="00293AAF" w:rsidRDefault="00293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466" w14:textId="77777777" w:rsidR="00293AAF" w:rsidRDefault="00293AAF" w:rsidP="00B30448">
      <w:pPr>
        <w:spacing w:after="0" w:line="240" w:lineRule="auto"/>
      </w:pPr>
      <w:r>
        <w:separator/>
      </w:r>
    </w:p>
  </w:footnote>
  <w:footnote w:type="continuationSeparator" w:id="0">
    <w:p w14:paraId="4D220E4B" w14:textId="77777777" w:rsidR="00293AAF" w:rsidRDefault="00293AAF" w:rsidP="00B30448">
      <w:pPr>
        <w:spacing w:after="0" w:line="240" w:lineRule="auto"/>
      </w:pPr>
      <w:r>
        <w:continuationSeparator/>
      </w:r>
    </w:p>
  </w:footnote>
  <w:footnote w:type="continuationNotice" w:id="1">
    <w:p w14:paraId="2C6195C3" w14:textId="77777777" w:rsidR="00293AAF" w:rsidRDefault="00293AAF">
      <w:pPr>
        <w:spacing w:after="0" w:line="240" w:lineRule="auto"/>
      </w:pPr>
    </w:p>
  </w:footnote>
  <w:footnote w:id="2">
    <w:p w14:paraId="430658DC"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58BB8AD"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3C38AD00"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65519EE8"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074A162F"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4041ABC4" w14:textId="77777777" w:rsidR="00D71928" w:rsidRPr="000A3117" w:rsidRDefault="00D71928" w:rsidP="00D71928">
      <w:pPr>
        <w:pStyle w:val="Textonotapie"/>
        <w:ind w:firstLine="709"/>
        <w:jc w:val="both"/>
        <w:rPr>
          <w:rFonts w:ascii="Verdana" w:hAnsi="Verdana" w:cs="Arial"/>
          <w:color w:val="000000" w:themeColor="text1"/>
          <w:sz w:val="16"/>
          <w:szCs w:val="16"/>
          <w:lang w:val="es-CO"/>
        </w:rPr>
      </w:pPr>
    </w:p>
  </w:footnote>
  <w:footnote w:id="3">
    <w:p w14:paraId="32675BDD"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23C0913" w14:textId="77777777" w:rsidR="00D71928" w:rsidRPr="000A3117" w:rsidRDefault="00D71928" w:rsidP="00D71928">
      <w:pPr>
        <w:pStyle w:val="Textonotapie"/>
        <w:ind w:firstLine="709"/>
        <w:jc w:val="both"/>
        <w:rPr>
          <w:rFonts w:ascii="Verdana" w:hAnsi="Verdana" w:cs="Arial"/>
          <w:color w:val="000000" w:themeColor="text1"/>
          <w:sz w:val="16"/>
          <w:szCs w:val="16"/>
          <w:lang w:val="es-CO"/>
        </w:rPr>
      </w:pPr>
    </w:p>
  </w:footnote>
  <w:footnote w:id="4">
    <w:p w14:paraId="1434E4F0"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4C3F8628" w14:textId="77777777" w:rsidR="00D71928" w:rsidRPr="000A3117" w:rsidRDefault="00D71928" w:rsidP="00D7192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C0A847F" w14:textId="77777777" w:rsidR="00D71928" w:rsidRPr="000A3117" w:rsidRDefault="00D71928" w:rsidP="00D71928">
      <w:pPr>
        <w:pStyle w:val="Textonotapie"/>
        <w:ind w:firstLine="709"/>
        <w:jc w:val="both"/>
        <w:rPr>
          <w:rFonts w:ascii="Verdana" w:hAnsi="Verdana" w:cs="Arial"/>
          <w:color w:val="000000" w:themeColor="text1"/>
          <w:sz w:val="16"/>
          <w:szCs w:val="16"/>
          <w:lang w:val="es-CO"/>
        </w:rPr>
      </w:pPr>
    </w:p>
  </w:footnote>
  <w:footnote w:id="5">
    <w:p w14:paraId="7A89DF6A" w14:textId="77777777" w:rsidR="00D71928" w:rsidRPr="000A3117" w:rsidRDefault="00D71928" w:rsidP="00D71928">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64CD933" w14:textId="77777777" w:rsidR="00D71928" w:rsidRPr="000A3117" w:rsidRDefault="00D71928" w:rsidP="00D71928">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1D353E64" w14:textId="77777777" w:rsidR="00D71928" w:rsidRPr="000A3117" w:rsidRDefault="00D71928" w:rsidP="00D71928">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EA73309" w14:textId="77777777" w:rsidR="00D71928" w:rsidRPr="000A3117" w:rsidRDefault="00D71928" w:rsidP="00D71928">
      <w:pPr>
        <w:pStyle w:val="Textonotapie"/>
        <w:ind w:firstLine="709"/>
        <w:jc w:val="both"/>
        <w:rPr>
          <w:rFonts w:ascii="Verdana" w:eastAsia="Times New Roman" w:hAnsi="Verdana" w:cs="Arial"/>
          <w:color w:val="000000"/>
          <w:sz w:val="16"/>
          <w:szCs w:val="16"/>
          <w:lang w:val="es-ES" w:eastAsia="es-ES"/>
        </w:rPr>
      </w:pPr>
    </w:p>
  </w:footnote>
  <w:footnote w:id="6">
    <w:p w14:paraId="0F5D964C" w14:textId="77777777" w:rsidR="00D71928" w:rsidRPr="000A3117" w:rsidRDefault="00D71928" w:rsidP="00D71928">
      <w:pPr>
        <w:pStyle w:val="Textonotapie"/>
        <w:ind w:firstLine="709"/>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C</w:t>
      </w:r>
      <w:r w:rsidRPr="000A3117">
        <w:rPr>
          <w:rFonts w:ascii="Verdana" w:eastAsia="Times New Roman" w:hAnsi="Verdana" w:cs="Arial"/>
          <w:color w:val="000000"/>
          <w:sz w:val="16"/>
          <w:szCs w:val="16"/>
          <w:lang w:val="es-ES" w:eastAsia="es-ES"/>
        </w:rPr>
        <w:t>orte Constitucional. Sentencia C‒274 de 9 de mayo de 2013. M.P. Mar</w:t>
      </w:r>
      <w:r w:rsidRPr="000A3117">
        <w:rPr>
          <w:rFonts w:ascii="Verdana" w:eastAsia="Times New Roman" w:hAnsi="Verdana" w:cs="Century Gothic"/>
          <w:color w:val="000000"/>
          <w:sz w:val="16"/>
          <w:szCs w:val="16"/>
          <w:lang w:val="es-ES" w:eastAsia="es-ES"/>
        </w:rPr>
        <w:t>í</w:t>
      </w:r>
      <w:r w:rsidRPr="000A3117">
        <w:rPr>
          <w:rFonts w:ascii="Verdana" w:eastAsia="Times New Roman" w:hAnsi="Verdana" w:cs="Arial"/>
          <w:color w:val="000000"/>
          <w:sz w:val="16"/>
          <w:szCs w:val="16"/>
          <w:lang w:val="es-ES" w:eastAsia="es-ES"/>
        </w:rPr>
        <w:t xml:space="preserve">a Victoria Calle Correa. </w:t>
      </w:r>
    </w:p>
    <w:p w14:paraId="145B93AA" w14:textId="77777777" w:rsidR="00D71928" w:rsidRPr="000A3117" w:rsidRDefault="00D71928" w:rsidP="00D71928">
      <w:pPr>
        <w:pStyle w:val="Textonotapie"/>
        <w:ind w:firstLine="709"/>
        <w:jc w:val="both"/>
        <w:rPr>
          <w:rFonts w:ascii="Verdana" w:hAnsi="Verdana" w:cs="Arial"/>
          <w:color w:val="000000"/>
          <w:sz w:val="16"/>
          <w:szCs w:val="16"/>
          <w:lang w:val="es-CO"/>
        </w:rPr>
      </w:pPr>
    </w:p>
  </w:footnote>
  <w:footnote w:id="7">
    <w:p w14:paraId="183CA120" w14:textId="77777777" w:rsidR="00D71928" w:rsidRPr="000A3117" w:rsidRDefault="00D71928" w:rsidP="00D71928">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68FDFD39" w14:textId="77777777" w:rsidR="00D71928" w:rsidRPr="000A3117" w:rsidRDefault="00D71928" w:rsidP="00D71928">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8">
    <w:p w14:paraId="72E8612D"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Style w:val="Refdenotaalpie"/>
          <w:rFonts w:ascii="Verdana" w:hAnsi="Verdana" w:cs="Arial"/>
          <w:sz w:val="16"/>
          <w:szCs w:val="16"/>
        </w:rPr>
        <w:footnoteRef/>
      </w:r>
      <w:r w:rsidRPr="000A3117">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57E4E3A6"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1. Los relacionados con la defensa o seguridad nacionales.  </w:t>
      </w:r>
    </w:p>
    <w:p w14:paraId="02FE2B27"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2. Las instrucciones en materia diplomática o sobre negociaciones reservadas.  </w:t>
      </w:r>
    </w:p>
    <w:p w14:paraId="6BCA3475"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474B5CAC"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312F201B"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5. Los datos referentes a la información financiera y comercial, en los términos de la Ley Estatutaria 1266 de 2008.  </w:t>
      </w:r>
    </w:p>
    <w:p w14:paraId="77EF7BAE"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6. Los protegidos por el secreto comercial o industrial, así como los planes estratégicos de las empresas públicas de servicios públicos.  </w:t>
      </w:r>
    </w:p>
    <w:p w14:paraId="3968B42D"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7. Los amparados por el secreto profesional.  </w:t>
      </w:r>
    </w:p>
    <w:p w14:paraId="00D506D5"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8. Los datos genéticos humanos.  </w:t>
      </w:r>
    </w:p>
    <w:p w14:paraId="0773BCC0" w14:textId="77777777" w:rsidR="00D71928" w:rsidRPr="000A3117" w:rsidRDefault="00D71928" w:rsidP="00D71928">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9">
    <w:p w14:paraId="7E1CBB08" w14:textId="77777777" w:rsidR="00D71928" w:rsidRPr="000A3117" w:rsidRDefault="00D71928" w:rsidP="00D71928">
      <w:pPr>
        <w:pStyle w:val="Textonotapie"/>
        <w:ind w:firstLine="709"/>
        <w:contextualSpacing/>
        <w:jc w:val="both"/>
        <w:rPr>
          <w:rFonts w:ascii="Verdana" w:hAnsi="Verdana" w:cs="Arial"/>
          <w:color w:val="000000"/>
          <w:sz w:val="16"/>
          <w:szCs w:val="16"/>
        </w:rPr>
      </w:pPr>
    </w:p>
    <w:p w14:paraId="2F4030D5" w14:textId="77777777" w:rsidR="00D71928" w:rsidRPr="000A3117" w:rsidRDefault="00D71928" w:rsidP="00D71928">
      <w:pPr>
        <w:pStyle w:val="Textonotapie"/>
        <w:ind w:firstLine="709"/>
        <w:contextualSpacing/>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“Numeral 1.1 Las Entidades Estatales de acuerdo con la definición del Decreto Reglamentario 1082 de 2015.  </w:t>
      </w:r>
    </w:p>
    <w:p w14:paraId="4C9E3478" w14:textId="77777777" w:rsidR="00D71928" w:rsidRPr="000A3117" w:rsidRDefault="00D71928" w:rsidP="00D71928">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6C4FB84E" w14:textId="77777777" w:rsidR="00D71928" w:rsidRPr="000A3117" w:rsidRDefault="00D71928" w:rsidP="00D71928">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Los particulares deberán publicar la información oficial de la contratación realizada con cargo a recursos públicos. Estos deberán realizar la publicación a través del módulo “Régimen Especial”.</w:t>
      </w:r>
    </w:p>
    <w:p w14:paraId="495E8AF0" w14:textId="77777777" w:rsidR="00D71928" w:rsidRPr="000A3117" w:rsidRDefault="00D71928" w:rsidP="00D71928">
      <w:pPr>
        <w:pStyle w:val="Textonotapie"/>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914774424">
    <w:abstractNumId w:val="5"/>
  </w:num>
  <w:num w:numId="2" w16cid:durableId="1817910325">
    <w:abstractNumId w:val="2"/>
  </w:num>
  <w:num w:numId="3" w16cid:durableId="1217737265">
    <w:abstractNumId w:val="3"/>
  </w:num>
  <w:num w:numId="4" w16cid:durableId="1043403746">
    <w:abstractNumId w:val="0"/>
  </w:num>
  <w:num w:numId="5" w16cid:durableId="1398627469">
    <w:abstractNumId w:val="8"/>
  </w:num>
  <w:num w:numId="6" w16cid:durableId="1553805781">
    <w:abstractNumId w:val="1"/>
  </w:num>
  <w:num w:numId="7" w16cid:durableId="1328823183">
    <w:abstractNumId w:val="4"/>
  </w:num>
  <w:num w:numId="8" w16cid:durableId="503592752">
    <w:abstractNumId w:val="7"/>
  </w:num>
  <w:num w:numId="9" w16cid:durableId="1239898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82E4C"/>
    <w:rsid w:val="000849D5"/>
    <w:rsid w:val="0008528F"/>
    <w:rsid w:val="00086D5F"/>
    <w:rsid w:val="000A6E0C"/>
    <w:rsid w:val="000A7A56"/>
    <w:rsid w:val="000B1FF7"/>
    <w:rsid w:val="000B2513"/>
    <w:rsid w:val="000B4024"/>
    <w:rsid w:val="000C3C51"/>
    <w:rsid w:val="000C7262"/>
    <w:rsid w:val="000D2A7F"/>
    <w:rsid w:val="000D4FCE"/>
    <w:rsid w:val="0011037E"/>
    <w:rsid w:val="00131DE6"/>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057"/>
    <w:rsid w:val="001D62FF"/>
    <w:rsid w:val="001E2306"/>
    <w:rsid w:val="001E35FA"/>
    <w:rsid w:val="001F3F48"/>
    <w:rsid w:val="002000AA"/>
    <w:rsid w:val="00204109"/>
    <w:rsid w:val="00211E6E"/>
    <w:rsid w:val="00212A46"/>
    <w:rsid w:val="0021401D"/>
    <w:rsid w:val="002146B8"/>
    <w:rsid w:val="00215516"/>
    <w:rsid w:val="00220E3C"/>
    <w:rsid w:val="002527C2"/>
    <w:rsid w:val="00270443"/>
    <w:rsid w:val="00270EE2"/>
    <w:rsid w:val="00272972"/>
    <w:rsid w:val="00286491"/>
    <w:rsid w:val="00293AAF"/>
    <w:rsid w:val="002A0F8D"/>
    <w:rsid w:val="002B6E44"/>
    <w:rsid w:val="002E1DB5"/>
    <w:rsid w:val="002F6CCB"/>
    <w:rsid w:val="0030461E"/>
    <w:rsid w:val="0032756A"/>
    <w:rsid w:val="003325DF"/>
    <w:rsid w:val="00334EF8"/>
    <w:rsid w:val="00336408"/>
    <w:rsid w:val="00340DFB"/>
    <w:rsid w:val="0034404F"/>
    <w:rsid w:val="00356980"/>
    <w:rsid w:val="00367462"/>
    <w:rsid w:val="00371ECA"/>
    <w:rsid w:val="00372748"/>
    <w:rsid w:val="0037332A"/>
    <w:rsid w:val="0038151A"/>
    <w:rsid w:val="0039082A"/>
    <w:rsid w:val="00390C21"/>
    <w:rsid w:val="003A0817"/>
    <w:rsid w:val="003A37BD"/>
    <w:rsid w:val="003A6B6E"/>
    <w:rsid w:val="003B6D94"/>
    <w:rsid w:val="003B7491"/>
    <w:rsid w:val="003C4C96"/>
    <w:rsid w:val="003C55E0"/>
    <w:rsid w:val="003F24E4"/>
    <w:rsid w:val="003F519B"/>
    <w:rsid w:val="00400679"/>
    <w:rsid w:val="0040544F"/>
    <w:rsid w:val="00406A19"/>
    <w:rsid w:val="0041222D"/>
    <w:rsid w:val="0041483E"/>
    <w:rsid w:val="00415369"/>
    <w:rsid w:val="00430492"/>
    <w:rsid w:val="00450526"/>
    <w:rsid w:val="00450BE7"/>
    <w:rsid w:val="00455AE9"/>
    <w:rsid w:val="00456A52"/>
    <w:rsid w:val="0046741E"/>
    <w:rsid w:val="00472CC6"/>
    <w:rsid w:val="0048026E"/>
    <w:rsid w:val="004807A9"/>
    <w:rsid w:val="004813EE"/>
    <w:rsid w:val="00483E15"/>
    <w:rsid w:val="00493278"/>
    <w:rsid w:val="004943D9"/>
    <w:rsid w:val="004A0E7B"/>
    <w:rsid w:val="004A3498"/>
    <w:rsid w:val="004B0C45"/>
    <w:rsid w:val="004C0AB2"/>
    <w:rsid w:val="004C1619"/>
    <w:rsid w:val="004C1A26"/>
    <w:rsid w:val="004C1CC9"/>
    <w:rsid w:val="004C3755"/>
    <w:rsid w:val="004C4485"/>
    <w:rsid w:val="004D11AF"/>
    <w:rsid w:val="004D7DD2"/>
    <w:rsid w:val="00500DFA"/>
    <w:rsid w:val="005019AA"/>
    <w:rsid w:val="005021BB"/>
    <w:rsid w:val="005139E7"/>
    <w:rsid w:val="005147DA"/>
    <w:rsid w:val="0051510F"/>
    <w:rsid w:val="00515FB5"/>
    <w:rsid w:val="0052365C"/>
    <w:rsid w:val="005271EB"/>
    <w:rsid w:val="005426DB"/>
    <w:rsid w:val="0055082B"/>
    <w:rsid w:val="00552503"/>
    <w:rsid w:val="00552B57"/>
    <w:rsid w:val="00557DA1"/>
    <w:rsid w:val="0056322C"/>
    <w:rsid w:val="0058743A"/>
    <w:rsid w:val="005A4DB0"/>
    <w:rsid w:val="005A7B8E"/>
    <w:rsid w:val="005B012B"/>
    <w:rsid w:val="005B0C87"/>
    <w:rsid w:val="005D23F6"/>
    <w:rsid w:val="005D2FA8"/>
    <w:rsid w:val="005E2281"/>
    <w:rsid w:val="005E2DFA"/>
    <w:rsid w:val="005E667C"/>
    <w:rsid w:val="005F077C"/>
    <w:rsid w:val="005F35A9"/>
    <w:rsid w:val="005F63D0"/>
    <w:rsid w:val="005F7973"/>
    <w:rsid w:val="0061653B"/>
    <w:rsid w:val="0061690E"/>
    <w:rsid w:val="00627361"/>
    <w:rsid w:val="0063017E"/>
    <w:rsid w:val="00631B28"/>
    <w:rsid w:val="00632E8A"/>
    <w:rsid w:val="00645B90"/>
    <w:rsid w:val="00650991"/>
    <w:rsid w:val="006511D7"/>
    <w:rsid w:val="00663D75"/>
    <w:rsid w:val="00670AEF"/>
    <w:rsid w:val="00670D06"/>
    <w:rsid w:val="00675678"/>
    <w:rsid w:val="00677012"/>
    <w:rsid w:val="006825B4"/>
    <w:rsid w:val="00682AF2"/>
    <w:rsid w:val="006864DF"/>
    <w:rsid w:val="006A3C8A"/>
    <w:rsid w:val="006A7552"/>
    <w:rsid w:val="006B5953"/>
    <w:rsid w:val="006B7A81"/>
    <w:rsid w:val="006C4167"/>
    <w:rsid w:val="006C4BAC"/>
    <w:rsid w:val="006C52F3"/>
    <w:rsid w:val="006E7F37"/>
    <w:rsid w:val="006F3B81"/>
    <w:rsid w:val="006F4F79"/>
    <w:rsid w:val="00705B37"/>
    <w:rsid w:val="00711FD9"/>
    <w:rsid w:val="007129AF"/>
    <w:rsid w:val="00720E19"/>
    <w:rsid w:val="00735062"/>
    <w:rsid w:val="00742944"/>
    <w:rsid w:val="00746BA5"/>
    <w:rsid w:val="007471E6"/>
    <w:rsid w:val="00751D23"/>
    <w:rsid w:val="00770562"/>
    <w:rsid w:val="00770577"/>
    <w:rsid w:val="00777666"/>
    <w:rsid w:val="0078159B"/>
    <w:rsid w:val="00782E10"/>
    <w:rsid w:val="0078706B"/>
    <w:rsid w:val="00790836"/>
    <w:rsid w:val="00797131"/>
    <w:rsid w:val="007A3C1D"/>
    <w:rsid w:val="007B285D"/>
    <w:rsid w:val="007C6BC6"/>
    <w:rsid w:val="00801DCC"/>
    <w:rsid w:val="00807D79"/>
    <w:rsid w:val="00813634"/>
    <w:rsid w:val="00822821"/>
    <w:rsid w:val="00831C29"/>
    <w:rsid w:val="008431EF"/>
    <w:rsid w:val="008468E0"/>
    <w:rsid w:val="00871B59"/>
    <w:rsid w:val="00877D03"/>
    <w:rsid w:val="00877E96"/>
    <w:rsid w:val="008806CA"/>
    <w:rsid w:val="008815E5"/>
    <w:rsid w:val="00887B37"/>
    <w:rsid w:val="008909B9"/>
    <w:rsid w:val="00891DFC"/>
    <w:rsid w:val="008B12B4"/>
    <w:rsid w:val="008B496B"/>
    <w:rsid w:val="008B7914"/>
    <w:rsid w:val="008C5D2A"/>
    <w:rsid w:val="008C7AF4"/>
    <w:rsid w:val="008D529F"/>
    <w:rsid w:val="008F5CC8"/>
    <w:rsid w:val="009061B8"/>
    <w:rsid w:val="0091008B"/>
    <w:rsid w:val="00911EA2"/>
    <w:rsid w:val="00916C7D"/>
    <w:rsid w:val="00925555"/>
    <w:rsid w:val="0092575D"/>
    <w:rsid w:val="009341DA"/>
    <w:rsid w:val="009430F9"/>
    <w:rsid w:val="009442E8"/>
    <w:rsid w:val="00946BD0"/>
    <w:rsid w:val="0095426C"/>
    <w:rsid w:val="00970087"/>
    <w:rsid w:val="00971074"/>
    <w:rsid w:val="00995D86"/>
    <w:rsid w:val="009A5453"/>
    <w:rsid w:val="009B4D94"/>
    <w:rsid w:val="009C2871"/>
    <w:rsid w:val="009D3C33"/>
    <w:rsid w:val="009D7F3A"/>
    <w:rsid w:val="009E4885"/>
    <w:rsid w:val="00A07B36"/>
    <w:rsid w:val="00A07DB6"/>
    <w:rsid w:val="00A10A73"/>
    <w:rsid w:val="00A11FBE"/>
    <w:rsid w:val="00A170B3"/>
    <w:rsid w:val="00A223D5"/>
    <w:rsid w:val="00A37D1C"/>
    <w:rsid w:val="00A5453E"/>
    <w:rsid w:val="00A56F6C"/>
    <w:rsid w:val="00A617D8"/>
    <w:rsid w:val="00A76C8C"/>
    <w:rsid w:val="00A85F30"/>
    <w:rsid w:val="00A9099E"/>
    <w:rsid w:val="00A91FB7"/>
    <w:rsid w:val="00A9298F"/>
    <w:rsid w:val="00AA0351"/>
    <w:rsid w:val="00AA5F4A"/>
    <w:rsid w:val="00AB1984"/>
    <w:rsid w:val="00AB52B1"/>
    <w:rsid w:val="00AC4CB3"/>
    <w:rsid w:val="00AC780D"/>
    <w:rsid w:val="00AD036B"/>
    <w:rsid w:val="00AD1996"/>
    <w:rsid w:val="00AD4099"/>
    <w:rsid w:val="00AD4901"/>
    <w:rsid w:val="00B02FE0"/>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91B81"/>
    <w:rsid w:val="00B97135"/>
    <w:rsid w:val="00B9721C"/>
    <w:rsid w:val="00BB3072"/>
    <w:rsid w:val="00BC4F89"/>
    <w:rsid w:val="00BC7632"/>
    <w:rsid w:val="00BD48A9"/>
    <w:rsid w:val="00BD630F"/>
    <w:rsid w:val="00BD7EC6"/>
    <w:rsid w:val="00BE3BF9"/>
    <w:rsid w:val="00BE73FA"/>
    <w:rsid w:val="00BF6B4B"/>
    <w:rsid w:val="00C0511C"/>
    <w:rsid w:val="00C20ACF"/>
    <w:rsid w:val="00C22307"/>
    <w:rsid w:val="00C23469"/>
    <w:rsid w:val="00C24878"/>
    <w:rsid w:val="00C30C62"/>
    <w:rsid w:val="00C360A4"/>
    <w:rsid w:val="00C371DF"/>
    <w:rsid w:val="00C42055"/>
    <w:rsid w:val="00C44B4C"/>
    <w:rsid w:val="00C46734"/>
    <w:rsid w:val="00C47A86"/>
    <w:rsid w:val="00C5277A"/>
    <w:rsid w:val="00C53220"/>
    <w:rsid w:val="00CA3347"/>
    <w:rsid w:val="00CC299A"/>
    <w:rsid w:val="00CD03E3"/>
    <w:rsid w:val="00CE6BDA"/>
    <w:rsid w:val="00D027A0"/>
    <w:rsid w:val="00D03DBE"/>
    <w:rsid w:val="00D072C0"/>
    <w:rsid w:val="00D34C82"/>
    <w:rsid w:val="00D3757A"/>
    <w:rsid w:val="00D504A9"/>
    <w:rsid w:val="00D5206D"/>
    <w:rsid w:val="00D7177D"/>
    <w:rsid w:val="00D71928"/>
    <w:rsid w:val="00D81311"/>
    <w:rsid w:val="00DB201E"/>
    <w:rsid w:val="00DC0E68"/>
    <w:rsid w:val="00DC54D7"/>
    <w:rsid w:val="00DD25ED"/>
    <w:rsid w:val="00DE0D6E"/>
    <w:rsid w:val="00DE42FD"/>
    <w:rsid w:val="00E1610C"/>
    <w:rsid w:val="00E16D73"/>
    <w:rsid w:val="00E23E9E"/>
    <w:rsid w:val="00E25722"/>
    <w:rsid w:val="00E27F0A"/>
    <w:rsid w:val="00E4231E"/>
    <w:rsid w:val="00E423E2"/>
    <w:rsid w:val="00E4302C"/>
    <w:rsid w:val="00E44AC7"/>
    <w:rsid w:val="00E45F4B"/>
    <w:rsid w:val="00E574B3"/>
    <w:rsid w:val="00E60A16"/>
    <w:rsid w:val="00E82B6E"/>
    <w:rsid w:val="00E94258"/>
    <w:rsid w:val="00E96C18"/>
    <w:rsid w:val="00EA2E61"/>
    <w:rsid w:val="00EA4E95"/>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21EF"/>
    <w:rsid w:val="00F24435"/>
    <w:rsid w:val="00F30C0F"/>
    <w:rsid w:val="00F314E8"/>
    <w:rsid w:val="00F323A2"/>
    <w:rsid w:val="00F33B57"/>
    <w:rsid w:val="00F33D5C"/>
    <w:rsid w:val="00F34E90"/>
    <w:rsid w:val="00F356D6"/>
    <w:rsid w:val="00F53BE2"/>
    <w:rsid w:val="00F55684"/>
    <w:rsid w:val="00F64D5A"/>
    <w:rsid w:val="00F709CD"/>
    <w:rsid w:val="00F90029"/>
    <w:rsid w:val="00F906F4"/>
    <w:rsid w:val="00FA0716"/>
    <w:rsid w:val="00FB4629"/>
    <w:rsid w:val="00FB6FB1"/>
    <w:rsid w:val="00FB7063"/>
    <w:rsid w:val="00FC7056"/>
    <w:rsid w:val="00FE1A00"/>
    <w:rsid w:val="00FE6E1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158346934">
      <w:bodyDiv w:val="1"/>
      <w:marLeft w:val="0"/>
      <w:marRight w:val="0"/>
      <w:marTop w:val="0"/>
      <w:marBottom w:val="0"/>
      <w:divBdr>
        <w:top w:val="none" w:sz="0" w:space="0" w:color="auto"/>
        <w:left w:val="none" w:sz="0" w:space="0" w:color="auto"/>
        <w:bottom w:val="none" w:sz="0" w:space="0" w:color="auto"/>
        <w:right w:val="none" w:sz="0" w:space="0" w:color="auto"/>
      </w:divBdr>
    </w:div>
    <w:div w:id="516583723">
      <w:bodyDiv w:val="1"/>
      <w:marLeft w:val="0"/>
      <w:marRight w:val="0"/>
      <w:marTop w:val="0"/>
      <w:marBottom w:val="0"/>
      <w:divBdr>
        <w:top w:val="none" w:sz="0" w:space="0" w:color="auto"/>
        <w:left w:val="none" w:sz="0" w:space="0" w:color="auto"/>
        <w:bottom w:val="none" w:sz="0" w:space="0" w:color="auto"/>
        <w:right w:val="none" w:sz="0" w:space="0" w:color="auto"/>
      </w:divBdr>
    </w:div>
    <w:div w:id="56676493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639657315">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18461211">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36106918">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06.html"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ntrolinterno@terminaldetransportesdevalledupar.gov.co"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colombiacompra.gov.co/sites/cce_public/files/cce_circulares/doc-20240823-wa0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chrome-extension://efaidnbmnnnibpcajpcglclefindmkaj/https:/www.colombiacompra.gov.co/sites/cce_public/files/cce_circulares/circular_externa_unica_version_3_vf4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constitucion_politica_1991_pr009.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4046</Words>
  <Characters>22254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7</cp:revision>
  <dcterms:created xsi:type="dcterms:W3CDTF">2024-11-18T22:31:00Z</dcterms:created>
  <dcterms:modified xsi:type="dcterms:W3CDTF">2024-11-26T16:13:00Z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