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88E8" w14:textId="359E75BC" w:rsidR="00D02B79" w:rsidRDefault="00D02B79" w:rsidP="00F37236">
      <w:pPr>
        <w:spacing w:after="0" w:line="240" w:lineRule="auto"/>
        <w:jc w:val="both"/>
        <w:rPr>
          <w:rFonts w:ascii="Verdana" w:eastAsia="Calibri" w:hAnsi="Verdana" w:cs="Arial"/>
          <w:b/>
          <w:bCs/>
          <w:lang w:val="es-ES_tradnl"/>
        </w:rPr>
      </w:pPr>
      <w:r w:rsidRPr="00D02B79">
        <w:rPr>
          <w:rFonts w:ascii="Verdana" w:eastAsia="Calibri" w:hAnsi="Verdana" w:cs="Arial"/>
          <w:b/>
          <w:bCs/>
          <w:lang w:val="es-ES_tradnl"/>
        </w:rPr>
        <w:t xml:space="preserve">DOCUMENTOS TIPO </w:t>
      </w:r>
      <w:r w:rsidRPr="00D02B79">
        <w:rPr>
          <w:rFonts w:ascii="Verdana" w:eastAsia="Calibri" w:hAnsi="Verdana" w:cs="Arial"/>
          <w:b/>
          <w:bCs/>
        </w:rPr>
        <w:t>–</w:t>
      </w:r>
      <w:r w:rsidRPr="00D02B79">
        <w:rPr>
          <w:rFonts w:ascii="Verdana" w:eastAsia="Calibri" w:hAnsi="Verdana" w:cs="Arial"/>
          <w:b/>
          <w:bCs/>
          <w:lang w:val="es-ES_tradnl"/>
        </w:rPr>
        <w:t xml:space="preserve"> Inalterabilidad </w:t>
      </w:r>
      <w:r w:rsidRPr="00D02B79">
        <w:rPr>
          <w:rFonts w:ascii="Verdana" w:eastAsia="Calibri" w:hAnsi="Verdana" w:cs="Arial"/>
          <w:b/>
          <w:bCs/>
        </w:rPr>
        <w:t>–</w:t>
      </w:r>
      <w:r w:rsidRPr="00D02B79">
        <w:rPr>
          <w:rFonts w:ascii="Verdana" w:eastAsia="Calibri" w:hAnsi="Verdana" w:cs="Arial"/>
          <w:b/>
          <w:bCs/>
          <w:lang w:val="es-ES_tradnl"/>
        </w:rPr>
        <w:t xml:space="preserve"> Configuración – Pliego de condiciones </w:t>
      </w:r>
      <w:r w:rsidRPr="00D02B79">
        <w:rPr>
          <w:rFonts w:ascii="Verdana" w:eastAsia="Calibri" w:hAnsi="Verdana" w:cs="Arial"/>
          <w:b/>
          <w:bCs/>
        </w:rPr>
        <w:t>–</w:t>
      </w:r>
      <w:r w:rsidRPr="00D02B79">
        <w:rPr>
          <w:rFonts w:ascii="Verdana" w:eastAsia="Calibri" w:hAnsi="Verdana" w:cs="Arial"/>
          <w:b/>
          <w:bCs/>
          <w:lang w:val="es-ES_tradnl"/>
        </w:rPr>
        <w:t xml:space="preserve"> Alcance</w:t>
      </w:r>
    </w:p>
    <w:p w14:paraId="1B177501" w14:textId="6DF07AAE" w:rsidR="00194CFD" w:rsidRDefault="00194CFD" w:rsidP="00F37236">
      <w:pPr>
        <w:spacing w:after="0" w:line="240" w:lineRule="auto"/>
        <w:jc w:val="both"/>
        <w:rPr>
          <w:rFonts w:ascii="Verdana" w:eastAsia="Calibri" w:hAnsi="Verdana" w:cs="Arial"/>
          <w:b/>
          <w:bCs/>
          <w:lang w:val="es-ES_tradnl"/>
        </w:rPr>
      </w:pPr>
    </w:p>
    <w:p w14:paraId="5A29D2AB" w14:textId="77777777" w:rsidR="00194CFD" w:rsidRPr="00194CFD" w:rsidRDefault="00194CFD" w:rsidP="00194CFD">
      <w:pPr>
        <w:shd w:val="clear" w:color="auto" w:fill="FFFFFF"/>
        <w:spacing w:line="276" w:lineRule="auto"/>
        <w:jc w:val="both"/>
        <w:textAlignment w:val="baseline"/>
        <w:rPr>
          <w:rFonts w:ascii="Verdana" w:hAnsi="Verdana" w:cs="Arial"/>
          <w:b/>
          <w:bCs/>
          <w:color w:val="000000"/>
          <w:sz w:val="20"/>
          <w:szCs w:val="20"/>
          <w:lang w:eastAsia="es-CO"/>
        </w:rPr>
      </w:pPr>
      <w:r w:rsidRPr="00194CFD">
        <w:rPr>
          <w:rFonts w:ascii="Verdana" w:hAnsi="Verdana" w:cs="Arial"/>
          <w:bCs/>
          <w:sz w:val="20"/>
          <w:szCs w:val="20"/>
          <w:lang w:val="es-ES_tradnl"/>
        </w:rPr>
        <w:t>El artículo 2.2.1.2.6.1.4 del Decreto 1082 de 2015 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194CFD">
        <w:rPr>
          <w:rStyle w:val="Refdenotaalpie"/>
          <w:rFonts w:ascii="Verdana" w:hAnsi="Verdana" w:cs="Arial"/>
          <w:bCs/>
          <w:sz w:val="20"/>
          <w:szCs w:val="20"/>
          <w:lang w:val="es-ES_tradnl"/>
        </w:rPr>
        <w:footnoteReference w:id="1"/>
      </w:r>
      <w:r w:rsidRPr="00194CFD">
        <w:rPr>
          <w:rFonts w:ascii="Verdana" w:hAnsi="Verdana" w:cs="Arial"/>
          <w:bCs/>
          <w:sz w:val="20"/>
          <w:szCs w:val="20"/>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 </w:t>
      </w:r>
    </w:p>
    <w:p w14:paraId="1183D80B" w14:textId="77777777" w:rsidR="00194CFD" w:rsidRPr="00194CFD" w:rsidRDefault="00194CFD" w:rsidP="00194CFD">
      <w:pPr>
        <w:spacing w:after="0" w:line="240" w:lineRule="auto"/>
        <w:jc w:val="both"/>
        <w:rPr>
          <w:rFonts w:ascii="Times New Roman" w:hAnsi="Times New Roman" w:cs="Times New Roman"/>
          <w:sz w:val="20"/>
          <w:szCs w:val="20"/>
          <w:lang w:eastAsia="es-CO"/>
        </w:rPr>
      </w:pPr>
      <w:r w:rsidRPr="00194CFD">
        <w:rPr>
          <w:rFonts w:ascii="Verdana" w:hAnsi="Verdana" w:cs="Arial"/>
          <w:bCs/>
          <w:sz w:val="20"/>
          <w:szCs w:val="20"/>
          <w:lang w:val="es-ES_tradnl"/>
        </w:rPr>
        <w:t>Esta prohibición se ratifica en el artículo 3 de la Resolución No. 240 de 2020,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r w:rsidRPr="00194CFD">
        <w:rPr>
          <w:rFonts w:ascii="Times New Roman" w:hAnsi="Times New Roman" w:cs="Times New Roman"/>
          <w:sz w:val="20"/>
          <w:szCs w:val="20"/>
          <w:lang w:eastAsia="es-CO"/>
        </w:rPr>
        <w:t xml:space="preserve"> </w:t>
      </w:r>
    </w:p>
    <w:p w14:paraId="57931A73" w14:textId="77777777" w:rsidR="00D02B79" w:rsidRPr="00D02B79" w:rsidRDefault="00D02B79" w:rsidP="00F37236">
      <w:pPr>
        <w:spacing w:after="0" w:line="240" w:lineRule="auto"/>
        <w:jc w:val="both"/>
        <w:rPr>
          <w:rFonts w:ascii="Verdana" w:eastAsia="Calibri" w:hAnsi="Verdana" w:cs="Arial"/>
          <w:b/>
          <w:bCs/>
          <w:lang w:val="es-ES_tradnl"/>
        </w:rPr>
      </w:pPr>
    </w:p>
    <w:p w14:paraId="70039519" w14:textId="547BE5FA" w:rsidR="00D02B79" w:rsidRPr="00D02B79" w:rsidRDefault="00D02B79" w:rsidP="00F37236">
      <w:pPr>
        <w:spacing w:after="0" w:line="240" w:lineRule="auto"/>
        <w:jc w:val="both"/>
        <w:rPr>
          <w:rFonts w:ascii="Verdana" w:eastAsia="Geomanist Light" w:hAnsi="Verdana" w:cs="Arial"/>
          <w:b/>
          <w:bCs/>
          <w:color w:val="000000" w:themeColor="text1"/>
          <w:lang w:val="es-MX"/>
        </w:rPr>
      </w:pPr>
      <w:r w:rsidRPr="00D02B79">
        <w:rPr>
          <w:rFonts w:ascii="Verdana" w:eastAsia="Calibri" w:hAnsi="Verdana" w:cs="Arial"/>
          <w:b/>
          <w:bCs/>
          <w:lang w:val="es-ES_tradnl"/>
        </w:rPr>
        <w:t xml:space="preserve">DOCUMENTOS TIPO </w:t>
      </w:r>
      <w:r w:rsidRPr="00D02B79">
        <w:rPr>
          <w:rFonts w:ascii="Verdana" w:eastAsia="Calibri" w:hAnsi="Verdana" w:cs="Arial"/>
          <w:b/>
          <w:bCs/>
        </w:rPr>
        <w:t>–</w:t>
      </w:r>
      <w:r w:rsidRPr="00D02B79">
        <w:rPr>
          <w:rFonts w:ascii="Verdana" w:eastAsia="Calibri" w:hAnsi="Verdana" w:cs="Arial"/>
          <w:b/>
          <w:bCs/>
          <w:lang w:val="es-ES_tradnl"/>
        </w:rPr>
        <w:t xml:space="preserve"> Inalterabilidad </w:t>
      </w:r>
      <w:r w:rsidRPr="00D02B79">
        <w:rPr>
          <w:rFonts w:ascii="Verdana" w:eastAsia="Calibri" w:hAnsi="Verdana" w:cs="Arial"/>
          <w:b/>
          <w:bCs/>
        </w:rPr>
        <w:t>–</w:t>
      </w:r>
      <w:r w:rsidRPr="00D02B79">
        <w:rPr>
          <w:rFonts w:ascii="Verdana" w:eastAsia="Calibri" w:hAnsi="Verdana" w:cs="Arial"/>
          <w:b/>
          <w:bCs/>
          <w:lang w:val="es-ES_tradnl"/>
        </w:rPr>
        <w:t xml:space="preserve"> Prevalencia del derecho sustancial</w:t>
      </w:r>
    </w:p>
    <w:p w14:paraId="03EE82BD" w14:textId="0E05C5B3" w:rsidR="00D02B79" w:rsidRDefault="00D02B79" w:rsidP="00F37236">
      <w:pPr>
        <w:spacing w:after="0" w:line="240" w:lineRule="auto"/>
        <w:jc w:val="both"/>
        <w:rPr>
          <w:rFonts w:ascii="Verdana" w:eastAsia="Geomanist Light" w:hAnsi="Verdana" w:cs="Arial"/>
          <w:color w:val="000000" w:themeColor="text1"/>
          <w:lang w:val="es-MX"/>
        </w:rPr>
      </w:pPr>
    </w:p>
    <w:p w14:paraId="0E7E2272" w14:textId="3D199A44" w:rsidR="00194CFD" w:rsidRPr="00194CFD" w:rsidRDefault="00194CFD" w:rsidP="00F37236">
      <w:pPr>
        <w:spacing w:after="0" w:line="240" w:lineRule="auto"/>
        <w:jc w:val="both"/>
        <w:rPr>
          <w:rFonts w:ascii="Verdana" w:eastAsia="Geomanist Light" w:hAnsi="Verdana" w:cs="Arial"/>
          <w:color w:val="000000" w:themeColor="text1"/>
          <w:sz w:val="20"/>
          <w:szCs w:val="20"/>
          <w:lang w:val="es-MX"/>
        </w:rPr>
      </w:pPr>
      <w:r w:rsidRPr="00194CFD">
        <w:rPr>
          <w:rFonts w:ascii="Verdana" w:hAnsi="Verdana" w:cs="Arial"/>
          <w:sz w:val="20"/>
          <w:szCs w:val="20"/>
          <w:lang w:val="es-ES"/>
        </w:rPr>
        <w:t xml:space="preserve">Esta regulación se retoma </w:t>
      </w:r>
      <w:r w:rsidRPr="00194CFD">
        <w:rPr>
          <w:rFonts w:ascii="Verdana" w:hAnsi="Verdana" w:cs="Arial"/>
          <w:i/>
          <w:iCs/>
          <w:sz w:val="20"/>
          <w:szCs w:val="20"/>
          <w:lang w:val="es-ES"/>
        </w:rPr>
        <w:t>mutatis mutandis</w:t>
      </w:r>
      <w:r w:rsidRPr="00194CFD">
        <w:rPr>
          <w:rFonts w:ascii="Verdana" w:hAnsi="Verdana" w:cs="Arial"/>
          <w:sz w:val="20"/>
          <w:szCs w:val="20"/>
          <w:lang w:val="es-ES"/>
        </w:rPr>
        <w:t xml:space="preserve"> para las demás modalidades de selección en los que la Agencia ha ejercido la competencia descrita en el párrafo anterior. Por ello, teniendo en cuenta que los indicadores financieros hacen parte de los requisitos habilitantes, en los procesos regidos por documentos tipo éstos se verifican de acuerdo con el contenido estandarizado del pliego de condiciones, por lo que las entidades se sujetan a ellos sin posibilidad de modificarlos.</w:t>
      </w:r>
    </w:p>
    <w:p w14:paraId="3B09E5A7" w14:textId="77777777" w:rsidR="00D02B79" w:rsidRDefault="00D02B79" w:rsidP="00F37236">
      <w:pPr>
        <w:spacing w:after="0" w:line="240" w:lineRule="auto"/>
        <w:jc w:val="both"/>
        <w:rPr>
          <w:rFonts w:ascii="Verdana" w:eastAsia="Geomanist Light" w:hAnsi="Verdana" w:cs="Arial"/>
          <w:color w:val="000000" w:themeColor="text1"/>
          <w:lang w:val="es-MX"/>
        </w:rPr>
      </w:pPr>
    </w:p>
    <w:p w14:paraId="1B65B4FD" w14:textId="77777777" w:rsidR="00D02B79" w:rsidRDefault="00D02B79" w:rsidP="00F37236">
      <w:pPr>
        <w:spacing w:after="0" w:line="240" w:lineRule="auto"/>
        <w:jc w:val="both"/>
        <w:rPr>
          <w:rFonts w:ascii="Verdana" w:eastAsia="Geomanist Light" w:hAnsi="Verdana" w:cs="Arial"/>
          <w:color w:val="000000" w:themeColor="text1"/>
          <w:lang w:val="es-MX"/>
        </w:rPr>
      </w:pPr>
    </w:p>
    <w:p w14:paraId="64010AD8" w14:textId="77777777" w:rsidR="00D02B79" w:rsidRDefault="00D02B79" w:rsidP="00F37236">
      <w:pPr>
        <w:spacing w:after="0" w:line="240" w:lineRule="auto"/>
        <w:jc w:val="both"/>
        <w:rPr>
          <w:rFonts w:ascii="Verdana" w:eastAsia="Geomanist Light" w:hAnsi="Verdana" w:cs="Arial"/>
          <w:color w:val="000000" w:themeColor="text1"/>
          <w:lang w:val="es-MX"/>
        </w:rPr>
      </w:pPr>
    </w:p>
    <w:p w14:paraId="70DD90CC" w14:textId="77777777" w:rsidR="00D02B79" w:rsidRDefault="00D02B79" w:rsidP="00F37236">
      <w:pPr>
        <w:spacing w:after="0" w:line="240" w:lineRule="auto"/>
        <w:jc w:val="both"/>
        <w:rPr>
          <w:rFonts w:ascii="Verdana" w:eastAsia="Geomanist Light" w:hAnsi="Verdana" w:cs="Arial"/>
          <w:color w:val="000000" w:themeColor="text1"/>
          <w:lang w:val="es-MX"/>
        </w:rPr>
      </w:pPr>
    </w:p>
    <w:p w14:paraId="1318663A" w14:textId="77777777" w:rsidR="00D02B79" w:rsidRDefault="00D02B79" w:rsidP="00F37236">
      <w:pPr>
        <w:spacing w:after="0" w:line="240" w:lineRule="auto"/>
        <w:jc w:val="both"/>
        <w:rPr>
          <w:rFonts w:ascii="Verdana" w:eastAsia="Geomanist Light" w:hAnsi="Verdana" w:cs="Arial"/>
          <w:color w:val="000000" w:themeColor="text1"/>
          <w:lang w:val="es-MX"/>
        </w:rPr>
      </w:pPr>
    </w:p>
    <w:p w14:paraId="3A57B4FB" w14:textId="77777777" w:rsidR="00D02B79" w:rsidRDefault="00D02B79" w:rsidP="00F37236">
      <w:pPr>
        <w:spacing w:after="0" w:line="240" w:lineRule="auto"/>
        <w:jc w:val="both"/>
        <w:rPr>
          <w:rFonts w:ascii="Verdana" w:eastAsia="Geomanist Light" w:hAnsi="Verdana" w:cs="Arial"/>
          <w:color w:val="000000" w:themeColor="text1"/>
          <w:lang w:val="es-MX"/>
        </w:rPr>
      </w:pPr>
    </w:p>
    <w:p w14:paraId="53129AC4" w14:textId="77777777" w:rsidR="00D02B79" w:rsidRDefault="00D02B79" w:rsidP="00F37236">
      <w:pPr>
        <w:spacing w:after="0" w:line="240" w:lineRule="auto"/>
        <w:jc w:val="both"/>
        <w:rPr>
          <w:rFonts w:ascii="Verdana" w:eastAsia="Geomanist Light" w:hAnsi="Verdana" w:cs="Arial"/>
          <w:color w:val="000000" w:themeColor="text1"/>
          <w:lang w:val="es-MX"/>
        </w:rPr>
      </w:pPr>
    </w:p>
    <w:p w14:paraId="1C35F37E" w14:textId="77777777" w:rsidR="00D02B79" w:rsidRDefault="00D02B79" w:rsidP="00F37236">
      <w:pPr>
        <w:spacing w:after="0" w:line="240" w:lineRule="auto"/>
        <w:jc w:val="both"/>
        <w:rPr>
          <w:rFonts w:ascii="Verdana" w:eastAsia="Geomanist Light" w:hAnsi="Verdana" w:cs="Arial"/>
          <w:color w:val="000000" w:themeColor="text1"/>
          <w:lang w:val="es-MX"/>
        </w:rPr>
      </w:pPr>
    </w:p>
    <w:p w14:paraId="16F85F9A" w14:textId="03C516A9" w:rsidR="00D02B79" w:rsidRDefault="00D02B79" w:rsidP="00F37236">
      <w:pPr>
        <w:spacing w:after="0" w:line="240" w:lineRule="auto"/>
        <w:jc w:val="both"/>
        <w:rPr>
          <w:rFonts w:ascii="Verdana" w:eastAsia="Geomanist Light" w:hAnsi="Verdana" w:cs="Arial"/>
          <w:color w:val="000000" w:themeColor="text1"/>
          <w:lang w:val="es-MX"/>
        </w:rPr>
      </w:pPr>
    </w:p>
    <w:p w14:paraId="3B030FD0" w14:textId="77777777" w:rsidR="00194CFD" w:rsidRDefault="00194CFD" w:rsidP="00F37236">
      <w:pPr>
        <w:spacing w:after="0" w:line="240" w:lineRule="auto"/>
        <w:jc w:val="both"/>
        <w:rPr>
          <w:rFonts w:ascii="Verdana" w:eastAsia="Geomanist Light" w:hAnsi="Verdana" w:cs="Arial"/>
          <w:color w:val="000000" w:themeColor="text1"/>
          <w:lang w:val="es-MX"/>
        </w:rPr>
      </w:pPr>
    </w:p>
    <w:p w14:paraId="12D1E7A1" w14:textId="41488A8F" w:rsidR="00F37236" w:rsidRPr="00DB30F3" w:rsidRDefault="00F37236" w:rsidP="00F37236">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[Mes.NombreCapitalizado] de [Año]</w:t>
      </w:r>
    </w:p>
    <w:p w14:paraId="19AFCC74" w14:textId="77777777" w:rsidR="00F37236" w:rsidRPr="00593A5F" w:rsidRDefault="00F37236" w:rsidP="00F37236">
      <w:pPr>
        <w:spacing w:after="0" w:line="240" w:lineRule="auto"/>
        <w:jc w:val="both"/>
        <w:rPr>
          <w:rFonts w:ascii="Verdana" w:eastAsia="Calibri" w:hAnsi="Verdana" w:cs="Arial"/>
          <w:color w:val="000000"/>
          <w:lang w:val="es-ES"/>
        </w:rPr>
      </w:pPr>
    </w:p>
    <w:p w14:paraId="08434421" w14:textId="6AC0317E" w:rsidR="00F37236" w:rsidRDefault="00F16D71" w:rsidP="00F37236">
      <w:pPr>
        <w:spacing w:after="0" w:line="240" w:lineRule="auto"/>
        <w:jc w:val="both"/>
        <w:rPr>
          <w:rFonts w:ascii="Verdana" w:eastAsia="Calibri" w:hAnsi="Verdana" w:cs="Arial"/>
          <w:lang w:val="es-ES" w:eastAsia="es-ES"/>
        </w:rPr>
      </w:pPr>
      <w:r w:rsidRPr="00F16D71">
        <w:rPr>
          <w:rFonts w:ascii="Verdana" w:hAnsi="Verdana"/>
          <w:b/>
          <w:bCs/>
          <w:noProof/>
        </w:rPr>
        <w:drawing>
          <wp:anchor distT="0" distB="0" distL="114300" distR="114300" simplePos="0" relativeHeight="251660288" behindDoc="0" locked="0" layoutInCell="1" allowOverlap="1" wp14:anchorId="4CFE4923" wp14:editId="6A37A276">
            <wp:simplePos x="0" y="0"/>
            <wp:positionH relativeFrom="margin">
              <wp:align>right</wp:align>
            </wp:positionH>
            <wp:positionV relativeFrom="paragraph">
              <wp:posOffset>13197</wp:posOffset>
            </wp:positionV>
            <wp:extent cx="2830195" cy="86614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30195" cy="866140"/>
                    </a:xfrm>
                    <a:prstGeom prst="rect">
                      <a:avLst/>
                    </a:prstGeom>
                  </pic:spPr>
                </pic:pic>
              </a:graphicData>
            </a:graphic>
            <wp14:sizeRelH relativeFrom="margin">
              <wp14:pctWidth>0</wp14:pctWidth>
            </wp14:sizeRelH>
            <wp14:sizeRelV relativeFrom="margin">
              <wp14:pctHeight>0</wp14:pctHeight>
            </wp14:sizeRelV>
          </wp:anchor>
        </w:drawing>
      </w:r>
    </w:p>
    <w:p w14:paraId="17994C21" w14:textId="04B59414" w:rsidR="00F37236" w:rsidRPr="00247517" w:rsidRDefault="00F37236" w:rsidP="00F37236">
      <w:pPr>
        <w:spacing w:after="0" w:line="240" w:lineRule="auto"/>
        <w:jc w:val="both"/>
        <w:rPr>
          <w:rFonts w:ascii="Verdana" w:eastAsia="Calibri" w:hAnsi="Verdana" w:cs="Arial"/>
          <w:lang w:val="es-ES" w:eastAsia="es-ES"/>
        </w:rPr>
      </w:pPr>
      <w:r w:rsidRPr="00247517">
        <w:rPr>
          <w:rFonts w:ascii="Verdana" w:eastAsia="Calibri" w:hAnsi="Verdana" w:cs="Arial"/>
          <w:lang w:val="es-ES" w:eastAsia="es-ES"/>
        </w:rPr>
        <w:t>Señora</w:t>
      </w:r>
    </w:p>
    <w:p w14:paraId="6F0A52EB" w14:textId="0B293F4B" w:rsidR="00F37236" w:rsidRPr="00247517" w:rsidRDefault="00F37236" w:rsidP="00F37236">
      <w:pPr>
        <w:spacing w:after="0" w:line="240" w:lineRule="auto"/>
        <w:rPr>
          <w:rFonts w:ascii="Verdana" w:hAnsi="Verdana"/>
          <w:b/>
          <w:bCs/>
        </w:rPr>
      </w:pPr>
      <w:r w:rsidRPr="00247517">
        <w:rPr>
          <w:rFonts w:ascii="Verdana" w:hAnsi="Verdana"/>
          <w:b/>
          <w:bCs/>
        </w:rPr>
        <w:t>N</w:t>
      </w:r>
      <w:r>
        <w:rPr>
          <w:rFonts w:ascii="Verdana" w:hAnsi="Verdana"/>
          <w:b/>
          <w:bCs/>
        </w:rPr>
        <w:t>icolle</w:t>
      </w:r>
      <w:r w:rsidRPr="00247517">
        <w:rPr>
          <w:rFonts w:ascii="Verdana" w:hAnsi="Verdana"/>
          <w:b/>
          <w:bCs/>
        </w:rPr>
        <w:t xml:space="preserve"> D</w:t>
      </w:r>
      <w:r>
        <w:rPr>
          <w:rFonts w:ascii="Verdana" w:hAnsi="Verdana"/>
          <w:b/>
          <w:bCs/>
        </w:rPr>
        <w:t>aniela</w:t>
      </w:r>
      <w:r w:rsidRPr="00247517">
        <w:rPr>
          <w:rFonts w:ascii="Verdana" w:hAnsi="Verdana"/>
          <w:b/>
          <w:bCs/>
        </w:rPr>
        <w:t xml:space="preserve"> R</w:t>
      </w:r>
      <w:r>
        <w:rPr>
          <w:rFonts w:ascii="Verdana" w:hAnsi="Verdana"/>
          <w:b/>
          <w:bCs/>
        </w:rPr>
        <w:t>ueda</w:t>
      </w:r>
      <w:r w:rsidRPr="00247517">
        <w:rPr>
          <w:rFonts w:ascii="Verdana" w:hAnsi="Verdana"/>
          <w:b/>
          <w:bCs/>
        </w:rPr>
        <w:t xml:space="preserve"> F</w:t>
      </w:r>
      <w:r>
        <w:rPr>
          <w:rFonts w:ascii="Verdana" w:hAnsi="Verdana"/>
          <w:b/>
          <w:bCs/>
        </w:rPr>
        <w:t>ernández</w:t>
      </w:r>
      <w:r w:rsidR="00F16D71" w:rsidRPr="00F16D71">
        <w:rPr>
          <w:noProof/>
        </w:rPr>
        <w:t xml:space="preserve"> </w:t>
      </w:r>
    </w:p>
    <w:p w14:paraId="7A1C05C4" w14:textId="2654276B" w:rsidR="00F37236" w:rsidRPr="00247517" w:rsidRDefault="00F37236" w:rsidP="00F37236">
      <w:pPr>
        <w:spacing w:after="0" w:line="240" w:lineRule="auto"/>
        <w:rPr>
          <w:rFonts w:ascii="Verdana" w:hAnsi="Verdana"/>
        </w:rPr>
      </w:pPr>
      <w:r w:rsidRPr="00247517">
        <w:rPr>
          <w:rFonts w:ascii="Verdana" w:hAnsi="Verdana"/>
        </w:rPr>
        <w:t>nrueda266@unab.edu.co</w:t>
      </w:r>
    </w:p>
    <w:p w14:paraId="20162EE9" w14:textId="247655A4" w:rsidR="00F37236" w:rsidRPr="00247517" w:rsidRDefault="00F37236" w:rsidP="00F37236">
      <w:pPr>
        <w:spacing w:after="0" w:line="240" w:lineRule="auto"/>
        <w:rPr>
          <w:rFonts w:ascii="Verdana" w:eastAsia="Calibri" w:hAnsi="Verdana" w:cs="Arial"/>
          <w:lang w:val="es-ES_tradnl" w:eastAsia="es-ES_tradnl"/>
        </w:rPr>
      </w:pPr>
      <w:r w:rsidRPr="00247517">
        <w:rPr>
          <w:rFonts w:ascii="Verdana" w:eastAsia="Calibri" w:hAnsi="Verdana" w:cs="Arial"/>
          <w:lang w:val="es-ES_tradnl" w:eastAsia="es-ES_tradnl"/>
        </w:rPr>
        <w:t>Bucaramanga, Santander</w:t>
      </w:r>
    </w:p>
    <w:p w14:paraId="0E125A1E" w14:textId="77777777" w:rsidR="00F37236" w:rsidRDefault="00F37236" w:rsidP="00F37236">
      <w:pPr>
        <w:spacing w:after="0" w:line="240" w:lineRule="auto"/>
        <w:rPr>
          <w:rFonts w:ascii="Verdana" w:eastAsia="Calibri" w:hAnsi="Verdana" w:cs="Arial"/>
          <w:bCs/>
          <w:lang w:val="es-ES_tradnl" w:eastAsia="es-ES_tradnl"/>
        </w:rPr>
      </w:pPr>
    </w:p>
    <w:p w14:paraId="7117F096" w14:textId="77777777" w:rsidR="00F37236" w:rsidRDefault="00F37236" w:rsidP="00F37236">
      <w:pPr>
        <w:spacing w:after="0" w:line="240" w:lineRule="auto"/>
        <w:rPr>
          <w:rFonts w:ascii="Verdana" w:eastAsia="Calibri" w:hAnsi="Verdana" w:cs="Arial"/>
          <w:bCs/>
          <w:lang w:val="es-ES_tradnl" w:eastAsia="es-ES_tradnl"/>
        </w:rPr>
      </w:pPr>
    </w:p>
    <w:p w14:paraId="3E759378" w14:textId="77777777" w:rsidR="00F37236" w:rsidRPr="00593A5F" w:rsidRDefault="00F37236" w:rsidP="00F3723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37236" w:rsidRPr="00593A5F" w14:paraId="7467EC1B" w14:textId="77777777" w:rsidTr="00DB0E86">
        <w:trPr>
          <w:trHeight w:val="884"/>
        </w:trPr>
        <w:tc>
          <w:tcPr>
            <w:tcW w:w="2689" w:type="dxa"/>
          </w:tcPr>
          <w:p w14:paraId="3FA72881" w14:textId="77777777" w:rsidR="00F37236" w:rsidRPr="00C00976" w:rsidRDefault="00F37236" w:rsidP="00DB0E86">
            <w:pPr>
              <w:jc w:val="both"/>
              <w:rPr>
                <w:rFonts w:ascii="Verdana" w:eastAsia="Calibri" w:hAnsi="Verdana" w:cs="Arial"/>
                <w:b/>
                <w:bCs/>
                <w:color w:val="7030A0"/>
                <w:lang w:val="es-ES_tradnl" w:eastAsia="es-ES_tradnl"/>
              </w:rPr>
            </w:pPr>
          </w:p>
        </w:tc>
        <w:tc>
          <w:tcPr>
            <w:tcW w:w="6100" w:type="dxa"/>
          </w:tcPr>
          <w:p w14:paraId="0AC9A266" w14:textId="77777777" w:rsidR="00F37236" w:rsidRPr="007B60E9" w:rsidRDefault="00F37236" w:rsidP="00DB0E86">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Pr>
                <w:rFonts w:ascii="Verdana" w:eastAsia="Calibri" w:hAnsi="Verdana" w:cs="Arial"/>
                <w:b/>
                <w:bCs/>
                <w:lang w:val="es-ES" w:eastAsia="es-ES"/>
              </w:rPr>
              <w:t>717</w:t>
            </w:r>
            <w:r w:rsidRPr="00423EEA">
              <w:rPr>
                <w:rFonts w:ascii="Verdana" w:eastAsia="Calibri" w:hAnsi="Verdana" w:cs="Arial"/>
                <w:b/>
                <w:bCs/>
                <w:lang w:val="es-ES" w:eastAsia="es-ES"/>
              </w:rPr>
              <w:t xml:space="preserve"> de 2024</w:t>
            </w:r>
          </w:p>
        </w:tc>
      </w:tr>
      <w:tr w:rsidR="00F37236" w:rsidRPr="00593A5F" w14:paraId="23C6A666" w14:textId="77777777" w:rsidTr="00DB0E86">
        <w:trPr>
          <w:trHeight w:val="884"/>
        </w:trPr>
        <w:tc>
          <w:tcPr>
            <w:tcW w:w="2689" w:type="dxa"/>
          </w:tcPr>
          <w:p w14:paraId="51D9CBD5" w14:textId="77777777" w:rsidR="00F37236" w:rsidRPr="004B40A6" w:rsidRDefault="00F37236" w:rsidP="00DB0E86">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2B6D8651" w14:textId="77777777" w:rsidR="00F37236" w:rsidRPr="003650C0" w:rsidRDefault="00F37236" w:rsidP="00DB0E86">
            <w:pPr>
              <w:pStyle w:val="InviasNormal"/>
              <w:spacing w:before="0" w:after="0" w:line="276" w:lineRule="auto"/>
              <w:rPr>
                <w:rFonts w:ascii="Verdana" w:eastAsia="Calibri" w:hAnsi="Verdana" w:cs="Arial"/>
                <w:color w:val="auto"/>
                <w:sz w:val="22"/>
                <w:szCs w:val="22"/>
                <w:lang w:val="es-ES_tradnl"/>
              </w:rPr>
            </w:pPr>
            <w:r w:rsidRPr="003650C0">
              <w:rPr>
                <w:rFonts w:ascii="Verdana" w:eastAsia="Calibri" w:hAnsi="Verdana" w:cs="Arial"/>
                <w:color w:val="auto"/>
                <w:sz w:val="22"/>
                <w:szCs w:val="22"/>
                <w:lang w:val="es-ES_tradnl"/>
              </w:rPr>
              <w:t xml:space="preserve">DOCUMENTOS TIPO </w:t>
            </w:r>
            <w:r w:rsidRPr="003650C0">
              <w:rPr>
                <w:rFonts w:ascii="Verdana" w:eastAsia="Calibri" w:hAnsi="Verdana" w:cs="Arial"/>
                <w:color w:val="auto"/>
                <w:sz w:val="22"/>
                <w:szCs w:val="22"/>
              </w:rPr>
              <w:t>–</w:t>
            </w:r>
            <w:r w:rsidRPr="003650C0">
              <w:rPr>
                <w:rFonts w:ascii="Verdana" w:eastAsia="Calibri" w:hAnsi="Verdana" w:cs="Arial"/>
                <w:color w:val="auto"/>
                <w:sz w:val="22"/>
                <w:szCs w:val="22"/>
                <w:lang w:val="es-ES_tradnl"/>
              </w:rPr>
              <w:t xml:space="preserve"> Inalterabilidad </w:t>
            </w:r>
            <w:r w:rsidRPr="003650C0">
              <w:rPr>
                <w:rFonts w:ascii="Verdana" w:eastAsia="Calibri" w:hAnsi="Verdana" w:cs="Arial"/>
                <w:color w:val="auto"/>
                <w:sz w:val="22"/>
                <w:szCs w:val="22"/>
              </w:rPr>
              <w:t>–</w:t>
            </w:r>
            <w:r w:rsidRPr="003650C0">
              <w:rPr>
                <w:rFonts w:ascii="Verdana" w:eastAsia="Calibri" w:hAnsi="Verdana" w:cs="Arial"/>
                <w:color w:val="auto"/>
                <w:sz w:val="22"/>
                <w:szCs w:val="22"/>
                <w:lang w:val="es-ES_tradnl"/>
              </w:rPr>
              <w:t xml:space="preserve"> Configuración – Pliego de condiciones </w:t>
            </w:r>
            <w:r w:rsidRPr="003650C0">
              <w:rPr>
                <w:rFonts w:ascii="Verdana" w:eastAsia="Calibri" w:hAnsi="Verdana" w:cs="Arial"/>
                <w:color w:val="auto"/>
                <w:sz w:val="22"/>
                <w:szCs w:val="22"/>
              </w:rPr>
              <w:t>–</w:t>
            </w:r>
            <w:r w:rsidRPr="003650C0">
              <w:rPr>
                <w:rFonts w:ascii="Verdana" w:eastAsia="Calibri" w:hAnsi="Verdana" w:cs="Arial"/>
                <w:color w:val="auto"/>
                <w:sz w:val="22"/>
                <w:szCs w:val="22"/>
                <w:lang w:val="es-ES_tradnl"/>
              </w:rPr>
              <w:t xml:space="preserve"> Alcance / DOCUMENTOS TIPO </w:t>
            </w:r>
            <w:bookmarkStart w:id="0" w:name="_Hlk39666823"/>
            <w:r w:rsidRPr="003650C0">
              <w:rPr>
                <w:rFonts w:ascii="Verdana" w:eastAsia="Calibri" w:hAnsi="Verdana" w:cs="Arial"/>
                <w:color w:val="auto"/>
                <w:sz w:val="22"/>
                <w:szCs w:val="22"/>
              </w:rPr>
              <w:t>–</w:t>
            </w:r>
            <w:bookmarkEnd w:id="0"/>
            <w:r w:rsidRPr="003650C0">
              <w:rPr>
                <w:rFonts w:ascii="Verdana" w:eastAsia="Calibri" w:hAnsi="Verdana" w:cs="Arial"/>
                <w:color w:val="auto"/>
                <w:sz w:val="22"/>
                <w:szCs w:val="22"/>
                <w:lang w:val="es-ES_tradnl"/>
              </w:rPr>
              <w:t xml:space="preserve"> Inalterabilidad </w:t>
            </w:r>
            <w:r w:rsidRPr="003650C0">
              <w:rPr>
                <w:rFonts w:ascii="Verdana" w:eastAsia="Calibri" w:hAnsi="Verdana" w:cs="Arial"/>
                <w:color w:val="auto"/>
                <w:sz w:val="22"/>
                <w:szCs w:val="22"/>
              </w:rPr>
              <w:t>–</w:t>
            </w:r>
            <w:r w:rsidRPr="003650C0">
              <w:rPr>
                <w:rFonts w:ascii="Verdana" w:eastAsia="Calibri" w:hAnsi="Verdana" w:cs="Arial"/>
                <w:color w:val="auto"/>
                <w:sz w:val="22"/>
                <w:szCs w:val="22"/>
                <w:lang w:val="es-ES_tradnl"/>
              </w:rPr>
              <w:t xml:space="preserve"> Prevalencia del derecho sustancial </w:t>
            </w:r>
          </w:p>
        </w:tc>
      </w:tr>
      <w:tr w:rsidR="00F37236" w:rsidRPr="00593A5F" w14:paraId="418756C0" w14:textId="77777777" w:rsidTr="00DB0E86">
        <w:trPr>
          <w:trHeight w:val="89"/>
        </w:trPr>
        <w:tc>
          <w:tcPr>
            <w:tcW w:w="2689" w:type="dxa"/>
          </w:tcPr>
          <w:p w14:paraId="16EA49C9" w14:textId="77777777" w:rsidR="00F37236" w:rsidRPr="004B40A6" w:rsidRDefault="00F37236" w:rsidP="00DB0E86">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351D565F" w14:textId="77777777" w:rsidR="00F37236" w:rsidRPr="00E56225" w:rsidRDefault="00F37236" w:rsidP="00DB0E86">
            <w:pPr>
              <w:spacing w:line="276" w:lineRule="auto"/>
              <w:jc w:val="both"/>
              <w:rPr>
                <w:rFonts w:ascii="Verdana" w:hAnsi="Verdana" w:cs="Calibri"/>
              </w:rPr>
            </w:pPr>
            <w:r w:rsidRPr="003650C0">
              <w:rPr>
                <w:rFonts w:ascii="Verdana" w:eastAsia="Calibri" w:hAnsi="Verdana" w:cs="Arial"/>
                <w:lang w:val="es-ES_tradnl" w:eastAsia="es-ES_tradnl"/>
              </w:rPr>
              <w:t xml:space="preserve">Respuesta a consulta con radicado No. </w:t>
            </w:r>
            <w:r w:rsidRPr="003650C0">
              <w:rPr>
                <w:rFonts w:ascii="Verdana" w:hAnsi="Verdana" w:cs="Arial"/>
              </w:rPr>
              <w:t>P20241009010308</w:t>
            </w:r>
          </w:p>
        </w:tc>
      </w:tr>
    </w:tbl>
    <w:p w14:paraId="0017CE3C" w14:textId="77777777" w:rsidR="00F37236" w:rsidRPr="00593A5F" w:rsidRDefault="00F37236" w:rsidP="00F37236">
      <w:pPr>
        <w:spacing w:after="0" w:line="240" w:lineRule="auto"/>
        <w:jc w:val="both"/>
        <w:rPr>
          <w:rFonts w:ascii="Verdana" w:eastAsia="Calibri" w:hAnsi="Verdana" w:cs="Arial"/>
          <w:color w:val="000000"/>
          <w:lang w:val="es-ES_tradnl" w:eastAsia="es-ES_tradnl"/>
        </w:rPr>
      </w:pPr>
    </w:p>
    <w:p w14:paraId="2C4F760A" w14:textId="77777777" w:rsidR="00F37236" w:rsidRPr="00593A5F" w:rsidRDefault="00F37236" w:rsidP="00F37236">
      <w:pPr>
        <w:spacing w:after="0" w:line="240" w:lineRule="auto"/>
        <w:jc w:val="both"/>
        <w:rPr>
          <w:rFonts w:ascii="Verdana" w:eastAsia="Calibri" w:hAnsi="Verdana" w:cs="Arial"/>
          <w:color w:val="000000"/>
          <w:lang w:val="es-ES_tradnl" w:eastAsia="es-ES_tradnl"/>
        </w:rPr>
      </w:pPr>
    </w:p>
    <w:p w14:paraId="7F7037D8" w14:textId="77777777" w:rsidR="00F37236" w:rsidRPr="004B40A6" w:rsidRDefault="00F37236" w:rsidP="00F37236">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w:t>
      </w:r>
      <w:r>
        <w:rPr>
          <w:rFonts w:ascii="Verdana" w:eastAsia="Calibri" w:hAnsi="Verdana" w:cs="Arial"/>
          <w:lang w:val="es-ES" w:eastAsia="es-ES"/>
        </w:rPr>
        <w:t>a</w:t>
      </w:r>
      <w:r w:rsidRPr="004B40A6">
        <w:rPr>
          <w:rFonts w:ascii="Verdana" w:eastAsia="Calibri" w:hAnsi="Verdana" w:cs="Arial"/>
          <w:lang w:val="es-ES" w:eastAsia="es-ES"/>
        </w:rPr>
        <w:t xml:space="preserve"> señor</w:t>
      </w:r>
      <w:r>
        <w:rPr>
          <w:rFonts w:ascii="Verdana" w:eastAsia="Calibri" w:hAnsi="Verdana" w:cs="Arial"/>
          <w:lang w:val="es-ES" w:eastAsia="es-ES"/>
        </w:rPr>
        <w:t>a Rueda</w:t>
      </w:r>
      <w:r w:rsidRPr="004B40A6">
        <w:rPr>
          <w:rFonts w:ascii="Verdana" w:eastAsia="Calibri" w:hAnsi="Verdana" w:cs="Arial"/>
          <w:lang w:val="es-ES" w:eastAsia="es-ES"/>
        </w:rPr>
        <w:t xml:space="preserve">: </w:t>
      </w:r>
    </w:p>
    <w:p w14:paraId="0F1B5B9F" w14:textId="77777777" w:rsidR="00F37236" w:rsidRPr="004B40A6" w:rsidRDefault="00F37236" w:rsidP="00F37236">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2796A9DF" w14:textId="77777777" w:rsidR="00F37236" w:rsidRDefault="00F37236" w:rsidP="00F37236">
      <w:pPr>
        <w:spacing w:after="0" w:line="276" w:lineRule="auto"/>
        <w:jc w:val="both"/>
        <w:rPr>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–Colombia Compra Eficiente– responde su solicitud de consulta de fecha </w:t>
      </w:r>
      <w:r>
        <w:rPr>
          <w:rFonts w:ascii="Verdana" w:eastAsia="Calibri" w:hAnsi="Verdana" w:cs="Arial"/>
          <w:lang w:val="es-ES" w:eastAsia="es-ES"/>
        </w:rPr>
        <w:t>09</w:t>
      </w:r>
      <w:r w:rsidRPr="00F7454D">
        <w:rPr>
          <w:rFonts w:ascii="Verdana" w:eastAsia="Calibri" w:hAnsi="Verdana" w:cs="Arial"/>
          <w:lang w:val="es-ES" w:eastAsia="es-ES"/>
        </w:rPr>
        <w:t xml:space="preserve"> de </w:t>
      </w:r>
      <w:r>
        <w:rPr>
          <w:rFonts w:ascii="Verdana" w:eastAsia="Calibri" w:hAnsi="Verdana" w:cs="Arial"/>
          <w:lang w:val="es-ES" w:eastAsia="es-ES"/>
        </w:rPr>
        <w:t>octubre</w:t>
      </w:r>
      <w:r w:rsidRPr="00F7454D">
        <w:rPr>
          <w:rFonts w:ascii="Verdana" w:eastAsia="Calibri" w:hAnsi="Verdana" w:cs="Arial"/>
          <w:lang w:val="es-ES" w:eastAsia="es-ES"/>
        </w:rPr>
        <w:t xml:space="preserve"> de 2024, en la cual manifiesta lo siguiente: </w:t>
      </w:r>
    </w:p>
    <w:p w14:paraId="59FF91F3" w14:textId="77777777" w:rsidR="00F37236" w:rsidRPr="00076878" w:rsidRDefault="00F37236" w:rsidP="00F37236">
      <w:pPr>
        <w:spacing w:after="0" w:line="276" w:lineRule="auto"/>
        <w:jc w:val="both"/>
        <w:rPr>
          <w:rFonts w:ascii="Verdana" w:eastAsia="Calibri" w:hAnsi="Verdana" w:cs="Arial"/>
          <w:lang w:val="es-ES" w:eastAsia="es-ES"/>
        </w:rPr>
      </w:pPr>
    </w:p>
    <w:p w14:paraId="3C8EEB1F" w14:textId="77777777" w:rsidR="00F37236" w:rsidRPr="003242DB" w:rsidRDefault="00F37236" w:rsidP="00F37236">
      <w:pPr>
        <w:spacing w:after="0" w:line="276" w:lineRule="auto"/>
        <w:jc w:val="both"/>
        <w:rPr>
          <w:rFonts w:ascii="Verdana" w:eastAsia="Century Gothic" w:hAnsi="Verdana" w:cs="Century Gothic"/>
          <w:i/>
          <w:iCs/>
          <w:lang w:val="es-ES"/>
        </w:rPr>
      </w:pPr>
      <w:bookmarkStart w:id="1" w:name="_Hlk95313578"/>
      <w:r w:rsidRPr="003242DB">
        <w:rPr>
          <w:rFonts w:ascii="Verdana" w:eastAsia="Century Gothic" w:hAnsi="Verdana" w:cs="Century Gothic"/>
          <w:i/>
          <w:iCs/>
          <w:lang w:val="es-ES"/>
        </w:rPr>
        <w:t>“</w:t>
      </w:r>
      <w:bookmarkEnd w:id="1"/>
      <w:r w:rsidRPr="003242DB">
        <w:rPr>
          <w:rFonts w:ascii="Verdana" w:hAnsi="Verdana"/>
          <w:i/>
          <w:iCs/>
        </w:rPr>
        <w:t>Cuando hay una contradicción entre los estudios previos y el pliego tipo, ¿qué prima más? ¿Los estudios previos o el pliego tipo?”</w:t>
      </w:r>
      <w:r w:rsidRPr="003242DB">
        <w:rPr>
          <w:rFonts w:ascii="Verdana" w:eastAsia="Century Gothic" w:hAnsi="Verdana" w:cs="Century Gothic"/>
          <w:i/>
          <w:iCs/>
          <w:lang w:val="es-ES"/>
        </w:rPr>
        <w:t>.</w:t>
      </w:r>
    </w:p>
    <w:p w14:paraId="51DEE7EA" w14:textId="77777777" w:rsidR="00F37236" w:rsidRDefault="00F37236" w:rsidP="00F37236">
      <w:pPr>
        <w:spacing w:after="0" w:line="240" w:lineRule="auto"/>
        <w:ind w:right="709"/>
        <w:jc w:val="both"/>
        <w:rPr>
          <w:rFonts w:ascii="Verdana" w:eastAsia="Century Gothic" w:hAnsi="Verdana" w:cs="Century Gothic"/>
          <w:i/>
          <w:iCs/>
          <w:sz w:val="20"/>
          <w:szCs w:val="20"/>
          <w:lang w:val="es-ES"/>
        </w:rPr>
      </w:pPr>
    </w:p>
    <w:p w14:paraId="6F73EC2C" w14:textId="77777777" w:rsidR="00F37236" w:rsidRDefault="00F37236" w:rsidP="00F37236">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593A5F">
        <w:rPr>
          <w:rFonts w:ascii="Verdana" w:eastAsia="Calibri" w:hAnsi="Verdana" w:cs="Arial"/>
          <w:color w:val="000000"/>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4D3850F7" w14:textId="77777777" w:rsidR="00F37236" w:rsidRDefault="00F37236" w:rsidP="00F37236">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0486ECAD" w14:textId="77777777" w:rsidR="00F37236" w:rsidRPr="00593A5F" w:rsidRDefault="00F37236" w:rsidP="00F37236">
      <w:pPr>
        <w:spacing w:after="0" w:line="276" w:lineRule="auto"/>
        <w:jc w:val="both"/>
        <w:rPr>
          <w:rFonts w:ascii="Verdana" w:eastAsia="Calibri" w:hAnsi="Verdana" w:cs="Arial"/>
          <w:color w:val="000000"/>
          <w:lang w:val="es-ES" w:eastAsia="es-ES"/>
        </w:rPr>
      </w:pPr>
    </w:p>
    <w:p w14:paraId="47324D43" w14:textId="77777777" w:rsidR="00F37236" w:rsidRPr="00593A5F" w:rsidRDefault="00F37236" w:rsidP="00F3723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FCAE7D1" w14:textId="77777777" w:rsidR="00F37236" w:rsidRDefault="00F37236" w:rsidP="00F37236">
      <w:pPr>
        <w:spacing w:after="0" w:line="240" w:lineRule="auto"/>
        <w:ind w:right="709"/>
        <w:jc w:val="both"/>
        <w:rPr>
          <w:rFonts w:ascii="Verdana" w:eastAsia="Century Gothic" w:hAnsi="Verdana" w:cs="Century Gothic"/>
          <w:lang w:val="es-ES"/>
        </w:rPr>
      </w:pPr>
    </w:p>
    <w:p w14:paraId="562C2D04" w14:textId="2771EB8D" w:rsidR="00F37236" w:rsidRPr="001922C6" w:rsidRDefault="00F37236" w:rsidP="00F37236">
      <w:pPr>
        <w:spacing w:after="0" w:line="276" w:lineRule="auto"/>
        <w:jc w:val="both"/>
        <w:rPr>
          <w:rFonts w:ascii="Verdana" w:eastAsia="Century Gothic" w:hAnsi="Verdana" w:cs="Century Gothic"/>
          <w:lang w:val="es-ES"/>
        </w:rPr>
      </w:pPr>
      <w:r w:rsidRPr="00E03E8C">
        <w:rPr>
          <w:rFonts w:ascii="Verdana" w:hAnsi="Verdana"/>
        </w:rPr>
        <w:t xml:space="preserve">De acuerdo con el contenido de su solicitud, esta Agencia resolverá el siguiente problema jurídico: </w:t>
      </w:r>
      <w:r w:rsidR="0060092A">
        <w:rPr>
          <w:rFonts w:ascii="Verdana" w:hAnsi="Verdana"/>
        </w:rPr>
        <w:t xml:space="preserve">¿Es posible realizar modificaciones a los documentos tipo? </w:t>
      </w:r>
    </w:p>
    <w:p w14:paraId="77C7E876" w14:textId="77777777" w:rsidR="00F37236" w:rsidRPr="00EE4272" w:rsidRDefault="00F37236" w:rsidP="00F37236">
      <w:pPr>
        <w:spacing w:after="0" w:line="276" w:lineRule="auto"/>
        <w:jc w:val="both"/>
        <w:rPr>
          <w:rFonts w:ascii="Verdana" w:eastAsia="Century Gothic" w:hAnsi="Verdana" w:cs="Century Gothic"/>
        </w:rPr>
      </w:pPr>
    </w:p>
    <w:p w14:paraId="4B2DFA4B" w14:textId="77777777" w:rsidR="00F37236" w:rsidRPr="00593A5F" w:rsidRDefault="00F37236" w:rsidP="00F372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DE7D9CD" w14:textId="77777777" w:rsidR="00F37236" w:rsidRPr="00593A5F" w:rsidRDefault="00F37236" w:rsidP="00F3723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37236" w:rsidRPr="00593A5F" w14:paraId="6F05EB62" w14:textId="77777777" w:rsidTr="044B1F6A">
        <w:tc>
          <w:tcPr>
            <w:tcW w:w="8828" w:type="dxa"/>
            <w:shd w:val="clear" w:color="auto" w:fill="auto"/>
          </w:tcPr>
          <w:p w14:paraId="4D494062" w14:textId="77777777" w:rsidR="001D53D5" w:rsidRPr="007871C6" w:rsidRDefault="001D53D5" w:rsidP="001D53D5">
            <w:pPr>
              <w:spacing w:after="120" w:line="276" w:lineRule="auto"/>
              <w:jc w:val="both"/>
              <w:rPr>
                <w:rFonts w:ascii="Verdana" w:eastAsia="Calibri" w:hAnsi="Verdana" w:cs="Arial"/>
                <w:lang w:val="es-ES_tradnl"/>
              </w:rPr>
            </w:pPr>
            <w:r w:rsidRPr="007871C6">
              <w:rPr>
                <w:rFonts w:ascii="Verdana" w:eastAsia="Calibri" w:hAnsi="Verdana" w:cs="Arial"/>
                <w:lang w:val="es-ES_tradnl"/>
              </w:rPr>
              <w:t>La planeación contractual es una herramienta de gerencia pública</w:t>
            </w:r>
            <w:r>
              <w:rPr>
                <w:rFonts w:ascii="Verdana" w:eastAsia="Calibri" w:hAnsi="Verdana" w:cs="Arial"/>
                <w:lang w:val="es-ES_tradnl"/>
              </w:rPr>
              <w:t xml:space="preserve"> que</w:t>
            </w:r>
            <w:r w:rsidRPr="007871C6">
              <w:rPr>
                <w:rFonts w:ascii="Verdana" w:eastAsia="Calibri" w:hAnsi="Verdana" w:cs="Arial"/>
                <w:lang w:val="es-ES_tradnl"/>
              </w:rPr>
              <w:t xml:space="preserve"> exige estructurar el proceso contractual dedicando tiempo y esfuerzo para elaborar estudios previos</w:t>
            </w:r>
            <w:r>
              <w:rPr>
                <w:rFonts w:ascii="Verdana" w:eastAsia="Calibri" w:hAnsi="Verdana" w:cs="Arial"/>
                <w:lang w:val="es-ES_tradnl"/>
              </w:rPr>
              <w:t xml:space="preserve"> y análisis de sector económico</w:t>
            </w:r>
            <w:r w:rsidRPr="007871C6">
              <w:rPr>
                <w:rFonts w:ascii="Verdana" w:eastAsia="Calibri" w:hAnsi="Verdana" w:cs="Arial"/>
                <w:lang w:val="es-ES_tradnl"/>
              </w:rPr>
              <w:t xml:space="preserve">, </w:t>
            </w:r>
            <w:r w:rsidRPr="004C00A8">
              <w:rPr>
                <w:rFonts w:ascii="Verdana" w:eastAsia="Calibri" w:hAnsi="Verdana" w:cs="Arial"/>
                <w:b/>
                <w:bCs/>
                <w:lang w:val="es-ES_tradnl"/>
              </w:rPr>
              <w:t>con el fin de determinar la necesidad que pretende satisfacer y cuál es la mejor manera de hacerlo</w:t>
            </w:r>
            <w:r w:rsidRPr="007871C6">
              <w:rPr>
                <w:rFonts w:ascii="Verdana" w:eastAsia="Calibri" w:hAnsi="Verdana" w:cs="Arial"/>
                <w:lang w:val="es-ES_tradnl"/>
              </w:rPr>
              <w:t>,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p>
          <w:p w14:paraId="5D10F1D0" w14:textId="4D368952" w:rsidR="00AA6F3E" w:rsidRPr="004C00A8" w:rsidRDefault="001D53D5" w:rsidP="00AA6F3E">
            <w:pPr>
              <w:spacing w:line="276" w:lineRule="auto"/>
              <w:jc w:val="both"/>
              <w:rPr>
                <w:rFonts w:ascii="Verdana" w:eastAsia="Calibri" w:hAnsi="Verdana" w:cs="Arial"/>
                <w:lang w:val="es-ES_tradnl"/>
              </w:rPr>
            </w:pPr>
            <w:r w:rsidRPr="004C00A8">
              <w:rPr>
                <w:rFonts w:ascii="Verdana" w:eastAsia="Calibri" w:hAnsi="Verdana" w:cs="Arial"/>
                <w:lang w:val="es-ES_tradnl"/>
              </w:rPr>
              <w:t>Así mismo, t</w:t>
            </w:r>
            <w:r w:rsidR="00AA6F3E" w:rsidRPr="004C00A8">
              <w:rPr>
                <w:rFonts w:ascii="Verdana" w:eastAsia="Calibri" w:hAnsi="Verdana" w:cs="Arial"/>
                <w:lang w:val="es-ES_tradnl"/>
              </w:rPr>
              <w:t>odas las resoluciones expedidas por la Agencia Nacional de Contratación Pública – Colombia Compra Eficiente, mediante las cuales se han adoptado los documentos tipo, consagran la regla de la inalterabilidad</w:t>
            </w:r>
            <w:r w:rsidR="00AA6F3E" w:rsidRPr="004C00A8">
              <w:rPr>
                <w:rFonts w:ascii="Verdana" w:eastAsia="Calibri" w:hAnsi="Verdana" w:cs="Arial"/>
                <w:lang w:val="es-ES_tradnl"/>
              </w:rPr>
              <w:footnoteReference w:id="2"/>
            </w:r>
            <w:r w:rsidR="00AA6F3E" w:rsidRPr="004C00A8">
              <w:rPr>
                <w:rFonts w:ascii="Verdana" w:eastAsia="Calibri" w:hAnsi="Verdana" w:cs="Arial"/>
                <w:lang w:val="es-ES_tradnl"/>
              </w:rPr>
              <w:t xml:space="preserve">.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w:t>
            </w:r>
            <w:r w:rsidR="00AA6F3E" w:rsidRPr="004C00A8">
              <w:rPr>
                <w:rFonts w:ascii="Verdana" w:eastAsia="Calibri" w:hAnsi="Verdana" w:cs="Arial"/>
                <w:lang w:val="es-ES_tradnl"/>
              </w:rPr>
              <w:lastRenderedPageBreak/>
              <w:t>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E19964C" w14:textId="18F08C4B" w:rsidR="00AA6F3E" w:rsidRPr="004C00A8" w:rsidRDefault="00AA6F3E" w:rsidP="00AA6F3E">
            <w:pPr>
              <w:spacing w:before="120" w:line="276" w:lineRule="auto"/>
              <w:ind w:firstLine="709"/>
              <w:jc w:val="both"/>
              <w:rPr>
                <w:rFonts w:ascii="Verdana" w:eastAsia="Calibri" w:hAnsi="Verdana" w:cs="Arial"/>
                <w:lang w:val="es-ES_tradnl"/>
              </w:rPr>
            </w:pPr>
            <w:r w:rsidRPr="004C00A8">
              <w:rPr>
                <w:rFonts w:ascii="Verdana" w:eastAsia="Calibri" w:hAnsi="Verdana" w:cs="Arial"/>
                <w:lang w:val="es-ES_tradnl"/>
              </w:rPr>
              <w:t xml:space="preserve">El fundamento legal vigente de la regla de la inalterabilidad se encuentra en el artículo 1 de la Ley 2022 de 2020, según el cual </w:t>
            </w:r>
            <w:r w:rsidR="0091081A">
              <w:rPr>
                <w:rFonts w:ascii="Verdana" w:eastAsia="Calibri" w:hAnsi="Verdana" w:cs="Arial"/>
                <w:lang w:val="es-ES_tradnl"/>
              </w:rPr>
              <w:t>“</w:t>
            </w:r>
            <w:r w:rsidRPr="004C00A8">
              <w:rPr>
                <w:rFonts w:ascii="Verdana" w:eastAsia="Calibri" w:hAnsi="Verdana" w:cs="Arial"/>
                <w:lang w:val="es-ES_tradnl"/>
              </w:rPr>
              <w:t>[…] serán de obligatorio cumplimiento en la actividad contractual de todas las entidades sometidas al Estatuto General de Contratación de la Administración Pública</w:t>
            </w:r>
            <w:r w:rsidR="0091081A">
              <w:rPr>
                <w:rFonts w:ascii="Verdana" w:eastAsia="Calibri" w:hAnsi="Verdana" w:cs="Arial"/>
                <w:lang w:val="es-ES_tradnl"/>
              </w:rPr>
              <w:t>”</w:t>
            </w:r>
            <w:r w:rsidRPr="004C00A8">
              <w:rPr>
                <w:rFonts w:ascii="Verdana" w:eastAsia="Calibri" w:hAnsi="Verdana" w:cs="Arial"/>
                <w:lang w:val="es-ES_tradnl"/>
              </w:rPr>
              <w:t>.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3E200FAB" w14:textId="6562C524" w:rsidR="00F37236" w:rsidRPr="006676F9" w:rsidRDefault="00AA6F3E" w:rsidP="0091081A">
            <w:pPr>
              <w:spacing w:before="120" w:line="276" w:lineRule="auto"/>
              <w:jc w:val="both"/>
              <w:rPr>
                <w:rFonts w:ascii="Verdana" w:eastAsia="Calibri" w:hAnsi="Verdana" w:cs="Arial"/>
                <w:lang w:val="es-ES"/>
              </w:rPr>
            </w:pPr>
            <w:r w:rsidRPr="004C00A8">
              <w:rPr>
                <w:rFonts w:ascii="Verdana" w:eastAsia="Calibri" w:hAnsi="Verdana" w:cs="Arial"/>
                <w:lang w:val="es-ES"/>
              </w:rPr>
              <w:t>En este orden de ideas, no cabe duda de que está vigente la regla de la inalterabilidad de los documentos tipo. Lo anterior por cuanto las diferentes disposiciones normativas que se han expedido ratifican esta regla, como ha sucedido con el artículo 1 de la Ley 2022 de 2020 y con las resoluciones expedidas por la Agencia Nacional de Contratación Pública – Colombia Compra Eficiente.</w:t>
            </w:r>
          </w:p>
        </w:tc>
      </w:tr>
    </w:tbl>
    <w:p w14:paraId="51240DC1" w14:textId="77777777" w:rsidR="00F37236" w:rsidRPr="00593A5F" w:rsidRDefault="00F37236" w:rsidP="00F37236">
      <w:pPr>
        <w:tabs>
          <w:tab w:val="left" w:pos="142"/>
          <w:tab w:val="left" w:pos="284"/>
        </w:tabs>
        <w:spacing w:after="0" w:line="276" w:lineRule="auto"/>
        <w:jc w:val="both"/>
        <w:rPr>
          <w:rFonts w:ascii="Verdana" w:eastAsia="Century Gothic" w:hAnsi="Verdana" w:cs="Century Gothic"/>
          <w:b/>
          <w:bCs/>
          <w:lang w:val="es-ES"/>
        </w:rPr>
      </w:pPr>
    </w:p>
    <w:p w14:paraId="6F308864" w14:textId="77777777" w:rsidR="00F37236" w:rsidRPr="00593A5F" w:rsidRDefault="00F37236" w:rsidP="00F372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3ED5805" w14:textId="77777777" w:rsidR="00F37236" w:rsidRPr="00593A5F" w:rsidRDefault="00F37236" w:rsidP="00F37236">
      <w:pPr>
        <w:spacing w:after="0" w:line="276" w:lineRule="auto"/>
        <w:jc w:val="both"/>
        <w:rPr>
          <w:rFonts w:ascii="Verdana" w:eastAsia="Calibri" w:hAnsi="Verdana" w:cs="Arial"/>
          <w:color w:val="7030A0"/>
          <w:lang w:val="es-ES"/>
        </w:rPr>
      </w:pPr>
    </w:p>
    <w:p w14:paraId="33567CAD" w14:textId="77777777" w:rsidR="00F37236" w:rsidRDefault="00F37236" w:rsidP="00F37236">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1EF28C2F" w14:textId="2B970748" w:rsidR="009819F2" w:rsidRPr="007871C6" w:rsidRDefault="009819F2" w:rsidP="044B1F6A">
      <w:pPr>
        <w:spacing w:after="120" w:line="276" w:lineRule="auto"/>
        <w:jc w:val="both"/>
        <w:rPr>
          <w:rFonts w:ascii="Verdana" w:eastAsia="Calibri" w:hAnsi="Verdana" w:cs="Arial"/>
        </w:rPr>
      </w:pPr>
      <w:bookmarkStart w:id="2" w:name="_Hlk174375050"/>
    </w:p>
    <w:p w14:paraId="59F8A291" w14:textId="77777777" w:rsidR="009819F2" w:rsidRDefault="009819F2" w:rsidP="006676F9">
      <w:pPr>
        <w:spacing w:after="120" w:line="276" w:lineRule="auto"/>
        <w:jc w:val="both"/>
        <w:rPr>
          <w:rFonts w:ascii="Verdana" w:eastAsia="Calibri" w:hAnsi="Verdana" w:cs="Arial"/>
          <w:lang w:val="es-ES_tradnl"/>
        </w:rPr>
      </w:pPr>
      <w:r w:rsidRPr="007871C6">
        <w:rPr>
          <w:rFonts w:ascii="Verdana" w:eastAsia="Calibri" w:hAnsi="Verdana" w:cs="Arial"/>
          <w:lang w:val="es-ES_tradnl"/>
        </w:rPr>
        <w:t>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Pr>
          <w:rFonts w:ascii="Verdana" w:eastAsia="Calibri" w:hAnsi="Verdana" w:cs="Arial"/>
          <w:lang w:val="es-ES_tradnl"/>
        </w:rPr>
        <w:t xml:space="preserve"> En este contexto, el contenido de los estudios previos y del análisis del sector se encuentran regulados en los artículos </w:t>
      </w:r>
      <w:r w:rsidRPr="005E2573">
        <w:rPr>
          <w:rFonts w:ascii="Verdana" w:eastAsia="Calibri" w:hAnsi="Verdana" w:cs="Arial"/>
          <w:lang w:val="es-ES_tradnl"/>
        </w:rPr>
        <w:t>2.2.1.1.1.6.1</w:t>
      </w:r>
      <w:r>
        <w:rPr>
          <w:rFonts w:ascii="Verdana" w:eastAsia="Calibri" w:hAnsi="Verdana" w:cs="Arial"/>
          <w:lang w:val="es-ES_tradnl"/>
        </w:rPr>
        <w:t xml:space="preserve"> y </w:t>
      </w:r>
      <w:r w:rsidRPr="005E2573">
        <w:rPr>
          <w:rFonts w:ascii="Verdana" w:eastAsia="Calibri" w:hAnsi="Verdana" w:cs="Arial"/>
          <w:lang w:val="es-ES_tradnl"/>
        </w:rPr>
        <w:t>2.2.1.1.2.1.1</w:t>
      </w:r>
      <w:r>
        <w:rPr>
          <w:rFonts w:ascii="Verdana" w:eastAsia="Calibri" w:hAnsi="Verdana" w:cs="Arial"/>
          <w:lang w:val="es-ES_tradnl"/>
        </w:rPr>
        <w:t xml:space="preserve"> del Decreto 1082 de 2015. </w:t>
      </w:r>
    </w:p>
    <w:bookmarkEnd w:id="2"/>
    <w:p w14:paraId="3281770F" w14:textId="77777777" w:rsidR="009819F2" w:rsidRDefault="009819F2" w:rsidP="009819F2">
      <w:pPr>
        <w:spacing w:after="0" w:line="276" w:lineRule="auto"/>
        <w:ind w:firstLine="708"/>
        <w:jc w:val="both"/>
        <w:rPr>
          <w:rFonts w:ascii="Verdana" w:eastAsia="Calibri" w:hAnsi="Verdana" w:cs="Arial"/>
        </w:rPr>
      </w:pPr>
      <w:r w:rsidRPr="5F0DCBDA">
        <w:rPr>
          <w:rFonts w:ascii="Verdana" w:eastAsia="Calibri" w:hAnsi="Verdana" w:cs="Arial"/>
        </w:rPr>
        <w:lastRenderedPageBreak/>
        <w:t>De esta manera, como se indica en la “Guía de Elaboración de Estudios del Sector” expedida por esta Agencia, la información relevante para el tema objeto de consulta se desprende del análisis de los aspectos generales del mercado, el comportamiento del gasto histórico, el estudio de la oferta y el estudio de mercado</w:t>
      </w:r>
      <w:r w:rsidRPr="5F0DCBDA">
        <w:rPr>
          <w:rStyle w:val="Refdenotaalpie"/>
          <w:rFonts w:ascii="Verdana" w:eastAsia="Calibri" w:hAnsi="Verdana" w:cs="Arial"/>
        </w:rPr>
        <w:footnoteReference w:id="3"/>
      </w:r>
      <w:r w:rsidRPr="5F0DCBDA">
        <w:rPr>
          <w:rFonts w:ascii="Verdana" w:eastAsia="Calibri" w:hAnsi="Verdana" w:cs="Arial"/>
        </w:rPr>
        <w:t>. Asimismo, de acuerdo con el numeral 8.3.1 del Modelo de Abastecimiento Estratégico, el análisis del mercado de oferta permite “[…] realizar análisis económicos, análisis financieros, análisis estratégicos y de cadena de suministro, los cuales permitirán definir de manera adecuada las estrategias de compra […]”</w:t>
      </w:r>
      <w:r w:rsidRPr="5F0DCBDA">
        <w:rPr>
          <w:rStyle w:val="Refdenotaalpie"/>
          <w:rFonts w:ascii="Verdana" w:eastAsia="Calibri" w:hAnsi="Verdana" w:cs="Arial"/>
        </w:rPr>
        <w:footnoteReference w:id="4"/>
      </w:r>
      <w:r w:rsidRPr="5F0DCBDA">
        <w:rPr>
          <w:rFonts w:ascii="Verdana" w:eastAsia="Calibri" w:hAnsi="Verdana" w:cs="Arial"/>
        </w:rPr>
        <w:t>.</w:t>
      </w:r>
    </w:p>
    <w:p w14:paraId="2BC140E2" w14:textId="77777777" w:rsidR="009819F2" w:rsidRDefault="009819F2" w:rsidP="009819F2">
      <w:pPr>
        <w:spacing w:after="0" w:line="276" w:lineRule="auto"/>
        <w:ind w:firstLine="708"/>
        <w:jc w:val="both"/>
        <w:rPr>
          <w:rFonts w:ascii="Verdana" w:eastAsia="Calibri" w:hAnsi="Verdana" w:cs="Arial"/>
          <w:lang w:val="es-ES_tradnl"/>
        </w:rPr>
      </w:pPr>
    </w:p>
    <w:p w14:paraId="2FE2EE0D" w14:textId="77777777" w:rsidR="009819F2" w:rsidRPr="00EE395F" w:rsidRDefault="009819F2" w:rsidP="009819F2">
      <w:pPr>
        <w:shd w:val="clear" w:color="auto" w:fill="FFFFFF"/>
        <w:spacing w:line="276" w:lineRule="auto"/>
        <w:jc w:val="both"/>
        <w:textAlignment w:val="baseline"/>
        <w:rPr>
          <w:rFonts w:ascii="Verdana" w:hAnsi="Verdana" w:cs="Arial"/>
          <w:b/>
          <w:bCs/>
          <w:color w:val="000000"/>
          <w:lang w:eastAsia="es-CO"/>
        </w:rPr>
      </w:pPr>
      <w:r w:rsidRPr="00EE395F">
        <w:rPr>
          <w:rFonts w:ascii="Verdana" w:eastAsia="Calibri" w:hAnsi="Verdana" w:cs="Arial"/>
          <w:lang w:val="es-ES_tradnl"/>
        </w:rPr>
        <w:t xml:space="preserve">ii. </w:t>
      </w:r>
      <w:r w:rsidRPr="00EE395F">
        <w:rPr>
          <w:rFonts w:ascii="Verdana" w:hAnsi="Verdana" w:cs="Arial"/>
          <w:bCs/>
          <w:lang w:val="es-ES_tradnl"/>
        </w:rPr>
        <w:t xml:space="preserve">El </w:t>
      </w:r>
      <w:bookmarkStart w:id="3" w:name="_Hlk81313863"/>
      <w:r w:rsidRPr="00EE395F">
        <w:rPr>
          <w:rFonts w:ascii="Verdana" w:hAnsi="Verdana" w:cs="Arial"/>
          <w:bCs/>
          <w:lang w:val="es-ES_tradnl"/>
        </w:rPr>
        <w:t xml:space="preserve">artículo 2.2.1.2.6.1.4 del Decreto 1082 de 2015 </w:t>
      </w:r>
      <w:bookmarkEnd w:id="3"/>
      <w:r w:rsidRPr="00EE395F">
        <w:rPr>
          <w:rFonts w:ascii="Verdana" w:hAnsi="Verdana" w:cs="Arial"/>
          <w:bCs/>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EE395F">
        <w:rPr>
          <w:rStyle w:val="Refdenotaalpie"/>
          <w:rFonts w:ascii="Verdana" w:hAnsi="Verdana" w:cs="Arial"/>
          <w:bCs/>
          <w:lang w:val="es-ES_tradnl"/>
        </w:rPr>
        <w:footnoteReference w:id="5"/>
      </w:r>
      <w:r w:rsidRPr="00EE395F">
        <w:rPr>
          <w:rFonts w:ascii="Verdana" w:hAnsi="Verdana" w:cs="Arial"/>
          <w:bCs/>
          <w:lang w:val="es-ES_tradnl"/>
        </w:rPr>
        <w:t>. En consecuencia</w:t>
      </w:r>
      <w:bookmarkStart w:id="4" w:name="_Hlk64290904"/>
      <w:r w:rsidRPr="00EE395F">
        <w:rPr>
          <w:rFonts w:ascii="Verdana" w:hAnsi="Verdana"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w:t>
      </w:r>
      <w:bookmarkEnd w:id="4"/>
      <w:r w:rsidRPr="00EE395F">
        <w:rPr>
          <w:rFonts w:ascii="Verdana" w:hAnsi="Verdana" w:cs="Arial"/>
          <w:bCs/>
          <w:lang w:val="es-ES_tradnl"/>
        </w:rPr>
        <w:t xml:space="preserve"> </w:t>
      </w:r>
    </w:p>
    <w:p w14:paraId="2FD33B4C" w14:textId="77777777" w:rsidR="009819F2" w:rsidRDefault="009819F2" w:rsidP="009819F2">
      <w:pPr>
        <w:spacing w:before="120" w:line="276" w:lineRule="auto"/>
        <w:ind w:firstLine="709"/>
        <w:jc w:val="both"/>
        <w:rPr>
          <w:rFonts w:ascii="Verdana" w:hAnsi="Verdana" w:cs="Arial"/>
          <w:bCs/>
          <w:lang w:val="es-ES_tradnl"/>
        </w:rPr>
      </w:pPr>
      <w:r w:rsidRPr="00EE395F">
        <w:rPr>
          <w:rFonts w:ascii="Verdana" w:hAnsi="Verdana" w:cs="Arial"/>
          <w:bCs/>
          <w:lang w:val="es-ES_tradnl"/>
        </w:rPr>
        <w:t xml:space="preserve">Esta prohibición se ratifica en el </w:t>
      </w:r>
      <w:bookmarkStart w:id="5" w:name="_Hlk81313856"/>
      <w:r w:rsidRPr="00EE395F">
        <w:rPr>
          <w:rFonts w:ascii="Verdana" w:hAnsi="Verdana" w:cs="Arial"/>
          <w:bCs/>
          <w:lang w:val="es-ES_tradnl"/>
        </w:rPr>
        <w:t>artículo 3 de la Resolución No. 240 de 2020</w:t>
      </w:r>
      <w:bookmarkEnd w:id="5"/>
      <w:r w:rsidRPr="00EE395F">
        <w:rPr>
          <w:rFonts w:ascii="Verdana" w:hAnsi="Verdana" w:cs="Arial"/>
          <w:bCs/>
          <w:lang w:val="es-ES_tradnl"/>
        </w:rPr>
        <w:t xml:space="preserve">,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55968C87" w14:textId="77777777" w:rsidR="009819F2" w:rsidRDefault="009819F2" w:rsidP="009819F2">
      <w:pPr>
        <w:spacing w:before="120" w:after="0" w:line="276" w:lineRule="auto"/>
        <w:ind w:firstLine="709"/>
        <w:jc w:val="both"/>
        <w:rPr>
          <w:rFonts w:ascii="Verdana" w:hAnsi="Verdana" w:cs="Arial"/>
          <w:lang w:val="es-ES"/>
        </w:rPr>
      </w:pPr>
      <w:r w:rsidRPr="5F0DCBDA">
        <w:rPr>
          <w:rFonts w:ascii="Verdana" w:hAnsi="Verdana" w:cs="Arial"/>
          <w:lang w:val="es-ES"/>
        </w:rPr>
        <w:t xml:space="preserve">Esta regulación se retoma </w:t>
      </w:r>
      <w:r w:rsidRPr="5F0DCBDA">
        <w:rPr>
          <w:rFonts w:ascii="Verdana" w:hAnsi="Verdana" w:cs="Arial"/>
          <w:i/>
          <w:iCs/>
          <w:lang w:val="es-ES"/>
        </w:rPr>
        <w:t>mutatis mutandis</w:t>
      </w:r>
      <w:r w:rsidRPr="5F0DCBDA">
        <w:rPr>
          <w:rFonts w:ascii="Verdana" w:hAnsi="Verdana" w:cs="Arial"/>
          <w:lang w:val="es-ES"/>
        </w:rPr>
        <w:t xml:space="preserve"> para las demás modalidades de selección en los que la Agencia ha ejercido la competencia descrita en el párrafo anterior. Por ello, teniendo en cuenta que los indicadores financieros hacen parte de los requisitos habilitantes, en los procesos regidos por </w:t>
      </w:r>
      <w:r w:rsidRPr="5F0DCBDA">
        <w:rPr>
          <w:rFonts w:ascii="Verdana" w:hAnsi="Verdana" w:cs="Arial"/>
          <w:lang w:val="es-ES"/>
        </w:rPr>
        <w:lastRenderedPageBreak/>
        <w:t xml:space="preserve">documentos tipo éstos se verifican de acuerdo con el contenido estandarizado del pliego de condiciones, por lo que las entidades se sujetan a ellos sin posibilidad de modificarlos. Para estos efectos, se sugiere la revisión exhaustiva de los Documentos Tipo expedidos por esta Agencia en la página web </w:t>
      </w:r>
      <w:hyperlink r:id="rId11">
        <w:r w:rsidRPr="5F0DCBDA">
          <w:rPr>
            <w:rStyle w:val="Hipervnculo"/>
            <w:rFonts w:ascii="Verdana" w:hAnsi="Verdana" w:cs="Arial"/>
            <w:lang w:val="es-ES"/>
          </w:rPr>
          <w:t>https://www.colombiacompra.gov.co/documentos-tipo/documentos-tipo</w:t>
        </w:r>
      </w:hyperlink>
      <w:r w:rsidRPr="5F0DCBDA">
        <w:rPr>
          <w:rFonts w:ascii="Verdana" w:hAnsi="Verdana" w:cs="Arial"/>
          <w:lang w:val="es-ES"/>
        </w:rPr>
        <w:t xml:space="preserve">. </w:t>
      </w:r>
    </w:p>
    <w:p w14:paraId="536F42B1" w14:textId="5DF257FC" w:rsidR="006E6646" w:rsidRDefault="006E6646" w:rsidP="0091081A">
      <w:pPr>
        <w:spacing w:before="120" w:after="0" w:line="276" w:lineRule="auto"/>
        <w:jc w:val="both"/>
        <w:rPr>
          <w:rFonts w:ascii="Verdana" w:hAnsi="Verdana" w:cs="Arial"/>
          <w:lang w:val="es-ES"/>
        </w:rPr>
      </w:pPr>
      <w:r>
        <w:rPr>
          <w:rFonts w:ascii="Verdana" w:hAnsi="Verdana" w:cs="Arial"/>
        </w:rPr>
        <w:t>Al margen de la explicación precedente</w:t>
      </w:r>
      <w:r w:rsidRPr="006759B0">
        <w:rPr>
          <w:rFonts w:ascii="Verdana" w:hAnsi="Verdana" w:cs="Arial"/>
        </w:rPr>
        <w:t xml:space="preserve"> debe advertirse que el análisis requerido </w:t>
      </w:r>
      <w:r w:rsidRPr="00016280">
        <w:rPr>
          <w:rFonts w:ascii="Verdana" w:hAnsi="Verdana" w:cs="Arial"/>
        </w:rPr>
        <w:t xml:space="preserve">para </w:t>
      </w:r>
      <w:r>
        <w:rPr>
          <w:rFonts w:ascii="Verdana" w:hAnsi="Verdana" w:cs="Arial"/>
        </w:rPr>
        <w:t>alguna gestión puntual</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2F16AF0F" w14:textId="6709AAFB" w:rsidR="00F37236" w:rsidRPr="007B29A9" w:rsidRDefault="009819F2" w:rsidP="007B29A9">
      <w:pPr>
        <w:spacing w:after="0" w:line="276" w:lineRule="auto"/>
        <w:jc w:val="both"/>
        <w:rPr>
          <w:rFonts w:ascii="Verdana" w:hAnsi="Verdana" w:cs="Arial"/>
          <w:bCs/>
          <w:lang w:val="es-ES_tradnl"/>
        </w:rPr>
      </w:pPr>
      <w:r>
        <w:rPr>
          <w:rFonts w:ascii="Verdana" w:hAnsi="Verdana" w:cs="Arial"/>
          <w:bCs/>
          <w:lang w:val="es-ES_tradnl"/>
        </w:rPr>
        <w:tab/>
      </w:r>
    </w:p>
    <w:p w14:paraId="144696B6" w14:textId="77777777" w:rsidR="00F37236" w:rsidRPr="00593A5F" w:rsidRDefault="00F37236" w:rsidP="00F372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731089CC" w14:textId="77777777" w:rsidR="00F37236" w:rsidRPr="00593A5F" w:rsidRDefault="00F37236" w:rsidP="00F3723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37236" w:rsidRPr="00593A5F" w14:paraId="191C1F32" w14:textId="77777777" w:rsidTr="00DB0E86">
        <w:trPr>
          <w:trHeight w:val="870"/>
        </w:trPr>
        <w:tc>
          <w:tcPr>
            <w:tcW w:w="8647" w:type="dxa"/>
          </w:tcPr>
          <w:p w14:paraId="5C835477" w14:textId="77777777" w:rsidR="00F37236" w:rsidRPr="003273BB" w:rsidRDefault="00F37236" w:rsidP="00F37236">
            <w:pPr>
              <w:pStyle w:val="Prrafodelista"/>
              <w:numPr>
                <w:ilvl w:val="0"/>
                <w:numId w:val="17"/>
              </w:numPr>
              <w:spacing w:after="120" w:line="276" w:lineRule="auto"/>
              <w:ind w:left="357" w:firstLine="0"/>
              <w:jc w:val="both"/>
              <w:rPr>
                <w:rFonts w:ascii="Verdana" w:hAnsi="Verdana"/>
              </w:rPr>
            </w:pPr>
            <w:r w:rsidRPr="003273BB">
              <w:rPr>
                <w:rFonts w:ascii="Verdana" w:hAnsi="Verdana"/>
              </w:rPr>
              <w:t>Ley 1882 de 2018 – Artículo 4.</w:t>
            </w:r>
          </w:p>
          <w:p w14:paraId="354C2EBA" w14:textId="77777777" w:rsidR="00F37236" w:rsidRPr="003273BB" w:rsidRDefault="00F37236" w:rsidP="00F37236">
            <w:pPr>
              <w:pStyle w:val="Prrafodelista"/>
              <w:numPr>
                <w:ilvl w:val="0"/>
                <w:numId w:val="17"/>
              </w:numPr>
              <w:spacing w:after="120" w:line="276" w:lineRule="auto"/>
              <w:ind w:left="357" w:firstLine="0"/>
              <w:jc w:val="both"/>
              <w:rPr>
                <w:rFonts w:ascii="Verdana" w:hAnsi="Verdana"/>
              </w:rPr>
            </w:pPr>
            <w:r w:rsidRPr="003273BB">
              <w:rPr>
                <w:rFonts w:ascii="Verdana" w:hAnsi="Verdana"/>
              </w:rPr>
              <w:t>Ley 2022 de 2020 – Artículo 1.</w:t>
            </w:r>
          </w:p>
          <w:p w14:paraId="46A952B6" w14:textId="77777777" w:rsidR="00F37236" w:rsidRPr="003273BB" w:rsidRDefault="00F37236" w:rsidP="00F37236">
            <w:pPr>
              <w:pStyle w:val="Prrafodelista"/>
              <w:numPr>
                <w:ilvl w:val="0"/>
                <w:numId w:val="17"/>
              </w:numPr>
              <w:spacing w:after="120" w:line="276" w:lineRule="auto"/>
              <w:ind w:left="357" w:firstLine="0"/>
              <w:jc w:val="both"/>
              <w:rPr>
                <w:rFonts w:ascii="Verdana" w:hAnsi="Verdana"/>
              </w:rPr>
            </w:pPr>
            <w:r w:rsidRPr="003273BB">
              <w:rPr>
                <w:rFonts w:ascii="Verdana" w:hAnsi="Verdana"/>
              </w:rPr>
              <w:t>Ley 1150 de 2007 – Artículo 2.</w:t>
            </w:r>
          </w:p>
          <w:p w14:paraId="68D6F259" w14:textId="77777777" w:rsidR="00F37236" w:rsidRPr="00D97499" w:rsidRDefault="00F37236" w:rsidP="00F37236">
            <w:pPr>
              <w:pStyle w:val="Prrafodelista"/>
              <w:numPr>
                <w:ilvl w:val="0"/>
                <w:numId w:val="17"/>
              </w:numPr>
              <w:spacing w:after="120" w:line="276" w:lineRule="auto"/>
              <w:ind w:left="357" w:firstLine="0"/>
              <w:jc w:val="both"/>
            </w:pPr>
            <w:r w:rsidRPr="003273BB">
              <w:rPr>
                <w:rFonts w:ascii="Verdana" w:hAnsi="Verdana"/>
              </w:rPr>
              <w:t>Decreto 1082 de 2015 – Art</w:t>
            </w:r>
            <w:r>
              <w:rPr>
                <w:rFonts w:ascii="Verdana" w:hAnsi="Verdana"/>
              </w:rPr>
              <w:t>ículo</w:t>
            </w:r>
            <w:r w:rsidRPr="003273BB">
              <w:rPr>
                <w:rFonts w:ascii="Verdana" w:hAnsi="Verdana"/>
              </w:rPr>
              <w:t xml:space="preserve"> 2.2.1.2.6.1.4,</w:t>
            </w:r>
            <w:r>
              <w:rPr>
                <w:rFonts w:ascii="Verdana" w:hAnsi="Verdana"/>
              </w:rPr>
              <w:t xml:space="preserve"> </w:t>
            </w:r>
            <w:r w:rsidRPr="003273BB">
              <w:rPr>
                <w:rFonts w:ascii="Verdana" w:hAnsi="Verdana"/>
              </w:rPr>
              <w:t>2.2.1.2.6.2.3, 2.2.1.2.6.3.4</w:t>
            </w:r>
            <w:r>
              <w:t xml:space="preserve"> </w:t>
            </w:r>
          </w:p>
        </w:tc>
      </w:tr>
    </w:tbl>
    <w:p w14:paraId="66E572FD" w14:textId="77777777" w:rsidR="00F37236" w:rsidRPr="00593A5F" w:rsidRDefault="00F37236" w:rsidP="00F37236">
      <w:pPr>
        <w:widowControl w:val="0"/>
        <w:autoSpaceDE w:val="0"/>
        <w:autoSpaceDN w:val="0"/>
        <w:spacing w:after="0" w:line="276" w:lineRule="auto"/>
        <w:jc w:val="both"/>
        <w:rPr>
          <w:rFonts w:ascii="Verdana" w:hAnsi="Verdana" w:cs="Arial"/>
        </w:rPr>
      </w:pPr>
    </w:p>
    <w:p w14:paraId="0B794C19" w14:textId="77777777" w:rsidR="00F37236" w:rsidRPr="00593A5F" w:rsidRDefault="00F37236" w:rsidP="00F372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7691C0B" w14:textId="77777777" w:rsidR="00F37236" w:rsidRPr="00593A5F" w:rsidRDefault="00F37236" w:rsidP="00F37236">
      <w:pPr>
        <w:widowControl w:val="0"/>
        <w:autoSpaceDE w:val="0"/>
        <w:autoSpaceDN w:val="0"/>
        <w:spacing w:after="0" w:line="276" w:lineRule="auto"/>
        <w:jc w:val="both"/>
        <w:rPr>
          <w:rFonts w:ascii="Verdana" w:hAnsi="Verdana" w:cs="Arial"/>
        </w:rPr>
      </w:pPr>
    </w:p>
    <w:p w14:paraId="2665BE58" w14:textId="06244664" w:rsidR="00F37236" w:rsidRDefault="00F37236" w:rsidP="00F37236">
      <w:pPr>
        <w:jc w:val="both"/>
        <w:rPr>
          <w:rFonts w:ascii="Verdana" w:hAnsi="Verdana" w:cs="Arial"/>
          <w:shd w:val="clear" w:color="auto" w:fill="FFFFFF"/>
        </w:rPr>
      </w:pPr>
      <w:r w:rsidRPr="00774100">
        <w:rPr>
          <w:rFonts w:ascii="Verdana" w:eastAsia="Calibri" w:hAnsi="Verdana" w:cs="Arial"/>
          <w:shd w:val="clear" w:color="auto" w:fill="FFFFFF"/>
          <w:lang w:val="es-ES"/>
        </w:rPr>
        <w:t xml:space="preserve">La Agencia Nacional de Contratación Pública − Colombia Compra Eficiente se pronunció </w:t>
      </w:r>
      <w:r>
        <w:rPr>
          <w:rFonts w:ascii="Verdana" w:eastAsia="Calibri" w:hAnsi="Verdana"/>
          <w:lang w:eastAsia="es-ES"/>
        </w:rPr>
        <w:t>s</w:t>
      </w:r>
      <w:r w:rsidRPr="007216D7">
        <w:rPr>
          <w:rFonts w:ascii="Verdana" w:eastAsia="Calibri" w:hAnsi="Verdana"/>
          <w:lang w:eastAsia="es-ES"/>
        </w:rPr>
        <w:t xml:space="preserve">obre </w:t>
      </w:r>
      <w:r>
        <w:rPr>
          <w:rFonts w:ascii="Verdana" w:hAnsi="Verdana" w:cs="Arial"/>
          <w:color w:val="000000" w:themeColor="text1"/>
          <w:shd w:val="clear" w:color="auto" w:fill="FFFFFF"/>
          <w:lang w:val="es-MX"/>
        </w:rPr>
        <w:t>e</w:t>
      </w:r>
      <w:r w:rsidRPr="00230060">
        <w:rPr>
          <w:rFonts w:ascii="Verdana" w:hAnsi="Verdana" w:cs="Arial"/>
          <w:color w:val="000000" w:themeColor="text1"/>
          <w:shd w:val="clear" w:color="auto" w:fill="FFFFFF"/>
          <w:lang w:val="es-MX"/>
        </w:rPr>
        <w:t>l principio de inalterabilidad</w:t>
      </w:r>
      <w:r>
        <w:rPr>
          <w:rFonts w:ascii="Verdana" w:hAnsi="Verdana" w:cs="Arial"/>
          <w:color w:val="000000" w:themeColor="text1"/>
          <w:shd w:val="clear" w:color="auto" w:fill="FFFFFF"/>
          <w:lang w:val="es-MX"/>
        </w:rPr>
        <w:t xml:space="preserve"> y prevalencia</w:t>
      </w:r>
      <w:r w:rsidRPr="00230060">
        <w:rPr>
          <w:rFonts w:ascii="Verdana" w:hAnsi="Verdana" w:cs="Arial"/>
          <w:color w:val="000000" w:themeColor="text1"/>
          <w:shd w:val="clear" w:color="auto" w:fill="FFFFFF"/>
          <w:lang w:val="es-MX"/>
        </w:rPr>
        <w:t xml:space="preserve"> de los documentos tipo,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C-485 del 27 de julio de 2020, C-501 del 29 de julio de 2020, C-497 del 6 de agosto de 2020, C-528 del 18 de agosto de 2020, C-526 del 26 de agosto de 2020, C-531 del 28 de agosto de 2020, C-597 del 14 de septiembre de 2020, C-618 del 17 de septiembre de 2020, C-633 del 23 de octubre de 2020, C-630 del 21 de octubre de 2020, C-643 del 26 de octubre de 2020, C-635 del 29 de octubre de 2020 y C-716 del 30 de octubre de 2020, </w:t>
      </w:r>
      <w:r w:rsidRPr="00230060">
        <w:rPr>
          <w:rFonts w:ascii="Verdana" w:hAnsi="Verdana" w:cs="Arial"/>
          <w:color w:val="000000" w:themeColor="text1"/>
          <w:shd w:val="clear" w:color="auto" w:fill="FFFFFF"/>
          <w:lang w:val="es-ES"/>
        </w:rPr>
        <w:t xml:space="preserve">C-789 del 19 de enero de 2021 y C-031 del 1 de febrero </w:t>
      </w:r>
      <w:r w:rsidRPr="00230060">
        <w:rPr>
          <w:rFonts w:ascii="Verdana" w:hAnsi="Verdana" w:cs="Arial"/>
          <w:color w:val="000000" w:themeColor="text1"/>
          <w:shd w:val="clear" w:color="auto" w:fill="FFFFFF"/>
          <w:lang w:val="es-ES"/>
        </w:rPr>
        <w:lastRenderedPageBreak/>
        <w:t>de 2021</w:t>
      </w:r>
      <w:r w:rsidR="006C58D8">
        <w:rPr>
          <w:rFonts w:ascii="Verdana" w:hAnsi="Verdana" w:cs="Arial"/>
          <w:color w:val="000000" w:themeColor="text1"/>
          <w:shd w:val="clear" w:color="auto" w:fill="FFFFFF"/>
          <w:lang w:val="es-ES"/>
        </w:rPr>
        <w:t xml:space="preserve">, C-425 del </w:t>
      </w:r>
      <w:r w:rsidR="00790F30">
        <w:rPr>
          <w:rFonts w:ascii="Verdana" w:hAnsi="Verdana" w:cs="Arial"/>
          <w:color w:val="000000" w:themeColor="text1"/>
          <w:shd w:val="clear" w:color="auto" w:fill="FFFFFF"/>
          <w:lang w:val="es-ES"/>
        </w:rPr>
        <w:t>13 de septiembre de 2024.</w:t>
      </w:r>
      <w:r>
        <w:rPr>
          <w:rFonts w:ascii="Verdana" w:hAnsi="Verdana"/>
        </w:rPr>
        <w:t xml:space="preserve"> </w:t>
      </w:r>
      <w:r w:rsidRPr="005A267A">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w:t>
      </w:r>
      <w:r w:rsidRPr="005D1F62">
        <w:rPr>
          <w:rFonts w:ascii="Verdana" w:hAnsi="Verdana" w:cs="Arial"/>
          <w:shd w:val="clear" w:color="auto" w:fill="FFFFFF"/>
        </w:rPr>
        <w:t xml:space="preserve"> contratación concordada con la doctrina de la Subdirección de Gestión Contractual.</w:t>
      </w:r>
      <w:r>
        <w:rPr>
          <w:rFonts w:ascii="Verdana" w:hAnsi="Verdana" w:cs="Arial"/>
          <w:shd w:val="clear" w:color="auto" w:fill="FFFFFF"/>
        </w:rPr>
        <w:t xml:space="preserve"> </w:t>
      </w:r>
      <w:r w:rsidRPr="005D1F62">
        <w:rPr>
          <w:rFonts w:ascii="Verdana" w:hAnsi="Verdana" w:cs="Arial"/>
          <w:shd w:val="clear" w:color="auto" w:fill="FFFFFF"/>
        </w:rPr>
        <w:t>Accede a través del siguiente enlace: </w:t>
      </w:r>
      <w:hyperlink r:id="rId12" w:tgtFrame="_blank" w:tooltip="Dirección URL original: https://relatoria.colombiacompra.gov.co/. Haga clic o pulse si confía en este vínculo." w:history="1">
        <w:r w:rsidRPr="005D1F62">
          <w:rPr>
            <w:rStyle w:val="Hipervnculo"/>
            <w:rFonts w:ascii="Verdana" w:hAnsi="Verdana" w:cs="Arial"/>
            <w:shd w:val="clear" w:color="auto" w:fill="FFFFFF"/>
          </w:rPr>
          <w:t>https://relatoria.colombiacompra.gov.co/</w:t>
        </w:r>
      </w:hyperlink>
      <w:r w:rsidRPr="005D1F62">
        <w:rPr>
          <w:rFonts w:ascii="Verdana" w:hAnsi="Verdana" w:cs="Arial"/>
          <w:shd w:val="clear" w:color="auto" w:fill="FFFFFF"/>
        </w:rPr>
        <w:t>.</w:t>
      </w:r>
    </w:p>
    <w:p w14:paraId="28440279" w14:textId="77777777" w:rsidR="00F37236" w:rsidRPr="00851CE9" w:rsidRDefault="00F37236" w:rsidP="00F37236">
      <w:pPr>
        <w:shd w:val="clear" w:color="auto" w:fill="FFFFFF"/>
        <w:jc w:val="both"/>
        <w:textAlignment w:val="baseline"/>
        <w:rPr>
          <w:rFonts w:ascii="Verdana" w:hAnsi="Verdana"/>
          <w:color w:val="242424"/>
        </w:rPr>
      </w:pPr>
      <w:r w:rsidRPr="00851CE9">
        <w:rPr>
          <w:rFonts w:ascii="Verdana" w:hAnsi="Verdana"/>
          <w:color w:val="000000"/>
          <w:bdr w:val="none" w:sz="0" w:space="0" w:color="auto" w:frame="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3" w:tgtFrame="_blank" w:tooltip="Dirección URL original: https://www.colombiacompra.gov.co/content/borrador-de-documentos-tipo-de-consultoria-de-obra-publica-de-infraestructura-de-transporte. Haga clic o pulse si confía en este vínculo." w:history="1">
        <w:r w:rsidRPr="00851CE9">
          <w:rPr>
            <w:rStyle w:val="Hipervnculo"/>
            <w:rFonts w:ascii="Verdana" w:hAnsi="Verdana"/>
            <w:color w:val="467886"/>
            <w:bdr w:val="none" w:sz="0" w:space="0" w:color="auto" w:frame="1"/>
          </w:rPr>
          <w:t>https://www.colombiacompra.gov.co/content/borrador-de-documentos-tipo-de-consultoria-de-obra-publica-de-infraestructura-de-transporte</w:t>
        </w:r>
      </w:hyperlink>
      <w:r w:rsidRPr="00851CE9">
        <w:rPr>
          <w:rFonts w:ascii="Verdana" w:hAnsi="Verdana"/>
          <w:color w:val="000000"/>
          <w:bdr w:val="none" w:sz="0" w:space="0" w:color="auto" w:frame="1"/>
        </w:rPr>
        <w:t> y </w:t>
      </w:r>
      <w:hyperlink r:id="rId14" w:tgtFrame="_blank" w:tooltip="Dirección URL original: https://www.colombiacompra.gov.co/content/borrador-de-documentos-tipo-de-interventoria-de-obra-publica-de-infraestructura-de. Haga clic o pulse si confía en este vínculo." w:history="1">
        <w:r w:rsidRPr="00851CE9">
          <w:rPr>
            <w:rStyle w:val="Hipervnculo"/>
            <w:rFonts w:ascii="Verdana" w:hAnsi="Verdana"/>
            <w:color w:val="467886"/>
            <w:bdr w:val="none" w:sz="0" w:space="0" w:color="auto" w:frame="1"/>
          </w:rPr>
          <w:t>https://www.colombiacompra.gov.co/content/borrador-de-documentos-tipo-de-interventoria-de-obra-publica-de-infraestructura-de</w:t>
        </w:r>
      </w:hyperlink>
    </w:p>
    <w:p w14:paraId="541FA0E4" w14:textId="77777777" w:rsidR="00F37236" w:rsidRPr="00851CE9" w:rsidRDefault="00F37236" w:rsidP="00F37236">
      <w:pPr>
        <w:shd w:val="clear" w:color="auto" w:fill="FFFFFF"/>
        <w:jc w:val="both"/>
        <w:textAlignment w:val="baseline"/>
        <w:rPr>
          <w:rFonts w:ascii="Verdana" w:hAnsi="Verdana"/>
          <w:color w:val="242424"/>
        </w:rPr>
      </w:pPr>
      <w:r w:rsidRPr="00851CE9">
        <w:rPr>
          <w:rFonts w:ascii="Verdana" w:hAnsi="Verdana"/>
          <w:color w:val="000000"/>
          <w:bdr w:val="none" w:sz="0" w:space="0" w:color="auto" w:frame="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5" w:tgtFrame="_blank" w:tooltip="Dirección URL original: https://www.sucop.gov.co/entidades/colombiacompra/Normativa?IDNorma=18320. Haga clic o pulse si confía en este vínculo." w:history="1">
        <w:r w:rsidRPr="00851CE9">
          <w:rPr>
            <w:rStyle w:val="Hipervnculo"/>
            <w:rFonts w:ascii="Verdana" w:hAnsi="Verdana"/>
            <w:color w:val="467886"/>
            <w:bdr w:val="none" w:sz="0" w:space="0" w:color="auto" w:frame="1"/>
          </w:rPr>
          <w:t>https://www.sucop.gov.co/entidades/colombiacompra/Normativa?IDNorma=18320</w:t>
        </w:r>
      </w:hyperlink>
      <w:r w:rsidRPr="00851CE9">
        <w:rPr>
          <w:rFonts w:ascii="Verdana" w:hAnsi="Verdana"/>
          <w:color w:val="000000"/>
          <w:bdr w:val="none" w:sz="0" w:space="0" w:color="auto" w:frame="1"/>
        </w:rPr>
        <w:t>  </w:t>
      </w:r>
    </w:p>
    <w:p w14:paraId="5C6C28DD" w14:textId="77777777" w:rsidR="00F37236" w:rsidRPr="00851CE9" w:rsidRDefault="00F37236" w:rsidP="00F37236">
      <w:pPr>
        <w:shd w:val="clear" w:color="auto" w:fill="FFFFFF"/>
        <w:jc w:val="both"/>
        <w:textAlignment w:val="baseline"/>
        <w:rPr>
          <w:rFonts w:ascii="Aptos" w:hAnsi="Aptos"/>
          <w:color w:val="242424"/>
        </w:rPr>
      </w:pPr>
      <w:r w:rsidRPr="00851CE9">
        <w:rPr>
          <w:rFonts w:ascii="Verdana" w:hAnsi="Verdana"/>
          <w:color w:val="000000"/>
          <w:bdr w:val="none" w:sz="0" w:space="0" w:color="auto" w:frame="1"/>
        </w:rPr>
        <w:t>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 </w:t>
      </w:r>
      <w:hyperlink r:id="rId16" w:tgtFrame="_blank" w:tooltip="Dirección URL original: https://www.colombiacompra.gov.co/sala-de-prensa/boletin-digital. Haga clic o pulse si confía en este vínculo." w:history="1">
        <w:r w:rsidRPr="00851CE9">
          <w:rPr>
            <w:rStyle w:val="Hipervnculo"/>
            <w:rFonts w:ascii="Verdana" w:hAnsi="Verdana"/>
            <w:color w:val="467886"/>
            <w:bdr w:val="none" w:sz="0" w:space="0" w:color="auto" w:frame="1"/>
          </w:rPr>
          <w:t>https://www.colombiacompra.gov.co/sala-de-prensa/boletin-digital</w:t>
        </w:r>
      </w:hyperlink>
      <w:r>
        <w:rPr>
          <w:rFonts w:ascii="Aptos" w:hAnsi="Aptos"/>
          <w:color w:val="000000"/>
          <w:bdr w:val="none" w:sz="0" w:space="0" w:color="auto" w:frame="1"/>
        </w:rPr>
        <w:t>  </w:t>
      </w:r>
    </w:p>
    <w:p w14:paraId="3C687E8D" w14:textId="77777777" w:rsidR="00F37236" w:rsidRDefault="00F37236" w:rsidP="00F37236">
      <w:pPr>
        <w:spacing w:after="0" w:line="240" w:lineRule="auto"/>
        <w:jc w:val="both"/>
        <w:rPr>
          <w:rFonts w:ascii="Verdana" w:hAnsi="Verdana"/>
        </w:rPr>
      </w:pPr>
      <w:r w:rsidRPr="003E2460">
        <w:rPr>
          <w:rFonts w:ascii="Verdana" w:hAnsi="Verdana"/>
        </w:rPr>
        <w:t>Por último, lo invitamos a seguirnos en las redes sociales en las cuales se difunde información institucional:</w:t>
      </w:r>
    </w:p>
    <w:p w14:paraId="0FCBC004" w14:textId="77777777" w:rsidR="00F37236" w:rsidRPr="003E2460" w:rsidRDefault="00F37236" w:rsidP="00F37236">
      <w:pPr>
        <w:spacing w:after="0" w:line="240" w:lineRule="auto"/>
        <w:jc w:val="both"/>
        <w:rPr>
          <w:rFonts w:ascii="Verdana" w:hAnsi="Verdana"/>
        </w:rPr>
      </w:pPr>
    </w:p>
    <w:p w14:paraId="1692164C" w14:textId="77777777" w:rsidR="00F37236" w:rsidRPr="003E2460" w:rsidRDefault="00F37236" w:rsidP="00F37236">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D6E27F7" w14:textId="77777777" w:rsidR="00F37236" w:rsidRPr="003E2460" w:rsidRDefault="00F37236" w:rsidP="00F37236">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06001E14" w14:textId="77777777" w:rsidR="00F37236" w:rsidRPr="003E2460" w:rsidRDefault="00F37236" w:rsidP="00F37236">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D8E95BE" w14:textId="77777777" w:rsidR="00F37236" w:rsidRPr="00593A5F" w:rsidRDefault="00F37236" w:rsidP="00F37236">
      <w:pPr>
        <w:widowControl w:val="0"/>
        <w:autoSpaceDE w:val="0"/>
        <w:autoSpaceDN w:val="0"/>
        <w:spacing w:after="0" w:line="276" w:lineRule="auto"/>
        <w:jc w:val="both"/>
        <w:rPr>
          <w:rFonts w:ascii="Verdana" w:hAnsi="Verdana" w:cs="Arial"/>
        </w:rPr>
      </w:pPr>
    </w:p>
    <w:p w14:paraId="721387DE" w14:textId="77777777" w:rsidR="00F37236" w:rsidRPr="00593A5F" w:rsidRDefault="00F37236" w:rsidP="00F3723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250346D" w14:textId="77777777" w:rsidR="00F37236" w:rsidRPr="00593A5F" w:rsidRDefault="00F37236" w:rsidP="00F37236">
      <w:pPr>
        <w:widowControl w:val="0"/>
        <w:autoSpaceDE w:val="0"/>
        <w:autoSpaceDN w:val="0"/>
        <w:spacing w:after="0" w:line="276" w:lineRule="auto"/>
        <w:jc w:val="both"/>
        <w:rPr>
          <w:rFonts w:ascii="Verdana" w:hAnsi="Verdana" w:cs="Arial"/>
        </w:rPr>
      </w:pPr>
    </w:p>
    <w:p w14:paraId="09F81F47" w14:textId="77777777" w:rsidR="00F37236" w:rsidRPr="00593A5F" w:rsidRDefault="00F37236" w:rsidP="00F37236">
      <w:pPr>
        <w:spacing w:after="0" w:line="240" w:lineRule="auto"/>
        <w:rPr>
          <w:rFonts w:ascii="Verdana" w:hAnsi="Verdana" w:cs="Arial"/>
          <w:lang w:eastAsia="es-CO"/>
        </w:rPr>
      </w:pPr>
      <w:r w:rsidRPr="00593A5F">
        <w:rPr>
          <w:rFonts w:ascii="Verdana" w:eastAsia="Times New Roman" w:hAnsi="Verdana" w:cs="Arial"/>
          <w:lang w:eastAsia="es-CO"/>
        </w:rPr>
        <w:lastRenderedPageBreak/>
        <w:t>Atentamente,</w:t>
      </w:r>
      <w:r w:rsidRPr="00593A5F">
        <w:rPr>
          <w:rFonts w:ascii="Verdana" w:hAnsi="Verdana" w:cs="Arial"/>
          <w:lang w:eastAsia="es-CO"/>
        </w:rPr>
        <w:t xml:space="preserve"> </w:t>
      </w:r>
    </w:p>
    <w:p w14:paraId="0ED4AD01" w14:textId="77777777" w:rsidR="00F37236" w:rsidRDefault="00F37236" w:rsidP="00F37236">
      <w:pPr>
        <w:spacing w:line="276" w:lineRule="auto"/>
        <w:jc w:val="center"/>
        <w:rPr>
          <w:rFonts w:ascii="Verdana" w:hAnsi="Verdana" w:cs="Arial"/>
          <w:color w:val="000000"/>
          <w:lang w:val="es-ES_tradnl" w:eastAsia="es-CO"/>
        </w:rPr>
      </w:pPr>
    </w:p>
    <w:p w14:paraId="29CAFED8" w14:textId="7517764D" w:rsidR="00F37236" w:rsidRDefault="009D1EEA" w:rsidP="009D1EEA">
      <w:pPr>
        <w:spacing w:line="276" w:lineRule="auto"/>
        <w:jc w:val="center"/>
        <w:rPr>
          <w:rFonts w:ascii="Verdana" w:hAnsi="Verdana" w:cs="Arial"/>
          <w:color w:val="000000"/>
          <w:lang w:val="es-ES_tradnl" w:eastAsia="es-CO"/>
        </w:rPr>
      </w:pPr>
      <w:r>
        <w:rPr>
          <w:noProof/>
        </w:rPr>
        <w:drawing>
          <wp:inline distT="0" distB="0" distL="0" distR="0" wp14:anchorId="0EA42407" wp14:editId="4A06C76E">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1429" cy="1400000"/>
                    </a:xfrm>
                    <a:prstGeom prst="rect">
                      <a:avLst/>
                    </a:prstGeom>
                  </pic:spPr>
                </pic:pic>
              </a:graphicData>
            </a:graphic>
          </wp:inline>
        </w:drawing>
      </w:r>
      <w:bookmarkStart w:id="6" w:name="_GoBack"/>
      <w:bookmarkEnd w:id="6"/>
    </w:p>
    <w:p w14:paraId="6B9F6B46" w14:textId="77777777" w:rsidR="00F37236" w:rsidRDefault="00F37236" w:rsidP="00F37236">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37236" w:rsidRPr="00593A5F" w14:paraId="6F26869E" w14:textId="77777777" w:rsidTr="00DB0E86">
        <w:trPr>
          <w:trHeight w:val="315"/>
        </w:trPr>
        <w:tc>
          <w:tcPr>
            <w:tcW w:w="893" w:type="dxa"/>
            <w:vAlign w:val="center"/>
            <w:hideMark/>
          </w:tcPr>
          <w:p w14:paraId="5DE34F38" w14:textId="77777777" w:rsidR="00F37236" w:rsidRPr="003751C7" w:rsidRDefault="00F37236" w:rsidP="00DB0E86">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462FBAB" w14:textId="77777777" w:rsidR="00F37236" w:rsidRPr="00E1151D" w:rsidRDefault="00F37236" w:rsidP="00DB0E86">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145DD7A5" w14:textId="77777777" w:rsidR="00F37236" w:rsidRPr="003751C7" w:rsidRDefault="00F37236" w:rsidP="00DB0E86">
            <w:pPr>
              <w:contextualSpacing/>
              <w:rPr>
                <w:rFonts w:ascii="Verdana" w:eastAsia="Arial" w:hAnsi="Verdana" w:cs="Arial"/>
                <w:sz w:val="16"/>
                <w:szCs w:val="16"/>
              </w:rPr>
            </w:pPr>
            <w:r w:rsidRPr="00E1151D">
              <w:rPr>
                <w:rStyle w:val="normaltextrun"/>
                <w:rFonts w:ascii="Verdana" w:eastAsia="Arial" w:hAnsi="Verdana" w:cs="Arial"/>
                <w:sz w:val="16"/>
                <w:szCs w:val="16"/>
              </w:rPr>
              <w:t>Contratista de la Subdirección de Gestión Contractual</w:t>
            </w:r>
          </w:p>
        </w:tc>
      </w:tr>
      <w:tr w:rsidR="00F37236" w:rsidRPr="00593A5F" w14:paraId="68055DFA" w14:textId="77777777" w:rsidTr="00DB0E86">
        <w:trPr>
          <w:trHeight w:val="330"/>
        </w:trPr>
        <w:tc>
          <w:tcPr>
            <w:tcW w:w="893" w:type="dxa"/>
            <w:vAlign w:val="center"/>
            <w:hideMark/>
          </w:tcPr>
          <w:p w14:paraId="340745A6" w14:textId="77777777" w:rsidR="00F37236" w:rsidRPr="003751C7" w:rsidRDefault="00F37236" w:rsidP="00DB0E86">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607BAAA" w14:textId="77777777" w:rsidR="00F37236" w:rsidRPr="00110432" w:rsidRDefault="00F37236" w:rsidP="00DB0E86">
            <w:pPr>
              <w:pStyle w:val="paragraph"/>
              <w:spacing w:before="0" w:beforeAutospacing="0" w:after="0" w:afterAutospacing="0"/>
              <w:contextualSpacing/>
              <w:textAlignment w:val="baseline"/>
              <w:rPr>
                <w:rFonts w:ascii="Verdana" w:hAnsi="Verdana" w:cs="Segoe UI"/>
                <w:sz w:val="16"/>
                <w:szCs w:val="16"/>
              </w:rPr>
            </w:pPr>
            <w:r w:rsidRPr="00110432">
              <w:rPr>
                <w:rFonts w:ascii="Verdana" w:hAnsi="Verdana" w:cs="Segoe UI"/>
                <w:sz w:val="16"/>
                <w:szCs w:val="16"/>
              </w:rPr>
              <w:t>Adriana López Rodríguez</w:t>
            </w:r>
          </w:p>
          <w:p w14:paraId="4190B891" w14:textId="77777777" w:rsidR="00F37236" w:rsidRPr="003751C7" w:rsidRDefault="00F37236" w:rsidP="00DB0E86">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 xml:space="preserve">Contratista </w:t>
            </w:r>
            <w:r w:rsidRPr="0078388D">
              <w:rPr>
                <w:rStyle w:val="normaltextrun"/>
                <w:rFonts w:ascii="Verdana" w:hAnsi="Verdana" w:cs="Arial"/>
                <w:sz w:val="16"/>
                <w:szCs w:val="16"/>
                <w:lang w:val="es-ES"/>
              </w:rPr>
              <w:t>de la Subdirección de Gestión Contractual</w:t>
            </w:r>
          </w:p>
        </w:tc>
      </w:tr>
      <w:tr w:rsidR="00F37236" w:rsidRPr="00593A5F" w14:paraId="6807CD07" w14:textId="77777777" w:rsidTr="00DB0E86">
        <w:trPr>
          <w:trHeight w:val="300"/>
        </w:trPr>
        <w:tc>
          <w:tcPr>
            <w:tcW w:w="893" w:type="dxa"/>
            <w:vAlign w:val="center"/>
          </w:tcPr>
          <w:p w14:paraId="30F32EB7" w14:textId="77777777" w:rsidR="00F37236" w:rsidRPr="003751C7" w:rsidRDefault="00F37236" w:rsidP="00DB0E86">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C53F5B9" w14:textId="77777777" w:rsidR="00F37236" w:rsidRPr="003751C7" w:rsidRDefault="00F37236" w:rsidP="00DB0E86">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3C06B2D8" w14:textId="77777777" w:rsidR="00F37236" w:rsidRPr="003751C7" w:rsidRDefault="00F37236" w:rsidP="00DB0E86">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0F293BF4" w14:textId="7BBFAB11" w:rsidR="00127233" w:rsidRPr="00F37236" w:rsidRDefault="00127233" w:rsidP="00F37236"/>
    <w:sectPr w:rsidR="00127233" w:rsidRPr="00F37236"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E4F29" w14:textId="77777777" w:rsidR="000C2E9C" w:rsidRDefault="000C2E9C" w:rsidP="004A1847">
      <w:pPr>
        <w:spacing w:after="0" w:line="240" w:lineRule="auto"/>
      </w:pPr>
      <w:r>
        <w:separator/>
      </w:r>
    </w:p>
  </w:endnote>
  <w:endnote w:type="continuationSeparator" w:id="0">
    <w:p w14:paraId="623FF1F4" w14:textId="77777777" w:rsidR="000C2E9C" w:rsidRDefault="000C2E9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D3B9" w14:textId="77777777" w:rsidR="000C2E9C" w:rsidRDefault="000C2E9C" w:rsidP="004A1847">
      <w:pPr>
        <w:spacing w:after="0" w:line="240" w:lineRule="auto"/>
      </w:pPr>
      <w:r>
        <w:separator/>
      </w:r>
    </w:p>
  </w:footnote>
  <w:footnote w:type="continuationSeparator" w:id="0">
    <w:p w14:paraId="6349FAB1" w14:textId="77777777" w:rsidR="000C2E9C" w:rsidRDefault="000C2E9C" w:rsidP="004A1847">
      <w:pPr>
        <w:spacing w:after="0" w:line="240" w:lineRule="auto"/>
      </w:pPr>
      <w:r>
        <w:continuationSeparator/>
      </w:r>
    </w:p>
  </w:footnote>
  <w:footnote w:id="1">
    <w:p w14:paraId="0A03E362" w14:textId="77777777" w:rsidR="00194CFD" w:rsidRDefault="00194CFD" w:rsidP="00194CFD">
      <w:pPr>
        <w:pStyle w:val="Textonotapie"/>
        <w:ind w:firstLine="708"/>
        <w:jc w:val="both"/>
        <w:rPr>
          <w:rFonts w:ascii="Verdana" w:hAnsi="Verdana" w:cs="Arial"/>
          <w:sz w:val="16"/>
          <w:szCs w:val="16"/>
        </w:rPr>
      </w:pPr>
      <w:r>
        <w:rPr>
          <w:rStyle w:val="Refdenotaalpie"/>
          <w:rFonts w:ascii="Verdana" w:hAnsi="Verdana" w:cs="Arial"/>
          <w:sz w:val="16"/>
          <w:szCs w:val="16"/>
        </w:rPr>
        <w:footnoteRef/>
      </w:r>
      <w:r>
        <w:rPr>
          <w:rFonts w:ascii="Verdana" w:hAnsi="Verdana" w:cs="Arial"/>
          <w:sz w:val="16"/>
          <w:szCs w:val="16"/>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
    <w:p w14:paraId="217899E6" w14:textId="77777777" w:rsidR="00AA6F3E" w:rsidRPr="00A810DF" w:rsidRDefault="00AA6F3E" w:rsidP="00AA6F3E">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r>
        <w:rPr>
          <w:rFonts w:ascii="Arial" w:hAnsi="Arial" w:cs="Arial"/>
          <w:sz w:val="19"/>
          <w:szCs w:val="19"/>
          <w:lang w:val="es-ES"/>
        </w:rPr>
        <w:t xml:space="preserve"> y de la Resolución 326 de 2022.</w:t>
      </w:r>
    </w:p>
  </w:footnote>
  <w:footnote w:id="3">
    <w:p w14:paraId="2E13A4BF" w14:textId="77777777" w:rsidR="009819F2" w:rsidRPr="0074409B" w:rsidRDefault="009819F2" w:rsidP="009819F2">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w:t>
      </w:r>
      <w:hyperlink r:id="rId1" w:history="1">
        <w:r w:rsidRPr="0074409B">
          <w:rPr>
            <w:rStyle w:val="Hipervnculo"/>
            <w:rFonts w:ascii="Verdana" w:hAnsi="Verdana"/>
            <w:sz w:val="16"/>
            <w:szCs w:val="16"/>
          </w:rPr>
          <w:t>https://www.colombiacompra.gov.co/sites/cce_public/files/cce_documentos/cce-eicp-gi-18._gees_v.2_2.pdf</w:t>
        </w:r>
      </w:hyperlink>
      <w:r w:rsidRPr="0074409B">
        <w:rPr>
          <w:rFonts w:ascii="Verdana" w:hAnsi="Verdana"/>
          <w:sz w:val="16"/>
          <w:szCs w:val="16"/>
        </w:rPr>
        <w:t xml:space="preserve">. </w:t>
      </w:r>
    </w:p>
  </w:footnote>
  <w:footnote w:id="4">
    <w:p w14:paraId="42A3FB78" w14:textId="77777777" w:rsidR="009819F2" w:rsidRPr="0074409B" w:rsidRDefault="009819F2" w:rsidP="009819F2">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w:t>
      </w:r>
      <w:hyperlink r:id="rId2" w:anchor="page=22" w:history="1">
        <w:r w:rsidRPr="0074409B">
          <w:rPr>
            <w:rStyle w:val="Hipervnculo"/>
            <w:rFonts w:ascii="Verdana" w:hAnsi="Verdana"/>
            <w:sz w:val="16"/>
            <w:szCs w:val="16"/>
          </w:rPr>
          <w:t>https://www.colombiacompra.gov.co/sites/cce_public/files/files_2020/mae_2.0_vf.pdf#page=22</w:t>
        </w:r>
      </w:hyperlink>
      <w:r w:rsidRPr="0074409B">
        <w:rPr>
          <w:rFonts w:ascii="Verdana" w:hAnsi="Verdana"/>
          <w:sz w:val="16"/>
          <w:szCs w:val="16"/>
        </w:rPr>
        <w:t xml:space="preserve">. </w:t>
      </w:r>
    </w:p>
  </w:footnote>
  <w:footnote w:id="5">
    <w:p w14:paraId="27F2FA65" w14:textId="77777777" w:rsidR="009819F2" w:rsidRPr="0074409B" w:rsidRDefault="009819F2" w:rsidP="009819F2">
      <w:pPr>
        <w:pStyle w:val="Textonotapie"/>
        <w:ind w:firstLine="708"/>
        <w:jc w:val="both"/>
        <w:rPr>
          <w:rFonts w:ascii="Verdana" w:hAnsi="Verdana" w:cs="Arial"/>
          <w:sz w:val="16"/>
          <w:szCs w:val="16"/>
        </w:rPr>
      </w:pPr>
      <w:r w:rsidRPr="0074409B">
        <w:rPr>
          <w:rStyle w:val="Refdenotaalpie"/>
          <w:rFonts w:ascii="Verdana" w:hAnsi="Verdana" w:cs="Arial"/>
          <w:sz w:val="16"/>
          <w:szCs w:val="16"/>
        </w:rPr>
        <w:footnoteRef/>
      </w:r>
      <w:r w:rsidRPr="0074409B">
        <w:rPr>
          <w:rFonts w:ascii="Verdana" w:hAnsi="Verdana" w:cs="Arial"/>
          <w:sz w:val="16"/>
          <w:szCs w:val="16"/>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20E89"/>
    <w:multiLevelType w:val="hybridMultilevel"/>
    <w:tmpl w:val="41C0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5"/>
  </w:num>
  <w:num w:numId="8">
    <w:abstractNumId w:val="12"/>
  </w:num>
  <w:num w:numId="9">
    <w:abstractNumId w:val="7"/>
  </w:num>
  <w:num w:numId="10">
    <w:abstractNumId w:val="11"/>
  </w:num>
  <w:num w:numId="11">
    <w:abstractNumId w:val="8"/>
  </w:num>
  <w:num w:numId="12">
    <w:abstractNumId w:val="1"/>
  </w:num>
  <w:num w:numId="13">
    <w:abstractNumId w:val="3"/>
  </w:num>
  <w:num w:numId="14">
    <w:abstractNumId w:val="14"/>
  </w:num>
  <w:num w:numId="15">
    <w:abstractNumId w:val="10"/>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2E9C"/>
    <w:rsid w:val="000D0334"/>
    <w:rsid w:val="000F6486"/>
    <w:rsid w:val="00125105"/>
    <w:rsid w:val="00127233"/>
    <w:rsid w:val="00194CFD"/>
    <w:rsid w:val="001D53D5"/>
    <w:rsid w:val="001E4177"/>
    <w:rsid w:val="001F7DC6"/>
    <w:rsid w:val="002152D4"/>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C00A8"/>
    <w:rsid w:val="004F21C4"/>
    <w:rsid w:val="004F685F"/>
    <w:rsid w:val="005566E8"/>
    <w:rsid w:val="00574867"/>
    <w:rsid w:val="00591460"/>
    <w:rsid w:val="00592628"/>
    <w:rsid w:val="005C3777"/>
    <w:rsid w:val="005C5CDC"/>
    <w:rsid w:val="005D476C"/>
    <w:rsid w:val="0060092A"/>
    <w:rsid w:val="00610812"/>
    <w:rsid w:val="006219F8"/>
    <w:rsid w:val="00650FF7"/>
    <w:rsid w:val="00665D70"/>
    <w:rsid w:val="006676F9"/>
    <w:rsid w:val="00671DAC"/>
    <w:rsid w:val="006900D9"/>
    <w:rsid w:val="006C2F1D"/>
    <w:rsid w:val="006C58D8"/>
    <w:rsid w:val="006D12F8"/>
    <w:rsid w:val="006E6646"/>
    <w:rsid w:val="00706C16"/>
    <w:rsid w:val="00756841"/>
    <w:rsid w:val="007649AB"/>
    <w:rsid w:val="00771D0C"/>
    <w:rsid w:val="007833AC"/>
    <w:rsid w:val="00790F30"/>
    <w:rsid w:val="007B169B"/>
    <w:rsid w:val="007B268C"/>
    <w:rsid w:val="007B29A9"/>
    <w:rsid w:val="007B7171"/>
    <w:rsid w:val="007C0C0F"/>
    <w:rsid w:val="007C3DC2"/>
    <w:rsid w:val="007E5497"/>
    <w:rsid w:val="00806F5F"/>
    <w:rsid w:val="00820278"/>
    <w:rsid w:val="008843B6"/>
    <w:rsid w:val="00891928"/>
    <w:rsid w:val="008A446D"/>
    <w:rsid w:val="008D180B"/>
    <w:rsid w:val="008F0EA7"/>
    <w:rsid w:val="0091081A"/>
    <w:rsid w:val="00923EEF"/>
    <w:rsid w:val="009419F9"/>
    <w:rsid w:val="0095685E"/>
    <w:rsid w:val="00961B09"/>
    <w:rsid w:val="00965334"/>
    <w:rsid w:val="0097093E"/>
    <w:rsid w:val="009819F2"/>
    <w:rsid w:val="009A0DFA"/>
    <w:rsid w:val="009B2D26"/>
    <w:rsid w:val="009C71FA"/>
    <w:rsid w:val="009C72E7"/>
    <w:rsid w:val="009D1EEA"/>
    <w:rsid w:val="009D3058"/>
    <w:rsid w:val="009F3A13"/>
    <w:rsid w:val="00A122D3"/>
    <w:rsid w:val="00A17F13"/>
    <w:rsid w:val="00A20739"/>
    <w:rsid w:val="00A33C78"/>
    <w:rsid w:val="00AA6F3E"/>
    <w:rsid w:val="00AB0ADB"/>
    <w:rsid w:val="00B01B1A"/>
    <w:rsid w:val="00B72CD3"/>
    <w:rsid w:val="00B72FFF"/>
    <w:rsid w:val="00B80705"/>
    <w:rsid w:val="00BC3D36"/>
    <w:rsid w:val="00BD7F72"/>
    <w:rsid w:val="00C04FB3"/>
    <w:rsid w:val="00C330EB"/>
    <w:rsid w:val="00C754BE"/>
    <w:rsid w:val="00C76B1C"/>
    <w:rsid w:val="00CB6357"/>
    <w:rsid w:val="00CC1B26"/>
    <w:rsid w:val="00D02B79"/>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16D71"/>
    <w:rsid w:val="00F31EDC"/>
    <w:rsid w:val="00F37236"/>
    <w:rsid w:val="00F462B3"/>
    <w:rsid w:val="00F5664F"/>
    <w:rsid w:val="00F666C4"/>
    <w:rsid w:val="00F76AFC"/>
    <w:rsid w:val="00F820C8"/>
    <w:rsid w:val="00FA47C0"/>
    <w:rsid w:val="00FB5DD1"/>
    <w:rsid w:val="00FC2B5D"/>
    <w:rsid w:val="00FF1449"/>
    <w:rsid w:val="044B1F6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F3723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37236"/>
    <w:rPr>
      <w:rFonts w:ascii="Geomanist Light" w:hAnsi="Geomanist Light"/>
      <w:lang w:val="es-ES"/>
    </w:rPr>
  </w:style>
  <w:style w:type="character" w:customStyle="1" w:styleId="InviasNormalCar">
    <w:name w:val="Invias Normal Car"/>
    <w:link w:val="InviasNormal"/>
    <w:locked/>
    <w:rsid w:val="00F37236"/>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F37236"/>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paragraph" w:styleId="Textodeglobo">
    <w:name w:val="Balloon Text"/>
    <w:basedOn w:val="Normal"/>
    <w:link w:val="TextodegloboCar"/>
    <w:uiPriority w:val="99"/>
    <w:semiHidden/>
    <w:unhideWhenUsed/>
    <w:rsid w:val="004C00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9512886">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consultoria-de-obra-publica-de-infraestructura-de-transporte&amp;data=05%7C02%7Csergio.rivera%40colombiacompra.gov.co%7C096eca3fdcca424ff1c708dcf932f947%7C7b09041e245149d08cb179d5e3d8c1be%7C0%7C0%7C638659244553894630%7CUnknown%7CTWFpbGZsb3d8eyJWIjoiMC4wLjAwMDAiLCJQIjoiV2luMzIiLCJBTiI6Ik1haWwiLCJXVCI6Mn0%3D%7C0%7C%7C%7C&amp;sdata=GoNc07dsQTMipnDx7V4%2F5Ou3jdqarnqf6gn77aV%2BXro%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sergio.rivera%40colombiacompra.gov.co%7C096eca3fdcca424ff1c708dcf932f947%7C7b09041e245149d08cb179d5e3d8c1be%7C0%7C0%7C638659244553971823%7CUnknown%7CTWFpbGZsb3d8eyJWIjoiMC4wLjAwMDAiLCJQIjoiV2luMzIiLCJBTiI6Ik1haWwiLCJXVCI6Mn0%3D%7C0%7C%7C%7C&amp;sdata=YW4blgNg37XDmE%2B6SKIl9zpbMXronWkhLhJ1GT27zZ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8320&amp;data=05%7C02%7Csergio.rivera%40colombiacompra.gov.co%7C096eca3fdcca424ff1c708dcf932f947%7C7b09041e245149d08cb179d5e3d8c1be%7C0%7C0%7C638659244553950060%7CUnknown%7CTWFpbGZsb3d8eyJWIjoiMC4wLjAwMDAiLCJQIjoiV2luMzIiLCJBTiI6Ik1haWwiLCJXVCI6Mn0%3D%7C0%7C%7C%7C&amp;sdata=bKkCwNK5cXCtMCrdN%2FFdvK7N9gA3NMSdIWKbWU87J7w%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interventoria-de-obra-publica-de-infraestructura-de&amp;data=05%7C02%7Csergio.rivera%40colombiacompra.gov.co%7C096eca3fdcca424ff1c708dcf932f947%7C7b09041e245149d08cb179d5e3d8c1be%7C0%7C0%7C638659244553928701%7CUnknown%7CTWFpbGZsb3d8eyJWIjoiMC4wLjAwMDAiLCJQIjoiV2luMzIiLCJBTiI6Ik1haWwiLCJXVCI6Mn0%3D%7C0%7C%7C%7C&amp;sdata=wPSBZo4CrxiViDqo2Q0FDNfwfoLxZ2vBZh7h8ly%2BAtE%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mae_2.0_vf.pdf" TargetMode="External"/><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0259B2E-4933-4D65-8878-CC4B6785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2839</Words>
  <Characters>15620</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7</cp:revision>
  <cp:lastPrinted>2023-01-10T21:18:00Z</cp:lastPrinted>
  <dcterms:created xsi:type="dcterms:W3CDTF">2024-11-25T15:24:00Z</dcterms:created>
  <dcterms:modified xsi:type="dcterms:W3CDTF">2024-11-25T21:39:00Z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